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DF610" w14:textId="77777777" w:rsidR="008D1EA2" w:rsidRDefault="008D1EA2" w:rsidP="008D1EA2">
      <w:pPr>
        <w:spacing w:before="300" w:after="3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Comments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Revised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Draft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General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Comment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37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Article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21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Right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Peaceful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Assembly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) of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ICCPR</w:t>
      </w:r>
    </w:p>
    <w:p w14:paraId="0CF5BA0E" w14:textId="77777777" w:rsidR="008D1EA2" w:rsidRDefault="008D1EA2" w:rsidP="008D1EA2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9EF507A" w14:textId="77777777" w:rsidR="008D1EA2" w:rsidRDefault="008D1EA2" w:rsidP="008D1EA2">
      <w:pPr>
        <w:spacing w:before="240" w:after="2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MINBYUN - </w:t>
      </w:r>
      <w:proofErr w:type="spellStart"/>
      <w:r>
        <w:rPr>
          <w:rFonts w:ascii="Times New Roman" w:eastAsia="Times New Roman" w:hAnsi="Times New Roman" w:cs="Times New Roman"/>
        </w:rPr>
        <w:t>Lawyers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Democratic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Society</w:t>
      </w:r>
      <w:proofErr w:type="spellEnd"/>
      <w:r>
        <w:rPr>
          <w:rFonts w:ascii="Times New Roman" w:eastAsia="Times New Roman" w:hAnsi="Times New Roman" w:cs="Times New Roman"/>
        </w:rPr>
        <w:t xml:space="preserve"> Public </w:t>
      </w:r>
      <w:proofErr w:type="spellStart"/>
      <w:r>
        <w:rPr>
          <w:rFonts w:ascii="Times New Roman" w:eastAsia="Times New Roman" w:hAnsi="Times New Roman" w:cs="Times New Roman"/>
        </w:rPr>
        <w:t>Interest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Human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Rights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Litigation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Center</w:t>
      </w:r>
      <w:proofErr w:type="spellEnd"/>
    </w:p>
    <w:p w14:paraId="7CEF244B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50587D" w14:textId="77777777" w:rsidR="008D1EA2" w:rsidRDefault="008D1EA2" w:rsidP="008D1EA2">
      <w:pPr>
        <w:pStyle w:val="1"/>
      </w:pPr>
      <w:bookmarkStart w:id="1" w:name="_uiefqimg67xd" w:colFirst="0" w:colLast="0"/>
      <w:bookmarkEnd w:id="1"/>
      <w:proofErr w:type="spellStart"/>
      <w:r>
        <w:t>Introduction</w:t>
      </w:r>
      <w:proofErr w:type="spellEnd"/>
    </w:p>
    <w:p w14:paraId="0E5FAE5F" w14:textId="77777777" w:rsidR="008D1EA2" w:rsidRDefault="008D1EA2" w:rsidP="008D1EA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7B128D7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MINBYUN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Lawyers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Democratic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Society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Public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Litigation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focuses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litigations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vulnerable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Republic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submission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draft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37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21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International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Covenant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Civil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Freedom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327867AB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502DE15D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congratulate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Committee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particularly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Rapporteur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Christof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Heynes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release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draft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37.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draft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freedom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South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NGO,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draft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reflects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points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struggling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freedom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B2B8940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203D1546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opinions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suggestions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paragraphs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draft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ensure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contribute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Committee's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further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finalizing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draft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65DAAC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7882D3D2" w14:textId="77777777" w:rsidR="008D1EA2" w:rsidRDefault="008D1EA2" w:rsidP="008D1EA2">
      <w:pPr>
        <w:pStyle w:val="1"/>
      </w:pPr>
      <w:bookmarkStart w:id="2" w:name="_evrzdh2nhi94" w:colFirst="0" w:colLast="0"/>
      <w:bookmarkEnd w:id="2"/>
      <w:proofErr w:type="spellStart"/>
      <w:r>
        <w:t>Specific</w:t>
      </w:r>
      <w:proofErr w:type="spellEnd"/>
      <w:r>
        <w:t xml:space="preserve"> </w:t>
      </w:r>
      <w:proofErr w:type="spellStart"/>
      <w:r>
        <w:t>comments</w:t>
      </w:r>
      <w:proofErr w:type="spellEnd"/>
    </w:p>
    <w:p w14:paraId="4E05093D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32403D02" w14:textId="77777777" w:rsidR="008D1EA2" w:rsidRDefault="008D1EA2" w:rsidP="008D1EA2">
      <w:pPr>
        <w:pStyle w:val="2"/>
      </w:pPr>
      <w:bookmarkStart w:id="3" w:name="_85fm30512hkt" w:colFirst="0" w:colLast="0"/>
      <w:bookmarkEnd w:id="3"/>
      <w:proofErr w:type="spellStart"/>
      <w:r>
        <w:t>Paragraph</w:t>
      </w:r>
      <w:proofErr w:type="spellEnd"/>
      <w:r>
        <w:t xml:space="preserve"> 1</w:t>
      </w:r>
    </w:p>
    <w:p w14:paraId="65713304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fundamental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enables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themselves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collectively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shaping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societies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autonomy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solidarity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Together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freedom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constitutes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foundation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participatory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democracy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[,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rule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law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pluralism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pursued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persuasion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critical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allowing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advance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aspirational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establish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opposition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grievances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opportunities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participatory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resolution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differences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BF109F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Suggestion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6ED7A61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.' </w:t>
      </w:r>
    </w:p>
    <w:p w14:paraId="4F7CB42D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E19137C" w14:textId="77777777" w:rsidR="008D1EA2" w:rsidRDefault="008D1EA2" w:rsidP="008D1EA2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principle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democratic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society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unnecessary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emphasize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democracy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pluralism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paragraph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reasonable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understand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measure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democracy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pluralism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0D86E4" w14:textId="77777777" w:rsidR="008D1EA2" w:rsidRDefault="008D1EA2" w:rsidP="008D1EA2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‘The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principle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developed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mainly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Western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countries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interpreted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contextual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societies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interpreted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superficially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authorities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abusively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justify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unjust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restrictions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discrimination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minorities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FCA2A2" w14:textId="77777777" w:rsidR="008D1EA2" w:rsidRDefault="008D1EA2" w:rsidP="008D1EA2">
      <w:pPr>
        <w:numPr>
          <w:ilvl w:val="0"/>
          <w:numId w:val="27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clearly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state's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purpose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satisfied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emphasizing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principle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legality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paragraphs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draft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37,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paragraphs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43, 44 and 89.</w:t>
      </w:r>
    </w:p>
    <w:p w14:paraId="6EF7F777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39DD8F89" w14:textId="77777777" w:rsidR="008D1EA2" w:rsidRDefault="008D1EA2" w:rsidP="008D1EA2">
      <w:pPr>
        <w:pStyle w:val="2"/>
      </w:pPr>
      <w:bookmarkStart w:id="4" w:name="_w8eagfjb5tew" w:colFirst="0" w:colLast="0"/>
      <w:bookmarkEnd w:id="4"/>
      <w:proofErr w:type="spellStart"/>
      <w:r>
        <w:t>Paragraph</w:t>
      </w:r>
      <w:proofErr w:type="spellEnd"/>
      <w:r>
        <w:t xml:space="preserve"> 2</w:t>
      </w:r>
    </w:p>
    <w:p w14:paraId="03D845A0" w14:textId="77777777" w:rsidR="008D1EA2" w:rsidRDefault="008D1EA2" w:rsidP="008D1EA2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moreover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valuable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realisation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socio-economic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marginalised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disenfranchised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society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legitimate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public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space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failure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recognise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repression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AF3D036" w14:textId="77777777" w:rsidR="008D1EA2" w:rsidRDefault="008D1EA2" w:rsidP="008D1EA2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Suggestion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6876D3A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Suggest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.’ </w:t>
      </w:r>
    </w:p>
    <w:p w14:paraId="64761A18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1D3E443" w14:textId="77777777" w:rsidR="008D1EA2" w:rsidRDefault="008D1EA2" w:rsidP="008D1EA2">
      <w:pPr>
        <w:numPr>
          <w:ilvl w:val="0"/>
          <w:numId w:val="27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owned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E89423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6D87EC96" w14:textId="77777777" w:rsidR="008D1EA2" w:rsidRDefault="008D1EA2" w:rsidP="008D1EA2">
      <w:pPr>
        <w:pStyle w:val="2"/>
      </w:pPr>
      <w:bookmarkStart w:id="5" w:name="_zbxs2bq4s7ed" w:colFirst="0" w:colLast="0"/>
      <w:bookmarkEnd w:id="5"/>
      <w:proofErr w:type="spellStart"/>
      <w:r>
        <w:t>Paragraph</w:t>
      </w:r>
      <w:proofErr w:type="spellEnd"/>
      <w:r>
        <w:t xml:space="preserve"> 4</w:t>
      </w:r>
    </w:p>
    <w:p w14:paraId="128C2996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non-violent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gathering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expressive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purpose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publicly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accessible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/</w:t>
      </w:r>
      <w:proofErr w:type="gram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same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constitutes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exercised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collectively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Inherent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associative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2412F8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Suggestion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0F885C4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accessible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.’</w:t>
      </w:r>
    </w:p>
    <w:p w14:paraId="69308997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61B5A73" w14:textId="77777777" w:rsidR="008D1EA2" w:rsidRDefault="008D1EA2" w:rsidP="008D1EA2">
      <w:pPr>
        <w:numPr>
          <w:ilvl w:val="0"/>
          <w:numId w:val="19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General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Remarks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gatherings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21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Covenant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broadly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suggested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paragraph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limiting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gatherings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accessible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269932A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73FA49A" w14:textId="77777777" w:rsidR="008D1EA2" w:rsidRDefault="008D1EA2" w:rsidP="008D1EA2">
      <w:pPr>
        <w:pStyle w:val="2"/>
      </w:pPr>
      <w:bookmarkStart w:id="6" w:name="_z56wn7rzu8mt" w:colFirst="0" w:colLast="0"/>
      <w:bookmarkEnd w:id="6"/>
      <w:proofErr w:type="spellStart"/>
      <w:r>
        <w:t>Paragraph</w:t>
      </w:r>
      <w:proofErr w:type="spellEnd"/>
      <w:r>
        <w:t xml:space="preserve"> 18</w:t>
      </w:r>
    </w:p>
    <w:p w14:paraId="2F9A6277" w14:textId="77777777" w:rsidR="008D1EA2" w:rsidRDefault="008D1EA2" w:rsidP="008D1EA2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domestic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requirements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pertaining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outside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Civil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disobedience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direct-action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campaigns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principle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covered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non-violent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C043C0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Suggestion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AF3F264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paragraph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further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indicate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civil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disobedience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direct-action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campaigns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ensured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stipulated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articles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Covenant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BA6D7C4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AB07AB4" w14:textId="77777777" w:rsidR="008D1EA2" w:rsidRDefault="008D1EA2" w:rsidP="008D1EA2">
      <w:pPr>
        <w:numPr>
          <w:ilvl w:val="0"/>
          <w:numId w:val="8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Civil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disobedience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direct-action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campaigns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require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standards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example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civil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disobedience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direct-action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campaigns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aiming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against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authorities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stipulated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Covenant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Moreover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emphasize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authorities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restrict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disperse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civil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disobedience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direct-action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campaign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603902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977F7F6" w14:textId="77777777" w:rsidR="008D1EA2" w:rsidRDefault="008D1EA2" w:rsidP="008D1EA2">
      <w:pPr>
        <w:pStyle w:val="2"/>
      </w:pPr>
      <w:bookmarkStart w:id="7" w:name="_ind41hlmolpu" w:colFirst="0" w:colLast="0"/>
      <w:bookmarkEnd w:id="7"/>
      <w:proofErr w:type="spellStart"/>
      <w:r>
        <w:lastRenderedPageBreak/>
        <w:t>Paragraph</w:t>
      </w:r>
      <w:proofErr w:type="spellEnd"/>
      <w:r>
        <w:t xml:space="preserve"> 19</w:t>
      </w:r>
    </w:p>
    <w:p w14:paraId="6A708A7B" w14:textId="77777777" w:rsidR="008D1EA2" w:rsidRDefault="008D1EA2" w:rsidP="008D1EA2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characterized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widespread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serious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[,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sometimes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].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always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dividing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presumption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favour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Moreover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isolated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acts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violence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attributed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covered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7D8305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Suggestions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C185E10" w14:textId="77777777" w:rsidR="008D1EA2" w:rsidRDefault="008D1EA2" w:rsidP="008D1EA2">
      <w:pPr>
        <w:numPr>
          <w:ilvl w:val="0"/>
          <w:numId w:val="7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sentence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and,</w:t>
      </w:r>
    </w:p>
    <w:p w14:paraId="0DDD6069" w14:textId="77777777" w:rsidR="008D1EA2" w:rsidRDefault="008D1EA2" w:rsidP="008D1EA2">
      <w:pPr>
        <w:numPr>
          <w:ilvl w:val="0"/>
          <w:numId w:val="7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isolated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sentence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</w:p>
    <w:p w14:paraId="00C85266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00DB3A7" w14:textId="77777777" w:rsidR="008D1EA2" w:rsidRDefault="008D1EA2" w:rsidP="008D1EA2">
      <w:pPr>
        <w:numPr>
          <w:ilvl w:val="0"/>
          <w:numId w:val="13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Therefore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of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arbitrary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interpretations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justify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restrictions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inappropriate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inappropriate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frequently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perspective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authorities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8B1C1AB" w14:textId="77777777" w:rsidR="008D1EA2" w:rsidRDefault="008D1EA2" w:rsidP="008D1EA2">
      <w:pPr>
        <w:numPr>
          <w:ilvl w:val="0"/>
          <w:numId w:val="13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spontaneously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large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crowd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difficult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isolated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instead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isolated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phrase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accountable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conduct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665FA4B5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7E3EA557" w14:textId="77777777" w:rsidR="008D1EA2" w:rsidRDefault="008D1EA2" w:rsidP="008D1EA2">
      <w:pPr>
        <w:pStyle w:val="2"/>
      </w:pPr>
      <w:bookmarkStart w:id="8" w:name="_v4ktgsuh4p6a" w:colFirst="0" w:colLast="0"/>
      <w:bookmarkEnd w:id="8"/>
      <w:proofErr w:type="spellStart"/>
      <w:r>
        <w:t>Paragraph</w:t>
      </w:r>
      <w:proofErr w:type="spellEnd"/>
      <w:r>
        <w:t xml:space="preserve"> 21</w:t>
      </w:r>
    </w:p>
    <w:p w14:paraId="445A08E5" w14:textId="77777777" w:rsidR="008D1EA2" w:rsidRDefault="008D1EA2" w:rsidP="008D1EA2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conduct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deemed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inciting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imminent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unlawful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intentions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imminent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Isolated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suffice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incitement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intention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widespread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leaders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organizers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themselves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convey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message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gathering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21.</w:t>
      </w:r>
    </w:p>
    <w:p w14:paraId="4D1410A2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Suggestion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5CEEFB8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phrase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‘...,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leaders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themselves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convey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message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sentence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ECF29A7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C7DD445" w14:textId="77777777" w:rsidR="008D1EA2" w:rsidRDefault="008D1EA2" w:rsidP="008D1EA2">
      <w:pPr>
        <w:numPr>
          <w:ilvl w:val="0"/>
          <w:numId w:val="11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leaders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convey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message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intentions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exclude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leaders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continue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Furthermore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inconvenient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conveying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message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intention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interpreted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narrowly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245246B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61931667" w14:textId="77777777" w:rsidR="008D1EA2" w:rsidRDefault="008D1EA2" w:rsidP="008D1EA2">
      <w:pPr>
        <w:pStyle w:val="2"/>
      </w:pPr>
      <w:bookmarkStart w:id="9" w:name="_6dneu0vuylel" w:colFirst="0" w:colLast="0"/>
      <w:bookmarkEnd w:id="9"/>
      <w:proofErr w:type="spellStart"/>
      <w:r>
        <w:t>Paragraph</w:t>
      </w:r>
      <w:proofErr w:type="spellEnd"/>
      <w:r>
        <w:t xml:space="preserve"> 22</w:t>
      </w:r>
    </w:p>
    <w:p w14:paraId="62CF5F3B" w14:textId="77777777" w:rsidR="008D1EA2" w:rsidRDefault="008D1EA2" w:rsidP="008D1EA2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 [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Option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further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determined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Covenant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requires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States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prohibit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propaganda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20 (1))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advocacy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religious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hatred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constitutes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incitement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discrimination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hostility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addition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20 (2)).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expressive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purpose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covered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prohibited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Option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paragraph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deleted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against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incitement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discrimination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hostility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dealt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restrictions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require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justification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.] </w:t>
      </w:r>
    </w:p>
    <w:p w14:paraId="48855744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Suggestion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E7196B5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</w:p>
    <w:p w14:paraId="26AF70C7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3863FA9" w14:textId="77777777" w:rsidR="008D1EA2" w:rsidRDefault="008D1EA2" w:rsidP="008D1EA2">
      <w:pPr>
        <w:numPr>
          <w:ilvl w:val="0"/>
          <w:numId w:val="4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Covenant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explicitly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prohibit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propaganda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advocacy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religious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hatred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constitutes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incitement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discrimination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hostility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interpretation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Covenant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discrimination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hostility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outside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21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Covenant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45072B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3330CF1E" w14:textId="77777777" w:rsidR="008D1EA2" w:rsidRDefault="008D1EA2" w:rsidP="008D1EA2">
      <w:pPr>
        <w:pStyle w:val="2"/>
      </w:pPr>
      <w:bookmarkStart w:id="10" w:name="_5n12ymml6d96" w:colFirst="0" w:colLast="0"/>
      <w:bookmarkEnd w:id="10"/>
      <w:proofErr w:type="spellStart"/>
      <w:r>
        <w:t>Paragraph</w:t>
      </w:r>
      <w:proofErr w:type="spellEnd"/>
      <w:r>
        <w:t xml:space="preserve"> 29</w:t>
      </w:r>
    </w:p>
    <w:p w14:paraId="72868B36" w14:textId="77777777" w:rsidR="008D1EA2" w:rsidRDefault="008D1EA2" w:rsidP="008D1EA2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dealing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States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precautionary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measures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aimed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violations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abuses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different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stake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precautionary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measures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justification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measures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privacy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E97843D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Suggestion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5B8E81D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sentence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abuses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strict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AD4CBF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14:paraId="1065F54F" w14:textId="77777777" w:rsidR="008D1EA2" w:rsidRDefault="008D1EA2" w:rsidP="008D1EA2">
      <w:pPr>
        <w:numPr>
          <w:ilvl w:val="0"/>
          <w:numId w:val="21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Precautionary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measures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urgent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chilling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Strict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requirements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stipulated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justify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precautionary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measures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809AD6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AC0D3FE" w14:textId="77777777" w:rsidR="008D1EA2" w:rsidRDefault="008D1EA2" w:rsidP="008D1EA2">
      <w:pPr>
        <w:pStyle w:val="2"/>
      </w:pPr>
      <w:bookmarkStart w:id="11" w:name="_pwh5vi54le14" w:colFirst="0" w:colLast="0"/>
      <w:bookmarkEnd w:id="11"/>
      <w:proofErr w:type="spellStart"/>
      <w:r>
        <w:t>Paragraph</w:t>
      </w:r>
      <w:proofErr w:type="spellEnd"/>
      <w:r>
        <w:t xml:space="preserve"> 51</w:t>
      </w:r>
    </w:p>
    <w:p w14:paraId="22917F5B" w14:textId="77777777" w:rsidR="008D1EA2" w:rsidRDefault="008D1EA2" w:rsidP="008D1EA2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51. The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exceptionally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restrictions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example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outbreak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infectious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gatherings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dangerous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extreme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applicable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sanitary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substantial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health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risk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themselves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"/>
      </w:r>
    </w:p>
    <w:p w14:paraId="42CF95DB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Suggestion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0B4DD8F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explanation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substantial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sentence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5A4791D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1C70FEC" w14:textId="77777777" w:rsidR="008D1EA2" w:rsidRDefault="008D1EA2" w:rsidP="008D1EA2">
      <w:pPr>
        <w:numPr>
          <w:ilvl w:val="0"/>
          <w:numId w:val="22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substantial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restrict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vagueness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examples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substantial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suggested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interpretation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CBAA807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5FCCDF78" w14:textId="77777777" w:rsidR="008D1EA2" w:rsidRDefault="008D1EA2" w:rsidP="008D1EA2">
      <w:pPr>
        <w:pStyle w:val="2"/>
      </w:pPr>
      <w:bookmarkStart w:id="12" w:name="_n0d50nc9nvxo" w:colFirst="0" w:colLast="0"/>
      <w:bookmarkEnd w:id="12"/>
      <w:proofErr w:type="spellStart"/>
      <w:r>
        <w:t>Paragraph</w:t>
      </w:r>
      <w:proofErr w:type="spellEnd"/>
      <w:r>
        <w:t xml:space="preserve"> 53</w:t>
      </w:r>
    </w:p>
    <w:p w14:paraId="51A5F102" w14:textId="77777777" w:rsidR="008D1EA2" w:rsidRDefault="008D1EA2" w:rsidP="008D1EA2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Restrictions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freedoms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Covenant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fundamental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freedom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ill-treatment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movement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property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example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potentially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justify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restrictions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certain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disruption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ordinary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disruptions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accommodated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unless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disproportionate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authorities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detailed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justification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restrictions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61BC193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Suggestion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1DE1B2A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.'</w:t>
      </w:r>
    </w:p>
    <w:p w14:paraId="50C4F046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E429B5A" w14:textId="77777777" w:rsidR="008D1EA2" w:rsidRDefault="008D1EA2" w:rsidP="008D1EA2">
      <w:pPr>
        <w:numPr>
          <w:ilvl w:val="0"/>
          <w:numId w:val="3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annoy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offence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expressive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Therefore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usually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temporarily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Unlike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written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freedom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ill-treatment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movement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limitations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directly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immediate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serious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damages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interpretation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.’</w:t>
      </w:r>
    </w:p>
    <w:p w14:paraId="4C4E9114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208DBE" w14:textId="77777777" w:rsidR="008D1EA2" w:rsidRDefault="008D1EA2" w:rsidP="008D1EA2">
      <w:pPr>
        <w:pStyle w:val="2"/>
      </w:pPr>
      <w:bookmarkStart w:id="13" w:name="_h87nkpnqmtv7" w:colFirst="0" w:colLast="0"/>
      <w:bookmarkEnd w:id="13"/>
      <w:proofErr w:type="spellStart"/>
      <w:r>
        <w:t>Paragraph</w:t>
      </w:r>
      <w:proofErr w:type="spellEnd"/>
      <w:r>
        <w:t xml:space="preserve"> 58</w:t>
      </w:r>
    </w:p>
    <w:p w14:paraId="64EABE4A" w14:textId="77777777" w:rsidR="008D1EA2" w:rsidRDefault="008D1EA2" w:rsidP="008D1EA2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58.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provokes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provoke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hostile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against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justify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prohibition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allowed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ahead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6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exceptional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manifestly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threat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restrictions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92F7EC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Suggestion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D3DE6CF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stricter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requirements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restrict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5ACC7761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14:paraId="710C9874" w14:textId="77777777" w:rsidR="008D1EA2" w:rsidRDefault="008D1EA2" w:rsidP="008D1EA2">
      <w:pPr>
        <w:numPr>
          <w:ilvl w:val="0"/>
          <w:numId w:val="9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paragraph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allows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restrict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manifestly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threat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manifestly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interpreted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arbitrarily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State,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possibility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misuses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paragraph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escape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responsibility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Therefore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stricter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requirements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seeking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alternative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restrict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manifestly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State. </w:t>
      </w:r>
    </w:p>
    <w:p w14:paraId="0B41A0A4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6FBC68D9" w14:textId="77777777" w:rsidR="008D1EA2" w:rsidRDefault="008D1EA2" w:rsidP="008D1EA2">
      <w:pPr>
        <w:pStyle w:val="2"/>
      </w:pPr>
      <w:bookmarkStart w:id="14" w:name="_sq66zauc2saq" w:colFirst="0" w:colLast="0"/>
      <w:bookmarkEnd w:id="14"/>
      <w:proofErr w:type="spellStart"/>
      <w:r>
        <w:t>Paragraph</w:t>
      </w:r>
      <w:proofErr w:type="spellEnd"/>
      <w:r>
        <w:t xml:space="preserve"> 60</w:t>
      </w:r>
    </w:p>
    <w:p w14:paraId="2A0F52A8" w14:textId="77777777" w:rsidR="008D1EA2" w:rsidRDefault="008D1EA2" w:rsidP="008D1EA2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Generally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flags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uniforms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banners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regarded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legitimate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expression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restricted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symbols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reminders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painful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exceptional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symbols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intrinsically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[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exclusively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/</w:t>
      </w:r>
      <w:proofErr w:type="gram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directly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]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associated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incitement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discrimination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hostility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violence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acts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violence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aimed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intimidating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members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population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restrictions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justified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symbols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broader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message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incitement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21.</w:t>
      </w:r>
    </w:p>
    <w:p w14:paraId="28E2BA65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Suggestion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D15737C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exclusively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] and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aimed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intimidating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population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].</w:t>
      </w:r>
    </w:p>
    <w:p w14:paraId="5AFC17C3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4288B21" w14:textId="77777777" w:rsidR="008D1EA2" w:rsidRDefault="008D1EA2" w:rsidP="008D1EA2">
      <w:pPr>
        <w:numPr>
          <w:ilvl w:val="0"/>
          <w:numId w:val="12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symbols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expression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themselves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Therefore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symbols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further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perspective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choosing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exclusively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] and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aimed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intimidating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population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minimize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restrictions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6E2B0E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76AF87" w14:textId="77777777" w:rsidR="008D1EA2" w:rsidRDefault="008D1EA2" w:rsidP="008D1EA2">
      <w:pPr>
        <w:pStyle w:val="2"/>
      </w:pPr>
      <w:bookmarkStart w:id="15" w:name="_wtvjuf67hmk7" w:colFirst="0" w:colLast="0"/>
      <w:bookmarkEnd w:id="15"/>
      <w:proofErr w:type="spellStart"/>
      <w:r>
        <w:t>Paragraph</w:t>
      </w:r>
      <w:proofErr w:type="spellEnd"/>
      <w:r>
        <w:t xml:space="preserve"> 62</w:t>
      </w:r>
    </w:p>
    <w:p w14:paraId="6F386FD5" w14:textId="77777777" w:rsidR="008D1EA2" w:rsidRDefault="008D1EA2" w:rsidP="008D1EA2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Concerning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restrictions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fixed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restrictions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sufficient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opportunity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effectively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manifest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views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8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generally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temporary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themselves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moreover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frequency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frequency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demonstration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conveying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message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cumulative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sustained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gatherings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disproportionately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impact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273B82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Suggestion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322D140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sentence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replace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’.</w:t>
      </w:r>
    </w:p>
    <w:p w14:paraId="19C27B17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4F8D821" w14:textId="77777777" w:rsidR="008D1EA2" w:rsidRDefault="008D1EA2" w:rsidP="008D1EA2">
      <w:pPr>
        <w:numPr>
          <w:ilvl w:val="0"/>
          <w:numId w:val="14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phrase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interpreted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broadly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unjust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restrictions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Instead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replacing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9883B5C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2A5A1C4E" w14:textId="77777777" w:rsidR="008D1EA2" w:rsidRDefault="008D1EA2" w:rsidP="008D1EA2">
      <w:pPr>
        <w:pStyle w:val="2"/>
      </w:pPr>
      <w:bookmarkStart w:id="16" w:name="_dgfpm6r014aq" w:colFirst="0" w:colLast="0"/>
      <w:bookmarkEnd w:id="16"/>
      <w:proofErr w:type="spellStart"/>
      <w:r>
        <w:t>Paragraph</w:t>
      </w:r>
      <w:proofErr w:type="spellEnd"/>
      <w:r>
        <w:t xml:space="preserve"> 65</w:t>
      </w:r>
    </w:p>
    <w:p w14:paraId="5DFC94AE" w14:textId="77777777" w:rsidR="008D1EA2" w:rsidRDefault="008D1EA2" w:rsidP="008D1EA2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relegated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effectively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attention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addressed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9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prohibitions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anywhere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capital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except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outside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prohibitions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streets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E0C7D4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Suggestion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35EEA14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sentence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14:paraId="1B46E7D8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A391693" w14:textId="77777777" w:rsidR="008D1EA2" w:rsidRDefault="008D1EA2" w:rsidP="008D1EA2">
      <w:pPr>
        <w:numPr>
          <w:ilvl w:val="0"/>
          <w:numId w:val="16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obvious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comprehensive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prohibition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laws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sentence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misinterpreting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paragraph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allows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comprehensive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prohibition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exceptional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circumstances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23B55B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33F1477D" w14:textId="77777777" w:rsidR="008D1EA2" w:rsidRDefault="008D1EA2" w:rsidP="008D1EA2">
      <w:pPr>
        <w:pStyle w:val="2"/>
      </w:pPr>
      <w:bookmarkStart w:id="17" w:name="_il3s2uspvdd0" w:colFirst="0" w:colLast="0"/>
      <w:bookmarkEnd w:id="17"/>
      <w:proofErr w:type="spellStart"/>
      <w:r>
        <w:t>Paragraph</w:t>
      </w:r>
      <w:proofErr w:type="spellEnd"/>
      <w:r>
        <w:t xml:space="preserve"> 66</w:t>
      </w:r>
    </w:p>
    <w:p w14:paraId="4A5061AC" w14:textId="77777777" w:rsidR="008D1EA2" w:rsidRDefault="008D1EA2" w:rsidP="008D1EA2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66.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designation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perimeters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courts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parliament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official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buildings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generally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avoided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prohibited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restrictions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specifically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justified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narrowly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circumscribed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3"/>
      </w:r>
    </w:p>
    <w:p w14:paraId="08BFE678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Suggestion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4F93B0C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emphasize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principle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encouraged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around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perimeters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parliament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official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buildings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5B10B4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89C9EF5" w14:textId="77777777" w:rsidR="008D1EA2" w:rsidRDefault="008D1EA2" w:rsidP="008D1EA2">
      <w:pPr>
        <w:numPr>
          <w:ilvl w:val="0"/>
          <w:numId w:val="23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Official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buildings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parliament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authorities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gathered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democracy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criticism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encouraged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toward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perspective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encouraged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around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perimeters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official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buildings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B8B077A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5FAAB16E" w14:textId="77777777" w:rsidR="008D1EA2" w:rsidRDefault="008D1EA2" w:rsidP="008D1EA2">
      <w:pPr>
        <w:pStyle w:val="2"/>
      </w:pPr>
      <w:bookmarkStart w:id="18" w:name="_8eu8qge1x6o0" w:colFirst="0" w:colLast="0"/>
      <w:bookmarkEnd w:id="18"/>
      <w:proofErr w:type="spellStart"/>
      <w:r>
        <w:t>Paragraph</w:t>
      </w:r>
      <w:proofErr w:type="spellEnd"/>
      <w:r>
        <w:t xml:space="preserve"> 67</w:t>
      </w:r>
    </w:p>
    <w:p w14:paraId="3265A832" w14:textId="77777777" w:rsidR="008D1EA2" w:rsidRDefault="008D1EA2" w:rsidP="008D1EA2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67.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increased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privatization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highlights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require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recognition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4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owners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reasonable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way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convey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message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target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audience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5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privately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owned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owners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enjoy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F25AD6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Suggestion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C9380F5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perspective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phrase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reasonable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convey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message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sentence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C72034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F2B512A" w14:textId="77777777" w:rsidR="008D1EA2" w:rsidRDefault="008D1EA2" w:rsidP="008D1EA2">
      <w:pPr>
        <w:numPr>
          <w:ilvl w:val="0"/>
          <w:numId w:val="24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requirement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reasonable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infringe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example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workers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symbolic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reasons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grounds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workers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convey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message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outside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BD5B636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10BC1C7F" w14:textId="77777777" w:rsidR="008D1EA2" w:rsidRDefault="008D1EA2" w:rsidP="008D1EA2">
      <w:pPr>
        <w:pStyle w:val="2"/>
      </w:pPr>
      <w:bookmarkStart w:id="19" w:name="_gmt8f4jwearw" w:colFirst="0" w:colLast="0"/>
      <w:bookmarkEnd w:id="19"/>
      <w:proofErr w:type="spellStart"/>
      <w:r>
        <w:lastRenderedPageBreak/>
        <w:t>Paragraph</w:t>
      </w:r>
      <w:proofErr w:type="spellEnd"/>
      <w:r>
        <w:t xml:space="preserve"> 70</w:t>
      </w:r>
    </w:p>
    <w:p w14:paraId="1B9DF6AD" w14:textId="77777777" w:rsidR="008D1EA2" w:rsidRDefault="008D1EA2" w:rsidP="008D1EA2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70.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wearing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coverings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disguises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expressive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reprisals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context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surveillance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technologies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privacy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prohibited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wearing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coverings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demonstrable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evidence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imminent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arrest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6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blanket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bans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only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justified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exceptional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basis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0D09B7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Suggestion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D3A742C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sentence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blanket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justified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exceptional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687626D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2D7AA0A" w14:textId="77777777" w:rsidR="008D1EA2" w:rsidRDefault="008D1EA2" w:rsidP="008D1EA2">
      <w:pPr>
        <w:numPr>
          <w:ilvl w:val="0"/>
          <w:numId w:val="20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blanket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wearing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coverings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exceptionally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justified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enormous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chilling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severely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infringe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privacy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A3358D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4A15A0" w14:textId="77777777" w:rsidR="008D1EA2" w:rsidRDefault="008D1EA2" w:rsidP="008D1EA2">
      <w:pPr>
        <w:pStyle w:val="2"/>
      </w:pPr>
      <w:bookmarkStart w:id="20" w:name="_mfxk0nhne1sh" w:colFirst="0" w:colLast="0"/>
      <w:bookmarkEnd w:id="20"/>
      <w:proofErr w:type="spellStart"/>
      <w:r>
        <w:t>Paragraph</w:t>
      </w:r>
      <w:proofErr w:type="spellEnd"/>
      <w:r>
        <w:t xml:space="preserve"> 71</w:t>
      </w:r>
    </w:p>
    <w:p w14:paraId="3B2C65D4" w14:textId="77777777" w:rsidR="008D1EA2" w:rsidRDefault="008D1EA2" w:rsidP="008D1EA2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71.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collection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relevant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authorities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certain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circumstances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management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improve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accountability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constitute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part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proactive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approach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preventing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violations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abuses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occurring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gathering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surveillance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interception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communications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retained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accessed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strictly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conform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applicable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standards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privacy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aimed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intimidating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harassing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would-be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practices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regulated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accessible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domestic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frameworks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compatible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standards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scrutiny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courts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8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4B5387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Suggestion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1D02FE5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constitute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proactive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approach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abuses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occurring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sentence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CA3378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A253CD0" w14:textId="77777777" w:rsidR="008D1EA2" w:rsidRDefault="008D1EA2" w:rsidP="008D1EA2">
      <w:pPr>
        <w:numPr>
          <w:ilvl w:val="0"/>
          <w:numId w:val="25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presumption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favour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terror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certain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pre-preventable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State’s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proactive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collection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severely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infringe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privacy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chilling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9AD692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C26852B" w14:textId="77777777" w:rsidR="008D1EA2" w:rsidRDefault="008D1EA2" w:rsidP="008D1EA2">
      <w:pPr>
        <w:pStyle w:val="2"/>
      </w:pPr>
      <w:bookmarkStart w:id="21" w:name="_h1scq229vjro" w:colFirst="0" w:colLast="0"/>
      <w:bookmarkEnd w:id="21"/>
      <w:proofErr w:type="spellStart"/>
      <w:r>
        <w:t>Paragraph</w:t>
      </w:r>
      <w:proofErr w:type="spellEnd"/>
      <w:r>
        <w:t xml:space="preserve"> 73</w:t>
      </w:r>
    </w:p>
    <w:p w14:paraId="3CCF8C34" w14:textId="77777777" w:rsidR="008D1EA2" w:rsidRDefault="008D1EA2" w:rsidP="008D1EA2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73.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freedom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State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officials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strictly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need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ensure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public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confidence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impartiality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perform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9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Ensuring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retain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confidence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impartiality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legitimate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42689B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Suggestion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BB3C13F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requirement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officials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A097DE7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9300194" w14:textId="77777777" w:rsidR="008D1EA2" w:rsidRDefault="008D1EA2" w:rsidP="008D1EA2">
      <w:pPr>
        <w:numPr>
          <w:ilvl w:val="0"/>
          <w:numId w:val="28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officials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Therefore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ensure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confidence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requirement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comprehensively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restricts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officials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freedom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B94B82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C926B4F" w14:textId="77777777" w:rsidR="008D1EA2" w:rsidRDefault="008D1EA2" w:rsidP="008D1EA2">
      <w:pPr>
        <w:pStyle w:val="2"/>
      </w:pPr>
      <w:bookmarkStart w:id="22" w:name="_2gzs6zvxlkal" w:colFirst="0" w:colLast="0"/>
      <w:bookmarkEnd w:id="22"/>
      <w:proofErr w:type="spellStart"/>
      <w:r>
        <w:t>Paragraph</w:t>
      </w:r>
      <w:proofErr w:type="spellEnd"/>
      <w:r>
        <w:t xml:space="preserve"> 75</w:t>
      </w:r>
    </w:p>
    <w:p w14:paraId="682B6833" w14:textId="77777777" w:rsidR="008D1EA2" w:rsidRDefault="008D1EA2" w:rsidP="008D1EA2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obliged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reasonable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efforts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requirements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accountable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[,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civilly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criminally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,]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conduct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Responsibility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damage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responsibility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foreseen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prevented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reasonable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efforts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marshals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obligation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4956B3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Suggestion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C8FF9A0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[,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civilly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criminally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,]</w:t>
      </w:r>
    </w:p>
    <w:p w14:paraId="6A685ED7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10B57B7" w14:textId="77777777" w:rsidR="008D1EA2" w:rsidRDefault="008D1EA2" w:rsidP="008D1EA2">
      <w:pPr>
        <w:numPr>
          <w:ilvl w:val="0"/>
          <w:numId w:val="17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civil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lawsuit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against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protesters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punishes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illegal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conducted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circumstances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clarify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principle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accountable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conduct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civil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criminal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procedures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6B30D9C0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4C1E8586" w14:textId="77777777" w:rsidR="008D1EA2" w:rsidRDefault="008D1EA2" w:rsidP="008D1EA2">
      <w:pPr>
        <w:pStyle w:val="2"/>
      </w:pPr>
      <w:bookmarkStart w:id="23" w:name="_2a8qi1v8fylk" w:colFirst="0" w:colLast="0"/>
      <w:bookmarkEnd w:id="23"/>
      <w:proofErr w:type="spellStart"/>
      <w:r>
        <w:t>Paragraph</w:t>
      </w:r>
      <w:proofErr w:type="spellEnd"/>
      <w:r>
        <w:t xml:space="preserve"> 80</w:t>
      </w:r>
    </w:p>
    <w:p w14:paraId="49F53960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80.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Notification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systems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intending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authorities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accordingly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advance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certain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salient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details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requirement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permissible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authorities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facilitating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smooth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conduct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requirement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stifle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interferences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notification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requirements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justifiable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grounds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21. 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enforcement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notification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requirements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become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itself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Notification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procedures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unduly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burdensome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proportionate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potential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concerned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A6ED97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Suggestion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1F5B244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advance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notification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procedure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C4B092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9B6B106" w14:textId="77777777" w:rsidR="008D1EA2" w:rsidRDefault="008D1EA2" w:rsidP="008D1EA2">
      <w:pPr>
        <w:numPr>
          <w:ilvl w:val="0"/>
          <w:numId w:val="10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guidelines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prepared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Commission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OSCE/ODIHR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advance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notification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procedures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emphasized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37. The State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continuously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advance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notification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procedure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clarify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procedure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B200CF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37D5BF92" w14:textId="77777777" w:rsidR="008D1EA2" w:rsidRDefault="008D1EA2" w:rsidP="008D1EA2">
      <w:pPr>
        <w:pStyle w:val="2"/>
      </w:pPr>
      <w:bookmarkStart w:id="24" w:name="_qzsmwrfl9e60" w:colFirst="0" w:colLast="0"/>
      <w:bookmarkEnd w:id="24"/>
      <w:proofErr w:type="spellStart"/>
      <w:r>
        <w:t>Paragraph</w:t>
      </w:r>
      <w:proofErr w:type="spellEnd"/>
      <w:r>
        <w:t xml:space="preserve"> 81</w:t>
      </w:r>
    </w:p>
    <w:p w14:paraId="1E230AA0" w14:textId="77777777" w:rsidR="008D1EA2" w:rsidRDefault="008D1EA2" w:rsidP="008D1EA2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failure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notify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authorities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render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participation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unlawful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, and]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itself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dispersing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arresting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imposition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sanctions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charging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criminal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offences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absolve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authorities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obligation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abilities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facilitate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5B53A6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Suggestion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7A4D1A2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unlawful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and],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changing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’</w:t>
      </w:r>
    </w:p>
    <w:p w14:paraId="390B14E2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92D048E" w14:textId="77777777" w:rsidR="008D1EA2" w:rsidRDefault="008D1EA2" w:rsidP="008D1EA2">
      <w:pPr>
        <w:numPr>
          <w:ilvl w:val="0"/>
          <w:numId w:val="5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clarify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rendered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unlawful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14AF59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6797DB98" w14:textId="77777777" w:rsidR="008D1EA2" w:rsidRDefault="008D1EA2" w:rsidP="008D1EA2">
      <w:pPr>
        <w:pStyle w:val="2"/>
      </w:pPr>
      <w:bookmarkStart w:id="25" w:name="_ryae6ybsmqg4" w:colFirst="0" w:colLast="0"/>
      <w:bookmarkEnd w:id="25"/>
      <w:proofErr w:type="spellStart"/>
      <w:r>
        <w:t>Paragraph</w:t>
      </w:r>
      <w:proofErr w:type="spellEnd"/>
      <w:r>
        <w:t xml:space="preserve"> 95</w:t>
      </w:r>
    </w:p>
    <w:p w14:paraId="47D0567F" w14:textId="77777777" w:rsidR="008D1EA2" w:rsidRDefault="008D1EA2" w:rsidP="008D1EA2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Containment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sometimes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kettling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enforcement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officials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encircle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demonstrators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proportionate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legitimate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facilitate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non-violent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continue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targeted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enforcement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measures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against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preferable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containment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linked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directly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containment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minimum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tactic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containment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indiscriminately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punitively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violates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 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freedom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arbitrary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detention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freedom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movement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931EC7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Suggestion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D108D91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kettling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allowed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stricter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strengthened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requirements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139BE9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E51283D" w14:textId="77777777" w:rsidR="008D1EA2" w:rsidRDefault="008D1EA2" w:rsidP="008D1EA2">
      <w:pPr>
        <w:numPr>
          <w:ilvl w:val="0"/>
          <w:numId w:val="6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Kettling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measure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completely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deprive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freedom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arrest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method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restricts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little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Therefore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stricter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requirements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kettling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example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alternative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measures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kettling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8189E5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6693F8F2" w14:textId="77777777" w:rsidR="008D1EA2" w:rsidRDefault="008D1EA2" w:rsidP="008D1EA2">
      <w:pPr>
        <w:pStyle w:val="2"/>
      </w:pPr>
      <w:bookmarkStart w:id="26" w:name="_x53wl8dy3yrh" w:colFirst="0" w:colLast="0"/>
      <w:bookmarkEnd w:id="26"/>
      <w:proofErr w:type="spellStart"/>
      <w:r>
        <w:lastRenderedPageBreak/>
        <w:t>Paragraph</w:t>
      </w:r>
      <w:proofErr w:type="spellEnd"/>
      <w:r>
        <w:t xml:space="preserve"> 96</w:t>
      </w:r>
    </w:p>
    <w:p w14:paraId="55C24530" w14:textId="77777777" w:rsidR="008D1EA2" w:rsidRDefault="008D1EA2" w:rsidP="008D1EA2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exceptional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dispersed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evidence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imminent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threat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serious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strictly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followed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remains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peaceful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but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nevertheless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causes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high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level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disruption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extended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blocking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traffic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dispersed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rule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only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disruption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serious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sustained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”.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4"/>
      </w:r>
    </w:p>
    <w:p w14:paraId="18E52426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Suggestion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9A873E3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sentence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remains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nevertheless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causes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disruption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extended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blocking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traffic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dispersed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disruption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serious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sustained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14:paraId="3E729A24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D902647" w14:textId="77777777" w:rsidR="008D1EA2" w:rsidRDefault="008D1EA2" w:rsidP="008D1EA2">
      <w:pPr>
        <w:numPr>
          <w:ilvl w:val="0"/>
          <w:numId w:val="26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blocking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traffic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phenomenon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blocking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traffic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disperse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chilling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Additionally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serious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sustained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disruption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interpreted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arbitrarily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stricter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requirements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circumstances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principle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dispersed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upheld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194B69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1B6EB7EA" w14:textId="77777777" w:rsidR="008D1EA2" w:rsidRDefault="008D1EA2" w:rsidP="008D1EA2">
      <w:pPr>
        <w:pStyle w:val="2"/>
      </w:pPr>
      <w:bookmarkStart w:id="27" w:name="_3dqwrgbxez96" w:colFirst="0" w:colLast="0"/>
      <w:bookmarkEnd w:id="27"/>
      <w:proofErr w:type="spellStart"/>
      <w:r>
        <w:t>Paragraph</w:t>
      </w:r>
      <w:proofErr w:type="spellEnd"/>
      <w:r>
        <w:t xml:space="preserve"> 97</w:t>
      </w:r>
    </w:p>
    <w:p w14:paraId="01924B67" w14:textId="77777777" w:rsidR="008D1EA2" w:rsidRDefault="008D1EA2" w:rsidP="008D1EA2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decision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lawfully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disperse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avoided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circumstances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minimum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5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directed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against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weapons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chemical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irritants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dispersed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cannon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indiscriminate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effects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weapons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reasonable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efforts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undertaken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causing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bystanders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causing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stampede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Tear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gas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confined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spaces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6"/>
      </w:r>
    </w:p>
    <w:p w14:paraId="64635527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Suggestion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1C6B5D9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authorities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cannons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strictly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prohibited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4F3B34BA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D6296D1" w14:textId="77777777" w:rsidR="008D1EA2" w:rsidRDefault="008D1EA2" w:rsidP="008D1EA2">
      <w:pPr>
        <w:numPr>
          <w:ilvl w:val="0"/>
          <w:numId w:val="2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cannons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weapons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directly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individual's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paragraph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abusively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cannons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extensively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example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sentence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confined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understood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allowing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unconfined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cannons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measures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disperse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40A233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5C9B42EF" w14:textId="77777777" w:rsidR="008D1EA2" w:rsidRDefault="008D1EA2" w:rsidP="008D1EA2">
      <w:pPr>
        <w:pStyle w:val="2"/>
      </w:pPr>
      <w:bookmarkStart w:id="28" w:name="_pxi9u6pr34rw" w:colFirst="0" w:colLast="0"/>
      <w:bookmarkEnd w:id="28"/>
      <w:proofErr w:type="spellStart"/>
      <w:r>
        <w:t>Paragraph</w:t>
      </w:r>
      <w:proofErr w:type="spellEnd"/>
      <w:r>
        <w:t xml:space="preserve"> 98</w:t>
      </w:r>
    </w:p>
    <w:p w14:paraId="4B63C4CF" w14:textId="77777777" w:rsidR="008D1EA2" w:rsidRDefault="008D1EA2" w:rsidP="008D1EA2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Firearms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policing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Firearms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simply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disperse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8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firearms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enforcement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officials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targeted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circumstances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strictly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confront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imminent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threat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death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serious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injury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truly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exceptional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circumstances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proximate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threat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9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threat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weapons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minimum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threshold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rubber-coated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plastic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bullets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acceptable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indiscriminately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crowd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enforcement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officials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prepared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likely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authorities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ensure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adequate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facilities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8207F3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Suggestion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077CB73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authorities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firearms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strictly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prohibited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EC4A9E8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9B70CC9" w14:textId="77777777" w:rsidR="008D1EA2" w:rsidRDefault="008D1EA2" w:rsidP="008D1EA2">
      <w:pPr>
        <w:numPr>
          <w:ilvl w:val="0"/>
          <w:numId w:val="15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paragraph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justify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authorities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firearms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Moreover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paragraph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authorities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obligation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alternative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measures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precedent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measures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warnings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laws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perspectives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firearms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directly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someone’s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725D40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44703F1C" w14:textId="77777777" w:rsidR="008D1EA2" w:rsidRDefault="008D1EA2" w:rsidP="008D1EA2">
      <w:pPr>
        <w:pStyle w:val="2"/>
      </w:pPr>
      <w:bookmarkStart w:id="29" w:name="_6dayticdgk14" w:colFirst="0" w:colLast="0"/>
      <w:bookmarkEnd w:id="29"/>
      <w:proofErr w:type="spellStart"/>
      <w:r>
        <w:lastRenderedPageBreak/>
        <w:t>Paragraph</w:t>
      </w:r>
      <w:proofErr w:type="spellEnd"/>
      <w:r>
        <w:t xml:space="preserve"> 103</w:t>
      </w:r>
    </w:p>
    <w:p w14:paraId="2131ED5D" w14:textId="77777777" w:rsidR="008D1EA2" w:rsidRDefault="008D1EA2" w:rsidP="008D1EA2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103.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Any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deployment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plainclothes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officers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must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reasonably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necessary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circumstances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officers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example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provocateurs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1"/>
      </w:r>
    </w:p>
    <w:p w14:paraId="136BDA9C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Suggestion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BAE53A3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paragraph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CB5A32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9502307" w14:textId="77777777" w:rsidR="008D1EA2" w:rsidRDefault="008D1EA2" w:rsidP="008D1EA2">
      <w:pPr>
        <w:numPr>
          <w:ilvl w:val="0"/>
          <w:numId w:val="15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paragraph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plainclothes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officers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extensively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requirement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reasonably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circumstances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fundamental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question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reasonably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circumstances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questionable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plainclothes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officers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inappropriate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allows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plainclothes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officers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collect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citizens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secretly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5CAED7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AC4C23" w14:textId="77777777" w:rsidR="008D1EA2" w:rsidRDefault="008D1EA2" w:rsidP="008D1EA2">
      <w:pPr>
        <w:pStyle w:val="2"/>
      </w:pPr>
      <w:bookmarkStart w:id="30" w:name="_7if9n0bwcosk" w:colFirst="0" w:colLast="0"/>
      <w:bookmarkEnd w:id="30"/>
      <w:proofErr w:type="spellStart"/>
      <w:r>
        <w:t>Paragraph</w:t>
      </w:r>
      <w:proofErr w:type="spellEnd"/>
      <w:r>
        <w:t xml:space="preserve"> 105</w:t>
      </w:r>
    </w:p>
    <w:p w14:paraId="04F1D959" w14:textId="77777777" w:rsidR="008D1EA2" w:rsidRDefault="008D1EA2" w:rsidP="008D1EA2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105.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recording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enforcement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officials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including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through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body-worn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cameras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accountability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authorities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guidelines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ensure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consistent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standards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privacy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chilling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2"/>
      </w:r>
    </w:p>
    <w:p w14:paraId="4D2BDDE8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Suggestion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6ECFE6D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body-worn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cameras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purpose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evidence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collection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allowed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E959B6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F238B36" w14:textId="77777777" w:rsidR="008D1EA2" w:rsidRDefault="008D1EA2" w:rsidP="008D1EA2">
      <w:pPr>
        <w:numPr>
          <w:ilvl w:val="0"/>
          <w:numId w:val="15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body-worn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cameras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seriously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infringe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privacy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Therefore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body-worn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cameras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allowed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allowed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body-worn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cameras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guided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laws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guidelines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disclosed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1A06645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801BC4" w14:textId="77777777" w:rsidR="008D1EA2" w:rsidRDefault="008D1EA2" w:rsidP="008D1EA2">
      <w:pPr>
        <w:pStyle w:val="2"/>
      </w:pPr>
      <w:bookmarkStart w:id="31" w:name="_vtqjnq88x324" w:colFirst="0" w:colLast="0"/>
      <w:bookmarkEnd w:id="31"/>
      <w:proofErr w:type="spellStart"/>
      <w:r>
        <w:t>Paragraph</w:t>
      </w:r>
      <w:proofErr w:type="spellEnd"/>
      <w:r>
        <w:t xml:space="preserve"> 113</w:t>
      </w:r>
    </w:p>
    <w:p w14:paraId="4AB5F89B" w14:textId="77777777" w:rsidR="008D1EA2" w:rsidRDefault="008D1EA2" w:rsidP="008D1EA2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infringe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example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freedom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movement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12 (1)).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Socio-economic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implicated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proximate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amenities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hospitals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facilities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0F3A4F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Suggestion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D3CC708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paragraph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emphasize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principle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State,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</w:p>
    <w:p w14:paraId="7FAC720B" w14:textId="77777777" w:rsidR="008D1EA2" w:rsidRDefault="008D1EA2" w:rsidP="008D1EA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59FFEAB" w14:textId="77777777" w:rsidR="008D1EA2" w:rsidRDefault="008D1EA2" w:rsidP="008D1EA2">
      <w:pPr>
        <w:numPr>
          <w:ilvl w:val="0"/>
          <w:numId w:val="15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fundamental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State.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Therefore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principle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obligation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State,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infringed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assemblies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35F9A48A" w14:textId="77777777" w:rsidR="008D1EA2" w:rsidRDefault="008D1EA2" w:rsidP="008D1EA2">
      <w:pPr>
        <w:spacing w:before="240" w:after="240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452A015F" w14:textId="77777777" w:rsidR="005A4F48" w:rsidRDefault="00A46A8A"/>
    <w:sectPr w:rsidR="005A4F48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57E95" w14:textId="77777777" w:rsidR="00A46A8A" w:rsidRDefault="00A46A8A" w:rsidP="008D1EA2">
      <w:pPr>
        <w:spacing w:line="240" w:lineRule="auto"/>
      </w:pPr>
      <w:r>
        <w:separator/>
      </w:r>
    </w:p>
  </w:endnote>
  <w:endnote w:type="continuationSeparator" w:id="0">
    <w:p w14:paraId="58165EC1" w14:textId="77777777" w:rsidR="00A46A8A" w:rsidRDefault="00A46A8A" w:rsidP="008D1E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41283" w14:textId="77777777" w:rsidR="00A46A8A" w:rsidRDefault="00A46A8A" w:rsidP="008D1EA2">
      <w:pPr>
        <w:spacing w:line="240" w:lineRule="auto"/>
      </w:pPr>
      <w:r>
        <w:separator/>
      </w:r>
    </w:p>
  </w:footnote>
  <w:footnote w:type="continuationSeparator" w:id="0">
    <w:p w14:paraId="0F6BE276" w14:textId="77777777" w:rsidR="00A46A8A" w:rsidRDefault="00A46A8A" w:rsidP="008D1EA2">
      <w:pPr>
        <w:spacing w:line="240" w:lineRule="auto"/>
      </w:pPr>
      <w:r>
        <w:continuationSeparator/>
      </w:r>
    </w:p>
  </w:footnote>
  <w:footnote w:id="1">
    <w:p w14:paraId="51B7DE3D" w14:textId="77777777" w:rsidR="008D1EA2" w:rsidRDefault="008D1EA2" w:rsidP="008D1EA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European Court of Human Rights,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Lashmankin and others v. Russia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(applications Nos. 57818/09 and 14 others), judgment of 7 February 2017, paras. 402–403.</w:t>
      </w:r>
    </w:p>
  </w:footnote>
  <w:footnote w:id="2">
    <w:p w14:paraId="15D598B0" w14:textId="77777777" w:rsidR="008D1EA2" w:rsidRDefault="008D1EA2" w:rsidP="008D1EA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European Court of Human Rights,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Frumkin v. Russia</w:t>
      </w:r>
      <w:r>
        <w:rPr>
          <w:rFonts w:ascii="Times New Roman" w:eastAsia="Times New Roman" w:hAnsi="Times New Roman" w:cs="Times New Roman"/>
          <w:sz w:val="24"/>
          <w:szCs w:val="24"/>
        </w:rPr>
        <w:t>, para. 99.</w:t>
      </w:r>
    </w:p>
  </w:footnote>
  <w:footnote w:id="3">
    <w:p w14:paraId="3E4F5933" w14:textId="77777777" w:rsidR="008D1EA2" w:rsidRDefault="008D1EA2" w:rsidP="008D1EA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European Court of Human Rights,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Lashmankin and others v. Russia</w:t>
      </w:r>
      <w:r>
        <w:rPr>
          <w:rFonts w:ascii="Times New Roman" w:eastAsia="Times New Roman" w:hAnsi="Times New Roman" w:cs="Times New Roman"/>
          <w:sz w:val="24"/>
          <w:szCs w:val="24"/>
        </w:rPr>
        <w:t>, para. 402.</w:t>
      </w:r>
    </w:p>
  </w:footnote>
  <w:footnote w:id="4">
    <w:p w14:paraId="051DDB63" w14:textId="77777777" w:rsidR="008D1EA2" w:rsidRDefault="008D1EA2" w:rsidP="008D1EA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European Court of Human Rights,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Cisse v. France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(application No. 51346/99), judgment of 9 April 2002.</w:t>
      </w:r>
    </w:p>
  </w:footnote>
  <w:footnote w:id="5">
    <w:p w14:paraId="657620FB" w14:textId="77777777" w:rsidR="008D1EA2" w:rsidRDefault="008D1EA2" w:rsidP="008D1EA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Stambrovsky v. Belarus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(CCPR/C/112/D/1987/2010), para. 7.6;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Pugach v. Belarus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(CCPR/C/114/D/1984/2010), para. 7.8.</w:t>
      </w:r>
    </w:p>
  </w:footnote>
  <w:footnote w:id="6">
    <w:p w14:paraId="7FDC29FA" w14:textId="77777777" w:rsidR="008D1EA2" w:rsidRDefault="008D1EA2" w:rsidP="008D1EA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i/>
        </w:rPr>
        <w:t>Alekseev v. Russian Federation</w:t>
      </w:r>
      <w:r>
        <w:t>, para. 9.6</w:t>
      </w:r>
    </w:p>
  </w:footnote>
  <w:footnote w:id="7">
    <w:p w14:paraId="3C435222" w14:textId="77777777" w:rsidR="008D1EA2" w:rsidRDefault="008D1EA2" w:rsidP="008D1EA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OSCE,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Guidelines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Freedom of Peaceful Assembly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para. 97. See also European Court of Human Rights,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Osmani and others v. the former Yugoslav Republic of Macedonia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(application No. 50841/99) decision of 11 October 2001; 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Fáber v. Hungary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(application No. 40721/08), judgment of 24 October 2012, paras. 56–58, in which the Court outlined a threshold of intimidation.</w:t>
      </w:r>
    </w:p>
  </w:footnote>
  <w:footnote w:id="8">
    <w:p w14:paraId="7DB2B4FE" w14:textId="77777777" w:rsidR="008D1EA2" w:rsidRDefault="008D1EA2" w:rsidP="008D1EA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European Court of Human Rights,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Éva Molnár v. Hungary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(application No. 10346/05), judgment of 7 October 2008, para. 42.</w:t>
      </w:r>
    </w:p>
  </w:footnote>
  <w:footnote w:id="9">
    <w:p w14:paraId="4BD681E3" w14:textId="77777777" w:rsidR="008D1EA2" w:rsidRDefault="008D1EA2" w:rsidP="008D1EA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Ibid.; CCPR/C/KAZ/CO/1, para. 26.</w:t>
      </w:r>
    </w:p>
  </w:footnote>
  <w:footnote w:id="10">
    <w:p w14:paraId="7F41C6FD" w14:textId="77777777" w:rsidR="008D1EA2" w:rsidRDefault="008D1EA2" w:rsidP="008D1EA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CCPR/C/DZA/CO/4, para. 45.</w:t>
      </w:r>
    </w:p>
  </w:footnote>
  <w:footnote w:id="11">
    <w:p w14:paraId="197BDCD6" w14:textId="77777777" w:rsidR="008D1EA2" w:rsidRDefault="008D1EA2" w:rsidP="008D1EA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Turchenyak et al. v. Belarus</w:t>
      </w:r>
      <w:r>
        <w:rPr>
          <w:rFonts w:ascii="Times New Roman" w:eastAsia="Times New Roman" w:hAnsi="Times New Roman" w:cs="Times New Roman"/>
          <w:sz w:val="24"/>
          <w:szCs w:val="24"/>
        </w:rPr>
        <w:t>, para. 7.5.</w:t>
      </w:r>
    </w:p>
  </w:footnote>
  <w:footnote w:id="12">
    <w:p w14:paraId="3FD3BA36" w14:textId="77777777" w:rsidR="008D1EA2" w:rsidRDefault="008D1EA2" w:rsidP="008D1EA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Sudalenko v. Belarus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(CCPR/C/113/D/1992/2010), para. 8.5.</w:t>
      </w:r>
    </w:p>
  </w:footnote>
  <w:footnote w:id="13">
    <w:p w14:paraId="389B737F" w14:textId="77777777" w:rsidR="008D1EA2" w:rsidRDefault="008D1EA2" w:rsidP="008D1EA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European Court of Human Rights,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Yilmaz Yildiz and others v. Turkey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(application No. 4524/06), judgment of 14 October 2014, para. 43.</w:t>
      </w:r>
    </w:p>
  </w:footnote>
  <w:footnote w:id="14">
    <w:p w14:paraId="3EAAACB9" w14:textId="77777777" w:rsidR="008D1EA2" w:rsidRDefault="008D1EA2" w:rsidP="008D1EA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European Court of Human Rights,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Annenkov and others v. Russia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(application No. 31475/10), judgment of 25 July 2017, para. 122; United States Supreme Court,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Marsh v. Alabama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United States Reports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vol. 326, No. 501, 1946), p. 2.</w:t>
      </w:r>
    </w:p>
  </w:footnote>
  <w:footnote w:id="15">
    <w:p w14:paraId="34B10A07" w14:textId="77777777" w:rsidR="008D1EA2" w:rsidRDefault="008D1EA2" w:rsidP="008D1EA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European Court of Human Rights,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Appleby and others v. United Kingdom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(application No. 44306/98), judgment of 6 May 2003, para. 47. 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Giménez v. Paraguay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(CCPR/C/123/D/2372/2014), para. 8.5, the Committee held that a two-year restriction on participation in assemblies after the occupation of a private property was excessive.</w:t>
      </w:r>
    </w:p>
  </w:footnote>
  <w:footnote w:id="16">
    <w:p w14:paraId="06DA79B3" w14:textId="77777777" w:rsidR="008D1EA2" w:rsidRDefault="008D1EA2" w:rsidP="008D1EA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Cf. OSCE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Guidelines on Peaceful Assembly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para. 98; ACHPR,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Guidelines on Freedom of Association and Assembly in Africa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para. 81. </w:t>
      </w:r>
    </w:p>
  </w:footnote>
  <w:footnote w:id="17">
    <w:p w14:paraId="067B82A0" w14:textId="77777777" w:rsidR="008D1EA2" w:rsidRDefault="008D1EA2" w:rsidP="008D1EA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A/HRC/31/66, para. 73.</w:t>
      </w:r>
    </w:p>
  </w:footnote>
  <w:footnote w:id="18">
    <w:p w14:paraId="4B4EE940" w14:textId="77777777" w:rsidR="008D1EA2" w:rsidRDefault="008D1EA2" w:rsidP="008D1EA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CCPR/C/KOR/CO/4, paras. 42–43.</w:t>
      </w:r>
    </w:p>
  </w:footnote>
  <w:footnote w:id="19">
    <w:p w14:paraId="2D570DC6" w14:textId="77777777" w:rsidR="008D1EA2" w:rsidRDefault="008D1EA2" w:rsidP="008D1EA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OSCE,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Guidelines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Freedom of Peaceful Assembly</w:t>
      </w:r>
      <w:r>
        <w:rPr>
          <w:rFonts w:ascii="Times New Roman" w:eastAsia="Times New Roman" w:hAnsi="Times New Roman" w:cs="Times New Roman"/>
          <w:sz w:val="24"/>
          <w:szCs w:val="24"/>
        </w:rPr>
        <w:t>, para. 60.</w:t>
      </w:r>
    </w:p>
  </w:footnote>
  <w:footnote w:id="20">
    <w:p w14:paraId="7FB83061" w14:textId="77777777" w:rsidR="008D1EA2" w:rsidRDefault="008D1EA2" w:rsidP="008D1EA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A/HRC/31/66, para. 26.</w:t>
      </w:r>
    </w:p>
  </w:footnote>
  <w:footnote w:id="21">
    <w:p w14:paraId="5824F611" w14:textId="77777777" w:rsidR="008D1EA2" w:rsidRDefault="008D1EA2" w:rsidP="008D1EA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OSCE,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Guidelines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Freedom of Peaceful Assembly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para. 197. Compare Constitutional Court of South Africa,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South African Transport and Allied Workers Union and another v. Garvas and others </w:t>
      </w:r>
      <w:r>
        <w:rPr>
          <w:rFonts w:ascii="Times New Roman" w:eastAsia="Times New Roman" w:hAnsi="Times New Roman" w:cs="Times New Roman"/>
          <w:sz w:val="24"/>
          <w:szCs w:val="24"/>
        </w:rPr>
        <w:t>(case CCT 112/11) [2012] ZACC 13.</w:t>
      </w:r>
    </w:p>
  </w:footnote>
  <w:footnote w:id="22">
    <w:p w14:paraId="1D00DBB2" w14:textId="77777777" w:rsidR="008D1EA2" w:rsidRDefault="008D1EA2" w:rsidP="008D1E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See, Venice Commission &amp; OSCE/ODIHR,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Guidelines on Freedom of Peaceful Assembly</w:t>
      </w:r>
      <w:r>
        <w:rPr>
          <w:rFonts w:ascii="Times New Roman" w:eastAsia="Times New Roman" w:hAnsi="Times New Roman" w:cs="Times New Roman"/>
          <w:sz w:val="24"/>
          <w:szCs w:val="24"/>
        </w:rPr>
        <w:t>. 3rd ed., 2019, para. 25.</w:t>
      </w:r>
    </w:p>
  </w:footnote>
  <w:footnote w:id="23">
    <w:p w14:paraId="44F8F642" w14:textId="77777777" w:rsidR="008D1EA2" w:rsidRDefault="008D1EA2" w:rsidP="008D1EA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Where administrative sanctions are imposed for the failure to notify, this must be justified by the authorities. See, e.g.,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Popova v. Russian Federation</w:t>
      </w:r>
      <w:r>
        <w:rPr>
          <w:rFonts w:ascii="Times New Roman" w:eastAsia="Times New Roman" w:hAnsi="Times New Roman" w:cs="Times New Roman"/>
          <w:sz w:val="24"/>
          <w:szCs w:val="24"/>
        </w:rPr>
        <w:t>, para. 7.4, 7.5. See also A/HRC/31/66, para. 23.</w:t>
      </w:r>
    </w:p>
  </w:footnote>
  <w:footnote w:id="24">
    <w:p w14:paraId="1E0C1D77" w14:textId="77777777" w:rsidR="008D1EA2" w:rsidRDefault="008D1EA2" w:rsidP="008D1EA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A/HRC/31/66, para. 62.</w:t>
      </w:r>
    </w:p>
  </w:footnote>
  <w:footnote w:id="25">
    <w:p w14:paraId="51D32FC0" w14:textId="77777777" w:rsidR="008D1EA2" w:rsidRDefault="008D1EA2" w:rsidP="008D1EA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Basic Principles on the Use of Force and Firearms by Law Enforcement Officials, principle 13; A/HRC/26/36, para. 75.</w:t>
      </w:r>
    </w:p>
  </w:footnote>
  <w:footnote w:id="26">
    <w:p w14:paraId="2DDBCA91" w14:textId="77777777" w:rsidR="008D1EA2" w:rsidRDefault="008D1EA2" w:rsidP="008D1EA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S/2009/693, annex, para. 62; and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United Nations Human Rights Guidance on Less-Lethal Weapons in Law Enforcement</w:t>
      </w:r>
      <w:r>
        <w:rPr>
          <w:rFonts w:ascii="Times New Roman" w:eastAsia="Times New Roman" w:hAnsi="Times New Roman" w:cs="Times New Roman"/>
          <w:sz w:val="24"/>
          <w:szCs w:val="24"/>
        </w:rPr>
        <w:t>, para. 7.3.7.</w:t>
      </w:r>
    </w:p>
  </w:footnote>
  <w:footnote w:id="27">
    <w:p w14:paraId="63F6F324" w14:textId="77777777" w:rsidR="008D1EA2" w:rsidRDefault="008D1EA2" w:rsidP="008D1EA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ACHPR,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Guidelines on Policing Assemblies in Africa</w:t>
      </w:r>
      <w:r>
        <w:rPr>
          <w:rFonts w:ascii="Times New Roman" w:eastAsia="Times New Roman" w:hAnsi="Times New Roman" w:cs="Times New Roman"/>
          <w:sz w:val="24"/>
          <w:szCs w:val="24"/>
        </w:rPr>
        <w:t>, para. 21.2.4.</w:t>
      </w:r>
    </w:p>
  </w:footnote>
  <w:footnote w:id="28">
    <w:p w14:paraId="13DA9D73" w14:textId="77777777" w:rsidR="008D1EA2" w:rsidRDefault="008D1EA2" w:rsidP="008D1EA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Basic Principles on the Use of Force and Firearms by Law Enforcement Officials, principle 14.</w:t>
      </w:r>
    </w:p>
  </w:footnote>
  <w:footnote w:id="29">
    <w:p w14:paraId="44D6F16F" w14:textId="77777777" w:rsidR="008D1EA2" w:rsidRDefault="008D1EA2" w:rsidP="008D1EA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Ibid.; Principles 9 and 14; and General comment No. 36.</w:t>
      </w:r>
    </w:p>
  </w:footnote>
  <w:footnote w:id="30">
    <w:p w14:paraId="04F9130F" w14:textId="77777777" w:rsidR="008D1EA2" w:rsidRDefault="008D1EA2" w:rsidP="008D1EA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United Nations Human Rights Guidance on Less-Lethal Weapons in Law Enforcement</w:t>
      </w:r>
      <w:r>
        <w:rPr>
          <w:rFonts w:ascii="Times New Roman" w:eastAsia="Times New Roman" w:hAnsi="Times New Roman" w:cs="Times New Roman"/>
          <w:sz w:val="24"/>
          <w:szCs w:val="24"/>
        </w:rPr>
        <w:t>, para. 7.5.8.</w:t>
      </w:r>
    </w:p>
  </w:footnote>
  <w:footnote w:id="31">
    <w:p w14:paraId="625CD0DB" w14:textId="77777777" w:rsidR="008D1EA2" w:rsidRDefault="008D1EA2" w:rsidP="008D1EA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European Court of Human Rights,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Ramanauskas v. Lithuania</w:t>
      </w:r>
      <w:r>
        <w:rPr>
          <w:rFonts w:ascii="Times New Roman" w:eastAsia="Times New Roman" w:hAnsi="Times New Roman" w:cs="Times New Roman"/>
          <w:sz w:val="24"/>
          <w:szCs w:val="24"/>
        </w:rPr>
        <w:t>, judgment of 5 February 2008, para. 54.</w:t>
      </w:r>
    </w:p>
  </w:footnote>
  <w:footnote w:id="32">
    <w:p w14:paraId="1DC55A6C" w14:textId="77777777" w:rsidR="008D1EA2" w:rsidRDefault="008D1EA2" w:rsidP="008D1EA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CCPR/C/CHN-HKG/CO/3, para. 10; CCPR/C/CHN-MAC/CO/1, para. 16.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004"/>
    <w:multiLevelType w:val="multilevel"/>
    <w:tmpl w:val="4106EA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232514"/>
    <w:multiLevelType w:val="multilevel"/>
    <w:tmpl w:val="69E4B5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006470"/>
    <w:multiLevelType w:val="multilevel"/>
    <w:tmpl w:val="EA5428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D1254C"/>
    <w:multiLevelType w:val="multilevel"/>
    <w:tmpl w:val="271CAB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9E608B"/>
    <w:multiLevelType w:val="multilevel"/>
    <w:tmpl w:val="0A0E11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B0F38CF"/>
    <w:multiLevelType w:val="multilevel"/>
    <w:tmpl w:val="38A690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BB055BA"/>
    <w:multiLevelType w:val="multilevel"/>
    <w:tmpl w:val="13422B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D2E249B"/>
    <w:multiLevelType w:val="multilevel"/>
    <w:tmpl w:val="1B143B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58066E1"/>
    <w:multiLevelType w:val="multilevel"/>
    <w:tmpl w:val="4A7848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6734F6B"/>
    <w:multiLevelType w:val="multilevel"/>
    <w:tmpl w:val="0E3A26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0417347"/>
    <w:multiLevelType w:val="multilevel"/>
    <w:tmpl w:val="61E860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5EB3D2E"/>
    <w:multiLevelType w:val="multilevel"/>
    <w:tmpl w:val="B2DE60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73C2EDD"/>
    <w:multiLevelType w:val="multilevel"/>
    <w:tmpl w:val="FB72CF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92A4D68"/>
    <w:multiLevelType w:val="multilevel"/>
    <w:tmpl w:val="94728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2C83245"/>
    <w:multiLevelType w:val="multilevel"/>
    <w:tmpl w:val="57060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2FB60D4"/>
    <w:multiLevelType w:val="multilevel"/>
    <w:tmpl w:val="01AEB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4E66089"/>
    <w:multiLevelType w:val="multilevel"/>
    <w:tmpl w:val="858498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9C12960"/>
    <w:multiLevelType w:val="multilevel"/>
    <w:tmpl w:val="F2E006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B51157B"/>
    <w:multiLevelType w:val="multilevel"/>
    <w:tmpl w:val="75F825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D050F61"/>
    <w:multiLevelType w:val="multilevel"/>
    <w:tmpl w:val="454A73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DC507E5"/>
    <w:multiLevelType w:val="multilevel"/>
    <w:tmpl w:val="04B87A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565187C"/>
    <w:multiLevelType w:val="multilevel"/>
    <w:tmpl w:val="F20405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BB67000"/>
    <w:multiLevelType w:val="multilevel"/>
    <w:tmpl w:val="1EE47E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D343EA1"/>
    <w:multiLevelType w:val="multilevel"/>
    <w:tmpl w:val="BBDA4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03C758D"/>
    <w:multiLevelType w:val="multilevel"/>
    <w:tmpl w:val="E86655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68F1904"/>
    <w:multiLevelType w:val="multilevel"/>
    <w:tmpl w:val="A996728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8DA1524"/>
    <w:multiLevelType w:val="multilevel"/>
    <w:tmpl w:val="789ED0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9BA3150"/>
    <w:multiLevelType w:val="multilevel"/>
    <w:tmpl w:val="0F627B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6"/>
  </w:num>
  <w:num w:numId="2">
    <w:abstractNumId w:val="16"/>
  </w:num>
  <w:num w:numId="3">
    <w:abstractNumId w:val="20"/>
  </w:num>
  <w:num w:numId="4">
    <w:abstractNumId w:val="22"/>
  </w:num>
  <w:num w:numId="5">
    <w:abstractNumId w:val="8"/>
  </w:num>
  <w:num w:numId="6">
    <w:abstractNumId w:val="11"/>
  </w:num>
  <w:num w:numId="7">
    <w:abstractNumId w:val="25"/>
  </w:num>
  <w:num w:numId="8">
    <w:abstractNumId w:val="9"/>
  </w:num>
  <w:num w:numId="9">
    <w:abstractNumId w:val="2"/>
  </w:num>
  <w:num w:numId="10">
    <w:abstractNumId w:val="5"/>
  </w:num>
  <w:num w:numId="11">
    <w:abstractNumId w:val="12"/>
  </w:num>
  <w:num w:numId="12">
    <w:abstractNumId w:val="7"/>
  </w:num>
  <w:num w:numId="13">
    <w:abstractNumId w:val="15"/>
  </w:num>
  <w:num w:numId="14">
    <w:abstractNumId w:val="14"/>
  </w:num>
  <w:num w:numId="15">
    <w:abstractNumId w:val="24"/>
  </w:num>
  <w:num w:numId="16">
    <w:abstractNumId w:val="21"/>
  </w:num>
  <w:num w:numId="17">
    <w:abstractNumId w:val="19"/>
  </w:num>
  <w:num w:numId="18">
    <w:abstractNumId w:val="18"/>
  </w:num>
  <w:num w:numId="19">
    <w:abstractNumId w:val="10"/>
  </w:num>
  <w:num w:numId="20">
    <w:abstractNumId w:val="13"/>
  </w:num>
  <w:num w:numId="21">
    <w:abstractNumId w:val="1"/>
  </w:num>
  <w:num w:numId="22">
    <w:abstractNumId w:val="3"/>
  </w:num>
  <w:num w:numId="23">
    <w:abstractNumId w:val="23"/>
  </w:num>
  <w:num w:numId="24">
    <w:abstractNumId w:val="6"/>
  </w:num>
  <w:num w:numId="25">
    <w:abstractNumId w:val="4"/>
  </w:num>
  <w:num w:numId="26">
    <w:abstractNumId w:val="0"/>
  </w:num>
  <w:num w:numId="27">
    <w:abstractNumId w:val="1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A2"/>
    <w:rsid w:val="0000165B"/>
    <w:rsid w:val="001019E0"/>
    <w:rsid w:val="004863EA"/>
    <w:rsid w:val="008D1EA2"/>
    <w:rsid w:val="00A46A8A"/>
    <w:rsid w:val="00A5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935F7"/>
  <w15:chartTrackingRefBased/>
  <w15:docId w15:val="{85C54282-0B6C-473F-ADD8-55480F74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EA2"/>
    <w:pPr>
      <w:spacing w:after="0" w:line="276" w:lineRule="auto"/>
      <w:jc w:val="left"/>
    </w:pPr>
    <w:rPr>
      <w:rFonts w:ascii="Arial" w:eastAsia="Arial" w:hAnsi="Arial" w:cs="Arial"/>
      <w:kern w:val="0"/>
      <w:sz w:val="22"/>
      <w:lang w:val="ko"/>
    </w:rPr>
  </w:style>
  <w:style w:type="paragraph" w:styleId="1">
    <w:name w:val="heading 1"/>
    <w:basedOn w:val="a"/>
    <w:next w:val="a"/>
    <w:link w:val="1Char"/>
    <w:uiPriority w:val="9"/>
    <w:qFormat/>
    <w:rsid w:val="008D1EA2"/>
    <w:pPr>
      <w:keepNext/>
      <w:keepLines/>
      <w:spacing w:before="240" w:after="24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1EA2"/>
    <w:pPr>
      <w:keepNext/>
      <w:keepLines/>
      <w:spacing w:before="240" w:after="240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8D1EA2"/>
    <w:rPr>
      <w:rFonts w:ascii="Times New Roman" w:eastAsia="Times New Roman" w:hAnsi="Times New Roman" w:cs="Times New Roman"/>
      <w:b/>
      <w:kern w:val="0"/>
      <w:sz w:val="28"/>
      <w:szCs w:val="28"/>
      <w:u w:val="single"/>
      <w:lang w:val="ko"/>
    </w:rPr>
  </w:style>
  <w:style w:type="character" w:customStyle="1" w:styleId="2Char">
    <w:name w:val="제목 2 Char"/>
    <w:basedOn w:val="a0"/>
    <w:link w:val="2"/>
    <w:uiPriority w:val="9"/>
    <w:rsid w:val="008D1EA2"/>
    <w:rPr>
      <w:rFonts w:ascii="Times New Roman" w:eastAsia="Times New Roman" w:hAnsi="Times New Roman" w:cs="Times New Roman"/>
      <w:b/>
      <w:kern w:val="0"/>
      <w:sz w:val="24"/>
      <w:szCs w:val="24"/>
      <w:lang w:val="k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414733-07EA-4123-98C0-C59FB234E7EE}"/>
</file>

<file path=customXml/itemProps2.xml><?xml version="1.0" encoding="utf-8"?>
<ds:datastoreItem xmlns:ds="http://schemas.openxmlformats.org/officeDocument/2006/customXml" ds:itemID="{316F86C6-50CB-4147-8058-06436E325527}"/>
</file>

<file path=customXml/itemProps3.xml><?xml version="1.0" encoding="utf-8"?>
<ds:datastoreItem xmlns:ds="http://schemas.openxmlformats.org/officeDocument/2006/customXml" ds:itemID="{502C0A45-E81A-4711-9205-641273F1B0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4939</Words>
  <Characters>28155</Characters>
  <Application>Microsoft Office Word</Application>
  <DocSecurity>0</DocSecurity>
  <Lines>234</Lines>
  <Paragraphs>66</Paragraphs>
  <ScaleCrop>false</ScaleCrop>
  <Company/>
  <LinksUpToDate>false</LinksUpToDate>
  <CharactersWithSpaces>33028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MINBYUN_PIHRLC</dc:creator>
  <cp:keywords/>
  <dc:description/>
  <cp:lastModifiedBy>Dasol Lyu</cp:lastModifiedBy>
  <cp:revision>1</cp:revision>
  <cp:lastPrinted>2020-02-21T19:51:00Z</cp:lastPrinted>
  <dcterms:created xsi:type="dcterms:W3CDTF">2020-02-21T19:49:00Z</dcterms:created>
  <dcterms:modified xsi:type="dcterms:W3CDTF">2020-02-21T20:02:00Z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