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196F" w14:textId="22077648" w:rsidR="00733708" w:rsidRDefault="00733708" w:rsidP="00733708">
      <w:pPr>
        <w:jc w:val="center"/>
        <w:rPr>
          <w:rFonts w:ascii="Times New Roman" w:hAnsi="Times New Roman" w:cs="Times New Roman"/>
          <w:b/>
          <w:sz w:val="24"/>
          <w:szCs w:val="24"/>
          <w:lang w:val="en-US"/>
        </w:rPr>
      </w:pPr>
      <w:r w:rsidRPr="0091260C">
        <w:rPr>
          <w:rFonts w:ascii="Times New Roman" w:eastAsia="Times New Roman" w:hAnsi="Times New Roman" w:cs="Times New Roman"/>
          <w:noProof/>
          <w:sz w:val="24"/>
          <w:szCs w:val="24"/>
          <w:lang w:val="en-US"/>
        </w:rPr>
        <w:drawing>
          <wp:inline distT="0" distB="0" distL="0" distR="0" wp14:anchorId="135179AE" wp14:editId="37B5D3AA">
            <wp:extent cx="2392680" cy="1927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1927860"/>
                    </a:xfrm>
                    <a:prstGeom prst="rect">
                      <a:avLst/>
                    </a:prstGeom>
                    <a:noFill/>
                    <a:ln>
                      <a:noFill/>
                    </a:ln>
                  </pic:spPr>
                </pic:pic>
              </a:graphicData>
            </a:graphic>
          </wp:inline>
        </w:drawing>
      </w:r>
    </w:p>
    <w:p w14:paraId="62E26347" w14:textId="77777777" w:rsidR="00733708" w:rsidRDefault="00733708" w:rsidP="00942E55">
      <w:pPr>
        <w:jc w:val="both"/>
        <w:rPr>
          <w:rFonts w:ascii="Times New Roman" w:hAnsi="Times New Roman" w:cs="Times New Roman"/>
          <w:b/>
          <w:sz w:val="24"/>
          <w:szCs w:val="24"/>
          <w:lang w:val="en-US"/>
        </w:rPr>
      </w:pPr>
    </w:p>
    <w:p w14:paraId="76248B9E" w14:textId="30E8827B" w:rsidR="00734B7A" w:rsidRPr="006D15A0" w:rsidRDefault="00733708" w:rsidP="00D43F7F">
      <w:pPr>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OSCE/</w:t>
      </w:r>
      <w:r w:rsidR="00E96317" w:rsidRPr="006D15A0">
        <w:rPr>
          <w:rFonts w:ascii="Times New Roman" w:hAnsi="Times New Roman" w:cs="Times New Roman"/>
          <w:b/>
          <w:sz w:val="24"/>
          <w:szCs w:val="24"/>
          <w:lang w:val="en-US"/>
        </w:rPr>
        <w:t xml:space="preserve">ODIHR Comments on draft of General Comment 37, Article 21 ICCPR. </w:t>
      </w:r>
    </w:p>
    <w:p w14:paraId="730D22DB" w14:textId="246FE089" w:rsidR="006B6BC1" w:rsidRPr="00937F34" w:rsidRDefault="00E3205A" w:rsidP="00D43F7F">
      <w:pPr>
        <w:pStyle w:val="ListParagraph"/>
        <w:ind w:left="567"/>
        <w:jc w:val="both"/>
        <w:rPr>
          <w:rFonts w:ascii="Times New Roman" w:hAnsi="Times New Roman" w:cs="Times New Roman"/>
          <w:sz w:val="24"/>
          <w:szCs w:val="24"/>
          <w:lang w:val="en-US"/>
        </w:rPr>
      </w:pPr>
      <w:r w:rsidRPr="00937F34">
        <w:rPr>
          <w:rFonts w:ascii="Times New Roman" w:hAnsi="Times New Roman" w:cs="Times New Roman"/>
          <w:sz w:val="24"/>
          <w:szCs w:val="24"/>
          <w:lang w:val="en-US"/>
        </w:rPr>
        <w:t xml:space="preserve">ODIHR presents </w:t>
      </w:r>
      <w:r w:rsidR="006B6464" w:rsidRPr="00937F34">
        <w:rPr>
          <w:rFonts w:ascii="Times New Roman" w:hAnsi="Times New Roman" w:cs="Times New Roman"/>
          <w:sz w:val="24"/>
          <w:szCs w:val="24"/>
          <w:lang w:val="en-US"/>
        </w:rPr>
        <w:t>it</w:t>
      </w:r>
      <w:r w:rsidR="006B6464">
        <w:rPr>
          <w:rFonts w:ascii="Times New Roman" w:hAnsi="Times New Roman" w:cs="Times New Roman"/>
          <w:sz w:val="24"/>
          <w:szCs w:val="24"/>
          <w:lang w:val="en-US"/>
        </w:rPr>
        <w:t>s</w:t>
      </w:r>
      <w:r w:rsidRPr="00937F34">
        <w:rPr>
          <w:rFonts w:ascii="Times New Roman" w:hAnsi="Times New Roman" w:cs="Times New Roman"/>
          <w:sz w:val="24"/>
          <w:szCs w:val="24"/>
          <w:lang w:val="en-US"/>
        </w:rPr>
        <w:t xml:space="preserve"> compliments to the Human Rights Committee </w:t>
      </w:r>
      <w:r w:rsidR="006B6BC1" w:rsidRPr="00937F34">
        <w:rPr>
          <w:rFonts w:ascii="Times New Roman" w:hAnsi="Times New Roman" w:cs="Times New Roman"/>
          <w:sz w:val="24"/>
          <w:szCs w:val="24"/>
          <w:lang w:val="en-US"/>
        </w:rPr>
        <w:t>and appreciates the opportunity to comment on the draft general comment 37</w:t>
      </w:r>
      <w:r w:rsidR="00431F7F" w:rsidRPr="00937F34">
        <w:rPr>
          <w:rFonts w:ascii="Times New Roman" w:hAnsi="Times New Roman" w:cs="Times New Roman"/>
          <w:sz w:val="24"/>
          <w:szCs w:val="24"/>
          <w:lang w:val="en-US"/>
        </w:rPr>
        <w:t xml:space="preserve"> (Draft GC37)</w:t>
      </w:r>
      <w:r w:rsidR="00D43F7F">
        <w:rPr>
          <w:rFonts w:ascii="Times New Roman" w:hAnsi="Times New Roman" w:cs="Times New Roman"/>
          <w:sz w:val="24"/>
          <w:szCs w:val="24"/>
          <w:lang w:val="en-US"/>
        </w:rPr>
        <w:t xml:space="preserve"> on Article 21 of </w:t>
      </w:r>
      <w:r w:rsidR="006B6BC1" w:rsidRPr="00937F34">
        <w:rPr>
          <w:rFonts w:ascii="Times New Roman" w:hAnsi="Times New Roman" w:cs="Times New Roman"/>
          <w:sz w:val="24"/>
          <w:szCs w:val="24"/>
          <w:lang w:val="en-US"/>
        </w:rPr>
        <w:t xml:space="preserve">the ICCPR. </w:t>
      </w:r>
      <w:r w:rsidR="00246AC6" w:rsidRPr="00937F34">
        <w:rPr>
          <w:rFonts w:ascii="Times New Roman" w:hAnsi="Times New Roman" w:cs="Times New Roman"/>
          <w:sz w:val="24"/>
          <w:szCs w:val="24"/>
          <w:lang w:val="en-US"/>
        </w:rPr>
        <w:t xml:space="preserve"> </w:t>
      </w:r>
      <w:r w:rsidR="009156D7" w:rsidRPr="00937F34">
        <w:rPr>
          <w:rFonts w:ascii="Times New Roman" w:hAnsi="Times New Roman" w:cs="Times New Roman"/>
          <w:sz w:val="24"/>
          <w:szCs w:val="24"/>
          <w:lang w:val="en-US"/>
        </w:rPr>
        <w:t xml:space="preserve"> </w:t>
      </w:r>
    </w:p>
    <w:p w14:paraId="43ACA3EC" w14:textId="77777777" w:rsidR="00D43F7F" w:rsidRDefault="00D43F7F" w:rsidP="00D43F7F">
      <w:pPr>
        <w:pStyle w:val="ListParagraph"/>
        <w:ind w:left="567"/>
        <w:jc w:val="both"/>
        <w:rPr>
          <w:rFonts w:ascii="Times New Roman" w:hAnsi="Times New Roman" w:cs="Times New Roman"/>
          <w:sz w:val="24"/>
          <w:szCs w:val="24"/>
          <w:lang w:val="en-US"/>
        </w:rPr>
      </w:pPr>
    </w:p>
    <w:p w14:paraId="16AE1F56" w14:textId="3D4F45EB" w:rsidR="009156D7" w:rsidRPr="00937F34" w:rsidRDefault="009156D7" w:rsidP="00D43F7F">
      <w:pPr>
        <w:pStyle w:val="ListParagraph"/>
        <w:ind w:left="567"/>
        <w:jc w:val="both"/>
        <w:rPr>
          <w:rFonts w:ascii="Times New Roman" w:hAnsi="Times New Roman" w:cs="Times New Roman"/>
          <w:sz w:val="24"/>
          <w:szCs w:val="24"/>
          <w:lang w:val="en-US"/>
        </w:rPr>
      </w:pPr>
      <w:r w:rsidRPr="00937F34">
        <w:rPr>
          <w:rFonts w:ascii="Times New Roman" w:hAnsi="Times New Roman" w:cs="Times New Roman"/>
          <w:sz w:val="24"/>
          <w:szCs w:val="24"/>
          <w:lang w:val="en-US"/>
        </w:rPr>
        <w:t>The Draft GC37 is a comprehensive document</w:t>
      </w:r>
      <w:r w:rsidR="006B6464">
        <w:rPr>
          <w:rFonts w:ascii="Times New Roman" w:hAnsi="Times New Roman" w:cs="Times New Roman"/>
          <w:sz w:val="24"/>
          <w:szCs w:val="24"/>
          <w:lang w:val="en-US"/>
        </w:rPr>
        <w:t>,</w:t>
      </w:r>
      <w:r w:rsidRPr="00937F34">
        <w:rPr>
          <w:rFonts w:ascii="Times New Roman" w:hAnsi="Times New Roman" w:cs="Times New Roman"/>
          <w:sz w:val="24"/>
          <w:szCs w:val="24"/>
          <w:lang w:val="en-US"/>
        </w:rPr>
        <w:t xml:space="preserve"> which covers important aspects of the </w:t>
      </w:r>
      <w:r w:rsidR="00734E39">
        <w:rPr>
          <w:rFonts w:ascii="Times New Roman" w:hAnsi="Times New Roman" w:cs="Times New Roman"/>
          <w:sz w:val="24"/>
          <w:szCs w:val="24"/>
          <w:lang w:val="en-US"/>
        </w:rPr>
        <w:t>R</w:t>
      </w:r>
      <w:r w:rsidRPr="00937F34">
        <w:rPr>
          <w:rFonts w:ascii="Times New Roman" w:hAnsi="Times New Roman" w:cs="Times New Roman"/>
          <w:sz w:val="24"/>
          <w:szCs w:val="24"/>
          <w:lang w:val="en-US"/>
        </w:rPr>
        <w:t xml:space="preserve">ight to Freedom of Assembly, and </w:t>
      </w:r>
      <w:r w:rsidR="00746653" w:rsidRPr="00937F34">
        <w:rPr>
          <w:rFonts w:ascii="Times New Roman" w:hAnsi="Times New Roman" w:cs="Times New Roman"/>
          <w:sz w:val="24"/>
          <w:szCs w:val="24"/>
          <w:lang w:val="en-US"/>
        </w:rPr>
        <w:t xml:space="preserve">provides </w:t>
      </w:r>
      <w:r w:rsidRPr="00937F34">
        <w:rPr>
          <w:rFonts w:ascii="Times New Roman" w:hAnsi="Times New Roman" w:cs="Times New Roman"/>
          <w:sz w:val="24"/>
          <w:szCs w:val="24"/>
          <w:lang w:val="en-US"/>
        </w:rPr>
        <w:t xml:space="preserve">guidance on important guarantees for the full enjoyment of this fundamental right on a global scale.  </w:t>
      </w:r>
    </w:p>
    <w:p w14:paraId="09815EAE" w14:textId="77777777" w:rsidR="00D43F7F" w:rsidRDefault="00D43F7F" w:rsidP="00D43F7F">
      <w:pPr>
        <w:pStyle w:val="ListParagraph"/>
        <w:ind w:left="567"/>
        <w:jc w:val="both"/>
        <w:rPr>
          <w:rFonts w:ascii="Times New Roman" w:hAnsi="Times New Roman" w:cs="Times New Roman"/>
          <w:sz w:val="24"/>
          <w:szCs w:val="24"/>
          <w:lang w:val="en-US"/>
        </w:rPr>
      </w:pPr>
    </w:p>
    <w:p w14:paraId="25401E9D" w14:textId="4D612FB4" w:rsidR="00D43F7F" w:rsidRDefault="009156D7" w:rsidP="00D43F7F">
      <w:pPr>
        <w:pStyle w:val="ListParagraph"/>
        <w:ind w:left="567"/>
        <w:jc w:val="both"/>
        <w:rPr>
          <w:rFonts w:ascii="Times New Roman" w:hAnsi="Times New Roman" w:cs="Times New Roman"/>
          <w:sz w:val="24"/>
          <w:szCs w:val="24"/>
          <w:lang w:val="en-US"/>
        </w:rPr>
      </w:pPr>
      <w:r w:rsidRPr="00937F34">
        <w:rPr>
          <w:rFonts w:ascii="Times New Roman" w:hAnsi="Times New Roman" w:cs="Times New Roman"/>
          <w:sz w:val="24"/>
          <w:szCs w:val="24"/>
          <w:lang w:val="en-US"/>
        </w:rPr>
        <w:t>ODIHR has focused mainly on para</w:t>
      </w:r>
      <w:r w:rsidR="00746653" w:rsidRPr="00937F34">
        <w:rPr>
          <w:rFonts w:ascii="Times New Roman" w:hAnsi="Times New Roman" w:cs="Times New Roman"/>
          <w:sz w:val="24"/>
          <w:szCs w:val="24"/>
          <w:lang w:val="en-US"/>
        </w:rPr>
        <w:t>graph</w:t>
      </w:r>
      <w:r w:rsidRPr="00937F34">
        <w:rPr>
          <w:rFonts w:ascii="Times New Roman" w:hAnsi="Times New Roman" w:cs="Times New Roman"/>
          <w:sz w:val="24"/>
          <w:szCs w:val="24"/>
          <w:lang w:val="en-US"/>
        </w:rPr>
        <w:t xml:space="preserve">s and </w:t>
      </w:r>
      <w:r w:rsidR="00746653" w:rsidRPr="00937F34">
        <w:rPr>
          <w:rFonts w:ascii="Times New Roman" w:hAnsi="Times New Roman" w:cs="Times New Roman"/>
          <w:sz w:val="24"/>
          <w:szCs w:val="24"/>
          <w:lang w:val="en-US"/>
        </w:rPr>
        <w:t>issues</w:t>
      </w:r>
      <w:r w:rsidRPr="00937F34">
        <w:rPr>
          <w:rFonts w:ascii="Times New Roman" w:hAnsi="Times New Roman" w:cs="Times New Roman"/>
          <w:sz w:val="24"/>
          <w:szCs w:val="24"/>
          <w:lang w:val="en-US"/>
        </w:rPr>
        <w:t xml:space="preserve">, which from our point of view would benefit from further clarification. </w:t>
      </w:r>
    </w:p>
    <w:p w14:paraId="4FDBCDD4" w14:textId="77777777" w:rsidR="00D43F7F" w:rsidRDefault="00D43F7F" w:rsidP="00D43F7F">
      <w:pPr>
        <w:pStyle w:val="ListParagraph"/>
        <w:ind w:left="567"/>
        <w:jc w:val="both"/>
        <w:rPr>
          <w:rFonts w:ascii="Times New Roman" w:hAnsi="Times New Roman" w:cs="Times New Roman"/>
          <w:sz w:val="24"/>
          <w:szCs w:val="24"/>
          <w:lang w:val="en-US"/>
        </w:rPr>
      </w:pPr>
    </w:p>
    <w:p w14:paraId="0BE8D42B" w14:textId="2DA3C676" w:rsidR="00EF1AFA" w:rsidRPr="006D15A0" w:rsidRDefault="00EF1AFA" w:rsidP="00D43F7F">
      <w:pPr>
        <w:pStyle w:val="ListParagraph"/>
        <w:ind w:left="567"/>
        <w:jc w:val="both"/>
        <w:rPr>
          <w:rFonts w:ascii="Times New Roman" w:hAnsi="Times New Roman" w:cs="Times New Roman"/>
          <w:sz w:val="24"/>
          <w:szCs w:val="24"/>
          <w:lang w:val="en-US"/>
        </w:rPr>
      </w:pPr>
      <w:r w:rsidRPr="00937F34">
        <w:rPr>
          <w:rFonts w:ascii="Times New Roman" w:hAnsi="Times New Roman" w:cs="Times New Roman"/>
          <w:sz w:val="24"/>
          <w:szCs w:val="24"/>
          <w:lang w:val="en-US"/>
        </w:rPr>
        <w:t xml:space="preserve">ODIHR’s comments generally follow the structure of the </w:t>
      </w:r>
      <w:r w:rsidR="00746653" w:rsidRPr="00937F34">
        <w:rPr>
          <w:rFonts w:ascii="Times New Roman" w:hAnsi="Times New Roman" w:cs="Times New Roman"/>
          <w:sz w:val="24"/>
          <w:szCs w:val="24"/>
          <w:lang w:val="en-US"/>
        </w:rPr>
        <w:t xml:space="preserve">Draft </w:t>
      </w:r>
      <w:r w:rsidRPr="00937F34">
        <w:rPr>
          <w:rFonts w:ascii="Times New Roman" w:hAnsi="Times New Roman" w:cs="Times New Roman"/>
          <w:sz w:val="24"/>
          <w:szCs w:val="24"/>
          <w:lang w:val="en-US"/>
        </w:rPr>
        <w:t>G</w:t>
      </w:r>
      <w:r w:rsidR="00746653" w:rsidRPr="00937F34">
        <w:rPr>
          <w:rFonts w:ascii="Times New Roman" w:hAnsi="Times New Roman" w:cs="Times New Roman"/>
          <w:sz w:val="24"/>
          <w:szCs w:val="24"/>
          <w:lang w:val="en-US"/>
        </w:rPr>
        <w:t xml:space="preserve">eneral </w:t>
      </w:r>
      <w:r w:rsidRPr="00937F34">
        <w:rPr>
          <w:rFonts w:ascii="Times New Roman" w:hAnsi="Times New Roman" w:cs="Times New Roman"/>
          <w:sz w:val="24"/>
          <w:szCs w:val="24"/>
          <w:lang w:val="en-US"/>
        </w:rPr>
        <w:t>C</w:t>
      </w:r>
      <w:r w:rsidR="00746653" w:rsidRPr="00937F34">
        <w:rPr>
          <w:rFonts w:ascii="Times New Roman" w:hAnsi="Times New Roman" w:cs="Times New Roman"/>
          <w:sz w:val="24"/>
          <w:szCs w:val="24"/>
          <w:lang w:val="en-US"/>
        </w:rPr>
        <w:t xml:space="preserve">omment </w:t>
      </w:r>
      <w:r w:rsidRPr="00937F34">
        <w:rPr>
          <w:rFonts w:ascii="Times New Roman" w:hAnsi="Times New Roman" w:cs="Times New Roman"/>
          <w:sz w:val="24"/>
          <w:szCs w:val="24"/>
          <w:lang w:val="en-US"/>
        </w:rPr>
        <w:t>37</w:t>
      </w:r>
      <w:r w:rsidR="00746653" w:rsidRPr="00937F34">
        <w:rPr>
          <w:rFonts w:ascii="Times New Roman" w:hAnsi="Times New Roman" w:cs="Times New Roman"/>
          <w:sz w:val="24"/>
          <w:szCs w:val="24"/>
          <w:lang w:val="en-US"/>
        </w:rPr>
        <w:t xml:space="preserve"> (Draft GC37)</w:t>
      </w:r>
      <w:r w:rsidRPr="00937F34">
        <w:rPr>
          <w:rFonts w:ascii="Times New Roman" w:hAnsi="Times New Roman" w:cs="Times New Roman"/>
          <w:sz w:val="24"/>
          <w:szCs w:val="24"/>
          <w:lang w:val="en-US"/>
        </w:rPr>
        <w:t xml:space="preserve">, but certain </w:t>
      </w:r>
      <w:r w:rsidR="006010F9" w:rsidRPr="00937F34">
        <w:rPr>
          <w:rFonts w:ascii="Times New Roman" w:hAnsi="Times New Roman" w:cs="Times New Roman"/>
          <w:sz w:val="24"/>
          <w:szCs w:val="24"/>
          <w:lang w:val="en-US"/>
        </w:rPr>
        <w:t>comments</w:t>
      </w:r>
      <w:r w:rsidRPr="00937F34">
        <w:rPr>
          <w:rFonts w:ascii="Times New Roman" w:hAnsi="Times New Roman" w:cs="Times New Roman"/>
          <w:sz w:val="24"/>
          <w:szCs w:val="24"/>
          <w:lang w:val="en-US"/>
        </w:rPr>
        <w:t xml:space="preserve">, such as </w:t>
      </w:r>
      <w:r w:rsidR="006010F9" w:rsidRPr="00937F34">
        <w:rPr>
          <w:rFonts w:ascii="Times New Roman" w:hAnsi="Times New Roman" w:cs="Times New Roman"/>
          <w:sz w:val="24"/>
          <w:szCs w:val="24"/>
          <w:lang w:val="en-US"/>
        </w:rPr>
        <w:t>those</w:t>
      </w:r>
      <w:r w:rsidRPr="00937F34">
        <w:rPr>
          <w:rFonts w:ascii="Times New Roman" w:hAnsi="Times New Roman" w:cs="Times New Roman"/>
          <w:sz w:val="24"/>
          <w:szCs w:val="24"/>
          <w:lang w:val="en-US"/>
        </w:rPr>
        <w:t xml:space="preserve"> linked to</w:t>
      </w:r>
      <w:r w:rsidR="006010F9" w:rsidRPr="00937F34">
        <w:rPr>
          <w:rFonts w:ascii="Times New Roman" w:hAnsi="Times New Roman" w:cs="Times New Roman"/>
          <w:sz w:val="24"/>
          <w:szCs w:val="24"/>
          <w:lang w:val="en-US"/>
        </w:rPr>
        <w:t xml:space="preserve"> the scope of the right to </w:t>
      </w:r>
      <w:r w:rsidR="006010F9" w:rsidRPr="00937F34">
        <w:rPr>
          <w:rFonts w:ascii="Times New Roman" w:hAnsi="Times New Roman" w:cs="Times New Roman"/>
          <w:sz w:val="24"/>
          <w:szCs w:val="24"/>
        </w:rPr>
        <w:t>freedom of peaceful assembly,</w:t>
      </w:r>
      <w:r w:rsidRPr="00937F34">
        <w:rPr>
          <w:rFonts w:ascii="Times New Roman" w:hAnsi="Times New Roman" w:cs="Times New Roman"/>
          <w:sz w:val="24"/>
          <w:szCs w:val="24"/>
          <w:lang w:val="en-US"/>
        </w:rPr>
        <w:t xml:space="preserve"> new technologies </w:t>
      </w:r>
      <w:r w:rsidR="008A1CE9" w:rsidRPr="00937F34">
        <w:rPr>
          <w:rFonts w:ascii="Times New Roman" w:hAnsi="Times New Roman" w:cs="Times New Roman"/>
          <w:sz w:val="24"/>
          <w:szCs w:val="24"/>
          <w:lang w:val="en-US"/>
        </w:rPr>
        <w:t xml:space="preserve">and assemblies </w:t>
      </w:r>
      <w:r w:rsidR="00400E10">
        <w:rPr>
          <w:rFonts w:ascii="Times New Roman" w:hAnsi="Times New Roman" w:cs="Times New Roman"/>
          <w:sz w:val="24"/>
          <w:szCs w:val="24"/>
          <w:lang w:val="en-US"/>
        </w:rPr>
        <w:t>that</w:t>
      </w:r>
      <w:r w:rsidR="008D4B28" w:rsidRPr="00937F34">
        <w:rPr>
          <w:rFonts w:ascii="Times New Roman" w:hAnsi="Times New Roman" w:cs="Times New Roman"/>
          <w:sz w:val="24"/>
          <w:szCs w:val="24"/>
          <w:lang w:val="en-US"/>
        </w:rPr>
        <w:t xml:space="preserve"> </w:t>
      </w:r>
      <w:r w:rsidR="008A1CE9" w:rsidRPr="00937F34">
        <w:rPr>
          <w:rFonts w:ascii="Times New Roman" w:hAnsi="Times New Roman" w:cs="Times New Roman"/>
          <w:sz w:val="24"/>
          <w:szCs w:val="24"/>
          <w:lang w:val="en-US"/>
        </w:rPr>
        <w:t>may occur online</w:t>
      </w:r>
      <w:r w:rsidR="006010F9" w:rsidRPr="00937F34">
        <w:rPr>
          <w:rFonts w:ascii="Times New Roman" w:hAnsi="Times New Roman" w:cs="Times New Roman"/>
          <w:sz w:val="24"/>
          <w:szCs w:val="24"/>
          <w:lang w:val="en-US"/>
        </w:rPr>
        <w:t xml:space="preserve">, </w:t>
      </w:r>
      <w:r w:rsidR="00734E39">
        <w:rPr>
          <w:rFonts w:ascii="Times New Roman" w:hAnsi="Times New Roman" w:cs="Times New Roman"/>
          <w:sz w:val="24"/>
          <w:szCs w:val="24"/>
          <w:lang w:val="en-US"/>
        </w:rPr>
        <w:t xml:space="preserve">and the </w:t>
      </w:r>
      <w:r w:rsidR="006010F9" w:rsidRPr="00937F34">
        <w:rPr>
          <w:rFonts w:ascii="Times New Roman" w:hAnsi="Times New Roman" w:cs="Times New Roman"/>
          <w:sz w:val="24"/>
          <w:szCs w:val="24"/>
          <w:lang w:val="en-US"/>
        </w:rPr>
        <w:t>notion of “violent assemblies”, have been grouped together</w:t>
      </w:r>
      <w:r w:rsidRPr="00937F34">
        <w:rPr>
          <w:rFonts w:ascii="Times New Roman" w:hAnsi="Times New Roman" w:cs="Times New Roman"/>
          <w:sz w:val="24"/>
          <w:szCs w:val="24"/>
          <w:lang w:val="en-US"/>
        </w:rPr>
        <w:t xml:space="preserve">. </w:t>
      </w:r>
    </w:p>
    <w:p w14:paraId="2E415DF3" w14:textId="06B4B004" w:rsidR="006B6BC1" w:rsidRPr="00942E55" w:rsidRDefault="005215CC" w:rsidP="00937F34">
      <w:pPr>
        <w:ind w:firstLine="567"/>
        <w:jc w:val="both"/>
        <w:rPr>
          <w:rFonts w:ascii="Times New Roman" w:hAnsi="Times New Roman" w:cs="Times New Roman"/>
          <w:b/>
          <w:sz w:val="24"/>
          <w:szCs w:val="24"/>
          <w:lang w:val="en-US"/>
        </w:rPr>
      </w:pPr>
      <w:r w:rsidRPr="00942E55">
        <w:rPr>
          <w:rFonts w:ascii="Times New Roman" w:hAnsi="Times New Roman" w:cs="Times New Roman"/>
          <w:b/>
          <w:sz w:val="24"/>
          <w:szCs w:val="24"/>
        </w:rPr>
        <w:t>Scope of the right of peaceful assembly</w:t>
      </w:r>
    </w:p>
    <w:p w14:paraId="3087CD51" w14:textId="110AE339" w:rsidR="0094448C" w:rsidRPr="00937F34" w:rsidRDefault="0094448C" w:rsidP="00937F34">
      <w:pPr>
        <w:ind w:firstLine="567"/>
        <w:jc w:val="both"/>
        <w:rPr>
          <w:rFonts w:ascii="Times New Roman" w:hAnsi="Times New Roman" w:cs="Times New Roman"/>
          <w:b/>
          <w:sz w:val="24"/>
          <w:szCs w:val="24"/>
          <w:lang w:val="en-US"/>
        </w:rPr>
      </w:pPr>
      <w:r w:rsidRPr="00937F34">
        <w:rPr>
          <w:rFonts w:ascii="Times New Roman" w:hAnsi="Times New Roman" w:cs="Times New Roman"/>
          <w:b/>
          <w:sz w:val="24"/>
          <w:szCs w:val="24"/>
          <w:lang w:val="en-US"/>
        </w:rPr>
        <w:t>Par</w:t>
      </w:r>
      <w:r w:rsidR="00C75C9C" w:rsidRPr="00937F34">
        <w:rPr>
          <w:rFonts w:ascii="Times New Roman" w:hAnsi="Times New Roman" w:cs="Times New Roman"/>
          <w:b/>
          <w:sz w:val="24"/>
          <w:szCs w:val="24"/>
          <w:lang w:val="en-US"/>
        </w:rPr>
        <w:t>a</w:t>
      </w:r>
      <w:r w:rsidR="00244556">
        <w:rPr>
          <w:rFonts w:ascii="Times New Roman" w:hAnsi="Times New Roman" w:cs="Times New Roman"/>
          <w:b/>
          <w:sz w:val="24"/>
          <w:szCs w:val="24"/>
          <w:lang w:val="en-US"/>
        </w:rPr>
        <w:t>s</w:t>
      </w:r>
      <w:r w:rsidRPr="00937F34">
        <w:rPr>
          <w:rFonts w:ascii="Times New Roman" w:hAnsi="Times New Roman" w:cs="Times New Roman"/>
          <w:b/>
          <w:sz w:val="24"/>
          <w:szCs w:val="24"/>
          <w:lang w:val="en-US"/>
        </w:rPr>
        <w:t>. 2</w:t>
      </w:r>
      <w:r w:rsidR="00244556">
        <w:rPr>
          <w:rFonts w:ascii="Times New Roman" w:hAnsi="Times New Roman" w:cs="Times New Roman"/>
          <w:b/>
          <w:sz w:val="24"/>
          <w:szCs w:val="24"/>
          <w:lang w:val="en-US"/>
        </w:rPr>
        <w:t>, 4 and 13</w:t>
      </w:r>
      <w:r w:rsidRPr="00937F34">
        <w:rPr>
          <w:rFonts w:ascii="Times New Roman" w:hAnsi="Times New Roman" w:cs="Times New Roman"/>
          <w:b/>
          <w:sz w:val="24"/>
          <w:szCs w:val="24"/>
          <w:lang w:val="en-US"/>
        </w:rPr>
        <w:t xml:space="preserve"> </w:t>
      </w:r>
    </w:p>
    <w:p w14:paraId="73735478" w14:textId="0386B799" w:rsidR="005215CC" w:rsidRPr="00937F34" w:rsidRDefault="000B500F" w:rsidP="00937F34">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Par</w:t>
      </w:r>
      <w:r w:rsidR="00C75C9C" w:rsidRPr="006D15A0">
        <w:rPr>
          <w:rFonts w:ascii="Times New Roman" w:hAnsi="Times New Roman" w:cs="Times New Roman"/>
          <w:sz w:val="24"/>
          <w:szCs w:val="24"/>
        </w:rPr>
        <w:t>a.</w:t>
      </w:r>
      <w:r w:rsidRPr="006D15A0">
        <w:rPr>
          <w:rFonts w:ascii="Times New Roman" w:hAnsi="Times New Roman" w:cs="Times New Roman"/>
          <w:sz w:val="24"/>
          <w:szCs w:val="24"/>
        </w:rPr>
        <w:t xml:space="preserve"> 2 of the Draft GC 37 links the legitimate right of peaceful assembly to a </w:t>
      </w:r>
      <w:r w:rsidR="0094448C" w:rsidRPr="006D15A0">
        <w:rPr>
          <w:rFonts w:ascii="Times New Roman" w:hAnsi="Times New Roman" w:cs="Times New Roman"/>
          <w:i/>
          <w:sz w:val="24"/>
          <w:szCs w:val="24"/>
        </w:rPr>
        <w:t>“</w:t>
      </w:r>
      <w:r w:rsidR="00F130DF" w:rsidRPr="006D15A0">
        <w:rPr>
          <w:rFonts w:ascii="Times New Roman" w:hAnsi="Times New Roman" w:cs="Times New Roman"/>
          <w:i/>
          <w:sz w:val="24"/>
          <w:szCs w:val="24"/>
        </w:rPr>
        <w:t>p</w:t>
      </w:r>
      <w:r w:rsidR="0094448C" w:rsidRPr="006D15A0">
        <w:rPr>
          <w:rFonts w:ascii="Times New Roman" w:hAnsi="Times New Roman" w:cs="Times New Roman"/>
          <w:i/>
          <w:sz w:val="24"/>
          <w:szCs w:val="24"/>
        </w:rPr>
        <w:t>ublic space”</w:t>
      </w:r>
      <w:r w:rsidRPr="006D15A0">
        <w:rPr>
          <w:rFonts w:ascii="Times New Roman" w:hAnsi="Times New Roman" w:cs="Times New Roman"/>
          <w:i/>
          <w:sz w:val="24"/>
          <w:szCs w:val="24"/>
        </w:rPr>
        <w:t xml:space="preserve"> </w:t>
      </w:r>
      <w:r w:rsidRPr="006D15A0">
        <w:rPr>
          <w:rFonts w:ascii="Times New Roman" w:hAnsi="Times New Roman" w:cs="Times New Roman"/>
          <w:sz w:val="24"/>
          <w:szCs w:val="24"/>
        </w:rPr>
        <w:t>without offering its definition and thus may be interpreted too restrictively.</w:t>
      </w:r>
      <w:r w:rsidR="003F5B22" w:rsidRPr="006D15A0">
        <w:rPr>
          <w:rFonts w:ascii="Times New Roman" w:hAnsi="Times New Roman" w:cs="Times New Roman"/>
          <w:sz w:val="24"/>
          <w:szCs w:val="24"/>
        </w:rPr>
        <w:t xml:space="preserve"> The right to freedom of peaceful assembly protects the many ways in which people gather together in public and in private space, including, sites </w:t>
      </w:r>
      <w:r w:rsidR="00E62394" w:rsidRPr="006D15A0">
        <w:rPr>
          <w:rFonts w:ascii="Times New Roman" w:hAnsi="Times New Roman" w:cs="Times New Roman"/>
          <w:sz w:val="24"/>
          <w:szCs w:val="24"/>
        </w:rPr>
        <w:t xml:space="preserve">generally accessible to everyone, </w:t>
      </w:r>
      <w:r w:rsidR="00271710" w:rsidRPr="006D15A0">
        <w:rPr>
          <w:rFonts w:ascii="Times New Roman" w:hAnsi="Times New Roman" w:cs="Times New Roman"/>
          <w:sz w:val="24"/>
          <w:szCs w:val="24"/>
        </w:rPr>
        <w:t>independently of possible private ownership</w:t>
      </w:r>
      <w:r w:rsidR="003F5B22" w:rsidRPr="006D15A0">
        <w:rPr>
          <w:rFonts w:ascii="Times New Roman" w:hAnsi="Times New Roman" w:cs="Times New Roman"/>
          <w:sz w:val="24"/>
          <w:szCs w:val="24"/>
        </w:rPr>
        <w:t>.</w:t>
      </w:r>
      <w:r w:rsidR="00F130DF" w:rsidRPr="006D15A0">
        <w:rPr>
          <w:rStyle w:val="FootnoteReference"/>
          <w:rFonts w:ascii="Times New Roman" w:hAnsi="Times New Roman" w:cs="Times New Roman"/>
          <w:sz w:val="24"/>
          <w:szCs w:val="24"/>
        </w:rPr>
        <w:footnoteReference w:id="1"/>
      </w:r>
      <w:r w:rsidR="003F5B22" w:rsidRPr="006D15A0">
        <w:rPr>
          <w:rFonts w:ascii="Times New Roman" w:hAnsi="Times New Roman" w:cs="Times New Roman"/>
          <w:sz w:val="24"/>
          <w:szCs w:val="24"/>
        </w:rPr>
        <w:t xml:space="preserve"> </w:t>
      </w:r>
      <w:r w:rsidR="005215CC" w:rsidRPr="00937F34">
        <w:rPr>
          <w:rFonts w:ascii="Times New Roman" w:hAnsi="Times New Roman" w:cs="Times New Roman"/>
          <w:sz w:val="24"/>
          <w:szCs w:val="24"/>
          <w:lang w:val="en-US"/>
        </w:rPr>
        <w:t>(</w:t>
      </w:r>
      <w:r w:rsidR="00F130DF" w:rsidRPr="00937F34">
        <w:rPr>
          <w:rFonts w:ascii="Times New Roman" w:hAnsi="Times New Roman" w:cs="Times New Roman"/>
          <w:sz w:val="24"/>
          <w:szCs w:val="24"/>
          <w:lang w:val="en-US"/>
        </w:rPr>
        <w:t>Please also see discussion with respect to para</w:t>
      </w:r>
      <w:r w:rsidR="00037D47" w:rsidRPr="00937F34">
        <w:rPr>
          <w:rFonts w:ascii="Times New Roman" w:hAnsi="Times New Roman" w:cs="Times New Roman"/>
          <w:sz w:val="24"/>
          <w:szCs w:val="24"/>
          <w:lang w:val="en-US"/>
        </w:rPr>
        <w:t>.</w:t>
      </w:r>
      <w:r w:rsidR="00F130DF" w:rsidRPr="00937F34">
        <w:rPr>
          <w:rFonts w:ascii="Times New Roman" w:hAnsi="Times New Roman" w:cs="Times New Roman"/>
          <w:sz w:val="24"/>
          <w:szCs w:val="24"/>
          <w:lang w:val="en-US"/>
        </w:rPr>
        <w:t xml:space="preserve"> 4 below on the need for protection of the </w:t>
      </w:r>
      <w:r w:rsidR="00F130DF" w:rsidRPr="00937F34">
        <w:rPr>
          <w:rFonts w:ascii="Times New Roman" w:hAnsi="Times New Roman" w:cs="Times New Roman"/>
          <w:noProof/>
          <w:sz w:val="24"/>
          <w:szCs w:val="24"/>
        </w:rPr>
        <w:t xml:space="preserve">assemblies which may occur online. </w:t>
      </w:r>
      <w:r w:rsidR="006B6BC1" w:rsidRPr="00937F34">
        <w:rPr>
          <w:rFonts w:ascii="Times New Roman" w:hAnsi="Times New Roman" w:cs="Times New Roman"/>
          <w:sz w:val="24"/>
          <w:szCs w:val="24"/>
          <w:lang w:val="en-US"/>
        </w:rPr>
        <w:t>Par</w:t>
      </w:r>
      <w:r w:rsidR="00C75C9C" w:rsidRPr="00937F34">
        <w:rPr>
          <w:rFonts w:ascii="Times New Roman" w:hAnsi="Times New Roman" w:cs="Times New Roman"/>
          <w:sz w:val="24"/>
          <w:szCs w:val="24"/>
          <w:lang w:val="en-US"/>
        </w:rPr>
        <w:t>a</w:t>
      </w:r>
      <w:r w:rsidR="00246AC6" w:rsidRPr="00937F34">
        <w:rPr>
          <w:rFonts w:ascii="Times New Roman" w:hAnsi="Times New Roman" w:cs="Times New Roman"/>
          <w:sz w:val="24"/>
          <w:szCs w:val="24"/>
          <w:lang w:val="en-US"/>
        </w:rPr>
        <w:t>.</w:t>
      </w:r>
      <w:r w:rsidR="006B6BC1" w:rsidRPr="00937F34">
        <w:rPr>
          <w:rFonts w:ascii="Times New Roman" w:hAnsi="Times New Roman" w:cs="Times New Roman"/>
          <w:sz w:val="24"/>
          <w:szCs w:val="24"/>
          <w:lang w:val="en-US"/>
        </w:rPr>
        <w:t xml:space="preserve"> 4</w:t>
      </w:r>
      <w:r w:rsidR="008A1CE9" w:rsidRPr="00937F34">
        <w:rPr>
          <w:rFonts w:ascii="Times New Roman" w:hAnsi="Times New Roman" w:cs="Times New Roman"/>
          <w:sz w:val="24"/>
          <w:szCs w:val="24"/>
          <w:lang w:val="en-US"/>
        </w:rPr>
        <w:t>,</w:t>
      </w:r>
      <w:r w:rsidR="009B3C1C" w:rsidRPr="00937F34">
        <w:rPr>
          <w:rFonts w:ascii="Times New Roman" w:hAnsi="Times New Roman" w:cs="Times New Roman"/>
          <w:sz w:val="24"/>
          <w:szCs w:val="24"/>
          <w:lang w:val="en-US"/>
        </w:rPr>
        <w:t xml:space="preserve"> </w:t>
      </w:r>
      <w:r w:rsidR="003C18A5" w:rsidRPr="00937F34">
        <w:rPr>
          <w:rFonts w:ascii="Times New Roman" w:hAnsi="Times New Roman" w:cs="Times New Roman"/>
          <w:sz w:val="24"/>
          <w:szCs w:val="24"/>
          <w:lang w:val="en-US"/>
        </w:rPr>
        <w:t>and partially par</w:t>
      </w:r>
      <w:r w:rsidR="00C75C9C" w:rsidRPr="00937F34">
        <w:rPr>
          <w:rFonts w:ascii="Times New Roman" w:hAnsi="Times New Roman" w:cs="Times New Roman"/>
          <w:sz w:val="24"/>
          <w:szCs w:val="24"/>
          <w:lang w:val="en-US"/>
        </w:rPr>
        <w:t>a.</w:t>
      </w:r>
      <w:r w:rsidR="003C18A5" w:rsidRPr="00937F34">
        <w:rPr>
          <w:rFonts w:ascii="Times New Roman" w:hAnsi="Times New Roman" w:cs="Times New Roman"/>
          <w:sz w:val="24"/>
          <w:szCs w:val="24"/>
          <w:lang w:val="en-US"/>
        </w:rPr>
        <w:t xml:space="preserve"> 6.</w:t>
      </w:r>
      <w:r w:rsidR="005215CC" w:rsidRPr="00937F34">
        <w:rPr>
          <w:rFonts w:ascii="Times New Roman" w:hAnsi="Times New Roman" w:cs="Times New Roman"/>
          <w:sz w:val="24"/>
          <w:szCs w:val="24"/>
          <w:lang w:val="en-US"/>
        </w:rPr>
        <w:t>)</w:t>
      </w:r>
    </w:p>
    <w:p w14:paraId="55E2B4B3" w14:textId="77777777" w:rsidR="00937F34" w:rsidRPr="00937F34" w:rsidRDefault="00937F34" w:rsidP="00937F34">
      <w:pPr>
        <w:pStyle w:val="CommentText"/>
        <w:ind w:left="567"/>
        <w:jc w:val="both"/>
        <w:rPr>
          <w:rFonts w:ascii="Times New Roman" w:hAnsi="Times New Roman" w:cs="Times New Roman"/>
          <w:sz w:val="24"/>
          <w:szCs w:val="24"/>
        </w:rPr>
      </w:pPr>
    </w:p>
    <w:p w14:paraId="1AFEEB6C" w14:textId="77777777" w:rsidR="00E801F8" w:rsidRDefault="005215CC" w:rsidP="00E801F8">
      <w:pPr>
        <w:pStyle w:val="CommentText"/>
        <w:numPr>
          <w:ilvl w:val="0"/>
          <w:numId w:val="4"/>
        </w:numPr>
        <w:ind w:left="567" w:hanging="567"/>
        <w:jc w:val="both"/>
        <w:rPr>
          <w:rFonts w:ascii="Times New Roman" w:hAnsi="Times New Roman" w:cs="Times New Roman"/>
          <w:sz w:val="24"/>
          <w:szCs w:val="24"/>
        </w:rPr>
      </w:pPr>
      <w:r w:rsidRPr="00937F34">
        <w:rPr>
          <w:rFonts w:ascii="Times New Roman" w:hAnsi="Times New Roman" w:cs="Times New Roman"/>
          <w:sz w:val="24"/>
          <w:szCs w:val="24"/>
        </w:rPr>
        <w:lastRenderedPageBreak/>
        <w:t>Furthermore, the language of the several key paras. of the Draft GC37, define</w:t>
      </w:r>
      <w:r w:rsidRPr="00937F34">
        <w:rPr>
          <w:rFonts w:ascii="Times New Roman" w:hAnsi="Times New Roman" w:cs="Times New Roman"/>
          <w:sz w:val="24"/>
          <w:szCs w:val="24"/>
          <w:lang w:val="en-US"/>
        </w:rPr>
        <w:t xml:space="preserve"> </w:t>
      </w:r>
      <w:r w:rsidRPr="00937F34">
        <w:rPr>
          <w:rFonts w:ascii="Times New Roman" w:hAnsi="Times New Roman" w:cs="Times New Roman"/>
          <w:sz w:val="24"/>
          <w:szCs w:val="24"/>
        </w:rPr>
        <w:t>the scope of application of the Article 21</w:t>
      </w:r>
      <w:r w:rsidRPr="00937F34">
        <w:rPr>
          <w:rFonts w:ascii="Times New Roman" w:hAnsi="Times New Roman" w:cs="Times New Roman"/>
          <w:sz w:val="24"/>
          <w:szCs w:val="24"/>
          <w:lang w:val="en-US"/>
        </w:rPr>
        <w:t xml:space="preserve"> </w:t>
      </w:r>
      <w:r w:rsidRPr="00937F34">
        <w:rPr>
          <w:rFonts w:ascii="Times New Roman" w:hAnsi="Times New Roman" w:cs="Times New Roman"/>
          <w:sz w:val="24"/>
          <w:szCs w:val="24"/>
        </w:rPr>
        <w:t>exclusively confining the right to assemblies to public or publicly accessible privately-owned property. Thus, para. 2 speaks only about “the legitimate use of the public space” for assemblies. Paras. 4 and 13 contain bracketed language</w:t>
      </w:r>
      <w:r w:rsidR="008F02F0">
        <w:rPr>
          <w:rFonts w:ascii="Times New Roman" w:hAnsi="Times New Roman" w:cs="Times New Roman"/>
          <w:sz w:val="24"/>
          <w:szCs w:val="24"/>
        </w:rPr>
        <w:t xml:space="preserve">, </w:t>
      </w:r>
      <w:r w:rsidR="008F02F0" w:rsidRPr="00937F34">
        <w:rPr>
          <w:rFonts w:ascii="Times New Roman" w:hAnsi="Times New Roman" w:cs="Times New Roman"/>
          <w:sz w:val="24"/>
          <w:szCs w:val="24"/>
        </w:rPr>
        <w:t xml:space="preserve">which may </w:t>
      </w:r>
      <w:r w:rsidR="00BC6F8D">
        <w:rPr>
          <w:rFonts w:ascii="Times New Roman" w:hAnsi="Times New Roman" w:cs="Times New Roman"/>
          <w:sz w:val="24"/>
          <w:szCs w:val="24"/>
        </w:rPr>
        <w:t>also</w:t>
      </w:r>
      <w:r w:rsidR="008F02F0" w:rsidRPr="00937F34">
        <w:rPr>
          <w:rFonts w:ascii="Times New Roman" w:hAnsi="Times New Roman" w:cs="Times New Roman"/>
          <w:sz w:val="24"/>
          <w:szCs w:val="24"/>
        </w:rPr>
        <w:t xml:space="preserve"> narrow guarantees for</w:t>
      </w:r>
      <w:r w:rsidR="008F02F0">
        <w:rPr>
          <w:rFonts w:ascii="Times New Roman" w:hAnsi="Times New Roman" w:cs="Times New Roman"/>
          <w:sz w:val="24"/>
          <w:szCs w:val="24"/>
        </w:rPr>
        <w:t xml:space="preserve"> the right to peaceful assembly</w:t>
      </w:r>
      <w:r w:rsidRPr="00937F34">
        <w:rPr>
          <w:rFonts w:ascii="Times New Roman" w:hAnsi="Times New Roman" w:cs="Times New Roman"/>
          <w:sz w:val="24"/>
          <w:szCs w:val="24"/>
        </w:rPr>
        <w:t xml:space="preserve">. </w:t>
      </w:r>
      <w:r w:rsidR="00882716">
        <w:rPr>
          <w:rFonts w:ascii="Times New Roman" w:hAnsi="Times New Roman" w:cs="Times New Roman"/>
          <w:sz w:val="24"/>
          <w:szCs w:val="24"/>
        </w:rPr>
        <w:t xml:space="preserve">It remains uncontested that </w:t>
      </w:r>
      <w:r w:rsidR="00882716" w:rsidRPr="00937F34">
        <w:rPr>
          <w:rFonts w:ascii="Times New Roman" w:hAnsi="Times New Roman" w:cs="Times New Roman"/>
          <w:sz w:val="24"/>
          <w:szCs w:val="24"/>
        </w:rPr>
        <w:t>Article</w:t>
      </w:r>
      <w:r w:rsidR="00882716">
        <w:rPr>
          <w:rFonts w:ascii="Times New Roman" w:hAnsi="Times New Roman" w:cs="Times New Roman"/>
          <w:sz w:val="24"/>
          <w:szCs w:val="24"/>
        </w:rPr>
        <w:t xml:space="preserve"> 21 does not guarantee the right to assemble on a private property, which is not generally accessible to public, without the </w:t>
      </w:r>
      <w:r w:rsidR="004B24A6">
        <w:rPr>
          <w:rFonts w:ascii="Times New Roman" w:hAnsi="Times New Roman" w:cs="Times New Roman"/>
          <w:sz w:val="24"/>
          <w:szCs w:val="24"/>
        </w:rPr>
        <w:t>consent</w:t>
      </w:r>
      <w:r w:rsidR="00882716">
        <w:rPr>
          <w:rFonts w:ascii="Times New Roman" w:hAnsi="Times New Roman" w:cs="Times New Roman"/>
          <w:sz w:val="24"/>
          <w:szCs w:val="24"/>
        </w:rPr>
        <w:t xml:space="preserve"> of a property owner. </w:t>
      </w:r>
      <w:r w:rsidR="008F02F0">
        <w:rPr>
          <w:rFonts w:ascii="Times New Roman" w:hAnsi="Times New Roman" w:cs="Times New Roman"/>
          <w:sz w:val="24"/>
          <w:szCs w:val="24"/>
        </w:rPr>
        <w:t xml:space="preserve">It seems </w:t>
      </w:r>
      <w:r w:rsidR="00882716">
        <w:rPr>
          <w:rFonts w:ascii="Times New Roman" w:hAnsi="Times New Roman" w:cs="Times New Roman"/>
          <w:sz w:val="24"/>
          <w:szCs w:val="24"/>
        </w:rPr>
        <w:t xml:space="preserve">however </w:t>
      </w:r>
      <w:r w:rsidR="008F02F0">
        <w:rPr>
          <w:rFonts w:ascii="Times New Roman" w:hAnsi="Times New Roman" w:cs="Times New Roman"/>
          <w:sz w:val="24"/>
          <w:szCs w:val="24"/>
        </w:rPr>
        <w:t>that th</w:t>
      </w:r>
      <w:r w:rsidR="00705978">
        <w:rPr>
          <w:rFonts w:ascii="Times New Roman" w:hAnsi="Times New Roman" w:cs="Times New Roman"/>
          <w:sz w:val="24"/>
          <w:szCs w:val="24"/>
        </w:rPr>
        <w:t>e</w:t>
      </w:r>
      <w:r w:rsidR="008F02F0">
        <w:rPr>
          <w:rFonts w:ascii="Times New Roman" w:hAnsi="Times New Roman" w:cs="Times New Roman"/>
          <w:sz w:val="24"/>
          <w:szCs w:val="24"/>
        </w:rPr>
        <w:t xml:space="preserve"> </w:t>
      </w:r>
      <w:r w:rsidRPr="00937F34">
        <w:rPr>
          <w:rFonts w:ascii="Times New Roman" w:hAnsi="Times New Roman" w:cs="Times New Roman"/>
          <w:sz w:val="24"/>
          <w:szCs w:val="24"/>
        </w:rPr>
        <w:t xml:space="preserve">wording </w:t>
      </w:r>
      <w:r w:rsidR="00705978">
        <w:rPr>
          <w:rFonts w:ascii="Times New Roman" w:hAnsi="Times New Roman" w:cs="Times New Roman"/>
          <w:sz w:val="24"/>
          <w:szCs w:val="24"/>
        </w:rPr>
        <w:t xml:space="preserve">of the paras. </w:t>
      </w:r>
      <w:r w:rsidR="008F02F0">
        <w:rPr>
          <w:rFonts w:ascii="Times New Roman" w:hAnsi="Times New Roman" w:cs="Times New Roman"/>
          <w:sz w:val="24"/>
          <w:szCs w:val="24"/>
        </w:rPr>
        <w:t xml:space="preserve">unintentionally </w:t>
      </w:r>
      <w:r w:rsidRPr="00937F34">
        <w:rPr>
          <w:rFonts w:ascii="Times New Roman" w:hAnsi="Times New Roman" w:cs="Times New Roman"/>
          <w:sz w:val="24"/>
          <w:szCs w:val="24"/>
        </w:rPr>
        <w:t>remove</w:t>
      </w:r>
      <w:r w:rsidR="008F02F0">
        <w:rPr>
          <w:rFonts w:ascii="Times New Roman" w:hAnsi="Times New Roman" w:cs="Times New Roman"/>
          <w:sz w:val="24"/>
          <w:szCs w:val="24"/>
        </w:rPr>
        <w:t>s</w:t>
      </w:r>
      <w:r w:rsidRPr="00937F34">
        <w:rPr>
          <w:rFonts w:ascii="Times New Roman" w:hAnsi="Times New Roman" w:cs="Times New Roman"/>
          <w:sz w:val="24"/>
          <w:szCs w:val="24"/>
        </w:rPr>
        <w:t xml:space="preserve"> </w:t>
      </w:r>
      <w:r w:rsidR="007166FB">
        <w:rPr>
          <w:rFonts w:ascii="Times New Roman" w:hAnsi="Times New Roman" w:cs="Times New Roman"/>
          <w:sz w:val="24"/>
          <w:szCs w:val="24"/>
        </w:rPr>
        <w:t xml:space="preserve">the </w:t>
      </w:r>
      <w:r w:rsidRPr="00937F34">
        <w:rPr>
          <w:rFonts w:ascii="Times New Roman" w:hAnsi="Times New Roman" w:cs="Times New Roman"/>
          <w:sz w:val="24"/>
          <w:szCs w:val="24"/>
        </w:rPr>
        <w:t>protective scope from private</w:t>
      </w:r>
      <w:r w:rsidR="00E801F8">
        <w:rPr>
          <w:rFonts w:ascii="Times New Roman" w:hAnsi="Times New Roman" w:cs="Times New Roman"/>
          <w:sz w:val="24"/>
          <w:szCs w:val="24"/>
        </w:rPr>
        <w:t xml:space="preserve"> meetings/assemblies organized o</w:t>
      </w:r>
      <w:r w:rsidRPr="00937F34">
        <w:rPr>
          <w:rFonts w:ascii="Times New Roman" w:hAnsi="Times New Roman" w:cs="Times New Roman"/>
          <w:sz w:val="24"/>
          <w:szCs w:val="24"/>
        </w:rPr>
        <w:t xml:space="preserve">n private property </w:t>
      </w:r>
      <w:r w:rsidRPr="00E801F8">
        <w:rPr>
          <w:rFonts w:ascii="Times New Roman" w:hAnsi="Times New Roman" w:cs="Times New Roman"/>
          <w:sz w:val="24"/>
          <w:szCs w:val="24"/>
        </w:rPr>
        <w:t xml:space="preserve">(either </w:t>
      </w:r>
    </w:p>
    <w:p w14:paraId="1B31F43B" w14:textId="6C0A26B7" w:rsidR="00937F34" w:rsidRPr="00E801F8" w:rsidRDefault="00E801F8" w:rsidP="00E801F8">
      <w:pPr>
        <w:pStyle w:val="CommentText"/>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5215CC" w:rsidRPr="00E801F8">
        <w:rPr>
          <w:rFonts w:ascii="Times New Roman" w:hAnsi="Times New Roman" w:cs="Times New Roman"/>
          <w:sz w:val="24"/>
          <w:szCs w:val="24"/>
        </w:rPr>
        <w:t>indoor</w:t>
      </w:r>
      <w:r w:rsidR="004E331E" w:rsidRPr="00E801F8">
        <w:rPr>
          <w:rFonts w:ascii="Times New Roman" w:hAnsi="Times New Roman" w:cs="Times New Roman"/>
          <w:sz w:val="24"/>
          <w:szCs w:val="24"/>
        </w:rPr>
        <w:t>s</w:t>
      </w:r>
      <w:r w:rsidR="005215CC" w:rsidRPr="00E801F8">
        <w:rPr>
          <w:rFonts w:ascii="Times New Roman" w:hAnsi="Times New Roman" w:cs="Times New Roman"/>
          <w:sz w:val="24"/>
          <w:szCs w:val="24"/>
        </w:rPr>
        <w:t xml:space="preserve"> or outdoor</w:t>
      </w:r>
      <w:r w:rsidR="004E331E" w:rsidRPr="00E801F8">
        <w:rPr>
          <w:rFonts w:ascii="Times New Roman" w:hAnsi="Times New Roman" w:cs="Times New Roman"/>
          <w:sz w:val="24"/>
          <w:szCs w:val="24"/>
        </w:rPr>
        <w:t>s</w:t>
      </w:r>
      <w:r w:rsidR="005215CC" w:rsidRPr="00E801F8">
        <w:rPr>
          <w:rFonts w:ascii="Times New Roman" w:hAnsi="Times New Roman" w:cs="Times New Roman"/>
          <w:sz w:val="24"/>
          <w:szCs w:val="24"/>
        </w:rPr>
        <w:t>).</w:t>
      </w:r>
      <w:r w:rsidR="005215CC" w:rsidRPr="006D15A0">
        <w:rPr>
          <w:rStyle w:val="FootnoteReference"/>
          <w:rFonts w:ascii="Times New Roman" w:hAnsi="Times New Roman" w:cs="Times New Roman"/>
          <w:sz w:val="24"/>
          <w:szCs w:val="24"/>
        </w:rPr>
        <w:footnoteReference w:id="2"/>
      </w:r>
      <w:r w:rsidR="00882716" w:rsidRPr="00E801F8">
        <w:rPr>
          <w:rFonts w:ascii="Times New Roman" w:hAnsi="Times New Roman" w:cs="Times New Roman"/>
          <w:sz w:val="24"/>
          <w:szCs w:val="24"/>
        </w:rPr>
        <w:t xml:space="preserve">  </w:t>
      </w:r>
      <w:r w:rsidR="00D43F7F" w:rsidRPr="00E801F8">
        <w:rPr>
          <w:rFonts w:ascii="Times New Roman" w:hAnsi="Times New Roman" w:cs="Times New Roman"/>
          <w:sz w:val="24"/>
          <w:szCs w:val="24"/>
        </w:rPr>
        <w:br/>
      </w:r>
    </w:p>
    <w:p w14:paraId="5007E137" w14:textId="2188A3EB" w:rsidR="005215CC" w:rsidRPr="00937F34" w:rsidRDefault="005215CC" w:rsidP="00937F34">
      <w:pPr>
        <w:pStyle w:val="ListParagraph"/>
        <w:numPr>
          <w:ilvl w:val="0"/>
          <w:numId w:val="4"/>
        </w:numPr>
        <w:ind w:left="567" w:hanging="567"/>
        <w:jc w:val="both"/>
        <w:rPr>
          <w:rFonts w:ascii="Times New Roman" w:hAnsi="Times New Roman" w:cs="Times New Roman"/>
          <w:sz w:val="24"/>
          <w:szCs w:val="24"/>
        </w:rPr>
      </w:pPr>
      <w:r w:rsidRPr="00937F34">
        <w:rPr>
          <w:rFonts w:ascii="Times New Roman" w:hAnsi="Times New Roman" w:cs="Times New Roman"/>
          <w:sz w:val="24"/>
          <w:szCs w:val="24"/>
        </w:rPr>
        <w:t>Namely, the first sentence of para 13</w:t>
      </w:r>
      <w:r w:rsidR="004E331E">
        <w:rPr>
          <w:rFonts w:ascii="Times New Roman" w:hAnsi="Times New Roman" w:cs="Times New Roman"/>
          <w:sz w:val="24"/>
          <w:szCs w:val="24"/>
        </w:rPr>
        <w:t>.</w:t>
      </w:r>
      <w:r w:rsidRPr="00937F34">
        <w:rPr>
          <w:rFonts w:ascii="Times New Roman" w:hAnsi="Times New Roman" w:cs="Times New Roman"/>
          <w:sz w:val="24"/>
          <w:szCs w:val="24"/>
        </w:rPr>
        <w:t xml:space="preserve"> qualifies as an “assembly” a gathering of persons with the purpose of expressing themselves collectively, while the </w:t>
      </w:r>
      <w:r w:rsidR="00885A2E">
        <w:rPr>
          <w:rFonts w:ascii="Times New Roman" w:hAnsi="Times New Roman" w:cs="Times New Roman"/>
          <w:sz w:val="24"/>
          <w:szCs w:val="24"/>
        </w:rPr>
        <w:t xml:space="preserve">bracketed language of the </w:t>
      </w:r>
      <w:r w:rsidRPr="00937F34">
        <w:rPr>
          <w:rFonts w:ascii="Times New Roman" w:hAnsi="Times New Roman" w:cs="Times New Roman"/>
          <w:sz w:val="24"/>
          <w:szCs w:val="24"/>
        </w:rPr>
        <w:t xml:space="preserve">second sentence states that </w:t>
      </w:r>
      <w:r w:rsidR="001703A8">
        <w:rPr>
          <w:rFonts w:ascii="Times New Roman" w:hAnsi="Times New Roman" w:cs="Times New Roman"/>
          <w:sz w:val="24"/>
          <w:szCs w:val="24"/>
        </w:rPr>
        <w:t>“</w:t>
      </w:r>
      <w:r w:rsidRPr="00937F34">
        <w:rPr>
          <w:rFonts w:ascii="Times New Roman" w:hAnsi="Times New Roman" w:cs="Times New Roman"/>
          <w:sz w:val="24"/>
          <w:szCs w:val="24"/>
        </w:rPr>
        <w:t>assemblies can be held on publicly or privately-owned property [provided the property is publicly accessible]</w:t>
      </w:r>
      <w:r w:rsidR="001703A8">
        <w:rPr>
          <w:rFonts w:ascii="Times New Roman" w:hAnsi="Times New Roman" w:cs="Times New Roman"/>
          <w:sz w:val="24"/>
          <w:szCs w:val="24"/>
        </w:rPr>
        <w:t>”</w:t>
      </w:r>
      <w:r w:rsidRPr="00937F34">
        <w:rPr>
          <w:rFonts w:ascii="Times New Roman" w:hAnsi="Times New Roman" w:cs="Times New Roman"/>
          <w:sz w:val="24"/>
          <w:szCs w:val="24"/>
        </w:rPr>
        <w:t>.</w:t>
      </w:r>
      <w:r w:rsidRPr="00937F34">
        <w:rPr>
          <w:rFonts w:ascii="Times New Roman" w:hAnsi="Times New Roman" w:cs="Times New Roman"/>
        </w:rPr>
        <w:t xml:space="preserve"> </w:t>
      </w:r>
      <w:r w:rsidRPr="00937F34">
        <w:rPr>
          <w:rFonts w:ascii="Times New Roman" w:hAnsi="Times New Roman" w:cs="Times New Roman"/>
          <w:sz w:val="24"/>
          <w:szCs w:val="24"/>
        </w:rPr>
        <w:t xml:space="preserve"> The bracketed language </w:t>
      </w:r>
      <w:r w:rsidR="001703A8">
        <w:rPr>
          <w:rFonts w:ascii="Times New Roman" w:hAnsi="Times New Roman" w:cs="Times New Roman"/>
          <w:sz w:val="24"/>
          <w:szCs w:val="24"/>
        </w:rPr>
        <w:t xml:space="preserve">thus </w:t>
      </w:r>
      <w:r w:rsidRPr="00937F34">
        <w:rPr>
          <w:rFonts w:ascii="Times New Roman" w:hAnsi="Times New Roman" w:cs="Times New Roman"/>
          <w:sz w:val="24"/>
          <w:szCs w:val="24"/>
        </w:rPr>
        <w:t xml:space="preserve">suggests that in order for the right to freedom of assembly to be </w:t>
      </w:r>
      <w:r w:rsidR="00885A2E">
        <w:rPr>
          <w:rFonts w:ascii="Times New Roman" w:hAnsi="Times New Roman" w:cs="Times New Roman"/>
          <w:sz w:val="24"/>
          <w:szCs w:val="24"/>
        </w:rPr>
        <w:t>protected</w:t>
      </w:r>
      <w:r w:rsidR="00885A2E" w:rsidRPr="00937F34">
        <w:rPr>
          <w:rFonts w:ascii="Times New Roman" w:hAnsi="Times New Roman" w:cs="Times New Roman"/>
          <w:sz w:val="24"/>
          <w:szCs w:val="24"/>
        </w:rPr>
        <w:t xml:space="preserve"> </w:t>
      </w:r>
      <w:r w:rsidRPr="00937F34">
        <w:rPr>
          <w:rFonts w:ascii="Times New Roman" w:hAnsi="Times New Roman" w:cs="Times New Roman"/>
          <w:sz w:val="24"/>
          <w:szCs w:val="24"/>
        </w:rPr>
        <w:t xml:space="preserve">on private property it must be publicly accessible. Such wording may altogether exclude from the scope of Article 21 </w:t>
      </w:r>
      <w:r w:rsidR="001703A8">
        <w:rPr>
          <w:rFonts w:ascii="Times New Roman" w:hAnsi="Times New Roman" w:cs="Times New Roman"/>
          <w:sz w:val="24"/>
          <w:szCs w:val="24"/>
        </w:rPr>
        <w:t xml:space="preserve">assemblies held </w:t>
      </w:r>
      <w:r w:rsidRPr="00937F34">
        <w:rPr>
          <w:rFonts w:ascii="Times New Roman" w:hAnsi="Times New Roman" w:cs="Times New Roman"/>
          <w:sz w:val="24"/>
          <w:szCs w:val="24"/>
        </w:rPr>
        <w:t xml:space="preserve">with the permission of the owner </w:t>
      </w:r>
      <w:r w:rsidR="00F132B9">
        <w:rPr>
          <w:rFonts w:ascii="Times New Roman" w:hAnsi="Times New Roman" w:cs="Times New Roman"/>
          <w:sz w:val="24"/>
          <w:szCs w:val="24"/>
        </w:rPr>
        <w:t>on</w:t>
      </w:r>
      <w:r w:rsidR="00E801F8">
        <w:rPr>
          <w:rFonts w:ascii="Times New Roman" w:hAnsi="Times New Roman" w:cs="Times New Roman"/>
          <w:sz w:val="24"/>
          <w:szCs w:val="24"/>
        </w:rPr>
        <w:t xml:space="preserve"> </w:t>
      </w:r>
      <w:r w:rsidRPr="00937F34">
        <w:rPr>
          <w:rFonts w:ascii="Times New Roman" w:hAnsi="Times New Roman" w:cs="Times New Roman"/>
          <w:sz w:val="24"/>
          <w:szCs w:val="24"/>
        </w:rPr>
        <w:t>private</w:t>
      </w:r>
      <w:bookmarkStart w:id="0" w:name="_GoBack"/>
      <w:bookmarkEnd w:id="0"/>
      <w:r w:rsidRPr="00937F34">
        <w:rPr>
          <w:rFonts w:ascii="Times New Roman" w:hAnsi="Times New Roman" w:cs="Times New Roman"/>
          <w:sz w:val="24"/>
          <w:szCs w:val="24"/>
        </w:rPr>
        <w:t xml:space="preserve"> property which is not accessible to the public. While discretion of the state to regulate such private meetings is strictly limited, it nevertheless has an obligation to protect such assemblies. </w:t>
      </w:r>
    </w:p>
    <w:p w14:paraId="0D0F0C7C" w14:textId="059E9195" w:rsidR="005215CC" w:rsidRPr="00D43F7F" w:rsidRDefault="005215CC" w:rsidP="005215CC">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Although para. 67 specifically states that assemblies “held on privately owned property with the consent of the owners enjoy the same protection as other assemblies, wording of earlier paras. appear to be contradictory and it is advisable to revisit it</w:t>
      </w:r>
      <w:r w:rsidR="00952104">
        <w:rPr>
          <w:rFonts w:ascii="Times New Roman" w:hAnsi="Times New Roman" w:cs="Times New Roman"/>
          <w:sz w:val="24"/>
          <w:szCs w:val="24"/>
        </w:rPr>
        <w:t>.</w:t>
      </w:r>
      <w:r w:rsidRPr="006D15A0">
        <w:rPr>
          <w:rFonts w:ascii="Times New Roman" w:hAnsi="Times New Roman" w:cs="Times New Roman"/>
          <w:sz w:val="24"/>
          <w:szCs w:val="24"/>
        </w:rPr>
        <w:t xml:space="preserve"> </w:t>
      </w:r>
      <w:r w:rsidR="00B23A21">
        <w:rPr>
          <w:rFonts w:ascii="Times New Roman" w:hAnsi="Times New Roman" w:cs="Times New Roman"/>
          <w:sz w:val="24"/>
          <w:szCs w:val="24"/>
        </w:rPr>
        <w:t>It is advisable to clarify</w:t>
      </w:r>
      <w:r w:rsidRPr="006D15A0">
        <w:rPr>
          <w:rFonts w:ascii="Times New Roman" w:hAnsi="Times New Roman" w:cs="Times New Roman"/>
          <w:sz w:val="24"/>
          <w:szCs w:val="24"/>
        </w:rPr>
        <w:t xml:space="preserve"> that the right of individuals to assemble peacefully in public and publicly accessible private space as well as </w:t>
      </w:r>
      <w:r w:rsidR="00677B05">
        <w:rPr>
          <w:rFonts w:ascii="Times New Roman" w:hAnsi="Times New Roman" w:cs="Times New Roman"/>
          <w:sz w:val="24"/>
          <w:szCs w:val="24"/>
        </w:rPr>
        <w:t xml:space="preserve">on </w:t>
      </w:r>
      <w:r w:rsidRPr="006D15A0">
        <w:rPr>
          <w:rFonts w:ascii="Times New Roman" w:hAnsi="Times New Roman" w:cs="Times New Roman"/>
          <w:sz w:val="24"/>
          <w:szCs w:val="24"/>
        </w:rPr>
        <w:t>private property not accessible to public</w:t>
      </w:r>
      <w:r w:rsidR="00DD061C">
        <w:rPr>
          <w:rFonts w:ascii="Times New Roman" w:hAnsi="Times New Roman" w:cs="Times New Roman"/>
          <w:sz w:val="24"/>
          <w:szCs w:val="24"/>
        </w:rPr>
        <w:t xml:space="preserve"> </w:t>
      </w:r>
      <w:r w:rsidR="0085162A">
        <w:rPr>
          <w:rFonts w:ascii="Times New Roman" w:hAnsi="Times New Roman" w:cs="Times New Roman"/>
          <w:sz w:val="24"/>
          <w:szCs w:val="24"/>
        </w:rPr>
        <w:t xml:space="preserve">may qualify as assembly and thus </w:t>
      </w:r>
      <w:r w:rsidR="00DD061C">
        <w:rPr>
          <w:rFonts w:ascii="Times New Roman" w:hAnsi="Times New Roman" w:cs="Times New Roman"/>
          <w:sz w:val="24"/>
          <w:szCs w:val="24"/>
        </w:rPr>
        <w:t>enjoy pro</w:t>
      </w:r>
      <w:r w:rsidR="00952104">
        <w:rPr>
          <w:rFonts w:ascii="Times New Roman" w:hAnsi="Times New Roman" w:cs="Times New Roman"/>
          <w:sz w:val="24"/>
          <w:szCs w:val="24"/>
        </w:rPr>
        <w:t>tecti</w:t>
      </w:r>
      <w:r w:rsidR="0085162A">
        <w:rPr>
          <w:rFonts w:ascii="Times New Roman" w:hAnsi="Times New Roman" w:cs="Times New Roman"/>
          <w:sz w:val="24"/>
          <w:szCs w:val="24"/>
        </w:rPr>
        <w:t xml:space="preserve">on of </w:t>
      </w:r>
      <w:r w:rsidR="00952104">
        <w:rPr>
          <w:rFonts w:ascii="Times New Roman" w:hAnsi="Times New Roman" w:cs="Times New Roman"/>
          <w:sz w:val="24"/>
          <w:szCs w:val="24"/>
        </w:rPr>
        <w:t>the Article 21, although m</w:t>
      </w:r>
      <w:r w:rsidR="00B65707">
        <w:rPr>
          <w:rFonts w:ascii="Times New Roman" w:hAnsi="Times New Roman" w:cs="Times New Roman"/>
          <w:sz w:val="24"/>
          <w:szCs w:val="24"/>
        </w:rPr>
        <w:t xml:space="preserve">odalities and scope of State’s obligation to facilitate and regulate </w:t>
      </w:r>
      <w:r w:rsidR="00677B05">
        <w:rPr>
          <w:rFonts w:ascii="Times New Roman" w:hAnsi="Times New Roman" w:cs="Times New Roman"/>
          <w:sz w:val="24"/>
          <w:szCs w:val="24"/>
        </w:rPr>
        <w:t xml:space="preserve">such </w:t>
      </w:r>
      <w:r w:rsidR="00952104">
        <w:rPr>
          <w:rFonts w:ascii="Times New Roman" w:hAnsi="Times New Roman" w:cs="Times New Roman"/>
          <w:sz w:val="24"/>
          <w:szCs w:val="24"/>
        </w:rPr>
        <w:t xml:space="preserve">assemblies </w:t>
      </w:r>
      <w:r w:rsidR="00677B05">
        <w:rPr>
          <w:rFonts w:ascii="Times New Roman" w:hAnsi="Times New Roman" w:cs="Times New Roman"/>
          <w:sz w:val="24"/>
          <w:szCs w:val="24"/>
        </w:rPr>
        <w:t xml:space="preserve">would </w:t>
      </w:r>
      <w:r w:rsidR="00952104">
        <w:rPr>
          <w:rFonts w:ascii="Times New Roman" w:hAnsi="Times New Roman" w:cs="Times New Roman"/>
          <w:sz w:val="24"/>
          <w:szCs w:val="24"/>
        </w:rPr>
        <w:t>differ</w:t>
      </w:r>
      <w:r w:rsidRPr="006D15A0">
        <w:rPr>
          <w:rFonts w:ascii="Times New Roman" w:hAnsi="Times New Roman" w:cs="Times New Roman"/>
          <w:sz w:val="24"/>
          <w:szCs w:val="24"/>
        </w:rPr>
        <w:t xml:space="preserve">. </w:t>
      </w:r>
      <w:r w:rsidR="00D43F7F">
        <w:rPr>
          <w:rFonts w:ascii="Times New Roman" w:hAnsi="Times New Roman" w:cs="Times New Roman"/>
          <w:sz w:val="24"/>
          <w:szCs w:val="24"/>
        </w:rPr>
        <w:br/>
      </w:r>
    </w:p>
    <w:p w14:paraId="6A28425E" w14:textId="77777777" w:rsidR="005215CC" w:rsidRPr="00937F34" w:rsidRDefault="005215CC" w:rsidP="00937F34">
      <w:pPr>
        <w:ind w:firstLine="567"/>
        <w:jc w:val="both"/>
        <w:rPr>
          <w:rFonts w:ascii="Times New Roman" w:hAnsi="Times New Roman" w:cs="Times New Roman"/>
          <w:b/>
          <w:sz w:val="24"/>
          <w:szCs w:val="24"/>
        </w:rPr>
      </w:pPr>
      <w:r w:rsidRPr="00937F34">
        <w:rPr>
          <w:rFonts w:ascii="Times New Roman" w:hAnsi="Times New Roman" w:cs="Times New Roman"/>
          <w:b/>
          <w:sz w:val="24"/>
          <w:szCs w:val="24"/>
        </w:rPr>
        <w:t xml:space="preserve">Para. 14 </w:t>
      </w:r>
    </w:p>
    <w:p w14:paraId="4785B5A5" w14:textId="77777777" w:rsidR="005215CC" w:rsidRPr="006D15A0" w:rsidRDefault="005215CC" w:rsidP="00937F34">
      <w:pPr>
        <w:pStyle w:val="CommentText"/>
        <w:numPr>
          <w:ilvl w:val="0"/>
          <w:numId w:val="4"/>
        </w:numPr>
        <w:ind w:left="567" w:hanging="567"/>
        <w:jc w:val="both"/>
        <w:rPr>
          <w:rFonts w:ascii="Times New Roman" w:hAnsi="Times New Roman" w:cs="Times New Roman"/>
          <w:sz w:val="24"/>
          <w:szCs w:val="24"/>
          <w:u w:val="single"/>
        </w:rPr>
      </w:pPr>
      <w:r w:rsidRPr="006D15A0">
        <w:rPr>
          <w:rFonts w:ascii="Times New Roman" w:hAnsi="Times New Roman" w:cs="Times New Roman"/>
          <w:sz w:val="24"/>
          <w:szCs w:val="24"/>
        </w:rPr>
        <w:t>Para. 14 defines that while commercial gatherings would not generally fall within the scope of what is protected by Article 21, they are covered to the extent that they have an expressive purpose.</w:t>
      </w:r>
      <w:r w:rsidRPr="006D15A0">
        <w:rPr>
          <w:rFonts w:ascii="Times New Roman" w:hAnsi="Times New Roman" w:cs="Times New Roman"/>
          <w:sz w:val="24"/>
          <w:szCs w:val="24"/>
          <w:u w:val="single"/>
        </w:rPr>
        <w:t xml:space="preserve">  </w:t>
      </w:r>
    </w:p>
    <w:p w14:paraId="6F966137" w14:textId="77777777" w:rsidR="005215CC" w:rsidRPr="006D15A0" w:rsidRDefault="005215CC" w:rsidP="00937F34">
      <w:pPr>
        <w:pStyle w:val="CommentText"/>
        <w:ind w:left="567" w:hanging="567"/>
        <w:jc w:val="both"/>
        <w:rPr>
          <w:rFonts w:ascii="Times New Roman" w:hAnsi="Times New Roman" w:cs="Times New Roman"/>
          <w:sz w:val="24"/>
          <w:szCs w:val="24"/>
          <w:u w:val="single"/>
        </w:rPr>
      </w:pPr>
    </w:p>
    <w:p w14:paraId="771C78DB" w14:textId="18D9F118" w:rsidR="005215CC" w:rsidRPr="006D15A0" w:rsidRDefault="005215CC" w:rsidP="00937F34">
      <w:pPr>
        <w:pStyle w:val="CommentText"/>
        <w:numPr>
          <w:ilvl w:val="0"/>
          <w:numId w:val="4"/>
        </w:numPr>
        <w:ind w:left="567" w:hanging="567"/>
        <w:jc w:val="both"/>
        <w:rPr>
          <w:rFonts w:ascii="Times New Roman" w:hAnsi="Times New Roman" w:cs="Times New Roman"/>
          <w:noProof/>
          <w:sz w:val="24"/>
          <w:szCs w:val="24"/>
        </w:rPr>
      </w:pPr>
      <w:r w:rsidRPr="006D15A0">
        <w:rPr>
          <w:rFonts w:ascii="Times New Roman" w:hAnsi="Times New Roman" w:cs="Times New Roman"/>
          <w:sz w:val="24"/>
          <w:szCs w:val="24"/>
        </w:rPr>
        <w:t xml:space="preserve">As a rule, gatherings held primarily for purposes other than expressing emotions, ideas or opinions on matters of public interest or concern (e.g. gatherings held purely for entertainment purposes and/or to make profit, such as for-profit sporting events or for-profit concerts) </w:t>
      </w:r>
      <w:r w:rsidR="00B23A21">
        <w:rPr>
          <w:rFonts w:ascii="Times New Roman" w:hAnsi="Times New Roman" w:cs="Times New Roman"/>
          <w:sz w:val="24"/>
          <w:szCs w:val="24"/>
        </w:rPr>
        <w:t xml:space="preserve">may </w:t>
      </w:r>
      <w:r w:rsidRPr="006D15A0">
        <w:rPr>
          <w:rFonts w:ascii="Times New Roman" w:hAnsi="Times New Roman" w:cs="Times New Roman"/>
          <w:sz w:val="24"/>
          <w:szCs w:val="24"/>
        </w:rPr>
        <w:t xml:space="preserve">fall outside of protective scope of Article 21. However, </w:t>
      </w:r>
      <w:r w:rsidRPr="006D15A0">
        <w:rPr>
          <w:rFonts w:ascii="Times New Roman" w:hAnsi="Times New Roman" w:cs="Times New Roman"/>
          <w:noProof/>
          <w:sz w:val="24"/>
          <w:szCs w:val="24"/>
        </w:rPr>
        <w:t>there may be examples of assemblies with a common expressive purpose having some aspects of commercial activity.</w:t>
      </w:r>
      <w:r w:rsidRPr="006D15A0">
        <w:rPr>
          <w:rStyle w:val="FootnoteReference"/>
          <w:rFonts w:ascii="Times New Roman" w:hAnsi="Times New Roman" w:cs="Times New Roman"/>
          <w:noProof/>
          <w:sz w:val="24"/>
          <w:szCs w:val="24"/>
        </w:rPr>
        <w:footnoteReference w:id="3"/>
      </w:r>
      <w:r w:rsidRPr="006D15A0">
        <w:rPr>
          <w:rFonts w:ascii="Times New Roman" w:hAnsi="Times New Roman" w:cs="Times New Roman"/>
          <w:noProof/>
          <w:sz w:val="24"/>
          <w:szCs w:val="24"/>
        </w:rPr>
        <w:t xml:space="preserve"> </w:t>
      </w:r>
    </w:p>
    <w:p w14:paraId="4F2FF5BC" w14:textId="77777777" w:rsidR="00C6213D" w:rsidRPr="006D15A0" w:rsidRDefault="00C6213D" w:rsidP="00942E55">
      <w:pPr>
        <w:pStyle w:val="CommentText"/>
        <w:jc w:val="both"/>
        <w:rPr>
          <w:rFonts w:ascii="Times New Roman" w:hAnsi="Times New Roman" w:cs="Times New Roman"/>
          <w:noProof/>
          <w:sz w:val="24"/>
          <w:szCs w:val="24"/>
        </w:rPr>
      </w:pPr>
    </w:p>
    <w:p w14:paraId="046867F2" w14:textId="2F5A3DAE" w:rsidR="00A412E4" w:rsidRPr="006D15A0" w:rsidRDefault="00A412E4" w:rsidP="00942E55">
      <w:pPr>
        <w:pStyle w:val="CommentText"/>
        <w:jc w:val="both"/>
        <w:rPr>
          <w:rFonts w:ascii="Times New Roman" w:hAnsi="Times New Roman" w:cs="Times New Roman"/>
          <w:noProof/>
          <w:sz w:val="24"/>
          <w:szCs w:val="24"/>
        </w:rPr>
      </w:pPr>
    </w:p>
    <w:p w14:paraId="5D209956" w14:textId="26540856" w:rsidR="0090700B" w:rsidRPr="003643ED" w:rsidRDefault="005215CC" w:rsidP="00E5325A">
      <w:pPr>
        <w:ind w:firstLine="567"/>
        <w:jc w:val="both"/>
        <w:rPr>
          <w:rFonts w:ascii="Times New Roman" w:hAnsi="Times New Roman" w:cs="Times New Roman"/>
          <w:b/>
          <w:sz w:val="24"/>
          <w:szCs w:val="24"/>
        </w:rPr>
      </w:pPr>
      <w:r w:rsidRPr="00942E55">
        <w:rPr>
          <w:rFonts w:ascii="Times New Roman" w:hAnsi="Times New Roman" w:cs="Times New Roman"/>
          <w:b/>
          <w:sz w:val="24"/>
          <w:szCs w:val="24"/>
        </w:rPr>
        <w:t xml:space="preserve">Notion of “Violent Assemblies” </w:t>
      </w:r>
      <w:r w:rsidR="00175100" w:rsidRPr="00942E55">
        <w:rPr>
          <w:rFonts w:ascii="Times New Roman" w:hAnsi="Times New Roman" w:cs="Times New Roman"/>
          <w:b/>
          <w:sz w:val="24"/>
          <w:szCs w:val="24"/>
        </w:rPr>
        <w:t xml:space="preserve"> </w:t>
      </w:r>
    </w:p>
    <w:p w14:paraId="1D53C5E4" w14:textId="61E5C47D" w:rsidR="00E31C5C" w:rsidRPr="00E5325A" w:rsidRDefault="00E61A94" w:rsidP="00E5325A">
      <w:pPr>
        <w:ind w:firstLine="567"/>
        <w:jc w:val="both"/>
        <w:rPr>
          <w:rFonts w:ascii="Times New Roman" w:hAnsi="Times New Roman" w:cs="Times New Roman"/>
          <w:b/>
          <w:sz w:val="24"/>
          <w:szCs w:val="24"/>
        </w:rPr>
      </w:pPr>
      <w:r w:rsidRPr="00E5325A">
        <w:rPr>
          <w:rFonts w:ascii="Times New Roman" w:hAnsi="Times New Roman" w:cs="Times New Roman"/>
          <w:b/>
          <w:sz w:val="24"/>
          <w:szCs w:val="24"/>
        </w:rPr>
        <w:t>Par</w:t>
      </w:r>
      <w:r w:rsidR="00E31C5C" w:rsidRPr="00E5325A">
        <w:rPr>
          <w:rFonts w:ascii="Times New Roman" w:hAnsi="Times New Roman" w:cs="Times New Roman"/>
          <w:b/>
          <w:sz w:val="24"/>
          <w:szCs w:val="24"/>
        </w:rPr>
        <w:t>as</w:t>
      </w:r>
      <w:r w:rsidR="009156D7" w:rsidRPr="00E5325A">
        <w:rPr>
          <w:rFonts w:ascii="Times New Roman" w:hAnsi="Times New Roman" w:cs="Times New Roman"/>
          <w:b/>
          <w:sz w:val="24"/>
          <w:szCs w:val="24"/>
        </w:rPr>
        <w:t>.</w:t>
      </w:r>
      <w:r w:rsidRPr="00E5325A">
        <w:rPr>
          <w:rFonts w:ascii="Times New Roman" w:hAnsi="Times New Roman" w:cs="Times New Roman"/>
          <w:b/>
          <w:sz w:val="24"/>
          <w:szCs w:val="24"/>
        </w:rPr>
        <w:t xml:space="preserve"> 10</w:t>
      </w:r>
      <w:r w:rsidR="00E31C5C" w:rsidRPr="00E5325A">
        <w:rPr>
          <w:rFonts w:ascii="Times New Roman" w:hAnsi="Times New Roman" w:cs="Times New Roman"/>
          <w:b/>
          <w:sz w:val="24"/>
          <w:szCs w:val="24"/>
        </w:rPr>
        <w:t xml:space="preserve"> and 19</w:t>
      </w:r>
    </w:p>
    <w:p w14:paraId="04FBBCA9" w14:textId="681346E4" w:rsidR="006667D1" w:rsidRPr="006D15A0" w:rsidRDefault="00E31C5C" w:rsidP="00E5325A">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A</w:t>
      </w:r>
      <w:r w:rsidR="00D42110" w:rsidRPr="006D15A0">
        <w:rPr>
          <w:rFonts w:ascii="Times New Roman" w:hAnsi="Times New Roman" w:cs="Times New Roman"/>
          <w:sz w:val="24"/>
          <w:szCs w:val="24"/>
        </w:rPr>
        <w:t>ccording to p</w:t>
      </w:r>
      <w:r w:rsidR="007E6DFE" w:rsidRPr="006D15A0">
        <w:rPr>
          <w:rFonts w:ascii="Times New Roman" w:hAnsi="Times New Roman" w:cs="Times New Roman"/>
          <w:sz w:val="24"/>
          <w:szCs w:val="24"/>
        </w:rPr>
        <w:t>ara</w:t>
      </w:r>
      <w:r w:rsidR="00366871" w:rsidRPr="006D15A0">
        <w:rPr>
          <w:rFonts w:ascii="Times New Roman" w:hAnsi="Times New Roman" w:cs="Times New Roman"/>
          <w:sz w:val="24"/>
          <w:szCs w:val="24"/>
        </w:rPr>
        <w:t>.</w:t>
      </w:r>
      <w:r w:rsidR="007E6DFE" w:rsidRPr="006D15A0">
        <w:rPr>
          <w:rFonts w:ascii="Times New Roman" w:hAnsi="Times New Roman" w:cs="Times New Roman"/>
          <w:sz w:val="24"/>
          <w:szCs w:val="24"/>
        </w:rPr>
        <w:t xml:space="preserve"> 10 of the Draft</w:t>
      </w:r>
      <w:r w:rsidR="00366871" w:rsidRPr="006D15A0">
        <w:rPr>
          <w:rFonts w:ascii="Times New Roman" w:hAnsi="Times New Roman" w:cs="Times New Roman"/>
          <w:sz w:val="24"/>
          <w:szCs w:val="24"/>
        </w:rPr>
        <w:t xml:space="preserve"> GC37</w:t>
      </w:r>
      <w:r w:rsidR="006667D1" w:rsidRPr="006D15A0">
        <w:rPr>
          <w:rFonts w:ascii="Times New Roman" w:hAnsi="Times New Roman" w:cs="Times New Roman"/>
          <w:sz w:val="24"/>
          <w:szCs w:val="24"/>
        </w:rPr>
        <w:t>,</w:t>
      </w:r>
      <w:r w:rsidR="00D576AB" w:rsidRPr="006D15A0">
        <w:rPr>
          <w:rFonts w:ascii="Times New Roman" w:hAnsi="Times New Roman" w:cs="Times New Roman"/>
          <w:sz w:val="24"/>
          <w:szCs w:val="24"/>
        </w:rPr>
        <w:t xml:space="preserve"> </w:t>
      </w:r>
      <w:r w:rsidR="00DD12FC" w:rsidRPr="006D15A0">
        <w:rPr>
          <w:rFonts w:ascii="Times New Roman" w:hAnsi="Times New Roman" w:cs="Times New Roman"/>
          <w:sz w:val="24"/>
          <w:szCs w:val="24"/>
        </w:rPr>
        <w:t xml:space="preserve">if assemblies “become violent” </w:t>
      </w:r>
      <w:r w:rsidR="00D42110" w:rsidRPr="006D15A0">
        <w:rPr>
          <w:rFonts w:ascii="Times New Roman" w:hAnsi="Times New Roman" w:cs="Times New Roman"/>
          <w:sz w:val="24"/>
          <w:szCs w:val="24"/>
        </w:rPr>
        <w:t>individuals involved in violence</w:t>
      </w:r>
      <w:r w:rsidR="006667D1" w:rsidRPr="006D15A0">
        <w:rPr>
          <w:rFonts w:ascii="Times New Roman" w:hAnsi="Times New Roman" w:cs="Times New Roman"/>
          <w:sz w:val="24"/>
          <w:szCs w:val="24"/>
        </w:rPr>
        <w:t xml:space="preserve"> lose </w:t>
      </w:r>
      <w:r w:rsidR="00DD12FC" w:rsidRPr="006D15A0">
        <w:rPr>
          <w:rFonts w:ascii="Times New Roman" w:hAnsi="Times New Roman" w:cs="Times New Roman"/>
          <w:sz w:val="24"/>
          <w:szCs w:val="24"/>
        </w:rPr>
        <w:t>protection under</w:t>
      </w:r>
      <w:r w:rsidR="00D42110" w:rsidRPr="006D15A0">
        <w:rPr>
          <w:rFonts w:ascii="Times New Roman" w:hAnsi="Times New Roman" w:cs="Times New Roman"/>
          <w:sz w:val="24"/>
          <w:szCs w:val="24"/>
        </w:rPr>
        <w:t xml:space="preserve"> </w:t>
      </w:r>
      <w:r w:rsidR="00DD12FC" w:rsidRPr="006D15A0">
        <w:rPr>
          <w:rFonts w:ascii="Times New Roman" w:hAnsi="Times New Roman" w:cs="Times New Roman"/>
          <w:sz w:val="24"/>
          <w:szCs w:val="24"/>
        </w:rPr>
        <w:t>Article 21</w:t>
      </w:r>
      <w:r w:rsidR="00F51BDE">
        <w:rPr>
          <w:rFonts w:ascii="Times New Roman" w:hAnsi="Times New Roman" w:cs="Times New Roman"/>
          <w:sz w:val="24"/>
          <w:szCs w:val="24"/>
        </w:rPr>
        <w:t>,</w:t>
      </w:r>
      <w:r w:rsidR="006667D1" w:rsidRPr="006D15A0">
        <w:rPr>
          <w:rFonts w:ascii="Times New Roman" w:hAnsi="Times New Roman" w:cs="Times New Roman"/>
          <w:sz w:val="24"/>
          <w:szCs w:val="24"/>
        </w:rPr>
        <w:t xml:space="preserve"> but</w:t>
      </w:r>
      <w:r w:rsidR="00D42110" w:rsidRPr="006D15A0">
        <w:rPr>
          <w:rFonts w:ascii="Times New Roman" w:hAnsi="Times New Roman" w:cs="Times New Roman"/>
          <w:sz w:val="24"/>
          <w:szCs w:val="24"/>
        </w:rPr>
        <w:t xml:space="preserve"> </w:t>
      </w:r>
      <w:r w:rsidR="00DD12FC" w:rsidRPr="006D15A0">
        <w:rPr>
          <w:rFonts w:ascii="Times New Roman" w:hAnsi="Times New Roman" w:cs="Times New Roman"/>
          <w:sz w:val="24"/>
          <w:szCs w:val="24"/>
        </w:rPr>
        <w:t xml:space="preserve">continue to enjoy other rights under the Covenant. </w:t>
      </w:r>
      <w:r w:rsidR="00F9320F">
        <w:rPr>
          <w:rFonts w:ascii="Times New Roman" w:hAnsi="Times New Roman" w:cs="Times New Roman"/>
          <w:sz w:val="24"/>
          <w:szCs w:val="24"/>
        </w:rPr>
        <w:t>Indeed</w:t>
      </w:r>
      <w:r w:rsidR="00F132B9">
        <w:rPr>
          <w:rFonts w:ascii="Times New Roman" w:hAnsi="Times New Roman" w:cs="Times New Roman"/>
          <w:sz w:val="24"/>
          <w:szCs w:val="24"/>
        </w:rPr>
        <w:t>,</w:t>
      </w:r>
      <w:r w:rsidR="00F9320F">
        <w:rPr>
          <w:rFonts w:ascii="Times New Roman" w:hAnsi="Times New Roman" w:cs="Times New Roman"/>
          <w:sz w:val="24"/>
          <w:szCs w:val="24"/>
        </w:rPr>
        <w:t xml:space="preserve"> </w:t>
      </w:r>
      <w:r w:rsidR="00F9320F" w:rsidRPr="006D15A0">
        <w:rPr>
          <w:rFonts w:ascii="Times New Roman" w:hAnsi="Times New Roman" w:cs="Times New Roman"/>
          <w:noProof/>
          <w:sz w:val="24"/>
          <w:szCs w:val="24"/>
        </w:rPr>
        <w:t>only peaceful assemblies fall within the scope of Article 11(1) ECHR and Article 21 ICCPR</w:t>
      </w:r>
      <w:r w:rsidR="00F132B9">
        <w:rPr>
          <w:rFonts w:ascii="Times New Roman" w:hAnsi="Times New Roman" w:cs="Times New Roman"/>
          <w:noProof/>
          <w:sz w:val="24"/>
          <w:szCs w:val="24"/>
        </w:rPr>
        <w:t>,</w:t>
      </w:r>
      <w:r w:rsidR="00F9320F" w:rsidRPr="006D15A0">
        <w:rPr>
          <w:rFonts w:ascii="Times New Roman" w:hAnsi="Times New Roman" w:cs="Times New Roman"/>
          <w:noProof/>
          <w:sz w:val="24"/>
          <w:szCs w:val="24"/>
        </w:rPr>
        <w:t xml:space="preserve"> </w:t>
      </w:r>
      <w:r w:rsidR="00F132B9">
        <w:rPr>
          <w:rFonts w:ascii="Times New Roman" w:hAnsi="Times New Roman" w:cs="Times New Roman"/>
          <w:noProof/>
          <w:sz w:val="24"/>
          <w:szCs w:val="24"/>
        </w:rPr>
        <w:t xml:space="preserve">and </w:t>
      </w:r>
      <w:r w:rsidR="00F9320F">
        <w:rPr>
          <w:rFonts w:ascii="Times New Roman" w:hAnsi="Times New Roman" w:cs="Times New Roman"/>
          <w:noProof/>
          <w:sz w:val="24"/>
          <w:szCs w:val="24"/>
        </w:rPr>
        <w:t xml:space="preserve"> </w:t>
      </w:r>
      <w:r w:rsidR="00F9320F" w:rsidRPr="006D15A0">
        <w:rPr>
          <w:rFonts w:ascii="Times New Roman" w:hAnsi="Times New Roman" w:cs="Times New Roman"/>
          <w:noProof/>
          <w:sz w:val="24"/>
          <w:szCs w:val="24"/>
        </w:rPr>
        <w:t>the concept of a peaceful assembly does not cover gatherings where the organizers and participants have violent intentions or incite violence.</w:t>
      </w:r>
      <w:r w:rsidR="00F9320F" w:rsidRPr="006D15A0">
        <w:rPr>
          <w:rStyle w:val="FootnoteReference"/>
          <w:rFonts w:ascii="Times New Roman" w:hAnsi="Times New Roman" w:cs="Times New Roman"/>
          <w:noProof/>
          <w:sz w:val="24"/>
          <w:szCs w:val="24"/>
        </w:rPr>
        <w:footnoteReference w:id="4"/>
      </w:r>
      <w:r w:rsidR="00F9320F" w:rsidRPr="006D15A0">
        <w:rPr>
          <w:rFonts w:ascii="Times New Roman" w:hAnsi="Times New Roman" w:cs="Times New Roman"/>
          <w:noProof/>
          <w:sz w:val="24"/>
          <w:szCs w:val="24"/>
        </w:rPr>
        <w:t xml:space="preserve"> </w:t>
      </w:r>
      <w:r w:rsidR="006667D1" w:rsidRPr="006D15A0">
        <w:rPr>
          <w:rFonts w:ascii="Times New Roman" w:hAnsi="Times New Roman" w:cs="Times New Roman"/>
          <w:sz w:val="24"/>
          <w:szCs w:val="24"/>
        </w:rPr>
        <w:t>I</w:t>
      </w:r>
      <w:r w:rsidR="00DD12FC" w:rsidRPr="006D15A0">
        <w:rPr>
          <w:rFonts w:ascii="Times New Roman" w:hAnsi="Times New Roman" w:cs="Times New Roman"/>
          <w:sz w:val="24"/>
          <w:szCs w:val="24"/>
        </w:rPr>
        <w:t xml:space="preserve">t </w:t>
      </w:r>
      <w:r w:rsidR="00F132B9">
        <w:rPr>
          <w:rFonts w:ascii="Times New Roman" w:hAnsi="Times New Roman" w:cs="Times New Roman"/>
          <w:sz w:val="24"/>
          <w:szCs w:val="24"/>
        </w:rPr>
        <w:t>would be</w:t>
      </w:r>
      <w:r w:rsidR="00B23A21" w:rsidRPr="006D15A0">
        <w:rPr>
          <w:rFonts w:ascii="Times New Roman" w:hAnsi="Times New Roman" w:cs="Times New Roman"/>
          <w:sz w:val="24"/>
          <w:szCs w:val="24"/>
        </w:rPr>
        <w:t xml:space="preserve"> </w:t>
      </w:r>
      <w:r w:rsidR="006667D1" w:rsidRPr="006D15A0">
        <w:rPr>
          <w:rFonts w:ascii="Times New Roman" w:hAnsi="Times New Roman" w:cs="Times New Roman"/>
          <w:sz w:val="24"/>
          <w:szCs w:val="24"/>
        </w:rPr>
        <w:t xml:space="preserve">beneficial </w:t>
      </w:r>
      <w:r w:rsidR="00F9320F">
        <w:rPr>
          <w:rFonts w:ascii="Times New Roman" w:hAnsi="Times New Roman" w:cs="Times New Roman"/>
          <w:sz w:val="24"/>
          <w:szCs w:val="24"/>
        </w:rPr>
        <w:t>however</w:t>
      </w:r>
      <w:r w:rsidR="00F132B9">
        <w:rPr>
          <w:rFonts w:ascii="Times New Roman" w:hAnsi="Times New Roman" w:cs="Times New Roman"/>
          <w:sz w:val="24"/>
          <w:szCs w:val="24"/>
        </w:rPr>
        <w:t>,</w:t>
      </w:r>
      <w:r w:rsidR="00F9320F">
        <w:rPr>
          <w:rFonts w:ascii="Times New Roman" w:hAnsi="Times New Roman" w:cs="Times New Roman"/>
          <w:sz w:val="24"/>
          <w:szCs w:val="24"/>
        </w:rPr>
        <w:t xml:space="preserve"> </w:t>
      </w:r>
      <w:r w:rsidR="00B23A21">
        <w:rPr>
          <w:rFonts w:ascii="Times New Roman" w:hAnsi="Times New Roman" w:cs="Times New Roman"/>
          <w:sz w:val="24"/>
          <w:szCs w:val="24"/>
        </w:rPr>
        <w:t xml:space="preserve">to revisit </w:t>
      </w:r>
      <w:r w:rsidR="007B3551">
        <w:rPr>
          <w:rFonts w:ascii="Times New Roman" w:hAnsi="Times New Roman" w:cs="Times New Roman"/>
          <w:sz w:val="24"/>
          <w:szCs w:val="24"/>
        </w:rPr>
        <w:t>the</w:t>
      </w:r>
      <w:r w:rsidR="006667D1" w:rsidRPr="006D15A0">
        <w:rPr>
          <w:rFonts w:ascii="Times New Roman" w:hAnsi="Times New Roman" w:cs="Times New Roman"/>
          <w:sz w:val="24"/>
          <w:szCs w:val="24"/>
        </w:rPr>
        <w:t xml:space="preserve"> </w:t>
      </w:r>
      <w:r w:rsidR="00DD12FC" w:rsidRPr="006D15A0">
        <w:rPr>
          <w:rFonts w:ascii="Times New Roman" w:hAnsi="Times New Roman" w:cs="Times New Roman"/>
          <w:sz w:val="24"/>
          <w:szCs w:val="24"/>
        </w:rPr>
        <w:t>above wording</w:t>
      </w:r>
      <w:r w:rsidR="006667D1" w:rsidRPr="006D15A0">
        <w:rPr>
          <w:rFonts w:ascii="Times New Roman" w:hAnsi="Times New Roman" w:cs="Times New Roman"/>
          <w:sz w:val="24"/>
          <w:szCs w:val="24"/>
        </w:rPr>
        <w:t>,</w:t>
      </w:r>
      <w:r w:rsidR="00DD12FC" w:rsidRPr="006D15A0">
        <w:rPr>
          <w:rFonts w:ascii="Times New Roman" w:hAnsi="Times New Roman" w:cs="Times New Roman"/>
          <w:sz w:val="24"/>
          <w:szCs w:val="24"/>
        </w:rPr>
        <w:t xml:space="preserve"> </w:t>
      </w:r>
      <w:r w:rsidR="006667D1" w:rsidRPr="006D15A0">
        <w:rPr>
          <w:rFonts w:ascii="Times New Roman" w:hAnsi="Times New Roman" w:cs="Times New Roman"/>
          <w:sz w:val="24"/>
          <w:szCs w:val="24"/>
        </w:rPr>
        <w:t xml:space="preserve">clarifying </w:t>
      </w:r>
      <w:r w:rsidR="00EF20AF" w:rsidRPr="006D15A0">
        <w:rPr>
          <w:rFonts w:ascii="Times New Roman" w:hAnsi="Times New Roman" w:cs="Times New Roman"/>
          <w:sz w:val="24"/>
          <w:szCs w:val="24"/>
        </w:rPr>
        <w:t xml:space="preserve">in </w:t>
      </w:r>
      <w:r w:rsidR="006667D1" w:rsidRPr="006D15A0">
        <w:rPr>
          <w:rFonts w:ascii="Times New Roman" w:hAnsi="Times New Roman" w:cs="Times New Roman"/>
          <w:sz w:val="24"/>
          <w:szCs w:val="24"/>
        </w:rPr>
        <w:t xml:space="preserve">what </w:t>
      </w:r>
      <w:r w:rsidR="00187E20">
        <w:rPr>
          <w:rFonts w:ascii="Times New Roman" w:hAnsi="Times New Roman" w:cs="Times New Roman"/>
          <w:sz w:val="24"/>
          <w:szCs w:val="24"/>
        </w:rPr>
        <w:t xml:space="preserve">circumstances </w:t>
      </w:r>
      <w:r w:rsidR="000126A1">
        <w:rPr>
          <w:rFonts w:ascii="Times New Roman" w:hAnsi="Times New Roman" w:cs="Times New Roman"/>
          <w:sz w:val="24"/>
          <w:szCs w:val="24"/>
        </w:rPr>
        <w:t xml:space="preserve">an </w:t>
      </w:r>
      <w:r w:rsidR="00C758DA" w:rsidRPr="006D15A0">
        <w:rPr>
          <w:rFonts w:ascii="Times New Roman" w:hAnsi="Times New Roman" w:cs="Times New Roman"/>
          <w:sz w:val="24"/>
          <w:szCs w:val="24"/>
        </w:rPr>
        <w:t>assembly may be considered “violent”</w:t>
      </w:r>
      <w:r w:rsidR="006667D1" w:rsidRPr="006D15A0">
        <w:rPr>
          <w:rFonts w:ascii="Times New Roman" w:hAnsi="Times New Roman" w:cs="Times New Roman"/>
          <w:sz w:val="24"/>
          <w:szCs w:val="24"/>
        </w:rPr>
        <w:t xml:space="preserve"> (in other words, when does the </w:t>
      </w:r>
      <w:r w:rsidR="00C758DA" w:rsidRPr="006D15A0">
        <w:rPr>
          <w:rFonts w:ascii="Times New Roman" w:hAnsi="Times New Roman" w:cs="Times New Roman"/>
          <w:sz w:val="24"/>
          <w:szCs w:val="24"/>
        </w:rPr>
        <w:t xml:space="preserve">violence committed </w:t>
      </w:r>
      <w:r w:rsidR="006667D1" w:rsidRPr="006D15A0">
        <w:rPr>
          <w:rFonts w:ascii="Times New Roman" w:hAnsi="Times New Roman" w:cs="Times New Roman"/>
          <w:sz w:val="24"/>
          <w:szCs w:val="24"/>
        </w:rPr>
        <w:t>by</w:t>
      </w:r>
      <w:r w:rsidR="00C758DA" w:rsidRPr="006D15A0">
        <w:rPr>
          <w:rFonts w:ascii="Times New Roman" w:hAnsi="Times New Roman" w:cs="Times New Roman"/>
          <w:sz w:val="24"/>
          <w:szCs w:val="24"/>
        </w:rPr>
        <w:t xml:space="preserve"> individuals turn entire assembly violent</w:t>
      </w:r>
      <w:r w:rsidR="006667D1" w:rsidRPr="006D15A0">
        <w:rPr>
          <w:rFonts w:ascii="Times New Roman" w:hAnsi="Times New Roman" w:cs="Times New Roman"/>
          <w:sz w:val="24"/>
          <w:szCs w:val="24"/>
        </w:rPr>
        <w:t xml:space="preserve">, how widespread the violence </w:t>
      </w:r>
      <w:r w:rsidR="000126A1">
        <w:rPr>
          <w:rFonts w:ascii="Times New Roman" w:hAnsi="Times New Roman" w:cs="Times New Roman"/>
          <w:sz w:val="24"/>
          <w:szCs w:val="24"/>
        </w:rPr>
        <w:t>needs to</w:t>
      </w:r>
      <w:r w:rsidR="000126A1" w:rsidRPr="006D15A0">
        <w:rPr>
          <w:rFonts w:ascii="Times New Roman" w:hAnsi="Times New Roman" w:cs="Times New Roman"/>
          <w:sz w:val="24"/>
          <w:szCs w:val="24"/>
        </w:rPr>
        <w:t xml:space="preserve"> </w:t>
      </w:r>
      <w:r w:rsidR="006667D1" w:rsidRPr="006D15A0">
        <w:rPr>
          <w:rFonts w:ascii="Times New Roman" w:hAnsi="Times New Roman" w:cs="Times New Roman"/>
          <w:sz w:val="24"/>
          <w:szCs w:val="24"/>
        </w:rPr>
        <w:t>be?</w:t>
      </w:r>
      <w:r w:rsidR="00C758DA" w:rsidRPr="006D15A0">
        <w:rPr>
          <w:rFonts w:ascii="Times New Roman" w:hAnsi="Times New Roman" w:cs="Times New Roman"/>
          <w:sz w:val="24"/>
          <w:szCs w:val="24"/>
        </w:rPr>
        <w:t xml:space="preserve">) and </w:t>
      </w:r>
      <w:r w:rsidR="00DD12FC" w:rsidRPr="006D15A0">
        <w:rPr>
          <w:rFonts w:ascii="Times New Roman" w:hAnsi="Times New Roman" w:cs="Times New Roman"/>
          <w:sz w:val="24"/>
          <w:szCs w:val="24"/>
        </w:rPr>
        <w:t>whe</w:t>
      </w:r>
      <w:r w:rsidR="00EF20AF" w:rsidRPr="006D15A0">
        <w:rPr>
          <w:rFonts w:ascii="Times New Roman" w:hAnsi="Times New Roman" w:cs="Times New Roman"/>
          <w:sz w:val="24"/>
          <w:szCs w:val="24"/>
        </w:rPr>
        <w:t xml:space="preserve">ther </w:t>
      </w:r>
      <w:r w:rsidR="00C758DA" w:rsidRPr="006D15A0">
        <w:rPr>
          <w:rFonts w:ascii="Times New Roman" w:hAnsi="Times New Roman" w:cs="Times New Roman"/>
          <w:sz w:val="24"/>
          <w:szCs w:val="24"/>
        </w:rPr>
        <w:t xml:space="preserve">individuals who </w:t>
      </w:r>
      <w:r w:rsidR="00B20455">
        <w:rPr>
          <w:rFonts w:ascii="Times New Roman" w:hAnsi="Times New Roman" w:cs="Times New Roman"/>
          <w:sz w:val="24"/>
          <w:szCs w:val="24"/>
        </w:rPr>
        <w:t xml:space="preserve">remain peaceful </w:t>
      </w:r>
      <w:r w:rsidR="00C758DA" w:rsidRPr="006D15A0">
        <w:rPr>
          <w:rFonts w:ascii="Times New Roman" w:hAnsi="Times New Roman" w:cs="Times New Roman"/>
          <w:sz w:val="24"/>
          <w:szCs w:val="24"/>
        </w:rPr>
        <w:t xml:space="preserve">in assembly </w:t>
      </w:r>
      <w:r w:rsidR="005B363C">
        <w:rPr>
          <w:rFonts w:ascii="Times New Roman" w:hAnsi="Times New Roman" w:cs="Times New Roman"/>
          <w:sz w:val="24"/>
          <w:szCs w:val="24"/>
        </w:rPr>
        <w:t>turning</w:t>
      </w:r>
      <w:r w:rsidR="000126A1">
        <w:rPr>
          <w:rFonts w:ascii="Times New Roman" w:hAnsi="Times New Roman" w:cs="Times New Roman"/>
          <w:sz w:val="24"/>
          <w:szCs w:val="24"/>
        </w:rPr>
        <w:t xml:space="preserve"> violent </w:t>
      </w:r>
      <w:r w:rsidR="00C758DA" w:rsidRPr="006D15A0">
        <w:rPr>
          <w:rFonts w:ascii="Times New Roman" w:hAnsi="Times New Roman" w:cs="Times New Roman"/>
          <w:sz w:val="24"/>
          <w:szCs w:val="24"/>
        </w:rPr>
        <w:t>lose</w:t>
      </w:r>
      <w:r w:rsidR="006667D1" w:rsidRPr="006D15A0">
        <w:rPr>
          <w:rFonts w:ascii="Times New Roman" w:hAnsi="Times New Roman" w:cs="Times New Roman"/>
          <w:sz w:val="24"/>
          <w:szCs w:val="24"/>
        </w:rPr>
        <w:t xml:space="preserve"> </w:t>
      </w:r>
      <w:r w:rsidR="000126A1">
        <w:rPr>
          <w:rFonts w:ascii="Times New Roman" w:hAnsi="Times New Roman" w:cs="Times New Roman"/>
          <w:sz w:val="24"/>
          <w:szCs w:val="24"/>
        </w:rPr>
        <w:t xml:space="preserve">the </w:t>
      </w:r>
      <w:r w:rsidR="006667D1" w:rsidRPr="006D15A0">
        <w:rPr>
          <w:rFonts w:ascii="Times New Roman" w:hAnsi="Times New Roman" w:cs="Times New Roman"/>
          <w:sz w:val="24"/>
          <w:szCs w:val="24"/>
        </w:rPr>
        <w:t xml:space="preserve">protection of the Article 21. </w:t>
      </w:r>
    </w:p>
    <w:p w14:paraId="21B170D5" w14:textId="110DBAB9" w:rsidR="00C758DA" w:rsidRPr="006D15A0" w:rsidRDefault="00C758DA" w:rsidP="00E5325A">
      <w:pPr>
        <w:pStyle w:val="CommentText"/>
        <w:ind w:left="567" w:hanging="567"/>
        <w:jc w:val="both"/>
        <w:rPr>
          <w:rFonts w:ascii="Times New Roman" w:hAnsi="Times New Roman" w:cs="Times New Roman"/>
          <w:sz w:val="24"/>
          <w:szCs w:val="24"/>
        </w:rPr>
      </w:pPr>
    </w:p>
    <w:p w14:paraId="0038790D" w14:textId="77777777" w:rsidR="006667D1" w:rsidRPr="006D15A0" w:rsidRDefault="006667D1" w:rsidP="00E5325A">
      <w:pPr>
        <w:pStyle w:val="CommentText"/>
        <w:ind w:left="567" w:hanging="567"/>
        <w:jc w:val="both"/>
        <w:rPr>
          <w:rFonts w:ascii="Times New Roman" w:hAnsi="Times New Roman" w:cs="Times New Roman"/>
          <w:noProof/>
          <w:sz w:val="24"/>
          <w:szCs w:val="24"/>
        </w:rPr>
      </w:pPr>
    </w:p>
    <w:p w14:paraId="4EB3E0E7" w14:textId="46937A03" w:rsidR="00E61A94" w:rsidRPr="006D15A0" w:rsidRDefault="00E61A94" w:rsidP="00D23534">
      <w:pPr>
        <w:pStyle w:val="CommentText"/>
        <w:ind w:left="567"/>
        <w:jc w:val="both"/>
        <w:rPr>
          <w:rFonts w:ascii="Times New Roman" w:hAnsi="Times New Roman" w:cs="Times New Roman"/>
          <w:noProof/>
          <w:sz w:val="24"/>
          <w:szCs w:val="24"/>
        </w:rPr>
      </w:pPr>
    </w:p>
    <w:p w14:paraId="18D72E21" w14:textId="1211789D" w:rsidR="002958EB" w:rsidRPr="006D15A0" w:rsidRDefault="002958EB" w:rsidP="00E5325A">
      <w:pPr>
        <w:pStyle w:val="CommentText"/>
        <w:ind w:left="567" w:hanging="567"/>
        <w:jc w:val="both"/>
        <w:rPr>
          <w:rFonts w:ascii="Times New Roman" w:hAnsi="Times New Roman" w:cs="Times New Roman"/>
          <w:noProof/>
          <w:sz w:val="24"/>
          <w:szCs w:val="24"/>
        </w:rPr>
      </w:pPr>
    </w:p>
    <w:p w14:paraId="1188A0AC" w14:textId="0736C53F" w:rsidR="006667D1" w:rsidRPr="006D15A0" w:rsidRDefault="006667D1" w:rsidP="00E5325A">
      <w:pPr>
        <w:pStyle w:val="CommentText"/>
        <w:numPr>
          <w:ilvl w:val="0"/>
          <w:numId w:val="4"/>
        </w:numPr>
        <w:ind w:left="567" w:hanging="567"/>
        <w:jc w:val="both"/>
        <w:rPr>
          <w:rFonts w:ascii="Times New Roman" w:hAnsi="Times New Roman" w:cs="Times New Roman"/>
          <w:noProof/>
          <w:sz w:val="24"/>
          <w:szCs w:val="24"/>
        </w:rPr>
      </w:pPr>
      <w:r w:rsidRPr="006D15A0">
        <w:rPr>
          <w:rFonts w:ascii="Times New Roman" w:hAnsi="Times New Roman" w:cs="Times New Roman"/>
          <w:noProof/>
          <w:sz w:val="24"/>
          <w:szCs w:val="24"/>
        </w:rPr>
        <w:t xml:space="preserve">The use of violence by a small number of participants in an assembly (including the use of language inciting hatred, violence or discrimination) does not automatically turn an otherwise peaceful assembly into a non-peaceful assembly. Moreover, ‘the possibility of extremists with violent intentions who are not members of the organising group joining a demonstration cannot as such take away [the right to freedom of peaceful assembly]’ from those who remain peaceful. Instead, international standards provide that even if there is a real risk of an assembly resulting in disorder as a result of developments outside the control of those organising it, this by itself does not remove it from the scope of </w:t>
      </w:r>
      <w:r w:rsidR="00187E20">
        <w:rPr>
          <w:rFonts w:ascii="Times New Roman" w:hAnsi="Times New Roman" w:cs="Times New Roman"/>
          <w:noProof/>
          <w:sz w:val="24"/>
          <w:szCs w:val="24"/>
        </w:rPr>
        <w:t xml:space="preserve">Article 21 of ICCPR or </w:t>
      </w:r>
      <w:r w:rsidRPr="006D15A0">
        <w:rPr>
          <w:rFonts w:ascii="Times New Roman" w:hAnsi="Times New Roman" w:cs="Times New Roman"/>
          <w:noProof/>
          <w:sz w:val="24"/>
          <w:szCs w:val="24"/>
        </w:rPr>
        <w:t>Article 11(1) ECHR. Furthermore, as stated by the European Court of Human Rights, ‘an individual does not cease to enjoy the right to freedom of peaceful assembly as a result of sporadic</w:t>
      </w:r>
      <w:r w:rsidR="005B363C">
        <w:rPr>
          <w:rFonts w:ascii="Times New Roman" w:hAnsi="Times New Roman" w:cs="Times New Roman"/>
          <w:noProof/>
          <w:sz w:val="24"/>
          <w:szCs w:val="24"/>
        </w:rPr>
        <w:t xml:space="preserve"> </w:t>
      </w:r>
      <w:r w:rsidR="00187E20">
        <w:rPr>
          <w:rFonts w:ascii="Times New Roman" w:hAnsi="Times New Roman" w:cs="Times New Roman"/>
          <w:noProof/>
          <w:sz w:val="24"/>
          <w:szCs w:val="24"/>
        </w:rPr>
        <w:t>violence</w:t>
      </w:r>
      <w:r w:rsidRPr="006D15A0">
        <w:rPr>
          <w:rFonts w:ascii="Times New Roman" w:hAnsi="Times New Roman" w:cs="Times New Roman"/>
          <w:noProof/>
          <w:sz w:val="24"/>
          <w:szCs w:val="24"/>
        </w:rPr>
        <w:t>.</w:t>
      </w:r>
      <w:r w:rsidRPr="006D15A0">
        <w:rPr>
          <w:rStyle w:val="FootnoteReference"/>
          <w:rFonts w:ascii="Times New Roman" w:hAnsi="Times New Roman" w:cs="Times New Roman"/>
          <w:noProof/>
          <w:sz w:val="24"/>
          <w:szCs w:val="24"/>
        </w:rPr>
        <w:footnoteReference w:id="5"/>
      </w:r>
    </w:p>
    <w:p w14:paraId="5A42C834" w14:textId="77777777" w:rsidR="006667D1" w:rsidRPr="006D15A0" w:rsidRDefault="006667D1" w:rsidP="00E5325A">
      <w:pPr>
        <w:pStyle w:val="CommentText"/>
        <w:ind w:left="567" w:hanging="567"/>
        <w:jc w:val="both"/>
        <w:rPr>
          <w:rFonts w:ascii="Times New Roman" w:hAnsi="Times New Roman" w:cs="Times New Roman"/>
          <w:noProof/>
          <w:sz w:val="24"/>
          <w:szCs w:val="24"/>
        </w:rPr>
      </w:pPr>
    </w:p>
    <w:p w14:paraId="4F8CC0E1" w14:textId="4CDAFACE" w:rsidR="00E31C5C" w:rsidRPr="00E5325A" w:rsidRDefault="00E31C5C" w:rsidP="00E5325A">
      <w:pPr>
        <w:pStyle w:val="ListParagraph"/>
        <w:numPr>
          <w:ilvl w:val="0"/>
          <w:numId w:val="4"/>
        </w:numPr>
        <w:ind w:left="567" w:hanging="567"/>
        <w:jc w:val="both"/>
        <w:rPr>
          <w:rFonts w:ascii="Times New Roman" w:hAnsi="Times New Roman" w:cs="Times New Roman"/>
          <w:sz w:val="24"/>
          <w:szCs w:val="24"/>
        </w:rPr>
      </w:pPr>
      <w:r w:rsidRPr="00E5325A">
        <w:rPr>
          <w:rFonts w:ascii="Times New Roman" w:hAnsi="Times New Roman" w:cs="Times New Roman"/>
          <w:sz w:val="24"/>
          <w:szCs w:val="24"/>
        </w:rPr>
        <w:lastRenderedPageBreak/>
        <w:t>The first sentence of para</w:t>
      </w:r>
      <w:r w:rsidR="00366871" w:rsidRPr="00E5325A">
        <w:rPr>
          <w:rFonts w:ascii="Times New Roman" w:hAnsi="Times New Roman" w:cs="Times New Roman"/>
          <w:sz w:val="24"/>
          <w:szCs w:val="24"/>
        </w:rPr>
        <w:t>.</w:t>
      </w:r>
      <w:r w:rsidRPr="00E5325A">
        <w:rPr>
          <w:rFonts w:ascii="Times New Roman" w:hAnsi="Times New Roman" w:cs="Times New Roman"/>
          <w:sz w:val="24"/>
          <w:szCs w:val="24"/>
        </w:rPr>
        <w:t xml:space="preserve"> 19 contains bracketed language defining a violent assembly as one that is characterized by [widespread and serious] violence [, and is sometimes referred to as a riot]. “As mentioned, defining an assembly as non-peaceful is not always straight forward” (see also comment on para 10). It is suggested to retain the bracketed language which requires cumulative condition for individual violent acts to be “widespread and </w:t>
      </w:r>
      <w:r w:rsidR="003B2707" w:rsidRPr="00E5325A">
        <w:rPr>
          <w:rFonts w:ascii="Times New Roman" w:hAnsi="Times New Roman" w:cs="Times New Roman"/>
          <w:sz w:val="24"/>
          <w:szCs w:val="24"/>
        </w:rPr>
        <w:t>serious</w:t>
      </w:r>
      <w:r w:rsidRPr="00E5325A">
        <w:rPr>
          <w:rFonts w:ascii="Times New Roman" w:hAnsi="Times New Roman" w:cs="Times New Roman"/>
          <w:sz w:val="24"/>
          <w:szCs w:val="24"/>
        </w:rPr>
        <w:t xml:space="preserve">” to turn the assembly violent. </w:t>
      </w:r>
    </w:p>
    <w:p w14:paraId="73975CE3" w14:textId="2FEB148E" w:rsidR="008A1CE9" w:rsidRPr="00693282" w:rsidRDefault="005215CC" w:rsidP="00D43F7F">
      <w:pPr>
        <w:ind w:left="567"/>
        <w:jc w:val="both"/>
        <w:rPr>
          <w:rFonts w:ascii="Times New Roman" w:hAnsi="Times New Roman" w:cs="Times New Roman"/>
          <w:b/>
          <w:i/>
          <w:sz w:val="24"/>
          <w:szCs w:val="24"/>
        </w:rPr>
      </w:pPr>
      <w:r w:rsidRPr="00693282">
        <w:rPr>
          <w:rFonts w:ascii="Times New Roman" w:hAnsi="Times New Roman" w:cs="Times New Roman"/>
          <w:b/>
          <w:sz w:val="24"/>
          <w:szCs w:val="24"/>
        </w:rPr>
        <w:t>Issues related to n</w:t>
      </w:r>
      <w:r w:rsidR="008A1CE9" w:rsidRPr="00693282">
        <w:rPr>
          <w:rFonts w:ascii="Times New Roman" w:hAnsi="Times New Roman" w:cs="Times New Roman"/>
          <w:b/>
          <w:sz w:val="24"/>
          <w:szCs w:val="24"/>
        </w:rPr>
        <w:t xml:space="preserve">ew technologies and </w:t>
      </w:r>
      <w:r w:rsidR="008A1CE9" w:rsidRPr="00693282">
        <w:rPr>
          <w:rFonts w:ascii="Times New Roman" w:hAnsi="Times New Roman" w:cs="Times New Roman"/>
          <w:b/>
          <w:sz w:val="24"/>
          <w:szCs w:val="24"/>
          <w:lang w:val="en-US"/>
        </w:rPr>
        <w:t xml:space="preserve">protection of </w:t>
      </w:r>
      <w:r w:rsidR="008A1CE9" w:rsidRPr="00693282">
        <w:rPr>
          <w:rFonts w:ascii="Times New Roman" w:hAnsi="Times New Roman" w:cs="Times New Roman"/>
          <w:b/>
          <w:noProof/>
          <w:sz w:val="24"/>
          <w:szCs w:val="24"/>
        </w:rPr>
        <w:t>assemblies which may occur</w:t>
      </w:r>
      <w:r w:rsidR="008A1CE9" w:rsidRPr="00693282">
        <w:rPr>
          <w:rFonts w:ascii="Times New Roman" w:hAnsi="Times New Roman" w:cs="Times New Roman"/>
          <w:b/>
          <w:i/>
          <w:noProof/>
          <w:sz w:val="24"/>
          <w:szCs w:val="24"/>
        </w:rPr>
        <w:t xml:space="preserve"> </w:t>
      </w:r>
      <w:r w:rsidR="008A1CE9" w:rsidRPr="00693282">
        <w:rPr>
          <w:rFonts w:ascii="Times New Roman" w:hAnsi="Times New Roman" w:cs="Times New Roman"/>
          <w:b/>
          <w:noProof/>
          <w:sz w:val="24"/>
          <w:szCs w:val="24"/>
        </w:rPr>
        <w:t>online</w:t>
      </w:r>
      <w:r w:rsidR="008A1CE9" w:rsidRPr="00693282">
        <w:rPr>
          <w:rFonts w:ascii="Times New Roman" w:hAnsi="Times New Roman" w:cs="Times New Roman"/>
          <w:b/>
          <w:i/>
          <w:noProof/>
          <w:sz w:val="24"/>
          <w:szCs w:val="24"/>
        </w:rPr>
        <w:t xml:space="preserve"> </w:t>
      </w:r>
    </w:p>
    <w:p w14:paraId="10D36056" w14:textId="21758B9E" w:rsidR="008A1CE9" w:rsidRPr="00E5325A" w:rsidRDefault="00FC7BD4" w:rsidP="00FC7BD4">
      <w:pPr>
        <w:pStyle w:val="CommentText"/>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175100" w:rsidRPr="00E5325A">
        <w:rPr>
          <w:rFonts w:ascii="Times New Roman" w:hAnsi="Times New Roman" w:cs="Times New Roman"/>
          <w:b/>
          <w:noProof/>
          <w:sz w:val="24"/>
          <w:szCs w:val="24"/>
        </w:rPr>
        <w:t xml:space="preserve">Para 4. </w:t>
      </w:r>
    </w:p>
    <w:p w14:paraId="208D9CBB" w14:textId="77777777" w:rsidR="00175100" w:rsidRPr="006D15A0" w:rsidRDefault="00175100" w:rsidP="00942E55">
      <w:pPr>
        <w:pStyle w:val="CommentText"/>
        <w:jc w:val="both"/>
        <w:rPr>
          <w:rFonts w:ascii="Times New Roman" w:hAnsi="Times New Roman" w:cs="Times New Roman"/>
          <w:noProof/>
          <w:sz w:val="24"/>
          <w:szCs w:val="24"/>
        </w:rPr>
      </w:pPr>
    </w:p>
    <w:p w14:paraId="18237E10" w14:textId="1063684D" w:rsidR="008A1CE9" w:rsidRDefault="00733708" w:rsidP="00E5325A">
      <w:pPr>
        <w:pStyle w:val="CommentText"/>
        <w:numPr>
          <w:ilvl w:val="0"/>
          <w:numId w:val="4"/>
        </w:numPr>
        <w:ind w:left="567" w:hanging="567"/>
        <w:jc w:val="both"/>
        <w:rPr>
          <w:rFonts w:ascii="Times New Roman" w:hAnsi="Times New Roman" w:cs="Times New Roman"/>
          <w:sz w:val="24"/>
          <w:szCs w:val="24"/>
        </w:rPr>
      </w:pPr>
      <w:r>
        <w:rPr>
          <w:rFonts w:ascii="Times New Roman" w:hAnsi="Times New Roman" w:cs="Times New Roman"/>
          <w:noProof/>
          <w:sz w:val="24"/>
          <w:szCs w:val="24"/>
        </w:rPr>
        <w:t>This p</w:t>
      </w:r>
      <w:r w:rsidR="008A1CE9" w:rsidRPr="006D15A0">
        <w:rPr>
          <w:rFonts w:ascii="Times New Roman" w:hAnsi="Times New Roman" w:cs="Times New Roman"/>
          <w:noProof/>
          <w:sz w:val="24"/>
          <w:szCs w:val="24"/>
        </w:rPr>
        <w:t xml:space="preserve">ara. contains bracketed language offering two alternatives confining the </w:t>
      </w:r>
      <w:r w:rsidR="008A1CE9" w:rsidRPr="006D15A0">
        <w:rPr>
          <w:rFonts w:ascii="Times New Roman" w:hAnsi="Times New Roman" w:cs="Times New Roman"/>
          <w:sz w:val="24"/>
          <w:szCs w:val="24"/>
        </w:rPr>
        <w:t xml:space="preserve">right to peaceful assembly to “a publicly accessible” </w:t>
      </w:r>
      <w:r w:rsidR="008A1CE9" w:rsidRPr="00175100">
        <w:rPr>
          <w:rFonts w:ascii="Times New Roman" w:hAnsi="Times New Roman" w:cs="Times New Roman"/>
          <w:sz w:val="24"/>
          <w:szCs w:val="24"/>
        </w:rPr>
        <w:t>or “</w:t>
      </w:r>
      <w:r w:rsidR="008A1CE9" w:rsidRPr="00187E20">
        <w:rPr>
          <w:rFonts w:ascii="Times New Roman" w:hAnsi="Times New Roman" w:cs="Times New Roman"/>
          <w:sz w:val="24"/>
          <w:szCs w:val="24"/>
        </w:rPr>
        <w:t>the same</w:t>
      </w:r>
      <w:r w:rsidR="008A1CE9" w:rsidRPr="00175100">
        <w:rPr>
          <w:rFonts w:ascii="Times New Roman" w:hAnsi="Times New Roman" w:cs="Times New Roman"/>
          <w:sz w:val="24"/>
          <w:szCs w:val="24"/>
        </w:rPr>
        <w:t>”</w:t>
      </w:r>
      <w:r w:rsidR="008A1CE9" w:rsidRPr="006D15A0">
        <w:rPr>
          <w:rFonts w:ascii="Times New Roman" w:hAnsi="Times New Roman" w:cs="Times New Roman"/>
          <w:sz w:val="24"/>
          <w:szCs w:val="24"/>
        </w:rPr>
        <w:t xml:space="preserve"> place. Both alternatives are broad enough to cover public and private property, however, “the same” would potentially exclude the application of Article 21 to </w:t>
      </w:r>
      <w:r w:rsidR="008A1CE9" w:rsidRPr="006D15A0">
        <w:rPr>
          <w:rFonts w:ascii="Times New Roman" w:hAnsi="Times New Roman" w:cs="Times New Roman"/>
          <w:noProof/>
          <w:sz w:val="24"/>
          <w:szCs w:val="24"/>
        </w:rPr>
        <w:t>some forms of online interaction which may serve functions that are equivalent to those of physical assemblies</w:t>
      </w:r>
      <w:r w:rsidR="008A1CE9" w:rsidRPr="006D15A0">
        <w:rPr>
          <w:rFonts w:ascii="Times New Roman" w:hAnsi="Times New Roman" w:cs="Times New Roman"/>
          <w:sz w:val="24"/>
          <w:szCs w:val="24"/>
        </w:rPr>
        <w:t xml:space="preserve"> and thus may fall under the scope of Article 21.</w:t>
      </w:r>
      <w:r w:rsidR="008A1CE9" w:rsidRPr="006D15A0">
        <w:rPr>
          <w:rStyle w:val="FootnoteReference"/>
          <w:rFonts w:ascii="Times New Roman" w:hAnsi="Times New Roman" w:cs="Times New Roman"/>
          <w:sz w:val="24"/>
          <w:szCs w:val="24"/>
        </w:rPr>
        <w:footnoteReference w:id="6"/>
      </w:r>
      <w:r w:rsidR="008A1CE9" w:rsidRPr="006D15A0">
        <w:rPr>
          <w:rFonts w:ascii="Times New Roman" w:hAnsi="Times New Roman" w:cs="Times New Roman"/>
          <w:sz w:val="24"/>
          <w:szCs w:val="24"/>
        </w:rPr>
        <w:t xml:space="preserve"> </w:t>
      </w:r>
    </w:p>
    <w:p w14:paraId="10742BBA" w14:textId="77777777" w:rsidR="005215CC" w:rsidRPr="006D15A0" w:rsidRDefault="005215CC" w:rsidP="00E5325A">
      <w:pPr>
        <w:pStyle w:val="CommentText"/>
        <w:ind w:left="567" w:hanging="567"/>
        <w:jc w:val="both"/>
        <w:rPr>
          <w:rFonts w:ascii="Times New Roman" w:hAnsi="Times New Roman" w:cs="Times New Roman"/>
          <w:sz w:val="24"/>
          <w:szCs w:val="24"/>
        </w:rPr>
      </w:pPr>
    </w:p>
    <w:p w14:paraId="14BC04CF" w14:textId="77777777" w:rsidR="008A1CE9" w:rsidRPr="00E5325A" w:rsidRDefault="008A1CE9" w:rsidP="00E5325A">
      <w:pPr>
        <w:pStyle w:val="ListParagraph"/>
        <w:numPr>
          <w:ilvl w:val="0"/>
          <w:numId w:val="4"/>
        </w:numPr>
        <w:ind w:left="567" w:hanging="567"/>
        <w:jc w:val="both"/>
        <w:rPr>
          <w:rFonts w:ascii="Times New Roman" w:hAnsi="Times New Roman" w:cs="Times New Roman"/>
        </w:rPr>
      </w:pPr>
      <w:r w:rsidRPr="00E5325A">
        <w:rPr>
          <w:rFonts w:ascii="Times New Roman" w:hAnsi="Times New Roman" w:cs="Times New Roman"/>
          <w:sz w:val="24"/>
          <w:szCs w:val="24"/>
        </w:rPr>
        <w:t xml:space="preserve">The ECHR, the ICCPR and other international instruments apply both offline and online. </w:t>
      </w:r>
      <w:r w:rsidRPr="00E5325A">
        <w:rPr>
          <w:rFonts w:ascii="Times New Roman" w:eastAsia="Calibri" w:hAnsi="Times New Roman" w:cs="Times New Roman"/>
          <w:iCs/>
          <w:sz w:val="24"/>
          <w:szCs w:val="24"/>
        </w:rPr>
        <w:t>The Internet and social media have greatly facilitated the exercise of fundamental rights including that of the right to freedom of peaceful assembly.</w:t>
      </w:r>
      <w:r w:rsidRPr="00693282">
        <w:rPr>
          <w:vertAlign w:val="superscript"/>
          <w:lang w:val="en-AU"/>
        </w:rPr>
        <w:footnoteReference w:id="7"/>
      </w:r>
      <w:r w:rsidRPr="00E5325A">
        <w:rPr>
          <w:rFonts w:ascii="Times New Roman" w:hAnsi="Times New Roman" w:cs="Times New Roman"/>
        </w:rPr>
        <w:t xml:space="preserve"> </w:t>
      </w:r>
    </w:p>
    <w:p w14:paraId="0C112749" w14:textId="77777777" w:rsidR="008A1CE9" w:rsidRPr="00693282" w:rsidRDefault="008A1CE9" w:rsidP="00E5325A">
      <w:pPr>
        <w:pStyle w:val="CommentText"/>
        <w:numPr>
          <w:ilvl w:val="0"/>
          <w:numId w:val="4"/>
        </w:numPr>
        <w:ind w:left="567" w:hanging="567"/>
        <w:jc w:val="both"/>
        <w:rPr>
          <w:rFonts w:ascii="Times New Roman" w:hAnsi="Times New Roman" w:cs="Times New Roman"/>
        </w:rPr>
      </w:pPr>
      <w:r w:rsidRPr="006D15A0">
        <w:rPr>
          <w:rFonts w:ascii="Times New Roman" w:hAnsi="Times New Roman" w:cs="Times New Roman"/>
          <w:noProof/>
          <w:sz w:val="24"/>
          <w:szCs w:val="24"/>
        </w:rPr>
        <w:t>Access to the Internet and social media has become an important aspect of an assembly for organizers, participants, monitors and human rights defenders. This is clearly an area where the rights to freedom of expression and freedom of peaceful assembly intersect, and some forms of online interaction may serve functions that are equivalent to those of physical assemblies. In this evolving sphere, the possibility that assemblies may occur wholly online cannot therefore be exclude</w:t>
      </w:r>
      <w:r w:rsidRPr="00E5325A">
        <w:rPr>
          <w:rFonts w:ascii="Times New Roman" w:hAnsi="Times New Roman" w:cs="Times New Roman"/>
          <w:noProof/>
          <w:sz w:val="24"/>
          <w:szCs w:val="24"/>
        </w:rPr>
        <w:t>d</w:t>
      </w:r>
      <w:r w:rsidRPr="00E5325A">
        <w:rPr>
          <w:rFonts w:ascii="Times New Roman" w:hAnsi="Times New Roman" w:cs="Times New Roman"/>
          <w:sz w:val="24"/>
          <w:szCs w:val="24"/>
        </w:rPr>
        <w:t>.</w:t>
      </w:r>
      <w:r w:rsidRPr="00E5325A">
        <w:rPr>
          <w:rStyle w:val="FootnoteReference"/>
          <w:rFonts w:ascii="Times New Roman" w:hAnsi="Times New Roman" w:cs="Times New Roman"/>
          <w:sz w:val="24"/>
          <w:szCs w:val="24"/>
        </w:rPr>
        <w:footnoteReference w:id="8"/>
      </w:r>
    </w:p>
    <w:p w14:paraId="091CC3D6" w14:textId="77777777" w:rsidR="008A1CE9" w:rsidRPr="00693282" w:rsidRDefault="008A1CE9" w:rsidP="00693282">
      <w:pPr>
        <w:pStyle w:val="CommentText"/>
        <w:jc w:val="both"/>
        <w:rPr>
          <w:rFonts w:ascii="Times New Roman" w:hAnsi="Times New Roman" w:cs="Times New Roman"/>
        </w:rPr>
      </w:pPr>
    </w:p>
    <w:p w14:paraId="2F919194" w14:textId="48D59E7D" w:rsidR="008A1CE9" w:rsidRPr="006D15A0" w:rsidRDefault="008A1CE9" w:rsidP="00E5325A">
      <w:pPr>
        <w:pStyle w:val="CommentText"/>
        <w:numPr>
          <w:ilvl w:val="0"/>
          <w:numId w:val="4"/>
        </w:numPr>
        <w:ind w:left="567" w:hanging="567"/>
        <w:jc w:val="both"/>
        <w:rPr>
          <w:rFonts w:ascii="Times New Roman" w:hAnsi="Times New Roman" w:cs="Times New Roman"/>
          <w:noProof/>
          <w:sz w:val="24"/>
          <w:szCs w:val="24"/>
        </w:rPr>
      </w:pPr>
      <w:r w:rsidRPr="006D15A0">
        <w:rPr>
          <w:rFonts w:ascii="Times New Roman" w:hAnsi="Times New Roman" w:cs="Times New Roman"/>
          <w:noProof/>
          <w:sz w:val="24"/>
          <w:szCs w:val="24"/>
        </w:rPr>
        <w:t xml:space="preserve">According to the </w:t>
      </w:r>
      <w:r w:rsidRPr="006D15A0">
        <w:rPr>
          <w:rFonts w:ascii="Times New Roman" w:hAnsi="Times New Roman" w:cs="Times New Roman"/>
          <w:sz w:val="24"/>
          <w:szCs w:val="24"/>
        </w:rPr>
        <w:t xml:space="preserve">Joint Report of the Special Rapporteur on the rights to freedom of peaceful assembly and of association and the Special Rapporteur on extrajudicial, summary or arbitrary executions on the proper management of assemblies, “[a]lthough an assembly has generally been understood as a physical gathering of people, it has been recognized that human rights protections, including for freedom of assembly, may apply to analogous interactions taking place online.” </w:t>
      </w:r>
      <w:r w:rsidRPr="006D15A0">
        <w:rPr>
          <w:rStyle w:val="FootnoteReference"/>
          <w:rFonts w:ascii="Times New Roman" w:hAnsi="Times New Roman" w:cs="Times New Roman"/>
          <w:sz w:val="24"/>
          <w:szCs w:val="24"/>
        </w:rPr>
        <w:footnoteReference w:id="9"/>
      </w:r>
      <w:r w:rsidRPr="006D15A0">
        <w:rPr>
          <w:rStyle w:val="FootnoteReference"/>
          <w:rFonts w:ascii="Times New Roman" w:hAnsi="Times New Roman" w:cs="Times New Roman"/>
          <w:sz w:val="24"/>
          <w:szCs w:val="24"/>
        </w:rPr>
        <w:t xml:space="preserve"> </w:t>
      </w:r>
      <w:r w:rsidRPr="006D15A0">
        <w:rPr>
          <w:rFonts w:ascii="Times New Roman" w:hAnsi="Times New Roman" w:cs="Times New Roman"/>
          <w:sz w:val="24"/>
          <w:szCs w:val="24"/>
        </w:rPr>
        <w:t xml:space="preserve">Therefore, it is proposed to consider revising the last sentence of para. 6. </w:t>
      </w:r>
    </w:p>
    <w:p w14:paraId="7E8AB460" w14:textId="77777777" w:rsidR="008A1CE9" w:rsidRPr="006D15A0" w:rsidRDefault="008A1CE9" w:rsidP="00E5325A">
      <w:pPr>
        <w:pStyle w:val="CommentText"/>
        <w:ind w:left="567" w:hanging="567"/>
        <w:jc w:val="both"/>
        <w:rPr>
          <w:rFonts w:ascii="Times New Roman" w:hAnsi="Times New Roman" w:cs="Times New Roman"/>
          <w:noProof/>
          <w:sz w:val="24"/>
          <w:szCs w:val="24"/>
        </w:rPr>
      </w:pPr>
    </w:p>
    <w:p w14:paraId="2A36D05F" w14:textId="77777777" w:rsidR="008A1CE9" w:rsidRPr="006D15A0" w:rsidRDefault="008A1CE9" w:rsidP="00E5325A">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Furthermore, Recommendation of the Committee of Ministers to member States on a Guide to human rights for Internet users provides following advice:  “… You have the freedom to choose any website, application or other service in order to form, join, mobilise and participate in social groups and assemblies whether or not they are formally recognised by public authorities…You have the right to protest peacefully online. However, you should be aware that, if your online protest leads to blockages, the disruption of services and/or damage to the property of others, you may face legal consequences.</w:t>
      </w:r>
      <w:r w:rsidRPr="006D15A0">
        <w:rPr>
          <w:rStyle w:val="FootnoteReference"/>
          <w:rFonts w:ascii="Times New Roman" w:hAnsi="Times New Roman" w:cs="Times New Roman"/>
          <w:sz w:val="24"/>
          <w:szCs w:val="24"/>
        </w:rPr>
        <w:footnoteReference w:id="10"/>
      </w:r>
      <w:r w:rsidRPr="006D15A0">
        <w:rPr>
          <w:rFonts w:ascii="Times New Roman" w:hAnsi="Times New Roman" w:cs="Times New Roman"/>
          <w:sz w:val="24"/>
          <w:szCs w:val="24"/>
        </w:rPr>
        <w:t xml:space="preserve">  </w:t>
      </w:r>
    </w:p>
    <w:p w14:paraId="447A27FA" w14:textId="77777777" w:rsidR="00A35ADC" w:rsidRDefault="00A35ADC" w:rsidP="00A35ADC">
      <w:pPr>
        <w:pStyle w:val="CommentText"/>
        <w:jc w:val="both"/>
        <w:rPr>
          <w:rFonts w:ascii="Times New Roman" w:hAnsi="Times New Roman" w:cs="Times New Roman"/>
          <w:noProof/>
          <w:sz w:val="24"/>
          <w:szCs w:val="24"/>
        </w:rPr>
      </w:pPr>
    </w:p>
    <w:p w14:paraId="0C50235C" w14:textId="6080B3AF" w:rsidR="008A1CE9" w:rsidRPr="00E5325A" w:rsidRDefault="008A1CE9" w:rsidP="00E5325A">
      <w:pPr>
        <w:pStyle w:val="CommentText"/>
        <w:ind w:firstLine="567"/>
        <w:jc w:val="both"/>
        <w:rPr>
          <w:rFonts w:ascii="Times New Roman" w:hAnsi="Times New Roman" w:cs="Times New Roman"/>
          <w:b/>
          <w:noProof/>
          <w:sz w:val="24"/>
          <w:szCs w:val="24"/>
        </w:rPr>
      </w:pPr>
      <w:r w:rsidRPr="00E5325A">
        <w:rPr>
          <w:rFonts w:ascii="Times New Roman" w:hAnsi="Times New Roman" w:cs="Times New Roman"/>
          <w:b/>
          <w:noProof/>
          <w:sz w:val="24"/>
          <w:szCs w:val="24"/>
        </w:rPr>
        <w:t>Para. 6</w:t>
      </w:r>
    </w:p>
    <w:p w14:paraId="796924D5" w14:textId="77777777" w:rsidR="008A1CE9" w:rsidRPr="006D15A0" w:rsidRDefault="008A1CE9" w:rsidP="00294B21">
      <w:pPr>
        <w:pStyle w:val="CommentText"/>
        <w:jc w:val="both"/>
        <w:rPr>
          <w:rFonts w:ascii="Times New Roman" w:hAnsi="Times New Roman" w:cs="Times New Roman"/>
          <w:noProof/>
          <w:sz w:val="24"/>
          <w:szCs w:val="24"/>
        </w:rPr>
      </w:pPr>
    </w:p>
    <w:p w14:paraId="51B70A38" w14:textId="77777777" w:rsidR="008A1CE9" w:rsidRPr="006D15A0" w:rsidRDefault="008A1CE9" w:rsidP="00E5325A">
      <w:pPr>
        <w:pStyle w:val="NoSpacing"/>
        <w:numPr>
          <w:ilvl w:val="0"/>
          <w:numId w:val="4"/>
        </w:numPr>
        <w:ind w:left="567" w:hanging="567"/>
        <w:jc w:val="both"/>
        <w:rPr>
          <w:rFonts w:ascii="Times New Roman" w:hAnsi="Times New Roman"/>
          <w:noProof/>
          <w:sz w:val="24"/>
          <w:szCs w:val="24"/>
        </w:rPr>
      </w:pPr>
      <w:r w:rsidRPr="006D15A0">
        <w:rPr>
          <w:rFonts w:ascii="Times New Roman" w:hAnsi="Times New Roman"/>
          <w:noProof/>
          <w:sz w:val="24"/>
          <w:szCs w:val="24"/>
        </w:rPr>
        <w:t xml:space="preserve">Para. 6 of the Draft GC37 speaks about various forms of asemblies and in the last sentence of the para. specifies that they can take </w:t>
      </w:r>
      <w:r w:rsidRPr="006D15A0">
        <w:rPr>
          <w:rFonts w:ascii="Times New Roman" w:hAnsi="Times New Roman"/>
          <w:sz w:val="24"/>
          <w:szCs w:val="24"/>
        </w:rPr>
        <w:t>place “outdoors or indoors”.</w:t>
      </w:r>
      <w:r w:rsidRPr="006D15A0">
        <w:rPr>
          <w:rFonts w:ascii="Times New Roman" w:hAnsi="Times New Roman"/>
          <w:noProof/>
          <w:sz w:val="24"/>
          <w:szCs w:val="24"/>
        </w:rPr>
        <w:t xml:space="preserve"> The proposed wording, while being correct with respect to assemblies taking place “offline”, may exclude some of the online interactions that may fall under the protection of Article 21. </w:t>
      </w:r>
    </w:p>
    <w:p w14:paraId="4A22BF88" w14:textId="77777777" w:rsidR="00037D47" w:rsidRDefault="00037D47" w:rsidP="006D15A0">
      <w:pPr>
        <w:pStyle w:val="NoSpacing"/>
        <w:jc w:val="both"/>
        <w:rPr>
          <w:rFonts w:ascii="Times New Roman" w:hAnsi="Times New Roman"/>
          <w:sz w:val="24"/>
          <w:szCs w:val="24"/>
          <w:lang w:val="en-US"/>
        </w:rPr>
      </w:pPr>
    </w:p>
    <w:p w14:paraId="4AE03299" w14:textId="77777777" w:rsidR="00C7027F" w:rsidRPr="00E5325A" w:rsidRDefault="00C7027F" w:rsidP="00E96386">
      <w:pPr>
        <w:pStyle w:val="CommentText"/>
        <w:ind w:firstLine="567"/>
        <w:jc w:val="both"/>
        <w:rPr>
          <w:rFonts w:ascii="Times New Roman" w:hAnsi="Times New Roman" w:cs="Times New Roman"/>
          <w:b/>
          <w:noProof/>
          <w:sz w:val="24"/>
          <w:szCs w:val="24"/>
        </w:rPr>
      </w:pPr>
      <w:r w:rsidRPr="00E5325A">
        <w:rPr>
          <w:rFonts w:ascii="Times New Roman" w:hAnsi="Times New Roman" w:cs="Times New Roman"/>
          <w:b/>
          <w:sz w:val="24"/>
          <w:szCs w:val="24"/>
        </w:rPr>
        <w:t xml:space="preserve">Para. </w:t>
      </w:r>
      <w:r w:rsidRPr="00E5325A">
        <w:rPr>
          <w:rFonts w:ascii="Times New Roman" w:hAnsi="Times New Roman" w:cs="Times New Roman"/>
          <w:b/>
          <w:noProof/>
          <w:sz w:val="24"/>
          <w:szCs w:val="24"/>
        </w:rPr>
        <w:t xml:space="preserve">11 </w:t>
      </w:r>
    </w:p>
    <w:p w14:paraId="1601ED4E" w14:textId="77777777" w:rsidR="00C7027F" w:rsidRPr="006D15A0" w:rsidRDefault="00C7027F" w:rsidP="00A35ADC">
      <w:pPr>
        <w:pStyle w:val="CommentText"/>
        <w:jc w:val="both"/>
        <w:rPr>
          <w:rFonts w:ascii="Times New Roman" w:hAnsi="Times New Roman" w:cs="Times New Roman"/>
          <w:sz w:val="24"/>
          <w:szCs w:val="24"/>
        </w:rPr>
      </w:pPr>
    </w:p>
    <w:p w14:paraId="62F97504" w14:textId="56832030" w:rsidR="00C7027F" w:rsidRPr="00E5325A" w:rsidRDefault="00C7027F" w:rsidP="00E96386">
      <w:pPr>
        <w:pStyle w:val="ListParagraph"/>
        <w:numPr>
          <w:ilvl w:val="0"/>
          <w:numId w:val="4"/>
        </w:numPr>
        <w:ind w:left="567" w:hanging="567"/>
        <w:jc w:val="both"/>
        <w:rPr>
          <w:rFonts w:ascii="Times New Roman" w:eastAsia="Calibri" w:hAnsi="Times New Roman" w:cs="Times New Roman"/>
          <w:iCs/>
          <w:sz w:val="24"/>
          <w:szCs w:val="24"/>
        </w:rPr>
      </w:pPr>
      <w:r w:rsidRPr="00E5325A">
        <w:rPr>
          <w:rFonts w:ascii="Times New Roman" w:eastAsia="Calibri" w:hAnsi="Times New Roman" w:cs="Times New Roman"/>
          <w:iCs/>
          <w:sz w:val="24"/>
          <w:szCs w:val="24"/>
        </w:rPr>
        <w:t xml:space="preserve">An essential part of the exercise of the right to freedom of assembly is the right to choose the form in which ideas are conveyed and so, in this evolving sphere, this may include the Internet and social media outlets, even where such platforms are privately owned but are considered a space which is available for public use. </w:t>
      </w:r>
      <w:r w:rsidRPr="00E5325A">
        <w:rPr>
          <w:rFonts w:ascii="Times New Roman" w:hAnsi="Times New Roman" w:cs="Times New Roman"/>
          <w:iCs/>
          <w:sz w:val="24"/>
          <w:szCs w:val="24"/>
        </w:rPr>
        <w:t xml:space="preserve">Para. </w:t>
      </w:r>
      <w:r w:rsidRPr="00E5325A">
        <w:rPr>
          <w:rFonts w:ascii="Times New Roman" w:eastAsia="Calibri" w:hAnsi="Times New Roman" w:cs="Times New Roman"/>
          <w:iCs/>
          <w:sz w:val="24"/>
          <w:szCs w:val="24"/>
        </w:rPr>
        <w:t xml:space="preserve"> 11 </w:t>
      </w:r>
      <w:r w:rsidRPr="00E5325A">
        <w:rPr>
          <w:rFonts w:ascii="Times New Roman" w:hAnsi="Times New Roman" w:cs="Times New Roman"/>
          <w:iCs/>
          <w:sz w:val="24"/>
          <w:szCs w:val="24"/>
        </w:rPr>
        <w:t xml:space="preserve">of the Draft GC37 </w:t>
      </w:r>
      <w:r w:rsidR="005215CC" w:rsidRPr="00E5325A">
        <w:rPr>
          <w:rFonts w:ascii="Times New Roman" w:hAnsi="Times New Roman" w:cs="Times New Roman"/>
          <w:iCs/>
          <w:sz w:val="24"/>
          <w:szCs w:val="24"/>
        </w:rPr>
        <w:t xml:space="preserve">acknowledges that the way in which assemblies are conducted changes over time and that emerging technologies present new spaces and opportunities as well as challenges for the exercise of the right of peaceful assembly. It also </w:t>
      </w:r>
      <w:r w:rsidRPr="00E5325A">
        <w:rPr>
          <w:rFonts w:ascii="Times New Roman" w:hAnsi="Times New Roman" w:cs="Times New Roman"/>
          <w:iCs/>
          <w:sz w:val="24"/>
          <w:szCs w:val="24"/>
        </w:rPr>
        <w:t xml:space="preserve">emphasizes that to the </w:t>
      </w:r>
      <w:r w:rsidRPr="00E5325A">
        <w:rPr>
          <w:rFonts w:ascii="Times New Roman" w:hAnsi="Times New Roman" w:cs="Times New Roman"/>
          <w:i/>
          <w:sz w:val="24"/>
          <w:szCs w:val="24"/>
        </w:rPr>
        <w:lastRenderedPageBreak/>
        <w:t>“communication technologies often play an integral role in organizing and monitoring”</w:t>
      </w:r>
      <w:r w:rsidR="005215CC" w:rsidRPr="00E5325A">
        <w:rPr>
          <w:rFonts w:ascii="Times New Roman" w:hAnsi="Times New Roman" w:cs="Times New Roman"/>
          <w:i/>
          <w:sz w:val="24"/>
          <w:szCs w:val="24"/>
        </w:rPr>
        <w:t>,</w:t>
      </w:r>
      <w:r w:rsidRPr="00E5325A">
        <w:rPr>
          <w:rFonts w:ascii="Times New Roman" w:hAnsi="Times New Roman" w:cs="Times New Roman"/>
          <w:i/>
          <w:sz w:val="24"/>
          <w:szCs w:val="24"/>
        </w:rPr>
        <w:t xml:space="preserve"> </w:t>
      </w:r>
      <w:r w:rsidR="005215CC" w:rsidRPr="00E5325A">
        <w:rPr>
          <w:rFonts w:ascii="Times New Roman" w:hAnsi="Times New Roman" w:cs="Times New Roman"/>
          <w:sz w:val="24"/>
          <w:szCs w:val="24"/>
        </w:rPr>
        <w:t xml:space="preserve">while </w:t>
      </w:r>
      <w:r w:rsidRPr="00E5325A">
        <w:rPr>
          <w:rFonts w:ascii="Times New Roman" w:hAnsi="Times New Roman" w:cs="Times New Roman"/>
          <w:sz w:val="24"/>
          <w:szCs w:val="24"/>
        </w:rPr>
        <w:t>the last</w:t>
      </w:r>
      <w:r w:rsidRPr="00E5325A">
        <w:rPr>
          <w:rFonts w:ascii="Times New Roman" w:eastAsia="Calibri" w:hAnsi="Times New Roman" w:cs="Times New Roman"/>
          <w:iCs/>
          <w:sz w:val="24"/>
          <w:szCs w:val="24"/>
        </w:rPr>
        <w:t xml:space="preserve"> sentence of the para</w:t>
      </w:r>
      <w:r w:rsidR="00861A5A" w:rsidRPr="00E5325A">
        <w:rPr>
          <w:rFonts w:ascii="Times New Roman" w:eastAsia="Calibri" w:hAnsi="Times New Roman" w:cs="Times New Roman"/>
          <w:iCs/>
          <w:sz w:val="24"/>
          <w:szCs w:val="24"/>
        </w:rPr>
        <w:t>graph</w:t>
      </w:r>
      <w:r w:rsidRPr="00E5325A">
        <w:rPr>
          <w:rFonts w:ascii="Times New Roman" w:eastAsia="Calibri" w:hAnsi="Times New Roman" w:cs="Times New Roman"/>
          <w:iCs/>
          <w:sz w:val="24"/>
          <w:szCs w:val="24"/>
        </w:rPr>
        <w:t xml:space="preserve"> reminds of the “</w:t>
      </w:r>
      <w:r w:rsidRPr="00E5325A">
        <w:rPr>
          <w:rFonts w:ascii="Times New Roman" w:eastAsia="Calibri" w:hAnsi="Times New Roman" w:cs="Times New Roman"/>
          <w:i/>
          <w:iCs/>
          <w:sz w:val="24"/>
          <w:szCs w:val="24"/>
        </w:rPr>
        <w:t>increased private ownership of public spaces</w:t>
      </w:r>
      <w:r w:rsidRPr="00E5325A">
        <w:rPr>
          <w:rFonts w:ascii="Times New Roman" w:eastAsia="Calibri" w:hAnsi="Times New Roman" w:cs="Times New Roman"/>
          <w:iCs/>
          <w:sz w:val="24"/>
          <w:szCs w:val="24"/>
        </w:rPr>
        <w:t>”. While emphasizing on ability to organize, mobilize as well as monitor assemblies, it is also suggested to mention private ownership of online spaces as it may certainly effect the exercise of the right to F</w:t>
      </w:r>
      <w:r w:rsidR="00E801F8">
        <w:rPr>
          <w:rFonts w:ascii="Times New Roman" w:eastAsia="Calibri" w:hAnsi="Times New Roman" w:cs="Times New Roman"/>
          <w:iCs/>
          <w:sz w:val="24"/>
          <w:szCs w:val="24"/>
        </w:rPr>
        <w:t xml:space="preserve">reedom of </w:t>
      </w:r>
      <w:r w:rsidRPr="00E5325A">
        <w:rPr>
          <w:rFonts w:ascii="Times New Roman" w:eastAsia="Calibri" w:hAnsi="Times New Roman" w:cs="Times New Roman"/>
          <w:iCs/>
          <w:sz w:val="24"/>
          <w:szCs w:val="24"/>
        </w:rPr>
        <w:t>P</w:t>
      </w:r>
      <w:r w:rsidR="00E801F8">
        <w:rPr>
          <w:rFonts w:ascii="Times New Roman" w:eastAsia="Calibri" w:hAnsi="Times New Roman" w:cs="Times New Roman"/>
          <w:iCs/>
          <w:sz w:val="24"/>
          <w:szCs w:val="24"/>
        </w:rPr>
        <w:t xml:space="preserve">eaceful </w:t>
      </w:r>
      <w:r w:rsidRPr="00E5325A">
        <w:rPr>
          <w:rFonts w:ascii="Times New Roman" w:eastAsia="Calibri" w:hAnsi="Times New Roman" w:cs="Times New Roman"/>
          <w:iCs/>
          <w:sz w:val="24"/>
          <w:szCs w:val="24"/>
        </w:rPr>
        <w:t>A</w:t>
      </w:r>
      <w:r w:rsidR="00E801F8">
        <w:rPr>
          <w:rFonts w:ascii="Times New Roman" w:eastAsia="Calibri" w:hAnsi="Times New Roman" w:cs="Times New Roman"/>
          <w:iCs/>
          <w:sz w:val="24"/>
          <w:szCs w:val="24"/>
        </w:rPr>
        <w:t>ssembly</w:t>
      </w:r>
      <w:r w:rsidR="005215CC" w:rsidRPr="00E5325A">
        <w:rPr>
          <w:rFonts w:ascii="Times New Roman" w:eastAsia="Calibri" w:hAnsi="Times New Roman" w:cs="Times New Roman"/>
          <w:iCs/>
          <w:sz w:val="24"/>
          <w:szCs w:val="24"/>
        </w:rPr>
        <w:t xml:space="preserve"> and that </w:t>
      </w:r>
      <w:r w:rsidR="005215CC" w:rsidRPr="00E5325A">
        <w:rPr>
          <w:rFonts w:ascii="Times New Roman" w:hAnsi="Times New Roman" w:cs="Times New Roman"/>
          <w:iCs/>
          <w:sz w:val="24"/>
          <w:szCs w:val="24"/>
        </w:rPr>
        <w:t>may also “affect the way in which the right is to be approached by the authorities”</w:t>
      </w:r>
      <w:r w:rsidRPr="00E5325A">
        <w:rPr>
          <w:rFonts w:ascii="Times New Roman" w:eastAsia="Calibri" w:hAnsi="Times New Roman" w:cs="Times New Roman"/>
          <w:iCs/>
          <w:sz w:val="24"/>
          <w:szCs w:val="24"/>
        </w:rPr>
        <w:t xml:space="preserve">. </w:t>
      </w:r>
    </w:p>
    <w:p w14:paraId="702BDC1B" w14:textId="79F9ACA8" w:rsidR="00C9062F" w:rsidRPr="00E96386" w:rsidRDefault="00EB20F9" w:rsidP="00E96386">
      <w:pPr>
        <w:pStyle w:val="CommentText"/>
        <w:ind w:firstLine="567"/>
        <w:rPr>
          <w:rFonts w:ascii="Times New Roman" w:hAnsi="Times New Roman" w:cs="Times New Roman"/>
          <w:b/>
          <w:sz w:val="24"/>
          <w:szCs w:val="24"/>
        </w:rPr>
      </w:pPr>
      <w:r w:rsidRPr="00E96386">
        <w:rPr>
          <w:rFonts w:ascii="Times New Roman" w:hAnsi="Times New Roman" w:cs="Times New Roman"/>
          <w:b/>
          <w:sz w:val="24"/>
          <w:szCs w:val="24"/>
        </w:rPr>
        <w:t>P</w:t>
      </w:r>
      <w:r w:rsidR="00E96386" w:rsidRPr="00E96386">
        <w:rPr>
          <w:rFonts w:ascii="Times New Roman" w:hAnsi="Times New Roman" w:cs="Times New Roman"/>
          <w:b/>
          <w:sz w:val="24"/>
          <w:szCs w:val="24"/>
        </w:rPr>
        <w:t>ara.</w:t>
      </w:r>
      <w:r w:rsidR="00E96386">
        <w:rPr>
          <w:rFonts w:ascii="Times New Roman" w:hAnsi="Times New Roman" w:cs="Times New Roman"/>
          <w:b/>
          <w:sz w:val="24"/>
          <w:szCs w:val="24"/>
        </w:rPr>
        <w:t xml:space="preserve"> </w:t>
      </w:r>
      <w:r w:rsidRPr="00E96386">
        <w:rPr>
          <w:rFonts w:ascii="Times New Roman" w:hAnsi="Times New Roman" w:cs="Times New Roman"/>
          <w:b/>
          <w:sz w:val="24"/>
          <w:szCs w:val="24"/>
        </w:rPr>
        <w:t>35</w:t>
      </w:r>
      <w:r w:rsidR="00C9062F" w:rsidRPr="00E96386">
        <w:rPr>
          <w:rFonts w:ascii="Times New Roman" w:hAnsi="Times New Roman" w:cs="Times New Roman"/>
          <w:b/>
          <w:sz w:val="24"/>
          <w:szCs w:val="24"/>
        </w:rPr>
        <w:br/>
      </w:r>
    </w:p>
    <w:p w14:paraId="01326E2A" w14:textId="52D2A5CA" w:rsidR="00C9062F" w:rsidRPr="00D43F7F" w:rsidRDefault="00EB20F9" w:rsidP="00861A5A">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Internet Service Providers could be mentioned specifically, as they are very important for assemblies.  While States have the ultimate obligation to protect human rights, the obligations to respect, protect and fulfil, extend also to third parties, including Internet Service Providers (ISPs) which, while privately owned companies, host the publicly available space for expression and assembly. In co-operation with the ISPs, States should ensure that self-regulation does not lead to censorship of content that would ordinarily be permissible and acceptable in a democratic society.</w:t>
      </w:r>
      <w:r w:rsidRPr="006D15A0">
        <w:rPr>
          <w:rStyle w:val="FootnoteReference"/>
          <w:rFonts w:ascii="Times New Roman" w:hAnsi="Times New Roman" w:cs="Times New Roman"/>
          <w:sz w:val="24"/>
          <w:szCs w:val="24"/>
        </w:rPr>
        <w:footnoteReference w:id="11"/>
      </w:r>
      <w:r w:rsidRPr="006D15A0">
        <w:rPr>
          <w:rFonts w:ascii="Times New Roman" w:hAnsi="Times New Roman" w:cs="Times New Roman"/>
          <w:sz w:val="24"/>
          <w:szCs w:val="24"/>
        </w:rPr>
        <w:t xml:space="preserve"> This also applies to assemblies expressing views that may ‘offend, shock or disturb’ the State or any sector of the population</w:t>
      </w:r>
      <w:r w:rsidRPr="006D15A0">
        <w:rPr>
          <w:rFonts w:ascii="Times New Roman" w:hAnsi="Times New Roman" w:cs="Times New Roman"/>
          <w:sz w:val="24"/>
          <w:szCs w:val="24"/>
          <w:vertAlign w:val="superscript"/>
        </w:rPr>
        <w:footnoteReference w:id="12"/>
      </w:r>
      <w:r w:rsidRPr="006D15A0">
        <w:rPr>
          <w:rFonts w:ascii="Times New Roman" w:hAnsi="Times New Roman" w:cs="Times New Roman"/>
          <w:sz w:val="24"/>
          <w:szCs w:val="24"/>
        </w:rPr>
        <w:t xml:space="preserve"> for as long as they do not incite violence.</w:t>
      </w:r>
      <w:r w:rsidRPr="006D15A0">
        <w:rPr>
          <w:rFonts w:ascii="Times New Roman" w:hAnsi="Times New Roman" w:cs="Times New Roman"/>
          <w:sz w:val="24"/>
          <w:szCs w:val="24"/>
          <w:vertAlign w:val="superscript"/>
        </w:rPr>
        <w:footnoteReference w:id="13"/>
      </w:r>
      <w:r w:rsidR="00D43F7F">
        <w:rPr>
          <w:rFonts w:ascii="Times New Roman" w:hAnsi="Times New Roman" w:cs="Times New Roman"/>
          <w:sz w:val="24"/>
          <w:szCs w:val="24"/>
        </w:rPr>
        <w:br/>
      </w:r>
    </w:p>
    <w:p w14:paraId="6DE83C53" w14:textId="01D2707F" w:rsidR="009049B7" w:rsidRPr="00294B21" w:rsidRDefault="009049B7" w:rsidP="00E96386">
      <w:pPr>
        <w:ind w:firstLine="567"/>
        <w:jc w:val="both"/>
        <w:rPr>
          <w:rFonts w:ascii="Times New Roman" w:hAnsi="Times New Roman" w:cs="Times New Roman"/>
          <w:b/>
          <w:sz w:val="24"/>
          <w:szCs w:val="24"/>
        </w:rPr>
      </w:pPr>
      <w:r w:rsidRPr="00294B21">
        <w:rPr>
          <w:rFonts w:ascii="Times New Roman" w:hAnsi="Times New Roman" w:cs="Times New Roman"/>
          <w:b/>
          <w:sz w:val="24"/>
          <w:szCs w:val="24"/>
        </w:rPr>
        <w:t>Furth</w:t>
      </w:r>
      <w:r w:rsidR="00C7027F" w:rsidRPr="00294B21">
        <w:rPr>
          <w:rFonts w:ascii="Times New Roman" w:hAnsi="Times New Roman" w:cs="Times New Roman"/>
          <w:b/>
          <w:sz w:val="24"/>
          <w:szCs w:val="24"/>
        </w:rPr>
        <w:t>er issues on the scope of the scope of the right to freedom of peaceful assembly</w:t>
      </w:r>
    </w:p>
    <w:p w14:paraId="3A62BDCF" w14:textId="7A61A57C" w:rsidR="00C7027F" w:rsidRPr="00E96386" w:rsidRDefault="00C7027F" w:rsidP="00E96386">
      <w:pPr>
        <w:pStyle w:val="CommentText"/>
        <w:ind w:firstLine="567"/>
        <w:jc w:val="both"/>
        <w:rPr>
          <w:rFonts w:ascii="Times New Roman" w:hAnsi="Times New Roman" w:cs="Times New Roman"/>
          <w:b/>
          <w:noProof/>
          <w:sz w:val="24"/>
          <w:szCs w:val="24"/>
        </w:rPr>
      </w:pPr>
      <w:r w:rsidRPr="00E96386">
        <w:rPr>
          <w:rFonts w:ascii="Times New Roman" w:hAnsi="Times New Roman" w:cs="Times New Roman"/>
          <w:b/>
          <w:noProof/>
          <w:sz w:val="24"/>
          <w:szCs w:val="24"/>
        </w:rPr>
        <w:t>Para. 7</w:t>
      </w:r>
    </w:p>
    <w:p w14:paraId="0F167B03" w14:textId="77777777" w:rsidR="00E96386" w:rsidRPr="006D15A0" w:rsidRDefault="00E96386" w:rsidP="00861A5A">
      <w:pPr>
        <w:pStyle w:val="CommentText"/>
        <w:jc w:val="both"/>
        <w:rPr>
          <w:rFonts w:ascii="Times New Roman" w:hAnsi="Times New Roman" w:cs="Times New Roman"/>
          <w:noProof/>
          <w:sz w:val="24"/>
          <w:szCs w:val="24"/>
        </w:rPr>
      </w:pPr>
    </w:p>
    <w:p w14:paraId="1F1878E1" w14:textId="77777777" w:rsidR="00E801F8" w:rsidRDefault="00C7027F" w:rsidP="00D43F7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 xml:space="preserve">Suggestion to change “and” to “or” in: </w:t>
      </w:r>
      <w:r w:rsidRPr="006D15A0">
        <w:rPr>
          <w:rFonts w:ascii="Times New Roman" w:hAnsi="Times New Roman" w:cs="Times New Roman"/>
          <w:i/>
          <w:sz w:val="24"/>
          <w:szCs w:val="24"/>
        </w:rPr>
        <w:t xml:space="preserve">However, peaceful assemblies are sometimes used to pursue ideas or goals that are somehow contentious, </w:t>
      </w:r>
      <w:r w:rsidRPr="006D15A0">
        <w:rPr>
          <w:rFonts w:ascii="Times New Roman" w:hAnsi="Times New Roman" w:cs="Times New Roman"/>
          <w:i/>
          <w:strike/>
          <w:sz w:val="24"/>
          <w:szCs w:val="24"/>
        </w:rPr>
        <w:t>and</w:t>
      </w:r>
      <w:r w:rsidRPr="006D15A0">
        <w:rPr>
          <w:rFonts w:ascii="Times New Roman" w:hAnsi="Times New Roman" w:cs="Times New Roman"/>
          <w:i/>
          <w:sz w:val="24"/>
          <w:szCs w:val="24"/>
        </w:rPr>
        <w:t xml:space="preserve"> or their scale or nature can cause disruption</w:t>
      </w:r>
      <w:r w:rsidR="00A155E0">
        <w:rPr>
          <w:rFonts w:ascii="Times New Roman" w:hAnsi="Times New Roman" w:cs="Times New Roman"/>
          <w:i/>
          <w:sz w:val="24"/>
          <w:szCs w:val="24"/>
        </w:rPr>
        <w:t xml:space="preserve">. </w:t>
      </w:r>
      <w:r w:rsidR="00A155E0" w:rsidRPr="00861A5A">
        <w:rPr>
          <w:rFonts w:ascii="Times New Roman" w:hAnsi="Times New Roman" w:cs="Times New Roman"/>
          <w:sz w:val="24"/>
          <w:szCs w:val="24"/>
        </w:rPr>
        <w:t xml:space="preserve">This provides two alternative situations, the </w:t>
      </w:r>
      <w:r w:rsidR="00294B21">
        <w:rPr>
          <w:rFonts w:ascii="Times New Roman" w:hAnsi="Times New Roman" w:cs="Times New Roman"/>
          <w:sz w:val="24"/>
          <w:szCs w:val="24"/>
        </w:rPr>
        <w:t>“</w:t>
      </w:r>
      <w:r w:rsidR="00A155E0" w:rsidRPr="00861A5A">
        <w:rPr>
          <w:rFonts w:ascii="Times New Roman" w:hAnsi="Times New Roman" w:cs="Times New Roman"/>
          <w:sz w:val="24"/>
          <w:szCs w:val="24"/>
        </w:rPr>
        <w:t>and</w:t>
      </w:r>
      <w:r w:rsidR="00294B21">
        <w:rPr>
          <w:rFonts w:ascii="Times New Roman" w:hAnsi="Times New Roman" w:cs="Times New Roman"/>
          <w:sz w:val="24"/>
          <w:szCs w:val="24"/>
        </w:rPr>
        <w:t>”</w:t>
      </w:r>
      <w:r w:rsidR="00A155E0" w:rsidRPr="00861A5A">
        <w:rPr>
          <w:rFonts w:ascii="Times New Roman" w:hAnsi="Times New Roman" w:cs="Times New Roman"/>
          <w:sz w:val="24"/>
          <w:szCs w:val="24"/>
        </w:rPr>
        <w:t xml:space="preserve"> could indicate</w:t>
      </w:r>
    </w:p>
    <w:p w14:paraId="651ABBFC" w14:textId="0DD2A9BB" w:rsidR="00294B21" w:rsidRPr="00D43F7F" w:rsidRDefault="00E801F8" w:rsidP="00E801F8">
      <w:pPr>
        <w:pStyle w:val="CommentText"/>
        <w:rPr>
          <w:rFonts w:ascii="Times New Roman" w:hAnsi="Times New Roman" w:cs="Times New Roman"/>
          <w:sz w:val="24"/>
          <w:szCs w:val="24"/>
        </w:rPr>
      </w:pPr>
      <w:r>
        <w:rPr>
          <w:rFonts w:ascii="Times New Roman" w:hAnsi="Times New Roman" w:cs="Times New Roman"/>
          <w:sz w:val="24"/>
          <w:szCs w:val="24"/>
        </w:rPr>
        <w:t xml:space="preserve">         </w:t>
      </w:r>
      <w:r w:rsidR="00A155E0" w:rsidRPr="00861A5A">
        <w:rPr>
          <w:rFonts w:ascii="Times New Roman" w:hAnsi="Times New Roman" w:cs="Times New Roman"/>
          <w:sz w:val="24"/>
          <w:szCs w:val="24"/>
        </w:rPr>
        <w:t>cumulative requirements.</w:t>
      </w:r>
      <w:r w:rsidR="00A155E0">
        <w:rPr>
          <w:rFonts w:ascii="Times New Roman" w:hAnsi="Times New Roman" w:cs="Times New Roman"/>
          <w:i/>
          <w:sz w:val="24"/>
          <w:szCs w:val="24"/>
        </w:rPr>
        <w:t xml:space="preserve"> </w:t>
      </w:r>
      <w:r w:rsidR="00D43F7F">
        <w:rPr>
          <w:rFonts w:ascii="Times New Roman" w:hAnsi="Times New Roman" w:cs="Times New Roman"/>
          <w:i/>
          <w:sz w:val="24"/>
          <w:szCs w:val="24"/>
        </w:rPr>
        <w:br/>
      </w:r>
    </w:p>
    <w:p w14:paraId="742EC6B8" w14:textId="7C37007D" w:rsidR="000B0E34" w:rsidRPr="00E96386" w:rsidRDefault="00D274E9" w:rsidP="00E96386">
      <w:pPr>
        <w:ind w:firstLine="567"/>
        <w:jc w:val="both"/>
        <w:rPr>
          <w:rFonts w:ascii="Times New Roman" w:hAnsi="Times New Roman" w:cs="Times New Roman"/>
          <w:b/>
          <w:sz w:val="24"/>
          <w:szCs w:val="24"/>
        </w:rPr>
      </w:pPr>
      <w:r w:rsidRPr="00E96386">
        <w:rPr>
          <w:rFonts w:ascii="Times New Roman" w:hAnsi="Times New Roman" w:cs="Times New Roman"/>
          <w:b/>
          <w:sz w:val="24"/>
          <w:szCs w:val="24"/>
        </w:rPr>
        <w:t>Par</w:t>
      </w:r>
      <w:r w:rsidR="008879A6" w:rsidRPr="00E96386">
        <w:rPr>
          <w:rFonts w:ascii="Times New Roman" w:hAnsi="Times New Roman" w:cs="Times New Roman"/>
          <w:b/>
          <w:sz w:val="24"/>
          <w:szCs w:val="24"/>
        </w:rPr>
        <w:t>a</w:t>
      </w:r>
      <w:r w:rsidR="001D4BD9" w:rsidRPr="00E96386">
        <w:rPr>
          <w:rFonts w:ascii="Times New Roman" w:hAnsi="Times New Roman" w:cs="Times New Roman"/>
          <w:b/>
          <w:sz w:val="24"/>
          <w:szCs w:val="24"/>
        </w:rPr>
        <w:t>. 16</w:t>
      </w:r>
      <w:r w:rsidRPr="00E96386">
        <w:rPr>
          <w:rFonts w:ascii="Times New Roman" w:hAnsi="Times New Roman" w:cs="Times New Roman"/>
          <w:b/>
          <w:sz w:val="24"/>
          <w:szCs w:val="24"/>
        </w:rPr>
        <w:t xml:space="preserve"> </w:t>
      </w:r>
    </w:p>
    <w:p w14:paraId="43721051" w14:textId="0EB80FCF" w:rsidR="00E31C5C" w:rsidRPr="00E96386" w:rsidRDefault="00E31C5C" w:rsidP="00E96386">
      <w:pPr>
        <w:pStyle w:val="ListParagraph"/>
        <w:numPr>
          <w:ilvl w:val="0"/>
          <w:numId w:val="4"/>
        </w:numPr>
        <w:ind w:left="567" w:hanging="567"/>
        <w:jc w:val="both"/>
        <w:rPr>
          <w:rFonts w:ascii="Times New Roman" w:hAnsi="Times New Roman" w:cs="Times New Roman"/>
          <w:sz w:val="24"/>
          <w:szCs w:val="24"/>
        </w:rPr>
      </w:pPr>
      <w:r w:rsidRPr="00E96386">
        <w:rPr>
          <w:rFonts w:ascii="Times New Roman" w:hAnsi="Times New Roman" w:cs="Times New Roman"/>
          <w:sz w:val="24"/>
          <w:szCs w:val="24"/>
        </w:rPr>
        <w:t>In para</w:t>
      </w:r>
      <w:r w:rsidR="00366871" w:rsidRPr="00E96386">
        <w:rPr>
          <w:rFonts w:ascii="Times New Roman" w:hAnsi="Times New Roman" w:cs="Times New Roman"/>
          <w:sz w:val="24"/>
          <w:szCs w:val="24"/>
        </w:rPr>
        <w:t>.</w:t>
      </w:r>
      <w:r w:rsidRPr="00E96386">
        <w:rPr>
          <w:rFonts w:ascii="Times New Roman" w:hAnsi="Times New Roman" w:cs="Times New Roman"/>
          <w:sz w:val="24"/>
          <w:szCs w:val="24"/>
        </w:rPr>
        <w:t xml:space="preserve"> 16 it is advisable to make reference to additional sources and</w:t>
      </w:r>
      <w:r w:rsidR="00861A5A" w:rsidRPr="00E96386">
        <w:rPr>
          <w:rFonts w:ascii="Times New Roman" w:hAnsi="Times New Roman" w:cs="Times New Roman"/>
          <w:sz w:val="24"/>
          <w:szCs w:val="24"/>
        </w:rPr>
        <w:t xml:space="preserve"> case law of the ECtHR, such as:</w:t>
      </w:r>
    </w:p>
    <w:p w14:paraId="382E3F7C" w14:textId="143300EC" w:rsidR="005F519F" w:rsidRPr="00E96386" w:rsidRDefault="00D274E9" w:rsidP="00E96386">
      <w:pPr>
        <w:pStyle w:val="ListParagraph"/>
        <w:jc w:val="both"/>
        <w:rPr>
          <w:rFonts w:ascii="Times New Roman" w:hAnsi="Times New Roman" w:cs="Times New Roman"/>
          <w:sz w:val="24"/>
          <w:szCs w:val="24"/>
        </w:rPr>
      </w:pPr>
      <w:r w:rsidRPr="00E96386">
        <w:rPr>
          <w:rFonts w:ascii="Times New Roman" w:hAnsi="Times New Roman" w:cs="Times New Roman"/>
          <w:i/>
          <w:sz w:val="24"/>
          <w:szCs w:val="24"/>
        </w:rPr>
        <w:t>For counter demonstrations:</w:t>
      </w:r>
      <w:r w:rsidRPr="00E96386">
        <w:rPr>
          <w:rFonts w:ascii="Times New Roman" w:hAnsi="Times New Roman" w:cs="Times New Roman"/>
          <w:sz w:val="24"/>
          <w:szCs w:val="24"/>
        </w:rPr>
        <w:t xml:space="preserve"> </w:t>
      </w:r>
      <w:r w:rsidR="005F519F" w:rsidRPr="00E96386">
        <w:rPr>
          <w:rFonts w:ascii="Times New Roman" w:hAnsi="Times New Roman" w:cs="Times New Roman"/>
          <w:sz w:val="24"/>
          <w:szCs w:val="24"/>
          <w:lang w:val="en-US"/>
        </w:rPr>
        <w:t xml:space="preserve">European Court of Human Rights: Plattform ‘Ärzte für das Leben’ v. Austria </w:t>
      </w:r>
      <w:r w:rsidR="005F519F" w:rsidRPr="00E96386">
        <w:rPr>
          <w:rFonts w:ascii="Times New Roman" w:hAnsi="Times New Roman" w:cs="Times New Roman"/>
          <w:sz w:val="24"/>
          <w:szCs w:val="24"/>
        </w:rPr>
        <w:t>(Application no. 10126/82, judgment of 21 June 1988)</w:t>
      </w:r>
      <w:r w:rsidR="0083079E" w:rsidRPr="00E96386">
        <w:rPr>
          <w:rFonts w:ascii="Times New Roman" w:hAnsi="Times New Roman" w:cs="Times New Roman"/>
          <w:sz w:val="24"/>
          <w:szCs w:val="24"/>
        </w:rPr>
        <w:t xml:space="preserve">, para 32. </w:t>
      </w:r>
    </w:p>
    <w:p w14:paraId="3216AF12" w14:textId="19864E24" w:rsidR="00471ACA" w:rsidRPr="00E96386" w:rsidRDefault="00471ACA" w:rsidP="00E96386">
      <w:pPr>
        <w:pStyle w:val="ListParagraph"/>
        <w:jc w:val="both"/>
        <w:rPr>
          <w:rFonts w:ascii="Times New Roman" w:hAnsi="Times New Roman" w:cs="Times New Roman"/>
          <w:sz w:val="24"/>
          <w:szCs w:val="24"/>
        </w:rPr>
      </w:pPr>
      <w:r w:rsidRPr="00E96386">
        <w:rPr>
          <w:rFonts w:ascii="Times New Roman" w:hAnsi="Times New Roman" w:cs="Times New Roman"/>
          <w:i/>
          <w:sz w:val="24"/>
          <w:szCs w:val="24"/>
        </w:rPr>
        <w:t>Spontaneous assemblies:</w:t>
      </w:r>
      <w:r w:rsidRPr="00E96386">
        <w:rPr>
          <w:rFonts w:ascii="Times New Roman" w:hAnsi="Times New Roman" w:cs="Times New Roman"/>
          <w:sz w:val="24"/>
          <w:szCs w:val="24"/>
        </w:rPr>
        <w:t xml:space="preserve"> </w:t>
      </w:r>
      <w:r w:rsidR="00786E3A" w:rsidRPr="00E96386">
        <w:rPr>
          <w:rFonts w:ascii="Times New Roman" w:hAnsi="Times New Roman" w:cs="Times New Roman"/>
          <w:sz w:val="24"/>
          <w:szCs w:val="24"/>
        </w:rPr>
        <w:t>Bukta and Others v. Hungary, A</w:t>
      </w:r>
      <w:r w:rsidR="0055692F" w:rsidRPr="00E96386">
        <w:rPr>
          <w:rFonts w:ascii="Times New Roman" w:hAnsi="Times New Roman" w:cs="Times New Roman"/>
          <w:sz w:val="24"/>
          <w:szCs w:val="24"/>
        </w:rPr>
        <w:t>pplication No 25691/04, (</w:t>
      </w:r>
      <w:r w:rsidR="00786E3A" w:rsidRPr="00E96386">
        <w:rPr>
          <w:rFonts w:ascii="Times New Roman" w:hAnsi="Times New Roman" w:cs="Times New Roman"/>
          <w:sz w:val="24"/>
          <w:szCs w:val="24"/>
        </w:rPr>
        <w:t>2007</w:t>
      </w:r>
      <w:r w:rsidR="0055692F" w:rsidRPr="00E96386">
        <w:rPr>
          <w:rFonts w:ascii="Times New Roman" w:hAnsi="Times New Roman" w:cs="Times New Roman"/>
          <w:sz w:val="24"/>
          <w:szCs w:val="24"/>
        </w:rPr>
        <w:t>)</w:t>
      </w:r>
      <w:r w:rsidR="00786E3A" w:rsidRPr="00E96386">
        <w:rPr>
          <w:rFonts w:ascii="Times New Roman" w:hAnsi="Times New Roman" w:cs="Times New Roman"/>
          <w:sz w:val="24"/>
          <w:szCs w:val="24"/>
        </w:rPr>
        <w:t>, para 36; Eva Molnár v. Hungary</w:t>
      </w:r>
      <w:r w:rsidR="0055692F" w:rsidRPr="00E96386">
        <w:rPr>
          <w:rFonts w:ascii="Times New Roman" w:hAnsi="Times New Roman" w:cs="Times New Roman"/>
          <w:sz w:val="24"/>
          <w:szCs w:val="24"/>
        </w:rPr>
        <w:t xml:space="preserve"> Application No 10346/05</w:t>
      </w:r>
      <w:r w:rsidR="0083079E" w:rsidRPr="00E96386">
        <w:rPr>
          <w:rFonts w:ascii="Times New Roman" w:hAnsi="Times New Roman" w:cs="Times New Roman"/>
          <w:sz w:val="24"/>
          <w:szCs w:val="24"/>
        </w:rPr>
        <w:t xml:space="preserve"> (2008)</w:t>
      </w:r>
      <w:r w:rsidR="00786E3A" w:rsidRPr="00E96386">
        <w:rPr>
          <w:rFonts w:ascii="Times New Roman" w:hAnsi="Times New Roman" w:cs="Times New Roman"/>
          <w:sz w:val="24"/>
          <w:szCs w:val="24"/>
        </w:rPr>
        <w:t>, para. 38</w:t>
      </w:r>
      <w:r w:rsidR="0083079E" w:rsidRPr="00E96386">
        <w:rPr>
          <w:rFonts w:ascii="Times New Roman" w:hAnsi="Times New Roman" w:cs="Times New Roman"/>
          <w:sz w:val="24"/>
          <w:szCs w:val="24"/>
        </w:rPr>
        <w:t>.</w:t>
      </w:r>
    </w:p>
    <w:p w14:paraId="30107003" w14:textId="3334148D" w:rsidR="001A16C9" w:rsidRPr="00E96386" w:rsidRDefault="00E96386" w:rsidP="00E406D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A16C9" w:rsidRPr="00E96386">
        <w:rPr>
          <w:rFonts w:ascii="Times New Roman" w:hAnsi="Times New Roman" w:cs="Times New Roman"/>
          <w:b/>
          <w:sz w:val="24"/>
          <w:szCs w:val="24"/>
        </w:rPr>
        <w:t>Par</w:t>
      </w:r>
      <w:r w:rsidR="008879A6" w:rsidRPr="00E96386">
        <w:rPr>
          <w:rFonts w:ascii="Times New Roman" w:hAnsi="Times New Roman" w:cs="Times New Roman"/>
          <w:b/>
          <w:sz w:val="24"/>
          <w:szCs w:val="24"/>
        </w:rPr>
        <w:t>a</w:t>
      </w:r>
      <w:r w:rsidR="001A16C9" w:rsidRPr="00E96386">
        <w:rPr>
          <w:rFonts w:ascii="Times New Roman" w:hAnsi="Times New Roman" w:cs="Times New Roman"/>
          <w:b/>
          <w:sz w:val="24"/>
          <w:szCs w:val="24"/>
        </w:rPr>
        <w:t>. 18</w:t>
      </w:r>
    </w:p>
    <w:p w14:paraId="327BA072" w14:textId="0788C33B" w:rsidR="001A16C9" w:rsidRPr="00E96386" w:rsidRDefault="00E31C5C" w:rsidP="00E96386">
      <w:pPr>
        <w:pStyle w:val="ListParagraph"/>
        <w:numPr>
          <w:ilvl w:val="0"/>
          <w:numId w:val="4"/>
        </w:numPr>
        <w:ind w:left="567" w:hanging="567"/>
        <w:jc w:val="both"/>
        <w:rPr>
          <w:rFonts w:ascii="Times New Roman" w:hAnsi="Times New Roman" w:cs="Times New Roman"/>
          <w:sz w:val="24"/>
          <w:szCs w:val="24"/>
          <w:lang w:val="en-US"/>
        </w:rPr>
      </w:pPr>
      <w:r w:rsidRPr="00E96386">
        <w:rPr>
          <w:rFonts w:ascii="Times New Roman" w:hAnsi="Times New Roman" w:cs="Times New Roman"/>
          <w:sz w:val="24"/>
          <w:szCs w:val="24"/>
        </w:rPr>
        <w:t>According to the last sentence of the para</w:t>
      </w:r>
      <w:r w:rsidR="00366871" w:rsidRPr="00E96386">
        <w:rPr>
          <w:rFonts w:ascii="Times New Roman" w:hAnsi="Times New Roman" w:cs="Times New Roman"/>
          <w:sz w:val="24"/>
          <w:szCs w:val="24"/>
        </w:rPr>
        <w:t>.</w:t>
      </w:r>
      <w:r w:rsidRPr="00E96386">
        <w:rPr>
          <w:rFonts w:ascii="Times New Roman" w:hAnsi="Times New Roman" w:cs="Times New Roman"/>
          <w:sz w:val="24"/>
          <w:szCs w:val="24"/>
        </w:rPr>
        <w:t xml:space="preserve"> 18, non-violent actions of civil disobedience or direct-action campaigns are </w:t>
      </w:r>
      <w:r w:rsidR="008879A6" w:rsidRPr="00E96386">
        <w:rPr>
          <w:rFonts w:ascii="Times New Roman" w:hAnsi="Times New Roman" w:cs="Times New Roman"/>
          <w:sz w:val="24"/>
          <w:szCs w:val="24"/>
        </w:rPr>
        <w:t>“</w:t>
      </w:r>
      <w:r w:rsidRPr="00E96386">
        <w:rPr>
          <w:rFonts w:ascii="Times New Roman" w:hAnsi="Times New Roman" w:cs="Times New Roman"/>
          <w:i/>
          <w:sz w:val="24"/>
          <w:szCs w:val="24"/>
        </w:rPr>
        <w:t>in principle</w:t>
      </w:r>
      <w:r w:rsidR="008879A6" w:rsidRPr="00E96386">
        <w:rPr>
          <w:rFonts w:ascii="Times New Roman" w:hAnsi="Times New Roman" w:cs="Times New Roman"/>
          <w:i/>
          <w:sz w:val="24"/>
          <w:szCs w:val="24"/>
        </w:rPr>
        <w:t>”</w:t>
      </w:r>
      <w:r w:rsidRPr="00E96386">
        <w:rPr>
          <w:rFonts w:ascii="Times New Roman" w:hAnsi="Times New Roman" w:cs="Times New Roman"/>
          <w:sz w:val="24"/>
          <w:szCs w:val="24"/>
        </w:rPr>
        <w:t xml:space="preserve"> covered by </w:t>
      </w:r>
      <w:r w:rsidR="00537AA2" w:rsidRPr="00E96386">
        <w:rPr>
          <w:rFonts w:ascii="Times New Roman" w:hAnsi="Times New Roman" w:cs="Times New Roman"/>
          <w:sz w:val="24"/>
          <w:szCs w:val="24"/>
        </w:rPr>
        <w:t>A</w:t>
      </w:r>
      <w:r w:rsidRPr="00E96386">
        <w:rPr>
          <w:rFonts w:ascii="Times New Roman" w:hAnsi="Times New Roman" w:cs="Times New Roman"/>
          <w:sz w:val="24"/>
          <w:szCs w:val="24"/>
        </w:rPr>
        <w:t xml:space="preserve">rticle 21. It is advised to delete </w:t>
      </w:r>
      <w:r w:rsidR="001A16C9" w:rsidRPr="00E96386">
        <w:rPr>
          <w:rFonts w:ascii="Times New Roman" w:hAnsi="Times New Roman" w:cs="Times New Roman"/>
          <w:sz w:val="24"/>
          <w:szCs w:val="24"/>
        </w:rPr>
        <w:t>“</w:t>
      </w:r>
      <w:r w:rsidRPr="00E96386">
        <w:rPr>
          <w:rFonts w:ascii="Times New Roman" w:hAnsi="Times New Roman" w:cs="Times New Roman"/>
          <w:sz w:val="24"/>
          <w:szCs w:val="24"/>
        </w:rPr>
        <w:t>i</w:t>
      </w:r>
      <w:r w:rsidR="001A16C9" w:rsidRPr="00E96386">
        <w:rPr>
          <w:rFonts w:ascii="Times New Roman" w:hAnsi="Times New Roman" w:cs="Times New Roman"/>
          <w:sz w:val="24"/>
          <w:szCs w:val="24"/>
        </w:rPr>
        <w:t xml:space="preserve">n principle”. </w:t>
      </w:r>
      <w:r w:rsidR="005F519F" w:rsidRPr="00E96386">
        <w:rPr>
          <w:rFonts w:ascii="Times New Roman" w:hAnsi="Times New Roman" w:cs="Times New Roman"/>
          <w:sz w:val="24"/>
          <w:szCs w:val="24"/>
        </w:rPr>
        <w:t>Su</w:t>
      </w:r>
      <w:r w:rsidR="00A73ACE" w:rsidRPr="00E96386">
        <w:rPr>
          <w:rFonts w:ascii="Times New Roman" w:hAnsi="Times New Roman" w:cs="Times New Roman"/>
          <w:sz w:val="24"/>
          <w:szCs w:val="24"/>
        </w:rPr>
        <w:t>c</w:t>
      </w:r>
      <w:r w:rsidR="005F519F" w:rsidRPr="00E96386">
        <w:rPr>
          <w:rFonts w:ascii="Times New Roman" w:hAnsi="Times New Roman" w:cs="Times New Roman"/>
          <w:sz w:val="24"/>
          <w:szCs w:val="24"/>
        </w:rPr>
        <w:t>h assemblies are</w:t>
      </w:r>
      <w:r w:rsidR="00A73ACE" w:rsidRPr="00E96386">
        <w:rPr>
          <w:rFonts w:ascii="Times New Roman" w:hAnsi="Times New Roman" w:cs="Times New Roman"/>
          <w:sz w:val="24"/>
          <w:szCs w:val="24"/>
        </w:rPr>
        <w:t xml:space="preserve"> covered as per the cited case: European Court of </w:t>
      </w:r>
      <w:r w:rsidR="00A73ACE" w:rsidRPr="00E96386">
        <w:rPr>
          <w:rFonts w:ascii="Times New Roman" w:hAnsi="Times New Roman" w:cs="Times New Roman"/>
          <w:sz w:val="24"/>
          <w:szCs w:val="24"/>
        </w:rPr>
        <w:lastRenderedPageBreak/>
        <w:t xml:space="preserve">Human Rights, in </w:t>
      </w:r>
      <w:r w:rsidR="00A73ACE" w:rsidRPr="00E96386">
        <w:rPr>
          <w:rFonts w:ascii="Times New Roman" w:hAnsi="Times New Roman" w:cs="Times New Roman"/>
          <w:i/>
          <w:sz w:val="24"/>
          <w:szCs w:val="24"/>
        </w:rPr>
        <w:t>Frumkin v. Russia</w:t>
      </w:r>
      <w:r w:rsidR="00A73ACE" w:rsidRPr="00E96386">
        <w:rPr>
          <w:rFonts w:ascii="Times New Roman" w:hAnsi="Times New Roman" w:cs="Times New Roman"/>
          <w:sz w:val="24"/>
          <w:szCs w:val="24"/>
        </w:rPr>
        <w:t xml:space="preserve"> (application No. 74568/12), judgment of 5 January 2016, par</w:t>
      </w:r>
      <w:r w:rsidR="008879A6" w:rsidRPr="00E96386">
        <w:rPr>
          <w:rFonts w:ascii="Times New Roman" w:hAnsi="Times New Roman" w:cs="Times New Roman"/>
          <w:sz w:val="24"/>
          <w:szCs w:val="24"/>
        </w:rPr>
        <w:t>a</w:t>
      </w:r>
      <w:r w:rsidR="00A73ACE" w:rsidRPr="00E96386">
        <w:rPr>
          <w:rFonts w:ascii="Times New Roman" w:hAnsi="Times New Roman" w:cs="Times New Roman"/>
          <w:sz w:val="24"/>
          <w:szCs w:val="24"/>
        </w:rPr>
        <w:t xml:space="preserve">. 97.  </w:t>
      </w:r>
    </w:p>
    <w:p w14:paraId="005098AB" w14:textId="6674955F" w:rsidR="001D4BD9" w:rsidRPr="00E96386" w:rsidRDefault="001D4BD9" w:rsidP="00E96386">
      <w:pPr>
        <w:ind w:firstLine="567"/>
        <w:jc w:val="both"/>
        <w:rPr>
          <w:rFonts w:ascii="Times New Roman" w:hAnsi="Times New Roman" w:cs="Times New Roman"/>
          <w:b/>
          <w:sz w:val="24"/>
          <w:szCs w:val="24"/>
        </w:rPr>
      </w:pPr>
      <w:r w:rsidRPr="00E96386">
        <w:rPr>
          <w:rFonts w:ascii="Times New Roman" w:hAnsi="Times New Roman" w:cs="Times New Roman"/>
          <w:b/>
          <w:sz w:val="24"/>
          <w:szCs w:val="24"/>
        </w:rPr>
        <w:t>Par</w:t>
      </w:r>
      <w:r w:rsidR="008848D5" w:rsidRPr="00E96386">
        <w:rPr>
          <w:rFonts w:ascii="Times New Roman" w:hAnsi="Times New Roman" w:cs="Times New Roman"/>
          <w:b/>
          <w:sz w:val="24"/>
          <w:szCs w:val="24"/>
        </w:rPr>
        <w:t>a</w:t>
      </w:r>
      <w:r w:rsidRPr="00E96386">
        <w:rPr>
          <w:rFonts w:ascii="Times New Roman" w:hAnsi="Times New Roman" w:cs="Times New Roman"/>
          <w:b/>
          <w:sz w:val="24"/>
          <w:szCs w:val="24"/>
        </w:rPr>
        <w:t xml:space="preserve">. </w:t>
      </w:r>
      <w:r w:rsidR="007133E4" w:rsidRPr="00E96386">
        <w:rPr>
          <w:rFonts w:ascii="Times New Roman" w:hAnsi="Times New Roman" w:cs="Times New Roman"/>
          <w:b/>
          <w:sz w:val="24"/>
          <w:szCs w:val="24"/>
        </w:rPr>
        <w:t>22</w:t>
      </w:r>
    </w:p>
    <w:p w14:paraId="4E576FF9" w14:textId="22BC8F1F" w:rsidR="0043202D" w:rsidRPr="006D15A0" w:rsidRDefault="002B1EBC" w:rsidP="00E96386">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noProof/>
          <w:sz w:val="24"/>
          <w:szCs w:val="24"/>
        </w:rPr>
        <w:t>Para</w:t>
      </w:r>
      <w:r w:rsidR="001F20FD">
        <w:rPr>
          <w:rFonts w:ascii="Times New Roman" w:hAnsi="Times New Roman" w:cs="Times New Roman"/>
          <w:noProof/>
          <w:sz w:val="24"/>
          <w:szCs w:val="24"/>
        </w:rPr>
        <w:t>.</w:t>
      </w:r>
      <w:r w:rsidRPr="006D15A0">
        <w:rPr>
          <w:rFonts w:ascii="Times New Roman" w:hAnsi="Times New Roman" w:cs="Times New Roman"/>
          <w:noProof/>
          <w:sz w:val="24"/>
          <w:szCs w:val="24"/>
        </w:rPr>
        <w:t xml:space="preserve"> 22 contains two alternatives. </w:t>
      </w:r>
      <w:r w:rsidR="00511941" w:rsidRPr="006D15A0">
        <w:rPr>
          <w:rFonts w:ascii="Times New Roman" w:hAnsi="Times New Roman" w:cs="Times New Roman"/>
          <w:noProof/>
          <w:sz w:val="24"/>
          <w:szCs w:val="24"/>
        </w:rPr>
        <w:t xml:space="preserve">Although Option 1 may be in line with the requirments of the Article 20 of the ICCPR, it is sometimes difficult to draw the </w:t>
      </w:r>
      <w:r w:rsidR="007133E4" w:rsidRPr="006D15A0">
        <w:rPr>
          <w:rFonts w:ascii="Times New Roman" w:hAnsi="Times New Roman" w:cs="Times New Roman"/>
          <w:noProof/>
          <w:sz w:val="24"/>
          <w:szCs w:val="24"/>
        </w:rPr>
        <w:t>line</w:t>
      </w:r>
      <w:r w:rsidR="00511941" w:rsidRPr="006D15A0">
        <w:rPr>
          <w:rFonts w:ascii="Times New Roman" w:hAnsi="Times New Roman" w:cs="Times New Roman"/>
          <w:noProof/>
          <w:sz w:val="24"/>
          <w:szCs w:val="24"/>
        </w:rPr>
        <w:t>s</w:t>
      </w:r>
      <w:r w:rsidR="007133E4" w:rsidRPr="006D15A0">
        <w:rPr>
          <w:rFonts w:ascii="Times New Roman" w:hAnsi="Times New Roman" w:cs="Times New Roman"/>
          <w:noProof/>
          <w:sz w:val="24"/>
          <w:szCs w:val="24"/>
        </w:rPr>
        <w:t xml:space="preserve">, </w:t>
      </w:r>
      <w:r w:rsidR="00511941" w:rsidRPr="006D15A0">
        <w:rPr>
          <w:rFonts w:ascii="Times New Roman" w:hAnsi="Times New Roman" w:cs="Times New Roman"/>
          <w:noProof/>
          <w:sz w:val="24"/>
          <w:szCs w:val="24"/>
        </w:rPr>
        <w:t xml:space="preserve">as international law and good practices allow </w:t>
      </w:r>
      <w:r w:rsidR="007133E4" w:rsidRPr="006D15A0">
        <w:rPr>
          <w:rFonts w:ascii="Times New Roman" w:hAnsi="Times New Roman" w:cs="Times New Roman"/>
          <w:noProof/>
          <w:sz w:val="24"/>
          <w:szCs w:val="24"/>
        </w:rPr>
        <w:t>shocking and disturbing content. It can be d</w:t>
      </w:r>
      <w:r w:rsidR="008848D5" w:rsidRPr="006D15A0">
        <w:rPr>
          <w:rFonts w:ascii="Times New Roman" w:hAnsi="Times New Roman" w:cs="Times New Roman"/>
          <w:noProof/>
          <w:sz w:val="24"/>
          <w:szCs w:val="24"/>
        </w:rPr>
        <w:t>a</w:t>
      </w:r>
      <w:r w:rsidR="007133E4" w:rsidRPr="006D15A0">
        <w:rPr>
          <w:rFonts w:ascii="Times New Roman" w:hAnsi="Times New Roman" w:cs="Times New Roman"/>
          <w:noProof/>
          <w:sz w:val="24"/>
          <w:szCs w:val="24"/>
        </w:rPr>
        <w:t xml:space="preserve">ngerous to open </w:t>
      </w:r>
      <w:r w:rsidR="005812BF">
        <w:rPr>
          <w:rFonts w:ascii="Times New Roman" w:hAnsi="Times New Roman" w:cs="Times New Roman"/>
          <w:noProof/>
          <w:sz w:val="24"/>
          <w:szCs w:val="24"/>
        </w:rPr>
        <w:t>the</w:t>
      </w:r>
      <w:r w:rsidR="00704FE4">
        <w:rPr>
          <w:rFonts w:ascii="Times New Roman" w:hAnsi="Times New Roman" w:cs="Times New Roman"/>
          <w:noProof/>
          <w:sz w:val="24"/>
          <w:szCs w:val="24"/>
        </w:rPr>
        <w:t xml:space="preserve"> </w:t>
      </w:r>
      <w:r w:rsidR="007133E4" w:rsidRPr="006D15A0">
        <w:rPr>
          <w:rFonts w:ascii="Times New Roman" w:hAnsi="Times New Roman" w:cs="Times New Roman"/>
          <w:noProof/>
          <w:sz w:val="24"/>
          <w:szCs w:val="24"/>
        </w:rPr>
        <w:t>door for content based restrictions.</w:t>
      </w:r>
      <w:r w:rsidR="0056386B" w:rsidRPr="006D15A0">
        <w:rPr>
          <w:rStyle w:val="FootnoteReference"/>
          <w:rFonts w:ascii="Times New Roman" w:hAnsi="Times New Roman" w:cs="Times New Roman"/>
          <w:noProof/>
          <w:sz w:val="24"/>
          <w:szCs w:val="24"/>
        </w:rPr>
        <w:footnoteReference w:id="14"/>
      </w:r>
      <w:r w:rsidR="007133E4" w:rsidRPr="006D15A0">
        <w:rPr>
          <w:rFonts w:ascii="Times New Roman" w:hAnsi="Times New Roman" w:cs="Times New Roman"/>
          <w:noProof/>
          <w:sz w:val="24"/>
          <w:szCs w:val="24"/>
        </w:rPr>
        <w:t xml:space="preserve"> </w:t>
      </w:r>
      <w:r w:rsidR="00511941" w:rsidRPr="006D15A0">
        <w:rPr>
          <w:rFonts w:ascii="Times New Roman" w:hAnsi="Times New Roman" w:cs="Times New Roman"/>
          <w:noProof/>
          <w:sz w:val="24"/>
          <w:szCs w:val="24"/>
        </w:rPr>
        <w:t xml:space="preserve">Furthermore, </w:t>
      </w:r>
      <w:r w:rsidR="00511941" w:rsidRPr="006D15A0">
        <w:rPr>
          <w:rFonts w:ascii="Times New Roman" w:hAnsi="Times New Roman" w:cs="Times New Roman"/>
          <w:sz w:val="24"/>
          <w:szCs w:val="24"/>
        </w:rPr>
        <w:t>mere act of resorting to such speech by participants in an assembly would not justify the dispersal of the event. In such cases, law enforcement officials should take measures only against the particular individuals involved.</w:t>
      </w:r>
      <w:r w:rsidR="00511941" w:rsidRPr="006D15A0">
        <w:rPr>
          <w:rStyle w:val="FootnoteReference"/>
          <w:rFonts w:ascii="Times New Roman" w:hAnsi="Times New Roman" w:cs="Times New Roman"/>
          <w:sz w:val="24"/>
          <w:szCs w:val="24"/>
        </w:rPr>
        <w:footnoteReference w:id="15"/>
      </w:r>
      <w:r w:rsidR="00511941" w:rsidRPr="006D15A0">
        <w:rPr>
          <w:rFonts w:ascii="Times New Roman" w:hAnsi="Times New Roman" w:cs="Times New Roman"/>
          <w:sz w:val="24"/>
          <w:szCs w:val="24"/>
        </w:rPr>
        <w:t xml:space="preserve"> Therefore, it is suggested to choose Option 2. </w:t>
      </w:r>
      <w:r w:rsidR="0043202D" w:rsidRPr="006D15A0">
        <w:rPr>
          <w:rFonts w:ascii="Times New Roman" w:hAnsi="Times New Roman" w:cs="Times New Roman"/>
          <w:sz w:val="24"/>
          <w:szCs w:val="24"/>
        </w:rPr>
        <w:t>This option does not preclude the possibility to proh</w:t>
      </w:r>
      <w:r w:rsidR="00FB01A6" w:rsidRPr="006D15A0">
        <w:rPr>
          <w:rFonts w:ascii="Times New Roman" w:hAnsi="Times New Roman" w:cs="Times New Roman"/>
          <w:sz w:val="24"/>
          <w:szCs w:val="24"/>
        </w:rPr>
        <w:t>ibit an assembly (see below on par</w:t>
      </w:r>
      <w:r w:rsidR="008848D5" w:rsidRPr="006D15A0">
        <w:rPr>
          <w:rFonts w:ascii="Times New Roman" w:hAnsi="Times New Roman" w:cs="Times New Roman"/>
          <w:sz w:val="24"/>
          <w:szCs w:val="24"/>
        </w:rPr>
        <w:t>a</w:t>
      </w:r>
      <w:r w:rsidR="0043202D" w:rsidRPr="006D15A0">
        <w:rPr>
          <w:rFonts w:ascii="Times New Roman" w:hAnsi="Times New Roman" w:cs="Times New Roman"/>
          <w:sz w:val="24"/>
          <w:szCs w:val="24"/>
        </w:rPr>
        <w:t>. 57), but it then also allows for intermediate solutions such as restrictions on manner (prohibiting certain banners or signs) or dealing with individuals who might make calls falling under Art</w:t>
      </w:r>
      <w:r w:rsidR="008848D5" w:rsidRPr="006D15A0">
        <w:rPr>
          <w:rFonts w:ascii="Times New Roman" w:hAnsi="Times New Roman" w:cs="Times New Roman"/>
          <w:sz w:val="24"/>
          <w:szCs w:val="24"/>
        </w:rPr>
        <w:t>icle</w:t>
      </w:r>
      <w:r w:rsidR="0043202D" w:rsidRPr="006D15A0">
        <w:rPr>
          <w:rFonts w:ascii="Times New Roman" w:hAnsi="Times New Roman" w:cs="Times New Roman"/>
          <w:sz w:val="24"/>
          <w:szCs w:val="24"/>
        </w:rPr>
        <w:t xml:space="preserve"> 20, while letting other proceed with the assembly. It also reduces the possibility for authorities to </w:t>
      </w:r>
      <w:r w:rsidR="00FB01A6" w:rsidRPr="006D15A0">
        <w:rPr>
          <w:rFonts w:ascii="Times New Roman" w:hAnsi="Times New Roman" w:cs="Times New Roman"/>
          <w:sz w:val="24"/>
          <w:szCs w:val="24"/>
        </w:rPr>
        <w:t>abuse Art</w:t>
      </w:r>
      <w:r w:rsidR="008848D5" w:rsidRPr="006D15A0">
        <w:rPr>
          <w:rFonts w:ascii="Times New Roman" w:hAnsi="Times New Roman" w:cs="Times New Roman"/>
          <w:sz w:val="24"/>
          <w:szCs w:val="24"/>
        </w:rPr>
        <w:t>icle</w:t>
      </w:r>
      <w:r w:rsidR="00FB01A6" w:rsidRPr="006D15A0">
        <w:rPr>
          <w:rFonts w:ascii="Times New Roman" w:hAnsi="Times New Roman" w:cs="Times New Roman"/>
          <w:sz w:val="24"/>
          <w:szCs w:val="24"/>
        </w:rPr>
        <w:t xml:space="preserve"> 20 when</w:t>
      </w:r>
      <w:r w:rsidR="0043202D" w:rsidRPr="006D15A0">
        <w:rPr>
          <w:rFonts w:ascii="Times New Roman" w:hAnsi="Times New Roman" w:cs="Times New Roman"/>
          <w:sz w:val="24"/>
          <w:szCs w:val="24"/>
        </w:rPr>
        <w:t xml:space="preserve"> repressing protest</w:t>
      </w:r>
      <w:r w:rsidR="00FB01A6" w:rsidRPr="006D15A0">
        <w:rPr>
          <w:rFonts w:ascii="Times New Roman" w:hAnsi="Times New Roman" w:cs="Times New Roman"/>
          <w:sz w:val="24"/>
          <w:szCs w:val="24"/>
        </w:rPr>
        <w:t>s</w:t>
      </w:r>
      <w:r w:rsidR="0043202D" w:rsidRPr="006D15A0">
        <w:rPr>
          <w:rFonts w:ascii="Times New Roman" w:hAnsi="Times New Roman" w:cs="Times New Roman"/>
          <w:sz w:val="24"/>
          <w:szCs w:val="24"/>
        </w:rPr>
        <w:t xml:space="preserve">. </w:t>
      </w:r>
    </w:p>
    <w:p w14:paraId="0B6F805F" w14:textId="77777777" w:rsidR="0043202D" w:rsidRPr="006D15A0" w:rsidRDefault="0043202D" w:rsidP="00861A5A">
      <w:pPr>
        <w:pStyle w:val="CommentText"/>
        <w:jc w:val="both"/>
        <w:rPr>
          <w:rFonts w:ascii="Times New Roman" w:hAnsi="Times New Roman" w:cs="Times New Roman"/>
          <w:sz w:val="24"/>
          <w:szCs w:val="24"/>
        </w:rPr>
      </w:pPr>
    </w:p>
    <w:p w14:paraId="1DB9F92D" w14:textId="77777777" w:rsidR="008848D5" w:rsidRPr="006D15A0" w:rsidRDefault="008848D5" w:rsidP="00861A5A">
      <w:pPr>
        <w:pStyle w:val="CommentText"/>
        <w:jc w:val="both"/>
        <w:rPr>
          <w:rFonts w:ascii="Times New Roman" w:hAnsi="Times New Roman" w:cs="Times New Roman"/>
          <w:sz w:val="24"/>
          <w:szCs w:val="24"/>
        </w:rPr>
      </w:pPr>
    </w:p>
    <w:p w14:paraId="612C3FCF" w14:textId="77777777" w:rsidR="00861A5A" w:rsidRDefault="00861A5A" w:rsidP="00861A5A">
      <w:pPr>
        <w:pStyle w:val="CommentText"/>
        <w:jc w:val="both"/>
        <w:rPr>
          <w:rFonts w:ascii="Times New Roman" w:hAnsi="Times New Roman" w:cs="Times New Roman"/>
          <w:sz w:val="24"/>
          <w:szCs w:val="24"/>
        </w:rPr>
      </w:pPr>
    </w:p>
    <w:p w14:paraId="5105ABDF" w14:textId="0430DA1D" w:rsidR="0043202D" w:rsidRPr="0045318F" w:rsidRDefault="004F6D31" w:rsidP="00D133EF">
      <w:pPr>
        <w:pStyle w:val="CommentText"/>
        <w:ind w:firstLine="567"/>
        <w:jc w:val="both"/>
        <w:rPr>
          <w:rFonts w:ascii="Times New Roman" w:hAnsi="Times New Roman" w:cs="Times New Roman"/>
          <w:sz w:val="24"/>
          <w:szCs w:val="24"/>
        </w:rPr>
      </w:pPr>
      <w:r w:rsidRPr="0045318F">
        <w:rPr>
          <w:rFonts w:ascii="Times New Roman" w:hAnsi="Times New Roman" w:cs="Times New Roman"/>
          <w:b/>
          <w:sz w:val="24"/>
          <w:szCs w:val="24"/>
        </w:rPr>
        <w:t>The obligation of States parties in respect of the right of peaceful assembly</w:t>
      </w:r>
    </w:p>
    <w:p w14:paraId="619F7B87" w14:textId="43B63C4C" w:rsidR="0055692F" w:rsidRPr="00D133EF" w:rsidRDefault="00936B86" w:rsidP="00D133EF">
      <w:pPr>
        <w:ind w:left="567"/>
        <w:jc w:val="both"/>
        <w:rPr>
          <w:rFonts w:ascii="Times New Roman" w:hAnsi="Times New Roman" w:cs="Times New Roman"/>
          <w:b/>
          <w:sz w:val="24"/>
          <w:szCs w:val="24"/>
        </w:rPr>
      </w:pPr>
      <w:r>
        <w:rPr>
          <w:rFonts w:ascii="Times New Roman" w:hAnsi="Times New Roman" w:cs="Times New Roman"/>
          <w:sz w:val="24"/>
          <w:szCs w:val="24"/>
        </w:rPr>
        <w:br/>
      </w:r>
      <w:r w:rsidR="003F5773" w:rsidRPr="00D133EF">
        <w:rPr>
          <w:rFonts w:ascii="Times New Roman" w:hAnsi="Times New Roman" w:cs="Times New Roman"/>
          <w:b/>
          <w:sz w:val="24"/>
          <w:szCs w:val="24"/>
        </w:rPr>
        <w:t>Par</w:t>
      </w:r>
      <w:r w:rsidR="00910337" w:rsidRPr="00D133EF">
        <w:rPr>
          <w:rFonts w:ascii="Times New Roman" w:hAnsi="Times New Roman" w:cs="Times New Roman"/>
          <w:b/>
          <w:sz w:val="24"/>
          <w:szCs w:val="24"/>
        </w:rPr>
        <w:t>a</w:t>
      </w:r>
      <w:r w:rsidR="00171FB7" w:rsidRPr="00D133EF">
        <w:rPr>
          <w:rFonts w:ascii="Times New Roman" w:hAnsi="Times New Roman" w:cs="Times New Roman"/>
          <w:b/>
          <w:sz w:val="24"/>
          <w:szCs w:val="24"/>
        </w:rPr>
        <w:t>. 24</w:t>
      </w:r>
    </w:p>
    <w:p w14:paraId="5A1E7CEF" w14:textId="77777777" w:rsidR="00E801F8" w:rsidRDefault="003F5773" w:rsidP="0045318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Last sentence</w:t>
      </w:r>
      <w:r w:rsidR="00D133EF">
        <w:rPr>
          <w:rFonts w:ascii="Times New Roman" w:hAnsi="Times New Roman" w:cs="Times New Roman"/>
          <w:sz w:val="24"/>
          <w:szCs w:val="24"/>
        </w:rPr>
        <w:t xml:space="preserve"> of the para</w:t>
      </w:r>
      <w:r w:rsidR="008E2546">
        <w:rPr>
          <w:rFonts w:ascii="Times New Roman" w:hAnsi="Times New Roman" w:cs="Times New Roman"/>
          <w:sz w:val="24"/>
          <w:szCs w:val="24"/>
        </w:rPr>
        <w:t>.</w:t>
      </w:r>
      <w:r w:rsidRPr="006D15A0">
        <w:rPr>
          <w:rFonts w:ascii="Times New Roman" w:hAnsi="Times New Roman" w:cs="Times New Roman"/>
          <w:sz w:val="24"/>
          <w:szCs w:val="24"/>
        </w:rPr>
        <w:t xml:space="preserve"> seems to be misplaced and weaken</w:t>
      </w:r>
      <w:r w:rsidR="00B77231">
        <w:rPr>
          <w:rFonts w:ascii="Times New Roman" w:hAnsi="Times New Roman" w:cs="Times New Roman"/>
          <w:sz w:val="24"/>
          <w:szCs w:val="24"/>
        </w:rPr>
        <w:t>s</w:t>
      </w:r>
      <w:r w:rsidRPr="006D15A0">
        <w:rPr>
          <w:rFonts w:ascii="Times New Roman" w:hAnsi="Times New Roman" w:cs="Times New Roman"/>
          <w:sz w:val="24"/>
          <w:szCs w:val="24"/>
        </w:rPr>
        <w:t xml:space="preserve"> the understanding of the</w:t>
      </w:r>
      <w:r w:rsidR="00944AE9" w:rsidRPr="006D15A0">
        <w:rPr>
          <w:rFonts w:ascii="Times New Roman" w:hAnsi="Times New Roman" w:cs="Times New Roman"/>
          <w:sz w:val="24"/>
          <w:szCs w:val="24"/>
        </w:rPr>
        <w:t xml:space="preserve"> importance of the right to Freedom of </w:t>
      </w:r>
      <w:r w:rsidR="00B77231">
        <w:rPr>
          <w:rFonts w:ascii="Times New Roman" w:hAnsi="Times New Roman" w:cs="Times New Roman"/>
          <w:sz w:val="24"/>
          <w:szCs w:val="24"/>
        </w:rPr>
        <w:t xml:space="preserve">Peaceful </w:t>
      </w:r>
      <w:r w:rsidR="00944AE9" w:rsidRPr="006D15A0">
        <w:rPr>
          <w:rFonts w:ascii="Times New Roman" w:hAnsi="Times New Roman" w:cs="Times New Roman"/>
          <w:sz w:val="24"/>
          <w:szCs w:val="24"/>
        </w:rPr>
        <w:t>Assembly</w:t>
      </w:r>
      <w:r w:rsidRPr="006D15A0">
        <w:rPr>
          <w:rFonts w:ascii="Times New Roman" w:hAnsi="Times New Roman" w:cs="Times New Roman"/>
          <w:sz w:val="24"/>
          <w:szCs w:val="24"/>
        </w:rPr>
        <w:t xml:space="preserve">. </w:t>
      </w:r>
      <w:r w:rsidR="000C5E1D" w:rsidRPr="006D15A0">
        <w:rPr>
          <w:rFonts w:ascii="Times New Roman" w:hAnsi="Times New Roman" w:cs="Times New Roman"/>
          <w:sz w:val="24"/>
          <w:szCs w:val="24"/>
        </w:rPr>
        <w:t>Stating t</w:t>
      </w:r>
      <w:r w:rsidRPr="006D15A0">
        <w:rPr>
          <w:rFonts w:ascii="Times New Roman" w:hAnsi="Times New Roman" w:cs="Times New Roman"/>
          <w:sz w:val="24"/>
          <w:szCs w:val="24"/>
        </w:rPr>
        <w:t>he fact that</w:t>
      </w:r>
      <w:r w:rsidR="000C5E1D" w:rsidRPr="006D15A0">
        <w:rPr>
          <w:rFonts w:ascii="Times New Roman" w:hAnsi="Times New Roman" w:cs="Times New Roman"/>
          <w:sz w:val="24"/>
          <w:szCs w:val="24"/>
        </w:rPr>
        <w:t xml:space="preserve"> right to </w:t>
      </w:r>
      <w:r w:rsidR="008E2546">
        <w:rPr>
          <w:rFonts w:ascii="Times New Roman" w:hAnsi="Times New Roman" w:cs="Times New Roman"/>
          <w:sz w:val="24"/>
          <w:szCs w:val="24"/>
        </w:rPr>
        <w:t>F</w:t>
      </w:r>
      <w:r w:rsidR="000C5E1D" w:rsidRPr="006D15A0">
        <w:rPr>
          <w:rFonts w:ascii="Times New Roman" w:hAnsi="Times New Roman" w:cs="Times New Roman"/>
          <w:sz w:val="24"/>
          <w:szCs w:val="24"/>
        </w:rPr>
        <w:t xml:space="preserve">reedom of </w:t>
      </w:r>
      <w:r w:rsidR="008E2546">
        <w:rPr>
          <w:rFonts w:ascii="Times New Roman" w:hAnsi="Times New Roman" w:cs="Times New Roman"/>
          <w:sz w:val="24"/>
          <w:szCs w:val="24"/>
        </w:rPr>
        <w:t>P</w:t>
      </w:r>
      <w:r w:rsidR="000C5E1D" w:rsidRPr="006D15A0">
        <w:rPr>
          <w:rFonts w:ascii="Times New Roman" w:hAnsi="Times New Roman" w:cs="Times New Roman"/>
          <w:sz w:val="24"/>
          <w:szCs w:val="24"/>
        </w:rPr>
        <w:t xml:space="preserve">eaceful </w:t>
      </w:r>
      <w:r w:rsidR="008E2546">
        <w:rPr>
          <w:rFonts w:ascii="Times New Roman" w:hAnsi="Times New Roman" w:cs="Times New Roman"/>
          <w:sz w:val="24"/>
          <w:szCs w:val="24"/>
        </w:rPr>
        <w:t>A</w:t>
      </w:r>
      <w:r w:rsidR="000C5E1D" w:rsidRPr="006D15A0">
        <w:rPr>
          <w:rFonts w:ascii="Times New Roman" w:hAnsi="Times New Roman" w:cs="Times New Roman"/>
          <w:sz w:val="24"/>
          <w:szCs w:val="24"/>
        </w:rPr>
        <w:t>ssembly</w:t>
      </w:r>
      <w:r w:rsidRPr="006D15A0">
        <w:rPr>
          <w:rFonts w:ascii="Times New Roman" w:hAnsi="Times New Roman" w:cs="Times New Roman"/>
          <w:sz w:val="24"/>
          <w:szCs w:val="24"/>
        </w:rPr>
        <w:t xml:space="preserve"> is not an absolute right, dilute</w:t>
      </w:r>
      <w:r w:rsidR="000C5E1D" w:rsidRPr="006D15A0">
        <w:rPr>
          <w:rFonts w:ascii="Times New Roman" w:hAnsi="Times New Roman" w:cs="Times New Roman"/>
          <w:sz w:val="24"/>
          <w:szCs w:val="24"/>
        </w:rPr>
        <w:t>s</w:t>
      </w:r>
      <w:r w:rsidRPr="006D15A0">
        <w:rPr>
          <w:rFonts w:ascii="Times New Roman" w:hAnsi="Times New Roman" w:cs="Times New Roman"/>
          <w:sz w:val="24"/>
          <w:szCs w:val="24"/>
        </w:rPr>
        <w:t xml:space="preserve"> the </w:t>
      </w:r>
      <w:r w:rsidR="000C5E1D" w:rsidRPr="006D15A0">
        <w:rPr>
          <w:rFonts w:ascii="Times New Roman" w:hAnsi="Times New Roman" w:cs="Times New Roman"/>
          <w:sz w:val="24"/>
          <w:szCs w:val="24"/>
        </w:rPr>
        <w:t xml:space="preserve">state’s </w:t>
      </w:r>
      <w:r w:rsidRPr="006D15A0">
        <w:rPr>
          <w:rFonts w:ascii="Times New Roman" w:hAnsi="Times New Roman" w:cs="Times New Roman"/>
          <w:sz w:val="24"/>
          <w:szCs w:val="24"/>
        </w:rPr>
        <w:t xml:space="preserve">general obligation to respect and ensure </w:t>
      </w:r>
      <w:r w:rsidR="00B77231">
        <w:rPr>
          <w:rFonts w:ascii="Times New Roman" w:hAnsi="Times New Roman" w:cs="Times New Roman"/>
          <w:sz w:val="24"/>
          <w:szCs w:val="24"/>
        </w:rPr>
        <w:t xml:space="preserve">this right as well as </w:t>
      </w:r>
      <w:r w:rsidR="00B77231" w:rsidRPr="009546C4">
        <w:rPr>
          <w:rFonts w:ascii="Times New Roman" w:hAnsi="Times New Roman" w:cs="Times New Roman"/>
          <w:sz w:val="24"/>
          <w:szCs w:val="24"/>
        </w:rPr>
        <w:t xml:space="preserve">all the rights in the Covenant </w:t>
      </w:r>
      <w:r w:rsidRPr="006D15A0">
        <w:rPr>
          <w:rFonts w:ascii="Times New Roman" w:hAnsi="Times New Roman" w:cs="Times New Roman"/>
          <w:sz w:val="24"/>
          <w:szCs w:val="24"/>
        </w:rPr>
        <w:t xml:space="preserve">as </w:t>
      </w:r>
    </w:p>
    <w:p w14:paraId="09429A7E" w14:textId="0CE7DBCE" w:rsidR="003F5773" w:rsidRPr="00D43F7F" w:rsidRDefault="00E801F8" w:rsidP="00E801F8">
      <w:pPr>
        <w:pStyle w:val="CommentText"/>
        <w:rPr>
          <w:rFonts w:ascii="Times New Roman" w:hAnsi="Times New Roman" w:cs="Times New Roman"/>
          <w:sz w:val="24"/>
          <w:szCs w:val="24"/>
        </w:rPr>
      </w:pPr>
      <w:r>
        <w:rPr>
          <w:rFonts w:ascii="Times New Roman" w:hAnsi="Times New Roman" w:cs="Times New Roman"/>
          <w:sz w:val="24"/>
          <w:szCs w:val="24"/>
        </w:rPr>
        <w:t xml:space="preserve">         </w:t>
      </w:r>
      <w:r w:rsidR="00B77231">
        <w:rPr>
          <w:rFonts w:ascii="Times New Roman" w:hAnsi="Times New Roman" w:cs="Times New Roman"/>
          <w:sz w:val="24"/>
          <w:szCs w:val="24"/>
        </w:rPr>
        <w:t xml:space="preserve">stated in the </w:t>
      </w:r>
      <w:r w:rsidR="009546C4">
        <w:rPr>
          <w:rFonts w:ascii="Times New Roman" w:hAnsi="Times New Roman" w:cs="Times New Roman"/>
          <w:sz w:val="24"/>
          <w:szCs w:val="24"/>
        </w:rPr>
        <w:t>preceding sentences of the para</w:t>
      </w:r>
      <w:r w:rsidR="003F5773" w:rsidRPr="006D15A0">
        <w:rPr>
          <w:rFonts w:ascii="Times New Roman" w:hAnsi="Times New Roman" w:cs="Times New Roman"/>
          <w:sz w:val="24"/>
          <w:szCs w:val="24"/>
        </w:rPr>
        <w:t xml:space="preserve">. </w:t>
      </w:r>
      <w:r w:rsidR="00D43F7F">
        <w:rPr>
          <w:rFonts w:ascii="Times New Roman" w:hAnsi="Times New Roman" w:cs="Times New Roman"/>
          <w:sz w:val="24"/>
          <w:szCs w:val="24"/>
        </w:rPr>
        <w:br/>
      </w:r>
    </w:p>
    <w:p w14:paraId="08BD3DC2" w14:textId="77777777" w:rsidR="00226F80" w:rsidRPr="00D133EF" w:rsidRDefault="00171FB7"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910337" w:rsidRPr="00D133EF">
        <w:rPr>
          <w:rFonts w:ascii="Times New Roman" w:hAnsi="Times New Roman" w:cs="Times New Roman"/>
          <w:b/>
          <w:sz w:val="24"/>
          <w:szCs w:val="24"/>
        </w:rPr>
        <w:t>a</w:t>
      </w:r>
      <w:r w:rsidRPr="00D133EF">
        <w:rPr>
          <w:rFonts w:ascii="Times New Roman" w:hAnsi="Times New Roman" w:cs="Times New Roman"/>
          <w:b/>
          <w:sz w:val="24"/>
          <w:szCs w:val="24"/>
        </w:rPr>
        <w:t>. 26</w:t>
      </w:r>
      <w:r w:rsidR="003F5773" w:rsidRPr="00D133EF">
        <w:rPr>
          <w:rFonts w:ascii="Times New Roman" w:hAnsi="Times New Roman" w:cs="Times New Roman"/>
          <w:b/>
          <w:sz w:val="24"/>
          <w:szCs w:val="24"/>
        </w:rPr>
        <w:t xml:space="preserve"> </w:t>
      </w:r>
    </w:p>
    <w:p w14:paraId="5B2D7EEE" w14:textId="3BC2F5A7" w:rsidR="004F6D31" w:rsidRPr="00D133EF" w:rsidRDefault="003F5773" w:rsidP="00D133EF">
      <w:pPr>
        <w:pStyle w:val="ListParagraph"/>
        <w:numPr>
          <w:ilvl w:val="0"/>
          <w:numId w:val="4"/>
        </w:numPr>
        <w:ind w:left="567" w:hanging="567"/>
        <w:jc w:val="both"/>
        <w:rPr>
          <w:rFonts w:ascii="Times New Roman" w:hAnsi="Times New Roman" w:cs="Times New Roman"/>
          <w:sz w:val="24"/>
          <w:szCs w:val="24"/>
        </w:rPr>
      </w:pPr>
      <w:r w:rsidRPr="00D133EF">
        <w:rPr>
          <w:rFonts w:ascii="Times New Roman" w:hAnsi="Times New Roman" w:cs="Times New Roman"/>
          <w:sz w:val="24"/>
          <w:szCs w:val="24"/>
        </w:rPr>
        <w:t xml:space="preserve">The obligation of the state not to interfere unduly is relevant for activities of participants </w:t>
      </w:r>
      <w:r w:rsidR="006F76DD" w:rsidRPr="00D133EF">
        <w:rPr>
          <w:rFonts w:ascii="Times New Roman" w:hAnsi="Times New Roman" w:cs="Times New Roman"/>
          <w:i/>
          <w:sz w:val="24"/>
          <w:szCs w:val="24"/>
        </w:rPr>
        <w:t>and</w:t>
      </w:r>
      <w:r w:rsidRPr="00D133EF">
        <w:rPr>
          <w:rFonts w:ascii="Times New Roman" w:hAnsi="Times New Roman" w:cs="Times New Roman"/>
          <w:sz w:val="24"/>
          <w:szCs w:val="24"/>
        </w:rPr>
        <w:t xml:space="preserve"> organi</w:t>
      </w:r>
      <w:r w:rsidR="00226F80" w:rsidRPr="00D133EF">
        <w:rPr>
          <w:rFonts w:ascii="Times New Roman" w:hAnsi="Times New Roman" w:cs="Times New Roman"/>
          <w:sz w:val="24"/>
          <w:szCs w:val="24"/>
        </w:rPr>
        <w:t>z</w:t>
      </w:r>
      <w:r w:rsidRPr="00D133EF">
        <w:rPr>
          <w:rFonts w:ascii="Times New Roman" w:hAnsi="Times New Roman" w:cs="Times New Roman"/>
          <w:sz w:val="24"/>
          <w:szCs w:val="24"/>
        </w:rPr>
        <w:t>ers.</w:t>
      </w:r>
      <w:r w:rsidR="004F6D31" w:rsidRPr="00D133EF">
        <w:rPr>
          <w:rFonts w:ascii="Times New Roman" w:hAnsi="Times New Roman" w:cs="Times New Roman"/>
          <w:sz w:val="24"/>
          <w:szCs w:val="24"/>
        </w:rPr>
        <w:t xml:space="preserve"> Only participants are mentioned</w:t>
      </w:r>
      <w:r w:rsidR="00175100" w:rsidRPr="00D133EF">
        <w:rPr>
          <w:rFonts w:ascii="Times New Roman" w:hAnsi="Times New Roman" w:cs="Times New Roman"/>
          <w:sz w:val="24"/>
          <w:szCs w:val="24"/>
        </w:rPr>
        <w:t xml:space="preserve"> and</w:t>
      </w:r>
      <w:r w:rsidR="005215CC" w:rsidRPr="00D133EF">
        <w:rPr>
          <w:rFonts w:ascii="Times New Roman" w:hAnsi="Times New Roman" w:cs="Times New Roman"/>
          <w:sz w:val="24"/>
          <w:szCs w:val="24"/>
        </w:rPr>
        <w:t xml:space="preserve"> it is</w:t>
      </w:r>
      <w:r w:rsidR="00226F80" w:rsidRPr="00D133EF">
        <w:rPr>
          <w:rFonts w:ascii="Times New Roman" w:hAnsi="Times New Roman" w:cs="Times New Roman"/>
          <w:sz w:val="24"/>
          <w:szCs w:val="24"/>
        </w:rPr>
        <w:t xml:space="preserve"> suggest</w:t>
      </w:r>
      <w:r w:rsidR="005215CC" w:rsidRPr="00D133EF">
        <w:rPr>
          <w:rFonts w:ascii="Times New Roman" w:hAnsi="Times New Roman" w:cs="Times New Roman"/>
          <w:sz w:val="24"/>
          <w:szCs w:val="24"/>
        </w:rPr>
        <w:t>ed</w:t>
      </w:r>
      <w:r w:rsidR="00226F80" w:rsidRPr="00D133EF">
        <w:rPr>
          <w:rFonts w:ascii="Times New Roman" w:hAnsi="Times New Roman" w:cs="Times New Roman"/>
          <w:sz w:val="24"/>
          <w:szCs w:val="24"/>
        </w:rPr>
        <w:t xml:space="preserve"> to include organizers as well.</w:t>
      </w:r>
    </w:p>
    <w:p w14:paraId="7B6B6246" w14:textId="4F88E3DE" w:rsidR="004F6D31" w:rsidRPr="00D133EF" w:rsidRDefault="004F6D31"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lastRenderedPageBreak/>
        <w:t>Par</w:t>
      </w:r>
      <w:r w:rsidR="00910337" w:rsidRPr="00D133EF">
        <w:rPr>
          <w:rFonts w:ascii="Times New Roman" w:hAnsi="Times New Roman" w:cs="Times New Roman"/>
          <w:b/>
          <w:sz w:val="24"/>
          <w:szCs w:val="24"/>
        </w:rPr>
        <w:t>a</w:t>
      </w:r>
      <w:r w:rsidR="00171FB7" w:rsidRPr="00D133EF">
        <w:rPr>
          <w:rFonts w:ascii="Times New Roman" w:hAnsi="Times New Roman" w:cs="Times New Roman"/>
          <w:b/>
          <w:sz w:val="24"/>
          <w:szCs w:val="24"/>
        </w:rPr>
        <w:t>. 27</w:t>
      </w:r>
      <w:r w:rsidRPr="00D133EF">
        <w:rPr>
          <w:rFonts w:ascii="Times New Roman" w:hAnsi="Times New Roman" w:cs="Times New Roman"/>
          <w:b/>
          <w:sz w:val="24"/>
          <w:szCs w:val="24"/>
        </w:rPr>
        <w:t xml:space="preserve"> </w:t>
      </w:r>
    </w:p>
    <w:p w14:paraId="61A61442" w14:textId="2ABFB376" w:rsidR="004F6D31" w:rsidRPr="006D15A0" w:rsidRDefault="004F6D31"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The relocation part seems a bit out of place. Relocating an assembly would constitute a restriction</w:t>
      </w:r>
      <w:r w:rsidR="00433F20" w:rsidRPr="006D15A0">
        <w:rPr>
          <w:rFonts w:ascii="Times New Roman" w:hAnsi="Times New Roman" w:cs="Times New Roman"/>
          <w:sz w:val="24"/>
          <w:szCs w:val="24"/>
        </w:rPr>
        <w:t xml:space="preserve"> as it interferes with the right to choose the location of the assembly</w:t>
      </w:r>
      <w:r w:rsidRPr="006D15A0">
        <w:rPr>
          <w:rFonts w:ascii="Times New Roman" w:hAnsi="Times New Roman" w:cs="Times New Roman"/>
          <w:sz w:val="24"/>
          <w:szCs w:val="24"/>
        </w:rPr>
        <w:t xml:space="preserve">, while listing it </w:t>
      </w:r>
      <w:r w:rsidR="00FF28B1" w:rsidRPr="006D15A0">
        <w:rPr>
          <w:rFonts w:ascii="Times New Roman" w:hAnsi="Times New Roman" w:cs="Times New Roman"/>
          <w:sz w:val="24"/>
          <w:szCs w:val="24"/>
        </w:rPr>
        <w:t xml:space="preserve">in </w:t>
      </w:r>
      <w:r w:rsidR="001B62E1">
        <w:rPr>
          <w:rFonts w:ascii="Times New Roman" w:hAnsi="Times New Roman" w:cs="Times New Roman"/>
          <w:sz w:val="24"/>
          <w:szCs w:val="24"/>
        </w:rPr>
        <w:t xml:space="preserve">this </w:t>
      </w:r>
      <w:r w:rsidR="00FF28B1" w:rsidRPr="006D15A0">
        <w:rPr>
          <w:rFonts w:ascii="Times New Roman" w:hAnsi="Times New Roman" w:cs="Times New Roman"/>
          <w:sz w:val="24"/>
          <w:szCs w:val="24"/>
        </w:rPr>
        <w:t>para</w:t>
      </w:r>
      <w:r w:rsidR="001B62E1">
        <w:rPr>
          <w:rFonts w:ascii="Times New Roman" w:hAnsi="Times New Roman" w:cs="Times New Roman"/>
          <w:sz w:val="24"/>
          <w:szCs w:val="24"/>
        </w:rPr>
        <w:t xml:space="preserve">, </w:t>
      </w:r>
      <w:r w:rsidR="00FF28B1" w:rsidRPr="006D15A0">
        <w:rPr>
          <w:rFonts w:ascii="Times New Roman" w:hAnsi="Times New Roman" w:cs="Times New Roman"/>
          <w:sz w:val="24"/>
          <w:szCs w:val="24"/>
        </w:rPr>
        <w:t xml:space="preserve">which deals with the State’s the positive duty to facilitate peaceful assemblies </w:t>
      </w:r>
      <w:r w:rsidRPr="006D15A0">
        <w:rPr>
          <w:rFonts w:ascii="Times New Roman" w:hAnsi="Times New Roman" w:cs="Times New Roman"/>
          <w:sz w:val="24"/>
          <w:szCs w:val="24"/>
        </w:rPr>
        <w:t xml:space="preserve">displays it as part of the facilitation obligations in which case it would not be subject to the same assessment as restrictions require. </w:t>
      </w:r>
      <w:r w:rsidR="001A16C9" w:rsidRPr="006D15A0">
        <w:rPr>
          <w:rFonts w:ascii="Times New Roman" w:hAnsi="Times New Roman" w:cs="Times New Roman"/>
          <w:sz w:val="24"/>
          <w:szCs w:val="24"/>
        </w:rPr>
        <w:t xml:space="preserve">It should also be mentioned that </w:t>
      </w:r>
      <w:r w:rsidR="00FF28B1" w:rsidRPr="006D15A0">
        <w:rPr>
          <w:rFonts w:ascii="Times New Roman" w:hAnsi="Times New Roman" w:cs="Times New Roman"/>
          <w:sz w:val="24"/>
          <w:szCs w:val="24"/>
        </w:rPr>
        <w:t xml:space="preserve">in case of relocation of assembly </w:t>
      </w:r>
      <w:r w:rsidR="001A16C9" w:rsidRPr="006D15A0">
        <w:rPr>
          <w:rFonts w:ascii="Times New Roman" w:hAnsi="Times New Roman" w:cs="Times New Roman"/>
          <w:sz w:val="24"/>
          <w:szCs w:val="24"/>
        </w:rPr>
        <w:t xml:space="preserve">the principle of “sight and sound” </w:t>
      </w:r>
      <w:r w:rsidR="00FF28B1" w:rsidRPr="006D15A0">
        <w:rPr>
          <w:rFonts w:ascii="Times New Roman" w:hAnsi="Times New Roman" w:cs="Times New Roman"/>
          <w:sz w:val="24"/>
          <w:szCs w:val="24"/>
        </w:rPr>
        <w:t>should be respected to the extent possible</w:t>
      </w:r>
      <w:r w:rsidR="001A16C9" w:rsidRPr="006D15A0">
        <w:rPr>
          <w:rFonts w:ascii="Times New Roman" w:hAnsi="Times New Roman" w:cs="Times New Roman"/>
          <w:sz w:val="24"/>
          <w:szCs w:val="24"/>
        </w:rPr>
        <w:t xml:space="preserve">. </w:t>
      </w:r>
    </w:p>
    <w:p w14:paraId="3B64197E" w14:textId="77777777" w:rsidR="00772427" w:rsidRPr="006D15A0" w:rsidRDefault="00772427" w:rsidP="00D133EF">
      <w:pPr>
        <w:pStyle w:val="CommentText"/>
        <w:ind w:left="567" w:hanging="567"/>
        <w:jc w:val="both"/>
        <w:rPr>
          <w:rFonts w:ascii="Times New Roman" w:hAnsi="Times New Roman" w:cs="Times New Roman"/>
          <w:sz w:val="24"/>
          <w:szCs w:val="24"/>
        </w:rPr>
      </w:pPr>
    </w:p>
    <w:p w14:paraId="0A32D7BC" w14:textId="383B8E1F" w:rsidR="00772427" w:rsidRPr="006D15A0" w:rsidRDefault="00772427"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The bracket</w:t>
      </w:r>
      <w:r w:rsidR="00944AE9" w:rsidRPr="006D15A0">
        <w:rPr>
          <w:rFonts w:ascii="Times New Roman" w:hAnsi="Times New Roman" w:cs="Times New Roman"/>
          <w:sz w:val="24"/>
          <w:szCs w:val="24"/>
        </w:rPr>
        <w:t>ed</w:t>
      </w:r>
      <w:r w:rsidRPr="006D15A0">
        <w:rPr>
          <w:rFonts w:ascii="Times New Roman" w:hAnsi="Times New Roman" w:cs="Times New Roman"/>
          <w:sz w:val="24"/>
          <w:szCs w:val="24"/>
        </w:rPr>
        <w:t xml:space="preserve"> section on private security companies should be included</w:t>
      </w:r>
      <w:r w:rsidR="00457D12" w:rsidRPr="006D15A0">
        <w:rPr>
          <w:rFonts w:ascii="Times New Roman" w:hAnsi="Times New Roman" w:cs="Times New Roman"/>
          <w:sz w:val="24"/>
          <w:szCs w:val="24"/>
        </w:rPr>
        <w:t>, as they could</w:t>
      </w:r>
      <w:r w:rsidR="00FF28B1" w:rsidRPr="006D15A0">
        <w:rPr>
          <w:rFonts w:ascii="Times New Roman" w:hAnsi="Times New Roman" w:cs="Times New Roman"/>
          <w:sz w:val="24"/>
          <w:szCs w:val="24"/>
        </w:rPr>
        <w:t>,</w:t>
      </w:r>
      <w:r w:rsidR="00457D12" w:rsidRPr="006D15A0">
        <w:rPr>
          <w:rFonts w:ascii="Times New Roman" w:hAnsi="Times New Roman" w:cs="Times New Roman"/>
          <w:sz w:val="24"/>
          <w:szCs w:val="24"/>
        </w:rPr>
        <w:t xml:space="preserve"> for instance</w:t>
      </w:r>
      <w:r w:rsidR="00FF28B1" w:rsidRPr="006D15A0">
        <w:rPr>
          <w:rFonts w:ascii="Times New Roman" w:hAnsi="Times New Roman" w:cs="Times New Roman"/>
          <w:sz w:val="24"/>
          <w:szCs w:val="24"/>
        </w:rPr>
        <w:t>,</w:t>
      </w:r>
      <w:r w:rsidR="00457D12" w:rsidRPr="006D15A0">
        <w:rPr>
          <w:rFonts w:ascii="Times New Roman" w:hAnsi="Times New Roman" w:cs="Times New Roman"/>
          <w:sz w:val="24"/>
          <w:szCs w:val="24"/>
        </w:rPr>
        <w:t xml:space="preserve"> be hired by counter demonstrators to disrupt the assembly</w:t>
      </w:r>
      <w:r w:rsidRPr="006D15A0">
        <w:rPr>
          <w:rFonts w:ascii="Times New Roman" w:hAnsi="Times New Roman" w:cs="Times New Roman"/>
          <w:sz w:val="24"/>
          <w:szCs w:val="24"/>
        </w:rPr>
        <w:t xml:space="preserve">. </w:t>
      </w:r>
    </w:p>
    <w:p w14:paraId="5B8AFC6B" w14:textId="77777777" w:rsidR="00772427" w:rsidRPr="006D15A0" w:rsidRDefault="00772427" w:rsidP="0045318F">
      <w:pPr>
        <w:pStyle w:val="CommentText"/>
        <w:jc w:val="both"/>
        <w:rPr>
          <w:rFonts w:ascii="Times New Roman" w:hAnsi="Times New Roman" w:cs="Times New Roman"/>
          <w:sz w:val="24"/>
          <w:szCs w:val="24"/>
        </w:rPr>
      </w:pPr>
    </w:p>
    <w:p w14:paraId="7E028CC1" w14:textId="6DB5704F" w:rsidR="00772427" w:rsidRPr="00D133EF" w:rsidRDefault="00772427" w:rsidP="00D133EF">
      <w:pPr>
        <w:pStyle w:val="CommentText"/>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910337" w:rsidRPr="00D133EF">
        <w:rPr>
          <w:rFonts w:ascii="Times New Roman" w:hAnsi="Times New Roman" w:cs="Times New Roman"/>
          <w:b/>
          <w:sz w:val="24"/>
          <w:szCs w:val="24"/>
        </w:rPr>
        <w:t>a</w:t>
      </w:r>
      <w:r w:rsidRPr="00D133EF">
        <w:rPr>
          <w:rFonts w:ascii="Times New Roman" w:hAnsi="Times New Roman" w:cs="Times New Roman"/>
          <w:b/>
          <w:sz w:val="24"/>
          <w:szCs w:val="24"/>
        </w:rPr>
        <w:t>. 28.</w:t>
      </w:r>
    </w:p>
    <w:p w14:paraId="5FC8116D" w14:textId="77777777" w:rsidR="00FF28B1" w:rsidRPr="006D15A0" w:rsidRDefault="00FF28B1" w:rsidP="0045318F">
      <w:pPr>
        <w:pStyle w:val="CommentText"/>
        <w:jc w:val="both"/>
        <w:rPr>
          <w:rFonts w:ascii="Times New Roman" w:hAnsi="Times New Roman" w:cs="Times New Roman"/>
          <w:sz w:val="24"/>
          <w:szCs w:val="24"/>
        </w:rPr>
      </w:pPr>
    </w:p>
    <w:p w14:paraId="42DEB9EE" w14:textId="5519528B" w:rsidR="00772427" w:rsidRPr="006D15A0" w:rsidRDefault="00FF28B1"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Para</w:t>
      </w:r>
      <w:r w:rsidR="001F20FD">
        <w:rPr>
          <w:rFonts w:ascii="Times New Roman" w:hAnsi="Times New Roman" w:cs="Times New Roman"/>
          <w:sz w:val="24"/>
          <w:szCs w:val="24"/>
        </w:rPr>
        <w:t>.</w:t>
      </w:r>
      <w:r w:rsidRPr="006D15A0">
        <w:rPr>
          <w:rFonts w:ascii="Times New Roman" w:hAnsi="Times New Roman" w:cs="Times New Roman"/>
          <w:sz w:val="24"/>
          <w:szCs w:val="24"/>
        </w:rPr>
        <w:t xml:space="preserve"> 28 lists “n</w:t>
      </w:r>
      <w:r w:rsidR="00772427" w:rsidRPr="006D15A0">
        <w:rPr>
          <w:rFonts w:ascii="Times New Roman" w:hAnsi="Times New Roman" w:cs="Times New Roman"/>
          <w:sz w:val="24"/>
          <w:szCs w:val="24"/>
        </w:rPr>
        <w:t>ationality</w:t>
      </w:r>
      <w:r w:rsidRPr="006D15A0">
        <w:rPr>
          <w:rFonts w:ascii="Times New Roman" w:hAnsi="Times New Roman" w:cs="Times New Roman"/>
          <w:sz w:val="24"/>
          <w:szCs w:val="24"/>
        </w:rPr>
        <w:t xml:space="preserve">” among the </w:t>
      </w:r>
      <w:r w:rsidR="00772427" w:rsidRPr="006D15A0">
        <w:rPr>
          <w:rFonts w:ascii="Times New Roman" w:hAnsi="Times New Roman" w:cs="Times New Roman"/>
          <w:sz w:val="24"/>
          <w:szCs w:val="24"/>
        </w:rPr>
        <w:t xml:space="preserve">non-discrimination </w:t>
      </w:r>
      <w:r w:rsidRPr="006D15A0">
        <w:rPr>
          <w:rFonts w:ascii="Times New Roman" w:hAnsi="Times New Roman" w:cs="Times New Roman"/>
          <w:sz w:val="24"/>
          <w:szCs w:val="24"/>
        </w:rPr>
        <w:t xml:space="preserve">grounds. It is suggested to clarify that the right should be guaranteed to individuals regardless of their citizenship as well as stateless persons. </w:t>
      </w:r>
    </w:p>
    <w:p w14:paraId="758FB600" w14:textId="213DE23F" w:rsidR="004F6D31" w:rsidRPr="006D15A0" w:rsidRDefault="004F6D31" w:rsidP="00D133EF">
      <w:pPr>
        <w:pStyle w:val="CommentText"/>
        <w:ind w:firstLine="60"/>
        <w:jc w:val="both"/>
        <w:rPr>
          <w:rFonts w:ascii="Times New Roman" w:hAnsi="Times New Roman" w:cs="Times New Roman"/>
          <w:sz w:val="24"/>
          <w:szCs w:val="24"/>
        </w:rPr>
      </w:pPr>
    </w:p>
    <w:p w14:paraId="00203D71" w14:textId="4F156A94" w:rsidR="003057E2" w:rsidRPr="006D15A0" w:rsidRDefault="003057E2"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lang w:val="en-US"/>
        </w:rPr>
        <w:t xml:space="preserve">International human rights law does not link the guarantee of the right to </w:t>
      </w:r>
      <w:r w:rsidR="008E2546">
        <w:rPr>
          <w:rFonts w:ascii="Times New Roman" w:hAnsi="Times New Roman" w:cs="Times New Roman"/>
          <w:sz w:val="24"/>
          <w:szCs w:val="24"/>
          <w:lang w:val="en-US"/>
        </w:rPr>
        <w:t>F</w:t>
      </w:r>
      <w:r w:rsidRPr="006D15A0">
        <w:rPr>
          <w:rFonts w:ascii="Times New Roman" w:hAnsi="Times New Roman" w:cs="Times New Roman"/>
          <w:sz w:val="24"/>
          <w:szCs w:val="24"/>
          <w:lang w:val="en-US"/>
        </w:rPr>
        <w:t xml:space="preserve">reedom of </w:t>
      </w:r>
      <w:r w:rsidR="008E2546">
        <w:rPr>
          <w:rFonts w:ascii="Times New Roman" w:hAnsi="Times New Roman" w:cs="Times New Roman"/>
          <w:sz w:val="24"/>
          <w:szCs w:val="24"/>
          <w:lang w:val="en-US"/>
        </w:rPr>
        <w:t>Peaceful A</w:t>
      </w:r>
      <w:r w:rsidRPr="006D15A0">
        <w:rPr>
          <w:rFonts w:ascii="Times New Roman" w:hAnsi="Times New Roman" w:cs="Times New Roman"/>
          <w:sz w:val="24"/>
          <w:szCs w:val="24"/>
          <w:lang w:val="en-US"/>
        </w:rPr>
        <w:t xml:space="preserve">ssembly to citizenship. It is therefore essential that relevant legislation provides </w:t>
      </w:r>
      <w:r w:rsidR="008E2546">
        <w:rPr>
          <w:rFonts w:ascii="Times New Roman" w:hAnsi="Times New Roman" w:cs="Times New Roman"/>
          <w:sz w:val="24"/>
          <w:szCs w:val="24"/>
          <w:lang w:val="en-US"/>
        </w:rPr>
        <w:t>F</w:t>
      </w:r>
      <w:r w:rsidRPr="006D15A0">
        <w:rPr>
          <w:rFonts w:ascii="Times New Roman" w:hAnsi="Times New Roman" w:cs="Times New Roman"/>
          <w:sz w:val="24"/>
          <w:szCs w:val="24"/>
          <w:lang w:val="en-US"/>
        </w:rPr>
        <w:t xml:space="preserve">reedom of </w:t>
      </w:r>
      <w:r w:rsidR="008E2546">
        <w:rPr>
          <w:rFonts w:ascii="Times New Roman" w:hAnsi="Times New Roman" w:cs="Times New Roman"/>
          <w:sz w:val="24"/>
          <w:szCs w:val="24"/>
          <w:lang w:val="en-US"/>
        </w:rPr>
        <w:t>P</w:t>
      </w:r>
      <w:r w:rsidRPr="006D15A0">
        <w:rPr>
          <w:rFonts w:ascii="Times New Roman" w:hAnsi="Times New Roman" w:cs="Times New Roman"/>
          <w:sz w:val="24"/>
          <w:szCs w:val="24"/>
          <w:lang w:val="en-US"/>
        </w:rPr>
        <w:t xml:space="preserve">eaceful </w:t>
      </w:r>
      <w:r w:rsidR="008E2546">
        <w:rPr>
          <w:rFonts w:ascii="Times New Roman" w:hAnsi="Times New Roman" w:cs="Times New Roman"/>
          <w:sz w:val="24"/>
          <w:szCs w:val="24"/>
          <w:lang w:val="en-US"/>
        </w:rPr>
        <w:t>A</w:t>
      </w:r>
      <w:r w:rsidRPr="006D15A0">
        <w:rPr>
          <w:rFonts w:ascii="Times New Roman" w:hAnsi="Times New Roman" w:cs="Times New Roman"/>
          <w:sz w:val="24"/>
          <w:szCs w:val="24"/>
          <w:lang w:val="en-US"/>
        </w:rPr>
        <w:t>ssembly not only to citizens, but that it also foresees the same right for stateless persons, refugees, foreign nationals, asylum seekers, and migrants</w:t>
      </w:r>
      <w:r w:rsidR="003A1BEE" w:rsidRPr="006D15A0">
        <w:rPr>
          <w:rFonts w:ascii="Times New Roman" w:hAnsi="Times New Roman" w:cs="Times New Roman"/>
          <w:sz w:val="24"/>
          <w:szCs w:val="24"/>
          <w:lang w:val="en-US"/>
        </w:rPr>
        <w:t>.</w:t>
      </w:r>
      <w:r w:rsidR="003A1BEE" w:rsidRPr="006D15A0">
        <w:rPr>
          <w:rStyle w:val="FootnoteReference"/>
          <w:rFonts w:ascii="Times New Roman" w:hAnsi="Times New Roman" w:cs="Times New Roman"/>
          <w:sz w:val="24"/>
          <w:szCs w:val="24"/>
          <w:lang w:val="en-US"/>
        </w:rPr>
        <w:footnoteReference w:id="16"/>
      </w:r>
    </w:p>
    <w:p w14:paraId="25461656" w14:textId="77777777" w:rsidR="004F6D31" w:rsidRPr="006D15A0" w:rsidRDefault="004F6D31" w:rsidP="001B62E1">
      <w:pPr>
        <w:pStyle w:val="CommentText"/>
        <w:jc w:val="both"/>
        <w:rPr>
          <w:rFonts w:ascii="Times New Roman" w:hAnsi="Times New Roman" w:cs="Times New Roman"/>
          <w:sz w:val="24"/>
          <w:szCs w:val="24"/>
        </w:rPr>
      </w:pPr>
    </w:p>
    <w:p w14:paraId="0CD3B04C" w14:textId="5C8B3CA6" w:rsidR="003F5773" w:rsidRPr="00D133EF" w:rsidRDefault="001F0132"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910337" w:rsidRPr="00D133EF">
        <w:rPr>
          <w:rFonts w:ascii="Times New Roman" w:hAnsi="Times New Roman" w:cs="Times New Roman"/>
          <w:b/>
          <w:sz w:val="24"/>
          <w:szCs w:val="24"/>
        </w:rPr>
        <w:t>a</w:t>
      </w:r>
      <w:r w:rsidR="00171FB7" w:rsidRPr="00D133EF">
        <w:rPr>
          <w:rFonts w:ascii="Times New Roman" w:hAnsi="Times New Roman" w:cs="Times New Roman"/>
          <w:b/>
          <w:sz w:val="24"/>
          <w:szCs w:val="24"/>
        </w:rPr>
        <w:t>.</w:t>
      </w:r>
      <w:r w:rsidRPr="00D133EF">
        <w:rPr>
          <w:rFonts w:ascii="Times New Roman" w:hAnsi="Times New Roman" w:cs="Times New Roman"/>
          <w:b/>
          <w:sz w:val="24"/>
          <w:szCs w:val="24"/>
        </w:rPr>
        <w:t xml:space="preserve"> 29</w:t>
      </w:r>
    </w:p>
    <w:p w14:paraId="2F40611C" w14:textId="36CB5D6C" w:rsidR="001F0132" w:rsidRPr="001B62E1" w:rsidRDefault="00FF28B1" w:rsidP="00D133EF">
      <w:pPr>
        <w:pStyle w:val="CommentText"/>
        <w:numPr>
          <w:ilvl w:val="0"/>
          <w:numId w:val="4"/>
        </w:numPr>
        <w:ind w:left="567" w:hanging="567"/>
        <w:jc w:val="both"/>
        <w:rPr>
          <w:rFonts w:ascii="Times New Roman" w:hAnsi="Times New Roman" w:cs="Times New Roman"/>
        </w:rPr>
      </w:pPr>
      <w:r w:rsidRPr="006D15A0">
        <w:rPr>
          <w:rFonts w:ascii="Times New Roman" w:hAnsi="Times New Roman" w:cs="Times New Roman"/>
          <w:sz w:val="24"/>
          <w:szCs w:val="24"/>
        </w:rPr>
        <w:t xml:space="preserve">The </w:t>
      </w:r>
      <w:r w:rsidR="001F0132" w:rsidRPr="006D15A0">
        <w:rPr>
          <w:rFonts w:ascii="Times New Roman" w:hAnsi="Times New Roman" w:cs="Times New Roman"/>
          <w:sz w:val="24"/>
          <w:szCs w:val="24"/>
        </w:rPr>
        <w:t>para</w:t>
      </w:r>
      <w:r w:rsidR="001F20FD">
        <w:rPr>
          <w:rFonts w:ascii="Times New Roman" w:hAnsi="Times New Roman" w:cs="Times New Roman"/>
          <w:sz w:val="24"/>
          <w:szCs w:val="24"/>
        </w:rPr>
        <w:t>.</w:t>
      </w:r>
      <w:r w:rsidR="001F0132" w:rsidRPr="006D15A0">
        <w:rPr>
          <w:rFonts w:ascii="Times New Roman" w:hAnsi="Times New Roman" w:cs="Times New Roman"/>
          <w:sz w:val="24"/>
          <w:szCs w:val="24"/>
        </w:rPr>
        <w:t xml:space="preserve"> </w:t>
      </w:r>
      <w:r w:rsidRPr="006D15A0">
        <w:rPr>
          <w:rFonts w:ascii="Times New Roman" w:hAnsi="Times New Roman" w:cs="Times New Roman"/>
          <w:sz w:val="24"/>
          <w:szCs w:val="24"/>
        </w:rPr>
        <w:t>would benefit from clarification with regard to its purpose and content</w:t>
      </w:r>
      <w:r w:rsidR="001F0132" w:rsidRPr="006D15A0">
        <w:rPr>
          <w:rFonts w:ascii="Times New Roman" w:hAnsi="Times New Roman" w:cs="Times New Roman"/>
          <w:sz w:val="24"/>
          <w:szCs w:val="24"/>
        </w:rPr>
        <w:t>. It</w:t>
      </w:r>
      <w:r w:rsidR="00D07260" w:rsidRPr="006D15A0">
        <w:rPr>
          <w:rFonts w:ascii="Times New Roman" w:hAnsi="Times New Roman" w:cs="Times New Roman"/>
          <w:sz w:val="24"/>
          <w:szCs w:val="24"/>
        </w:rPr>
        <w:t xml:space="preserve"> may have been an intention of drafters to</w:t>
      </w:r>
      <w:r w:rsidR="001F0132" w:rsidRPr="006D15A0">
        <w:rPr>
          <w:rFonts w:ascii="Times New Roman" w:hAnsi="Times New Roman" w:cs="Times New Roman"/>
          <w:sz w:val="24"/>
          <w:szCs w:val="24"/>
        </w:rPr>
        <w:t xml:space="preserve"> spell out and clarify that no measures should be taken that have a chilling effect</w:t>
      </w:r>
      <w:r w:rsidR="0077310C" w:rsidRPr="006D15A0">
        <w:rPr>
          <w:rFonts w:ascii="Times New Roman" w:hAnsi="Times New Roman" w:cs="Times New Roman"/>
          <w:sz w:val="24"/>
          <w:szCs w:val="24"/>
        </w:rPr>
        <w:t xml:space="preserve"> but</w:t>
      </w:r>
      <w:r w:rsidR="00556E5D">
        <w:rPr>
          <w:rFonts w:ascii="Times New Roman" w:hAnsi="Times New Roman" w:cs="Times New Roman"/>
          <w:sz w:val="24"/>
          <w:szCs w:val="24"/>
        </w:rPr>
        <w:t>, as mentioned, it wi</w:t>
      </w:r>
      <w:r w:rsidR="00164789">
        <w:rPr>
          <w:rFonts w:ascii="Times New Roman" w:hAnsi="Times New Roman" w:cs="Times New Roman"/>
          <w:sz w:val="24"/>
          <w:szCs w:val="24"/>
        </w:rPr>
        <w:t>ll be beneficial to revisit this para</w:t>
      </w:r>
      <w:r w:rsidR="0077310C" w:rsidRPr="006D15A0">
        <w:rPr>
          <w:rFonts w:ascii="Times New Roman" w:hAnsi="Times New Roman" w:cs="Times New Roman"/>
          <w:sz w:val="24"/>
          <w:szCs w:val="24"/>
        </w:rPr>
        <w:t>.</w:t>
      </w:r>
      <w:r w:rsidR="00BB2A23" w:rsidRPr="006D15A0">
        <w:rPr>
          <w:rFonts w:ascii="Times New Roman" w:hAnsi="Times New Roman" w:cs="Times New Roman"/>
          <w:sz w:val="24"/>
          <w:szCs w:val="24"/>
        </w:rPr>
        <w:t xml:space="preserve"> </w:t>
      </w:r>
    </w:p>
    <w:p w14:paraId="32539562" w14:textId="77777777" w:rsidR="00D43F7F" w:rsidRDefault="00D43F7F" w:rsidP="00D133EF">
      <w:pPr>
        <w:ind w:firstLine="567"/>
        <w:jc w:val="both"/>
        <w:rPr>
          <w:rFonts w:ascii="Times New Roman" w:hAnsi="Times New Roman" w:cs="Times New Roman"/>
          <w:b/>
          <w:sz w:val="24"/>
          <w:szCs w:val="24"/>
        </w:rPr>
      </w:pPr>
    </w:p>
    <w:p w14:paraId="53DA2DD0" w14:textId="1ADD2EA8" w:rsidR="0077310C" w:rsidRPr="00D133EF" w:rsidRDefault="0077310C"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433F20" w:rsidRPr="00D133EF">
        <w:rPr>
          <w:rFonts w:ascii="Times New Roman" w:hAnsi="Times New Roman" w:cs="Times New Roman"/>
          <w:b/>
          <w:sz w:val="24"/>
          <w:szCs w:val="24"/>
        </w:rPr>
        <w:t>a</w:t>
      </w:r>
      <w:r w:rsidR="00171FB7" w:rsidRPr="00D133EF">
        <w:rPr>
          <w:rFonts w:ascii="Times New Roman" w:hAnsi="Times New Roman" w:cs="Times New Roman"/>
          <w:b/>
          <w:sz w:val="24"/>
          <w:szCs w:val="24"/>
        </w:rPr>
        <w:t>. 30</w:t>
      </w:r>
    </w:p>
    <w:p w14:paraId="741C58B4" w14:textId="4B2337B0" w:rsidR="0077310C" w:rsidRPr="00D133EF" w:rsidRDefault="001B62E1" w:rsidP="00D133EF">
      <w:pPr>
        <w:pStyle w:val="ListParagraph"/>
        <w:numPr>
          <w:ilvl w:val="0"/>
          <w:numId w:val="4"/>
        </w:numPr>
        <w:ind w:left="567" w:hanging="567"/>
        <w:jc w:val="both"/>
        <w:rPr>
          <w:rFonts w:ascii="Times New Roman" w:hAnsi="Times New Roman" w:cs="Times New Roman"/>
          <w:sz w:val="24"/>
          <w:szCs w:val="24"/>
        </w:rPr>
      </w:pPr>
      <w:r w:rsidRPr="00D133EF">
        <w:rPr>
          <w:rFonts w:ascii="Times New Roman" w:hAnsi="Times New Roman" w:cs="Times New Roman"/>
          <w:sz w:val="24"/>
          <w:szCs w:val="24"/>
        </w:rPr>
        <w:t>It is suggested</w:t>
      </w:r>
      <w:r w:rsidR="0077310C" w:rsidRPr="00D133EF">
        <w:rPr>
          <w:rFonts w:ascii="Times New Roman" w:hAnsi="Times New Roman" w:cs="Times New Roman"/>
          <w:sz w:val="24"/>
          <w:szCs w:val="24"/>
        </w:rPr>
        <w:t xml:space="preserve"> to say “as far as possible” instead of “where possible” to strengthen the language. </w:t>
      </w:r>
    </w:p>
    <w:p w14:paraId="7E83F0EA" w14:textId="024994BC" w:rsidR="0077310C" w:rsidRPr="00D133EF" w:rsidRDefault="0077310C"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9156D7" w:rsidRPr="00D133EF">
        <w:rPr>
          <w:rFonts w:ascii="Times New Roman" w:hAnsi="Times New Roman" w:cs="Times New Roman"/>
          <w:b/>
          <w:sz w:val="24"/>
          <w:szCs w:val="24"/>
        </w:rPr>
        <w:t>a</w:t>
      </w:r>
      <w:r w:rsidR="00171FB7" w:rsidRPr="00D133EF">
        <w:rPr>
          <w:rFonts w:ascii="Times New Roman" w:hAnsi="Times New Roman" w:cs="Times New Roman"/>
          <w:b/>
          <w:sz w:val="24"/>
          <w:szCs w:val="24"/>
        </w:rPr>
        <w:t>. 31</w:t>
      </w:r>
    </w:p>
    <w:p w14:paraId="335BBACA" w14:textId="7B77542A" w:rsidR="00D07260" w:rsidRPr="00D133EF" w:rsidRDefault="00164789" w:rsidP="001B62E1">
      <w:pPr>
        <w:pStyle w:val="CommentTex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The last sentence of the p</w:t>
      </w:r>
      <w:r w:rsidR="00D07260" w:rsidRPr="006D15A0">
        <w:rPr>
          <w:rFonts w:ascii="Times New Roman" w:hAnsi="Times New Roman" w:cs="Times New Roman"/>
          <w:sz w:val="24"/>
          <w:szCs w:val="24"/>
        </w:rPr>
        <w:t>ara</w:t>
      </w:r>
      <w:r w:rsidR="001F20FD">
        <w:rPr>
          <w:rFonts w:ascii="Times New Roman" w:hAnsi="Times New Roman" w:cs="Times New Roman"/>
          <w:sz w:val="24"/>
          <w:szCs w:val="24"/>
        </w:rPr>
        <w:t>.</w:t>
      </w:r>
      <w:r w:rsidR="00D07260" w:rsidRPr="006D15A0">
        <w:rPr>
          <w:rFonts w:ascii="Times New Roman" w:hAnsi="Times New Roman" w:cs="Times New Roman"/>
          <w:sz w:val="24"/>
          <w:szCs w:val="24"/>
        </w:rPr>
        <w:t xml:space="preserve"> 31 provides that counter-assemblies should also be treated in a content-neutral way, and be allowed to take place, </w:t>
      </w:r>
      <w:r w:rsidR="00D07260" w:rsidRPr="001B62E1">
        <w:rPr>
          <w:rFonts w:ascii="Times New Roman" w:hAnsi="Times New Roman" w:cs="Times New Roman"/>
          <w:sz w:val="24"/>
          <w:szCs w:val="24"/>
          <w:u w:val="single"/>
        </w:rPr>
        <w:t>where possible</w:t>
      </w:r>
      <w:r w:rsidR="00D07260" w:rsidRPr="006D15A0">
        <w:rPr>
          <w:rFonts w:ascii="Times New Roman" w:hAnsi="Times New Roman" w:cs="Times New Roman"/>
          <w:sz w:val="24"/>
          <w:szCs w:val="24"/>
        </w:rPr>
        <w:t xml:space="preserve">, within sight and sound of the assemblies against which they are directed. It is suggested to replace </w:t>
      </w:r>
      <w:r w:rsidR="00B8040A" w:rsidRPr="006D15A0">
        <w:rPr>
          <w:rFonts w:ascii="Times New Roman" w:hAnsi="Times New Roman" w:cs="Times New Roman"/>
          <w:sz w:val="24"/>
          <w:szCs w:val="24"/>
        </w:rPr>
        <w:t>“</w:t>
      </w:r>
      <w:r w:rsidR="00D07260" w:rsidRPr="001B62E1">
        <w:rPr>
          <w:rFonts w:ascii="Times New Roman" w:hAnsi="Times New Roman" w:cs="Times New Roman"/>
          <w:sz w:val="24"/>
          <w:szCs w:val="24"/>
          <w:u w:val="single"/>
        </w:rPr>
        <w:t>where possible</w:t>
      </w:r>
      <w:r w:rsidR="00B8040A" w:rsidRPr="006D15A0">
        <w:rPr>
          <w:rFonts w:ascii="Times New Roman" w:hAnsi="Times New Roman" w:cs="Times New Roman"/>
          <w:sz w:val="24"/>
          <w:szCs w:val="24"/>
        </w:rPr>
        <w:t>”</w:t>
      </w:r>
      <w:r w:rsidR="0077310C" w:rsidRPr="006D15A0">
        <w:rPr>
          <w:rFonts w:ascii="Times New Roman" w:hAnsi="Times New Roman" w:cs="Times New Roman"/>
          <w:sz w:val="24"/>
          <w:szCs w:val="24"/>
        </w:rPr>
        <w:t xml:space="preserve"> </w:t>
      </w:r>
      <w:r w:rsidR="00D07260" w:rsidRPr="006D15A0">
        <w:rPr>
          <w:rFonts w:ascii="Times New Roman" w:hAnsi="Times New Roman" w:cs="Times New Roman"/>
          <w:sz w:val="24"/>
          <w:szCs w:val="24"/>
        </w:rPr>
        <w:t xml:space="preserve">with “as far as possible” as </w:t>
      </w:r>
      <w:r w:rsidR="0077310C" w:rsidRPr="006D15A0">
        <w:rPr>
          <w:rFonts w:ascii="Times New Roman" w:hAnsi="Times New Roman" w:cs="Times New Roman"/>
          <w:sz w:val="24"/>
          <w:szCs w:val="24"/>
        </w:rPr>
        <w:t xml:space="preserve">stronger </w:t>
      </w:r>
      <w:r w:rsidR="00D07260" w:rsidRPr="006D15A0">
        <w:rPr>
          <w:rFonts w:ascii="Times New Roman" w:hAnsi="Times New Roman" w:cs="Times New Roman"/>
          <w:sz w:val="24"/>
          <w:szCs w:val="24"/>
        </w:rPr>
        <w:t>requirement, emphasising stronger on the state’s duty to protect and facilitate assemblies and counter-demonstrations in particular.</w:t>
      </w:r>
      <w:r w:rsidR="00D07260" w:rsidRPr="006D15A0">
        <w:rPr>
          <w:rStyle w:val="FootnoteReference"/>
          <w:rFonts w:ascii="Times New Roman" w:hAnsi="Times New Roman" w:cs="Times New Roman"/>
          <w:sz w:val="24"/>
          <w:szCs w:val="24"/>
        </w:rPr>
        <w:footnoteReference w:id="17"/>
      </w:r>
      <w:r w:rsidR="00D07260" w:rsidRPr="006D15A0">
        <w:rPr>
          <w:rFonts w:ascii="Times New Roman" w:hAnsi="Times New Roman" w:cs="Times New Roman"/>
          <w:sz w:val="24"/>
          <w:szCs w:val="24"/>
        </w:rPr>
        <w:t xml:space="preserve"> </w:t>
      </w:r>
      <w:r w:rsidR="00D133EF">
        <w:rPr>
          <w:rFonts w:ascii="Times New Roman" w:hAnsi="Times New Roman" w:cs="Times New Roman"/>
          <w:sz w:val="24"/>
          <w:szCs w:val="24"/>
        </w:rPr>
        <w:br/>
      </w:r>
    </w:p>
    <w:p w14:paraId="78782BEA" w14:textId="77777777" w:rsidR="003854B0" w:rsidRPr="00D133EF" w:rsidRDefault="003854B0" w:rsidP="00D133EF">
      <w:pPr>
        <w:ind w:firstLine="567"/>
        <w:jc w:val="both"/>
        <w:rPr>
          <w:rFonts w:ascii="Times New Roman" w:hAnsi="Times New Roman" w:cs="Times New Roman"/>
          <w:b/>
          <w:sz w:val="24"/>
          <w:szCs w:val="24"/>
        </w:rPr>
      </w:pPr>
      <w:r w:rsidRPr="00D133EF">
        <w:rPr>
          <w:rFonts w:ascii="Times New Roman" w:hAnsi="Times New Roman" w:cs="Times New Roman"/>
          <w:b/>
          <w:sz w:val="24"/>
          <w:szCs w:val="24"/>
        </w:rPr>
        <w:lastRenderedPageBreak/>
        <w:t>Par</w:t>
      </w:r>
      <w:r w:rsidR="00246AC6" w:rsidRPr="00D133EF">
        <w:rPr>
          <w:rFonts w:ascii="Times New Roman" w:hAnsi="Times New Roman" w:cs="Times New Roman"/>
          <w:b/>
          <w:sz w:val="24"/>
          <w:szCs w:val="24"/>
        </w:rPr>
        <w:t>.</w:t>
      </w:r>
      <w:r w:rsidRPr="00D133EF">
        <w:rPr>
          <w:rFonts w:ascii="Times New Roman" w:hAnsi="Times New Roman" w:cs="Times New Roman"/>
          <w:b/>
          <w:sz w:val="24"/>
          <w:szCs w:val="24"/>
        </w:rPr>
        <w:t xml:space="preserve"> </w:t>
      </w:r>
      <w:r w:rsidR="00246AC6" w:rsidRPr="00D133EF">
        <w:rPr>
          <w:rFonts w:ascii="Times New Roman" w:hAnsi="Times New Roman" w:cs="Times New Roman"/>
          <w:b/>
          <w:sz w:val="24"/>
          <w:szCs w:val="24"/>
        </w:rPr>
        <w:t>34</w:t>
      </w:r>
      <w:r w:rsidRPr="00D133EF">
        <w:rPr>
          <w:rFonts w:ascii="Times New Roman" w:hAnsi="Times New Roman" w:cs="Times New Roman"/>
          <w:b/>
          <w:sz w:val="24"/>
          <w:szCs w:val="24"/>
        </w:rPr>
        <w:t xml:space="preserve"> </w:t>
      </w:r>
    </w:p>
    <w:p w14:paraId="3539A340" w14:textId="46248681" w:rsidR="003854B0" w:rsidRPr="006D15A0" w:rsidRDefault="00D07260"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 xml:space="preserve">In </w:t>
      </w:r>
      <w:r w:rsidR="00164789">
        <w:rPr>
          <w:rFonts w:ascii="Times New Roman" w:hAnsi="Times New Roman" w:cs="Times New Roman"/>
          <w:sz w:val="24"/>
          <w:szCs w:val="24"/>
        </w:rPr>
        <w:t xml:space="preserve">penultimate sentence of </w:t>
      </w:r>
      <w:r w:rsidRPr="006D15A0">
        <w:rPr>
          <w:rFonts w:ascii="Times New Roman" w:hAnsi="Times New Roman" w:cs="Times New Roman"/>
          <w:sz w:val="24"/>
          <w:szCs w:val="24"/>
        </w:rPr>
        <w:t>para</w:t>
      </w:r>
      <w:r w:rsidR="001F20FD">
        <w:rPr>
          <w:rFonts w:ascii="Times New Roman" w:hAnsi="Times New Roman" w:cs="Times New Roman"/>
          <w:sz w:val="24"/>
          <w:szCs w:val="24"/>
        </w:rPr>
        <w:t>.</w:t>
      </w:r>
      <w:r w:rsidRPr="006D15A0">
        <w:rPr>
          <w:rFonts w:ascii="Times New Roman" w:hAnsi="Times New Roman" w:cs="Times New Roman"/>
          <w:sz w:val="24"/>
          <w:szCs w:val="24"/>
        </w:rPr>
        <w:t xml:space="preserve"> 34 it is suggested to replace</w:t>
      </w:r>
      <w:r w:rsidR="003854B0" w:rsidRPr="006D15A0">
        <w:rPr>
          <w:rFonts w:ascii="Times New Roman" w:hAnsi="Times New Roman" w:cs="Times New Roman"/>
          <w:sz w:val="24"/>
          <w:szCs w:val="24"/>
        </w:rPr>
        <w:t xml:space="preserve"> </w:t>
      </w:r>
      <w:r w:rsidRPr="006D15A0">
        <w:rPr>
          <w:rFonts w:ascii="Times New Roman" w:hAnsi="Times New Roman" w:cs="Times New Roman"/>
          <w:sz w:val="24"/>
          <w:szCs w:val="24"/>
        </w:rPr>
        <w:t xml:space="preserve">“attendance” with </w:t>
      </w:r>
      <w:r w:rsidR="003854B0" w:rsidRPr="006D15A0">
        <w:rPr>
          <w:rFonts w:ascii="Times New Roman" w:hAnsi="Times New Roman" w:cs="Times New Roman"/>
          <w:sz w:val="24"/>
          <w:szCs w:val="24"/>
        </w:rPr>
        <w:t>“presence”</w:t>
      </w:r>
      <w:r w:rsidRPr="006D15A0">
        <w:rPr>
          <w:rFonts w:ascii="Times New Roman" w:hAnsi="Times New Roman" w:cs="Times New Roman"/>
          <w:sz w:val="24"/>
          <w:szCs w:val="24"/>
        </w:rPr>
        <w:t>. Journalists or monitors are not attending the assembly but are rather present exercising their professional functions.</w:t>
      </w:r>
      <w:r w:rsidR="00A34CFF" w:rsidRPr="006D15A0">
        <w:rPr>
          <w:rFonts w:ascii="Times New Roman" w:hAnsi="Times New Roman" w:cs="Times New Roman"/>
          <w:sz w:val="24"/>
          <w:szCs w:val="24"/>
        </w:rPr>
        <w:t xml:space="preserve"> </w:t>
      </w:r>
    </w:p>
    <w:p w14:paraId="35A447D3" w14:textId="7A643BB2" w:rsidR="00437714" w:rsidRPr="006D15A0" w:rsidRDefault="00437714" w:rsidP="001B62E1">
      <w:pPr>
        <w:pStyle w:val="CommentText"/>
        <w:jc w:val="both"/>
        <w:rPr>
          <w:rFonts w:ascii="Times New Roman" w:hAnsi="Times New Roman" w:cs="Times New Roman"/>
          <w:sz w:val="24"/>
          <w:szCs w:val="24"/>
        </w:rPr>
      </w:pPr>
    </w:p>
    <w:p w14:paraId="37F1F5EE" w14:textId="1B57520B" w:rsidR="0089354F" w:rsidRPr="00D133EF" w:rsidRDefault="0089354F" w:rsidP="00D133EF">
      <w:pPr>
        <w:pStyle w:val="CommentText"/>
        <w:ind w:firstLine="567"/>
        <w:jc w:val="both"/>
        <w:rPr>
          <w:rFonts w:ascii="Times New Roman" w:hAnsi="Times New Roman" w:cs="Times New Roman"/>
          <w:b/>
          <w:sz w:val="24"/>
          <w:szCs w:val="24"/>
        </w:rPr>
      </w:pPr>
      <w:r w:rsidRPr="00D133EF">
        <w:rPr>
          <w:rFonts w:ascii="Times New Roman" w:hAnsi="Times New Roman" w:cs="Times New Roman"/>
          <w:b/>
          <w:sz w:val="24"/>
          <w:szCs w:val="24"/>
        </w:rPr>
        <w:t>Par</w:t>
      </w:r>
      <w:r w:rsidR="00B8040A" w:rsidRPr="00D133EF">
        <w:rPr>
          <w:rFonts w:ascii="Times New Roman" w:hAnsi="Times New Roman" w:cs="Times New Roman"/>
          <w:b/>
          <w:sz w:val="24"/>
          <w:szCs w:val="24"/>
        </w:rPr>
        <w:t>a.</w:t>
      </w:r>
      <w:r w:rsidR="00D133EF" w:rsidRPr="00D133EF">
        <w:rPr>
          <w:rFonts w:ascii="Times New Roman" w:hAnsi="Times New Roman" w:cs="Times New Roman"/>
          <w:b/>
          <w:sz w:val="24"/>
          <w:szCs w:val="24"/>
        </w:rPr>
        <w:t xml:space="preserve"> 36</w:t>
      </w:r>
    </w:p>
    <w:p w14:paraId="6F05B997" w14:textId="77777777" w:rsidR="00B8040A" w:rsidRPr="006D15A0" w:rsidRDefault="00B8040A" w:rsidP="001B62E1">
      <w:pPr>
        <w:pStyle w:val="CommentText"/>
        <w:jc w:val="both"/>
        <w:rPr>
          <w:rFonts w:ascii="Times New Roman" w:hAnsi="Times New Roman" w:cs="Times New Roman"/>
          <w:sz w:val="24"/>
          <w:szCs w:val="24"/>
        </w:rPr>
      </w:pPr>
    </w:p>
    <w:p w14:paraId="749FAA01" w14:textId="390395A5" w:rsidR="001B62E1" w:rsidRDefault="00ED5AC7" w:rsidP="00D133E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Para</w:t>
      </w:r>
      <w:r w:rsidR="001F20FD">
        <w:rPr>
          <w:rFonts w:ascii="Times New Roman" w:hAnsi="Times New Roman" w:cs="Times New Roman"/>
          <w:sz w:val="24"/>
          <w:szCs w:val="24"/>
        </w:rPr>
        <w:t>.</w:t>
      </w:r>
      <w:r w:rsidRPr="006D15A0">
        <w:rPr>
          <w:rFonts w:ascii="Times New Roman" w:hAnsi="Times New Roman" w:cs="Times New Roman"/>
          <w:sz w:val="24"/>
          <w:szCs w:val="24"/>
        </w:rPr>
        <w:t xml:space="preserve"> 36 emphasizes that “political speech enjoys particular protection as a form of expression” and that “assemblies with a political message should likewise enjoy a heightened level of accommodation and protection”. </w:t>
      </w:r>
      <w:r w:rsidR="00C022D5" w:rsidRPr="006D15A0">
        <w:rPr>
          <w:rFonts w:ascii="Times New Roman" w:hAnsi="Times New Roman" w:cs="Times New Roman"/>
          <w:sz w:val="24"/>
          <w:szCs w:val="24"/>
        </w:rPr>
        <w:t>While political speech (as well as assemblies with political message) are more frequently and more severely targeted by authorities, a</w:t>
      </w:r>
      <w:r w:rsidRPr="006D15A0">
        <w:rPr>
          <w:rFonts w:ascii="Times New Roman" w:hAnsi="Times New Roman" w:cs="Times New Roman"/>
          <w:sz w:val="24"/>
          <w:szCs w:val="24"/>
        </w:rPr>
        <w:t>t times it may be complicated to define whether or not assembly aims to deliver political messages or whether the message is political</w:t>
      </w:r>
      <w:r w:rsidR="00C022D5" w:rsidRPr="006D15A0">
        <w:rPr>
          <w:rFonts w:ascii="Times New Roman" w:hAnsi="Times New Roman" w:cs="Times New Roman"/>
          <w:sz w:val="24"/>
          <w:szCs w:val="24"/>
        </w:rPr>
        <w:t xml:space="preserve"> in nature</w:t>
      </w:r>
      <w:r w:rsidRPr="006D15A0">
        <w:rPr>
          <w:rFonts w:ascii="Times New Roman" w:hAnsi="Times New Roman" w:cs="Times New Roman"/>
          <w:sz w:val="24"/>
          <w:szCs w:val="24"/>
        </w:rPr>
        <w:t>.</w:t>
      </w:r>
      <w:r w:rsidR="00C022D5" w:rsidRPr="006D15A0">
        <w:rPr>
          <w:rFonts w:ascii="Times New Roman" w:hAnsi="Times New Roman" w:cs="Times New Roman"/>
          <w:sz w:val="24"/>
          <w:szCs w:val="24"/>
        </w:rPr>
        <w:t xml:space="preserve"> Alternatively, para</w:t>
      </w:r>
      <w:r w:rsidR="00A32561" w:rsidRPr="006D15A0">
        <w:rPr>
          <w:rFonts w:ascii="Times New Roman" w:hAnsi="Times New Roman" w:cs="Times New Roman"/>
          <w:sz w:val="24"/>
          <w:szCs w:val="24"/>
        </w:rPr>
        <w:t>.</w:t>
      </w:r>
      <w:r w:rsidR="00C022D5" w:rsidRPr="006D15A0">
        <w:rPr>
          <w:rFonts w:ascii="Times New Roman" w:hAnsi="Times New Roman" w:cs="Times New Roman"/>
          <w:sz w:val="24"/>
          <w:szCs w:val="24"/>
        </w:rPr>
        <w:t xml:space="preserve"> 36 c</w:t>
      </w:r>
      <w:r w:rsidR="00A32561" w:rsidRPr="006D15A0">
        <w:rPr>
          <w:rFonts w:ascii="Times New Roman" w:hAnsi="Times New Roman" w:cs="Times New Roman"/>
          <w:sz w:val="24"/>
          <w:szCs w:val="24"/>
        </w:rPr>
        <w:t>ould</w:t>
      </w:r>
      <w:r w:rsidR="00C022D5" w:rsidRPr="006D15A0">
        <w:rPr>
          <w:rFonts w:ascii="Times New Roman" w:hAnsi="Times New Roman" w:cs="Times New Roman"/>
          <w:sz w:val="24"/>
          <w:szCs w:val="24"/>
        </w:rPr>
        <w:t xml:space="preserve"> use the language from the</w:t>
      </w:r>
      <w:r w:rsidRPr="006D15A0">
        <w:rPr>
          <w:rFonts w:ascii="Times New Roman" w:hAnsi="Times New Roman" w:cs="Times New Roman"/>
          <w:sz w:val="24"/>
          <w:szCs w:val="24"/>
        </w:rPr>
        <w:t xml:space="preserve"> G</w:t>
      </w:r>
      <w:r w:rsidR="00C022D5" w:rsidRPr="006D15A0">
        <w:rPr>
          <w:rFonts w:ascii="Times New Roman" w:hAnsi="Times New Roman" w:cs="Times New Roman"/>
          <w:sz w:val="24"/>
          <w:szCs w:val="24"/>
        </w:rPr>
        <w:t xml:space="preserve">eneral </w:t>
      </w:r>
      <w:r w:rsidRPr="006D15A0">
        <w:rPr>
          <w:rFonts w:ascii="Times New Roman" w:hAnsi="Times New Roman" w:cs="Times New Roman"/>
          <w:sz w:val="24"/>
          <w:szCs w:val="24"/>
        </w:rPr>
        <w:t>C</w:t>
      </w:r>
      <w:r w:rsidR="00C022D5" w:rsidRPr="006D15A0">
        <w:rPr>
          <w:rFonts w:ascii="Times New Roman" w:hAnsi="Times New Roman" w:cs="Times New Roman"/>
          <w:sz w:val="24"/>
          <w:szCs w:val="24"/>
        </w:rPr>
        <w:t>omment</w:t>
      </w:r>
      <w:r w:rsidRPr="006D15A0">
        <w:rPr>
          <w:rFonts w:ascii="Times New Roman" w:hAnsi="Times New Roman" w:cs="Times New Roman"/>
          <w:sz w:val="24"/>
          <w:szCs w:val="24"/>
        </w:rPr>
        <w:t xml:space="preserve"> 34</w:t>
      </w:r>
      <w:r w:rsidR="00C022D5" w:rsidRPr="006D15A0">
        <w:rPr>
          <w:rFonts w:ascii="Times New Roman" w:hAnsi="Times New Roman" w:cs="Times New Roman"/>
          <w:sz w:val="24"/>
          <w:szCs w:val="24"/>
        </w:rPr>
        <w:t>, which states that “</w:t>
      </w:r>
      <w:r w:rsidRPr="006D15A0">
        <w:rPr>
          <w:rFonts w:ascii="Times New Roman" w:hAnsi="Times New Roman" w:cs="Times New Roman"/>
          <w:sz w:val="24"/>
          <w:szCs w:val="24"/>
        </w:rPr>
        <w:t>.</w:t>
      </w:r>
      <w:r w:rsidR="00C022D5" w:rsidRPr="006D15A0">
        <w:rPr>
          <w:rFonts w:ascii="Times New Roman" w:hAnsi="Times New Roman" w:cs="Times New Roman"/>
          <w:sz w:val="24"/>
          <w:szCs w:val="24"/>
        </w:rPr>
        <w:t>.</w:t>
      </w:r>
      <w:r w:rsidRPr="006D15A0">
        <w:rPr>
          <w:rFonts w:ascii="Times New Roman" w:hAnsi="Times New Roman" w:cs="Times New Roman"/>
          <w:sz w:val="24"/>
          <w:szCs w:val="24"/>
        </w:rPr>
        <w:t xml:space="preserve">. the value placed by the Covenant upon uninhibited expression is particularly high in the circumstances </w:t>
      </w:r>
      <w:r w:rsidRPr="007B3150">
        <w:rPr>
          <w:rFonts w:ascii="Times New Roman" w:hAnsi="Times New Roman" w:cs="Times New Roman"/>
          <w:sz w:val="24"/>
          <w:szCs w:val="24"/>
        </w:rPr>
        <w:t>of public debate</w:t>
      </w:r>
      <w:r w:rsidRPr="006D15A0">
        <w:rPr>
          <w:rFonts w:ascii="Times New Roman" w:hAnsi="Times New Roman" w:cs="Times New Roman"/>
          <w:sz w:val="24"/>
          <w:szCs w:val="24"/>
        </w:rPr>
        <w:t xml:space="preserve"> in a democratic society concerning figures in the public and political domain</w:t>
      </w:r>
      <w:r w:rsidR="00C022D5" w:rsidRPr="006D15A0">
        <w:rPr>
          <w:rFonts w:ascii="Times New Roman" w:hAnsi="Times New Roman" w:cs="Times New Roman"/>
          <w:sz w:val="24"/>
          <w:szCs w:val="24"/>
        </w:rPr>
        <w:t>.”</w:t>
      </w:r>
      <w:r w:rsidR="008274BA">
        <w:rPr>
          <w:rFonts w:ascii="Times New Roman" w:hAnsi="Times New Roman" w:cs="Times New Roman"/>
          <w:sz w:val="24"/>
          <w:szCs w:val="24"/>
        </w:rPr>
        <w:t xml:space="preserve"> </w:t>
      </w:r>
    </w:p>
    <w:p w14:paraId="41211D9A" w14:textId="5407F5CD" w:rsidR="008274BA" w:rsidRDefault="008274BA" w:rsidP="008274BA">
      <w:pPr>
        <w:pStyle w:val="CommentText"/>
        <w:jc w:val="both"/>
        <w:rPr>
          <w:rFonts w:ascii="Times New Roman" w:hAnsi="Times New Roman" w:cs="Times New Roman"/>
          <w:sz w:val="24"/>
          <w:szCs w:val="24"/>
        </w:rPr>
      </w:pPr>
    </w:p>
    <w:p w14:paraId="506DA2BF" w14:textId="4BECA874" w:rsidR="008274BA" w:rsidRPr="00D133EF" w:rsidRDefault="008274BA" w:rsidP="00D133EF">
      <w:pPr>
        <w:pStyle w:val="CommentText"/>
        <w:ind w:firstLine="567"/>
        <w:rPr>
          <w:rFonts w:ascii="Times New Roman" w:hAnsi="Times New Roman" w:cs="Times New Roman"/>
          <w:b/>
          <w:sz w:val="24"/>
          <w:szCs w:val="24"/>
        </w:rPr>
      </w:pPr>
      <w:r w:rsidRPr="00D133EF">
        <w:rPr>
          <w:rFonts w:ascii="Times New Roman" w:hAnsi="Times New Roman" w:cs="Times New Roman"/>
          <w:b/>
          <w:sz w:val="24"/>
          <w:szCs w:val="24"/>
        </w:rPr>
        <w:t>Para</w:t>
      </w:r>
      <w:r w:rsidR="00AD706E" w:rsidRPr="00D133EF">
        <w:rPr>
          <w:rFonts w:ascii="Times New Roman" w:hAnsi="Times New Roman" w:cs="Times New Roman"/>
          <w:b/>
          <w:sz w:val="24"/>
          <w:szCs w:val="24"/>
        </w:rPr>
        <w:t>.</w:t>
      </w:r>
      <w:r w:rsidR="00D133EF">
        <w:rPr>
          <w:rFonts w:ascii="Times New Roman" w:hAnsi="Times New Roman" w:cs="Times New Roman"/>
          <w:b/>
          <w:sz w:val="24"/>
          <w:szCs w:val="24"/>
        </w:rPr>
        <w:t xml:space="preserve"> </w:t>
      </w:r>
      <w:r w:rsidRPr="00D133EF">
        <w:rPr>
          <w:rFonts w:ascii="Times New Roman" w:hAnsi="Times New Roman" w:cs="Times New Roman"/>
          <w:b/>
          <w:sz w:val="24"/>
          <w:szCs w:val="24"/>
        </w:rPr>
        <w:t>37</w:t>
      </w:r>
      <w:r w:rsidR="00AD706E" w:rsidRPr="00D133EF">
        <w:rPr>
          <w:rFonts w:ascii="Times New Roman" w:hAnsi="Times New Roman" w:cs="Times New Roman"/>
          <w:b/>
          <w:sz w:val="24"/>
          <w:szCs w:val="24"/>
        </w:rPr>
        <w:br/>
      </w:r>
    </w:p>
    <w:p w14:paraId="2CA4C97C" w14:textId="7C1D337F" w:rsidR="008274BA" w:rsidRPr="00AD706E" w:rsidRDefault="008274BA" w:rsidP="00530F4F">
      <w:pPr>
        <w:pStyle w:val="CommentText"/>
        <w:numPr>
          <w:ilvl w:val="0"/>
          <w:numId w:val="4"/>
        </w:numPr>
        <w:ind w:left="567" w:hanging="567"/>
        <w:jc w:val="both"/>
        <w:rPr>
          <w:rFonts w:ascii="Times New Roman" w:hAnsi="Times New Roman" w:cs="Times New Roman"/>
          <w:sz w:val="24"/>
          <w:szCs w:val="24"/>
        </w:rPr>
      </w:pPr>
      <w:r w:rsidRPr="00AD706E">
        <w:rPr>
          <w:rFonts w:ascii="Times New Roman" w:hAnsi="Times New Roman" w:cs="Times New Roman"/>
          <w:sz w:val="24"/>
          <w:szCs w:val="24"/>
        </w:rPr>
        <w:t>ODIHR suggest to add sources in the current footnote 33, which</w:t>
      </w:r>
      <w:r w:rsidR="00A56147" w:rsidRPr="00AD706E">
        <w:rPr>
          <w:rFonts w:ascii="Times New Roman" w:hAnsi="Times New Roman" w:cs="Times New Roman"/>
          <w:sz w:val="24"/>
          <w:szCs w:val="24"/>
        </w:rPr>
        <w:t xml:space="preserve"> currently</w:t>
      </w:r>
      <w:r w:rsidRPr="00AD706E">
        <w:rPr>
          <w:rFonts w:ascii="Times New Roman" w:hAnsi="Times New Roman" w:cs="Times New Roman"/>
          <w:sz w:val="24"/>
          <w:szCs w:val="24"/>
        </w:rPr>
        <w:t xml:space="preserve"> cites. </w:t>
      </w:r>
      <w:r w:rsidR="00A56147" w:rsidRPr="00AD706E">
        <w:rPr>
          <w:rFonts w:ascii="Times New Roman" w:hAnsi="Times New Roman" w:cs="Times New Roman"/>
          <w:i/>
          <w:sz w:val="24"/>
          <w:szCs w:val="24"/>
        </w:rPr>
        <w:t>Tulzhenkova v. Belarus</w:t>
      </w:r>
      <w:r w:rsidR="00A56147" w:rsidRPr="00AD706E">
        <w:rPr>
          <w:rFonts w:ascii="Times New Roman" w:hAnsi="Times New Roman" w:cs="Times New Roman"/>
          <w:sz w:val="24"/>
          <w:szCs w:val="24"/>
        </w:rPr>
        <w:t xml:space="preserve"> (CCPR/C/103/D/1838/2008), para. 9.3. Several </w:t>
      </w:r>
      <w:r w:rsidR="009D5784" w:rsidRPr="00AD706E">
        <w:rPr>
          <w:rFonts w:ascii="Times New Roman" w:hAnsi="Times New Roman" w:cs="Times New Roman"/>
          <w:sz w:val="24"/>
          <w:szCs w:val="24"/>
        </w:rPr>
        <w:t xml:space="preserve">Communications of the Human Rights Committee </w:t>
      </w:r>
      <w:r w:rsidR="00A56147" w:rsidRPr="00AD706E">
        <w:rPr>
          <w:rFonts w:ascii="Times New Roman" w:hAnsi="Times New Roman" w:cs="Times New Roman"/>
          <w:sz w:val="24"/>
          <w:szCs w:val="24"/>
        </w:rPr>
        <w:t xml:space="preserve">can be added to strengthen this position: </w:t>
      </w:r>
      <w:r w:rsidR="009D5784" w:rsidRPr="00AD706E">
        <w:rPr>
          <w:rFonts w:ascii="Times New Roman" w:hAnsi="Times New Roman" w:cs="Times New Roman"/>
          <w:sz w:val="24"/>
          <w:szCs w:val="24"/>
        </w:rPr>
        <w:t xml:space="preserve">No </w:t>
      </w:r>
      <w:r w:rsidR="002A3693" w:rsidRPr="00AD706E">
        <w:rPr>
          <w:rFonts w:ascii="Times New Roman" w:hAnsi="Times New Roman" w:cs="Times New Roman"/>
          <w:sz w:val="24"/>
          <w:szCs w:val="24"/>
        </w:rPr>
        <w:t xml:space="preserve">1784/2008, </w:t>
      </w:r>
      <w:r w:rsidR="002A3693" w:rsidRPr="00AD706E">
        <w:rPr>
          <w:rFonts w:ascii="Times New Roman" w:hAnsi="Times New Roman" w:cs="Times New Roman"/>
          <w:i/>
          <w:sz w:val="24"/>
          <w:szCs w:val="24"/>
        </w:rPr>
        <w:t>Schumilin v Belarus</w:t>
      </w:r>
      <w:r w:rsidR="002A3693" w:rsidRPr="00AD706E">
        <w:rPr>
          <w:rFonts w:ascii="Times New Roman" w:hAnsi="Times New Roman" w:cs="Times New Roman"/>
          <w:sz w:val="24"/>
          <w:szCs w:val="24"/>
        </w:rPr>
        <w:t>, Views adopted 23 July 2012, CCPR/C/105/D/1784/2008, paras 2.1 and 4.4</w:t>
      </w:r>
      <w:r w:rsidR="00AD706E">
        <w:rPr>
          <w:rFonts w:ascii="Times New Roman" w:hAnsi="Times New Roman" w:cs="Times New Roman"/>
          <w:sz w:val="24"/>
          <w:szCs w:val="24"/>
        </w:rPr>
        <w:t>,</w:t>
      </w:r>
    </w:p>
    <w:p w14:paraId="61CC7FE3" w14:textId="172AD3E9" w:rsidR="002A3693" w:rsidRPr="00AD706E" w:rsidRDefault="009D5784" w:rsidP="00530F4F">
      <w:pPr>
        <w:pStyle w:val="CommentText"/>
        <w:ind w:left="567"/>
        <w:jc w:val="both"/>
        <w:rPr>
          <w:rFonts w:ascii="Times New Roman" w:hAnsi="Times New Roman" w:cs="Times New Roman"/>
          <w:sz w:val="24"/>
          <w:szCs w:val="24"/>
        </w:rPr>
      </w:pPr>
      <w:r w:rsidRPr="00AD706E">
        <w:rPr>
          <w:rFonts w:ascii="Times New Roman" w:hAnsi="Times New Roman" w:cs="Times New Roman"/>
          <w:sz w:val="24"/>
          <w:szCs w:val="24"/>
        </w:rPr>
        <w:t>No</w:t>
      </w:r>
      <w:r w:rsidR="00934DE3" w:rsidRPr="00AD706E">
        <w:rPr>
          <w:rFonts w:ascii="Times New Roman" w:hAnsi="Times New Roman" w:cs="Times New Roman"/>
          <w:sz w:val="24"/>
          <w:szCs w:val="24"/>
        </w:rPr>
        <w:t>.</w:t>
      </w:r>
      <w:r w:rsidRPr="00AD706E">
        <w:rPr>
          <w:rFonts w:ascii="Times New Roman" w:hAnsi="Times New Roman" w:cs="Times New Roman"/>
          <w:sz w:val="24"/>
          <w:szCs w:val="24"/>
        </w:rPr>
        <w:t xml:space="preserve"> 1790/2008 </w:t>
      </w:r>
      <w:r w:rsidRPr="00AD706E">
        <w:rPr>
          <w:rFonts w:ascii="Times New Roman" w:hAnsi="Times New Roman" w:cs="Times New Roman"/>
          <w:i/>
          <w:sz w:val="24"/>
          <w:szCs w:val="24"/>
        </w:rPr>
        <w:t>Govsha, Syritsa and Mezyak v Belarus</w:t>
      </w:r>
      <w:r w:rsidRPr="00AD706E">
        <w:rPr>
          <w:rFonts w:ascii="Times New Roman" w:hAnsi="Times New Roman" w:cs="Times New Roman"/>
          <w:sz w:val="24"/>
          <w:szCs w:val="24"/>
        </w:rPr>
        <w:t>, Views adopted 27 July 2012, CCPR/C/105/D/1790/2008, para 2.4(c) and 2.5(c)</w:t>
      </w:r>
      <w:r w:rsidR="00AD706E">
        <w:rPr>
          <w:rFonts w:ascii="Times New Roman" w:hAnsi="Times New Roman" w:cs="Times New Roman"/>
          <w:sz w:val="24"/>
          <w:szCs w:val="24"/>
        </w:rPr>
        <w:t>,</w:t>
      </w:r>
    </w:p>
    <w:p w14:paraId="5E918841" w14:textId="3EC50D75" w:rsidR="009D5784" w:rsidRPr="00AD706E" w:rsidRDefault="009D5784" w:rsidP="00530F4F">
      <w:pPr>
        <w:pStyle w:val="CommentText"/>
        <w:ind w:left="567"/>
        <w:jc w:val="both"/>
        <w:rPr>
          <w:rFonts w:ascii="Times New Roman" w:hAnsi="Times New Roman" w:cs="Times New Roman"/>
          <w:sz w:val="24"/>
          <w:szCs w:val="24"/>
        </w:rPr>
      </w:pPr>
      <w:r w:rsidRPr="00AD706E">
        <w:rPr>
          <w:rFonts w:ascii="Times New Roman" w:hAnsi="Times New Roman" w:cs="Times New Roman"/>
          <w:sz w:val="24"/>
          <w:szCs w:val="24"/>
        </w:rPr>
        <w:t>No</w:t>
      </w:r>
      <w:r w:rsidR="00934DE3" w:rsidRPr="00AD706E">
        <w:rPr>
          <w:rFonts w:ascii="Times New Roman" w:hAnsi="Times New Roman" w:cs="Times New Roman"/>
          <w:sz w:val="24"/>
          <w:szCs w:val="24"/>
        </w:rPr>
        <w:t>.</w:t>
      </w:r>
      <w:r w:rsidRPr="00AD706E">
        <w:rPr>
          <w:rFonts w:ascii="Times New Roman" w:hAnsi="Times New Roman" w:cs="Times New Roman"/>
          <w:sz w:val="24"/>
          <w:szCs w:val="24"/>
        </w:rPr>
        <w:t xml:space="preserve"> 1836/2008, </w:t>
      </w:r>
      <w:r w:rsidRPr="00AD706E">
        <w:rPr>
          <w:rFonts w:ascii="Times New Roman" w:hAnsi="Times New Roman" w:cs="Times New Roman"/>
          <w:i/>
          <w:sz w:val="24"/>
          <w:szCs w:val="24"/>
        </w:rPr>
        <w:t>Katsora v Belarus</w:t>
      </w:r>
      <w:r w:rsidRPr="00AD706E">
        <w:rPr>
          <w:rFonts w:ascii="Times New Roman" w:hAnsi="Times New Roman" w:cs="Times New Roman"/>
          <w:sz w:val="24"/>
          <w:szCs w:val="24"/>
        </w:rPr>
        <w:t>, Views adopted 24 October 2012, CCPR/C/106/D1836/2008, paras 2.1 and 7.5</w:t>
      </w:r>
      <w:r w:rsidR="00AD706E">
        <w:rPr>
          <w:rFonts w:ascii="Times New Roman" w:hAnsi="Times New Roman" w:cs="Times New Roman"/>
          <w:sz w:val="24"/>
          <w:szCs w:val="24"/>
        </w:rPr>
        <w:t>, and</w:t>
      </w:r>
    </w:p>
    <w:p w14:paraId="4136B808" w14:textId="0674EE7A" w:rsidR="00427E58" w:rsidRPr="00AD706E" w:rsidRDefault="00427E58" w:rsidP="00530F4F">
      <w:pPr>
        <w:pStyle w:val="CommentText"/>
        <w:ind w:left="567"/>
        <w:jc w:val="both"/>
        <w:rPr>
          <w:rFonts w:ascii="Times New Roman" w:hAnsi="Times New Roman" w:cs="Times New Roman"/>
          <w:sz w:val="24"/>
          <w:szCs w:val="24"/>
        </w:rPr>
      </w:pPr>
      <w:r w:rsidRPr="00AD706E">
        <w:rPr>
          <w:rFonts w:ascii="Times New Roman" w:hAnsi="Times New Roman" w:cs="Times New Roman"/>
          <w:sz w:val="24"/>
          <w:szCs w:val="24"/>
        </w:rPr>
        <w:t xml:space="preserve">No. 2156/2012, </w:t>
      </w:r>
      <w:r w:rsidRPr="00AD706E">
        <w:rPr>
          <w:rFonts w:ascii="Times New Roman" w:hAnsi="Times New Roman" w:cs="Times New Roman"/>
          <w:i/>
          <w:sz w:val="24"/>
          <w:szCs w:val="24"/>
        </w:rPr>
        <w:t>Nepomnyaschkih v Belarus</w:t>
      </w:r>
      <w:r w:rsidRPr="00AD706E">
        <w:rPr>
          <w:rFonts w:ascii="Times New Roman" w:hAnsi="Times New Roman" w:cs="Times New Roman"/>
          <w:sz w:val="24"/>
          <w:szCs w:val="24"/>
        </w:rPr>
        <w:t>, Views adopted 10 October 2014, CCPR/C/112/D/2156/2012, paras 2.1, 2.4 and 9.4</w:t>
      </w:r>
    </w:p>
    <w:p w14:paraId="2B68C90B" w14:textId="4B96ACD7" w:rsidR="001B62E1" w:rsidRDefault="001B62E1" w:rsidP="001B62E1">
      <w:pPr>
        <w:pStyle w:val="CommentText"/>
        <w:jc w:val="both"/>
        <w:rPr>
          <w:rFonts w:ascii="Times New Roman" w:hAnsi="Times New Roman" w:cs="Times New Roman"/>
          <w:sz w:val="24"/>
          <w:szCs w:val="24"/>
        </w:rPr>
      </w:pPr>
    </w:p>
    <w:p w14:paraId="3C0E6904" w14:textId="2C49EF29" w:rsidR="00A34CFF" w:rsidRPr="006D15A0" w:rsidRDefault="00A34CFF" w:rsidP="00530F4F">
      <w:pPr>
        <w:pStyle w:val="CommentText"/>
        <w:ind w:firstLine="567"/>
        <w:jc w:val="both"/>
        <w:rPr>
          <w:rFonts w:ascii="Times New Roman" w:hAnsi="Times New Roman" w:cs="Times New Roman"/>
          <w:sz w:val="24"/>
          <w:szCs w:val="24"/>
        </w:rPr>
      </w:pPr>
      <w:r w:rsidRPr="006D15A0">
        <w:rPr>
          <w:rFonts w:ascii="Times New Roman" w:hAnsi="Times New Roman" w:cs="Times New Roman"/>
          <w:b/>
          <w:sz w:val="24"/>
          <w:szCs w:val="24"/>
        </w:rPr>
        <w:t>Restrictions on the right of peaceful assembly</w:t>
      </w:r>
    </w:p>
    <w:p w14:paraId="10EABB06" w14:textId="1C0A9FC8" w:rsidR="00A34CFF" w:rsidRPr="00530F4F" w:rsidRDefault="00936B86" w:rsidP="00530F4F">
      <w:pPr>
        <w:ind w:left="567"/>
        <w:jc w:val="both"/>
        <w:rPr>
          <w:rFonts w:ascii="Times New Roman" w:hAnsi="Times New Roman" w:cs="Times New Roman"/>
          <w:b/>
          <w:sz w:val="24"/>
          <w:szCs w:val="24"/>
        </w:rPr>
      </w:pPr>
      <w:r>
        <w:rPr>
          <w:rFonts w:ascii="Times New Roman" w:hAnsi="Times New Roman" w:cs="Times New Roman"/>
          <w:sz w:val="24"/>
          <w:szCs w:val="24"/>
        </w:rPr>
        <w:br/>
      </w:r>
      <w:r w:rsidR="00A34CFF" w:rsidRPr="00530F4F">
        <w:rPr>
          <w:rFonts w:ascii="Times New Roman" w:hAnsi="Times New Roman" w:cs="Times New Roman"/>
          <w:b/>
          <w:sz w:val="24"/>
          <w:szCs w:val="24"/>
        </w:rPr>
        <w:t>Par</w:t>
      </w:r>
      <w:r w:rsidR="00B8040A" w:rsidRPr="00530F4F">
        <w:rPr>
          <w:rFonts w:ascii="Times New Roman" w:hAnsi="Times New Roman" w:cs="Times New Roman"/>
          <w:b/>
          <w:sz w:val="24"/>
          <w:szCs w:val="24"/>
        </w:rPr>
        <w:t>a</w:t>
      </w:r>
      <w:r w:rsidR="00A34CFF" w:rsidRPr="00530F4F">
        <w:rPr>
          <w:rFonts w:ascii="Times New Roman" w:hAnsi="Times New Roman" w:cs="Times New Roman"/>
          <w:b/>
          <w:sz w:val="24"/>
          <w:szCs w:val="24"/>
        </w:rPr>
        <w:t xml:space="preserve">. 41 </w:t>
      </w:r>
    </w:p>
    <w:p w14:paraId="5A9E68FE" w14:textId="7912EEC0" w:rsidR="0089354F" w:rsidRPr="00530F4F" w:rsidRDefault="00537CFF" w:rsidP="00530F4F">
      <w:pPr>
        <w:pStyle w:val="ListParagraph"/>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This para suggest the preference of “</w:t>
      </w:r>
      <w:r w:rsidRPr="00D51140">
        <w:rPr>
          <w:rFonts w:ascii="Times New Roman" w:hAnsi="Times New Roman" w:cs="Times New Roman"/>
          <w:sz w:val="24"/>
          <w:szCs w:val="24"/>
        </w:rPr>
        <w:t>intermediate or partial restrictions” over “intervention and prohibition”</w:t>
      </w:r>
      <w:r w:rsidRPr="00530F4F">
        <w:rPr>
          <w:rFonts w:ascii="Times New Roman" w:hAnsi="Times New Roman" w:cs="Times New Roman"/>
          <w:sz w:val="24"/>
          <w:szCs w:val="24"/>
        </w:rPr>
        <w:t xml:space="preserve"> </w:t>
      </w:r>
      <w:r w:rsidR="00A34CFF" w:rsidRPr="00530F4F">
        <w:rPr>
          <w:rFonts w:ascii="Times New Roman" w:hAnsi="Times New Roman" w:cs="Times New Roman"/>
          <w:sz w:val="24"/>
          <w:szCs w:val="24"/>
        </w:rPr>
        <w:t xml:space="preserve">It </w:t>
      </w:r>
      <w:r>
        <w:rPr>
          <w:rFonts w:ascii="Times New Roman" w:hAnsi="Times New Roman" w:cs="Times New Roman"/>
          <w:sz w:val="24"/>
          <w:szCs w:val="24"/>
        </w:rPr>
        <w:t xml:space="preserve">is suggested to </w:t>
      </w:r>
      <w:r w:rsidR="00A34CFF" w:rsidRPr="00530F4F">
        <w:rPr>
          <w:rFonts w:ascii="Times New Roman" w:hAnsi="Times New Roman" w:cs="Times New Roman"/>
          <w:sz w:val="24"/>
          <w:szCs w:val="24"/>
        </w:rPr>
        <w:t xml:space="preserve">clearly </w:t>
      </w:r>
      <w:r w:rsidR="00A155E0" w:rsidRPr="00530F4F">
        <w:rPr>
          <w:rFonts w:ascii="Times New Roman" w:hAnsi="Times New Roman" w:cs="Times New Roman"/>
          <w:sz w:val="24"/>
          <w:szCs w:val="24"/>
        </w:rPr>
        <w:t>spell</w:t>
      </w:r>
      <w:r w:rsidR="00A34CFF" w:rsidRPr="00530F4F">
        <w:rPr>
          <w:rFonts w:ascii="Times New Roman" w:hAnsi="Times New Roman" w:cs="Times New Roman"/>
          <w:sz w:val="24"/>
          <w:szCs w:val="24"/>
        </w:rPr>
        <w:t xml:space="preserve"> out that prohibition </w:t>
      </w:r>
      <w:r w:rsidR="00EB20F9" w:rsidRPr="00530F4F">
        <w:rPr>
          <w:rFonts w:ascii="Times New Roman" w:hAnsi="Times New Roman" w:cs="Times New Roman"/>
          <w:sz w:val="24"/>
          <w:szCs w:val="24"/>
        </w:rPr>
        <w:t xml:space="preserve">of assemblies </w:t>
      </w:r>
      <w:r w:rsidR="00A34CFF" w:rsidRPr="00530F4F">
        <w:rPr>
          <w:rFonts w:ascii="Times New Roman" w:hAnsi="Times New Roman" w:cs="Times New Roman"/>
          <w:sz w:val="24"/>
          <w:szCs w:val="24"/>
        </w:rPr>
        <w:t xml:space="preserve">is </w:t>
      </w:r>
      <w:r w:rsidR="00834F45" w:rsidRPr="00530F4F">
        <w:rPr>
          <w:rFonts w:ascii="Times New Roman" w:hAnsi="Times New Roman" w:cs="Times New Roman"/>
          <w:sz w:val="24"/>
          <w:szCs w:val="24"/>
        </w:rPr>
        <w:t>a measure of last resort and should only be considered when a</w:t>
      </w:r>
      <w:r w:rsidR="00EB20F9" w:rsidRPr="00530F4F">
        <w:rPr>
          <w:rFonts w:ascii="Times New Roman" w:hAnsi="Times New Roman" w:cs="Times New Roman"/>
          <w:sz w:val="24"/>
          <w:szCs w:val="24"/>
        </w:rPr>
        <w:t>ny</w:t>
      </w:r>
      <w:r w:rsidR="00834F45" w:rsidRPr="00530F4F">
        <w:rPr>
          <w:rFonts w:ascii="Times New Roman" w:hAnsi="Times New Roman" w:cs="Times New Roman"/>
          <w:sz w:val="24"/>
          <w:szCs w:val="24"/>
        </w:rPr>
        <w:t xml:space="preserve"> less restrictive response would not achieve the purpose pursued by the authorities in safeguarding other relevant rights and freedoms. Any ban or prohibition of an assembly should be decided upon only on a case by case basis, with the legitimacy, necessity and proportionality test to be carried out for each individual assembly. In order to justify a </w:t>
      </w:r>
      <w:r w:rsidR="00834F45" w:rsidRPr="00530F4F">
        <w:rPr>
          <w:rFonts w:ascii="Times New Roman" w:hAnsi="Times New Roman" w:cs="Times New Roman"/>
          <w:sz w:val="24"/>
          <w:szCs w:val="24"/>
        </w:rPr>
        <w:lastRenderedPageBreak/>
        <w:t>prohibition, the State must provide evidence that it has first attempted to facilitate an assembly, or to impose less onerous restrictions. For example, where the State argues that it has inadequate resources to protect peaceful assembly, prohibition may represent a failure of the State to meet its positive obligations.</w:t>
      </w:r>
      <w:r w:rsidR="00834F45" w:rsidRPr="006D15A0">
        <w:rPr>
          <w:rStyle w:val="FootnoteReference"/>
          <w:rFonts w:ascii="Times New Roman" w:hAnsi="Times New Roman" w:cs="Times New Roman"/>
          <w:sz w:val="24"/>
          <w:szCs w:val="24"/>
        </w:rPr>
        <w:footnoteReference w:id="18"/>
      </w:r>
      <w:r w:rsidR="00C022D5" w:rsidRPr="00530F4F">
        <w:rPr>
          <w:rFonts w:ascii="Times New Roman" w:hAnsi="Times New Roman" w:cs="Times New Roman"/>
          <w:sz w:val="24"/>
          <w:szCs w:val="24"/>
        </w:rPr>
        <w:t xml:space="preserve"> </w:t>
      </w:r>
    </w:p>
    <w:p w14:paraId="0F248437" w14:textId="17FE909C" w:rsidR="00784BD4" w:rsidRPr="00530F4F" w:rsidRDefault="00F942F1" w:rsidP="00530F4F">
      <w:pPr>
        <w:ind w:firstLine="567"/>
        <w:jc w:val="both"/>
        <w:rPr>
          <w:rFonts w:ascii="Times New Roman" w:hAnsi="Times New Roman" w:cs="Times New Roman"/>
          <w:b/>
          <w:color w:val="000000"/>
          <w:sz w:val="24"/>
          <w:szCs w:val="24"/>
        </w:rPr>
      </w:pPr>
      <w:r w:rsidRPr="00530F4F">
        <w:rPr>
          <w:rFonts w:ascii="Times New Roman" w:hAnsi="Times New Roman" w:cs="Times New Roman"/>
          <w:b/>
          <w:color w:val="000000"/>
          <w:sz w:val="24"/>
          <w:szCs w:val="24"/>
        </w:rPr>
        <w:t>Par</w:t>
      </w:r>
      <w:r w:rsidR="00B57FA2" w:rsidRPr="00530F4F">
        <w:rPr>
          <w:rFonts w:ascii="Times New Roman" w:hAnsi="Times New Roman" w:cs="Times New Roman"/>
          <w:b/>
          <w:color w:val="000000"/>
          <w:sz w:val="24"/>
          <w:szCs w:val="24"/>
        </w:rPr>
        <w:t>a</w:t>
      </w:r>
      <w:r w:rsidRPr="00530F4F">
        <w:rPr>
          <w:rFonts w:ascii="Times New Roman" w:hAnsi="Times New Roman" w:cs="Times New Roman"/>
          <w:b/>
          <w:color w:val="000000"/>
          <w:sz w:val="24"/>
          <w:szCs w:val="24"/>
        </w:rPr>
        <w:t>. 52</w:t>
      </w:r>
    </w:p>
    <w:p w14:paraId="66DE3270" w14:textId="3FA53341" w:rsidR="002B1E38" w:rsidRPr="00530F4F" w:rsidRDefault="002B1E38" w:rsidP="007B3150">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 xml:space="preserve">According to Article 21, ICCPR the protection of morals may be invoked by States as a ground for imposing restrictions on the right to </w:t>
      </w:r>
      <w:r w:rsidR="008E2546">
        <w:rPr>
          <w:rFonts w:ascii="Times New Roman" w:hAnsi="Times New Roman" w:cs="Times New Roman"/>
          <w:sz w:val="24"/>
          <w:szCs w:val="24"/>
        </w:rPr>
        <w:t>F</w:t>
      </w:r>
      <w:r w:rsidRPr="006D15A0">
        <w:rPr>
          <w:rFonts w:ascii="Times New Roman" w:hAnsi="Times New Roman" w:cs="Times New Roman"/>
          <w:sz w:val="24"/>
          <w:szCs w:val="24"/>
        </w:rPr>
        <w:t xml:space="preserve">reedom of </w:t>
      </w:r>
      <w:r w:rsidR="008E2546">
        <w:rPr>
          <w:rFonts w:ascii="Times New Roman" w:hAnsi="Times New Roman" w:cs="Times New Roman"/>
          <w:sz w:val="24"/>
          <w:szCs w:val="24"/>
        </w:rPr>
        <w:t>P</w:t>
      </w:r>
      <w:r w:rsidRPr="006D15A0">
        <w:rPr>
          <w:rFonts w:ascii="Times New Roman" w:hAnsi="Times New Roman" w:cs="Times New Roman"/>
          <w:sz w:val="24"/>
          <w:szCs w:val="24"/>
        </w:rPr>
        <w:t xml:space="preserve">eaceful </w:t>
      </w:r>
      <w:r w:rsidR="008E2546">
        <w:rPr>
          <w:rFonts w:ascii="Times New Roman" w:hAnsi="Times New Roman" w:cs="Times New Roman"/>
          <w:sz w:val="24"/>
          <w:szCs w:val="24"/>
        </w:rPr>
        <w:t>A</w:t>
      </w:r>
      <w:r w:rsidRPr="006D15A0">
        <w:rPr>
          <w:rFonts w:ascii="Times New Roman" w:hAnsi="Times New Roman" w:cs="Times New Roman"/>
          <w:sz w:val="24"/>
          <w:szCs w:val="24"/>
        </w:rPr>
        <w:t xml:space="preserve">ssembly. In practice, however, the protection of morals should rarely, if ever, be regarded as an appropriate basis for imposing restrictions on </w:t>
      </w:r>
      <w:r w:rsidR="00454F6D">
        <w:rPr>
          <w:rFonts w:ascii="Times New Roman" w:hAnsi="Times New Roman" w:cs="Times New Roman"/>
          <w:sz w:val="24"/>
          <w:szCs w:val="24"/>
        </w:rPr>
        <w:t>F</w:t>
      </w:r>
      <w:r w:rsidRPr="006D15A0">
        <w:rPr>
          <w:rFonts w:ascii="Times New Roman" w:hAnsi="Times New Roman" w:cs="Times New Roman"/>
          <w:sz w:val="24"/>
          <w:szCs w:val="24"/>
        </w:rPr>
        <w:t xml:space="preserve">reedom of </w:t>
      </w:r>
      <w:r w:rsidR="00454F6D">
        <w:rPr>
          <w:rFonts w:ascii="Times New Roman" w:hAnsi="Times New Roman" w:cs="Times New Roman"/>
          <w:sz w:val="24"/>
          <w:szCs w:val="24"/>
        </w:rPr>
        <w:t>P</w:t>
      </w:r>
      <w:r w:rsidRPr="006D15A0">
        <w:rPr>
          <w:rFonts w:ascii="Times New Roman" w:hAnsi="Times New Roman" w:cs="Times New Roman"/>
          <w:sz w:val="24"/>
          <w:szCs w:val="24"/>
        </w:rPr>
        <w:t xml:space="preserve">eaceful </w:t>
      </w:r>
      <w:r w:rsidR="00454F6D">
        <w:rPr>
          <w:rFonts w:ascii="Times New Roman" w:hAnsi="Times New Roman" w:cs="Times New Roman"/>
          <w:sz w:val="24"/>
          <w:szCs w:val="24"/>
        </w:rPr>
        <w:t>A</w:t>
      </w:r>
      <w:r w:rsidRPr="006D15A0">
        <w:rPr>
          <w:rFonts w:ascii="Times New Roman" w:hAnsi="Times New Roman" w:cs="Times New Roman"/>
          <w:sz w:val="24"/>
          <w:szCs w:val="24"/>
        </w:rPr>
        <w:t>ssembly.</w:t>
      </w:r>
      <w:r w:rsidRPr="006D15A0">
        <w:rPr>
          <w:rStyle w:val="FootnoteReference"/>
          <w:rFonts w:ascii="Times New Roman" w:hAnsi="Times New Roman" w:cs="Times New Roman"/>
          <w:sz w:val="24"/>
          <w:szCs w:val="24"/>
        </w:rPr>
        <w:footnoteReference w:id="19"/>
      </w:r>
      <w:r w:rsidRPr="006D15A0">
        <w:rPr>
          <w:rFonts w:ascii="Times New Roman" w:hAnsi="Times New Roman" w:cs="Times New Roman"/>
          <w:sz w:val="24"/>
          <w:szCs w:val="24"/>
        </w:rPr>
        <w:t xml:space="preserve"> As the UN Human Rights Committee has noted, ‘the concept of morals derives from many social, philosophical and religious traditions; consequently, limitations [...] for the purpose of protecting morals must be based on principles not deriving exclusively from a single tradition […] Any such limitations must be understood in the light of </w:t>
      </w:r>
      <w:r w:rsidRPr="006D15A0">
        <w:rPr>
          <w:rFonts w:ascii="Times New Roman" w:hAnsi="Times New Roman" w:cs="Times New Roman"/>
          <w:sz w:val="24"/>
          <w:szCs w:val="24"/>
          <w:u w:val="single"/>
        </w:rPr>
        <w:t>universality</w:t>
      </w:r>
      <w:r w:rsidRPr="006D15A0">
        <w:rPr>
          <w:rFonts w:ascii="Times New Roman" w:hAnsi="Times New Roman" w:cs="Times New Roman"/>
          <w:sz w:val="24"/>
          <w:szCs w:val="24"/>
        </w:rPr>
        <w:t xml:space="preserve"> of human rights and the principle of non-discrimination.’</w:t>
      </w:r>
      <w:r w:rsidR="00530F4F">
        <w:rPr>
          <w:rFonts w:ascii="Times New Roman" w:hAnsi="Times New Roman" w:cs="Times New Roman"/>
          <w:sz w:val="24"/>
          <w:szCs w:val="24"/>
        </w:rPr>
        <w:t xml:space="preserve"> </w:t>
      </w:r>
      <w:r w:rsidR="001553B9">
        <w:rPr>
          <w:rFonts w:ascii="Times New Roman" w:hAnsi="Times New Roman" w:cs="Times New Roman"/>
          <w:sz w:val="24"/>
          <w:szCs w:val="24"/>
        </w:rPr>
        <w:t>Although draft para. 52 states that “</w:t>
      </w:r>
      <w:r w:rsidR="001553B9" w:rsidRPr="001553B9">
        <w:rPr>
          <w:rFonts w:ascii="Times New Roman" w:hAnsi="Times New Roman" w:cs="Times New Roman"/>
          <w:sz w:val="24"/>
          <w:szCs w:val="24"/>
        </w:rPr>
        <w:t>restrictions on peaceful assemblies should only exceptionally be imposed for “the protection of morals”, it</w:t>
      </w:r>
      <w:r w:rsidRPr="00530F4F">
        <w:rPr>
          <w:rFonts w:ascii="Times New Roman" w:hAnsi="Times New Roman" w:cs="Times New Roman"/>
          <w:sz w:val="24"/>
          <w:szCs w:val="24"/>
        </w:rPr>
        <w:t xml:space="preserve"> would be helpful to offer some examples of potential instances when morality might be invoked</w:t>
      </w:r>
      <w:r w:rsidR="001553B9">
        <w:rPr>
          <w:rFonts w:ascii="Times New Roman" w:hAnsi="Times New Roman" w:cs="Times New Roman"/>
          <w:sz w:val="24"/>
          <w:szCs w:val="24"/>
        </w:rPr>
        <w:t>. In case</w:t>
      </w:r>
      <w:r w:rsidRPr="00530F4F">
        <w:rPr>
          <w:rFonts w:ascii="Times New Roman" w:hAnsi="Times New Roman" w:cs="Times New Roman"/>
          <w:sz w:val="24"/>
          <w:szCs w:val="24"/>
        </w:rPr>
        <w:t xml:space="preserve"> if </w:t>
      </w:r>
      <w:r w:rsidR="001553B9">
        <w:rPr>
          <w:rFonts w:ascii="Times New Roman" w:hAnsi="Times New Roman" w:cs="Times New Roman"/>
          <w:sz w:val="24"/>
          <w:szCs w:val="24"/>
        </w:rPr>
        <w:t xml:space="preserve">appropriate </w:t>
      </w:r>
      <w:r w:rsidRPr="00530F4F">
        <w:rPr>
          <w:rFonts w:ascii="Times New Roman" w:hAnsi="Times New Roman" w:cs="Times New Roman"/>
          <w:sz w:val="24"/>
          <w:szCs w:val="24"/>
        </w:rPr>
        <w:t>examples cannot be identified</w:t>
      </w:r>
      <w:r w:rsidR="00F729F6">
        <w:rPr>
          <w:rFonts w:ascii="Times New Roman" w:hAnsi="Times New Roman" w:cs="Times New Roman"/>
          <w:sz w:val="24"/>
          <w:szCs w:val="24"/>
        </w:rPr>
        <w:t>,</w:t>
      </w:r>
      <w:r w:rsidRPr="00530F4F">
        <w:rPr>
          <w:rFonts w:ascii="Times New Roman" w:hAnsi="Times New Roman" w:cs="Times New Roman"/>
          <w:sz w:val="24"/>
          <w:szCs w:val="24"/>
        </w:rPr>
        <w:t xml:space="preserve"> </w:t>
      </w:r>
      <w:r w:rsidR="001553B9">
        <w:rPr>
          <w:rFonts w:ascii="Times New Roman" w:hAnsi="Times New Roman" w:cs="Times New Roman"/>
          <w:sz w:val="24"/>
          <w:szCs w:val="24"/>
        </w:rPr>
        <w:t xml:space="preserve">it is suggested to use </w:t>
      </w:r>
      <w:r w:rsidRPr="00530F4F">
        <w:rPr>
          <w:rFonts w:ascii="Times New Roman" w:hAnsi="Times New Roman" w:cs="Times New Roman"/>
          <w:sz w:val="24"/>
          <w:szCs w:val="24"/>
        </w:rPr>
        <w:t xml:space="preserve">a stronger statement to the effect that </w:t>
      </w:r>
      <w:r w:rsidR="001553B9">
        <w:rPr>
          <w:rFonts w:ascii="Times New Roman" w:hAnsi="Times New Roman" w:cs="Times New Roman"/>
          <w:sz w:val="24"/>
          <w:szCs w:val="24"/>
        </w:rPr>
        <w:t xml:space="preserve">in practice </w:t>
      </w:r>
      <w:r w:rsidRPr="00530F4F">
        <w:rPr>
          <w:rFonts w:ascii="Times New Roman" w:hAnsi="Times New Roman" w:cs="Times New Roman"/>
          <w:sz w:val="24"/>
          <w:szCs w:val="24"/>
        </w:rPr>
        <w:t xml:space="preserve">morality should </w:t>
      </w:r>
      <w:r w:rsidR="00F729F6">
        <w:rPr>
          <w:rFonts w:ascii="Times New Roman" w:hAnsi="Times New Roman" w:cs="Times New Roman"/>
          <w:sz w:val="24"/>
          <w:szCs w:val="24"/>
        </w:rPr>
        <w:t>not</w:t>
      </w:r>
      <w:r w:rsidR="00F729F6" w:rsidRPr="00530F4F">
        <w:rPr>
          <w:rFonts w:ascii="Times New Roman" w:hAnsi="Times New Roman" w:cs="Times New Roman"/>
          <w:sz w:val="24"/>
          <w:szCs w:val="24"/>
        </w:rPr>
        <w:t xml:space="preserve"> </w:t>
      </w:r>
      <w:r w:rsidRPr="00530F4F">
        <w:rPr>
          <w:rFonts w:ascii="Times New Roman" w:hAnsi="Times New Roman" w:cs="Times New Roman"/>
          <w:sz w:val="24"/>
          <w:szCs w:val="24"/>
        </w:rPr>
        <w:t>be invoked as a ground for restriction</w:t>
      </w:r>
      <w:r w:rsidR="00F729F6">
        <w:rPr>
          <w:rFonts w:ascii="Times New Roman" w:hAnsi="Times New Roman" w:cs="Times New Roman"/>
          <w:sz w:val="24"/>
          <w:szCs w:val="24"/>
        </w:rPr>
        <w:t xml:space="preserve"> as this would hardly satisfy requirements of the Covenant</w:t>
      </w:r>
      <w:r w:rsidRPr="00530F4F">
        <w:rPr>
          <w:rFonts w:ascii="Times New Roman" w:hAnsi="Times New Roman" w:cs="Times New Roman"/>
          <w:sz w:val="24"/>
          <w:szCs w:val="24"/>
        </w:rPr>
        <w:t>.</w:t>
      </w:r>
    </w:p>
    <w:p w14:paraId="233A5577" w14:textId="0FED6DFB" w:rsidR="00F942F1" w:rsidRPr="006D15A0" w:rsidRDefault="00F942F1" w:rsidP="007B3150">
      <w:pPr>
        <w:pStyle w:val="CommentText"/>
        <w:jc w:val="both"/>
        <w:rPr>
          <w:rFonts w:ascii="Times New Roman" w:hAnsi="Times New Roman" w:cs="Times New Roman"/>
          <w:sz w:val="24"/>
          <w:szCs w:val="24"/>
        </w:rPr>
      </w:pPr>
    </w:p>
    <w:p w14:paraId="22A0EF0E" w14:textId="3EF421C9" w:rsidR="00F942F1" w:rsidRPr="00530F4F" w:rsidRDefault="00F942F1" w:rsidP="00530F4F">
      <w:pPr>
        <w:pStyle w:val="CommentText"/>
        <w:ind w:firstLine="567"/>
        <w:jc w:val="both"/>
        <w:rPr>
          <w:rFonts w:ascii="Times New Roman" w:hAnsi="Times New Roman" w:cs="Times New Roman"/>
          <w:b/>
          <w:sz w:val="24"/>
          <w:szCs w:val="24"/>
        </w:rPr>
      </w:pPr>
      <w:r w:rsidRPr="00530F4F">
        <w:rPr>
          <w:rFonts w:ascii="Times New Roman" w:hAnsi="Times New Roman" w:cs="Times New Roman"/>
          <w:b/>
          <w:sz w:val="24"/>
          <w:szCs w:val="24"/>
        </w:rPr>
        <w:t>Par</w:t>
      </w:r>
      <w:r w:rsidR="00B57FA2" w:rsidRPr="00530F4F">
        <w:rPr>
          <w:rFonts w:ascii="Times New Roman" w:hAnsi="Times New Roman" w:cs="Times New Roman"/>
          <w:b/>
          <w:sz w:val="24"/>
          <w:szCs w:val="24"/>
        </w:rPr>
        <w:t>a</w:t>
      </w:r>
      <w:r w:rsidRPr="00530F4F">
        <w:rPr>
          <w:rFonts w:ascii="Times New Roman" w:hAnsi="Times New Roman" w:cs="Times New Roman"/>
          <w:b/>
          <w:sz w:val="24"/>
          <w:szCs w:val="24"/>
        </w:rPr>
        <w:t xml:space="preserve">. 54. </w:t>
      </w:r>
    </w:p>
    <w:p w14:paraId="7270ACBD" w14:textId="77777777" w:rsidR="0074249A" w:rsidRPr="006D15A0" w:rsidRDefault="0074249A" w:rsidP="007B3150">
      <w:pPr>
        <w:pStyle w:val="CommentText"/>
        <w:jc w:val="both"/>
        <w:rPr>
          <w:rFonts w:ascii="Times New Roman" w:hAnsi="Times New Roman" w:cs="Times New Roman"/>
          <w:sz w:val="24"/>
          <w:szCs w:val="24"/>
        </w:rPr>
      </w:pPr>
    </w:p>
    <w:p w14:paraId="2A4B923C" w14:textId="77777777" w:rsidR="00E801F8" w:rsidRDefault="001B62E1" w:rsidP="00530F4F">
      <w:pPr>
        <w:pStyle w:val="CommentTex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It is</w:t>
      </w:r>
      <w:r w:rsidR="00AF652C" w:rsidRPr="006D15A0">
        <w:rPr>
          <w:rFonts w:ascii="Times New Roman" w:hAnsi="Times New Roman" w:cs="Times New Roman"/>
          <w:sz w:val="24"/>
          <w:szCs w:val="24"/>
        </w:rPr>
        <w:t xml:space="preserve"> suggest</w:t>
      </w:r>
      <w:r>
        <w:rPr>
          <w:rFonts w:ascii="Times New Roman" w:hAnsi="Times New Roman" w:cs="Times New Roman"/>
          <w:sz w:val="24"/>
          <w:szCs w:val="24"/>
        </w:rPr>
        <w:t>ed</w:t>
      </w:r>
      <w:r w:rsidR="00AF652C" w:rsidRPr="006D15A0">
        <w:rPr>
          <w:rFonts w:ascii="Times New Roman" w:hAnsi="Times New Roman" w:cs="Times New Roman"/>
          <w:sz w:val="24"/>
          <w:szCs w:val="24"/>
        </w:rPr>
        <w:t xml:space="preserve"> to delete </w:t>
      </w:r>
      <w:r w:rsidR="00F942F1" w:rsidRPr="006D15A0">
        <w:rPr>
          <w:rFonts w:ascii="Times New Roman" w:hAnsi="Times New Roman" w:cs="Times New Roman"/>
          <w:sz w:val="24"/>
          <w:szCs w:val="24"/>
        </w:rPr>
        <w:t>“</w:t>
      </w:r>
      <w:r w:rsidR="00AF652C" w:rsidRPr="006D15A0">
        <w:rPr>
          <w:rFonts w:ascii="Times New Roman" w:hAnsi="Times New Roman" w:cs="Times New Roman"/>
          <w:sz w:val="24"/>
          <w:szCs w:val="24"/>
        </w:rPr>
        <w:t>i</w:t>
      </w:r>
      <w:r w:rsidR="00F942F1" w:rsidRPr="006D15A0">
        <w:rPr>
          <w:rFonts w:ascii="Times New Roman" w:hAnsi="Times New Roman" w:cs="Times New Roman"/>
          <w:sz w:val="24"/>
          <w:szCs w:val="24"/>
        </w:rPr>
        <w:t xml:space="preserve">n principle” </w:t>
      </w:r>
      <w:r w:rsidR="00AF652C" w:rsidRPr="006D15A0">
        <w:rPr>
          <w:rFonts w:ascii="Times New Roman" w:hAnsi="Times New Roman" w:cs="Times New Roman"/>
          <w:sz w:val="24"/>
          <w:szCs w:val="24"/>
        </w:rPr>
        <w:t xml:space="preserve">in the second sentence of the para, </w:t>
      </w:r>
      <w:r w:rsidR="00F942F1" w:rsidRPr="006D15A0">
        <w:rPr>
          <w:rFonts w:ascii="Times New Roman" w:hAnsi="Times New Roman" w:cs="Times New Roman"/>
          <w:sz w:val="24"/>
          <w:szCs w:val="24"/>
        </w:rPr>
        <w:t xml:space="preserve">as it allows too </w:t>
      </w:r>
      <w:r w:rsidR="00F729F6">
        <w:rPr>
          <w:rFonts w:ascii="Times New Roman" w:hAnsi="Times New Roman" w:cs="Times New Roman"/>
          <w:sz w:val="24"/>
          <w:szCs w:val="24"/>
        </w:rPr>
        <w:t>wide</w:t>
      </w:r>
      <w:r w:rsidR="00F729F6" w:rsidRPr="006D15A0">
        <w:rPr>
          <w:rFonts w:ascii="Times New Roman" w:hAnsi="Times New Roman" w:cs="Times New Roman"/>
          <w:sz w:val="24"/>
          <w:szCs w:val="24"/>
        </w:rPr>
        <w:t xml:space="preserve"> </w:t>
      </w:r>
      <w:r w:rsidR="00E90160">
        <w:rPr>
          <w:rFonts w:ascii="Times New Roman" w:hAnsi="Times New Roman" w:cs="Times New Roman"/>
          <w:sz w:val="24"/>
          <w:szCs w:val="24"/>
        </w:rPr>
        <w:t xml:space="preserve">a </w:t>
      </w:r>
      <w:r w:rsidR="00F942F1" w:rsidRPr="006D15A0">
        <w:rPr>
          <w:rFonts w:ascii="Times New Roman" w:hAnsi="Times New Roman" w:cs="Times New Roman"/>
          <w:sz w:val="24"/>
          <w:szCs w:val="24"/>
        </w:rPr>
        <w:t xml:space="preserve">discretion for the state. </w:t>
      </w:r>
      <w:r w:rsidR="0074249A" w:rsidRPr="006D15A0">
        <w:rPr>
          <w:rFonts w:ascii="Times New Roman" w:hAnsi="Times New Roman" w:cs="Times New Roman"/>
          <w:sz w:val="24"/>
          <w:szCs w:val="24"/>
        </w:rPr>
        <w:t>It also seems to undermine the important message in the last sentence of this para, which undersc</w:t>
      </w:r>
      <w:r w:rsidR="00EF085A" w:rsidRPr="006D15A0">
        <w:rPr>
          <w:rFonts w:ascii="Times New Roman" w:hAnsi="Times New Roman" w:cs="Times New Roman"/>
          <w:sz w:val="24"/>
          <w:szCs w:val="24"/>
        </w:rPr>
        <w:t xml:space="preserve">ores the important aim to allow for advancement </w:t>
      </w:r>
    </w:p>
    <w:p w14:paraId="7F5B6CE1" w14:textId="15547119" w:rsidR="00F942F1" w:rsidRPr="00530F4F" w:rsidRDefault="00E801F8" w:rsidP="00E801F8">
      <w:pPr>
        <w:pStyle w:val="CommentText"/>
        <w:rPr>
          <w:rFonts w:ascii="Times New Roman" w:hAnsi="Times New Roman" w:cs="Times New Roman"/>
          <w:sz w:val="24"/>
          <w:szCs w:val="24"/>
        </w:rPr>
      </w:pPr>
      <w:r>
        <w:rPr>
          <w:rFonts w:ascii="Times New Roman" w:hAnsi="Times New Roman" w:cs="Times New Roman"/>
          <w:sz w:val="24"/>
          <w:szCs w:val="24"/>
        </w:rPr>
        <w:t xml:space="preserve">         </w:t>
      </w:r>
      <w:r w:rsidR="00EF085A" w:rsidRPr="006D15A0">
        <w:rPr>
          <w:rFonts w:ascii="Times New Roman" w:hAnsi="Times New Roman" w:cs="Times New Roman"/>
          <w:sz w:val="24"/>
          <w:szCs w:val="24"/>
        </w:rPr>
        <w:t xml:space="preserve">of ideas. </w:t>
      </w:r>
      <w:r w:rsidR="0074249A" w:rsidRPr="006D15A0">
        <w:rPr>
          <w:rFonts w:ascii="Times New Roman" w:hAnsi="Times New Roman" w:cs="Times New Roman"/>
          <w:sz w:val="24"/>
          <w:szCs w:val="24"/>
        </w:rPr>
        <w:t xml:space="preserve"> </w:t>
      </w:r>
      <w:r w:rsidR="00530F4F">
        <w:rPr>
          <w:rFonts w:ascii="Times New Roman" w:hAnsi="Times New Roman" w:cs="Times New Roman"/>
          <w:sz w:val="24"/>
          <w:szCs w:val="24"/>
        </w:rPr>
        <w:br/>
      </w:r>
    </w:p>
    <w:p w14:paraId="4DCBECD0" w14:textId="33B72D69" w:rsidR="00E33AB2" w:rsidRPr="00530F4F" w:rsidRDefault="00E33AB2" w:rsidP="00530F4F">
      <w:pPr>
        <w:ind w:firstLine="567"/>
        <w:jc w:val="both"/>
        <w:rPr>
          <w:rFonts w:ascii="Times New Roman" w:hAnsi="Times New Roman" w:cs="Times New Roman"/>
          <w:b/>
          <w:color w:val="000000"/>
          <w:sz w:val="24"/>
          <w:szCs w:val="24"/>
        </w:rPr>
      </w:pPr>
      <w:r w:rsidRPr="00530F4F">
        <w:rPr>
          <w:rFonts w:ascii="Times New Roman" w:hAnsi="Times New Roman" w:cs="Times New Roman"/>
          <w:b/>
          <w:color w:val="000000"/>
          <w:sz w:val="24"/>
          <w:szCs w:val="24"/>
        </w:rPr>
        <w:t>Par</w:t>
      </w:r>
      <w:r w:rsidR="00B57FA2" w:rsidRPr="00530F4F">
        <w:rPr>
          <w:rFonts w:ascii="Times New Roman" w:hAnsi="Times New Roman" w:cs="Times New Roman"/>
          <w:b/>
          <w:color w:val="000000"/>
          <w:sz w:val="24"/>
          <w:szCs w:val="24"/>
        </w:rPr>
        <w:t>a</w:t>
      </w:r>
      <w:r w:rsidR="00F172E1" w:rsidRPr="00530F4F">
        <w:rPr>
          <w:rFonts w:ascii="Times New Roman" w:hAnsi="Times New Roman" w:cs="Times New Roman"/>
          <w:b/>
          <w:color w:val="000000"/>
          <w:sz w:val="24"/>
          <w:szCs w:val="24"/>
        </w:rPr>
        <w:t>.</w:t>
      </w:r>
      <w:r w:rsidRPr="00530F4F">
        <w:rPr>
          <w:rFonts w:ascii="Times New Roman" w:hAnsi="Times New Roman" w:cs="Times New Roman"/>
          <w:b/>
          <w:color w:val="000000"/>
          <w:sz w:val="24"/>
          <w:szCs w:val="24"/>
        </w:rPr>
        <w:t xml:space="preserve"> </w:t>
      </w:r>
      <w:r w:rsidR="00F172E1" w:rsidRPr="00530F4F">
        <w:rPr>
          <w:rFonts w:ascii="Times New Roman" w:hAnsi="Times New Roman" w:cs="Times New Roman"/>
          <w:b/>
          <w:color w:val="000000"/>
          <w:sz w:val="24"/>
          <w:szCs w:val="24"/>
        </w:rPr>
        <w:t>57</w:t>
      </w:r>
    </w:p>
    <w:p w14:paraId="2348C453" w14:textId="16B81BC9" w:rsidR="00E33AB2" w:rsidRPr="006D15A0" w:rsidRDefault="00E33AB2" w:rsidP="00530F4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 xml:space="preserve">It </w:t>
      </w:r>
      <w:r w:rsidR="00AF652C" w:rsidRPr="006D15A0">
        <w:rPr>
          <w:rFonts w:ascii="Times New Roman" w:hAnsi="Times New Roman" w:cs="Times New Roman"/>
          <w:sz w:val="24"/>
          <w:szCs w:val="24"/>
        </w:rPr>
        <w:t xml:space="preserve">is suggested to </w:t>
      </w:r>
      <w:r w:rsidR="000262F7">
        <w:rPr>
          <w:rFonts w:ascii="Times New Roman" w:hAnsi="Times New Roman" w:cs="Times New Roman"/>
          <w:sz w:val="24"/>
          <w:szCs w:val="24"/>
        </w:rPr>
        <w:t>maintain</w:t>
      </w:r>
      <w:r w:rsidR="000262F7" w:rsidRPr="006D15A0">
        <w:rPr>
          <w:rFonts w:ascii="Times New Roman" w:hAnsi="Times New Roman" w:cs="Times New Roman"/>
          <w:sz w:val="24"/>
          <w:szCs w:val="24"/>
        </w:rPr>
        <w:t xml:space="preserve"> </w:t>
      </w:r>
      <w:r w:rsidR="00AF652C" w:rsidRPr="006D15A0">
        <w:rPr>
          <w:rFonts w:ascii="Times New Roman" w:hAnsi="Times New Roman" w:cs="Times New Roman"/>
          <w:sz w:val="24"/>
          <w:szCs w:val="24"/>
        </w:rPr>
        <w:t>the bracketed lang</w:t>
      </w:r>
      <w:r w:rsidR="00E801F8">
        <w:rPr>
          <w:rFonts w:ascii="Times New Roman" w:hAnsi="Times New Roman" w:cs="Times New Roman"/>
          <w:sz w:val="24"/>
          <w:szCs w:val="24"/>
        </w:rPr>
        <w:t xml:space="preserve">uage in the second sentence of </w:t>
      </w:r>
      <w:r w:rsidR="00AF652C" w:rsidRPr="006D15A0">
        <w:rPr>
          <w:rFonts w:ascii="Times New Roman" w:hAnsi="Times New Roman" w:cs="Times New Roman"/>
          <w:sz w:val="24"/>
          <w:szCs w:val="24"/>
        </w:rPr>
        <w:t>para</w:t>
      </w:r>
      <w:r w:rsidR="001F20FD">
        <w:rPr>
          <w:rFonts w:ascii="Times New Roman" w:hAnsi="Times New Roman" w:cs="Times New Roman"/>
          <w:sz w:val="24"/>
          <w:szCs w:val="24"/>
        </w:rPr>
        <w:t>.</w:t>
      </w:r>
      <w:r w:rsidR="00AF652C" w:rsidRPr="006D15A0">
        <w:rPr>
          <w:rFonts w:ascii="Times New Roman" w:hAnsi="Times New Roman" w:cs="Times New Roman"/>
          <w:sz w:val="24"/>
          <w:szCs w:val="24"/>
        </w:rPr>
        <w:t xml:space="preserve"> 57 and </w:t>
      </w:r>
      <w:r w:rsidR="000262F7">
        <w:rPr>
          <w:rFonts w:ascii="Times New Roman" w:hAnsi="Times New Roman" w:cs="Times New Roman"/>
          <w:sz w:val="24"/>
          <w:szCs w:val="24"/>
        </w:rPr>
        <w:t>thus provide that o</w:t>
      </w:r>
      <w:r w:rsidR="00E90160">
        <w:rPr>
          <w:rFonts w:ascii="Times New Roman" w:hAnsi="Times New Roman" w:cs="Times New Roman"/>
          <w:sz w:val="24"/>
          <w:szCs w:val="24"/>
        </w:rPr>
        <w:t>nly</w:t>
      </w:r>
      <w:r w:rsidRPr="006D15A0">
        <w:rPr>
          <w:rFonts w:ascii="Times New Roman" w:hAnsi="Times New Roman" w:cs="Times New Roman"/>
          <w:sz w:val="24"/>
          <w:szCs w:val="24"/>
        </w:rPr>
        <w:t xml:space="preserve"> </w:t>
      </w:r>
      <w:r w:rsidR="0006007E">
        <w:rPr>
          <w:rFonts w:ascii="Times New Roman" w:hAnsi="Times New Roman" w:cs="Times New Roman"/>
          <w:sz w:val="24"/>
          <w:szCs w:val="24"/>
        </w:rPr>
        <w:t>a</w:t>
      </w:r>
      <w:r w:rsidRPr="006D15A0">
        <w:rPr>
          <w:rFonts w:ascii="Times New Roman" w:hAnsi="Times New Roman" w:cs="Times New Roman"/>
          <w:sz w:val="24"/>
          <w:szCs w:val="24"/>
        </w:rPr>
        <w:t xml:space="preserve">ssemblies which in their entirety fall under Article 20 ICCPR, </w:t>
      </w:r>
      <w:r w:rsidR="00F172E1" w:rsidRPr="006D15A0">
        <w:rPr>
          <w:rFonts w:ascii="Times New Roman" w:hAnsi="Times New Roman" w:cs="Times New Roman"/>
          <w:sz w:val="24"/>
          <w:szCs w:val="24"/>
        </w:rPr>
        <w:t>should be prohibited.</w:t>
      </w:r>
      <w:r w:rsidR="00415949" w:rsidRPr="006D15A0">
        <w:rPr>
          <w:rFonts w:ascii="Times New Roman" w:hAnsi="Times New Roman" w:cs="Times New Roman"/>
          <w:sz w:val="24"/>
          <w:szCs w:val="24"/>
        </w:rPr>
        <w:t xml:space="preserve"> </w:t>
      </w:r>
    </w:p>
    <w:p w14:paraId="611016B2" w14:textId="41439E5B" w:rsidR="00415949" w:rsidRPr="006D15A0" w:rsidRDefault="00415949" w:rsidP="00530F4F">
      <w:pPr>
        <w:pStyle w:val="CommentText"/>
        <w:ind w:left="567" w:hanging="567"/>
        <w:jc w:val="both"/>
        <w:rPr>
          <w:rFonts w:ascii="Times New Roman" w:hAnsi="Times New Roman" w:cs="Times New Roman"/>
          <w:sz w:val="24"/>
          <w:szCs w:val="24"/>
        </w:rPr>
      </w:pPr>
    </w:p>
    <w:p w14:paraId="6568D82B" w14:textId="18EB8CE6" w:rsidR="00EF085A" w:rsidRPr="00530F4F" w:rsidRDefault="00EF085A" w:rsidP="007B3150">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Furthermore</w:t>
      </w:r>
      <w:r w:rsidR="00AF652C" w:rsidRPr="006D15A0">
        <w:rPr>
          <w:rFonts w:ascii="Times New Roman" w:hAnsi="Times New Roman" w:cs="Times New Roman"/>
          <w:sz w:val="24"/>
          <w:szCs w:val="24"/>
        </w:rPr>
        <w:t>, t</w:t>
      </w:r>
      <w:r w:rsidR="00415949" w:rsidRPr="006D15A0">
        <w:rPr>
          <w:rFonts w:ascii="Times New Roman" w:hAnsi="Times New Roman" w:cs="Times New Roman"/>
          <w:sz w:val="24"/>
          <w:szCs w:val="24"/>
        </w:rPr>
        <w:t xml:space="preserve">he last two sentences </w:t>
      </w:r>
      <w:r w:rsidR="000F0FC1" w:rsidRPr="006D15A0">
        <w:rPr>
          <w:rFonts w:ascii="Times New Roman" w:hAnsi="Times New Roman" w:cs="Times New Roman"/>
          <w:sz w:val="24"/>
          <w:szCs w:val="24"/>
        </w:rPr>
        <w:t>of the para</w:t>
      </w:r>
      <w:r w:rsidR="00366871" w:rsidRPr="006D15A0">
        <w:rPr>
          <w:rFonts w:ascii="Times New Roman" w:hAnsi="Times New Roman" w:cs="Times New Roman"/>
          <w:sz w:val="24"/>
          <w:szCs w:val="24"/>
        </w:rPr>
        <w:t>.</w:t>
      </w:r>
      <w:r w:rsidR="00704FE4">
        <w:rPr>
          <w:rFonts w:ascii="Times New Roman" w:hAnsi="Times New Roman" w:cs="Times New Roman"/>
          <w:sz w:val="24"/>
          <w:szCs w:val="24"/>
        </w:rPr>
        <w:t xml:space="preserve"> require clarification</w:t>
      </w:r>
      <w:r w:rsidR="000F0FC1" w:rsidRPr="006D15A0">
        <w:rPr>
          <w:rFonts w:ascii="Times New Roman" w:hAnsi="Times New Roman" w:cs="Times New Roman"/>
          <w:sz w:val="24"/>
          <w:szCs w:val="24"/>
        </w:rPr>
        <w:t xml:space="preserve"> </w:t>
      </w:r>
      <w:r w:rsidR="00704FE4">
        <w:rPr>
          <w:rFonts w:ascii="Times New Roman" w:hAnsi="Times New Roman" w:cs="Times New Roman"/>
          <w:sz w:val="24"/>
          <w:szCs w:val="24"/>
        </w:rPr>
        <w:t xml:space="preserve">as they </w:t>
      </w:r>
      <w:r w:rsidR="00415949" w:rsidRPr="006D15A0">
        <w:rPr>
          <w:rFonts w:ascii="Times New Roman" w:hAnsi="Times New Roman" w:cs="Times New Roman"/>
          <w:sz w:val="24"/>
          <w:szCs w:val="24"/>
        </w:rPr>
        <w:t xml:space="preserve">seem to contradict each other. </w:t>
      </w:r>
      <w:r w:rsidR="000F0FC1" w:rsidRPr="006D15A0">
        <w:rPr>
          <w:rFonts w:ascii="Times New Roman" w:hAnsi="Times New Roman" w:cs="Times New Roman"/>
          <w:sz w:val="24"/>
          <w:szCs w:val="24"/>
        </w:rPr>
        <w:t xml:space="preserve"> It is unclear how and what type of “</w:t>
      </w:r>
      <w:r w:rsidR="000F0FC1" w:rsidRPr="007B3150">
        <w:rPr>
          <w:rFonts w:ascii="Times New Roman" w:hAnsi="Times New Roman" w:cs="Times New Roman"/>
          <w:sz w:val="24"/>
          <w:szCs w:val="24"/>
        </w:rPr>
        <w:t xml:space="preserve">action should be taken … against the individual </w:t>
      </w:r>
      <w:r w:rsidR="0006007E" w:rsidRPr="007B3150">
        <w:rPr>
          <w:rFonts w:ascii="Times New Roman" w:hAnsi="Times New Roman" w:cs="Times New Roman"/>
          <w:sz w:val="24"/>
          <w:szCs w:val="24"/>
        </w:rPr>
        <w:t>perpetrators in</w:t>
      </w:r>
      <w:r w:rsidR="000F0FC1" w:rsidRPr="007B3150">
        <w:rPr>
          <w:rFonts w:ascii="Times New Roman" w:hAnsi="Times New Roman" w:cs="Times New Roman"/>
          <w:sz w:val="24"/>
          <w:szCs w:val="24"/>
        </w:rPr>
        <w:t xml:space="preserve"> case </w:t>
      </w:r>
      <w:r w:rsidR="008819DC">
        <w:rPr>
          <w:rFonts w:ascii="Times New Roman" w:hAnsi="Times New Roman" w:cs="Times New Roman"/>
          <w:sz w:val="24"/>
          <w:szCs w:val="24"/>
        </w:rPr>
        <w:t>the</w:t>
      </w:r>
      <w:r w:rsidR="000F0FC1" w:rsidRPr="007B3150">
        <w:rPr>
          <w:rFonts w:ascii="Times New Roman" w:hAnsi="Times New Roman" w:cs="Times New Roman"/>
          <w:sz w:val="24"/>
          <w:szCs w:val="24"/>
        </w:rPr>
        <w:t xml:space="preserve"> assembly</w:t>
      </w:r>
      <w:r w:rsidR="000F0FC1" w:rsidRPr="006D15A0">
        <w:rPr>
          <w:rFonts w:ascii="Times New Roman" w:hAnsi="Times New Roman" w:cs="Times New Roman"/>
          <w:sz w:val="24"/>
          <w:szCs w:val="24"/>
        </w:rPr>
        <w:t xml:space="preserve"> falls within the scope of Article 20 (first sentence). </w:t>
      </w:r>
      <w:r w:rsidR="0006007E">
        <w:rPr>
          <w:rFonts w:ascii="Times New Roman" w:hAnsi="Times New Roman" w:cs="Times New Roman"/>
          <w:sz w:val="24"/>
          <w:szCs w:val="24"/>
        </w:rPr>
        <w:t xml:space="preserve">Presumably it is suggested that statements or actions of individual participants that fall under Article 20 should not be attributed to the entire assembly and </w:t>
      </w:r>
      <w:r w:rsidR="0006007E">
        <w:rPr>
          <w:rFonts w:ascii="Times New Roman" w:hAnsi="Times New Roman" w:cs="Times New Roman"/>
          <w:sz w:val="24"/>
          <w:szCs w:val="24"/>
        </w:rPr>
        <w:lastRenderedPageBreak/>
        <w:t xml:space="preserve">appropriate </w:t>
      </w:r>
      <w:r w:rsidR="00244518">
        <w:rPr>
          <w:rFonts w:ascii="Times New Roman" w:hAnsi="Times New Roman" w:cs="Times New Roman"/>
          <w:sz w:val="24"/>
          <w:szCs w:val="24"/>
        </w:rPr>
        <w:t>measures</w:t>
      </w:r>
      <w:r w:rsidR="0006007E">
        <w:rPr>
          <w:rFonts w:ascii="Times New Roman" w:hAnsi="Times New Roman" w:cs="Times New Roman"/>
          <w:sz w:val="24"/>
          <w:szCs w:val="24"/>
        </w:rPr>
        <w:t xml:space="preserve"> should be taken against individual perpetrators</w:t>
      </w:r>
      <w:r w:rsidR="00244518">
        <w:rPr>
          <w:rFonts w:ascii="Times New Roman" w:hAnsi="Times New Roman" w:cs="Times New Roman"/>
          <w:sz w:val="24"/>
          <w:szCs w:val="24"/>
        </w:rPr>
        <w:t xml:space="preserve"> rather than against entire assembly</w:t>
      </w:r>
      <w:r w:rsidR="0006007E">
        <w:rPr>
          <w:rFonts w:ascii="Times New Roman" w:hAnsi="Times New Roman" w:cs="Times New Roman"/>
          <w:sz w:val="24"/>
          <w:szCs w:val="24"/>
        </w:rPr>
        <w:t xml:space="preserve">.   </w:t>
      </w:r>
      <w:r w:rsidR="00530F4F">
        <w:rPr>
          <w:rFonts w:ascii="Times New Roman" w:hAnsi="Times New Roman" w:cs="Times New Roman"/>
          <w:sz w:val="24"/>
          <w:szCs w:val="24"/>
        </w:rPr>
        <w:br/>
      </w:r>
    </w:p>
    <w:p w14:paraId="5C50937B" w14:textId="0A973214" w:rsidR="00F172E1" w:rsidRPr="00530F4F" w:rsidRDefault="00F172E1" w:rsidP="00530F4F">
      <w:pPr>
        <w:ind w:firstLine="567"/>
        <w:jc w:val="both"/>
        <w:rPr>
          <w:rFonts w:ascii="Times New Roman" w:hAnsi="Times New Roman" w:cs="Times New Roman"/>
          <w:b/>
          <w:color w:val="000000"/>
          <w:sz w:val="24"/>
          <w:szCs w:val="24"/>
        </w:rPr>
      </w:pPr>
      <w:r w:rsidRPr="00530F4F">
        <w:rPr>
          <w:rFonts w:ascii="Times New Roman" w:hAnsi="Times New Roman" w:cs="Times New Roman"/>
          <w:b/>
          <w:color w:val="000000"/>
          <w:sz w:val="24"/>
          <w:szCs w:val="24"/>
        </w:rPr>
        <w:t>Par</w:t>
      </w:r>
      <w:r w:rsidR="00DE4BA6" w:rsidRPr="00530F4F">
        <w:rPr>
          <w:rFonts w:ascii="Times New Roman" w:hAnsi="Times New Roman" w:cs="Times New Roman"/>
          <w:b/>
          <w:color w:val="000000"/>
          <w:sz w:val="24"/>
          <w:szCs w:val="24"/>
        </w:rPr>
        <w:t>a</w:t>
      </w:r>
      <w:r w:rsidRPr="00530F4F">
        <w:rPr>
          <w:rFonts w:ascii="Times New Roman" w:hAnsi="Times New Roman" w:cs="Times New Roman"/>
          <w:b/>
          <w:color w:val="000000"/>
          <w:sz w:val="24"/>
          <w:szCs w:val="24"/>
        </w:rPr>
        <w:t>. 58</w:t>
      </w:r>
    </w:p>
    <w:p w14:paraId="1A36B286" w14:textId="1F892228" w:rsidR="00F172E1" w:rsidRPr="006D15A0" w:rsidRDefault="00F172E1" w:rsidP="00530F4F">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This para</w:t>
      </w:r>
      <w:r w:rsidR="00366871" w:rsidRPr="006D15A0">
        <w:rPr>
          <w:rFonts w:ascii="Times New Roman" w:hAnsi="Times New Roman" w:cs="Times New Roman"/>
          <w:sz w:val="24"/>
          <w:szCs w:val="24"/>
        </w:rPr>
        <w:t>.</w:t>
      </w:r>
      <w:r w:rsidRPr="006D15A0">
        <w:rPr>
          <w:rFonts w:ascii="Times New Roman" w:hAnsi="Times New Roman" w:cs="Times New Roman"/>
          <w:sz w:val="24"/>
          <w:szCs w:val="24"/>
        </w:rPr>
        <w:t xml:space="preserve"> </w:t>
      </w:r>
      <w:r w:rsidR="003B5F7F">
        <w:rPr>
          <w:rFonts w:ascii="Times New Roman" w:hAnsi="Times New Roman" w:cs="Times New Roman"/>
          <w:sz w:val="24"/>
          <w:szCs w:val="24"/>
        </w:rPr>
        <w:t>employs</w:t>
      </w:r>
      <w:r w:rsidR="003B5F7F" w:rsidRPr="006D15A0">
        <w:rPr>
          <w:rFonts w:ascii="Times New Roman" w:hAnsi="Times New Roman" w:cs="Times New Roman"/>
          <w:sz w:val="24"/>
          <w:szCs w:val="24"/>
        </w:rPr>
        <w:t xml:space="preserve"> </w:t>
      </w:r>
      <w:r w:rsidRPr="006D15A0">
        <w:rPr>
          <w:rFonts w:ascii="Times New Roman" w:hAnsi="Times New Roman" w:cs="Times New Roman"/>
          <w:sz w:val="24"/>
          <w:szCs w:val="24"/>
        </w:rPr>
        <w:t xml:space="preserve">the terms </w:t>
      </w:r>
      <w:r w:rsidR="003B5F7F">
        <w:rPr>
          <w:rFonts w:ascii="Times New Roman" w:hAnsi="Times New Roman" w:cs="Times New Roman"/>
          <w:sz w:val="24"/>
          <w:szCs w:val="24"/>
        </w:rPr>
        <w:t>“</w:t>
      </w:r>
      <w:r w:rsidRPr="006D15A0">
        <w:rPr>
          <w:rFonts w:ascii="Times New Roman" w:hAnsi="Times New Roman" w:cs="Times New Roman"/>
          <w:sz w:val="24"/>
          <w:szCs w:val="24"/>
        </w:rPr>
        <w:t>restrictions</w:t>
      </w:r>
      <w:r w:rsidR="003B5F7F">
        <w:rPr>
          <w:rFonts w:ascii="Times New Roman" w:hAnsi="Times New Roman" w:cs="Times New Roman"/>
          <w:sz w:val="24"/>
          <w:szCs w:val="24"/>
        </w:rPr>
        <w:t>”</w:t>
      </w:r>
      <w:r w:rsidRPr="006D15A0">
        <w:rPr>
          <w:rFonts w:ascii="Times New Roman" w:hAnsi="Times New Roman" w:cs="Times New Roman"/>
          <w:sz w:val="24"/>
          <w:szCs w:val="24"/>
        </w:rPr>
        <w:t xml:space="preserve"> and </w:t>
      </w:r>
      <w:r w:rsidR="003B5F7F">
        <w:rPr>
          <w:rFonts w:ascii="Times New Roman" w:hAnsi="Times New Roman" w:cs="Times New Roman"/>
          <w:sz w:val="24"/>
          <w:szCs w:val="24"/>
        </w:rPr>
        <w:t>“</w:t>
      </w:r>
      <w:r w:rsidRPr="006D15A0">
        <w:rPr>
          <w:rFonts w:ascii="Times New Roman" w:hAnsi="Times New Roman" w:cs="Times New Roman"/>
          <w:sz w:val="24"/>
          <w:szCs w:val="24"/>
        </w:rPr>
        <w:t>prohibition</w:t>
      </w:r>
      <w:r w:rsidR="003B5F7F">
        <w:rPr>
          <w:rFonts w:ascii="Times New Roman" w:hAnsi="Times New Roman" w:cs="Times New Roman"/>
          <w:sz w:val="24"/>
          <w:szCs w:val="24"/>
        </w:rPr>
        <w:t>”</w:t>
      </w:r>
      <w:r w:rsidRPr="006D15A0">
        <w:rPr>
          <w:rFonts w:ascii="Times New Roman" w:hAnsi="Times New Roman" w:cs="Times New Roman"/>
          <w:sz w:val="24"/>
          <w:szCs w:val="24"/>
        </w:rPr>
        <w:t xml:space="preserve"> in an unclear manner</w:t>
      </w:r>
      <w:r w:rsidR="000F0FC1" w:rsidRPr="006D15A0">
        <w:rPr>
          <w:rFonts w:ascii="Times New Roman" w:hAnsi="Times New Roman" w:cs="Times New Roman"/>
          <w:sz w:val="24"/>
          <w:szCs w:val="24"/>
        </w:rPr>
        <w:t>, sometimes interchangeably</w:t>
      </w:r>
      <w:r w:rsidRPr="006D15A0">
        <w:rPr>
          <w:rFonts w:ascii="Times New Roman" w:hAnsi="Times New Roman" w:cs="Times New Roman"/>
          <w:sz w:val="24"/>
          <w:szCs w:val="24"/>
        </w:rPr>
        <w:t xml:space="preserve"> and might even be understood as if restrictions are equal to prohibition, which should not be the case. </w:t>
      </w:r>
      <w:r w:rsidR="00E95434" w:rsidRPr="006D15A0">
        <w:rPr>
          <w:rFonts w:ascii="Times New Roman" w:hAnsi="Times New Roman" w:cs="Times New Roman"/>
          <w:sz w:val="24"/>
          <w:szCs w:val="24"/>
        </w:rPr>
        <w:t xml:space="preserve"> </w:t>
      </w:r>
    </w:p>
    <w:p w14:paraId="0DFC1200" w14:textId="1A4B4D97" w:rsidR="00E95434" w:rsidRPr="006D15A0" w:rsidRDefault="00E95434" w:rsidP="00530F4F">
      <w:pPr>
        <w:pStyle w:val="CommentText"/>
        <w:ind w:left="567" w:hanging="567"/>
        <w:jc w:val="both"/>
        <w:rPr>
          <w:rFonts w:ascii="Times New Roman" w:hAnsi="Times New Roman" w:cs="Times New Roman"/>
          <w:sz w:val="24"/>
          <w:szCs w:val="24"/>
        </w:rPr>
      </w:pPr>
    </w:p>
    <w:p w14:paraId="2DD932CE" w14:textId="77777777" w:rsidR="00704FE4" w:rsidRDefault="00704FE4" w:rsidP="00704FE4">
      <w:pPr>
        <w:pStyle w:val="CommentText"/>
        <w:ind w:left="567"/>
        <w:jc w:val="both"/>
        <w:rPr>
          <w:rStyle w:val="FootnoteReference"/>
          <w:rFonts w:ascii="Times New Roman" w:hAnsi="Times New Roman" w:cs="Times New Roman"/>
          <w:sz w:val="24"/>
          <w:szCs w:val="24"/>
        </w:rPr>
      </w:pPr>
    </w:p>
    <w:p w14:paraId="32337A7C" w14:textId="4D96D0E8" w:rsidR="003B3BAD" w:rsidRPr="001B62E1" w:rsidRDefault="00936B86" w:rsidP="00704FE4">
      <w:pPr>
        <w:pStyle w:val="CommentText"/>
        <w:ind w:left="567"/>
        <w:jc w:val="both"/>
        <w:rPr>
          <w:rFonts w:ascii="Times New Roman" w:hAnsi="Times New Roman" w:cs="Times New Roman"/>
          <w:i/>
          <w:sz w:val="24"/>
          <w:szCs w:val="24"/>
        </w:rPr>
      </w:pPr>
      <w:r>
        <w:rPr>
          <w:rFonts w:ascii="Times New Roman" w:hAnsi="Times New Roman" w:cs="Times New Roman"/>
          <w:i/>
          <w:sz w:val="24"/>
          <w:szCs w:val="24"/>
        </w:rPr>
        <w:t>Blanket legal restrictions</w:t>
      </w:r>
    </w:p>
    <w:p w14:paraId="1CB71072" w14:textId="77777777" w:rsidR="00704FE4" w:rsidRDefault="00704FE4" w:rsidP="00FC7BD4">
      <w:pPr>
        <w:ind w:firstLine="567"/>
        <w:jc w:val="both"/>
        <w:rPr>
          <w:rFonts w:ascii="Times New Roman" w:hAnsi="Times New Roman" w:cs="Times New Roman"/>
          <w:b/>
          <w:sz w:val="24"/>
          <w:szCs w:val="24"/>
        </w:rPr>
      </w:pPr>
    </w:p>
    <w:p w14:paraId="69094EE7" w14:textId="007ED4D1" w:rsidR="00530F4F" w:rsidRPr="00530F4F" w:rsidRDefault="00AA764D" w:rsidP="00FC7BD4">
      <w:pPr>
        <w:ind w:firstLine="567"/>
        <w:jc w:val="both"/>
        <w:rPr>
          <w:rFonts w:ascii="Times New Roman" w:hAnsi="Times New Roman" w:cs="Times New Roman"/>
          <w:b/>
          <w:sz w:val="24"/>
          <w:szCs w:val="24"/>
        </w:rPr>
      </w:pPr>
      <w:r w:rsidRPr="00530F4F">
        <w:rPr>
          <w:rFonts w:ascii="Times New Roman" w:hAnsi="Times New Roman" w:cs="Times New Roman"/>
          <w:b/>
          <w:sz w:val="24"/>
          <w:szCs w:val="24"/>
        </w:rPr>
        <w:t>Par</w:t>
      </w:r>
      <w:r w:rsidR="000F2B8F" w:rsidRPr="00530F4F">
        <w:rPr>
          <w:rFonts w:ascii="Times New Roman" w:hAnsi="Times New Roman" w:cs="Times New Roman"/>
          <w:b/>
          <w:sz w:val="24"/>
          <w:szCs w:val="24"/>
        </w:rPr>
        <w:t>a</w:t>
      </w:r>
      <w:r w:rsidR="001F20FD" w:rsidRPr="00530F4F">
        <w:rPr>
          <w:rFonts w:ascii="Times New Roman" w:hAnsi="Times New Roman" w:cs="Times New Roman"/>
          <w:b/>
          <w:sz w:val="24"/>
          <w:szCs w:val="24"/>
        </w:rPr>
        <w:t>s</w:t>
      </w:r>
      <w:r w:rsidR="00171FB7" w:rsidRPr="00530F4F">
        <w:rPr>
          <w:rFonts w:ascii="Times New Roman" w:hAnsi="Times New Roman" w:cs="Times New Roman"/>
          <w:b/>
          <w:sz w:val="24"/>
          <w:szCs w:val="24"/>
        </w:rPr>
        <w:t>.</w:t>
      </w:r>
      <w:r w:rsidRPr="00530F4F">
        <w:rPr>
          <w:rFonts w:ascii="Times New Roman" w:hAnsi="Times New Roman" w:cs="Times New Roman"/>
          <w:b/>
          <w:sz w:val="24"/>
          <w:szCs w:val="24"/>
        </w:rPr>
        <w:t xml:space="preserve"> 63</w:t>
      </w:r>
      <w:r w:rsidR="003B3BAD" w:rsidRPr="00530F4F">
        <w:rPr>
          <w:rFonts w:ascii="Times New Roman" w:hAnsi="Times New Roman" w:cs="Times New Roman"/>
          <w:b/>
          <w:sz w:val="24"/>
          <w:szCs w:val="24"/>
        </w:rPr>
        <w:t>, 64 and 66</w:t>
      </w:r>
      <w:r w:rsidR="00530F4F" w:rsidRPr="00530F4F">
        <w:rPr>
          <w:rFonts w:ascii="Times New Roman" w:hAnsi="Times New Roman" w:cs="Times New Roman"/>
          <w:b/>
          <w:sz w:val="24"/>
          <w:szCs w:val="24"/>
        </w:rPr>
        <w:t xml:space="preserve"> </w:t>
      </w:r>
    </w:p>
    <w:p w14:paraId="4E871C97" w14:textId="16E1001C" w:rsidR="00530F4F" w:rsidRPr="00530F4F" w:rsidRDefault="00727545" w:rsidP="00530F4F">
      <w:pPr>
        <w:pStyle w:val="ListParagraph"/>
        <w:numPr>
          <w:ilvl w:val="0"/>
          <w:numId w:val="4"/>
        </w:numPr>
        <w:ind w:left="567" w:hanging="567"/>
        <w:jc w:val="both"/>
        <w:rPr>
          <w:rFonts w:ascii="Times New Roman" w:hAnsi="Times New Roman" w:cs="Times New Roman"/>
          <w:sz w:val="24"/>
          <w:szCs w:val="24"/>
          <w:lang w:val="en-US" w:eastAsia="en-GB"/>
        </w:rPr>
      </w:pPr>
      <w:r w:rsidRPr="00530F4F">
        <w:rPr>
          <w:rFonts w:ascii="Times New Roman" w:hAnsi="Times New Roman" w:cs="Times New Roman"/>
          <w:sz w:val="24"/>
          <w:szCs w:val="24"/>
        </w:rPr>
        <w:t xml:space="preserve">Blanket legal restrictions – for example, banning all assemblies during certain times, or from particular locations or public places which are suitable for holding assemblies –constitute excessive restrictions violating the right to </w:t>
      </w:r>
      <w:r w:rsidR="00454F6D">
        <w:rPr>
          <w:rFonts w:ascii="Times New Roman" w:hAnsi="Times New Roman" w:cs="Times New Roman"/>
          <w:sz w:val="24"/>
          <w:szCs w:val="24"/>
        </w:rPr>
        <w:t>F</w:t>
      </w:r>
      <w:r w:rsidRPr="00530F4F">
        <w:rPr>
          <w:rFonts w:ascii="Times New Roman" w:hAnsi="Times New Roman" w:cs="Times New Roman"/>
          <w:sz w:val="24"/>
          <w:szCs w:val="24"/>
        </w:rPr>
        <w:t xml:space="preserve">reedom of </w:t>
      </w:r>
      <w:r w:rsidR="00454F6D">
        <w:rPr>
          <w:rFonts w:ascii="Times New Roman" w:hAnsi="Times New Roman" w:cs="Times New Roman"/>
          <w:sz w:val="24"/>
          <w:szCs w:val="24"/>
        </w:rPr>
        <w:t>A</w:t>
      </w:r>
      <w:r w:rsidRPr="00530F4F">
        <w:rPr>
          <w:rFonts w:ascii="Times New Roman" w:hAnsi="Times New Roman" w:cs="Times New Roman"/>
          <w:sz w:val="24"/>
          <w:szCs w:val="24"/>
        </w:rPr>
        <w:t xml:space="preserve">ssembly. Such restrictions imposing bans on the time or location of assemblies as a rule and then allowing exceptions to this rule invert the relationship between freedom and restrictions by turning the right to </w:t>
      </w:r>
      <w:r w:rsidR="00454F6D">
        <w:rPr>
          <w:rFonts w:ascii="Times New Roman" w:hAnsi="Times New Roman" w:cs="Times New Roman"/>
          <w:sz w:val="24"/>
          <w:szCs w:val="24"/>
        </w:rPr>
        <w:t>F</w:t>
      </w:r>
      <w:r w:rsidRPr="00530F4F">
        <w:rPr>
          <w:rFonts w:ascii="Times New Roman" w:hAnsi="Times New Roman" w:cs="Times New Roman"/>
          <w:sz w:val="24"/>
          <w:szCs w:val="24"/>
        </w:rPr>
        <w:t xml:space="preserve">reedom of </w:t>
      </w:r>
      <w:r w:rsidR="00454F6D">
        <w:rPr>
          <w:rFonts w:ascii="Times New Roman" w:hAnsi="Times New Roman" w:cs="Times New Roman"/>
          <w:sz w:val="24"/>
          <w:szCs w:val="24"/>
        </w:rPr>
        <w:t>P</w:t>
      </w:r>
      <w:r w:rsidRPr="00530F4F">
        <w:rPr>
          <w:rFonts w:ascii="Times New Roman" w:hAnsi="Times New Roman" w:cs="Times New Roman"/>
          <w:sz w:val="24"/>
          <w:szCs w:val="24"/>
        </w:rPr>
        <w:t xml:space="preserve">eaceful </w:t>
      </w:r>
      <w:r w:rsidR="00454F6D">
        <w:rPr>
          <w:rFonts w:ascii="Times New Roman" w:hAnsi="Times New Roman" w:cs="Times New Roman"/>
          <w:sz w:val="24"/>
          <w:szCs w:val="24"/>
        </w:rPr>
        <w:t>A</w:t>
      </w:r>
      <w:r w:rsidRPr="00530F4F">
        <w:rPr>
          <w:rFonts w:ascii="Times New Roman" w:hAnsi="Times New Roman" w:cs="Times New Roman"/>
          <w:sz w:val="24"/>
          <w:szCs w:val="24"/>
        </w:rPr>
        <w:t>ssembly into a privilege.</w:t>
      </w:r>
      <w:r w:rsidRPr="006D15A0">
        <w:rPr>
          <w:rStyle w:val="FootnoteReference"/>
          <w:rFonts w:ascii="Times New Roman" w:hAnsi="Times New Roman" w:cs="Times New Roman"/>
          <w:sz w:val="24"/>
          <w:szCs w:val="24"/>
        </w:rPr>
        <w:footnoteReference w:id="20"/>
      </w:r>
      <w:r w:rsidRPr="00530F4F">
        <w:rPr>
          <w:rFonts w:ascii="Times New Roman" w:hAnsi="Times New Roman" w:cs="Times New Roman"/>
          <w:sz w:val="24"/>
          <w:szCs w:val="24"/>
        </w:rPr>
        <w:t xml:space="preserve"> Blanket bans fail the proportionality test because they fail to differentiate between different ways of exercising the right to </w:t>
      </w:r>
      <w:r w:rsidR="00454F6D">
        <w:rPr>
          <w:rFonts w:ascii="Times New Roman" w:hAnsi="Times New Roman" w:cs="Times New Roman"/>
          <w:sz w:val="24"/>
          <w:szCs w:val="24"/>
        </w:rPr>
        <w:t>F</w:t>
      </w:r>
      <w:r w:rsidRPr="00530F4F">
        <w:rPr>
          <w:rFonts w:ascii="Times New Roman" w:hAnsi="Times New Roman" w:cs="Times New Roman"/>
          <w:sz w:val="24"/>
          <w:szCs w:val="24"/>
        </w:rPr>
        <w:t xml:space="preserve">reedom of </w:t>
      </w:r>
      <w:r w:rsidR="00454F6D">
        <w:rPr>
          <w:rFonts w:ascii="Times New Roman" w:hAnsi="Times New Roman" w:cs="Times New Roman"/>
          <w:sz w:val="24"/>
          <w:szCs w:val="24"/>
        </w:rPr>
        <w:t>A</w:t>
      </w:r>
      <w:r w:rsidRPr="00530F4F">
        <w:rPr>
          <w:rFonts w:ascii="Times New Roman" w:hAnsi="Times New Roman" w:cs="Times New Roman"/>
          <w:sz w:val="24"/>
          <w:szCs w:val="24"/>
        </w:rPr>
        <w:t>ssembly and preclude any consideration of the specific circumstances of each case.</w:t>
      </w:r>
      <w:r w:rsidRPr="006D15A0">
        <w:rPr>
          <w:rStyle w:val="FootnoteReference"/>
          <w:rFonts w:ascii="Times New Roman" w:hAnsi="Times New Roman" w:cs="Times New Roman"/>
          <w:sz w:val="24"/>
          <w:szCs w:val="24"/>
        </w:rPr>
        <w:footnoteReference w:id="21"/>
      </w:r>
      <w:r w:rsidRPr="00530F4F">
        <w:rPr>
          <w:rStyle w:val="FootnoteReference"/>
          <w:rFonts w:ascii="Times New Roman" w:hAnsi="Times New Roman" w:cs="Times New Roman"/>
          <w:sz w:val="24"/>
          <w:szCs w:val="24"/>
        </w:rPr>
        <w:t xml:space="preserve"> </w:t>
      </w:r>
      <w:r w:rsidRPr="00530F4F">
        <w:rPr>
          <w:rFonts w:ascii="Times New Roman" w:hAnsi="Times New Roman" w:cs="Times New Roman"/>
          <w:sz w:val="24"/>
          <w:szCs w:val="24"/>
        </w:rPr>
        <w:t>Blanket bans may interfere significantly with the ability to hold assemblies within sight and sound of the intended audience.</w:t>
      </w:r>
      <w:r w:rsidR="003B3BAD" w:rsidRPr="00530F4F">
        <w:rPr>
          <w:rFonts w:ascii="Times New Roman" w:hAnsi="Times New Roman" w:cs="Times New Roman"/>
          <w:sz w:val="24"/>
          <w:szCs w:val="24"/>
        </w:rPr>
        <w:t xml:space="preserve"> In it suggested to revisit and clarify para</w:t>
      </w:r>
      <w:r w:rsidR="001F20FD" w:rsidRPr="00530F4F">
        <w:rPr>
          <w:rFonts w:ascii="Times New Roman" w:hAnsi="Times New Roman" w:cs="Times New Roman"/>
          <w:sz w:val="24"/>
          <w:szCs w:val="24"/>
        </w:rPr>
        <w:t>s.</w:t>
      </w:r>
      <w:r w:rsidR="003B3BAD" w:rsidRPr="00530F4F">
        <w:rPr>
          <w:rFonts w:ascii="Times New Roman" w:hAnsi="Times New Roman" w:cs="Times New Roman"/>
          <w:sz w:val="24"/>
          <w:szCs w:val="24"/>
        </w:rPr>
        <w:t xml:space="preserve"> 63, 64 and 66 that time specific restrictions should be considered on a case by case basis, emphasising that general restrictions or prohibitions should not exist.</w:t>
      </w:r>
      <w:r w:rsidR="003B3BAD" w:rsidRPr="006D15A0">
        <w:rPr>
          <w:rStyle w:val="FootnoteReference"/>
          <w:rFonts w:ascii="Times New Roman" w:hAnsi="Times New Roman" w:cs="Times New Roman"/>
          <w:sz w:val="24"/>
          <w:szCs w:val="24"/>
        </w:rPr>
        <w:footnoteReference w:id="22"/>
      </w:r>
      <w:r w:rsidR="003B3BAD" w:rsidRPr="00530F4F">
        <w:rPr>
          <w:rFonts w:ascii="Times New Roman" w:hAnsi="Times New Roman" w:cs="Times New Roman"/>
          <w:sz w:val="24"/>
          <w:szCs w:val="24"/>
        </w:rPr>
        <w:t xml:space="preserve"> </w:t>
      </w:r>
      <w:r w:rsidR="003B3BAD" w:rsidRPr="00530F4F">
        <w:rPr>
          <w:rFonts w:ascii="Times New Roman" w:hAnsi="Times New Roman" w:cs="Times New Roman"/>
          <w:sz w:val="24"/>
          <w:szCs w:val="24"/>
          <w:lang w:val="en-US" w:eastAsia="en-GB"/>
        </w:rPr>
        <w:t>Blanket bans, including bans on the exercise of the right entirely or on any exercise of the right in specific places or at particular times, are intrinsically disproportionate, because they preclude consideration on a case by case basis.</w:t>
      </w:r>
      <w:r w:rsidR="003B3BAD" w:rsidRPr="006D15A0">
        <w:rPr>
          <w:rStyle w:val="FootnoteReference"/>
          <w:rFonts w:ascii="Times New Roman" w:hAnsi="Times New Roman" w:cs="Times New Roman"/>
          <w:sz w:val="24"/>
          <w:szCs w:val="24"/>
          <w:lang w:val="en-US" w:eastAsia="en-GB"/>
        </w:rPr>
        <w:footnoteReference w:id="23"/>
      </w:r>
    </w:p>
    <w:p w14:paraId="00E9F604" w14:textId="6156805B" w:rsidR="00DB0A84" w:rsidRPr="0031391A" w:rsidRDefault="00DB0A84" w:rsidP="0031391A">
      <w:pPr>
        <w:ind w:firstLine="567"/>
        <w:jc w:val="both"/>
        <w:rPr>
          <w:rFonts w:ascii="Times New Roman" w:hAnsi="Times New Roman" w:cs="Times New Roman"/>
          <w:b/>
          <w:sz w:val="24"/>
          <w:szCs w:val="24"/>
          <w:lang w:val="en-US"/>
        </w:rPr>
      </w:pPr>
      <w:r w:rsidRPr="0031391A">
        <w:rPr>
          <w:rFonts w:ascii="Times New Roman" w:hAnsi="Times New Roman" w:cs="Times New Roman"/>
          <w:b/>
          <w:sz w:val="24"/>
          <w:szCs w:val="24"/>
          <w:lang w:val="en-US"/>
        </w:rPr>
        <w:t>Par</w:t>
      </w:r>
      <w:r w:rsidR="000F2B8F" w:rsidRPr="0031391A">
        <w:rPr>
          <w:rFonts w:ascii="Times New Roman" w:hAnsi="Times New Roman" w:cs="Times New Roman"/>
          <w:b/>
          <w:sz w:val="24"/>
          <w:szCs w:val="24"/>
          <w:lang w:val="en-US"/>
        </w:rPr>
        <w:t>a</w:t>
      </w:r>
      <w:r w:rsidR="00D25F7B" w:rsidRPr="0031391A">
        <w:rPr>
          <w:rFonts w:ascii="Times New Roman" w:hAnsi="Times New Roman" w:cs="Times New Roman"/>
          <w:b/>
          <w:sz w:val="24"/>
          <w:szCs w:val="24"/>
          <w:lang w:val="en-US"/>
        </w:rPr>
        <w:t>.</w:t>
      </w:r>
      <w:r w:rsidRPr="0031391A">
        <w:rPr>
          <w:rFonts w:ascii="Times New Roman" w:hAnsi="Times New Roman" w:cs="Times New Roman"/>
          <w:b/>
          <w:sz w:val="24"/>
          <w:szCs w:val="24"/>
          <w:lang w:val="en-US"/>
        </w:rPr>
        <w:t xml:space="preserve"> </w:t>
      </w:r>
      <w:r w:rsidR="00D25F7B" w:rsidRPr="0031391A">
        <w:rPr>
          <w:rFonts w:ascii="Times New Roman" w:hAnsi="Times New Roman" w:cs="Times New Roman"/>
          <w:b/>
          <w:sz w:val="24"/>
          <w:szCs w:val="24"/>
          <w:lang w:val="en-US"/>
        </w:rPr>
        <w:t>70</w:t>
      </w:r>
    </w:p>
    <w:p w14:paraId="6103A4C2" w14:textId="676F44BD" w:rsidR="00415949" w:rsidRPr="006D15A0" w:rsidRDefault="003B3BAD" w:rsidP="0031391A">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According to the last sentence of para</w:t>
      </w:r>
      <w:r w:rsidR="00366871" w:rsidRPr="006D15A0">
        <w:rPr>
          <w:rFonts w:ascii="Times New Roman" w:hAnsi="Times New Roman" w:cs="Times New Roman"/>
          <w:sz w:val="24"/>
          <w:szCs w:val="24"/>
        </w:rPr>
        <w:t>.</w:t>
      </w:r>
      <w:r w:rsidRPr="006D15A0">
        <w:rPr>
          <w:rFonts w:ascii="Times New Roman" w:hAnsi="Times New Roman" w:cs="Times New Roman"/>
          <w:sz w:val="24"/>
          <w:szCs w:val="24"/>
        </w:rPr>
        <w:t xml:space="preserve"> 70</w:t>
      </w:r>
      <w:r w:rsidR="00311722">
        <w:rPr>
          <w:rFonts w:ascii="Times New Roman" w:hAnsi="Times New Roman" w:cs="Times New Roman"/>
          <w:sz w:val="24"/>
          <w:szCs w:val="24"/>
        </w:rPr>
        <w:t>,</w:t>
      </w:r>
      <w:r w:rsidR="008819DC">
        <w:rPr>
          <w:rFonts w:ascii="Times New Roman" w:hAnsi="Times New Roman" w:cs="Times New Roman"/>
          <w:sz w:val="24"/>
          <w:szCs w:val="24"/>
        </w:rPr>
        <w:t xml:space="preserve"> regarding </w:t>
      </w:r>
      <w:r w:rsidRPr="006D15A0">
        <w:rPr>
          <w:rFonts w:ascii="Times New Roman" w:hAnsi="Times New Roman" w:cs="Times New Roman"/>
          <w:sz w:val="24"/>
          <w:szCs w:val="24"/>
        </w:rPr>
        <w:t>face cover</w:t>
      </w:r>
      <w:r w:rsidR="00893257">
        <w:rPr>
          <w:rFonts w:ascii="Times New Roman" w:hAnsi="Times New Roman" w:cs="Times New Roman"/>
          <w:sz w:val="24"/>
          <w:szCs w:val="24"/>
        </w:rPr>
        <w:t>ing</w:t>
      </w:r>
      <w:r w:rsidR="008819DC">
        <w:rPr>
          <w:rFonts w:ascii="Times New Roman" w:hAnsi="Times New Roman" w:cs="Times New Roman"/>
          <w:sz w:val="24"/>
          <w:szCs w:val="24"/>
        </w:rPr>
        <w:t>s,</w:t>
      </w:r>
      <w:r w:rsidRPr="006D15A0">
        <w:rPr>
          <w:rFonts w:ascii="Times New Roman" w:hAnsi="Times New Roman" w:cs="Times New Roman"/>
          <w:sz w:val="24"/>
          <w:szCs w:val="24"/>
        </w:rPr>
        <w:t xml:space="preserve"> “blanket bans can only be justified on an exceptional basis”. The wearing of masks and face coverings at assemblies for expressive purposes is indeed </w:t>
      </w:r>
      <w:r w:rsidR="00314A00">
        <w:rPr>
          <w:rFonts w:ascii="Times New Roman" w:hAnsi="Times New Roman" w:cs="Times New Roman"/>
          <w:sz w:val="24"/>
          <w:szCs w:val="24"/>
        </w:rPr>
        <w:t xml:space="preserve">a </w:t>
      </w:r>
      <w:r w:rsidRPr="006D15A0">
        <w:rPr>
          <w:rFonts w:ascii="Times New Roman" w:hAnsi="Times New Roman" w:cs="Times New Roman"/>
          <w:sz w:val="24"/>
          <w:szCs w:val="24"/>
        </w:rPr>
        <w:t xml:space="preserve">form of communication protected by the rights to freedom of speech and assembly.  It may occur in order to express particular viewpoints or religious beliefs or to protect an assembly participant from retaliation. The wearing of masks or other face coverings at a peaceful assembly should not be prohibited where there is no </w:t>
      </w:r>
      <w:r w:rsidR="009904AB">
        <w:rPr>
          <w:rFonts w:ascii="Times New Roman" w:hAnsi="Times New Roman" w:cs="Times New Roman"/>
          <w:sz w:val="24"/>
          <w:szCs w:val="24"/>
        </w:rPr>
        <w:t xml:space="preserve">clear and convincing </w:t>
      </w:r>
      <w:r w:rsidRPr="006D15A0">
        <w:rPr>
          <w:rFonts w:ascii="Times New Roman" w:hAnsi="Times New Roman" w:cs="Times New Roman"/>
          <w:sz w:val="24"/>
          <w:szCs w:val="24"/>
        </w:rPr>
        <w:t xml:space="preserve">evidence of imminent violence. An individual should not be required to remove a mask unless his/her conduct creates probable cause </w:t>
      </w:r>
      <w:r w:rsidRPr="006D15A0">
        <w:rPr>
          <w:rFonts w:ascii="Times New Roman" w:hAnsi="Times New Roman" w:cs="Times New Roman"/>
          <w:sz w:val="24"/>
          <w:szCs w:val="24"/>
        </w:rPr>
        <w:lastRenderedPageBreak/>
        <w:t>for arrest and the face covering prevents his/her identification.</w:t>
      </w:r>
      <w:r w:rsidRPr="006D15A0">
        <w:rPr>
          <w:rStyle w:val="FootnoteReference"/>
          <w:rFonts w:ascii="Times New Roman" w:hAnsi="Times New Roman" w:cs="Times New Roman"/>
          <w:sz w:val="24"/>
          <w:szCs w:val="24"/>
        </w:rPr>
        <w:footnoteReference w:id="24"/>
      </w:r>
      <w:r w:rsidRPr="006D15A0">
        <w:rPr>
          <w:rFonts w:ascii="Times New Roman" w:hAnsi="Times New Roman" w:cs="Times New Roman"/>
          <w:sz w:val="24"/>
          <w:szCs w:val="24"/>
        </w:rPr>
        <w:t xml:space="preserve"> Thus, </w:t>
      </w:r>
      <w:r w:rsidRPr="006D15A0">
        <w:rPr>
          <w:rFonts w:ascii="Times New Roman" w:hAnsi="Times New Roman" w:cs="Times New Roman"/>
          <w:sz w:val="24"/>
          <w:szCs w:val="24"/>
          <w:lang w:val="en-US" w:eastAsia="en-GB"/>
        </w:rPr>
        <w:t>blanket bans on masks and face cover</w:t>
      </w:r>
      <w:r w:rsidR="00314A00">
        <w:rPr>
          <w:rFonts w:ascii="Times New Roman" w:hAnsi="Times New Roman" w:cs="Times New Roman"/>
          <w:sz w:val="24"/>
          <w:szCs w:val="24"/>
          <w:lang w:val="en-US" w:eastAsia="en-GB"/>
        </w:rPr>
        <w:t>, even on exceptional basis,</w:t>
      </w:r>
      <w:r w:rsidRPr="006D15A0">
        <w:rPr>
          <w:rFonts w:ascii="Times New Roman" w:hAnsi="Times New Roman" w:cs="Times New Roman"/>
          <w:sz w:val="24"/>
          <w:szCs w:val="24"/>
          <w:lang w:val="en-US" w:eastAsia="en-GB"/>
        </w:rPr>
        <w:t xml:space="preserve"> will be intrinsically disproportionate as it does not allow case by case assessment. </w:t>
      </w:r>
      <w:r w:rsidR="00314A00">
        <w:rPr>
          <w:rFonts w:ascii="Times New Roman" w:hAnsi="Times New Roman" w:cs="Times New Roman"/>
          <w:sz w:val="24"/>
          <w:szCs w:val="24"/>
          <w:lang w:val="en-US" w:eastAsia="en-GB"/>
        </w:rPr>
        <w:t>Therefore, it is advisable to revise the last sentence</w:t>
      </w:r>
      <w:r w:rsidR="000F276F">
        <w:rPr>
          <w:rFonts w:ascii="Times New Roman" w:hAnsi="Times New Roman" w:cs="Times New Roman"/>
          <w:sz w:val="24"/>
          <w:szCs w:val="24"/>
          <w:lang w:val="en-US" w:eastAsia="en-GB"/>
        </w:rPr>
        <w:t xml:space="preserve">, </w:t>
      </w:r>
      <w:r w:rsidR="00311722">
        <w:rPr>
          <w:rFonts w:ascii="Times New Roman" w:hAnsi="Times New Roman" w:cs="Times New Roman"/>
          <w:sz w:val="24"/>
          <w:szCs w:val="24"/>
          <w:lang w:val="en-US" w:eastAsia="en-GB"/>
        </w:rPr>
        <w:t xml:space="preserve">deleting reference to the </w:t>
      </w:r>
      <w:r w:rsidR="000F276F">
        <w:rPr>
          <w:rFonts w:ascii="Times New Roman" w:hAnsi="Times New Roman" w:cs="Times New Roman"/>
          <w:sz w:val="24"/>
          <w:szCs w:val="24"/>
          <w:lang w:val="en-US" w:eastAsia="en-GB"/>
        </w:rPr>
        <w:t xml:space="preserve">blanket </w:t>
      </w:r>
      <w:r w:rsidR="00311722">
        <w:rPr>
          <w:rFonts w:ascii="Times New Roman" w:hAnsi="Times New Roman" w:cs="Times New Roman"/>
          <w:sz w:val="24"/>
          <w:szCs w:val="24"/>
          <w:lang w:val="en-US" w:eastAsia="en-GB"/>
        </w:rPr>
        <w:t xml:space="preserve">bans and instead specifying that face cover restrictions may be justified in case of </w:t>
      </w:r>
      <w:r w:rsidR="00311722">
        <w:rPr>
          <w:rFonts w:ascii="Times New Roman" w:hAnsi="Times New Roman" w:cs="Times New Roman"/>
          <w:sz w:val="24"/>
          <w:szCs w:val="24"/>
        </w:rPr>
        <w:t xml:space="preserve">clear and convincing </w:t>
      </w:r>
      <w:r w:rsidR="00311722" w:rsidRPr="006D15A0">
        <w:rPr>
          <w:rFonts w:ascii="Times New Roman" w:hAnsi="Times New Roman" w:cs="Times New Roman"/>
          <w:sz w:val="24"/>
          <w:szCs w:val="24"/>
        </w:rPr>
        <w:t>evidence of imminent violence</w:t>
      </w:r>
      <w:r w:rsidR="00311722">
        <w:rPr>
          <w:rFonts w:ascii="Times New Roman" w:hAnsi="Times New Roman" w:cs="Times New Roman"/>
          <w:sz w:val="24"/>
          <w:szCs w:val="24"/>
          <w:lang w:val="en-US" w:eastAsia="en-GB"/>
        </w:rPr>
        <w:t xml:space="preserve"> on </w:t>
      </w:r>
      <w:r w:rsidR="000F276F">
        <w:rPr>
          <w:rFonts w:ascii="Times New Roman" w:hAnsi="Times New Roman" w:cs="Times New Roman"/>
          <w:sz w:val="24"/>
          <w:szCs w:val="24"/>
          <w:lang w:val="en-US" w:eastAsia="en-GB"/>
        </w:rPr>
        <w:t xml:space="preserve">restrictions without giving sufficient guidance. </w:t>
      </w:r>
      <w:r w:rsidR="00936B86">
        <w:rPr>
          <w:rFonts w:ascii="Times New Roman" w:hAnsi="Times New Roman" w:cs="Times New Roman"/>
          <w:sz w:val="24"/>
          <w:szCs w:val="24"/>
          <w:lang w:val="en-US" w:eastAsia="en-GB"/>
        </w:rPr>
        <w:br/>
      </w:r>
    </w:p>
    <w:p w14:paraId="00481283" w14:textId="139F27D6" w:rsidR="006D752D" w:rsidRPr="0031391A" w:rsidRDefault="006D752D" w:rsidP="0031391A">
      <w:pPr>
        <w:ind w:firstLine="567"/>
        <w:jc w:val="both"/>
        <w:rPr>
          <w:rFonts w:ascii="Times New Roman" w:hAnsi="Times New Roman" w:cs="Times New Roman"/>
          <w:b/>
          <w:sz w:val="24"/>
          <w:szCs w:val="24"/>
        </w:rPr>
      </w:pPr>
      <w:r w:rsidRPr="0031391A">
        <w:rPr>
          <w:rFonts w:ascii="Times New Roman" w:hAnsi="Times New Roman" w:cs="Times New Roman"/>
          <w:b/>
          <w:sz w:val="24"/>
          <w:szCs w:val="24"/>
        </w:rPr>
        <w:t>Par</w:t>
      </w:r>
      <w:r w:rsidR="000F2B8F" w:rsidRPr="0031391A">
        <w:rPr>
          <w:rFonts w:ascii="Times New Roman" w:hAnsi="Times New Roman" w:cs="Times New Roman"/>
          <w:b/>
          <w:sz w:val="24"/>
          <w:szCs w:val="24"/>
        </w:rPr>
        <w:t>a</w:t>
      </w:r>
      <w:r w:rsidRPr="0031391A">
        <w:rPr>
          <w:rFonts w:ascii="Times New Roman" w:hAnsi="Times New Roman" w:cs="Times New Roman"/>
          <w:b/>
          <w:sz w:val="24"/>
          <w:szCs w:val="24"/>
        </w:rPr>
        <w:t>. 71</w:t>
      </w:r>
    </w:p>
    <w:p w14:paraId="0DDE4F44" w14:textId="4533737B" w:rsidR="006D752D" w:rsidRPr="0031391A" w:rsidRDefault="006D752D" w:rsidP="0031391A">
      <w:pPr>
        <w:pStyle w:val="ListParagraph"/>
        <w:numPr>
          <w:ilvl w:val="0"/>
          <w:numId w:val="4"/>
        </w:numPr>
        <w:ind w:left="567" w:hanging="567"/>
        <w:rPr>
          <w:rFonts w:ascii="Times New Roman" w:hAnsi="Times New Roman" w:cs="Times New Roman"/>
          <w:sz w:val="24"/>
          <w:szCs w:val="24"/>
        </w:rPr>
      </w:pPr>
      <w:r w:rsidRPr="0031391A">
        <w:rPr>
          <w:rFonts w:ascii="Times New Roman" w:hAnsi="Times New Roman" w:cs="Times New Roman"/>
          <w:sz w:val="24"/>
          <w:szCs w:val="24"/>
        </w:rPr>
        <w:t xml:space="preserve">This </w:t>
      </w:r>
      <w:r w:rsidR="00BE2469" w:rsidRPr="0031391A">
        <w:rPr>
          <w:rFonts w:ascii="Times New Roman" w:hAnsi="Times New Roman" w:cs="Times New Roman"/>
          <w:sz w:val="24"/>
          <w:szCs w:val="24"/>
        </w:rPr>
        <w:t>para</w:t>
      </w:r>
      <w:r w:rsidR="001F20FD" w:rsidRPr="0031391A">
        <w:rPr>
          <w:rFonts w:ascii="Times New Roman" w:hAnsi="Times New Roman" w:cs="Times New Roman"/>
          <w:sz w:val="24"/>
          <w:szCs w:val="24"/>
        </w:rPr>
        <w:t>.</w:t>
      </w:r>
      <w:r w:rsidR="00BE2469" w:rsidRPr="0031391A">
        <w:rPr>
          <w:rFonts w:ascii="Times New Roman" w:hAnsi="Times New Roman" w:cs="Times New Roman"/>
          <w:sz w:val="24"/>
          <w:szCs w:val="24"/>
        </w:rPr>
        <w:t xml:space="preserve"> </w:t>
      </w:r>
      <w:r w:rsidRPr="0031391A">
        <w:rPr>
          <w:rFonts w:ascii="Times New Roman" w:hAnsi="Times New Roman" w:cs="Times New Roman"/>
          <w:sz w:val="24"/>
          <w:szCs w:val="24"/>
        </w:rPr>
        <w:t xml:space="preserve">should </w:t>
      </w:r>
      <w:r w:rsidR="00BE2469" w:rsidRPr="0031391A">
        <w:rPr>
          <w:rFonts w:ascii="Times New Roman" w:hAnsi="Times New Roman" w:cs="Times New Roman"/>
          <w:sz w:val="24"/>
          <w:szCs w:val="24"/>
        </w:rPr>
        <w:t xml:space="preserve">in the beginning </w:t>
      </w:r>
      <w:r w:rsidR="005527BD" w:rsidRPr="0031391A">
        <w:rPr>
          <w:rFonts w:ascii="Times New Roman" w:hAnsi="Times New Roman" w:cs="Times New Roman"/>
          <w:sz w:val="24"/>
          <w:szCs w:val="24"/>
        </w:rPr>
        <w:t xml:space="preserve">clarify </w:t>
      </w:r>
      <w:r w:rsidR="00BE2469" w:rsidRPr="0031391A">
        <w:rPr>
          <w:rFonts w:ascii="Times New Roman" w:hAnsi="Times New Roman" w:cs="Times New Roman"/>
          <w:sz w:val="24"/>
          <w:szCs w:val="24"/>
        </w:rPr>
        <w:t>that collection of information and data</w:t>
      </w:r>
      <w:r w:rsidR="005527BD" w:rsidRPr="0031391A">
        <w:rPr>
          <w:rFonts w:ascii="Times New Roman" w:hAnsi="Times New Roman" w:cs="Times New Roman"/>
          <w:sz w:val="24"/>
          <w:szCs w:val="24"/>
        </w:rPr>
        <w:t xml:space="preserve"> by authorities</w:t>
      </w:r>
      <w:r w:rsidR="00BE2469" w:rsidRPr="0031391A">
        <w:rPr>
          <w:rFonts w:ascii="Times New Roman" w:hAnsi="Times New Roman" w:cs="Times New Roman"/>
          <w:sz w:val="24"/>
          <w:szCs w:val="24"/>
        </w:rPr>
        <w:t xml:space="preserve"> can be both useful to facilitate the assembly, but also a possible means of oppression</w:t>
      </w:r>
      <w:r w:rsidR="00AB644E" w:rsidRPr="0031391A">
        <w:rPr>
          <w:rFonts w:ascii="Times New Roman" w:hAnsi="Times New Roman" w:cs="Times New Roman"/>
          <w:sz w:val="24"/>
          <w:szCs w:val="24"/>
        </w:rPr>
        <w:t xml:space="preserve">. Therefore, information gathering must strictly conform to the applicable international standards, including on the right to privacy. </w:t>
      </w:r>
      <w:r w:rsidR="005527BD" w:rsidRPr="0031391A">
        <w:rPr>
          <w:rFonts w:ascii="Times New Roman" w:hAnsi="Times New Roman" w:cs="Times New Roman"/>
          <w:sz w:val="24"/>
          <w:szCs w:val="24"/>
        </w:rPr>
        <w:t xml:space="preserve">Furthermore, it should be made clear that this applies to the collection of data before, during and after assemblies, not only during assemblies. </w:t>
      </w:r>
      <w:r w:rsidRPr="0031391A">
        <w:rPr>
          <w:rFonts w:ascii="Times New Roman" w:hAnsi="Times New Roman" w:cs="Times New Roman"/>
          <w:sz w:val="24"/>
          <w:szCs w:val="24"/>
        </w:rPr>
        <w:t xml:space="preserve"> </w:t>
      </w:r>
    </w:p>
    <w:p w14:paraId="65DC4FC7" w14:textId="2F46A6F3" w:rsidR="00DB0A84" w:rsidRPr="0031391A" w:rsidRDefault="00D25F7B" w:rsidP="0031391A">
      <w:pPr>
        <w:ind w:firstLine="567"/>
        <w:jc w:val="both"/>
        <w:rPr>
          <w:rFonts w:ascii="Times New Roman" w:hAnsi="Times New Roman" w:cs="Times New Roman"/>
          <w:b/>
          <w:sz w:val="24"/>
          <w:szCs w:val="24"/>
        </w:rPr>
      </w:pPr>
      <w:r w:rsidRPr="0031391A">
        <w:rPr>
          <w:rFonts w:ascii="Times New Roman" w:hAnsi="Times New Roman" w:cs="Times New Roman"/>
          <w:b/>
          <w:sz w:val="24"/>
          <w:szCs w:val="24"/>
        </w:rPr>
        <w:t>Par</w:t>
      </w:r>
      <w:r w:rsidR="000F2B8F" w:rsidRPr="0031391A">
        <w:rPr>
          <w:rFonts w:ascii="Times New Roman" w:hAnsi="Times New Roman" w:cs="Times New Roman"/>
          <w:b/>
          <w:sz w:val="24"/>
          <w:szCs w:val="24"/>
        </w:rPr>
        <w:t>a</w:t>
      </w:r>
      <w:r w:rsidRPr="0031391A">
        <w:rPr>
          <w:rFonts w:ascii="Times New Roman" w:hAnsi="Times New Roman" w:cs="Times New Roman"/>
          <w:b/>
          <w:sz w:val="24"/>
          <w:szCs w:val="24"/>
        </w:rPr>
        <w:t xml:space="preserve">. 74 </w:t>
      </w:r>
    </w:p>
    <w:p w14:paraId="627F84DD" w14:textId="01BD358B" w:rsidR="00D25F7B" w:rsidRPr="0031391A" w:rsidRDefault="003B3BAD" w:rsidP="0031391A">
      <w:pPr>
        <w:pStyle w:val="ListParagraph"/>
        <w:numPr>
          <w:ilvl w:val="0"/>
          <w:numId w:val="4"/>
        </w:numPr>
        <w:ind w:left="567" w:hanging="567"/>
        <w:jc w:val="both"/>
        <w:rPr>
          <w:rFonts w:ascii="Times New Roman" w:hAnsi="Times New Roman" w:cs="Times New Roman"/>
          <w:sz w:val="24"/>
          <w:szCs w:val="24"/>
        </w:rPr>
      </w:pPr>
      <w:r w:rsidRPr="0031391A">
        <w:rPr>
          <w:rFonts w:ascii="Times New Roman" w:hAnsi="Times New Roman" w:cs="Times New Roman"/>
          <w:sz w:val="24"/>
          <w:szCs w:val="24"/>
        </w:rPr>
        <w:t>It is suggested to mention “</w:t>
      </w:r>
      <w:r w:rsidR="000F19B4" w:rsidRPr="0031391A">
        <w:rPr>
          <w:rFonts w:ascii="Times New Roman" w:hAnsi="Times New Roman" w:cs="Times New Roman"/>
          <w:sz w:val="24"/>
          <w:szCs w:val="24"/>
        </w:rPr>
        <w:t>organizers</w:t>
      </w:r>
      <w:r w:rsidRPr="0031391A">
        <w:rPr>
          <w:rFonts w:ascii="Times New Roman" w:hAnsi="Times New Roman" w:cs="Times New Roman"/>
          <w:sz w:val="24"/>
          <w:szCs w:val="24"/>
        </w:rPr>
        <w:t xml:space="preserve">” together with “participants” who should never bear the costs of policing or security of assembly </w:t>
      </w:r>
    </w:p>
    <w:p w14:paraId="51190D3E" w14:textId="2090F789" w:rsidR="00D25F7B" w:rsidRPr="0031391A" w:rsidRDefault="00D25F7B" w:rsidP="0031391A">
      <w:pPr>
        <w:ind w:firstLine="567"/>
        <w:jc w:val="both"/>
        <w:rPr>
          <w:rFonts w:ascii="Times New Roman" w:hAnsi="Times New Roman" w:cs="Times New Roman"/>
          <w:b/>
          <w:sz w:val="24"/>
          <w:szCs w:val="24"/>
        </w:rPr>
      </w:pPr>
      <w:r w:rsidRPr="0031391A">
        <w:rPr>
          <w:rFonts w:ascii="Times New Roman" w:hAnsi="Times New Roman" w:cs="Times New Roman"/>
          <w:b/>
          <w:sz w:val="24"/>
          <w:szCs w:val="24"/>
        </w:rPr>
        <w:t>Par</w:t>
      </w:r>
      <w:r w:rsidR="000F2B8F" w:rsidRPr="0031391A">
        <w:rPr>
          <w:rFonts w:ascii="Times New Roman" w:hAnsi="Times New Roman" w:cs="Times New Roman"/>
          <w:b/>
          <w:sz w:val="24"/>
          <w:szCs w:val="24"/>
        </w:rPr>
        <w:t>a</w:t>
      </w:r>
      <w:r w:rsidR="00497CF9">
        <w:rPr>
          <w:rFonts w:ascii="Times New Roman" w:hAnsi="Times New Roman" w:cs="Times New Roman"/>
          <w:b/>
          <w:sz w:val="24"/>
          <w:szCs w:val="24"/>
        </w:rPr>
        <w:t>s</w:t>
      </w:r>
      <w:r w:rsidR="00FF723E" w:rsidRPr="0031391A">
        <w:rPr>
          <w:rFonts w:ascii="Times New Roman" w:hAnsi="Times New Roman" w:cs="Times New Roman"/>
          <w:b/>
          <w:sz w:val="24"/>
          <w:szCs w:val="24"/>
        </w:rPr>
        <w:t>.</w:t>
      </w:r>
      <w:r w:rsidRPr="0031391A">
        <w:rPr>
          <w:rFonts w:ascii="Times New Roman" w:hAnsi="Times New Roman" w:cs="Times New Roman"/>
          <w:b/>
          <w:sz w:val="24"/>
          <w:szCs w:val="24"/>
        </w:rPr>
        <w:t xml:space="preserve"> 75</w:t>
      </w:r>
      <w:r w:rsidR="00497CF9">
        <w:rPr>
          <w:rFonts w:ascii="Times New Roman" w:hAnsi="Times New Roman" w:cs="Times New Roman"/>
          <w:b/>
          <w:sz w:val="24"/>
          <w:szCs w:val="24"/>
        </w:rPr>
        <w:t xml:space="preserve"> and 76</w:t>
      </w:r>
    </w:p>
    <w:p w14:paraId="491DE022" w14:textId="6CEE92FC" w:rsidR="00FF723E" w:rsidRPr="006D15A0" w:rsidRDefault="00FF723E" w:rsidP="0031391A">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This par</w:t>
      </w:r>
      <w:r w:rsidR="00BB1260" w:rsidRPr="006D15A0">
        <w:rPr>
          <w:rFonts w:ascii="Times New Roman" w:hAnsi="Times New Roman" w:cs="Times New Roman"/>
          <w:sz w:val="24"/>
          <w:szCs w:val="24"/>
        </w:rPr>
        <w:t>a</w:t>
      </w:r>
      <w:r w:rsidR="00D26672" w:rsidRPr="006D15A0">
        <w:rPr>
          <w:rFonts w:ascii="Times New Roman" w:hAnsi="Times New Roman" w:cs="Times New Roman"/>
          <w:sz w:val="24"/>
          <w:szCs w:val="24"/>
        </w:rPr>
        <w:t>.</w:t>
      </w:r>
      <w:r w:rsidRPr="006D15A0">
        <w:rPr>
          <w:rFonts w:ascii="Times New Roman" w:hAnsi="Times New Roman" w:cs="Times New Roman"/>
          <w:sz w:val="24"/>
          <w:szCs w:val="24"/>
        </w:rPr>
        <w:t xml:space="preserve"> mixes civil/criminal responsibility and organi</w:t>
      </w:r>
      <w:r w:rsidR="000552A7" w:rsidRPr="006D15A0">
        <w:rPr>
          <w:rFonts w:ascii="Times New Roman" w:hAnsi="Times New Roman" w:cs="Times New Roman"/>
          <w:sz w:val="24"/>
          <w:szCs w:val="24"/>
        </w:rPr>
        <w:t>z</w:t>
      </w:r>
      <w:r w:rsidRPr="006D15A0">
        <w:rPr>
          <w:rFonts w:ascii="Times New Roman" w:hAnsi="Times New Roman" w:cs="Times New Roman"/>
          <w:sz w:val="24"/>
          <w:szCs w:val="24"/>
        </w:rPr>
        <w:t>ers/participants.</w:t>
      </w:r>
      <w:r w:rsidR="005527BD" w:rsidRPr="006D15A0">
        <w:rPr>
          <w:rFonts w:ascii="Times New Roman" w:hAnsi="Times New Roman" w:cs="Times New Roman"/>
          <w:sz w:val="24"/>
          <w:szCs w:val="24"/>
        </w:rPr>
        <w:t xml:space="preserve"> It </w:t>
      </w:r>
      <w:r w:rsidR="005215CC">
        <w:rPr>
          <w:rFonts w:ascii="Times New Roman" w:hAnsi="Times New Roman" w:cs="Times New Roman"/>
          <w:sz w:val="24"/>
          <w:szCs w:val="24"/>
        </w:rPr>
        <w:t xml:space="preserve"> is suggested to</w:t>
      </w:r>
      <w:r w:rsidR="005527BD" w:rsidRPr="006D15A0">
        <w:rPr>
          <w:rFonts w:ascii="Times New Roman" w:hAnsi="Times New Roman" w:cs="Times New Roman"/>
          <w:sz w:val="24"/>
          <w:szCs w:val="24"/>
        </w:rPr>
        <w:t xml:space="preserve"> clarify that: </w:t>
      </w:r>
    </w:p>
    <w:p w14:paraId="1C821BF2" w14:textId="77777777" w:rsidR="005527BD" w:rsidRPr="006D15A0" w:rsidRDefault="005527BD" w:rsidP="0031391A">
      <w:pPr>
        <w:pStyle w:val="CommentText"/>
        <w:ind w:left="567" w:hanging="567"/>
        <w:jc w:val="both"/>
        <w:rPr>
          <w:rFonts w:ascii="Times New Roman" w:hAnsi="Times New Roman" w:cs="Times New Roman"/>
          <w:sz w:val="24"/>
          <w:szCs w:val="24"/>
        </w:rPr>
      </w:pPr>
    </w:p>
    <w:p w14:paraId="1A2C65AD" w14:textId="14114F33" w:rsidR="00FF723E" w:rsidRPr="006D15A0" w:rsidRDefault="00FF723E" w:rsidP="0031391A">
      <w:pPr>
        <w:pStyle w:val="CommentText"/>
        <w:ind w:left="567"/>
        <w:jc w:val="both"/>
        <w:rPr>
          <w:rFonts w:ascii="Times New Roman" w:hAnsi="Times New Roman" w:cs="Times New Roman"/>
          <w:sz w:val="24"/>
          <w:szCs w:val="24"/>
          <w:lang w:val="en-US"/>
        </w:rPr>
      </w:pPr>
      <w:r w:rsidRPr="0031391A">
        <w:rPr>
          <w:rFonts w:ascii="Times New Roman" w:hAnsi="Times New Roman" w:cs="Times New Roman"/>
          <w:i/>
          <w:sz w:val="24"/>
          <w:szCs w:val="24"/>
          <w:lang w:val="en-US"/>
        </w:rPr>
        <w:t>Criminal responsibility:</w:t>
      </w:r>
      <w:r w:rsidRPr="006D15A0">
        <w:rPr>
          <w:rFonts w:ascii="Times New Roman" w:hAnsi="Times New Roman" w:cs="Times New Roman"/>
          <w:sz w:val="24"/>
          <w:szCs w:val="24"/>
          <w:lang w:val="en-US"/>
        </w:rPr>
        <w:t xml:space="preserve"> </w:t>
      </w:r>
      <w:r w:rsidR="0088745B" w:rsidRPr="006D15A0">
        <w:rPr>
          <w:rFonts w:ascii="Times New Roman" w:hAnsi="Times New Roman" w:cs="Times New Roman"/>
          <w:sz w:val="24"/>
          <w:szCs w:val="24"/>
          <w:lang w:val="en-US"/>
        </w:rPr>
        <w:t xml:space="preserve">can </w:t>
      </w:r>
      <w:r w:rsidRPr="006D15A0">
        <w:rPr>
          <w:rFonts w:ascii="Times New Roman" w:hAnsi="Times New Roman" w:cs="Times New Roman"/>
          <w:sz w:val="24"/>
          <w:szCs w:val="24"/>
          <w:lang w:val="en-US"/>
        </w:rPr>
        <w:t>only</w:t>
      </w:r>
      <w:r w:rsidR="0088745B" w:rsidRPr="006D15A0">
        <w:rPr>
          <w:rFonts w:ascii="Times New Roman" w:hAnsi="Times New Roman" w:cs="Times New Roman"/>
          <w:sz w:val="24"/>
          <w:szCs w:val="24"/>
          <w:lang w:val="en-US"/>
        </w:rPr>
        <w:t xml:space="preserve"> be</w:t>
      </w:r>
      <w:r w:rsidRPr="006D15A0">
        <w:rPr>
          <w:rFonts w:ascii="Times New Roman" w:hAnsi="Times New Roman" w:cs="Times New Roman"/>
          <w:sz w:val="24"/>
          <w:szCs w:val="24"/>
          <w:lang w:val="en-US"/>
        </w:rPr>
        <w:t xml:space="preserve"> imposed for </w:t>
      </w:r>
      <w:r w:rsidR="00B444F3">
        <w:rPr>
          <w:rFonts w:ascii="Times New Roman" w:hAnsi="Times New Roman" w:cs="Times New Roman"/>
          <w:sz w:val="24"/>
          <w:szCs w:val="24"/>
          <w:lang w:val="en-US"/>
        </w:rPr>
        <w:t xml:space="preserve">personal </w:t>
      </w:r>
      <w:r w:rsidRPr="006D15A0">
        <w:rPr>
          <w:rFonts w:ascii="Times New Roman" w:hAnsi="Times New Roman" w:cs="Times New Roman"/>
          <w:sz w:val="24"/>
          <w:szCs w:val="24"/>
          <w:lang w:val="en-US"/>
        </w:rPr>
        <w:t xml:space="preserve">behavior and not for anything </w:t>
      </w:r>
      <w:r w:rsidR="00171FB7" w:rsidRPr="006D15A0">
        <w:rPr>
          <w:rFonts w:ascii="Times New Roman" w:hAnsi="Times New Roman" w:cs="Times New Roman"/>
          <w:sz w:val="24"/>
          <w:szCs w:val="24"/>
          <w:lang w:val="en-US"/>
        </w:rPr>
        <w:t>com</w:t>
      </w:r>
      <w:r w:rsidRPr="006D15A0">
        <w:rPr>
          <w:rFonts w:ascii="Times New Roman" w:hAnsi="Times New Roman" w:cs="Times New Roman"/>
          <w:sz w:val="24"/>
          <w:szCs w:val="24"/>
          <w:lang w:val="en-US"/>
        </w:rPr>
        <w:t>mit</w:t>
      </w:r>
      <w:r w:rsidR="00171FB7" w:rsidRPr="006D15A0">
        <w:rPr>
          <w:rFonts w:ascii="Times New Roman" w:hAnsi="Times New Roman" w:cs="Times New Roman"/>
          <w:sz w:val="24"/>
          <w:szCs w:val="24"/>
          <w:lang w:val="en-US"/>
        </w:rPr>
        <w:t>t</w:t>
      </w:r>
      <w:r w:rsidRPr="006D15A0">
        <w:rPr>
          <w:rFonts w:ascii="Times New Roman" w:hAnsi="Times New Roman" w:cs="Times New Roman"/>
          <w:sz w:val="24"/>
          <w:szCs w:val="24"/>
          <w:lang w:val="en-US"/>
        </w:rPr>
        <w:t xml:space="preserve">ed by others if </w:t>
      </w:r>
      <w:r w:rsidR="0088745B" w:rsidRPr="006D15A0">
        <w:rPr>
          <w:rFonts w:ascii="Times New Roman" w:hAnsi="Times New Roman" w:cs="Times New Roman"/>
          <w:sz w:val="24"/>
          <w:szCs w:val="24"/>
          <w:lang w:val="en-US"/>
        </w:rPr>
        <w:t xml:space="preserve">there was </w:t>
      </w:r>
      <w:r w:rsidRPr="006D15A0">
        <w:rPr>
          <w:rFonts w:ascii="Times New Roman" w:hAnsi="Times New Roman" w:cs="Times New Roman"/>
          <w:sz w:val="24"/>
          <w:szCs w:val="24"/>
          <w:lang w:val="en-US"/>
        </w:rPr>
        <w:t>no personal involvement through action or incitement</w:t>
      </w:r>
      <w:r w:rsidR="0088745B" w:rsidRPr="006D15A0">
        <w:rPr>
          <w:rFonts w:ascii="Times New Roman" w:hAnsi="Times New Roman" w:cs="Times New Roman"/>
          <w:sz w:val="24"/>
          <w:szCs w:val="24"/>
          <w:lang w:val="en-US"/>
        </w:rPr>
        <w:t>.</w:t>
      </w:r>
      <w:r w:rsidRPr="006D15A0">
        <w:rPr>
          <w:rFonts w:ascii="Times New Roman" w:hAnsi="Times New Roman" w:cs="Times New Roman"/>
          <w:sz w:val="24"/>
          <w:szCs w:val="24"/>
          <w:lang w:val="en-US"/>
        </w:rPr>
        <w:t xml:space="preserve"> </w:t>
      </w:r>
      <w:r w:rsidR="0088745B" w:rsidRPr="006D15A0">
        <w:rPr>
          <w:rFonts w:ascii="Times New Roman" w:hAnsi="Times New Roman" w:cs="Times New Roman"/>
          <w:sz w:val="24"/>
          <w:szCs w:val="24"/>
          <w:lang w:val="en-US"/>
        </w:rPr>
        <w:t>R</w:t>
      </w:r>
      <w:r w:rsidRPr="006D15A0">
        <w:rPr>
          <w:rFonts w:ascii="Times New Roman" w:hAnsi="Times New Roman" w:cs="Times New Roman"/>
          <w:sz w:val="24"/>
          <w:szCs w:val="24"/>
          <w:lang w:val="en-US"/>
        </w:rPr>
        <w:t xml:space="preserve">esponsibility for incitement can be invoked, but not for </w:t>
      </w:r>
      <w:r w:rsidR="0088745B" w:rsidRPr="006D15A0">
        <w:rPr>
          <w:rFonts w:ascii="Times New Roman" w:hAnsi="Times New Roman" w:cs="Times New Roman"/>
          <w:sz w:val="24"/>
          <w:szCs w:val="24"/>
          <w:lang w:val="en-US"/>
        </w:rPr>
        <w:t xml:space="preserve">actions </w:t>
      </w:r>
      <w:r w:rsidRPr="006D15A0">
        <w:rPr>
          <w:rFonts w:ascii="Times New Roman" w:hAnsi="Times New Roman" w:cs="Times New Roman"/>
          <w:sz w:val="24"/>
          <w:szCs w:val="24"/>
          <w:lang w:val="en-US"/>
        </w:rPr>
        <w:t>others have committed</w:t>
      </w:r>
      <w:r w:rsidR="0088745B" w:rsidRPr="006D15A0">
        <w:rPr>
          <w:rFonts w:ascii="Times New Roman" w:hAnsi="Times New Roman" w:cs="Times New Roman"/>
          <w:sz w:val="24"/>
          <w:szCs w:val="24"/>
          <w:lang w:val="en-US"/>
        </w:rPr>
        <w:t xml:space="preserve"> due to this incitement</w:t>
      </w:r>
      <w:r w:rsidRPr="006D15A0">
        <w:rPr>
          <w:rFonts w:ascii="Times New Roman" w:hAnsi="Times New Roman" w:cs="Times New Roman"/>
          <w:sz w:val="24"/>
          <w:szCs w:val="24"/>
          <w:lang w:val="en-US"/>
        </w:rPr>
        <w:t xml:space="preserve">). </w:t>
      </w:r>
    </w:p>
    <w:p w14:paraId="344551D9" w14:textId="77777777" w:rsidR="00FF723E" w:rsidRPr="006D15A0" w:rsidRDefault="00FF723E" w:rsidP="0031391A">
      <w:pPr>
        <w:pStyle w:val="CommentText"/>
        <w:ind w:left="567" w:hanging="567"/>
        <w:jc w:val="both"/>
        <w:rPr>
          <w:rFonts w:ascii="Times New Roman" w:hAnsi="Times New Roman" w:cs="Times New Roman"/>
          <w:sz w:val="24"/>
          <w:szCs w:val="24"/>
          <w:lang w:val="en-US"/>
        </w:rPr>
      </w:pPr>
    </w:p>
    <w:p w14:paraId="6261CDEB" w14:textId="77777777" w:rsidR="00FF723E" w:rsidRPr="006D15A0" w:rsidRDefault="00FF723E" w:rsidP="0031391A">
      <w:pPr>
        <w:pStyle w:val="CommentText"/>
        <w:ind w:left="567"/>
        <w:jc w:val="both"/>
        <w:rPr>
          <w:rFonts w:ascii="Times New Roman" w:hAnsi="Times New Roman" w:cs="Times New Roman"/>
          <w:sz w:val="24"/>
          <w:szCs w:val="24"/>
          <w:lang w:val="en-US"/>
        </w:rPr>
      </w:pPr>
      <w:r w:rsidRPr="0031391A">
        <w:rPr>
          <w:rFonts w:ascii="Times New Roman" w:hAnsi="Times New Roman" w:cs="Times New Roman"/>
          <w:i/>
          <w:sz w:val="24"/>
          <w:szCs w:val="24"/>
          <w:lang w:val="en-US"/>
        </w:rPr>
        <w:t>Civil responsibility:</w:t>
      </w:r>
      <w:r w:rsidRPr="006D15A0">
        <w:rPr>
          <w:rFonts w:ascii="Times New Roman" w:hAnsi="Times New Roman" w:cs="Times New Roman"/>
          <w:sz w:val="24"/>
          <w:szCs w:val="24"/>
          <w:lang w:val="en-US"/>
        </w:rPr>
        <w:t xml:space="preserve"> Participants per se do not have a responsibility for damage caused by others and they do not have an obligation to make any efforts to stop others.</w:t>
      </w:r>
    </w:p>
    <w:p w14:paraId="5D259346" w14:textId="77777777" w:rsidR="00FF723E" w:rsidRPr="006D15A0" w:rsidRDefault="00FF723E" w:rsidP="0031391A">
      <w:pPr>
        <w:pStyle w:val="CommentText"/>
        <w:ind w:left="567" w:hanging="567"/>
        <w:jc w:val="both"/>
        <w:rPr>
          <w:rFonts w:ascii="Times New Roman" w:hAnsi="Times New Roman" w:cs="Times New Roman"/>
          <w:sz w:val="24"/>
          <w:szCs w:val="24"/>
          <w:lang w:val="en-US"/>
        </w:rPr>
      </w:pPr>
    </w:p>
    <w:p w14:paraId="7AE9FC0A" w14:textId="6368F809" w:rsidR="00D25F7B" w:rsidRPr="00497CF9" w:rsidRDefault="00FF723E" w:rsidP="00497CF9">
      <w:pPr>
        <w:pStyle w:val="CommentText"/>
        <w:numPr>
          <w:ilvl w:val="0"/>
          <w:numId w:val="4"/>
        </w:numPr>
        <w:ind w:left="567" w:hanging="567"/>
        <w:jc w:val="both"/>
        <w:rPr>
          <w:rFonts w:ascii="Times New Roman" w:hAnsi="Times New Roman" w:cs="Times New Roman"/>
          <w:sz w:val="24"/>
          <w:szCs w:val="24"/>
          <w:lang w:val="en-US"/>
        </w:rPr>
      </w:pPr>
      <w:r w:rsidRPr="006D15A0">
        <w:rPr>
          <w:rFonts w:ascii="Times New Roman" w:hAnsi="Times New Roman" w:cs="Times New Roman"/>
          <w:sz w:val="24"/>
          <w:szCs w:val="24"/>
          <w:lang w:val="en-US"/>
        </w:rPr>
        <w:t xml:space="preserve">Organizers might be responsible for reasonable efforts </w:t>
      </w:r>
      <w:r w:rsidRPr="00D23534">
        <w:rPr>
          <w:rFonts w:ascii="Times New Roman" w:hAnsi="Times New Roman" w:cs="Times New Roman"/>
          <w:sz w:val="24"/>
          <w:szCs w:val="24"/>
          <w:lang w:val="en-US"/>
        </w:rPr>
        <w:t>in the organization</w:t>
      </w:r>
      <w:r w:rsidRPr="006D15A0">
        <w:rPr>
          <w:rFonts w:ascii="Times New Roman" w:hAnsi="Times New Roman" w:cs="Times New Roman"/>
          <w:sz w:val="24"/>
          <w:szCs w:val="24"/>
          <w:lang w:val="en-US"/>
        </w:rPr>
        <w:t xml:space="preserve"> of the assembly, but even here the threshold should be obvious negligence; otherwise such potential liability would have a chilling effect and make people refrain from organizing assemblies.</w:t>
      </w:r>
      <w:r w:rsidR="00497CF9">
        <w:rPr>
          <w:rFonts w:ascii="Times New Roman" w:hAnsi="Times New Roman" w:cs="Times New Roman"/>
          <w:sz w:val="24"/>
          <w:szCs w:val="24"/>
          <w:lang w:val="en-US"/>
        </w:rPr>
        <w:t xml:space="preserve"> </w:t>
      </w:r>
      <w:r w:rsidR="0031391A" w:rsidRPr="00497CF9">
        <w:rPr>
          <w:rFonts w:ascii="Times New Roman" w:hAnsi="Times New Roman" w:cs="Times New Roman"/>
          <w:sz w:val="24"/>
          <w:szCs w:val="24"/>
          <w:lang w:val="en-US"/>
        </w:rPr>
        <w:br/>
      </w:r>
    </w:p>
    <w:p w14:paraId="09A910A0" w14:textId="7913833D" w:rsidR="00FF723E" w:rsidRPr="0031391A" w:rsidRDefault="008F420D" w:rsidP="0031391A">
      <w:pPr>
        <w:pStyle w:val="ListParagraph"/>
        <w:numPr>
          <w:ilvl w:val="0"/>
          <w:numId w:val="4"/>
        </w:num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5215CC" w:rsidRPr="0031391A">
        <w:rPr>
          <w:rFonts w:ascii="Times New Roman" w:hAnsi="Times New Roman" w:cs="Times New Roman"/>
          <w:sz w:val="24"/>
          <w:szCs w:val="24"/>
          <w:lang w:val="en-US"/>
        </w:rPr>
        <w:t>t is</w:t>
      </w:r>
      <w:r w:rsidR="0088745B" w:rsidRPr="0031391A">
        <w:rPr>
          <w:rFonts w:ascii="Times New Roman" w:hAnsi="Times New Roman" w:cs="Times New Roman"/>
          <w:sz w:val="24"/>
          <w:szCs w:val="24"/>
          <w:lang w:val="en-US"/>
        </w:rPr>
        <w:t xml:space="preserve"> suggest</w:t>
      </w:r>
      <w:r w:rsidR="00965F2C">
        <w:rPr>
          <w:rFonts w:ascii="Times New Roman" w:hAnsi="Times New Roman" w:cs="Times New Roman"/>
          <w:sz w:val="24"/>
          <w:szCs w:val="24"/>
          <w:lang w:val="en-US"/>
        </w:rPr>
        <w:t>ed</w:t>
      </w:r>
      <w:r w:rsidR="0088745B" w:rsidRPr="0031391A">
        <w:rPr>
          <w:rFonts w:ascii="Times New Roman" w:hAnsi="Times New Roman" w:cs="Times New Roman"/>
          <w:sz w:val="24"/>
          <w:szCs w:val="24"/>
          <w:lang w:val="en-US"/>
        </w:rPr>
        <w:t xml:space="preserve"> that both p</w:t>
      </w:r>
      <w:r w:rsidR="00C36F48" w:rsidRPr="0031391A">
        <w:rPr>
          <w:rFonts w:ascii="Times New Roman" w:hAnsi="Times New Roman" w:cs="Times New Roman"/>
          <w:sz w:val="24"/>
          <w:szCs w:val="24"/>
          <w:lang w:val="en-US"/>
        </w:rPr>
        <w:t xml:space="preserve">articipants and </w:t>
      </w:r>
      <w:r w:rsidR="00BB1260" w:rsidRPr="0031391A">
        <w:rPr>
          <w:rFonts w:ascii="Times New Roman" w:hAnsi="Times New Roman" w:cs="Times New Roman"/>
          <w:sz w:val="24"/>
          <w:szCs w:val="24"/>
          <w:lang w:val="en-US"/>
        </w:rPr>
        <w:t>organizers</w:t>
      </w:r>
      <w:r w:rsidR="00C36F48" w:rsidRPr="0031391A">
        <w:rPr>
          <w:rFonts w:ascii="Times New Roman" w:hAnsi="Times New Roman" w:cs="Times New Roman"/>
          <w:sz w:val="24"/>
          <w:szCs w:val="24"/>
          <w:lang w:val="en-US"/>
        </w:rPr>
        <w:t xml:space="preserve"> sh</w:t>
      </w:r>
      <w:r w:rsidR="00E801F8">
        <w:rPr>
          <w:rFonts w:ascii="Times New Roman" w:hAnsi="Times New Roman" w:cs="Times New Roman"/>
          <w:sz w:val="24"/>
          <w:szCs w:val="24"/>
          <w:lang w:val="en-US"/>
        </w:rPr>
        <w:t>ould be mentioned specifically</w:t>
      </w:r>
      <w:r w:rsidR="00497CF9">
        <w:rPr>
          <w:rFonts w:ascii="Times New Roman" w:hAnsi="Times New Roman" w:cs="Times New Roman"/>
          <w:sz w:val="24"/>
          <w:szCs w:val="24"/>
          <w:lang w:val="en-US"/>
        </w:rPr>
        <w:t xml:space="preserve"> in para 76</w:t>
      </w:r>
      <w:r w:rsidR="00E801F8">
        <w:rPr>
          <w:rFonts w:ascii="Times New Roman" w:hAnsi="Times New Roman" w:cs="Times New Roman"/>
          <w:sz w:val="24"/>
          <w:szCs w:val="24"/>
          <w:lang w:val="en-US"/>
        </w:rPr>
        <w:t>.</w:t>
      </w:r>
    </w:p>
    <w:p w14:paraId="35EF83F8" w14:textId="56F1E71F" w:rsidR="00C36F48" w:rsidRPr="0031391A" w:rsidRDefault="00C36F48" w:rsidP="0031391A">
      <w:pPr>
        <w:ind w:firstLine="567"/>
        <w:jc w:val="both"/>
        <w:rPr>
          <w:rFonts w:ascii="Times New Roman" w:hAnsi="Times New Roman" w:cs="Times New Roman"/>
          <w:b/>
          <w:sz w:val="24"/>
          <w:szCs w:val="24"/>
          <w:lang w:val="en-US"/>
        </w:rPr>
      </w:pPr>
      <w:r w:rsidRPr="0031391A">
        <w:rPr>
          <w:rFonts w:ascii="Times New Roman" w:hAnsi="Times New Roman" w:cs="Times New Roman"/>
          <w:b/>
          <w:sz w:val="24"/>
          <w:szCs w:val="24"/>
          <w:lang w:val="en-US"/>
        </w:rPr>
        <w:t>Par</w:t>
      </w:r>
      <w:r w:rsidR="000F2B8F" w:rsidRPr="0031391A">
        <w:rPr>
          <w:rFonts w:ascii="Times New Roman" w:hAnsi="Times New Roman" w:cs="Times New Roman"/>
          <w:b/>
          <w:sz w:val="24"/>
          <w:szCs w:val="24"/>
          <w:lang w:val="en-US"/>
        </w:rPr>
        <w:t>a</w:t>
      </w:r>
      <w:r w:rsidRPr="0031391A">
        <w:rPr>
          <w:rFonts w:ascii="Times New Roman" w:hAnsi="Times New Roman" w:cs="Times New Roman"/>
          <w:b/>
          <w:sz w:val="24"/>
          <w:szCs w:val="24"/>
          <w:lang w:val="en-US"/>
        </w:rPr>
        <w:t xml:space="preserve">. 77 </w:t>
      </w:r>
    </w:p>
    <w:p w14:paraId="40A6A3A0" w14:textId="37010986" w:rsidR="00C36F48" w:rsidRPr="0031391A" w:rsidRDefault="00C36F48" w:rsidP="0031391A">
      <w:pPr>
        <w:pStyle w:val="ListParagraph"/>
        <w:numPr>
          <w:ilvl w:val="0"/>
          <w:numId w:val="4"/>
        </w:numPr>
        <w:ind w:left="567" w:hanging="567"/>
        <w:jc w:val="both"/>
        <w:rPr>
          <w:rFonts w:ascii="Times New Roman" w:hAnsi="Times New Roman" w:cs="Times New Roman"/>
          <w:i/>
          <w:sz w:val="24"/>
          <w:szCs w:val="24"/>
        </w:rPr>
      </w:pPr>
      <w:r w:rsidRPr="0031391A">
        <w:rPr>
          <w:rFonts w:ascii="Times New Roman" w:hAnsi="Times New Roman" w:cs="Times New Roman"/>
          <w:sz w:val="24"/>
          <w:szCs w:val="24"/>
          <w:lang w:val="en-US"/>
        </w:rPr>
        <w:t xml:space="preserve">ODIHR suggest to amend </w:t>
      </w:r>
      <w:r w:rsidR="004F37B4">
        <w:rPr>
          <w:rFonts w:ascii="Times New Roman" w:hAnsi="Times New Roman" w:cs="Times New Roman"/>
          <w:sz w:val="24"/>
          <w:szCs w:val="24"/>
          <w:lang w:val="en-US"/>
        </w:rPr>
        <w:t xml:space="preserve">the last </w:t>
      </w:r>
      <w:r w:rsidRPr="0031391A">
        <w:rPr>
          <w:rFonts w:ascii="Times New Roman" w:hAnsi="Times New Roman" w:cs="Times New Roman"/>
          <w:sz w:val="24"/>
          <w:szCs w:val="24"/>
          <w:lang w:val="en-US"/>
        </w:rPr>
        <w:t xml:space="preserve">sentence </w:t>
      </w:r>
      <w:r w:rsidR="004F37B4">
        <w:rPr>
          <w:rFonts w:ascii="Times New Roman" w:hAnsi="Times New Roman" w:cs="Times New Roman"/>
          <w:sz w:val="24"/>
          <w:szCs w:val="24"/>
          <w:lang w:val="en-US"/>
        </w:rPr>
        <w:t>of the para</w:t>
      </w:r>
      <w:r w:rsidR="006F78A3">
        <w:rPr>
          <w:rFonts w:ascii="Times New Roman" w:hAnsi="Times New Roman" w:cs="Times New Roman"/>
          <w:sz w:val="24"/>
          <w:szCs w:val="24"/>
          <w:lang w:val="en-US"/>
        </w:rPr>
        <w:t>, mentioning organizers together with participants</w:t>
      </w:r>
      <w:r w:rsidRPr="0031391A">
        <w:rPr>
          <w:rFonts w:ascii="Times New Roman" w:hAnsi="Times New Roman" w:cs="Times New Roman"/>
          <w:sz w:val="24"/>
          <w:szCs w:val="24"/>
          <w:lang w:val="en-US"/>
        </w:rPr>
        <w:t xml:space="preserve">: </w:t>
      </w:r>
      <w:r w:rsidRPr="0031391A">
        <w:rPr>
          <w:rFonts w:ascii="Times New Roman" w:hAnsi="Times New Roman" w:cs="Times New Roman"/>
          <w:i/>
          <w:sz w:val="24"/>
          <w:szCs w:val="24"/>
          <w:lang w:val="en-US"/>
        </w:rPr>
        <w:t>“</w:t>
      </w:r>
      <w:r w:rsidR="006F78A3" w:rsidRPr="006F78A3">
        <w:rPr>
          <w:rFonts w:ascii="Times New Roman" w:hAnsi="Times New Roman" w:cs="Times New Roman"/>
          <w:sz w:val="24"/>
          <w:szCs w:val="24"/>
          <w:lang w:val="en-US"/>
        </w:rPr>
        <w:t xml:space="preserve">The procedural guarantees of the Covenant apply in all such cases, and also to issues such as deprivation of liberty and the imposition of sanctions, such as </w:t>
      </w:r>
      <w:r w:rsidR="006F78A3" w:rsidRPr="006F78A3">
        <w:rPr>
          <w:rFonts w:ascii="Times New Roman" w:hAnsi="Times New Roman" w:cs="Times New Roman"/>
          <w:sz w:val="24"/>
          <w:szCs w:val="24"/>
          <w:lang w:val="en-US"/>
        </w:rPr>
        <w:lastRenderedPageBreak/>
        <w:t>fines, in connection with participation in peaceful assemblies</w:t>
      </w:r>
      <w:r w:rsidR="006F78A3">
        <w:t xml:space="preserve"> </w:t>
      </w:r>
      <w:r w:rsidRPr="006F78A3">
        <w:rPr>
          <w:rFonts w:ascii="Times New Roman" w:hAnsi="Times New Roman" w:cs="Times New Roman"/>
          <w:sz w:val="24"/>
          <w:szCs w:val="24"/>
        </w:rPr>
        <w:t>participation in</w:t>
      </w:r>
      <w:r w:rsidRPr="0031391A">
        <w:rPr>
          <w:rFonts w:ascii="Times New Roman" w:hAnsi="Times New Roman" w:cs="Times New Roman"/>
          <w:i/>
          <w:sz w:val="24"/>
          <w:szCs w:val="24"/>
        </w:rPr>
        <w:t xml:space="preserve"> </w:t>
      </w:r>
      <w:r w:rsidRPr="006F78A3">
        <w:rPr>
          <w:rFonts w:ascii="Times New Roman" w:hAnsi="Times New Roman" w:cs="Times New Roman"/>
          <w:i/>
          <w:sz w:val="24"/>
          <w:szCs w:val="24"/>
        </w:rPr>
        <w:t xml:space="preserve">or </w:t>
      </w:r>
      <w:r w:rsidR="0088745B" w:rsidRPr="006F78A3">
        <w:rPr>
          <w:rFonts w:ascii="Times New Roman" w:hAnsi="Times New Roman" w:cs="Times New Roman"/>
          <w:i/>
          <w:sz w:val="24"/>
          <w:szCs w:val="24"/>
        </w:rPr>
        <w:t>organization</w:t>
      </w:r>
      <w:r w:rsidRPr="0031391A">
        <w:rPr>
          <w:rFonts w:ascii="Times New Roman" w:hAnsi="Times New Roman" w:cs="Times New Roman"/>
          <w:i/>
          <w:sz w:val="24"/>
          <w:szCs w:val="24"/>
        </w:rPr>
        <w:t xml:space="preserve"> of </w:t>
      </w:r>
      <w:r w:rsidRPr="006F78A3">
        <w:rPr>
          <w:rFonts w:ascii="Times New Roman" w:hAnsi="Times New Roman" w:cs="Times New Roman"/>
          <w:sz w:val="24"/>
          <w:szCs w:val="24"/>
        </w:rPr>
        <w:t>peaceful assemblies</w:t>
      </w:r>
      <w:r w:rsidRPr="0031391A">
        <w:rPr>
          <w:rFonts w:ascii="Times New Roman" w:hAnsi="Times New Roman" w:cs="Times New Roman"/>
          <w:i/>
          <w:sz w:val="24"/>
          <w:szCs w:val="24"/>
        </w:rPr>
        <w:t>”</w:t>
      </w:r>
      <w:r w:rsidR="00E81F8B" w:rsidRPr="0031391A">
        <w:rPr>
          <w:rFonts w:ascii="Times New Roman" w:hAnsi="Times New Roman" w:cs="Times New Roman"/>
          <w:i/>
          <w:sz w:val="24"/>
          <w:szCs w:val="24"/>
        </w:rPr>
        <w:t xml:space="preserve">. </w:t>
      </w:r>
    </w:p>
    <w:p w14:paraId="118C6B81" w14:textId="1AC5FB56" w:rsidR="00E44D71" w:rsidRPr="006D15A0" w:rsidRDefault="00DB4E4E" w:rsidP="00AB644E">
      <w:pPr>
        <w:keepNext/>
        <w:keepLines/>
        <w:tabs>
          <w:tab w:val="right" w:pos="851"/>
        </w:tabs>
        <w:spacing w:before="240" w:after="120" w:line="240" w:lineRule="exact"/>
        <w:ind w:left="1134" w:right="1134" w:hanging="1134"/>
        <w:jc w:val="both"/>
        <w:rPr>
          <w:rFonts w:ascii="Times New Roman" w:hAnsi="Times New Roman" w:cs="Times New Roman"/>
          <w:b/>
          <w:sz w:val="24"/>
          <w:szCs w:val="24"/>
        </w:rPr>
      </w:pPr>
      <w:r>
        <w:rPr>
          <w:rFonts w:ascii="Times New Roman" w:hAnsi="Times New Roman" w:cs="Times New Roman"/>
          <w:b/>
          <w:sz w:val="24"/>
          <w:szCs w:val="24"/>
        </w:rPr>
        <w:tab/>
      </w:r>
      <w:r w:rsidR="00D43F7F">
        <w:rPr>
          <w:rFonts w:ascii="Times New Roman" w:hAnsi="Times New Roman" w:cs="Times New Roman"/>
          <w:b/>
          <w:sz w:val="24"/>
          <w:szCs w:val="24"/>
        </w:rPr>
        <w:t xml:space="preserve">         </w:t>
      </w:r>
      <w:r w:rsidR="00E44D71" w:rsidRPr="006D15A0">
        <w:rPr>
          <w:rFonts w:ascii="Times New Roman" w:hAnsi="Times New Roman" w:cs="Times New Roman"/>
          <w:b/>
          <w:sz w:val="24"/>
          <w:szCs w:val="24"/>
        </w:rPr>
        <w:t>Duties and powers of law enforcement agencies</w:t>
      </w:r>
    </w:p>
    <w:p w14:paraId="094CCF96" w14:textId="0DA6578C" w:rsidR="006D752D" w:rsidRPr="006D15A0" w:rsidRDefault="006D752D" w:rsidP="00FC7BD4">
      <w:pPr>
        <w:ind w:firstLine="567"/>
        <w:jc w:val="both"/>
        <w:rPr>
          <w:rFonts w:ascii="Times New Roman" w:hAnsi="Times New Roman" w:cs="Times New Roman"/>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xml:space="preserve"> 85.</w:t>
      </w:r>
      <w:r w:rsidRPr="006D15A0">
        <w:rPr>
          <w:rFonts w:ascii="Times New Roman" w:hAnsi="Times New Roman" w:cs="Times New Roman"/>
          <w:sz w:val="24"/>
          <w:szCs w:val="24"/>
        </w:rPr>
        <w:t xml:space="preserve"> </w:t>
      </w:r>
    </w:p>
    <w:p w14:paraId="21CBE726" w14:textId="62115DE9" w:rsidR="006D752D" w:rsidRPr="00DB4E4E" w:rsidRDefault="006D752D" w:rsidP="00DB4E4E">
      <w:pPr>
        <w:pStyle w:val="ListParagraph"/>
        <w:numPr>
          <w:ilvl w:val="0"/>
          <w:numId w:val="4"/>
        </w:numPr>
        <w:ind w:left="567" w:hanging="567"/>
        <w:jc w:val="both"/>
        <w:rPr>
          <w:rFonts w:ascii="Times New Roman" w:hAnsi="Times New Roman" w:cs="Times New Roman"/>
          <w:sz w:val="24"/>
          <w:szCs w:val="24"/>
        </w:rPr>
      </w:pPr>
      <w:r w:rsidRPr="00DB4E4E">
        <w:rPr>
          <w:rFonts w:ascii="Times New Roman" w:hAnsi="Times New Roman" w:cs="Times New Roman"/>
          <w:sz w:val="24"/>
          <w:szCs w:val="24"/>
        </w:rPr>
        <w:t>“Respect and ensure” could be replaced</w:t>
      </w:r>
      <w:r w:rsidR="005215CC" w:rsidRPr="00DB4E4E">
        <w:rPr>
          <w:rFonts w:ascii="Times New Roman" w:hAnsi="Times New Roman" w:cs="Times New Roman"/>
          <w:sz w:val="24"/>
          <w:szCs w:val="24"/>
        </w:rPr>
        <w:t xml:space="preserve"> </w:t>
      </w:r>
      <w:r w:rsidR="00A14912" w:rsidRPr="00DB4E4E">
        <w:rPr>
          <w:rFonts w:ascii="Times New Roman" w:hAnsi="Times New Roman" w:cs="Times New Roman"/>
          <w:sz w:val="24"/>
          <w:szCs w:val="24"/>
        </w:rPr>
        <w:t xml:space="preserve">with </w:t>
      </w:r>
      <w:r w:rsidR="005215CC" w:rsidRPr="00DB4E4E">
        <w:rPr>
          <w:rFonts w:ascii="Times New Roman" w:hAnsi="Times New Roman" w:cs="Times New Roman"/>
          <w:sz w:val="24"/>
          <w:szCs w:val="24"/>
        </w:rPr>
        <w:t>or exp</w:t>
      </w:r>
      <w:r w:rsidR="00A14912" w:rsidRPr="00DB4E4E">
        <w:rPr>
          <w:rFonts w:ascii="Times New Roman" w:hAnsi="Times New Roman" w:cs="Times New Roman"/>
          <w:sz w:val="24"/>
          <w:szCs w:val="24"/>
        </w:rPr>
        <w:t>a</w:t>
      </w:r>
      <w:r w:rsidR="005215CC" w:rsidRPr="00DB4E4E">
        <w:rPr>
          <w:rFonts w:ascii="Times New Roman" w:hAnsi="Times New Roman" w:cs="Times New Roman"/>
          <w:sz w:val="24"/>
          <w:szCs w:val="24"/>
        </w:rPr>
        <w:t>nded</w:t>
      </w:r>
      <w:r w:rsidRPr="00DB4E4E">
        <w:rPr>
          <w:rFonts w:ascii="Times New Roman" w:hAnsi="Times New Roman" w:cs="Times New Roman"/>
          <w:sz w:val="24"/>
          <w:szCs w:val="24"/>
        </w:rPr>
        <w:t xml:space="preserve"> </w:t>
      </w:r>
      <w:r w:rsidR="00A14912" w:rsidRPr="00DB4E4E">
        <w:rPr>
          <w:rFonts w:ascii="Times New Roman" w:hAnsi="Times New Roman" w:cs="Times New Roman"/>
          <w:sz w:val="24"/>
          <w:szCs w:val="24"/>
        </w:rPr>
        <w:t>to</w:t>
      </w:r>
      <w:r w:rsidRPr="00DB4E4E">
        <w:rPr>
          <w:rFonts w:ascii="Times New Roman" w:hAnsi="Times New Roman" w:cs="Times New Roman"/>
          <w:sz w:val="24"/>
          <w:szCs w:val="24"/>
        </w:rPr>
        <w:t xml:space="preserve"> “facilitate”</w:t>
      </w:r>
      <w:r w:rsidR="005215CC" w:rsidRPr="00DB4E4E">
        <w:rPr>
          <w:rFonts w:ascii="Times New Roman" w:hAnsi="Times New Roman" w:cs="Times New Roman"/>
          <w:sz w:val="24"/>
          <w:szCs w:val="24"/>
        </w:rPr>
        <w:t>.</w:t>
      </w:r>
    </w:p>
    <w:p w14:paraId="5304FF17" w14:textId="087C1D1E" w:rsidR="00E81F8B" w:rsidRPr="00DB4E4E" w:rsidRDefault="00577F98" w:rsidP="00DB4E4E">
      <w:pPr>
        <w:ind w:firstLine="567"/>
        <w:jc w:val="both"/>
        <w:rPr>
          <w:rFonts w:ascii="Times New Roman" w:hAnsi="Times New Roman" w:cs="Times New Roman"/>
          <w:b/>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xml:space="preserve">. 93 </w:t>
      </w:r>
    </w:p>
    <w:p w14:paraId="74FA8E88" w14:textId="77092934" w:rsidR="007B771C" w:rsidRPr="00BE3B9C" w:rsidRDefault="007B771C" w:rsidP="00DB4E4E">
      <w:pPr>
        <w:pStyle w:val="CommentText"/>
        <w:numPr>
          <w:ilvl w:val="0"/>
          <w:numId w:val="4"/>
        </w:numPr>
        <w:ind w:left="567" w:hanging="567"/>
        <w:rPr>
          <w:rFonts w:ascii="Times New Roman" w:hAnsi="Times New Roman" w:cs="Times New Roman"/>
          <w:sz w:val="24"/>
          <w:szCs w:val="24"/>
        </w:rPr>
      </w:pPr>
      <w:r w:rsidRPr="00BE3B9C">
        <w:rPr>
          <w:rFonts w:ascii="Times New Roman" w:hAnsi="Times New Roman" w:cs="Times New Roman"/>
          <w:sz w:val="24"/>
          <w:szCs w:val="24"/>
        </w:rPr>
        <w:t xml:space="preserve">It is suggested to </w:t>
      </w:r>
      <w:r w:rsidR="00E801F8">
        <w:rPr>
          <w:rFonts w:ascii="Times New Roman" w:hAnsi="Times New Roman" w:cs="Times New Roman"/>
          <w:sz w:val="24"/>
          <w:szCs w:val="24"/>
        </w:rPr>
        <w:t>complement the last sentence of</w:t>
      </w:r>
      <w:r w:rsidRPr="00BE3B9C">
        <w:rPr>
          <w:rFonts w:ascii="Times New Roman" w:hAnsi="Times New Roman" w:cs="Times New Roman"/>
          <w:sz w:val="24"/>
          <w:szCs w:val="24"/>
        </w:rPr>
        <w:t xml:space="preserve"> para</w:t>
      </w:r>
      <w:r w:rsidR="00CF3BA7">
        <w:rPr>
          <w:rFonts w:ascii="Times New Roman" w:hAnsi="Times New Roman" w:cs="Times New Roman"/>
          <w:sz w:val="24"/>
          <w:szCs w:val="24"/>
        </w:rPr>
        <w:t>.</w:t>
      </w:r>
      <w:r w:rsidRPr="00BE3B9C">
        <w:rPr>
          <w:rFonts w:ascii="Times New Roman" w:hAnsi="Times New Roman" w:cs="Times New Roman"/>
          <w:sz w:val="24"/>
          <w:szCs w:val="24"/>
        </w:rPr>
        <w:t xml:space="preserve"> 93 with the words “</w:t>
      </w:r>
      <w:r w:rsidRPr="00BE3B9C">
        <w:rPr>
          <w:rFonts w:ascii="Times New Roman" w:hAnsi="Times New Roman" w:cs="Times New Roman"/>
          <w:noProof/>
          <w:sz w:val="24"/>
          <w:szCs w:val="24"/>
        </w:rPr>
        <w:t xml:space="preserve">and thus unlawful"  </w:t>
      </w:r>
      <w:r w:rsidR="00AE785C">
        <w:rPr>
          <w:rFonts w:ascii="Times New Roman" w:hAnsi="Times New Roman" w:cs="Times New Roman"/>
          <w:noProof/>
          <w:sz w:val="24"/>
          <w:szCs w:val="24"/>
        </w:rPr>
        <w:t>T</w:t>
      </w:r>
      <w:r w:rsidRPr="00BE3B9C">
        <w:rPr>
          <w:rFonts w:ascii="Times New Roman" w:hAnsi="Times New Roman" w:cs="Times New Roman"/>
          <w:noProof/>
          <w:sz w:val="24"/>
          <w:szCs w:val="24"/>
        </w:rPr>
        <w:t xml:space="preserve">he sentence </w:t>
      </w:r>
      <w:r w:rsidR="006F78A3">
        <w:rPr>
          <w:rFonts w:ascii="Times New Roman" w:hAnsi="Times New Roman" w:cs="Times New Roman"/>
          <w:noProof/>
          <w:sz w:val="24"/>
          <w:szCs w:val="24"/>
        </w:rPr>
        <w:t>would</w:t>
      </w:r>
      <w:r w:rsidR="006F78A3" w:rsidRPr="00BE3B9C">
        <w:rPr>
          <w:rFonts w:ascii="Times New Roman" w:hAnsi="Times New Roman" w:cs="Times New Roman"/>
          <w:noProof/>
          <w:sz w:val="24"/>
          <w:szCs w:val="24"/>
        </w:rPr>
        <w:t xml:space="preserve"> </w:t>
      </w:r>
      <w:r w:rsidRPr="00BE3B9C">
        <w:rPr>
          <w:rFonts w:ascii="Times New Roman" w:hAnsi="Times New Roman" w:cs="Times New Roman"/>
          <w:noProof/>
          <w:sz w:val="24"/>
          <w:szCs w:val="24"/>
        </w:rPr>
        <w:t>read as f</w:t>
      </w:r>
      <w:r w:rsidR="00936B86">
        <w:rPr>
          <w:rFonts w:ascii="Times New Roman" w:hAnsi="Times New Roman" w:cs="Times New Roman"/>
          <w:noProof/>
          <w:sz w:val="24"/>
          <w:szCs w:val="24"/>
        </w:rPr>
        <w:t>o</w:t>
      </w:r>
      <w:r w:rsidRPr="00BE3B9C">
        <w:rPr>
          <w:rFonts w:ascii="Times New Roman" w:hAnsi="Times New Roman" w:cs="Times New Roman"/>
          <w:noProof/>
          <w:sz w:val="24"/>
          <w:szCs w:val="24"/>
        </w:rPr>
        <w:t>llows: “</w:t>
      </w:r>
      <w:r w:rsidRPr="00BE3B9C">
        <w:rPr>
          <w:rFonts w:ascii="Times New Roman" w:hAnsi="Times New Roman" w:cs="Times New Roman"/>
          <w:sz w:val="24"/>
          <w:szCs w:val="24"/>
        </w:rPr>
        <w:t xml:space="preserve">Practices of indiscriminate mass arrest prior to, during or following an assembly, are </w:t>
      </w:r>
      <w:r w:rsidRPr="00936B86">
        <w:rPr>
          <w:rFonts w:ascii="Times New Roman" w:hAnsi="Times New Roman" w:cs="Times New Roman"/>
          <w:sz w:val="24"/>
          <w:szCs w:val="24"/>
        </w:rPr>
        <w:t xml:space="preserve">arbitrary </w:t>
      </w:r>
      <w:r w:rsidR="00936B86">
        <w:rPr>
          <w:rFonts w:ascii="Times New Roman" w:hAnsi="Times New Roman" w:cs="Times New Roman"/>
          <w:sz w:val="24"/>
          <w:szCs w:val="24"/>
        </w:rPr>
        <w:t>“</w:t>
      </w:r>
      <w:r w:rsidRPr="00936B86">
        <w:rPr>
          <w:rFonts w:ascii="Times New Roman" w:hAnsi="Times New Roman" w:cs="Times New Roman"/>
          <w:i/>
          <w:sz w:val="24"/>
          <w:szCs w:val="24"/>
        </w:rPr>
        <w:t>and thus unlawful</w:t>
      </w:r>
      <w:r w:rsidRPr="00936B86">
        <w:rPr>
          <w:rFonts w:ascii="Times New Roman" w:hAnsi="Times New Roman" w:cs="Times New Roman"/>
          <w:sz w:val="24"/>
          <w:szCs w:val="24"/>
        </w:rPr>
        <w:t>”</w:t>
      </w:r>
      <w:r w:rsidRPr="00936B86">
        <w:rPr>
          <w:rFonts w:ascii="Times New Roman" w:hAnsi="Times New Roman" w:cs="Times New Roman"/>
          <w:noProof/>
          <w:sz w:val="24"/>
          <w:szCs w:val="24"/>
        </w:rPr>
        <w:t>.</w:t>
      </w:r>
      <w:r w:rsidR="00BE3B9C" w:rsidRPr="00936B86">
        <w:rPr>
          <w:rStyle w:val="FootnoteReference"/>
          <w:rFonts w:ascii="Times New Roman" w:hAnsi="Times New Roman" w:cs="Times New Roman"/>
          <w:noProof/>
          <w:sz w:val="24"/>
          <w:szCs w:val="24"/>
        </w:rPr>
        <w:footnoteReference w:id="25"/>
      </w:r>
    </w:p>
    <w:p w14:paraId="3686CF3A" w14:textId="77777777" w:rsidR="00DB4E4E" w:rsidRDefault="00DB4E4E" w:rsidP="00DB4E4E">
      <w:pPr>
        <w:pStyle w:val="ListParagraph"/>
        <w:ind w:left="567"/>
        <w:jc w:val="both"/>
        <w:rPr>
          <w:rFonts w:ascii="Times New Roman" w:hAnsi="Times New Roman" w:cs="Times New Roman"/>
          <w:sz w:val="24"/>
          <w:szCs w:val="24"/>
        </w:rPr>
      </w:pPr>
    </w:p>
    <w:p w14:paraId="7D938A85" w14:textId="0695A926" w:rsidR="00577F98" w:rsidRPr="00DB4E4E" w:rsidRDefault="00577F98" w:rsidP="00DB4E4E">
      <w:pPr>
        <w:pStyle w:val="ListParagraph"/>
        <w:ind w:left="567"/>
        <w:jc w:val="both"/>
        <w:rPr>
          <w:rFonts w:ascii="Times New Roman" w:hAnsi="Times New Roman" w:cs="Times New Roman"/>
          <w:b/>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95</w:t>
      </w:r>
    </w:p>
    <w:p w14:paraId="5D617FCB" w14:textId="20187981" w:rsidR="00575D8A" w:rsidRPr="006D15A0" w:rsidRDefault="00577F98" w:rsidP="00DB4E4E">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Containment should not be used as a precautionary measure in case of a mere possibility of violence erupting. It should only be used if the outbreak of violence is either imminent, or to contain violent individuals in order to prevent violence from spreading.</w:t>
      </w:r>
      <w:r w:rsidR="00575D8A" w:rsidRPr="006D15A0">
        <w:rPr>
          <w:rFonts w:ascii="Times New Roman" w:hAnsi="Times New Roman" w:cs="Times New Roman"/>
          <w:sz w:val="24"/>
          <w:szCs w:val="24"/>
        </w:rPr>
        <w:t xml:space="preserve"> </w:t>
      </w:r>
    </w:p>
    <w:p w14:paraId="761DD4FE" w14:textId="47479458" w:rsidR="00575D8A" w:rsidRPr="006D15A0" w:rsidRDefault="00975208" w:rsidP="00DB4E4E">
      <w:pPr>
        <w:pStyle w:val="CommentText"/>
        <w:ind w:left="567"/>
        <w:jc w:val="both"/>
        <w:rPr>
          <w:rFonts w:ascii="Times New Roman" w:hAnsi="Times New Roman" w:cs="Times New Roman"/>
          <w:sz w:val="24"/>
          <w:szCs w:val="24"/>
        </w:rPr>
      </w:pPr>
      <w:r>
        <w:rPr>
          <w:rFonts w:ascii="Times New Roman" w:hAnsi="Times New Roman" w:cs="Times New Roman"/>
          <w:sz w:val="24"/>
          <w:szCs w:val="24"/>
        </w:rPr>
        <w:t>It</w:t>
      </w:r>
      <w:r w:rsidR="005215CC" w:rsidRPr="006D15A0">
        <w:rPr>
          <w:rFonts w:ascii="Times New Roman" w:hAnsi="Times New Roman" w:cs="Times New Roman"/>
          <w:sz w:val="24"/>
          <w:szCs w:val="24"/>
        </w:rPr>
        <w:t xml:space="preserve"> </w:t>
      </w:r>
      <w:r w:rsidR="005215CC">
        <w:rPr>
          <w:rFonts w:ascii="Times New Roman" w:hAnsi="Times New Roman" w:cs="Times New Roman"/>
          <w:sz w:val="24"/>
          <w:szCs w:val="24"/>
        </w:rPr>
        <w:t xml:space="preserve">is therefore suggested to </w:t>
      </w:r>
      <w:r w:rsidR="005215CC" w:rsidRPr="006D15A0">
        <w:rPr>
          <w:rFonts w:ascii="Times New Roman" w:hAnsi="Times New Roman" w:cs="Times New Roman"/>
          <w:sz w:val="24"/>
          <w:szCs w:val="24"/>
        </w:rPr>
        <w:t xml:space="preserve">reformulated </w:t>
      </w:r>
      <w:r w:rsidR="005215CC">
        <w:rPr>
          <w:rFonts w:ascii="Times New Roman" w:hAnsi="Times New Roman" w:cs="Times New Roman"/>
          <w:sz w:val="24"/>
          <w:szCs w:val="24"/>
        </w:rPr>
        <w:t>the fi</w:t>
      </w:r>
      <w:r w:rsidR="0084759C">
        <w:rPr>
          <w:rFonts w:ascii="Times New Roman" w:hAnsi="Times New Roman" w:cs="Times New Roman"/>
          <w:sz w:val="24"/>
          <w:szCs w:val="24"/>
        </w:rPr>
        <w:t>r</w:t>
      </w:r>
      <w:r w:rsidR="005215CC">
        <w:rPr>
          <w:rFonts w:ascii="Times New Roman" w:hAnsi="Times New Roman" w:cs="Times New Roman"/>
          <w:sz w:val="24"/>
          <w:szCs w:val="24"/>
        </w:rPr>
        <w:t>st sentence of para 95 emphasizing that to</w:t>
      </w:r>
      <w:r w:rsidR="005215CC" w:rsidRPr="006D15A0">
        <w:rPr>
          <w:rFonts w:ascii="Times New Roman" w:hAnsi="Times New Roman" w:cs="Times New Roman"/>
          <w:sz w:val="24"/>
          <w:szCs w:val="24"/>
        </w:rPr>
        <w:t xml:space="preserve"> “</w:t>
      </w:r>
      <w:r w:rsidR="005215CC">
        <w:rPr>
          <w:rFonts w:ascii="Times New Roman" w:hAnsi="Times New Roman" w:cs="Times New Roman"/>
          <w:sz w:val="24"/>
          <w:szCs w:val="24"/>
        </w:rPr>
        <w:t>c</w:t>
      </w:r>
      <w:r w:rsidR="005215CC" w:rsidRPr="006D15A0">
        <w:rPr>
          <w:rFonts w:ascii="Times New Roman" w:hAnsi="Times New Roman" w:cs="Times New Roman"/>
          <w:sz w:val="24"/>
          <w:szCs w:val="24"/>
        </w:rPr>
        <w:t>ontainment may only be employed to prevent violence from spreading.”</w:t>
      </w:r>
    </w:p>
    <w:p w14:paraId="50FF5630" w14:textId="630D1ED5" w:rsidR="00E81F8B" w:rsidRPr="006D15A0" w:rsidRDefault="00E81F8B" w:rsidP="007B3150">
      <w:pPr>
        <w:pStyle w:val="CommentText"/>
        <w:jc w:val="both"/>
        <w:rPr>
          <w:rFonts w:ascii="Times New Roman" w:hAnsi="Times New Roman" w:cs="Times New Roman"/>
          <w:sz w:val="24"/>
          <w:szCs w:val="24"/>
        </w:rPr>
      </w:pPr>
    </w:p>
    <w:p w14:paraId="6E9A3D23" w14:textId="3C3F7C73" w:rsidR="008D4AE1" w:rsidRPr="00DB4E4E" w:rsidRDefault="008D4AE1" w:rsidP="00DB4E4E">
      <w:pPr>
        <w:ind w:firstLine="567"/>
        <w:jc w:val="both"/>
        <w:rPr>
          <w:rFonts w:ascii="Times New Roman" w:hAnsi="Times New Roman" w:cs="Times New Roman"/>
          <w:b/>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97</w:t>
      </w:r>
    </w:p>
    <w:p w14:paraId="425D68E3" w14:textId="0B2A2B73" w:rsidR="008D4AE1" w:rsidRPr="00DB4E4E" w:rsidRDefault="008D4AE1" w:rsidP="00DB4E4E">
      <w:pPr>
        <w:pStyle w:val="ListParagraph"/>
        <w:numPr>
          <w:ilvl w:val="0"/>
          <w:numId w:val="4"/>
        </w:numPr>
        <w:ind w:left="567" w:hanging="567"/>
        <w:jc w:val="both"/>
        <w:rPr>
          <w:rFonts w:ascii="Times New Roman" w:hAnsi="Times New Roman" w:cs="Times New Roman"/>
          <w:sz w:val="24"/>
          <w:szCs w:val="24"/>
        </w:rPr>
      </w:pPr>
      <w:r w:rsidRPr="00DB4E4E">
        <w:rPr>
          <w:rFonts w:ascii="Times New Roman" w:hAnsi="Times New Roman" w:cs="Times New Roman"/>
          <w:sz w:val="24"/>
          <w:szCs w:val="24"/>
        </w:rPr>
        <w:t>Dispersal must be announced to give the participants the opportunity to leave voluntarily. The inherent nature to area-weapons requires a higher threshold in terms o</w:t>
      </w:r>
      <w:r w:rsidR="00DB4E4E" w:rsidRPr="00DB4E4E">
        <w:rPr>
          <w:rFonts w:ascii="Times New Roman" w:hAnsi="Times New Roman" w:cs="Times New Roman"/>
          <w:sz w:val="24"/>
          <w:szCs w:val="24"/>
        </w:rPr>
        <w:t xml:space="preserve">f necessity and proportionality: </w:t>
      </w:r>
      <w:r w:rsidRPr="00DB4E4E">
        <w:rPr>
          <w:rFonts w:ascii="Times New Roman" w:hAnsi="Times New Roman" w:cs="Times New Roman"/>
          <w:sz w:val="24"/>
          <w:szCs w:val="24"/>
        </w:rPr>
        <w:t xml:space="preserve">As a rule, others (peaceful protesters, bystanders, </w:t>
      </w:r>
      <w:r w:rsidR="00037D47" w:rsidRPr="00DB4E4E">
        <w:rPr>
          <w:rFonts w:ascii="Times New Roman" w:hAnsi="Times New Roman" w:cs="Times New Roman"/>
          <w:sz w:val="24"/>
          <w:szCs w:val="24"/>
        </w:rPr>
        <w:t>and people</w:t>
      </w:r>
      <w:r w:rsidRPr="00DB4E4E">
        <w:rPr>
          <w:rFonts w:ascii="Times New Roman" w:hAnsi="Times New Roman" w:cs="Times New Roman"/>
          <w:sz w:val="24"/>
          <w:szCs w:val="24"/>
        </w:rPr>
        <w:t xml:space="preserve"> living in the neighbourhood) should not be exposed to any harmful substances at all. To accept that risk which might have serious health consequences for the individual, a particularly high threshold is required, i.e. when violence is so widespread that it is not possible for authorities to deal with violent individuals alone.</w:t>
      </w:r>
      <w:r w:rsidR="00DB4E4E" w:rsidRPr="00DB4E4E">
        <w:rPr>
          <w:rFonts w:ascii="Times New Roman" w:hAnsi="Times New Roman" w:cs="Times New Roman"/>
          <w:sz w:val="24"/>
          <w:szCs w:val="24"/>
        </w:rPr>
        <w:t xml:space="preserve"> </w:t>
      </w:r>
      <w:r w:rsidR="009C4347" w:rsidRPr="00DB4E4E">
        <w:rPr>
          <w:rFonts w:ascii="Times New Roman" w:hAnsi="Times New Roman" w:cs="Times New Roman"/>
          <w:sz w:val="24"/>
          <w:szCs w:val="24"/>
        </w:rPr>
        <w:t xml:space="preserve">Particular caution is advised when there in confined spaces as indicated or when there are few or no escape routes. </w:t>
      </w:r>
    </w:p>
    <w:p w14:paraId="148D98E5" w14:textId="29BC1F43" w:rsidR="009C4347" w:rsidRPr="00DB4E4E" w:rsidRDefault="009C4347" w:rsidP="00DB4E4E">
      <w:pPr>
        <w:ind w:firstLine="567"/>
        <w:jc w:val="both"/>
        <w:rPr>
          <w:rFonts w:ascii="Times New Roman" w:hAnsi="Times New Roman" w:cs="Times New Roman"/>
          <w:b/>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98</w:t>
      </w:r>
    </w:p>
    <w:p w14:paraId="172F4729" w14:textId="658E8B10" w:rsidR="009C4347" w:rsidRPr="006D15A0" w:rsidRDefault="002465B4" w:rsidP="00DB4E4E">
      <w:pPr>
        <w:pStyle w:val="CommentText"/>
        <w:numPr>
          <w:ilvl w:val="0"/>
          <w:numId w:val="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It is important to avoid confusion between the </w:t>
      </w:r>
      <w:r w:rsidRPr="006D15A0">
        <w:rPr>
          <w:rFonts w:ascii="Times New Roman" w:hAnsi="Times New Roman" w:cs="Times New Roman"/>
          <w:sz w:val="24"/>
          <w:szCs w:val="24"/>
        </w:rPr>
        <w:t>rubber</w:t>
      </w:r>
      <w:r>
        <w:rPr>
          <w:rFonts w:ascii="Times New Roman" w:hAnsi="Times New Roman" w:cs="Times New Roman"/>
          <w:sz w:val="24"/>
          <w:szCs w:val="24"/>
        </w:rPr>
        <w:t xml:space="preserve"> bullets and </w:t>
      </w:r>
      <w:r w:rsidRPr="006D15A0">
        <w:rPr>
          <w:rFonts w:ascii="Times New Roman" w:hAnsi="Times New Roman" w:cs="Times New Roman"/>
          <w:sz w:val="24"/>
          <w:szCs w:val="24"/>
        </w:rPr>
        <w:t xml:space="preserve">rubber-coated metal </w:t>
      </w:r>
      <w:r>
        <w:rPr>
          <w:rFonts w:ascii="Times New Roman" w:hAnsi="Times New Roman" w:cs="Times New Roman"/>
          <w:sz w:val="24"/>
          <w:szCs w:val="24"/>
        </w:rPr>
        <w:t xml:space="preserve">bullets. </w:t>
      </w:r>
      <w:r w:rsidR="009C4347" w:rsidRPr="006D15A0">
        <w:rPr>
          <w:rFonts w:ascii="Times New Roman" w:hAnsi="Times New Roman" w:cs="Times New Roman"/>
          <w:sz w:val="24"/>
          <w:szCs w:val="24"/>
        </w:rPr>
        <w:t xml:space="preserve">Rubber-coated </w:t>
      </w:r>
      <w:r w:rsidR="006835D7" w:rsidRPr="006D15A0">
        <w:rPr>
          <w:rFonts w:ascii="Times New Roman" w:hAnsi="Times New Roman" w:cs="Times New Roman"/>
          <w:sz w:val="24"/>
          <w:szCs w:val="24"/>
        </w:rPr>
        <w:t xml:space="preserve">metal </w:t>
      </w:r>
      <w:r w:rsidR="009C4347" w:rsidRPr="006D15A0">
        <w:rPr>
          <w:rFonts w:ascii="Times New Roman" w:hAnsi="Times New Roman" w:cs="Times New Roman"/>
          <w:sz w:val="24"/>
          <w:szCs w:val="24"/>
        </w:rPr>
        <w:t xml:space="preserve">bullets should not be treated the same as plastic bullets. United Nations Human Rights Guidance on Less-Lethal Weapons in Law Enforcement, para. 7.5.8. refers to rubber-coated metal bullets which are extremely dangerous and should not be considered </w:t>
      </w:r>
      <w:r w:rsidR="00BE3895">
        <w:rPr>
          <w:rFonts w:ascii="Times New Roman" w:hAnsi="Times New Roman" w:cs="Times New Roman"/>
          <w:sz w:val="24"/>
          <w:szCs w:val="24"/>
        </w:rPr>
        <w:t xml:space="preserve">as </w:t>
      </w:r>
      <w:r w:rsidR="009C4347" w:rsidRPr="006D15A0">
        <w:rPr>
          <w:rFonts w:ascii="Times New Roman" w:hAnsi="Times New Roman" w:cs="Times New Roman"/>
          <w:sz w:val="24"/>
          <w:szCs w:val="24"/>
        </w:rPr>
        <w:t xml:space="preserve">less-lethal munition. If used at all, they should indeed only be used in situations that meet the threshold for the use of a firearm. </w:t>
      </w:r>
    </w:p>
    <w:p w14:paraId="0BC9ABB1" w14:textId="4D61429D" w:rsidR="009C4347" w:rsidRPr="006D15A0" w:rsidRDefault="009C4347" w:rsidP="00DB4E4E">
      <w:pPr>
        <w:pStyle w:val="CommentText"/>
        <w:ind w:left="567" w:hanging="567"/>
        <w:jc w:val="both"/>
        <w:rPr>
          <w:rFonts w:ascii="Times New Roman" w:hAnsi="Times New Roman" w:cs="Times New Roman"/>
          <w:sz w:val="24"/>
          <w:szCs w:val="24"/>
        </w:rPr>
      </w:pPr>
    </w:p>
    <w:p w14:paraId="7D0C048C" w14:textId="77777777" w:rsidR="001521A7" w:rsidRDefault="009C4347" w:rsidP="001521A7">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 xml:space="preserve">Plastic bullets (as well as rubber bullets), on the other hand, can serve as a less-lethal alternative to a firearm and can fulfil a legitimate law enforcement purpose, in stopping an individual engaged in violence against another person (Thus, their indiscriminate firing into the crowd should also be prohibited.) In order to enable police to intervene in situations in which harm is caused to a person but that are not (yet) serious enough to </w:t>
      </w:r>
      <w:r w:rsidRPr="006D15A0">
        <w:rPr>
          <w:rFonts w:ascii="Times New Roman" w:hAnsi="Times New Roman" w:cs="Times New Roman"/>
          <w:sz w:val="24"/>
          <w:szCs w:val="24"/>
        </w:rPr>
        <w:lastRenderedPageBreak/>
        <w:t xml:space="preserve">meet the threshold for the use of a firearm, plastic and rubber bullets should not be subject to the same threshold as lethal force. </w:t>
      </w:r>
    </w:p>
    <w:p w14:paraId="68362AFB" w14:textId="0BB62302" w:rsidR="00E44D71" w:rsidRPr="001521A7" w:rsidRDefault="00E44D71" w:rsidP="001521A7">
      <w:pPr>
        <w:pStyle w:val="CommentText"/>
        <w:jc w:val="both"/>
        <w:rPr>
          <w:rFonts w:ascii="Times New Roman" w:hAnsi="Times New Roman" w:cs="Times New Roman"/>
          <w:sz w:val="24"/>
          <w:szCs w:val="24"/>
        </w:rPr>
      </w:pPr>
      <w:r w:rsidRPr="001521A7">
        <w:rPr>
          <w:rFonts w:ascii="Times New Roman" w:hAnsi="Times New Roman" w:cs="Times New Roman"/>
          <w:sz w:val="24"/>
          <w:szCs w:val="24"/>
        </w:rPr>
        <w:t xml:space="preserve">  </w:t>
      </w:r>
    </w:p>
    <w:p w14:paraId="011BD13B" w14:textId="233D23A9" w:rsidR="00E44D71" w:rsidRPr="006D15A0" w:rsidRDefault="00E44D71" w:rsidP="00DB4E4E">
      <w:pPr>
        <w:ind w:firstLine="567"/>
        <w:jc w:val="both"/>
        <w:rPr>
          <w:rFonts w:ascii="Times New Roman" w:hAnsi="Times New Roman" w:cs="Times New Roman"/>
          <w:sz w:val="24"/>
          <w:szCs w:val="24"/>
        </w:rPr>
      </w:pPr>
      <w:r w:rsidRPr="006D15A0">
        <w:rPr>
          <w:rFonts w:ascii="Times New Roman" w:hAnsi="Times New Roman" w:cs="Times New Roman"/>
          <w:b/>
          <w:sz w:val="24"/>
          <w:szCs w:val="24"/>
        </w:rPr>
        <w:t>Assembly during states of emergency and armed conflict</w:t>
      </w:r>
    </w:p>
    <w:p w14:paraId="757FC5B6" w14:textId="58043431" w:rsidR="00EB69E3" w:rsidRPr="00DB4E4E" w:rsidRDefault="00300A78" w:rsidP="00DB4E4E">
      <w:pPr>
        <w:ind w:firstLine="567"/>
        <w:jc w:val="both"/>
        <w:rPr>
          <w:rFonts w:ascii="Times New Roman" w:hAnsi="Times New Roman" w:cs="Times New Roman"/>
          <w:b/>
          <w:sz w:val="24"/>
          <w:szCs w:val="24"/>
        </w:rPr>
      </w:pPr>
      <w:r w:rsidRPr="00DB4E4E">
        <w:rPr>
          <w:rFonts w:ascii="Times New Roman" w:hAnsi="Times New Roman" w:cs="Times New Roman"/>
          <w:b/>
          <w:sz w:val="24"/>
          <w:szCs w:val="24"/>
        </w:rPr>
        <w:t>Par</w:t>
      </w:r>
      <w:r w:rsidR="00F07177" w:rsidRPr="00DB4E4E">
        <w:rPr>
          <w:rFonts w:ascii="Times New Roman" w:hAnsi="Times New Roman" w:cs="Times New Roman"/>
          <w:b/>
          <w:sz w:val="24"/>
          <w:szCs w:val="24"/>
        </w:rPr>
        <w:t>a</w:t>
      </w:r>
      <w:r w:rsidRPr="00DB4E4E">
        <w:rPr>
          <w:rFonts w:ascii="Times New Roman" w:hAnsi="Times New Roman" w:cs="Times New Roman"/>
          <w:b/>
          <w:sz w:val="24"/>
          <w:szCs w:val="24"/>
        </w:rPr>
        <w:t>. 110</w:t>
      </w:r>
    </w:p>
    <w:p w14:paraId="41D0BF0B" w14:textId="5A5D49A0" w:rsidR="00300A78" w:rsidRPr="00DB4E4E" w:rsidRDefault="005215CC" w:rsidP="00DB4E4E">
      <w:pPr>
        <w:pStyle w:val="ListParagraph"/>
        <w:numPr>
          <w:ilvl w:val="0"/>
          <w:numId w:val="4"/>
        </w:numPr>
        <w:ind w:left="567" w:hanging="567"/>
        <w:jc w:val="both"/>
        <w:rPr>
          <w:rFonts w:ascii="Times New Roman" w:hAnsi="Times New Roman" w:cs="Times New Roman"/>
          <w:i/>
          <w:sz w:val="24"/>
          <w:szCs w:val="24"/>
        </w:rPr>
      </w:pPr>
      <w:r w:rsidRPr="00DB4E4E">
        <w:rPr>
          <w:rFonts w:ascii="Times New Roman" w:hAnsi="Times New Roman" w:cs="Times New Roman"/>
          <w:sz w:val="24"/>
          <w:szCs w:val="24"/>
        </w:rPr>
        <w:t>It is suggested to revisit the first sentence of the para 110, which reads that</w:t>
      </w:r>
      <w:r w:rsidR="00300A78" w:rsidRPr="00DB4E4E">
        <w:rPr>
          <w:rFonts w:ascii="Times New Roman" w:hAnsi="Times New Roman" w:cs="Times New Roman"/>
          <w:i/>
          <w:sz w:val="24"/>
          <w:szCs w:val="24"/>
        </w:rPr>
        <w:t>“</w:t>
      </w:r>
      <w:r w:rsidRPr="00DB4E4E">
        <w:rPr>
          <w:rFonts w:ascii="Times New Roman" w:hAnsi="Times New Roman" w:cs="Times New Roman"/>
          <w:i/>
          <w:sz w:val="24"/>
          <w:szCs w:val="24"/>
        </w:rPr>
        <w:t>[c]</w:t>
      </w:r>
      <w:r w:rsidR="00300A78" w:rsidRPr="00DB4E4E">
        <w:rPr>
          <w:rFonts w:ascii="Times New Roman" w:hAnsi="Times New Roman" w:cs="Times New Roman"/>
          <w:i/>
          <w:sz w:val="24"/>
          <w:szCs w:val="24"/>
        </w:rPr>
        <w:t>ivilians participating in an assembly during an armed conflict are not protected from being targeted with lethal force</w:t>
      </w:r>
      <w:r w:rsidRPr="00DB4E4E">
        <w:rPr>
          <w:rFonts w:ascii="Times New Roman" w:hAnsi="Times New Roman" w:cs="Times New Roman"/>
          <w:i/>
          <w:sz w:val="24"/>
          <w:szCs w:val="24"/>
        </w:rPr>
        <w:t>, for such time as they are participating directly in hostilities</w:t>
      </w:r>
      <w:r w:rsidR="00300A78" w:rsidRPr="00DB4E4E">
        <w:rPr>
          <w:rFonts w:ascii="Times New Roman" w:hAnsi="Times New Roman" w:cs="Times New Roman"/>
          <w:i/>
          <w:sz w:val="24"/>
          <w:szCs w:val="24"/>
        </w:rPr>
        <w:t>”</w:t>
      </w:r>
      <w:r w:rsidRPr="00DB4E4E">
        <w:rPr>
          <w:rFonts w:ascii="Times New Roman" w:hAnsi="Times New Roman" w:cs="Times New Roman"/>
          <w:i/>
          <w:sz w:val="24"/>
          <w:szCs w:val="24"/>
        </w:rPr>
        <w:t xml:space="preserve">. </w:t>
      </w:r>
      <w:r w:rsidRPr="00DB4E4E">
        <w:rPr>
          <w:rFonts w:ascii="Times New Roman" w:hAnsi="Times New Roman" w:cs="Times New Roman"/>
          <w:sz w:val="24"/>
          <w:szCs w:val="24"/>
        </w:rPr>
        <w:t>This wording suggests that it is possible to target civilians, with the caveat only in the second part.</w:t>
      </w:r>
    </w:p>
    <w:p w14:paraId="59C06865" w14:textId="3B639332" w:rsidR="009C1481" w:rsidRPr="006D15A0" w:rsidRDefault="00300A78" w:rsidP="00DB4E4E">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Civilians are protected from being targeted unless they are directly participating in hostilities.</w:t>
      </w:r>
      <w:r w:rsidR="005215CC">
        <w:rPr>
          <w:rFonts w:ascii="Times New Roman" w:hAnsi="Times New Roman" w:cs="Times New Roman"/>
          <w:sz w:val="24"/>
          <w:szCs w:val="24"/>
        </w:rPr>
        <w:t xml:space="preserve"> </w:t>
      </w:r>
      <w:r w:rsidR="009C1481" w:rsidRPr="006D15A0">
        <w:rPr>
          <w:rFonts w:ascii="Times New Roman" w:hAnsi="Times New Roman" w:cs="Times New Roman"/>
          <w:sz w:val="24"/>
          <w:szCs w:val="24"/>
        </w:rPr>
        <w:t xml:space="preserve">The sentence should be clarified to </w:t>
      </w:r>
      <w:r w:rsidR="005215CC">
        <w:rPr>
          <w:rFonts w:ascii="Times New Roman" w:hAnsi="Times New Roman" w:cs="Times New Roman"/>
          <w:sz w:val="24"/>
          <w:szCs w:val="24"/>
        </w:rPr>
        <w:t xml:space="preserve">assert that </w:t>
      </w:r>
      <w:r w:rsidR="005215CC" w:rsidRPr="006D15A0">
        <w:rPr>
          <w:rFonts w:ascii="Times New Roman" w:hAnsi="Times New Roman" w:cs="Times New Roman"/>
          <w:sz w:val="24"/>
          <w:szCs w:val="24"/>
        </w:rPr>
        <w:t>civilians should be protected from being targeted with lethal force, except in circumstances where they are participating in hostilities</w:t>
      </w:r>
      <w:r w:rsidR="009C1481" w:rsidRPr="006D15A0">
        <w:rPr>
          <w:rFonts w:ascii="Times New Roman" w:hAnsi="Times New Roman" w:cs="Times New Roman"/>
          <w:sz w:val="24"/>
          <w:szCs w:val="24"/>
        </w:rPr>
        <w:t xml:space="preserve">. </w:t>
      </w:r>
      <w:r w:rsidR="00C25021" w:rsidRPr="006D15A0">
        <w:rPr>
          <w:rFonts w:ascii="Times New Roman" w:hAnsi="Times New Roman" w:cs="Times New Roman"/>
          <w:sz w:val="24"/>
          <w:szCs w:val="24"/>
        </w:rPr>
        <w:t xml:space="preserve"> </w:t>
      </w:r>
    </w:p>
    <w:p w14:paraId="4571E1AD" w14:textId="3847C98A" w:rsidR="009C1481" w:rsidRPr="006D15A0" w:rsidRDefault="009C1481" w:rsidP="00975208">
      <w:pPr>
        <w:pStyle w:val="CommentText"/>
        <w:jc w:val="both"/>
        <w:rPr>
          <w:rFonts w:ascii="Times New Roman" w:hAnsi="Times New Roman" w:cs="Times New Roman"/>
          <w:sz w:val="24"/>
          <w:szCs w:val="24"/>
        </w:rPr>
      </w:pPr>
    </w:p>
    <w:p w14:paraId="3CEB94C5" w14:textId="64690579" w:rsidR="009C1481" w:rsidRPr="0052671B" w:rsidRDefault="009C1481" w:rsidP="0052671B">
      <w:pPr>
        <w:pStyle w:val="CommentText"/>
        <w:ind w:firstLine="567"/>
        <w:jc w:val="both"/>
        <w:rPr>
          <w:rFonts w:ascii="Times New Roman" w:hAnsi="Times New Roman" w:cs="Times New Roman"/>
          <w:b/>
          <w:sz w:val="24"/>
          <w:szCs w:val="24"/>
        </w:rPr>
      </w:pPr>
      <w:r w:rsidRPr="0052671B">
        <w:rPr>
          <w:rFonts w:ascii="Times New Roman" w:hAnsi="Times New Roman" w:cs="Times New Roman"/>
          <w:b/>
          <w:sz w:val="24"/>
          <w:szCs w:val="24"/>
        </w:rPr>
        <w:t>Par</w:t>
      </w:r>
      <w:r w:rsidR="00F07177" w:rsidRPr="0052671B">
        <w:rPr>
          <w:rFonts w:ascii="Times New Roman" w:hAnsi="Times New Roman" w:cs="Times New Roman"/>
          <w:b/>
          <w:sz w:val="24"/>
          <w:szCs w:val="24"/>
        </w:rPr>
        <w:t>a</w:t>
      </w:r>
      <w:r w:rsidR="0052671B" w:rsidRPr="0052671B">
        <w:rPr>
          <w:rFonts w:ascii="Times New Roman" w:hAnsi="Times New Roman" w:cs="Times New Roman"/>
          <w:b/>
          <w:sz w:val="24"/>
          <w:szCs w:val="24"/>
        </w:rPr>
        <w:t>. 113</w:t>
      </w:r>
      <w:r w:rsidRPr="0052671B">
        <w:rPr>
          <w:rFonts w:ascii="Times New Roman" w:hAnsi="Times New Roman" w:cs="Times New Roman"/>
          <w:b/>
          <w:sz w:val="24"/>
          <w:szCs w:val="24"/>
        </w:rPr>
        <w:t xml:space="preserve"> </w:t>
      </w:r>
    </w:p>
    <w:p w14:paraId="34B72B20" w14:textId="77777777" w:rsidR="00171FB7" w:rsidRPr="006D15A0" w:rsidRDefault="00171FB7" w:rsidP="00975208">
      <w:pPr>
        <w:pStyle w:val="CommentText"/>
        <w:jc w:val="both"/>
        <w:rPr>
          <w:rFonts w:ascii="Times New Roman" w:hAnsi="Times New Roman" w:cs="Times New Roman"/>
          <w:sz w:val="24"/>
          <w:szCs w:val="24"/>
        </w:rPr>
      </w:pPr>
    </w:p>
    <w:p w14:paraId="4F76FC03" w14:textId="6698C487" w:rsidR="005530B4" w:rsidRPr="006D15A0" w:rsidRDefault="004B222F" w:rsidP="005530B4">
      <w:pPr>
        <w:pStyle w:val="CommentText"/>
        <w:numPr>
          <w:ilvl w:val="0"/>
          <w:numId w:val="4"/>
        </w:numPr>
        <w:ind w:left="567" w:hanging="567"/>
        <w:jc w:val="both"/>
        <w:rPr>
          <w:rFonts w:ascii="Times New Roman" w:hAnsi="Times New Roman" w:cs="Times New Roman"/>
          <w:sz w:val="24"/>
          <w:szCs w:val="24"/>
        </w:rPr>
      </w:pPr>
      <w:r w:rsidRPr="006D15A0">
        <w:rPr>
          <w:rFonts w:ascii="Times New Roman" w:hAnsi="Times New Roman" w:cs="Times New Roman"/>
          <w:sz w:val="24"/>
          <w:szCs w:val="24"/>
        </w:rPr>
        <w:t>The</w:t>
      </w:r>
      <w:r w:rsidR="0033406F" w:rsidRPr="006D15A0">
        <w:rPr>
          <w:rFonts w:ascii="Times New Roman" w:hAnsi="Times New Roman" w:cs="Times New Roman"/>
          <w:sz w:val="24"/>
          <w:szCs w:val="24"/>
        </w:rPr>
        <w:t xml:space="preserve"> value of this par</w:t>
      </w:r>
      <w:r w:rsidR="00F103A5" w:rsidRPr="006D15A0">
        <w:rPr>
          <w:rFonts w:ascii="Times New Roman" w:hAnsi="Times New Roman" w:cs="Times New Roman"/>
          <w:sz w:val="24"/>
          <w:szCs w:val="24"/>
        </w:rPr>
        <w:t>a</w:t>
      </w:r>
      <w:r w:rsidR="0033406F" w:rsidRPr="006D15A0">
        <w:rPr>
          <w:rFonts w:ascii="Times New Roman" w:hAnsi="Times New Roman" w:cs="Times New Roman"/>
          <w:sz w:val="24"/>
          <w:szCs w:val="24"/>
        </w:rPr>
        <w:t>.</w:t>
      </w:r>
      <w:r w:rsidR="009C1481" w:rsidRPr="006D15A0">
        <w:rPr>
          <w:rFonts w:ascii="Times New Roman" w:hAnsi="Times New Roman" w:cs="Times New Roman"/>
          <w:sz w:val="24"/>
          <w:szCs w:val="24"/>
        </w:rPr>
        <w:t xml:space="preserve"> is limited</w:t>
      </w:r>
      <w:r w:rsidR="005530B4">
        <w:rPr>
          <w:rFonts w:ascii="Times New Roman" w:hAnsi="Times New Roman" w:cs="Times New Roman"/>
          <w:sz w:val="24"/>
          <w:szCs w:val="24"/>
        </w:rPr>
        <w:t>,</w:t>
      </w:r>
      <w:r w:rsidR="009C1481" w:rsidRPr="006D15A0">
        <w:rPr>
          <w:rFonts w:ascii="Times New Roman" w:hAnsi="Times New Roman" w:cs="Times New Roman"/>
          <w:sz w:val="24"/>
          <w:szCs w:val="24"/>
        </w:rPr>
        <w:t xml:space="preserve"> </w:t>
      </w:r>
      <w:r w:rsidR="005530B4">
        <w:rPr>
          <w:rFonts w:ascii="Times New Roman" w:hAnsi="Times New Roman" w:cs="Times New Roman"/>
          <w:sz w:val="24"/>
          <w:szCs w:val="24"/>
        </w:rPr>
        <w:t>w</w:t>
      </w:r>
      <w:r w:rsidR="009C1481" w:rsidRPr="006D15A0">
        <w:rPr>
          <w:rFonts w:ascii="Times New Roman" w:hAnsi="Times New Roman" w:cs="Times New Roman"/>
          <w:sz w:val="24"/>
          <w:szCs w:val="24"/>
        </w:rPr>
        <w:t xml:space="preserve">hile being formulated in a way that it opens the door to prioritizing the rights mentioned herein and consequently to excessive restrictions and prohibitions of the </w:t>
      </w:r>
      <w:r w:rsidRPr="006D15A0">
        <w:rPr>
          <w:rFonts w:ascii="Times New Roman" w:hAnsi="Times New Roman" w:cs="Times New Roman"/>
          <w:sz w:val="24"/>
          <w:szCs w:val="24"/>
        </w:rPr>
        <w:t>right to F</w:t>
      </w:r>
      <w:r w:rsidR="0033406F" w:rsidRPr="006D15A0">
        <w:rPr>
          <w:rFonts w:ascii="Times New Roman" w:hAnsi="Times New Roman" w:cs="Times New Roman"/>
          <w:sz w:val="24"/>
          <w:szCs w:val="24"/>
        </w:rPr>
        <w:t>reedom of Assembly</w:t>
      </w:r>
      <w:r w:rsidR="009C1481" w:rsidRPr="006D15A0">
        <w:rPr>
          <w:rFonts w:ascii="Times New Roman" w:hAnsi="Times New Roman" w:cs="Times New Roman"/>
          <w:sz w:val="24"/>
          <w:szCs w:val="24"/>
        </w:rPr>
        <w:t xml:space="preserve">. </w:t>
      </w:r>
      <w:r w:rsidR="005530B4">
        <w:rPr>
          <w:rFonts w:ascii="Times New Roman" w:hAnsi="Times New Roman" w:cs="Times New Roman"/>
          <w:sz w:val="24"/>
          <w:szCs w:val="24"/>
        </w:rPr>
        <w:t xml:space="preserve">It is suggested to </w:t>
      </w:r>
      <w:r w:rsidR="005530B4" w:rsidRPr="006D15A0">
        <w:rPr>
          <w:rFonts w:ascii="Times New Roman" w:hAnsi="Times New Roman" w:cs="Times New Roman"/>
          <w:sz w:val="24"/>
          <w:szCs w:val="24"/>
        </w:rPr>
        <w:t>delet</w:t>
      </w:r>
      <w:r w:rsidR="00AF34C8">
        <w:rPr>
          <w:rFonts w:ascii="Times New Roman" w:hAnsi="Times New Roman" w:cs="Times New Roman"/>
          <w:sz w:val="24"/>
          <w:szCs w:val="24"/>
        </w:rPr>
        <w:t>e</w:t>
      </w:r>
      <w:r w:rsidR="005530B4" w:rsidRPr="006D15A0">
        <w:rPr>
          <w:rFonts w:ascii="Times New Roman" w:hAnsi="Times New Roman" w:cs="Times New Roman"/>
          <w:sz w:val="24"/>
          <w:szCs w:val="24"/>
        </w:rPr>
        <w:t xml:space="preserve"> or, at least, clarif</w:t>
      </w:r>
      <w:r w:rsidR="005530B4">
        <w:rPr>
          <w:rFonts w:ascii="Times New Roman" w:hAnsi="Times New Roman" w:cs="Times New Roman"/>
          <w:sz w:val="24"/>
          <w:szCs w:val="24"/>
        </w:rPr>
        <w:t xml:space="preserve">y </w:t>
      </w:r>
      <w:r w:rsidR="005530B4" w:rsidRPr="006D15A0">
        <w:rPr>
          <w:rFonts w:ascii="Times New Roman" w:hAnsi="Times New Roman" w:cs="Times New Roman"/>
          <w:sz w:val="24"/>
          <w:szCs w:val="24"/>
        </w:rPr>
        <w:t xml:space="preserve">that </w:t>
      </w:r>
      <w:r w:rsidR="005530B4">
        <w:rPr>
          <w:rFonts w:ascii="Times New Roman" w:hAnsi="Times New Roman" w:cs="Times New Roman"/>
          <w:sz w:val="24"/>
          <w:szCs w:val="24"/>
        </w:rPr>
        <w:t xml:space="preserve">although </w:t>
      </w:r>
      <w:r w:rsidR="005530B4" w:rsidRPr="006D15A0">
        <w:rPr>
          <w:rFonts w:ascii="Times New Roman" w:hAnsi="Times New Roman" w:cs="Times New Roman"/>
          <w:sz w:val="24"/>
          <w:szCs w:val="24"/>
        </w:rPr>
        <w:t xml:space="preserve">the rights of others should be considered,  they do not </w:t>
      </w:r>
      <w:r w:rsidR="005530B4" w:rsidRPr="001521A7">
        <w:rPr>
          <w:rFonts w:ascii="Times New Roman" w:hAnsi="Times New Roman" w:cs="Times New Roman"/>
          <w:i/>
          <w:sz w:val="24"/>
          <w:szCs w:val="24"/>
        </w:rPr>
        <w:t>per se</w:t>
      </w:r>
      <w:r w:rsidR="005530B4" w:rsidRPr="006D15A0">
        <w:rPr>
          <w:rFonts w:ascii="Times New Roman" w:hAnsi="Times New Roman" w:cs="Times New Roman"/>
          <w:sz w:val="24"/>
          <w:szCs w:val="24"/>
        </w:rPr>
        <w:t xml:space="preserve"> override the right to Freedom of Assembly. </w:t>
      </w:r>
    </w:p>
    <w:p w14:paraId="71FE3121" w14:textId="389C7281" w:rsidR="009C1481" w:rsidRPr="006D15A0" w:rsidRDefault="009C1481" w:rsidP="001521A7">
      <w:pPr>
        <w:pStyle w:val="CommentText"/>
        <w:ind w:left="567"/>
        <w:jc w:val="both"/>
        <w:rPr>
          <w:rFonts w:ascii="Times New Roman" w:hAnsi="Times New Roman" w:cs="Times New Roman"/>
          <w:sz w:val="24"/>
          <w:szCs w:val="24"/>
        </w:rPr>
      </w:pPr>
    </w:p>
    <w:p w14:paraId="19810AC0" w14:textId="77777777" w:rsidR="00C25021" w:rsidRPr="006D15A0" w:rsidRDefault="00C25021" w:rsidP="0052671B">
      <w:pPr>
        <w:pStyle w:val="CommentText"/>
        <w:ind w:left="567" w:hanging="567"/>
        <w:jc w:val="both"/>
        <w:rPr>
          <w:rFonts w:ascii="Times New Roman" w:hAnsi="Times New Roman" w:cs="Times New Roman"/>
          <w:sz w:val="24"/>
          <w:szCs w:val="24"/>
        </w:rPr>
      </w:pPr>
    </w:p>
    <w:p w14:paraId="53D67184" w14:textId="77777777" w:rsidR="00AF1FA4" w:rsidRPr="006D15A0" w:rsidRDefault="00AF1FA4" w:rsidP="00975208">
      <w:pPr>
        <w:jc w:val="both"/>
        <w:rPr>
          <w:rFonts w:ascii="Times New Roman" w:hAnsi="Times New Roman" w:cs="Times New Roman"/>
        </w:rPr>
      </w:pPr>
    </w:p>
    <w:p w14:paraId="68DB4D4F" w14:textId="77777777" w:rsidR="00246AC6" w:rsidRPr="00975208" w:rsidRDefault="00246AC6" w:rsidP="00975208">
      <w:pPr>
        <w:jc w:val="both"/>
        <w:rPr>
          <w:rFonts w:ascii="Times New Roman" w:hAnsi="Times New Roman" w:cs="Times New Roman"/>
          <w:sz w:val="24"/>
          <w:szCs w:val="24"/>
          <w:lang w:val="en-US"/>
        </w:rPr>
      </w:pPr>
    </w:p>
    <w:sectPr w:rsidR="00246AC6" w:rsidRPr="00975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761D" w14:textId="77777777" w:rsidR="00FC02A4" w:rsidRDefault="00FC02A4" w:rsidP="00A36558">
      <w:pPr>
        <w:spacing w:after="0" w:line="240" w:lineRule="auto"/>
      </w:pPr>
      <w:r>
        <w:separator/>
      </w:r>
    </w:p>
  </w:endnote>
  <w:endnote w:type="continuationSeparator" w:id="0">
    <w:p w14:paraId="0D46EFDC" w14:textId="77777777" w:rsidR="00FC02A4" w:rsidRDefault="00FC02A4" w:rsidP="00A3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2C7F" w14:textId="77777777" w:rsidR="00FC02A4" w:rsidRDefault="00FC02A4" w:rsidP="00A36558">
      <w:pPr>
        <w:spacing w:after="0" w:line="240" w:lineRule="auto"/>
      </w:pPr>
      <w:r>
        <w:separator/>
      </w:r>
    </w:p>
  </w:footnote>
  <w:footnote w:type="continuationSeparator" w:id="0">
    <w:p w14:paraId="58908A51" w14:textId="77777777" w:rsidR="00FC02A4" w:rsidRDefault="00FC02A4" w:rsidP="00A36558">
      <w:pPr>
        <w:spacing w:after="0" w:line="240" w:lineRule="auto"/>
      </w:pPr>
      <w:r>
        <w:continuationSeparator/>
      </w:r>
    </w:p>
  </w:footnote>
  <w:footnote w:id="1">
    <w:p w14:paraId="0A37DD21" w14:textId="2F65CFCB" w:rsidR="006835D7" w:rsidRPr="003643ED" w:rsidRDefault="006835D7" w:rsidP="00EF1AFA">
      <w:pPr>
        <w:pStyle w:val="NoSpacing"/>
        <w:jc w:val="both"/>
        <w:rPr>
          <w:rFonts w:ascii="Times New Roman" w:hAnsi="Times New Roman"/>
          <w:sz w:val="20"/>
          <w:szCs w:val="20"/>
        </w:rPr>
      </w:pPr>
      <w:r w:rsidRPr="003643ED">
        <w:rPr>
          <w:rStyle w:val="FootnoteReference"/>
          <w:rFonts w:ascii="Times New Roman" w:hAnsi="Times New Roman"/>
          <w:sz w:val="20"/>
          <w:szCs w:val="20"/>
        </w:rPr>
        <w:footnoteRef/>
      </w:r>
      <w:r w:rsidRPr="003643ED">
        <w:rPr>
          <w:rFonts w:ascii="Times New Roman" w:hAnsi="Times New Roman"/>
          <w:sz w:val="20"/>
          <w:szCs w:val="20"/>
        </w:rPr>
        <w:t xml:space="preserve"> </w:t>
      </w:r>
      <w:r w:rsidRPr="003643ED">
        <w:rPr>
          <w:rFonts w:ascii="Times New Roman" w:hAnsi="Times New Roman"/>
          <w:i/>
          <w:sz w:val="20"/>
          <w:szCs w:val="20"/>
          <w:lang w:val="en-GB"/>
        </w:rPr>
        <w:t>Primov v. Russia</w:t>
      </w:r>
      <w:r w:rsidRPr="003643ED">
        <w:rPr>
          <w:rFonts w:ascii="Times New Roman" w:hAnsi="Times New Roman"/>
          <w:sz w:val="20"/>
          <w:szCs w:val="20"/>
          <w:lang w:val="en-GB"/>
        </w:rPr>
        <w:t xml:space="preserve">, Application No. </w:t>
      </w:r>
      <w:r w:rsidRPr="003643ED">
        <w:rPr>
          <w:rFonts w:ascii="Times New Roman" w:hAnsi="Times New Roman"/>
          <w:sz w:val="20"/>
          <w:szCs w:val="20"/>
        </w:rPr>
        <w:t xml:space="preserve">17391/06, 12 June 2014, para. </w:t>
      </w:r>
      <w:r w:rsidRPr="003643ED">
        <w:rPr>
          <w:rFonts w:ascii="Times New Roman" w:hAnsi="Times New Roman"/>
          <w:sz w:val="20"/>
          <w:szCs w:val="20"/>
          <w:lang w:val="en-GB"/>
        </w:rPr>
        <w:t xml:space="preserve">135: ‘public events related to political life in the country or at the local level must enjoy strong protection …’, </w:t>
      </w:r>
      <w:r w:rsidRPr="003643ED">
        <w:rPr>
          <w:rFonts w:ascii="Times New Roman" w:hAnsi="Times New Roman"/>
          <w:sz w:val="20"/>
          <w:szCs w:val="20"/>
        </w:rPr>
        <w:t>OSCE/ODIHR-Venice Commission Guidelines on Freedom of Peaceful Assembly (which is subject to editorial revisions), 3</w:t>
      </w:r>
      <w:r w:rsidRPr="003643ED">
        <w:rPr>
          <w:rFonts w:ascii="Times New Roman" w:hAnsi="Times New Roman"/>
          <w:sz w:val="20"/>
          <w:szCs w:val="20"/>
          <w:vertAlign w:val="superscript"/>
        </w:rPr>
        <w:t>rd</w:t>
      </w:r>
      <w:r w:rsidRPr="003643ED">
        <w:rPr>
          <w:rFonts w:ascii="Times New Roman" w:hAnsi="Times New Roman"/>
          <w:sz w:val="20"/>
          <w:szCs w:val="20"/>
        </w:rPr>
        <w:t xml:space="preserve"> edition 2019, para. 12, also refers to the “public space”, however does so with an aim to confine application of the Guidelines. </w:t>
      </w:r>
    </w:p>
  </w:footnote>
  <w:footnote w:id="2">
    <w:p w14:paraId="58E01B7E" w14:textId="1D1CB46B" w:rsidR="006835D7" w:rsidRPr="00970BC7" w:rsidRDefault="006835D7" w:rsidP="005215CC">
      <w:pPr>
        <w:pStyle w:val="FootnoteText"/>
        <w:rPr>
          <w:rFonts w:ascii="Times New Roman" w:hAnsi="Times New Roman" w:cs="Times New Roman"/>
          <w:lang w:val="en-US"/>
        </w:rPr>
      </w:pPr>
      <w:r w:rsidRPr="00970BC7">
        <w:rPr>
          <w:rStyle w:val="FootnoteReference"/>
          <w:rFonts w:ascii="Times New Roman" w:hAnsi="Times New Roman" w:cs="Times New Roman"/>
        </w:rPr>
        <w:footnoteRef/>
      </w:r>
      <w:r w:rsidRPr="00970BC7">
        <w:rPr>
          <w:rFonts w:ascii="Times New Roman" w:hAnsi="Times New Roman" w:cs="Times New Roman"/>
        </w:rPr>
        <w:t xml:space="preserve"> </w:t>
      </w:r>
      <w:r w:rsidRPr="006633EC">
        <w:rPr>
          <w:rFonts w:ascii="Times New Roman" w:hAnsi="Times New Roman" w:cs="Times New Roman"/>
          <w:i/>
        </w:rPr>
        <w:t>Barankevich v. Russia</w:t>
      </w:r>
      <w:r w:rsidRPr="00970BC7">
        <w:rPr>
          <w:rFonts w:ascii="Times New Roman" w:hAnsi="Times New Roman" w:cs="Times New Roman"/>
        </w:rPr>
        <w:t xml:space="preserve"> </w:t>
      </w:r>
      <w:r w:rsidR="006633EC">
        <w:rPr>
          <w:rFonts w:ascii="Times New Roman" w:hAnsi="Times New Roman" w:cs="Times New Roman"/>
        </w:rPr>
        <w:t>(</w:t>
      </w:r>
      <w:r w:rsidRPr="00970BC7">
        <w:rPr>
          <w:rFonts w:ascii="Times New Roman" w:hAnsi="Times New Roman" w:cs="Times New Roman"/>
        </w:rPr>
        <w:t>Application No 10519/03</w:t>
      </w:r>
      <w:r w:rsidR="006633EC">
        <w:rPr>
          <w:rFonts w:ascii="Times New Roman" w:hAnsi="Times New Roman" w:cs="Times New Roman"/>
        </w:rPr>
        <w:t>)</w:t>
      </w:r>
      <w:r w:rsidRPr="00970BC7">
        <w:rPr>
          <w:rFonts w:ascii="Times New Roman" w:hAnsi="Times New Roman" w:cs="Times New Roman"/>
        </w:rPr>
        <w:t>, 26 July 2007, para. 25: “The right to freedom of assembly covers both private meetings and meetings in public thoroughfares …”</w:t>
      </w:r>
    </w:p>
  </w:footnote>
  <w:footnote w:id="3">
    <w:p w14:paraId="1A556FC2" w14:textId="77777777" w:rsidR="006835D7" w:rsidRPr="008879A6" w:rsidRDefault="006835D7" w:rsidP="005215CC">
      <w:pPr>
        <w:pStyle w:val="FootnoteText"/>
        <w:rPr>
          <w:rStyle w:val="Hyperlink"/>
          <w:rFonts w:ascii="Times New Roman" w:hAnsi="Times New Roman" w:cs="Times New Roman"/>
        </w:rPr>
      </w:pPr>
      <w:r w:rsidRPr="008879A6">
        <w:rPr>
          <w:rStyle w:val="FootnoteReference"/>
          <w:rFonts w:ascii="Times New Roman" w:hAnsi="Times New Roman" w:cs="Times New Roman"/>
        </w:rPr>
        <w:footnoteRef/>
      </w:r>
      <w:r w:rsidRPr="008879A6">
        <w:rPr>
          <w:rFonts w:ascii="Times New Roman" w:hAnsi="Times New Roman" w:cs="Times New Roman"/>
        </w:rPr>
        <w:t xml:space="preserve"> Hannah Jane Parkinson, Manchester Pride is charging £71 a ticket this year, 4 February 2019, The Guardian:  </w:t>
      </w:r>
      <w:hyperlink r:id="rId1" w:history="1">
        <w:r w:rsidRPr="008879A6">
          <w:rPr>
            <w:rStyle w:val="Hyperlink"/>
            <w:rFonts w:ascii="Times New Roman" w:hAnsi="Times New Roman" w:cs="Times New Roman"/>
          </w:rPr>
          <w:t>https://www.theguardian.com/commentisfree/2019/feb/04/manchester-pride-2019-ticket-prices-inclusivity</w:t>
        </w:r>
      </w:hyperlink>
      <w:r w:rsidRPr="008879A6">
        <w:rPr>
          <w:rStyle w:val="Hyperlink"/>
          <w:rFonts w:ascii="Times New Roman" w:hAnsi="Times New Roman" w:cs="Times New Roman"/>
        </w:rPr>
        <w:t xml:space="preserve">. </w:t>
      </w:r>
    </w:p>
    <w:p w14:paraId="5AAD253D" w14:textId="132BB852" w:rsidR="006835D7" w:rsidRPr="008879A6" w:rsidRDefault="006835D7" w:rsidP="005215CC">
      <w:pPr>
        <w:pStyle w:val="FootnoteText"/>
        <w:rPr>
          <w:rFonts w:ascii="Times New Roman" w:hAnsi="Times New Roman" w:cs="Times New Roman"/>
          <w:lang w:val="en-US"/>
        </w:rPr>
      </w:pPr>
      <w:r w:rsidRPr="008879A6">
        <w:rPr>
          <w:rStyle w:val="Hyperlink"/>
          <w:rFonts w:ascii="Times New Roman" w:hAnsi="Times New Roman" w:cs="Times New Roman"/>
        </w:rPr>
        <w:t xml:space="preserve">Another example may be a charitable events organized publicly / on public space. </w:t>
      </w:r>
      <w:r w:rsidRPr="002B1EBC">
        <w:rPr>
          <w:rFonts w:ascii="Times New Roman" w:hAnsi="Times New Roman" w:cs="Times New Roman"/>
          <w:noProof/>
        </w:rPr>
        <w:t xml:space="preserve">The European Court of Human Rights has also acknowledged that Article 11 covers assemblies ‘of an essentially social character: </w:t>
      </w:r>
      <w:r w:rsidRPr="006633EC">
        <w:rPr>
          <w:rFonts w:ascii="Times New Roman" w:hAnsi="Times New Roman" w:cs="Times New Roman"/>
          <w:i/>
          <w:noProof/>
        </w:rPr>
        <w:t>Friend and Others v. UK</w:t>
      </w:r>
      <w:r w:rsidRPr="002B1EBC">
        <w:rPr>
          <w:rFonts w:ascii="Times New Roman" w:hAnsi="Times New Roman" w:cs="Times New Roman"/>
          <w:noProof/>
        </w:rPr>
        <w:t xml:space="preserve">, </w:t>
      </w:r>
      <w:r w:rsidR="006633EC">
        <w:rPr>
          <w:rFonts w:ascii="Times New Roman" w:hAnsi="Times New Roman" w:cs="Times New Roman"/>
          <w:noProof/>
        </w:rPr>
        <w:t>(</w:t>
      </w:r>
      <w:r w:rsidRPr="002B1EBC">
        <w:rPr>
          <w:rFonts w:ascii="Times New Roman" w:hAnsi="Times New Roman" w:cs="Times New Roman"/>
          <w:noProof/>
        </w:rPr>
        <w:t>Application Nos 16072/06</w:t>
      </w:r>
      <w:r w:rsidR="006633EC">
        <w:rPr>
          <w:rFonts w:ascii="Times New Roman" w:hAnsi="Times New Roman" w:cs="Times New Roman"/>
          <w:noProof/>
        </w:rPr>
        <w:t>)</w:t>
      </w:r>
      <w:r w:rsidRPr="002B1EBC">
        <w:rPr>
          <w:rFonts w:ascii="Times New Roman" w:hAnsi="Times New Roman" w:cs="Times New Roman"/>
          <w:noProof/>
        </w:rPr>
        <w:t xml:space="preserve"> and </w:t>
      </w:r>
      <w:r w:rsidR="006633EC">
        <w:rPr>
          <w:rFonts w:ascii="Times New Roman" w:hAnsi="Times New Roman" w:cs="Times New Roman"/>
          <w:noProof/>
        </w:rPr>
        <w:t>(</w:t>
      </w:r>
      <w:r w:rsidRPr="002B1EBC">
        <w:rPr>
          <w:rFonts w:ascii="Times New Roman" w:hAnsi="Times New Roman" w:cs="Times New Roman"/>
          <w:noProof/>
        </w:rPr>
        <w:t>27809/08</w:t>
      </w:r>
      <w:r w:rsidR="006633EC">
        <w:rPr>
          <w:rFonts w:ascii="Times New Roman" w:hAnsi="Times New Roman" w:cs="Times New Roman"/>
          <w:noProof/>
        </w:rPr>
        <w:t>)</w:t>
      </w:r>
      <w:r w:rsidRPr="002B1EBC">
        <w:rPr>
          <w:rFonts w:ascii="Times New Roman" w:hAnsi="Times New Roman" w:cs="Times New Roman"/>
          <w:noProof/>
        </w:rPr>
        <w:t xml:space="preserve">, 24 November 2009 (admissibility), para. 50; </w:t>
      </w:r>
      <w:r w:rsidRPr="006633EC">
        <w:rPr>
          <w:rFonts w:ascii="Times New Roman" w:hAnsi="Times New Roman" w:cs="Times New Roman"/>
          <w:i/>
          <w:noProof/>
        </w:rPr>
        <w:t>Huseynov v. Azerbaijan</w:t>
      </w:r>
      <w:r w:rsidRPr="002B1EBC">
        <w:rPr>
          <w:rFonts w:ascii="Times New Roman" w:hAnsi="Times New Roman" w:cs="Times New Roman"/>
          <w:noProof/>
        </w:rPr>
        <w:t xml:space="preserve">, </w:t>
      </w:r>
      <w:r w:rsidR="006633EC">
        <w:rPr>
          <w:rFonts w:ascii="Times New Roman" w:hAnsi="Times New Roman" w:cs="Times New Roman"/>
          <w:noProof/>
        </w:rPr>
        <w:t>(</w:t>
      </w:r>
      <w:r w:rsidRPr="002B1EBC">
        <w:rPr>
          <w:rFonts w:ascii="Times New Roman" w:hAnsi="Times New Roman" w:cs="Times New Roman"/>
          <w:noProof/>
        </w:rPr>
        <w:t>Application No 59135/09</w:t>
      </w:r>
      <w:r w:rsidR="006633EC">
        <w:rPr>
          <w:rFonts w:ascii="Times New Roman" w:hAnsi="Times New Roman" w:cs="Times New Roman"/>
          <w:noProof/>
        </w:rPr>
        <w:t>)</w:t>
      </w:r>
      <w:r w:rsidRPr="002B1EBC">
        <w:rPr>
          <w:rFonts w:ascii="Times New Roman" w:hAnsi="Times New Roman" w:cs="Times New Roman"/>
          <w:noProof/>
        </w:rPr>
        <w:t xml:space="preserve">, 7 May 2015, para. 91. </w:t>
      </w:r>
    </w:p>
  </w:footnote>
  <w:footnote w:id="4">
    <w:p w14:paraId="028986BB" w14:textId="1370194A" w:rsidR="006835D7" w:rsidRPr="002B1EBC" w:rsidRDefault="006835D7" w:rsidP="00E801F8">
      <w:pPr>
        <w:pStyle w:val="FootnoteText"/>
        <w:jc w:val="both"/>
        <w:rPr>
          <w:rFonts w:ascii="Times New Roman" w:hAnsi="Times New Roman" w:cs="Times New Roman"/>
        </w:rPr>
      </w:pPr>
      <w:r w:rsidRPr="002B1EBC">
        <w:rPr>
          <w:rStyle w:val="FootnoteReference"/>
          <w:rFonts w:ascii="Times New Roman" w:hAnsi="Times New Roman" w:cs="Times New Roman"/>
        </w:rPr>
        <w:footnoteRef/>
      </w:r>
      <w:r w:rsidRPr="002B1EBC">
        <w:rPr>
          <w:rFonts w:ascii="Times New Roman" w:hAnsi="Times New Roman" w:cs="Times New Roman"/>
        </w:rPr>
        <w:t xml:space="preserve"> See, for example, </w:t>
      </w:r>
      <w:r w:rsidRPr="006633EC">
        <w:rPr>
          <w:rFonts w:ascii="Times New Roman" w:hAnsi="Times New Roman" w:cs="Times New Roman"/>
          <w:i/>
        </w:rPr>
        <w:t>Lashmankin and Others v. Russia</w:t>
      </w:r>
      <w:r w:rsidRPr="002B1EBC">
        <w:rPr>
          <w:rFonts w:ascii="Times New Roman" w:hAnsi="Times New Roman" w:cs="Times New Roman"/>
        </w:rPr>
        <w:t xml:space="preserve"> (2017), para 402. Earlier statements by the Court to similar effect can be found in Stankov and the United Macedonian Organisation</w:t>
      </w:r>
      <w:r>
        <w:rPr>
          <w:rFonts w:ascii="Times New Roman" w:hAnsi="Times New Roman" w:cs="Times New Roman"/>
        </w:rPr>
        <w:t xml:space="preserve"> Ilinden v. Bulgaria (2001)</w:t>
      </w:r>
      <w:r w:rsidRPr="002B1EBC">
        <w:rPr>
          <w:rFonts w:ascii="Times New Roman" w:hAnsi="Times New Roman" w:cs="Times New Roman"/>
        </w:rPr>
        <w:t xml:space="preserve">, para. 77; </w:t>
      </w:r>
      <w:r w:rsidRPr="006633EC">
        <w:rPr>
          <w:rFonts w:ascii="Times New Roman" w:hAnsi="Times New Roman" w:cs="Times New Roman"/>
        </w:rPr>
        <w:t>Fáber v. Hungary</w:t>
      </w:r>
      <w:r w:rsidRPr="002B1EBC">
        <w:rPr>
          <w:rFonts w:ascii="Times New Roman" w:hAnsi="Times New Roman" w:cs="Times New Roman"/>
        </w:rPr>
        <w:t xml:space="preserve">, Application No 40721/08, 24 July 2012, para. 37; </w:t>
      </w:r>
      <w:r w:rsidRPr="006633EC">
        <w:rPr>
          <w:rFonts w:ascii="Times New Roman" w:hAnsi="Times New Roman" w:cs="Times New Roman"/>
          <w:i/>
        </w:rPr>
        <w:t>Cisse v. France</w:t>
      </w:r>
      <w:r w:rsidRPr="002B1EBC">
        <w:rPr>
          <w:rFonts w:ascii="Times New Roman" w:hAnsi="Times New Roman" w:cs="Times New Roman"/>
        </w:rPr>
        <w:t xml:space="preserve"> </w:t>
      </w:r>
      <w:r w:rsidR="006633EC">
        <w:rPr>
          <w:rFonts w:ascii="Times New Roman" w:hAnsi="Times New Roman" w:cs="Times New Roman"/>
        </w:rPr>
        <w:t>(</w:t>
      </w:r>
      <w:r w:rsidRPr="002B1EBC">
        <w:rPr>
          <w:rFonts w:ascii="Times New Roman" w:hAnsi="Times New Roman" w:cs="Times New Roman"/>
        </w:rPr>
        <w:t>Application No</w:t>
      </w:r>
      <w:r>
        <w:rPr>
          <w:rFonts w:ascii="Times New Roman" w:hAnsi="Times New Roman" w:cs="Times New Roman"/>
        </w:rPr>
        <w:t>.</w:t>
      </w:r>
      <w:r w:rsidRPr="002B1EBC">
        <w:rPr>
          <w:rFonts w:ascii="Times New Roman" w:hAnsi="Times New Roman" w:cs="Times New Roman"/>
        </w:rPr>
        <w:t xml:space="preserve"> 51346/99</w:t>
      </w:r>
      <w:r w:rsidR="006633EC">
        <w:rPr>
          <w:rFonts w:ascii="Times New Roman" w:hAnsi="Times New Roman" w:cs="Times New Roman"/>
        </w:rPr>
        <w:t>)</w:t>
      </w:r>
      <w:r w:rsidRPr="002B1EBC">
        <w:rPr>
          <w:rFonts w:ascii="Times New Roman" w:hAnsi="Times New Roman" w:cs="Times New Roman"/>
        </w:rPr>
        <w:t>, 9 April 2002, para</w:t>
      </w:r>
      <w:r>
        <w:rPr>
          <w:rFonts w:ascii="Times New Roman" w:hAnsi="Times New Roman" w:cs="Times New Roman"/>
        </w:rPr>
        <w:t>.</w:t>
      </w:r>
      <w:r w:rsidRPr="002B1EBC">
        <w:rPr>
          <w:rFonts w:ascii="Times New Roman" w:hAnsi="Times New Roman" w:cs="Times New Roman"/>
        </w:rPr>
        <w:t xml:space="preserve"> 37: “In practice, the only type of events that do not qualify as “peaceful assemblies” were those in which the organisers and participants intended to use violence.” 56 See, for example, Saghatelyan v. Armenia, Application No 23086/08, 20 September 2018, paras. 230-233; </w:t>
      </w:r>
      <w:r w:rsidRPr="006633EC">
        <w:rPr>
          <w:rFonts w:ascii="Times New Roman" w:hAnsi="Times New Roman" w:cs="Times New Roman"/>
          <w:i/>
        </w:rPr>
        <w:t>Karpyuk and others v. Ukraine</w:t>
      </w:r>
      <w:r w:rsidRPr="002B1EBC">
        <w:rPr>
          <w:rFonts w:ascii="Times New Roman" w:hAnsi="Times New Roman" w:cs="Times New Roman"/>
        </w:rPr>
        <w:t xml:space="preserve">, </w:t>
      </w:r>
      <w:r w:rsidR="006633EC">
        <w:rPr>
          <w:rFonts w:ascii="Times New Roman" w:hAnsi="Times New Roman" w:cs="Times New Roman"/>
        </w:rPr>
        <w:t>(</w:t>
      </w:r>
      <w:r w:rsidRPr="002B1EBC">
        <w:rPr>
          <w:rFonts w:ascii="Times New Roman" w:hAnsi="Times New Roman" w:cs="Times New Roman"/>
        </w:rPr>
        <w:t>Applications Nos 30582/04 and 32152/04</w:t>
      </w:r>
      <w:r w:rsidR="006633EC">
        <w:rPr>
          <w:rFonts w:ascii="Times New Roman" w:hAnsi="Times New Roman" w:cs="Times New Roman"/>
        </w:rPr>
        <w:t>)</w:t>
      </w:r>
      <w:r w:rsidRPr="002B1EBC">
        <w:rPr>
          <w:rFonts w:ascii="Times New Roman" w:hAnsi="Times New Roman" w:cs="Times New Roman"/>
        </w:rPr>
        <w:t>, 6 October 2015, paras. 198-207, 224 and 234. See Report of the UN Special Rapporteur on the rights to freedom of peaceful assembly and of association, Maina Kiai  (Funding of associations and holding of peaceful assemblies), A/HRC/23/39, 24 April 2013, para. 50.  See also Report of the UN Special Rapporteur on the rights to freedom of peaceful assembly and of association, Maina Kiai (Best practices that promote and protect the rights to freedom of peaceful assembly and of association), A/HRC/20/27, 21 May 2012, para. 25.</w:t>
      </w:r>
    </w:p>
  </w:footnote>
  <w:footnote w:id="5">
    <w:p w14:paraId="4B3284B8" w14:textId="40AB5411" w:rsidR="006835D7" w:rsidRPr="009A7410" w:rsidRDefault="006835D7" w:rsidP="00ED28E6">
      <w:pPr>
        <w:pStyle w:val="FootnoteText"/>
        <w:jc w:val="both"/>
        <w:rPr>
          <w:rFonts w:ascii="Times New Roman" w:hAnsi="Times New Roman" w:cs="Times New Roman"/>
        </w:rPr>
      </w:pPr>
      <w:r w:rsidRPr="009A7410">
        <w:rPr>
          <w:rStyle w:val="FootnoteReference"/>
          <w:rFonts w:ascii="Times New Roman" w:hAnsi="Times New Roman" w:cs="Times New Roman"/>
        </w:rPr>
        <w:footnoteRef/>
      </w:r>
      <w:r w:rsidRPr="009A7410">
        <w:rPr>
          <w:rFonts w:ascii="Times New Roman" w:hAnsi="Times New Roman" w:cs="Times New Roman"/>
        </w:rPr>
        <w:t xml:space="preserve"> </w:t>
      </w:r>
      <w:r w:rsidR="007B3551" w:rsidRPr="00841E7F">
        <w:rPr>
          <w:rFonts w:ascii="Times New Roman" w:eastAsia="BatangChe" w:hAnsi="Times New Roman" w:cs="Times New Roman"/>
          <w:i/>
        </w:rPr>
        <w:t>Countryside Alliance and Others v. United Kingdom</w:t>
      </w:r>
      <w:r w:rsidR="007B3551" w:rsidRPr="00841E7F">
        <w:rPr>
          <w:rFonts w:ascii="Times New Roman" w:eastAsia="BatangChe" w:hAnsi="Times New Roman" w:cs="Times New Roman"/>
        </w:rPr>
        <w:t xml:space="preserve"> para. 50</w:t>
      </w:r>
      <w:r w:rsidR="007B3551" w:rsidRPr="00841E7F">
        <w:rPr>
          <w:rStyle w:val="HTMLCite"/>
          <w:rFonts w:ascii="Times New Roman" w:hAnsi="Times New Roman" w:cs="Times New Roman"/>
          <w:color w:val="666666"/>
        </w:rPr>
        <w:t xml:space="preserve">. </w:t>
      </w:r>
      <w:r w:rsidR="007B3551" w:rsidRPr="003643ED">
        <w:rPr>
          <w:rStyle w:val="HTMLCite"/>
          <w:rFonts w:ascii="Times New Roman" w:hAnsi="Times New Roman" w:cs="Times New Roman"/>
        </w:rPr>
        <w:t>See also</w:t>
      </w:r>
      <w:r w:rsidR="007B3551" w:rsidRPr="003643ED">
        <w:rPr>
          <w:rStyle w:val="HTMLCite"/>
          <w:rFonts w:ascii="Times New Roman" w:hAnsi="Times New Roman" w:cs="Times New Roman"/>
          <w:noProof/>
        </w:rPr>
        <w:t>-</w:t>
      </w:r>
      <w:r w:rsidR="007B3551" w:rsidRPr="003643ED">
        <w:rPr>
          <w:rStyle w:val="HTMLCite"/>
          <w:rFonts w:ascii="Times New Roman" w:hAnsi="Times New Roman" w:cs="Times New Roman"/>
        </w:rPr>
        <w:t xml:space="preserve"> </w:t>
      </w:r>
      <w:r w:rsidR="007B3551" w:rsidRPr="00841E7F">
        <w:rPr>
          <w:rFonts w:ascii="Times New Roman" w:hAnsi="Times New Roman" w:cs="Times New Roman"/>
        </w:rPr>
        <w:t>New York Times v. United States 403 US 413 (1971): “</w:t>
      </w:r>
      <w:r w:rsidR="007B3551" w:rsidRPr="00841E7F">
        <w:rPr>
          <w:rFonts w:ascii="Times New Roman" w:hAnsi="Times New Roman" w:cs="Times New Roman"/>
          <w:lang w:val="en"/>
        </w:rPr>
        <w:t>Any system of prior restraints of expression comes to this Court bearing a heavy presumption against its constitutional validity."</w:t>
      </w:r>
      <w:r w:rsidR="007B3551" w:rsidRPr="00841E7F">
        <w:rPr>
          <w:rFonts w:ascii="Times New Roman" w:hAnsi="Times New Roman" w:cs="Times New Roman"/>
        </w:rPr>
        <w:t xml:space="preserve">  See also, Report of the UN Special </w:t>
      </w:r>
      <w:r w:rsidR="007B3551" w:rsidRPr="00841E7F">
        <w:rPr>
          <w:rFonts w:ascii="Times New Roman" w:hAnsi="Times New Roman" w:cs="Times New Roman"/>
          <w:noProof/>
        </w:rPr>
        <w:t>Rapporteur (2012), A/HRC/20/27,</w:t>
      </w:r>
      <w:r w:rsidR="007B3551" w:rsidRPr="00841E7F">
        <w:rPr>
          <w:rFonts w:ascii="Times New Roman" w:hAnsi="Times New Roman" w:cs="Times New Roman"/>
        </w:rPr>
        <w:t xml:space="preserve"> para. 16</w:t>
      </w:r>
      <w:r w:rsidR="007B3551" w:rsidRPr="00841E7F">
        <w:rPr>
          <w:rFonts w:ascii="Times New Roman" w:hAnsi="Times New Roman" w:cs="Times New Roman"/>
          <w:noProof/>
        </w:rPr>
        <w:t>:</w:t>
      </w:r>
      <w:r w:rsidR="007B3551" w:rsidRPr="00841E7F">
        <w:rPr>
          <w:rFonts w:ascii="Times New Roman" w:hAnsi="Times New Roman" w:cs="Times New Roman"/>
        </w:rPr>
        <w:t xml:space="preserve"> “[the] </w:t>
      </w:r>
      <w:r w:rsidR="007B3551" w:rsidRPr="00841E7F">
        <w:rPr>
          <w:rFonts w:ascii="Times New Roman" w:hAnsi="Times New Roman" w:cs="Times New Roman"/>
          <w:lang w:val="en-US"/>
        </w:rPr>
        <w:t xml:space="preserve">freedom [of peaceful assembly] is to be considered the rule and its restriction the exception." </w:t>
      </w:r>
      <w:r w:rsidR="007B3551" w:rsidRPr="00841E7F">
        <w:rPr>
          <w:rFonts w:ascii="Times New Roman" w:hAnsi="Times New Roman" w:cs="Times New Roman"/>
        </w:rPr>
        <w:t xml:space="preserve"> This principle is reaffirmed in </w:t>
      </w:r>
      <w:r w:rsidR="007B3551" w:rsidRPr="00E105BD">
        <w:rPr>
          <w:rFonts w:ascii="Times New Roman" w:hAnsi="Times New Roman" w:cs="Times New Roman"/>
          <w:i/>
        </w:rPr>
        <w:t>ibid.</w:t>
      </w:r>
      <w:r w:rsidR="007B3551">
        <w:rPr>
          <w:rFonts w:ascii="Times New Roman" w:hAnsi="Times New Roman" w:cs="Times New Roman"/>
        </w:rPr>
        <w:t xml:space="preserve"> (</w:t>
      </w:r>
      <w:r w:rsidR="007B3551" w:rsidRPr="00841E7F">
        <w:rPr>
          <w:rFonts w:ascii="Times New Roman" w:hAnsi="Times New Roman" w:cs="Times New Roman"/>
        </w:rPr>
        <w:t>Report of the Special</w:t>
      </w:r>
      <w:r w:rsidR="007B3551">
        <w:rPr>
          <w:rFonts w:ascii="Times New Roman" w:hAnsi="Times New Roman" w:cs="Times New Roman"/>
          <w:noProof/>
        </w:rPr>
        <w:t xml:space="preserve"> Rapporteur A/HRC/23/39</w:t>
      </w:r>
      <w:r w:rsidR="007B3551" w:rsidRPr="00841E7F">
        <w:rPr>
          <w:rFonts w:ascii="Times New Roman" w:hAnsi="Times New Roman" w:cs="Times New Roman"/>
        </w:rPr>
        <w:t xml:space="preserve">, para. 47. Furthermore, the European Court on Human Rights has stated in </w:t>
      </w:r>
      <w:r w:rsidR="007B3551">
        <w:rPr>
          <w:rFonts w:ascii="Times New Roman" w:hAnsi="Times New Roman" w:cs="Times New Roman"/>
          <w:i/>
        </w:rPr>
        <w:t>ib</w:t>
      </w:r>
      <w:r w:rsidR="007B3551" w:rsidRPr="00E105BD">
        <w:rPr>
          <w:rFonts w:ascii="Times New Roman" w:hAnsi="Times New Roman" w:cs="Times New Roman"/>
          <w:i/>
        </w:rPr>
        <w:t>id.</w:t>
      </w:r>
      <w:r w:rsidR="007B3551">
        <w:rPr>
          <w:rFonts w:ascii="Times New Roman" w:hAnsi="Times New Roman" w:cs="Times New Roman"/>
        </w:rPr>
        <w:t xml:space="preserve"> (</w:t>
      </w:r>
      <w:r w:rsidR="007B3551" w:rsidRPr="006633EC">
        <w:rPr>
          <w:rFonts w:ascii="Times New Roman" w:hAnsi="Times New Roman" w:cs="Times New Roman"/>
          <w:i/>
        </w:rPr>
        <w:t>Cisse v. France</w:t>
      </w:r>
      <w:r w:rsidR="007B3551">
        <w:rPr>
          <w:rFonts w:ascii="Times New Roman" w:hAnsi="Times New Roman" w:cs="Times New Roman"/>
        </w:rPr>
        <w:t xml:space="preserve">), </w:t>
      </w:r>
      <w:r w:rsidR="007B3551" w:rsidRPr="00841E7F">
        <w:rPr>
          <w:rFonts w:ascii="Times New Roman" w:hAnsi="Times New Roman" w:cs="Times New Roman"/>
        </w:rPr>
        <w:t>par</w:t>
      </w:r>
      <w:r w:rsidR="007B3551">
        <w:rPr>
          <w:rFonts w:ascii="Times New Roman" w:hAnsi="Times New Roman" w:cs="Times New Roman"/>
        </w:rPr>
        <w:t>a</w:t>
      </w:r>
      <w:r w:rsidR="007B3551" w:rsidRPr="00841E7F">
        <w:rPr>
          <w:rFonts w:ascii="Times New Roman" w:hAnsi="Times New Roman" w:cs="Times New Roman"/>
        </w:rPr>
        <w:t xml:space="preserve"> 37: only assemblies where the organizers and participants had violent intentions are considered non-peaceful. </w:t>
      </w:r>
      <w:r w:rsidR="007B3551">
        <w:rPr>
          <w:rFonts w:ascii="Times New Roman" w:hAnsi="Times New Roman" w:cs="Times New Roman"/>
        </w:rPr>
        <w:t xml:space="preserve">See also </w:t>
      </w:r>
      <w:r w:rsidRPr="00936B86">
        <w:rPr>
          <w:rFonts w:ascii="Times New Roman" w:hAnsi="Times New Roman" w:cs="Times New Roman"/>
          <w:i/>
        </w:rPr>
        <w:t>Op. cit.</w:t>
      </w:r>
      <w:r>
        <w:rPr>
          <w:rFonts w:ascii="Times New Roman" w:hAnsi="Times New Roman" w:cs="Times New Roman"/>
        </w:rPr>
        <w:t xml:space="preserve"> footnote 1 (</w:t>
      </w:r>
      <w:r w:rsidRPr="009A7410">
        <w:rPr>
          <w:rFonts w:ascii="Times New Roman" w:hAnsi="Times New Roman" w:cs="Times New Roman"/>
        </w:rPr>
        <w:t>OSCE/ODIHR-Venice Commission Guidelines on Freedom of Peaceful Assembly, 3</w:t>
      </w:r>
      <w:r w:rsidRPr="009A7410">
        <w:rPr>
          <w:rFonts w:ascii="Times New Roman" w:hAnsi="Times New Roman" w:cs="Times New Roman"/>
          <w:vertAlign w:val="superscript"/>
        </w:rPr>
        <w:t>rd</w:t>
      </w:r>
      <w:r>
        <w:rPr>
          <w:rFonts w:ascii="Times New Roman" w:hAnsi="Times New Roman" w:cs="Times New Roman"/>
        </w:rPr>
        <w:t xml:space="preserve"> edition)),</w:t>
      </w:r>
      <w:r w:rsidRPr="009A7410">
        <w:rPr>
          <w:rFonts w:ascii="Times New Roman" w:hAnsi="Times New Roman" w:cs="Times New Roman"/>
        </w:rPr>
        <w:t xml:space="preserve"> </w:t>
      </w:r>
      <w:r>
        <w:rPr>
          <w:rFonts w:ascii="Times New Roman" w:hAnsi="Times New Roman" w:cs="Times New Roman"/>
        </w:rPr>
        <w:t>p</w:t>
      </w:r>
      <w:r w:rsidRPr="009A7410">
        <w:rPr>
          <w:rFonts w:ascii="Times New Roman" w:hAnsi="Times New Roman" w:cs="Times New Roman"/>
        </w:rPr>
        <w:t>ara</w:t>
      </w:r>
      <w:r>
        <w:rPr>
          <w:rFonts w:ascii="Times New Roman" w:hAnsi="Times New Roman" w:cs="Times New Roman"/>
        </w:rPr>
        <w:t>.</w:t>
      </w:r>
      <w:r w:rsidRPr="009A7410">
        <w:rPr>
          <w:rFonts w:ascii="Times New Roman" w:hAnsi="Times New Roman" w:cs="Times New Roman"/>
        </w:rPr>
        <w:t xml:space="preserve"> 50</w:t>
      </w:r>
      <w:r>
        <w:rPr>
          <w:rFonts w:ascii="Times New Roman" w:hAnsi="Times New Roman" w:cs="Times New Roman"/>
        </w:rPr>
        <w:t>.</w:t>
      </w:r>
    </w:p>
  </w:footnote>
  <w:footnote w:id="6">
    <w:p w14:paraId="24A7F5D8" w14:textId="73ED9073" w:rsidR="006835D7" w:rsidRPr="009A7410" w:rsidRDefault="006835D7" w:rsidP="008A1CE9">
      <w:pPr>
        <w:pStyle w:val="FootnoteText"/>
        <w:rPr>
          <w:rFonts w:ascii="Times New Roman" w:hAnsi="Times New Roman" w:cs="Times New Roman"/>
        </w:rPr>
      </w:pPr>
      <w:r w:rsidRPr="009A7410">
        <w:rPr>
          <w:rStyle w:val="FootnoteReference"/>
          <w:rFonts w:ascii="Times New Roman" w:hAnsi="Times New Roman" w:cs="Times New Roman"/>
        </w:rPr>
        <w:footnoteRef/>
      </w:r>
      <w:r w:rsidRPr="009A7410">
        <w:rPr>
          <w:rFonts w:ascii="Times New Roman" w:hAnsi="Times New Roman" w:cs="Times New Roman"/>
        </w:rPr>
        <w:t xml:space="preserve"> </w:t>
      </w:r>
      <w:r w:rsidRPr="00145D76">
        <w:rPr>
          <w:rFonts w:ascii="Times New Roman" w:hAnsi="Times New Roman" w:cs="Times New Roman"/>
          <w:i/>
        </w:rPr>
        <w:t>Ibid</w:t>
      </w:r>
      <w:r w:rsidRPr="00ED28E6">
        <w:rPr>
          <w:rFonts w:ascii="Times New Roman" w:hAnsi="Times New Roman" w:cs="Times New Roman"/>
          <w:i/>
        </w:rPr>
        <w:t>.</w:t>
      </w:r>
      <w:r w:rsidR="005812BF">
        <w:rPr>
          <w:rFonts w:ascii="Times New Roman" w:hAnsi="Times New Roman" w:cs="Times New Roman"/>
        </w:rPr>
        <w:t xml:space="preserve"> (</w:t>
      </w:r>
      <w:r w:rsidR="005812BF" w:rsidRPr="009A7410">
        <w:rPr>
          <w:rFonts w:ascii="Times New Roman" w:hAnsi="Times New Roman" w:cs="Times New Roman"/>
        </w:rPr>
        <w:t>OSCE/ODIHR-Venice Commission Guidelines on Freedom of Peaceful Assembly, 3</w:t>
      </w:r>
      <w:r w:rsidR="005812BF" w:rsidRPr="009A7410">
        <w:rPr>
          <w:rFonts w:ascii="Times New Roman" w:hAnsi="Times New Roman" w:cs="Times New Roman"/>
          <w:vertAlign w:val="superscript"/>
        </w:rPr>
        <w:t>rd</w:t>
      </w:r>
      <w:r w:rsidR="005812BF">
        <w:rPr>
          <w:rFonts w:ascii="Times New Roman" w:hAnsi="Times New Roman" w:cs="Times New Roman"/>
        </w:rPr>
        <w:t xml:space="preserve"> edition)</w:t>
      </w:r>
      <w:r>
        <w:rPr>
          <w:rFonts w:ascii="Times New Roman" w:hAnsi="Times New Roman" w:cs="Times New Roman"/>
        </w:rPr>
        <w:t>, para 20</w:t>
      </w:r>
    </w:p>
  </w:footnote>
  <w:footnote w:id="7">
    <w:p w14:paraId="3F498838" w14:textId="629E3AA8" w:rsidR="006835D7" w:rsidRPr="009A7410" w:rsidRDefault="006835D7" w:rsidP="008A1CE9">
      <w:pPr>
        <w:spacing w:after="0" w:line="240" w:lineRule="auto"/>
        <w:jc w:val="both"/>
        <w:rPr>
          <w:rFonts w:ascii="Times New Roman" w:hAnsi="Times New Roman" w:cs="Times New Roman"/>
          <w:sz w:val="20"/>
          <w:szCs w:val="20"/>
          <w:lang w:val="en-US"/>
        </w:rPr>
      </w:pPr>
      <w:r w:rsidRPr="009A7410">
        <w:rPr>
          <w:rStyle w:val="FootnoteReference"/>
          <w:rFonts w:ascii="Times New Roman" w:hAnsi="Times New Roman" w:cs="Times New Roman"/>
          <w:sz w:val="20"/>
          <w:szCs w:val="20"/>
        </w:rPr>
        <w:footnoteRef/>
      </w:r>
      <w:r w:rsidRPr="009A7410">
        <w:rPr>
          <w:rFonts w:ascii="Times New Roman" w:hAnsi="Times New Roman" w:cs="Times New Roman"/>
          <w:sz w:val="20"/>
          <w:szCs w:val="20"/>
        </w:rPr>
        <w:t xml:space="preserve"> Recommendation CM/Rec</w:t>
      </w:r>
      <w:r>
        <w:rPr>
          <w:rFonts w:ascii="Times New Roman" w:hAnsi="Times New Roman" w:cs="Times New Roman"/>
          <w:sz w:val="20"/>
          <w:szCs w:val="20"/>
        </w:rPr>
        <w:t xml:space="preserve"> </w:t>
      </w:r>
      <w:r w:rsidRPr="009A7410">
        <w:rPr>
          <w:rFonts w:ascii="Times New Roman" w:hAnsi="Times New Roman" w:cs="Times New Roman"/>
          <w:sz w:val="20"/>
          <w:szCs w:val="20"/>
        </w:rPr>
        <w:t>(2016)</w:t>
      </w:r>
      <w:r>
        <w:rPr>
          <w:rFonts w:ascii="Times New Roman" w:hAnsi="Times New Roman" w:cs="Times New Roman"/>
          <w:sz w:val="20"/>
          <w:szCs w:val="20"/>
        </w:rPr>
        <w:t xml:space="preserve"> </w:t>
      </w:r>
      <w:r w:rsidRPr="009A7410">
        <w:rPr>
          <w:rFonts w:ascii="Times New Roman" w:hAnsi="Times New Roman" w:cs="Times New Roman"/>
          <w:sz w:val="20"/>
          <w:szCs w:val="20"/>
        </w:rPr>
        <w:t>5 of the Committee of Ministers to member States on Internet freedom (</w:t>
      </w:r>
      <w:r w:rsidRPr="009A7410">
        <w:rPr>
          <w:rFonts w:ascii="Times New Roman" w:hAnsi="Times New Roman" w:cs="Times New Roman"/>
          <w:bCs/>
          <w:sz w:val="20"/>
          <w:szCs w:val="20"/>
        </w:rPr>
        <w:t>3 April 2016</w:t>
      </w:r>
      <w:r w:rsidRPr="009A7410">
        <w:rPr>
          <w:rFonts w:ascii="Times New Roman" w:hAnsi="Times New Roman" w:cs="Times New Roman"/>
          <w:sz w:val="20"/>
          <w:szCs w:val="20"/>
        </w:rPr>
        <w:t>) para. 3 of the Annex reads (Internet freedom indicators):</w:t>
      </w:r>
      <w:r w:rsidRPr="009A7410">
        <w:rPr>
          <w:rFonts w:ascii="Times New Roman" w:hAnsi="Times New Roman" w:cs="Times New Roman"/>
          <w:b/>
          <w:i/>
          <w:sz w:val="20"/>
          <w:szCs w:val="20"/>
        </w:rPr>
        <w:t xml:space="preserve"> </w:t>
      </w:r>
      <w:r w:rsidRPr="009A7410">
        <w:rPr>
          <w:rFonts w:ascii="Times New Roman" w:hAnsi="Times New Roman" w:cs="Times New Roman"/>
          <w:sz w:val="20"/>
          <w:szCs w:val="20"/>
        </w:rPr>
        <w:t>“3. The right to freedom of peaceful assembly and association; 3.1.  Individuals are free to use Internet platforms, such as social media and other ICTs in order to associate with each other and to establish associations, to determine the objectives of such associations, to form trade unions, and to carry out activities within the limits provided for by laws that comply with international standards. 3.2. Associations are free to use the Internet in order to exercise their right to freedom of expression and to participate in matters of political and public debate. 3.3. Individuals are free to use Internet platforms, such as social media and other ICTs in order to organise themselves for purposes of peaceful assembly. 3.4. State measures applied in the context of the exercise of the right to peaceful assembly which amount to a blocking or restriction of Internet platforms, such as social media and other ICTs, comply with Article 11 of the Convention. 3.5. Any restriction on the exercise of the right to freedom of peaceful assembly and right to freedom of association with regard to the Internet is in compliance with Article 11 of the Convention, namely it: is prescribed by a law, which is accessible, clear, unambiguous and sufficiently precise to enable individuals to regulate their conduct; pursues a legitimate aim as exhaustively enumerated in Article 11 of the Convention; is necessary in a democratic society and proportionate to the legitimate aim pursued. There is a pressing social need for the restriction. There is a fair balance between the exercise of the right to freedom of assembly and freedom of association and the interests of the society as a whole. If a less intrusive measure achieves the same goal, it is applied. The restriction is narrowly construed and applied, and does not encroach on the essence of the right to freedom of assembly and association.”</w:t>
      </w:r>
    </w:p>
  </w:footnote>
  <w:footnote w:id="8">
    <w:p w14:paraId="02FB9CE5" w14:textId="3AB959D5" w:rsidR="006835D7" w:rsidRPr="00E41C1C" w:rsidRDefault="006835D7" w:rsidP="008A1CE9">
      <w:pPr>
        <w:rPr>
          <w:rFonts w:ascii="Times New Roman" w:hAnsi="Times New Roman" w:cs="Times New Roman"/>
          <w:sz w:val="20"/>
          <w:szCs w:val="20"/>
          <w:lang w:val="en-IE"/>
        </w:rPr>
      </w:pPr>
      <w:r w:rsidRPr="00E41C1C">
        <w:rPr>
          <w:rStyle w:val="FootnoteReference"/>
          <w:rFonts w:ascii="Times New Roman" w:hAnsi="Times New Roman" w:cs="Times New Roman"/>
          <w:sz w:val="20"/>
          <w:szCs w:val="20"/>
        </w:rPr>
        <w:footnoteRef/>
      </w:r>
      <w:r w:rsidRPr="00E41C1C">
        <w:rPr>
          <w:rFonts w:ascii="Times New Roman" w:hAnsi="Times New Roman" w:cs="Times New Roman"/>
          <w:sz w:val="20"/>
          <w:szCs w:val="20"/>
        </w:rPr>
        <w:t xml:space="preserve"> </w:t>
      </w:r>
      <w:r>
        <w:rPr>
          <w:rFonts w:ascii="Times New Roman" w:hAnsi="Times New Roman" w:cs="Times New Roman"/>
          <w:sz w:val="20"/>
          <w:szCs w:val="20"/>
        </w:rPr>
        <w:t>Op. cit. footnote 1 (</w:t>
      </w:r>
      <w:r w:rsidRPr="009A7410">
        <w:rPr>
          <w:rFonts w:ascii="Times New Roman" w:hAnsi="Times New Roman" w:cs="Times New Roman"/>
          <w:sz w:val="20"/>
          <w:szCs w:val="20"/>
        </w:rPr>
        <w:t>OSCE/ODIHR-Venice Commission Guidelines on Freedom of Peaceful Assembly, 3</w:t>
      </w:r>
      <w:r w:rsidRPr="009A7410">
        <w:rPr>
          <w:rFonts w:ascii="Times New Roman" w:hAnsi="Times New Roman" w:cs="Times New Roman"/>
          <w:sz w:val="20"/>
          <w:szCs w:val="20"/>
          <w:vertAlign w:val="superscript"/>
        </w:rPr>
        <w:t>rd</w:t>
      </w:r>
      <w:r w:rsidRPr="009A7410">
        <w:rPr>
          <w:rFonts w:ascii="Times New Roman" w:hAnsi="Times New Roman" w:cs="Times New Roman"/>
          <w:sz w:val="20"/>
          <w:szCs w:val="20"/>
        </w:rPr>
        <w:t xml:space="preserve"> edition</w:t>
      </w:r>
      <w:r>
        <w:rPr>
          <w:rFonts w:ascii="Times New Roman" w:hAnsi="Times New Roman" w:cs="Times New Roman"/>
          <w:sz w:val="20"/>
          <w:szCs w:val="20"/>
        </w:rPr>
        <w:t>)</w:t>
      </w:r>
      <w:r w:rsidRPr="009A7410">
        <w:rPr>
          <w:rFonts w:ascii="Times New Roman" w:hAnsi="Times New Roman" w:cs="Times New Roman"/>
          <w:sz w:val="20"/>
          <w:szCs w:val="20"/>
        </w:rPr>
        <w:t xml:space="preserve"> See also </w:t>
      </w:r>
      <w:r w:rsidRPr="005A0331">
        <w:rPr>
          <w:rFonts w:ascii="Times New Roman" w:hAnsi="Times New Roman" w:cs="Times New Roman"/>
          <w:i/>
          <w:sz w:val="20"/>
          <w:szCs w:val="20"/>
        </w:rPr>
        <w:t>ibid.</w:t>
      </w:r>
      <w:r>
        <w:rPr>
          <w:rFonts w:ascii="Times New Roman" w:hAnsi="Times New Roman" w:cs="Times New Roman"/>
          <w:sz w:val="20"/>
          <w:szCs w:val="20"/>
        </w:rPr>
        <w:t xml:space="preserve"> </w:t>
      </w:r>
      <w:r w:rsidRPr="00E41C1C">
        <w:rPr>
          <w:rFonts w:ascii="Times New Roman" w:hAnsi="Times New Roman" w:cs="Times New Roman"/>
          <w:bCs/>
          <w:sz w:val="20"/>
          <w:szCs w:val="20"/>
        </w:rPr>
        <w:t xml:space="preserve">para. 3.3: “Individuals are free to use Internet platforms, such as social media and other information and communication technology (ICTs) in order to organise themselves for purposes of peaceful assembly.” See also: </w:t>
      </w:r>
      <w:r w:rsidRPr="00E41C1C">
        <w:rPr>
          <w:rFonts w:ascii="Times New Roman" w:hAnsi="Times New Roman" w:cs="Times New Roman"/>
          <w:sz w:val="20"/>
          <w:szCs w:val="20"/>
        </w:rPr>
        <w:t>Human Rights Committee</w:t>
      </w:r>
      <w:r w:rsidRPr="00E41C1C">
        <w:rPr>
          <w:rFonts w:ascii="Times New Roman" w:hAnsi="Times New Roman" w:cs="Times New Roman"/>
          <w:bCs/>
          <w:sz w:val="20"/>
          <w:szCs w:val="20"/>
        </w:rPr>
        <w:t xml:space="preserve"> </w:t>
      </w:r>
      <w:r w:rsidRPr="00E41C1C">
        <w:rPr>
          <w:rFonts w:ascii="Times New Roman" w:hAnsi="Times New Roman" w:cs="Times New Roman"/>
          <w:sz w:val="20"/>
          <w:szCs w:val="20"/>
        </w:rPr>
        <w:t xml:space="preserve">Communication No. 1838/2008, </w:t>
      </w:r>
      <w:r w:rsidRPr="00E41C1C">
        <w:rPr>
          <w:rFonts w:ascii="Times New Roman" w:hAnsi="Times New Roman" w:cs="Times New Roman"/>
          <w:i/>
          <w:sz w:val="20"/>
          <w:szCs w:val="20"/>
        </w:rPr>
        <w:t>Tulzhenkova v Belarus</w:t>
      </w:r>
      <w:r w:rsidRPr="00E41C1C">
        <w:rPr>
          <w:rFonts w:ascii="Times New Roman" w:hAnsi="Times New Roman" w:cs="Times New Roman"/>
          <w:sz w:val="20"/>
          <w:szCs w:val="20"/>
        </w:rPr>
        <w:t>, Views adopted 26 October 2011, CCPR/C/103/D/1838/2008, par</w:t>
      </w:r>
      <w:r>
        <w:rPr>
          <w:rFonts w:ascii="Times New Roman" w:hAnsi="Times New Roman" w:cs="Times New Roman"/>
          <w:sz w:val="20"/>
          <w:szCs w:val="20"/>
        </w:rPr>
        <w:t>a</w:t>
      </w:r>
      <w:r w:rsidRPr="00E41C1C">
        <w:rPr>
          <w:rFonts w:ascii="Times New Roman" w:hAnsi="Times New Roman" w:cs="Times New Roman"/>
          <w:sz w:val="20"/>
          <w:szCs w:val="20"/>
        </w:rPr>
        <w:t>. 9.3: The Human Rights Committee has stated that the circulation of publicity for an upcoming assembly cannot legitimately be penalized in the absence of a ‘specific indication of what dangers would have been created by the early distribution of the information.’ ().</w:t>
      </w:r>
    </w:p>
  </w:footnote>
  <w:footnote w:id="9">
    <w:p w14:paraId="09BEBAC9" w14:textId="4F1A01C0" w:rsidR="006835D7" w:rsidRPr="00431F7F" w:rsidRDefault="006835D7" w:rsidP="008A1CE9">
      <w:pPr>
        <w:pStyle w:val="NoSpacing"/>
        <w:jc w:val="both"/>
        <w:rPr>
          <w:rFonts w:ascii="Times New Roman" w:hAnsi="Times New Roman"/>
          <w:sz w:val="20"/>
          <w:szCs w:val="20"/>
        </w:rPr>
      </w:pPr>
      <w:r w:rsidRPr="00E41C1C">
        <w:rPr>
          <w:rStyle w:val="FootnoteReference"/>
          <w:rFonts w:ascii="Times New Roman" w:hAnsi="Times New Roman"/>
          <w:sz w:val="20"/>
          <w:szCs w:val="20"/>
        </w:rPr>
        <w:footnoteRef/>
      </w:r>
      <w:r w:rsidRPr="00E41C1C">
        <w:rPr>
          <w:rFonts w:ascii="Times New Roman" w:hAnsi="Times New Roman"/>
          <w:sz w:val="20"/>
          <w:szCs w:val="20"/>
        </w:rPr>
        <w:t xml:space="preserve"> Joint report of the Special Rapporteur on the rights to freedom of peaceful assembly and of association and the Special Rapporteur on extrajudicial, summary or arbitrary executions on the proper management of assemblies, A/HRC/31/66, of 4 February 2016, par</w:t>
      </w:r>
      <w:r>
        <w:rPr>
          <w:rFonts w:ascii="Times New Roman" w:hAnsi="Times New Roman"/>
          <w:sz w:val="20"/>
          <w:szCs w:val="20"/>
        </w:rPr>
        <w:t>a</w:t>
      </w:r>
      <w:r w:rsidRPr="00E41C1C">
        <w:rPr>
          <w:rFonts w:ascii="Times New Roman" w:hAnsi="Times New Roman"/>
          <w:sz w:val="20"/>
          <w:szCs w:val="20"/>
        </w:rPr>
        <w:t>. 10</w:t>
      </w:r>
      <w:r>
        <w:rPr>
          <w:rFonts w:ascii="Times New Roman" w:hAnsi="Times New Roman"/>
          <w:sz w:val="20"/>
          <w:szCs w:val="20"/>
        </w:rPr>
        <w:t xml:space="preserve">: </w:t>
      </w:r>
      <w:hyperlink r:id="rId2" w:history="1">
        <w:r w:rsidRPr="00841E7F">
          <w:rPr>
            <w:rStyle w:val="Hyperlink"/>
            <w:rFonts w:ascii="Times New Roman" w:hAnsi="Times New Roman"/>
          </w:rPr>
          <w:t>https://www.ohchr.org/EN/HRBodies/HRC/RegularSessions/Session31/Documents/A.HRC.31.66_E.docx</w:t>
        </w:r>
      </w:hyperlink>
      <w:r>
        <w:rPr>
          <w:rFonts w:ascii="Times New Roman" w:hAnsi="Times New Roman"/>
        </w:rPr>
        <w:t xml:space="preserve">, </w:t>
      </w:r>
      <w:r>
        <w:rPr>
          <w:rFonts w:ascii="Times New Roman" w:hAnsi="Times New Roman"/>
          <w:sz w:val="20"/>
          <w:szCs w:val="20"/>
        </w:rPr>
        <w:t xml:space="preserve">See also </w:t>
      </w:r>
      <w:r w:rsidRPr="00E41C1C">
        <w:rPr>
          <w:rFonts w:ascii="Times New Roman" w:hAnsi="Times New Roman"/>
          <w:sz w:val="20"/>
          <w:szCs w:val="20"/>
          <w:lang w:val="en-US"/>
        </w:rPr>
        <w:t xml:space="preserve">Human Rights Council, </w:t>
      </w:r>
      <w:r w:rsidRPr="00E41C1C">
        <w:rPr>
          <w:rFonts w:ascii="Times New Roman" w:hAnsi="Times New Roman"/>
          <w:sz w:val="20"/>
          <w:szCs w:val="20"/>
        </w:rPr>
        <w:t>Resolution 21/16</w:t>
      </w:r>
      <w:r w:rsidRPr="00E41C1C">
        <w:rPr>
          <w:rFonts w:ascii="Times New Roman" w:hAnsi="Times New Roman"/>
          <w:sz w:val="20"/>
          <w:szCs w:val="20"/>
          <w:u w:val="single"/>
          <w:lang w:val="en-US"/>
        </w:rPr>
        <w:t xml:space="preserve">, </w:t>
      </w:r>
      <w:r w:rsidRPr="00E41C1C">
        <w:rPr>
          <w:rFonts w:ascii="Times New Roman" w:hAnsi="Times New Roman"/>
          <w:sz w:val="20"/>
          <w:szCs w:val="20"/>
          <w:lang w:val="en-US"/>
        </w:rPr>
        <w:t xml:space="preserve">(October 2012), UN Doc. </w:t>
      </w:r>
      <w:r w:rsidRPr="00E41C1C">
        <w:rPr>
          <w:rFonts w:ascii="Times New Roman" w:hAnsi="Times New Roman"/>
          <w:sz w:val="20"/>
          <w:szCs w:val="20"/>
        </w:rPr>
        <w:t xml:space="preserve">A/HRC/RES/21/16, </w:t>
      </w:r>
      <w:r w:rsidRPr="00E41C1C">
        <w:rPr>
          <w:rFonts w:ascii="Times New Roman" w:hAnsi="Times New Roman"/>
          <w:sz w:val="20"/>
          <w:szCs w:val="20"/>
          <w:lang w:val="en-US"/>
        </w:rPr>
        <w:t xml:space="preserve">and </w:t>
      </w:r>
      <w:r w:rsidRPr="00E41C1C">
        <w:rPr>
          <w:rFonts w:ascii="Times New Roman" w:hAnsi="Times New Roman"/>
          <w:sz w:val="20"/>
          <w:szCs w:val="20"/>
        </w:rPr>
        <w:t>Resolution 24/5</w:t>
      </w:r>
      <w:r w:rsidRPr="00E41C1C">
        <w:rPr>
          <w:rFonts w:ascii="Times New Roman" w:hAnsi="Times New Roman"/>
          <w:sz w:val="20"/>
          <w:szCs w:val="20"/>
          <w:lang w:val="en-US"/>
        </w:rPr>
        <w:t> (October 2013), UN Doc. A/HRC/RES/25/5, both entitled</w:t>
      </w:r>
      <w:r w:rsidRPr="00E41C1C">
        <w:rPr>
          <w:rFonts w:ascii="Times New Roman" w:hAnsi="Times New Roman"/>
          <w:i/>
          <w:iCs/>
          <w:sz w:val="20"/>
          <w:szCs w:val="20"/>
          <w:lang w:val="en-US"/>
        </w:rPr>
        <w:t xml:space="preserve"> </w:t>
      </w:r>
      <w:r w:rsidRPr="00E41C1C">
        <w:rPr>
          <w:rFonts w:ascii="Times New Roman" w:hAnsi="Times New Roman"/>
          <w:i/>
          <w:iCs/>
          <w:sz w:val="20"/>
          <w:szCs w:val="20"/>
        </w:rPr>
        <w:t>The rights to freedom of peaceful assembly and of association.</w:t>
      </w:r>
    </w:p>
  </w:footnote>
  <w:footnote w:id="10">
    <w:p w14:paraId="75107055" w14:textId="72B39CCF" w:rsidR="006835D7" w:rsidRPr="009A7410" w:rsidRDefault="006835D7" w:rsidP="008A1CE9">
      <w:pPr>
        <w:pStyle w:val="FootnoteText"/>
        <w:jc w:val="both"/>
        <w:rPr>
          <w:rFonts w:ascii="Times New Roman" w:hAnsi="Times New Roman" w:cs="Times New Roman"/>
        </w:rPr>
      </w:pPr>
      <w:r w:rsidRPr="009A7410">
        <w:rPr>
          <w:rStyle w:val="FootnoteReference"/>
          <w:rFonts w:ascii="Times New Roman" w:hAnsi="Times New Roman" w:cs="Times New Roman"/>
        </w:rPr>
        <w:footnoteRef/>
      </w:r>
      <w:r w:rsidRPr="00E41C1C">
        <w:rPr>
          <w:rFonts w:ascii="Times New Roman" w:hAnsi="Times New Roman"/>
        </w:rPr>
        <w:t xml:space="preserve">Recommendation CM/Rec (2014) 6 of the Committee of Ministers to member States on a Guide to human rights for Internet users: everyone has “the right to peacefully assemble and associate with others using the internet.” </w:t>
      </w:r>
    </w:p>
    <w:p w14:paraId="12B2705F" w14:textId="77777777" w:rsidR="006835D7" w:rsidRPr="00A55763" w:rsidRDefault="006835D7" w:rsidP="008A1CE9">
      <w:pPr>
        <w:pStyle w:val="FootnoteText"/>
      </w:pPr>
    </w:p>
  </w:footnote>
  <w:footnote w:id="11">
    <w:p w14:paraId="07E9795C" w14:textId="77777777" w:rsidR="006835D7" w:rsidRPr="00D07260" w:rsidRDefault="006835D7" w:rsidP="00EB20F9">
      <w:pPr>
        <w:pStyle w:val="FootnoteText"/>
        <w:rPr>
          <w:rFonts w:ascii="Times New Roman" w:hAnsi="Times New Roman" w:cs="Times New Roman"/>
        </w:rPr>
      </w:pPr>
      <w:r w:rsidRPr="00D07260">
        <w:rPr>
          <w:rStyle w:val="FootnoteReference"/>
          <w:rFonts w:ascii="Times New Roman" w:hAnsi="Times New Roman" w:cs="Times New Roman"/>
        </w:rPr>
        <w:footnoteRef/>
      </w:r>
      <w:r w:rsidRPr="00D07260">
        <w:rPr>
          <w:rFonts w:ascii="Times New Roman" w:hAnsi="Times New Roman" w:cs="Times New Roman"/>
        </w:rPr>
        <w:t xml:space="preserve"> As the ECtHR stated in </w:t>
      </w:r>
      <w:r w:rsidRPr="006633EC">
        <w:rPr>
          <w:rFonts w:ascii="Times New Roman" w:hAnsi="Times New Roman" w:cs="Times New Roman"/>
          <w:i/>
        </w:rPr>
        <w:t>Ozgur Gundem v. Turkey</w:t>
      </w:r>
      <w:r w:rsidRPr="00D07260">
        <w:rPr>
          <w:rFonts w:ascii="Times New Roman" w:hAnsi="Times New Roman" w:cs="Times New Roman"/>
        </w:rPr>
        <w:t xml:space="preserve"> (Application No. 23144/93, 16 Mars 2000, para. 43): Genuine, effective exercise of the freedom of expression does not depend merely on the State's duty not to interfere, but may require positive measures of protection, even in the sphere of relations between individuals.</w:t>
      </w:r>
    </w:p>
  </w:footnote>
  <w:footnote w:id="12">
    <w:p w14:paraId="22E16A8F" w14:textId="6E0B0902" w:rsidR="006835D7" w:rsidRPr="00841E7F" w:rsidRDefault="006835D7" w:rsidP="00EB20F9">
      <w:pPr>
        <w:pStyle w:val="FootnoteText"/>
        <w:jc w:val="both"/>
        <w:rPr>
          <w:rFonts w:ascii="Times New Roman" w:hAnsi="Times New Roman" w:cs="Times New Roman"/>
          <w:lang w:val="en-US"/>
        </w:rPr>
      </w:pPr>
      <w:r w:rsidRPr="00841E7F">
        <w:rPr>
          <w:rStyle w:val="FootnoteReference"/>
          <w:rFonts w:ascii="Times New Roman" w:hAnsi="Times New Roman" w:cs="Times New Roman"/>
        </w:rPr>
        <w:footnoteRef/>
      </w:r>
      <w:r w:rsidRPr="00841E7F">
        <w:rPr>
          <w:rFonts w:ascii="Times New Roman" w:hAnsi="Times New Roman" w:cs="Times New Roman"/>
        </w:rPr>
        <w:t xml:space="preserve"> </w:t>
      </w:r>
      <w:r w:rsidR="008232A9">
        <w:rPr>
          <w:rFonts w:ascii="Times New Roman" w:hAnsi="Times New Roman" w:cs="Times New Roman"/>
          <w:i/>
          <w:lang w:val="en-US"/>
        </w:rPr>
        <w:t xml:space="preserve">Handyside v. the United Kingdom, </w:t>
      </w:r>
      <w:r w:rsidR="008232A9" w:rsidRPr="008232A9">
        <w:rPr>
          <w:rFonts w:ascii="Times New Roman" w:hAnsi="Times New Roman" w:cs="Times New Roman"/>
          <w:lang w:val="en-US"/>
        </w:rPr>
        <w:t xml:space="preserve">(Application no. 5493/72) </w:t>
      </w:r>
      <w:r w:rsidR="008232A9">
        <w:rPr>
          <w:rFonts w:ascii="Times New Roman" w:hAnsi="Times New Roman" w:cs="Times New Roman"/>
          <w:lang w:val="en-US"/>
        </w:rPr>
        <w:t>7 December 1976</w:t>
      </w:r>
      <w:r w:rsidRPr="00841E7F">
        <w:rPr>
          <w:rFonts w:ascii="Times New Roman" w:hAnsi="Times New Roman" w:cs="Times New Roman"/>
          <w:i/>
          <w:lang w:val="en-US"/>
        </w:rPr>
        <w:t>,</w:t>
      </w:r>
      <w:r w:rsidRPr="00841E7F">
        <w:rPr>
          <w:rFonts w:ascii="Times New Roman" w:hAnsi="Times New Roman" w:cs="Times New Roman"/>
          <w:lang w:val="en-US"/>
        </w:rPr>
        <w:t xml:space="preserve"> par</w:t>
      </w:r>
      <w:r>
        <w:rPr>
          <w:rFonts w:ascii="Times New Roman" w:hAnsi="Times New Roman" w:cs="Times New Roman"/>
          <w:lang w:val="en-US"/>
        </w:rPr>
        <w:t>a</w:t>
      </w:r>
      <w:r w:rsidRPr="00841E7F">
        <w:rPr>
          <w:rFonts w:ascii="Times New Roman" w:hAnsi="Times New Roman" w:cs="Times New Roman"/>
          <w:lang w:val="en-US"/>
        </w:rPr>
        <w:t>. 49.</w:t>
      </w:r>
    </w:p>
  </w:footnote>
  <w:footnote w:id="13">
    <w:p w14:paraId="3CC1A2E7" w14:textId="0B47E311" w:rsidR="006835D7" w:rsidRPr="00841E7F" w:rsidRDefault="006835D7" w:rsidP="00EB20F9">
      <w:pPr>
        <w:pStyle w:val="FootnoteText"/>
        <w:jc w:val="both"/>
        <w:rPr>
          <w:rFonts w:ascii="Times New Roman" w:hAnsi="Times New Roman" w:cs="Times New Roman"/>
          <w:lang w:val="en-US"/>
        </w:rPr>
      </w:pPr>
      <w:r w:rsidRPr="00841E7F">
        <w:rPr>
          <w:rStyle w:val="FootnoteReference"/>
          <w:rFonts w:ascii="Times New Roman" w:hAnsi="Times New Roman" w:cs="Times New Roman"/>
        </w:rPr>
        <w:footnoteRef/>
      </w:r>
      <w:r w:rsidRPr="00841E7F">
        <w:rPr>
          <w:rFonts w:ascii="Times New Roman" w:hAnsi="Times New Roman" w:cs="Times New Roman"/>
        </w:rPr>
        <w:t xml:space="preserve"> </w:t>
      </w:r>
      <w:r w:rsidRPr="00841E7F">
        <w:rPr>
          <w:rFonts w:ascii="Times New Roman" w:hAnsi="Times New Roman" w:cs="Times New Roman"/>
          <w:lang w:val="en-US"/>
        </w:rPr>
        <w:t xml:space="preserve">See </w:t>
      </w:r>
      <w:r w:rsidRPr="00841E7F">
        <w:rPr>
          <w:rFonts w:ascii="Times New Roman" w:hAnsi="Times New Roman" w:cs="Times New Roman"/>
          <w:i/>
          <w:lang w:val="en-US"/>
        </w:rPr>
        <w:t>Delfi AS v. Estonia</w:t>
      </w:r>
      <w:r w:rsidRPr="00841E7F">
        <w:rPr>
          <w:rFonts w:ascii="Times New Roman" w:hAnsi="Times New Roman" w:cs="Times New Roman"/>
          <w:lang w:val="en-US"/>
        </w:rPr>
        <w:t xml:space="preserve"> </w:t>
      </w:r>
      <w:r w:rsidR="008232A9">
        <w:rPr>
          <w:rFonts w:ascii="Times New Roman" w:hAnsi="Times New Roman" w:cs="Times New Roman"/>
          <w:lang w:val="en-US"/>
        </w:rPr>
        <w:t>(</w:t>
      </w:r>
      <w:r w:rsidRPr="00841E7F">
        <w:rPr>
          <w:rFonts w:ascii="Times New Roman" w:hAnsi="Times New Roman" w:cs="Times New Roman"/>
          <w:lang w:val="en-US"/>
        </w:rPr>
        <w:t>Application No 64569/09</w:t>
      </w:r>
      <w:r w:rsidR="008232A9">
        <w:rPr>
          <w:rFonts w:ascii="Times New Roman" w:hAnsi="Times New Roman" w:cs="Times New Roman"/>
          <w:lang w:val="en-US"/>
        </w:rPr>
        <w:t>)</w:t>
      </w:r>
      <w:r w:rsidRPr="00841E7F">
        <w:rPr>
          <w:rFonts w:ascii="Times New Roman" w:hAnsi="Times New Roman" w:cs="Times New Roman"/>
          <w:lang w:val="en-US"/>
        </w:rPr>
        <w:t xml:space="preserve">, 16 June 2015; </w:t>
      </w:r>
      <w:r w:rsidRPr="00841E7F">
        <w:rPr>
          <w:rFonts w:ascii="Times New Roman" w:hAnsi="Times New Roman" w:cs="Times New Roman"/>
          <w:i/>
          <w:lang w:val="en-US"/>
        </w:rPr>
        <w:t>Smajić v. Bosnia and Herzegovina</w:t>
      </w:r>
      <w:r w:rsidRPr="00841E7F">
        <w:rPr>
          <w:rFonts w:ascii="Times New Roman" w:hAnsi="Times New Roman" w:cs="Times New Roman"/>
          <w:lang w:val="en-US"/>
        </w:rPr>
        <w:t xml:space="preserve">, </w:t>
      </w:r>
      <w:r w:rsidR="008232A9">
        <w:rPr>
          <w:rFonts w:ascii="Times New Roman" w:hAnsi="Times New Roman" w:cs="Times New Roman"/>
          <w:lang w:val="en-US"/>
        </w:rPr>
        <w:t>(</w:t>
      </w:r>
      <w:r w:rsidRPr="00841E7F">
        <w:rPr>
          <w:rFonts w:ascii="Times New Roman" w:hAnsi="Times New Roman" w:cs="Times New Roman"/>
          <w:lang w:val="en-US"/>
        </w:rPr>
        <w:t xml:space="preserve">Application No </w:t>
      </w:r>
      <w:r w:rsidRPr="00841E7F">
        <w:rPr>
          <w:rFonts w:ascii="Times New Roman" w:hAnsi="Times New Roman" w:cs="Times New Roman"/>
        </w:rPr>
        <w:t>48657/16</w:t>
      </w:r>
      <w:r w:rsidR="008232A9">
        <w:rPr>
          <w:rFonts w:ascii="Times New Roman" w:hAnsi="Times New Roman" w:cs="Times New Roman"/>
        </w:rPr>
        <w:t>)</w:t>
      </w:r>
      <w:r w:rsidRPr="00841E7F">
        <w:rPr>
          <w:rFonts w:ascii="Times New Roman" w:hAnsi="Times New Roman" w:cs="Times New Roman"/>
          <w:lang w:val="en-US"/>
        </w:rPr>
        <w:t>, January 2018</w:t>
      </w:r>
      <w:r w:rsidRPr="00841E7F">
        <w:rPr>
          <w:rFonts w:ascii="Times New Roman" w:hAnsi="Times New Roman" w:cs="Times New Roman"/>
        </w:rPr>
        <w:t>.</w:t>
      </w:r>
    </w:p>
  </w:footnote>
  <w:footnote w:id="14">
    <w:p w14:paraId="0C0BD067" w14:textId="3505900B" w:rsidR="006835D7" w:rsidRPr="000C5E1D" w:rsidRDefault="006835D7">
      <w:pPr>
        <w:pStyle w:val="FootnoteText"/>
        <w:rPr>
          <w:rFonts w:ascii="Times New Roman" w:hAnsi="Times New Roman" w:cs="Times New Roman"/>
        </w:rPr>
      </w:pPr>
      <w:r w:rsidRPr="000C5E1D">
        <w:rPr>
          <w:rStyle w:val="FootnoteReference"/>
          <w:rFonts w:ascii="Times New Roman" w:hAnsi="Times New Roman" w:cs="Times New Roman"/>
        </w:rPr>
        <w:footnoteRef/>
      </w:r>
      <w:r w:rsidRPr="000C5E1D">
        <w:rPr>
          <w:rFonts w:ascii="Times New Roman" w:hAnsi="Times New Roman" w:cs="Times New Roman"/>
        </w:rPr>
        <w:t xml:space="preserve"> ECtHR case of the </w:t>
      </w:r>
      <w:r w:rsidRPr="006633EC">
        <w:rPr>
          <w:rFonts w:ascii="Times New Roman" w:hAnsi="Times New Roman" w:cs="Times New Roman"/>
          <w:i/>
        </w:rPr>
        <w:t>Christian Democratic People’s Party v. Moldova</w:t>
      </w:r>
      <w:r w:rsidRPr="000C5E1D">
        <w:rPr>
          <w:rFonts w:ascii="Times New Roman" w:hAnsi="Times New Roman" w:cs="Times New Roman"/>
        </w:rPr>
        <w:t xml:space="preserve"> (No.2) (2010), para. 27, the Court rejected the Moldovan government’s assertion that that the slogans, “Down with Voronin’s totalitarian regime, ‘”Down with Putin’s occupation regime)”, even when accompanied by the burning of a picture of the President of the Russian Federation and a Russian flag, amounted to calls to violently overthrow the constitutional regime, to hatred towards the Russian people, or to an instigation to a war of aggression against Russia. The Court noted that these slogans should rather “be understood as an expression of dissatisfaction and protest” – “a form of expressing an opinion in respect of an issue of major public interest, namely the presence of Russian troops on the territory of Moldova.” See also </w:t>
      </w:r>
      <w:r w:rsidRPr="003643ED">
        <w:rPr>
          <w:rFonts w:ascii="Times New Roman" w:hAnsi="Times New Roman" w:cs="Times New Roman"/>
          <w:i/>
        </w:rPr>
        <w:t>op. cit.</w:t>
      </w:r>
      <w:r>
        <w:rPr>
          <w:rFonts w:ascii="Times New Roman" w:hAnsi="Times New Roman" w:cs="Times New Roman"/>
        </w:rPr>
        <w:t xml:space="preserve"> 4 footnote (</w:t>
      </w:r>
      <w:r w:rsidRPr="006633EC">
        <w:rPr>
          <w:rFonts w:ascii="Times New Roman" w:hAnsi="Times New Roman" w:cs="Times New Roman"/>
          <w:i/>
        </w:rPr>
        <w:t>Fáber v. Hungary</w:t>
      </w:r>
      <w:r>
        <w:rPr>
          <w:rFonts w:ascii="Times New Roman" w:hAnsi="Times New Roman" w:cs="Times New Roman"/>
        </w:rPr>
        <w:t>)</w:t>
      </w:r>
      <w:r w:rsidRPr="000C5E1D">
        <w:rPr>
          <w:rFonts w:ascii="Times New Roman" w:hAnsi="Times New Roman" w:cs="Times New Roman"/>
        </w:rPr>
        <w:t>, para. 56 where the Court stated that: “even assuming that some demonstrators may have considered the flag as offensive, shocking, or even ‘fascist’, for the Court, its mere display was not capable of disturbing public order or hampering the exercise of the demonstrators’ right to assemble as it was neither intimidating, nor capable of inciting to violence by instilling a deep-seated and irrational hatred against identifiable persons.”</w:t>
      </w:r>
    </w:p>
  </w:footnote>
  <w:footnote w:id="15">
    <w:p w14:paraId="6CCEC340" w14:textId="4221798E" w:rsidR="006835D7" w:rsidRPr="003643ED" w:rsidRDefault="006835D7">
      <w:pPr>
        <w:pStyle w:val="FootnoteText"/>
        <w:rPr>
          <w:rFonts w:ascii="Times New Roman" w:hAnsi="Times New Roman" w:cs="Times New Roman"/>
        </w:rPr>
      </w:pPr>
      <w:r w:rsidRPr="003643ED">
        <w:rPr>
          <w:rStyle w:val="FootnoteReference"/>
          <w:rFonts w:ascii="Times New Roman" w:hAnsi="Times New Roman" w:cs="Times New Roman"/>
        </w:rPr>
        <w:footnoteRef/>
      </w:r>
      <w:r w:rsidRPr="003643ED">
        <w:rPr>
          <w:rFonts w:ascii="Times New Roman" w:hAnsi="Times New Roman" w:cs="Times New Roman"/>
        </w:rPr>
        <w:t xml:space="preserve"> </w:t>
      </w:r>
      <w:r w:rsidRPr="003643ED">
        <w:rPr>
          <w:rFonts w:ascii="Times New Roman" w:hAnsi="Times New Roman" w:cs="Times New Roman"/>
          <w:i/>
        </w:rPr>
        <w:t>Op. cit.</w:t>
      </w:r>
      <w:r w:rsidRPr="003643ED">
        <w:rPr>
          <w:rFonts w:ascii="Times New Roman" w:hAnsi="Times New Roman" w:cs="Times New Roman"/>
        </w:rPr>
        <w:t xml:space="preserve"> footnote 1 (OSCE/ODIHR-Venice Commission Guidelines on Freedom of Peaceful Assembly, 3</w:t>
      </w:r>
      <w:r w:rsidRPr="003643ED">
        <w:rPr>
          <w:rFonts w:ascii="Times New Roman" w:hAnsi="Times New Roman" w:cs="Times New Roman"/>
          <w:vertAlign w:val="superscript"/>
        </w:rPr>
        <w:t>rd</w:t>
      </w:r>
      <w:r w:rsidRPr="003643ED">
        <w:rPr>
          <w:rFonts w:ascii="Times New Roman" w:hAnsi="Times New Roman" w:cs="Times New Roman"/>
        </w:rPr>
        <w:t xml:space="preserve"> edition), para. 230</w:t>
      </w:r>
      <w:r>
        <w:rPr>
          <w:rFonts w:ascii="Times New Roman" w:hAnsi="Times New Roman" w:cs="Times New Roman"/>
        </w:rPr>
        <w:t>.</w:t>
      </w:r>
      <w:r w:rsidRPr="003643ED">
        <w:rPr>
          <w:rFonts w:ascii="Times New Roman" w:hAnsi="Times New Roman" w:cs="Times New Roman"/>
        </w:rPr>
        <w:t xml:space="preserve">  </w:t>
      </w:r>
    </w:p>
  </w:footnote>
  <w:footnote w:id="16">
    <w:p w14:paraId="725CB3EC" w14:textId="76026C24" w:rsidR="006835D7" w:rsidRPr="00841E7F" w:rsidRDefault="006835D7">
      <w:pPr>
        <w:pStyle w:val="FootnoteText"/>
        <w:rPr>
          <w:rFonts w:ascii="Times New Roman" w:hAnsi="Times New Roman" w:cs="Times New Roman"/>
        </w:rPr>
      </w:pPr>
      <w:r w:rsidRPr="00841E7F">
        <w:rPr>
          <w:rStyle w:val="FootnoteReference"/>
          <w:rFonts w:ascii="Times New Roman" w:hAnsi="Times New Roman" w:cs="Times New Roman"/>
        </w:rPr>
        <w:footnoteRef/>
      </w:r>
      <w:r w:rsidRPr="00841E7F">
        <w:rPr>
          <w:rFonts w:ascii="Times New Roman" w:hAnsi="Times New Roman" w:cs="Times New Roman"/>
        </w:rPr>
        <w:t xml:space="preserve"> ICCPR, Article 26, see also: OHCHR, The rights of non-citizens (2006): </w:t>
      </w:r>
      <w:hyperlink r:id="rId3" w:history="1">
        <w:r w:rsidRPr="00841E7F">
          <w:rPr>
            <w:rStyle w:val="Hyperlink"/>
            <w:rFonts w:ascii="Times New Roman" w:hAnsi="Times New Roman" w:cs="Times New Roman"/>
          </w:rPr>
          <w:t>https://www.ohchr.org/Documents/Publications/noncitizensen.pdf</w:t>
        </w:r>
      </w:hyperlink>
      <w:r w:rsidRPr="00841E7F">
        <w:rPr>
          <w:rFonts w:ascii="Times New Roman" w:hAnsi="Times New Roman" w:cs="Times New Roman"/>
        </w:rPr>
        <w:t xml:space="preserve"> </w:t>
      </w:r>
    </w:p>
  </w:footnote>
  <w:footnote w:id="17">
    <w:p w14:paraId="5E7834E8" w14:textId="77777777" w:rsidR="006835D7" w:rsidRPr="00C022D5" w:rsidRDefault="006835D7" w:rsidP="00D07260">
      <w:pPr>
        <w:pStyle w:val="CommentText"/>
        <w:rPr>
          <w:rFonts w:ascii="Times New Roman" w:hAnsi="Times New Roman" w:cs="Times New Roman"/>
        </w:rPr>
      </w:pPr>
      <w:r>
        <w:rPr>
          <w:rStyle w:val="FootnoteReference"/>
        </w:rPr>
        <w:footnoteRef/>
      </w:r>
      <w:r>
        <w:t xml:space="preserve"> </w:t>
      </w:r>
      <w:r w:rsidRPr="00D07260">
        <w:rPr>
          <w:rFonts w:ascii="Times New Roman" w:hAnsi="Times New Roman" w:cs="Times New Roman"/>
        </w:rPr>
        <w:t>2</w:t>
      </w:r>
      <w:r w:rsidRPr="00D07260">
        <w:rPr>
          <w:rFonts w:ascii="Times New Roman" w:hAnsi="Times New Roman" w:cs="Times New Roman"/>
          <w:vertAlign w:val="superscript"/>
        </w:rPr>
        <w:t>nd</w:t>
      </w:r>
      <w:r w:rsidRPr="00D07260">
        <w:rPr>
          <w:rFonts w:ascii="Times New Roman" w:hAnsi="Times New Roman" w:cs="Times New Roman"/>
        </w:rPr>
        <w:t xml:space="preserve"> and 3</w:t>
      </w:r>
      <w:r w:rsidRPr="00D07260">
        <w:rPr>
          <w:rFonts w:ascii="Times New Roman" w:hAnsi="Times New Roman" w:cs="Times New Roman"/>
          <w:vertAlign w:val="superscript"/>
        </w:rPr>
        <w:t>rd</w:t>
      </w:r>
      <w:r w:rsidRPr="00C022D5">
        <w:rPr>
          <w:rFonts w:ascii="Times New Roman" w:hAnsi="Times New Roman" w:cs="Times New Roman"/>
        </w:rPr>
        <w:t xml:space="preserve"> editions of the </w:t>
      </w:r>
      <w:r w:rsidRPr="00D07260">
        <w:rPr>
          <w:rFonts w:ascii="Times New Roman" w:hAnsi="Times New Roman" w:cs="Times New Roman"/>
        </w:rPr>
        <w:t>OSCE/ODIHR-Venice Commission Guidelines may serve as useful examples</w:t>
      </w:r>
      <w:r w:rsidRPr="00C022D5">
        <w:rPr>
          <w:rFonts w:ascii="Times New Roman" w:hAnsi="Times New Roman" w:cs="Times New Roman"/>
        </w:rPr>
        <w:t xml:space="preserve">. </w:t>
      </w:r>
    </w:p>
    <w:p w14:paraId="47B88157" w14:textId="77777777" w:rsidR="006835D7" w:rsidRPr="00D07260" w:rsidRDefault="006835D7" w:rsidP="00D07260">
      <w:pPr>
        <w:pStyle w:val="CommentText"/>
        <w:rPr>
          <w:rFonts w:ascii="Times New Roman" w:hAnsi="Times New Roman" w:cs="Times New Roman"/>
        </w:rPr>
      </w:pPr>
      <w:r w:rsidRPr="00C022D5">
        <w:rPr>
          <w:rFonts w:ascii="Times New Roman" w:hAnsi="Times New Roman" w:cs="Times New Roman"/>
        </w:rPr>
        <w:t>2</w:t>
      </w:r>
      <w:r w:rsidRPr="00D07260">
        <w:rPr>
          <w:rFonts w:ascii="Times New Roman" w:hAnsi="Times New Roman" w:cs="Times New Roman"/>
          <w:vertAlign w:val="superscript"/>
        </w:rPr>
        <w:t>nd</w:t>
      </w:r>
      <w:r w:rsidRPr="00D07260">
        <w:rPr>
          <w:rFonts w:ascii="Times New Roman" w:hAnsi="Times New Roman" w:cs="Times New Roman"/>
        </w:rPr>
        <w:t xml:space="preserve"> edition: … the state should make available adequate policing resources to facilitate such related simultaneous assemblies, to the extent possible, within “sight and sound” of one another; </w:t>
      </w:r>
    </w:p>
    <w:p w14:paraId="70345D5A" w14:textId="1D24FEA7" w:rsidR="006835D7" w:rsidRPr="00D07260" w:rsidRDefault="006835D7" w:rsidP="00D07260">
      <w:pPr>
        <w:pStyle w:val="CommentText"/>
        <w:rPr>
          <w:rFonts w:ascii="Times New Roman" w:hAnsi="Times New Roman" w:cs="Times New Roman"/>
        </w:rPr>
      </w:pPr>
      <w:r w:rsidRPr="00D07260">
        <w:rPr>
          <w:rFonts w:ascii="Times New Roman" w:hAnsi="Times New Roman" w:cs="Times New Roman"/>
        </w:rPr>
        <w:t>3</w:t>
      </w:r>
      <w:r w:rsidRPr="00D07260">
        <w:rPr>
          <w:rFonts w:ascii="Times New Roman" w:hAnsi="Times New Roman" w:cs="Times New Roman"/>
          <w:vertAlign w:val="superscript"/>
        </w:rPr>
        <w:t>rd</w:t>
      </w:r>
      <w:r w:rsidRPr="00D07260">
        <w:rPr>
          <w:rFonts w:ascii="Times New Roman" w:hAnsi="Times New Roman" w:cs="Times New Roman"/>
        </w:rPr>
        <w:t xml:space="preserve"> </w:t>
      </w:r>
      <w:r w:rsidRPr="00D07260">
        <w:rPr>
          <w:rFonts w:ascii="Times New Roman" w:eastAsiaTheme="minorHAnsi" w:hAnsi="Times New Roman" w:cs="Times New Roman"/>
        </w:rPr>
        <w:t>edition: … the authorities should still seek to accommodate the different assemblies, ensuring, insofar as possible, that any alternative locations remain within sight and sound of the target audiences.</w:t>
      </w:r>
    </w:p>
    <w:p w14:paraId="3A36D079" w14:textId="6953B948" w:rsidR="006835D7" w:rsidRPr="00D07260" w:rsidRDefault="006835D7">
      <w:pPr>
        <w:pStyle w:val="FootnoteText"/>
      </w:pPr>
    </w:p>
  </w:footnote>
  <w:footnote w:id="18">
    <w:p w14:paraId="62A0E934" w14:textId="77777777" w:rsidR="006835D7" w:rsidRPr="00841E7F" w:rsidRDefault="006835D7" w:rsidP="00834F45">
      <w:pPr>
        <w:pStyle w:val="FootnoteText"/>
        <w:jc w:val="both"/>
        <w:rPr>
          <w:rFonts w:ascii="Times New Roman" w:hAnsi="Times New Roman" w:cs="Times New Roman"/>
        </w:rPr>
      </w:pPr>
    </w:p>
    <w:p w14:paraId="521F50B2" w14:textId="2ABE4C1D" w:rsidR="006835D7" w:rsidRPr="00841E7F" w:rsidRDefault="006835D7" w:rsidP="00834F45">
      <w:pPr>
        <w:pStyle w:val="FootnoteText"/>
        <w:jc w:val="both"/>
        <w:rPr>
          <w:rFonts w:ascii="Times New Roman" w:hAnsi="Times New Roman" w:cs="Times New Roman"/>
        </w:rPr>
      </w:pPr>
      <w:r w:rsidRPr="00841E7F">
        <w:rPr>
          <w:rStyle w:val="FootnoteReference"/>
          <w:rFonts w:ascii="Times New Roman" w:hAnsi="Times New Roman" w:cs="Times New Roman"/>
        </w:rPr>
        <w:footnoteRef/>
      </w:r>
      <w:r w:rsidRPr="00841E7F">
        <w:rPr>
          <w:rFonts w:ascii="Times New Roman" w:hAnsi="Times New Roman" w:cs="Times New Roman"/>
        </w:rPr>
        <w:t xml:space="preserve"> See, for example, </w:t>
      </w:r>
      <w:r w:rsidRPr="003643ED">
        <w:rPr>
          <w:rFonts w:ascii="Times New Roman" w:hAnsi="Times New Roman" w:cs="Times New Roman"/>
          <w:i/>
        </w:rPr>
        <w:t>op. cit</w:t>
      </w:r>
      <w:r>
        <w:rPr>
          <w:rFonts w:ascii="Times New Roman" w:hAnsi="Times New Roman" w:cs="Times New Roman"/>
          <w:i/>
        </w:rPr>
        <w:t>.</w:t>
      </w:r>
      <w:r>
        <w:rPr>
          <w:rFonts w:ascii="Times New Roman" w:hAnsi="Times New Roman" w:cs="Times New Roman"/>
        </w:rPr>
        <w:t xml:space="preserve"> footnote 2</w:t>
      </w:r>
      <w:r w:rsidRPr="00841E7F">
        <w:rPr>
          <w:rFonts w:ascii="Times New Roman" w:hAnsi="Times New Roman" w:cs="Times New Roman"/>
        </w:rPr>
        <w:t>, par</w:t>
      </w:r>
      <w:r>
        <w:rPr>
          <w:rFonts w:ascii="Times New Roman" w:hAnsi="Times New Roman" w:cs="Times New Roman"/>
        </w:rPr>
        <w:t>a</w:t>
      </w:r>
      <w:r w:rsidRPr="00841E7F">
        <w:rPr>
          <w:rFonts w:ascii="Times New Roman" w:hAnsi="Times New Roman" w:cs="Times New Roman"/>
        </w:rPr>
        <w:t>. 33: “there is no indication that an evaluation of the resources necessary for neutralising the threat was part of the domestic authorities' decision-making process. Instead of considering measures which could have allowed the applicant's religious assembly to proceed peacefully, the authorities imposed a ban on it. They resorted to the most radical measure, denying the applicant the possibility of exercising his rights to freedom of religion and assembly.”</w:t>
      </w:r>
    </w:p>
  </w:footnote>
  <w:footnote w:id="19">
    <w:p w14:paraId="110480E9" w14:textId="48868E85" w:rsidR="006835D7" w:rsidRPr="00841E7F" w:rsidRDefault="006835D7" w:rsidP="002B1E38">
      <w:pPr>
        <w:pStyle w:val="NoSpacing"/>
        <w:jc w:val="both"/>
        <w:rPr>
          <w:rFonts w:ascii="Times New Roman" w:hAnsi="Times New Roman"/>
          <w:sz w:val="20"/>
          <w:szCs w:val="20"/>
        </w:rPr>
      </w:pPr>
      <w:r w:rsidRPr="00841E7F">
        <w:rPr>
          <w:rStyle w:val="FootnoteReference"/>
          <w:rFonts w:ascii="Times New Roman" w:hAnsi="Times New Roman"/>
          <w:sz w:val="20"/>
          <w:szCs w:val="20"/>
        </w:rPr>
        <w:footnoteRef/>
      </w:r>
      <w:r w:rsidRPr="00841E7F">
        <w:rPr>
          <w:rFonts w:ascii="Times New Roman" w:hAnsi="Times New Roman"/>
          <w:sz w:val="20"/>
          <w:szCs w:val="20"/>
        </w:rPr>
        <w:t xml:space="preserve"> For criticism of a legislative provision relating to morality, see &lt;</w:t>
      </w:r>
      <w:hyperlink r:id="rId4" w:history="1">
        <w:r w:rsidRPr="00841E7F">
          <w:rPr>
            <w:rStyle w:val="Hyperlink"/>
            <w:rFonts w:ascii="Times New Roman" w:hAnsi="Times New Roman"/>
            <w:sz w:val="20"/>
            <w:szCs w:val="20"/>
          </w:rPr>
          <w:t>http://www.bahrainrights.org/node/208</w:t>
        </w:r>
      </w:hyperlink>
      <w:r w:rsidRPr="00841E7F">
        <w:rPr>
          <w:rFonts w:ascii="Times New Roman" w:hAnsi="Times New Roman"/>
          <w:sz w:val="20"/>
          <w:szCs w:val="20"/>
        </w:rPr>
        <w:t>&gt; and &lt;</w:t>
      </w:r>
      <w:hyperlink r:id="rId5" w:history="1">
        <w:r w:rsidRPr="00841E7F">
          <w:rPr>
            <w:rStyle w:val="Hyperlink"/>
            <w:rFonts w:ascii="Times New Roman" w:hAnsi="Times New Roman"/>
            <w:sz w:val="20"/>
            <w:szCs w:val="20"/>
          </w:rPr>
          <w:t>http://hrw.org/english/docs/2006/06/08/bahrai13529.htm</w:t>
        </w:r>
      </w:hyperlink>
      <w:r w:rsidRPr="00841E7F">
        <w:rPr>
          <w:rFonts w:ascii="Times New Roman" w:hAnsi="Times New Roman"/>
          <w:sz w:val="20"/>
          <w:szCs w:val="20"/>
        </w:rPr>
        <w:t xml:space="preserve">&gt;. Manfred Nowak’s </w:t>
      </w:r>
      <w:r w:rsidRPr="00841E7F">
        <w:rPr>
          <w:rFonts w:ascii="Times New Roman" w:hAnsi="Times New Roman"/>
          <w:i/>
          <w:sz w:val="20"/>
          <w:szCs w:val="20"/>
        </w:rPr>
        <w:t>UN Covenant on Civil and Political Rights: CCPR Commentary (2</w:t>
      </w:r>
      <w:r w:rsidRPr="00841E7F">
        <w:rPr>
          <w:rFonts w:ascii="Times New Roman" w:hAnsi="Times New Roman"/>
          <w:i/>
          <w:sz w:val="20"/>
          <w:szCs w:val="20"/>
          <w:vertAlign w:val="superscript"/>
        </w:rPr>
        <w:t>nd</w:t>
      </w:r>
      <w:r w:rsidRPr="00841E7F">
        <w:rPr>
          <w:rFonts w:ascii="Times New Roman" w:hAnsi="Times New Roman"/>
          <w:i/>
          <w:sz w:val="20"/>
          <w:szCs w:val="20"/>
        </w:rPr>
        <w:t xml:space="preserve"> edition),</w:t>
      </w:r>
      <w:r w:rsidRPr="00841E7F">
        <w:rPr>
          <w:rFonts w:ascii="Times New Roman" w:hAnsi="Times New Roman"/>
          <w:sz w:val="20"/>
          <w:szCs w:val="20"/>
        </w:rPr>
        <w:t xml:space="preserve"> - assemblies near or passing ‘holy locations or cemeteries’ (in relation to morality) as a particular example, p. 493.</w:t>
      </w:r>
    </w:p>
  </w:footnote>
  <w:footnote w:id="20">
    <w:p w14:paraId="26C0F872" w14:textId="3929A0FB" w:rsidR="006835D7" w:rsidRPr="00841E7F" w:rsidRDefault="006835D7" w:rsidP="00727545">
      <w:pPr>
        <w:pStyle w:val="FootnoteText"/>
        <w:jc w:val="both"/>
        <w:rPr>
          <w:rFonts w:ascii="Times New Roman" w:hAnsi="Times New Roman" w:cs="Times New Roman"/>
        </w:rPr>
      </w:pPr>
      <w:r w:rsidRPr="00841E7F">
        <w:rPr>
          <w:rStyle w:val="FootnoteReference"/>
          <w:rFonts w:ascii="Times New Roman" w:hAnsi="Times New Roman" w:cs="Times New Roman"/>
        </w:rPr>
        <w:footnoteRef/>
      </w:r>
      <w:r w:rsidRPr="00841E7F">
        <w:rPr>
          <w:rFonts w:ascii="Times New Roman" w:hAnsi="Times New Roman" w:cs="Times New Roman"/>
        </w:rPr>
        <w:t xml:space="preserve"> </w:t>
      </w:r>
      <w:r>
        <w:rPr>
          <w:rFonts w:ascii="Times New Roman" w:hAnsi="Times New Roman" w:cs="Times New Roman"/>
        </w:rPr>
        <w:t xml:space="preserve">See </w:t>
      </w:r>
      <w:r w:rsidRPr="00BE5A44">
        <w:rPr>
          <w:rFonts w:ascii="Times New Roman" w:hAnsi="Times New Roman" w:cs="Times New Roman"/>
          <w:i/>
        </w:rPr>
        <w:t>Op</w:t>
      </w:r>
      <w:r>
        <w:rPr>
          <w:rFonts w:ascii="Times New Roman" w:hAnsi="Times New Roman" w:cs="Times New Roman"/>
          <w:i/>
        </w:rPr>
        <w:t>.</w:t>
      </w:r>
      <w:r w:rsidRPr="00BE5A44">
        <w:rPr>
          <w:rFonts w:ascii="Times New Roman" w:hAnsi="Times New Roman" w:cs="Times New Roman"/>
          <w:i/>
        </w:rPr>
        <w:t xml:space="preserve"> cit.</w:t>
      </w:r>
      <w:r w:rsidR="008A5196">
        <w:rPr>
          <w:rFonts w:ascii="Times New Roman" w:hAnsi="Times New Roman" w:cs="Times New Roman"/>
        </w:rPr>
        <w:t xml:space="preserve"> footnote 9</w:t>
      </w:r>
      <w:r>
        <w:rPr>
          <w:rFonts w:ascii="Times New Roman" w:hAnsi="Times New Roman" w:cs="Times New Roman"/>
        </w:rPr>
        <w:t xml:space="preserve"> (</w:t>
      </w:r>
      <w:r w:rsidRPr="00841E7F">
        <w:rPr>
          <w:rFonts w:ascii="Times New Roman" w:hAnsi="Times New Roman" w:cs="Times New Roman"/>
        </w:rPr>
        <w:t xml:space="preserve">Joint Report of </w:t>
      </w:r>
      <w:r>
        <w:rPr>
          <w:rFonts w:ascii="Times New Roman" w:hAnsi="Times New Roman" w:cs="Times New Roman"/>
        </w:rPr>
        <w:t>the UN Special Rapporteur</w:t>
      </w:r>
      <w:r w:rsidRPr="00841E7F">
        <w:rPr>
          <w:rFonts w:ascii="Times New Roman" w:hAnsi="Times New Roman" w:cs="Times New Roman"/>
        </w:rPr>
        <w:t>, A/HRC/31/66</w:t>
      </w:r>
      <w:r>
        <w:rPr>
          <w:rFonts w:ascii="Times New Roman" w:hAnsi="Times New Roman" w:cs="Times New Roman"/>
        </w:rPr>
        <w:t>)</w:t>
      </w:r>
      <w:r w:rsidRPr="00841E7F">
        <w:rPr>
          <w:rFonts w:ascii="Times New Roman" w:hAnsi="Times New Roman" w:cs="Times New Roman"/>
        </w:rPr>
        <w:t>, para. 21.</w:t>
      </w:r>
    </w:p>
  </w:footnote>
  <w:footnote w:id="21">
    <w:p w14:paraId="5407F425" w14:textId="05151A1F" w:rsidR="006835D7" w:rsidRPr="00841E7F" w:rsidRDefault="006835D7" w:rsidP="00727545">
      <w:pPr>
        <w:pStyle w:val="NoSpacing"/>
        <w:jc w:val="both"/>
        <w:rPr>
          <w:rFonts w:ascii="Times New Roman" w:hAnsi="Times New Roman"/>
          <w:sz w:val="20"/>
          <w:szCs w:val="20"/>
        </w:rPr>
      </w:pPr>
      <w:r w:rsidRPr="00841E7F">
        <w:rPr>
          <w:rStyle w:val="FootnoteReference"/>
          <w:rFonts w:ascii="Times New Roman" w:hAnsi="Times New Roman"/>
          <w:sz w:val="20"/>
          <w:szCs w:val="20"/>
        </w:rPr>
        <w:footnoteRef/>
      </w:r>
      <w:r w:rsidRPr="00841E7F">
        <w:rPr>
          <w:rFonts w:ascii="Times New Roman" w:hAnsi="Times New Roman"/>
          <w:sz w:val="20"/>
          <w:szCs w:val="20"/>
        </w:rPr>
        <w:t xml:space="preserve"> See </w:t>
      </w:r>
      <w:r w:rsidRPr="00E105BD">
        <w:rPr>
          <w:rFonts w:ascii="Times New Roman" w:hAnsi="Times New Roman"/>
          <w:i/>
          <w:sz w:val="20"/>
          <w:szCs w:val="20"/>
        </w:rPr>
        <w:t>Op. cit.</w:t>
      </w:r>
      <w:r>
        <w:rPr>
          <w:rFonts w:ascii="Times New Roman" w:hAnsi="Times New Roman"/>
          <w:sz w:val="20"/>
          <w:szCs w:val="20"/>
        </w:rPr>
        <w:t xml:space="preserve"> footnote 4 (</w:t>
      </w:r>
      <w:r w:rsidRPr="00841E7F">
        <w:rPr>
          <w:rFonts w:ascii="Times New Roman" w:hAnsi="Times New Roman"/>
          <w:sz w:val="20"/>
          <w:szCs w:val="20"/>
        </w:rPr>
        <w:t xml:space="preserve">Report of </w:t>
      </w:r>
      <w:r>
        <w:rPr>
          <w:rFonts w:ascii="Times New Roman" w:hAnsi="Times New Roman"/>
          <w:sz w:val="20"/>
          <w:szCs w:val="20"/>
        </w:rPr>
        <w:t>the UN Special Rapporteur</w:t>
      </w:r>
      <w:r w:rsidRPr="00841E7F">
        <w:rPr>
          <w:rFonts w:ascii="Times New Roman" w:hAnsi="Times New Roman"/>
          <w:sz w:val="20"/>
          <w:szCs w:val="20"/>
        </w:rPr>
        <w:t>, A/HRC/23/39</w:t>
      </w:r>
      <w:r>
        <w:rPr>
          <w:rFonts w:ascii="Times New Roman" w:hAnsi="Times New Roman"/>
          <w:sz w:val="20"/>
          <w:szCs w:val="20"/>
        </w:rPr>
        <w:t>)</w:t>
      </w:r>
      <w:r w:rsidRPr="00841E7F">
        <w:rPr>
          <w:rFonts w:ascii="Times New Roman" w:hAnsi="Times New Roman"/>
          <w:i/>
          <w:sz w:val="20"/>
          <w:szCs w:val="20"/>
        </w:rPr>
        <w:t>,</w:t>
      </w:r>
      <w:r w:rsidRPr="00841E7F">
        <w:rPr>
          <w:rFonts w:ascii="Times New Roman" w:hAnsi="Times New Roman"/>
          <w:sz w:val="20"/>
          <w:szCs w:val="20"/>
        </w:rPr>
        <w:t xml:space="preserve"> para. 63: “…blanket bans, are intrinsically disproportionate and discriminatory measures as they impact on all citizens willing to exercise their right to freedom of peacefully assembly”. </w:t>
      </w:r>
    </w:p>
  </w:footnote>
  <w:footnote w:id="22">
    <w:p w14:paraId="46B04891" w14:textId="19B7A580" w:rsidR="006835D7" w:rsidRPr="00841E7F" w:rsidRDefault="006835D7" w:rsidP="003B3BAD">
      <w:pPr>
        <w:pStyle w:val="FootnoteText"/>
        <w:rPr>
          <w:rFonts w:ascii="Times New Roman" w:hAnsi="Times New Roman" w:cs="Times New Roman"/>
        </w:rPr>
      </w:pPr>
      <w:r w:rsidRPr="00841E7F">
        <w:rPr>
          <w:rStyle w:val="FootnoteReference"/>
          <w:rFonts w:ascii="Times New Roman" w:hAnsi="Times New Roman" w:cs="Times New Roman"/>
        </w:rPr>
        <w:footnoteRef/>
      </w:r>
      <w:r w:rsidRPr="00841E7F">
        <w:rPr>
          <w:rFonts w:ascii="Times New Roman" w:hAnsi="Times New Roman" w:cs="Times New Roman"/>
        </w:rPr>
        <w:t xml:space="preserve"> See </w:t>
      </w:r>
      <w:r w:rsidRPr="00BE5A44">
        <w:rPr>
          <w:rFonts w:ascii="Times New Roman" w:hAnsi="Times New Roman" w:cs="Times New Roman"/>
          <w:i/>
        </w:rPr>
        <w:t>Op. cit.</w:t>
      </w:r>
      <w:r w:rsidR="008A5196">
        <w:rPr>
          <w:rFonts w:ascii="Times New Roman" w:hAnsi="Times New Roman" w:cs="Times New Roman"/>
        </w:rPr>
        <w:t xml:space="preserve"> footnote </w:t>
      </w:r>
      <w:r>
        <w:rPr>
          <w:rFonts w:ascii="Times New Roman" w:hAnsi="Times New Roman" w:cs="Times New Roman"/>
        </w:rPr>
        <w:t xml:space="preserve"> (</w:t>
      </w:r>
      <w:r w:rsidRPr="00841E7F">
        <w:rPr>
          <w:rFonts w:ascii="Times New Roman" w:hAnsi="Times New Roman" w:cs="Times New Roman"/>
        </w:rPr>
        <w:t>Joint report A/HRC/31/66</w:t>
      </w:r>
      <w:r>
        <w:rPr>
          <w:rFonts w:ascii="Times New Roman" w:hAnsi="Times New Roman" w:cs="Times New Roman"/>
        </w:rPr>
        <w:t>)</w:t>
      </w:r>
      <w:r w:rsidRPr="00841E7F">
        <w:rPr>
          <w:rFonts w:ascii="Times New Roman" w:hAnsi="Times New Roman" w:cs="Times New Roman"/>
        </w:rPr>
        <w:t>, par</w:t>
      </w:r>
      <w:r>
        <w:rPr>
          <w:rFonts w:ascii="Times New Roman" w:hAnsi="Times New Roman" w:cs="Times New Roman"/>
        </w:rPr>
        <w:t>a. 30.</w:t>
      </w:r>
    </w:p>
    <w:p w14:paraId="73DCC25B" w14:textId="77777777" w:rsidR="006835D7" w:rsidRPr="00BE2469" w:rsidRDefault="006835D7" w:rsidP="003B3BAD">
      <w:pPr>
        <w:pStyle w:val="FootnoteText"/>
        <w:rPr>
          <w:rFonts w:ascii="Times New Roman" w:hAnsi="Times New Roman" w:cs="Times New Roman"/>
          <w:lang w:val="en-US"/>
        </w:rPr>
      </w:pPr>
    </w:p>
  </w:footnote>
  <w:footnote w:id="23">
    <w:p w14:paraId="31B576BD" w14:textId="28C15FF9" w:rsidR="006835D7" w:rsidRPr="003B3BAD" w:rsidRDefault="006835D7">
      <w:pPr>
        <w:pStyle w:val="FootnoteText"/>
        <w:rPr>
          <w:lang w:val="en-US"/>
        </w:rPr>
      </w:pPr>
      <w:r w:rsidRPr="007B3150">
        <w:rPr>
          <w:rStyle w:val="FootnoteReference"/>
          <w:rFonts w:ascii="Times New Roman" w:hAnsi="Times New Roman" w:cs="Times New Roman"/>
        </w:rPr>
        <w:footnoteRef/>
      </w:r>
      <w:r w:rsidRPr="007B3150">
        <w:rPr>
          <w:rFonts w:ascii="Times New Roman" w:hAnsi="Times New Roman" w:cs="Times New Roman"/>
        </w:rPr>
        <w:t xml:space="preserve"> </w:t>
      </w:r>
      <w:r w:rsidRPr="00BE5A44">
        <w:rPr>
          <w:rFonts w:ascii="Times New Roman" w:hAnsi="Times New Roman" w:cs="Times New Roman"/>
          <w:i/>
        </w:rPr>
        <w:t>Ibid</w:t>
      </w:r>
      <w:r>
        <w:rPr>
          <w:rFonts w:ascii="Times New Roman" w:hAnsi="Times New Roman" w:cs="Times New Roman"/>
        </w:rPr>
        <w:t>,</w:t>
      </w:r>
      <w:r w:rsidRPr="007B3150">
        <w:rPr>
          <w:rFonts w:ascii="Times New Roman" w:hAnsi="Times New Roman" w:cs="Times New Roman"/>
        </w:rPr>
        <w:t xml:space="preserve"> para. 30</w:t>
      </w:r>
    </w:p>
  </w:footnote>
  <w:footnote w:id="24">
    <w:p w14:paraId="5BC34FE7" w14:textId="44E3078E" w:rsidR="006835D7" w:rsidRPr="003B3BAD" w:rsidRDefault="006835D7">
      <w:pPr>
        <w:pStyle w:val="FootnoteText"/>
      </w:pPr>
      <w:r>
        <w:rPr>
          <w:rStyle w:val="FootnoteReference"/>
        </w:rPr>
        <w:footnoteRef/>
      </w:r>
      <w:r>
        <w:t xml:space="preserve"> </w:t>
      </w:r>
      <w:r w:rsidRPr="007B3150">
        <w:rPr>
          <w:rFonts w:ascii="Times New Roman" w:hAnsi="Times New Roman" w:cs="Times New Roman"/>
          <w:i/>
        </w:rPr>
        <w:t>Op. cit.</w:t>
      </w:r>
      <w:r w:rsidRPr="003643ED">
        <w:rPr>
          <w:rFonts w:ascii="Times New Roman" w:hAnsi="Times New Roman" w:cs="Times New Roman"/>
        </w:rPr>
        <w:t xml:space="preserve"> footnote 1 (OSCE/ODIHR-Venice Commission Guidelines on Freedom of Peaceful Assembly, 3</w:t>
      </w:r>
      <w:r w:rsidRPr="003643ED">
        <w:rPr>
          <w:rFonts w:ascii="Times New Roman" w:hAnsi="Times New Roman" w:cs="Times New Roman"/>
          <w:vertAlign w:val="superscript"/>
        </w:rPr>
        <w:t>rd</w:t>
      </w:r>
      <w:r w:rsidRPr="003643ED">
        <w:rPr>
          <w:rFonts w:ascii="Times New Roman" w:hAnsi="Times New Roman" w:cs="Times New Roman"/>
        </w:rPr>
        <w:t xml:space="preserve"> edition) para. 153.</w:t>
      </w:r>
    </w:p>
  </w:footnote>
  <w:footnote w:id="25">
    <w:p w14:paraId="2644EF10" w14:textId="169FAFEA" w:rsidR="006835D7" w:rsidRPr="00BE3B9C" w:rsidRDefault="006835D7">
      <w:pPr>
        <w:pStyle w:val="FootnoteText"/>
        <w:rPr>
          <w:rFonts w:ascii="Times New Roman" w:hAnsi="Times New Roman" w:cs="Times New Roman"/>
        </w:rPr>
      </w:pPr>
      <w:r w:rsidRPr="00BE3B9C">
        <w:rPr>
          <w:rStyle w:val="FootnoteReference"/>
          <w:rFonts w:ascii="Times New Roman" w:hAnsi="Times New Roman" w:cs="Times New Roman"/>
        </w:rPr>
        <w:footnoteRef/>
      </w:r>
      <w:r w:rsidRPr="00BE3B9C">
        <w:rPr>
          <w:rFonts w:ascii="Times New Roman" w:hAnsi="Times New Roman" w:cs="Times New Roman"/>
        </w:rPr>
        <w:t xml:space="preserve"> </w:t>
      </w:r>
      <w:r w:rsidRPr="00294571">
        <w:rPr>
          <w:rFonts w:ascii="Times New Roman" w:hAnsi="Times New Roman" w:cs="Times New Roman"/>
          <w:i/>
        </w:rPr>
        <w:t>Op .cit.</w:t>
      </w:r>
      <w:r>
        <w:rPr>
          <w:rFonts w:ascii="Times New Roman" w:hAnsi="Times New Roman" w:cs="Times New Roman"/>
        </w:rPr>
        <w:t xml:space="preserve"> footnote 1</w:t>
      </w:r>
      <w:r w:rsidR="008A5196">
        <w:rPr>
          <w:rFonts w:ascii="Times New Roman" w:hAnsi="Times New Roman" w:cs="Times New Roman"/>
        </w:rPr>
        <w:t>6</w:t>
      </w:r>
      <w:r>
        <w:rPr>
          <w:rFonts w:ascii="Times New Roman" w:hAnsi="Times New Roman" w:cs="Times New Roman"/>
        </w:rPr>
        <w:t xml:space="preserve"> (ICCPR)</w:t>
      </w:r>
      <w:r w:rsidRPr="00BE3B9C">
        <w:rPr>
          <w:rFonts w:ascii="Times New Roman" w:hAnsi="Times New Roman" w:cs="Times New Roman"/>
          <w:noProof/>
        </w:rPr>
        <w:t xml:space="preserve">, Article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C6"/>
    <w:multiLevelType w:val="hybridMultilevel"/>
    <w:tmpl w:val="197C15F2"/>
    <w:lvl w:ilvl="0" w:tplc="F23C916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6EBC"/>
    <w:multiLevelType w:val="hybridMultilevel"/>
    <w:tmpl w:val="DB66890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616D"/>
    <w:multiLevelType w:val="hybridMultilevel"/>
    <w:tmpl w:val="32E286EE"/>
    <w:lvl w:ilvl="0" w:tplc="BAB42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C683D"/>
    <w:multiLevelType w:val="hybridMultilevel"/>
    <w:tmpl w:val="542A1EF6"/>
    <w:lvl w:ilvl="0" w:tplc="8D045C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83259"/>
    <w:multiLevelType w:val="hybridMultilevel"/>
    <w:tmpl w:val="32E286EE"/>
    <w:lvl w:ilvl="0" w:tplc="BAB42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916"/>
    <w:multiLevelType w:val="hybridMultilevel"/>
    <w:tmpl w:val="C712A47C"/>
    <w:lvl w:ilvl="0" w:tplc="F23C916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6F1"/>
    <w:multiLevelType w:val="hybridMultilevel"/>
    <w:tmpl w:val="E64C970E"/>
    <w:lvl w:ilvl="0" w:tplc="8D045C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0A79"/>
    <w:multiLevelType w:val="hybridMultilevel"/>
    <w:tmpl w:val="021C3F98"/>
    <w:lvl w:ilvl="0" w:tplc="8D045C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15B8D"/>
    <w:multiLevelType w:val="hybridMultilevel"/>
    <w:tmpl w:val="F190C32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B5708"/>
    <w:multiLevelType w:val="hybridMultilevel"/>
    <w:tmpl w:val="3DCC2B44"/>
    <w:lvl w:ilvl="0" w:tplc="8D045C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41AF0"/>
    <w:multiLevelType w:val="hybridMultilevel"/>
    <w:tmpl w:val="1D1C258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21639"/>
    <w:multiLevelType w:val="hybridMultilevel"/>
    <w:tmpl w:val="96803174"/>
    <w:lvl w:ilvl="0" w:tplc="91BA2D6A">
      <w:start w:val="1"/>
      <w:numFmt w:val="decimal"/>
      <w:lvlText w:val="%1."/>
      <w:lvlJc w:val="left"/>
      <w:pPr>
        <w:ind w:left="1637" w:hanging="360"/>
      </w:pPr>
      <w:rPr>
        <w:rFonts w:hint="default"/>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238CE"/>
    <w:multiLevelType w:val="hybridMultilevel"/>
    <w:tmpl w:val="D75C941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D1534"/>
    <w:multiLevelType w:val="hybridMultilevel"/>
    <w:tmpl w:val="224285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E0A37"/>
    <w:multiLevelType w:val="hybridMultilevel"/>
    <w:tmpl w:val="3B70915E"/>
    <w:lvl w:ilvl="0" w:tplc="8D045CB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64F0D"/>
    <w:multiLevelType w:val="hybridMultilevel"/>
    <w:tmpl w:val="9D8ECE3A"/>
    <w:lvl w:ilvl="0" w:tplc="F23C916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5"/>
  </w:num>
  <w:num w:numId="5">
    <w:abstractNumId w:val="1"/>
  </w:num>
  <w:num w:numId="6">
    <w:abstractNumId w:val="8"/>
  </w:num>
  <w:num w:numId="7">
    <w:abstractNumId w:val="12"/>
  </w:num>
  <w:num w:numId="8">
    <w:abstractNumId w:val="10"/>
  </w:num>
  <w:num w:numId="9">
    <w:abstractNumId w:val="13"/>
  </w:num>
  <w:num w:numId="10">
    <w:abstractNumId w:val="14"/>
  </w:num>
  <w:num w:numId="11">
    <w:abstractNumId w:val="3"/>
  </w:num>
  <w:num w:numId="12">
    <w:abstractNumId w:val="6"/>
  </w:num>
  <w:num w:numId="13">
    <w:abstractNumId w:val="9"/>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nl-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17"/>
    <w:rsid w:val="0000682F"/>
    <w:rsid w:val="000126A1"/>
    <w:rsid w:val="000262F7"/>
    <w:rsid w:val="00030CAD"/>
    <w:rsid w:val="00037D47"/>
    <w:rsid w:val="00041BCD"/>
    <w:rsid w:val="000552A7"/>
    <w:rsid w:val="0006007E"/>
    <w:rsid w:val="000600D2"/>
    <w:rsid w:val="000647A1"/>
    <w:rsid w:val="00065506"/>
    <w:rsid w:val="000665DA"/>
    <w:rsid w:val="000774C9"/>
    <w:rsid w:val="000B0E34"/>
    <w:rsid w:val="000B241E"/>
    <w:rsid w:val="000B500F"/>
    <w:rsid w:val="000C5E1D"/>
    <w:rsid w:val="000D1F18"/>
    <w:rsid w:val="000F0FC1"/>
    <w:rsid w:val="000F19B4"/>
    <w:rsid w:val="000F276F"/>
    <w:rsid w:val="000F2B8F"/>
    <w:rsid w:val="0010497F"/>
    <w:rsid w:val="001219A0"/>
    <w:rsid w:val="001364E4"/>
    <w:rsid w:val="00145D76"/>
    <w:rsid w:val="001521A7"/>
    <w:rsid w:val="001553B9"/>
    <w:rsid w:val="00164301"/>
    <w:rsid w:val="00164789"/>
    <w:rsid w:val="001703A8"/>
    <w:rsid w:val="00171FB7"/>
    <w:rsid w:val="00175100"/>
    <w:rsid w:val="00187E20"/>
    <w:rsid w:val="0019696A"/>
    <w:rsid w:val="001A16C9"/>
    <w:rsid w:val="001B62E1"/>
    <w:rsid w:val="001C00B8"/>
    <w:rsid w:val="001C5E92"/>
    <w:rsid w:val="001D0CF7"/>
    <w:rsid w:val="001D4BD9"/>
    <w:rsid w:val="001F0132"/>
    <w:rsid w:val="001F20FD"/>
    <w:rsid w:val="001F41A6"/>
    <w:rsid w:val="002044FD"/>
    <w:rsid w:val="0021564A"/>
    <w:rsid w:val="00217D6E"/>
    <w:rsid w:val="00223555"/>
    <w:rsid w:val="00226F80"/>
    <w:rsid w:val="002301E9"/>
    <w:rsid w:val="00233D35"/>
    <w:rsid w:val="00244518"/>
    <w:rsid w:val="00244556"/>
    <w:rsid w:val="0024526E"/>
    <w:rsid w:val="002465B4"/>
    <w:rsid w:val="00246AC6"/>
    <w:rsid w:val="00271710"/>
    <w:rsid w:val="00274D41"/>
    <w:rsid w:val="00294571"/>
    <w:rsid w:val="00294B21"/>
    <w:rsid w:val="002958EB"/>
    <w:rsid w:val="002A301F"/>
    <w:rsid w:val="002A3693"/>
    <w:rsid w:val="002B1E38"/>
    <w:rsid w:val="002B1EBC"/>
    <w:rsid w:val="002C02A6"/>
    <w:rsid w:val="00300A78"/>
    <w:rsid w:val="00300B29"/>
    <w:rsid w:val="0030439C"/>
    <w:rsid w:val="003057E2"/>
    <w:rsid w:val="003103A8"/>
    <w:rsid w:val="00311722"/>
    <w:rsid w:val="0031391A"/>
    <w:rsid w:val="00314A00"/>
    <w:rsid w:val="00316DCC"/>
    <w:rsid w:val="0033406F"/>
    <w:rsid w:val="00346F08"/>
    <w:rsid w:val="003523C3"/>
    <w:rsid w:val="0035359B"/>
    <w:rsid w:val="003643ED"/>
    <w:rsid w:val="00364DB9"/>
    <w:rsid w:val="00366871"/>
    <w:rsid w:val="003854B0"/>
    <w:rsid w:val="003A1BEE"/>
    <w:rsid w:val="003B2707"/>
    <w:rsid w:val="003B3BAD"/>
    <w:rsid w:val="003B5F7F"/>
    <w:rsid w:val="003C18A5"/>
    <w:rsid w:val="003D2FE2"/>
    <w:rsid w:val="003E491D"/>
    <w:rsid w:val="003F5773"/>
    <w:rsid w:val="003F5B22"/>
    <w:rsid w:val="00400E10"/>
    <w:rsid w:val="00415949"/>
    <w:rsid w:val="00423977"/>
    <w:rsid w:val="00427E58"/>
    <w:rsid w:val="00431F7F"/>
    <w:rsid w:val="0043202D"/>
    <w:rsid w:val="00433F20"/>
    <w:rsid w:val="00437714"/>
    <w:rsid w:val="00437A12"/>
    <w:rsid w:val="0045318F"/>
    <w:rsid w:val="00454F6D"/>
    <w:rsid w:val="00457D12"/>
    <w:rsid w:val="00460AC5"/>
    <w:rsid w:val="00471ACA"/>
    <w:rsid w:val="00480AE6"/>
    <w:rsid w:val="00480FE4"/>
    <w:rsid w:val="00492622"/>
    <w:rsid w:val="00492F8C"/>
    <w:rsid w:val="00497CF9"/>
    <w:rsid w:val="004A1969"/>
    <w:rsid w:val="004B222F"/>
    <w:rsid w:val="004B24A6"/>
    <w:rsid w:val="004B6A4B"/>
    <w:rsid w:val="004B76BA"/>
    <w:rsid w:val="004E331E"/>
    <w:rsid w:val="004F1E37"/>
    <w:rsid w:val="004F37B4"/>
    <w:rsid w:val="004F6D31"/>
    <w:rsid w:val="00511941"/>
    <w:rsid w:val="005215CC"/>
    <w:rsid w:val="00523C74"/>
    <w:rsid w:val="0052671B"/>
    <w:rsid w:val="00527D87"/>
    <w:rsid w:val="00530F4F"/>
    <w:rsid w:val="005368A0"/>
    <w:rsid w:val="00537AA2"/>
    <w:rsid w:val="00537CFF"/>
    <w:rsid w:val="005527BD"/>
    <w:rsid w:val="005530B4"/>
    <w:rsid w:val="0055692F"/>
    <w:rsid w:val="00556E5D"/>
    <w:rsid w:val="0056386B"/>
    <w:rsid w:val="00564993"/>
    <w:rsid w:val="00575D8A"/>
    <w:rsid w:val="00577F98"/>
    <w:rsid w:val="005812BF"/>
    <w:rsid w:val="005A0331"/>
    <w:rsid w:val="005A5D7B"/>
    <w:rsid w:val="005B0642"/>
    <w:rsid w:val="005B363C"/>
    <w:rsid w:val="005D4BBD"/>
    <w:rsid w:val="005F3B19"/>
    <w:rsid w:val="005F519F"/>
    <w:rsid w:val="006010F9"/>
    <w:rsid w:val="00602958"/>
    <w:rsid w:val="0062251C"/>
    <w:rsid w:val="00636F76"/>
    <w:rsid w:val="0066233B"/>
    <w:rsid w:val="006633EC"/>
    <w:rsid w:val="006667D1"/>
    <w:rsid w:val="00677B05"/>
    <w:rsid w:val="006835D7"/>
    <w:rsid w:val="00693282"/>
    <w:rsid w:val="006A7074"/>
    <w:rsid w:val="006B0B3E"/>
    <w:rsid w:val="006B6464"/>
    <w:rsid w:val="006B6BC1"/>
    <w:rsid w:val="006C1B1D"/>
    <w:rsid w:val="006C705B"/>
    <w:rsid w:val="006C78C9"/>
    <w:rsid w:val="006D15A0"/>
    <w:rsid w:val="006D752D"/>
    <w:rsid w:val="006E7ABC"/>
    <w:rsid w:val="006F303D"/>
    <w:rsid w:val="006F76DD"/>
    <w:rsid w:val="006F78A3"/>
    <w:rsid w:val="00704FE4"/>
    <w:rsid w:val="00705934"/>
    <w:rsid w:val="00705978"/>
    <w:rsid w:val="007133E4"/>
    <w:rsid w:val="007166FB"/>
    <w:rsid w:val="0072120F"/>
    <w:rsid w:val="007267DB"/>
    <w:rsid w:val="00727545"/>
    <w:rsid w:val="00733708"/>
    <w:rsid w:val="00734B7A"/>
    <w:rsid w:val="00734E39"/>
    <w:rsid w:val="00736CC1"/>
    <w:rsid w:val="0074249A"/>
    <w:rsid w:val="00746653"/>
    <w:rsid w:val="00772427"/>
    <w:rsid w:val="0077310C"/>
    <w:rsid w:val="0077654B"/>
    <w:rsid w:val="00784BD4"/>
    <w:rsid w:val="00786E3A"/>
    <w:rsid w:val="0079686A"/>
    <w:rsid w:val="007B3150"/>
    <w:rsid w:val="007B3551"/>
    <w:rsid w:val="007B771C"/>
    <w:rsid w:val="007C0FBE"/>
    <w:rsid w:val="007C1279"/>
    <w:rsid w:val="007D7C58"/>
    <w:rsid w:val="007E0199"/>
    <w:rsid w:val="007E0C13"/>
    <w:rsid w:val="007E177C"/>
    <w:rsid w:val="007E6DFE"/>
    <w:rsid w:val="00803455"/>
    <w:rsid w:val="008053A7"/>
    <w:rsid w:val="0082299B"/>
    <w:rsid w:val="008232A9"/>
    <w:rsid w:val="008274BA"/>
    <w:rsid w:val="00827FCF"/>
    <w:rsid w:val="0083079E"/>
    <w:rsid w:val="00834F45"/>
    <w:rsid w:val="00841E7F"/>
    <w:rsid w:val="00843473"/>
    <w:rsid w:val="0084759C"/>
    <w:rsid w:val="00847F66"/>
    <w:rsid w:val="0085162A"/>
    <w:rsid w:val="00852625"/>
    <w:rsid w:val="00861A5A"/>
    <w:rsid w:val="00865568"/>
    <w:rsid w:val="00870E01"/>
    <w:rsid w:val="008819DC"/>
    <w:rsid w:val="00881E3E"/>
    <w:rsid w:val="00882716"/>
    <w:rsid w:val="008848D5"/>
    <w:rsid w:val="00885A2E"/>
    <w:rsid w:val="0088745B"/>
    <w:rsid w:val="008879A6"/>
    <w:rsid w:val="008879D2"/>
    <w:rsid w:val="00893257"/>
    <w:rsid w:val="0089354F"/>
    <w:rsid w:val="00897E3D"/>
    <w:rsid w:val="008A1CE9"/>
    <w:rsid w:val="008A459D"/>
    <w:rsid w:val="008A5196"/>
    <w:rsid w:val="008B2CC2"/>
    <w:rsid w:val="008C0942"/>
    <w:rsid w:val="008D006C"/>
    <w:rsid w:val="008D4AE1"/>
    <w:rsid w:val="008D4B28"/>
    <w:rsid w:val="008D5E21"/>
    <w:rsid w:val="008E2546"/>
    <w:rsid w:val="008E3A79"/>
    <w:rsid w:val="008E3EE5"/>
    <w:rsid w:val="008F02F0"/>
    <w:rsid w:val="008F420D"/>
    <w:rsid w:val="009049B7"/>
    <w:rsid w:val="0090700B"/>
    <w:rsid w:val="00910337"/>
    <w:rsid w:val="009156D7"/>
    <w:rsid w:val="0093110D"/>
    <w:rsid w:val="00934DE3"/>
    <w:rsid w:val="00935B7B"/>
    <w:rsid w:val="00936B86"/>
    <w:rsid w:val="00937324"/>
    <w:rsid w:val="00937F34"/>
    <w:rsid w:val="00942E55"/>
    <w:rsid w:val="0094448C"/>
    <w:rsid w:val="00944AE9"/>
    <w:rsid w:val="00952104"/>
    <w:rsid w:val="009546C4"/>
    <w:rsid w:val="00957A8F"/>
    <w:rsid w:val="009618EF"/>
    <w:rsid w:val="00965F2C"/>
    <w:rsid w:val="00974C91"/>
    <w:rsid w:val="00975208"/>
    <w:rsid w:val="00987FF2"/>
    <w:rsid w:val="0099007C"/>
    <w:rsid w:val="009904AB"/>
    <w:rsid w:val="009A032E"/>
    <w:rsid w:val="009A72B7"/>
    <w:rsid w:val="009A7410"/>
    <w:rsid w:val="009B3C1C"/>
    <w:rsid w:val="009C1481"/>
    <w:rsid w:val="009C4347"/>
    <w:rsid w:val="009D5784"/>
    <w:rsid w:val="009D7E20"/>
    <w:rsid w:val="009E2693"/>
    <w:rsid w:val="009E536B"/>
    <w:rsid w:val="009F27B8"/>
    <w:rsid w:val="009F60BA"/>
    <w:rsid w:val="00A033CA"/>
    <w:rsid w:val="00A12EFA"/>
    <w:rsid w:val="00A14912"/>
    <w:rsid w:val="00A155E0"/>
    <w:rsid w:val="00A1669F"/>
    <w:rsid w:val="00A32561"/>
    <w:rsid w:val="00A34CFF"/>
    <w:rsid w:val="00A35ADC"/>
    <w:rsid w:val="00A36558"/>
    <w:rsid w:val="00A412E4"/>
    <w:rsid w:val="00A50001"/>
    <w:rsid w:val="00A55763"/>
    <w:rsid w:val="00A56147"/>
    <w:rsid w:val="00A73ACE"/>
    <w:rsid w:val="00A808D9"/>
    <w:rsid w:val="00A90E63"/>
    <w:rsid w:val="00AA2ACC"/>
    <w:rsid w:val="00AA764D"/>
    <w:rsid w:val="00AB644E"/>
    <w:rsid w:val="00AC2088"/>
    <w:rsid w:val="00AC6636"/>
    <w:rsid w:val="00AD0BCB"/>
    <w:rsid w:val="00AD0D60"/>
    <w:rsid w:val="00AD706E"/>
    <w:rsid w:val="00AE495E"/>
    <w:rsid w:val="00AE785C"/>
    <w:rsid w:val="00AF1FA4"/>
    <w:rsid w:val="00AF34C8"/>
    <w:rsid w:val="00AF652C"/>
    <w:rsid w:val="00B025BA"/>
    <w:rsid w:val="00B20455"/>
    <w:rsid w:val="00B23A21"/>
    <w:rsid w:val="00B23BBD"/>
    <w:rsid w:val="00B444F3"/>
    <w:rsid w:val="00B54FDA"/>
    <w:rsid w:val="00B55386"/>
    <w:rsid w:val="00B57FA2"/>
    <w:rsid w:val="00B62447"/>
    <w:rsid w:val="00B65707"/>
    <w:rsid w:val="00B67A3D"/>
    <w:rsid w:val="00B7191A"/>
    <w:rsid w:val="00B751CE"/>
    <w:rsid w:val="00B77231"/>
    <w:rsid w:val="00B8040A"/>
    <w:rsid w:val="00BB1260"/>
    <w:rsid w:val="00BB1858"/>
    <w:rsid w:val="00BB2A23"/>
    <w:rsid w:val="00BC6F8D"/>
    <w:rsid w:val="00BD39CE"/>
    <w:rsid w:val="00BE2469"/>
    <w:rsid w:val="00BE3895"/>
    <w:rsid w:val="00BE3B9C"/>
    <w:rsid w:val="00BE5A44"/>
    <w:rsid w:val="00C00009"/>
    <w:rsid w:val="00C022D5"/>
    <w:rsid w:val="00C040AE"/>
    <w:rsid w:val="00C25021"/>
    <w:rsid w:val="00C36F48"/>
    <w:rsid w:val="00C41624"/>
    <w:rsid w:val="00C52925"/>
    <w:rsid w:val="00C542F6"/>
    <w:rsid w:val="00C6213D"/>
    <w:rsid w:val="00C7027F"/>
    <w:rsid w:val="00C758DA"/>
    <w:rsid w:val="00C75C9C"/>
    <w:rsid w:val="00C77A1E"/>
    <w:rsid w:val="00C8077D"/>
    <w:rsid w:val="00C9062F"/>
    <w:rsid w:val="00C97D03"/>
    <w:rsid w:val="00CA204C"/>
    <w:rsid w:val="00CB2622"/>
    <w:rsid w:val="00CD2480"/>
    <w:rsid w:val="00CE6009"/>
    <w:rsid w:val="00CF3BA7"/>
    <w:rsid w:val="00D07260"/>
    <w:rsid w:val="00D10B1A"/>
    <w:rsid w:val="00D133EF"/>
    <w:rsid w:val="00D23534"/>
    <w:rsid w:val="00D24B20"/>
    <w:rsid w:val="00D25F7B"/>
    <w:rsid w:val="00D26672"/>
    <w:rsid w:val="00D274E9"/>
    <w:rsid w:val="00D340B5"/>
    <w:rsid w:val="00D406FD"/>
    <w:rsid w:val="00D42110"/>
    <w:rsid w:val="00D43F7F"/>
    <w:rsid w:val="00D51140"/>
    <w:rsid w:val="00D576AB"/>
    <w:rsid w:val="00D96DE3"/>
    <w:rsid w:val="00DA2E9F"/>
    <w:rsid w:val="00DB0A84"/>
    <w:rsid w:val="00DB0CD2"/>
    <w:rsid w:val="00DB1368"/>
    <w:rsid w:val="00DB4E4E"/>
    <w:rsid w:val="00DC60ED"/>
    <w:rsid w:val="00DD061C"/>
    <w:rsid w:val="00DD12FC"/>
    <w:rsid w:val="00DE4BA6"/>
    <w:rsid w:val="00E105BD"/>
    <w:rsid w:val="00E26A52"/>
    <w:rsid w:val="00E31C5C"/>
    <w:rsid w:val="00E3205A"/>
    <w:rsid w:val="00E33AB2"/>
    <w:rsid w:val="00E406DC"/>
    <w:rsid w:val="00E41C1C"/>
    <w:rsid w:val="00E44D71"/>
    <w:rsid w:val="00E5325A"/>
    <w:rsid w:val="00E61A94"/>
    <w:rsid w:val="00E62394"/>
    <w:rsid w:val="00E67729"/>
    <w:rsid w:val="00E801F8"/>
    <w:rsid w:val="00E81F8B"/>
    <w:rsid w:val="00E8750A"/>
    <w:rsid w:val="00E90160"/>
    <w:rsid w:val="00E95434"/>
    <w:rsid w:val="00E96317"/>
    <w:rsid w:val="00E96386"/>
    <w:rsid w:val="00EA325B"/>
    <w:rsid w:val="00EB20F9"/>
    <w:rsid w:val="00EB4EE5"/>
    <w:rsid w:val="00EB69E3"/>
    <w:rsid w:val="00EC1CE1"/>
    <w:rsid w:val="00EC1F91"/>
    <w:rsid w:val="00EC3E8B"/>
    <w:rsid w:val="00ED28E6"/>
    <w:rsid w:val="00ED5AC7"/>
    <w:rsid w:val="00EF085A"/>
    <w:rsid w:val="00EF1AFA"/>
    <w:rsid w:val="00EF20AF"/>
    <w:rsid w:val="00EF5237"/>
    <w:rsid w:val="00EF7E13"/>
    <w:rsid w:val="00F07177"/>
    <w:rsid w:val="00F103A5"/>
    <w:rsid w:val="00F130DF"/>
    <w:rsid w:val="00F132B9"/>
    <w:rsid w:val="00F172E1"/>
    <w:rsid w:val="00F222A8"/>
    <w:rsid w:val="00F25EC3"/>
    <w:rsid w:val="00F51BDE"/>
    <w:rsid w:val="00F65A88"/>
    <w:rsid w:val="00F729F6"/>
    <w:rsid w:val="00F73B26"/>
    <w:rsid w:val="00F91B76"/>
    <w:rsid w:val="00F9320F"/>
    <w:rsid w:val="00F942F1"/>
    <w:rsid w:val="00F96894"/>
    <w:rsid w:val="00FA4C28"/>
    <w:rsid w:val="00FB01A6"/>
    <w:rsid w:val="00FB0BD3"/>
    <w:rsid w:val="00FC02A4"/>
    <w:rsid w:val="00FC4F74"/>
    <w:rsid w:val="00FC781B"/>
    <w:rsid w:val="00FC7BD4"/>
    <w:rsid w:val="00FE5A0B"/>
    <w:rsid w:val="00FF28B1"/>
    <w:rsid w:val="00FF723E"/>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F8F5"/>
  <w15:chartTrackingRefBased/>
  <w15:docId w15:val="{B9DB9D1E-49C0-4906-BDFA-3F306567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ListParagraph">
    <w:name w:val="List Paragraph"/>
    <w:basedOn w:val="Normal"/>
    <w:uiPriority w:val="34"/>
    <w:qFormat/>
    <w:rsid w:val="006B6BC1"/>
    <w:pPr>
      <w:ind w:left="720"/>
      <w:contextualSpacing/>
    </w:pPr>
  </w:style>
  <w:style w:type="paragraph" w:styleId="CommentText">
    <w:name w:val="annotation text"/>
    <w:basedOn w:val="Normal"/>
    <w:link w:val="CommentTextChar"/>
    <w:uiPriority w:val="99"/>
    <w:unhideWhenUsed/>
    <w:rsid w:val="00843473"/>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843473"/>
    <w:rPr>
      <w:rFonts w:ascii="Calibri" w:eastAsia="Calibri" w:hAnsi="Calibri" w:cs="Arial"/>
      <w:sz w:val="20"/>
      <w:szCs w:val="20"/>
    </w:rPr>
  </w:style>
  <w:style w:type="paragraph" w:styleId="FootnoteText">
    <w:name w:val="footnote text"/>
    <w:aliases w:val="FA Fu,FA Fußnotentext,Footnote reference,FA Fuﬂnotentext,ﬂnotentext,Footnote Text Char Char Char Char Char,Footnote Text Char Char Char Char,Footnote Text Char Char Char,Footnote Text Cha,Texto nota pie Car,Footnote Text Char Char,FA"/>
    <w:basedOn w:val="Normal"/>
    <w:link w:val="FootnoteTextChar"/>
    <w:uiPriority w:val="99"/>
    <w:unhideWhenUsed/>
    <w:rsid w:val="00A36558"/>
    <w:pPr>
      <w:spacing w:after="0" w:line="240" w:lineRule="auto"/>
    </w:pPr>
    <w:rPr>
      <w:sz w:val="20"/>
      <w:szCs w:val="20"/>
    </w:rPr>
  </w:style>
  <w:style w:type="character" w:customStyle="1" w:styleId="FootnoteTextChar">
    <w:name w:val="Footnote Text Char"/>
    <w:aliases w:val="FA Fu Char,FA Fußnotentext Char,Footnote reference Char,FA Fuﬂnotentext Char,ﬂnotentext Char,Footnote Text Char Char Char Char Char Char,Footnote Text Char Char Char Char Char1,Footnote Text Char Char Char Char1,Footnote Text Cha Char"/>
    <w:basedOn w:val="DefaultParagraphFont"/>
    <w:link w:val="FootnoteText"/>
    <w:uiPriority w:val="99"/>
    <w:semiHidden/>
    <w:rsid w:val="00A36558"/>
    <w:rPr>
      <w:sz w:val="20"/>
      <w:szCs w:val="20"/>
    </w:rPr>
  </w:style>
  <w:style w:type="character" w:styleId="FootnoteReference">
    <w:name w:val="footnote reference"/>
    <w:aliases w:val="Footnote Refernece,Footnote Refernece Char1 Char Char Char Char,Car Char Car Char Car Char Char Char Char Char Char Char Char Char Char Char Char1 Char,Footnote Refernece Char Char1 Char Char Char Char Char Char Char,f"/>
    <w:basedOn w:val="DefaultParagraphFont"/>
    <w:link w:val="FootnoteReferenceCharChar1CharCharCharCharCharCharChar"/>
    <w:uiPriority w:val="99"/>
    <w:unhideWhenUsed/>
    <w:rsid w:val="00A36558"/>
    <w:rPr>
      <w:vertAlign w:val="superscript"/>
    </w:rPr>
  </w:style>
  <w:style w:type="character" w:styleId="HTMLCite">
    <w:name w:val="HTML Cite"/>
    <w:basedOn w:val="DefaultParagraphFont"/>
    <w:uiPriority w:val="99"/>
    <w:unhideWhenUsed/>
    <w:rsid w:val="00EB4EE5"/>
    <w:rPr>
      <w:i/>
      <w:iCs/>
    </w:rPr>
  </w:style>
  <w:style w:type="character" w:styleId="Hyperlink">
    <w:name w:val="Hyperlink"/>
    <w:basedOn w:val="DefaultParagraphFont"/>
    <w:uiPriority w:val="99"/>
    <w:unhideWhenUsed/>
    <w:rsid w:val="00DB0A84"/>
    <w:rPr>
      <w:color w:val="0000FF" w:themeColor="hyperlink"/>
      <w:u w:val="single"/>
    </w:rPr>
  </w:style>
  <w:style w:type="character" w:styleId="CommentReference">
    <w:name w:val="annotation reference"/>
    <w:uiPriority w:val="99"/>
    <w:unhideWhenUsed/>
    <w:rsid w:val="00C36F48"/>
    <w:rPr>
      <w:sz w:val="16"/>
      <w:szCs w:val="16"/>
    </w:rPr>
  </w:style>
  <w:style w:type="paragraph" w:styleId="CommentSubject">
    <w:name w:val="annotation subject"/>
    <w:basedOn w:val="CommentText"/>
    <w:next w:val="CommentText"/>
    <w:link w:val="CommentSubjectChar"/>
    <w:uiPriority w:val="99"/>
    <w:semiHidden/>
    <w:unhideWhenUsed/>
    <w:rsid w:val="008935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354F"/>
    <w:rPr>
      <w:rFonts w:ascii="Calibri" w:eastAsia="Calibri" w:hAnsi="Calibri" w:cs="Arial"/>
      <w:b/>
      <w:bCs/>
      <w:sz w:val="20"/>
      <w:szCs w:val="20"/>
    </w:rPr>
  </w:style>
  <w:style w:type="paragraph" w:styleId="Revision">
    <w:name w:val="Revision"/>
    <w:hidden/>
    <w:uiPriority w:val="99"/>
    <w:semiHidden/>
    <w:rsid w:val="0089354F"/>
    <w:pPr>
      <w:spacing w:after="0" w:line="240" w:lineRule="auto"/>
    </w:pPr>
  </w:style>
  <w:style w:type="paragraph" w:styleId="BalloonText">
    <w:name w:val="Balloon Text"/>
    <w:basedOn w:val="Normal"/>
    <w:link w:val="BalloonTextChar"/>
    <w:uiPriority w:val="99"/>
    <w:semiHidden/>
    <w:unhideWhenUsed/>
    <w:rsid w:val="0089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4F"/>
    <w:rPr>
      <w:rFonts w:ascii="Segoe UI" w:hAnsi="Segoe UI" w:cs="Segoe UI"/>
      <w:sz w:val="18"/>
      <w:szCs w:val="18"/>
    </w:rPr>
  </w:style>
  <w:style w:type="paragraph" w:customStyle="1" w:styleId="FootnoteReferenceCharChar1CharCharCharCharCharCharChar">
    <w:name w:val="Footnote Reference Char Char1 Char Char Char Char Char Char Char"/>
    <w:aliases w:val="Footnote Reference Char Char Char Char Char Char Char Char Char Char Char Char Car"/>
    <w:basedOn w:val="Normal"/>
    <w:link w:val="FootnoteReference"/>
    <w:uiPriority w:val="99"/>
    <w:rsid w:val="007C1279"/>
    <w:pPr>
      <w:autoSpaceDE w:val="0"/>
      <w:autoSpaceDN w:val="0"/>
      <w:spacing w:after="160" w:line="240" w:lineRule="exact"/>
      <w:jc w:val="both"/>
    </w:pPr>
    <w:rPr>
      <w:vertAlign w:val="superscript"/>
    </w:rPr>
  </w:style>
  <w:style w:type="paragraph" w:styleId="NoSpacing">
    <w:name w:val="No Spacing"/>
    <w:uiPriority w:val="1"/>
    <w:qFormat/>
    <w:rsid w:val="007C1279"/>
    <w:pPr>
      <w:spacing w:after="0" w:line="240" w:lineRule="auto"/>
    </w:pPr>
    <w:rPr>
      <w:rFonts w:ascii="Calibri" w:eastAsia="Calibri" w:hAnsi="Calibri" w:cs="Times New Roman"/>
      <w:lang w:val="en-IE"/>
    </w:rPr>
  </w:style>
  <w:style w:type="character" w:customStyle="1" w:styleId="FootnoteTextChar1">
    <w:name w:val="Footnote Text Char1"/>
    <w:aliases w:val="FA Fu Char1,FA Fußnotentext Char1,Footnote reference Char1,FA Fuﬂnotentext Char1,ﬂnotentext Char1,Footnote Text Char Char Char Char Char Char1,Footnote Text Char Char Char Char Char2,Footnote Text Char Char Char Char2,FA Char"/>
    <w:basedOn w:val="DefaultParagraphFont"/>
    <w:uiPriority w:val="99"/>
    <w:locked/>
    <w:rsid w:val="00346F08"/>
    <w:rPr>
      <w:rFonts w:ascii="Calibri" w:eastAsia="Calibri" w:hAnsi="Calibri" w:cs="Times New Roman"/>
      <w:sz w:val="20"/>
      <w:szCs w:val="20"/>
    </w:rPr>
  </w:style>
  <w:style w:type="character" w:customStyle="1" w:styleId="sb8d990e2">
    <w:name w:val="sb8d990e2"/>
    <w:basedOn w:val="DefaultParagraphFont"/>
    <w:rsid w:val="00881E3E"/>
  </w:style>
  <w:style w:type="paragraph" w:customStyle="1" w:styleId="JuCase">
    <w:name w:val="Ju_Case"/>
    <w:basedOn w:val="Normal"/>
    <w:next w:val="Normal"/>
    <w:link w:val="JuCaseChar"/>
    <w:uiPriority w:val="99"/>
    <w:rsid w:val="007E0199"/>
    <w:pPr>
      <w:suppressAutoHyphens/>
      <w:spacing w:after="0" w:line="240" w:lineRule="auto"/>
      <w:ind w:firstLine="284"/>
      <w:jc w:val="both"/>
    </w:pPr>
    <w:rPr>
      <w:rFonts w:ascii="Times New Roman" w:eastAsia="Calibri" w:hAnsi="Times New Roman" w:cs="Times New Roman"/>
      <w:b/>
      <w:sz w:val="20"/>
      <w:szCs w:val="20"/>
    </w:rPr>
  </w:style>
  <w:style w:type="character" w:customStyle="1" w:styleId="JuCaseChar">
    <w:name w:val="Ju_Case Char"/>
    <w:link w:val="JuCase"/>
    <w:uiPriority w:val="99"/>
    <w:locked/>
    <w:rsid w:val="007E0199"/>
    <w:rPr>
      <w:rFonts w:ascii="Times New Roman" w:eastAsia="Calibri" w:hAnsi="Times New Roman" w:cs="Times New Roman"/>
      <w:b/>
      <w:sz w:val="20"/>
      <w:szCs w:val="20"/>
    </w:rPr>
  </w:style>
  <w:style w:type="paragraph" w:customStyle="1" w:styleId="SMG">
    <w:name w:val="__S_M_G"/>
    <w:basedOn w:val="Normal"/>
    <w:next w:val="Normal"/>
    <w:rsid w:val="00ED5AC7"/>
    <w:pPr>
      <w:keepNext/>
      <w:keepLines/>
      <w:suppressAutoHyphens/>
      <w:spacing w:before="240" w:after="240" w:line="420" w:lineRule="exact"/>
      <w:ind w:left="1134" w:right="1134"/>
    </w:pPr>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noncitizensen.pdf" TargetMode="External"/><Relationship Id="rId2" Type="http://schemas.openxmlformats.org/officeDocument/2006/relationships/hyperlink" Target="https://www.ohchr.org/EN/HRBodies/HRC/RegularSessions/Session31/Documents/A.HRC.31.66_E.docx" TargetMode="External"/><Relationship Id="rId1" Type="http://schemas.openxmlformats.org/officeDocument/2006/relationships/hyperlink" Target="https://www.theguardian.com/commentisfree/2019/feb/04/manchester-pride-2019-ticket-prices-inclusivity" TargetMode="External"/><Relationship Id="rId5" Type="http://schemas.openxmlformats.org/officeDocument/2006/relationships/hyperlink" Target="http://hrw.org/english/docs/2006/06/08/bahrai13529.htm" TargetMode="External"/><Relationship Id="rId4" Type="http://schemas.openxmlformats.org/officeDocument/2006/relationships/hyperlink" Target="http://www.bahrainrights.org/node/208" TargetMode="Externa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FA2FD-2496-40A7-A2FF-58162211F404}">
  <ds:schemaRefs>
    <ds:schemaRef ds:uri="http://schemas.openxmlformats.org/officeDocument/2006/bibliography"/>
  </ds:schemaRefs>
</ds:datastoreItem>
</file>

<file path=customXml/itemProps2.xml><?xml version="1.0" encoding="utf-8"?>
<ds:datastoreItem xmlns:ds="http://schemas.openxmlformats.org/officeDocument/2006/customXml" ds:itemID="{D26F941F-373D-4E8F-AA6B-676428686967}"/>
</file>

<file path=customXml/itemProps3.xml><?xml version="1.0" encoding="utf-8"?>
<ds:datastoreItem xmlns:ds="http://schemas.openxmlformats.org/officeDocument/2006/customXml" ds:itemID="{D671731E-C176-463D-A2BC-4EB09103F514}"/>
</file>

<file path=customXml/itemProps4.xml><?xml version="1.0" encoding="utf-8"?>
<ds:datastoreItem xmlns:ds="http://schemas.openxmlformats.org/officeDocument/2006/customXml" ds:itemID="{1463D909-D1FA-4C15-B9FB-5C062A7A4760}"/>
</file>

<file path=docProps/app.xml><?xml version="1.0" encoding="utf-8"?>
<Properties xmlns="http://schemas.openxmlformats.org/officeDocument/2006/extended-properties" xmlns:vt="http://schemas.openxmlformats.org/officeDocument/2006/docPropsVTypes">
  <Template>Normal.dotm</Template>
  <TotalTime>4</TotalTime>
  <Pages>14</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Bonnevie</dc:creator>
  <cp:keywords/>
  <dc:description/>
  <cp:lastModifiedBy>Ksenia Egorova</cp:lastModifiedBy>
  <cp:revision>4</cp:revision>
  <cp:lastPrinted>2020-02-27T12:13:00Z</cp:lastPrinted>
  <dcterms:created xsi:type="dcterms:W3CDTF">2020-02-27T13:59:00Z</dcterms:created>
  <dcterms:modified xsi:type="dcterms:W3CDTF">2020-02-27T14:18:00Z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