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043E" w14:textId="77777777" w:rsidR="004E3854" w:rsidRPr="0091086A" w:rsidRDefault="004E3854" w:rsidP="0094330C">
      <w:pPr>
        <w:pStyle w:val="Heading1"/>
        <w:spacing w:before="0"/>
        <w:ind w:left="357" w:hanging="357"/>
        <w:rPr>
          <w:rFonts w:asciiTheme="minorHAnsi" w:hAnsiTheme="minorHAnsi" w:cstheme="minorHAnsi"/>
        </w:rPr>
      </w:pPr>
      <w:bookmarkStart w:id="0" w:name="_Toc495075299"/>
      <w:bookmarkStart w:id="1" w:name="_GoBack"/>
      <w:bookmarkEnd w:id="1"/>
      <w:r w:rsidRPr="0091086A">
        <w:rPr>
          <w:rFonts w:asciiTheme="minorHAnsi" w:hAnsiTheme="minorHAnsi" w:cstheme="minorHAnsi"/>
        </w:rPr>
        <w:t>General Remarks</w:t>
      </w:r>
      <w:bookmarkEnd w:id="0"/>
    </w:p>
    <w:p w14:paraId="19CEC074" w14:textId="77777777" w:rsidR="004E2569" w:rsidRPr="0091086A" w:rsidRDefault="003066E3" w:rsidP="00EC5090">
      <w:pPr>
        <w:pStyle w:val="Numberedparagraph"/>
        <w:rPr>
          <w:rFonts w:asciiTheme="minorHAnsi" w:hAnsiTheme="minorHAnsi" w:cstheme="minorHAnsi"/>
        </w:rPr>
      </w:pPr>
      <w:r w:rsidRPr="0091086A">
        <w:rPr>
          <w:rFonts w:asciiTheme="minorHAnsi" w:hAnsiTheme="minorHAnsi" w:cstheme="minorHAnsi"/>
        </w:rPr>
        <w:t xml:space="preserve">Al-Haq welcomes the </w:t>
      </w:r>
      <w:r w:rsidR="008D2C10" w:rsidRPr="0091086A">
        <w:rPr>
          <w:rFonts w:asciiTheme="minorHAnsi" w:hAnsiTheme="minorHAnsi" w:cstheme="minorHAnsi"/>
        </w:rPr>
        <w:t>UN Human Rights Committee</w:t>
      </w:r>
      <w:r w:rsidR="00557957" w:rsidRPr="0091086A">
        <w:rPr>
          <w:rFonts w:asciiTheme="minorHAnsi" w:hAnsiTheme="minorHAnsi" w:cstheme="minorHAnsi"/>
        </w:rPr>
        <w:t>’s</w:t>
      </w:r>
      <w:r w:rsidR="008D2C10" w:rsidRPr="0091086A">
        <w:rPr>
          <w:rFonts w:asciiTheme="minorHAnsi" w:hAnsiTheme="minorHAnsi" w:cstheme="minorHAnsi"/>
        </w:rPr>
        <w:t xml:space="preserve"> </w:t>
      </w:r>
      <w:r w:rsidR="00D332AB" w:rsidRPr="0091086A">
        <w:rPr>
          <w:rFonts w:asciiTheme="minorHAnsi" w:hAnsiTheme="minorHAnsi" w:cstheme="minorHAnsi"/>
        </w:rPr>
        <w:t>revised</w:t>
      </w:r>
      <w:r w:rsidR="00F30AF8" w:rsidRPr="0091086A">
        <w:rPr>
          <w:rFonts w:asciiTheme="minorHAnsi" w:hAnsiTheme="minorHAnsi" w:cstheme="minorHAnsi"/>
        </w:rPr>
        <w:t xml:space="preserve"> </w:t>
      </w:r>
      <w:r w:rsidR="0092009B" w:rsidRPr="0091086A">
        <w:rPr>
          <w:rFonts w:asciiTheme="minorHAnsi" w:hAnsiTheme="minorHAnsi" w:cstheme="minorHAnsi"/>
        </w:rPr>
        <w:t xml:space="preserve">draft General Comment </w:t>
      </w:r>
      <w:r w:rsidR="00E91229" w:rsidRPr="0091086A">
        <w:rPr>
          <w:rFonts w:asciiTheme="minorHAnsi" w:hAnsiTheme="minorHAnsi" w:cstheme="minorHAnsi"/>
        </w:rPr>
        <w:t xml:space="preserve">on </w:t>
      </w:r>
      <w:r w:rsidR="001A570D" w:rsidRPr="0091086A">
        <w:rPr>
          <w:rFonts w:asciiTheme="minorHAnsi" w:hAnsiTheme="minorHAnsi" w:cstheme="minorHAnsi"/>
        </w:rPr>
        <w:t xml:space="preserve">Article 6 of the </w:t>
      </w:r>
      <w:r w:rsidR="000A6D08" w:rsidRPr="0091086A">
        <w:rPr>
          <w:rFonts w:asciiTheme="minorHAnsi" w:hAnsiTheme="minorHAnsi" w:cstheme="minorHAnsi"/>
        </w:rPr>
        <w:t>International Covenant on Civil and Political Rights</w:t>
      </w:r>
      <w:r w:rsidR="0033685F" w:rsidRPr="0091086A">
        <w:rPr>
          <w:rFonts w:asciiTheme="minorHAnsi" w:hAnsiTheme="minorHAnsi" w:cstheme="minorHAnsi"/>
        </w:rPr>
        <w:t xml:space="preserve"> </w:t>
      </w:r>
      <w:r w:rsidR="00B10D31" w:rsidRPr="0091086A">
        <w:rPr>
          <w:rFonts w:asciiTheme="minorHAnsi" w:hAnsiTheme="minorHAnsi" w:cstheme="minorHAnsi"/>
        </w:rPr>
        <w:t>(</w:t>
      </w:r>
      <w:r w:rsidR="000A6D08" w:rsidRPr="0091086A">
        <w:rPr>
          <w:rFonts w:asciiTheme="minorHAnsi" w:hAnsiTheme="minorHAnsi" w:cstheme="minorHAnsi"/>
        </w:rPr>
        <w:t>ICCPR or</w:t>
      </w:r>
      <w:r w:rsidR="0033685F" w:rsidRPr="0091086A">
        <w:rPr>
          <w:rFonts w:asciiTheme="minorHAnsi" w:hAnsiTheme="minorHAnsi" w:cstheme="minorHAnsi"/>
        </w:rPr>
        <w:t xml:space="preserve"> ‘the Covenant’</w:t>
      </w:r>
      <w:r w:rsidR="001A570D" w:rsidRPr="0091086A">
        <w:rPr>
          <w:rFonts w:asciiTheme="minorHAnsi" w:hAnsiTheme="minorHAnsi" w:cstheme="minorHAnsi"/>
        </w:rPr>
        <w:t>)</w:t>
      </w:r>
      <w:r w:rsidR="00DB03FD" w:rsidRPr="0091086A">
        <w:rPr>
          <w:rFonts w:asciiTheme="minorHAnsi" w:hAnsiTheme="minorHAnsi" w:cstheme="minorHAnsi"/>
        </w:rPr>
        <w:t>.</w:t>
      </w:r>
      <w:r w:rsidR="0092009B" w:rsidRPr="0091086A">
        <w:rPr>
          <w:rFonts w:asciiTheme="minorHAnsi" w:hAnsiTheme="minorHAnsi" w:cstheme="minorHAnsi"/>
        </w:rPr>
        <w:t xml:space="preserve"> </w:t>
      </w:r>
      <w:r w:rsidR="00DB03FD" w:rsidRPr="0091086A">
        <w:rPr>
          <w:rFonts w:asciiTheme="minorHAnsi" w:hAnsiTheme="minorHAnsi" w:cstheme="minorHAnsi"/>
        </w:rPr>
        <w:t xml:space="preserve">The </w:t>
      </w:r>
      <w:r w:rsidR="007D2EBC" w:rsidRPr="0091086A">
        <w:rPr>
          <w:rFonts w:asciiTheme="minorHAnsi" w:hAnsiTheme="minorHAnsi" w:cstheme="minorHAnsi"/>
        </w:rPr>
        <w:t xml:space="preserve">draft </w:t>
      </w:r>
      <w:r w:rsidR="005A53C9" w:rsidRPr="0091086A">
        <w:rPr>
          <w:rFonts w:asciiTheme="minorHAnsi" w:hAnsiTheme="minorHAnsi" w:cstheme="minorHAnsi"/>
        </w:rPr>
        <w:t xml:space="preserve">reflects </w:t>
      </w:r>
      <w:r w:rsidR="0019218B" w:rsidRPr="0091086A">
        <w:rPr>
          <w:rFonts w:asciiTheme="minorHAnsi" w:hAnsiTheme="minorHAnsi" w:cstheme="minorHAnsi"/>
        </w:rPr>
        <w:t>an evolved understanding</w:t>
      </w:r>
      <w:r w:rsidR="00427C3E" w:rsidRPr="0091086A">
        <w:rPr>
          <w:rFonts w:asciiTheme="minorHAnsi" w:hAnsiTheme="minorHAnsi" w:cstheme="minorHAnsi"/>
        </w:rPr>
        <w:t xml:space="preserve"> </w:t>
      </w:r>
      <w:r w:rsidR="00564331" w:rsidRPr="0091086A">
        <w:rPr>
          <w:rFonts w:asciiTheme="minorHAnsi" w:hAnsiTheme="minorHAnsi" w:cstheme="minorHAnsi"/>
        </w:rPr>
        <w:t xml:space="preserve">of the right to life </w:t>
      </w:r>
      <w:r w:rsidR="0039656A" w:rsidRPr="0091086A">
        <w:rPr>
          <w:rFonts w:asciiTheme="minorHAnsi" w:hAnsiTheme="minorHAnsi" w:cstheme="minorHAnsi"/>
        </w:rPr>
        <w:t xml:space="preserve">as </w:t>
      </w:r>
      <w:r w:rsidR="00B93591" w:rsidRPr="0091086A">
        <w:rPr>
          <w:rFonts w:asciiTheme="minorHAnsi" w:hAnsiTheme="minorHAnsi" w:cstheme="minorHAnsi"/>
        </w:rPr>
        <w:t xml:space="preserve">a </w:t>
      </w:r>
      <w:r w:rsidR="00BF1BFE" w:rsidRPr="0091086A">
        <w:rPr>
          <w:rFonts w:asciiTheme="minorHAnsi" w:hAnsiTheme="minorHAnsi" w:cstheme="minorHAnsi"/>
        </w:rPr>
        <w:t xml:space="preserve">right </w:t>
      </w:r>
      <w:r w:rsidR="00A70D7E" w:rsidRPr="0091086A">
        <w:rPr>
          <w:rFonts w:asciiTheme="minorHAnsi" w:hAnsiTheme="minorHAnsi" w:cstheme="minorHAnsi"/>
        </w:rPr>
        <w:t xml:space="preserve">that </w:t>
      </w:r>
      <w:r w:rsidR="00695BAA" w:rsidRPr="0091086A">
        <w:rPr>
          <w:rFonts w:asciiTheme="minorHAnsi" w:hAnsiTheme="minorHAnsi" w:cstheme="minorHAnsi"/>
        </w:rPr>
        <w:t>‘should not be interpreted narrowly’,</w:t>
      </w:r>
      <w:r w:rsidR="00695BAA" w:rsidRPr="0091086A">
        <w:rPr>
          <w:rStyle w:val="FootnoteReference"/>
          <w:rFonts w:asciiTheme="minorHAnsi" w:hAnsiTheme="minorHAnsi" w:cstheme="minorHAnsi"/>
        </w:rPr>
        <w:footnoteReference w:id="1"/>
      </w:r>
      <w:r w:rsidR="00695BAA" w:rsidRPr="0091086A">
        <w:rPr>
          <w:rFonts w:asciiTheme="minorHAnsi" w:hAnsiTheme="minorHAnsi" w:cstheme="minorHAnsi"/>
        </w:rPr>
        <w:t xml:space="preserve"> that </w:t>
      </w:r>
      <w:r w:rsidR="00BF1BFE" w:rsidRPr="0091086A">
        <w:rPr>
          <w:rFonts w:asciiTheme="minorHAnsi" w:hAnsiTheme="minorHAnsi" w:cstheme="minorHAnsi"/>
        </w:rPr>
        <w:t>‘</w:t>
      </w:r>
      <w:r w:rsidR="00563C8A" w:rsidRPr="0091086A">
        <w:rPr>
          <w:rFonts w:asciiTheme="minorHAnsi" w:hAnsiTheme="minorHAnsi" w:cstheme="minorHAnsi"/>
        </w:rPr>
        <w:t>can be informed and</w:t>
      </w:r>
      <w:r w:rsidR="00D47AE8" w:rsidRPr="0091086A">
        <w:rPr>
          <w:rFonts w:asciiTheme="minorHAnsi" w:hAnsiTheme="minorHAnsi" w:cstheme="minorHAnsi"/>
        </w:rPr>
        <w:t xml:space="preserve"> infused by other human rights</w:t>
      </w:r>
      <w:r w:rsidR="00695BAA" w:rsidRPr="0091086A">
        <w:rPr>
          <w:rFonts w:asciiTheme="minorHAnsi" w:hAnsiTheme="minorHAnsi" w:cstheme="minorHAnsi"/>
        </w:rPr>
        <w:t>,</w:t>
      </w:r>
      <w:r w:rsidR="00BF1BFE" w:rsidRPr="0091086A">
        <w:rPr>
          <w:rFonts w:asciiTheme="minorHAnsi" w:hAnsiTheme="minorHAnsi" w:cstheme="minorHAnsi"/>
        </w:rPr>
        <w:t>’</w:t>
      </w:r>
      <w:r w:rsidR="001D7EC4" w:rsidRPr="0091086A">
        <w:rPr>
          <w:rStyle w:val="FootnoteReference"/>
          <w:rFonts w:asciiTheme="minorHAnsi" w:hAnsiTheme="minorHAnsi" w:cstheme="minorHAnsi"/>
        </w:rPr>
        <w:footnoteReference w:id="2"/>
      </w:r>
      <w:r w:rsidR="00D47AE8" w:rsidRPr="0091086A">
        <w:rPr>
          <w:rFonts w:asciiTheme="minorHAnsi" w:hAnsiTheme="minorHAnsi" w:cstheme="minorHAnsi"/>
        </w:rPr>
        <w:t xml:space="preserve"> </w:t>
      </w:r>
      <w:r w:rsidR="00BA1DF0" w:rsidRPr="0091086A">
        <w:rPr>
          <w:rFonts w:asciiTheme="minorHAnsi" w:hAnsiTheme="minorHAnsi" w:cstheme="minorHAnsi"/>
        </w:rPr>
        <w:t xml:space="preserve">and </w:t>
      </w:r>
      <w:r w:rsidR="00B30381" w:rsidRPr="0091086A">
        <w:rPr>
          <w:rFonts w:asciiTheme="minorHAnsi" w:hAnsiTheme="minorHAnsi" w:cstheme="minorHAnsi"/>
        </w:rPr>
        <w:t>that</w:t>
      </w:r>
      <w:r w:rsidR="00563C8A" w:rsidRPr="0091086A">
        <w:rPr>
          <w:rFonts w:asciiTheme="minorHAnsi" w:hAnsiTheme="minorHAnsi" w:cstheme="minorHAnsi"/>
        </w:rPr>
        <w:t xml:space="preserve"> </w:t>
      </w:r>
      <w:r w:rsidR="003D0B39" w:rsidRPr="0091086A">
        <w:rPr>
          <w:rFonts w:asciiTheme="minorHAnsi" w:hAnsiTheme="minorHAnsi" w:cstheme="minorHAnsi"/>
        </w:rPr>
        <w:t>grants</w:t>
      </w:r>
      <w:r w:rsidR="00EE131B" w:rsidRPr="0091086A">
        <w:rPr>
          <w:rFonts w:asciiTheme="minorHAnsi" w:hAnsiTheme="minorHAnsi" w:cstheme="minorHAnsi"/>
        </w:rPr>
        <w:t xml:space="preserve"> everyone without distinction </w:t>
      </w:r>
      <w:r w:rsidR="003D0B39" w:rsidRPr="0091086A">
        <w:rPr>
          <w:rFonts w:asciiTheme="minorHAnsi" w:hAnsiTheme="minorHAnsi" w:cstheme="minorHAnsi"/>
        </w:rPr>
        <w:t xml:space="preserve">the right </w:t>
      </w:r>
      <w:r w:rsidR="00BF1BFE" w:rsidRPr="0091086A">
        <w:rPr>
          <w:rFonts w:asciiTheme="minorHAnsi" w:hAnsiTheme="minorHAnsi" w:cstheme="minorHAnsi"/>
        </w:rPr>
        <w:t>‘</w:t>
      </w:r>
      <w:r w:rsidR="00563C8A" w:rsidRPr="0091086A">
        <w:rPr>
          <w:rFonts w:asciiTheme="minorHAnsi" w:hAnsiTheme="minorHAnsi" w:cstheme="minorHAnsi"/>
        </w:rPr>
        <w:t xml:space="preserve">to enjoy </w:t>
      </w:r>
      <w:r w:rsidR="00BF1BFE" w:rsidRPr="0091086A">
        <w:rPr>
          <w:rFonts w:asciiTheme="minorHAnsi" w:hAnsiTheme="minorHAnsi" w:cstheme="minorHAnsi"/>
        </w:rPr>
        <w:t xml:space="preserve">a </w:t>
      </w:r>
      <w:r w:rsidR="00EE131B" w:rsidRPr="0091086A">
        <w:rPr>
          <w:rFonts w:asciiTheme="minorHAnsi" w:hAnsiTheme="minorHAnsi" w:cstheme="minorHAnsi"/>
        </w:rPr>
        <w:t>life with dignity</w:t>
      </w:r>
      <w:r w:rsidR="004E6651" w:rsidRPr="0091086A">
        <w:rPr>
          <w:rFonts w:asciiTheme="minorHAnsi" w:hAnsiTheme="minorHAnsi" w:cstheme="minorHAnsi"/>
        </w:rPr>
        <w:t>.</w:t>
      </w:r>
      <w:r w:rsidR="00BF1BFE" w:rsidRPr="0091086A">
        <w:rPr>
          <w:rFonts w:asciiTheme="minorHAnsi" w:hAnsiTheme="minorHAnsi" w:cstheme="minorHAnsi"/>
        </w:rPr>
        <w:t>’</w:t>
      </w:r>
      <w:r w:rsidR="00C42690" w:rsidRPr="0091086A">
        <w:rPr>
          <w:rStyle w:val="FootnoteReference"/>
          <w:rFonts w:asciiTheme="minorHAnsi" w:hAnsiTheme="minorHAnsi" w:cstheme="minorHAnsi"/>
        </w:rPr>
        <w:footnoteReference w:id="3"/>
      </w:r>
      <w:r w:rsidR="004E6651" w:rsidRPr="0091086A">
        <w:rPr>
          <w:rFonts w:asciiTheme="minorHAnsi" w:hAnsiTheme="minorHAnsi" w:cstheme="minorHAnsi"/>
        </w:rPr>
        <w:t xml:space="preserve"> Al-Haq supports this </w:t>
      </w:r>
      <w:r w:rsidR="004976A8" w:rsidRPr="0091086A">
        <w:rPr>
          <w:rFonts w:asciiTheme="minorHAnsi" w:hAnsiTheme="minorHAnsi" w:cstheme="minorHAnsi"/>
        </w:rPr>
        <w:t>broad</w:t>
      </w:r>
      <w:r w:rsidR="004E6651" w:rsidRPr="0091086A">
        <w:rPr>
          <w:rFonts w:asciiTheme="minorHAnsi" w:hAnsiTheme="minorHAnsi" w:cstheme="minorHAnsi"/>
        </w:rPr>
        <w:t xml:space="preserve"> interpretation </w:t>
      </w:r>
      <w:r w:rsidR="0071086C" w:rsidRPr="0091086A">
        <w:rPr>
          <w:rFonts w:asciiTheme="minorHAnsi" w:hAnsiTheme="minorHAnsi" w:cstheme="minorHAnsi"/>
        </w:rPr>
        <w:t xml:space="preserve">of the right to life, which is consistent with the letter and </w:t>
      </w:r>
      <w:r w:rsidR="0040613B" w:rsidRPr="0091086A">
        <w:rPr>
          <w:rFonts w:asciiTheme="minorHAnsi" w:hAnsiTheme="minorHAnsi" w:cstheme="minorHAnsi"/>
        </w:rPr>
        <w:t xml:space="preserve">the </w:t>
      </w:r>
      <w:r w:rsidR="0071086C" w:rsidRPr="0091086A">
        <w:rPr>
          <w:rFonts w:asciiTheme="minorHAnsi" w:hAnsiTheme="minorHAnsi" w:cstheme="minorHAnsi"/>
        </w:rPr>
        <w:t xml:space="preserve">spirit of the </w:t>
      </w:r>
      <w:r w:rsidR="004976A8" w:rsidRPr="0091086A">
        <w:rPr>
          <w:rFonts w:asciiTheme="minorHAnsi" w:hAnsiTheme="minorHAnsi" w:cstheme="minorHAnsi"/>
        </w:rPr>
        <w:t>Covenant</w:t>
      </w:r>
      <w:r w:rsidR="008F205C" w:rsidRPr="0091086A">
        <w:rPr>
          <w:rFonts w:asciiTheme="minorHAnsi" w:hAnsiTheme="minorHAnsi" w:cstheme="minorHAnsi"/>
        </w:rPr>
        <w:t>,</w:t>
      </w:r>
      <w:r w:rsidR="000552C3" w:rsidRPr="0091086A">
        <w:rPr>
          <w:rStyle w:val="FootnoteReference"/>
          <w:rFonts w:asciiTheme="minorHAnsi" w:hAnsiTheme="minorHAnsi" w:cstheme="minorHAnsi"/>
        </w:rPr>
        <w:footnoteReference w:id="4"/>
      </w:r>
      <w:r w:rsidR="008F205C" w:rsidRPr="0091086A">
        <w:rPr>
          <w:rFonts w:asciiTheme="minorHAnsi" w:hAnsiTheme="minorHAnsi" w:cstheme="minorHAnsi"/>
        </w:rPr>
        <w:t xml:space="preserve"> the Universal Declaration of Human Rights,</w:t>
      </w:r>
      <w:r w:rsidR="00225D1B" w:rsidRPr="0091086A">
        <w:rPr>
          <w:rStyle w:val="FootnoteReference"/>
          <w:rFonts w:asciiTheme="minorHAnsi" w:hAnsiTheme="minorHAnsi" w:cstheme="minorHAnsi"/>
        </w:rPr>
        <w:footnoteReference w:id="5"/>
      </w:r>
      <w:r w:rsidR="0014252A" w:rsidRPr="0091086A">
        <w:rPr>
          <w:rFonts w:asciiTheme="minorHAnsi" w:hAnsiTheme="minorHAnsi" w:cstheme="minorHAnsi"/>
        </w:rPr>
        <w:t xml:space="preserve"> and the Vienna Declaration and Programme of Action.</w:t>
      </w:r>
      <w:r w:rsidR="0014252A" w:rsidRPr="0091086A">
        <w:rPr>
          <w:rStyle w:val="FootnoteReference"/>
          <w:rFonts w:asciiTheme="minorHAnsi" w:hAnsiTheme="minorHAnsi" w:cstheme="minorHAnsi"/>
        </w:rPr>
        <w:footnoteReference w:id="6"/>
      </w:r>
    </w:p>
    <w:p w14:paraId="2BB9D46B" w14:textId="39D5E589" w:rsidR="00A94035" w:rsidRPr="0091086A" w:rsidRDefault="00FF610F" w:rsidP="00EC5090">
      <w:pPr>
        <w:pStyle w:val="Numberedparagraph"/>
        <w:rPr>
          <w:rFonts w:asciiTheme="minorHAnsi" w:hAnsiTheme="minorHAnsi" w:cstheme="minorHAnsi"/>
        </w:rPr>
      </w:pPr>
      <w:r w:rsidRPr="0091086A">
        <w:rPr>
          <w:rFonts w:asciiTheme="minorHAnsi" w:hAnsiTheme="minorHAnsi" w:cstheme="minorHAnsi"/>
        </w:rPr>
        <w:t>The protection of the right to life take</w:t>
      </w:r>
      <w:r w:rsidR="006A4DBB">
        <w:rPr>
          <w:rFonts w:asciiTheme="minorHAnsi" w:hAnsiTheme="minorHAnsi" w:cstheme="minorHAnsi"/>
        </w:rPr>
        <w:t>s</w:t>
      </w:r>
      <w:r w:rsidRPr="0091086A">
        <w:rPr>
          <w:rFonts w:asciiTheme="minorHAnsi" w:hAnsiTheme="minorHAnsi" w:cstheme="minorHAnsi"/>
        </w:rPr>
        <w:t xml:space="preserve"> on added significance in the </w:t>
      </w:r>
      <w:r w:rsidR="00441819" w:rsidRPr="0091086A">
        <w:rPr>
          <w:rFonts w:asciiTheme="minorHAnsi" w:hAnsiTheme="minorHAnsi" w:cstheme="minorHAnsi"/>
        </w:rPr>
        <w:t>Occupied Palestinian Territory</w:t>
      </w:r>
      <w:r w:rsidR="00F65EEE" w:rsidRPr="0091086A">
        <w:rPr>
          <w:rFonts w:asciiTheme="minorHAnsi" w:hAnsiTheme="minorHAnsi" w:cstheme="minorHAnsi"/>
        </w:rPr>
        <w:t xml:space="preserve"> (OPT)</w:t>
      </w:r>
      <w:r w:rsidRPr="0091086A">
        <w:rPr>
          <w:rFonts w:asciiTheme="minorHAnsi" w:hAnsiTheme="minorHAnsi" w:cstheme="minorHAnsi"/>
        </w:rPr>
        <w:t xml:space="preserve">, where five decades of Israeli military rule have involved systematic deprivations of Palestinian life by Israel, the Occupying Power, and </w:t>
      </w:r>
      <w:r w:rsidR="00E47349">
        <w:rPr>
          <w:rFonts w:asciiTheme="minorHAnsi" w:hAnsiTheme="minorHAnsi" w:cstheme="minorHAnsi"/>
        </w:rPr>
        <w:t xml:space="preserve">by </w:t>
      </w:r>
      <w:r w:rsidRPr="0091086A">
        <w:rPr>
          <w:rFonts w:asciiTheme="minorHAnsi" w:hAnsiTheme="minorHAnsi" w:cstheme="minorHAnsi"/>
        </w:rPr>
        <w:t>Israeli settlers</w:t>
      </w:r>
      <w:r w:rsidR="00F65EEE" w:rsidRPr="0091086A">
        <w:rPr>
          <w:rFonts w:asciiTheme="minorHAnsi" w:hAnsiTheme="minorHAnsi" w:cstheme="minorHAnsi"/>
        </w:rPr>
        <w:t>.</w:t>
      </w:r>
      <w:r w:rsidRPr="0091086A">
        <w:rPr>
          <w:rFonts w:asciiTheme="minorHAnsi" w:hAnsiTheme="minorHAnsi" w:cstheme="minorHAnsi"/>
        </w:rPr>
        <w:t xml:space="preserve"> </w:t>
      </w:r>
      <w:r w:rsidR="00F65EEE" w:rsidRPr="0091086A">
        <w:rPr>
          <w:rFonts w:asciiTheme="minorHAnsi" w:hAnsiTheme="minorHAnsi" w:cstheme="minorHAnsi"/>
        </w:rPr>
        <w:t xml:space="preserve">Israeli authorities consistently fail to </w:t>
      </w:r>
      <w:r w:rsidRPr="0091086A">
        <w:rPr>
          <w:rFonts w:asciiTheme="minorHAnsi" w:hAnsiTheme="minorHAnsi" w:cstheme="minorHAnsi"/>
        </w:rPr>
        <w:t>effectively prevent, investigat</w:t>
      </w:r>
      <w:r w:rsidR="00F65EEE" w:rsidRPr="0091086A">
        <w:rPr>
          <w:rFonts w:asciiTheme="minorHAnsi" w:hAnsiTheme="minorHAnsi" w:cstheme="minorHAnsi"/>
        </w:rPr>
        <w:t>e</w:t>
      </w:r>
      <w:r w:rsidRPr="0091086A">
        <w:rPr>
          <w:rFonts w:asciiTheme="minorHAnsi" w:hAnsiTheme="minorHAnsi" w:cstheme="minorHAnsi"/>
        </w:rPr>
        <w:t xml:space="preserve">, or prosecute </w:t>
      </w:r>
      <w:r w:rsidR="00F65EEE" w:rsidRPr="0091086A">
        <w:rPr>
          <w:rFonts w:asciiTheme="minorHAnsi" w:hAnsiTheme="minorHAnsi" w:cstheme="minorHAnsi"/>
        </w:rPr>
        <w:t>such cases</w:t>
      </w:r>
      <w:r w:rsidRPr="0091086A">
        <w:rPr>
          <w:rFonts w:asciiTheme="minorHAnsi" w:hAnsiTheme="minorHAnsi" w:cstheme="minorHAnsi"/>
        </w:rPr>
        <w:t xml:space="preserve">. </w:t>
      </w:r>
      <w:r w:rsidR="00512D2A" w:rsidRPr="0091086A">
        <w:rPr>
          <w:rFonts w:asciiTheme="minorHAnsi" w:hAnsiTheme="minorHAnsi" w:cstheme="minorHAnsi"/>
        </w:rPr>
        <w:t>Al-Haq’s</w:t>
      </w:r>
      <w:r w:rsidR="004D3973" w:rsidRPr="0091086A">
        <w:rPr>
          <w:rFonts w:asciiTheme="minorHAnsi" w:hAnsiTheme="minorHAnsi" w:cstheme="minorHAnsi"/>
        </w:rPr>
        <w:t xml:space="preserve"> submission </w:t>
      </w:r>
      <w:r w:rsidR="001E6025" w:rsidRPr="0091086A">
        <w:rPr>
          <w:rFonts w:asciiTheme="minorHAnsi" w:hAnsiTheme="minorHAnsi" w:cstheme="minorHAnsi"/>
        </w:rPr>
        <w:t xml:space="preserve">elaborates on </w:t>
      </w:r>
      <w:r w:rsidR="00A94035" w:rsidRPr="0091086A">
        <w:rPr>
          <w:rFonts w:asciiTheme="minorHAnsi" w:hAnsiTheme="minorHAnsi" w:cstheme="minorHAnsi"/>
        </w:rPr>
        <w:t>a number of</w:t>
      </w:r>
      <w:r w:rsidR="001E6025" w:rsidRPr="0091086A">
        <w:rPr>
          <w:rFonts w:asciiTheme="minorHAnsi" w:hAnsiTheme="minorHAnsi" w:cstheme="minorHAnsi"/>
        </w:rPr>
        <w:t xml:space="preserve"> </w:t>
      </w:r>
      <w:r w:rsidR="00542BE4" w:rsidRPr="0091086A">
        <w:rPr>
          <w:rFonts w:asciiTheme="minorHAnsi" w:hAnsiTheme="minorHAnsi" w:cstheme="minorHAnsi"/>
        </w:rPr>
        <w:t xml:space="preserve">issues that may be further developed </w:t>
      </w:r>
      <w:r w:rsidRPr="0091086A">
        <w:rPr>
          <w:rFonts w:asciiTheme="minorHAnsi" w:hAnsiTheme="minorHAnsi" w:cstheme="minorHAnsi"/>
        </w:rPr>
        <w:t xml:space="preserve">by the Committee to ensure broader protection </w:t>
      </w:r>
      <w:r w:rsidR="00F65EEE" w:rsidRPr="0091086A">
        <w:rPr>
          <w:rFonts w:asciiTheme="minorHAnsi" w:hAnsiTheme="minorHAnsi" w:cstheme="minorHAnsi"/>
        </w:rPr>
        <w:t>of</w:t>
      </w:r>
      <w:r w:rsidRPr="0091086A">
        <w:rPr>
          <w:rFonts w:asciiTheme="minorHAnsi" w:hAnsiTheme="minorHAnsi" w:cstheme="minorHAnsi"/>
        </w:rPr>
        <w:t xml:space="preserve"> the right to life in </w:t>
      </w:r>
      <w:r w:rsidR="00A94035" w:rsidRPr="0091086A">
        <w:rPr>
          <w:rFonts w:asciiTheme="minorHAnsi" w:hAnsiTheme="minorHAnsi" w:cstheme="minorHAnsi"/>
        </w:rPr>
        <w:t>context</w:t>
      </w:r>
      <w:r w:rsidR="00441819" w:rsidRPr="0091086A">
        <w:rPr>
          <w:rFonts w:asciiTheme="minorHAnsi" w:hAnsiTheme="minorHAnsi" w:cstheme="minorHAnsi"/>
        </w:rPr>
        <w:t>s</w:t>
      </w:r>
      <w:r w:rsidR="00A94035" w:rsidRPr="0091086A">
        <w:rPr>
          <w:rFonts w:asciiTheme="minorHAnsi" w:hAnsiTheme="minorHAnsi" w:cstheme="minorHAnsi"/>
        </w:rPr>
        <w:t xml:space="preserve"> of prolonged occupation.</w:t>
      </w:r>
    </w:p>
    <w:p w14:paraId="6FEE4DAD" w14:textId="56D16BC2" w:rsidR="006A76F4" w:rsidRPr="0091086A" w:rsidRDefault="006A76F4" w:rsidP="00EC5090">
      <w:pPr>
        <w:pStyle w:val="Heading1"/>
        <w:rPr>
          <w:rFonts w:asciiTheme="minorHAnsi" w:hAnsiTheme="minorHAnsi" w:cstheme="minorHAnsi"/>
        </w:rPr>
      </w:pPr>
      <w:bookmarkStart w:id="2" w:name="_Toc495075300"/>
      <w:r w:rsidRPr="0091086A">
        <w:rPr>
          <w:rFonts w:asciiTheme="minorHAnsi" w:hAnsiTheme="minorHAnsi" w:cstheme="minorHAnsi"/>
        </w:rPr>
        <w:lastRenderedPageBreak/>
        <w:t>Protect</w:t>
      </w:r>
      <w:r w:rsidR="00FA07B4" w:rsidRPr="0091086A">
        <w:rPr>
          <w:rFonts w:asciiTheme="minorHAnsi" w:hAnsiTheme="minorHAnsi" w:cstheme="minorHAnsi"/>
        </w:rPr>
        <w:t>ing</w:t>
      </w:r>
      <w:r w:rsidRPr="0091086A">
        <w:rPr>
          <w:rFonts w:asciiTheme="minorHAnsi" w:hAnsiTheme="minorHAnsi" w:cstheme="minorHAnsi"/>
        </w:rPr>
        <w:t xml:space="preserve"> the Right to Life in the Context of Prolonged Occupation</w:t>
      </w:r>
      <w:bookmarkEnd w:id="2"/>
    </w:p>
    <w:p w14:paraId="2426D472" w14:textId="77DD7CD9" w:rsidR="00111D3C" w:rsidRPr="0091086A" w:rsidRDefault="0081557A" w:rsidP="00EC5090">
      <w:pPr>
        <w:pStyle w:val="Heading2"/>
        <w:spacing w:line="240" w:lineRule="auto"/>
        <w:jc w:val="both"/>
        <w:rPr>
          <w:rFonts w:cstheme="minorHAnsi"/>
          <w:sz w:val="24"/>
          <w:szCs w:val="24"/>
        </w:rPr>
      </w:pPr>
      <w:bookmarkStart w:id="3" w:name="_Toc495075301"/>
      <w:r w:rsidRPr="0091086A">
        <w:rPr>
          <w:rFonts w:cstheme="minorHAnsi"/>
          <w:sz w:val="24"/>
          <w:szCs w:val="24"/>
        </w:rPr>
        <w:t>The</w:t>
      </w:r>
      <w:r w:rsidR="00C26C81" w:rsidRPr="0091086A">
        <w:rPr>
          <w:rFonts w:cstheme="minorHAnsi"/>
          <w:sz w:val="24"/>
          <w:szCs w:val="24"/>
        </w:rPr>
        <w:t xml:space="preserve"> regulation of the use of force</w:t>
      </w:r>
      <w:bookmarkEnd w:id="3"/>
    </w:p>
    <w:p w14:paraId="407D69AB" w14:textId="5DD38558" w:rsidR="00B60395" w:rsidRPr="000223D4" w:rsidRDefault="00FC5FE5" w:rsidP="000223D4">
      <w:pPr>
        <w:pStyle w:val="Numberedparagraph"/>
        <w:rPr>
          <w:rFonts w:asciiTheme="minorHAnsi" w:hAnsiTheme="minorHAnsi" w:cstheme="minorHAnsi"/>
        </w:rPr>
      </w:pPr>
      <w:r w:rsidRPr="0091086A">
        <w:t>Al-Haq supports the Committee’s view that international human rights law and inter</w:t>
      </w:r>
      <w:r w:rsidR="008C1446">
        <w:t xml:space="preserve">national humanitarian law </w:t>
      </w:r>
      <w:r w:rsidRPr="0091086A">
        <w:t>‘are complementary, not mutually exclusive.’</w:t>
      </w:r>
      <w:r w:rsidRPr="0091086A">
        <w:rPr>
          <w:rStyle w:val="FootnoteReference"/>
        </w:rPr>
        <w:footnoteReference w:id="7"/>
      </w:r>
      <w:r w:rsidRPr="0091086A">
        <w:t xml:space="preserve"> </w:t>
      </w:r>
      <w:r w:rsidR="004B5AFA" w:rsidRPr="0091086A">
        <w:rPr>
          <w:rFonts w:asciiTheme="minorHAnsi" w:hAnsiTheme="minorHAnsi" w:cstheme="minorHAnsi"/>
        </w:rPr>
        <w:t>T</w:t>
      </w:r>
      <w:r w:rsidR="001E6BCF" w:rsidRPr="0091086A">
        <w:rPr>
          <w:rFonts w:asciiTheme="minorHAnsi" w:hAnsiTheme="minorHAnsi" w:cstheme="minorHAnsi"/>
        </w:rPr>
        <w:t xml:space="preserve">he draft </w:t>
      </w:r>
      <w:r w:rsidR="008C1446">
        <w:rPr>
          <w:rFonts w:asciiTheme="minorHAnsi" w:hAnsiTheme="minorHAnsi" w:cstheme="minorHAnsi"/>
        </w:rPr>
        <w:t>provides</w:t>
      </w:r>
      <w:r w:rsidR="00370C69">
        <w:rPr>
          <w:rFonts w:asciiTheme="minorHAnsi" w:hAnsiTheme="minorHAnsi" w:cstheme="minorHAnsi"/>
        </w:rPr>
        <w:t xml:space="preserve"> that A</w:t>
      </w:r>
      <w:r w:rsidR="004B5AFA" w:rsidRPr="0091086A">
        <w:rPr>
          <w:rFonts w:asciiTheme="minorHAnsi" w:hAnsiTheme="minorHAnsi" w:cstheme="minorHAnsi"/>
        </w:rPr>
        <w:t xml:space="preserve">rticle 6 continues to apply </w:t>
      </w:r>
      <w:r w:rsidR="00370C69">
        <w:rPr>
          <w:rFonts w:asciiTheme="minorHAnsi" w:hAnsiTheme="minorHAnsi" w:cstheme="minorHAnsi"/>
        </w:rPr>
        <w:t>‘</w:t>
      </w:r>
      <w:r w:rsidR="004B5AFA" w:rsidRPr="0091086A">
        <w:rPr>
          <w:rFonts w:asciiTheme="minorHAnsi" w:hAnsiTheme="minorHAnsi" w:cstheme="minorHAnsi"/>
        </w:rPr>
        <w:t>also to the conduct of hostilities</w:t>
      </w:r>
      <w:r w:rsidR="00370C69">
        <w:rPr>
          <w:rFonts w:asciiTheme="minorHAnsi" w:hAnsiTheme="minorHAnsi" w:cstheme="minorHAnsi"/>
        </w:rPr>
        <w:t>’</w:t>
      </w:r>
      <w:r w:rsidR="004B5AFA" w:rsidRPr="0091086A">
        <w:rPr>
          <w:rFonts w:asciiTheme="minorHAnsi" w:hAnsiTheme="minorHAnsi" w:cstheme="minorHAnsi"/>
        </w:rPr>
        <w:t xml:space="preserve"> in situations of armed conflict to which the rules of international humanitarian law are applicable.</w:t>
      </w:r>
      <w:r w:rsidR="004B5AFA" w:rsidRPr="0091086A">
        <w:rPr>
          <w:rStyle w:val="FootnoteReference"/>
          <w:rFonts w:asciiTheme="minorHAnsi" w:hAnsiTheme="minorHAnsi" w:cstheme="minorHAnsi"/>
        </w:rPr>
        <w:footnoteReference w:id="8"/>
      </w:r>
      <w:r w:rsidR="000223D4">
        <w:rPr>
          <w:rFonts w:asciiTheme="minorHAnsi" w:hAnsiTheme="minorHAnsi" w:cstheme="minorHAnsi"/>
        </w:rPr>
        <w:t xml:space="preserve"> </w:t>
      </w:r>
      <w:r w:rsidR="006D4B73" w:rsidRPr="0091086A">
        <w:t>I</w:t>
      </w:r>
      <w:r w:rsidR="006A6F1A" w:rsidRPr="0091086A">
        <w:t>n paragraph 67</w:t>
      </w:r>
      <w:r w:rsidR="006D4B73" w:rsidRPr="0091086A">
        <w:t xml:space="preserve"> of the </w:t>
      </w:r>
      <w:r w:rsidR="00370C69">
        <w:t xml:space="preserve">draft General </w:t>
      </w:r>
      <w:r w:rsidR="006D4B73" w:rsidRPr="0091086A">
        <w:t>Comment</w:t>
      </w:r>
      <w:r w:rsidR="006A6F1A" w:rsidRPr="0091086A">
        <w:t xml:space="preserve">, Al-Haq believes that ‘[, subject to compelling security considerations,]’ should be removed as it may be abused by States </w:t>
      </w:r>
      <w:r w:rsidR="0044698B" w:rsidRPr="0091086A">
        <w:t xml:space="preserve">parties </w:t>
      </w:r>
      <w:r w:rsidR="006A6F1A" w:rsidRPr="0091086A">
        <w:t xml:space="preserve">to avoid disclosing information on military </w:t>
      </w:r>
      <w:r w:rsidR="006D4B73" w:rsidRPr="0091086A">
        <w:t xml:space="preserve">or law enforcement </w:t>
      </w:r>
      <w:r w:rsidR="006A6F1A" w:rsidRPr="0091086A">
        <w:t xml:space="preserve">attacks </w:t>
      </w:r>
      <w:r w:rsidR="0044698B" w:rsidRPr="0091086A">
        <w:t xml:space="preserve">they have carried out and </w:t>
      </w:r>
      <w:r w:rsidR="006A6F1A" w:rsidRPr="0091086A">
        <w:t>that</w:t>
      </w:r>
      <w:r w:rsidR="0044698B" w:rsidRPr="0091086A">
        <w:t xml:space="preserve"> may have</w:t>
      </w:r>
      <w:r w:rsidR="006A6F1A" w:rsidRPr="0091086A">
        <w:t xml:space="preserve"> result</w:t>
      </w:r>
      <w:r w:rsidR="0044698B" w:rsidRPr="0091086A">
        <w:t>ed</w:t>
      </w:r>
      <w:r w:rsidR="006A6F1A" w:rsidRPr="0091086A">
        <w:t xml:space="preserve"> in </w:t>
      </w:r>
      <w:r w:rsidR="0044698B" w:rsidRPr="0091086A">
        <w:t>arbitrary</w:t>
      </w:r>
      <w:r w:rsidR="006A6F1A" w:rsidRPr="0091086A">
        <w:t xml:space="preserve"> loss of life.</w:t>
      </w:r>
    </w:p>
    <w:p w14:paraId="264B9B4A" w14:textId="1E4E189C" w:rsidR="00111D3C" w:rsidRPr="0091086A" w:rsidRDefault="00577F6C" w:rsidP="00EC5090">
      <w:pPr>
        <w:pStyle w:val="Heading2"/>
        <w:spacing w:line="240" w:lineRule="auto"/>
        <w:jc w:val="both"/>
        <w:rPr>
          <w:rFonts w:cstheme="minorHAnsi"/>
          <w:sz w:val="24"/>
          <w:szCs w:val="24"/>
        </w:rPr>
      </w:pPr>
      <w:bookmarkStart w:id="4" w:name="_Toc495075302"/>
      <w:r w:rsidRPr="0091086A">
        <w:rPr>
          <w:rFonts w:cstheme="minorHAnsi"/>
          <w:sz w:val="24"/>
          <w:szCs w:val="24"/>
        </w:rPr>
        <w:t>Withholding the bodies of d</w:t>
      </w:r>
      <w:r w:rsidR="00753264" w:rsidRPr="0091086A">
        <w:rPr>
          <w:rFonts w:cstheme="minorHAnsi"/>
          <w:sz w:val="24"/>
          <w:szCs w:val="24"/>
        </w:rPr>
        <w:t>eceased</w:t>
      </w:r>
      <w:r w:rsidRPr="0091086A">
        <w:rPr>
          <w:rFonts w:cstheme="minorHAnsi"/>
          <w:sz w:val="24"/>
          <w:szCs w:val="24"/>
        </w:rPr>
        <w:t xml:space="preserve"> individuals: A violation of the duty to i</w:t>
      </w:r>
      <w:r w:rsidR="008524B5" w:rsidRPr="0091086A">
        <w:rPr>
          <w:rFonts w:cstheme="minorHAnsi"/>
          <w:sz w:val="24"/>
          <w:szCs w:val="24"/>
        </w:rPr>
        <w:t>nvestigate</w:t>
      </w:r>
      <w:bookmarkEnd w:id="4"/>
    </w:p>
    <w:p w14:paraId="75B13C74" w14:textId="18DECBC1" w:rsidR="00547592" w:rsidRPr="0091086A" w:rsidRDefault="00021929" w:rsidP="00EC5090">
      <w:pPr>
        <w:pStyle w:val="Numberedparagraph"/>
      </w:pPr>
      <w:r w:rsidRPr="0091086A">
        <w:rPr>
          <w:rFonts w:asciiTheme="minorHAnsi" w:hAnsiTheme="minorHAnsi" w:cstheme="minorHAnsi"/>
        </w:rPr>
        <w:t>The protection of the right to life</w:t>
      </w:r>
      <w:r w:rsidR="00BA5B5C" w:rsidRPr="0091086A">
        <w:t xml:space="preserve"> includes </w:t>
      </w:r>
      <w:r w:rsidR="00425891" w:rsidRPr="0091086A">
        <w:t xml:space="preserve">an </w:t>
      </w:r>
      <w:r w:rsidR="00FA109A" w:rsidRPr="0091086A">
        <w:t xml:space="preserve">obligation to </w:t>
      </w:r>
      <w:r w:rsidR="00753184" w:rsidRPr="0091086A">
        <w:t>‘</w:t>
      </w:r>
      <w:r w:rsidR="00FA109A" w:rsidRPr="0091086A">
        <w:t>investigate and prosecute allegations of deprivation of life by State authorities or by private individuals and entities, including allegations of excessive use of lethal force.’</w:t>
      </w:r>
      <w:r w:rsidR="00FA109A" w:rsidRPr="0091086A">
        <w:rPr>
          <w:rStyle w:val="FootnoteReference"/>
          <w:rFonts w:asciiTheme="minorHAnsi" w:hAnsiTheme="minorHAnsi" w:cstheme="minorHAnsi"/>
        </w:rPr>
        <w:footnoteReference w:id="9"/>
      </w:r>
      <w:r w:rsidR="00FA109A" w:rsidRPr="0091086A">
        <w:t xml:space="preserve"> </w:t>
      </w:r>
      <w:r w:rsidR="00D1580B" w:rsidRPr="0091086A">
        <w:t>Al-Haq welcomes the position that</w:t>
      </w:r>
      <w:r w:rsidR="00FA109A" w:rsidRPr="0091086A">
        <w:t xml:space="preserve"> ‘[w]here relevant, the investigation should include a rigorous autopsy of the victim’s body, whenever possible, in the presence of a pathologist representing the victim’s family.’ Al-Haq </w:t>
      </w:r>
      <w:r w:rsidR="00C2748E" w:rsidRPr="0091086A">
        <w:t xml:space="preserve">further </w:t>
      </w:r>
      <w:r w:rsidR="00FA109A" w:rsidRPr="0091086A">
        <w:t xml:space="preserve">supports the position that States have an obligation to </w:t>
      </w:r>
      <w:r w:rsidR="00E740A6" w:rsidRPr="0091086A">
        <w:t>‘establish the truth relating to the</w:t>
      </w:r>
      <w:r w:rsidR="001B32E9" w:rsidRPr="0091086A">
        <w:t xml:space="preserve"> </w:t>
      </w:r>
      <w:r w:rsidR="00E740A6" w:rsidRPr="0091086A">
        <w:t>events leading to the deprivation of life’</w:t>
      </w:r>
      <w:r w:rsidR="001B32E9" w:rsidRPr="0091086A">
        <w:rPr>
          <w:rStyle w:val="FootnoteReference"/>
        </w:rPr>
        <w:footnoteReference w:id="10"/>
      </w:r>
      <w:r w:rsidR="001B32E9" w:rsidRPr="0091086A">
        <w:t xml:space="preserve"> by </w:t>
      </w:r>
      <w:r w:rsidR="00FA109A" w:rsidRPr="0091086A">
        <w:t>reveal</w:t>
      </w:r>
      <w:r w:rsidR="001B32E9" w:rsidRPr="0091086A">
        <w:t>ing</w:t>
      </w:r>
      <w:r w:rsidR="00FA109A" w:rsidRPr="0091086A">
        <w:t xml:space="preserve"> the reasons for targeting certain </w:t>
      </w:r>
      <w:r w:rsidR="001B32E9" w:rsidRPr="0091086A">
        <w:t>individuals</w:t>
      </w:r>
      <w:r w:rsidR="00FA109A" w:rsidRPr="0091086A">
        <w:t xml:space="preserve"> </w:t>
      </w:r>
      <w:r w:rsidR="001B32E9" w:rsidRPr="0091086A">
        <w:t>and disclosing</w:t>
      </w:r>
      <w:r w:rsidR="00FA109A" w:rsidRPr="0091086A">
        <w:t xml:space="preserve"> details </w:t>
      </w:r>
      <w:r w:rsidR="00CD2F12" w:rsidRPr="0091086A">
        <w:t>about</w:t>
      </w:r>
      <w:r w:rsidR="00FA109A" w:rsidRPr="0091086A">
        <w:t xml:space="preserve"> the investigation to the </w:t>
      </w:r>
      <w:r w:rsidR="00CD2F12" w:rsidRPr="0091086A">
        <w:t xml:space="preserve">victim’s </w:t>
      </w:r>
      <w:r w:rsidR="00FA109A" w:rsidRPr="0091086A">
        <w:t>family.</w:t>
      </w:r>
      <w:r w:rsidR="008935A2" w:rsidRPr="0091086A">
        <w:rPr>
          <w:rStyle w:val="FootnoteReference"/>
        </w:rPr>
        <w:footnoteReference w:id="11"/>
      </w:r>
      <w:r w:rsidR="00414F64" w:rsidRPr="0091086A">
        <w:t xml:space="preserve"> </w:t>
      </w:r>
      <w:r w:rsidR="00CD2F12" w:rsidRPr="0091086A">
        <w:t>Al-Haq believes that the</w:t>
      </w:r>
      <w:r w:rsidR="00FA109A" w:rsidRPr="0091086A">
        <w:t xml:space="preserve"> </w:t>
      </w:r>
      <w:r w:rsidR="00CD2F12" w:rsidRPr="0091086A">
        <w:t>ability to conduct an investigation is</w:t>
      </w:r>
      <w:r w:rsidR="00FA109A" w:rsidRPr="0091086A">
        <w:t xml:space="preserve"> </w:t>
      </w:r>
      <w:r w:rsidR="00CD2F12" w:rsidRPr="0091086A">
        <w:t>obstructed</w:t>
      </w:r>
      <w:r w:rsidR="00FA109A" w:rsidRPr="0091086A">
        <w:t xml:space="preserve"> where the </w:t>
      </w:r>
      <w:r w:rsidR="00414F64" w:rsidRPr="0091086A">
        <w:t>remains</w:t>
      </w:r>
      <w:r w:rsidR="00FA109A" w:rsidRPr="0091086A">
        <w:t xml:space="preserve"> </w:t>
      </w:r>
      <w:r w:rsidR="00CD2F12" w:rsidRPr="0091086A">
        <w:t xml:space="preserve">of </w:t>
      </w:r>
      <w:r w:rsidR="00547592" w:rsidRPr="0091086A">
        <w:t>a</w:t>
      </w:r>
      <w:r w:rsidR="00CD2F12" w:rsidRPr="0091086A">
        <w:t xml:space="preserve"> victim </w:t>
      </w:r>
      <w:r w:rsidR="0027227E" w:rsidRPr="0091086A">
        <w:t>are</w:t>
      </w:r>
      <w:r w:rsidR="00FA109A" w:rsidRPr="0091086A">
        <w:t xml:space="preserve"> withheld by State authorities</w:t>
      </w:r>
      <w:r w:rsidR="00806E1E" w:rsidRPr="0091086A">
        <w:t xml:space="preserve"> for prolonged periods, potentially </w:t>
      </w:r>
      <w:r w:rsidR="00FA109A" w:rsidRPr="0091086A">
        <w:t>conceal</w:t>
      </w:r>
      <w:r w:rsidR="00806E1E" w:rsidRPr="0091086A">
        <w:t>ing</w:t>
      </w:r>
      <w:r w:rsidR="00FA109A" w:rsidRPr="0091086A">
        <w:t xml:space="preserve"> evidence of extrajudicial killings.</w:t>
      </w:r>
      <w:r w:rsidR="00806E1E" w:rsidRPr="0091086A">
        <w:rPr>
          <w:rStyle w:val="FootnoteReference"/>
          <w:rFonts w:asciiTheme="minorHAnsi" w:hAnsiTheme="minorHAnsi" w:cstheme="minorHAnsi"/>
        </w:rPr>
        <w:footnoteReference w:id="12"/>
      </w:r>
      <w:r w:rsidR="00414F64" w:rsidRPr="0091086A">
        <w:t xml:space="preserve"> As such, the Committee </w:t>
      </w:r>
      <w:r w:rsidR="00F05D74" w:rsidRPr="0091086A">
        <w:t>may</w:t>
      </w:r>
      <w:r w:rsidR="008A6D9E" w:rsidRPr="0091086A">
        <w:t xml:space="preserve"> </w:t>
      </w:r>
      <w:r w:rsidR="00AE3AAC" w:rsidRPr="0091086A">
        <w:t xml:space="preserve">add the following </w:t>
      </w:r>
      <w:r w:rsidR="00906C6A" w:rsidRPr="0091086A">
        <w:t>in paragraph 32:</w:t>
      </w:r>
    </w:p>
    <w:p w14:paraId="5539B709" w14:textId="1F833F59" w:rsidR="00906C6A" w:rsidRPr="0091086A" w:rsidRDefault="00050127" w:rsidP="00EC5090">
      <w:pPr>
        <w:pStyle w:val="Numberedparagraph"/>
        <w:numPr>
          <w:ilvl w:val="0"/>
          <w:numId w:val="0"/>
        </w:numPr>
        <w:ind w:left="1440"/>
      </w:pPr>
      <w:r w:rsidRPr="0091086A">
        <w:t>States may no</w:t>
      </w:r>
      <w:r w:rsidR="00D466B7" w:rsidRPr="0091086A">
        <w:t>t</w:t>
      </w:r>
      <w:r w:rsidRPr="0091086A">
        <w:t xml:space="preserve"> obstruct investigations into </w:t>
      </w:r>
      <w:r w:rsidR="00CB2F30" w:rsidRPr="0091086A">
        <w:t>arbitrary deprivations of life</w:t>
      </w:r>
      <w:r w:rsidRPr="0091086A">
        <w:t xml:space="preserve"> </w:t>
      </w:r>
      <w:r w:rsidR="00D466B7" w:rsidRPr="0091086A">
        <w:t>by</w:t>
      </w:r>
      <w:r w:rsidRPr="0091086A">
        <w:t xml:space="preserve"> </w:t>
      </w:r>
      <w:r w:rsidR="00D466B7" w:rsidRPr="0091086A">
        <w:t xml:space="preserve">withholding </w:t>
      </w:r>
      <w:r w:rsidRPr="0091086A">
        <w:t xml:space="preserve">a victim’s body </w:t>
      </w:r>
      <w:r w:rsidR="00D466B7" w:rsidRPr="0091086A">
        <w:t>for prolonged periods</w:t>
      </w:r>
      <w:r w:rsidR="00F05D74" w:rsidRPr="0091086A">
        <w:t xml:space="preserve"> or by placing conditions on the release of a body to family members</w:t>
      </w:r>
      <w:r w:rsidR="001F63CF" w:rsidRPr="0091086A">
        <w:t>, including those that effectively prohibit autopsies</w:t>
      </w:r>
      <w:r w:rsidR="00CB2F30" w:rsidRPr="0091086A">
        <w:t>.</w:t>
      </w:r>
    </w:p>
    <w:p w14:paraId="3B3F00D0" w14:textId="5C2D4E02" w:rsidR="00F41D58" w:rsidRPr="0091086A" w:rsidRDefault="00D225C0" w:rsidP="00EC5090">
      <w:pPr>
        <w:pStyle w:val="Numberedparagraph"/>
        <w:rPr>
          <w:rFonts w:asciiTheme="minorHAnsi" w:hAnsiTheme="minorHAnsi" w:cstheme="minorHAnsi"/>
        </w:rPr>
      </w:pPr>
      <w:r w:rsidRPr="0091086A">
        <w:rPr>
          <w:rFonts w:asciiTheme="minorHAnsi" w:hAnsiTheme="minorHAnsi" w:cstheme="minorHAnsi"/>
        </w:rPr>
        <w:t xml:space="preserve">Al-Haq </w:t>
      </w:r>
      <w:r w:rsidR="00B44E23" w:rsidRPr="0091086A">
        <w:rPr>
          <w:rFonts w:asciiTheme="minorHAnsi" w:hAnsiTheme="minorHAnsi" w:cstheme="minorHAnsi"/>
        </w:rPr>
        <w:t>supports</w:t>
      </w:r>
      <w:r w:rsidRPr="0091086A">
        <w:rPr>
          <w:rFonts w:asciiTheme="minorHAnsi" w:hAnsiTheme="minorHAnsi" w:cstheme="minorHAnsi"/>
        </w:rPr>
        <w:t xml:space="preserve"> the </w:t>
      </w:r>
      <w:r w:rsidR="00B44E23" w:rsidRPr="0091086A">
        <w:rPr>
          <w:rFonts w:asciiTheme="minorHAnsi" w:hAnsiTheme="minorHAnsi" w:cstheme="minorHAnsi"/>
        </w:rPr>
        <w:t>view</w:t>
      </w:r>
      <w:r w:rsidRPr="0091086A">
        <w:rPr>
          <w:rFonts w:asciiTheme="minorHAnsi" w:hAnsiTheme="minorHAnsi" w:cstheme="minorHAnsi"/>
        </w:rPr>
        <w:t xml:space="preserve"> that “[t]he arbitrary deprivation of life of an individual may cause his or her relatives </w:t>
      </w:r>
      <w:r w:rsidRPr="0091086A">
        <w:t>mental suffering, which could amount to a violation of their own rights under article 7 of the Covenant.”</w:t>
      </w:r>
      <w:r w:rsidRPr="0091086A">
        <w:rPr>
          <w:rStyle w:val="FootnoteReference"/>
        </w:rPr>
        <w:footnoteReference w:id="13"/>
      </w:r>
      <w:r w:rsidRPr="0091086A">
        <w:t xml:space="preserve"> </w:t>
      </w:r>
      <w:r w:rsidR="0022726A" w:rsidRPr="0091086A">
        <w:t xml:space="preserve">This includes not only the </w:t>
      </w:r>
      <w:r w:rsidR="00FA109A" w:rsidRPr="0091086A">
        <w:t xml:space="preserve">‘failure to provide relatives with information on the circumstances surrounding the death of an individual’ </w:t>
      </w:r>
      <w:r w:rsidR="0022726A" w:rsidRPr="0091086A">
        <w:t>but also</w:t>
      </w:r>
      <w:r w:rsidR="00FA109A" w:rsidRPr="0091086A">
        <w:t xml:space="preserve"> </w:t>
      </w:r>
      <w:r w:rsidR="00B44E23" w:rsidRPr="0091086A">
        <w:t xml:space="preserve">the inability </w:t>
      </w:r>
      <w:r w:rsidR="0022726A" w:rsidRPr="0091086A">
        <w:t xml:space="preserve">to bury a relative in accordance with one’s </w:t>
      </w:r>
      <w:r w:rsidR="008624E8" w:rsidRPr="0091086A">
        <w:t>religious beliefs</w:t>
      </w:r>
      <w:r w:rsidR="00A13E88" w:rsidRPr="0091086A">
        <w:t xml:space="preserve">, </w:t>
      </w:r>
      <w:r w:rsidR="0022726A" w:rsidRPr="0091086A">
        <w:t xml:space="preserve">cultural </w:t>
      </w:r>
      <w:r w:rsidR="00A13E88" w:rsidRPr="0091086A">
        <w:t xml:space="preserve">practices, and </w:t>
      </w:r>
      <w:r w:rsidR="0022726A" w:rsidRPr="0091086A">
        <w:t>traditions. The draft provides t</w:t>
      </w:r>
      <w:r w:rsidR="00FA109A" w:rsidRPr="0091086A">
        <w:t xml:space="preserve">hat </w:t>
      </w:r>
      <w:r w:rsidR="00164227" w:rsidRPr="0091086A">
        <w:t xml:space="preserve">when the death penalty is carried out, </w:t>
      </w:r>
      <w:r w:rsidR="001E23BD" w:rsidRPr="0091086A">
        <w:t>‘[f]</w:t>
      </w:r>
      <w:r w:rsidR="00164227" w:rsidRPr="0091086A">
        <w:t xml:space="preserve">amilies </w:t>
      </w:r>
      <w:r w:rsidR="001E23BD" w:rsidRPr="0091086A">
        <w:t xml:space="preserve">of executed individuals </w:t>
      </w:r>
      <w:r w:rsidR="00FA109A" w:rsidRPr="0091086A">
        <w:t>must be able to receive back the remains, if they so wish’</w:t>
      </w:r>
      <w:r w:rsidR="00F4413F" w:rsidRPr="0091086A">
        <w:rPr>
          <w:rStyle w:val="FootnoteReference"/>
          <w:rFonts w:asciiTheme="minorHAnsi" w:hAnsiTheme="minorHAnsi" w:cstheme="minorHAnsi"/>
        </w:rPr>
        <w:footnoteReference w:id="14"/>
      </w:r>
      <w:r w:rsidR="00766B9B" w:rsidRPr="0091086A">
        <w:t xml:space="preserve"> and be informed ‘of the location of the body.’</w:t>
      </w:r>
      <w:r w:rsidR="00766B9B" w:rsidRPr="0091086A">
        <w:rPr>
          <w:rStyle w:val="FootnoteReference"/>
        </w:rPr>
        <w:footnoteReference w:id="15"/>
      </w:r>
      <w:r w:rsidR="00935994" w:rsidRPr="0091086A">
        <w:t xml:space="preserve"> </w:t>
      </w:r>
      <w:r w:rsidR="00766B9B" w:rsidRPr="0091086A">
        <w:t>Al-Haq believes that this applies not only when the death penalty is applied</w:t>
      </w:r>
      <w:r w:rsidR="00F05D74" w:rsidRPr="0091086A">
        <w:t>,</w:t>
      </w:r>
      <w:r w:rsidR="00766B9B" w:rsidRPr="0091086A">
        <w:t xml:space="preserve"> but also in other cases of arbitrary deprivation of life by State authorities</w:t>
      </w:r>
      <w:r w:rsidR="00A85C07" w:rsidRPr="0091086A">
        <w:t>.</w:t>
      </w:r>
      <w:r w:rsidR="00F41D58" w:rsidRPr="0091086A">
        <w:t xml:space="preserve"> It is therefore suggested that the Committee modify the last sentence in paragraph 60 to read:</w:t>
      </w:r>
    </w:p>
    <w:p w14:paraId="7C00A70B" w14:textId="22101D04" w:rsidR="00533882" w:rsidRPr="0091086A" w:rsidRDefault="00533882" w:rsidP="00EC5090">
      <w:pPr>
        <w:pStyle w:val="Numberedparagraph"/>
        <w:numPr>
          <w:ilvl w:val="0"/>
          <w:numId w:val="0"/>
        </w:numPr>
        <w:ind w:left="1440"/>
      </w:pPr>
      <w:r w:rsidRPr="0091086A">
        <w:t>Families of executed individuals</w:t>
      </w:r>
      <w:r w:rsidR="00324099" w:rsidRPr="0091086A">
        <w:t xml:space="preserve"> </w:t>
      </w:r>
      <w:r w:rsidR="00F05D74" w:rsidRPr="0091086A">
        <w:t>or</w:t>
      </w:r>
      <w:r w:rsidR="00324099" w:rsidRPr="0091086A">
        <w:t xml:space="preserve"> individuals arbitrarily deprived of their life</w:t>
      </w:r>
      <w:r w:rsidR="00F05D74" w:rsidRPr="0091086A">
        <w:t xml:space="preserve"> by </w:t>
      </w:r>
      <w:r w:rsidR="000852A7" w:rsidRPr="0091086A">
        <w:t>S</w:t>
      </w:r>
      <w:r w:rsidR="00F05D74" w:rsidRPr="0091086A">
        <w:t>tate authorities</w:t>
      </w:r>
      <w:r w:rsidRPr="0091086A">
        <w:t xml:space="preserve"> must be able to receive back </w:t>
      </w:r>
      <w:r w:rsidR="00324099" w:rsidRPr="0091086A">
        <w:t>the remains, if they so wish.</w:t>
      </w:r>
    </w:p>
    <w:p w14:paraId="39E90C37" w14:textId="2CB980F7" w:rsidR="001B7963" w:rsidRPr="0091086A" w:rsidRDefault="00735077" w:rsidP="00EC5090">
      <w:pPr>
        <w:pStyle w:val="Numberedparagraph"/>
        <w:rPr>
          <w:rFonts w:asciiTheme="minorHAnsi" w:hAnsiTheme="minorHAnsi" w:cstheme="minorHAnsi"/>
        </w:rPr>
      </w:pPr>
      <w:r w:rsidRPr="0091086A">
        <w:t>The State may not ar</w:t>
      </w:r>
      <w:r w:rsidR="00BB0541" w:rsidRPr="0091086A">
        <w:t xml:space="preserve">bitrarily withhold </w:t>
      </w:r>
      <w:r w:rsidR="008624E8" w:rsidRPr="0091086A">
        <w:t>bodies</w:t>
      </w:r>
      <w:r w:rsidR="00BB0541" w:rsidRPr="0091086A">
        <w:t xml:space="preserve"> of</w:t>
      </w:r>
      <w:r w:rsidR="008624E8" w:rsidRPr="0091086A">
        <w:t xml:space="preserve"> deceased</w:t>
      </w:r>
      <w:r w:rsidRPr="0091086A">
        <w:t xml:space="preserve"> victim</w:t>
      </w:r>
      <w:r w:rsidR="00BB0541" w:rsidRPr="0091086A">
        <w:t>s</w:t>
      </w:r>
      <w:r w:rsidRPr="0091086A">
        <w:t xml:space="preserve"> and </w:t>
      </w:r>
      <w:r w:rsidR="00BB0541" w:rsidRPr="0091086A">
        <w:t xml:space="preserve">delay the return </w:t>
      </w:r>
      <w:r w:rsidR="008624E8" w:rsidRPr="0091086A">
        <w:t xml:space="preserve">of </w:t>
      </w:r>
      <w:r w:rsidR="00BB0541" w:rsidRPr="0091086A">
        <w:t>their</w:t>
      </w:r>
      <w:r w:rsidRPr="0091086A">
        <w:t xml:space="preserve"> </w:t>
      </w:r>
      <w:r w:rsidR="00BB0541" w:rsidRPr="0091086A">
        <w:t xml:space="preserve">remains to their family for </w:t>
      </w:r>
      <w:r w:rsidR="008624E8" w:rsidRPr="0091086A">
        <w:t xml:space="preserve">a dignified </w:t>
      </w:r>
      <w:r w:rsidR="00BB0541" w:rsidRPr="0091086A">
        <w:t>burial in accordance with their beliefs and traditions.</w:t>
      </w:r>
      <w:r w:rsidR="009246EE" w:rsidRPr="0091086A">
        <w:t xml:space="preserve"> Such </w:t>
      </w:r>
      <w:r w:rsidR="00DA24EC" w:rsidRPr="0091086A">
        <w:t xml:space="preserve">a </w:t>
      </w:r>
      <w:r w:rsidR="00907207" w:rsidRPr="0091086A">
        <w:t xml:space="preserve">prolonged withholding of a victim’s body amounts to </w:t>
      </w:r>
      <w:r w:rsidR="00DF4047" w:rsidRPr="0091086A">
        <w:t>collective punishment and violates</w:t>
      </w:r>
      <w:r w:rsidR="00907207" w:rsidRPr="0091086A">
        <w:t xml:space="preserve"> </w:t>
      </w:r>
      <w:r w:rsidR="009246EE" w:rsidRPr="0091086A">
        <w:t xml:space="preserve">the </w:t>
      </w:r>
      <w:r w:rsidR="00F6175C">
        <w:t xml:space="preserve">victim’s </w:t>
      </w:r>
      <w:r w:rsidR="000049DC" w:rsidRPr="0091086A">
        <w:t>family members’ right</w:t>
      </w:r>
      <w:r w:rsidR="0014387C" w:rsidRPr="0091086A">
        <w:t xml:space="preserve">s under Article 7 </w:t>
      </w:r>
      <w:r w:rsidR="009246EE" w:rsidRPr="0091086A">
        <w:t>of the Covenant.</w:t>
      </w:r>
      <w:r w:rsidR="00363C7B" w:rsidRPr="0091086A">
        <w:rPr>
          <w:rStyle w:val="FootnoteReference"/>
        </w:rPr>
        <w:footnoteReference w:id="16"/>
      </w:r>
      <w:r w:rsidR="00805D20" w:rsidRPr="0091086A">
        <w:t xml:space="preserve"> </w:t>
      </w:r>
      <w:r w:rsidR="00FA109A" w:rsidRPr="0091086A">
        <w:t>The imposition of humiliating and degrading conditions on funeral processions may further violate t</w:t>
      </w:r>
      <w:r w:rsidR="00935994" w:rsidRPr="0091086A">
        <w:t>he family members’ right</w:t>
      </w:r>
      <w:r w:rsidR="001F2E76">
        <w:t>,</w:t>
      </w:r>
      <w:r w:rsidR="00935994" w:rsidRPr="0091086A">
        <w:t xml:space="preserve"> </w:t>
      </w:r>
      <w:r w:rsidR="009246EE" w:rsidRPr="0091086A">
        <w:t>under Article 18 of the Covenant</w:t>
      </w:r>
      <w:r w:rsidR="001F2E76">
        <w:t>,</w:t>
      </w:r>
      <w:r w:rsidR="009246EE" w:rsidRPr="0091086A">
        <w:t xml:space="preserve"> </w:t>
      </w:r>
      <w:r w:rsidR="00FA109A" w:rsidRPr="0091086A">
        <w:t>to bury their loved one</w:t>
      </w:r>
      <w:r w:rsidR="009246EE" w:rsidRPr="0091086A">
        <w:t>s</w:t>
      </w:r>
      <w:r w:rsidR="00FA109A" w:rsidRPr="0091086A">
        <w:t xml:space="preserve"> in accordance with their r</w:t>
      </w:r>
      <w:r w:rsidR="009246EE" w:rsidRPr="0091086A">
        <w:t xml:space="preserve">eligious </w:t>
      </w:r>
      <w:r w:rsidR="00A41450" w:rsidRPr="0091086A">
        <w:t>beliefs</w:t>
      </w:r>
      <w:r w:rsidR="009246EE" w:rsidRPr="0091086A">
        <w:t xml:space="preserve"> and </w:t>
      </w:r>
      <w:r w:rsidR="00A41450" w:rsidRPr="0091086A">
        <w:t>customs</w:t>
      </w:r>
      <w:r w:rsidR="009246EE" w:rsidRPr="0091086A">
        <w:t>.</w:t>
      </w:r>
      <w:r w:rsidR="00FA109A" w:rsidRPr="0091086A">
        <w:t xml:space="preserve"> As such, it is suggested that the excessive delay in returning a person’s remains is in violation of </w:t>
      </w:r>
      <w:r w:rsidR="00A41450" w:rsidRPr="0091086A">
        <w:t>both Articles 7 and 18 of the Covenant.</w:t>
      </w:r>
      <w:r w:rsidR="00A85C07" w:rsidRPr="0091086A">
        <w:t xml:space="preserve"> </w:t>
      </w:r>
      <w:r w:rsidR="003527CE" w:rsidRPr="0091086A">
        <w:t>Al-Haq proposes</w:t>
      </w:r>
      <w:r w:rsidR="000049DC" w:rsidRPr="0091086A">
        <w:t xml:space="preserve"> that the </w:t>
      </w:r>
      <w:r w:rsidR="003527CE" w:rsidRPr="0091086A">
        <w:t>C</w:t>
      </w:r>
      <w:r w:rsidR="000049DC" w:rsidRPr="0091086A">
        <w:t xml:space="preserve">ommittee add </w:t>
      </w:r>
      <w:r w:rsidR="003527CE" w:rsidRPr="0091086A">
        <w:t xml:space="preserve">after the </w:t>
      </w:r>
      <w:r w:rsidR="000049DC" w:rsidRPr="0091086A">
        <w:t>last se</w:t>
      </w:r>
      <w:r w:rsidR="001B7963" w:rsidRPr="0091086A">
        <w:t>ntence in paragraph 60:</w:t>
      </w:r>
    </w:p>
    <w:p w14:paraId="65468AAA" w14:textId="0921FFC5" w:rsidR="000049DC" w:rsidRPr="0091086A" w:rsidRDefault="001B7963" w:rsidP="00EC5090">
      <w:pPr>
        <w:pStyle w:val="Numberedparagraph"/>
        <w:numPr>
          <w:ilvl w:val="0"/>
          <w:numId w:val="0"/>
        </w:numPr>
        <w:ind w:left="1440"/>
        <w:rPr>
          <w:rFonts w:asciiTheme="minorHAnsi" w:hAnsiTheme="minorHAnsi" w:cstheme="minorHAnsi"/>
        </w:rPr>
      </w:pPr>
      <w:r w:rsidRPr="0091086A">
        <w:t>A</w:t>
      </w:r>
      <w:r w:rsidR="000049DC" w:rsidRPr="0091086A">
        <w:t xml:space="preserve">n excessive delay by State authorities in returning the remains of a deceased individual to his </w:t>
      </w:r>
      <w:r w:rsidR="003527CE" w:rsidRPr="0091086A">
        <w:t xml:space="preserve">or her </w:t>
      </w:r>
      <w:r w:rsidR="000049DC" w:rsidRPr="0091086A">
        <w:t xml:space="preserve">family </w:t>
      </w:r>
      <w:r w:rsidRPr="0091086A">
        <w:t xml:space="preserve">for a proper and dignified burial </w:t>
      </w:r>
      <w:r w:rsidR="000049DC" w:rsidRPr="0091086A">
        <w:t xml:space="preserve">may violate </w:t>
      </w:r>
      <w:r w:rsidR="00C2634C" w:rsidRPr="0091086A">
        <w:t xml:space="preserve">his or her </w:t>
      </w:r>
      <w:r w:rsidR="000049DC" w:rsidRPr="0091086A">
        <w:t xml:space="preserve">family </w:t>
      </w:r>
      <w:r w:rsidR="00A41450" w:rsidRPr="0091086A">
        <w:t>members’ rights under article</w:t>
      </w:r>
      <w:r w:rsidR="002247FD" w:rsidRPr="0091086A">
        <w:t>s</w:t>
      </w:r>
      <w:r w:rsidR="00A41450" w:rsidRPr="0091086A">
        <w:t xml:space="preserve"> 7 and </w:t>
      </w:r>
      <w:r w:rsidR="002247FD" w:rsidRPr="0091086A">
        <w:t>18 of the Covenant.</w:t>
      </w:r>
    </w:p>
    <w:p w14:paraId="7FBBF854" w14:textId="17D736BF" w:rsidR="008D039B" w:rsidRPr="0091086A" w:rsidRDefault="0037402C" w:rsidP="00EC5090">
      <w:pPr>
        <w:pStyle w:val="Heading2"/>
        <w:spacing w:line="240" w:lineRule="auto"/>
        <w:jc w:val="both"/>
        <w:rPr>
          <w:rFonts w:cstheme="minorHAnsi"/>
          <w:sz w:val="24"/>
          <w:szCs w:val="24"/>
        </w:rPr>
      </w:pPr>
      <w:bookmarkStart w:id="5" w:name="_Toc495075303"/>
      <w:r w:rsidRPr="0091086A">
        <w:rPr>
          <w:rFonts w:cstheme="minorHAnsi"/>
          <w:sz w:val="24"/>
          <w:szCs w:val="24"/>
        </w:rPr>
        <w:t>The prohibition on</w:t>
      </w:r>
      <w:r w:rsidR="00DE2F7F" w:rsidRPr="0091086A">
        <w:rPr>
          <w:rFonts w:cstheme="minorHAnsi"/>
          <w:sz w:val="24"/>
          <w:szCs w:val="24"/>
        </w:rPr>
        <w:t xml:space="preserve"> f</w:t>
      </w:r>
      <w:r w:rsidR="003E73D4" w:rsidRPr="0091086A">
        <w:rPr>
          <w:rFonts w:cstheme="minorHAnsi"/>
          <w:sz w:val="24"/>
          <w:szCs w:val="24"/>
        </w:rPr>
        <w:t xml:space="preserve">orcible </w:t>
      </w:r>
      <w:r w:rsidR="00DE2F7F" w:rsidRPr="0091086A">
        <w:rPr>
          <w:rFonts w:cstheme="minorHAnsi"/>
          <w:sz w:val="24"/>
          <w:szCs w:val="24"/>
        </w:rPr>
        <w:t>f</w:t>
      </w:r>
      <w:r w:rsidR="00330EEC" w:rsidRPr="0091086A">
        <w:rPr>
          <w:rFonts w:cstheme="minorHAnsi"/>
          <w:sz w:val="24"/>
          <w:szCs w:val="24"/>
        </w:rPr>
        <w:t xml:space="preserve">eeding </w:t>
      </w:r>
      <w:r w:rsidR="003E73D4" w:rsidRPr="0091086A">
        <w:rPr>
          <w:rFonts w:cstheme="minorHAnsi"/>
          <w:sz w:val="24"/>
          <w:szCs w:val="24"/>
        </w:rPr>
        <w:t xml:space="preserve">of </w:t>
      </w:r>
      <w:r w:rsidR="00513E16" w:rsidRPr="0091086A">
        <w:rPr>
          <w:rFonts w:cstheme="minorHAnsi"/>
          <w:sz w:val="24"/>
          <w:szCs w:val="24"/>
        </w:rPr>
        <w:t>prisoners on hunger s</w:t>
      </w:r>
      <w:r w:rsidR="00111D3C" w:rsidRPr="0091086A">
        <w:rPr>
          <w:rFonts w:cstheme="minorHAnsi"/>
          <w:sz w:val="24"/>
          <w:szCs w:val="24"/>
        </w:rPr>
        <w:t>trike</w:t>
      </w:r>
      <w:bookmarkEnd w:id="5"/>
    </w:p>
    <w:p w14:paraId="589FED05" w14:textId="4B13689E" w:rsidR="00534DD5" w:rsidRPr="0091086A" w:rsidRDefault="00FA109A" w:rsidP="00EC5090">
      <w:pPr>
        <w:pStyle w:val="Numberedparagraph"/>
        <w:rPr>
          <w:rFonts w:asciiTheme="minorHAnsi" w:hAnsiTheme="minorHAnsi" w:cstheme="minorHAnsi"/>
        </w:rPr>
      </w:pPr>
      <w:r w:rsidRPr="0091086A">
        <w:rPr>
          <w:rFonts w:asciiTheme="minorHAnsi" w:hAnsiTheme="minorHAnsi" w:cstheme="minorHAnsi"/>
        </w:rPr>
        <w:t>Al-Haq notes with appreciation the recognition that States ‘have a heightened obligation to take any necessary measures to protect the lives of individuals deprived of their liberty by the State, since by arresting, detaining and imprisoning individuals States parties assume the responsibility to care for their life and bodily integrity’.</w:t>
      </w:r>
      <w:r w:rsidR="00411F5B" w:rsidRPr="0091086A">
        <w:rPr>
          <w:rStyle w:val="FootnoteReference"/>
          <w:rFonts w:asciiTheme="minorHAnsi" w:hAnsiTheme="minorHAnsi" w:cstheme="minorHAnsi"/>
        </w:rPr>
        <w:footnoteReference w:id="17"/>
      </w:r>
      <w:r w:rsidR="00A8282C" w:rsidRPr="0091086A">
        <w:rPr>
          <w:rFonts w:asciiTheme="minorHAnsi" w:hAnsiTheme="minorHAnsi" w:cstheme="minorHAnsi"/>
        </w:rPr>
        <w:t xml:space="preserve"> </w:t>
      </w:r>
      <w:r w:rsidR="00534DD5" w:rsidRPr="0091086A">
        <w:rPr>
          <w:rFonts w:asciiTheme="minorHAnsi" w:hAnsiTheme="minorHAnsi" w:cstheme="minorHAnsi"/>
        </w:rPr>
        <w:t>In order to ensure that ‘</w:t>
      </w:r>
      <w:r w:rsidR="00A8282C" w:rsidRPr="0091086A">
        <w:rPr>
          <w:rFonts w:asciiTheme="minorHAnsi" w:hAnsiTheme="minorHAnsi" w:cstheme="minorHAnsi"/>
        </w:rPr>
        <w:t xml:space="preserve">necessary measures’ </w:t>
      </w:r>
      <w:r w:rsidR="00534DD5" w:rsidRPr="0091086A">
        <w:rPr>
          <w:rFonts w:asciiTheme="minorHAnsi" w:hAnsiTheme="minorHAnsi" w:cstheme="minorHAnsi"/>
        </w:rPr>
        <w:t xml:space="preserve">are </w:t>
      </w:r>
      <w:r w:rsidR="005609CB">
        <w:rPr>
          <w:rFonts w:asciiTheme="minorHAnsi" w:hAnsiTheme="minorHAnsi" w:cstheme="minorHAnsi"/>
        </w:rPr>
        <w:t xml:space="preserve">read </w:t>
      </w:r>
      <w:r w:rsidR="00534DD5" w:rsidRPr="0091086A">
        <w:rPr>
          <w:rFonts w:asciiTheme="minorHAnsi" w:hAnsiTheme="minorHAnsi" w:cstheme="minorHAnsi"/>
        </w:rPr>
        <w:t>consistent</w:t>
      </w:r>
      <w:r w:rsidR="005609CB">
        <w:rPr>
          <w:rFonts w:asciiTheme="minorHAnsi" w:hAnsiTheme="minorHAnsi" w:cstheme="minorHAnsi"/>
        </w:rPr>
        <w:t>ly</w:t>
      </w:r>
      <w:r w:rsidR="00534DD5" w:rsidRPr="0091086A">
        <w:rPr>
          <w:rFonts w:asciiTheme="minorHAnsi" w:hAnsiTheme="minorHAnsi" w:cstheme="minorHAnsi"/>
        </w:rPr>
        <w:t xml:space="preserve"> with </w:t>
      </w:r>
      <w:r w:rsidR="005609CB">
        <w:rPr>
          <w:rFonts w:asciiTheme="minorHAnsi" w:hAnsiTheme="minorHAnsi" w:cstheme="minorHAnsi"/>
        </w:rPr>
        <w:t xml:space="preserve">principles of </w:t>
      </w:r>
      <w:r w:rsidR="00534DD5" w:rsidRPr="0091086A">
        <w:rPr>
          <w:rFonts w:asciiTheme="minorHAnsi" w:hAnsiTheme="minorHAnsi" w:cstheme="minorHAnsi"/>
        </w:rPr>
        <w:t>medical ethics,</w:t>
      </w:r>
      <w:r w:rsidR="00534DD5" w:rsidRPr="0091086A">
        <w:rPr>
          <w:rStyle w:val="FootnoteReference"/>
          <w:rFonts w:asciiTheme="minorHAnsi" w:hAnsiTheme="minorHAnsi" w:cstheme="minorHAnsi"/>
        </w:rPr>
        <w:footnoteReference w:id="18"/>
      </w:r>
      <w:r w:rsidR="00534DD5" w:rsidRPr="0091086A">
        <w:rPr>
          <w:rFonts w:asciiTheme="minorHAnsi" w:hAnsiTheme="minorHAnsi" w:cstheme="minorHAnsi"/>
        </w:rPr>
        <w:t xml:space="preserve"> and are not interpreted in a way that authorises </w:t>
      </w:r>
      <w:r w:rsidR="005609CB">
        <w:rPr>
          <w:rFonts w:asciiTheme="minorHAnsi" w:hAnsiTheme="minorHAnsi" w:cstheme="minorHAnsi"/>
        </w:rPr>
        <w:t xml:space="preserve">the </w:t>
      </w:r>
      <w:r w:rsidR="00534DD5" w:rsidRPr="0091086A">
        <w:rPr>
          <w:rFonts w:asciiTheme="minorHAnsi" w:hAnsiTheme="minorHAnsi" w:cstheme="minorHAnsi"/>
        </w:rPr>
        <w:t xml:space="preserve">forcible feeding of prisoners or detainees on hunger strike, which amounts to </w:t>
      </w:r>
      <w:r w:rsidR="00101330">
        <w:rPr>
          <w:rFonts w:asciiTheme="minorHAnsi" w:hAnsiTheme="minorHAnsi" w:cstheme="minorHAnsi"/>
        </w:rPr>
        <w:t>treatment contrary to</w:t>
      </w:r>
      <w:r w:rsidR="00534DD5" w:rsidRPr="0091086A">
        <w:rPr>
          <w:rFonts w:asciiTheme="minorHAnsi" w:hAnsiTheme="minorHAnsi" w:cstheme="minorHAnsi"/>
        </w:rPr>
        <w:t xml:space="preserve"> Article 7 of the Covenant,</w:t>
      </w:r>
      <w:r w:rsidR="00534DD5" w:rsidRPr="0091086A">
        <w:rPr>
          <w:rStyle w:val="FootnoteReference"/>
          <w:rFonts w:asciiTheme="minorHAnsi" w:hAnsiTheme="minorHAnsi" w:cstheme="minorHAnsi"/>
        </w:rPr>
        <w:footnoteReference w:id="19"/>
      </w:r>
      <w:r w:rsidR="00534DD5" w:rsidRPr="0091086A">
        <w:rPr>
          <w:rFonts w:asciiTheme="minorHAnsi" w:hAnsiTheme="minorHAnsi" w:cstheme="minorHAnsi"/>
        </w:rPr>
        <w:t xml:space="preserve"> it is suggested that the first sentence in paragraph 29 be reformulated to read:</w:t>
      </w:r>
    </w:p>
    <w:p w14:paraId="7FE0C9C8" w14:textId="77777777" w:rsidR="00534DD5" w:rsidRPr="0091086A" w:rsidRDefault="00534DD5" w:rsidP="00EC5090">
      <w:pPr>
        <w:pStyle w:val="Numberedparagraph"/>
        <w:numPr>
          <w:ilvl w:val="0"/>
          <w:numId w:val="0"/>
        </w:numPr>
        <w:ind w:left="1440"/>
      </w:pPr>
      <w:r w:rsidRPr="0091086A">
        <w:t>Subject to internationally accepted principles on medical ethics,</w:t>
      </w:r>
      <w:r w:rsidRPr="0091086A">
        <w:rPr>
          <w:rStyle w:val="FootnoteReference"/>
        </w:rPr>
        <w:footnoteReference w:id="20"/>
      </w:r>
      <w:r w:rsidRPr="0091086A">
        <w:t xml:space="preserve"> States parties also have a heightened obligation to take any necessary measures to protect the lives of individuals deprived of their liberty by the State, since by arresting, detaining and imprisoning individuals States parties assume the responsibility to care for their life and bodily integrity, and they may not rely on lack of financial resources or other logistical problems to reduce this responsibility.</w:t>
      </w:r>
    </w:p>
    <w:p w14:paraId="450D6C8A" w14:textId="7D1A9FA9" w:rsidR="003C65F6" w:rsidRPr="0091086A" w:rsidRDefault="00A52611" w:rsidP="00EC5090">
      <w:pPr>
        <w:pStyle w:val="Numberedparagraph"/>
      </w:pPr>
      <w:r w:rsidRPr="0091086A">
        <w:t xml:space="preserve">In paragraph 29, the Committee should also consider inserting </w:t>
      </w:r>
      <w:r w:rsidR="00306B27" w:rsidRPr="0091086A">
        <w:t>the following after footnote 91</w:t>
      </w:r>
      <w:r w:rsidR="003C65F6" w:rsidRPr="0091086A">
        <w:t>:</w:t>
      </w:r>
    </w:p>
    <w:p w14:paraId="6137D6CD" w14:textId="1D20F4F4" w:rsidR="00F927E9" w:rsidRPr="0091086A" w:rsidRDefault="00502D49" w:rsidP="00EC5090">
      <w:pPr>
        <w:pStyle w:val="Numberedparagraph"/>
        <w:numPr>
          <w:ilvl w:val="0"/>
          <w:numId w:val="0"/>
        </w:numPr>
        <w:ind w:left="1440"/>
      </w:pPr>
      <w:r w:rsidRPr="0091086A">
        <w:t xml:space="preserve">This duty </w:t>
      </w:r>
      <w:r w:rsidR="001D782D" w:rsidRPr="0091086A">
        <w:t>may not involve any treatment contrary to Article 7 of the Covenant, including the</w:t>
      </w:r>
      <w:r w:rsidRPr="0091086A">
        <w:t xml:space="preserve"> forcible feeding of prisoners or</w:t>
      </w:r>
      <w:r w:rsidR="001D782D" w:rsidRPr="0091086A">
        <w:t xml:space="preserve"> detainees on hunger strike</w:t>
      </w:r>
      <w:r w:rsidRPr="0091086A">
        <w:t>.</w:t>
      </w:r>
    </w:p>
    <w:p w14:paraId="23C09ACE" w14:textId="2A128212" w:rsidR="006A76F4" w:rsidRPr="0091086A" w:rsidRDefault="00FA2CA2" w:rsidP="00EC5090">
      <w:pPr>
        <w:pStyle w:val="Heading1"/>
        <w:rPr>
          <w:rFonts w:asciiTheme="minorHAnsi" w:hAnsiTheme="minorHAnsi" w:cstheme="minorHAnsi"/>
        </w:rPr>
      </w:pPr>
      <w:bookmarkStart w:id="6" w:name="_Toc495075304"/>
      <w:r w:rsidRPr="0091086A">
        <w:rPr>
          <w:rFonts w:asciiTheme="minorHAnsi" w:hAnsiTheme="minorHAnsi" w:cstheme="minorHAnsi"/>
        </w:rPr>
        <w:t>The Right to</w:t>
      </w:r>
      <w:r w:rsidR="00D11BA5" w:rsidRPr="0091086A">
        <w:rPr>
          <w:rFonts w:asciiTheme="minorHAnsi" w:hAnsiTheme="minorHAnsi" w:cstheme="minorHAnsi"/>
        </w:rPr>
        <w:t xml:space="preserve"> Human Dignity</w:t>
      </w:r>
      <w:r w:rsidR="006A76F4" w:rsidRPr="0091086A">
        <w:rPr>
          <w:rFonts w:asciiTheme="minorHAnsi" w:hAnsiTheme="minorHAnsi" w:cstheme="minorHAnsi"/>
        </w:rPr>
        <w:t xml:space="preserve"> </w:t>
      </w:r>
      <w:r w:rsidR="005A0B84" w:rsidRPr="0091086A">
        <w:rPr>
          <w:rFonts w:asciiTheme="minorHAnsi" w:hAnsiTheme="minorHAnsi" w:cstheme="minorHAnsi"/>
        </w:rPr>
        <w:t>and</w:t>
      </w:r>
      <w:r w:rsidR="006A76F4" w:rsidRPr="0091086A">
        <w:rPr>
          <w:rFonts w:asciiTheme="minorHAnsi" w:hAnsiTheme="minorHAnsi" w:cstheme="minorHAnsi"/>
        </w:rPr>
        <w:t xml:space="preserve"> Economic, Social, and Cultural Rights</w:t>
      </w:r>
      <w:bookmarkEnd w:id="6"/>
    </w:p>
    <w:p w14:paraId="129FBA2A" w14:textId="53CAD836" w:rsidR="00706DF1" w:rsidRPr="0091086A" w:rsidRDefault="00691B53" w:rsidP="00EC5090">
      <w:pPr>
        <w:pStyle w:val="Numberedparagraph"/>
      </w:pPr>
      <w:r w:rsidRPr="0091086A">
        <w:t xml:space="preserve">Al-Haq welcomes the Committee’s view that </w:t>
      </w:r>
      <w:r w:rsidR="004B2150" w:rsidRPr="0091086A">
        <w:t xml:space="preserve">the right to life ‘concerns the entitlement of individuals </w:t>
      </w:r>
      <w:r w:rsidR="00EC5385" w:rsidRPr="0091086A">
        <w:t>[…]</w:t>
      </w:r>
      <w:r w:rsidR="004B2150" w:rsidRPr="0091086A">
        <w:t xml:space="preserve"> to enjoy a life with dignity</w:t>
      </w:r>
      <w:r w:rsidR="00D64CBC" w:rsidRPr="0091086A">
        <w:t>.</w:t>
      </w:r>
      <w:r w:rsidR="00CF7C63" w:rsidRPr="0091086A">
        <w:t>’</w:t>
      </w:r>
      <w:r w:rsidR="00E642D3" w:rsidRPr="0091086A">
        <w:rPr>
          <w:rStyle w:val="FootnoteReference"/>
          <w:rFonts w:asciiTheme="minorHAnsi" w:hAnsiTheme="minorHAnsi" w:cstheme="minorHAnsi"/>
        </w:rPr>
        <w:footnoteReference w:id="21"/>
      </w:r>
      <w:r w:rsidR="001F4CBD" w:rsidRPr="0091086A">
        <w:t xml:space="preserve"> </w:t>
      </w:r>
      <w:r w:rsidR="009C7429" w:rsidRPr="0091086A">
        <w:t>This</w:t>
      </w:r>
      <w:r w:rsidR="000011BB" w:rsidRPr="0091086A">
        <w:t xml:space="preserve"> recognition </w:t>
      </w:r>
      <w:r w:rsidR="005C327B">
        <w:t xml:space="preserve">significantly </w:t>
      </w:r>
      <w:r w:rsidR="009C7429" w:rsidRPr="0091086A">
        <w:t>broadens</w:t>
      </w:r>
      <w:r w:rsidR="008660AD" w:rsidRPr="0091086A">
        <w:t xml:space="preserve"> </w:t>
      </w:r>
      <w:r w:rsidR="000011BB" w:rsidRPr="0091086A">
        <w:t xml:space="preserve">the </w:t>
      </w:r>
      <w:r w:rsidR="004F2CDD" w:rsidRPr="0091086A">
        <w:t xml:space="preserve">understanding of the </w:t>
      </w:r>
      <w:r w:rsidR="000011BB" w:rsidRPr="0091086A">
        <w:t xml:space="preserve">right to life to include qualitative aspects </w:t>
      </w:r>
      <w:r w:rsidR="00306B27" w:rsidRPr="0091086A">
        <w:t xml:space="preserve">that </w:t>
      </w:r>
      <w:r w:rsidR="004F2CDD" w:rsidRPr="0091086A">
        <w:t xml:space="preserve">traditionally </w:t>
      </w:r>
      <w:r w:rsidR="000011BB" w:rsidRPr="0091086A">
        <w:t xml:space="preserve">touch upon </w:t>
      </w:r>
      <w:r w:rsidR="009C7429" w:rsidRPr="0091086A">
        <w:t xml:space="preserve">the realm of </w:t>
      </w:r>
      <w:r w:rsidR="000011BB" w:rsidRPr="0091086A">
        <w:t>economic, social, and cultural rights</w:t>
      </w:r>
      <w:r w:rsidR="004F2CDD" w:rsidRPr="0091086A">
        <w:t xml:space="preserve">, notably </w:t>
      </w:r>
      <w:r w:rsidR="00747ECB" w:rsidRPr="0091086A">
        <w:t>the right to an adequate standard of living,</w:t>
      </w:r>
      <w:r w:rsidR="00747ECB" w:rsidRPr="0091086A">
        <w:rPr>
          <w:rStyle w:val="FootnoteReference"/>
        </w:rPr>
        <w:footnoteReference w:id="22"/>
      </w:r>
      <w:r w:rsidR="00747ECB" w:rsidRPr="0091086A">
        <w:t xml:space="preserve"> </w:t>
      </w:r>
      <w:r w:rsidR="004F2CDD" w:rsidRPr="0091086A">
        <w:t xml:space="preserve">the right to the highest attainable standard of </w:t>
      </w:r>
      <w:r w:rsidR="00D428B0" w:rsidRPr="0091086A">
        <w:t xml:space="preserve">physical and mental </w:t>
      </w:r>
      <w:r w:rsidR="004F2CDD" w:rsidRPr="0091086A">
        <w:t>health,</w:t>
      </w:r>
      <w:r w:rsidR="00D428B0" w:rsidRPr="0091086A">
        <w:rPr>
          <w:rStyle w:val="FootnoteReference"/>
        </w:rPr>
        <w:footnoteReference w:id="23"/>
      </w:r>
      <w:r w:rsidR="004F2CDD" w:rsidRPr="0091086A">
        <w:t xml:space="preserve"> and the</w:t>
      </w:r>
      <w:r w:rsidR="003D5E9A" w:rsidRPr="0091086A">
        <w:t xml:space="preserve"> right to a healthy environment favourable to the development of future generations.</w:t>
      </w:r>
      <w:r w:rsidR="00AA1169" w:rsidRPr="0091086A">
        <w:rPr>
          <w:rStyle w:val="FootnoteReference"/>
        </w:rPr>
        <w:footnoteReference w:id="24"/>
      </w:r>
    </w:p>
    <w:p w14:paraId="5D80E3BC" w14:textId="0BB240E9" w:rsidR="00417B77" w:rsidRPr="0091086A" w:rsidRDefault="00330EEC" w:rsidP="00EC5090">
      <w:pPr>
        <w:pStyle w:val="Heading2"/>
        <w:numPr>
          <w:ilvl w:val="0"/>
          <w:numId w:val="25"/>
        </w:numPr>
        <w:spacing w:line="240" w:lineRule="auto"/>
        <w:jc w:val="both"/>
        <w:rPr>
          <w:rFonts w:cstheme="minorHAnsi"/>
          <w:sz w:val="24"/>
          <w:szCs w:val="24"/>
        </w:rPr>
      </w:pPr>
      <w:bookmarkStart w:id="7" w:name="_Toc495075305"/>
      <w:r w:rsidRPr="0091086A">
        <w:rPr>
          <w:rFonts w:cstheme="minorHAnsi"/>
          <w:sz w:val="24"/>
          <w:szCs w:val="24"/>
        </w:rPr>
        <w:t>T</w:t>
      </w:r>
      <w:r w:rsidR="00577F6C" w:rsidRPr="0091086A">
        <w:rPr>
          <w:rFonts w:cstheme="minorHAnsi"/>
          <w:sz w:val="24"/>
          <w:szCs w:val="24"/>
        </w:rPr>
        <w:t>he right to dignity in situations of prolonged o</w:t>
      </w:r>
      <w:r w:rsidRPr="0091086A">
        <w:rPr>
          <w:rFonts w:cstheme="minorHAnsi"/>
          <w:sz w:val="24"/>
          <w:szCs w:val="24"/>
        </w:rPr>
        <w:t>ccupation</w:t>
      </w:r>
      <w:bookmarkEnd w:id="7"/>
    </w:p>
    <w:p w14:paraId="1172E588" w14:textId="23A41291" w:rsidR="00CC3E6D" w:rsidRPr="0091086A" w:rsidRDefault="00D64CBC" w:rsidP="00EC5090">
      <w:pPr>
        <w:pStyle w:val="Numberedparagraph"/>
        <w:rPr>
          <w:rFonts w:cstheme="minorHAnsi"/>
        </w:rPr>
      </w:pPr>
      <w:r w:rsidRPr="0091086A">
        <w:t xml:space="preserve">The Committee </w:t>
      </w:r>
      <w:r w:rsidR="00306B27" w:rsidRPr="0091086A">
        <w:t xml:space="preserve">affirms </w:t>
      </w:r>
      <w:r w:rsidRPr="0091086A">
        <w:t xml:space="preserve">that </w:t>
      </w:r>
      <w:r w:rsidR="00683AFA" w:rsidRPr="0091086A">
        <w:t>to protect the right to life ‘</w:t>
      </w:r>
      <w:r w:rsidRPr="0091086A">
        <w:t>States parties should take appropriate measures to address the general conditions in society that may eventually give rise to direct threats to life or prevent individuals from enjoying their right to life with dignity.’</w:t>
      </w:r>
      <w:r w:rsidRPr="0091086A">
        <w:rPr>
          <w:rStyle w:val="FootnoteReference"/>
        </w:rPr>
        <w:footnoteReference w:id="25"/>
      </w:r>
      <w:r w:rsidRPr="0091086A">
        <w:t xml:space="preserve"> </w:t>
      </w:r>
      <w:r w:rsidR="008A0B72" w:rsidRPr="0091086A">
        <w:t>Al-Haq welcomes th</w:t>
      </w:r>
      <w:r w:rsidR="00055A3F" w:rsidRPr="0091086A">
        <w:t>e</w:t>
      </w:r>
      <w:r w:rsidR="008A0B72" w:rsidRPr="0091086A">
        <w:t xml:space="preserve"> expansive understanding of conditions that deny individuals a </w:t>
      </w:r>
      <w:r w:rsidR="00572DBE" w:rsidRPr="0091086A">
        <w:t xml:space="preserve">dignified life. It is </w:t>
      </w:r>
      <w:r w:rsidR="00706DF1" w:rsidRPr="0091086A">
        <w:t>suggest</w:t>
      </w:r>
      <w:r w:rsidR="00572DBE" w:rsidRPr="0091086A">
        <w:t>ed</w:t>
      </w:r>
      <w:r w:rsidR="00706DF1" w:rsidRPr="0091086A">
        <w:t xml:space="preserve"> that the list </w:t>
      </w:r>
      <w:r w:rsidR="00F03753" w:rsidRPr="0091086A">
        <w:t xml:space="preserve">may </w:t>
      </w:r>
      <w:r w:rsidR="00706DF1" w:rsidRPr="0091086A">
        <w:t>be expanded to include situations of armed conflict,</w:t>
      </w:r>
      <w:r w:rsidR="001C09AC" w:rsidRPr="0091086A">
        <w:t xml:space="preserve"> </w:t>
      </w:r>
      <w:r w:rsidR="00683AFA" w:rsidRPr="0091086A">
        <w:t xml:space="preserve">situations of </w:t>
      </w:r>
      <w:r w:rsidR="00F03753" w:rsidRPr="0091086A">
        <w:t xml:space="preserve">generalised violence, </w:t>
      </w:r>
      <w:r w:rsidR="00706DF1" w:rsidRPr="0091086A">
        <w:t xml:space="preserve">apartheid, foreign domination, and </w:t>
      </w:r>
      <w:r w:rsidR="001C09AC" w:rsidRPr="0091086A">
        <w:t xml:space="preserve">military </w:t>
      </w:r>
      <w:r w:rsidR="00706DF1" w:rsidRPr="0091086A">
        <w:t>occupation</w:t>
      </w:r>
      <w:r w:rsidR="00572DBE" w:rsidRPr="0091086A">
        <w:t>, which are incompatible with the full enjoyment of the right to life.</w:t>
      </w:r>
    </w:p>
    <w:p w14:paraId="7EEFF8A2" w14:textId="45E5F69E" w:rsidR="00691B53" w:rsidRPr="0091086A" w:rsidRDefault="000723FB" w:rsidP="00EC5090">
      <w:pPr>
        <w:pStyle w:val="Numberedparagraph"/>
        <w:rPr>
          <w:rFonts w:asciiTheme="minorHAnsi" w:hAnsiTheme="minorHAnsi" w:cstheme="minorHAnsi"/>
        </w:rPr>
      </w:pPr>
      <w:r w:rsidRPr="0091086A">
        <w:rPr>
          <w:rFonts w:asciiTheme="minorHAnsi" w:hAnsiTheme="minorHAnsi" w:cstheme="minorHAnsi"/>
        </w:rPr>
        <w:t>In the case of</w:t>
      </w:r>
      <w:r w:rsidR="00266170" w:rsidRPr="0091086A">
        <w:rPr>
          <w:rFonts w:asciiTheme="minorHAnsi" w:hAnsiTheme="minorHAnsi" w:cstheme="minorHAnsi"/>
        </w:rPr>
        <w:t xml:space="preserve"> the </w:t>
      </w:r>
      <w:r w:rsidR="00D32DE3" w:rsidRPr="0091086A">
        <w:rPr>
          <w:rFonts w:asciiTheme="minorHAnsi" w:hAnsiTheme="minorHAnsi" w:cstheme="minorHAnsi"/>
        </w:rPr>
        <w:t>OPT</w:t>
      </w:r>
      <w:r w:rsidRPr="0091086A">
        <w:rPr>
          <w:rFonts w:asciiTheme="minorHAnsi" w:hAnsiTheme="minorHAnsi" w:cstheme="minorHAnsi"/>
        </w:rPr>
        <w:t xml:space="preserve">, which has been </w:t>
      </w:r>
      <w:r w:rsidR="00266170" w:rsidRPr="0091086A">
        <w:rPr>
          <w:rFonts w:asciiTheme="minorHAnsi" w:hAnsiTheme="minorHAnsi" w:cstheme="minorHAnsi"/>
        </w:rPr>
        <w:t>under prolonged military occu</w:t>
      </w:r>
      <w:r w:rsidRPr="0091086A">
        <w:rPr>
          <w:rFonts w:asciiTheme="minorHAnsi" w:hAnsiTheme="minorHAnsi" w:cstheme="minorHAnsi"/>
        </w:rPr>
        <w:t>pation for fifty years</w:t>
      </w:r>
      <w:r w:rsidR="00F03753" w:rsidRPr="0091086A">
        <w:rPr>
          <w:rFonts w:asciiTheme="minorHAnsi" w:hAnsiTheme="minorHAnsi" w:cstheme="minorHAnsi"/>
        </w:rPr>
        <w:t xml:space="preserve">, the </w:t>
      </w:r>
      <w:r w:rsidR="00A84BF1" w:rsidRPr="0091086A">
        <w:rPr>
          <w:rFonts w:asciiTheme="minorHAnsi" w:hAnsiTheme="minorHAnsi" w:cstheme="minorHAnsi"/>
        </w:rPr>
        <w:t xml:space="preserve">Israeli Occupation Forces </w:t>
      </w:r>
      <w:r w:rsidR="00F03753" w:rsidRPr="0091086A">
        <w:rPr>
          <w:rFonts w:asciiTheme="minorHAnsi" w:hAnsiTheme="minorHAnsi" w:cstheme="minorHAnsi"/>
        </w:rPr>
        <w:t>have systematically denied the Palestinian people the</w:t>
      </w:r>
      <w:r w:rsidR="00A84BF1" w:rsidRPr="0091086A">
        <w:rPr>
          <w:rFonts w:asciiTheme="minorHAnsi" w:hAnsiTheme="minorHAnsi" w:cstheme="minorHAnsi"/>
        </w:rPr>
        <w:t>ir</w:t>
      </w:r>
      <w:r w:rsidR="00F03753" w:rsidRPr="0091086A">
        <w:rPr>
          <w:rFonts w:asciiTheme="minorHAnsi" w:hAnsiTheme="minorHAnsi" w:cstheme="minorHAnsi"/>
        </w:rPr>
        <w:t xml:space="preserve"> right to live in dignity through widespread policies of collective punishment, </w:t>
      </w:r>
      <w:r w:rsidR="00306B27" w:rsidRPr="0091086A">
        <w:rPr>
          <w:rFonts w:asciiTheme="minorHAnsi" w:hAnsiTheme="minorHAnsi" w:cstheme="minorHAnsi"/>
        </w:rPr>
        <w:t xml:space="preserve">appropriation of natural resources, </w:t>
      </w:r>
      <w:r w:rsidR="00F03753" w:rsidRPr="0091086A">
        <w:rPr>
          <w:rFonts w:asciiTheme="minorHAnsi" w:hAnsiTheme="minorHAnsi" w:cstheme="minorHAnsi"/>
        </w:rPr>
        <w:t xml:space="preserve">home demolitions, residency revocations, restrictions on family reunification, mass arbitrary detentions without guarantees of due process, </w:t>
      </w:r>
      <w:r w:rsidR="00AA45B7" w:rsidRPr="0091086A">
        <w:rPr>
          <w:rFonts w:asciiTheme="minorHAnsi" w:hAnsiTheme="minorHAnsi" w:cstheme="minorHAnsi"/>
        </w:rPr>
        <w:t xml:space="preserve">and </w:t>
      </w:r>
      <w:r w:rsidR="00F03753" w:rsidRPr="0091086A">
        <w:rPr>
          <w:rFonts w:asciiTheme="minorHAnsi" w:hAnsiTheme="minorHAnsi" w:cstheme="minorHAnsi"/>
        </w:rPr>
        <w:t xml:space="preserve">systematic restrictions on the freedom of movement of Palestinians, including </w:t>
      </w:r>
      <w:r w:rsidR="00AA45B7" w:rsidRPr="0091086A">
        <w:rPr>
          <w:rFonts w:asciiTheme="minorHAnsi" w:hAnsiTheme="minorHAnsi" w:cstheme="minorHAnsi"/>
        </w:rPr>
        <w:t>the denial of Palestinian refugee</w:t>
      </w:r>
      <w:r w:rsidR="00F03753" w:rsidRPr="0091086A">
        <w:rPr>
          <w:rFonts w:asciiTheme="minorHAnsi" w:hAnsiTheme="minorHAnsi" w:cstheme="minorHAnsi"/>
        </w:rPr>
        <w:t xml:space="preserve"> return</w:t>
      </w:r>
      <w:r w:rsidR="00306B27" w:rsidRPr="0091086A">
        <w:rPr>
          <w:rFonts w:asciiTheme="minorHAnsi" w:hAnsiTheme="minorHAnsi" w:cstheme="minorHAnsi"/>
        </w:rPr>
        <w:t>, amongst other policies and practices</w:t>
      </w:r>
      <w:r w:rsidR="00F03753" w:rsidRPr="0091086A">
        <w:rPr>
          <w:rFonts w:asciiTheme="minorHAnsi" w:hAnsiTheme="minorHAnsi" w:cstheme="minorHAnsi"/>
        </w:rPr>
        <w:t xml:space="preserve">. At the same time, Israeli settlers living illegally in the </w:t>
      </w:r>
      <w:r w:rsidR="00D32DE3" w:rsidRPr="0091086A">
        <w:rPr>
          <w:rFonts w:asciiTheme="minorHAnsi" w:hAnsiTheme="minorHAnsi" w:cstheme="minorHAnsi"/>
        </w:rPr>
        <w:t>OPT</w:t>
      </w:r>
      <w:r w:rsidR="00F03753" w:rsidRPr="0091086A">
        <w:rPr>
          <w:rFonts w:asciiTheme="minorHAnsi" w:hAnsiTheme="minorHAnsi" w:cstheme="minorHAnsi"/>
        </w:rPr>
        <w:t xml:space="preserve"> </w:t>
      </w:r>
      <w:r w:rsidR="00A210A1" w:rsidRPr="0091086A">
        <w:rPr>
          <w:rFonts w:asciiTheme="minorHAnsi" w:hAnsiTheme="minorHAnsi" w:cstheme="minorHAnsi"/>
        </w:rPr>
        <w:t>enjoy an array of rights which are denied to Palestinians,</w:t>
      </w:r>
      <w:r w:rsidR="00306B27" w:rsidRPr="0091086A">
        <w:rPr>
          <w:rFonts w:asciiTheme="minorHAnsi" w:hAnsiTheme="minorHAnsi" w:cstheme="minorHAnsi"/>
        </w:rPr>
        <w:t xml:space="preserve"> and indeed are subject to a different legal system. The situation has been </w:t>
      </w:r>
      <w:r w:rsidR="00F03753" w:rsidRPr="0091086A">
        <w:rPr>
          <w:rFonts w:asciiTheme="minorHAnsi" w:hAnsiTheme="minorHAnsi" w:cstheme="minorHAnsi"/>
        </w:rPr>
        <w:t>characterised as apartheid</w:t>
      </w:r>
      <w:r w:rsidR="00306B27" w:rsidRPr="0091086A">
        <w:rPr>
          <w:rFonts w:asciiTheme="minorHAnsi" w:hAnsiTheme="minorHAnsi" w:cstheme="minorHAnsi"/>
        </w:rPr>
        <w:t xml:space="preserve"> by experts</w:t>
      </w:r>
      <w:r w:rsidR="00F03753" w:rsidRPr="0091086A">
        <w:rPr>
          <w:rFonts w:asciiTheme="minorHAnsi" w:hAnsiTheme="minorHAnsi" w:cstheme="minorHAnsi"/>
        </w:rPr>
        <w:t>.</w:t>
      </w:r>
      <w:r w:rsidR="00F03753" w:rsidRPr="0091086A">
        <w:rPr>
          <w:rStyle w:val="FootnoteReference"/>
          <w:rFonts w:asciiTheme="minorHAnsi" w:hAnsiTheme="minorHAnsi" w:cstheme="minorHAnsi"/>
        </w:rPr>
        <w:footnoteReference w:id="26"/>
      </w:r>
      <w:r w:rsidR="00AA45B7" w:rsidRPr="0091086A">
        <w:rPr>
          <w:rFonts w:asciiTheme="minorHAnsi" w:hAnsiTheme="minorHAnsi" w:cstheme="minorHAnsi"/>
        </w:rPr>
        <w:t xml:space="preserve"> </w:t>
      </w:r>
      <w:r w:rsidR="00D0246B" w:rsidRPr="0091086A">
        <w:rPr>
          <w:rFonts w:asciiTheme="minorHAnsi" w:hAnsiTheme="minorHAnsi" w:cstheme="minorHAnsi"/>
        </w:rPr>
        <w:t xml:space="preserve">Such a context </w:t>
      </w:r>
      <w:r w:rsidR="0072268B" w:rsidRPr="0091086A">
        <w:rPr>
          <w:rFonts w:asciiTheme="minorHAnsi" w:hAnsiTheme="minorHAnsi" w:cstheme="minorHAnsi"/>
        </w:rPr>
        <w:t xml:space="preserve">of prolonged </w:t>
      </w:r>
      <w:r w:rsidR="002B6CB3" w:rsidRPr="0091086A">
        <w:rPr>
          <w:rFonts w:asciiTheme="minorHAnsi" w:hAnsiTheme="minorHAnsi" w:cstheme="minorHAnsi"/>
        </w:rPr>
        <w:t xml:space="preserve">military </w:t>
      </w:r>
      <w:r w:rsidR="0072268B" w:rsidRPr="0091086A">
        <w:rPr>
          <w:rFonts w:asciiTheme="minorHAnsi" w:hAnsiTheme="minorHAnsi" w:cstheme="minorHAnsi"/>
        </w:rPr>
        <w:t xml:space="preserve">occupation </w:t>
      </w:r>
      <w:r w:rsidR="005D5DDB" w:rsidRPr="0091086A">
        <w:rPr>
          <w:rFonts w:asciiTheme="minorHAnsi" w:hAnsiTheme="minorHAnsi" w:cstheme="minorHAnsi"/>
        </w:rPr>
        <w:t xml:space="preserve">not only </w:t>
      </w:r>
      <w:r w:rsidR="002B6CB3" w:rsidRPr="0091086A">
        <w:rPr>
          <w:rFonts w:asciiTheme="minorHAnsi" w:hAnsiTheme="minorHAnsi" w:cstheme="minorHAnsi"/>
        </w:rPr>
        <w:t>constitutes a severe</w:t>
      </w:r>
      <w:r w:rsidR="00F0038F" w:rsidRPr="0091086A">
        <w:rPr>
          <w:rFonts w:asciiTheme="minorHAnsi" w:hAnsiTheme="minorHAnsi" w:cstheme="minorHAnsi"/>
        </w:rPr>
        <w:t xml:space="preserve"> </w:t>
      </w:r>
      <w:r w:rsidR="002B6CB3" w:rsidRPr="0091086A">
        <w:rPr>
          <w:rFonts w:asciiTheme="minorHAnsi" w:hAnsiTheme="minorHAnsi" w:cstheme="minorHAnsi"/>
        </w:rPr>
        <w:t xml:space="preserve">denial of </w:t>
      </w:r>
      <w:r w:rsidR="00C82DD0" w:rsidRPr="0091086A">
        <w:rPr>
          <w:rFonts w:asciiTheme="minorHAnsi" w:hAnsiTheme="minorHAnsi" w:cstheme="minorHAnsi"/>
        </w:rPr>
        <w:t>civil and political</w:t>
      </w:r>
      <w:r w:rsidR="002B6CB3" w:rsidRPr="0091086A">
        <w:rPr>
          <w:rFonts w:asciiTheme="minorHAnsi" w:hAnsiTheme="minorHAnsi" w:cstheme="minorHAnsi"/>
        </w:rPr>
        <w:t xml:space="preserve"> rights </w:t>
      </w:r>
      <w:r w:rsidR="00C82DD0" w:rsidRPr="0091086A">
        <w:rPr>
          <w:rFonts w:asciiTheme="minorHAnsi" w:hAnsiTheme="minorHAnsi" w:cstheme="minorHAnsi"/>
        </w:rPr>
        <w:t xml:space="preserve">enshrined in the ICCPR </w:t>
      </w:r>
      <w:r w:rsidR="005D5DDB" w:rsidRPr="0091086A">
        <w:rPr>
          <w:rFonts w:asciiTheme="minorHAnsi" w:hAnsiTheme="minorHAnsi" w:cstheme="minorHAnsi"/>
        </w:rPr>
        <w:t xml:space="preserve">but also </w:t>
      </w:r>
      <w:r w:rsidR="002034B4" w:rsidRPr="0091086A">
        <w:rPr>
          <w:rFonts w:asciiTheme="minorHAnsi" w:hAnsiTheme="minorHAnsi" w:cstheme="minorHAnsi"/>
        </w:rPr>
        <w:t xml:space="preserve">fundamentally </w:t>
      </w:r>
      <w:r w:rsidR="00F0038F" w:rsidRPr="0091086A">
        <w:rPr>
          <w:rFonts w:asciiTheme="minorHAnsi" w:hAnsiTheme="minorHAnsi" w:cstheme="minorHAnsi"/>
        </w:rPr>
        <w:t>denies</w:t>
      </w:r>
      <w:r w:rsidR="00D0246B" w:rsidRPr="0091086A">
        <w:rPr>
          <w:rFonts w:asciiTheme="minorHAnsi" w:hAnsiTheme="minorHAnsi" w:cstheme="minorHAnsi"/>
        </w:rPr>
        <w:t xml:space="preserve"> the</w:t>
      </w:r>
      <w:r w:rsidR="00C82DD0" w:rsidRPr="0091086A">
        <w:rPr>
          <w:rFonts w:asciiTheme="minorHAnsi" w:hAnsiTheme="minorHAnsi" w:cstheme="minorHAnsi"/>
        </w:rPr>
        <w:t xml:space="preserve"> occupied people</w:t>
      </w:r>
      <w:r w:rsidR="00D0246B" w:rsidRPr="0091086A">
        <w:rPr>
          <w:rFonts w:asciiTheme="minorHAnsi" w:hAnsiTheme="minorHAnsi" w:cstheme="minorHAnsi"/>
        </w:rPr>
        <w:t xml:space="preserve"> </w:t>
      </w:r>
      <w:r w:rsidR="002034B4" w:rsidRPr="0091086A">
        <w:t>a life of dignity</w:t>
      </w:r>
      <w:r w:rsidR="00A77A14" w:rsidRPr="0091086A">
        <w:t>.</w:t>
      </w:r>
      <w:r w:rsidR="002034B4" w:rsidRPr="0091086A">
        <w:t xml:space="preserve"> </w:t>
      </w:r>
      <w:r w:rsidR="002B6CB3" w:rsidRPr="0091086A">
        <w:t>Accordingly</w:t>
      </w:r>
      <w:r w:rsidR="002034B4" w:rsidRPr="0091086A">
        <w:t xml:space="preserve">, </w:t>
      </w:r>
      <w:r w:rsidR="00A77A14" w:rsidRPr="0091086A">
        <w:t xml:space="preserve">it is argued that </w:t>
      </w:r>
      <w:r w:rsidR="002034B4" w:rsidRPr="0091086A">
        <w:t>situations of prolonged occupation</w:t>
      </w:r>
      <w:r w:rsidR="0088586A" w:rsidRPr="0091086A">
        <w:t>, apartheid, and foreign domination</w:t>
      </w:r>
      <w:r w:rsidR="002034B4" w:rsidRPr="0091086A">
        <w:t xml:space="preserve"> </w:t>
      </w:r>
      <w:r w:rsidR="006446B9" w:rsidRPr="0091086A">
        <w:t>cannot be reconciled</w:t>
      </w:r>
      <w:r w:rsidR="00D0246B" w:rsidRPr="0091086A">
        <w:t xml:space="preserve"> with full respect </w:t>
      </w:r>
      <w:r w:rsidR="006446B9" w:rsidRPr="0091086A">
        <w:t>for the right to life.</w:t>
      </w:r>
    </w:p>
    <w:p w14:paraId="4AF37690" w14:textId="04B327D0" w:rsidR="00E97257" w:rsidRPr="0091086A" w:rsidRDefault="00E97257" w:rsidP="00EC5090">
      <w:pPr>
        <w:pStyle w:val="Numberedparagraph"/>
      </w:pPr>
      <w:r w:rsidRPr="0091086A">
        <w:t>Therefore, while t</w:t>
      </w:r>
      <w:r w:rsidR="00685B74" w:rsidRPr="0091086A">
        <w:t>he draft provides that the protection of the right to life includes ‘long-term measures designed to promote and facilitate adequate general conditions’</w:t>
      </w:r>
      <w:r w:rsidR="00B876A9" w:rsidRPr="007B0501">
        <w:rPr>
          <w:rStyle w:val="FootnoteReference"/>
        </w:rPr>
        <w:footnoteReference w:id="27"/>
      </w:r>
      <w:r w:rsidR="00685B74" w:rsidRPr="0091086A">
        <w:t xml:space="preserve"> </w:t>
      </w:r>
      <w:r w:rsidRPr="0091086A">
        <w:t xml:space="preserve">it is not enough to maintain minimum standards, including those implicitly </w:t>
      </w:r>
      <w:r w:rsidR="006C350A">
        <w:t>linked</w:t>
      </w:r>
      <w:r w:rsidRPr="0091086A">
        <w:t xml:space="preserve"> to </w:t>
      </w:r>
      <w:r w:rsidR="00685B74" w:rsidRPr="0091086A">
        <w:t>the realisation of an adequate standard of living, as enshrined in Article 11 of the ICESCR</w:t>
      </w:r>
      <w:r w:rsidR="006A4DBB">
        <w:t xml:space="preserve"> or other rights</w:t>
      </w:r>
      <w:r w:rsidR="000B21BC" w:rsidRPr="0091086A">
        <w:t xml:space="preserve">. </w:t>
      </w:r>
      <w:r w:rsidRPr="0091086A">
        <w:t xml:space="preserve">Long-term measures must include those </w:t>
      </w:r>
      <w:r w:rsidR="000B21BC" w:rsidRPr="0091086A">
        <w:t>that</w:t>
      </w:r>
      <w:r w:rsidRPr="0091086A">
        <w:t xml:space="preserve"> aim to change the system as whole, rather than those that merely lessen or mask a comprehensive structure which violates rights.</w:t>
      </w:r>
    </w:p>
    <w:p w14:paraId="2CEB58EA" w14:textId="64C46523" w:rsidR="00330EEC" w:rsidRPr="0091086A" w:rsidRDefault="006909AD" w:rsidP="00EC5090">
      <w:pPr>
        <w:pStyle w:val="Heading2"/>
        <w:spacing w:line="240" w:lineRule="auto"/>
        <w:jc w:val="both"/>
        <w:rPr>
          <w:rFonts w:cstheme="minorHAnsi"/>
          <w:sz w:val="24"/>
          <w:szCs w:val="24"/>
        </w:rPr>
      </w:pPr>
      <w:bookmarkStart w:id="8" w:name="_Toc495075307"/>
      <w:r w:rsidRPr="0091086A">
        <w:rPr>
          <w:rFonts w:cstheme="minorHAnsi"/>
          <w:sz w:val="24"/>
          <w:szCs w:val="24"/>
        </w:rPr>
        <w:t>The right to life, environment, and adaptation to climate change</w:t>
      </w:r>
      <w:bookmarkEnd w:id="8"/>
    </w:p>
    <w:p w14:paraId="2D9E9EE6" w14:textId="4142BB2F" w:rsidR="00A2433D" w:rsidRPr="0091086A" w:rsidRDefault="00691B53" w:rsidP="00EC5090">
      <w:pPr>
        <w:pStyle w:val="Numberedparagraph"/>
        <w:rPr>
          <w:rFonts w:asciiTheme="minorHAnsi" w:hAnsiTheme="minorHAnsi" w:cstheme="minorHAnsi"/>
        </w:rPr>
      </w:pPr>
      <w:r w:rsidRPr="0091086A">
        <w:rPr>
          <w:rFonts w:asciiTheme="minorHAnsi" w:hAnsiTheme="minorHAnsi" w:cstheme="minorHAnsi"/>
        </w:rPr>
        <w:t xml:space="preserve">Al-Haq </w:t>
      </w:r>
      <w:r w:rsidR="00C636CB" w:rsidRPr="0091086A">
        <w:rPr>
          <w:rFonts w:asciiTheme="minorHAnsi" w:hAnsiTheme="minorHAnsi" w:cstheme="minorHAnsi"/>
        </w:rPr>
        <w:t>welcomes</w:t>
      </w:r>
      <w:r w:rsidRPr="0091086A">
        <w:rPr>
          <w:rFonts w:asciiTheme="minorHAnsi" w:hAnsiTheme="minorHAnsi" w:cstheme="minorHAnsi"/>
        </w:rPr>
        <w:t xml:space="preserve"> the recognition that ‘[e]nvironmental degradation, climate change and non-sustainable development constitute some of the most pressing and serious threats to the ability of present and future generati</w:t>
      </w:r>
      <w:r w:rsidR="006448E2" w:rsidRPr="0091086A">
        <w:rPr>
          <w:rFonts w:asciiTheme="minorHAnsi" w:hAnsiTheme="minorHAnsi" w:cstheme="minorHAnsi"/>
        </w:rPr>
        <w:t>ons to enjoy the right to life’</w:t>
      </w:r>
      <w:r w:rsidR="006448E2" w:rsidRPr="0091086A">
        <w:rPr>
          <w:rStyle w:val="FootnoteReference"/>
          <w:rFonts w:asciiTheme="minorHAnsi" w:hAnsiTheme="minorHAnsi" w:cstheme="minorHAnsi"/>
        </w:rPr>
        <w:footnoteReference w:id="28"/>
      </w:r>
      <w:r w:rsidRPr="0091086A">
        <w:rPr>
          <w:rFonts w:asciiTheme="minorHAnsi" w:hAnsiTheme="minorHAnsi" w:cstheme="minorHAnsi"/>
        </w:rPr>
        <w:t xml:space="preserve"> and that States may be in violation of their obligation to respect and ensure the right to life by failing to abide by their obligations under i</w:t>
      </w:r>
      <w:r w:rsidR="00AC6AEB" w:rsidRPr="0091086A">
        <w:rPr>
          <w:rFonts w:asciiTheme="minorHAnsi" w:hAnsiTheme="minorHAnsi" w:cstheme="minorHAnsi"/>
        </w:rPr>
        <w:t>nternational environmental law.</w:t>
      </w:r>
      <w:r w:rsidR="00000C08" w:rsidRPr="0091086A">
        <w:rPr>
          <w:rStyle w:val="FootnoteReference"/>
          <w:rFonts w:asciiTheme="minorHAnsi" w:hAnsiTheme="minorHAnsi" w:cstheme="minorHAnsi"/>
        </w:rPr>
        <w:footnoteReference w:id="29"/>
      </w:r>
      <w:r w:rsidR="00A2433D" w:rsidRPr="0091086A">
        <w:rPr>
          <w:rFonts w:asciiTheme="minorHAnsi" w:hAnsiTheme="minorHAnsi" w:cstheme="minorHAnsi"/>
        </w:rPr>
        <w:t xml:space="preserve"> </w:t>
      </w:r>
      <w:r w:rsidR="00A2433D" w:rsidRPr="0091086A">
        <w:t xml:space="preserve">The </w:t>
      </w:r>
      <w:r w:rsidR="00F71566" w:rsidRPr="0091086A">
        <w:t xml:space="preserve">1972 </w:t>
      </w:r>
      <w:r w:rsidR="00554FD2" w:rsidRPr="0091086A">
        <w:t xml:space="preserve">Declaration of the </w:t>
      </w:r>
      <w:r w:rsidR="008C7276">
        <w:t>UN</w:t>
      </w:r>
      <w:r w:rsidR="00554FD2" w:rsidRPr="0091086A">
        <w:t xml:space="preserve"> Conference on the Human Environment </w:t>
      </w:r>
      <w:r w:rsidR="00A2433D" w:rsidRPr="0091086A">
        <w:t>affirms that the protection of the environment is essential for a</w:t>
      </w:r>
      <w:r w:rsidR="007D63C7" w:rsidRPr="0091086A">
        <w:t xml:space="preserve"> life of dignity and well-being</w:t>
      </w:r>
      <w:r w:rsidR="00A2433D" w:rsidRPr="0091086A">
        <w:t xml:space="preserve"> and that such protection can be jeopardized in cases of </w:t>
      </w:r>
      <w:r w:rsidR="00F66121" w:rsidRPr="0091086A">
        <w:t>‘policies promoting or perpetuating apartheid, racial segregation, discrimination, colonial and other forms of oppression and foreign domination’</w:t>
      </w:r>
      <w:r w:rsidR="00A2433D" w:rsidRPr="0091086A">
        <w:t>.</w:t>
      </w:r>
      <w:r w:rsidR="00BC3D79" w:rsidRPr="0091086A">
        <w:rPr>
          <w:rStyle w:val="FootnoteReference"/>
        </w:rPr>
        <w:footnoteReference w:id="30"/>
      </w:r>
      <w:r w:rsidR="00A2433D" w:rsidRPr="0091086A">
        <w:t xml:space="preserve"> </w:t>
      </w:r>
      <w:r w:rsidR="00C10A3B" w:rsidRPr="0091086A">
        <w:t>The 1992</w:t>
      </w:r>
      <w:r w:rsidR="00A2433D" w:rsidRPr="0091086A">
        <w:t xml:space="preserve"> Rio Declaration</w:t>
      </w:r>
      <w:r w:rsidR="00C10A3B" w:rsidRPr="0091086A">
        <w:t xml:space="preserve"> on Environment and Development affirms that ‘[</w:t>
      </w:r>
      <w:r w:rsidR="00A2433D" w:rsidRPr="0091086A">
        <w:t>t</w:t>
      </w:r>
      <w:r w:rsidR="00C10A3B" w:rsidRPr="0091086A">
        <w:t>]</w:t>
      </w:r>
      <w:r w:rsidR="00A2433D" w:rsidRPr="0091086A">
        <w:t>he environment and natural resources of people under oppression, domination and occup</w:t>
      </w:r>
      <w:r w:rsidR="00C10A3B" w:rsidRPr="0091086A">
        <w:t>ation shall be protected</w:t>
      </w:r>
      <w:r w:rsidR="00A2433D" w:rsidRPr="0091086A">
        <w:t>.</w:t>
      </w:r>
      <w:r w:rsidR="00C10A3B" w:rsidRPr="0091086A">
        <w:t>’</w:t>
      </w:r>
      <w:r w:rsidR="00897726" w:rsidRPr="0091086A">
        <w:rPr>
          <w:rStyle w:val="FootnoteReference"/>
        </w:rPr>
        <w:footnoteReference w:id="31"/>
      </w:r>
      <w:r w:rsidR="00A2433D" w:rsidRPr="0091086A">
        <w:t xml:space="preserve"> </w:t>
      </w:r>
      <w:r w:rsidR="00A40EB2" w:rsidRPr="0091086A">
        <w:t xml:space="preserve">Customary </w:t>
      </w:r>
      <w:r w:rsidR="00701666">
        <w:t>international humanitarian law</w:t>
      </w:r>
      <w:r w:rsidR="00A40EB2" w:rsidRPr="0091086A">
        <w:t xml:space="preserve"> further protects</w:t>
      </w:r>
      <w:r w:rsidR="00A2433D" w:rsidRPr="0091086A">
        <w:t xml:space="preserve"> the natural resources of the occupied territory </w:t>
      </w:r>
      <w:r w:rsidR="00A40EB2" w:rsidRPr="0091086A">
        <w:t>from being acquired by the Occupying Power,</w:t>
      </w:r>
      <w:r w:rsidR="00762A16" w:rsidRPr="0091086A">
        <w:rPr>
          <w:rStyle w:val="FootnoteReference"/>
        </w:rPr>
        <w:footnoteReference w:id="32"/>
      </w:r>
      <w:r w:rsidR="00A40EB2" w:rsidRPr="0091086A">
        <w:t xml:space="preserve"> which</w:t>
      </w:r>
      <w:r w:rsidR="00A2433D" w:rsidRPr="0091086A">
        <w:t xml:space="preserve"> must safeguard and administer </w:t>
      </w:r>
      <w:r w:rsidR="00897726" w:rsidRPr="0091086A">
        <w:t>them</w:t>
      </w:r>
      <w:r w:rsidR="00A2433D" w:rsidRPr="0091086A">
        <w:t xml:space="preserve"> in accordance with the rules of usufruc</w:t>
      </w:r>
      <w:r w:rsidR="00566BF6" w:rsidRPr="0091086A">
        <w:t>t but</w:t>
      </w:r>
      <w:r w:rsidR="00897726" w:rsidRPr="0091086A">
        <w:t xml:space="preserve"> may </w:t>
      </w:r>
      <w:r w:rsidR="00A2433D" w:rsidRPr="0091086A">
        <w:t xml:space="preserve">not exploit </w:t>
      </w:r>
      <w:r w:rsidR="00897726" w:rsidRPr="0091086A">
        <w:t>them</w:t>
      </w:r>
      <w:r w:rsidR="00A2433D" w:rsidRPr="0091086A">
        <w:t xml:space="preserve"> to serve its own economic interests.</w:t>
      </w:r>
      <w:r w:rsidR="00897726" w:rsidRPr="0091086A">
        <w:rPr>
          <w:rStyle w:val="FootnoteReference"/>
        </w:rPr>
        <w:footnoteReference w:id="33"/>
      </w:r>
      <w:r w:rsidR="00B842B0" w:rsidRPr="0091086A">
        <w:t xml:space="preserve"> As such, </w:t>
      </w:r>
      <w:r w:rsidR="00E22F27" w:rsidRPr="0091086A">
        <w:t>Al-Haq</w:t>
      </w:r>
      <w:r w:rsidR="00B842B0" w:rsidRPr="0091086A">
        <w:t xml:space="preserve"> suggest</w:t>
      </w:r>
      <w:r w:rsidR="00E22F27" w:rsidRPr="0091086A">
        <w:t>s</w:t>
      </w:r>
      <w:r w:rsidR="00B842B0" w:rsidRPr="0091086A">
        <w:t xml:space="preserve"> that </w:t>
      </w:r>
      <w:r w:rsidR="00E22F27" w:rsidRPr="0091086A">
        <w:t xml:space="preserve">the following be inserted </w:t>
      </w:r>
      <w:r w:rsidR="00535FE5" w:rsidRPr="0091086A">
        <w:t>after</w:t>
      </w:r>
      <w:r w:rsidR="00E22F27" w:rsidRPr="0091086A">
        <w:t xml:space="preserve"> paragraph 65:</w:t>
      </w:r>
    </w:p>
    <w:p w14:paraId="6765593B" w14:textId="0322BAEB" w:rsidR="00535FE5" w:rsidRPr="0091086A" w:rsidRDefault="00ED2CFD" w:rsidP="00EC5090">
      <w:pPr>
        <w:pStyle w:val="Numberedparagraph"/>
        <w:numPr>
          <w:ilvl w:val="0"/>
          <w:numId w:val="0"/>
        </w:numPr>
        <w:ind w:left="1440"/>
      </w:pPr>
      <w:r w:rsidRPr="0091086A">
        <w:t>T</w:t>
      </w:r>
      <w:r w:rsidR="00646D7E" w:rsidRPr="0091086A">
        <w:t xml:space="preserve">he protection of the environment is essential for a life of dignity and well-being </w:t>
      </w:r>
      <w:r w:rsidR="00D9743E" w:rsidRPr="0091086A">
        <w:t>and requires the elimination of</w:t>
      </w:r>
      <w:r w:rsidRPr="0091086A">
        <w:t xml:space="preserve"> situations of</w:t>
      </w:r>
      <w:r w:rsidR="00646D7E" w:rsidRPr="0091086A">
        <w:t xml:space="preserve"> apartheid, racial segregation, discrimination, </w:t>
      </w:r>
      <w:r w:rsidRPr="0091086A">
        <w:t xml:space="preserve">foreign occupation, and </w:t>
      </w:r>
      <w:r w:rsidR="00646D7E" w:rsidRPr="0091086A">
        <w:t>colonial and other forms of oppression and foreign domination</w:t>
      </w:r>
      <w:r w:rsidRPr="0091086A">
        <w:t>.</w:t>
      </w:r>
      <w:r w:rsidR="00646D7E" w:rsidRPr="0091086A">
        <w:rPr>
          <w:rStyle w:val="FootnoteReference"/>
        </w:rPr>
        <w:footnoteReference w:id="34"/>
      </w:r>
      <w:r w:rsidR="00646D7E" w:rsidRPr="0091086A">
        <w:t xml:space="preserve"> </w:t>
      </w:r>
      <w:r w:rsidR="00B26F8D" w:rsidRPr="0091086A">
        <w:t>S</w:t>
      </w:r>
      <w:r w:rsidR="00535FE5" w:rsidRPr="0091086A">
        <w:t xml:space="preserve">uch situations often serve to exacerbate environmental degradation and facilitate </w:t>
      </w:r>
      <w:r w:rsidR="00701666">
        <w:t>the</w:t>
      </w:r>
      <w:r w:rsidR="00535FE5" w:rsidRPr="0091086A">
        <w:t xml:space="preserve"> exploitation</w:t>
      </w:r>
      <w:r w:rsidR="00701666">
        <w:t xml:space="preserve"> of natural resources</w:t>
      </w:r>
      <w:r w:rsidR="00535FE5" w:rsidRPr="0091086A">
        <w:t>. Accordingly, States must ensure that their actions do not further promote or assist the continuance of such conditions.</w:t>
      </w:r>
    </w:p>
    <w:p w14:paraId="3131F7C2" w14:textId="0839E76D" w:rsidR="00AC3D05" w:rsidRPr="0091086A" w:rsidRDefault="004A29D8" w:rsidP="00EC5090">
      <w:pPr>
        <w:pStyle w:val="Numberedparagraph"/>
      </w:pPr>
      <w:r w:rsidRPr="0091086A">
        <w:t>The</w:t>
      </w:r>
      <w:r w:rsidR="00736CB4" w:rsidRPr="0091086A">
        <w:t xml:space="preserve"> draft</w:t>
      </w:r>
      <w:r w:rsidR="007321E8" w:rsidRPr="0091086A">
        <w:t xml:space="preserve"> </w:t>
      </w:r>
      <w:r w:rsidR="002F6B18" w:rsidRPr="0091086A">
        <w:t xml:space="preserve">should also </w:t>
      </w:r>
      <w:r w:rsidR="007321E8" w:rsidRPr="0091086A">
        <w:t>reaffirm</w:t>
      </w:r>
      <w:r w:rsidR="00AC3D05" w:rsidRPr="0091086A">
        <w:t xml:space="preserve"> that the ability to enjoy the right to life depen</w:t>
      </w:r>
      <w:r w:rsidR="000605F1" w:rsidRPr="0091086A">
        <w:t>ds on measures taken by States p</w:t>
      </w:r>
      <w:r w:rsidR="00AC3D05" w:rsidRPr="0091086A">
        <w:t>arties to assist and allow population</w:t>
      </w:r>
      <w:r w:rsidR="002E4693" w:rsidRPr="0091086A">
        <w:t>s</w:t>
      </w:r>
      <w:r w:rsidR="00AC3D05" w:rsidRPr="0091086A">
        <w:t xml:space="preserve"> to adapt to existing and projected region-specific climate change impacts. </w:t>
      </w:r>
      <w:r w:rsidR="00BA6E71" w:rsidRPr="0091086A">
        <w:t>Al-Haq proposes that the following be added after the last sentence in paragraph 65:</w:t>
      </w:r>
    </w:p>
    <w:p w14:paraId="3CF5175F" w14:textId="73ED620F" w:rsidR="00BA6E71" w:rsidRPr="0091086A" w:rsidRDefault="00BA6E71" w:rsidP="00EC5090">
      <w:pPr>
        <w:pStyle w:val="Numberedparagraph"/>
        <w:numPr>
          <w:ilvl w:val="0"/>
          <w:numId w:val="0"/>
        </w:numPr>
        <w:ind w:left="1440"/>
      </w:pPr>
      <w:r w:rsidRPr="0091086A">
        <w:t>The ability to enjoy the right to life depends on measures taken by States parties to assist and allow population</w:t>
      </w:r>
      <w:r w:rsidR="002E4693" w:rsidRPr="0091086A">
        <w:t>s</w:t>
      </w:r>
      <w:r w:rsidRPr="0091086A">
        <w:t xml:space="preserve"> to adapt to existing and projected region-specific climate change impacts. States parties should engage in the formulation and implementation of climate change mitigation and adaptation strategies, taking due note of </w:t>
      </w:r>
      <w:r w:rsidR="002E4693" w:rsidRPr="0091086A">
        <w:t xml:space="preserve">international </w:t>
      </w:r>
      <w:r w:rsidRPr="0091086A">
        <w:t xml:space="preserve">environmental law principles including the sustainable development, precautionary, prevention, </w:t>
      </w:r>
      <w:r w:rsidR="002E4693" w:rsidRPr="0091086A">
        <w:t xml:space="preserve">proximity, </w:t>
      </w:r>
      <w:r w:rsidRPr="0091086A">
        <w:t>and integration principle</w:t>
      </w:r>
      <w:r w:rsidR="002E4693" w:rsidRPr="0091086A">
        <w:t>s.</w:t>
      </w:r>
    </w:p>
    <w:p w14:paraId="556D6B8D" w14:textId="7B3B2B69" w:rsidR="006A76F4" w:rsidRPr="0091086A" w:rsidRDefault="006A76F4" w:rsidP="00EC5090">
      <w:pPr>
        <w:pStyle w:val="Heading1"/>
        <w:rPr>
          <w:rFonts w:asciiTheme="minorHAnsi" w:hAnsiTheme="minorHAnsi" w:cstheme="minorHAnsi"/>
        </w:rPr>
      </w:pPr>
      <w:bookmarkStart w:id="9" w:name="_Toc495075308"/>
      <w:r w:rsidRPr="0091086A">
        <w:rPr>
          <w:rFonts w:asciiTheme="minorHAnsi" w:hAnsiTheme="minorHAnsi" w:cstheme="minorHAnsi"/>
        </w:rPr>
        <w:t xml:space="preserve">The </w:t>
      </w:r>
      <w:r w:rsidR="00BC57CB" w:rsidRPr="0091086A">
        <w:rPr>
          <w:rFonts w:asciiTheme="minorHAnsi" w:hAnsiTheme="minorHAnsi" w:cstheme="minorHAnsi"/>
        </w:rPr>
        <w:t xml:space="preserve">Abolition of the </w:t>
      </w:r>
      <w:r w:rsidRPr="0091086A">
        <w:rPr>
          <w:rFonts w:asciiTheme="minorHAnsi" w:hAnsiTheme="minorHAnsi" w:cstheme="minorHAnsi"/>
        </w:rPr>
        <w:t>Death Penalty</w:t>
      </w:r>
      <w:bookmarkEnd w:id="9"/>
    </w:p>
    <w:p w14:paraId="50136332" w14:textId="360A5555" w:rsidR="00983A44" w:rsidRPr="0091086A" w:rsidRDefault="00BD215D" w:rsidP="00EC5090">
      <w:pPr>
        <w:pStyle w:val="Numberedparagraph"/>
        <w:rPr>
          <w:rFonts w:asciiTheme="minorHAnsi" w:hAnsiTheme="minorHAnsi" w:cstheme="minorHAnsi"/>
        </w:rPr>
      </w:pPr>
      <w:r w:rsidRPr="0091086A">
        <w:rPr>
          <w:rFonts w:asciiTheme="minorHAnsi" w:hAnsiTheme="minorHAnsi" w:cstheme="minorHAnsi"/>
        </w:rPr>
        <w:t xml:space="preserve">Al-Haq welcomes the Committee’s </w:t>
      </w:r>
      <w:r w:rsidR="0047209A" w:rsidRPr="0091086A">
        <w:rPr>
          <w:rFonts w:asciiTheme="minorHAnsi" w:hAnsiTheme="minorHAnsi" w:cstheme="minorHAnsi"/>
        </w:rPr>
        <w:t>interpretation</w:t>
      </w:r>
      <w:r w:rsidRPr="0091086A">
        <w:rPr>
          <w:rFonts w:asciiTheme="minorHAnsi" w:hAnsiTheme="minorHAnsi" w:cstheme="minorHAnsi"/>
        </w:rPr>
        <w:t xml:space="preserve"> that ‘[t]he death penalty cannot be </w:t>
      </w:r>
      <w:r w:rsidRPr="0091086A">
        <w:t>reconciled with full</w:t>
      </w:r>
      <w:r w:rsidR="002362B1" w:rsidRPr="0091086A">
        <w:t xml:space="preserve"> respect for the right to life’ and that ‘</w:t>
      </w:r>
      <w:r w:rsidRPr="0091086A">
        <w:t>abolition of the death penalty is both desirable, and necessary for the enhancement of human dignity and progressive development of human rights.’</w:t>
      </w:r>
      <w:r w:rsidRPr="0091086A">
        <w:rPr>
          <w:rStyle w:val="FootnoteReference"/>
        </w:rPr>
        <w:footnoteReference w:id="35"/>
      </w:r>
      <w:r w:rsidR="00CA2035" w:rsidRPr="0091086A">
        <w:t xml:space="preserve"> </w:t>
      </w:r>
      <w:r w:rsidR="00B94AD4" w:rsidRPr="0091086A">
        <w:t xml:space="preserve">Al-Haq </w:t>
      </w:r>
      <w:r w:rsidR="00CA2035" w:rsidRPr="0091086A">
        <w:t xml:space="preserve">is </w:t>
      </w:r>
      <w:r w:rsidR="005069B2" w:rsidRPr="0091086A">
        <w:t>fundamentally</w:t>
      </w:r>
      <w:r w:rsidR="00CA2035" w:rsidRPr="0091086A">
        <w:t xml:space="preserve"> opposed to the death penalty and </w:t>
      </w:r>
      <w:r w:rsidR="0063575C" w:rsidRPr="0091086A">
        <w:t>supports</w:t>
      </w:r>
      <w:r w:rsidR="005069B2" w:rsidRPr="0091086A">
        <w:t xml:space="preserve"> the </w:t>
      </w:r>
      <w:r w:rsidR="008D58D0" w:rsidRPr="0091086A">
        <w:t>view</w:t>
      </w:r>
      <w:r w:rsidR="005069B2" w:rsidRPr="0091086A">
        <w:t xml:space="preserve"> that </w:t>
      </w:r>
      <w:r w:rsidR="00B94AD4" w:rsidRPr="0091086A">
        <w:t>‘States parties that are not yet totally abolitionist should be on an irrevocable path towards complete abolition of the death penalty de facto and de jure, in the foreseeable future</w:t>
      </w:r>
      <w:r w:rsidR="00983A44" w:rsidRPr="0091086A">
        <w:t>.</w:t>
      </w:r>
      <w:r w:rsidR="00B94AD4" w:rsidRPr="0091086A">
        <w:t>’</w:t>
      </w:r>
      <w:r w:rsidR="0063575C" w:rsidRPr="0091086A">
        <w:rPr>
          <w:rStyle w:val="FootnoteReference"/>
        </w:rPr>
        <w:footnoteReference w:id="36"/>
      </w:r>
      <w:r w:rsidR="00B25DAC" w:rsidRPr="0091086A">
        <w:t xml:space="preserve"> This interpretation is</w:t>
      </w:r>
      <w:r w:rsidR="00C66A85" w:rsidRPr="0091086A">
        <w:t xml:space="preserve"> wholly consistent with the object and purpose of the ICCPR and </w:t>
      </w:r>
      <w:r w:rsidR="009221AC" w:rsidRPr="0091086A">
        <w:t>its</w:t>
      </w:r>
      <w:r w:rsidR="00C66A85" w:rsidRPr="0091086A">
        <w:t xml:space="preserve"> abolitionist goal set out in paragraph 6 of Article 6.</w:t>
      </w:r>
      <w:r w:rsidR="0067073F">
        <w:t xml:space="preserve"> Accordingly</w:t>
      </w:r>
      <w:r w:rsidR="00C604B2" w:rsidRPr="0091086A">
        <w:t xml:space="preserve">, Al-Haq </w:t>
      </w:r>
      <w:r w:rsidR="008F6876">
        <w:t>proposes</w:t>
      </w:r>
      <w:r w:rsidR="00C604B2" w:rsidRPr="0091086A">
        <w:t xml:space="preserve"> that the following sentence be added at the end of paragraph 36 of the draft:</w:t>
      </w:r>
    </w:p>
    <w:p w14:paraId="3A1BF25A" w14:textId="2B9854A7" w:rsidR="00C604B2" w:rsidRPr="0091086A" w:rsidRDefault="006B0169" w:rsidP="00EC5090">
      <w:pPr>
        <w:pStyle w:val="Numberedparagraph"/>
        <w:numPr>
          <w:ilvl w:val="0"/>
          <w:numId w:val="0"/>
        </w:numPr>
        <w:ind w:left="1440"/>
        <w:rPr>
          <w:rFonts w:asciiTheme="minorHAnsi" w:hAnsiTheme="minorHAnsi" w:cstheme="minorHAnsi"/>
        </w:rPr>
      </w:pPr>
      <w:r w:rsidRPr="0091086A">
        <w:rPr>
          <w:rFonts w:asciiTheme="minorHAnsi" w:hAnsiTheme="minorHAnsi" w:cstheme="minorHAnsi"/>
        </w:rPr>
        <w:t>The</w:t>
      </w:r>
      <w:r w:rsidR="00903612" w:rsidRPr="0091086A">
        <w:rPr>
          <w:rFonts w:asciiTheme="minorHAnsi" w:hAnsiTheme="minorHAnsi" w:cstheme="minorHAnsi"/>
        </w:rPr>
        <w:t xml:space="preserve"> interpretation of these</w:t>
      </w:r>
      <w:r w:rsidRPr="0091086A">
        <w:rPr>
          <w:rFonts w:asciiTheme="minorHAnsi" w:hAnsiTheme="minorHAnsi" w:cstheme="minorHAnsi"/>
        </w:rPr>
        <w:t xml:space="preserve"> paragraphs must be </w:t>
      </w:r>
      <w:r w:rsidR="00903612" w:rsidRPr="0091086A">
        <w:rPr>
          <w:rFonts w:asciiTheme="minorHAnsi" w:hAnsiTheme="minorHAnsi" w:cstheme="minorHAnsi"/>
        </w:rPr>
        <w:t>guided</w:t>
      </w:r>
      <w:r w:rsidRPr="0091086A">
        <w:rPr>
          <w:rFonts w:asciiTheme="minorHAnsi" w:hAnsiTheme="minorHAnsi" w:cstheme="minorHAnsi"/>
        </w:rPr>
        <w:t xml:space="preserve"> </w:t>
      </w:r>
      <w:r w:rsidR="00903612" w:rsidRPr="0091086A">
        <w:rPr>
          <w:rFonts w:asciiTheme="minorHAnsi" w:hAnsiTheme="minorHAnsi" w:cstheme="minorHAnsi"/>
        </w:rPr>
        <w:t>by</w:t>
      </w:r>
      <w:r w:rsidRPr="0091086A">
        <w:rPr>
          <w:rFonts w:asciiTheme="minorHAnsi" w:hAnsiTheme="minorHAnsi" w:cstheme="minorHAnsi"/>
        </w:rPr>
        <w:t xml:space="preserve"> the abolitionist goal of the Covenant.</w:t>
      </w:r>
    </w:p>
    <w:p w14:paraId="64FE059B" w14:textId="61AEC952" w:rsidR="005D1565" w:rsidRPr="0091086A" w:rsidRDefault="005D1565" w:rsidP="00EC5090">
      <w:pPr>
        <w:pStyle w:val="Numberedparagraph"/>
      </w:pPr>
      <w:r w:rsidRPr="0091086A">
        <w:t>The draft favourably expands the categories of individuals ‘whose execution would be exceptionally cruel or would lead to exceptionally harsh results for them and their families’</w:t>
      </w:r>
      <w:r w:rsidR="00307476">
        <w:t>.</w:t>
      </w:r>
      <w:r w:rsidRPr="0091086A">
        <w:rPr>
          <w:rStyle w:val="FootnoteReference"/>
        </w:rPr>
        <w:footnoteReference w:id="37"/>
      </w:r>
      <w:r w:rsidRPr="0091086A">
        <w:t xml:space="preserve"> </w:t>
      </w:r>
      <w:r w:rsidR="009B608A" w:rsidRPr="0091086A">
        <w:t xml:space="preserve">It is suggested that since parents of dependent children should not face the death penalty, </w:t>
      </w:r>
      <w:r w:rsidRPr="0091086A">
        <w:t xml:space="preserve">pregnant women upon whom a sentence of death has been imposed </w:t>
      </w:r>
      <w:r w:rsidR="006278B1">
        <w:t xml:space="preserve">may </w:t>
      </w:r>
      <w:r w:rsidRPr="0091086A">
        <w:t xml:space="preserve">not be executed </w:t>
      </w:r>
      <w:r w:rsidR="006278B1">
        <w:t>including</w:t>
      </w:r>
      <w:r w:rsidR="006278B1" w:rsidRPr="0091086A">
        <w:t xml:space="preserve"> </w:t>
      </w:r>
      <w:r w:rsidRPr="0091086A">
        <w:t xml:space="preserve">after </w:t>
      </w:r>
      <w:r w:rsidR="00412163">
        <w:t>they have given</w:t>
      </w:r>
      <w:r w:rsidRPr="0091086A">
        <w:t xml:space="preserve"> birth. This interpretation is consistent with the abolitionist goal of Article 6.</w:t>
      </w:r>
      <w:r w:rsidRPr="0091086A">
        <w:rPr>
          <w:rStyle w:val="FootnoteReference"/>
        </w:rPr>
        <w:footnoteReference w:id="38"/>
      </w:r>
      <w:r w:rsidRPr="0091086A">
        <w:t xml:space="preserve"> </w:t>
      </w:r>
      <w:r w:rsidR="00C14E56" w:rsidRPr="0091086A">
        <w:t>It</w:t>
      </w:r>
      <w:r w:rsidRPr="0091086A">
        <w:t xml:space="preserve"> is </w:t>
      </w:r>
      <w:r w:rsidR="00C14E56" w:rsidRPr="0091086A">
        <w:t xml:space="preserve">therefore </w:t>
      </w:r>
      <w:r w:rsidRPr="0091086A">
        <w:t xml:space="preserve">suggested that the following be </w:t>
      </w:r>
      <w:r w:rsidR="00F040B8">
        <w:t>included</w:t>
      </w:r>
      <w:r w:rsidRPr="0091086A">
        <w:t xml:space="preserve"> after the last sentence in paragraph 52 of the draft:</w:t>
      </w:r>
    </w:p>
    <w:p w14:paraId="3D9FEE56" w14:textId="7C3560B7" w:rsidR="0012112E" w:rsidRDefault="005D1565" w:rsidP="00EC5090">
      <w:pPr>
        <w:pStyle w:val="Numberedparagraph"/>
        <w:numPr>
          <w:ilvl w:val="0"/>
          <w:numId w:val="0"/>
        </w:numPr>
        <w:ind w:left="1440"/>
      </w:pPr>
      <w:r w:rsidRPr="0091086A">
        <w:t>In line with the abolitionist goal of Article 6, death sentences imposed on pregnant</w:t>
      </w:r>
      <w:r w:rsidR="00C14E56" w:rsidRPr="0091086A">
        <w:t xml:space="preserve"> women may </w:t>
      </w:r>
      <w:r w:rsidR="007E2DAC">
        <w:t>not</w:t>
      </w:r>
      <w:r w:rsidR="007E2DAC" w:rsidRPr="0091086A">
        <w:t xml:space="preserve"> </w:t>
      </w:r>
      <w:r w:rsidR="00C14E56" w:rsidRPr="0091086A">
        <w:t>be carried out, including after they have given birth.</w:t>
      </w:r>
    </w:p>
    <w:p w14:paraId="2BB77043" w14:textId="0B28D1DE" w:rsidR="007E7204" w:rsidRPr="00763F36" w:rsidRDefault="00205375" w:rsidP="00F6253C">
      <w:pPr>
        <w:pStyle w:val="Heading1"/>
        <w:rPr>
          <w:rFonts w:cstheme="minorHAnsi"/>
        </w:rPr>
      </w:pPr>
      <w:bookmarkStart w:id="10" w:name="_Toc495075309"/>
      <w:r w:rsidRPr="0091086A">
        <w:rPr>
          <w:rFonts w:asciiTheme="minorHAnsi" w:hAnsiTheme="minorHAnsi" w:cstheme="minorHAnsi"/>
        </w:rPr>
        <w:t>Accountabilit</w:t>
      </w:r>
      <w:r w:rsidR="005B6482" w:rsidRPr="0091086A">
        <w:rPr>
          <w:rFonts w:asciiTheme="minorHAnsi" w:hAnsiTheme="minorHAnsi" w:cstheme="minorHAnsi"/>
        </w:rPr>
        <w:t>y for Arbitrary Deprivations of the Right to Life</w:t>
      </w:r>
      <w:bookmarkEnd w:id="10"/>
    </w:p>
    <w:p w14:paraId="44706EA4" w14:textId="11493EAB" w:rsidR="002E41CC" w:rsidRPr="0091086A" w:rsidRDefault="00F83964" w:rsidP="00EC5090">
      <w:pPr>
        <w:pStyle w:val="Numberedparagraph"/>
        <w:rPr>
          <w:rFonts w:cstheme="minorHAnsi"/>
        </w:rPr>
      </w:pPr>
      <w:r w:rsidRPr="0091086A">
        <w:rPr>
          <w:rFonts w:asciiTheme="minorHAnsi" w:hAnsiTheme="minorHAnsi" w:cstheme="minorHAnsi"/>
        </w:rPr>
        <w:t xml:space="preserve">The protection of the right to life involves </w:t>
      </w:r>
      <w:r w:rsidR="006324AC" w:rsidRPr="0091086A">
        <w:rPr>
          <w:rFonts w:asciiTheme="minorHAnsi" w:hAnsiTheme="minorHAnsi" w:cstheme="minorHAnsi"/>
        </w:rPr>
        <w:t xml:space="preserve">bringing perpetrators </w:t>
      </w:r>
      <w:r w:rsidR="007E7204" w:rsidRPr="0091086A">
        <w:rPr>
          <w:rFonts w:asciiTheme="minorHAnsi" w:hAnsiTheme="minorHAnsi" w:cstheme="minorHAnsi"/>
        </w:rPr>
        <w:t>to justice with the aim of</w:t>
      </w:r>
      <w:r w:rsidR="003226FB" w:rsidRPr="0091086A">
        <w:rPr>
          <w:rFonts w:asciiTheme="minorHAnsi" w:hAnsiTheme="minorHAnsi" w:cstheme="minorHAnsi"/>
        </w:rPr>
        <w:t xml:space="preserve"> </w:t>
      </w:r>
      <w:r w:rsidRPr="0091086A">
        <w:rPr>
          <w:rFonts w:asciiTheme="minorHAnsi" w:hAnsiTheme="minorHAnsi" w:cstheme="minorHAnsi"/>
        </w:rPr>
        <w:t>‘</w:t>
      </w:r>
      <w:r w:rsidRPr="0091086A">
        <w:t>promoting accountability and preventing impunity’.</w:t>
      </w:r>
      <w:r w:rsidRPr="0091086A">
        <w:rPr>
          <w:rStyle w:val="FootnoteReference"/>
        </w:rPr>
        <w:footnoteReference w:id="39"/>
      </w:r>
      <w:r w:rsidR="007E7204" w:rsidRPr="0091086A">
        <w:t xml:space="preserve"> </w:t>
      </w:r>
      <w:r w:rsidR="00F6387D" w:rsidRPr="0091086A">
        <w:t xml:space="preserve">Al-Haq welcomes paragraphs </w:t>
      </w:r>
      <w:r w:rsidR="008564EB" w:rsidRPr="0091086A">
        <w:t xml:space="preserve">31, 33, and </w:t>
      </w:r>
      <w:r w:rsidR="00F6387D" w:rsidRPr="0091086A">
        <w:t>68 of the draft General Comment, address</w:t>
      </w:r>
      <w:r w:rsidR="008564EB" w:rsidRPr="0091086A">
        <w:t>ing</w:t>
      </w:r>
      <w:r w:rsidR="00F6387D" w:rsidRPr="0091086A">
        <w:t xml:space="preserve"> the question of accountability</w:t>
      </w:r>
      <w:r w:rsidR="008564EB" w:rsidRPr="0091086A">
        <w:t xml:space="preserve">. </w:t>
      </w:r>
      <w:r w:rsidR="00923B11" w:rsidRPr="0091086A">
        <w:t>The Committee should recognise that violations of the right to life</w:t>
      </w:r>
      <w:r w:rsidR="000E46DE" w:rsidRPr="0091086A">
        <w:t xml:space="preserve"> in times of armed conflict</w:t>
      </w:r>
      <w:r w:rsidR="00923B11" w:rsidRPr="0091086A">
        <w:t xml:space="preserve"> </w:t>
      </w:r>
      <w:r w:rsidR="000E46DE" w:rsidRPr="0091086A">
        <w:t>may</w:t>
      </w:r>
      <w:r w:rsidR="00923B11" w:rsidRPr="0091086A">
        <w:t xml:space="preserve"> also amount to </w:t>
      </w:r>
      <w:r w:rsidR="00D7328A" w:rsidRPr="0091086A">
        <w:t>grave breaches of the Geneva Conventions</w:t>
      </w:r>
      <w:r w:rsidR="000E46DE" w:rsidRPr="0091086A">
        <w:t>, including where they constitute wilful killings, torture or inhuman treatment,</w:t>
      </w:r>
      <w:r w:rsidR="00B40678" w:rsidRPr="0091086A">
        <w:t xml:space="preserve"> or wilfully causing great suffering or serious injury to body or health.</w:t>
      </w:r>
      <w:r w:rsidR="00820790" w:rsidRPr="0091086A">
        <w:rPr>
          <w:rStyle w:val="FootnoteReference"/>
        </w:rPr>
        <w:footnoteReference w:id="40"/>
      </w:r>
      <w:r w:rsidR="00B40678" w:rsidRPr="0091086A">
        <w:t xml:space="preserve"> </w:t>
      </w:r>
      <w:r w:rsidR="002E41CC" w:rsidRPr="0091086A">
        <w:t>This is further important i</w:t>
      </w:r>
      <w:r w:rsidR="00D372CF" w:rsidRPr="0091086A">
        <w:t>n cases of impunity</w:t>
      </w:r>
      <w:r w:rsidR="005833EE" w:rsidRPr="0091086A">
        <w:t xml:space="preserve"> and </w:t>
      </w:r>
      <w:r w:rsidR="00F75F3A">
        <w:t xml:space="preserve">in </w:t>
      </w:r>
      <w:r w:rsidR="005833EE" w:rsidRPr="0091086A">
        <w:t>situations of armed conflict</w:t>
      </w:r>
      <w:r w:rsidR="00D372CF" w:rsidRPr="0091086A">
        <w:t xml:space="preserve"> where the State party may </w:t>
      </w:r>
      <w:r w:rsidR="005833EE" w:rsidRPr="0091086A">
        <w:t>systematically</w:t>
      </w:r>
      <w:r w:rsidR="00D372CF" w:rsidRPr="0091086A">
        <w:t xml:space="preserve"> </w:t>
      </w:r>
      <w:r w:rsidR="005833EE" w:rsidRPr="0091086A">
        <w:t xml:space="preserve">violate </w:t>
      </w:r>
      <w:r w:rsidR="00D372CF" w:rsidRPr="0091086A">
        <w:t xml:space="preserve">the right to life and is unable or unwilling to carry out investigations into </w:t>
      </w:r>
      <w:r w:rsidR="002E41CC" w:rsidRPr="0091086A">
        <w:t xml:space="preserve">such violations. In these cases, </w:t>
      </w:r>
      <w:r w:rsidR="00F75F3A">
        <w:t>third S</w:t>
      </w:r>
      <w:r w:rsidR="002E41CC" w:rsidRPr="0091086A">
        <w:t>tates have a duty to act effectively to end impunity.</w:t>
      </w:r>
      <w:r w:rsidR="002E41CC" w:rsidRPr="0091086A">
        <w:rPr>
          <w:rStyle w:val="FootnoteReference"/>
        </w:rPr>
        <w:footnoteReference w:id="41"/>
      </w:r>
      <w:r w:rsidR="002E41CC" w:rsidRPr="0091086A">
        <w:t xml:space="preserve"> Given the crucial </w:t>
      </w:r>
      <w:r w:rsidR="00F75F3A">
        <w:t>importance of the right to life</w:t>
      </w:r>
      <w:r w:rsidR="002E41CC" w:rsidRPr="0091086A">
        <w:t xml:space="preserve"> and the need to ensure accountability for violations of the right, Al-Haq suggests the following sentence be added </w:t>
      </w:r>
      <w:r w:rsidR="00537175">
        <w:t>at the end of</w:t>
      </w:r>
      <w:r w:rsidR="002E41CC" w:rsidRPr="0091086A">
        <w:t xml:space="preserve"> </w:t>
      </w:r>
      <w:r w:rsidR="00984D75" w:rsidRPr="0091086A">
        <w:t>paragraph 33</w:t>
      </w:r>
      <w:r w:rsidR="002E41CC" w:rsidRPr="0091086A">
        <w:t>:</w:t>
      </w:r>
    </w:p>
    <w:p w14:paraId="7DF9EBAC" w14:textId="0AD483E3" w:rsidR="002E41CC" w:rsidRPr="0091086A" w:rsidRDefault="00984D75" w:rsidP="00EC5090">
      <w:pPr>
        <w:pStyle w:val="Numberedparagraph"/>
        <w:numPr>
          <w:ilvl w:val="0"/>
          <w:numId w:val="0"/>
        </w:numPr>
        <w:ind w:left="1440"/>
      </w:pPr>
      <w:r w:rsidRPr="0091086A">
        <w:t>In cases of armed conflict, third states may have a duty to ensure respect</w:t>
      </w:r>
      <w:r w:rsidRPr="0091086A">
        <w:rPr>
          <w:rStyle w:val="FootnoteReference"/>
        </w:rPr>
        <w:footnoteReference w:id="42"/>
      </w:r>
      <w:r w:rsidRPr="0091086A">
        <w:t xml:space="preserve"> for the right to life and hold perpetrators accountable.</w:t>
      </w:r>
      <w:r w:rsidRPr="0091086A">
        <w:rPr>
          <w:rStyle w:val="FootnoteReference"/>
        </w:rPr>
        <w:footnoteReference w:id="43"/>
      </w:r>
      <w:r w:rsidRPr="0091086A">
        <w:t xml:space="preserve"> </w:t>
      </w:r>
    </w:p>
    <w:p w14:paraId="460A751E" w14:textId="2265C0A9" w:rsidR="0098774E" w:rsidRPr="0091086A" w:rsidRDefault="00791B44" w:rsidP="00EC5090">
      <w:pPr>
        <w:pStyle w:val="Numberedparagraph"/>
      </w:pPr>
      <w:r w:rsidRPr="0091086A">
        <w:t xml:space="preserve">The Committee </w:t>
      </w:r>
      <w:r w:rsidR="00176979">
        <w:t xml:space="preserve">provides: </w:t>
      </w:r>
      <w:r w:rsidRPr="0091086A">
        <w:t>‘States are reminded of their responsibility as members of the international community to protect lives and to oppose widespread or systematic attacks on the right to life, including acts of aggression, international terrorism and crimes against humanity, while respecting all of their obligations under the United Nations Charter.’</w:t>
      </w:r>
      <w:r w:rsidR="001835B8" w:rsidRPr="0091086A">
        <w:t xml:space="preserve"> </w:t>
      </w:r>
      <w:r w:rsidR="00D77580" w:rsidRPr="0091086A">
        <w:t xml:space="preserve">However, States </w:t>
      </w:r>
      <w:r w:rsidR="001416DD" w:rsidRPr="0091086A">
        <w:t xml:space="preserve">do </w:t>
      </w:r>
      <w:r w:rsidR="00D77580" w:rsidRPr="0091086A">
        <w:t xml:space="preserve">not only have an obligation to </w:t>
      </w:r>
      <w:r w:rsidR="002C1A30" w:rsidRPr="0091086A">
        <w:t>‘</w:t>
      </w:r>
      <w:r w:rsidR="00D77580" w:rsidRPr="0091086A">
        <w:t>protect</w:t>
      </w:r>
      <w:r w:rsidR="002C1A30" w:rsidRPr="0091086A">
        <w:t>’</w:t>
      </w:r>
      <w:r w:rsidR="00D77580" w:rsidRPr="0091086A">
        <w:t xml:space="preserve"> from and </w:t>
      </w:r>
      <w:r w:rsidR="002C1A30" w:rsidRPr="0091086A">
        <w:t>‘</w:t>
      </w:r>
      <w:r w:rsidR="00D77580" w:rsidRPr="0091086A">
        <w:t>oppose</w:t>
      </w:r>
      <w:r w:rsidR="002C1A30" w:rsidRPr="0091086A">
        <w:t>’</w:t>
      </w:r>
      <w:r w:rsidR="00D77580" w:rsidRPr="0091086A">
        <w:t xml:space="preserve"> </w:t>
      </w:r>
      <w:r w:rsidR="00307CD9" w:rsidRPr="0091086A">
        <w:t>the commission of international</w:t>
      </w:r>
      <w:r w:rsidR="00D77580" w:rsidRPr="0091086A">
        <w:t xml:space="preserve"> crimes</w:t>
      </w:r>
      <w:r w:rsidR="001416DD" w:rsidRPr="0091086A">
        <w:t>,</w:t>
      </w:r>
      <w:r w:rsidR="00D77580" w:rsidRPr="0091086A">
        <w:t xml:space="preserve"> </w:t>
      </w:r>
      <w:r w:rsidR="001416DD" w:rsidRPr="0091086A">
        <w:t>they must also</w:t>
      </w:r>
      <w:r w:rsidR="00D77580" w:rsidRPr="0091086A">
        <w:t xml:space="preserve"> ‘prevent’ them from occurring in </w:t>
      </w:r>
      <w:r w:rsidR="002C1A30" w:rsidRPr="0091086A">
        <w:t>the first place</w:t>
      </w:r>
      <w:r w:rsidR="00D77580" w:rsidRPr="0091086A">
        <w:t>.</w:t>
      </w:r>
      <w:r w:rsidR="00D77580" w:rsidRPr="0091086A">
        <w:rPr>
          <w:rStyle w:val="FootnoteReference"/>
          <w:rFonts w:asciiTheme="minorHAnsi" w:hAnsiTheme="minorHAnsi" w:cstheme="minorHAnsi"/>
        </w:rPr>
        <w:footnoteReference w:id="44"/>
      </w:r>
    </w:p>
    <w:p w14:paraId="6C707493" w14:textId="37E2267F" w:rsidR="001835B8" w:rsidRPr="00763F36" w:rsidRDefault="00176979" w:rsidP="00EC5090">
      <w:pPr>
        <w:pStyle w:val="Numberedparagraph"/>
      </w:pPr>
      <w:r>
        <w:t>It is important to note that ‘international terrorism’ included in paragraph</w:t>
      </w:r>
      <w:r w:rsidR="0098774E" w:rsidRPr="0091086A">
        <w:t xml:space="preserve"> 71</w:t>
      </w:r>
      <w:r>
        <w:t xml:space="preserve"> of the draft</w:t>
      </w:r>
      <w:r w:rsidR="00212ADE" w:rsidRPr="0091086A">
        <w:t>, while a real and serious concern,</w:t>
      </w:r>
      <w:r w:rsidR="0098774E" w:rsidRPr="0091086A">
        <w:t xml:space="preserve"> is overly broad and may instea</w:t>
      </w:r>
      <w:r w:rsidR="00212ADE" w:rsidRPr="0091086A">
        <w:t xml:space="preserve">d lead to State actions that violate the right to life. </w:t>
      </w:r>
      <w:r w:rsidR="00A863F6" w:rsidRPr="0091086A">
        <w:t>A</w:t>
      </w:r>
      <w:r w:rsidR="00212ADE" w:rsidRPr="0091086A">
        <w:t xml:space="preserve"> 2015 report by </w:t>
      </w:r>
      <w:r w:rsidR="00212ADE" w:rsidRPr="00763F36">
        <w:t xml:space="preserve">the </w:t>
      </w:r>
      <w:r>
        <w:t>UN</w:t>
      </w:r>
      <w:r w:rsidR="00212ADE" w:rsidRPr="00763F36">
        <w:t xml:space="preserve"> Special Rapporteur on the promotion and protection of human rights and fundamental freedoms while countering terrorism highlighted the principle of legality and noted “the adoption of overly broad definitions of terrorism carries the potentia</w:t>
      </w:r>
      <w:r w:rsidR="00CB7C30">
        <w:t>l for deliberate misuse –</w:t>
      </w:r>
      <w:r w:rsidR="00212ADE" w:rsidRPr="00763F36">
        <w:t xml:space="preserve"> including as a response to claims and social m</w:t>
      </w:r>
      <w:r w:rsidR="00CB7C30">
        <w:t>ovements of indigenous peoples –</w:t>
      </w:r>
      <w:r w:rsidR="00212ADE" w:rsidRPr="00763F36">
        <w:t xml:space="preserve"> and unintended human rights abuses.”</w:t>
      </w:r>
      <w:r w:rsidR="00212ADE" w:rsidRPr="00763F36">
        <w:rPr>
          <w:rStyle w:val="FootnoteReference"/>
        </w:rPr>
        <w:footnoteReference w:id="45"/>
      </w:r>
      <w:r w:rsidR="00212ADE" w:rsidRPr="00763F36">
        <w:t xml:space="preserve"> Such instances of overly broad definitions or, more sweepingly, </w:t>
      </w:r>
      <w:r w:rsidR="00CB7C30">
        <w:t>the use of</w:t>
      </w:r>
      <w:r w:rsidR="00212ADE" w:rsidRPr="00763F36">
        <w:t xml:space="preserve"> security as a pretext for implementing policies which may violate the right to life</w:t>
      </w:r>
      <w:r w:rsidR="00CB7C30">
        <w:t>,</w:t>
      </w:r>
      <w:r w:rsidR="00212ADE" w:rsidRPr="00763F36">
        <w:t xml:space="preserve"> are especially </w:t>
      </w:r>
      <w:r w:rsidR="00CB7C30">
        <w:t>concerning</w:t>
      </w:r>
      <w:r w:rsidR="00212ADE" w:rsidRPr="00763F36">
        <w:t xml:space="preserve"> in situations of armed conflict, including occupation.</w:t>
      </w:r>
      <w:r w:rsidR="00212ADE" w:rsidRPr="00763F36">
        <w:rPr>
          <w:rStyle w:val="FootnoteReference"/>
        </w:rPr>
        <w:footnoteReference w:id="46"/>
      </w:r>
      <w:r w:rsidR="00EC5090">
        <w:t xml:space="preserve"> </w:t>
      </w:r>
      <w:r w:rsidR="00212ADE" w:rsidRPr="00763F36">
        <w:t xml:space="preserve">Accordingly, </w:t>
      </w:r>
      <w:r w:rsidR="00D77580" w:rsidRPr="0091086A">
        <w:t>Al-Haq proposes that the Committee modify the last se</w:t>
      </w:r>
      <w:r w:rsidR="001835B8" w:rsidRPr="0091086A">
        <w:t>ntence of paragraph 71 to read:</w:t>
      </w:r>
    </w:p>
    <w:p w14:paraId="13F4B074" w14:textId="5FD991DD" w:rsidR="00817818" w:rsidRPr="0091086A" w:rsidRDefault="00D77580" w:rsidP="00EC5090">
      <w:pPr>
        <w:pStyle w:val="Numberedparagraph"/>
        <w:numPr>
          <w:ilvl w:val="0"/>
          <w:numId w:val="0"/>
        </w:numPr>
        <w:ind w:left="1440"/>
      </w:pPr>
      <w:r w:rsidRPr="0091086A">
        <w:t>At the same time, all States are reminded of their responsibility as members of the international community to protect lives, to oppose, and to prevent widespread or systematic attacks on the right to life, including acts of aggression, crimes against humanity, the crime of</w:t>
      </w:r>
      <w:r w:rsidR="00863009" w:rsidRPr="0091086A">
        <w:t xml:space="preserve"> g</w:t>
      </w:r>
      <w:r w:rsidRPr="0091086A">
        <w:t xml:space="preserve">enocide, and </w:t>
      </w:r>
      <w:r w:rsidR="00863009" w:rsidRPr="0091086A">
        <w:t>war crimes</w:t>
      </w:r>
      <w:r w:rsidRPr="0091086A">
        <w:t>, while respecting all of their obligations un</w:t>
      </w:r>
      <w:r w:rsidR="00CB7C30">
        <w:t>der the United Nations Charter.</w:t>
      </w:r>
    </w:p>
    <w:p w14:paraId="4DCA313B" w14:textId="13D98BD7" w:rsidR="00691B53" w:rsidRPr="0091086A" w:rsidRDefault="004A611A" w:rsidP="00EC5090">
      <w:pPr>
        <w:pStyle w:val="Numberedparagraph"/>
      </w:pPr>
      <w:r>
        <w:t>Finally, p</w:t>
      </w:r>
      <w:r w:rsidR="00F47E91" w:rsidRPr="0091086A">
        <w:t xml:space="preserve">aragraph 12 </w:t>
      </w:r>
      <w:r w:rsidR="00C31CCC" w:rsidRPr="0091086A">
        <w:t>notes that ‘States parties engaged in the use of existing weapons and in the study, development, acquisition or adoption of new weapons, and means or methods of warfare must always consider their impact on the right to life</w:t>
      </w:r>
      <w:r w:rsidR="00F47E91" w:rsidRPr="0091086A">
        <w:t>.</w:t>
      </w:r>
      <w:r w:rsidR="00C31CCC" w:rsidRPr="0091086A">
        <w:t>’</w:t>
      </w:r>
      <w:r w:rsidR="00C31CCC" w:rsidRPr="0091086A">
        <w:rPr>
          <w:rStyle w:val="FootnoteReference"/>
        </w:rPr>
        <w:footnoteReference w:id="47"/>
      </w:r>
      <w:r w:rsidR="001E640A" w:rsidRPr="0091086A">
        <w:t xml:space="preserve"> </w:t>
      </w:r>
      <w:r w:rsidR="00F47E91" w:rsidRPr="0091086A">
        <w:t>Special responsibility should also be placed on</w:t>
      </w:r>
      <w:r w:rsidR="001E640A" w:rsidRPr="0091086A">
        <w:t xml:space="preserve"> </w:t>
      </w:r>
      <w:r w:rsidR="00F47E91" w:rsidRPr="0091086A">
        <w:t>States that knowingly</w:t>
      </w:r>
      <w:r w:rsidR="009452CA" w:rsidRPr="0091086A">
        <w:t xml:space="preserve"> </w:t>
      </w:r>
      <w:r w:rsidR="001E640A" w:rsidRPr="0091086A">
        <w:t xml:space="preserve">sell weapons to States </w:t>
      </w:r>
      <w:r w:rsidR="00E37173" w:rsidRPr="0091086A">
        <w:t xml:space="preserve">or armed groups </w:t>
      </w:r>
      <w:r w:rsidR="001E640A" w:rsidRPr="0091086A">
        <w:t>engaged in war cr</w:t>
      </w:r>
      <w:r w:rsidR="004774D0" w:rsidRPr="0091086A">
        <w:t>imes or crimes against humanity</w:t>
      </w:r>
      <w:r w:rsidR="006A24E6" w:rsidRPr="0091086A">
        <w:t>.</w:t>
      </w:r>
      <w:r w:rsidR="006A24E6" w:rsidRPr="0091086A">
        <w:rPr>
          <w:rStyle w:val="FootnoteReference"/>
        </w:rPr>
        <w:footnoteReference w:id="48"/>
      </w:r>
    </w:p>
    <w:sectPr w:rsidR="00691B53" w:rsidRPr="0091086A" w:rsidSect="00563AAA">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F5F28" w14:textId="77777777" w:rsidR="00F8702D" w:rsidRDefault="00F8702D" w:rsidP="00D72F14">
      <w:pPr>
        <w:spacing w:after="0" w:line="240" w:lineRule="auto"/>
      </w:pPr>
      <w:r>
        <w:separator/>
      </w:r>
    </w:p>
  </w:endnote>
  <w:endnote w:type="continuationSeparator" w:id="0">
    <w:p w14:paraId="20B37B90" w14:textId="77777777" w:rsidR="00F8702D" w:rsidRDefault="00F8702D" w:rsidP="00D7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9B77" w14:textId="77777777" w:rsidR="000A0900" w:rsidRDefault="000A0900" w:rsidP="00A46B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F5098" w14:textId="77777777" w:rsidR="000A0900" w:rsidRDefault="000A0900" w:rsidP="00352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6AC7" w14:textId="75FF5E9D" w:rsidR="000A0900" w:rsidRPr="00275214" w:rsidRDefault="000A0900" w:rsidP="00A46BFA">
    <w:pPr>
      <w:pStyle w:val="Footer"/>
      <w:framePr w:wrap="none" w:vAnchor="text" w:hAnchor="margin" w:xAlign="right" w:y="1"/>
      <w:rPr>
        <w:rStyle w:val="PageNumber"/>
        <w:sz w:val="24"/>
        <w:szCs w:val="24"/>
      </w:rPr>
    </w:pPr>
    <w:r w:rsidRPr="00275214">
      <w:rPr>
        <w:rStyle w:val="PageNumber"/>
        <w:sz w:val="24"/>
        <w:szCs w:val="24"/>
      </w:rPr>
      <w:fldChar w:fldCharType="begin"/>
    </w:r>
    <w:r w:rsidRPr="00275214">
      <w:rPr>
        <w:rStyle w:val="PageNumber"/>
        <w:sz w:val="24"/>
        <w:szCs w:val="24"/>
      </w:rPr>
      <w:instrText xml:space="preserve">PAGE  </w:instrText>
    </w:r>
    <w:r w:rsidRPr="00275214">
      <w:rPr>
        <w:rStyle w:val="PageNumber"/>
        <w:sz w:val="24"/>
        <w:szCs w:val="24"/>
      </w:rPr>
      <w:fldChar w:fldCharType="separate"/>
    </w:r>
    <w:r w:rsidR="00896149">
      <w:rPr>
        <w:rStyle w:val="PageNumber"/>
        <w:noProof/>
        <w:sz w:val="24"/>
        <w:szCs w:val="24"/>
      </w:rPr>
      <w:t>9</w:t>
    </w:r>
    <w:r w:rsidRPr="00275214">
      <w:rPr>
        <w:rStyle w:val="PageNumber"/>
        <w:sz w:val="24"/>
        <w:szCs w:val="24"/>
      </w:rPr>
      <w:fldChar w:fldCharType="end"/>
    </w:r>
  </w:p>
  <w:p w14:paraId="4E322403" w14:textId="77777777" w:rsidR="000A0900" w:rsidRPr="00275214" w:rsidRDefault="000A0900" w:rsidP="00352D5C">
    <w:pPr>
      <w:pStyle w:val="Foote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213" w14:textId="7A9F4DE5" w:rsidR="000A0900" w:rsidRDefault="000A0900" w:rsidP="006A4D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149">
      <w:rPr>
        <w:rStyle w:val="PageNumber"/>
        <w:noProof/>
      </w:rPr>
      <w:t>1</w:t>
    </w:r>
    <w:r>
      <w:rPr>
        <w:rStyle w:val="PageNumber"/>
      </w:rPr>
      <w:fldChar w:fldCharType="end"/>
    </w:r>
  </w:p>
  <w:p w14:paraId="22E8D8CC" w14:textId="77B1ABB7" w:rsidR="000A0900" w:rsidRDefault="000A0900" w:rsidP="00CE01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38D76" w14:textId="77777777" w:rsidR="00F8702D" w:rsidRDefault="00F8702D" w:rsidP="00D72F14">
      <w:pPr>
        <w:spacing w:after="0" w:line="240" w:lineRule="auto"/>
      </w:pPr>
      <w:r>
        <w:separator/>
      </w:r>
    </w:p>
  </w:footnote>
  <w:footnote w:type="continuationSeparator" w:id="0">
    <w:p w14:paraId="31EA16B4" w14:textId="77777777" w:rsidR="00F8702D" w:rsidRDefault="00F8702D" w:rsidP="00D72F14">
      <w:pPr>
        <w:spacing w:after="0" w:line="240" w:lineRule="auto"/>
      </w:pPr>
      <w:r>
        <w:continuationSeparator/>
      </w:r>
    </w:p>
  </w:footnote>
  <w:footnote w:id="1">
    <w:p w14:paraId="65E50B48"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3.</w:t>
      </w:r>
    </w:p>
  </w:footnote>
  <w:footnote w:id="2">
    <w:p w14:paraId="1EEEAF83"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paras. 2 and 56.</w:t>
      </w:r>
    </w:p>
  </w:footnote>
  <w:footnote w:id="3">
    <w:p w14:paraId="45CFECB6"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3.</w:t>
      </w:r>
    </w:p>
  </w:footnote>
  <w:footnote w:id="4">
    <w:p w14:paraId="54B8DDD4"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ICCPR, preamble: “[r]ecognizing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w:t>
      </w:r>
    </w:p>
  </w:footnote>
  <w:footnote w:id="5">
    <w:p w14:paraId="5322F471"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w:t>
      </w:r>
      <w:r w:rsidRPr="001E25A8">
        <w:rPr>
          <w:i/>
        </w:rPr>
        <w:t>Universal Declaration of Human Rights</w:t>
      </w:r>
      <w:r w:rsidRPr="001E25A8">
        <w:t>, adopted 10 December 1948, preamble: “[w]hereas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footnote>
  <w:footnote w:id="6">
    <w:p w14:paraId="7F087880" w14:textId="6FFDD74D" w:rsidR="000A0900" w:rsidRPr="001E25A8" w:rsidRDefault="000A0900" w:rsidP="0038312C">
      <w:pPr>
        <w:pStyle w:val="FootnoteText"/>
        <w:spacing w:before="60" w:after="60"/>
        <w:jc w:val="both"/>
      </w:pPr>
      <w:r w:rsidRPr="001E25A8">
        <w:rPr>
          <w:rStyle w:val="FootnoteReference"/>
        </w:rPr>
        <w:footnoteRef/>
      </w:r>
      <w:r w:rsidRPr="001E25A8">
        <w:t xml:space="preserve"> </w:t>
      </w:r>
      <w:r w:rsidRPr="001E25A8">
        <w:rPr>
          <w:i/>
        </w:rPr>
        <w:t>Vienna Declaration and Programme of Action</w:t>
      </w:r>
      <w:r w:rsidRPr="001E25A8">
        <w:t>, adopted on 25 June 1993, Article 5: “[a]ll human rights are universal, indivisible and interdependent and interrelated. The international community must treat human rights globally in a fair and equal manner, on the same footing, and with the same emphasis.”</w:t>
      </w:r>
    </w:p>
  </w:footnote>
  <w:footnote w:id="7">
    <w:p w14:paraId="0303C475"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67.</w:t>
      </w:r>
    </w:p>
  </w:footnote>
  <w:footnote w:id="8">
    <w:p w14:paraId="42947D04"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67.</w:t>
      </w:r>
    </w:p>
  </w:footnote>
  <w:footnote w:id="9">
    <w:p w14:paraId="5EC76428"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31.</w:t>
      </w:r>
    </w:p>
  </w:footnote>
  <w:footnote w:id="10">
    <w:p w14:paraId="0348A120" w14:textId="75421681"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32.</w:t>
      </w:r>
    </w:p>
  </w:footnote>
  <w:footnote w:id="11">
    <w:p w14:paraId="2DCD03EA" w14:textId="3D0B4C2E"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32.</w:t>
      </w:r>
    </w:p>
  </w:footnote>
  <w:footnote w:id="12">
    <w:p w14:paraId="04615DD8" w14:textId="77777777" w:rsidR="000A0900" w:rsidRPr="001E25A8" w:rsidRDefault="000A0900" w:rsidP="00602613">
      <w:pPr>
        <w:pStyle w:val="FootnoteText"/>
        <w:spacing w:before="60"/>
        <w:jc w:val="both"/>
      </w:pPr>
      <w:r w:rsidRPr="001E25A8">
        <w:rPr>
          <w:rStyle w:val="FootnoteReference"/>
        </w:rPr>
        <w:footnoteRef/>
      </w:r>
      <w:r w:rsidRPr="001E25A8">
        <w:t xml:space="preserve"> Al-Haq, “The Consequences of Israeli Impunity” (23 August 2017), available at:</w:t>
      </w:r>
    </w:p>
    <w:p w14:paraId="64443BC6" w14:textId="2659DC5F" w:rsidR="000A0900" w:rsidRPr="001E25A8" w:rsidRDefault="00896149" w:rsidP="00602613">
      <w:pPr>
        <w:pStyle w:val="FootnoteText"/>
        <w:spacing w:after="60"/>
        <w:jc w:val="both"/>
      </w:pPr>
      <w:hyperlink r:id="rId1" w:history="1">
        <w:r w:rsidR="000A0900" w:rsidRPr="001E25A8">
          <w:rPr>
            <w:rStyle w:val="Hyperlink"/>
          </w:rPr>
          <w:t>http://www.alhaq.org/advocacy/topics/right-to-life-and-body-integrity/1135-the-consequences-of-israeli-impunity</w:t>
        </w:r>
      </w:hyperlink>
      <w:r w:rsidR="000A0900" w:rsidRPr="001E25A8">
        <w:t>.</w:t>
      </w:r>
    </w:p>
  </w:footnote>
  <w:footnote w:id="13">
    <w:p w14:paraId="626035F8" w14:textId="7937F329"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w:t>
      </w:r>
      <w:r w:rsidRPr="001E25A8">
        <w:rPr>
          <w:rFonts w:cstheme="minorHAnsi"/>
        </w:rPr>
        <w:t>60.</w:t>
      </w:r>
    </w:p>
  </w:footnote>
  <w:footnote w:id="14">
    <w:p w14:paraId="4E29570E" w14:textId="377B1516"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w:t>
      </w:r>
      <w:r w:rsidRPr="001E25A8">
        <w:rPr>
          <w:rFonts w:cstheme="minorHAnsi"/>
        </w:rPr>
        <w:t>60.</w:t>
      </w:r>
    </w:p>
  </w:footnote>
  <w:footnote w:id="15">
    <w:p w14:paraId="0EB17B24" w14:textId="347FA4B2"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w:t>
      </w:r>
      <w:r w:rsidRPr="001E25A8">
        <w:rPr>
          <w:rFonts w:cstheme="minorHAnsi"/>
        </w:rPr>
        <w:t>60.</w:t>
      </w:r>
    </w:p>
  </w:footnote>
  <w:footnote w:id="16">
    <w:p w14:paraId="567CC32E" w14:textId="28E27FA2" w:rsidR="000A0900" w:rsidRPr="00763F36" w:rsidRDefault="000A0900" w:rsidP="0038312C">
      <w:pPr>
        <w:pStyle w:val="FootnoteText"/>
        <w:spacing w:before="60" w:after="60"/>
        <w:jc w:val="both"/>
      </w:pPr>
      <w:r w:rsidRPr="001E25A8">
        <w:rPr>
          <w:rStyle w:val="FootnoteReference"/>
        </w:rPr>
        <w:footnoteRef/>
      </w:r>
      <w:r w:rsidRPr="001E25A8">
        <w:t xml:space="preserve"> “</w:t>
      </w:r>
      <w:r w:rsidRPr="00763F36">
        <w:t>In addition to amounting to collective punishment, the withholding of bodies is inconsistent with Israel’s obligations as an occupying Power pursuant to the Fourth Geneva Convention (articles 27 and 30) and violates the prohibition of torture and ill-treatment</w:t>
      </w:r>
      <w:r w:rsidRPr="001E25A8">
        <w:t xml:space="preserve">.” </w:t>
      </w:r>
      <w:r w:rsidRPr="00763F36">
        <w:rPr>
          <w:bCs/>
        </w:rPr>
        <w:t xml:space="preserve">Israeli practices affecting the human rights of the Palestinian people in the Occupied Palestinian Territory, including East Jerusalem, Report of the Secretary-General, A/71/364, 30 August 2016, </w:t>
      </w:r>
      <w:r w:rsidRPr="001E25A8">
        <w:t>para. 25.</w:t>
      </w:r>
    </w:p>
  </w:footnote>
  <w:footnote w:id="17">
    <w:p w14:paraId="7FE75FC2" w14:textId="0003716F"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w:t>
      </w:r>
      <w:r w:rsidRPr="001E25A8">
        <w:rPr>
          <w:rFonts w:cstheme="minorHAnsi"/>
        </w:rPr>
        <w:t>29.</w:t>
      </w:r>
    </w:p>
  </w:footnote>
  <w:footnote w:id="18">
    <w:p w14:paraId="1ED5B1C8" w14:textId="77FFC6EB" w:rsidR="000A0900" w:rsidRPr="00763F36" w:rsidRDefault="000A0900" w:rsidP="0038312C">
      <w:pPr>
        <w:pStyle w:val="FootnoteText"/>
        <w:spacing w:before="60" w:after="60"/>
        <w:jc w:val="both"/>
      </w:pPr>
      <w:r w:rsidRPr="001E25A8">
        <w:rPr>
          <w:rStyle w:val="FootnoteReference"/>
        </w:rPr>
        <w:footnoteRef/>
      </w:r>
      <w:r w:rsidRPr="001E25A8">
        <w:t xml:space="preserve"> “Forcible feeding is never ethically acceptable. Even if intended to benefit, feeding accompanied by threats, coercion, force or use of physical restraints is a form of inhuman and degrading treatment. Equally unacceptable is the forced feeding of some detainees in order to intimidate or coerce other hunger strikers to stop fasting.” World Medical Association, Declaration of Malta on Hunger Strikers, adopted November 1991 by the 43rd World Medical Assembly, Principle 13.</w:t>
      </w:r>
    </w:p>
  </w:footnote>
  <w:footnote w:id="19">
    <w:p w14:paraId="38521610" w14:textId="2BD1861B" w:rsidR="000A0900" w:rsidRPr="00763F36" w:rsidRDefault="000A0900" w:rsidP="0038312C">
      <w:pPr>
        <w:pStyle w:val="FootnoteText"/>
        <w:spacing w:before="60" w:after="60"/>
        <w:jc w:val="both"/>
      </w:pPr>
      <w:r w:rsidRPr="001E25A8">
        <w:rPr>
          <w:rStyle w:val="FootnoteReference"/>
        </w:rPr>
        <w:footnoteRef/>
      </w:r>
      <w:r w:rsidRPr="001E25A8">
        <w:t xml:space="preserve"> </w:t>
      </w:r>
      <w:r w:rsidRPr="00763F36">
        <w:rPr>
          <w:bCs/>
        </w:rPr>
        <w:t>UN experts urge Israel to halt legalization of force-feeding of hunger-strikers in detention, 28 July 2015, available at http://www.ohchr.org/EN/NewsEvents/Pages/DisplayNews.aspx?NewsID=16269</w:t>
      </w:r>
    </w:p>
  </w:footnote>
  <w:footnote w:id="20">
    <w:p w14:paraId="6DA9F085"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World Medical Association, Declaration of Malta on Hunger Strikers, adopted November 1991 by the 43rd World Medical Assembly, Principle 13.</w:t>
      </w:r>
    </w:p>
  </w:footnote>
  <w:footnote w:id="21">
    <w:p w14:paraId="3F1522A5" w14:textId="4036E7D9"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w:t>
      </w:r>
      <w:r w:rsidRPr="001E25A8">
        <w:rPr>
          <w:rFonts w:cstheme="minorHAnsi"/>
        </w:rPr>
        <w:t>3.</w:t>
      </w:r>
    </w:p>
  </w:footnote>
  <w:footnote w:id="22">
    <w:p w14:paraId="0DD15A5C" w14:textId="29F4A7B0" w:rsidR="000A0900" w:rsidRPr="001E25A8" w:rsidRDefault="000A0900" w:rsidP="0038312C">
      <w:pPr>
        <w:pStyle w:val="FootnoteText"/>
        <w:spacing w:before="60" w:after="60"/>
        <w:jc w:val="both"/>
      </w:pPr>
      <w:r w:rsidRPr="001E25A8">
        <w:rPr>
          <w:rStyle w:val="FootnoteReference"/>
        </w:rPr>
        <w:footnoteRef/>
      </w:r>
      <w:r w:rsidRPr="001E25A8">
        <w:t xml:space="preserve"> Article 11, International Covenant on Economic, Social and Cultural Rights (ICESCR).</w:t>
      </w:r>
    </w:p>
  </w:footnote>
  <w:footnote w:id="23">
    <w:p w14:paraId="35D72909" w14:textId="6AC6E4DF" w:rsidR="000A0900" w:rsidRPr="001E25A8" w:rsidRDefault="000A0900" w:rsidP="0038312C">
      <w:pPr>
        <w:pStyle w:val="FootnoteText"/>
        <w:spacing w:before="60" w:after="60"/>
        <w:jc w:val="both"/>
      </w:pPr>
      <w:r w:rsidRPr="001E25A8">
        <w:rPr>
          <w:rStyle w:val="FootnoteReference"/>
        </w:rPr>
        <w:footnoteRef/>
      </w:r>
      <w:r w:rsidRPr="001E25A8">
        <w:t xml:space="preserve"> Article 12, ICESCR.</w:t>
      </w:r>
    </w:p>
  </w:footnote>
  <w:footnote w:id="24">
    <w:p w14:paraId="4711A35D" w14:textId="3D5B82C3"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65: “[e]nvironmental degradation, climate change and non-sustainable development constitute some of the most pressing and serious threats to the ability of present and future generations to enjoy the right to life.”</w:t>
      </w:r>
    </w:p>
  </w:footnote>
  <w:footnote w:id="25">
    <w:p w14:paraId="69AE41DC"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30.</w:t>
      </w:r>
    </w:p>
  </w:footnote>
  <w:footnote w:id="26">
    <w:p w14:paraId="59F88BEF" w14:textId="457F0973" w:rsidR="000A0900" w:rsidRPr="001E25A8" w:rsidRDefault="000A0900" w:rsidP="0038312C">
      <w:pPr>
        <w:pStyle w:val="FootnoteText"/>
        <w:spacing w:before="60" w:after="60"/>
        <w:jc w:val="both"/>
      </w:pPr>
      <w:r w:rsidRPr="001E25A8">
        <w:rPr>
          <w:rStyle w:val="FootnoteReference"/>
        </w:rPr>
        <w:footnoteRef/>
      </w:r>
      <w:r w:rsidRPr="001E25A8">
        <w:t xml:space="preserve"> UN Economic and Social Commission for Western Asia, </w:t>
      </w:r>
      <w:r w:rsidRPr="001E25A8">
        <w:rPr>
          <w:i/>
        </w:rPr>
        <w:t>Israeli Practices towards the Palestinian People and the Question of Apartheid</w:t>
      </w:r>
      <w:r w:rsidRPr="001E25A8">
        <w:t xml:space="preserve"> (2017), Palestine and the Israeli Occupation, Issue No. 1, UN Doc E/ESCWA/ECRI/2017/1.</w:t>
      </w:r>
      <w:r>
        <w:t xml:space="preserve"> </w:t>
      </w:r>
      <w:r>
        <w:rPr>
          <w:i/>
        </w:rPr>
        <w:t xml:space="preserve">See </w:t>
      </w:r>
      <w:r w:rsidRPr="00BC6699">
        <w:rPr>
          <w:i/>
        </w:rPr>
        <w:t>also</w:t>
      </w:r>
      <w:r>
        <w:t xml:space="preserve"> </w:t>
      </w:r>
      <w:r w:rsidRPr="00BC6699">
        <w:t>Committee</w:t>
      </w:r>
      <w:r>
        <w:t xml:space="preserve"> on the Elimination of Racial Discrimination, Concluding observations: Israel (2012), UN Doc </w:t>
      </w:r>
      <w:r w:rsidRPr="00E048AC">
        <w:t>CERD/C/ISR/CO/14-16</w:t>
      </w:r>
      <w:r>
        <w:t>, 09 March 2012, para. 24: “[t]he Committee draws the State party’s attention to its General Recommendation 19 (1995) concerning the prevention, prohibition and eradication of all policies and practices of racial segregation and apartheid, and urges the State party to take immediate measures to prohibit and eradicate any such policies or practices which severely and disproportionately affect the Palestinian population in the Occupied Palestinian Territory and which violate the provisions of article 3 of the Convention.”</w:t>
      </w:r>
    </w:p>
  </w:footnote>
  <w:footnote w:id="27">
    <w:p w14:paraId="40B89C52" w14:textId="77777777" w:rsidR="000A0900" w:rsidRPr="007B0501" w:rsidRDefault="000A0900" w:rsidP="00B876A9">
      <w:pPr>
        <w:pStyle w:val="FootnoteText"/>
        <w:jc w:val="both"/>
      </w:pPr>
      <w:r w:rsidRPr="007B0501">
        <w:rPr>
          <w:rStyle w:val="FootnoteReference"/>
        </w:rPr>
        <w:footnoteRef/>
      </w:r>
      <w:r w:rsidRPr="007B0501">
        <w:t xml:space="preserve"> Draft General Comment 36, para. 30.</w:t>
      </w:r>
    </w:p>
  </w:footnote>
  <w:footnote w:id="28">
    <w:p w14:paraId="49C4A612" w14:textId="4C581AA1"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w:t>
      </w:r>
      <w:r w:rsidRPr="001E25A8">
        <w:rPr>
          <w:rFonts w:cstheme="minorHAnsi"/>
        </w:rPr>
        <w:t>65.</w:t>
      </w:r>
    </w:p>
  </w:footnote>
  <w:footnote w:id="29">
    <w:p w14:paraId="7D71EE29" w14:textId="67CBBE39"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w:t>
      </w:r>
      <w:r w:rsidRPr="001E25A8">
        <w:rPr>
          <w:rFonts w:cstheme="minorHAnsi"/>
        </w:rPr>
        <w:t>65.</w:t>
      </w:r>
    </w:p>
  </w:footnote>
  <w:footnote w:id="30">
    <w:p w14:paraId="21A775B3" w14:textId="2301DA68" w:rsidR="000A0900" w:rsidRPr="001E25A8" w:rsidRDefault="000A0900" w:rsidP="0038312C">
      <w:pPr>
        <w:pStyle w:val="FootnoteText"/>
        <w:spacing w:before="60" w:after="60"/>
        <w:jc w:val="both"/>
      </w:pPr>
      <w:r w:rsidRPr="001E25A8">
        <w:rPr>
          <w:rStyle w:val="FootnoteReference"/>
        </w:rPr>
        <w:footnoteRef/>
      </w:r>
      <w:r w:rsidRPr="001E25A8">
        <w:t xml:space="preserve"> </w:t>
      </w:r>
      <w:r w:rsidRPr="001E25A8">
        <w:rPr>
          <w:i/>
        </w:rPr>
        <w:t>Declaration of the United Nations Conference on the Human Environment</w:t>
      </w:r>
      <w:r w:rsidRPr="001E25A8">
        <w:t>, adopted in Stockholm, 16 June 1972, Principle 1.</w:t>
      </w:r>
    </w:p>
  </w:footnote>
  <w:footnote w:id="31">
    <w:p w14:paraId="0FC4DAC1" w14:textId="2CBB098C" w:rsidR="000A0900" w:rsidRPr="001E25A8" w:rsidRDefault="000A0900" w:rsidP="0038312C">
      <w:pPr>
        <w:pStyle w:val="FootnoteText"/>
        <w:spacing w:before="60" w:after="60"/>
        <w:jc w:val="both"/>
      </w:pPr>
      <w:r w:rsidRPr="001E25A8">
        <w:rPr>
          <w:rStyle w:val="FootnoteReference"/>
        </w:rPr>
        <w:footnoteRef/>
      </w:r>
      <w:r w:rsidRPr="001E25A8">
        <w:t xml:space="preserve"> </w:t>
      </w:r>
      <w:r w:rsidRPr="001E25A8">
        <w:rPr>
          <w:i/>
        </w:rPr>
        <w:t>Rio Declaration on Environment and Development</w:t>
      </w:r>
      <w:r w:rsidRPr="001E25A8">
        <w:t>, adopted in Rio de Janeiro, 03 to 14 June 1992, Principle 23.</w:t>
      </w:r>
    </w:p>
  </w:footnote>
  <w:footnote w:id="32">
    <w:p w14:paraId="0B33977F" w14:textId="63AF910B" w:rsidR="000A0900" w:rsidRPr="001E25A8" w:rsidRDefault="000A0900" w:rsidP="0038312C">
      <w:pPr>
        <w:pStyle w:val="FootnoteText"/>
        <w:spacing w:before="60" w:after="60"/>
        <w:jc w:val="both"/>
      </w:pPr>
      <w:r w:rsidRPr="001E25A8">
        <w:rPr>
          <w:rStyle w:val="FootnoteReference"/>
        </w:rPr>
        <w:footnoteRef/>
      </w:r>
      <w:r w:rsidRPr="001E25A8">
        <w:t xml:space="preserve"> </w:t>
      </w:r>
      <w:r w:rsidRPr="001E25A8">
        <w:rPr>
          <w:i/>
        </w:rPr>
        <w:t>Convention (IV) respecting the Laws and Customs of War on Land and its Annex: Regulations concerning the Laws and Customs of War on Land</w:t>
      </w:r>
      <w:r w:rsidRPr="001E25A8">
        <w:t>, The Hague, 18 October 1907, Article 55.</w:t>
      </w:r>
    </w:p>
  </w:footnote>
  <w:footnote w:id="33">
    <w:p w14:paraId="6DA5A7DD" w14:textId="77777777" w:rsidR="000A0900" w:rsidRDefault="000A0900" w:rsidP="009054F5">
      <w:pPr>
        <w:spacing w:before="60" w:after="0" w:line="240" w:lineRule="auto"/>
        <w:jc w:val="both"/>
        <w:rPr>
          <w:rFonts w:ascii="Calibri" w:hAnsi="Calibri"/>
          <w:sz w:val="20"/>
          <w:szCs w:val="20"/>
          <w:lang w:val="en-GB"/>
        </w:rPr>
      </w:pPr>
      <w:r w:rsidRPr="001E25A8">
        <w:rPr>
          <w:rStyle w:val="FootnoteReference"/>
          <w:rFonts w:ascii="Calibri" w:hAnsi="Calibri"/>
          <w:sz w:val="20"/>
          <w:szCs w:val="20"/>
          <w:lang w:val="en-GB"/>
        </w:rPr>
        <w:footnoteRef/>
      </w:r>
      <w:r w:rsidRPr="001E25A8">
        <w:rPr>
          <w:rFonts w:ascii="Calibri" w:hAnsi="Calibri"/>
          <w:sz w:val="20"/>
          <w:szCs w:val="20"/>
          <w:lang w:val="en-GB"/>
        </w:rPr>
        <w:t xml:space="preserve"> For a legal analysis, </w:t>
      </w:r>
      <w:r w:rsidRPr="00763F36">
        <w:rPr>
          <w:rFonts w:ascii="Calibri" w:hAnsi="Calibri"/>
          <w:i/>
          <w:sz w:val="20"/>
          <w:szCs w:val="20"/>
          <w:lang w:val="en-GB"/>
        </w:rPr>
        <w:t>see</w:t>
      </w:r>
      <w:r w:rsidRPr="001E25A8">
        <w:rPr>
          <w:rFonts w:ascii="Calibri" w:hAnsi="Calibri"/>
          <w:sz w:val="20"/>
          <w:szCs w:val="20"/>
          <w:lang w:val="en-GB"/>
        </w:rPr>
        <w:t xml:space="preserve"> Al-Haq, “</w:t>
      </w:r>
      <w:r w:rsidRPr="001E25A8">
        <w:rPr>
          <w:rFonts w:ascii="Calibri" w:eastAsia="Times New Roman" w:hAnsi="Calibri" w:cstheme="majorBidi"/>
          <w:color w:val="000000"/>
          <w:sz w:val="20"/>
          <w:szCs w:val="20"/>
          <w:lang w:val="en-GB"/>
        </w:rPr>
        <w:t>An Environmental Approach: The Protection of Natural Resources in the Occupied Palestinian Territory</w:t>
      </w:r>
      <w:r w:rsidRPr="001E25A8">
        <w:rPr>
          <w:rFonts w:ascii="Calibri" w:hAnsi="Calibri"/>
          <w:sz w:val="20"/>
          <w:szCs w:val="20"/>
          <w:lang w:val="en-GB"/>
        </w:rPr>
        <w:t>” (2017), available at:</w:t>
      </w:r>
    </w:p>
    <w:p w14:paraId="37D479D6" w14:textId="7611DC79" w:rsidR="000A0900" w:rsidRPr="001E25A8" w:rsidRDefault="00896149" w:rsidP="009054F5">
      <w:pPr>
        <w:spacing w:after="60" w:line="240" w:lineRule="auto"/>
        <w:jc w:val="both"/>
        <w:rPr>
          <w:rFonts w:ascii="Calibri" w:eastAsia="Times New Roman" w:hAnsi="Calibri" w:cstheme="majorBidi"/>
          <w:color w:val="000000"/>
          <w:sz w:val="20"/>
          <w:szCs w:val="20"/>
          <w:lang w:val="en-GB"/>
        </w:rPr>
      </w:pPr>
      <w:hyperlink r:id="rId2" w:history="1">
        <w:r w:rsidR="000A0900" w:rsidRPr="00915C27">
          <w:rPr>
            <w:rStyle w:val="Hyperlink"/>
            <w:rFonts w:ascii="Calibri" w:hAnsi="Calibri"/>
            <w:sz w:val="20"/>
            <w:szCs w:val="20"/>
            <w:lang w:val="en-GB"/>
          </w:rPr>
          <w:t>http://www.alhaq.org/publications/publications-index/item/an-environmental-approach-the-protection-of-natural-resources-in-the-occupied-palestinian-territory</w:t>
        </w:r>
      </w:hyperlink>
      <w:r w:rsidR="000A0900">
        <w:rPr>
          <w:rFonts w:ascii="Calibri" w:hAnsi="Calibri"/>
          <w:sz w:val="20"/>
          <w:szCs w:val="20"/>
          <w:lang w:val="en-GB"/>
        </w:rPr>
        <w:t>.</w:t>
      </w:r>
    </w:p>
  </w:footnote>
  <w:footnote w:id="34">
    <w:p w14:paraId="61B7AC63" w14:textId="66D0608D" w:rsidR="000A0900" w:rsidRPr="001E25A8" w:rsidRDefault="000A0900" w:rsidP="0038312C">
      <w:pPr>
        <w:pStyle w:val="FootnoteText"/>
        <w:spacing w:before="60" w:after="60"/>
        <w:jc w:val="both"/>
      </w:pPr>
      <w:r w:rsidRPr="001E25A8">
        <w:rPr>
          <w:rStyle w:val="FootnoteReference"/>
        </w:rPr>
        <w:footnoteRef/>
      </w:r>
      <w:r w:rsidRPr="001E25A8">
        <w:t xml:space="preserve"> </w:t>
      </w:r>
      <w:r w:rsidRPr="001E25A8">
        <w:rPr>
          <w:i/>
        </w:rPr>
        <w:t>Declaration of the United Nations Conference on the Human Environment</w:t>
      </w:r>
      <w:r w:rsidRPr="001E25A8">
        <w:t>, adopted in Stockholm, 16 June 1972, Principle 1.</w:t>
      </w:r>
    </w:p>
  </w:footnote>
  <w:footnote w:id="35">
    <w:p w14:paraId="6DC0D2EA" w14:textId="46A2A875"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54.</w:t>
      </w:r>
    </w:p>
  </w:footnote>
  <w:footnote w:id="36">
    <w:p w14:paraId="2E0CDD76" w14:textId="63B291E2"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54.</w:t>
      </w:r>
    </w:p>
  </w:footnote>
  <w:footnote w:id="37">
    <w:p w14:paraId="672B1C38" w14:textId="77777777" w:rsidR="000A0900" w:rsidRPr="00763F36" w:rsidRDefault="000A0900" w:rsidP="0038312C">
      <w:pPr>
        <w:pStyle w:val="FootnoteText"/>
        <w:spacing w:before="60" w:after="60"/>
        <w:jc w:val="both"/>
      </w:pPr>
      <w:r w:rsidRPr="001E25A8">
        <w:rPr>
          <w:rStyle w:val="FootnoteReference"/>
        </w:rPr>
        <w:footnoteRef/>
      </w:r>
      <w:r w:rsidRPr="001E25A8">
        <w:t xml:space="preserve"> Draft General Comment 36, para. 53.</w:t>
      </w:r>
    </w:p>
  </w:footnote>
  <w:footnote w:id="38">
    <w:p w14:paraId="7BE67425" w14:textId="77777777" w:rsidR="000A0900" w:rsidRPr="00763F36" w:rsidRDefault="000A0900" w:rsidP="0038312C">
      <w:pPr>
        <w:pStyle w:val="FootnoteText"/>
        <w:spacing w:before="60" w:after="60"/>
        <w:jc w:val="both"/>
      </w:pPr>
      <w:r w:rsidRPr="001E25A8">
        <w:rPr>
          <w:rStyle w:val="FootnoteReference"/>
        </w:rPr>
        <w:footnoteRef/>
      </w:r>
      <w:r w:rsidRPr="001E25A8">
        <w:t xml:space="preserve"> William A Schabas, </w:t>
      </w:r>
      <w:r w:rsidRPr="001E25A8">
        <w:rPr>
          <w:i/>
        </w:rPr>
        <w:t>The Abolition of the Death Penalty in International Law</w:t>
      </w:r>
      <w:r w:rsidRPr="001E25A8">
        <w:t xml:space="preserve"> (3rd edn, Cambridge University Press 2002), p. 135.</w:t>
      </w:r>
    </w:p>
  </w:footnote>
  <w:footnote w:id="39">
    <w:p w14:paraId="512B7EE3" w14:textId="77777777" w:rsidR="000A0900" w:rsidRPr="001E25A8" w:rsidRDefault="000A0900" w:rsidP="0038312C">
      <w:pPr>
        <w:pStyle w:val="FootnoteText"/>
        <w:spacing w:before="60" w:after="60"/>
        <w:jc w:val="both"/>
      </w:pPr>
      <w:r w:rsidRPr="001E25A8">
        <w:rPr>
          <w:rStyle w:val="FootnoteReference"/>
        </w:rPr>
        <w:footnoteRef/>
      </w:r>
      <w:r w:rsidRPr="001E25A8">
        <w:t xml:space="preserve"> Draft General Comment 36, para. 31.</w:t>
      </w:r>
    </w:p>
  </w:footnote>
  <w:footnote w:id="40">
    <w:p w14:paraId="243A5E3A" w14:textId="77777777" w:rsidR="000A0900" w:rsidRPr="00763F36" w:rsidRDefault="000A0900" w:rsidP="0038312C">
      <w:pPr>
        <w:pStyle w:val="FootnoteText"/>
        <w:spacing w:before="60" w:after="60"/>
        <w:jc w:val="both"/>
      </w:pPr>
      <w:r w:rsidRPr="001E25A8">
        <w:rPr>
          <w:rStyle w:val="FootnoteReference"/>
        </w:rPr>
        <w:footnoteRef/>
      </w:r>
      <w:r w:rsidRPr="001E25A8">
        <w:t xml:space="preserve"> </w:t>
      </w:r>
      <w:r w:rsidRPr="001E25A8">
        <w:rPr>
          <w:i/>
        </w:rPr>
        <w:t>Convention (IV) relative to the Protection of Civilian Persons in Time of War</w:t>
      </w:r>
      <w:r w:rsidRPr="001E25A8">
        <w:t>, Geneva, 12 August 1949, Article 147.</w:t>
      </w:r>
    </w:p>
  </w:footnote>
  <w:footnote w:id="41">
    <w:p w14:paraId="718BF09C" w14:textId="6715B45D" w:rsidR="000A0900" w:rsidRPr="00763F36" w:rsidRDefault="000A0900" w:rsidP="0038312C">
      <w:pPr>
        <w:pStyle w:val="FootnoteText"/>
        <w:spacing w:before="60" w:after="60"/>
        <w:jc w:val="both"/>
      </w:pPr>
      <w:r w:rsidRPr="001E25A8">
        <w:rPr>
          <w:rStyle w:val="FootnoteReference"/>
        </w:rPr>
        <w:footnoteRef/>
      </w:r>
      <w:r w:rsidRPr="001E25A8">
        <w:t xml:space="preserve"> </w:t>
      </w:r>
      <w:r w:rsidRPr="00763F36">
        <w:t>Article 146 of the Fourth Geneva Convention reads in part “Each High Contracting Party shall be under the obligation to search for persons alleged to have committed, or to have ordered to be committed, such grave breaches, and shall bring such persons, regardless of their nationality, before its own courts.”</w:t>
      </w:r>
    </w:p>
  </w:footnote>
  <w:footnote w:id="42">
    <w:p w14:paraId="37F6F688" w14:textId="26821E1D" w:rsidR="000A0900" w:rsidRPr="001E25A8" w:rsidRDefault="000A0900" w:rsidP="0038312C">
      <w:pPr>
        <w:pStyle w:val="FootnoteText"/>
        <w:spacing w:before="60" w:after="60"/>
        <w:jc w:val="both"/>
      </w:pPr>
      <w:r w:rsidRPr="001E25A8">
        <w:rPr>
          <w:rStyle w:val="FootnoteReference"/>
        </w:rPr>
        <w:footnoteRef/>
      </w:r>
      <w:r w:rsidRPr="001E25A8">
        <w:t xml:space="preserve"> States parties to the Geneva Conventions have a responsibility under Common Article 1 to ensure respect for the Conventions at all times. Articles of the Geneva Conventions are related to the right to life, including articles prohibiting wilful killing and torture.</w:t>
      </w:r>
    </w:p>
  </w:footnote>
  <w:footnote w:id="43">
    <w:p w14:paraId="15D44E6B" w14:textId="280AE3AB" w:rsidR="000A0900" w:rsidRPr="00763F36" w:rsidRDefault="000A0900" w:rsidP="0038312C">
      <w:pPr>
        <w:pStyle w:val="FootnoteText"/>
        <w:spacing w:before="60" w:after="60"/>
        <w:jc w:val="both"/>
      </w:pPr>
      <w:r w:rsidRPr="001E25A8">
        <w:rPr>
          <w:rStyle w:val="FootnoteReference"/>
        </w:rPr>
        <w:footnoteRef/>
      </w:r>
      <w:r w:rsidRPr="001E25A8">
        <w:t xml:space="preserve"> </w:t>
      </w:r>
      <w:r w:rsidRPr="00763F36">
        <w:t>This includes enacting “any legislation necessary to provide effective penal sanctions for persons committing, or ordering to be committed” or searching “for persons alleged to have committed, or to have ordered to be committed, such grave breaches,” and “[bringing] such persons, regardless of their nationality, before its own courts.”</w:t>
      </w:r>
    </w:p>
  </w:footnote>
  <w:footnote w:id="44">
    <w:p w14:paraId="6F2260F9" w14:textId="6A585D5B" w:rsidR="000A0900" w:rsidRPr="001E25A8" w:rsidRDefault="000A0900" w:rsidP="0038312C">
      <w:pPr>
        <w:pStyle w:val="FootnoteText"/>
        <w:spacing w:before="60" w:after="60"/>
        <w:jc w:val="both"/>
      </w:pPr>
      <w:r w:rsidRPr="001E25A8">
        <w:rPr>
          <w:rStyle w:val="FootnoteReference"/>
        </w:rPr>
        <w:footnoteRef/>
      </w:r>
      <w:r w:rsidRPr="001E25A8">
        <w:t xml:space="preserve"> </w:t>
      </w:r>
      <w:r>
        <w:t xml:space="preserve">UN </w:t>
      </w:r>
      <w:r w:rsidRPr="001E25A8">
        <w:t>General Assembly</w:t>
      </w:r>
      <w:r>
        <w:t>,</w:t>
      </w:r>
      <w:r w:rsidRPr="001E25A8">
        <w:t xml:space="preserve"> Resolution 60/1, World Summit Outcome, 16 September 2005, para. 138.</w:t>
      </w:r>
    </w:p>
  </w:footnote>
  <w:footnote w:id="45">
    <w:p w14:paraId="4B7E8E81" w14:textId="5DF22AAA" w:rsidR="000A0900" w:rsidRPr="001E25A8" w:rsidRDefault="000A0900" w:rsidP="0038312C">
      <w:pPr>
        <w:pStyle w:val="FootnoteText"/>
        <w:spacing w:before="60" w:after="60"/>
        <w:jc w:val="both"/>
      </w:pPr>
      <w:r w:rsidRPr="001E25A8">
        <w:rPr>
          <w:rStyle w:val="FootnoteReference"/>
        </w:rPr>
        <w:footnoteRef/>
      </w:r>
      <w:r w:rsidRPr="001E25A8">
        <w:t xml:space="preserve"> </w:t>
      </w:r>
      <w:r w:rsidRPr="00763F36">
        <w:t xml:space="preserve">The report went on to note: “[u]nclear, imprecise or overly broad definitions can be used to target civil society, silence human rights defenders, bloggers and journalists, and criminalize peaceful activities in defence of minority, religious, labour and political rights.” </w:t>
      </w:r>
      <w:r w:rsidRPr="001E25A8">
        <w:t>Report of the Special Rapporteur on the promotion and protection of human rights and fundamental freedoms while countering terrorism, UN Doc A/70/371, 18 September 2015, para. 14.</w:t>
      </w:r>
    </w:p>
  </w:footnote>
  <w:footnote w:id="46">
    <w:p w14:paraId="3C634E7D" w14:textId="15FF8263" w:rsidR="000A0900" w:rsidRPr="00763F36" w:rsidRDefault="000A0900" w:rsidP="0038312C">
      <w:pPr>
        <w:pStyle w:val="FootnoteText"/>
        <w:spacing w:before="60" w:after="60"/>
        <w:jc w:val="both"/>
      </w:pPr>
      <w:r w:rsidRPr="001E25A8">
        <w:rPr>
          <w:rStyle w:val="FootnoteReference"/>
        </w:rPr>
        <w:footnoteRef/>
      </w:r>
      <w:r w:rsidRPr="001E25A8">
        <w:t xml:space="preserve"> I</w:t>
      </w:r>
      <w:r w:rsidRPr="00763F36">
        <w:t xml:space="preserve">n 2003, the </w:t>
      </w:r>
      <w:r>
        <w:t>UN</w:t>
      </w:r>
      <w:r w:rsidRPr="00763F36">
        <w:t xml:space="preserve"> Human Rights Committee noted its concern regarding “the vagueness of definitions in Israeli counter-terrorism legislation and regulations which, although their application is subject to judicial review appear to run counter to the principle of legality in several aspects owing to the ambiguous wording of the provisions and the use of several evidentiary presumptions to the detriment of the defendant.” </w:t>
      </w:r>
      <w:r w:rsidRPr="00763F36">
        <w:rPr>
          <w:i/>
          <w:iCs/>
        </w:rPr>
        <w:t xml:space="preserve">See </w:t>
      </w:r>
      <w:r w:rsidRPr="001E25A8">
        <w:t xml:space="preserve">Concluding Observations: </w:t>
      </w:r>
      <w:r>
        <w:t xml:space="preserve">Israel (2003), </w:t>
      </w:r>
      <w:r w:rsidRPr="00A75B92">
        <w:t>para. 14</w:t>
      </w:r>
      <w:r w:rsidRPr="00A75B92">
        <w:rPr>
          <w:iCs/>
        </w:rPr>
        <w:t>.</w:t>
      </w:r>
      <w:r w:rsidRPr="00A75B92">
        <w:rPr>
          <w:i/>
          <w:iCs/>
        </w:rPr>
        <w:t xml:space="preserve"> </w:t>
      </w:r>
      <w:r w:rsidRPr="00A75B92">
        <w:t xml:space="preserve">These concerns were reiterated in a 2007 report by the </w:t>
      </w:r>
      <w:r>
        <w:t>UN</w:t>
      </w:r>
      <w:r w:rsidRPr="00A75B92">
        <w:t xml:space="preserve"> Special Rapporteur on the promotion and protection of human rights and fundamental freedoms while countering terrorism. </w:t>
      </w:r>
      <w:r w:rsidRPr="00A75B92">
        <w:rPr>
          <w:i/>
          <w:iCs/>
        </w:rPr>
        <w:t xml:space="preserve">See </w:t>
      </w:r>
      <w:r w:rsidRPr="00A75B92">
        <w:t>Report of the Special Rapporteur on the promotion and protection of human rights and fundamental freedoms while countering terrorism, Martin Scheinin, Mission to Israel, including visit to Occupied Palestinian Territory, UN Doc A/ HRC/6/17/Add.4,</w:t>
      </w:r>
      <w:r>
        <w:t xml:space="preserve"> </w:t>
      </w:r>
      <w:r w:rsidRPr="00A75B92">
        <w:t>16 November 2007</w:t>
      </w:r>
      <w:r>
        <w:t>,</w:t>
      </w:r>
      <w:r w:rsidRPr="00A75B92">
        <w:t xml:space="preserve"> para. 16</w:t>
      </w:r>
      <w:r>
        <w:t>.</w:t>
      </w:r>
    </w:p>
  </w:footnote>
  <w:footnote w:id="47">
    <w:p w14:paraId="7D22506B" w14:textId="0930CA4A" w:rsidR="000A0900" w:rsidRPr="00763F36" w:rsidRDefault="000A0900" w:rsidP="0038312C">
      <w:pPr>
        <w:pStyle w:val="FootnoteText"/>
        <w:spacing w:before="60" w:after="60"/>
        <w:jc w:val="both"/>
      </w:pPr>
      <w:r w:rsidRPr="001E25A8">
        <w:rPr>
          <w:rStyle w:val="FootnoteReference"/>
        </w:rPr>
        <w:footnoteRef/>
      </w:r>
      <w:r w:rsidRPr="001E25A8">
        <w:t xml:space="preserve"> Draft General Comment 36, para. </w:t>
      </w:r>
      <w:r w:rsidRPr="001E25A8">
        <w:rPr>
          <w:rFonts w:asciiTheme="minorHAnsi" w:hAnsiTheme="minorHAnsi" w:cstheme="minorHAnsi"/>
        </w:rPr>
        <w:t>12.</w:t>
      </w:r>
    </w:p>
  </w:footnote>
  <w:footnote w:id="48">
    <w:p w14:paraId="68629141" w14:textId="412F8CC2" w:rsidR="000A0900" w:rsidRPr="00763F36" w:rsidRDefault="000A0900" w:rsidP="0038312C">
      <w:pPr>
        <w:pStyle w:val="FootnoteText"/>
        <w:spacing w:before="60" w:after="60"/>
        <w:jc w:val="both"/>
      </w:pPr>
      <w:r w:rsidRPr="001E25A8">
        <w:rPr>
          <w:rStyle w:val="FootnoteReference"/>
        </w:rPr>
        <w:footnoteRef/>
      </w:r>
      <w:r w:rsidRPr="001E25A8">
        <w:t xml:space="preserve"> </w:t>
      </w:r>
      <w:r w:rsidRPr="00763F36">
        <w:t>International Law Commission, Responsibility of States for Internationally Wrongful Acts (2001), Article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9C15" w14:textId="480F22FA" w:rsidR="000A0900" w:rsidRPr="00F71B9E" w:rsidRDefault="000A0900" w:rsidP="00563AAA">
    <w:pPr>
      <w:pStyle w:val="Header"/>
      <w:jc w:val="right"/>
      <w:rPr>
        <w:b/>
        <w:sz w:val="24"/>
        <w:szCs w:val="24"/>
      </w:rPr>
    </w:pPr>
    <w:r w:rsidRPr="00A81D69">
      <w:rPr>
        <w:noProof/>
        <w:lang w:val="en-GB" w:eastAsia="en-GB"/>
      </w:rPr>
      <w:drawing>
        <wp:inline distT="0" distB="0" distL="0" distR="0" wp14:anchorId="07BDB4A1" wp14:editId="4C676EBB">
          <wp:extent cx="530603" cy="523832"/>
          <wp:effectExtent l="0" t="0" r="3175" b="10160"/>
          <wp:docPr id="1" name="Picture 1" descr="C:\Users\Acer\Desktop\A4 Templat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A4 Template .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029" t="156" r="10806" b="90513"/>
                  <a:stretch/>
                </pic:blipFill>
                <pic:spPr bwMode="auto">
                  <a:xfrm>
                    <a:off x="0" y="0"/>
                    <a:ext cx="570291" cy="563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351AAEEA" w14:textId="77777777" w:rsidR="000A0900" w:rsidRPr="00F71B9E" w:rsidRDefault="000A0900" w:rsidP="00CA39FC">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8BFE" w14:textId="4BA3AB74" w:rsidR="000A0900" w:rsidRPr="00EF1DB3" w:rsidRDefault="000A0900" w:rsidP="00E15B26">
    <w:pPr>
      <w:pStyle w:val="Header"/>
      <w:spacing w:before="240" w:after="240"/>
      <w:jc w:val="center"/>
      <w:rPr>
        <w:sz w:val="24"/>
        <w:szCs w:val="24"/>
        <w:lang w:val="en-GB"/>
      </w:rPr>
    </w:pPr>
    <w:r w:rsidRPr="00A81D69">
      <w:rPr>
        <w:noProof/>
        <w:lang w:val="en-GB" w:eastAsia="en-GB"/>
      </w:rPr>
      <w:drawing>
        <wp:inline distT="0" distB="0" distL="0" distR="0" wp14:anchorId="17D08557" wp14:editId="068AC579">
          <wp:extent cx="5009364" cy="993140"/>
          <wp:effectExtent l="0" t="0" r="0" b="0"/>
          <wp:docPr id="9" name="Picture 9" descr="C:\Users\Acer\Desktop\A4 Templat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A4 Template .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469" t="156" r="10956" b="88660"/>
                  <a:stretch/>
                </pic:blipFill>
                <pic:spPr bwMode="auto">
                  <a:xfrm>
                    <a:off x="0" y="0"/>
                    <a:ext cx="5671511" cy="112441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37DBF944" w14:textId="683A0126" w:rsidR="000A0900" w:rsidRPr="00B8097D" w:rsidRDefault="000A0900" w:rsidP="0031754C">
    <w:pPr>
      <w:pStyle w:val="Header"/>
      <w:spacing w:before="240" w:after="240"/>
      <w:jc w:val="center"/>
      <w:rPr>
        <w:b/>
        <w:sz w:val="24"/>
        <w:szCs w:val="24"/>
        <w:lang w:val="en-GB"/>
      </w:rPr>
    </w:pPr>
    <w:r w:rsidRPr="00B8097D">
      <w:rPr>
        <w:b/>
        <w:sz w:val="24"/>
        <w:szCs w:val="24"/>
        <w:lang w:val="en-GB"/>
      </w:rPr>
      <w:t>AL-HAQ SUBMISSION</w:t>
    </w:r>
  </w:p>
  <w:p w14:paraId="2D2D5B2D" w14:textId="0CF68431" w:rsidR="000A0900" w:rsidRDefault="000A0900" w:rsidP="0031754C">
    <w:pPr>
      <w:pStyle w:val="Header"/>
      <w:spacing w:before="240" w:after="240"/>
      <w:jc w:val="center"/>
      <w:rPr>
        <w:sz w:val="24"/>
        <w:szCs w:val="24"/>
        <w:lang w:val="en-GB"/>
      </w:rPr>
    </w:pPr>
    <w:r w:rsidRPr="00A75F05">
      <w:rPr>
        <w:sz w:val="24"/>
        <w:szCs w:val="24"/>
        <w:lang w:val="en-GB"/>
      </w:rPr>
      <w:t>UN Human Rights Committee on Draft General Comment No. 36</w:t>
    </w:r>
    <w:r w:rsidRPr="00A75F05">
      <w:rPr>
        <w:sz w:val="24"/>
        <w:szCs w:val="24"/>
        <w:lang w:val="en-GB"/>
      </w:rPr>
      <w:br/>
      <w:t>Article 6 of the International Covenant on Civil and Political Rights: Right to life</w:t>
    </w:r>
  </w:p>
  <w:p w14:paraId="3BF92BAF" w14:textId="610DA23A" w:rsidR="0031754C" w:rsidRPr="00E15B26" w:rsidRDefault="0031754C" w:rsidP="0031754C">
    <w:pPr>
      <w:pStyle w:val="Header"/>
      <w:spacing w:before="240" w:after="240"/>
      <w:jc w:val="center"/>
      <w:rPr>
        <w:b/>
        <w:sz w:val="24"/>
        <w:szCs w:val="24"/>
        <w:lang w:val="en-GB"/>
      </w:rPr>
    </w:pPr>
    <w:r>
      <w:rPr>
        <w:sz w:val="24"/>
        <w:szCs w:val="24"/>
        <w:lang w:val="en-GB"/>
      </w:rPr>
      <w:t>06 October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71CC"/>
    <w:multiLevelType w:val="multilevel"/>
    <w:tmpl w:val="9CA4B51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096E13"/>
    <w:multiLevelType w:val="multilevel"/>
    <w:tmpl w:val="3BDAAE94"/>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F957F4"/>
    <w:multiLevelType w:val="multilevel"/>
    <w:tmpl w:val="87B8233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755808"/>
    <w:multiLevelType w:val="hybridMultilevel"/>
    <w:tmpl w:val="9A9A6C02"/>
    <w:lvl w:ilvl="0" w:tplc="428A1376">
      <w:start w:val="1"/>
      <w:numFmt w:val="decimal"/>
      <w:pStyle w:val="Numbered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D0E"/>
    <w:multiLevelType w:val="multilevel"/>
    <w:tmpl w:val="BAE0A72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9163DE"/>
    <w:multiLevelType w:val="hybridMultilevel"/>
    <w:tmpl w:val="838C36F0"/>
    <w:lvl w:ilvl="0" w:tplc="0C14ACAA">
      <w:start w:val="1"/>
      <w:numFmt w:val="lowerRoman"/>
      <w:pStyle w:val="Heading2"/>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045A7"/>
    <w:multiLevelType w:val="hybridMultilevel"/>
    <w:tmpl w:val="7FE2664E"/>
    <w:lvl w:ilvl="0" w:tplc="0409000F">
      <w:start w:val="1"/>
      <w:numFmt w:val="decimal"/>
      <w:lvlText w:val="%1."/>
      <w:lvlJc w:val="left"/>
      <w:pPr>
        <w:ind w:left="720" w:hanging="360"/>
      </w:pPr>
    </w:lvl>
    <w:lvl w:ilvl="1" w:tplc="549EAE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45825"/>
    <w:multiLevelType w:val="multilevel"/>
    <w:tmpl w:val="AA424AE6"/>
    <w:lvl w:ilvl="0">
      <w:start w:val="1"/>
      <w:numFmt w:val="upperRoman"/>
      <w:lvlText w:val="%1."/>
      <w:lvlJc w:val="left"/>
      <w:pPr>
        <w:ind w:left="360" w:hanging="360"/>
      </w:pPr>
      <w:rPr>
        <w:rFonts w:hint="default"/>
      </w:rPr>
    </w:lvl>
    <w:lvl w:ilvl="1">
      <w:start w:val="1"/>
      <w:numFmt w:val="decimal"/>
      <w:isLgl/>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F757E"/>
    <w:multiLevelType w:val="hybridMultilevel"/>
    <w:tmpl w:val="768A2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77C8B"/>
    <w:multiLevelType w:val="multilevel"/>
    <w:tmpl w:val="87B8233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F10E96"/>
    <w:multiLevelType w:val="hybridMultilevel"/>
    <w:tmpl w:val="956A8E1E"/>
    <w:lvl w:ilvl="0" w:tplc="A21230F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625C0"/>
    <w:multiLevelType w:val="multilevel"/>
    <w:tmpl w:val="87B8233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DB3517"/>
    <w:multiLevelType w:val="hybridMultilevel"/>
    <w:tmpl w:val="EB5602D2"/>
    <w:lvl w:ilvl="0" w:tplc="428A1376">
      <w:start w:val="1"/>
      <w:numFmt w:val="decimal"/>
      <w:lvlText w:val="%1."/>
      <w:lvlJc w:val="left"/>
      <w:pPr>
        <w:ind w:left="720" w:hanging="360"/>
      </w:pPr>
    </w:lvl>
    <w:lvl w:ilvl="1" w:tplc="142AD07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028AA"/>
    <w:multiLevelType w:val="multilevel"/>
    <w:tmpl w:val="82C095B0"/>
    <w:lvl w:ilvl="0">
      <w:start w:val="1"/>
      <w:numFmt w:val="upperRoman"/>
      <w:lvlText w:val="%1."/>
      <w:lvlJc w:val="left"/>
      <w:pPr>
        <w:ind w:left="360" w:hanging="360"/>
      </w:pPr>
      <w:rPr>
        <w:rFonts w:hint="default"/>
      </w:rPr>
    </w:lvl>
    <w:lvl w:ilvl="1">
      <w:start w:val="1"/>
      <w:numFmt w:val="decimal"/>
      <w:isLg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3D1461"/>
    <w:multiLevelType w:val="hybridMultilevel"/>
    <w:tmpl w:val="D16EE838"/>
    <w:lvl w:ilvl="0" w:tplc="0409000F">
      <w:start w:val="1"/>
      <w:numFmt w:val="decimal"/>
      <w:lvlText w:val="%1."/>
      <w:lvlJc w:val="left"/>
      <w:pPr>
        <w:ind w:left="720" w:hanging="360"/>
      </w:pPr>
    </w:lvl>
    <w:lvl w:ilvl="1" w:tplc="51A813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
  </w:num>
  <w:num w:numId="5">
    <w:abstractNumId w:val="13"/>
  </w:num>
  <w:num w:numId="6">
    <w:abstractNumId w:val="7"/>
  </w:num>
  <w:num w:numId="7">
    <w:abstractNumId w:val="9"/>
  </w:num>
  <w:num w:numId="8">
    <w:abstractNumId w:val="11"/>
  </w:num>
  <w:num w:numId="9">
    <w:abstractNumId w:val="4"/>
  </w:num>
  <w:num w:numId="10">
    <w:abstractNumId w:val="8"/>
  </w:num>
  <w:num w:numId="11">
    <w:abstractNumId w:val="0"/>
  </w:num>
  <w:num w:numId="12">
    <w:abstractNumId w:val="3"/>
  </w:num>
  <w:num w:numId="13">
    <w:abstractNumId w:val="10"/>
  </w:num>
  <w:num w:numId="14">
    <w:abstractNumId w:val="5"/>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num>
  <w:num w:numId="20">
    <w:abstractNumId w:val="5"/>
    <w:lvlOverride w:ilvl="0">
      <w:startOverride w:val="1"/>
    </w:lvlOverride>
  </w:num>
  <w:num w:numId="21">
    <w:abstractNumId w:val="5"/>
    <w:lvlOverride w:ilvl="0">
      <w:startOverride w:val="1"/>
    </w:lvlOverride>
  </w:num>
  <w:num w:numId="22">
    <w:abstractNumId w:val="12"/>
  </w:num>
  <w:num w:numId="23">
    <w:abstractNumId w:val="3"/>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F5"/>
    <w:rsid w:val="000002FF"/>
    <w:rsid w:val="00000C08"/>
    <w:rsid w:val="000011BB"/>
    <w:rsid w:val="0000216F"/>
    <w:rsid w:val="000032CA"/>
    <w:rsid w:val="000049DC"/>
    <w:rsid w:val="00004C8A"/>
    <w:rsid w:val="0001016D"/>
    <w:rsid w:val="0001063A"/>
    <w:rsid w:val="000135C6"/>
    <w:rsid w:val="00021929"/>
    <w:rsid w:val="000223D4"/>
    <w:rsid w:val="000238BB"/>
    <w:rsid w:val="000260B1"/>
    <w:rsid w:val="00026511"/>
    <w:rsid w:val="00026F5D"/>
    <w:rsid w:val="00030B75"/>
    <w:rsid w:val="00030E6C"/>
    <w:rsid w:val="00035D18"/>
    <w:rsid w:val="0004044D"/>
    <w:rsid w:val="0004119C"/>
    <w:rsid w:val="00042BEE"/>
    <w:rsid w:val="00043EB6"/>
    <w:rsid w:val="00044D99"/>
    <w:rsid w:val="000461E6"/>
    <w:rsid w:val="000464F8"/>
    <w:rsid w:val="00050127"/>
    <w:rsid w:val="00050157"/>
    <w:rsid w:val="000527E7"/>
    <w:rsid w:val="00052941"/>
    <w:rsid w:val="00053296"/>
    <w:rsid w:val="00053BFF"/>
    <w:rsid w:val="00053D99"/>
    <w:rsid w:val="00054B61"/>
    <w:rsid w:val="000552C3"/>
    <w:rsid w:val="00055A3F"/>
    <w:rsid w:val="0005767B"/>
    <w:rsid w:val="000605F1"/>
    <w:rsid w:val="00060DFF"/>
    <w:rsid w:val="0006254C"/>
    <w:rsid w:val="0006403F"/>
    <w:rsid w:val="00064F76"/>
    <w:rsid w:val="00067760"/>
    <w:rsid w:val="00070DBC"/>
    <w:rsid w:val="000713A9"/>
    <w:rsid w:val="000723FB"/>
    <w:rsid w:val="000746CA"/>
    <w:rsid w:val="000765E0"/>
    <w:rsid w:val="0007698F"/>
    <w:rsid w:val="00076D2E"/>
    <w:rsid w:val="0007736A"/>
    <w:rsid w:val="00081A36"/>
    <w:rsid w:val="00082B00"/>
    <w:rsid w:val="000852A7"/>
    <w:rsid w:val="00091B8F"/>
    <w:rsid w:val="00094790"/>
    <w:rsid w:val="0009500E"/>
    <w:rsid w:val="00095D3C"/>
    <w:rsid w:val="00097373"/>
    <w:rsid w:val="00097EA7"/>
    <w:rsid w:val="000A0900"/>
    <w:rsid w:val="000A1D1A"/>
    <w:rsid w:val="000A4155"/>
    <w:rsid w:val="000A5C29"/>
    <w:rsid w:val="000A6350"/>
    <w:rsid w:val="000A6D08"/>
    <w:rsid w:val="000B0D06"/>
    <w:rsid w:val="000B21BC"/>
    <w:rsid w:val="000B2902"/>
    <w:rsid w:val="000B73A9"/>
    <w:rsid w:val="000C0440"/>
    <w:rsid w:val="000C28C4"/>
    <w:rsid w:val="000C2A65"/>
    <w:rsid w:val="000C2FD1"/>
    <w:rsid w:val="000C3010"/>
    <w:rsid w:val="000C4880"/>
    <w:rsid w:val="000C5415"/>
    <w:rsid w:val="000C67CE"/>
    <w:rsid w:val="000D1498"/>
    <w:rsid w:val="000D22D0"/>
    <w:rsid w:val="000D291B"/>
    <w:rsid w:val="000D3431"/>
    <w:rsid w:val="000D36EC"/>
    <w:rsid w:val="000D58F7"/>
    <w:rsid w:val="000D6C4D"/>
    <w:rsid w:val="000D7ABF"/>
    <w:rsid w:val="000E05FC"/>
    <w:rsid w:val="000E46DE"/>
    <w:rsid w:val="000E634A"/>
    <w:rsid w:val="000E7FAC"/>
    <w:rsid w:val="000F19CE"/>
    <w:rsid w:val="00101082"/>
    <w:rsid w:val="00101330"/>
    <w:rsid w:val="00103E7B"/>
    <w:rsid w:val="00111D3C"/>
    <w:rsid w:val="00113B39"/>
    <w:rsid w:val="00115768"/>
    <w:rsid w:val="00115FA6"/>
    <w:rsid w:val="00116869"/>
    <w:rsid w:val="0012112E"/>
    <w:rsid w:val="001217FF"/>
    <w:rsid w:val="001231AB"/>
    <w:rsid w:val="00123DA6"/>
    <w:rsid w:val="001244FC"/>
    <w:rsid w:val="00130CEC"/>
    <w:rsid w:val="00130FB1"/>
    <w:rsid w:val="00131AAD"/>
    <w:rsid w:val="001339F1"/>
    <w:rsid w:val="00140EC9"/>
    <w:rsid w:val="0014106E"/>
    <w:rsid w:val="001410EC"/>
    <w:rsid w:val="001416DD"/>
    <w:rsid w:val="0014252A"/>
    <w:rsid w:val="0014387C"/>
    <w:rsid w:val="00145250"/>
    <w:rsid w:val="00146EBD"/>
    <w:rsid w:val="00151A79"/>
    <w:rsid w:val="001546C5"/>
    <w:rsid w:val="0015646A"/>
    <w:rsid w:val="00156EF0"/>
    <w:rsid w:val="00157B8A"/>
    <w:rsid w:val="00157BB8"/>
    <w:rsid w:val="00164227"/>
    <w:rsid w:val="001642E1"/>
    <w:rsid w:val="001658AC"/>
    <w:rsid w:val="0016614B"/>
    <w:rsid w:val="00166A43"/>
    <w:rsid w:val="001673BF"/>
    <w:rsid w:val="00170E0E"/>
    <w:rsid w:val="00171A3F"/>
    <w:rsid w:val="00173438"/>
    <w:rsid w:val="00175A16"/>
    <w:rsid w:val="001760CC"/>
    <w:rsid w:val="00176979"/>
    <w:rsid w:val="0017795F"/>
    <w:rsid w:val="001831AE"/>
    <w:rsid w:val="001835B8"/>
    <w:rsid w:val="00183B3E"/>
    <w:rsid w:val="0018488B"/>
    <w:rsid w:val="00185C3D"/>
    <w:rsid w:val="00185CB4"/>
    <w:rsid w:val="001861BA"/>
    <w:rsid w:val="0019218B"/>
    <w:rsid w:val="00193899"/>
    <w:rsid w:val="0019547C"/>
    <w:rsid w:val="00196974"/>
    <w:rsid w:val="001A0059"/>
    <w:rsid w:val="001A381B"/>
    <w:rsid w:val="001A570D"/>
    <w:rsid w:val="001A5FCF"/>
    <w:rsid w:val="001A6E25"/>
    <w:rsid w:val="001A7071"/>
    <w:rsid w:val="001B04F0"/>
    <w:rsid w:val="001B32E9"/>
    <w:rsid w:val="001B4867"/>
    <w:rsid w:val="001B7651"/>
    <w:rsid w:val="001B7963"/>
    <w:rsid w:val="001C0794"/>
    <w:rsid w:val="001C09AC"/>
    <w:rsid w:val="001C107D"/>
    <w:rsid w:val="001C1F7C"/>
    <w:rsid w:val="001C264E"/>
    <w:rsid w:val="001C4FD4"/>
    <w:rsid w:val="001C6424"/>
    <w:rsid w:val="001C6A6D"/>
    <w:rsid w:val="001D355E"/>
    <w:rsid w:val="001D39E5"/>
    <w:rsid w:val="001D3D3B"/>
    <w:rsid w:val="001D63DC"/>
    <w:rsid w:val="001D782D"/>
    <w:rsid w:val="001D7EC4"/>
    <w:rsid w:val="001E0FC9"/>
    <w:rsid w:val="001E22A3"/>
    <w:rsid w:val="001E23BD"/>
    <w:rsid w:val="001E25A8"/>
    <w:rsid w:val="001E6025"/>
    <w:rsid w:val="001E640A"/>
    <w:rsid w:val="001E6BCF"/>
    <w:rsid w:val="001F13A8"/>
    <w:rsid w:val="001F2E76"/>
    <w:rsid w:val="001F3FDD"/>
    <w:rsid w:val="001F4CBD"/>
    <w:rsid w:val="001F5CF5"/>
    <w:rsid w:val="001F63CF"/>
    <w:rsid w:val="001F7C30"/>
    <w:rsid w:val="002024BB"/>
    <w:rsid w:val="0020270E"/>
    <w:rsid w:val="002034B4"/>
    <w:rsid w:val="00205375"/>
    <w:rsid w:val="00205AD5"/>
    <w:rsid w:val="00205FD8"/>
    <w:rsid w:val="0021136A"/>
    <w:rsid w:val="002120CF"/>
    <w:rsid w:val="00212ADE"/>
    <w:rsid w:val="0021413A"/>
    <w:rsid w:val="00217BCF"/>
    <w:rsid w:val="002221CA"/>
    <w:rsid w:val="002233A9"/>
    <w:rsid w:val="002247FD"/>
    <w:rsid w:val="00225D1B"/>
    <w:rsid w:val="0022726A"/>
    <w:rsid w:val="0023433D"/>
    <w:rsid w:val="00235246"/>
    <w:rsid w:val="0023555F"/>
    <w:rsid w:val="002362B1"/>
    <w:rsid w:val="002374CC"/>
    <w:rsid w:val="00237CFC"/>
    <w:rsid w:val="00241133"/>
    <w:rsid w:val="002430ED"/>
    <w:rsid w:val="00244008"/>
    <w:rsid w:val="00247F06"/>
    <w:rsid w:val="002504A5"/>
    <w:rsid w:val="00252CC0"/>
    <w:rsid w:val="0025618A"/>
    <w:rsid w:val="00261CDD"/>
    <w:rsid w:val="00264038"/>
    <w:rsid w:val="002659F8"/>
    <w:rsid w:val="00266170"/>
    <w:rsid w:val="00267069"/>
    <w:rsid w:val="0027160D"/>
    <w:rsid w:val="0027227E"/>
    <w:rsid w:val="0027235C"/>
    <w:rsid w:val="00275214"/>
    <w:rsid w:val="00276CD5"/>
    <w:rsid w:val="002771A5"/>
    <w:rsid w:val="0028116C"/>
    <w:rsid w:val="002814BA"/>
    <w:rsid w:val="002831E6"/>
    <w:rsid w:val="0028418D"/>
    <w:rsid w:val="00286431"/>
    <w:rsid w:val="002866A7"/>
    <w:rsid w:val="00290C7D"/>
    <w:rsid w:val="002926B6"/>
    <w:rsid w:val="002927C8"/>
    <w:rsid w:val="00295BCF"/>
    <w:rsid w:val="002A266F"/>
    <w:rsid w:val="002A698E"/>
    <w:rsid w:val="002B1069"/>
    <w:rsid w:val="002B1678"/>
    <w:rsid w:val="002B202B"/>
    <w:rsid w:val="002B2B12"/>
    <w:rsid w:val="002B40B4"/>
    <w:rsid w:val="002B42F8"/>
    <w:rsid w:val="002B6CB3"/>
    <w:rsid w:val="002C1A30"/>
    <w:rsid w:val="002C385A"/>
    <w:rsid w:val="002C4C80"/>
    <w:rsid w:val="002C67A5"/>
    <w:rsid w:val="002D105E"/>
    <w:rsid w:val="002D30E4"/>
    <w:rsid w:val="002D4672"/>
    <w:rsid w:val="002D573F"/>
    <w:rsid w:val="002D7820"/>
    <w:rsid w:val="002E1861"/>
    <w:rsid w:val="002E3BF4"/>
    <w:rsid w:val="002E3D7F"/>
    <w:rsid w:val="002E3DA7"/>
    <w:rsid w:val="002E41CC"/>
    <w:rsid w:val="002E4693"/>
    <w:rsid w:val="002F22BD"/>
    <w:rsid w:val="002F43AD"/>
    <w:rsid w:val="002F5370"/>
    <w:rsid w:val="002F6B18"/>
    <w:rsid w:val="0030225D"/>
    <w:rsid w:val="00304811"/>
    <w:rsid w:val="003056F6"/>
    <w:rsid w:val="003066E3"/>
    <w:rsid w:val="00306B27"/>
    <w:rsid w:val="00307476"/>
    <w:rsid w:val="003075CA"/>
    <w:rsid w:val="00307CD9"/>
    <w:rsid w:val="003114B4"/>
    <w:rsid w:val="0031754C"/>
    <w:rsid w:val="0032006C"/>
    <w:rsid w:val="003218F9"/>
    <w:rsid w:val="003226FB"/>
    <w:rsid w:val="00323FC0"/>
    <w:rsid w:val="00324099"/>
    <w:rsid w:val="00324FE9"/>
    <w:rsid w:val="003260C0"/>
    <w:rsid w:val="00327BC3"/>
    <w:rsid w:val="0033095C"/>
    <w:rsid w:val="00330EEC"/>
    <w:rsid w:val="00333D07"/>
    <w:rsid w:val="00335105"/>
    <w:rsid w:val="0033685F"/>
    <w:rsid w:val="00347A18"/>
    <w:rsid w:val="00347F17"/>
    <w:rsid w:val="00347FB7"/>
    <w:rsid w:val="00350CFD"/>
    <w:rsid w:val="00351987"/>
    <w:rsid w:val="003527CE"/>
    <w:rsid w:val="00352D5C"/>
    <w:rsid w:val="003545D9"/>
    <w:rsid w:val="00355EF7"/>
    <w:rsid w:val="003606E7"/>
    <w:rsid w:val="0036076E"/>
    <w:rsid w:val="00363378"/>
    <w:rsid w:val="00363C7B"/>
    <w:rsid w:val="00365725"/>
    <w:rsid w:val="00370505"/>
    <w:rsid w:val="00370C69"/>
    <w:rsid w:val="003722B9"/>
    <w:rsid w:val="0037402C"/>
    <w:rsid w:val="00375A2B"/>
    <w:rsid w:val="00380594"/>
    <w:rsid w:val="00380B5F"/>
    <w:rsid w:val="003814FB"/>
    <w:rsid w:val="00382E70"/>
    <w:rsid w:val="0038312C"/>
    <w:rsid w:val="00383675"/>
    <w:rsid w:val="00385636"/>
    <w:rsid w:val="00391E8D"/>
    <w:rsid w:val="00392350"/>
    <w:rsid w:val="0039238D"/>
    <w:rsid w:val="00395094"/>
    <w:rsid w:val="0039592E"/>
    <w:rsid w:val="0039656A"/>
    <w:rsid w:val="00397349"/>
    <w:rsid w:val="003A02D8"/>
    <w:rsid w:val="003A38ED"/>
    <w:rsid w:val="003A5E96"/>
    <w:rsid w:val="003B0629"/>
    <w:rsid w:val="003B1D92"/>
    <w:rsid w:val="003B5F9D"/>
    <w:rsid w:val="003B60FE"/>
    <w:rsid w:val="003B75F5"/>
    <w:rsid w:val="003C101B"/>
    <w:rsid w:val="003C154B"/>
    <w:rsid w:val="003C1C70"/>
    <w:rsid w:val="003C3BE9"/>
    <w:rsid w:val="003C65F6"/>
    <w:rsid w:val="003D0B39"/>
    <w:rsid w:val="003D18E7"/>
    <w:rsid w:val="003D386C"/>
    <w:rsid w:val="003D3CF1"/>
    <w:rsid w:val="003D43DB"/>
    <w:rsid w:val="003D57D8"/>
    <w:rsid w:val="003D5E9A"/>
    <w:rsid w:val="003D602A"/>
    <w:rsid w:val="003D618A"/>
    <w:rsid w:val="003E0005"/>
    <w:rsid w:val="003E0805"/>
    <w:rsid w:val="003E1188"/>
    <w:rsid w:val="003E278F"/>
    <w:rsid w:val="003E6995"/>
    <w:rsid w:val="003E73D4"/>
    <w:rsid w:val="003E7A47"/>
    <w:rsid w:val="003F10B9"/>
    <w:rsid w:val="003F774D"/>
    <w:rsid w:val="00401344"/>
    <w:rsid w:val="0040613B"/>
    <w:rsid w:val="00407DEF"/>
    <w:rsid w:val="00407FAB"/>
    <w:rsid w:val="00410A62"/>
    <w:rsid w:val="00411F5B"/>
    <w:rsid w:val="00412163"/>
    <w:rsid w:val="00414C42"/>
    <w:rsid w:val="00414F64"/>
    <w:rsid w:val="00417B77"/>
    <w:rsid w:val="004205E3"/>
    <w:rsid w:val="004245E7"/>
    <w:rsid w:val="00425891"/>
    <w:rsid w:val="00427915"/>
    <w:rsid w:val="004279B8"/>
    <w:rsid w:val="00427C3E"/>
    <w:rsid w:val="00431C0E"/>
    <w:rsid w:val="00436DF5"/>
    <w:rsid w:val="00437C42"/>
    <w:rsid w:val="00437CD8"/>
    <w:rsid w:val="00441819"/>
    <w:rsid w:val="004441EF"/>
    <w:rsid w:val="0044698B"/>
    <w:rsid w:val="0045012B"/>
    <w:rsid w:val="004528D4"/>
    <w:rsid w:val="00453E48"/>
    <w:rsid w:val="00455A20"/>
    <w:rsid w:val="0045674C"/>
    <w:rsid w:val="00456DF4"/>
    <w:rsid w:val="004601D8"/>
    <w:rsid w:val="0046134D"/>
    <w:rsid w:val="004624F5"/>
    <w:rsid w:val="0046297F"/>
    <w:rsid w:val="00467131"/>
    <w:rsid w:val="0046772E"/>
    <w:rsid w:val="004677E9"/>
    <w:rsid w:val="004708AB"/>
    <w:rsid w:val="00470E00"/>
    <w:rsid w:val="0047209A"/>
    <w:rsid w:val="00473E29"/>
    <w:rsid w:val="00474667"/>
    <w:rsid w:val="004774D0"/>
    <w:rsid w:val="00477DCF"/>
    <w:rsid w:val="00480483"/>
    <w:rsid w:val="004805F8"/>
    <w:rsid w:val="004807E8"/>
    <w:rsid w:val="00482864"/>
    <w:rsid w:val="00483F79"/>
    <w:rsid w:val="004916D0"/>
    <w:rsid w:val="0049214B"/>
    <w:rsid w:val="00493B2A"/>
    <w:rsid w:val="00493B98"/>
    <w:rsid w:val="0049421E"/>
    <w:rsid w:val="004956D1"/>
    <w:rsid w:val="004976A8"/>
    <w:rsid w:val="004977FB"/>
    <w:rsid w:val="004A0058"/>
    <w:rsid w:val="004A0A53"/>
    <w:rsid w:val="004A0D68"/>
    <w:rsid w:val="004A12D8"/>
    <w:rsid w:val="004A29D8"/>
    <w:rsid w:val="004A2C44"/>
    <w:rsid w:val="004A4C9A"/>
    <w:rsid w:val="004A611A"/>
    <w:rsid w:val="004B1EFA"/>
    <w:rsid w:val="004B2150"/>
    <w:rsid w:val="004B33A0"/>
    <w:rsid w:val="004B54AF"/>
    <w:rsid w:val="004B5557"/>
    <w:rsid w:val="004B5AFA"/>
    <w:rsid w:val="004B60CB"/>
    <w:rsid w:val="004B698B"/>
    <w:rsid w:val="004C180D"/>
    <w:rsid w:val="004C3E1A"/>
    <w:rsid w:val="004C6628"/>
    <w:rsid w:val="004C6EC8"/>
    <w:rsid w:val="004D1B17"/>
    <w:rsid w:val="004D3973"/>
    <w:rsid w:val="004D5D35"/>
    <w:rsid w:val="004E2290"/>
    <w:rsid w:val="004E2569"/>
    <w:rsid w:val="004E3854"/>
    <w:rsid w:val="004E4F17"/>
    <w:rsid w:val="004E5B83"/>
    <w:rsid w:val="004E6651"/>
    <w:rsid w:val="004E6D8B"/>
    <w:rsid w:val="004E7AAC"/>
    <w:rsid w:val="004F0F01"/>
    <w:rsid w:val="004F1208"/>
    <w:rsid w:val="004F17F3"/>
    <w:rsid w:val="004F1CDA"/>
    <w:rsid w:val="004F22CE"/>
    <w:rsid w:val="004F2CDD"/>
    <w:rsid w:val="004F31F0"/>
    <w:rsid w:val="004F7323"/>
    <w:rsid w:val="00501526"/>
    <w:rsid w:val="00502D49"/>
    <w:rsid w:val="00504288"/>
    <w:rsid w:val="005069B2"/>
    <w:rsid w:val="00506B31"/>
    <w:rsid w:val="00511F70"/>
    <w:rsid w:val="00512D2A"/>
    <w:rsid w:val="00513E16"/>
    <w:rsid w:val="00515EDF"/>
    <w:rsid w:val="00517178"/>
    <w:rsid w:val="00520F5E"/>
    <w:rsid w:val="00522CF5"/>
    <w:rsid w:val="005230AE"/>
    <w:rsid w:val="00525466"/>
    <w:rsid w:val="00525C74"/>
    <w:rsid w:val="0053000D"/>
    <w:rsid w:val="00533882"/>
    <w:rsid w:val="00534624"/>
    <w:rsid w:val="00534DD5"/>
    <w:rsid w:val="005356BD"/>
    <w:rsid w:val="00535FE5"/>
    <w:rsid w:val="005360AB"/>
    <w:rsid w:val="0053691E"/>
    <w:rsid w:val="00537175"/>
    <w:rsid w:val="0053787A"/>
    <w:rsid w:val="00541076"/>
    <w:rsid w:val="00541837"/>
    <w:rsid w:val="0054208C"/>
    <w:rsid w:val="00542BE4"/>
    <w:rsid w:val="005451B7"/>
    <w:rsid w:val="00547592"/>
    <w:rsid w:val="00550918"/>
    <w:rsid w:val="00550C03"/>
    <w:rsid w:val="005512C8"/>
    <w:rsid w:val="00551E0D"/>
    <w:rsid w:val="00554FD2"/>
    <w:rsid w:val="005553C7"/>
    <w:rsid w:val="00557218"/>
    <w:rsid w:val="00557957"/>
    <w:rsid w:val="00560074"/>
    <w:rsid w:val="005609CB"/>
    <w:rsid w:val="0056181E"/>
    <w:rsid w:val="00563AAA"/>
    <w:rsid w:val="00563C8A"/>
    <w:rsid w:val="00563FF8"/>
    <w:rsid w:val="00564331"/>
    <w:rsid w:val="005653BF"/>
    <w:rsid w:val="005661C0"/>
    <w:rsid w:val="00566BF6"/>
    <w:rsid w:val="00567B60"/>
    <w:rsid w:val="00570AB0"/>
    <w:rsid w:val="00571A71"/>
    <w:rsid w:val="0057251D"/>
    <w:rsid w:val="00572582"/>
    <w:rsid w:val="00572DBE"/>
    <w:rsid w:val="00573CBC"/>
    <w:rsid w:val="005756F3"/>
    <w:rsid w:val="00577F6C"/>
    <w:rsid w:val="00580C39"/>
    <w:rsid w:val="005833EE"/>
    <w:rsid w:val="0058404D"/>
    <w:rsid w:val="005851FD"/>
    <w:rsid w:val="00585876"/>
    <w:rsid w:val="005860E1"/>
    <w:rsid w:val="005869CA"/>
    <w:rsid w:val="00586BCA"/>
    <w:rsid w:val="00587B79"/>
    <w:rsid w:val="005A0B84"/>
    <w:rsid w:val="005A1A54"/>
    <w:rsid w:val="005A53C9"/>
    <w:rsid w:val="005A5C39"/>
    <w:rsid w:val="005B3286"/>
    <w:rsid w:val="005B4E8E"/>
    <w:rsid w:val="005B6482"/>
    <w:rsid w:val="005C0BE9"/>
    <w:rsid w:val="005C0CF9"/>
    <w:rsid w:val="005C1922"/>
    <w:rsid w:val="005C1E00"/>
    <w:rsid w:val="005C277F"/>
    <w:rsid w:val="005C327B"/>
    <w:rsid w:val="005C3C95"/>
    <w:rsid w:val="005C6608"/>
    <w:rsid w:val="005D051B"/>
    <w:rsid w:val="005D0DE6"/>
    <w:rsid w:val="005D1565"/>
    <w:rsid w:val="005D193F"/>
    <w:rsid w:val="005D23CD"/>
    <w:rsid w:val="005D2B4B"/>
    <w:rsid w:val="005D3B0F"/>
    <w:rsid w:val="005D5DDB"/>
    <w:rsid w:val="005D6503"/>
    <w:rsid w:val="005D65BE"/>
    <w:rsid w:val="005E01AA"/>
    <w:rsid w:val="005E144B"/>
    <w:rsid w:val="005E35B8"/>
    <w:rsid w:val="005E612E"/>
    <w:rsid w:val="005E7267"/>
    <w:rsid w:val="005F0DDD"/>
    <w:rsid w:val="005F3702"/>
    <w:rsid w:val="005F57BA"/>
    <w:rsid w:val="006001B5"/>
    <w:rsid w:val="00601AE7"/>
    <w:rsid w:val="0060257C"/>
    <w:rsid w:val="00602613"/>
    <w:rsid w:val="00604797"/>
    <w:rsid w:val="00605140"/>
    <w:rsid w:val="00606A6F"/>
    <w:rsid w:val="006114FD"/>
    <w:rsid w:val="00611AD5"/>
    <w:rsid w:val="00612ABE"/>
    <w:rsid w:val="0061375E"/>
    <w:rsid w:val="00613F1E"/>
    <w:rsid w:val="00613F90"/>
    <w:rsid w:val="006157FC"/>
    <w:rsid w:val="0061639B"/>
    <w:rsid w:val="0061744A"/>
    <w:rsid w:val="00617CA7"/>
    <w:rsid w:val="00617F1C"/>
    <w:rsid w:val="00621277"/>
    <w:rsid w:val="00622963"/>
    <w:rsid w:val="00622E8F"/>
    <w:rsid w:val="006278B1"/>
    <w:rsid w:val="00631CFB"/>
    <w:rsid w:val="006324AC"/>
    <w:rsid w:val="00633087"/>
    <w:rsid w:val="006333DC"/>
    <w:rsid w:val="0063575C"/>
    <w:rsid w:val="006358CE"/>
    <w:rsid w:val="006360F4"/>
    <w:rsid w:val="0063721F"/>
    <w:rsid w:val="006379CA"/>
    <w:rsid w:val="006419D0"/>
    <w:rsid w:val="006446B9"/>
    <w:rsid w:val="006448E2"/>
    <w:rsid w:val="00646D7E"/>
    <w:rsid w:val="00650A7A"/>
    <w:rsid w:val="006516E8"/>
    <w:rsid w:val="00652391"/>
    <w:rsid w:val="00653250"/>
    <w:rsid w:val="00653F51"/>
    <w:rsid w:val="006554F1"/>
    <w:rsid w:val="00660C13"/>
    <w:rsid w:val="00661A27"/>
    <w:rsid w:val="006631DA"/>
    <w:rsid w:val="00664F07"/>
    <w:rsid w:val="0066538A"/>
    <w:rsid w:val="0066553F"/>
    <w:rsid w:val="00665B25"/>
    <w:rsid w:val="00667A02"/>
    <w:rsid w:val="0067044E"/>
    <w:rsid w:val="0067073F"/>
    <w:rsid w:val="006738EC"/>
    <w:rsid w:val="006740C1"/>
    <w:rsid w:val="0068354A"/>
    <w:rsid w:val="00683AFA"/>
    <w:rsid w:val="006841F3"/>
    <w:rsid w:val="00684F12"/>
    <w:rsid w:val="00685B74"/>
    <w:rsid w:val="0068603A"/>
    <w:rsid w:val="00686F69"/>
    <w:rsid w:val="00687A98"/>
    <w:rsid w:val="00690770"/>
    <w:rsid w:val="006909AD"/>
    <w:rsid w:val="00691B53"/>
    <w:rsid w:val="00695B83"/>
    <w:rsid w:val="00695BAA"/>
    <w:rsid w:val="0069611F"/>
    <w:rsid w:val="006A24E6"/>
    <w:rsid w:val="006A3F3B"/>
    <w:rsid w:val="006A48B7"/>
    <w:rsid w:val="006A4DBB"/>
    <w:rsid w:val="006A5488"/>
    <w:rsid w:val="006A6F1A"/>
    <w:rsid w:val="006A711D"/>
    <w:rsid w:val="006A76F4"/>
    <w:rsid w:val="006B0169"/>
    <w:rsid w:val="006B2180"/>
    <w:rsid w:val="006B27AC"/>
    <w:rsid w:val="006B282C"/>
    <w:rsid w:val="006B36C4"/>
    <w:rsid w:val="006B6A6E"/>
    <w:rsid w:val="006C02CB"/>
    <w:rsid w:val="006C0D6F"/>
    <w:rsid w:val="006C1031"/>
    <w:rsid w:val="006C1E05"/>
    <w:rsid w:val="006C2FB6"/>
    <w:rsid w:val="006C350A"/>
    <w:rsid w:val="006C4DBB"/>
    <w:rsid w:val="006C4F0D"/>
    <w:rsid w:val="006C7D2F"/>
    <w:rsid w:val="006D0003"/>
    <w:rsid w:val="006D071D"/>
    <w:rsid w:val="006D21A8"/>
    <w:rsid w:val="006D4B73"/>
    <w:rsid w:val="006D6B2A"/>
    <w:rsid w:val="006E19FD"/>
    <w:rsid w:val="006E4F5F"/>
    <w:rsid w:val="006E751D"/>
    <w:rsid w:val="006F1FC5"/>
    <w:rsid w:val="006F227F"/>
    <w:rsid w:val="006F37DF"/>
    <w:rsid w:val="00700C8A"/>
    <w:rsid w:val="00701666"/>
    <w:rsid w:val="007058E8"/>
    <w:rsid w:val="00705A4B"/>
    <w:rsid w:val="00706DF1"/>
    <w:rsid w:val="00707291"/>
    <w:rsid w:val="0071086C"/>
    <w:rsid w:val="00714575"/>
    <w:rsid w:val="0072038D"/>
    <w:rsid w:val="0072267A"/>
    <w:rsid w:val="0072268B"/>
    <w:rsid w:val="00722A32"/>
    <w:rsid w:val="00723391"/>
    <w:rsid w:val="00725248"/>
    <w:rsid w:val="007252DE"/>
    <w:rsid w:val="00726DAB"/>
    <w:rsid w:val="007308BA"/>
    <w:rsid w:val="007321E8"/>
    <w:rsid w:val="0073375E"/>
    <w:rsid w:val="0073445D"/>
    <w:rsid w:val="00735077"/>
    <w:rsid w:val="007361AF"/>
    <w:rsid w:val="007364BA"/>
    <w:rsid w:val="00736CB4"/>
    <w:rsid w:val="00740097"/>
    <w:rsid w:val="00742996"/>
    <w:rsid w:val="00747ECB"/>
    <w:rsid w:val="00750271"/>
    <w:rsid w:val="00750865"/>
    <w:rsid w:val="00753184"/>
    <w:rsid w:val="00753264"/>
    <w:rsid w:val="0075370D"/>
    <w:rsid w:val="00753FE5"/>
    <w:rsid w:val="0075564F"/>
    <w:rsid w:val="007565F5"/>
    <w:rsid w:val="007604D6"/>
    <w:rsid w:val="00762A16"/>
    <w:rsid w:val="00763118"/>
    <w:rsid w:val="00763A79"/>
    <w:rsid w:val="00763F36"/>
    <w:rsid w:val="00766B9B"/>
    <w:rsid w:val="007757C2"/>
    <w:rsid w:val="00776871"/>
    <w:rsid w:val="0077780D"/>
    <w:rsid w:val="00781A11"/>
    <w:rsid w:val="00781BA2"/>
    <w:rsid w:val="00785E4B"/>
    <w:rsid w:val="00787399"/>
    <w:rsid w:val="00787F9B"/>
    <w:rsid w:val="00791B44"/>
    <w:rsid w:val="00793251"/>
    <w:rsid w:val="0079517D"/>
    <w:rsid w:val="00796640"/>
    <w:rsid w:val="00796E30"/>
    <w:rsid w:val="00797E76"/>
    <w:rsid w:val="00797E83"/>
    <w:rsid w:val="007A06E7"/>
    <w:rsid w:val="007A1CB3"/>
    <w:rsid w:val="007A53ED"/>
    <w:rsid w:val="007A561E"/>
    <w:rsid w:val="007A6968"/>
    <w:rsid w:val="007A6AB3"/>
    <w:rsid w:val="007A6B55"/>
    <w:rsid w:val="007B0443"/>
    <w:rsid w:val="007B0501"/>
    <w:rsid w:val="007B1975"/>
    <w:rsid w:val="007B2911"/>
    <w:rsid w:val="007B4051"/>
    <w:rsid w:val="007B4D64"/>
    <w:rsid w:val="007B55DF"/>
    <w:rsid w:val="007B7856"/>
    <w:rsid w:val="007C1DA1"/>
    <w:rsid w:val="007C312B"/>
    <w:rsid w:val="007C45EB"/>
    <w:rsid w:val="007C6394"/>
    <w:rsid w:val="007C67EA"/>
    <w:rsid w:val="007C6A85"/>
    <w:rsid w:val="007D1696"/>
    <w:rsid w:val="007D2EBC"/>
    <w:rsid w:val="007D3BA0"/>
    <w:rsid w:val="007D4C27"/>
    <w:rsid w:val="007D5827"/>
    <w:rsid w:val="007D63C7"/>
    <w:rsid w:val="007D7616"/>
    <w:rsid w:val="007E235F"/>
    <w:rsid w:val="007E2DAC"/>
    <w:rsid w:val="007E6189"/>
    <w:rsid w:val="007E7204"/>
    <w:rsid w:val="007F084E"/>
    <w:rsid w:val="007F11AD"/>
    <w:rsid w:val="007F42CB"/>
    <w:rsid w:val="007F71C1"/>
    <w:rsid w:val="007F747A"/>
    <w:rsid w:val="007F7BA9"/>
    <w:rsid w:val="00803C40"/>
    <w:rsid w:val="008057F1"/>
    <w:rsid w:val="00805D20"/>
    <w:rsid w:val="00806E1E"/>
    <w:rsid w:val="00807F98"/>
    <w:rsid w:val="008101CD"/>
    <w:rsid w:val="00810DF4"/>
    <w:rsid w:val="0081102D"/>
    <w:rsid w:val="00814761"/>
    <w:rsid w:val="0081557A"/>
    <w:rsid w:val="00815636"/>
    <w:rsid w:val="00815ECB"/>
    <w:rsid w:val="00817818"/>
    <w:rsid w:val="00820790"/>
    <w:rsid w:val="00825F86"/>
    <w:rsid w:val="00833F4B"/>
    <w:rsid w:val="008343D9"/>
    <w:rsid w:val="00834BB2"/>
    <w:rsid w:val="00835FB5"/>
    <w:rsid w:val="008447E7"/>
    <w:rsid w:val="00845B6B"/>
    <w:rsid w:val="008479BA"/>
    <w:rsid w:val="00850283"/>
    <w:rsid w:val="008524B5"/>
    <w:rsid w:val="00855D56"/>
    <w:rsid w:val="00855F41"/>
    <w:rsid w:val="008564EB"/>
    <w:rsid w:val="008624E8"/>
    <w:rsid w:val="00863009"/>
    <w:rsid w:val="00863017"/>
    <w:rsid w:val="008660AD"/>
    <w:rsid w:val="008670B2"/>
    <w:rsid w:val="00870EDA"/>
    <w:rsid w:val="008718EE"/>
    <w:rsid w:val="00871A53"/>
    <w:rsid w:val="00871B82"/>
    <w:rsid w:val="0087574F"/>
    <w:rsid w:val="00875FD0"/>
    <w:rsid w:val="008832A8"/>
    <w:rsid w:val="0088434F"/>
    <w:rsid w:val="0088586A"/>
    <w:rsid w:val="008860B4"/>
    <w:rsid w:val="008860EA"/>
    <w:rsid w:val="00886A4D"/>
    <w:rsid w:val="00891573"/>
    <w:rsid w:val="008935A2"/>
    <w:rsid w:val="00896149"/>
    <w:rsid w:val="00897726"/>
    <w:rsid w:val="008A0B72"/>
    <w:rsid w:val="008A44A7"/>
    <w:rsid w:val="008A6D9E"/>
    <w:rsid w:val="008A7062"/>
    <w:rsid w:val="008B063F"/>
    <w:rsid w:val="008B4969"/>
    <w:rsid w:val="008C1446"/>
    <w:rsid w:val="008C2467"/>
    <w:rsid w:val="008C35D9"/>
    <w:rsid w:val="008C57EF"/>
    <w:rsid w:val="008C6174"/>
    <w:rsid w:val="008C7276"/>
    <w:rsid w:val="008D039B"/>
    <w:rsid w:val="008D1F07"/>
    <w:rsid w:val="008D2C10"/>
    <w:rsid w:val="008D58D0"/>
    <w:rsid w:val="008D72D5"/>
    <w:rsid w:val="008E1C1B"/>
    <w:rsid w:val="008E1E73"/>
    <w:rsid w:val="008E2020"/>
    <w:rsid w:val="008E343D"/>
    <w:rsid w:val="008E58CB"/>
    <w:rsid w:val="008E5D0E"/>
    <w:rsid w:val="008E5F65"/>
    <w:rsid w:val="008F09DB"/>
    <w:rsid w:val="008F1F44"/>
    <w:rsid w:val="008F205C"/>
    <w:rsid w:val="008F36C9"/>
    <w:rsid w:val="008F480B"/>
    <w:rsid w:val="008F4A49"/>
    <w:rsid w:val="008F6444"/>
    <w:rsid w:val="008F6876"/>
    <w:rsid w:val="008F6E94"/>
    <w:rsid w:val="008F7D51"/>
    <w:rsid w:val="00900716"/>
    <w:rsid w:val="00900F5E"/>
    <w:rsid w:val="00903612"/>
    <w:rsid w:val="0090487D"/>
    <w:rsid w:val="009054F5"/>
    <w:rsid w:val="00906C6A"/>
    <w:rsid w:val="00907207"/>
    <w:rsid w:val="0090739A"/>
    <w:rsid w:val="0091086A"/>
    <w:rsid w:val="009147E5"/>
    <w:rsid w:val="00916422"/>
    <w:rsid w:val="00917F9B"/>
    <w:rsid w:val="0092009B"/>
    <w:rsid w:val="009207DE"/>
    <w:rsid w:val="00921320"/>
    <w:rsid w:val="00921F0D"/>
    <w:rsid w:val="009221AC"/>
    <w:rsid w:val="009235C9"/>
    <w:rsid w:val="009235CB"/>
    <w:rsid w:val="00923B11"/>
    <w:rsid w:val="009246EE"/>
    <w:rsid w:val="009267F4"/>
    <w:rsid w:val="0092766B"/>
    <w:rsid w:val="009279AC"/>
    <w:rsid w:val="00927DE9"/>
    <w:rsid w:val="00931E56"/>
    <w:rsid w:val="0093310C"/>
    <w:rsid w:val="0093334B"/>
    <w:rsid w:val="00935994"/>
    <w:rsid w:val="00940493"/>
    <w:rsid w:val="0094265C"/>
    <w:rsid w:val="0094330C"/>
    <w:rsid w:val="00943A86"/>
    <w:rsid w:val="00943E1E"/>
    <w:rsid w:val="0094408C"/>
    <w:rsid w:val="00944BC8"/>
    <w:rsid w:val="009452CA"/>
    <w:rsid w:val="00946FFC"/>
    <w:rsid w:val="009524FB"/>
    <w:rsid w:val="009563A5"/>
    <w:rsid w:val="00956D09"/>
    <w:rsid w:val="00957D76"/>
    <w:rsid w:val="00957FF5"/>
    <w:rsid w:val="00960263"/>
    <w:rsid w:val="00966816"/>
    <w:rsid w:val="00966FD3"/>
    <w:rsid w:val="00967923"/>
    <w:rsid w:val="00974F8A"/>
    <w:rsid w:val="009769FC"/>
    <w:rsid w:val="00980217"/>
    <w:rsid w:val="009809E2"/>
    <w:rsid w:val="0098156C"/>
    <w:rsid w:val="00983A44"/>
    <w:rsid w:val="00984D75"/>
    <w:rsid w:val="00984EE4"/>
    <w:rsid w:val="00986F45"/>
    <w:rsid w:val="0098774E"/>
    <w:rsid w:val="00991AA1"/>
    <w:rsid w:val="0099315C"/>
    <w:rsid w:val="00996B32"/>
    <w:rsid w:val="00996B67"/>
    <w:rsid w:val="00996FCF"/>
    <w:rsid w:val="009A0DA9"/>
    <w:rsid w:val="009A48BF"/>
    <w:rsid w:val="009A7342"/>
    <w:rsid w:val="009B0CA2"/>
    <w:rsid w:val="009B28EE"/>
    <w:rsid w:val="009B401E"/>
    <w:rsid w:val="009B608A"/>
    <w:rsid w:val="009C26D6"/>
    <w:rsid w:val="009C6400"/>
    <w:rsid w:val="009C7429"/>
    <w:rsid w:val="009D0030"/>
    <w:rsid w:val="009D0C2B"/>
    <w:rsid w:val="009D1D48"/>
    <w:rsid w:val="009D383A"/>
    <w:rsid w:val="009D3D1E"/>
    <w:rsid w:val="009E2087"/>
    <w:rsid w:val="009E2F93"/>
    <w:rsid w:val="009E4153"/>
    <w:rsid w:val="009E48D5"/>
    <w:rsid w:val="009E7E8C"/>
    <w:rsid w:val="009F2624"/>
    <w:rsid w:val="009F6B2E"/>
    <w:rsid w:val="009F6B5D"/>
    <w:rsid w:val="009F6FAF"/>
    <w:rsid w:val="00A02FD5"/>
    <w:rsid w:val="00A0366B"/>
    <w:rsid w:val="00A03C6B"/>
    <w:rsid w:val="00A06506"/>
    <w:rsid w:val="00A06F01"/>
    <w:rsid w:val="00A12B8E"/>
    <w:rsid w:val="00A13E88"/>
    <w:rsid w:val="00A14547"/>
    <w:rsid w:val="00A14674"/>
    <w:rsid w:val="00A15CE7"/>
    <w:rsid w:val="00A210A1"/>
    <w:rsid w:val="00A23122"/>
    <w:rsid w:val="00A2433D"/>
    <w:rsid w:val="00A24B7F"/>
    <w:rsid w:val="00A25DA2"/>
    <w:rsid w:val="00A27548"/>
    <w:rsid w:val="00A2794B"/>
    <w:rsid w:val="00A308D7"/>
    <w:rsid w:val="00A33705"/>
    <w:rsid w:val="00A361DE"/>
    <w:rsid w:val="00A40EB2"/>
    <w:rsid w:val="00A41450"/>
    <w:rsid w:val="00A463F6"/>
    <w:rsid w:val="00A46BFA"/>
    <w:rsid w:val="00A502F6"/>
    <w:rsid w:val="00A51A4A"/>
    <w:rsid w:val="00A52064"/>
    <w:rsid w:val="00A52611"/>
    <w:rsid w:val="00A547B1"/>
    <w:rsid w:val="00A56566"/>
    <w:rsid w:val="00A5772B"/>
    <w:rsid w:val="00A57A9D"/>
    <w:rsid w:val="00A62B86"/>
    <w:rsid w:val="00A63325"/>
    <w:rsid w:val="00A64234"/>
    <w:rsid w:val="00A649C3"/>
    <w:rsid w:val="00A669E2"/>
    <w:rsid w:val="00A671D8"/>
    <w:rsid w:val="00A70D7E"/>
    <w:rsid w:val="00A71045"/>
    <w:rsid w:val="00A7185A"/>
    <w:rsid w:val="00A71F9B"/>
    <w:rsid w:val="00A72EC4"/>
    <w:rsid w:val="00A750EE"/>
    <w:rsid w:val="00A75B92"/>
    <w:rsid w:val="00A75F05"/>
    <w:rsid w:val="00A778C9"/>
    <w:rsid w:val="00A77A14"/>
    <w:rsid w:val="00A80541"/>
    <w:rsid w:val="00A81525"/>
    <w:rsid w:val="00A81D69"/>
    <w:rsid w:val="00A821A7"/>
    <w:rsid w:val="00A8282C"/>
    <w:rsid w:val="00A8322C"/>
    <w:rsid w:val="00A84987"/>
    <w:rsid w:val="00A84BF1"/>
    <w:rsid w:val="00A85C07"/>
    <w:rsid w:val="00A863F6"/>
    <w:rsid w:val="00A86D80"/>
    <w:rsid w:val="00A916DA"/>
    <w:rsid w:val="00A91939"/>
    <w:rsid w:val="00A94035"/>
    <w:rsid w:val="00AA01E0"/>
    <w:rsid w:val="00AA1169"/>
    <w:rsid w:val="00AA13BE"/>
    <w:rsid w:val="00AA2E1C"/>
    <w:rsid w:val="00AA45B7"/>
    <w:rsid w:val="00AA47F6"/>
    <w:rsid w:val="00AA48F0"/>
    <w:rsid w:val="00AA733E"/>
    <w:rsid w:val="00AB225E"/>
    <w:rsid w:val="00AB2DB7"/>
    <w:rsid w:val="00AB3396"/>
    <w:rsid w:val="00AB36F1"/>
    <w:rsid w:val="00AC3D05"/>
    <w:rsid w:val="00AC519D"/>
    <w:rsid w:val="00AC544E"/>
    <w:rsid w:val="00AC6AEB"/>
    <w:rsid w:val="00AD0E0B"/>
    <w:rsid w:val="00AD1203"/>
    <w:rsid w:val="00AD52AE"/>
    <w:rsid w:val="00AD532B"/>
    <w:rsid w:val="00AD6F90"/>
    <w:rsid w:val="00AE3AAC"/>
    <w:rsid w:val="00AE419C"/>
    <w:rsid w:val="00AE717A"/>
    <w:rsid w:val="00AF29BD"/>
    <w:rsid w:val="00AF4BCF"/>
    <w:rsid w:val="00AF6839"/>
    <w:rsid w:val="00AF7252"/>
    <w:rsid w:val="00B00CFF"/>
    <w:rsid w:val="00B00FF0"/>
    <w:rsid w:val="00B0166D"/>
    <w:rsid w:val="00B022C9"/>
    <w:rsid w:val="00B03BB7"/>
    <w:rsid w:val="00B06AE2"/>
    <w:rsid w:val="00B07CC4"/>
    <w:rsid w:val="00B10659"/>
    <w:rsid w:val="00B1083F"/>
    <w:rsid w:val="00B10D31"/>
    <w:rsid w:val="00B11D3F"/>
    <w:rsid w:val="00B21DD2"/>
    <w:rsid w:val="00B2212C"/>
    <w:rsid w:val="00B225B4"/>
    <w:rsid w:val="00B249D1"/>
    <w:rsid w:val="00B24C58"/>
    <w:rsid w:val="00B25DAC"/>
    <w:rsid w:val="00B26893"/>
    <w:rsid w:val="00B26F8D"/>
    <w:rsid w:val="00B27D96"/>
    <w:rsid w:val="00B27EC5"/>
    <w:rsid w:val="00B30233"/>
    <w:rsid w:val="00B30381"/>
    <w:rsid w:val="00B31BAF"/>
    <w:rsid w:val="00B3203F"/>
    <w:rsid w:val="00B379A3"/>
    <w:rsid w:val="00B40678"/>
    <w:rsid w:val="00B41493"/>
    <w:rsid w:val="00B43FF1"/>
    <w:rsid w:val="00B44E23"/>
    <w:rsid w:val="00B44E73"/>
    <w:rsid w:val="00B45E56"/>
    <w:rsid w:val="00B50008"/>
    <w:rsid w:val="00B5080D"/>
    <w:rsid w:val="00B521A2"/>
    <w:rsid w:val="00B5230A"/>
    <w:rsid w:val="00B53661"/>
    <w:rsid w:val="00B559DF"/>
    <w:rsid w:val="00B60395"/>
    <w:rsid w:val="00B61684"/>
    <w:rsid w:val="00B62EF0"/>
    <w:rsid w:val="00B66470"/>
    <w:rsid w:val="00B7089D"/>
    <w:rsid w:val="00B774E0"/>
    <w:rsid w:val="00B800A6"/>
    <w:rsid w:val="00B8097D"/>
    <w:rsid w:val="00B80EA3"/>
    <w:rsid w:val="00B82EC7"/>
    <w:rsid w:val="00B842B0"/>
    <w:rsid w:val="00B84F4F"/>
    <w:rsid w:val="00B876A9"/>
    <w:rsid w:val="00B90272"/>
    <w:rsid w:val="00B93591"/>
    <w:rsid w:val="00B94AD4"/>
    <w:rsid w:val="00BA1DF0"/>
    <w:rsid w:val="00BA3CC2"/>
    <w:rsid w:val="00BA4CEE"/>
    <w:rsid w:val="00BA5B5C"/>
    <w:rsid w:val="00BA6E71"/>
    <w:rsid w:val="00BA7BC1"/>
    <w:rsid w:val="00BB0541"/>
    <w:rsid w:val="00BB5A39"/>
    <w:rsid w:val="00BB6B98"/>
    <w:rsid w:val="00BB6BB7"/>
    <w:rsid w:val="00BB7A30"/>
    <w:rsid w:val="00BB7E8D"/>
    <w:rsid w:val="00BB7E9B"/>
    <w:rsid w:val="00BC03A1"/>
    <w:rsid w:val="00BC350A"/>
    <w:rsid w:val="00BC3D79"/>
    <w:rsid w:val="00BC4475"/>
    <w:rsid w:val="00BC4A2F"/>
    <w:rsid w:val="00BC5471"/>
    <w:rsid w:val="00BC57CB"/>
    <w:rsid w:val="00BC5D23"/>
    <w:rsid w:val="00BC6699"/>
    <w:rsid w:val="00BC7AA3"/>
    <w:rsid w:val="00BD215D"/>
    <w:rsid w:val="00BD312B"/>
    <w:rsid w:val="00BE75DE"/>
    <w:rsid w:val="00BF032C"/>
    <w:rsid w:val="00BF1BFE"/>
    <w:rsid w:val="00BF4337"/>
    <w:rsid w:val="00C01079"/>
    <w:rsid w:val="00C013AE"/>
    <w:rsid w:val="00C016FF"/>
    <w:rsid w:val="00C03E51"/>
    <w:rsid w:val="00C1094B"/>
    <w:rsid w:val="00C10A3B"/>
    <w:rsid w:val="00C10B9A"/>
    <w:rsid w:val="00C10BE9"/>
    <w:rsid w:val="00C143CC"/>
    <w:rsid w:val="00C14E56"/>
    <w:rsid w:val="00C1732D"/>
    <w:rsid w:val="00C21A35"/>
    <w:rsid w:val="00C2566F"/>
    <w:rsid w:val="00C25EDC"/>
    <w:rsid w:val="00C2634C"/>
    <w:rsid w:val="00C26C81"/>
    <w:rsid w:val="00C2748E"/>
    <w:rsid w:val="00C279C1"/>
    <w:rsid w:val="00C30AB9"/>
    <w:rsid w:val="00C31CCC"/>
    <w:rsid w:val="00C3373E"/>
    <w:rsid w:val="00C35E5E"/>
    <w:rsid w:val="00C36C25"/>
    <w:rsid w:val="00C37765"/>
    <w:rsid w:val="00C412A3"/>
    <w:rsid w:val="00C4166D"/>
    <w:rsid w:val="00C42690"/>
    <w:rsid w:val="00C4630B"/>
    <w:rsid w:val="00C46DED"/>
    <w:rsid w:val="00C50ABC"/>
    <w:rsid w:val="00C50DA6"/>
    <w:rsid w:val="00C534EC"/>
    <w:rsid w:val="00C56192"/>
    <w:rsid w:val="00C56B16"/>
    <w:rsid w:val="00C604B2"/>
    <w:rsid w:val="00C60F03"/>
    <w:rsid w:val="00C636CB"/>
    <w:rsid w:val="00C638E7"/>
    <w:rsid w:val="00C63EDE"/>
    <w:rsid w:val="00C63FD1"/>
    <w:rsid w:val="00C64F45"/>
    <w:rsid w:val="00C665F0"/>
    <w:rsid w:val="00C66A85"/>
    <w:rsid w:val="00C72A5C"/>
    <w:rsid w:val="00C7680B"/>
    <w:rsid w:val="00C76833"/>
    <w:rsid w:val="00C76894"/>
    <w:rsid w:val="00C8251A"/>
    <w:rsid w:val="00C82DD0"/>
    <w:rsid w:val="00C856B5"/>
    <w:rsid w:val="00C87E6A"/>
    <w:rsid w:val="00C927A1"/>
    <w:rsid w:val="00C92F68"/>
    <w:rsid w:val="00C93D9D"/>
    <w:rsid w:val="00C96042"/>
    <w:rsid w:val="00CA06BA"/>
    <w:rsid w:val="00CA12DB"/>
    <w:rsid w:val="00CA2035"/>
    <w:rsid w:val="00CA216B"/>
    <w:rsid w:val="00CA39FC"/>
    <w:rsid w:val="00CA4BE4"/>
    <w:rsid w:val="00CA4D7D"/>
    <w:rsid w:val="00CB0B92"/>
    <w:rsid w:val="00CB1049"/>
    <w:rsid w:val="00CB1110"/>
    <w:rsid w:val="00CB1DDE"/>
    <w:rsid w:val="00CB223E"/>
    <w:rsid w:val="00CB23EF"/>
    <w:rsid w:val="00CB2F30"/>
    <w:rsid w:val="00CB360E"/>
    <w:rsid w:val="00CB39C7"/>
    <w:rsid w:val="00CB7C30"/>
    <w:rsid w:val="00CC04CB"/>
    <w:rsid w:val="00CC3DEC"/>
    <w:rsid w:val="00CC3E6D"/>
    <w:rsid w:val="00CC5A2B"/>
    <w:rsid w:val="00CC7ECA"/>
    <w:rsid w:val="00CD23AB"/>
    <w:rsid w:val="00CD28DA"/>
    <w:rsid w:val="00CD298C"/>
    <w:rsid w:val="00CD2F12"/>
    <w:rsid w:val="00CD3498"/>
    <w:rsid w:val="00CD5781"/>
    <w:rsid w:val="00CD7ED5"/>
    <w:rsid w:val="00CE01C3"/>
    <w:rsid w:val="00CE344D"/>
    <w:rsid w:val="00CE5D71"/>
    <w:rsid w:val="00CE6197"/>
    <w:rsid w:val="00CE6DEE"/>
    <w:rsid w:val="00CF2821"/>
    <w:rsid w:val="00CF376E"/>
    <w:rsid w:val="00CF3AA3"/>
    <w:rsid w:val="00CF7C63"/>
    <w:rsid w:val="00CF7DB3"/>
    <w:rsid w:val="00D01051"/>
    <w:rsid w:val="00D0246B"/>
    <w:rsid w:val="00D03BFD"/>
    <w:rsid w:val="00D04031"/>
    <w:rsid w:val="00D05160"/>
    <w:rsid w:val="00D0517A"/>
    <w:rsid w:val="00D07719"/>
    <w:rsid w:val="00D079BD"/>
    <w:rsid w:val="00D114E4"/>
    <w:rsid w:val="00D11A06"/>
    <w:rsid w:val="00D11BA5"/>
    <w:rsid w:val="00D1204B"/>
    <w:rsid w:val="00D1258A"/>
    <w:rsid w:val="00D129F0"/>
    <w:rsid w:val="00D1418A"/>
    <w:rsid w:val="00D15042"/>
    <w:rsid w:val="00D1580B"/>
    <w:rsid w:val="00D15A80"/>
    <w:rsid w:val="00D17292"/>
    <w:rsid w:val="00D200CB"/>
    <w:rsid w:val="00D20CA7"/>
    <w:rsid w:val="00D2108C"/>
    <w:rsid w:val="00D2168F"/>
    <w:rsid w:val="00D216F4"/>
    <w:rsid w:val="00D21BD2"/>
    <w:rsid w:val="00D225C0"/>
    <w:rsid w:val="00D23EC4"/>
    <w:rsid w:val="00D2529C"/>
    <w:rsid w:val="00D268A0"/>
    <w:rsid w:val="00D30125"/>
    <w:rsid w:val="00D317C5"/>
    <w:rsid w:val="00D319FC"/>
    <w:rsid w:val="00D3210E"/>
    <w:rsid w:val="00D32DE3"/>
    <w:rsid w:val="00D33297"/>
    <w:rsid w:val="00D332AB"/>
    <w:rsid w:val="00D372CF"/>
    <w:rsid w:val="00D428B0"/>
    <w:rsid w:val="00D458D0"/>
    <w:rsid w:val="00D466B7"/>
    <w:rsid w:val="00D46ED8"/>
    <w:rsid w:val="00D47AE8"/>
    <w:rsid w:val="00D515E7"/>
    <w:rsid w:val="00D526E6"/>
    <w:rsid w:val="00D537E8"/>
    <w:rsid w:val="00D537FC"/>
    <w:rsid w:val="00D61A69"/>
    <w:rsid w:val="00D61CDC"/>
    <w:rsid w:val="00D64CBC"/>
    <w:rsid w:val="00D670BE"/>
    <w:rsid w:val="00D67B67"/>
    <w:rsid w:val="00D71764"/>
    <w:rsid w:val="00D72723"/>
    <w:rsid w:val="00D72F14"/>
    <w:rsid w:val="00D7328A"/>
    <w:rsid w:val="00D77580"/>
    <w:rsid w:val="00D8002E"/>
    <w:rsid w:val="00D83372"/>
    <w:rsid w:val="00D85E17"/>
    <w:rsid w:val="00D91822"/>
    <w:rsid w:val="00D924AC"/>
    <w:rsid w:val="00D92AAB"/>
    <w:rsid w:val="00D93419"/>
    <w:rsid w:val="00D9414B"/>
    <w:rsid w:val="00D95F07"/>
    <w:rsid w:val="00D966B6"/>
    <w:rsid w:val="00D9743E"/>
    <w:rsid w:val="00DA0A7A"/>
    <w:rsid w:val="00DA24EC"/>
    <w:rsid w:val="00DA299E"/>
    <w:rsid w:val="00DA4B9A"/>
    <w:rsid w:val="00DB03FD"/>
    <w:rsid w:val="00DB2167"/>
    <w:rsid w:val="00DB3FB3"/>
    <w:rsid w:val="00DB40D2"/>
    <w:rsid w:val="00DB4A89"/>
    <w:rsid w:val="00DB7314"/>
    <w:rsid w:val="00DC0C82"/>
    <w:rsid w:val="00DC4DB2"/>
    <w:rsid w:val="00DC5AF0"/>
    <w:rsid w:val="00DC69A2"/>
    <w:rsid w:val="00DC6E18"/>
    <w:rsid w:val="00DC7B63"/>
    <w:rsid w:val="00DD1FB8"/>
    <w:rsid w:val="00DD3A2E"/>
    <w:rsid w:val="00DD3D86"/>
    <w:rsid w:val="00DD546E"/>
    <w:rsid w:val="00DE03A2"/>
    <w:rsid w:val="00DE1FA3"/>
    <w:rsid w:val="00DE2F7F"/>
    <w:rsid w:val="00DE3735"/>
    <w:rsid w:val="00DE572B"/>
    <w:rsid w:val="00DE6BD4"/>
    <w:rsid w:val="00DF38D7"/>
    <w:rsid w:val="00DF4047"/>
    <w:rsid w:val="00E00D31"/>
    <w:rsid w:val="00E029AA"/>
    <w:rsid w:val="00E032B8"/>
    <w:rsid w:val="00E04249"/>
    <w:rsid w:val="00E048AC"/>
    <w:rsid w:val="00E06575"/>
    <w:rsid w:val="00E06CFB"/>
    <w:rsid w:val="00E07E53"/>
    <w:rsid w:val="00E10433"/>
    <w:rsid w:val="00E12624"/>
    <w:rsid w:val="00E12945"/>
    <w:rsid w:val="00E13C05"/>
    <w:rsid w:val="00E14E38"/>
    <w:rsid w:val="00E154BD"/>
    <w:rsid w:val="00E15B26"/>
    <w:rsid w:val="00E17C71"/>
    <w:rsid w:val="00E216A0"/>
    <w:rsid w:val="00E220DD"/>
    <w:rsid w:val="00E22F27"/>
    <w:rsid w:val="00E23A2C"/>
    <w:rsid w:val="00E24F4E"/>
    <w:rsid w:val="00E252A3"/>
    <w:rsid w:val="00E25E87"/>
    <w:rsid w:val="00E26404"/>
    <w:rsid w:val="00E26CD4"/>
    <w:rsid w:val="00E3134B"/>
    <w:rsid w:val="00E3549B"/>
    <w:rsid w:val="00E3595D"/>
    <w:rsid w:val="00E35C7F"/>
    <w:rsid w:val="00E36E13"/>
    <w:rsid w:val="00E37173"/>
    <w:rsid w:val="00E376C0"/>
    <w:rsid w:val="00E41D4A"/>
    <w:rsid w:val="00E422A2"/>
    <w:rsid w:val="00E43825"/>
    <w:rsid w:val="00E46A74"/>
    <w:rsid w:val="00E47349"/>
    <w:rsid w:val="00E479AC"/>
    <w:rsid w:val="00E50B7C"/>
    <w:rsid w:val="00E51E1F"/>
    <w:rsid w:val="00E51FF8"/>
    <w:rsid w:val="00E54B1F"/>
    <w:rsid w:val="00E607A4"/>
    <w:rsid w:val="00E607B5"/>
    <w:rsid w:val="00E62B19"/>
    <w:rsid w:val="00E63175"/>
    <w:rsid w:val="00E642D3"/>
    <w:rsid w:val="00E6617D"/>
    <w:rsid w:val="00E706FA"/>
    <w:rsid w:val="00E7254A"/>
    <w:rsid w:val="00E740A6"/>
    <w:rsid w:val="00E77121"/>
    <w:rsid w:val="00E77B5A"/>
    <w:rsid w:val="00E80093"/>
    <w:rsid w:val="00E819D3"/>
    <w:rsid w:val="00E81FCC"/>
    <w:rsid w:val="00E842EF"/>
    <w:rsid w:val="00E84C54"/>
    <w:rsid w:val="00E858CF"/>
    <w:rsid w:val="00E865AC"/>
    <w:rsid w:val="00E873C9"/>
    <w:rsid w:val="00E90FAF"/>
    <w:rsid w:val="00E91229"/>
    <w:rsid w:val="00E96DA4"/>
    <w:rsid w:val="00E97257"/>
    <w:rsid w:val="00E97EFE"/>
    <w:rsid w:val="00EA29AD"/>
    <w:rsid w:val="00EA3532"/>
    <w:rsid w:val="00EA3856"/>
    <w:rsid w:val="00EA6D46"/>
    <w:rsid w:val="00EB2E92"/>
    <w:rsid w:val="00EB32F6"/>
    <w:rsid w:val="00EB4584"/>
    <w:rsid w:val="00EB5073"/>
    <w:rsid w:val="00EB5DA4"/>
    <w:rsid w:val="00EC09D3"/>
    <w:rsid w:val="00EC4765"/>
    <w:rsid w:val="00EC5090"/>
    <w:rsid w:val="00EC5385"/>
    <w:rsid w:val="00EC6199"/>
    <w:rsid w:val="00ED04B9"/>
    <w:rsid w:val="00ED2B0F"/>
    <w:rsid w:val="00ED2CFD"/>
    <w:rsid w:val="00ED3B63"/>
    <w:rsid w:val="00ED41C8"/>
    <w:rsid w:val="00ED6012"/>
    <w:rsid w:val="00EE131B"/>
    <w:rsid w:val="00EE49ED"/>
    <w:rsid w:val="00EE67FC"/>
    <w:rsid w:val="00EE7ACD"/>
    <w:rsid w:val="00EF1773"/>
    <w:rsid w:val="00EF1DB3"/>
    <w:rsid w:val="00EF2708"/>
    <w:rsid w:val="00EF2790"/>
    <w:rsid w:val="00EF2FDD"/>
    <w:rsid w:val="00EF5252"/>
    <w:rsid w:val="00EF5CFB"/>
    <w:rsid w:val="00EF625D"/>
    <w:rsid w:val="00EF6A5A"/>
    <w:rsid w:val="00EF7516"/>
    <w:rsid w:val="00EF7DD7"/>
    <w:rsid w:val="00F0038F"/>
    <w:rsid w:val="00F00B3B"/>
    <w:rsid w:val="00F00CFB"/>
    <w:rsid w:val="00F01FB5"/>
    <w:rsid w:val="00F03753"/>
    <w:rsid w:val="00F040B8"/>
    <w:rsid w:val="00F05AE5"/>
    <w:rsid w:val="00F05D74"/>
    <w:rsid w:val="00F06199"/>
    <w:rsid w:val="00F062EA"/>
    <w:rsid w:val="00F1084B"/>
    <w:rsid w:val="00F15BD5"/>
    <w:rsid w:val="00F20A1C"/>
    <w:rsid w:val="00F21D90"/>
    <w:rsid w:val="00F262FC"/>
    <w:rsid w:val="00F26594"/>
    <w:rsid w:val="00F26D46"/>
    <w:rsid w:val="00F276B5"/>
    <w:rsid w:val="00F27B6B"/>
    <w:rsid w:val="00F30145"/>
    <w:rsid w:val="00F30AF8"/>
    <w:rsid w:val="00F30DF8"/>
    <w:rsid w:val="00F3573B"/>
    <w:rsid w:val="00F376B4"/>
    <w:rsid w:val="00F401ED"/>
    <w:rsid w:val="00F408E4"/>
    <w:rsid w:val="00F41D58"/>
    <w:rsid w:val="00F41F8F"/>
    <w:rsid w:val="00F42661"/>
    <w:rsid w:val="00F4413F"/>
    <w:rsid w:val="00F45ABA"/>
    <w:rsid w:val="00F45C63"/>
    <w:rsid w:val="00F47E91"/>
    <w:rsid w:val="00F57CA0"/>
    <w:rsid w:val="00F6175C"/>
    <w:rsid w:val="00F6253C"/>
    <w:rsid w:val="00F6325B"/>
    <w:rsid w:val="00F6346C"/>
    <w:rsid w:val="00F6387D"/>
    <w:rsid w:val="00F65EEE"/>
    <w:rsid w:val="00F66121"/>
    <w:rsid w:val="00F6776C"/>
    <w:rsid w:val="00F714C4"/>
    <w:rsid w:val="00F71566"/>
    <w:rsid w:val="00F71B9E"/>
    <w:rsid w:val="00F723C9"/>
    <w:rsid w:val="00F73F94"/>
    <w:rsid w:val="00F75F3A"/>
    <w:rsid w:val="00F77ABB"/>
    <w:rsid w:val="00F832AF"/>
    <w:rsid w:val="00F83964"/>
    <w:rsid w:val="00F8702D"/>
    <w:rsid w:val="00F91DD5"/>
    <w:rsid w:val="00F927E9"/>
    <w:rsid w:val="00FA07B4"/>
    <w:rsid w:val="00FA109A"/>
    <w:rsid w:val="00FA1A03"/>
    <w:rsid w:val="00FA2CA2"/>
    <w:rsid w:val="00FA2CBE"/>
    <w:rsid w:val="00FA35DC"/>
    <w:rsid w:val="00FA4978"/>
    <w:rsid w:val="00FB0B22"/>
    <w:rsid w:val="00FB1FA9"/>
    <w:rsid w:val="00FB2A1A"/>
    <w:rsid w:val="00FB4A2D"/>
    <w:rsid w:val="00FB4FD4"/>
    <w:rsid w:val="00FB50D8"/>
    <w:rsid w:val="00FC1ADF"/>
    <w:rsid w:val="00FC298B"/>
    <w:rsid w:val="00FC5460"/>
    <w:rsid w:val="00FC55E5"/>
    <w:rsid w:val="00FC5668"/>
    <w:rsid w:val="00FC5FE5"/>
    <w:rsid w:val="00FD00BF"/>
    <w:rsid w:val="00FD0A11"/>
    <w:rsid w:val="00FD63CD"/>
    <w:rsid w:val="00FD6703"/>
    <w:rsid w:val="00FE0A63"/>
    <w:rsid w:val="00FE1403"/>
    <w:rsid w:val="00FE1EF2"/>
    <w:rsid w:val="00FE3BF8"/>
    <w:rsid w:val="00FE4385"/>
    <w:rsid w:val="00FE550A"/>
    <w:rsid w:val="00FE5A2B"/>
    <w:rsid w:val="00FE6979"/>
    <w:rsid w:val="00FF01AB"/>
    <w:rsid w:val="00FF1568"/>
    <w:rsid w:val="00FF1832"/>
    <w:rsid w:val="00FF40E1"/>
    <w:rsid w:val="00FF4457"/>
    <w:rsid w:val="00FF4C03"/>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F14B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C1"/>
  </w:style>
  <w:style w:type="paragraph" w:styleId="Heading1">
    <w:name w:val="heading 1"/>
    <w:basedOn w:val="ListParagraph"/>
    <w:next w:val="Normal"/>
    <w:link w:val="Heading1Char"/>
    <w:uiPriority w:val="9"/>
    <w:qFormat/>
    <w:rsid w:val="008D039B"/>
    <w:pPr>
      <w:numPr>
        <w:numId w:val="13"/>
      </w:numPr>
      <w:shd w:val="clear" w:color="auto" w:fill="FFFFFF"/>
      <w:spacing w:before="240" w:after="240" w:line="240" w:lineRule="auto"/>
      <w:ind w:left="360"/>
      <w:contextualSpacing w:val="0"/>
      <w:jc w:val="both"/>
      <w:outlineLvl w:val="0"/>
    </w:pPr>
    <w:rPr>
      <w:rFonts w:ascii="Calibri" w:eastAsia="Times New Roman" w:hAnsi="Calibri" w:cstheme="majorBidi"/>
      <w:b/>
      <w:bCs/>
      <w:color w:val="000000"/>
      <w:sz w:val="24"/>
      <w:szCs w:val="24"/>
      <w:lang w:val="en-GB"/>
    </w:rPr>
  </w:style>
  <w:style w:type="paragraph" w:styleId="Heading2">
    <w:name w:val="heading 2"/>
    <w:basedOn w:val="ListParagraph"/>
    <w:next w:val="Normal"/>
    <w:link w:val="Heading2Char"/>
    <w:uiPriority w:val="9"/>
    <w:unhideWhenUsed/>
    <w:qFormat/>
    <w:rsid w:val="008524B5"/>
    <w:pPr>
      <w:numPr>
        <w:numId w:val="19"/>
      </w:numPr>
      <w:spacing w:before="240" w:after="240"/>
      <w:contextualSpacing w:val="0"/>
      <w:outlineLvl w:val="1"/>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2F14"/>
    <w:pPr>
      <w:ind w:left="720"/>
      <w:contextualSpacing/>
    </w:pPr>
  </w:style>
  <w:style w:type="paragraph" w:styleId="Header">
    <w:name w:val="header"/>
    <w:basedOn w:val="Normal"/>
    <w:link w:val="HeaderChar"/>
    <w:uiPriority w:val="99"/>
    <w:unhideWhenUsed/>
    <w:rsid w:val="00D7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F14"/>
  </w:style>
  <w:style w:type="paragraph" w:styleId="Footer">
    <w:name w:val="footer"/>
    <w:basedOn w:val="Normal"/>
    <w:link w:val="FooterChar"/>
    <w:uiPriority w:val="99"/>
    <w:unhideWhenUsed/>
    <w:rsid w:val="00D7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F14"/>
  </w:style>
  <w:style w:type="paragraph" w:styleId="FootnoteText">
    <w:name w:val="footnote text"/>
    <w:basedOn w:val="Normal"/>
    <w:link w:val="FootnoteTextChar"/>
    <w:uiPriority w:val="99"/>
    <w:unhideWhenUsed/>
    <w:rsid w:val="004E6651"/>
    <w:pPr>
      <w:spacing w:after="0" w:line="240" w:lineRule="auto"/>
    </w:pPr>
    <w:rPr>
      <w:rFonts w:ascii="Calibri" w:eastAsia="Times New Roman" w:hAnsi="Calibri" w:cstheme="majorBidi"/>
      <w:color w:val="000000"/>
      <w:sz w:val="20"/>
      <w:szCs w:val="20"/>
      <w:lang w:val="en-GB"/>
    </w:rPr>
  </w:style>
  <w:style w:type="character" w:customStyle="1" w:styleId="FootnoteTextChar">
    <w:name w:val="Footnote Text Char"/>
    <w:basedOn w:val="DefaultParagraphFont"/>
    <w:link w:val="FootnoteText"/>
    <w:uiPriority w:val="99"/>
    <w:rsid w:val="004E6651"/>
    <w:rPr>
      <w:rFonts w:ascii="Calibri" w:eastAsia="Times New Roman" w:hAnsi="Calibri" w:cstheme="majorBidi"/>
      <w:color w:val="000000"/>
      <w:sz w:val="20"/>
      <w:szCs w:val="20"/>
      <w:lang w:val="en-GB"/>
    </w:rPr>
  </w:style>
  <w:style w:type="character" w:styleId="FootnoteReference">
    <w:name w:val="footnote reference"/>
    <w:basedOn w:val="DefaultParagraphFont"/>
    <w:uiPriority w:val="99"/>
    <w:unhideWhenUsed/>
    <w:rsid w:val="00EE67FC"/>
    <w:rPr>
      <w:vertAlign w:val="superscript"/>
    </w:rPr>
  </w:style>
  <w:style w:type="paragraph" w:styleId="BalloonText">
    <w:name w:val="Balloon Text"/>
    <w:basedOn w:val="Normal"/>
    <w:link w:val="BalloonTextChar"/>
    <w:uiPriority w:val="99"/>
    <w:semiHidden/>
    <w:unhideWhenUsed/>
    <w:rsid w:val="00557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57"/>
    <w:rPr>
      <w:rFonts w:ascii="Tahoma" w:hAnsi="Tahoma" w:cs="Tahoma"/>
      <w:sz w:val="16"/>
      <w:szCs w:val="16"/>
    </w:rPr>
  </w:style>
  <w:style w:type="paragraph" w:customStyle="1" w:styleId="Numberedparagraph">
    <w:name w:val="Numbered paragraph"/>
    <w:basedOn w:val="ListParagraph"/>
    <w:link w:val="NumberedparagraphChar"/>
    <w:qFormat/>
    <w:rsid w:val="008524B5"/>
    <w:pPr>
      <w:numPr>
        <w:numId w:val="12"/>
      </w:numPr>
      <w:shd w:val="clear" w:color="auto" w:fill="FFFFFF"/>
      <w:spacing w:before="240" w:after="240" w:line="240" w:lineRule="auto"/>
      <w:contextualSpacing w:val="0"/>
      <w:jc w:val="both"/>
    </w:pPr>
    <w:rPr>
      <w:rFonts w:ascii="Calibri" w:eastAsia="Times New Roman" w:hAnsi="Calibri" w:cstheme="majorBidi"/>
      <w:color w:val="000000"/>
      <w:sz w:val="24"/>
      <w:szCs w:val="24"/>
      <w:lang w:val="en-GB"/>
    </w:rPr>
  </w:style>
  <w:style w:type="character" w:customStyle="1" w:styleId="Heading1Char">
    <w:name w:val="Heading 1 Char"/>
    <w:basedOn w:val="DefaultParagraphFont"/>
    <w:link w:val="Heading1"/>
    <w:uiPriority w:val="9"/>
    <w:rsid w:val="008D039B"/>
    <w:rPr>
      <w:rFonts w:ascii="Calibri" w:eastAsia="Times New Roman" w:hAnsi="Calibri" w:cstheme="majorBidi"/>
      <w:b/>
      <w:bCs/>
      <w:color w:val="000000"/>
      <w:sz w:val="24"/>
      <w:szCs w:val="24"/>
      <w:shd w:val="clear" w:color="auto" w:fill="FFFFFF"/>
      <w:lang w:val="en-GB"/>
    </w:rPr>
  </w:style>
  <w:style w:type="character" w:customStyle="1" w:styleId="ListParagraphChar">
    <w:name w:val="List Paragraph Char"/>
    <w:basedOn w:val="DefaultParagraphFont"/>
    <w:link w:val="ListParagraph"/>
    <w:uiPriority w:val="34"/>
    <w:rsid w:val="008D039B"/>
  </w:style>
  <w:style w:type="character" w:customStyle="1" w:styleId="NumberedparagraphChar">
    <w:name w:val="Numbered paragraph Char"/>
    <w:basedOn w:val="ListParagraphChar"/>
    <w:link w:val="Numberedparagraph"/>
    <w:rsid w:val="008D039B"/>
  </w:style>
  <w:style w:type="character" w:customStyle="1" w:styleId="Heading2Char">
    <w:name w:val="Heading 2 Char"/>
    <w:basedOn w:val="DefaultParagraphFont"/>
    <w:link w:val="Heading2"/>
    <w:uiPriority w:val="9"/>
    <w:rsid w:val="008524B5"/>
    <w:rPr>
      <w:u w:val="single"/>
      <w:lang w:val="en-GB"/>
    </w:rPr>
  </w:style>
  <w:style w:type="paragraph" w:styleId="DocumentMap">
    <w:name w:val="Document Map"/>
    <w:basedOn w:val="Normal"/>
    <w:link w:val="DocumentMapChar"/>
    <w:uiPriority w:val="99"/>
    <w:semiHidden/>
    <w:unhideWhenUsed/>
    <w:rsid w:val="00691B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1B53"/>
    <w:rPr>
      <w:rFonts w:ascii="Tahoma" w:hAnsi="Tahoma" w:cs="Tahoma"/>
      <w:sz w:val="16"/>
      <w:szCs w:val="16"/>
    </w:rPr>
  </w:style>
  <w:style w:type="paragraph" w:styleId="TOCHeading">
    <w:name w:val="TOC Heading"/>
    <w:basedOn w:val="Heading1"/>
    <w:next w:val="Normal"/>
    <w:uiPriority w:val="39"/>
    <w:semiHidden/>
    <w:unhideWhenUsed/>
    <w:qFormat/>
    <w:rsid w:val="00E029AA"/>
    <w:pPr>
      <w:keepNext/>
      <w:keepLines/>
      <w:numPr>
        <w:numId w:val="0"/>
      </w:numPr>
      <w:shd w:val="clear" w:color="auto" w:fill="auto"/>
      <w:spacing w:before="480" w:after="0" w:line="276" w:lineRule="auto"/>
      <w:jc w:val="left"/>
      <w:outlineLvl w:val="9"/>
    </w:pPr>
    <w:rPr>
      <w:rFonts w:asciiTheme="majorHAnsi" w:eastAsiaTheme="majorEastAsia" w:hAnsiTheme="majorHAnsi"/>
      <w:color w:val="365F91" w:themeColor="accent1" w:themeShade="BF"/>
      <w:sz w:val="28"/>
      <w:szCs w:val="28"/>
      <w:lang w:val="en-US"/>
    </w:rPr>
  </w:style>
  <w:style w:type="paragraph" w:styleId="TOC1">
    <w:name w:val="toc 1"/>
    <w:basedOn w:val="Normal"/>
    <w:next w:val="Normal"/>
    <w:autoRedefine/>
    <w:uiPriority w:val="39"/>
    <w:unhideWhenUsed/>
    <w:rsid w:val="00E029AA"/>
    <w:pPr>
      <w:spacing w:after="100"/>
    </w:pPr>
  </w:style>
  <w:style w:type="paragraph" w:styleId="TOC2">
    <w:name w:val="toc 2"/>
    <w:basedOn w:val="Normal"/>
    <w:next w:val="Normal"/>
    <w:autoRedefine/>
    <w:uiPriority w:val="39"/>
    <w:unhideWhenUsed/>
    <w:rsid w:val="00E029AA"/>
    <w:pPr>
      <w:spacing w:after="100"/>
      <w:ind w:left="220"/>
    </w:pPr>
  </w:style>
  <w:style w:type="character" w:styleId="Hyperlink">
    <w:name w:val="Hyperlink"/>
    <w:basedOn w:val="DefaultParagraphFont"/>
    <w:uiPriority w:val="99"/>
    <w:unhideWhenUsed/>
    <w:rsid w:val="00E029AA"/>
    <w:rPr>
      <w:color w:val="0000FF" w:themeColor="hyperlink"/>
      <w:u w:val="single"/>
    </w:rPr>
  </w:style>
  <w:style w:type="character" w:styleId="PageNumber">
    <w:name w:val="page number"/>
    <w:basedOn w:val="DefaultParagraphFont"/>
    <w:uiPriority w:val="99"/>
    <w:semiHidden/>
    <w:unhideWhenUsed/>
    <w:rsid w:val="00352D5C"/>
  </w:style>
  <w:style w:type="character" w:styleId="CommentReference">
    <w:name w:val="annotation reference"/>
    <w:basedOn w:val="DefaultParagraphFont"/>
    <w:uiPriority w:val="99"/>
    <w:semiHidden/>
    <w:unhideWhenUsed/>
    <w:rsid w:val="00F65EEE"/>
    <w:rPr>
      <w:sz w:val="18"/>
      <w:szCs w:val="18"/>
    </w:rPr>
  </w:style>
  <w:style w:type="paragraph" w:styleId="CommentText">
    <w:name w:val="annotation text"/>
    <w:basedOn w:val="Normal"/>
    <w:link w:val="CommentTextChar"/>
    <w:uiPriority w:val="99"/>
    <w:semiHidden/>
    <w:unhideWhenUsed/>
    <w:rsid w:val="00F65EEE"/>
    <w:pPr>
      <w:spacing w:line="240" w:lineRule="auto"/>
    </w:pPr>
    <w:rPr>
      <w:sz w:val="24"/>
      <w:szCs w:val="24"/>
    </w:rPr>
  </w:style>
  <w:style w:type="character" w:customStyle="1" w:styleId="CommentTextChar">
    <w:name w:val="Comment Text Char"/>
    <w:basedOn w:val="DefaultParagraphFont"/>
    <w:link w:val="CommentText"/>
    <w:uiPriority w:val="99"/>
    <w:semiHidden/>
    <w:rsid w:val="00F65EEE"/>
    <w:rPr>
      <w:sz w:val="24"/>
      <w:szCs w:val="24"/>
    </w:rPr>
  </w:style>
  <w:style w:type="paragraph" w:styleId="CommentSubject">
    <w:name w:val="annotation subject"/>
    <w:basedOn w:val="CommentText"/>
    <w:next w:val="CommentText"/>
    <w:link w:val="CommentSubjectChar"/>
    <w:uiPriority w:val="99"/>
    <w:semiHidden/>
    <w:unhideWhenUsed/>
    <w:rsid w:val="00F65EEE"/>
    <w:rPr>
      <w:b/>
      <w:bCs/>
      <w:sz w:val="20"/>
      <w:szCs w:val="20"/>
    </w:rPr>
  </w:style>
  <w:style w:type="character" w:customStyle="1" w:styleId="CommentSubjectChar">
    <w:name w:val="Comment Subject Char"/>
    <w:basedOn w:val="CommentTextChar"/>
    <w:link w:val="CommentSubject"/>
    <w:uiPriority w:val="99"/>
    <w:semiHidden/>
    <w:rsid w:val="00F65EEE"/>
    <w:rPr>
      <w:b/>
      <w:bCs/>
      <w:sz w:val="20"/>
      <w:szCs w:val="20"/>
    </w:rPr>
  </w:style>
  <w:style w:type="paragraph" w:styleId="Revision">
    <w:name w:val="Revision"/>
    <w:hidden/>
    <w:uiPriority w:val="99"/>
    <w:semiHidden/>
    <w:rsid w:val="00055A3F"/>
    <w:pPr>
      <w:spacing w:after="0" w:line="240" w:lineRule="auto"/>
    </w:pPr>
  </w:style>
  <w:style w:type="character" w:styleId="FollowedHyperlink">
    <w:name w:val="FollowedHyperlink"/>
    <w:basedOn w:val="DefaultParagraphFont"/>
    <w:uiPriority w:val="99"/>
    <w:semiHidden/>
    <w:unhideWhenUsed/>
    <w:rsid w:val="00E37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329">
      <w:bodyDiv w:val="1"/>
      <w:marLeft w:val="0"/>
      <w:marRight w:val="0"/>
      <w:marTop w:val="0"/>
      <w:marBottom w:val="0"/>
      <w:divBdr>
        <w:top w:val="none" w:sz="0" w:space="0" w:color="auto"/>
        <w:left w:val="none" w:sz="0" w:space="0" w:color="auto"/>
        <w:bottom w:val="none" w:sz="0" w:space="0" w:color="auto"/>
        <w:right w:val="none" w:sz="0" w:space="0" w:color="auto"/>
      </w:divBdr>
    </w:div>
    <w:div w:id="36047929">
      <w:bodyDiv w:val="1"/>
      <w:marLeft w:val="0"/>
      <w:marRight w:val="0"/>
      <w:marTop w:val="0"/>
      <w:marBottom w:val="0"/>
      <w:divBdr>
        <w:top w:val="none" w:sz="0" w:space="0" w:color="auto"/>
        <w:left w:val="none" w:sz="0" w:space="0" w:color="auto"/>
        <w:bottom w:val="none" w:sz="0" w:space="0" w:color="auto"/>
        <w:right w:val="none" w:sz="0" w:space="0" w:color="auto"/>
      </w:divBdr>
    </w:div>
    <w:div w:id="68962514">
      <w:bodyDiv w:val="1"/>
      <w:marLeft w:val="0"/>
      <w:marRight w:val="0"/>
      <w:marTop w:val="0"/>
      <w:marBottom w:val="0"/>
      <w:divBdr>
        <w:top w:val="none" w:sz="0" w:space="0" w:color="auto"/>
        <w:left w:val="none" w:sz="0" w:space="0" w:color="auto"/>
        <w:bottom w:val="none" w:sz="0" w:space="0" w:color="auto"/>
        <w:right w:val="none" w:sz="0" w:space="0" w:color="auto"/>
      </w:divBdr>
    </w:div>
    <w:div w:id="69230003">
      <w:bodyDiv w:val="1"/>
      <w:marLeft w:val="0"/>
      <w:marRight w:val="0"/>
      <w:marTop w:val="0"/>
      <w:marBottom w:val="0"/>
      <w:divBdr>
        <w:top w:val="none" w:sz="0" w:space="0" w:color="auto"/>
        <w:left w:val="none" w:sz="0" w:space="0" w:color="auto"/>
        <w:bottom w:val="none" w:sz="0" w:space="0" w:color="auto"/>
        <w:right w:val="none" w:sz="0" w:space="0" w:color="auto"/>
      </w:divBdr>
    </w:div>
    <w:div w:id="74981060">
      <w:bodyDiv w:val="1"/>
      <w:marLeft w:val="0"/>
      <w:marRight w:val="0"/>
      <w:marTop w:val="0"/>
      <w:marBottom w:val="0"/>
      <w:divBdr>
        <w:top w:val="none" w:sz="0" w:space="0" w:color="auto"/>
        <w:left w:val="none" w:sz="0" w:space="0" w:color="auto"/>
        <w:bottom w:val="none" w:sz="0" w:space="0" w:color="auto"/>
        <w:right w:val="none" w:sz="0" w:space="0" w:color="auto"/>
      </w:divBdr>
    </w:div>
    <w:div w:id="78795455">
      <w:bodyDiv w:val="1"/>
      <w:marLeft w:val="0"/>
      <w:marRight w:val="0"/>
      <w:marTop w:val="0"/>
      <w:marBottom w:val="0"/>
      <w:divBdr>
        <w:top w:val="none" w:sz="0" w:space="0" w:color="auto"/>
        <w:left w:val="none" w:sz="0" w:space="0" w:color="auto"/>
        <w:bottom w:val="none" w:sz="0" w:space="0" w:color="auto"/>
        <w:right w:val="none" w:sz="0" w:space="0" w:color="auto"/>
      </w:divBdr>
    </w:div>
    <w:div w:id="81148327">
      <w:bodyDiv w:val="1"/>
      <w:marLeft w:val="0"/>
      <w:marRight w:val="0"/>
      <w:marTop w:val="0"/>
      <w:marBottom w:val="0"/>
      <w:divBdr>
        <w:top w:val="none" w:sz="0" w:space="0" w:color="auto"/>
        <w:left w:val="none" w:sz="0" w:space="0" w:color="auto"/>
        <w:bottom w:val="none" w:sz="0" w:space="0" w:color="auto"/>
        <w:right w:val="none" w:sz="0" w:space="0" w:color="auto"/>
      </w:divBdr>
      <w:divsChild>
        <w:div w:id="968360883">
          <w:marLeft w:val="225"/>
          <w:marRight w:val="225"/>
          <w:marTop w:val="0"/>
          <w:marBottom w:val="225"/>
          <w:divBdr>
            <w:top w:val="none" w:sz="0" w:space="0" w:color="auto"/>
            <w:left w:val="none" w:sz="0" w:space="0" w:color="auto"/>
            <w:bottom w:val="none" w:sz="0" w:space="0" w:color="auto"/>
            <w:right w:val="none" w:sz="0" w:space="0" w:color="auto"/>
          </w:divBdr>
          <w:divsChild>
            <w:div w:id="99957699">
              <w:marLeft w:val="0"/>
              <w:marRight w:val="0"/>
              <w:marTop w:val="0"/>
              <w:marBottom w:val="0"/>
              <w:divBdr>
                <w:top w:val="none" w:sz="0" w:space="0" w:color="auto"/>
                <w:left w:val="none" w:sz="0" w:space="0" w:color="auto"/>
                <w:bottom w:val="none" w:sz="0" w:space="0" w:color="auto"/>
                <w:right w:val="none" w:sz="0" w:space="0" w:color="auto"/>
              </w:divBdr>
            </w:div>
          </w:divsChild>
        </w:div>
        <w:div w:id="1622759800">
          <w:marLeft w:val="225"/>
          <w:marRight w:val="225"/>
          <w:marTop w:val="0"/>
          <w:marBottom w:val="300"/>
          <w:divBdr>
            <w:top w:val="none" w:sz="0" w:space="0" w:color="auto"/>
            <w:left w:val="none" w:sz="0" w:space="0" w:color="auto"/>
            <w:bottom w:val="none" w:sz="0" w:space="0" w:color="auto"/>
            <w:right w:val="none" w:sz="0" w:space="0" w:color="auto"/>
          </w:divBdr>
          <w:divsChild>
            <w:div w:id="16849416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3689806">
      <w:bodyDiv w:val="1"/>
      <w:marLeft w:val="0"/>
      <w:marRight w:val="0"/>
      <w:marTop w:val="0"/>
      <w:marBottom w:val="0"/>
      <w:divBdr>
        <w:top w:val="none" w:sz="0" w:space="0" w:color="auto"/>
        <w:left w:val="none" w:sz="0" w:space="0" w:color="auto"/>
        <w:bottom w:val="none" w:sz="0" w:space="0" w:color="auto"/>
        <w:right w:val="none" w:sz="0" w:space="0" w:color="auto"/>
      </w:divBdr>
    </w:div>
    <w:div w:id="94520639">
      <w:bodyDiv w:val="1"/>
      <w:marLeft w:val="0"/>
      <w:marRight w:val="0"/>
      <w:marTop w:val="0"/>
      <w:marBottom w:val="0"/>
      <w:divBdr>
        <w:top w:val="none" w:sz="0" w:space="0" w:color="auto"/>
        <w:left w:val="none" w:sz="0" w:space="0" w:color="auto"/>
        <w:bottom w:val="none" w:sz="0" w:space="0" w:color="auto"/>
        <w:right w:val="none" w:sz="0" w:space="0" w:color="auto"/>
      </w:divBdr>
    </w:div>
    <w:div w:id="100494239">
      <w:bodyDiv w:val="1"/>
      <w:marLeft w:val="0"/>
      <w:marRight w:val="0"/>
      <w:marTop w:val="0"/>
      <w:marBottom w:val="0"/>
      <w:divBdr>
        <w:top w:val="none" w:sz="0" w:space="0" w:color="auto"/>
        <w:left w:val="none" w:sz="0" w:space="0" w:color="auto"/>
        <w:bottom w:val="none" w:sz="0" w:space="0" w:color="auto"/>
        <w:right w:val="none" w:sz="0" w:space="0" w:color="auto"/>
      </w:divBdr>
    </w:div>
    <w:div w:id="114183979">
      <w:bodyDiv w:val="1"/>
      <w:marLeft w:val="0"/>
      <w:marRight w:val="0"/>
      <w:marTop w:val="0"/>
      <w:marBottom w:val="0"/>
      <w:divBdr>
        <w:top w:val="none" w:sz="0" w:space="0" w:color="auto"/>
        <w:left w:val="none" w:sz="0" w:space="0" w:color="auto"/>
        <w:bottom w:val="none" w:sz="0" w:space="0" w:color="auto"/>
        <w:right w:val="none" w:sz="0" w:space="0" w:color="auto"/>
      </w:divBdr>
    </w:div>
    <w:div w:id="136798147">
      <w:bodyDiv w:val="1"/>
      <w:marLeft w:val="0"/>
      <w:marRight w:val="0"/>
      <w:marTop w:val="0"/>
      <w:marBottom w:val="0"/>
      <w:divBdr>
        <w:top w:val="none" w:sz="0" w:space="0" w:color="auto"/>
        <w:left w:val="none" w:sz="0" w:space="0" w:color="auto"/>
        <w:bottom w:val="none" w:sz="0" w:space="0" w:color="auto"/>
        <w:right w:val="none" w:sz="0" w:space="0" w:color="auto"/>
      </w:divBdr>
    </w:div>
    <w:div w:id="148443806">
      <w:bodyDiv w:val="1"/>
      <w:marLeft w:val="0"/>
      <w:marRight w:val="0"/>
      <w:marTop w:val="0"/>
      <w:marBottom w:val="0"/>
      <w:divBdr>
        <w:top w:val="none" w:sz="0" w:space="0" w:color="auto"/>
        <w:left w:val="none" w:sz="0" w:space="0" w:color="auto"/>
        <w:bottom w:val="none" w:sz="0" w:space="0" w:color="auto"/>
        <w:right w:val="none" w:sz="0" w:space="0" w:color="auto"/>
      </w:divBdr>
    </w:div>
    <w:div w:id="162359705">
      <w:bodyDiv w:val="1"/>
      <w:marLeft w:val="0"/>
      <w:marRight w:val="0"/>
      <w:marTop w:val="0"/>
      <w:marBottom w:val="0"/>
      <w:divBdr>
        <w:top w:val="none" w:sz="0" w:space="0" w:color="auto"/>
        <w:left w:val="none" w:sz="0" w:space="0" w:color="auto"/>
        <w:bottom w:val="none" w:sz="0" w:space="0" w:color="auto"/>
        <w:right w:val="none" w:sz="0" w:space="0" w:color="auto"/>
      </w:divBdr>
    </w:div>
    <w:div w:id="164437596">
      <w:bodyDiv w:val="1"/>
      <w:marLeft w:val="0"/>
      <w:marRight w:val="0"/>
      <w:marTop w:val="0"/>
      <w:marBottom w:val="0"/>
      <w:divBdr>
        <w:top w:val="none" w:sz="0" w:space="0" w:color="auto"/>
        <w:left w:val="none" w:sz="0" w:space="0" w:color="auto"/>
        <w:bottom w:val="none" w:sz="0" w:space="0" w:color="auto"/>
        <w:right w:val="none" w:sz="0" w:space="0" w:color="auto"/>
      </w:divBdr>
    </w:div>
    <w:div w:id="168179316">
      <w:bodyDiv w:val="1"/>
      <w:marLeft w:val="0"/>
      <w:marRight w:val="0"/>
      <w:marTop w:val="0"/>
      <w:marBottom w:val="0"/>
      <w:divBdr>
        <w:top w:val="none" w:sz="0" w:space="0" w:color="auto"/>
        <w:left w:val="none" w:sz="0" w:space="0" w:color="auto"/>
        <w:bottom w:val="none" w:sz="0" w:space="0" w:color="auto"/>
        <w:right w:val="none" w:sz="0" w:space="0" w:color="auto"/>
      </w:divBdr>
    </w:div>
    <w:div w:id="176120531">
      <w:bodyDiv w:val="1"/>
      <w:marLeft w:val="0"/>
      <w:marRight w:val="0"/>
      <w:marTop w:val="0"/>
      <w:marBottom w:val="0"/>
      <w:divBdr>
        <w:top w:val="none" w:sz="0" w:space="0" w:color="auto"/>
        <w:left w:val="none" w:sz="0" w:space="0" w:color="auto"/>
        <w:bottom w:val="none" w:sz="0" w:space="0" w:color="auto"/>
        <w:right w:val="none" w:sz="0" w:space="0" w:color="auto"/>
      </w:divBdr>
    </w:div>
    <w:div w:id="206920427">
      <w:bodyDiv w:val="1"/>
      <w:marLeft w:val="0"/>
      <w:marRight w:val="0"/>
      <w:marTop w:val="0"/>
      <w:marBottom w:val="0"/>
      <w:divBdr>
        <w:top w:val="none" w:sz="0" w:space="0" w:color="auto"/>
        <w:left w:val="none" w:sz="0" w:space="0" w:color="auto"/>
        <w:bottom w:val="none" w:sz="0" w:space="0" w:color="auto"/>
        <w:right w:val="none" w:sz="0" w:space="0" w:color="auto"/>
      </w:divBdr>
    </w:div>
    <w:div w:id="207231457">
      <w:bodyDiv w:val="1"/>
      <w:marLeft w:val="0"/>
      <w:marRight w:val="0"/>
      <w:marTop w:val="0"/>
      <w:marBottom w:val="0"/>
      <w:divBdr>
        <w:top w:val="none" w:sz="0" w:space="0" w:color="auto"/>
        <w:left w:val="none" w:sz="0" w:space="0" w:color="auto"/>
        <w:bottom w:val="none" w:sz="0" w:space="0" w:color="auto"/>
        <w:right w:val="none" w:sz="0" w:space="0" w:color="auto"/>
      </w:divBdr>
    </w:div>
    <w:div w:id="215970355">
      <w:bodyDiv w:val="1"/>
      <w:marLeft w:val="0"/>
      <w:marRight w:val="0"/>
      <w:marTop w:val="0"/>
      <w:marBottom w:val="0"/>
      <w:divBdr>
        <w:top w:val="none" w:sz="0" w:space="0" w:color="auto"/>
        <w:left w:val="none" w:sz="0" w:space="0" w:color="auto"/>
        <w:bottom w:val="none" w:sz="0" w:space="0" w:color="auto"/>
        <w:right w:val="none" w:sz="0" w:space="0" w:color="auto"/>
      </w:divBdr>
    </w:div>
    <w:div w:id="258487649">
      <w:bodyDiv w:val="1"/>
      <w:marLeft w:val="0"/>
      <w:marRight w:val="0"/>
      <w:marTop w:val="0"/>
      <w:marBottom w:val="0"/>
      <w:divBdr>
        <w:top w:val="none" w:sz="0" w:space="0" w:color="auto"/>
        <w:left w:val="none" w:sz="0" w:space="0" w:color="auto"/>
        <w:bottom w:val="none" w:sz="0" w:space="0" w:color="auto"/>
        <w:right w:val="none" w:sz="0" w:space="0" w:color="auto"/>
      </w:divBdr>
    </w:div>
    <w:div w:id="274601917">
      <w:bodyDiv w:val="1"/>
      <w:marLeft w:val="0"/>
      <w:marRight w:val="0"/>
      <w:marTop w:val="0"/>
      <w:marBottom w:val="0"/>
      <w:divBdr>
        <w:top w:val="none" w:sz="0" w:space="0" w:color="auto"/>
        <w:left w:val="none" w:sz="0" w:space="0" w:color="auto"/>
        <w:bottom w:val="none" w:sz="0" w:space="0" w:color="auto"/>
        <w:right w:val="none" w:sz="0" w:space="0" w:color="auto"/>
      </w:divBdr>
    </w:div>
    <w:div w:id="291443275">
      <w:bodyDiv w:val="1"/>
      <w:marLeft w:val="0"/>
      <w:marRight w:val="0"/>
      <w:marTop w:val="0"/>
      <w:marBottom w:val="0"/>
      <w:divBdr>
        <w:top w:val="none" w:sz="0" w:space="0" w:color="auto"/>
        <w:left w:val="none" w:sz="0" w:space="0" w:color="auto"/>
        <w:bottom w:val="none" w:sz="0" w:space="0" w:color="auto"/>
        <w:right w:val="none" w:sz="0" w:space="0" w:color="auto"/>
      </w:divBdr>
    </w:div>
    <w:div w:id="297489267">
      <w:bodyDiv w:val="1"/>
      <w:marLeft w:val="0"/>
      <w:marRight w:val="0"/>
      <w:marTop w:val="0"/>
      <w:marBottom w:val="0"/>
      <w:divBdr>
        <w:top w:val="none" w:sz="0" w:space="0" w:color="auto"/>
        <w:left w:val="none" w:sz="0" w:space="0" w:color="auto"/>
        <w:bottom w:val="none" w:sz="0" w:space="0" w:color="auto"/>
        <w:right w:val="none" w:sz="0" w:space="0" w:color="auto"/>
      </w:divBdr>
    </w:div>
    <w:div w:id="315961997">
      <w:bodyDiv w:val="1"/>
      <w:marLeft w:val="0"/>
      <w:marRight w:val="0"/>
      <w:marTop w:val="0"/>
      <w:marBottom w:val="0"/>
      <w:divBdr>
        <w:top w:val="none" w:sz="0" w:space="0" w:color="auto"/>
        <w:left w:val="none" w:sz="0" w:space="0" w:color="auto"/>
        <w:bottom w:val="none" w:sz="0" w:space="0" w:color="auto"/>
        <w:right w:val="none" w:sz="0" w:space="0" w:color="auto"/>
      </w:divBdr>
    </w:div>
    <w:div w:id="324625817">
      <w:bodyDiv w:val="1"/>
      <w:marLeft w:val="0"/>
      <w:marRight w:val="0"/>
      <w:marTop w:val="0"/>
      <w:marBottom w:val="0"/>
      <w:divBdr>
        <w:top w:val="none" w:sz="0" w:space="0" w:color="auto"/>
        <w:left w:val="none" w:sz="0" w:space="0" w:color="auto"/>
        <w:bottom w:val="none" w:sz="0" w:space="0" w:color="auto"/>
        <w:right w:val="none" w:sz="0" w:space="0" w:color="auto"/>
      </w:divBdr>
    </w:div>
    <w:div w:id="338165945">
      <w:bodyDiv w:val="1"/>
      <w:marLeft w:val="0"/>
      <w:marRight w:val="0"/>
      <w:marTop w:val="0"/>
      <w:marBottom w:val="0"/>
      <w:divBdr>
        <w:top w:val="none" w:sz="0" w:space="0" w:color="auto"/>
        <w:left w:val="none" w:sz="0" w:space="0" w:color="auto"/>
        <w:bottom w:val="none" w:sz="0" w:space="0" w:color="auto"/>
        <w:right w:val="none" w:sz="0" w:space="0" w:color="auto"/>
      </w:divBdr>
    </w:div>
    <w:div w:id="349453941">
      <w:bodyDiv w:val="1"/>
      <w:marLeft w:val="0"/>
      <w:marRight w:val="0"/>
      <w:marTop w:val="0"/>
      <w:marBottom w:val="0"/>
      <w:divBdr>
        <w:top w:val="none" w:sz="0" w:space="0" w:color="auto"/>
        <w:left w:val="none" w:sz="0" w:space="0" w:color="auto"/>
        <w:bottom w:val="none" w:sz="0" w:space="0" w:color="auto"/>
        <w:right w:val="none" w:sz="0" w:space="0" w:color="auto"/>
      </w:divBdr>
    </w:div>
    <w:div w:id="362825814">
      <w:bodyDiv w:val="1"/>
      <w:marLeft w:val="0"/>
      <w:marRight w:val="0"/>
      <w:marTop w:val="0"/>
      <w:marBottom w:val="0"/>
      <w:divBdr>
        <w:top w:val="none" w:sz="0" w:space="0" w:color="auto"/>
        <w:left w:val="none" w:sz="0" w:space="0" w:color="auto"/>
        <w:bottom w:val="none" w:sz="0" w:space="0" w:color="auto"/>
        <w:right w:val="none" w:sz="0" w:space="0" w:color="auto"/>
      </w:divBdr>
    </w:div>
    <w:div w:id="363604979">
      <w:bodyDiv w:val="1"/>
      <w:marLeft w:val="0"/>
      <w:marRight w:val="0"/>
      <w:marTop w:val="0"/>
      <w:marBottom w:val="0"/>
      <w:divBdr>
        <w:top w:val="none" w:sz="0" w:space="0" w:color="auto"/>
        <w:left w:val="none" w:sz="0" w:space="0" w:color="auto"/>
        <w:bottom w:val="none" w:sz="0" w:space="0" w:color="auto"/>
        <w:right w:val="none" w:sz="0" w:space="0" w:color="auto"/>
      </w:divBdr>
    </w:div>
    <w:div w:id="368184497">
      <w:bodyDiv w:val="1"/>
      <w:marLeft w:val="0"/>
      <w:marRight w:val="0"/>
      <w:marTop w:val="0"/>
      <w:marBottom w:val="0"/>
      <w:divBdr>
        <w:top w:val="none" w:sz="0" w:space="0" w:color="auto"/>
        <w:left w:val="none" w:sz="0" w:space="0" w:color="auto"/>
        <w:bottom w:val="none" w:sz="0" w:space="0" w:color="auto"/>
        <w:right w:val="none" w:sz="0" w:space="0" w:color="auto"/>
      </w:divBdr>
    </w:div>
    <w:div w:id="368992616">
      <w:bodyDiv w:val="1"/>
      <w:marLeft w:val="0"/>
      <w:marRight w:val="0"/>
      <w:marTop w:val="0"/>
      <w:marBottom w:val="0"/>
      <w:divBdr>
        <w:top w:val="none" w:sz="0" w:space="0" w:color="auto"/>
        <w:left w:val="none" w:sz="0" w:space="0" w:color="auto"/>
        <w:bottom w:val="none" w:sz="0" w:space="0" w:color="auto"/>
        <w:right w:val="none" w:sz="0" w:space="0" w:color="auto"/>
      </w:divBdr>
    </w:div>
    <w:div w:id="373310803">
      <w:bodyDiv w:val="1"/>
      <w:marLeft w:val="0"/>
      <w:marRight w:val="0"/>
      <w:marTop w:val="0"/>
      <w:marBottom w:val="0"/>
      <w:divBdr>
        <w:top w:val="none" w:sz="0" w:space="0" w:color="auto"/>
        <w:left w:val="none" w:sz="0" w:space="0" w:color="auto"/>
        <w:bottom w:val="none" w:sz="0" w:space="0" w:color="auto"/>
        <w:right w:val="none" w:sz="0" w:space="0" w:color="auto"/>
      </w:divBdr>
    </w:div>
    <w:div w:id="382291850">
      <w:bodyDiv w:val="1"/>
      <w:marLeft w:val="0"/>
      <w:marRight w:val="0"/>
      <w:marTop w:val="0"/>
      <w:marBottom w:val="0"/>
      <w:divBdr>
        <w:top w:val="none" w:sz="0" w:space="0" w:color="auto"/>
        <w:left w:val="none" w:sz="0" w:space="0" w:color="auto"/>
        <w:bottom w:val="none" w:sz="0" w:space="0" w:color="auto"/>
        <w:right w:val="none" w:sz="0" w:space="0" w:color="auto"/>
      </w:divBdr>
    </w:div>
    <w:div w:id="437024768">
      <w:bodyDiv w:val="1"/>
      <w:marLeft w:val="0"/>
      <w:marRight w:val="0"/>
      <w:marTop w:val="0"/>
      <w:marBottom w:val="0"/>
      <w:divBdr>
        <w:top w:val="none" w:sz="0" w:space="0" w:color="auto"/>
        <w:left w:val="none" w:sz="0" w:space="0" w:color="auto"/>
        <w:bottom w:val="none" w:sz="0" w:space="0" w:color="auto"/>
        <w:right w:val="none" w:sz="0" w:space="0" w:color="auto"/>
      </w:divBdr>
    </w:div>
    <w:div w:id="441803451">
      <w:bodyDiv w:val="1"/>
      <w:marLeft w:val="0"/>
      <w:marRight w:val="0"/>
      <w:marTop w:val="0"/>
      <w:marBottom w:val="0"/>
      <w:divBdr>
        <w:top w:val="none" w:sz="0" w:space="0" w:color="auto"/>
        <w:left w:val="none" w:sz="0" w:space="0" w:color="auto"/>
        <w:bottom w:val="none" w:sz="0" w:space="0" w:color="auto"/>
        <w:right w:val="none" w:sz="0" w:space="0" w:color="auto"/>
      </w:divBdr>
    </w:div>
    <w:div w:id="451631003">
      <w:bodyDiv w:val="1"/>
      <w:marLeft w:val="0"/>
      <w:marRight w:val="0"/>
      <w:marTop w:val="0"/>
      <w:marBottom w:val="0"/>
      <w:divBdr>
        <w:top w:val="none" w:sz="0" w:space="0" w:color="auto"/>
        <w:left w:val="none" w:sz="0" w:space="0" w:color="auto"/>
        <w:bottom w:val="none" w:sz="0" w:space="0" w:color="auto"/>
        <w:right w:val="none" w:sz="0" w:space="0" w:color="auto"/>
      </w:divBdr>
      <w:divsChild>
        <w:div w:id="940801133">
          <w:marLeft w:val="0"/>
          <w:marRight w:val="0"/>
          <w:marTop w:val="0"/>
          <w:marBottom w:val="0"/>
          <w:divBdr>
            <w:top w:val="none" w:sz="0" w:space="0" w:color="auto"/>
            <w:left w:val="none" w:sz="0" w:space="0" w:color="auto"/>
            <w:bottom w:val="none" w:sz="0" w:space="0" w:color="auto"/>
            <w:right w:val="none" w:sz="0" w:space="0" w:color="auto"/>
          </w:divBdr>
          <w:divsChild>
            <w:div w:id="2113277487">
              <w:marLeft w:val="0"/>
              <w:marRight w:val="0"/>
              <w:marTop w:val="0"/>
              <w:marBottom w:val="0"/>
              <w:divBdr>
                <w:top w:val="none" w:sz="0" w:space="0" w:color="auto"/>
                <w:left w:val="none" w:sz="0" w:space="0" w:color="auto"/>
                <w:bottom w:val="none" w:sz="0" w:space="0" w:color="auto"/>
                <w:right w:val="none" w:sz="0" w:space="0" w:color="auto"/>
              </w:divBdr>
              <w:divsChild>
                <w:div w:id="6714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8246">
      <w:bodyDiv w:val="1"/>
      <w:marLeft w:val="0"/>
      <w:marRight w:val="0"/>
      <w:marTop w:val="0"/>
      <w:marBottom w:val="0"/>
      <w:divBdr>
        <w:top w:val="none" w:sz="0" w:space="0" w:color="auto"/>
        <w:left w:val="none" w:sz="0" w:space="0" w:color="auto"/>
        <w:bottom w:val="none" w:sz="0" w:space="0" w:color="auto"/>
        <w:right w:val="none" w:sz="0" w:space="0" w:color="auto"/>
      </w:divBdr>
    </w:div>
    <w:div w:id="451944391">
      <w:bodyDiv w:val="1"/>
      <w:marLeft w:val="0"/>
      <w:marRight w:val="0"/>
      <w:marTop w:val="0"/>
      <w:marBottom w:val="0"/>
      <w:divBdr>
        <w:top w:val="none" w:sz="0" w:space="0" w:color="auto"/>
        <w:left w:val="none" w:sz="0" w:space="0" w:color="auto"/>
        <w:bottom w:val="none" w:sz="0" w:space="0" w:color="auto"/>
        <w:right w:val="none" w:sz="0" w:space="0" w:color="auto"/>
      </w:divBdr>
    </w:div>
    <w:div w:id="478884736">
      <w:bodyDiv w:val="1"/>
      <w:marLeft w:val="0"/>
      <w:marRight w:val="0"/>
      <w:marTop w:val="0"/>
      <w:marBottom w:val="0"/>
      <w:divBdr>
        <w:top w:val="none" w:sz="0" w:space="0" w:color="auto"/>
        <w:left w:val="none" w:sz="0" w:space="0" w:color="auto"/>
        <w:bottom w:val="none" w:sz="0" w:space="0" w:color="auto"/>
        <w:right w:val="none" w:sz="0" w:space="0" w:color="auto"/>
      </w:divBdr>
    </w:div>
    <w:div w:id="489174019">
      <w:bodyDiv w:val="1"/>
      <w:marLeft w:val="0"/>
      <w:marRight w:val="0"/>
      <w:marTop w:val="0"/>
      <w:marBottom w:val="0"/>
      <w:divBdr>
        <w:top w:val="none" w:sz="0" w:space="0" w:color="auto"/>
        <w:left w:val="none" w:sz="0" w:space="0" w:color="auto"/>
        <w:bottom w:val="none" w:sz="0" w:space="0" w:color="auto"/>
        <w:right w:val="none" w:sz="0" w:space="0" w:color="auto"/>
      </w:divBdr>
    </w:div>
    <w:div w:id="493179301">
      <w:bodyDiv w:val="1"/>
      <w:marLeft w:val="0"/>
      <w:marRight w:val="0"/>
      <w:marTop w:val="0"/>
      <w:marBottom w:val="0"/>
      <w:divBdr>
        <w:top w:val="none" w:sz="0" w:space="0" w:color="auto"/>
        <w:left w:val="none" w:sz="0" w:space="0" w:color="auto"/>
        <w:bottom w:val="none" w:sz="0" w:space="0" w:color="auto"/>
        <w:right w:val="none" w:sz="0" w:space="0" w:color="auto"/>
      </w:divBdr>
    </w:div>
    <w:div w:id="494928282">
      <w:bodyDiv w:val="1"/>
      <w:marLeft w:val="0"/>
      <w:marRight w:val="0"/>
      <w:marTop w:val="0"/>
      <w:marBottom w:val="0"/>
      <w:divBdr>
        <w:top w:val="none" w:sz="0" w:space="0" w:color="auto"/>
        <w:left w:val="none" w:sz="0" w:space="0" w:color="auto"/>
        <w:bottom w:val="none" w:sz="0" w:space="0" w:color="auto"/>
        <w:right w:val="none" w:sz="0" w:space="0" w:color="auto"/>
      </w:divBdr>
    </w:div>
    <w:div w:id="517621934">
      <w:bodyDiv w:val="1"/>
      <w:marLeft w:val="0"/>
      <w:marRight w:val="0"/>
      <w:marTop w:val="0"/>
      <w:marBottom w:val="0"/>
      <w:divBdr>
        <w:top w:val="none" w:sz="0" w:space="0" w:color="auto"/>
        <w:left w:val="none" w:sz="0" w:space="0" w:color="auto"/>
        <w:bottom w:val="none" w:sz="0" w:space="0" w:color="auto"/>
        <w:right w:val="none" w:sz="0" w:space="0" w:color="auto"/>
      </w:divBdr>
    </w:div>
    <w:div w:id="522204713">
      <w:bodyDiv w:val="1"/>
      <w:marLeft w:val="0"/>
      <w:marRight w:val="0"/>
      <w:marTop w:val="0"/>
      <w:marBottom w:val="0"/>
      <w:divBdr>
        <w:top w:val="none" w:sz="0" w:space="0" w:color="auto"/>
        <w:left w:val="none" w:sz="0" w:space="0" w:color="auto"/>
        <w:bottom w:val="none" w:sz="0" w:space="0" w:color="auto"/>
        <w:right w:val="none" w:sz="0" w:space="0" w:color="auto"/>
      </w:divBdr>
      <w:divsChild>
        <w:div w:id="963921275">
          <w:marLeft w:val="0"/>
          <w:marRight w:val="0"/>
          <w:marTop w:val="0"/>
          <w:marBottom w:val="0"/>
          <w:divBdr>
            <w:top w:val="none" w:sz="0" w:space="0" w:color="auto"/>
            <w:left w:val="none" w:sz="0" w:space="0" w:color="auto"/>
            <w:bottom w:val="none" w:sz="0" w:space="0" w:color="auto"/>
            <w:right w:val="none" w:sz="0" w:space="0" w:color="auto"/>
          </w:divBdr>
        </w:div>
      </w:divsChild>
    </w:div>
    <w:div w:id="557130352">
      <w:bodyDiv w:val="1"/>
      <w:marLeft w:val="0"/>
      <w:marRight w:val="0"/>
      <w:marTop w:val="0"/>
      <w:marBottom w:val="0"/>
      <w:divBdr>
        <w:top w:val="none" w:sz="0" w:space="0" w:color="auto"/>
        <w:left w:val="none" w:sz="0" w:space="0" w:color="auto"/>
        <w:bottom w:val="none" w:sz="0" w:space="0" w:color="auto"/>
        <w:right w:val="none" w:sz="0" w:space="0" w:color="auto"/>
      </w:divBdr>
    </w:div>
    <w:div w:id="567497701">
      <w:bodyDiv w:val="1"/>
      <w:marLeft w:val="0"/>
      <w:marRight w:val="0"/>
      <w:marTop w:val="0"/>
      <w:marBottom w:val="0"/>
      <w:divBdr>
        <w:top w:val="none" w:sz="0" w:space="0" w:color="auto"/>
        <w:left w:val="none" w:sz="0" w:space="0" w:color="auto"/>
        <w:bottom w:val="none" w:sz="0" w:space="0" w:color="auto"/>
        <w:right w:val="none" w:sz="0" w:space="0" w:color="auto"/>
      </w:divBdr>
    </w:div>
    <w:div w:id="580869683">
      <w:bodyDiv w:val="1"/>
      <w:marLeft w:val="0"/>
      <w:marRight w:val="0"/>
      <w:marTop w:val="0"/>
      <w:marBottom w:val="0"/>
      <w:divBdr>
        <w:top w:val="none" w:sz="0" w:space="0" w:color="auto"/>
        <w:left w:val="none" w:sz="0" w:space="0" w:color="auto"/>
        <w:bottom w:val="none" w:sz="0" w:space="0" w:color="auto"/>
        <w:right w:val="none" w:sz="0" w:space="0" w:color="auto"/>
      </w:divBdr>
    </w:div>
    <w:div w:id="595478255">
      <w:bodyDiv w:val="1"/>
      <w:marLeft w:val="0"/>
      <w:marRight w:val="0"/>
      <w:marTop w:val="0"/>
      <w:marBottom w:val="0"/>
      <w:divBdr>
        <w:top w:val="none" w:sz="0" w:space="0" w:color="auto"/>
        <w:left w:val="none" w:sz="0" w:space="0" w:color="auto"/>
        <w:bottom w:val="none" w:sz="0" w:space="0" w:color="auto"/>
        <w:right w:val="none" w:sz="0" w:space="0" w:color="auto"/>
      </w:divBdr>
    </w:div>
    <w:div w:id="598223088">
      <w:bodyDiv w:val="1"/>
      <w:marLeft w:val="0"/>
      <w:marRight w:val="0"/>
      <w:marTop w:val="0"/>
      <w:marBottom w:val="0"/>
      <w:divBdr>
        <w:top w:val="none" w:sz="0" w:space="0" w:color="auto"/>
        <w:left w:val="none" w:sz="0" w:space="0" w:color="auto"/>
        <w:bottom w:val="none" w:sz="0" w:space="0" w:color="auto"/>
        <w:right w:val="none" w:sz="0" w:space="0" w:color="auto"/>
      </w:divBdr>
    </w:div>
    <w:div w:id="623120956">
      <w:bodyDiv w:val="1"/>
      <w:marLeft w:val="0"/>
      <w:marRight w:val="0"/>
      <w:marTop w:val="0"/>
      <w:marBottom w:val="0"/>
      <w:divBdr>
        <w:top w:val="none" w:sz="0" w:space="0" w:color="auto"/>
        <w:left w:val="none" w:sz="0" w:space="0" w:color="auto"/>
        <w:bottom w:val="none" w:sz="0" w:space="0" w:color="auto"/>
        <w:right w:val="none" w:sz="0" w:space="0" w:color="auto"/>
      </w:divBdr>
    </w:div>
    <w:div w:id="626857181">
      <w:bodyDiv w:val="1"/>
      <w:marLeft w:val="0"/>
      <w:marRight w:val="0"/>
      <w:marTop w:val="0"/>
      <w:marBottom w:val="0"/>
      <w:divBdr>
        <w:top w:val="none" w:sz="0" w:space="0" w:color="auto"/>
        <w:left w:val="none" w:sz="0" w:space="0" w:color="auto"/>
        <w:bottom w:val="none" w:sz="0" w:space="0" w:color="auto"/>
        <w:right w:val="none" w:sz="0" w:space="0" w:color="auto"/>
      </w:divBdr>
    </w:div>
    <w:div w:id="648024986">
      <w:bodyDiv w:val="1"/>
      <w:marLeft w:val="0"/>
      <w:marRight w:val="0"/>
      <w:marTop w:val="0"/>
      <w:marBottom w:val="0"/>
      <w:divBdr>
        <w:top w:val="none" w:sz="0" w:space="0" w:color="auto"/>
        <w:left w:val="none" w:sz="0" w:space="0" w:color="auto"/>
        <w:bottom w:val="none" w:sz="0" w:space="0" w:color="auto"/>
        <w:right w:val="none" w:sz="0" w:space="0" w:color="auto"/>
      </w:divBdr>
    </w:div>
    <w:div w:id="654838419">
      <w:bodyDiv w:val="1"/>
      <w:marLeft w:val="0"/>
      <w:marRight w:val="0"/>
      <w:marTop w:val="0"/>
      <w:marBottom w:val="0"/>
      <w:divBdr>
        <w:top w:val="none" w:sz="0" w:space="0" w:color="auto"/>
        <w:left w:val="none" w:sz="0" w:space="0" w:color="auto"/>
        <w:bottom w:val="none" w:sz="0" w:space="0" w:color="auto"/>
        <w:right w:val="none" w:sz="0" w:space="0" w:color="auto"/>
      </w:divBdr>
    </w:div>
    <w:div w:id="655886197">
      <w:bodyDiv w:val="1"/>
      <w:marLeft w:val="0"/>
      <w:marRight w:val="0"/>
      <w:marTop w:val="0"/>
      <w:marBottom w:val="0"/>
      <w:divBdr>
        <w:top w:val="none" w:sz="0" w:space="0" w:color="auto"/>
        <w:left w:val="none" w:sz="0" w:space="0" w:color="auto"/>
        <w:bottom w:val="none" w:sz="0" w:space="0" w:color="auto"/>
        <w:right w:val="none" w:sz="0" w:space="0" w:color="auto"/>
      </w:divBdr>
    </w:div>
    <w:div w:id="679697665">
      <w:bodyDiv w:val="1"/>
      <w:marLeft w:val="0"/>
      <w:marRight w:val="0"/>
      <w:marTop w:val="0"/>
      <w:marBottom w:val="0"/>
      <w:divBdr>
        <w:top w:val="none" w:sz="0" w:space="0" w:color="auto"/>
        <w:left w:val="none" w:sz="0" w:space="0" w:color="auto"/>
        <w:bottom w:val="none" w:sz="0" w:space="0" w:color="auto"/>
        <w:right w:val="none" w:sz="0" w:space="0" w:color="auto"/>
      </w:divBdr>
    </w:div>
    <w:div w:id="687215470">
      <w:bodyDiv w:val="1"/>
      <w:marLeft w:val="0"/>
      <w:marRight w:val="0"/>
      <w:marTop w:val="0"/>
      <w:marBottom w:val="0"/>
      <w:divBdr>
        <w:top w:val="none" w:sz="0" w:space="0" w:color="auto"/>
        <w:left w:val="none" w:sz="0" w:space="0" w:color="auto"/>
        <w:bottom w:val="none" w:sz="0" w:space="0" w:color="auto"/>
        <w:right w:val="none" w:sz="0" w:space="0" w:color="auto"/>
      </w:divBdr>
      <w:divsChild>
        <w:div w:id="625935278">
          <w:marLeft w:val="0"/>
          <w:marRight w:val="0"/>
          <w:marTop w:val="0"/>
          <w:marBottom w:val="0"/>
          <w:divBdr>
            <w:top w:val="none" w:sz="0" w:space="0" w:color="auto"/>
            <w:left w:val="none" w:sz="0" w:space="0" w:color="auto"/>
            <w:bottom w:val="none" w:sz="0" w:space="0" w:color="auto"/>
            <w:right w:val="none" w:sz="0" w:space="0" w:color="auto"/>
          </w:divBdr>
        </w:div>
      </w:divsChild>
    </w:div>
    <w:div w:id="734856864">
      <w:bodyDiv w:val="1"/>
      <w:marLeft w:val="0"/>
      <w:marRight w:val="0"/>
      <w:marTop w:val="0"/>
      <w:marBottom w:val="0"/>
      <w:divBdr>
        <w:top w:val="none" w:sz="0" w:space="0" w:color="auto"/>
        <w:left w:val="none" w:sz="0" w:space="0" w:color="auto"/>
        <w:bottom w:val="none" w:sz="0" w:space="0" w:color="auto"/>
        <w:right w:val="none" w:sz="0" w:space="0" w:color="auto"/>
      </w:divBdr>
    </w:div>
    <w:div w:id="761293338">
      <w:bodyDiv w:val="1"/>
      <w:marLeft w:val="0"/>
      <w:marRight w:val="0"/>
      <w:marTop w:val="0"/>
      <w:marBottom w:val="0"/>
      <w:divBdr>
        <w:top w:val="none" w:sz="0" w:space="0" w:color="auto"/>
        <w:left w:val="none" w:sz="0" w:space="0" w:color="auto"/>
        <w:bottom w:val="none" w:sz="0" w:space="0" w:color="auto"/>
        <w:right w:val="none" w:sz="0" w:space="0" w:color="auto"/>
      </w:divBdr>
    </w:div>
    <w:div w:id="779764542">
      <w:bodyDiv w:val="1"/>
      <w:marLeft w:val="0"/>
      <w:marRight w:val="0"/>
      <w:marTop w:val="0"/>
      <w:marBottom w:val="0"/>
      <w:divBdr>
        <w:top w:val="none" w:sz="0" w:space="0" w:color="auto"/>
        <w:left w:val="none" w:sz="0" w:space="0" w:color="auto"/>
        <w:bottom w:val="none" w:sz="0" w:space="0" w:color="auto"/>
        <w:right w:val="none" w:sz="0" w:space="0" w:color="auto"/>
      </w:divBdr>
    </w:div>
    <w:div w:id="802768911">
      <w:bodyDiv w:val="1"/>
      <w:marLeft w:val="0"/>
      <w:marRight w:val="0"/>
      <w:marTop w:val="0"/>
      <w:marBottom w:val="0"/>
      <w:divBdr>
        <w:top w:val="none" w:sz="0" w:space="0" w:color="auto"/>
        <w:left w:val="none" w:sz="0" w:space="0" w:color="auto"/>
        <w:bottom w:val="none" w:sz="0" w:space="0" w:color="auto"/>
        <w:right w:val="none" w:sz="0" w:space="0" w:color="auto"/>
      </w:divBdr>
    </w:div>
    <w:div w:id="811289278">
      <w:bodyDiv w:val="1"/>
      <w:marLeft w:val="0"/>
      <w:marRight w:val="0"/>
      <w:marTop w:val="0"/>
      <w:marBottom w:val="0"/>
      <w:divBdr>
        <w:top w:val="none" w:sz="0" w:space="0" w:color="auto"/>
        <w:left w:val="none" w:sz="0" w:space="0" w:color="auto"/>
        <w:bottom w:val="none" w:sz="0" w:space="0" w:color="auto"/>
        <w:right w:val="none" w:sz="0" w:space="0" w:color="auto"/>
      </w:divBdr>
    </w:div>
    <w:div w:id="830407454">
      <w:bodyDiv w:val="1"/>
      <w:marLeft w:val="0"/>
      <w:marRight w:val="0"/>
      <w:marTop w:val="0"/>
      <w:marBottom w:val="0"/>
      <w:divBdr>
        <w:top w:val="none" w:sz="0" w:space="0" w:color="auto"/>
        <w:left w:val="none" w:sz="0" w:space="0" w:color="auto"/>
        <w:bottom w:val="none" w:sz="0" w:space="0" w:color="auto"/>
        <w:right w:val="none" w:sz="0" w:space="0" w:color="auto"/>
      </w:divBdr>
    </w:div>
    <w:div w:id="831869487">
      <w:bodyDiv w:val="1"/>
      <w:marLeft w:val="0"/>
      <w:marRight w:val="0"/>
      <w:marTop w:val="0"/>
      <w:marBottom w:val="0"/>
      <w:divBdr>
        <w:top w:val="none" w:sz="0" w:space="0" w:color="auto"/>
        <w:left w:val="none" w:sz="0" w:space="0" w:color="auto"/>
        <w:bottom w:val="none" w:sz="0" w:space="0" w:color="auto"/>
        <w:right w:val="none" w:sz="0" w:space="0" w:color="auto"/>
      </w:divBdr>
    </w:div>
    <w:div w:id="893007689">
      <w:bodyDiv w:val="1"/>
      <w:marLeft w:val="0"/>
      <w:marRight w:val="0"/>
      <w:marTop w:val="0"/>
      <w:marBottom w:val="0"/>
      <w:divBdr>
        <w:top w:val="none" w:sz="0" w:space="0" w:color="auto"/>
        <w:left w:val="none" w:sz="0" w:space="0" w:color="auto"/>
        <w:bottom w:val="none" w:sz="0" w:space="0" w:color="auto"/>
        <w:right w:val="none" w:sz="0" w:space="0" w:color="auto"/>
      </w:divBdr>
      <w:divsChild>
        <w:div w:id="304899661">
          <w:marLeft w:val="0"/>
          <w:marRight w:val="0"/>
          <w:marTop w:val="300"/>
          <w:marBottom w:val="0"/>
          <w:divBdr>
            <w:top w:val="none" w:sz="0" w:space="0" w:color="auto"/>
            <w:left w:val="none" w:sz="0" w:space="0" w:color="auto"/>
            <w:bottom w:val="none" w:sz="0" w:space="0" w:color="auto"/>
            <w:right w:val="none" w:sz="0" w:space="0" w:color="auto"/>
          </w:divBdr>
          <w:divsChild>
            <w:div w:id="16478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4760">
      <w:bodyDiv w:val="1"/>
      <w:marLeft w:val="0"/>
      <w:marRight w:val="0"/>
      <w:marTop w:val="0"/>
      <w:marBottom w:val="0"/>
      <w:divBdr>
        <w:top w:val="none" w:sz="0" w:space="0" w:color="auto"/>
        <w:left w:val="none" w:sz="0" w:space="0" w:color="auto"/>
        <w:bottom w:val="none" w:sz="0" w:space="0" w:color="auto"/>
        <w:right w:val="none" w:sz="0" w:space="0" w:color="auto"/>
      </w:divBdr>
    </w:div>
    <w:div w:id="899943930">
      <w:bodyDiv w:val="1"/>
      <w:marLeft w:val="0"/>
      <w:marRight w:val="0"/>
      <w:marTop w:val="0"/>
      <w:marBottom w:val="0"/>
      <w:divBdr>
        <w:top w:val="none" w:sz="0" w:space="0" w:color="auto"/>
        <w:left w:val="none" w:sz="0" w:space="0" w:color="auto"/>
        <w:bottom w:val="none" w:sz="0" w:space="0" w:color="auto"/>
        <w:right w:val="none" w:sz="0" w:space="0" w:color="auto"/>
      </w:divBdr>
    </w:div>
    <w:div w:id="960502209">
      <w:bodyDiv w:val="1"/>
      <w:marLeft w:val="0"/>
      <w:marRight w:val="0"/>
      <w:marTop w:val="0"/>
      <w:marBottom w:val="0"/>
      <w:divBdr>
        <w:top w:val="none" w:sz="0" w:space="0" w:color="auto"/>
        <w:left w:val="none" w:sz="0" w:space="0" w:color="auto"/>
        <w:bottom w:val="none" w:sz="0" w:space="0" w:color="auto"/>
        <w:right w:val="none" w:sz="0" w:space="0" w:color="auto"/>
      </w:divBdr>
    </w:div>
    <w:div w:id="963656665">
      <w:bodyDiv w:val="1"/>
      <w:marLeft w:val="0"/>
      <w:marRight w:val="0"/>
      <w:marTop w:val="0"/>
      <w:marBottom w:val="0"/>
      <w:divBdr>
        <w:top w:val="none" w:sz="0" w:space="0" w:color="auto"/>
        <w:left w:val="none" w:sz="0" w:space="0" w:color="auto"/>
        <w:bottom w:val="none" w:sz="0" w:space="0" w:color="auto"/>
        <w:right w:val="none" w:sz="0" w:space="0" w:color="auto"/>
      </w:divBdr>
    </w:div>
    <w:div w:id="965163253">
      <w:bodyDiv w:val="1"/>
      <w:marLeft w:val="0"/>
      <w:marRight w:val="0"/>
      <w:marTop w:val="0"/>
      <w:marBottom w:val="0"/>
      <w:divBdr>
        <w:top w:val="none" w:sz="0" w:space="0" w:color="auto"/>
        <w:left w:val="none" w:sz="0" w:space="0" w:color="auto"/>
        <w:bottom w:val="none" w:sz="0" w:space="0" w:color="auto"/>
        <w:right w:val="none" w:sz="0" w:space="0" w:color="auto"/>
      </w:divBdr>
    </w:div>
    <w:div w:id="975572534">
      <w:bodyDiv w:val="1"/>
      <w:marLeft w:val="0"/>
      <w:marRight w:val="0"/>
      <w:marTop w:val="0"/>
      <w:marBottom w:val="0"/>
      <w:divBdr>
        <w:top w:val="none" w:sz="0" w:space="0" w:color="auto"/>
        <w:left w:val="none" w:sz="0" w:space="0" w:color="auto"/>
        <w:bottom w:val="none" w:sz="0" w:space="0" w:color="auto"/>
        <w:right w:val="none" w:sz="0" w:space="0" w:color="auto"/>
      </w:divBdr>
    </w:div>
    <w:div w:id="986131793">
      <w:bodyDiv w:val="1"/>
      <w:marLeft w:val="0"/>
      <w:marRight w:val="0"/>
      <w:marTop w:val="0"/>
      <w:marBottom w:val="0"/>
      <w:divBdr>
        <w:top w:val="none" w:sz="0" w:space="0" w:color="auto"/>
        <w:left w:val="none" w:sz="0" w:space="0" w:color="auto"/>
        <w:bottom w:val="none" w:sz="0" w:space="0" w:color="auto"/>
        <w:right w:val="none" w:sz="0" w:space="0" w:color="auto"/>
      </w:divBdr>
    </w:div>
    <w:div w:id="995651905">
      <w:bodyDiv w:val="1"/>
      <w:marLeft w:val="0"/>
      <w:marRight w:val="0"/>
      <w:marTop w:val="0"/>
      <w:marBottom w:val="0"/>
      <w:divBdr>
        <w:top w:val="none" w:sz="0" w:space="0" w:color="auto"/>
        <w:left w:val="none" w:sz="0" w:space="0" w:color="auto"/>
        <w:bottom w:val="none" w:sz="0" w:space="0" w:color="auto"/>
        <w:right w:val="none" w:sz="0" w:space="0" w:color="auto"/>
      </w:divBdr>
    </w:div>
    <w:div w:id="1013150814">
      <w:bodyDiv w:val="1"/>
      <w:marLeft w:val="0"/>
      <w:marRight w:val="0"/>
      <w:marTop w:val="0"/>
      <w:marBottom w:val="0"/>
      <w:divBdr>
        <w:top w:val="none" w:sz="0" w:space="0" w:color="auto"/>
        <w:left w:val="none" w:sz="0" w:space="0" w:color="auto"/>
        <w:bottom w:val="none" w:sz="0" w:space="0" w:color="auto"/>
        <w:right w:val="none" w:sz="0" w:space="0" w:color="auto"/>
      </w:divBdr>
    </w:div>
    <w:div w:id="1016495398">
      <w:bodyDiv w:val="1"/>
      <w:marLeft w:val="0"/>
      <w:marRight w:val="0"/>
      <w:marTop w:val="0"/>
      <w:marBottom w:val="0"/>
      <w:divBdr>
        <w:top w:val="none" w:sz="0" w:space="0" w:color="auto"/>
        <w:left w:val="none" w:sz="0" w:space="0" w:color="auto"/>
        <w:bottom w:val="none" w:sz="0" w:space="0" w:color="auto"/>
        <w:right w:val="none" w:sz="0" w:space="0" w:color="auto"/>
      </w:divBdr>
    </w:div>
    <w:div w:id="1040669929">
      <w:bodyDiv w:val="1"/>
      <w:marLeft w:val="0"/>
      <w:marRight w:val="0"/>
      <w:marTop w:val="0"/>
      <w:marBottom w:val="0"/>
      <w:divBdr>
        <w:top w:val="none" w:sz="0" w:space="0" w:color="auto"/>
        <w:left w:val="none" w:sz="0" w:space="0" w:color="auto"/>
        <w:bottom w:val="none" w:sz="0" w:space="0" w:color="auto"/>
        <w:right w:val="none" w:sz="0" w:space="0" w:color="auto"/>
      </w:divBdr>
    </w:div>
    <w:div w:id="1096051355">
      <w:bodyDiv w:val="1"/>
      <w:marLeft w:val="0"/>
      <w:marRight w:val="0"/>
      <w:marTop w:val="0"/>
      <w:marBottom w:val="0"/>
      <w:divBdr>
        <w:top w:val="none" w:sz="0" w:space="0" w:color="auto"/>
        <w:left w:val="none" w:sz="0" w:space="0" w:color="auto"/>
        <w:bottom w:val="none" w:sz="0" w:space="0" w:color="auto"/>
        <w:right w:val="none" w:sz="0" w:space="0" w:color="auto"/>
      </w:divBdr>
    </w:div>
    <w:div w:id="1103375788">
      <w:bodyDiv w:val="1"/>
      <w:marLeft w:val="0"/>
      <w:marRight w:val="0"/>
      <w:marTop w:val="0"/>
      <w:marBottom w:val="0"/>
      <w:divBdr>
        <w:top w:val="none" w:sz="0" w:space="0" w:color="auto"/>
        <w:left w:val="none" w:sz="0" w:space="0" w:color="auto"/>
        <w:bottom w:val="none" w:sz="0" w:space="0" w:color="auto"/>
        <w:right w:val="none" w:sz="0" w:space="0" w:color="auto"/>
      </w:divBdr>
    </w:div>
    <w:div w:id="1142579957">
      <w:bodyDiv w:val="1"/>
      <w:marLeft w:val="0"/>
      <w:marRight w:val="0"/>
      <w:marTop w:val="0"/>
      <w:marBottom w:val="0"/>
      <w:divBdr>
        <w:top w:val="none" w:sz="0" w:space="0" w:color="auto"/>
        <w:left w:val="none" w:sz="0" w:space="0" w:color="auto"/>
        <w:bottom w:val="none" w:sz="0" w:space="0" w:color="auto"/>
        <w:right w:val="none" w:sz="0" w:space="0" w:color="auto"/>
      </w:divBdr>
    </w:div>
    <w:div w:id="1151752620">
      <w:bodyDiv w:val="1"/>
      <w:marLeft w:val="0"/>
      <w:marRight w:val="0"/>
      <w:marTop w:val="0"/>
      <w:marBottom w:val="0"/>
      <w:divBdr>
        <w:top w:val="none" w:sz="0" w:space="0" w:color="auto"/>
        <w:left w:val="none" w:sz="0" w:space="0" w:color="auto"/>
        <w:bottom w:val="none" w:sz="0" w:space="0" w:color="auto"/>
        <w:right w:val="none" w:sz="0" w:space="0" w:color="auto"/>
      </w:divBdr>
    </w:div>
    <w:div w:id="1153595520">
      <w:bodyDiv w:val="1"/>
      <w:marLeft w:val="0"/>
      <w:marRight w:val="0"/>
      <w:marTop w:val="0"/>
      <w:marBottom w:val="0"/>
      <w:divBdr>
        <w:top w:val="none" w:sz="0" w:space="0" w:color="auto"/>
        <w:left w:val="none" w:sz="0" w:space="0" w:color="auto"/>
        <w:bottom w:val="none" w:sz="0" w:space="0" w:color="auto"/>
        <w:right w:val="none" w:sz="0" w:space="0" w:color="auto"/>
      </w:divBdr>
    </w:div>
    <w:div w:id="1163158090">
      <w:bodyDiv w:val="1"/>
      <w:marLeft w:val="0"/>
      <w:marRight w:val="0"/>
      <w:marTop w:val="0"/>
      <w:marBottom w:val="0"/>
      <w:divBdr>
        <w:top w:val="none" w:sz="0" w:space="0" w:color="auto"/>
        <w:left w:val="none" w:sz="0" w:space="0" w:color="auto"/>
        <w:bottom w:val="none" w:sz="0" w:space="0" w:color="auto"/>
        <w:right w:val="none" w:sz="0" w:space="0" w:color="auto"/>
      </w:divBdr>
    </w:div>
    <w:div w:id="1176576582">
      <w:bodyDiv w:val="1"/>
      <w:marLeft w:val="0"/>
      <w:marRight w:val="0"/>
      <w:marTop w:val="0"/>
      <w:marBottom w:val="0"/>
      <w:divBdr>
        <w:top w:val="none" w:sz="0" w:space="0" w:color="auto"/>
        <w:left w:val="none" w:sz="0" w:space="0" w:color="auto"/>
        <w:bottom w:val="none" w:sz="0" w:space="0" w:color="auto"/>
        <w:right w:val="none" w:sz="0" w:space="0" w:color="auto"/>
      </w:divBdr>
    </w:div>
    <w:div w:id="1178229188">
      <w:bodyDiv w:val="1"/>
      <w:marLeft w:val="0"/>
      <w:marRight w:val="0"/>
      <w:marTop w:val="0"/>
      <w:marBottom w:val="0"/>
      <w:divBdr>
        <w:top w:val="none" w:sz="0" w:space="0" w:color="auto"/>
        <w:left w:val="none" w:sz="0" w:space="0" w:color="auto"/>
        <w:bottom w:val="none" w:sz="0" w:space="0" w:color="auto"/>
        <w:right w:val="none" w:sz="0" w:space="0" w:color="auto"/>
      </w:divBdr>
    </w:div>
    <w:div w:id="1199398036">
      <w:bodyDiv w:val="1"/>
      <w:marLeft w:val="0"/>
      <w:marRight w:val="0"/>
      <w:marTop w:val="0"/>
      <w:marBottom w:val="0"/>
      <w:divBdr>
        <w:top w:val="none" w:sz="0" w:space="0" w:color="auto"/>
        <w:left w:val="none" w:sz="0" w:space="0" w:color="auto"/>
        <w:bottom w:val="none" w:sz="0" w:space="0" w:color="auto"/>
        <w:right w:val="none" w:sz="0" w:space="0" w:color="auto"/>
      </w:divBdr>
      <w:divsChild>
        <w:div w:id="1846819295">
          <w:marLeft w:val="0"/>
          <w:marRight w:val="0"/>
          <w:marTop w:val="0"/>
          <w:marBottom w:val="0"/>
          <w:divBdr>
            <w:top w:val="none" w:sz="0" w:space="0" w:color="auto"/>
            <w:left w:val="none" w:sz="0" w:space="0" w:color="auto"/>
            <w:bottom w:val="none" w:sz="0" w:space="0" w:color="auto"/>
            <w:right w:val="none" w:sz="0" w:space="0" w:color="auto"/>
          </w:divBdr>
          <w:divsChild>
            <w:div w:id="741757864">
              <w:marLeft w:val="0"/>
              <w:marRight w:val="0"/>
              <w:marTop w:val="0"/>
              <w:marBottom w:val="0"/>
              <w:divBdr>
                <w:top w:val="none" w:sz="0" w:space="0" w:color="auto"/>
                <w:left w:val="none" w:sz="0" w:space="0" w:color="auto"/>
                <w:bottom w:val="none" w:sz="0" w:space="0" w:color="auto"/>
                <w:right w:val="none" w:sz="0" w:space="0" w:color="auto"/>
              </w:divBdr>
              <w:divsChild>
                <w:div w:id="11906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5048">
      <w:bodyDiv w:val="1"/>
      <w:marLeft w:val="0"/>
      <w:marRight w:val="0"/>
      <w:marTop w:val="0"/>
      <w:marBottom w:val="0"/>
      <w:divBdr>
        <w:top w:val="none" w:sz="0" w:space="0" w:color="auto"/>
        <w:left w:val="none" w:sz="0" w:space="0" w:color="auto"/>
        <w:bottom w:val="none" w:sz="0" w:space="0" w:color="auto"/>
        <w:right w:val="none" w:sz="0" w:space="0" w:color="auto"/>
      </w:divBdr>
    </w:div>
    <w:div w:id="1204825487">
      <w:bodyDiv w:val="1"/>
      <w:marLeft w:val="0"/>
      <w:marRight w:val="0"/>
      <w:marTop w:val="0"/>
      <w:marBottom w:val="0"/>
      <w:divBdr>
        <w:top w:val="none" w:sz="0" w:space="0" w:color="auto"/>
        <w:left w:val="none" w:sz="0" w:space="0" w:color="auto"/>
        <w:bottom w:val="none" w:sz="0" w:space="0" w:color="auto"/>
        <w:right w:val="none" w:sz="0" w:space="0" w:color="auto"/>
      </w:divBdr>
    </w:div>
    <w:div w:id="1205017725">
      <w:bodyDiv w:val="1"/>
      <w:marLeft w:val="0"/>
      <w:marRight w:val="0"/>
      <w:marTop w:val="0"/>
      <w:marBottom w:val="0"/>
      <w:divBdr>
        <w:top w:val="none" w:sz="0" w:space="0" w:color="auto"/>
        <w:left w:val="none" w:sz="0" w:space="0" w:color="auto"/>
        <w:bottom w:val="none" w:sz="0" w:space="0" w:color="auto"/>
        <w:right w:val="none" w:sz="0" w:space="0" w:color="auto"/>
      </w:divBdr>
    </w:div>
    <w:div w:id="1207982917">
      <w:bodyDiv w:val="1"/>
      <w:marLeft w:val="0"/>
      <w:marRight w:val="0"/>
      <w:marTop w:val="0"/>
      <w:marBottom w:val="0"/>
      <w:divBdr>
        <w:top w:val="none" w:sz="0" w:space="0" w:color="auto"/>
        <w:left w:val="none" w:sz="0" w:space="0" w:color="auto"/>
        <w:bottom w:val="none" w:sz="0" w:space="0" w:color="auto"/>
        <w:right w:val="none" w:sz="0" w:space="0" w:color="auto"/>
      </w:divBdr>
    </w:div>
    <w:div w:id="1227565632">
      <w:bodyDiv w:val="1"/>
      <w:marLeft w:val="0"/>
      <w:marRight w:val="0"/>
      <w:marTop w:val="0"/>
      <w:marBottom w:val="0"/>
      <w:divBdr>
        <w:top w:val="none" w:sz="0" w:space="0" w:color="auto"/>
        <w:left w:val="none" w:sz="0" w:space="0" w:color="auto"/>
        <w:bottom w:val="none" w:sz="0" w:space="0" w:color="auto"/>
        <w:right w:val="none" w:sz="0" w:space="0" w:color="auto"/>
      </w:divBdr>
    </w:div>
    <w:div w:id="1234705796">
      <w:bodyDiv w:val="1"/>
      <w:marLeft w:val="0"/>
      <w:marRight w:val="0"/>
      <w:marTop w:val="0"/>
      <w:marBottom w:val="0"/>
      <w:divBdr>
        <w:top w:val="none" w:sz="0" w:space="0" w:color="auto"/>
        <w:left w:val="none" w:sz="0" w:space="0" w:color="auto"/>
        <w:bottom w:val="none" w:sz="0" w:space="0" w:color="auto"/>
        <w:right w:val="none" w:sz="0" w:space="0" w:color="auto"/>
      </w:divBdr>
    </w:div>
    <w:div w:id="1246691973">
      <w:bodyDiv w:val="1"/>
      <w:marLeft w:val="0"/>
      <w:marRight w:val="0"/>
      <w:marTop w:val="0"/>
      <w:marBottom w:val="0"/>
      <w:divBdr>
        <w:top w:val="none" w:sz="0" w:space="0" w:color="auto"/>
        <w:left w:val="none" w:sz="0" w:space="0" w:color="auto"/>
        <w:bottom w:val="none" w:sz="0" w:space="0" w:color="auto"/>
        <w:right w:val="none" w:sz="0" w:space="0" w:color="auto"/>
      </w:divBdr>
    </w:div>
    <w:div w:id="1246692230">
      <w:bodyDiv w:val="1"/>
      <w:marLeft w:val="0"/>
      <w:marRight w:val="0"/>
      <w:marTop w:val="0"/>
      <w:marBottom w:val="0"/>
      <w:divBdr>
        <w:top w:val="none" w:sz="0" w:space="0" w:color="auto"/>
        <w:left w:val="none" w:sz="0" w:space="0" w:color="auto"/>
        <w:bottom w:val="none" w:sz="0" w:space="0" w:color="auto"/>
        <w:right w:val="none" w:sz="0" w:space="0" w:color="auto"/>
      </w:divBdr>
    </w:div>
    <w:div w:id="1248854348">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277129992">
      <w:bodyDiv w:val="1"/>
      <w:marLeft w:val="0"/>
      <w:marRight w:val="0"/>
      <w:marTop w:val="0"/>
      <w:marBottom w:val="0"/>
      <w:divBdr>
        <w:top w:val="none" w:sz="0" w:space="0" w:color="auto"/>
        <w:left w:val="none" w:sz="0" w:space="0" w:color="auto"/>
        <w:bottom w:val="none" w:sz="0" w:space="0" w:color="auto"/>
        <w:right w:val="none" w:sz="0" w:space="0" w:color="auto"/>
      </w:divBdr>
    </w:div>
    <w:div w:id="1309168512">
      <w:bodyDiv w:val="1"/>
      <w:marLeft w:val="0"/>
      <w:marRight w:val="0"/>
      <w:marTop w:val="0"/>
      <w:marBottom w:val="0"/>
      <w:divBdr>
        <w:top w:val="none" w:sz="0" w:space="0" w:color="auto"/>
        <w:left w:val="none" w:sz="0" w:space="0" w:color="auto"/>
        <w:bottom w:val="none" w:sz="0" w:space="0" w:color="auto"/>
        <w:right w:val="none" w:sz="0" w:space="0" w:color="auto"/>
      </w:divBdr>
    </w:div>
    <w:div w:id="1311178970">
      <w:bodyDiv w:val="1"/>
      <w:marLeft w:val="0"/>
      <w:marRight w:val="0"/>
      <w:marTop w:val="0"/>
      <w:marBottom w:val="0"/>
      <w:divBdr>
        <w:top w:val="none" w:sz="0" w:space="0" w:color="auto"/>
        <w:left w:val="none" w:sz="0" w:space="0" w:color="auto"/>
        <w:bottom w:val="none" w:sz="0" w:space="0" w:color="auto"/>
        <w:right w:val="none" w:sz="0" w:space="0" w:color="auto"/>
      </w:divBdr>
    </w:div>
    <w:div w:id="1320187698">
      <w:bodyDiv w:val="1"/>
      <w:marLeft w:val="0"/>
      <w:marRight w:val="0"/>
      <w:marTop w:val="0"/>
      <w:marBottom w:val="0"/>
      <w:divBdr>
        <w:top w:val="none" w:sz="0" w:space="0" w:color="auto"/>
        <w:left w:val="none" w:sz="0" w:space="0" w:color="auto"/>
        <w:bottom w:val="none" w:sz="0" w:space="0" w:color="auto"/>
        <w:right w:val="none" w:sz="0" w:space="0" w:color="auto"/>
      </w:divBdr>
    </w:div>
    <w:div w:id="1335183394">
      <w:bodyDiv w:val="1"/>
      <w:marLeft w:val="0"/>
      <w:marRight w:val="0"/>
      <w:marTop w:val="0"/>
      <w:marBottom w:val="0"/>
      <w:divBdr>
        <w:top w:val="none" w:sz="0" w:space="0" w:color="auto"/>
        <w:left w:val="none" w:sz="0" w:space="0" w:color="auto"/>
        <w:bottom w:val="none" w:sz="0" w:space="0" w:color="auto"/>
        <w:right w:val="none" w:sz="0" w:space="0" w:color="auto"/>
      </w:divBdr>
    </w:div>
    <w:div w:id="1349212851">
      <w:bodyDiv w:val="1"/>
      <w:marLeft w:val="0"/>
      <w:marRight w:val="0"/>
      <w:marTop w:val="0"/>
      <w:marBottom w:val="0"/>
      <w:divBdr>
        <w:top w:val="none" w:sz="0" w:space="0" w:color="auto"/>
        <w:left w:val="none" w:sz="0" w:space="0" w:color="auto"/>
        <w:bottom w:val="none" w:sz="0" w:space="0" w:color="auto"/>
        <w:right w:val="none" w:sz="0" w:space="0" w:color="auto"/>
      </w:divBdr>
    </w:div>
    <w:div w:id="1386755346">
      <w:bodyDiv w:val="1"/>
      <w:marLeft w:val="0"/>
      <w:marRight w:val="0"/>
      <w:marTop w:val="0"/>
      <w:marBottom w:val="0"/>
      <w:divBdr>
        <w:top w:val="none" w:sz="0" w:space="0" w:color="auto"/>
        <w:left w:val="none" w:sz="0" w:space="0" w:color="auto"/>
        <w:bottom w:val="none" w:sz="0" w:space="0" w:color="auto"/>
        <w:right w:val="none" w:sz="0" w:space="0" w:color="auto"/>
      </w:divBdr>
    </w:div>
    <w:div w:id="1389107926">
      <w:bodyDiv w:val="1"/>
      <w:marLeft w:val="0"/>
      <w:marRight w:val="0"/>
      <w:marTop w:val="0"/>
      <w:marBottom w:val="0"/>
      <w:divBdr>
        <w:top w:val="none" w:sz="0" w:space="0" w:color="auto"/>
        <w:left w:val="none" w:sz="0" w:space="0" w:color="auto"/>
        <w:bottom w:val="none" w:sz="0" w:space="0" w:color="auto"/>
        <w:right w:val="none" w:sz="0" w:space="0" w:color="auto"/>
      </w:divBdr>
    </w:div>
    <w:div w:id="1403335629">
      <w:bodyDiv w:val="1"/>
      <w:marLeft w:val="0"/>
      <w:marRight w:val="0"/>
      <w:marTop w:val="0"/>
      <w:marBottom w:val="0"/>
      <w:divBdr>
        <w:top w:val="none" w:sz="0" w:space="0" w:color="auto"/>
        <w:left w:val="none" w:sz="0" w:space="0" w:color="auto"/>
        <w:bottom w:val="none" w:sz="0" w:space="0" w:color="auto"/>
        <w:right w:val="none" w:sz="0" w:space="0" w:color="auto"/>
      </w:divBdr>
    </w:div>
    <w:div w:id="1440375800">
      <w:bodyDiv w:val="1"/>
      <w:marLeft w:val="0"/>
      <w:marRight w:val="0"/>
      <w:marTop w:val="0"/>
      <w:marBottom w:val="0"/>
      <w:divBdr>
        <w:top w:val="none" w:sz="0" w:space="0" w:color="auto"/>
        <w:left w:val="none" w:sz="0" w:space="0" w:color="auto"/>
        <w:bottom w:val="none" w:sz="0" w:space="0" w:color="auto"/>
        <w:right w:val="none" w:sz="0" w:space="0" w:color="auto"/>
      </w:divBdr>
    </w:div>
    <w:div w:id="1469401292">
      <w:bodyDiv w:val="1"/>
      <w:marLeft w:val="0"/>
      <w:marRight w:val="0"/>
      <w:marTop w:val="0"/>
      <w:marBottom w:val="0"/>
      <w:divBdr>
        <w:top w:val="none" w:sz="0" w:space="0" w:color="auto"/>
        <w:left w:val="none" w:sz="0" w:space="0" w:color="auto"/>
        <w:bottom w:val="none" w:sz="0" w:space="0" w:color="auto"/>
        <w:right w:val="none" w:sz="0" w:space="0" w:color="auto"/>
      </w:divBdr>
    </w:div>
    <w:div w:id="1529561011">
      <w:bodyDiv w:val="1"/>
      <w:marLeft w:val="0"/>
      <w:marRight w:val="0"/>
      <w:marTop w:val="0"/>
      <w:marBottom w:val="0"/>
      <w:divBdr>
        <w:top w:val="none" w:sz="0" w:space="0" w:color="auto"/>
        <w:left w:val="none" w:sz="0" w:space="0" w:color="auto"/>
        <w:bottom w:val="none" w:sz="0" w:space="0" w:color="auto"/>
        <w:right w:val="none" w:sz="0" w:space="0" w:color="auto"/>
      </w:divBdr>
    </w:div>
    <w:div w:id="1533805494">
      <w:bodyDiv w:val="1"/>
      <w:marLeft w:val="0"/>
      <w:marRight w:val="0"/>
      <w:marTop w:val="0"/>
      <w:marBottom w:val="0"/>
      <w:divBdr>
        <w:top w:val="none" w:sz="0" w:space="0" w:color="auto"/>
        <w:left w:val="none" w:sz="0" w:space="0" w:color="auto"/>
        <w:bottom w:val="none" w:sz="0" w:space="0" w:color="auto"/>
        <w:right w:val="none" w:sz="0" w:space="0" w:color="auto"/>
      </w:divBdr>
      <w:divsChild>
        <w:div w:id="142742300">
          <w:marLeft w:val="0"/>
          <w:marRight w:val="0"/>
          <w:marTop w:val="0"/>
          <w:marBottom w:val="0"/>
          <w:divBdr>
            <w:top w:val="none" w:sz="0" w:space="0" w:color="auto"/>
            <w:left w:val="none" w:sz="0" w:space="0" w:color="auto"/>
            <w:bottom w:val="none" w:sz="0" w:space="0" w:color="auto"/>
            <w:right w:val="none" w:sz="0" w:space="0" w:color="auto"/>
          </w:divBdr>
        </w:div>
        <w:div w:id="930163427">
          <w:marLeft w:val="0"/>
          <w:marRight w:val="0"/>
          <w:marTop w:val="0"/>
          <w:marBottom w:val="0"/>
          <w:divBdr>
            <w:top w:val="none" w:sz="0" w:space="0" w:color="auto"/>
            <w:left w:val="none" w:sz="0" w:space="0" w:color="auto"/>
            <w:bottom w:val="none" w:sz="0" w:space="0" w:color="auto"/>
            <w:right w:val="none" w:sz="0" w:space="0" w:color="auto"/>
          </w:divBdr>
        </w:div>
        <w:div w:id="1357847245">
          <w:marLeft w:val="0"/>
          <w:marRight w:val="0"/>
          <w:marTop w:val="0"/>
          <w:marBottom w:val="0"/>
          <w:divBdr>
            <w:top w:val="none" w:sz="0" w:space="0" w:color="auto"/>
            <w:left w:val="none" w:sz="0" w:space="0" w:color="auto"/>
            <w:bottom w:val="none" w:sz="0" w:space="0" w:color="auto"/>
            <w:right w:val="none" w:sz="0" w:space="0" w:color="auto"/>
          </w:divBdr>
        </w:div>
        <w:div w:id="971135866">
          <w:marLeft w:val="0"/>
          <w:marRight w:val="0"/>
          <w:marTop w:val="0"/>
          <w:marBottom w:val="0"/>
          <w:divBdr>
            <w:top w:val="none" w:sz="0" w:space="0" w:color="auto"/>
            <w:left w:val="none" w:sz="0" w:space="0" w:color="auto"/>
            <w:bottom w:val="none" w:sz="0" w:space="0" w:color="auto"/>
            <w:right w:val="none" w:sz="0" w:space="0" w:color="auto"/>
          </w:divBdr>
        </w:div>
        <w:div w:id="38212271">
          <w:marLeft w:val="0"/>
          <w:marRight w:val="0"/>
          <w:marTop w:val="0"/>
          <w:marBottom w:val="0"/>
          <w:divBdr>
            <w:top w:val="none" w:sz="0" w:space="0" w:color="auto"/>
            <w:left w:val="none" w:sz="0" w:space="0" w:color="auto"/>
            <w:bottom w:val="none" w:sz="0" w:space="0" w:color="auto"/>
            <w:right w:val="none" w:sz="0" w:space="0" w:color="auto"/>
          </w:divBdr>
        </w:div>
        <w:div w:id="1151478757">
          <w:marLeft w:val="0"/>
          <w:marRight w:val="0"/>
          <w:marTop w:val="0"/>
          <w:marBottom w:val="0"/>
          <w:divBdr>
            <w:top w:val="none" w:sz="0" w:space="0" w:color="auto"/>
            <w:left w:val="none" w:sz="0" w:space="0" w:color="auto"/>
            <w:bottom w:val="none" w:sz="0" w:space="0" w:color="auto"/>
            <w:right w:val="none" w:sz="0" w:space="0" w:color="auto"/>
          </w:divBdr>
        </w:div>
        <w:div w:id="1924945715">
          <w:marLeft w:val="0"/>
          <w:marRight w:val="0"/>
          <w:marTop w:val="0"/>
          <w:marBottom w:val="0"/>
          <w:divBdr>
            <w:top w:val="none" w:sz="0" w:space="0" w:color="auto"/>
            <w:left w:val="none" w:sz="0" w:space="0" w:color="auto"/>
            <w:bottom w:val="none" w:sz="0" w:space="0" w:color="auto"/>
            <w:right w:val="none" w:sz="0" w:space="0" w:color="auto"/>
          </w:divBdr>
        </w:div>
        <w:div w:id="1876457500">
          <w:marLeft w:val="0"/>
          <w:marRight w:val="0"/>
          <w:marTop w:val="0"/>
          <w:marBottom w:val="0"/>
          <w:divBdr>
            <w:top w:val="none" w:sz="0" w:space="0" w:color="auto"/>
            <w:left w:val="none" w:sz="0" w:space="0" w:color="auto"/>
            <w:bottom w:val="none" w:sz="0" w:space="0" w:color="auto"/>
            <w:right w:val="none" w:sz="0" w:space="0" w:color="auto"/>
          </w:divBdr>
        </w:div>
        <w:div w:id="86930434">
          <w:marLeft w:val="0"/>
          <w:marRight w:val="0"/>
          <w:marTop w:val="0"/>
          <w:marBottom w:val="0"/>
          <w:divBdr>
            <w:top w:val="none" w:sz="0" w:space="0" w:color="auto"/>
            <w:left w:val="none" w:sz="0" w:space="0" w:color="auto"/>
            <w:bottom w:val="none" w:sz="0" w:space="0" w:color="auto"/>
            <w:right w:val="none" w:sz="0" w:space="0" w:color="auto"/>
          </w:divBdr>
        </w:div>
        <w:div w:id="622149095">
          <w:marLeft w:val="0"/>
          <w:marRight w:val="0"/>
          <w:marTop w:val="0"/>
          <w:marBottom w:val="0"/>
          <w:divBdr>
            <w:top w:val="none" w:sz="0" w:space="0" w:color="auto"/>
            <w:left w:val="none" w:sz="0" w:space="0" w:color="auto"/>
            <w:bottom w:val="none" w:sz="0" w:space="0" w:color="auto"/>
            <w:right w:val="none" w:sz="0" w:space="0" w:color="auto"/>
          </w:divBdr>
        </w:div>
        <w:div w:id="1766420388">
          <w:marLeft w:val="0"/>
          <w:marRight w:val="0"/>
          <w:marTop w:val="0"/>
          <w:marBottom w:val="0"/>
          <w:divBdr>
            <w:top w:val="none" w:sz="0" w:space="0" w:color="auto"/>
            <w:left w:val="none" w:sz="0" w:space="0" w:color="auto"/>
            <w:bottom w:val="none" w:sz="0" w:space="0" w:color="auto"/>
            <w:right w:val="none" w:sz="0" w:space="0" w:color="auto"/>
          </w:divBdr>
        </w:div>
        <w:div w:id="420563740">
          <w:marLeft w:val="0"/>
          <w:marRight w:val="0"/>
          <w:marTop w:val="0"/>
          <w:marBottom w:val="0"/>
          <w:divBdr>
            <w:top w:val="none" w:sz="0" w:space="0" w:color="auto"/>
            <w:left w:val="none" w:sz="0" w:space="0" w:color="auto"/>
            <w:bottom w:val="none" w:sz="0" w:space="0" w:color="auto"/>
            <w:right w:val="none" w:sz="0" w:space="0" w:color="auto"/>
          </w:divBdr>
        </w:div>
        <w:div w:id="427965804">
          <w:marLeft w:val="0"/>
          <w:marRight w:val="0"/>
          <w:marTop w:val="0"/>
          <w:marBottom w:val="0"/>
          <w:divBdr>
            <w:top w:val="none" w:sz="0" w:space="0" w:color="auto"/>
            <w:left w:val="none" w:sz="0" w:space="0" w:color="auto"/>
            <w:bottom w:val="none" w:sz="0" w:space="0" w:color="auto"/>
            <w:right w:val="none" w:sz="0" w:space="0" w:color="auto"/>
          </w:divBdr>
        </w:div>
        <w:div w:id="1812819413">
          <w:marLeft w:val="0"/>
          <w:marRight w:val="0"/>
          <w:marTop w:val="0"/>
          <w:marBottom w:val="0"/>
          <w:divBdr>
            <w:top w:val="none" w:sz="0" w:space="0" w:color="auto"/>
            <w:left w:val="none" w:sz="0" w:space="0" w:color="auto"/>
            <w:bottom w:val="none" w:sz="0" w:space="0" w:color="auto"/>
            <w:right w:val="none" w:sz="0" w:space="0" w:color="auto"/>
          </w:divBdr>
        </w:div>
        <w:div w:id="790368250">
          <w:marLeft w:val="0"/>
          <w:marRight w:val="0"/>
          <w:marTop w:val="0"/>
          <w:marBottom w:val="0"/>
          <w:divBdr>
            <w:top w:val="none" w:sz="0" w:space="0" w:color="auto"/>
            <w:left w:val="none" w:sz="0" w:space="0" w:color="auto"/>
            <w:bottom w:val="none" w:sz="0" w:space="0" w:color="auto"/>
            <w:right w:val="none" w:sz="0" w:space="0" w:color="auto"/>
          </w:divBdr>
        </w:div>
        <w:div w:id="2112970802">
          <w:marLeft w:val="0"/>
          <w:marRight w:val="0"/>
          <w:marTop w:val="0"/>
          <w:marBottom w:val="0"/>
          <w:divBdr>
            <w:top w:val="none" w:sz="0" w:space="0" w:color="auto"/>
            <w:left w:val="none" w:sz="0" w:space="0" w:color="auto"/>
            <w:bottom w:val="none" w:sz="0" w:space="0" w:color="auto"/>
            <w:right w:val="none" w:sz="0" w:space="0" w:color="auto"/>
          </w:divBdr>
        </w:div>
        <w:div w:id="103307303">
          <w:marLeft w:val="0"/>
          <w:marRight w:val="0"/>
          <w:marTop w:val="0"/>
          <w:marBottom w:val="0"/>
          <w:divBdr>
            <w:top w:val="none" w:sz="0" w:space="0" w:color="auto"/>
            <w:left w:val="none" w:sz="0" w:space="0" w:color="auto"/>
            <w:bottom w:val="none" w:sz="0" w:space="0" w:color="auto"/>
            <w:right w:val="none" w:sz="0" w:space="0" w:color="auto"/>
          </w:divBdr>
        </w:div>
        <w:div w:id="1731147617">
          <w:marLeft w:val="0"/>
          <w:marRight w:val="0"/>
          <w:marTop w:val="0"/>
          <w:marBottom w:val="0"/>
          <w:divBdr>
            <w:top w:val="none" w:sz="0" w:space="0" w:color="auto"/>
            <w:left w:val="none" w:sz="0" w:space="0" w:color="auto"/>
            <w:bottom w:val="none" w:sz="0" w:space="0" w:color="auto"/>
            <w:right w:val="none" w:sz="0" w:space="0" w:color="auto"/>
          </w:divBdr>
        </w:div>
        <w:div w:id="425154975">
          <w:marLeft w:val="0"/>
          <w:marRight w:val="0"/>
          <w:marTop w:val="0"/>
          <w:marBottom w:val="0"/>
          <w:divBdr>
            <w:top w:val="none" w:sz="0" w:space="0" w:color="auto"/>
            <w:left w:val="none" w:sz="0" w:space="0" w:color="auto"/>
            <w:bottom w:val="none" w:sz="0" w:space="0" w:color="auto"/>
            <w:right w:val="none" w:sz="0" w:space="0" w:color="auto"/>
          </w:divBdr>
        </w:div>
      </w:divsChild>
    </w:div>
    <w:div w:id="1564634813">
      <w:bodyDiv w:val="1"/>
      <w:marLeft w:val="0"/>
      <w:marRight w:val="0"/>
      <w:marTop w:val="0"/>
      <w:marBottom w:val="0"/>
      <w:divBdr>
        <w:top w:val="none" w:sz="0" w:space="0" w:color="auto"/>
        <w:left w:val="none" w:sz="0" w:space="0" w:color="auto"/>
        <w:bottom w:val="none" w:sz="0" w:space="0" w:color="auto"/>
        <w:right w:val="none" w:sz="0" w:space="0" w:color="auto"/>
      </w:divBdr>
      <w:divsChild>
        <w:div w:id="163054479">
          <w:marLeft w:val="0"/>
          <w:marRight w:val="0"/>
          <w:marTop w:val="0"/>
          <w:marBottom w:val="0"/>
          <w:divBdr>
            <w:top w:val="none" w:sz="0" w:space="0" w:color="auto"/>
            <w:left w:val="none" w:sz="0" w:space="0" w:color="auto"/>
            <w:bottom w:val="none" w:sz="0" w:space="0" w:color="auto"/>
            <w:right w:val="none" w:sz="0" w:space="0" w:color="auto"/>
          </w:divBdr>
        </w:div>
        <w:div w:id="345208326">
          <w:marLeft w:val="0"/>
          <w:marRight w:val="0"/>
          <w:marTop w:val="0"/>
          <w:marBottom w:val="0"/>
          <w:divBdr>
            <w:top w:val="none" w:sz="0" w:space="0" w:color="auto"/>
            <w:left w:val="none" w:sz="0" w:space="0" w:color="auto"/>
            <w:bottom w:val="none" w:sz="0" w:space="0" w:color="auto"/>
            <w:right w:val="none" w:sz="0" w:space="0" w:color="auto"/>
          </w:divBdr>
        </w:div>
      </w:divsChild>
    </w:div>
    <w:div w:id="1564757748">
      <w:bodyDiv w:val="1"/>
      <w:marLeft w:val="0"/>
      <w:marRight w:val="0"/>
      <w:marTop w:val="0"/>
      <w:marBottom w:val="0"/>
      <w:divBdr>
        <w:top w:val="none" w:sz="0" w:space="0" w:color="auto"/>
        <w:left w:val="none" w:sz="0" w:space="0" w:color="auto"/>
        <w:bottom w:val="none" w:sz="0" w:space="0" w:color="auto"/>
        <w:right w:val="none" w:sz="0" w:space="0" w:color="auto"/>
      </w:divBdr>
      <w:divsChild>
        <w:div w:id="1204052221">
          <w:marLeft w:val="0"/>
          <w:marRight w:val="0"/>
          <w:marTop w:val="0"/>
          <w:marBottom w:val="0"/>
          <w:divBdr>
            <w:top w:val="none" w:sz="0" w:space="0" w:color="auto"/>
            <w:left w:val="none" w:sz="0" w:space="0" w:color="auto"/>
            <w:bottom w:val="none" w:sz="0" w:space="0" w:color="auto"/>
            <w:right w:val="none" w:sz="0" w:space="0" w:color="auto"/>
          </w:divBdr>
          <w:divsChild>
            <w:div w:id="1163203107">
              <w:marLeft w:val="0"/>
              <w:marRight w:val="0"/>
              <w:marTop w:val="0"/>
              <w:marBottom w:val="0"/>
              <w:divBdr>
                <w:top w:val="none" w:sz="0" w:space="0" w:color="auto"/>
                <w:left w:val="none" w:sz="0" w:space="0" w:color="auto"/>
                <w:bottom w:val="none" w:sz="0" w:space="0" w:color="auto"/>
                <w:right w:val="none" w:sz="0" w:space="0" w:color="auto"/>
              </w:divBdr>
              <w:divsChild>
                <w:div w:id="6199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5955">
      <w:bodyDiv w:val="1"/>
      <w:marLeft w:val="0"/>
      <w:marRight w:val="0"/>
      <w:marTop w:val="0"/>
      <w:marBottom w:val="0"/>
      <w:divBdr>
        <w:top w:val="none" w:sz="0" w:space="0" w:color="auto"/>
        <w:left w:val="none" w:sz="0" w:space="0" w:color="auto"/>
        <w:bottom w:val="none" w:sz="0" w:space="0" w:color="auto"/>
        <w:right w:val="none" w:sz="0" w:space="0" w:color="auto"/>
      </w:divBdr>
    </w:div>
    <w:div w:id="1590383702">
      <w:bodyDiv w:val="1"/>
      <w:marLeft w:val="0"/>
      <w:marRight w:val="0"/>
      <w:marTop w:val="0"/>
      <w:marBottom w:val="0"/>
      <w:divBdr>
        <w:top w:val="none" w:sz="0" w:space="0" w:color="auto"/>
        <w:left w:val="none" w:sz="0" w:space="0" w:color="auto"/>
        <w:bottom w:val="none" w:sz="0" w:space="0" w:color="auto"/>
        <w:right w:val="none" w:sz="0" w:space="0" w:color="auto"/>
      </w:divBdr>
    </w:div>
    <w:div w:id="1675646997">
      <w:bodyDiv w:val="1"/>
      <w:marLeft w:val="0"/>
      <w:marRight w:val="0"/>
      <w:marTop w:val="0"/>
      <w:marBottom w:val="0"/>
      <w:divBdr>
        <w:top w:val="none" w:sz="0" w:space="0" w:color="auto"/>
        <w:left w:val="none" w:sz="0" w:space="0" w:color="auto"/>
        <w:bottom w:val="none" w:sz="0" w:space="0" w:color="auto"/>
        <w:right w:val="none" w:sz="0" w:space="0" w:color="auto"/>
      </w:divBdr>
    </w:div>
    <w:div w:id="1730113340">
      <w:bodyDiv w:val="1"/>
      <w:marLeft w:val="0"/>
      <w:marRight w:val="0"/>
      <w:marTop w:val="0"/>
      <w:marBottom w:val="0"/>
      <w:divBdr>
        <w:top w:val="none" w:sz="0" w:space="0" w:color="auto"/>
        <w:left w:val="none" w:sz="0" w:space="0" w:color="auto"/>
        <w:bottom w:val="none" w:sz="0" w:space="0" w:color="auto"/>
        <w:right w:val="none" w:sz="0" w:space="0" w:color="auto"/>
      </w:divBdr>
    </w:div>
    <w:div w:id="1739746514">
      <w:bodyDiv w:val="1"/>
      <w:marLeft w:val="0"/>
      <w:marRight w:val="0"/>
      <w:marTop w:val="0"/>
      <w:marBottom w:val="0"/>
      <w:divBdr>
        <w:top w:val="none" w:sz="0" w:space="0" w:color="auto"/>
        <w:left w:val="none" w:sz="0" w:space="0" w:color="auto"/>
        <w:bottom w:val="none" w:sz="0" w:space="0" w:color="auto"/>
        <w:right w:val="none" w:sz="0" w:space="0" w:color="auto"/>
      </w:divBdr>
    </w:div>
    <w:div w:id="1747458365">
      <w:bodyDiv w:val="1"/>
      <w:marLeft w:val="0"/>
      <w:marRight w:val="0"/>
      <w:marTop w:val="0"/>
      <w:marBottom w:val="0"/>
      <w:divBdr>
        <w:top w:val="none" w:sz="0" w:space="0" w:color="auto"/>
        <w:left w:val="none" w:sz="0" w:space="0" w:color="auto"/>
        <w:bottom w:val="none" w:sz="0" w:space="0" w:color="auto"/>
        <w:right w:val="none" w:sz="0" w:space="0" w:color="auto"/>
      </w:divBdr>
    </w:div>
    <w:div w:id="1777407914">
      <w:bodyDiv w:val="1"/>
      <w:marLeft w:val="0"/>
      <w:marRight w:val="0"/>
      <w:marTop w:val="0"/>
      <w:marBottom w:val="0"/>
      <w:divBdr>
        <w:top w:val="none" w:sz="0" w:space="0" w:color="auto"/>
        <w:left w:val="none" w:sz="0" w:space="0" w:color="auto"/>
        <w:bottom w:val="none" w:sz="0" w:space="0" w:color="auto"/>
        <w:right w:val="none" w:sz="0" w:space="0" w:color="auto"/>
      </w:divBdr>
    </w:div>
    <w:div w:id="1780488357">
      <w:bodyDiv w:val="1"/>
      <w:marLeft w:val="0"/>
      <w:marRight w:val="0"/>
      <w:marTop w:val="0"/>
      <w:marBottom w:val="0"/>
      <w:divBdr>
        <w:top w:val="none" w:sz="0" w:space="0" w:color="auto"/>
        <w:left w:val="none" w:sz="0" w:space="0" w:color="auto"/>
        <w:bottom w:val="none" w:sz="0" w:space="0" w:color="auto"/>
        <w:right w:val="none" w:sz="0" w:space="0" w:color="auto"/>
      </w:divBdr>
    </w:div>
    <w:div w:id="1805613016">
      <w:bodyDiv w:val="1"/>
      <w:marLeft w:val="0"/>
      <w:marRight w:val="0"/>
      <w:marTop w:val="0"/>
      <w:marBottom w:val="0"/>
      <w:divBdr>
        <w:top w:val="none" w:sz="0" w:space="0" w:color="auto"/>
        <w:left w:val="none" w:sz="0" w:space="0" w:color="auto"/>
        <w:bottom w:val="none" w:sz="0" w:space="0" w:color="auto"/>
        <w:right w:val="none" w:sz="0" w:space="0" w:color="auto"/>
      </w:divBdr>
    </w:div>
    <w:div w:id="1834837607">
      <w:bodyDiv w:val="1"/>
      <w:marLeft w:val="0"/>
      <w:marRight w:val="0"/>
      <w:marTop w:val="0"/>
      <w:marBottom w:val="0"/>
      <w:divBdr>
        <w:top w:val="none" w:sz="0" w:space="0" w:color="auto"/>
        <w:left w:val="none" w:sz="0" w:space="0" w:color="auto"/>
        <w:bottom w:val="none" w:sz="0" w:space="0" w:color="auto"/>
        <w:right w:val="none" w:sz="0" w:space="0" w:color="auto"/>
      </w:divBdr>
    </w:div>
    <w:div w:id="1853836960">
      <w:bodyDiv w:val="1"/>
      <w:marLeft w:val="0"/>
      <w:marRight w:val="0"/>
      <w:marTop w:val="0"/>
      <w:marBottom w:val="0"/>
      <w:divBdr>
        <w:top w:val="none" w:sz="0" w:space="0" w:color="auto"/>
        <w:left w:val="none" w:sz="0" w:space="0" w:color="auto"/>
        <w:bottom w:val="none" w:sz="0" w:space="0" w:color="auto"/>
        <w:right w:val="none" w:sz="0" w:space="0" w:color="auto"/>
      </w:divBdr>
    </w:div>
    <w:div w:id="1858612045">
      <w:bodyDiv w:val="1"/>
      <w:marLeft w:val="0"/>
      <w:marRight w:val="0"/>
      <w:marTop w:val="0"/>
      <w:marBottom w:val="0"/>
      <w:divBdr>
        <w:top w:val="none" w:sz="0" w:space="0" w:color="auto"/>
        <w:left w:val="none" w:sz="0" w:space="0" w:color="auto"/>
        <w:bottom w:val="none" w:sz="0" w:space="0" w:color="auto"/>
        <w:right w:val="none" w:sz="0" w:space="0" w:color="auto"/>
      </w:divBdr>
      <w:divsChild>
        <w:div w:id="184096505">
          <w:marLeft w:val="0"/>
          <w:marRight w:val="0"/>
          <w:marTop w:val="0"/>
          <w:marBottom w:val="0"/>
          <w:divBdr>
            <w:top w:val="none" w:sz="0" w:space="0" w:color="auto"/>
            <w:left w:val="none" w:sz="0" w:space="0" w:color="auto"/>
            <w:bottom w:val="none" w:sz="0" w:space="0" w:color="auto"/>
            <w:right w:val="none" w:sz="0" w:space="0" w:color="auto"/>
          </w:divBdr>
        </w:div>
        <w:div w:id="1333410486">
          <w:marLeft w:val="0"/>
          <w:marRight w:val="0"/>
          <w:marTop w:val="0"/>
          <w:marBottom w:val="0"/>
          <w:divBdr>
            <w:top w:val="none" w:sz="0" w:space="0" w:color="auto"/>
            <w:left w:val="none" w:sz="0" w:space="0" w:color="auto"/>
            <w:bottom w:val="none" w:sz="0" w:space="0" w:color="auto"/>
            <w:right w:val="none" w:sz="0" w:space="0" w:color="auto"/>
          </w:divBdr>
        </w:div>
      </w:divsChild>
    </w:div>
    <w:div w:id="1864829138">
      <w:bodyDiv w:val="1"/>
      <w:marLeft w:val="0"/>
      <w:marRight w:val="0"/>
      <w:marTop w:val="0"/>
      <w:marBottom w:val="0"/>
      <w:divBdr>
        <w:top w:val="none" w:sz="0" w:space="0" w:color="auto"/>
        <w:left w:val="none" w:sz="0" w:space="0" w:color="auto"/>
        <w:bottom w:val="none" w:sz="0" w:space="0" w:color="auto"/>
        <w:right w:val="none" w:sz="0" w:space="0" w:color="auto"/>
      </w:divBdr>
    </w:div>
    <w:div w:id="1873415443">
      <w:bodyDiv w:val="1"/>
      <w:marLeft w:val="0"/>
      <w:marRight w:val="0"/>
      <w:marTop w:val="0"/>
      <w:marBottom w:val="0"/>
      <w:divBdr>
        <w:top w:val="none" w:sz="0" w:space="0" w:color="auto"/>
        <w:left w:val="none" w:sz="0" w:space="0" w:color="auto"/>
        <w:bottom w:val="none" w:sz="0" w:space="0" w:color="auto"/>
        <w:right w:val="none" w:sz="0" w:space="0" w:color="auto"/>
      </w:divBdr>
    </w:div>
    <w:div w:id="1882785900">
      <w:bodyDiv w:val="1"/>
      <w:marLeft w:val="0"/>
      <w:marRight w:val="0"/>
      <w:marTop w:val="0"/>
      <w:marBottom w:val="0"/>
      <w:divBdr>
        <w:top w:val="none" w:sz="0" w:space="0" w:color="auto"/>
        <w:left w:val="none" w:sz="0" w:space="0" w:color="auto"/>
        <w:bottom w:val="none" w:sz="0" w:space="0" w:color="auto"/>
        <w:right w:val="none" w:sz="0" w:space="0" w:color="auto"/>
      </w:divBdr>
    </w:div>
    <w:div w:id="1933586378">
      <w:bodyDiv w:val="1"/>
      <w:marLeft w:val="0"/>
      <w:marRight w:val="0"/>
      <w:marTop w:val="0"/>
      <w:marBottom w:val="0"/>
      <w:divBdr>
        <w:top w:val="none" w:sz="0" w:space="0" w:color="auto"/>
        <w:left w:val="none" w:sz="0" w:space="0" w:color="auto"/>
        <w:bottom w:val="none" w:sz="0" w:space="0" w:color="auto"/>
        <w:right w:val="none" w:sz="0" w:space="0" w:color="auto"/>
      </w:divBdr>
    </w:div>
    <w:div w:id="1942451870">
      <w:bodyDiv w:val="1"/>
      <w:marLeft w:val="0"/>
      <w:marRight w:val="0"/>
      <w:marTop w:val="0"/>
      <w:marBottom w:val="0"/>
      <w:divBdr>
        <w:top w:val="none" w:sz="0" w:space="0" w:color="auto"/>
        <w:left w:val="none" w:sz="0" w:space="0" w:color="auto"/>
        <w:bottom w:val="none" w:sz="0" w:space="0" w:color="auto"/>
        <w:right w:val="none" w:sz="0" w:space="0" w:color="auto"/>
      </w:divBdr>
    </w:div>
    <w:div w:id="1943875169">
      <w:bodyDiv w:val="1"/>
      <w:marLeft w:val="0"/>
      <w:marRight w:val="0"/>
      <w:marTop w:val="0"/>
      <w:marBottom w:val="0"/>
      <w:divBdr>
        <w:top w:val="none" w:sz="0" w:space="0" w:color="auto"/>
        <w:left w:val="none" w:sz="0" w:space="0" w:color="auto"/>
        <w:bottom w:val="none" w:sz="0" w:space="0" w:color="auto"/>
        <w:right w:val="none" w:sz="0" w:space="0" w:color="auto"/>
      </w:divBdr>
    </w:div>
    <w:div w:id="1954438761">
      <w:bodyDiv w:val="1"/>
      <w:marLeft w:val="0"/>
      <w:marRight w:val="0"/>
      <w:marTop w:val="0"/>
      <w:marBottom w:val="0"/>
      <w:divBdr>
        <w:top w:val="none" w:sz="0" w:space="0" w:color="auto"/>
        <w:left w:val="none" w:sz="0" w:space="0" w:color="auto"/>
        <w:bottom w:val="none" w:sz="0" w:space="0" w:color="auto"/>
        <w:right w:val="none" w:sz="0" w:space="0" w:color="auto"/>
      </w:divBdr>
    </w:div>
    <w:div w:id="1983923751">
      <w:bodyDiv w:val="1"/>
      <w:marLeft w:val="0"/>
      <w:marRight w:val="0"/>
      <w:marTop w:val="0"/>
      <w:marBottom w:val="0"/>
      <w:divBdr>
        <w:top w:val="none" w:sz="0" w:space="0" w:color="auto"/>
        <w:left w:val="none" w:sz="0" w:space="0" w:color="auto"/>
        <w:bottom w:val="none" w:sz="0" w:space="0" w:color="auto"/>
        <w:right w:val="none" w:sz="0" w:space="0" w:color="auto"/>
      </w:divBdr>
    </w:div>
    <w:div w:id="1991204595">
      <w:bodyDiv w:val="1"/>
      <w:marLeft w:val="0"/>
      <w:marRight w:val="0"/>
      <w:marTop w:val="0"/>
      <w:marBottom w:val="0"/>
      <w:divBdr>
        <w:top w:val="none" w:sz="0" w:space="0" w:color="auto"/>
        <w:left w:val="none" w:sz="0" w:space="0" w:color="auto"/>
        <w:bottom w:val="none" w:sz="0" w:space="0" w:color="auto"/>
        <w:right w:val="none" w:sz="0" w:space="0" w:color="auto"/>
      </w:divBdr>
    </w:div>
    <w:div w:id="2050259446">
      <w:bodyDiv w:val="1"/>
      <w:marLeft w:val="0"/>
      <w:marRight w:val="0"/>
      <w:marTop w:val="0"/>
      <w:marBottom w:val="0"/>
      <w:divBdr>
        <w:top w:val="none" w:sz="0" w:space="0" w:color="auto"/>
        <w:left w:val="none" w:sz="0" w:space="0" w:color="auto"/>
        <w:bottom w:val="none" w:sz="0" w:space="0" w:color="auto"/>
        <w:right w:val="none" w:sz="0" w:space="0" w:color="auto"/>
      </w:divBdr>
    </w:div>
    <w:div w:id="2052729997">
      <w:bodyDiv w:val="1"/>
      <w:marLeft w:val="0"/>
      <w:marRight w:val="0"/>
      <w:marTop w:val="0"/>
      <w:marBottom w:val="0"/>
      <w:divBdr>
        <w:top w:val="none" w:sz="0" w:space="0" w:color="auto"/>
        <w:left w:val="none" w:sz="0" w:space="0" w:color="auto"/>
        <w:bottom w:val="none" w:sz="0" w:space="0" w:color="auto"/>
        <w:right w:val="none" w:sz="0" w:space="0" w:color="auto"/>
      </w:divBdr>
    </w:div>
    <w:div w:id="2058820904">
      <w:bodyDiv w:val="1"/>
      <w:marLeft w:val="0"/>
      <w:marRight w:val="0"/>
      <w:marTop w:val="0"/>
      <w:marBottom w:val="0"/>
      <w:divBdr>
        <w:top w:val="none" w:sz="0" w:space="0" w:color="auto"/>
        <w:left w:val="none" w:sz="0" w:space="0" w:color="auto"/>
        <w:bottom w:val="none" w:sz="0" w:space="0" w:color="auto"/>
        <w:right w:val="none" w:sz="0" w:space="0" w:color="auto"/>
      </w:divBdr>
    </w:div>
    <w:div w:id="2097745336">
      <w:bodyDiv w:val="1"/>
      <w:marLeft w:val="0"/>
      <w:marRight w:val="0"/>
      <w:marTop w:val="0"/>
      <w:marBottom w:val="0"/>
      <w:divBdr>
        <w:top w:val="none" w:sz="0" w:space="0" w:color="auto"/>
        <w:left w:val="none" w:sz="0" w:space="0" w:color="auto"/>
        <w:bottom w:val="none" w:sz="0" w:space="0" w:color="auto"/>
        <w:right w:val="none" w:sz="0" w:space="0" w:color="auto"/>
      </w:divBdr>
    </w:div>
    <w:div w:id="2105881800">
      <w:bodyDiv w:val="1"/>
      <w:marLeft w:val="0"/>
      <w:marRight w:val="0"/>
      <w:marTop w:val="0"/>
      <w:marBottom w:val="0"/>
      <w:divBdr>
        <w:top w:val="none" w:sz="0" w:space="0" w:color="auto"/>
        <w:left w:val="none" w:sz="0" w:space="0" w:color="auto"/>
        <w:bottom w:val="none" w:sz="0" w:space="0" w:color="auto"/>
        <w:right w:val="none" w:sz="0" w:space="0" w:color="auto"/>
      </w:divBdr>
    </w:div>
    <w:div w:id="2122719116">
      <w:bodyDiv w:val="1"/>
      <w:marLeft w:val="0"/>
      <w:marRight w:val="0"/>
      <w:marTop w:val="0"/>
      <w:marBottom w:val="0"/>
      <w:divBdr>
        <w:top w:val="none" w:sz="0" w:space="0" w:color="auto"/>
        <w:left w:val="none" w:sz="0" w:space="0" w:color="auto"/>
        <w:bottom w:val="none" w:sz="0" w:space="0" w:color="auto"/>
        <w:right w:val="none" w:sz="0" w:space="0" w:color="auto"/>
      </w:divBdr>
    </w:div>
    <w:div w:id="2137750262">
      <w:bodyDiv w:val="1"/>
      <w:marLeft w:val="0"/>
      <w:marRight w:val="0"/>
      <w:marTop w:val="0"/>
      <w:marBottom w:val="0"/>
      <w:divBdr>
        <w:top w:val="none" w:sz="0" w:space="0" w:color="auto"/>
        <w:left w:val="none" w:sz="0" w:space="0" w:color="auto"/>
        <w:bottom w:val="none" w:sz="0" w:space="0" w:color="auto"/>
        <w:right w:val="none" w:sz="0" w:space="0" w:color="auto"/>
      </w:divBdr>
    </w:div>
    <w:div w:id="21404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lhaq.org/publications/publications-index/item/an-environmental-approach-the-protection-of-natural-resources-in-the-occupied-palestinian-territory" TargetMode="External"/><Relationship Id="rId1" Type="http://schemas.openxmlformats.org/officeDocument/2006/relationships/hyperlink" Target="http://www.alhaq.org/advocacy/topics/right-to-life-and-body-integrity/1135-the-consequences-of-israeli-imp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0A4A01-CD4E-48B1-B2AE-91D3583B1C35}">
  <ds:schemaRefs>
    <ds:schemaRef ds:uri="http://schemas.openxmlformats.org/officeDocument/2006/bibliography"/>
  </ds:schemaRefs>
</ds:datastoreItem>
</file>

<file path=customXml/itemProps2.xml><?xml version="1.0" encoding="utf-8"?>
<ds:datastoreItem xmlns:ds="http://schemas.openxmlformats.org/officeDocument/2006/customXml" ds:itemID="{446268C0-CE7D-4A9E-B5C1-737A43591952}"/>
</file>

<file path=customXml/itemProps3.xml><?xml version="1.0" encoding="utf-8"?>
<ds:datastoreItem xmlns:ds="http://schemas.openxmlformats.org/officeDocument/2006/customXml" ds:itemID="{287E05BA-7C18-4C09-AF72-05705A141D2E}"/>
</file>

<file path=customXml/itemProps4.xml><?xml version="1.0" encoding="utf-8"?>
<ds:datastoreItem xmlns:ds="http://schemas.openxmlformats.org/officeDocument/2006/customXml" ds:itemID="{4FB8F626-B138-4025-8AC2-535C5FF7D67B}"/>
</file>

<file path=docProps/app.xml><?xml version="1.0" encoding="utf-8"?>
<Properties xmlns="http://schemas.openxmlformats.org/officeDocument/2006/extended-properties" xmlns:vt="http://schemas.openxmlformats.org/officeDocument/2006/docPropsVTypes">
  <Template>Normal.dotm</Template>
  <TotalTime>0</TotalTime>
  <Pages>9</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Durnescu Lilian</cp:lastModifiedBy>
  <cp:revision>2</cp:revision>
  <dcterms:created xsi:type="dcterms:W3CDTF">2017-10-09T07:05:00Z</dcterms:created>
  <dcterms:modified xsi:type="dcterms:W3CDTF">2017-10-09T07:05:00Z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