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44FE57" w14:textId="77777777" w:rsidR="0025682D" w:rsidRPr="00DF6AB4" w:rsidRDefault="0025682D" w:rsidP="0025682D">
      <w:pPr>
        <w:ind w:left="284"/>
        <w:jc w:val="right"/>
        <w:rPr>
          <w:rFonts w:ascii="Palatino" w:hAnsi="Palatino"/>
          <w:sz w:val="22"/>
          <w:lang w:val="en-US"/>
        </w:rPr>
      </w:pPr>
      <w:r>
        <w:rPr>
          <w:rFonts w:ascii="Palatino" w:hAnsi="Palatino"/>
          <w:noProof/>
          <w:sz w:val="22"/>
          <w:lang w:val="en-US"/>
        </w:rPr>
        <w:drawing>
          <wp:anchor distT="0" distB="0" distL="114935" distR="114935" simplePos="0" relativeHeight="251659264" behindDoc="0" locked="0" layoutInCell="1" allowOverlap="1" wp14:anchorId="342EF6F9" wp14:editId="08C576FE">
            <wp:simplePos x="0" y="0"/>
            <wp:positionH relativeFrom="page">
              <wp:posOffset>4681855</wp:posOffset>
            </wp:positionH>
            <wp:positionV relativeFrom="page">
              <wp:posOffset>676275</wp:posOffset>
            </wp:positionV>
            <wp:extent cx="1993900" cy="762000"/>
            <wp:effectExtent l="25400" t="0" r="0" b="0"/>
            <wp:wrapSquare wrapText="bothSides"/>
            <wp:docPr id="2" name="Picture 2" descr="icj_logo_cmyk_englis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j_logo_cmyk_english.tif"/>
                    <pic:cNvPicPr/>
                  </pic:nvPicPr>
                  <pic:blipFill>
                    <a:blip r:embed="rId8"/>
                    <a:stretch>
                      <a:fillRect/>
                    </a:stretch>
                  </pic:blipFill>
                  <pic:spPr>
                    <a:xfrm>
                      <a:off x="0" y="0"/>
                      <a:ext cx="1993900" cy="762000"/>
                    </a:xfrm>
                    <a:prstGeom prst="rect">
                      <a:avLst/>
                    </a:prstGeom>
                  </pic:spPr>
                </pic:pic>
              </a:graphicData>
            </a:graphic>
          </wp:anchor>
        </w:drawing>
      </w:r>
    </w:p>
    <w:p w14:paraId="3BDE3D60" w14:textId="77777777" w:rsidR="0025682D" w:rsidRPr="007411FF" w:rsidRDefault="0025682D" w:rsidP="0025682D">
      <w:pPr>
        <w:ind w:left="284"/>
        <w:jc w:val="both"/>
        <w:rPr>
          <w:rFonts w:ascii="Palatino" w:hAnsi="Palatino"/>
          <w:sz w:val="22"/>
        </w:rPr>
      </w:pPr>
    </w:p>
    <w:p w14:paraId="57E569AF" w14:textId="77777777" w:rsidR="0025682D" w:rsidRDefault="0025682D" w:rsidP="009B2167">
      <w:pPr>
        <w:spacing w:line="256" w:lineRule="exact"/>
        <w:jc w:val="center"/>
        <w:outlineLvl w:val="0"/>
        <w:rPr>
          <w:rFonts w:ascii="Verdana" w:hAnsi="Verdana"/>
          <w:sz w:val="18"/>
          <w:szCs w:val="18"/>
        </w:rPr>
      </w:pPr>
    </w:p>
    <w:p w14:paraId="1714484D" w14:textId="77777777" w:rsidR="0025682D" w:rsidRDefault="0025682D" w:rsidP="009B2167">
      <w:pPr>
        <w:spacing w:line="256" w:lineRule="exact"/>
        <w:jc w:val="center"/>
        <w:outlineLvl w:val="0"/>
        <w:rPr>
          <w:rFonts w:ascii="Verdana" w:hAnsi="Verdana"/>
          <w:sz w:val="18"/>
          <w:szCs w:val="18"/>
        </w:rPr>
      </w:pPr>
    </w:p>
    <w:p w14:paraId="002670C4" w14:textId="77777777" w:rsidR="0025682D" w:rsidRDefault="0025682D" w:rsidP="009B2167">
      <w:pPr>
        <w:spacing w:line="256" w:lineRule="exact"/>
        <w:jc w:val="center"/>
        <w:outlineLvl w:val="0"/>
        <w:rPr>
          <w:rFonts w:ascii="Verdana" w:hAnsi="Verdana"/>
          <w:sz w:val="18"/>
          <w:szCs w:val="18"/>
        </w:rPr>
      </w:pPr>
    </w:p>
    <w:p w14:paraId="5DC0CAEB" w14:textId="77777777" w:rsidR="0025682D" w:rsidRDefault="0025682D" w:rsidP="009B2167">
      <w:pPr>
        <w:spacing w:line="256" w:lineRule="exact"/>
        <w:jc w:val="center"/>
        <w:outlineLvl w:val="0"/>
        <w:rPr>
          <w:rFonts w:ascii="Verdana" w:hAnsi="Verdana"/>
          <w:sz w:val="18"/>
          <w:szCs w:val="18"/>
        </w:rPr>
      </w:pPr>
    </w:p>
    <w:p w14:paraId="483590A9" w14:textId="77777777" w:rsidR="0025682D" w:rsidRDefault="0025682D" w:rsidP="009B2167">
      <w:pPr>
        <w:spacing w:line="256" w:lineRule="exact"/>
        <w:jc w:val="center"/>
        <w:outlineLvl w:val="0"/>
        <w:rPr>
          <w:rFonts w:ascii="Verdana" w:hAnsi="Verdana"/>
          <w:sz w:val="18"/>
          <w:szCs w:val="18"/>
        </w:rPr>
      </w:pPr>
    </w:p>
    <w:p w14:paraId="49FB6BDA" w14:textId="77777777" w:rsidR="0025682D" w:rsidRDefault="0025682D" w:rsidP="009B2167">
      <w:pPr>
        <w:spacing w:line="256" w:lineRule="exact"/>
        <w:jc w:val="center"/>
        <w:outlineLvl w:val="0"/>
        <w:rPr>
          <w:rFonts w:ascii="Verdana" w:hAnsi="Verdana"/>
          <w:sz w:val="18"/>
          <w:szCs w:val="18"/>
        </w:rPr>
      </w:pPr>
    </w:p>
    <w:p w14:paraId="4D655679" w14:textId="77777777" w:rsidR="0025682D" w:rsidRDefault="0025682D" w:rsidP="009B2167">
      <w:pPr>
        <w:spacing w:line="256" w:lineRule="exact"/>
        <w:jc w:val="center"/>
        <w:outlineLvl w:val="0"/>
        <w:rPr>
          <w:rFonts w:ascii="Verdana" w:hAnsi="Verdana"/>
          <w:sz w:val="18"/>
          <w:szCs w:val="18"/>
        </w:rPr>
      </w:pPr>
    </w:p>
    <w:p w14:paraId="43B33659" w14:textId="77777777" w:rsidR="0025682D" w:rsidRDefault="0025682D" w:rsidP="009B2167">
      <w:pPr>
        <w:spacing w:line="256" w:lineRule="exact"/>
        <w:jc w:val="center"/>
        <w:outlineLvl w:val="0"/>
        <w:rPr>
          <w:rFonts w:ascii="Verdana" w:hAnsi="Verdana"/>
          <w:sz w:val="18"/>
          <w:szCs w:val="18"/>
        </w:rPr>
      </w:pPr>
    </w:p>
    <w:p w14:paraId="4D38DEBB" w14:textId="77777777" w:rsidR="0025682D" w:rsidRDefault="0025682D" w:rsidP="009B2167">
      <w:pPr>
        <w:spacing w:line="256" w:lineRule="exact"/>
        <w:jc w:val="center"/>
        <w:outlineLvl w:val="0"/>
        <w:rPr>
          <w:rFonts w:ascii="Verdana" w:hAnsi="Verdana"/>
          <w:sz w:val="18"/>
          <w:szCs w:val="18"/>
        </w:rPr>
      </w:pPr>
    </w:p>
    <w:p w14:paraId="19C58314" w14:textId="77777777" w:rsidR="009263F6" w:rsidRPr="003874F5" w:rsidRDefault="009263F6" w:rsidP="009B2167">
      <w:pPr>
        <w:spacing w:line="256" w:lineRule="exact"/>
        <w:jc w:val="center"/>
        <w:outlineLvl w:val="0"/>
        <w:rPr>
          <w:rFonts w:ascii="Verdana" w:hAnsi="Verdana"/>
          <w:sz w:val="18"/>
          <w:szCs w:val="18"/>
        </w:rPr>
      </w:pPr>
      <w:r w:rsidRPr="003874F5">
        <w:rPr>
          <w:rFonts w:ascii="Verdana" w:hAnsi="Verdana"/>
          <w:sz w:val="18"/>
          <w:szCs w:val="18"/>
        </w:rPr>
        <w:t xml:space="preserve">UNITED NATIONS </w:t>
      </w:r>
      <w:r w:rsidR="003874F5">
        <w:rPr>
          <w:rFonts w:ascii="Verdana" w:hAnsi="Verdana"/>
          <w:sz w:val="18"/>
          <w:szCs w:val="18"/>
        </w:rPr>
        <w:t>HUMAN RIGHTS COMMITTEE</w:t>
      </w:r>
    </w:p>
    <w:p w14:paraId="49425342" w14:textId="77777777" w:rsidR="003A6017" w:rsidRPr="00BC3C76" w:rsidRDefault="003A6017" w:rsidP="003A6017">
      <w:pPr>
        <w:spacing w:before="120" w:line="256" w:lineRule="exact"/>
        <w:ind w:left="284"/>
        <w:jc w:val="center"/>
        <w:outlineLvl w:val="0"/>
        <w:rPr>
          <w:rFonts w:ascii="Verdana" w:hAnsi="Verdana"/>
          <w:b/>
          <w:sz w:val="19"/>
          <w:szCs w:val="19"/>
        </w:rPr>
      </w:pPr>
      <w:r w:rsidRPr="00BC3C76">
        <w:rPr>
          <w:rFonts w:ascii="Verdana" w:hAnsi="Verdana"/>
          <w:b/>
          <w:sz w:val="19"/>
          <w:szCs w:val="19"/>
        </w:rPr>
        <w:t>1</w:t>
      </w:r>
      <w:r>
        <w:rPr>
          <w:rFonts w:ascii="Verdana" w:hAnsi="Verdana"/>
          <w:b/>
          <w:sz w:val="19"/>
          <w:szCs w:val="19"/>
        </w:rPr>
        <w:t>11</w:t>
      </w:r>
      <w:r w:rsidRPr="00BC3C76">
        <w:rPr>
          <w:rFonts w:ascii="Verdana" w:hAnsi="Verdana"/>
          <w:b/>
          <w:sz w:val="19"/>
          <w:szCs w:val="19"/>
          <w:vertAlign w:val="superscript"/>
        </w:rPr>
        <w:t xml:space="preserve">th </w:t>
      </w:r>
      <w:r w:rsidRPr="00BC3C76">
        <w:rPr>
          <w:rFonts w:ascii="Verdana" w:hAnsi="Verdana"/>
          <w:b/>
          <w:sz w:val="19"/>
          <w:szCs w:val="19"/>
        </w:rPr>
        <w:t>Session of the UN Human Rights Committee</w:t>
      </w:r>
    </w:p>
    <w:p w14:paraId="1080DF46" w14:textId="77777777" w:rsidR="009263F6" w:rsidRPr="00441F91" w:rsidRDefault="003A6017" w:rsidP="003A6017">
      <w:pPr>
        <w:spacing w:line="256" w:lineRule="exact"/>
        <w:ind w:left="284"/>
        <w:jc w:val="center"/>
        <w:outlineLvl w:val="0"/>
        <w:rPr>
          <w:rFonts w:ascii="Verdana" w:hAnsi="Verdana"/>
          <w:sz w:val="18"/>
          <w:szCs w:val="18"/>
        </w:rPr>
      </w:pPr>
      <w:r w:rsidRPr="0062614B">
        <w:rPr>
          <w:rFonts w:ascii="Verdana" w:hAnsi="Verdana"/>
          <w:bCs/>
          <w:sz w:val="19"/>
          <w:szCs w:val="19"/>
          <w:lang w:val="en-US"/>
        </w:rPr>
        <w:t xml:space="preserve">7 </w:t>
      </w:r>
      <w:r w:rsidR="004C0010">
        <w:rPr>
          <w:rFonts w:ascii="Verdana" w:hAnsi="Verdana"/>
          <w:bCs/>
          <w:sz w:val="19"/>
          <w:szCs w:val="19"/>
          <w:lang w:val="en-US"/>
        </w:rPr>
        <w:t xml:space="preserve">– 25 </w:t>
      </w:r>
      <w:r w:rsidRPr="0062614B">
        <w:rPr>
          <w:rFonts w:ascii="Verdana" w:hAnsi="Verdana"/>
          <w:bCs/>
          <w:sz w:val="19"/>
          <w:szCs w:val="19"/>
          <w:lang w:val="en-US"/>
        </w:rPr>
        <w:t>Jul</w:t>
      </w:r>
      <w:r w:rsidR="004C0010">
        <w:rPr>
          <w:rFonts w:ascii="Verdana" w:hAnsi="Verdana"/>
          <w:bCs/>
          <w:sz w:val="19"/>
          <w:szCs w:val="19"/>
          <w:lang w:val="en-US"/>
        </w:rPr>
        <w:t>y</w:t>
      </w:r>
      <w:r w:rsidRPr="0062614B">
        <w:rPr>
          <w:rFonts w:ascii="Verdana" w:hAnsi="Verdana"/>
          <w:bCs/>
          <w:sz w:val="19"/>
          <w:szCs w:val="19"/>
          <w:lang w:val="en-US"/>
        </w:rPr>
        <w:t xml:space="preserve"> 2014</w:t>
      </w:r>
    </w:p>
    <w:p w14:paraId="3B02412B" w14:textId="77777777" w:rsidR="009263F6" w:rsidRPr="00441F91" w:rsidRDefault="009263F6" w:rsidP="009B2167">
      <w:pPr>
        <w:spacing w:line="256" w:lineRule="exact"/>
        <w:ind w:left="284"/>
        <w:jc w:val="center"/>
        <w:rPr>
          <w:rFonts w:ascii="Verdana" w:hAnsi="Verdana"/>
          <w:sz w:val="18"/>
          <w:szCs w:val="18"/>
        </w:rPr>
      </w:pPr>
    </w:p>
    <w:p w14:paraId="608AE610" w14:textId="77777777" w:rsidR="009263F6" w:rsidRPr="00441F91" w:rsidRDefault="009263F6" w:rsidP="009B2167">
      <w:pPr>
        <w:spacing w:line="256" w:lineRule="exact"/>
        <w:ind w:left="284"/>
        <w:jc w:val="center"/>
        <w:rPr>
          <w:rFonts w:ascii="Verdana" w:hAnsi="Verdana"/>
          <w:sz w:val="18"/>
          <w:szCs w:val="18"/>
        </w:rPr>
      </w:pPr>
    </w:p>
    <w:p w14:paraId="4BA8CCAD" w14:textId="77777777" w:rsidR="009263F6" w:rsidRPr="00441F91" w:rsidRDefault="009263F6" w:rsidP="009B2167">
      <w:pPr>
        <w:spacing w:line="256" w:lineRule="exact"/>
        <w:ind w:left="284"/>
        <w:jc w:val="center"/>
        <w:rPr>
          <w:rFonts w:ascii="Verdana" w:hAnsi="Verdana"/>
          <w:sz w:val="18"/>
          <w:szCs w:val="18"/>
        </w:rPr>
      </w:pPr>
    </w:p>
    <w:p w14:paraId="25C0F306" w14:textId="77777777" w:rsidR="009263F6" w:rsidRPr="00441F91" w:rsidRDefault="009263F6" w:rsidP="009B2167">
      <w:pPr>
        <w:spacing w:line="256" w:lineRule="exact"/>
        <w:ind w:left="284"/>
        <w:jc w:val="center"/>
        <w:rPr>
          <w:rFonts w:ascii="Verdana" w:hAnsi="Verdana"/>
          <w:b/>
          <w:sz w:val="18"/>
          <w:szCs w:val="18"/>
        </w:rPr>
      </w:pPr>
    </w:p>
    <w:p w14:paraId="7637EF6A" w14:textId="77777777" w:rsidR="00141376" w:rsidRPr="00BC3C76" w:rsidRDefault="00141376" w:rsidP="00141376">
      <w:pPr>
        <w:spacing w:line="256" w:lineRule="exact"/>
        <w:ind w:left="284"/>
        <w:jc w:val="center"/>
        <w:rPr>
          <w:rFonts w:ascii="Verdana" w:hAnsi="Verdana"/>
          <w:b/>
          <w:sz w:val="19"/>
          <w:szCs w:val="19"/>
        </w:rPr>
      </w:pPr>
      <w:r w:rsidRPr="00BC3C76">
        <w:rPr>
          <w:rFonts w:ascii="Verdana" w:hAnsi="Verdana"/>
          <w:b/>
          <w:sz w:val="19"/>
          <w:szCs w:val="19"/>
        </w:rPr>
        <w:t>COMMENTS</w:t>
      </w:r>
      <w:r>
        <w:rPr>
          <w:rFonts w:ascii="Verdana" w:hAnsi="Verdana"/>
          <w:b/>
          <w:sz w:val="19"/>
          <w:szCs w:val="19"/>
        </w:rPr>
        <w:t xml:space="preserve"> </w:t>
      </w:r>
      <w:r w:rsidRPr="00BC3C76">
        <w:rPr>
          <w:rFonts w:ascii="Verdana" w:hAnsi="Verdana"/>
          <w:b/>
          <w:sz w:val="19"/>
          <w:szCs w:val="19"/>
        </w:rPr>
        <w:t xml:space="preserve">ON DRAFT GENERAL </w:t>
      </w:r>
      <w:r>
        <w:rPr>
          <w:rFonts w:ascii="Verdana" w:hAnsi="Verdana"/>
          <w:b/>
          <w:sz w:val="19"/>
          <w:szCs w:val="19"/>
        </w:rPr>
        <w:t>C</w:t>
      </w:r>
      <w:r w:rsidRPr="00BC3C76">
        <w:rPr>
          <w:rFonts w:ascii="Verdana" w:hAnsi="Verdana"/>
          <w:b/>
          <w:sz w:val="19"/>
          <w:szCs w:val="19"/>
        </w:rPr>
        <w:t>OMMENT 35 ON ARTICLE 9 OF THE INTERNATIONAL COVENANT ON CIVIL AND POLITICAL RIGHTS</w:t>
      </w:r>
      <w:r>
        <w:rPr>
          <w:rFonts w:ascii="Verdana" w:hAnsi="Verdana"/>
          <w:b/>
          <w:sz w:val="19"/>
          <w:szCs w:val="19"/>
        </w:rPr>
        <w:t xml:space="preserve"> AS </w:t>
      </w:r>
      <w:r>
        <w:rPr>
          <w:rFonts w:ascii="Verdana" w:hAnsi="Verdana"/>
          <w:b/>
          <w:sz w:val="19"/>
          <w:szCs w:val="19"/>
          <w:lang w:val="en-US"/>
        </w:rPr>
        <w:t xml:space="preserve">FINALISED AT FIRST READING BY THE </w:t>
      </w:r>
      <w:r>
        <w:rPr>
          <w:rFonts w:ascii="Verdana" w:hAnsi="Verdana"/>
          <w:b/>
          <w:sz w:val="19"/>
          <w:szCs w:val="19"/>
        </w:rPr>
        <w:t>HUMAN RIGHTS COMMITTEE IN MARCH 2014 DURING ITS 110</w:t>
      </w:r>
      <w:r w:rsidRPr="0062614B">
        <w:rPr>
          <w:rFonts w:ascii="Verdana" w:hAnsi="Verdana"/>
          <w:b/>
          <w:sz w:val="19"/>
          <w:szCs w:val="19"/>
          <w:vertAlign w:val="superscript"/>
        </w:rPr>
        <w:t>TH</w:t>
      </w:r>
      <w:r>
        <w:rPr>
          <w:rFonts w:ascii="Verdana" w:hAnsi="Verdana"/>
          <w:b/>
          <w:sz w:val="19"/>
          <w:szCs w:val="19"/>
        </w:rPr>
        <w:t xml:space="preserve"> SESSION</w:t>
      </w:r>
    </w:p>
    <w:p w14:paraId="5AE8A539" w14:textId="77777777" w:rsidR="009263F6" w:rsidRPr="00441F91" w:rsidRDefault="009263F6" w:rsidP="009B2167">
      <w:pPr>
        <w:spacing w:line="256" w:lineRule="exact"/>
        <w:ind w:left="284"/>
        <w:jc w:val="center"/>
        <w:rPr>
          <w:rFonts w:ascii="Verdana" w:hAnsi="Verdana"/>
          <w:b/>
          <w:sz w:val="18"/>
          <w:szCs w:val="18"/>
        </w:rPr>
      </w:pPr>
    </w:p>
    <w:p w14:paraId="2A177551" w14:textId="77777777" w:rsidR="009263F6" w:rsidRPr="00441F91" w:rsidRDefault="009263F6" w:rsidP="009B2167">
      <w:pPr>
        <w:spacing w:line="256" w:lineRule="exact"/>
        <w:ind w:left="284"/>
        <w:jc w:val="center"/>
        <w:rPr>
          <w:rFonts w:ascii="Verdana" w:hAnsi="Verdana"/>
          <w:sz w:val="18"/>
          <w:szCs w:val="18"/>
        </w:rPr>
      </w:pPr>
    </w:p>
    <w:p w14:paraId="60FC76B2" w14:textId="77777777" w:rsidR="00141376" w:rsidRPr="00BC3C76" w:rsidRDefault="00141376" w:rsidP="00141376">
      <w:pPr>
        <w:spacing w:line="256" w:lineRule="exact"/>
        <w:ind w:left="284"/>
        <w:jc w:val="center"/>
        <w:outlineLvl w:val="0"/>
        <w:rPr>
          <w:rFonts w:ascii="Verdana" w:hAnsi="Verdana"/>
          <w:sz w:val="19"/>
          <w:szCs w:val="19"/>
        </w:rPr>
      </w:pPr>
      <w:r w:rsidRPr="00BC3C76">
        <w:rPr>
          <w:rFonts w:ascii="Verdana" w:hAnsi="Verdana"/>
          <w:sz w:val="19"/>
          <w:szCs w:val="19"/>
        </w:rPr>
        <w:t xml:space="preserve">Submitted </w:t>
      </w:r>
      <w:r w:rsidR="00013B74">
        <w:rPr>
          <w:rFonts w:ascii="Verdana" w:hAnsi="Verdana"/>
          <w:sz w:val="19"/>
          <w:szCs w:val="19"/>
        </w:rPr>
        <w:t xml:space="preserve">on </w:t>
      </w:r>
      <w:r w:rsidRPr="00BC3C76">
        <w:rPr>
          <w:rFonts w:ascii="Verdana" w:hAnsi="Verdana"/>
          <w:sz w:val="19"/>
          <w:szCs w:val="19"/>
        </w:rPr>
        <w:t>1</w:t>
      </w:r>
      <w:r>
        <w:rPr>
          <w:rFonts w:ascii="Verdana" w:hAnsi="Verdana"/>
          <w:sz w:val="19"/>
          <w:szCs w:val="19"/>
        </w:rPr>
        <w:t xml:space="preserve"> June 2014</w:t>
      </w:r>
    </w:p>
    <w:p w14:paraId="50627570" w14:textId="77777777" w:rsidR="009263F6" w:rsidRPr="00441F91" w:rsidRDefault="009263F6" w:rsidP="009B2167">
      <w:pPr>
        <w:spacing w:line="256" w:lineRule="exact"/>
        <w:ind w:left="284"/>
        <w:jc w:val="center"/>
        <w:rPr>
          <w:rFonts w:ascii="Verdana" w:hAnsi="Verdana"/>
          <w:sz w:val="18"/>
          <w:szCs w:val="18"/>
        </w:rPr>
      </w:pPr>
    </w:p>
    <w:p w14:paraId="6C401D4E" w14:textId="77777777" w:rsidR="009263F6" w:rsidRPr="00441F91" w:rsidRDefault="009263F6" w:rsidP="009B2167">
      <w:pPr>
        <w:spacing w:line="256" w:lineRule="exact"/>
        <w:ind w:right="721"/>
        <w:jc w:val="center"/>
        <w:rPr>
          <w:rFonts w:ascii="Verdana" w:hAnsi="Verdana"/>
          <w:i/>
          <w:sz w:val="18"/>
          <w:szCs w:val="18"/>
        </w:rPr>
      </w:pPr>
    </w:p>
    <w:p w14:paraId="72B12E72" w14:textId="77777777" w:rsidR="009263F6" w:rsidRPr="00441F91" w:rsidRDefault="009263F6" w:rsidP="009B2167">
      <w:pPr>
        <w:spacing w:line="256" w:lineRule="exact"/>
        <w:ind w:right="721"/>
        <w:jc w:val="center"/>
        <w:rPr>
          <w:rFonts w:ascii="Verdana" w:hAnsi="Verdana"/>
          <w:i/>
          <w:sz w:val="18"/>
          <w:szCs w:val="18"/>
        </w:rPr>
      </w:pPr>
    </w:p>
    <w:p w14:paraId="124FC806" w14:textId="77777777" w:rsidR="009263F6" w:rsidRPr="00441F91" w:rsidRDefault="009263F6" w:rsidP="009B2167">
      <w:pPr>
        <w:spacing w:line="256" w:lineRule="exact"/>
        <w:ind w:right="721"/>
        <w:jc w:val="center"/>
        <w:rPr>
          <w:rFonts w:ascii="Verdana" w:hAnsi="Verdana"/>
          <w:i/>
          <w:sz w:val="18"/>
          <w:szCs w:val="18"/>
        </w:rPr>
      </w:pPr>
    </w:p>
    <w:p w14:paraId="19B9445B" w14:textId="77777777" w:rsidR="009263F6" w:rsidRPr="00441F91" w:rsidRDefault="009263F6" w:rsidP="009B2167">
      <w:pPr>
        <w:spacing w:line="256" w:lineRule="exact"/>
        <w:ind w:right="721"/>
        <w:jc w:val="center"/>
        <w:rPr>
          <w:rFonts w:ascii="Verdana" w:hAnsi="Verdana"/>
          <w:i/>
          <w:sz w:val="18"/>
          <w:szCs w:val="18"/>
        </w:rPr>
      </w:pPr>
    </w:p>
    <w:p w14:paraId="7380170B" w14:textId="77777777" w:rsidR="009263F6" w:rsidRPr="00441F91" w:rsidRDefault="009263F6" w:rsidP="009B2167">
      <w:pPr>
        <w:spacing w:line="256" w:lineRule="exact"/>
        <w:ind w:right="721"/>
        <w:jc w:val="center"/>
        <w:rPr>
          <w:rFonts w:ascii="Verdana" w:hAnsi="Verdana"/>
          <w:i/>
          <w:sz w:val="18"/>
          <w:szCs w:val="18"/>
        </w:rPr>
      </w:pPr>
    </w:p>
    <w:p w14:paraId="140105D9" w14:textId="77777777" w:rsidR="009263F6" w:rsidRPr="00441F91" w:rsidRDefault="009263F6" w:rsidP="009B2167">
      <w:pPr>
        <w:spacing w:line="256" w:lineRule="exact"/>
        <w:ind w:right="721"/>
        <w:jc w:val="center"/>
        <w:rPr>
          <w:rFonts w:ascii="Verdana" w:hAnsi="Verdana"/>
          <w:i/>
          <w:sz w:val="18"/>
          <w:szCs w:val="18"/>
        </w:rPr>
      </w:pPr>
    </w:p>
    <w:p w14:paraId="064A0B42" w14:textId="77777777" w:rsidR="009263F6" w:rsidRPr="00441F91" w:rsidRDefault="009263F6" w:rsidP="009B2167">
      <w:pPr>
        <w:spacing w:line="256" w:lineRule="exact"/>
        <w:ind w:left="720" w:right="721"/>
        <w:jc w:val="center"/>
        <w:rPr>
          <w:rFonts w:ascii="Verdana" w:hAnsi="Verdana"/>
          <w:i/>
          <w:sz w:val="18"/>
          <w:szCs w:val="18"/>
        </w:rPr>
      </w:pPr>
    </w:p>
    <w:p w14:paraId="619EAA02" w14:textId="77777777" w:rsidR="00441F91" w:rsidRPr="00441F91" w:rsidRDefault="00441F91" w:rsidP="009B2167">
      <w:pPr>
        <w:spacing w:line="256" w:lineRule="exact"/>
        <w:ind w:left="720" w:right="721"/>
        <w:jc w:val="center"/>
        <w:rPr>
          <w:rFonts w:ascii="Verdana" w:hAnsi="Verdana"/>
          <w:i/>
          <w:sz w:val="18"/>
          <w:szCs w:val="18"/>
        </w:rPr>
      </w:pPr>
    </w:p>
    <w:p w14:paraId="1EECF010" w14:textId="77777777" w:rsidR="00441F91" w:rsidRPr="00441F91" w:rsidRDefault="00441F91" w:rsidP="00324F6B">
      <w:pPr>
        <w:spacing w:line="256" w:lineRule="exact"/>
        <w:ind w:left="720" w:right="721"/>
        <w:jc w:val="both"/>
        <w:rPr>
          <w:rFonts w:ascii="Verdana" w:hAnsi="Verdana"/>
          <w:i/>
          <w:sz w:val="18"/>
          <w:szCs w:val="18"/>
        </w:rPr>
      </w:pPr>
    </w:p>
    <w:p w14:paraId="02C2476B" w14:textId="77777777" w:rsidR="00AA5F4F" w:rsidRDefault="00AA5F4F" w:rsidP="00324F6B">
      <w:pPr>
        <w:spacing w:line="256" w:lineRule="exact"/>
        <w:ind w:left="720" w:right="721"/>
        <w:jc w:val="both"/>
        <w:rPr>
          <w:rFonts w:ascii="Verdana" w:hAnsi="Verdana"/>
          <w:i/>
          <w:sz w:val="16"/>
          <w:szCs w:val="16"/>
        </w:rPr>
      </w:pPr>
    </w:p>
    <w:p w14:paraId="723A90C9" w14:textId="77777777" w:rsidR="00AA5F4F" w:rsidRDefault="00AA5F4F" w:rsidP="00324F6B">
      <w:pPr>
        <w:spacing w:line="256" w:lineRule="exact"/>
        <w:ind w:left="720" w:right="721"/>
        <w:jc w:val="both"/>
        <w:rPr>
          <w:rFonts w:ascii="Verdana" w:hAnsi="Verdana"/>
          <w:i/>
          <w:sz w:val="16"/>
          <w:szCs w:val="16"/>
        </w:rPr>
      </w:pPr>
    </w:p>
    <w:p w14:paraId="4BD162B6" w14:textId="77777777" w:rsidR="00AA5F4F" w:rsidRDefault="00AA5F4F" w:rsidP="00324F6B">
      <w:pPr>
        <w:spacing w:line="256" w:lineRule="exact"/>
        <w:ind w:left="720" w:right="721"/>
        <w:jc w:val="both"/>
        <w:rPr>
          <w:rFonts w:ascii="Verdana" w:hAnsi="Verdana"/>
          <w:i/>
          <w:sz w:val="16"/>
          <w:szCs w:val="16"/>
        </w:rPr>
      </w:pPr>
    </w:p>
    <w:p w14:paraId="3AC4BC0E" w14:textId="77777777" w:rsidR="009263F6" w:rsidRPr="00864F24" w:rsidRDefault="009263F6" w:rsidP="00324F6B">
      <w:pPr>
        <w:spacing w:line="256" w:lineRule="exact"/>
        <w:ind w:left="720" w:right="721"/>
        <w:jc w:val="both"/>
        <w:rPr>
          <w:rFonts w:ascii="Verdana" w:hAnsi="Verdana"/>
          <w:sz w:val="16"/>
          <w:szCs w:val="16"/>
        </w:rPr>
      </w:pPr>
      <w:r w:rsidRPr="00864F24">
        <w:rPr>
          <w:rFonts w:ascii="Verdana" w:hAnsi="Verdana"/>
          <w:i/>
          <w:sz w:val="16"/>
          <w:szCs w:val="16"/>
        </w:rPr>
        <w:t>Composed of 60 eminent judges and lawyers from all regions of the world, the International Commission of Jurists promotes and protects human rights through the Rule of Law, by using its unique legal expertise to develop and strengthen national and international justice systems. Established in 1952, in consultative status with the Economic and Social Council since 1957, and active on the five continents, the ICJ aims to ensure the progressive development and effective implementation of international human rights and international humanitarian law; secure the realization of civil, cultural, economic, political and social rights; safeguard the separation of powers; and guarantee the independence of the judiciary and legal profession.</w:t>
      </w:r>
    </w:p>
    <w:p w14:paraId="286F3A0E" w14:textId="77777777" w:rsidR="00441F91" w:rsidRDefault="00441F91" w:rsidP="00AA5F4F">
      <w:pPr>
        <w:spacing w:line="256" w:lineRule="exact"/>
        <w:ind w:right="1"/>
        <w:rPr>
          <w:rFonts w:ascii="Verdana" w:hAnsi="Verdana"/>
          <w:sz w:val="18"/>
          <w:szCs w:val="18"/>
        </w:rPr>
      </w:pPr>
    </w:p>
    <w:p w14:paraId="4E13042D" w14:textId="77777777" w:rsidR="00AA5F4F" w:rsidRPr="00441F91" w:rsidRDefault="00AA5F4F" w:rsidP="009B2167">
      <w:pPr>
        <w:spacing w:line="256" w:lineRule="exact"/>
        <w:ind w:right="1"/>
        <w:jc w:val="center"/>
        <w:rPr>
          <w:rFonts w:ascii="Verdana" w:hAnsi="Verdana"/>
          <w:sz w:val="18"/>
          <w:szCs w:val="18"/>
        </w:rPr>
      </w:pPr>
    </w:p>
    <w:p w14:paraId="4A940B10" w14:textId="77777777" w:rsidR="00441F91" w:rsidRDefault="00441F91" w:rsidP="009B2167">
      <w:pPr>
        <w:spacing w:line="256" w:lineRule="exact"/>
        <w:ind w:right="1"/>
        <w:jc w:val="center"/>
        <w:rPr>
          <w:rFonts w:ascii="Verdana" w:hAnsi="Verdana"/>
          <w:sz w:val="18"/>
          <w:szCs w:val="18"/>
        </w:rPr>
      </w:pPr>
    </w:p>
    <w:p w14:paraId="2C79410D" w14:textId="77777777" w:rsidR="00AA5F4F" w:rsidRPr="00303AD4" w:rsidRDefault="00AA5F4F" w:rsidP="009B2167">
      <w:pPr>
        <w:spacing w:line="256" w:lineRule="exact"/>
        <w:ind w:right="1"/>
        <w:jc w:val="center"/>
        <w:rPr>
          <w:rFonts w:ascii="Verdana" w:hAnsi="Verdana"/>
          <w:sz w:val="19"/>
          <w:szCs w:val="19"/>
        </w:rPr>
      </w:pPr>
    </w:p>
    <w:p w14:paraId="42C15A34" w14:textId="77777777" w:rsidR="009263F6" w:rsidRPr="00303AD4" w:rsidRDefault="009263F6" w:rsidP="009B2167">
      <w:pPr>
        <w:ind w:right="1"/>
        <w:jc w:val="center"/>
        <w:outlineLvl w:val="0"/>
        <w:rPr>
          <w:rFonts w:ascii="Verdana" w:hAnsi="Verdana"/>
          <w:sz w:val="19"/>
          <w:szCs w:val="19"/>
        </w:rPr>
      </w:pPr>
      <w:r w:rsidRPr="00303AD4">
        <w:rPr>
          <w:rFonts w:ascii="Verdana" w:hAnsi="Verdana"/>
          <w:sz w:val="19"/>
          <w:szCs w:val="19"/>
        </w:rPr>
        <w:t>P.O. Box, 91, Rue des Bains, 33, 1211 Geneva 8, Switzerland</w:t>
      </w:r>
    </w:p>
    <w:p w14:paraId="0EAE4580" w14:textId="77777777" w:rsidR="009263F6" w:rsidRPr="00303AD4" w:rsidRDefault="009263F6" w:rsidP="009B2167">
      <w:pPr>
        <w:ind w:right="1"/>
        <w:jc w:val="center"/>
        <w:rPr>
          <w:rFonts w:ascii="Verdana" w:hAnsi="Verdana"/>
          <w:sz w:val="19"/>
          <w:szCs w:val="19"/>
        </w:rPr>
      </w:pPr>
      <w:r w:rsidRPr="00303AD4">
        <w:rPr>
          <w:rFonts w:ascii="Verdana" w:hAnsi="Verdana"/>
          <w:sz w:val="19"/>
          <w:szCs w:val="19"/>
        </w:rPr>
        <w:t xml:space="preserve">Tel: +41(0) 22 979 3800 – Fax: +41(0) 22 979 3801 – Website: http://www.icj.org - E-mail: </w:t>
      </w:r>
      <w:hyperlink r:id="rId9" w:history="1">
        <w:r w:rsidR="00303AD4" w:rsidRPr="00E07311">
          <w:rPr>
            <w:rStyle w:val="Hyperlink"/>
            <w:rFonts w:ascii="Verdana" w:hAnsi="Verdana"/>
            <w:sz w:val="19"/>
            <w:szCs w:val="19"/>
          </w:rPr>
          <w:t>info@icj.org</w:t>
        </w:r>
      </w:hyperlink>
      <w:r w:rsidR="00303AD4">
        <w:rPr>
          <w:rFonts w:ascii="Verdana" w:hAnsi="Verdana"/>
          <w:sz w:val="19"/>
          <w:szCs w:val="19"/>
        </w:rPr>
        <w:t xml:space="preserve"> </w:t>
      </w:r>
    </w:p>
    <w:p w14:paraId="4EACF35A" w14:textId="77777777" w:rsidR="009263F6" w:rsidRPr="00864F24" w:rsidRDefault="009263F6" w:rsidP="009B2167">
      <w:pPr>
        <w:spacing w:after="240" w:line="256" w:lineRule="exact"/>
        <w:jc w:val="center"/>
        <w:rPr>
          <w:rFonts w:ascii="Verdana" w:hAnsi="Verdana"/>
          <w:b/>
          <w:sz w:val="15"/>
          <w:szCs w:val="15"/>
        </w:rPr>
        <w:sectPr w:rsidR="009263F6" w:rsidRPr="00864F24">
          <w:headerReference w:type="default" r:id="rId10"/>
          <w:footerReference w:type="even" r:id="rId11"/>
          <w:footerReference w:type="default" r:id="rId12"/>
          <w:headerReference w:type="first" r:id="rId13"/>
          <w:pgSz w:w="11900" w:h="16840"/>
          <w:pgMar w:top="1545" w:right="1418" w:bottom="1418" w:left="1418" w:header="720" w:footer="862" w:gutter="0"/>
          <w:pgNumType w:start="1"/>
          <w:cols w:space="720"/>
          <w:titlePg/>
        </w:sectPr>
      </w:pPr>
    </w:p>
    <w:p w14:paraId="5C0091D8" w14:textId="77777777" w:rsidR="00C373F9" w:rsidRDefault="0007590D" w:rsidP="00C373F9">
      <w:pPr>
        <w:jc w:val="center"/>
        <w:rPr>
          <w:rFonts w:ascii="Verdana" w:hAnsi="Verdana"/>
          <w:b/>
          <w:sz w:val="18"/>
          <w:szCs w:val="18"/>
        </w:rPr>
      </w:pPr>
      <w:r w:rsidRPr="0007590D">
        <w:rPr>
          <w:rFonts w:ascii="Verdana" w:hAnsi="Verdana"/>
          <w:b/>
          <w:sz w:val="18"/>
          <w:szCs w:val="18"/>
        </w:rPr>
        <w:lastRenderedPageBreak/>
        <w:t xml:space="preserve">INTERNATIONAL COMMISSION OF JURISTS’ COMMENTS ON DRAFT GENERAL COMMENT 35 ON ARTICLE 9 OF THE INTERNATIONAL COVENANT ON CIVIL AND POLITICAL RIGHTS AS </w:t>
      </w:r>
      <w:r w:rsidRPr="0007590D">
        <w:rPr>
          <w:rFonts w:ascii="Verdana" w:hAnsi="Verdana"/>
          <w:b/>
          <w:sz w:val="18"/>
          <w:szCs w:val="18"/>
          <w:lang w:val="en-US"/>
        </w:rPr>
        <w:t xml:space="preserve">FINALISED AT FIRST READING BY THE </w:t>
      </w:r>
      <w:r w:rsidRPr="0007590D">
        <w:rPr>
          <w:rFonts w:ascii="Verdana" w:hAnsi="Verdana"/>
          <w:b/>
          <w:sz w:val="18"/>
          <w:szCs w:val="18"/>
        </w:rPr>
        <w:t>HUMAN RIGHTS COMMITTEE IN MARCH 2014 DURING ITS 110</w:t>
      </w:r>
      <w:r w:rsidRPr="0007590D">
        <w:rPr>
          <w:rFonts w:ascii="Verdana" w:hAnsi="Verdana"/>
          <w:b/>
          <w:sz w:val="18"/>
          <w:szCs w:val="18"/>
          <w:vertAlign w:val="superscript"/>
        </w:rPr>
        <w:t>TH</w:t>
      </w:r>
      <w:r w:rsidRPr="0007590D">
        <w:rPr>
          <w:rFonts w:ascii="Verdana" w:hAnsi="Verdana"/>
          <w:b/>
          <w:sz w:val="18"/>
          <w:szCs w:val="18"/>
        </w:rPr>
        <w:t xml:space="preserve"> SESSION</w:t>
      </w:r>
    </w:p>
    <w:p w14:paraId="09ECDB80" w14:textId="77777777" w:rsidR="00C373F9" w:rsidRDefault="00C373F9" w:rsidP="0088508C">
      <w:pPr>
        <w:jc w:val="both"/>
        <w:rPr>
          <w:rFonts w:ascii="Verdana" w:hAnsi="Verdana"/>
          <w:b/>
          <w:sz w:val="19"/>
          <w:szCs w:val="19"/>
        </w:rPr>
      </w:pPr>
    </w:p>
    <w:p w14:paraId="54D4F88F" w14:textId="77777777" w:rsidR="00BD7E70" w:rsidRPr="0088508C" w:rsidRDefault="00BD7E70" w:rsidP="0088508C">
      <w:pPr>
        <w:jc w:val="both"/>
        <w:rPr>
          <w:rFonts w:ascii="Verdana" w:hAnsi="Verdana"/>
          <w:b/>
          <w:sz w:val="19"/>
          <w:szCs w:val="19"/>
        </w:rPr>
      </w:pPr>
    </w:p>
    <w:p w14:paraId="5EAD77A5" w14:textId="77777777" w:rsidR="000B3F1E" w:rsidRPr="0088508C" w:rsidRDefault="00D26C1A" w:rsidP="0088508C">
      <w:pPr>
        <w:ind w:firstLine="66"/>
        <w:jc w:val="both"/>
        <w:rPr>
          <w:rFonts w:ascii="Verdana" w:hAnsi="Verdana"/>
          <w:b/>
          <w:sz w:val="19"/>
          <w:szCs w:val="19"/>
          <w:lang w:val="en-US"/>
        </w:rPr>
      </w:pPr>
      <w:r w:rsidRPr="0088508C">
        <w:rPr>
          <w:rFonts w:ascii="Verdana" w:hAnsi="Verdana"/>
          <w:b/>
          <w:sz w:val="19"/>
          <w:szCs w:val="19"/>
          <w:lang w:val="en-US"/>
        </w:rPr>
        <w:t>Introduction</w:t>
      </w:r>
    </w:p>
    <w:p w14:paraId="3FD3CCFC" w14:textId="77777777" w:rsidR="00D26C1A" w:rsidRPr="0088508C" w:rsidRDefault="00D26C1A" w:rsidP="0088508C">
      <w:pPr>
        <w:jc w:val="both"/>
        <w:rPr>
          <w:rFonts w:ascii="Verdana" w:hAnsi="Verdana"/>
          <w:sz w:val="19"/>
          <w:szCs w:val="19"/>
          <w:lang w:val="en-US"/>
        </w:rPr>
      </w:pPr>
    </w:p>
    <w:p w14:paraId="5416B033" w14:textId="77777777" w:rsidR="000B3F1E" w:rsidRPr="0088508C" w:rsidRDefault="002C3CD9" w:rsidP="0088508C">
      <w:pPr>
        <w:pStyle w:val="ListParagraph"/>
        <w:widowControl w:val="0"/>
        <w:numPr>
          <w:ilvl w:val="0"/>
          <w:numId w:val="4"/>
        </w:numPr>
        <w:autoSpaceDE w:val="0"/>
        <w:autoSpaceDN w:val="0"/>
        <w:adjustRightInd w:val="0"/>
        <w:ind w:left="426"/>
        <w:jc w:val="both"/>
        <w:rPr>
          <w:rFonts w:ascii="Verdana" w:hAnsi="Verdana"/>
          <w:sz w:val="19"/>
          <w:szCs w:val="19"/>
          <w:lang w:val="en-CA"/>
        </w:rPr>
      </w:pPr>
      <w:r w:rsidRPr="0088508C">
        <w:rPr>
          <w:rFonts w:ascii="Verdana" w:hAnsi="Verdana"/>
          <w:sz w:val="19"/>
          <w:szCs w:val="19"/>
          <w:lang w:val="en-US"/>
        </w:rPr>
        <w:t>T</w:t>
      </w:r>
      <w:r w:rsidR="000B3F1E" w:rsidRPr="0088508C">
        <w:rPr>
          <w:rFonts w:ascii="Verdana" w:hAnsi="Verdana"/>
          <w:sz w:val="19"/>
          <w:szCs w:val="19"/>
          <w:lang w:val="en-US"/>
        </w:rPr>
        <w:t xml:space="preserve">he International Commission of Jurists (ICJ) </w:t>
      </w:r>
      <w:r w:rsidR="00BE1192">
        <w:rPr>
          <w:rFonts w:ascii="Verdana" w:hAnsi="Verdana"/>
          <w:sz w:val="19"/>
          <w:szCs w:val="19"/>
          <w:lang w:val="en-US"/>
        </w:rPr>
        <w:t xml:space="preserve">welcomes the opportunity </w:t>
      </w:r>
      <w:r w:rsidR="0050650D">
        <w:rPr>
          <w:rFonts w:ascii="Verdana" w:hAnsi="Verdana"/>
          <w:sz w:val="19"/>
          <w:szCs w:val="19"/>
          <w:lang w:val="en-US"/>
        </w:rPr>
        <w:t xml:space="preserve">to </w:t>
      </w:r>
      <w:r w:rsidR="000B3F1E" w:rsidRPr="0088508C">
        <w:rPr>
          <w:rFonts w:ascii="Verdana" w:hAnsi="Verdana"/>
          <w:sz w:val="19"/>
          <w:szCs w:val="19"/>
          <w:lang w:val="en-US"/>
        </w:rPr>
        <w:t>provide the</w:t>
      </w:r>
      <w:r w:rsidR="00BE1192">
        <w:rPr>
          <w:rFonts w:ascii="Verdana" w:hAnsi="Verdana"/>
          <w:sz w:val="19"/>
          <w:szCs w:val="19"/>
          <w:lang w:val="en-US"/>
        </w:rPr>
        <w:t xml:space="preserve"> following</w:t>
      </w:r>
      <w:r w:rsidR="000B3F1E" w:rsidRPr="0088508C">
        <w:rPr>
          <w:rFonts w:ascii="Verdana" w:hAnsi="Verdana"/>
          <w:sz w:val="19"/>
          <w:szCs w:val="19"/>
          <w:lang w:val="en-US"/>
        </w:rPr>
        <w:t xml:space="preserve"> comments to the Human Rights Committee (the Committee) on its finalised first reading of draft General Comment 35 on article 9 of the International Covenant on Civil and Political Rights (the Covenant): the right to liberty and security of person and freedom from arbitrary arrest and detention.</w:t>
      </w:r>
      <w:r w:rsidR="000B3F1E" w:rsidRPr="0088508C">
        <w:rPr>
          <w:rStyle w:val="FootnoteReference"/>
          <w:rFonts w:ascii="Verdana" w:hAnsi="Verdana"/>
          <w:sz w:val="19"/>
          <w:szCs w:val="19"/>
          <w:lang w:val="en-US"/>
        </w:rPr>
        <w:footnoteReference w:id="1"/>
      </w:r>
      <w:r w:rsidR="000B3F1E" w:rsidRPr="0088508C">
        <w:rPr>
          <w:rFonts w:ascii="Verdana" w:hAnsi="Verdana"/>
          <w:sz w:val="19"/>
          <w:szCs w:val="19"/>
          <w:lang w:val="en-US"/>
        </w:rPr>
        <w:t xml:space="preserve"> The ICJ provided a set of initial comments to the Committee on its then ongoing first reading of draft General Comment 35 during its 109</w:t>
      </w:r>
      <w:r w:rsidR="000B3F1E" w:rsidRPr="0088508C">
        <w:rPr>
          <w:rFonts w:ascii="Verdana" w:hAnsi="Verdana"/>
          <w:sz w:val="19"/>
          <w:szCs w:val="19"/>
          <w:vertAlign w:val="superscript"/>
          <w:lang w:val="en-US"/>
        </w:rPr>
        <w:t>th</w:t>
      </w:r>
      <w:r w:rsidR="000B3F1E" w:rsidRPr="0088508C">
        <w:rPr>
          <w:rFonts w:ascii="Verdana" w:hAnsi="Verdana"/>
          <w:sz w:val="19"/>
          <w:szCs w:val="19"/>
          <w:lang w:val="en-US"/>
        </w:rPr>
        <w:t xml:space="preserve"> session in October 2013.</w:t>
      </w:r>
      <w:r w:rsidR="000B3F1E" w:rsidRPr="0088508C">
        <w:rPr>
          <w:rStyle w:val="FootnoteReference"/>
          <w:rFonts w:ascii="Verdana" w:hAnsi="Verdana"/>
          <w:sz w:val="19"/>
          <w:szCs w:val="19"/>
          <w:lang w:val="en-US"/>
        </w:rPr>
        <w:footnoteReference w:id="2"/>
      </w:r>
    </w:p>
    <w:p w14:paraId="057281ED" w14:textId="77777777" w:rsidR="002C3CD9" w:rsidRPr="0088508C" w:rsidRDefault="002C3CD9" w:rsidP="0088508C">
      <w:pPr>
        <w:pStyle w:val="ListParagraph"/>
        <w:widowControl w:val="0"/>
        <w:autoSpaceDE w:val="0"/>
        <w:autoSpaceDN w:val="0"/>
        <w:adjustRightInd w:val="0"/>
        <w:ind w:left="426"/>
        <w:jc w:val="both"/>
        <w:rPr>
          <w:rFonts w:ascii="Verdana" w:hAnsi="Verdana"/>
          <w:sz w:val="19"/>
          <w:szCs w:val="19"/>
          <w:lang w:val="en-CA"/>
        </w:rPr>
      </w:pPr>
    </w:p>
    <w:p w14:paraId="14EF1C12" w14:textId="0C1B4C37" w:rsidR="000B3F1E" w:rsidRPr="00436EDD" w:rsidRDefault="000B3F1E" w:rsidP="0088508C">
      <w:pPr>
        <w:pStyle w:val="ListParagraph"/>
        <w:widowControl w:val="0"/>
        <w:numPr>
          <w:ilvl w:val="0"/>
          <w:numId w:val="4"/>
        </w:numPr>
        <w:autoSpaceDE w:val="0"/>
        <w:autoSpaceDN w:val="0"/>
        <w:adjustRightInd w:val="0"/>
        <w:ind w:left="426"/>
        <w:jc w:val="both"/>
        <w:rPr>
          <w:rFonts w:ascii="Verdana" w:hAnsi="Verdana"/>
          <w:sz w:val="19"/>
          <w:szCs w:val="19"/>
          <w:lang w:val="en-CA"/>
        </w:rPr>
      </w:pPr>
      <w:r w:rsidRPr="0088508C">
        <w:rPr>
          <w:rFonts w:ascii="Verdana" w:hAnsi="Verdana"/>
          <w:sz w:val="19"/>
          <w:szCs w:val="19"/>
          <w:lang w:val="en-CA"/>
        </w:rPr>
        <w:t>T</w:t>
      </w:r>
      <w:r w:rsidRPr="0088508C">
        <w:rPr>
          <w:rFonts w:ascii="Verdana" w:hAnsi="Verdana"/>
          <w:sz w:val="19"/>
          <w:szCs w:val="19"/>
          <w:lang w:val="en-US"/>
        </w:rPr>
        <w:t xml:space="preserve">he ICJ commends the Committee on its finalised first reading of draft General Comment 35 (hereinafter: “the present draft” or “the draft”) and expresses concurrence with much of the text. The present submission </w:t>
      </w:r>
      <w:r w:rsidR="00FB3577">
        <w:rPr>
          <w:rFonts w:ascii="Verdana" w:hAnsi="Verdana"/>
          <w:sz w:val="19"/>
          <w:szCs w:val="19"/>
          <w:lang w:val="en-US"/>
        </w:rPr>
        <w:t xml:space="preserve">is </w:t>
      </w:r>
      <w:r w:rsidR="004B542A">
        <w:rPr>
          <w:rFonts w:ascii="Verdana" w:hAnsi="Verdana"/>
          <w:sz w:val="19"/>
          <w:szCs w:val="19"/>
          <w:lang w:val="en-US"/>
        </w:rPr>
        <w:t xml:space="preserve">divided into </w:t>
      </w:r>
      <w:r w:rsidR="00064D64">
        <w:rPr>
          <w:rFonts w:ascii="Verdana" w:hAnsi="Verdana"/>
          <w:sz w:val="19"/>
          <w:szCs w:val="19"/>
          <w:lang w:val="en-US"/>
        </w:rPr>
        <w:t>five</w:t>
      </w:r>
      <w:r w:rsidR="004B542A">
        <w:rPr>
          <w:rFonts w:ascii="Verdana" w:hAnsi="Verdana"/>
          <w:sz w:val="19"/>
          <w:szCs w:val="19"/>
          <w:lang w:val="en-US"/>
        </w:rPr>
        <w:t xml:space="preserve"> sections</w:t>
      </w:r>
      <w:r w:rsidRPr="0088508C">
        <w:rPr>
          <w:rFonts w:ascii="Verdana" w:hAnsi="Verdana"/>
          <w:sz w:val="19"/>
          <w:szCs w:val="19"/>
          <w:lang w:val="en-US"/>
        </w:rPr>
        <w:t>:</w:t>
      </w:r>
      <w:r w:rsidR="00196C04" w:rsidRPr="0088508C">
        <w:rPr>
          <w:rFonts w:ascii="Verdana" w:hAnsi="Verdana"/>
          <w:sz w:val="19"/>
          <w:szCs w:val="19"/>
          <w:highlight w:val="yellow"/>
          <w:lang w:val="en-US"/>
        </w:rPr>
        <w:t xml:space="preserve"> </w:t>
      </w:r>
    </w:p>
    <w:p w14:paraId="34149025" w14:textId="77777777" w:rsidR="00436EDD" w:rsidRPr="00436EDD" w:rsidRDefault="00436EDD" w:rsidP="00436EDD">
      <w:pPr>
        <w:widowControl w:val="0"/>
        <w:autoSpaceDE w:val="0"/>
        <w:autoSpaceDN w:val="0"/>
        <w:adjustRightInd w:val="0"/>
        <w:jc w:val="both"/>
        <w:rPr>
          <w:rFonts w:ascii="Verdana" w:hAnsi="Verdana"/>
          <w:sz w:val="19"/>
          <w:szCs w:val="19"/>
          <w:lang w:val="en-CA"/>
        </w:rPr>
      </w:pPr>
    </w:p>
    <w:p w14:paraId="13EA985C" w14:textId="77777777" w:rsidR="00243462" w:rsidRDefault="00E97A48" w:rsidP="00243462">
      <w:pPr>
        <w:pStyle w:val="ListParagraph"/>
        <w:widowControl w:val="0"/>
        <w:numPr>
          <w:ilvl w:val="0"/>
          <w:numId w:val="33"/>
        </w:numPr>
        <w:autoSpaceDE w:val="0"/>
        <w:autoSpaceDN w:val="0"/>
        <w:adjustRightInd w:val="0"/>
        <w:ind w:hanging="11"/>
        <w:jc w:val="both"/>
        <w:rPr>
          <w:rFonts w:ascii="Verdana" w:hAnsi="Verdana"/>
          <w:sz w:val="19"/>
          <w:szCs w:val="19"/>
          <w:lang w:val="en-CA"/>
        </w:rPr>
      </w:pPr>
      <w:r w:rsidRPr="00E97A48">
        <w:rPr>
          <w:rFonts w:ascii="Verdana" w:hAnsi="Verdana"/>
          <w:sz w:val="19"/>
          <w:szCs w:val="19"/>
          <w:lang w:val="en-CA"/>
        </w:rPr>
        <w:t>Comments on section “I. General remarks”;</w:t>
      </w:r>
    </w:p>
    <w:p w14:paraId="29E3CEC0" w14:textId="77777777" w:rsidR="00436EDD" w:rsidRPr="00436EDD" w:rsidRDefault="00436EDD" w:rsidP="00436EDD">
      <w:pPr>
        <w:pStyle w:val="ListParagraph"/>
        <w:widowControl w:val="0"/>
        <w:autoSpaceDE w:val="0"/>
        <w:autoSpaceDN w:val="0"/>
        <w:adjustRightInd w:val="0"/>
        <w:ind w:left="819"/>
        <w:jc w:val="both"/>
        <w:rPr>
          <w:rFonts w:ascii="Verdana" w:hAnsi="Verdana"/>
          <w:sz w:val="19"/>
          <w:szCs w:val="19"/>
          <w:lang w:val="en-CA"/>
        </w:rPr>
      </w:pPr>
    </w:p>
    <w:p w14:paraId="237F609C" w14:textId="77777777" w:rsidR="00243462" w:rsidRPr="00243462" w:rsidRDefault="00E97A48" w:rsidP="00243462">
      <w:pPr>
        <w:pStyle w:val="ListParagraph"/>
        <w:widowControl w:val="0"/>
        <w:numPr>
          <w:ilvl w:val="0"/>
          <w:numId w:val="33"/>
        </w:numPr>
        <w:autoSpaceDE w:val="0"/>
        <w:autoSpaceDN w:val="0"/>
        <w:adjustRightInd w:val="0"/>
        <w:ind w:hanging="11"/>
        <w:jc w:val="both"/>
        <w:rPr>
          <w:rFonts w:ascii="Verdana" w:hAnsi="Verdana"/>
          <w:sz w:val="19"/>
          <w:szCs w:val="19"/>
          <w:lang w:val="en-CA"/>
        </w:rPr>
      </w:pPr>
      <w:r w:rsidRPr="00243462">
        <w:rPr>
          <w:rFonts w:ascii="Verdana" w:hAnsi="Verdana"/>
          <w:sz w:val="19"/>
          <w:szCs w:val="19"/>
          <w:lang w:val="en-US"/>
        </w:rPr>
        <w:t>Comments on section “II. Arbitrary detention and unlawful detention”;</w:t>
      </w:r>
    </w:p>
    <w:p w14:paraId="68AA17BD" w14:textId="77777777" w:rsidR="00436EDD" w:rsidRPr="00436EDD" w:rsidRDefault="00436EDD" w:rsidP="00436EDD">
      <w:pPr>
        <w:pStyle w:val="ListParagraph"/>
        <w:widowControl w:val="0"/>
        <w:autoSpaceDE w:val="0"/>
        <w:autoSpaceDN w:val="0"/>
        <w:adjustRightInd w:val="0"/>
        <w:ind w:left="819"/>
        <w:jc w:val="both"/>
        <w:rPr>
          <w:rFonts w:ascii="Verdana" w:hAnsi="Verdana"/>
          <w:sz w:val="19"/>
          <w:szCs w:val="19"/>
          <w:lang w:val="en-CA"/>
        </w:rPr>
      </w:pPr>
    </w:p>
    <w:p w14:paraId="605D8A0C" w14:textId="77777777" w:rsidR="00243462" w:rsidRDefault="00E97A48" w:rsidP="00243462">
      <w:pPr>
        <w:pStyle w:val="ListParagraph"/>
        <w:widowControl w:val="0"/>
        <w:numPr>
          <w:ilvl w:val="0"/>
          <w:numId w:val="33"/>
        </w:numPr>
        <w:autoSpaceDE w:val="0"/>
        <w:autoSpaceDN w:val="0"/>
        <w:adjustRightInd w:val="0"/>
        <w:ind w:hanging="11"/>
        <w:jc w:val="both"/>
        <w:rPr>
          <w:rFonts w:ascii="Verdana" w:hAnsi="Verdana"/>
          <w:sz w:val="19"/>
          <w:szCs w:val="19"/>
          <w:lang w:val="en-CA"/>
        </w:rPr>
      </w:pPr>
      <w:r w:rsidRPr="00243462">
        <w:rPr>
          <w:rFonts w:ascii="Verdana" w:hAnsi="Verdana"/>
          <w:sz w:val="19"/>
          <w:szCs w:val="19"/>
          <w:lang w:val="en-US"/>
        </w:rPr>
        <w:t>Recommendations for strengthening the language on judicial supervision of all forms of deprivation of liberty</w:t>
      </w:r>
      <w:r w:rsidRPr="00243462">
        <w:rPr>
          <w:rFonts w:ascii="Verdana" w:hAnsi="Verdana"/>
          <w:sz w:val="19"/>
          <w:szCs w:val="19"/>
          <w:lang w:val="en-CA"/>
        </w:rPr>
        <w:t>;</w:t>
      </w:r>
    </w:p>
    <w:p w14:paraId="7F85C6C5" w14:textId="77777777" w:rsidR="00436EDD" w:rsidRPr="00436EDD" w:rsidRDefault="00436EDD" w:rsidP="00436EDD">
      <w:pPr>
        <w:pStyle w:val="ListParagraph"/>
        <w:widowControl w:val="0"/>
        <w:autoSpaceDE w:val="0"/>
        <w:autoSpaceDN w:val="0"/>
        <w:adjustRightInd w:val="0"/>
        <w:ind w:left="819"/>
        <w:jc w:val="both"/>
        <w:rPr>
          <w:rFonts w:ascii="Verdana" w:hAnsi="Verdana"/>
          <w:sz w:val="19"/>
          <w:szCs w:val="19"/>
          <w:lang w:val="en-CA"/>
        </w:rPr>
      </w:pPr>
    </w:p>
    <w:p w14:paraId="4A2780A8" w14:textId="77777777" w:rsidR="00243462" w:rsidRPr="00243462" w:rsidRDefault="00E97A48" w:rsidP="00243462">
      <w:pPr>
        <w:pStyle w:val="ListParagraph"/>
        <w:widowControl w:val="0"/>
        <w:numPr>
          <w:ilvl w:val="0"/>
          <w:numId w:val="33"/>
        </w:numPr>
        <w:autoSpaceDE w:val="0"/>
        <w:autoSpaceDN w:val="0"/>
        <w:adjustRightInd w:val="0"/>
        <w:ind w:hanging="11"/>
        <w:jc w:val="both"/>
        <w:rPr>
          <w:rFonts w:ascii="Verdana" w:hAnsi="Verdana"/>
          <w:sz w:val="19"/>
          <w:szCs w:val="19"/>
          <w:lang w:val="en-CA"/>
        </w:rPr>
      </w:pPr>
      <w:r w:rsidRPr="00243462">
        <w:rPr>
          <w:rFonts w:ascii="Verdana" w:hAnsi="Verdana"/>
          <w:sz w:val="19"/>
          <w:szCs w:val="19"/>
          <w:lang w:val="en-US"/>
        </w:rPr>
        <w:t>Additional concerns arising from section V. of the present draft; and</w:t>
      </w:r>
    </w:p>
    <w:p w14:paraId="687F8811" w14:textId="77777777" w:rsidR="00436EDD" w:rsidRDefault="00436EDD" w:rsidP="00436EDD">
      <w:pPr>
        <w:pStyle w:val="ListParagraph"/>
        <w:widowControl w:val="0"/>
        <w:autoSpaceDE w:val="0"/>
        <w:autoSpaceDN w:val="0"/>
        <w:adjustRightInd w:val="0"/>
        <w:ind w:left="819"/>
        <w:jc w:val="both"/>
        <w:rPr>
          <w:rFonts w:ascii="Verdana" w:hAnsi="Verdana"/>
          <w:sz w:val="19"/>
          <w:szCs w:val="19"/>
          <w:lang w:val="en-CA"/>
        </w:rPr>
      </w:pPr>
    </w:p>
    <w:p w14:paraId="7F93E89C" w14:textId="77777777" w:rsidR="00FB6466" w:rsidRPr="007E5073" w:rsidRDefault="00E97A48" w:rsidP="007E5073">
      <w:pPr>
        <w:pStyle w:val="ListParagraph"/>
        <w:widowControl w:val="0"/>
        <w:numPr>
          <w:ilvl w:val="0"/>
          <w:numId w:val="33"/>
        </w:numPr>
        <w:autoSpaceDE w:val="0"/>
        <w:autoSpaceDN w:val="0"/>
        <w:adjustRightInd w:val="0"/>
        <w:ind w:hanging="11"/>
        <w:jc w:val="both"/>
        <w:rPr>
          <w:rFonts w:ascii="Verdana" w:hAnsi="Verdana"/>
          <w:sz w:val="19"/>
          <w:szCs w:val="19"/>
          <w:lang w:val="en-CA"/>
        </w:rPr>
      </w:pPr>
      <w:r w:rsidRPr="00243462">
        <w:rPr>
          <w:rFonts w:ascii="Verdana" w:hAnsi="Verdana"/>
          <w:sz w:val="19"/>
          <w:szCs w:val="19"/>
          <w:lang w:val="en-CA"/>
        </w:rPr>
        <w:t>T</w:t>
      </w:r>
      <w:r w:rsidRPr="00243462">
        <w:rPr>
          <w:rFonts w:ascii="Verdana" w:hAnsi="Verdana"/>
          <w:sz w:val="19"/>
          <w:szCs w:val="19"/>
        </w:rPr>
        <w:t xml:space="preserve">he </w:t>
      </w:r>
      <w:r w:rsidRPr="00610963">
        <w:rPr>
          <w:rFonts w:ascii="Verdana" w:hAnsi="Verdana"/>
          <w:i/>
          <w:sz w:val="19"/>
          <w:szCs w:val="19"/>
        </w:rPr>
        <w:t>non-refoulement</w:t>
      </w:r>
      <w:r w:rsidRPr="00243462">
        <w:rPr>
          <w:rFonts w:ascii="Verdana" w:hAnsi="Verdana"/>
          <w:sz w:val="19"/>
          <w:szCs w:val="19"/>
        </w:rPr>
        <w:t xml:space="preserve"> content of Article 9.</w:t>
      </w:r>
      <w:r w:rsidR="00777547" w:rsidRPr="007E5073">
        <w:rPr>
          <w:rFonts w:ascii="Verdana" w:hAnsi="Verdana"/>
          <w:sz w:val="19"/>
          <w:szCs w:val="19"/>
          <w:lang w:val="en-CA"/>
        </w:rPr>
        <w:tab/>
      </w:r>
      <w:r w:rsidR="00777547" w:rsidRPr="007E5073">
        <w:rPr>
          <w:rFonts w:ascii="Verdana" w:hAnsi="Verdana"/>
          <w:sz w:val="19"/>
          <w:szCs w:val="19"/>
          <w:lang w:val="en-CA"/>
        </w:rPr>
        <w:tab/>
      </w:r>
    </w:p>
    <w:p w14:paraId="684FB336" w14:textId="77777777" w:rsidR="00FB6466" w:rsidRPr="0088508C" w:rsidRDefault="00814865" w:rsidP="0088508C">
      <w:pPr>
        <w:widowControl w:val="0"/>
        <w:autoSpaceDE w:val="0"/>
        <w:autoSpaceDN w:val="0"/>
        <w:adjustRightInd w:val="0"/>
        <w:jc w:val="both"/>
        <w:rPr>
          <w:rFonts w:ascii="Verdana" w:hAnsi="Verdana"/>
          <w:sz w:val="19"/>
          <w:szCs w:val="19"/>
          <w:lang w:val="en-CA"/>
        </w:rPr>
      </w:pPr>
      <w:r w:rsidRPr="0088508C">
        <w:rPr>
          <w:rFonts w:ascii="Verdana" w:hAnsi="Verdana"/>
          <w:sz w:val="19"/>
          <w:szCs w:val="19"/>
          <w:lang w:val="en-CA"/>
        </w:rPr>
        <w:tab/>
      </w:r>
    </w:p>
    <w:p w14:paraId="549B1946" w14:textId="77777777" w:rsidR="00D26C1A" w:rsidRPr="0088508C" w:rsidRDefault="00580408" w:rsidP="00491F6A">
      <w:pPr>
        <w:widowControl w:val="0"/>
        <w:autoSpaceDE w:val="0"/>
        <w:autoSpaceDN w:val="0"/>
        <w:adjustRightInd w:val="0"/>
        <w:ind w:left="66" w:firstLine="360"/>
        <w:jc w:val="both"/>
        <w:rPr>
          <w:rFonts w:ascii="Verdana" w:hAnsi="Verdana"/>
          <w:b/>
          <w:sz w:val="19"/>
          <w:szCs w:val="19"/>
          <w:lang w:val="en-CA"/>
        </w:rPr>
      </w:pPr>
      <w:r>
        <w:rPr>
          <w:rFonts w:ascii="Verdana" w:hAnsi="Verdana"/>
          <w:b/>
          <w:sz w:val="19"/>
          <w:szCs w:val="19"/>
          <w:lang w:val="en-CA"/>
        </w:rPr>
        <w:t>I.</w:t>
      </w:r>
      <w:r>
        <w:rPr>
          <w:rFonts w:ascii="Verdana" w:hAnsi="Verdana"/>
          <w:b/>
          <w:sz w:val="19"/>
          <w:szCs w:val="19"/>
          <w:lang w:val="en-CA"/>
        </w:rPr>
        <w:tab/>
      </w:r>
      <w:r w:rsidR="00D26C1A" w:rsidRPr="0088508C">
        <w:rPr>
          <w:rFonts w:ascii="Verdana" w:hAnsi="Verdana"/>
          <w:b/>
          <w:sz w:val="19"/>
          <w:szCs w:val="19"/>
          <w:lang w:val="en-CA"/>
        </w:rPr>
        <w:t xml:space="preserve">Comments </w:t>
      </w:r>
      <w:r w:rsidR="00491F6A">
        <w:rPr>
          <w:rFonts w:ascii="Verdana" w:hAnsi="Verdana"/>
          <w:b/>
          <w:sz w:val="19"/>
          <w:szCs w:val="19"/>
          <w:lang w:val="en-CA"/>
        </w:rPr>
        <w:t xml:space="preserve">on section </w:t>
      </w:r>
      <w:r w:rsidR="00072CB9">
        <w:rPr>
          <w:rFonts w:ascii="Verdana" w:hAnsi="Verdana"/>
          <w:b/>
          <w:sz w:val="19"/>
          <w:szCs w:val="19"/>
          <w:lang w:val="en-CA"/>
        </w:rPr>
        <w:t>“</w:t>
      </w:r>
      <w:r w:rsidR="00491F6A">
        <w:rPr>
          <w:rFonts w:ascii="Verdana" w:hAnsi="Verdana"/>
          <w:b/>
          <w:sz w:val="19"/>
          <w:szCs w:val="19"/>
          <w:lang w:val="en-CA"/>
        </w:rPr>
        <w:t>I. General remarks</w:t>
      </w:r>
      <w:r w:rsidR="00072CB9">
        <w:rPr>
          <w:rFonts w:ascii="Verdana" w:hAnsi="Verdana"/>
          <w:b/>
          <w:sz w:val="19"/>
          <w:szCs w:val="19"/>
          <w:lang w:val="en-CA"/>
        </w:rPr>
        <w:t>”</w:t>
      </w:r>
    </w:p>
    <w:p w14:paraId="784FB6B2" w14:textId="7A78ED96" w:rsidR="001A64DE" w:rsidRPr="004540BE" w:rsidRDefault="00D26C1A" w:rsidP="004540BE">
      <w:pPr>
        <w:widowControl w:val="0"/>
        <w:autoSpaceDE w:val="0"/>
        <w:autoSpaceDN w:val="0"/>
        <w:adjustRightInd w:val="0"/>
        <w:ind w:left="66"/>
        <w:jc w:val="both"/>
        <w:rPr>
          <w:rFonts w:ascii="Verdana" w:hAnsi="Verdana"/>
          <w:b/>
          <w:sz w:val="19"/>
          <w:szCs w:val="19"/>
          <w:lang w:val="en-CA"/>
        </w:rPr>
      </w:pPr>
      <w:r w:rsidRPr="0088508C">
        <w:rPr>
          <w:rFonts w:ascii="Verdana" w:hAnsi="Verdana"/>
          <w:b/>
          <w:sz w:val="19"/>
          <w:szCs w:val="19"/>
          <w:lang w:val="en-CA"/>
        </w:rPr>
        <w:t xml:space="preserve"> </w:t>
      </w:r>
    </w:p>
    <w:p w14:paraId="2520B4D7" w14:textId="4B223B33" w:rsidR="00E34E22" w:rsidRPr="0088508C" w:rsidRDefault="007E7A97" w:rsidP="0088508C">
      <w:pPr>
        <w:pStyle w:val="ListParagraph"/>
        <w:numPr>
          <w:ilvl w:val="0"/>
          <w:numId w:val="4"/>
        </w:numPr>
        <w:ind w:left="426"/>
        <w:jc w:val="both"/>
        <w:rPr>
          <w:rFonts w:ascii="Verdana" w:hAnsi="Verdana"/>
          <w:sz w:val="19"/>
          <w:szCs w:val="19"/>
          <w:lang w:val="en-US"/>
        </w:rPr>
      </w:pPr>
      <w:r>
        <w:rPr>
          <w:rFonts w:ascii="Verdana" w:hAnsi="Verdana"/>
          <w:sz w:val="19"/>
          <w:szCs w:val="19"/>
          <w:lang w:val="en-US"/>
        </w:rPr>
        <w:t xml:space="preserve">Regarding the duty to protect personal liberty from activities of a foreign state acting within the territory of a state party, set out in </w:t>
      </w:r>
      <w:r w:rsidR="007E293E">
        <w:rPr>
          <w:rFonts w:ascii="Verdana" w:hAnsi="Verdana"/>
          <w:sz w:val="19"/>
          <w:szCs w:val="19"/>
          <w:lang w:val="en-US"/>
        </w:rPr>
        <w:t>the last sentence of para. 8</w:t>
      </w:r>
      <w:r w:rsidR="002E0527">
        <w:rPr>
          <w:rFonts w:ascii="Verdana" w:hAnsi="Verdana"/>
          <w:sz w:val="19"/>
          <w:szCs w:val="19"/>
          <w:lang w:val="en-US"/>
        </w:rPr>
        <w:t xml:space="preserve"> of the present draft</w:t>
      </w:r>
      <w:r w:rsidR="00365DAC" w:rsidRPr="0088508C">
        <w:rPr>
          <w:rFonts w:ascii="Verdana" w:hAnsi="Verdana"/>
          <w:sz w:val="19"/>
          <w:szCs w:val="19"/>
          <w:lang w:val="en-US"/>
        </w:rPr>
        <w:t>,</w:t>
      </w:r>
      <w:r w:rsidR="00365DAC" w:rsidRPr="0088508C">
        <w:rPr>
          <w:rFonts w:ascii="Verdana" w:hAnsi="Verdana"/>
          <w:sz w:val="19"/>
          <w:szCs w:val="19"/>
          <w:lang w:val="en-CA"/>
        </w:rPr>
        <w:t xml:space="preserve"> </w:t>
      </w:r>
      <w:r w:rsidR="00365DAC" w:rsidRPr="0088508C">
        <w:rPr>
          <w:rFonts w:ascii="Verdana" w:hAnsi="Verdana"/>
          <w:sz w:val="19"/>
          <w:szCs w:val="19"/>
          <w:lang w:val="en-US"/>
        </w:rPr>
        <w:t>the</w:t>
      </w:r>
      <w:r w:rsidR="00863140" w:rsidRPr="0088508C">
        <w:rPr>
          <w:rFonts w:ascii="Verdana" w:hAnsi="Verdana"/>
          <w:sz w:val="19"/>
          <w:szCs w:val="19"/>
          <w:lang w:val="en-US"/>
        </w:rPr>
        <w:t xml:space="preserve"> ICJ recommend</w:t>
      </w:r>
      <w:r>
        <w:rPr>
          <w:rFonts w:ascii="Verdana" w:hAnsi="Verdana"/>
          <w:sz w:val="19"/>
          <w:szCs w:val="19"/>
          <w:lang w:val="en-US"/>
        </w:rPr>
        <w:t>s</w:t>
      </w:r>
      <w:r w:rsidR="00863140" w:rsidRPr="0088508C">
        <w:rPr>
          <w:rFonts w:ascii="Verdana" w:hAnsi="Verdana"/>
          <w:sz w:val="19"/>
          <w:szCs w:val="19"/>
          <w:lang w:val="en-US"/>
        </w:rPr>
        <w:t xml:space="preserve"> </w:t>
      </w:r>
      <w:r>
        <w:rPr>
          <w:rFonts w:ascii="Verdana" w:hAnsi="Verdana"/>
          <w:sz w:val="19"/>
          <w:szCs w:val="19"/>
          <w:lang w:val="en-US"/>
        </w:rPr>
        <w:t>that</w:t>
      </w:r>
      <w:r w:rsidR="00365DAC" w:rsidRPr="0088508C">
        <w:rPr>
          <w:rFonts w:ascii="Verdana" w:hAnsi="Verdana"/>
          <w:sz w:val="19"/>
          <w:szCs w:val="19"/>
          <w:lang w:val="en-US"/>
        </w:rPr>
        <w:t xml:space="preserve"> the Committee’s view in</w:t>
      </w:r>
      <w:r w:rsidR="00863140" w:rsidRPr="0088508C">
        <w:rPr>
          <w:rFonts w:ascii="Verdana" w:hAnsi="Verdana"/>
          <w:i/>
          <w:iCs/>
          <w:sz w:val="19"/>
          <w:szCs w:val="19"/>
          <w:lang w:val="en-US"/>
        </w:rPr>
        <w:t xml:space="preserve"> </w:t>
      </w:r>
      <w:r w:rsidR="00DD410C" w:rsidRPr="00AB1EF9">
        <w:rPr>
          <w:rFonts w:ascii="Verdana" w:hAnsi="Verdana"/>
          <w:i/>
          <w:iCs/>
          <w:sz w:val="19"/>
          <w:szCs w:val="19"/>
          <w:lang w:val="en-US"/>
        </w:rPr>
        <w:t>Mohammed Alzery v. Sweden</w:t>
      </w:r>
      <w:r w:rsidR="00863140" w:rsidRPr="0088508C">
        <w:rPr>
          <w:rFonts w:ascii="Verdana" w:hAnsi="Verdana"/>
          <w:sz w:val="19"/>
          <w:szCs w:val="19"/>
          <w:lang w:val="en-US"/>
        </w:rPr>
        <w:t xml:space="preserve"> </w:t>
      </w:r>
      <w:r>
        <w:rPr>
          <w:rFonts w:ascii="Verdana" w:hAnsi="Verdana"/>
          <w:sz w:val="19"/>
          <w:szCs w:val="19"/>
          <w:lang w:val="en-US"/>
        </w:rPr>
        <w:t xml:space="preserve">be added </w:t>
      </w:r>
      <w:r w:rsidR="00863140" w:rsidRPr="0088508C">
        <w:rPr>
          <w:rFonts w:ascii="Verdana" w:hAnsi="Verdana"/>
          <w:sz w:val="19"/>
          <w:szCs w:val="19"/>
          <w:lang w:val="en-US"/>
        </w:rPr>
        <w:t>as an additional authority in footnote 29</w:t>
      </w:r>
      <w:r w:rsidR="00365DAC" w:rsidRPr="0088508C">
        <w:rPr>
          <w:rFonts w:ascii="Verdana" w:hAnsi="Verdana"/>
          <w:sz w:val="19"/>
          <w:szCs w:val="19"/>
          <w:lang w:val="en-US"/>
        </w:rPr>
        <w:t>.</w:t>
      </w:r>
      <w:r w:rsidR="00863140" w:rsidRPr="0088508C">
        <w:rPr>
          <w:rStyle w:val="FootnoteReference"/>
          <w:rFonts w:ascii="Verdana" w:hAnsi="Verdana"/>
          <w:sz w:val="19"/>
          <w:szCs w:val="19"/>
          <w:lang w:val="en-US"/>
        </w:rPr>
        <w:footnoteReference w:id="3"/>
      </w:r>
    </w:p>
    <w:p w14:paraId="72C67558" w14:textId="77777777" w:rsidR="00E34E22" w:rsidRDefault="00E34E22" w:rsidP="00580408">
      <w:pPr>
        <w:ind w:left="66"/>
        <w:jc w:val="both"/>
        <w:rPr>
          <w:rFonts w:ascii="Verdana" w:hAnsi="Verdana"/>
          <w:sz w:val="19"/>
          <w:szCs w:val="19"/>
          <w:lang w:val="en-US"/>
        </w:rPr>
      </w:pPr>
    </w:p>
    <w:p w14:paraId="4290979F" w14:textId="77777777" w:rsidR="00580408" w:rsidRPr="00580408" w:rsidRDefault="00045BD9" w:rsidP="00045BD9">
      <w:pPr>
        <w:ind w:left="66" w:firstLine="360"/>
        <w:jc w:val="both"/>
        <w:rPr>
          <w:rFonts w:ascii="Verdana" w:hAnsi="Verdana"/>
          <w:b/>
          <w:sz w:val="19"/>
          <w:szCs w:val="19"/>
          <w:lang w:val="en-US"/>
        </w:rPr>
      </w:pPr>
      <w:r>
        <w:rPr>
          <w:rFonts w:ascii="Verdana" w:hAnsi="Verdana"/>
          <w:b/>
          <w:sz w:val="19"/>
          <w:szCs w:val="19"/>
          <w:lang w:val="en-US"/>
        </w:rPr>
        <w:t>II.</w:t>
      </w:r>
      <w:r>
        <w:rPr>
          <w:rFonts w:ascii="Verdana" w:hAnsi="Verdana"/>
          <w:b/>
          <w:sz w:val="19"/>
          <w:szCs w:val="19"/>
          <w:lang w:val="en-US"/>
        </w:rPr>
        <w:tab/>
      </w:r>
      <w:r w:rsidR="00580408" w:rsidRPr="00580408">
        <w:rPr>
          <w:rFonts w:ascii="Verdana" w:hAnsi="Verdana"/>
          <w:b/>
          <w:sz w:val="19"/>
          <w:szCs w:val="19"/>
          <w:lang w:val="en-US"/>
        </w:rPr>
        <w:t>Comments on section “II. Arbitrary detention and unlawful detention”</w:t>
      </w:r>
    </w:p>
    <w:p w14:paraId="63CEE1AD" w14:textId="77777777" w:rsidR="007E2992" w:rsidRDefault="007E2992" w:rsidP="0088508C">
      <w:pPr>
        <w:jc w:val="both"/>
        <w:rPr>
          <w:rFonts w:ascii="Verdana" w:hAnsi="Verdana"/>
          <w:sz w:val="19"/>
          <w:szCs w:val="19"/>
        </w:rPr>
      </w:pPr>
      <w:r>
        <w:rPr>
          <w:rFonts w:ascii="Verdana" w:hAnsi="Verdana"/>
          <w:sz w:val="19"/>
          <w:szCs w:val="19"/>
        </w:rPr>
        <w:tab/>
      </w:r>
    </w:p>
    <w:p w14:paraId="0477571B" w14:textId="375651E1" w:rsidR="006F156E" w:rsidRPr="00ED325D" w:rsidRDefault="00BF68A8" w:rsidP="007E2992">
      <w:pPr>
        <w:ind w:left="426"/>
        <w:jc w:val="both"/>
        <w:rPr>
          <w:rFonts w:ascii="Verdana" w:hAnsi="Verdana"/>
          <w:i/>
          <w:sz w:val="19"/>
          <w:szCs w:val="19"/>
          <w:u w:val="single"/>
        </w:rPr>
      </w:pPr>
      <w:r w:rsidRPr="00ED325D">
        <w:rPr>
          <w:rFonts w:ascii="Verdana" w:hAnsi="Verdana"/>
          <w:i/>
          <w:sz w:val="19"/>
          <w:szCs w:val="19"/>
          <w:u w:val="single"/>
        </w:rPr>
        <w:t>P</w:t>
      </w:r>
      <w:r w:rsidR="00924507" w:rsidRPr="00ED325D">
        <w:rPr>
          <w:rFonts w:ascii="Verdana" w:hAnsi="Verdana"/>
          <w:i/>
          <w:sz w:val="19"/>
          <w:szCs w:val="19"/>
          <w:u w:val="single"/>
        </w:rPr>
        <w:t>ara. 1</w:t>
      </w:r>
      <w:r w:rsidR="007E2992" w:rsidRPr="00ED325D">
        <w:rPr>
          <w:rFonts w:ascii="Verdana" w:hAnsi="Verdana"/>
          <w:i/>
          <w:sz w:val="19"/>
          <w:szCs w:val="19"/>
          <w:u w:val="single"/>
        </w:rPr>
        <w:t>5</w:t>
      </w:r>
      <w:r w:rsidR="006F156E" w:rsidRPr="00ED325D">
        <w:rPr>
          <w:rFonts w:ascii="Verdana" w:hAnsi="Verdana"/>
          <w:i/>
          <w:sz w:val="19"/>
          <w:szCs w:val="19"/>
          <w:u w:val="single"/>
        </w:rPr>
        <w:t xml:space="preserve"> of the present draft</w:t>
      </w:r>
    </w:p>
    <w:p w14:paraId="401582E8" w14:textId="7155472D" w:rsidR="00F122D5" w:rsidRPr="007E2992" w:rsidRDefault="007E2992" w:rsidP="007E2992">
      <w:pPr>
        <w:ind w:left="426"/>
        <w:jc w:val="both"/>
        <w:rPr>
          <w:rFonts w:ascii="Verdana" w:hAnsi="Verdana"/>
          <w:i/>
          <w:sz w:val="19"/>
          <w:szCs w:val="19"/>
        </w:rPr>
      </w:pPr>
      <w:r w:rsidRPr="007E2992">
        <w:rPr>
          <w:rFonts w:ascii="Verdana" w:hAnsi="Verdana"/>
          <w:i/>
          <w:sz w:val="19"/>
          <w:szCs w:val="19"/>
        </w:rPr>
        <w:t xml:space="preserve"> </w:t>
      </w:r>
    </w:p>
    <w:p w14:paraId="6B7B590C" w14:textId="0A1DBC54" w:rsidR="0038197D" w:rsidRPr="0038197D" w:rsidRDefault="0038197D" w:rsidP="0088508C">
      <w:pPr>
        <w:pStyle w:val="ListParagraph"/>
        <w:numPr>
          <w:ilvl w:val="0"/>
          <w:numId w:val="4"/>
        </w:numPr>
        <w:ind w:left="426"/>
        <w:jc w:val="both"/>
        <w:rPr>
          <w:rFonts w:ascii="Verdana" w:hAnsi="Verdana"/>
          <w:sz w:val="19"/>
          <w:szCs w:val="19"/>
          <w:lang w:val="en-US"/>
        </w:rPr>
      </w:pPr>
      <w:r>
        <w:rPr>
          <w:rFonts w:ascii="Verdana" w:hAnsi="Verdana"/>
          <w:sz w:val="19"/>
          <w:szCs w:val="19"/>
        </w:rPr>
        <w:t xml:space="preserve">This section sets outs the ICJ’s concerns arising </w:t>
      </w:r>
      <w:r w:rsidR="000747D9">
        <w:rPr>
          <w:rFonts w:ascii="Verdana" w:hAnsi="Verdana"/>
          <w:sz w:val="19"/>
          <w:szCs w:val="19"/>
        </w:rPr>
        <w:t xml:space="preserve">in connection with </w:t>
      </w:r>
      <w:r w:rsidR="00DB6881">
        <w:rPr>
          <w:rFonts w:ascii="Verdana" w:hAnsi="Verdana"/>
          <w:sz w:val="19"/>
          <w:szCs w:val="19"/>
        </w:rPr>
        <w:t>para. 1</w:t>
      </w:r>
      <w:r w:rsidR="009F7B7D">
        <w:rPr>
          <w:rFonts w:ascii="Verdana" w:hAnsi="Verdana"/>
          <w:sz w:val="19"/>
          <w:szCs w:val="19"/>
        </w:rPr>
        <w:t>5’s</w:t>
      </w:r>
      <w:r>
        <w:rPr>
          <w:rFonts w:ascii="Verdana" w:hAnsi="Verdana"/>
          <w:sz w:val="19"/>
          <w:szCs w:val="19"/>
        </w:rPr>
        <w:t xml:space="preserve"> </w:t>
      </w:r>
      <w:r w:rsidRPr="0038197D">
        <w:rPr>
          <w:rFonts w:ascii="Verdana" w:hAnsi="Verdana"/>
          <w:sz w:val="19"/>
          <w:szCs w:val="19"/>
        </w:rPr>
        <w:t>unqualified use of the expressions “the threat to the State”</w:t>
      </w:r>
      <w:r w:rsidR="007E4C35">
        <w:rPr>
          <w:rFonts w:ascii="Verdana" w:hAnsi="Verdana"/>
          <w:sz w:val="19"/>
          <w:szCs w:val="19"/>
        </w:rPr>
        <w:t xml:space="preserve"> and </w:t>
      </w:r>
      <w:r w:rsidRPr="0038197D">
        <w:rPr>
          <w:rFonts w:ascii="Verdana" w:hAnsi="Verdana"/>
          <w:sz w:val="19"/>
          <w:szCs w:val="19"/>
        </w:rPr>
        <w:t>“a present, direct and imperative threat”</w:t>
      </w:r>
      <w:r>
        <w:rPr>
          <w:rFonts w:ascii="Verdana" w:hAnsi="Verdana"/>
          <w:sz w:val="19"/>
          <w:szCs w:val="19"/>
        </w:rPr>
        <w:t xml:space="preserve">. </w:t>
      </w:r>
    </w:p>
    <w:p w14:paraId="7BCE94D9" w14:textId="77777777" w:rsidR="0038197D" w:rsidRPr="0038197D" w:rsidRDefault="0038197D" w:rsidP="0038197D">
      <w:pPr>
        <w:pStyle w:val="ListParagraph"/>
        <w:ind w:left="426"/>
        <w:jc w:val="both"/>
        <w:rPr>
          <w:rFonts w:ascii="Verdana" w:hAnsi="Verdana"/>
          <w:sz w:val="19"/>
          <w:szCs w:val="19"/>
          <w:lang w:val="en-US"/>
        </w:rPr>
      </w:pPr>
    </w:p>
    <w:p w14:paraId="144BD773" w14:textId="79C471A0" w:rsidR="00F122D5" w:rsidRPr="0088508C" w:rsidRDefault="00577E75"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rPr>
        <w:t>In discussing “security detention (sometimes known as administrative detention or internment)”, para. 15 of the present draft</w:t>
      </w:r>
      <w:r w:rsidR="006C3269" w:rsidRPr="0088508C">
        <w:rPr>
          <w:rFonts w:ascii="Verdana" w:hAnsi="Verdana"/>
          <w:sz w:val="19"/>
          <w:szCs w:val="19"/>
        </w:rPr>
        <w:t>, on the one hand,</w:t>
      </w:r>
      <w:r w:rsidRPr="0088508C">
        <w:rPr>
          <w:rFonts w:ascii="Verdana" w:hAnsi="Verdana"/>
          <w:sz w:val="19"/>
          <w:szCs w:val="19"/>
        </w:rPr>
        <w:t xml:space="preserve"> speaks of “the threat to the State” arising </w:t>
      </w:r>
      <w:r w:rsidR="00411617" w:rsidRPr="0088508C">
        <w:rPr>
          <w:rFonts w:ascii="Verdana" w:hAnsi="Verdana"/>
          <w:sz w:val="19"/>
          <w:szCs w:val="19"/>
        </w:rPr>
        <w:t>“</w:t>
      </w:r>
      <w:r w:rsidRPr="0088508C">
        <w:rPr>
          <w:rFonts w:ascii="Verdana" w:hAnsi="Verdana"/>
          <w:sz w:val="19"/>
          <w:szCs w:val="19"/>
        </w:rPr>
        <w:t xml:space="preserve">in the context of </w:t>
      </w:r>
      <w:r w:rsidR="00411617" w:rsidRPr="0088508C">
        <w:rPr>
          <w:rFonts w:ascii="Verdana" w:hAnsi="Verdana"/>
          <w:sz w:val="19"/>
          <w:szCs w:val="19"/>
        </w:rPr>
        <w:t>international armed conflict”</w:t>
      </w:r>
      <w:r w:rsidR="00F627DA" w:rsidRPr="0088508C">
        <w:rPr>
          <w:rFonts w:ascii="Verdana" w:hAnsi="Verdana"/>
          <w:sz w:val="19"/>
          <w:szCs w:val="19"/>
        </w:rPr>
        <w:t xml:space="preserve"> (IAC)</w:t>
      </w:r>
      <w:r w:rsidR="000A170B" w:rsidRPr="0088508C">
        <w:rPr>
          <w:rFonts w:ascii="Verdana" w:hAnsi="Verdana"/>
          <w:sz w:val="19"/>
          <w:szCs w:val="19"/>
        </w:rPr>
        <w:t xml:space="preserve"> without explicitly qualifying that “the threat” is a “threat to the life of nation”; </w:t>
      </w:r>
      <w:r w:rsidR="006C3269" w:rsidRPr="0088508C">
        <w:rPr>
          <w:rFonts w:ascii="Verdana" w:hAnsi="Verdana"/>
          <w:sz w:val="19"/>
          <w:szCs w:val="19"/>
        </w:rPr>
        <w:t xml:space="preserve">while, </w:t>
      </w:r>
      <w:r w:rsidR="00411617" w:rsidRPr="0088508C">
        <w:rPr>
          <w:rFonts w:ascii="Verdana" w:hAnsi="Verdana"/>
          <w:sz w:val="19"/>
          <w:szCs w:val="19"/>
        </w:rPr>
        <w:t xml:space="preserve">on the </w:t>
      </w:r>
      <w:r w:rsidR="006C3269" w:rsidRPr="0088508C">
        <w:rPr>
          <w:rFonts w:ascii="Verdana" w:hAnsi="Verdana"/>
          <w:sz w:val="19"/>
          <w:szCs w:val="19"/>
        </w:rPr>
        <w:t xml:space="preserve">other, it also affirms that, outside </w:t>
      </w:r>
      <w:r w:rsidR="000A170B" w:rsidRPr="0088508C">
        <w:rPr>
          <w:rFonts w:ascii="Verdana" w:hAnsi="Verdana"/>
          <w:sz w:val="19"/>
          <w:szCs w:val="19"/>
        </w:rPr>
        <w:t xml:space="preserve">the </w:t>
      </w:r>
      <w:r w:rsidR="00F627DA" w:rsidRPr="0088508C">
        <w:rPr>
          <w:rFonts w:ascii="Verdana" w:hAnsi="Verdana"/>
          <w:sz w:val="19"/>
          <w:szCs w:val="19"/>
        </w:rPr>
        <w:t xml:space="preserve">IAC </w:t>
      </w:r>
      <w:r w:rsidR="000A170B" w:rsidRPr="0088508C">
        <w:rPr>
          <w:rFonts w:ascii="Verdana" w:hAnsi="Verdana"/>
          <w:sz w:val="19"/>
          <w:szCs w:val="19"/>
        </w:rPr>
        <w:t xml:space="preserve">context, </w:t>
      </w:r>
      <w:r w:rsidR="006C3269" w:rsidRPr="0088508C">
        <w:rPr>
          <w:rFonts w:ascii="Verdana" w:hAnsi="Verdana"/>
          <w:sz w:val="19"/>
          <w:szCs w:val="19"/>
        </w:rPr>
        <w:t>“</w:t>
      </w:r>
      <w:r w:rsidR="0016138E" w:rsidRPr="0088508C">
        <w:rPr>
          <w:rFonts w:ascii="Verdana" w:hAnsi="Verdana"/>
          <w:sz w:val="19"/>
          <w:szCs w:val="19"/>
        </w:rPr>
        <w:t xml:space="preserve">under the most exceptional circumstances, </w:t>
      </w:r>
      <w:r w:rsidRPr="0088508C">
        <w:rPr>
          <w:rFonts w:ascii="Verdana" w:hAnsi="Verdana"/>
          <w:sz w:val="19"/>
          <w:szCs w:val="19"/>
        </w:rPr>
        <w:t xml:space="preserve">a present, direct and imperative threat” </w:t>
      </w:r>
      <w:r w:rsidR="006C3269" w:rsidRPr="0088508C">
        <w:rPr>
          <w:rFonts w:ascii="Verdana" w:hAnsi="Verdana"/>
          <w:sz w:val="19"/>
          <w:szCs w:val="19"/>
        </w:rPr>
        <w:t>may “</w:t>
      </w:r>
      <w:r w:rsidRPr="0088508C">
        <w:rPr>
          <w:rFonts w:ascii="Verdana" w:hAnsi="Verdana"/>
          <w:sz w:val="19"/>
          <w:szCs w:val="19"/>
        </w:rPr>
        <w:t xml:space="preserve">justify </w:t>
      </w:r>
      <w:r w:rsidR="006C3269" w:rsidRPr="0088508C">
        <w:rPr>
          <w:rFonts w:ascii="Verdana" w:hAnsi="Verdana"/>
          <w:sz w:val="19"/>
          <w:szCs w:val="19"/>
        </w:rPr>
        <w:t xml:space="preserve">[security] </w:t>
      </w:r>
      <w:r w:rsidRPr="0088508C">
        <w:rPr>
          <w:rFonts w:ascii="Verdana" w:hAnsi="Verdana"/>
          <w:sz w:val="19"/>
          <w:szCs w:val="19"/>
        </w:rPr>
        <w:t>detention of persons considered to present such a threat”</w:t>
      </w:r>
      <w:r w:rsidR="0016138E" w:rsidRPr="0088508C">
        <w:rPr>
          <w:rFonts w:ascii="Verdana" w:hAnsi="Verdana"/>
          <w:sz w:val="19"/>
          <w:szCs w:val="19"/>
        </w:rPr>
        <w:t xml:space="preserve">, </w:t>
      </w:r>
      <w:r w:rsidR="000A170B" w:rsidRPr="0088508C">
        <w:rPr>
          <w:rFonts w:ascii="Verdana" w:hAnsi="Verdana"/>
          <w:sz w:val="19"/>
          <w:szCs w:val="19"/>
        </w:rPr>
        <w:t xml:space="preserve">again, without clarifying the nature of the threat </w:t>
      </w:r>
      <w:r w:rsidR="0033567B" w:rsidRPr="0088508C">
        <w:rPr>
          <w:rFonts w:ascii="Verdana" w:hAnsi="Verdana"/>
          <w:sz w:val="19"/>
          <w:szCs w:val="19"/>
        </w:rPr>
        <w:t>it</w:t>
      </w:r>
      <w:r w:rsidR="000A170B" w:rsidRPr="0088508C">
        <w:rPr>
          <w:rFonts w:ascii="Verdana" w:hAnsi="Verdana"/>
          <w:sz w:val="19"/>
          <w:szCs w:val="19"/>
        </w:rPr>
        <w:t xml:space="preserve"> purports to address.</w:t>
      </w:r>
      <w:r w:rsidR="00864EC0" w:rsidRPr="0088508C">
        <w:rPr>
          <w:rStyle w:val="FootnoteReference"/>
          <w:rFonts w:ascii="Verdana" w:hAnsi="Verdana"/>
          <w:sz w:val="19"/>
          <w:szCs w:val="19"/>
        </w:rPr>
        <w:footnoteReference w:id="4"/>
      </w:r>
      <w:r w:rsidR="00616352" w:rsidRPr="0088508C">
        <w:rPr>
          <w:rFonts w:ascii="Verdana" w:hAnsi="Verdana"/>
          <w:sz w:val="19"/>
          <w:szCs w:val="19"/>
        </w:rPr>
        <w:t xml:space="preserve"> </w:t>
      </w:r>
      <w:r w:rsidR="00CF08F6" w:rsidRPr="0088508C">
        <w:rPr>
          <w:rFonts w:ascii="Verdana" w:hAnsi="Verdana"/>
          <w:sz w:val="19"/>
          <w:szCs w:val="19"/>
        </w:rPr>
        <w:t xml:space="preserve">As a result, on this point para. 15 is </w:t>
      </w:r>
      <w:r w:rsidR="00194CE9" w:rsidRPr="0088508C">
        <w:rPr>
          <w:rFonts w:ascii="Verdana" w:hAnsi="Verdana"/>
          <w:sz w:val="19"/>
          <w:szCs w:val="19"/>
        </w:rPr>
        <w:t xml:space="preserve">at best </w:t>
      </w:r>
      <w:r w:rsidR="00943E11" w:rsidRPr="0088508C">
        <w:rPr>
          <w:rFonts w:ascii="Verdana" w:hAnsi="Verdana"/>
          <w:sz w:val="19"/>
          <w:szCs w:val="19"/>
        </w:rPr>
        <w:t>ambiguous</w:t>
      </w:r>
      <w:r w:rsidR="00194CE9" w:rsidRPr="0088508C">
        <w:rPr>
          <w:rFonts w:ascii="Verdana" w:hAnsi="Verdana"/>
          <w:sz w:val="19"/>
          <w:szCs w:val="19"/>
        </w:rPr>
        <w:t>, particularly given State</w:t>
      </w:r>
      <w:r w:rsidR="001E09B8" w:rsidRPr="0088508C">
        <w:rPr>
          <w:rFonts w:ascii="Verdana" w:hAnsi="Verdana"/>
          <w:sz w:val="19"/>
          <w:szCs w:val="19"/>
        </w:rPr>
        <w:t>s</w:t>
      </w:r>
      <w:r w:rsidR="00194CE9" w:rsidRPr="0088508C">
        <w:rPr>
          <w:rFonts w:ascii="Verdana" w:hAnsi="Verdana"/>
          <w:sz w:val="19"/>
          <w:szCs w:val="19"/>
        </w:rPr>
        <w:t xml:space="preserve"> Parties’ widespread resort to internment of those said to presen</w:t>
      </w:r>
      <w:r w:rsidR="0059325B">
        <w:rPr>
          <w:rFonts w:ascii="Verdana" w:hAnsi="Verdana"/>
          <w:sz w:val="19"/>
          <w:szCs w:val="19"/>
        </w:rPr>
        <w:t>t “a threat to national security”</w:t>
      </w:r>
      <w:r w:rsidR="00194CE9" w:rsidRPr="0088508C">
        <w:rPr>
          <w:rFonts w:ascii="Verdana" w:hAnsi="Verdana"/>
          <w:sz w:val="19"/>
          <w:szCs w:val="19"/>
        </w:rPr>
        <w:t xml:space="preserve">. </w:t>
      </w:r>
    </w:p>
    <w:p w14:paraId="3C951019" w14:textId="77777777" w:rsidR="00F122D5" w:rsidRPr="0088508C" w:rsidRDefault="00F122D5" w:rsidP="0088508C">
      <w:pPr>
        <w:jc w:val="both"/>
        <w:rPr>
          <w:rFonts w:ascii="Verdana" w:hAnsi="Verdana"/>
          <w:sz w:val="19"/>
          <w:szCs w:val="19"/>
        </w:rPr>
      </w:pPr>
    </w:p>
    <w:p w14:paraId="3D976733" w14:textId="066BD575" w:rsidR="00423A86" w:rsidRPr="0088508C" w:rsidRDefault="000A170B"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rPr>
        <w:t xml:space="preserve">In </w:t>
      </w:r>
      <w:r w:rsidR="008E0ED0" w:rsidRPr="0088508C">
        <w:rPr>
          <w:rFonts w:ascii="Verdana" w:hAnsi="Verdana"/>
          <w:sz w:val="19"/>
          <w:szCs w:val="19"/>
        </w:rPr>
        <w:t>this context</w:t>
      </w:r>
      <w:r w:rsidRPr="0088508C">
        <w:rPr>
          <w:rFonts w:ascii="Verdana" w:hAnsi="Verdana"/>
          <w:sz w:val="19"/>
          <w:szCs w:val="19"/>
        </w:rPr>
        <w:t xml:space="preserve">, the ICJ notes that </w:t>
      </w:r>
      <w:r w:rsidR="00577E75" w:rsidRPr="0088508C">
        <w:rPr>
          <w:rFonts w:ascii="Verdana" w:hAnsi="Verdana"/>
          <w:sz w:val="19"/>
          <w:szCs w:val="19"/>
        </w:rPr>
        <w:t>Article 4(1) of the Covenant refers exclusively to</w:t>
      </w:r>
      <w:r w:rsidR="005D262C" w:rsidRPr="0088508C">
        <w:rPr>
          <w:rFonts w:ascii="Verdana" w:hAnsi="Verdana"/>
          <w:sz w:val="19"/>
          <w:szCs w:val="19"/>
        </w:rPr>
        <w:t xml:space="preserve"> a</w:t>
      </w:r>
      <w:r w:rsidR="00577E75" w:rsidRPr="0088508C">
        <w:rPr>
          <w:rFonts w:ascii="Verdana" w:hAnsi="Verdana"/>
          <w:sz w:val="19"/>
          <w:szCs w:val="19"/>
        </w:rPr>
        <w:t xml:space="preserve"> “</w:t>
      </w:r>
      <w:r w:rsidR="00577E75" w:rsidRPr="0088508C">
        <w:rPr>
          <w:rFonts w:ascii="Verdana" w:hAnsi="Verdana"/>
          <w:sz w:val="19"/>
          <w:szCs w:val="19"/>
          <w:lang w:val="en-US"/>
        </w:rPr>
        <w:t>public emergency which threatens the life of the nation” as the only ground justifying the taking of measures derogating from some provisions of the Covenant and -- even then -- it affirms that such measures can only be authorized to the extent strictly required by the exigencies of the situation.</w:t>
      </w:r>
      <w:r w:rsidRPr="0088508C">
        <w:rPr>
          <w:rFonts w:ascii="Verdana" w:hAnsi="Verdana"/>
          <w:sz w:val="19"/>
          <w:szCs w:val="19"/>
          <w:lang w:val="en-US"/>
        </w:rPr>
        <w:t xml:space="preserve"> Further, the Committee’s General Comment No. 29 refers exclusively to “a threat to the life of the nation”.</w:t>
      </w:r>
      <w:r w:rsidRPr="0088508C">
        <w:rPr>
          <w:rStyle w:val="FootnoteReference"/>
          <w:rFonts w:ascii="Verdana" w:hAnsi="Verdana"/>
          <w:sz w:val="19"/>
          <w:szCs w:val="19"/>
          <w:lang w:val="en-US"/>
        </w:rPr>
        <w:footnoteReference w:id="5"/>
      </w:r>
      <w:r w:rsidR="00136799" w:rsidRPr="0088508C">
        <w:rPr>
          <w:rFonts w:ascii="Verdana" w:hAnsi="Verdana"/>
          <w:sz w:val="19"/>
          <w:szCs w:val="19"/>
          <w:lang w:val="en-US"/>
        </w:rPr>
        <w:t xml:space="preserve"> Moreover, the ICJ observes that </w:t>
      </w:r>
      <w:r w:rsidR="00704887" w:rsidRPr="0088508C">
        <w:rPr>
          <w:rFonts w:ascii="Verdana" w:hAnsi="Verdana"/>
          <w:sz w:val="19"/>
          <w:szCs w:val="19"/>
          <w:lang w:val="en-US"/>
        </w:rPr>
        <w:t xml:space="preserve">nowhere does General Comment No. 29 </w:t>
      </w:r>
      <w:r w:rsidR="0033567B" w:rsidRPr="0088508C">
        <w:rPr>
          <w:rFonts w:ascii="Verdana" w:hAnsi="Verdana"/>
          <w:sz w:val="19"/>
          <w:szCs w:val="19"/>
          <w:lang w:val="en-US"/>
        </w:rPr>
        <w:t>use the terms “</w:t>
      </w:r>
      <w:r w:rsidR="0033567B" w:rsidRPr="0088508C">
        <w:rPr>
          <w:rFonts w:ascii="Verdana" w:hAnsi="Verdana"/>
          <w:sz w:val="19"/>
          <w:szCs w:val="19"/>
        </w:rPr>
        <w:t>a present, direct and imperative threat”</w:t>
      </w:r>
      <w:r w:rsidR="00704887" w:rsidRPr="0088508C">
        <w:rPr>
          <w:rFonts w:ascii="Verdana" w:hAnsi="Verdana"/>
          <w:sz w:val="19"/>
          <w:szCs w:val="19"/>
          <w:lang w:val="en-US"/>
        </w:rPr>
        <w:t>.</w:t>
      </w:r>
    </w:p>
    <w:p w14:paraId="745EDA61" w14:textId="77777777" w:rsidR="00423A86" w:rsidRPr="0088508C" w:rsidRDefault="00423A86" w:rsidP="0088508C">
      <w:pPr>
        <w:jc w:val="both"/>
        <w:rPr>
          <w:rFonts w:ascii="Verdana" w:hAnsi="Verdana"/>
          <w:sz w:val="19"/>
          <w:szCs w:val="19"/>
          <w:lang w:val="en-US"/>
        </w:rPr>
      </w:pPr>
    </w:p>
    <w:p w14:paraId="75ECA6AF" w14:textId="77777777" w:rsidR="002253AA" w:rsidRPr="0088508C" w:rsidRDefault="00F627DA"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The organization is concerned that the reference in para. 15 of the present draft to “</w:t>
      </w:r>
      <w:r w:rsidRPr="0088508C">
        <w:rPr>
          <w:rFonts w:ascii="Verdana" w:hAnsi="Verdana"/>
          <w:sz w:val="19"/>
          <w:szCs w:val="19"/>
        </w:rPr>
        <w:t>a present, direct and imperative threat”,</w:t>
      </w:r>
      <w:r w:rsidR="00704887" w:rsidRPr="0088508C">
        <w:rPr>
          <w:rFonts w:ascii="Verdana" w:hAnsi="Verdana"/>
          <w:sz w:val="19"/>
          <w:szCs w:val="19"/>
          <w:lang w:val="en-US"/>
        </w:rPr>
        <w:t xml:space="preserve"> </w:t>
      </w:r>
      <w:r w:rsidRPr="0088508C">
        <w:rPr>
          <w:rFonts w:ascii="Verdana" w:hAnsi="Verdana"/>
          <w:sz w:val="19"/>
          <w:szCs w:val="19"/>
          <w:lang w:val="en-US"/>
        </w:rPr>
        <w:t xml:space="preserve">particularly when discussing “security detention”, i.e. internment, and especially </w:t>
      </w:r>
      <w:r w:rsidR="00A91C14" w:rsidRPr="0088508C">
        <w:rPr>
          <w:rFonts w:ascii="Verdana" w:hAnsi="Verdana"/>
          <w:sz w:val="19"/>
          <w:szCs w:val="19"/>
          <w:lang w:val="en-US"/>
        </w:rPr>
        <w:t>given the reference in t</w:t>
      </w:r>
      <w:r w:rsidRPr="0088508C">
        <w:rPr>
          <w:rFonts w:ascii="Verdana" w:hAnsi="Verdana"/>
          <w:sz w:val="19"/>
          <w:szCs w:val="19"/>
          <w:lang w:val="en-US"/>
        </w:rPr>
        <w:t>he same para. to IAC</w:t>
      </w:r>
      <w:r w:rsidR="00A91C14" w:rsidRPr="0088508C">
        <w:rPr>
          <w:rFonts w:ascii="Verdana" w:hAnsi="Verdana"/>
          <w:sz w:val="19"/>
          <w:szCs w:val="19"/>
          <w:lang w:val="en-US"/>
        </w:rPr>
        <w:t xml:space="preserve">, </w:t>
      </w:r>
      <w:r w:rsidR="004B542A">
        <w:rPr>
          <w:rFonts w:ascii="Verdana" w:hAnsi="Verdana"/>
          <w:sz w:val="19"/>
          <w:szCs w:val="19"/>
          <w:lang w:val="en-US"/>
        </w:rPr>
        <w:t>will</w:t>
      </w:r>
      <w:r w:rsidR="00A91C14" w:rsidRPr="0088508C">
        <w:rPr>
          <w:rFonts w:ascii="Verdana" w:hAnsi="Verdana"/>
          <w:sz w:val="19"/>
          <w:szCs w:val="19"/>
          <w:lang w:val="en-US"/>
        </w:rPr>
        <w:t xml:space="preserve"> unwittingly</w:t>
      </w:r>
      <w:r w:rsidR="004B542A">
        <w:rPr>
          <w:rFonts w:ascii="Verdana" w:hAnsi="Verdana"/>
          <w:sz w:val="19"/>
          <w:szCs w:val="19"/>
          <w:lang w:val="en-US"/>
        </w:rPr>
        <w:t xml:space="preserve"> give rise </w:t>
      </w:r>
      <w:r w:rsidR="00A91C14" w:rsidRPr="0088508C">
        <w:rPr>
          <w:rFonts w:ascii="Verdana" w:hAnsi="Verdana"/>
          <w:sz w:val="19"/>
          <w:szCs w:val="19"/>
          <w:lang w:val="en-US"/>
        </w:rPr>
        <w:t xml:space="preserve"> to some unhelpful misapprehensions in the interpretation of the General Comment</w:t>
      </w:r>
      <w:r w:rsidR="009F784D" w:rsidRPr="0088508C">
        <w:rPr>
          <w:rFonts w:ascii="Verdana" w:hAnsi="Verdana"/>
          <w:sz w:val="19"/>
          <w:szCs w:val="19"/>
          <w:lang w:val="en-US"/>
        </w:rPr>
        <w:t xml:space="preserve">, </w:t>
      </w:r>
      <w:r w:rsidR="00A91C14" w:rsidRPr="0088508C">
        <w:rPr>
          <w:rFonts w:ascii="Verdana" w:hAnsi="Verdana"/>
          <w:sz w:val="19"/>
          <w:szCs w:val="19"/>
          <w:lang w:val="en-US"/>
        </w:rPr>
        <w:t>the Covenant itself</w:t>
      </w:r>
      <w:r w:rsidR="009F784D" w:rsidRPr="0088508C">
        <w:rPr>
          <w:rFonts w:ascii="Verdana" w:hAnsi="Verdana"/>
          <w:sz w:val="19"/>
          <w:szCs w:val="19"/>
          <w:lang w:val="en-US"/>
        </w:rPr>
        <w:t>, and human rights law more generally</w:t>
      </w:r>
      <w:r w:rsidR="00A91C14" w:rsidRPr="0088508C">
        <w:rPr>
          <w:rFonts w:ascii="Verdana" w:hAnsi="Verdana"/>
          <w:sz w:val="19"/>
          <w:szCs w:val="19"/>
          <w:lang w:val="en-US"/>
        </w:rPr>
        <w:t>. In this context, the ICJ notes that, pursuant to international humanitarian law applicable to IAC, “imperative reasons of security" may justify interment.</w:t>
      </w:r>
      <w:r w:rsidR="00A91C14" w:rsidRPr="0088508C">
        <w:rPr>
          <w:rStyle w:val="FootnoteReference"/>
          <w:rFonts w:ascii="Verdana" w:hAnsi="Verdana"/>
          <w:sz w:val="19"/>
          <w:szCs w:val="19"/>
          <w:lang w:val="en-US"/>
        </w:rPr>
        <w:footnoteReference w:id="6"/>
      </w:r>
    </w:p>
    <w:p w14:paraId="12C373B3" w14:textId="77777777" w:rsidR="002253AA" w:rsidRPr="0088508C" w:rsidRDefault="002253AA" w:rsidP="0088508C">
      <w:pPr>
        <w:jc w:val="both"/>
        <w:rPr>
          <w:rFonts w:ascii="Verdana" w:hAnsi="Verdana"/>
          <w:sz w:val="19"/>
          <w:szCs w:val="19"/>
          <w:lang w:val="en-US"/>
        </w:rPr>
      </w:pPr>
    </w:p>
    <w:p w14:paraId="6F3A51B2" w14:textId="77777777" w:rsidR="002253AA" w:rsidRPr="0088508C" w:rsidRDefault="00577E75"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 xml:space="preserve">In this </w:t>
      </w:r>
      <w:r w:rsidR="000E3288" w:rsidRPr="0088508C">
        <w:rPr>
          <w:rFonts w:ascii="Verdana" w:hAnsi="Verdana"/>
          <w:sz w:val="19"/>
          <w:szCs w:val="19"/>
          <w:lang w:val="en-US"/>
        </w:rPr>
        <w:t xml:space="preserve">connection, </w:t>
      </w:r>
      <w:r w:rsidRPr="0088508C">
        <w:rPr>
          <w:rFonts w:ascii="Verdana" w:hAnsi="Verdana"/>
          <w:sz w:val="19"/>
          <w:szCs w:val="19"/>
          <w:lang w:val="en-US"/>
        </w:rPr>
        <w:t>t</w:t>
      </w:r>
      <w:r w:rsidR="00E02C2C" w:rsidRPr="0088508C">
        <w:rPr>
          <w:rFonts w:ascii="Verdana" w:hAnsi="Verdana"/>
          <w:sz w:val="19"/>
          <w:szCs w:val="19"/>
          <w:lang w:val="en-US"/>
        </w:rPr>
        <w:t xml:space="preserve">he Committee may be aware that the Legal Division of the International Committee of the Red Cross (ICRC) </w:t>
      </w:r>
      <w:r w:rsidR="00456B2E" w:rsidRPr="0088508C">
        <w:rPr>
          <w:rFonts w:ascii="Verdana" w:hAnsi="Verdana"/>
          <w:sz w:val="19"/>
          <w:szCs w:val="19"/>
          <w:lang w:val="en-US"/>
        </w:rPr>
        <w:t xml:space="preserve">has been engaged in two separate </w:t>
      </w:r>
      <w:r w:rsidR="00E02C2C" w:rsidRPr="0088508C">
        <w:rPr>
          <w:rFonts w:ascii="Verdana" w:hAnsi="Verdana"/>
          <w:sz w:val="19"/>
          <w:szCs w:val="19"/>
          <w:lang w:val="en-US"/>
        </w:rPr>
        <w:t>process</w:t>
      </w:r>
      <w:r w:rsidR="00456B2E" w:rsidRPr="0088508C">
        <w:rPr>
          <w:rFonts w:ascii="Verdana" w:hAnsi="Verdana"/>
          <w:sz w:val="19"/>
          <w:szCs w:val="19"/>
          <w:lang w:val="en-US"/>
        </w:rPr>
        <w:t>es</w:t>
      </w:r>
      <w:r w:rsidR="00E02C2C" w:rsidRPr="0088508C">
        <w:rPr>
          <w:rFonts w:ascii="Verdana" w:hAnsi="Verdana"/>
          <w:sz w:val="19"/>
          <w:szCs w:val="19"/>
          <w:lang w:val="en-US"/>
        </w:rPr>
        <w:t xml:space="preserve"> of consultation with states</w:t>
      </w:r>
      <w:r w:rsidR="00456B2E" w:rsidRPr="0088508C">
        <w:rPr>
          <w:rFonts w:ascii="Verdana" w:hAnsi="Verdana"/>
          <w:sz w:val="19"/>
          <w:szCs w:val="19"/>
          <w:lang w:val="en-US"/>
        </w:rPr>
        <w:t xml:space="preserve"> on the one hand, and civil society </w:t>
      </w:r>
      <w:r w:rsidR="00E02C2C" w:rsidRPr="0088508C">
        <w:rPr>
          <w:rFonts w:ascii="Verdana" w:hAnsi="Verdana"/>
          <w:sz w:val="19"/>
          <w:szCs w:val="19"/>
          <w:lang w:val="en-US"/>
        </w:rPr>
        <w:t>organizations</w:t>
      </w:r>
      <w:r w:rsidR="00456B2E" w:rsidRPr="0088508C">
        <w:rPr>
          <w:rFonts w:ascii="Verdana" w:hAnsi="Verdana"/>
          <w:sz w:val="19"/>
          <w:szCs w:val="19"/>
          <w:lang w:val="en-US"/>
        </w:rPr>
        <w:t>, on the other,</w:t>
      </w:r>
      <w:r w:rsidR="00E02C2C" w:rsidRPr="0088508C">
        <w:rPr>
          <w:rFonts w:ascii="Verdana" w:hAnsi="Verdana"/>
          <w:sz w:val="19"/>
          <w:szCs w:val="19"/>
          <w:lang w:val="en-US"/>
        </w:rPr>
        <w:t xml:space="preserve"> with a view to providing input to </w:t>
      </w:r>
      <w:r w:rsidR="00456B2E" w:rsidRPr="0088508C">
        <w:rPr>
          <w:rFonts w:ascii="Verdana" w:hAnsi="Verdana"/>
          <w:sz w:val="19"/>
          <w:szCs w:val="19"/>
          <w:lang w:val="en-US"/>
        </w:rPr>
        <w:t>“</w:t>
      </w:r>
      <w:r w:rsidR="00E02C2C" w:rsidRPr="0088508C">
        <w:rPr>
          <w:rFonts w:ascii="Verdana" w:hAnsi="Verdana"/>
          <w:sz w:val="19"/>
          <w:szCs w:val="19"/>
          <w:lang w:val="en-US"/>
        </w:rPr>
        <w:t>the ICRC’s on-going effort to strengthen international humanitarian law</w:t>
      </w:r>
      <w:r w:rsidR="0094619D" w:rsidRPr="0088508C">
        <w:rPr>
          <w:rFonts w:ascii="Verdana" w:hAnsi="Verdana"/>
          <w:sz w:val="19"/>
          <w:szCs w:val="19"/>
          <w:lang w:val="en-US"/>
        </w:rPr>
        <w:t>”</w:t>
      </w:r>
      <w:r w:rsidR="008A3C1E" w:rsidRPr="0088508C">
        <w:rPr>
          <w:rFonts w:ascii="Verdana" w:hAnsi="Verdana"/>
          <w:sz w:val="19"/>
          <w:szCs w:val="19"/>
          <w:lang w:val="en-US"/>
        </w:rPr>
        <w:t xml:space="preserve"> (IHL)</w:t>
      </w:r>
      <w:r w:rsidR="0094619D" w:rsidRPr="0088508C">
        <w:rPr>
          <w:rFonts w:ascii="Verdana" w:hAnsi="Verdana"/>
          <w:sz w:val="19"/>
          <w:szCs w:val="19"/>
          <w:lang w:val="en-US"/>
        </w:rPr>
        <w:t xml:space="preserve">, including in the area of </w:t>
      </w:r>
      <w:r w:rsidR="00BD55FC">
        <w:rPr>
          <w:rFonts w:ascii="Verdana" w:hAnsi="Verdana"/>
          <w:sz w:val="19"/>
          <w:szCs w:val="19"/>
          <w:lang w:val="en-US"/>
        </w:rPr>
        <w:t xml:space="preserve">grounds and procedures for </w:t>
      </w:r>
      <w:r w:rsidR="0094619D" w:rsidRPr="0088508C">
        <w:rPr>
          <w:rFonts w:ascii="Verdana" w:hAnsi="Verdana"/>
          <w:bCs/>
          <w:sz w:val="19"/>
          <w:szCs w:val="19"/>
          <w:lang w:val="en-US"/>
        </w:rPr>
        <w:t>detention</w:t>
      </w:r>
      <w:r w:rsidR="0057246D">
        <w:rPr>
          <w:rFonts w:ascii="Verdana" w:hAnsi="Verdana"/>
          <w:bCs/>
          <w:sz w:val="19"/>
          <w:szCs w:val="19"/>
          <w:lang w:val="en-US"/>
        </w:rPr>
        <w:t xml:space="preserve">, </w:t>
      </w:r>
      <w:r w:rsidR="00BD55FC">
        <w:rPr>
          <w:rFonts w:ascii="Verdana" w:hAnsi="Verdana"/>
          <w:bCs/>
          <w:sz w:val="19"/>
          <w:szCs w:val="19"/>
          <w:lang w:val="en-US"/>
        </w:rPr>
        <w:t>particularly internment</w:t>
      </w:r>
      <w:r w:rsidR="0057246D">
        <w:rPr>
          <w:rFonts w:ascii="Verdana" w:hAnsi="Verdana"/>
          <w:bCs/>
          <w:sz w:val="19"/>
          <w:szCs w:val="19"/>
          <w:lang w:val="en-US"/>
        </w:rPr>
        <w:t>,</w:t>
      </w:r>
      <w:r w:rsidR="00BD55FC">
        <w:rPr>
          <w:rFonts w:ascii="Verdana" w:hAnsi="Verdana"/>
          <w:bCs/>
          <w:sz w:val="19"/>
          <w:szCs w:val="19"/>
          <w:lang w:val="en-US"/>
        </w:rPr>
        <w:t xml:space="preserve"> </w:t>
      </w:r>
      <w:r w:rsidR="0094619D" w:rsidRPr="0088508C">
        <w:rPr>
          <w:rFonts w:ascii="Verdana" w:hAnsi="Verdana"/>
          <w:bCs/>
          <w:sz w:val="19"/>
          <w:szCs w:val="19"/>
          <w:lang w:val="en-US"/>
        </w:rPr>
        <w:t>in non-international armed conflict</w:t>
      </w:r>
      <w:r w:rsidR="008A3C1E" w:rsidRPr="0088508C">
        <w:rPr>
          <w:rFonts w:ascii="Verdana" w:hAnsi="Verdana"/>
          <w:bCs/>
          <w:sz w:val="19"/>
          <w:szCs w:val="19"/>
          <w:lang w:val="en-US"/>
        </w:rPr>
        <w:t xml:space="preserve"> (NIAC)</w:t>
      </w:r>
      <w:r w:rsidR="0094619D" w:rsidRPr="0088508C">
        <w:rPr>
          <w:rFonts w:ascii="Verdana" w:hAnsi="Verdana"/>
          <w:sz w:val="19"/>
          <w:szCs w:val="19"/>
          <w:lang w:val="en-US"/>
        </w:rPr>
        <w:t>.</w:t>
      </w:r>
      <w:r w:rsidR="0094619D" w:rsidRPr="0088508C">
        <w:rPr>
          <w:rStyle w:val="FootnoteReference"/>
          <w:rFonts w:ascii="Verdana" w:hAnsi="Verdana"/>
          <w:sz w:val="19"/>
          <w:szCs w:val="19"/>
          <w:lang w:val="en-US"/>
        </w:rPr>
        <w:footnoteReference w:id="7"/>
      </w:r>
      <w:r w:rsidR="00616352" w:rsidRPr="0088508C">
        <w:rPr>
          <w:rFonts w:ascii="Verdana" w:hAnsi="Verdana"/>
          <w:sz w:val="19"/>
          <w:szCs w:val="19"/>
          <w:lang w:val="en-US"/>
        </w:rPr>
        <w:t xml:space="preserve"> </w:t>
      </w:r>
    </w:p>
    <w:p w14:paraId="2B5D184B" w14:textId="77777777" w:rsidR="002253AA" w:rsidRPr="0088508C" w:rsidRDefault="002253AA" w:rsidP="0088508C">
      <w:pPr>
        <w:jc w:val="both"/>
        <w:rPr>
          <w:rFonts w:ascii="Verdana" w:hAnsi="Verdana"/>
          <w:sz w:val="19"/>
          <w:szCs w:val="19"/>
          <w:lang w:val="en-US"/>
        </w:rPr>
      </w:pPr>
    </w:p>
    <w:p w14:paraId="2D79CE30" w14:textId="77777777" w:rsidR="002253AA" w:rsidRPr="0088508C" w:rsidRDefault="006A0D66"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Given that</w:t>
      </w:r>
      <w:r w:rsidR="00972962">
        <w:rPr>
          <w:rFonts w:ascii="Verdana" w:hAnsi="Verdana"/>
          <w:sz w:val="19"/>
          <w:szCs w:val="19"/>
          <w:lang w:val="en-US"/>
        </w:rPr>
        <w:t>,</w:t>
      </w:r>
      <w:r w:rsidRPr="0088508C">
        <w:rPr>
          <w:rFonts w:ascii="Verdana" w:hAnsi="Verdana"/>
          <w:sz w:val="19"/>
          <w:szCs w:val="19"/>
          <w:lang w:val="en-US"/>
        </w:rPr>
        <w:t xml:space="preserve"> at present</w:t>
      </w:r>
      <w:r w:rsidR="00972962">
        <w:rPr>
          <w:rFonts w:ascii="Verdana" w:hAnsi="Verdana"/>
          <w:sz w:val="19"/>
          <w:szCs w:val="19"/>
          <w:lang w:val="en-US"/>
        </w:rPr>
        <w:t>,</w:t>
      </w:r>
      <w:r w:rsidRPr="0088508C">
        <w:rPr>
          <w:rFonts w:ascii="Verdana" w:hAnsi="Verdana"/>
          <w:sz w:val="19"/>
          <w:szCs w:val="19"/>
          <w:lang w:val="en-US"/>
        </w:rPr>
        <w:t xml:space="preserve"> there is no binding </w:t>
      </w:r>
      <w:r w:rsidR="0072205A" w:rsidRPr="0088508C">
        <w:rPr>
          <w:rFonts w:ascii="Verdana" w:hAnsi="Verdana"/>
          <w:sz w:val="19"/>
          <w:szCs w:val="19"/>
          <w:lang w:val="en-US"/>
        </w:rPr>
        <w:t>international standard</w:t>
      </w:r>
      <w:r w:rsidRPr="0088508C">
        <w:rPr>
          <w:rFonts w:ascii="Verdana" w:hAnsi="Verdana"/>
          <w:sz w:val="19"/>
          <w:szCs w:val="19"/>
          <w:lang w:val="en-US"/>
        </w:rPr>
        <w:t xml:space="preserve"> authorizing </w:t>
      </w:r>
      <w:r w:rsidR="00AD132D" w:rsidRPr="0088508C">
        <w:rPr>
          <w:rFonts w:ascii="Verdana" w:hAnsi="Verdana"/>
          <w:sz w:val="19"/>
          <w:szCs w:val="19"/>
          <w:lang w:val="en-US"/>
        </w:rPr>
        <w:t xml:space="preserve">or setting out procedures for </w:t>
      </w:r>
      <w:r w:rsidR="0072205A" w:rsidRPr="0088508C">
        <w:rPr>
          <w:rFonts w:ascii="Verdana" w:hAnsi="Verdana"/>
          <w:sz w:val="19"/>
          <w:szCs w:val="19"/>
          <w:lang w:val="en-US"/>
        </w:rPr>
        <w:t xml:space="preserve">interment or </w:t>
      </w:r>
      <w:r w:rsidRPr="0088508C">
        <w:rPr>
          <w:rFonts w:ascii="Verdana" w:hAnsi="Verdana"/>
          <w:sz w:val="19"/>
          <w:szCs w:val="19"/>
          <w:lang w:val="en-US"/>
        </w:rPr>
        <w:t>detention in NIAC,</w:t>
      </w:r>
      <w:r w:rsidR="0072205A" w:rsidRPr="0088508C">
        <w:rPr>
          <w:rStyle w:val="FootnoteReference"/>
          <w:rFonts w:ascii="Verdana" w:hAnsi="Verdana"/>
          <w:sz w:val="19"/>
          <w:szCs w:val="19"/>
          <w:lang w:val="en-US"/>
        </w:rPr>
        <w:footnoteReference w:id="8"/>
      </w:r>
      <w:r w:rsidRPr="0088508C">
        <w:rPr>
          <w:rFonts w:ascii="Verdana" w:hAnsi="Verdana"/>
          <w:sz w:val="19"/>
          <w:szCs w:val="19"/>
          <w:lang w:val="en-US"/>
        </w:rPr>
        <w:t xml:space="preserve"> t</w:t>
      </w:r>
      <w:r w:rsidR="00BC3C55" w:rsidRPr="0088508C">
        <w:rPr>
          <w:rFonts w:ascii="Verdana" w:hAnsi="Verdana"/>
          <w:sz w:val="19"/>
          <w:szCs w:val="19"/>
          <w:lang w:val="en-US"/>
        </w:rPr>
        <w:t xml:space="preserve">he ICJ is concerned that as currently formulated </w:t>
      </w:r>
      <w:r w:rsidR="00074E0E" w:rsidRPr="0088508C">
        <w:rPr>
          <w:rFonts w:ascii="Verdana" w:hAnsi="Verdana"/>
          <w:sz w:val="19"/>
          <w:szCs w:val="19"/>
          <w:lang w:val="en-US"/>
        </w:rPr>
        <w:t xml:space="preserve">-- </w:t>
      </w:r>
      <w:r w:rsidR="001D41A7" w:rsidRPr="0088508C">
        <w:rPr>
          <w:rFonts w:ascii="Verdana" w:hAnsi="Verdana"/>
          <w:sz w:val="19"/>
          <w:szCs w:val="19"/>
          <w:lang w:val="en-US"/>
        </w:rPr>
        <w:t>i.e.</w:t>
      </w:r>
      <w:r w:rsidR="00C02370" w:rsidRPr="0088508C">
        <w:rPr>
          <w:rFonts w:ascii="Verdana" w:hAnsi="Verdana"/>
          <w:sz w:val="19"/>
          <w:szCs w:val="19"/>
          <w:lang w:val="en-US"/>
        </w:rPr>
        <w:t>, in particular because of the reference to</w:t>
      </w:r>
      <w:r w:rsidR="001D41A7" w:rsidRPr="0088508C">
        <w:rPr>
          <w:rFonts w:ascii="Verdana" w:hAnsi="Verdana"/>
          <w:sz w:val="19"/>
          <w:szCs w:val="19"/>
          <w:lang w:val="en-US"/>
        </w:rPr>
        <w:t xml:space="preserve"> “</w:t>
      </w:r>
      <w:r w:rsidR="001D41A7" w:rsidRPr="0088508C">
        <w:rPr>
          <w:rFonts w:ascii="Verdana" w:hAnsi="Verdana"/>
          <w:sz w:val="19"/>
          <w:szCs w:val="19"/>
        </w:rPr>
        <w:t>a present, direct and imperative threat”</w:t>
      </w:r>
      <w:r w:rsidR="00074E0E" w:rsidRPr="0088508C">
        <w:rPr>
          <w:rFonts w:ascii="Verdana" w:hAnsi="Verdana"/>
          <w:sz w:val="19"/>
          <w:szCs w:val="19"/>
        </w:rPr>
        <w:t xml:space="preserve"> --</w:t>
      </w:r>
      <w:r w:rsidR="001D41A7" w:rsidRPr="0088508C">
        <w:rPr>
          <w:rFonts w:ascii="Verdana" w:hAnsi="Verdana"/>
          <w:sz w:val="19"/>
          <w:szCs w:val="19"/>
        </w:rPr>
        <w:t xml:space="preserve"> </w:t>
      </w:r>
      <w:r w:rsidR="00BC3C55" w:rsidRPr="0088508C">
        <w:rPr>
          <w:rFonts w:ascii="Verdana" w:hAnsi="Verdana"/>
          <w:sz w:val="19"/>
          <w:szCs w:val="19"/>
          <w:lang w:val="en-US"/>
        </w:rPr>
        <w:t xml:space="preserve">para. 15 </w:t>
      </w:r>
      <w:r w:rsidR="005036B6" w:rsidRPr="0088508C">
        <w:rPr>
          <w:rFonts w:ascii="Verdana" w:hAnsi="Verdana"/>
          <w:sz w:val="19"/>
          <w:szCs w:val="19"/>
          <w:lang w:val="en-US"/>
        </w:rPr>
        <w:t xml:space="preserve">of the present draft </w:t>
      </w:r>
      <w:r w:rsidR="00BC3C55" w:rsidRPr="0088508C">
        <w:rPr>
          <w:rFonts w:ascii="Verdana" w:hAnsi="Verdana"/>
          <w:sz w:val="19"/>
          <w:szCs w:val="19"/>
          <w:lang w:val="en-US"/>
        </w:rPr>
        <w:t xml:space="preserve">will be used by some as </w:t>
      </w:r>
      <w:r w:rsidR="00B147AE" w:rsidRPr="0088508C">
        <w:rPr>
          <w:rFonts w:ascii="Verdana" w:hAnsi="Verdana"/>
          <w:sz w:val="19"/>
          <w:szCs w:val="19"/>
          <w:lang w:val="en-US"/>
        </w:rPr>
        <w:t>authori</w:t>
      </w:r>
      <w:r w:rsidR="00BC3C55" w:rsidRPr="0088508C">
        <w:rPr>
          <w:rFonts w:ascii="Verdana" w:hAnsi="Verdana"/>
          <w:sz w:val="19"/>
          <w:szCs w:val="19"/>
          <w:lang w:val="en-US"/>
        </w:rPr>
        <w:t xml:space="preserve">ty for the proposition that international human rights law provides </w:t>
      </w:r>
      <w:r w:rsidR="00B147AE" w:rsidRPr="0088508C">
        <w:rPr>
          <w:rFonts w:ascii="Verdana" w:hAnsi="Verdana"/>
          <w:sz w:val="19"/>
          <w:szCs w:val="19"/>
          <w:lang w:val="en-US"/>
        </w:rPr>
        <w:t>ground</w:t>
      </w:r>
      <w:r w:rsidR="00BC3C55" w:rsidRPr="0088508C">
        <w:rPr>
          <w:rFonts w:ascii="Verdana" w:hAnsi="Verdana"/>
          <w:sz w:val="19"/>
          <w:szCs w:val="19"/>
          <w:lang w:val="en-US"/>
        </w:rPr>
        <w:t>/</w:t>
      </w:r>
      <w:r w:rsidR="00B147AE" w:rsidRPr="0088508C">
        <w:rPr>
          <w:rFonts w:ascii="Verdana" w:hAnsi="Verdana"/>
          <w:sz w:val="19"/>
          <w:szCs w:val="19"/>
          <w:lang w:val="en-US"/>
        </w:rPr>
        <w:t xml:space="preserve">s </w:t>
      </w:r>
      <w:r w:rsidR="00572E0C" w:rsidRPr="0088508C">
        <w:rPr>
          <w:rFonts w:ascii="Verdana" w:hAnsi="Verdana"/>
          <w:sz w:val="19"/>
          <w:szCs w:val="19"/>
          <w:lang w:val="en-US"/>
        </w:rPr>
        <w:t xml:space="preserve">for (i.e. authority or power of) </w:t>
      </w:r>
      <w:r w:rsidR="00B147AE" w:rsidRPr="0088508C">
        <w:rPr>
          <w:rFonts w:ascii="Verdana" w:hAnsi="Verdana"/>
          <w:sz w:val="19"/>
          <w:szCs w:val="19"/>
          <w:lang w:val="en-US"/>
        </w:rPr>
        <w:t xml:space="preserve">internment </w:t>
      </w:r>
      <w:r w:rsidR="005A7152" w:rsidRPr="0088508C">
        <w:rPr>
          <w:rFonts w:ascii="Verdana" w:hAnsi="Verdana"/>
          <w:sz w:val="19"/>
          <w:szCs w:val="19"/>
          <w:lang w:val="en-US"/>
        </w:rPr>
        <w:t>in a NIAC context</w:t>
      </w:r>
      <w:r w:rsidR="000A37EB">
        <w:rPr>
          <w:rFonts w:ascii="Verdana" w:hAnsi="Verdana"/>
          <w:sz w:val="19"/>
          <w:szCs w:val="19"/>
          <w:lang w:val="en-US"/>
        </w:rPr>
        <w:t xml:space="preserve"> --</w:t>
      </w:r>
      <w:r w:rsidR="005A7152" w:rsidRPr="0088508C">
        <w:rPr>
          <w:rFonts w:ascii="Verdana" w:hAnsi="Verdana"/>
          <w:sz w:val="19"/>
          <w:szCs w:val="19"/>
          <w:lang w:val="en-US"/>
        </w:rPr>
        <w:t xml:space="preserve"> </w:t>
      </w:r>
      <w:r w:rsidR="00BD55FC">
        <w:rPr>
          <w:rFonts w:ascii="Verdana" w:hAnsi="Verdana"/>
          <w:sz w:val="19"/>
          <w:szCs w:val="19"/>
          <w:lang w:val="en-US"/>
        </w:rPr>
        <w:t xml:space="preserve">or even outside that context </w:t>
      </w:r>
      <w:r w:rsidR="000A37EB">
        <w:rPr>
          <w:rFonts w:ascii="Verdana" w:hAnsi="Verdana"/>
          <w:sz w:val="19"/>
          <w:szCs w:val="19"/>
          <w:lang w:val="en-US"/>
        </w:rPr>
        <w:t xml:space="preserve">-- </w:t>
      </w:r>
      <w:r w:rsidR="00BC3C55" w:rsidRPr="0088508C">
        <w:rPr>
          <w:rFonts w:ascii="Verdana" w:hAnsi="Verdana"/>
          <w:sz w:val="19"/>
          <w:szCs w:val="19"/>
          <w:lang w:val="en-US"/>
        </w:rPr>
        <w:t>even when the national law of the state on whose territory internment occurs does not</w:t>
      </w:r>
      <w:r w:rsidRPr="0088508C">
        <w:rPr>
          <w:rFonts w:ascii="Verdana" w:hAnsi="Verdana"/>
          <w:sz w:val="19"/>
          <w:szCs w:val="19"/>
          <w:lang w:val="en-US"/>
        </w:rPr>
        <w:t>.</w:t>
      </w:r>
      <w:r w:rsidR="00926528" w:rsidRPr="0088508C">
        <w:rPr>
          <w:rStyle w:val="FootnoteReference"/>
          <w:rFonts w:ascii="Verdana" w:hAnsi="Verdana"/>
          <w:sz w:val="19"/>
          <w:szCs w:val="19"/>
          <w:lang w:val="en-US"/>
        </w:rPr>
        <w:footnoteReference w:id="9"/>
      </w:r>
      <w:r w:rsidR="00F70C46" w:rsidRPr="0088508C">
        <w:rPr>
          <w:rFonts w:ascii="Verdana" w:hAnsi="Verdana"/>
          <w:sz w:val="19"/>
          <w:szCs w:val="19"/>
          <w:lang w:val="en-US"/>
        </w:rPr>
        <w:t xml:space="preserve"> </w:t>
      </w:r>
    </w:p>
    <w:p w14:paraId="34E7D238" w14:textId="77777777" w:rsidR="002253AA" w:rsidRPr="0088508C" w:rsidRDefault="002253AA" w:rsidP="0088508C">
      <w:pPr>
        <w:jc w:val="both"/>
        <w:rPr>
          <w:rFonts w:ascii="Verdana" w:hAnsi="Verdana"/>
          <w:sz w:val="19"/>
          <w:szCs w:val="19"/>
          <w:lang w:val="en-US"/>
        </w:rPr>
      </w:pPr>
    </w:p>
    <w:p w14:paraId="3C786C76" w14:textId="77777777" w:rsidR="0003117F" w:rsidRPr="0088508C" w:rsidRDefault="00126019"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In addition</w:t>
      </w:r>
      <w:r w:rsidR="00E05AD3" w:rsidRPr="0088508C">
        <w:rPr>
          <w:rFonts w:ascii="Verdana" w:hAnsi="Verdana"/>
          <w:sz w:val="19"/>
          <w:szCs w:val="19"/>
          <w:lang w:val="en-US"/>
        </w:rPr>
        <w:t>, the ICJ is concerned that</w:t>
      </w:r>
      <w:r w:rsidR="00DA4758" w:rsidRPr="0088508C">
        <w:rPr>
          <w:rFonts w:ascii="Verdana" w:hAnsi="Verdana"/>
          <w:sz w:val="19"/>
          <w:szCs w:val="19"/>
          <w:lang w:val="en-US"/>
        </w:rPr>
        <w:t>, as currently formulated,</w:t>
      </w:r>
      <w:r w:rsidR="009571EE" w:rsidRPr="0088508C">
        <w:rPr>
          <w:rFonts w:ascii="Verdana" w:hAnsi="Verdana"/>
          <w:sz w:val="19"/>
          <w:szCs w:val="19"/>
          <w:lang w:val="en-US"/>
        </w:rPr>
        <w:t xml:space="preserve"> para. 15 may be relied on </w:t>
      </w:r>
      <w:r w:rsidR="00DA4758" w:rsidRPr="0088508C">
        <w:rPr>
          <w:rFonts w:ascii="Verdana" w:hAnsi="Verdana"/>
          <w:sz w:val="19"/>
          <w:szCs w:val="19"/>
          <w:lang w:val="en-US"/>
        </w:rPr>
        <w:t>as authority</w:t>
      </w:r>
      <w:r w:rsidR="004819BB" w:rsidRPr="0088508C">
        <w:rPr>
          <w:rFonts w:ascii="Verdana" w:hAnsi="Verdana"/>
          <w:sz w:val="19"/>
          <w:szCs w:val="19"/>
          <w:lang w:val="en-US"/>
        </w:rPr>
        <w:t>, on the one hand,</w:t>
      </w:r>
      <w:r w:rsidR="00DA4758" w:rsidRPr="0088508C">
        <w:rPr>
          <w:rFonts w:ascii="Verdana" w:hAnsi="Verdana"/>
          <w:sz w:val="19"/>
          <w:szCs w:val="19"/>
          <w:lang w:val="en-US"/>
        </w:rPr>
        <w:t xml:space="preserve"> </w:t>
      </w:r>
      <w:r w:rsidR="008F5E09" w:rsidRPr="0088508C">
        <w:rPr>
          <w:rFonts w:ascii="Verdana" w:hAnsi="Verdana"/>
          <w:sz w:val="19"/>
          <w:szCs w:val="19"/>
          <w:lang w:val="en-US"/>
        </w:rPr>
        <w:t>to justify</w:t>
      </w:r>
      <w:r w:rsidR="009571EE" w:rsidRPr="0088508C">
        <w:rPr>
          <w:rFonts w:ascii="Verdana" w:hAnsi="Verdana"/>
          <w:sz w:val="19"/>
          <w:szCs w:val="19"/>
          <w:lang w:val="en-US"/>
        </w:rPr>
        <w:t xml:space="preserve"> interment on the basis of status </w:t>
      </w:r>
      <w:r w:rsidR="00DA4758" w:rsidRPr="0088508C">
        <w:rPr>
          <w:rFonts w:ascii="Verdana" w:hAnsi="Verdana"/>
          <w:sz w:val="19"/>
          <w:szCs w:val="19"/>
          <w:lang w:val="en-US"/>
        </w:rPr>
        <w:t xml:space="preserve">alone </w:t>
      </w:r>
      <w:r w:rsidR="00CA4B7D" w:rsidRPr="0088508C">
        <w:rPr>
          <w:rFonts w:ascii="Verdana" w:hAnsi="Verdana"/>
          <w:sz w:val="19"/>
          <w:szCs w:val="19"/>
          <w:lang w:val="en-US"/>
        </w:rPr>
        <w:t xml:space="preserve">by selectively transposing some IAC rules </w:t>
      </w:r>
      <w:r w:rsidR="009571EE" w:rsidRPr="0088508C">
        <w:rPr>
          <w:rFonts w:ascii="Verdana" w:hAnsi="Verdana"/>
          <w:sz w:val="19"/>
          <w:szCs w:val="19"/>
          <w:lang w:val="en-US"/>
        </w:rPr>
        <w:t xml:space="preserve">featured in the </w:t>
      </w:r>
      <w:r w:rsidR="00DA4758" w:rsidRPr="0088508C">
        <w:rPr>
          <w:rFonts w:ascii="Verdana" w:hAnsi="Verdana"/>
          <w:sz w:val="19"/>
          <w:szCs w:val="19"/>
          <w:lang w:val="en-US"/>
        </w:rPr>
        <w:t xml:space="preserve">Third Geneva </w:t>
      </w:r>
      <w:r w:rsidR="009571EE" w:rsidRPr="0088508C">
        <w:rPr>
          <w:rFonts w:ascii="Verdana" w:hAnsi="Verdana"/>
          <w:bCs/>
          <w:sz w:val="19"/>
          <w:szCs w:val="19"/>
          <w:lang w:val="en-US"/>
        </w:rPr>
        <w:t xml:space="preserve">Convention </w:t>
      </w:r>
      <w:r w:rsidRPr="0088508C">
        <w:rPr>
          <w:rFonts w:ascii="Verdana" w:hAnsi="Verdana"/>
          <w:bCs/>
          <w:sz w:val="19"/>
          <w:szCs w:val="19"/>
          <w:lang w:val="en-US"/>
        </w:rPr>
        <w:t>of 1949</w:t>
      </w:r>
      <w:r w:rsidR="009571EE" w:rsidRPr="0088508C">
        <w:rPr>
          <w:rFonts w:ascii="Verdana" w:hAnsi="Verdana"/>
          <w:bCs/>
          <w:sz w:val="19"/>
          <w:szCs w:val="19"/>
          <w:lang w:val="en-US"/>
        </w:rPr>
        <w:t xml:space="preserve"> relative to the Treatment of Prisoners</w:t>
      </w:r>
      <w:r w:rsidR="00DA4758" w:rsidRPr="0088508C">
        <w:rPr>
          <w:rFonts w:ascii="Verdana" w:hAnsi="Verdana"/>
          <w:bCs/>
          <w:sz w:val="19"/>
          <w:szCs w:val="19"/>
          <w:lang w:val="en-US"/>
        </w:rPr>
        <w:t xml:space="preserve"> of War</w:t>
      </w:r>
      <w:r w:rsidR="009571EE" w:rsidRPr="0088508C">
        <w:rPr>
          <w:rFonts w:ascii="Verdana" w:hAnsi="Verdana"/>
          <w:bCs/>
          <w:sz w:val="19"/>
          <w:szCs w:val="19"/>
          <w:lang w:val="en-US"/>
        </w:rPr>
        <w:t xml:space="preserve"> </w:t>
      </w:r>
      <w:r w:rsidR="00CA4B7D" w:rsidRPr="0088508C">
        <w:rPr>
          <w:rFonts w:ascii="Verdana" w:hAnsi="Verdana"/>
          <w:sz w:val="19"/>
          <w:szCs w:val="19"/>
          <w:lang w:val="en-US"/>
        </w:rPr>
        <w:t>to NIAC</w:t>
      </w:r>
      <w:r w:rsidR="009571EE" w:rsidRPr="0088508C">
        <w:rPr>
          <w:rFonts w:ascii="Verdana" w:hAnsi="Verdana"/>
          <w:sz w:val="19"/>
          <w:szCs w:val="19"/>
          <w:lang w:val="en-US"/>
        </w:rPr>
        <w:t xml:space="preserve"> context</w:t>
      </w:r>
      <w:r w:rsidR="0004246A" w:rsidRPr="0088508C">
        <w:rPr>
          <w:rFonts w:ascii="Verdana" w:hAnsi="Verdana"/>
          <w:sz w:val="19"/>
          <w:szCs w:val="19"/>
          <w:lang w:val="en-US"/>
        </w:rPr>
        <w:t>s</w:t>
      </w:r>
      <w:r w:rsidR="004819BB" w:rsidRPr="0088508C">
        <w:rPr>
          <w:rFonts w:ascii="Verdana" w:hAnsi="Verdana"/>
          <w:sz w:val="19"/>
          <w:szCs w:val="19"/>
          <w:lang w:val="en-US"/>
        </w:rPr>
        <w:t>,</w:t>
      </w:r>
      <w:r w:rsidR="00D90B62" w:rsidRPr="0088508C">
        <w:rPr>
          <w:rFonts w:ascii="Verdana" w:hAnsi="Verdana"/>
          <w:sz w:val="19"/>
          <w:szCs w:val="19"/>
          <w:lang w:val="en-US"/>
        </w:rPr>
        <w:t xml:space="preserve"> </w:t>
      </w:r>
      <w:r w:rsidR="00520CC9" w:rsidRPr="0088508C">
        <w:rPr>
          <w:rFonts w:ascii="Verdana" w:hAnsi="Verdana"/>
          <w:sz w:val="19"/>
          <w:szCs w:val="19"/>
          <w:lang w:val="en-US"/>
        </w:rPr>
        <w:t>while</w:t>
      </w:r>
      <w:r w:rsidR="004819BB" w:rsidRPr="0088508C">
        <w:rPr>
          <w:rFonts w:ascii="Verdana" w:hAnsi="Verdana"/>
          <w:sz w:val="19"/>
          <w:szCs w:val="19"/>
          <w:lang w:val="en-US"/>
        </w:rPr>
        <w:t xml:space="preserve">, on the other, </w:t>
      </w:r>
      <w:r w:rsidR="00076BE5" w:rsidRPr="0088508C">
        <w:rPr>
          <w:rFonts w:ascii="Verdana" w:hAnsi="Verdana"/>
          <w:sz w:val="19"/>
          <w:szCs w:val="19"/>
          <w:lang w:val="en-US"/>
        </w:rPr>
        <w:t xml:space="preserve">simultaneously </w:t>
      </w:r>
      <w:r w:rsidR="00520CC9" w:rsidRPr="0088508C">
        <w:rPr>
          <w:rFonts w:ascii="Verdana" w:hAnsi="Verdana"/>
          <w:sz w:val="19"/>
          <w:szCs w:val="19"/>
          <w:lang w:val="en-US"/>
        </w:rPr>
        <w:t xml:space="preserve">dispensing with </w:t>
      </w:r>
      <w:r w:rsidR="00076BE5" w:rsidRPr="0088508C">
        <w:rPr>
          <w:rFonts w:ascii="Verdana" w:hAnsi="Verdana"/>
          <w:sz w:val="19"/>
          <w:szCs w:val="19"/>
          <w:lang w:val="en-US"/>
        </w:rPr>
        <w:t xml:space="preserve">those provisions in the </w:t>
      </w:r>
      <w:r w:rsidR="00A921A0" w:rsidRPr="0088508C">
        <w:rPr>
          <w:rFonts w:ascii="Verdana" w:hAnsi="Verdana"/>
          <w:sz w:val="19"/>
          <w:szCs w:val="19"/>
          <w:lang w:val="en-US"/>
        </w:rPr>
        <w:t>Third Geneva Convention</w:t>
      </w:r>
      <w:r w:rsidR="00076BE5" w:rsidRPr="0088508C">
        <w:rPr>
          <w:rFonts w:ascii="Verdana" w:hAnsi="Verdana"/>
          <w:sz w:val="19"/>
          <w:szCs w:val="19"/>
          <w:lang w:val="en-US"/>
        </w:rPr>
        <w:t xml:space="preserve"> p</w:t>
      </w:r>
      <w:r w:rsidR="00C96B2B" w:rsidRPr="0088508C">
        <w:rPr>
          <w:rFonts w:ascii="Verdana" w:hAnsi="Verdana"/>
          <w:sz w:val="19"/>
          <w:szCs w:val="19"/>
          <w:lang w:val="en-US"/>
        </w:rPr>
        <w:t>ertaining to the protection</w:t>
      </w:r>
      <w:r w:rsidR="00D90B62" w:rsidRPr="0088508C">
        <w:rPr>
          <w:rFonts w:ascii="Verdana" w:hAnsi="Verdana"/>
          <w:sz w:val="19"/>
          <w:szCs w:val="19"/>
          <w:lang w:val="en-US"/>
        </w:rPr>
        <w:t xml:space="preserve"> </w:t>
      </w:r>
      <w:r w:rsidR="00C96B2B" w:rsidRPr="0088508C">
        <w:rPr>
          <w:rFonts w:ascii="Verdana" w:hAnsi="Verdana"/>
          <w:sz w:val="19"/>
          <w:szCs w:val="19"/>
          <w:lang w:val="en-US"/>
        </w:rPr>
        <w:t xml:space="preserve">of </w:t>
      </w:r>
      <w:r w:rsidR="00D90B62" w:rsidRPr="0088508C">
        <w:rPr>
          <w:rFonts w:ascii="Verdana" w:hAnsi="Verdana"/>
          <w:sz w:val="19"/>
          <w:szCs w:val="19"/>
          <w:lang w:val="en-US"/>
        </w:rPr>
        <w:t>POWs</w:t>
      </w:r>
      <w:r w:rsidRPr="0088508C">
        <w:rPr>
          <w:rFonts w:ascii="Verdana" w:hAnsi="Verdana"/>
          <w:sz w:val="19"/>
          <w:szCs w:val="19"/>
          <w:lang w:val="en-US"/>
        </w:rPr>
        <w:t xml:space="preserve">. </w:t>
      </w:r>
      <w:r w:rsidR="008F5E09" w:rsidRPr="0088508C">
        <w:rPr>
          <w:rFonts w:ascii="Verdana" w:hAnsi="Verdana"/>
          <w:sz w:val="19"/>
          <w:szCs w:val="19"/>
          <w:lang w:val="en-US"/>
        </w:rPr>
        <w:t xml:space="preserve">In </w:t>
      </w:r>
      <w:r w:rsidR="00A95EC4" w:rsidRPr="0088508C">
        <w:rPr>
          <w:rFonts w:ascii="Verdana" w:hAnsi="Verdana"/>
          <w:sz w:val="19"/>
          <w:szCs w:val="19"/>
          <w:lang w:val="en-US"/>
        </w:rPr>
        <w:t xml:space="preserve">light of </w:t>
      </w:r>
      <w:r w:rsidR="008F5E09" w:rsidRPr="0088508C">
        <w:rPr>
          <w:rFonts w:ascii="Verdana" w:hAnsi="Verdana"/>
          <w:sz w:val="19"/>
          <w:szCs w:val="19"/>
          <w:lang w:val="en-US"/>
        </w:rPr>
        <w:t>this, moreover</w:t>
      </w:r>
      <w:r w:rsidR="0004246A" w:rsidRPr="0088508C">
        <w:rPr>
          <w:rFonts w:ascii="Verdana" w:hAnsi="Verdana"/>
          <w:sz w:val="19"/>
          <w:szCs w:val="19"/>
          <w:lang w:val="en-US"/>
        </w:rPr>
        <w:t xml:space="preserve">, the ICJ </w:t>
      </w:r>
      <w:r w:rsidR="00EA498C" w:rsidRPr="0088508C">
        <w:rPr>
          <w:rFonts w:ascii="Verdana" w:hAnsi="Verdana"/>
          <w:sz w:val="19"/>
          <w:szCs w:val="19"/>
          <w:lang w:val="en-US"/>
        </w:rPr>
        <w:t xml:space="preserve">fears that </w:t>
      </w:r>
      <w:r w:rsidR="0004246A" w:rsidRPr="0088508C">
        <w:rPr>
          <w:rFonts w:ascii="Verdana" w:hAnsi="Verdana"/>
          <w:sz w:val="19"/>
          <w:szCs w:val="19"/>
          <w:lang w:val="en-US"/>
        </w:rPr>
        <w:t>para. 15 may</w:t>
      </w:r>
      <w:r w:rsidRPr="0088508C">
        <w:rPr>
          <w:rFonts w:ascii="Verdana" w:hAnsi="Verdana"/>
          <w:sz w:val="19"/>
          <w:szCs w:val="19"/>
          <w:lang w:val="en-US"/>
        </w:rPr>
        <w:t xml:space="preserve"> inadvertently </w:t>
      </w:r>
      <w:r w:rsidR="0004246A" w:rsidRPr="0088508C">
        <w:rPr>
          <w:rFonts w:ascii="Verdana" w:hAnsi="Verdana"/>
          <w:sz w:val="19"/>
          <w:szCs w:val="19"/>
          <w:lang w:val="en-US"/>
        </w:rPr>
        <w:t xml:space="preserve">be used to justify </w:t>
      </w:r>
      <w:r w:rsidR="00BD55FC">
        <w:rPr>
          <w:rFonts w:ascii="Verdana" w:hAnsi="Verdana"/>
          <w:sz w:val="19"/>
          <w:szCs w:val="19"/>
          <w:lang w:val="en-US"/>
        </w:rPr>
        <w:t>internment</w:t>
      </w:r>
      <w:r w:rsidR="00EA498C" w:rsidRPr="0088508C">
        <w:rPr>
          <w:rFonts w:ascii="Verdana" w:hAnsi="Verdana"/>
          <w:sz w:val="19"/>
          <w:szCs w:val="19"/>
          <w:lang w:val="en-US"/>
        </w:rPr>
        <w:t xml:space="preserve"> </w:t>
      </w:r>
      <w:r w:rsidR="00732115">
        <w:rPr>
          <w:rFonts w:ascii="Verdana" w:hAnsi="Verdana"/>
          <w:sz w:val="19"/>
          <w:szCs w:val="19"/>
          <w:lang w:val="en-US"/>
        </w:rPr>
        <w:t xml:space="preserve">of individuals </w:t>
      </w:r>
      <w:r w:rsidR="00EA498C" w:rsidRPr="0088508C">
        <w:rPr>
          <w:rFonts w:ascii="Verdana" w:hAnsi="Verdana"/>
          <w:sz w:val="19"/>
          <w:szCs w:val="19"/>
          <w:lang w:val="en-US"/>
        </w:rPr>
        <w:t xml:space="preserve">on the basis of their “status” </w:t>
      </w:r>
      <w:r w:rsidR="009571EE" w:rsidRPr="0088508C">
        <w:rPr>
          <w:rFonts w:ascii="Verdana" w:hAnsi="Verdana"/>
          <w:sz w:val="19"/>
          <w:szCs w:val="19"/>
          <w:lang w:val="en-US"/>
        </w:rPr>
        <w:t xml:space="preserve">throughout the course of </w:t>
      </w:r>
      <w:r w:rsidR="00BD55FC">
        <w:rPr>
          <w:rFonts w:ascii="Verdana" w:hAnsi="Verdana"/>
          <w:sz w:val="19"/>
          <w:szCs w:val="19"/>
          <w:lang w:val="en-US"/>
        </w:rPr>
        <w:t>a</w:t>
      </w:r>
      <w:r w:rsidR="009571EE" w:rsidRPr="0088508C">
        <w:rPr>
          <w:rFonts w:ascii="Verdana" w:hAnsi="Verdana"/>
          <w:sz w:val="19"/>
          <w:szCs w:val="19"/>
          <w:lang w:val="en-US"/>
        </w:rPr>
        <w:t xml:space="preserve"> </w:t>
      </w:r>
      <w:r w:rsidR="00A95EC4" w:rsidRPr="0088508C">
        <w:rPr>
          <w:rFonts w:ascii="Verdana" w:hAnsi="Verdana"/>
          <w:sz w:val="19"/>
          <w:szCs w:val="19"/>
          <w:lang w:val="en-US"/>
        </w:rPr>
        <w:t>NIAC</w:t>
      </w:r>
      <w:r w:rsidR="009571EE" w:rsidRPr="0088508C">
        <w:rPr>
          <w:rFonts w:ascii="Verdana" w:hAnsi="Verdana"/>
          <w:sz w:val="19"/>
          <w:szCs w:val="19"/>
          <w:lang w:val="en-US"/>
        </w:rPr>
        <w:t xml:space="preserve">, </w:t>
      </w:r>
      <w:r w:rsidR="00EA498C" w:rsidRPr="0088508C">
        <w:rPr>
          <w:rFonts w:ascii="Verdana" w:hAnsi="Verdana"/>
          <w:sz w:val="19"/>
          <w:szCs w:val="19"/>
          <w:lang w:val="en-US"/>
        </w:rPr>
        <w:t xml:space="preserve">who </w:t>
      </w:r>
      <w:r w:rsidR="009571EE" w:rsidRPr="0088508C">
        <w:rPr>
          <w:rFonts w:ascii="Verdana" w:hAnsi="Verdana"/>
          <w:sz w:val="19"/>
          <w:szCs w:val="19"/>
          <w:lang w:val="en-US"/>
        </w:rPr>
        <w:t>may, nonetheless, be</w:t>
      </w:r>
      <w:r w:rsidR="008F5E09" w:rsidRPr="0088508C">
        <w:rPr>
          <w:rFonts w:ascii="Verdana" w:hAnsi="Verdana"/>
          <w:sz w:val="19"/>
          <w:szCs w:val="19"/>
          <w:lang w:val="en-US"/>
        </w:rPr>
        <w:t>come</w:t>
      </w:r>
      <w:r w:rsidR="009571EE" w:rsidRPr="0088508C">
        <w:rPr>
          <w:rFonts w:ascii="Verdana" w:hAnsi="Verdana"/>
          <w:sz w:val="19"/>
          <w:szCs w:val="19"/>
          <w:lang w:val="en-US"/>
        </w:rPr>
        <w:t xml:space="preserve"> </w:t>
      </w:r>
      <w:r w:rsidR="00EA498C" w:rsidRPr="0088508C">
        <w:rPr>
          <w:rFonts w:ascii="Verdana" w:hAnsi="Verdana"/>
          <w:sz w:val="19"/>
          <w:szCs w:val="19"/>
          <w:lang w:val="en-US"/>
        </w:rPr>
        <w:t xml:space="preserve">liable to </w:t>
      </w:r>
      <w:r w:rsidR="00732115">
        <w:rPr>
          <w:rFonts w:ascii="Verdana" w:hAnsi="Verdana"/>
          <w:sz w:val="19"/>
          <w:szCs w:val="19"/>
          <w:lang w:val="en-US"/>
        </w:rPr>
        <w:t xml:space="preserve">criminal </w:t>
      </w:r>
      <w:r w:rsidR="00EA498C" w:rsidRPr="0088508C">
        <w:rPr>
          <w:rFonts w:ascii="Verdana" w:hAnsi="Verdana"/>
          <w:sz w:val="19"/>
          <w:szCs w:val="19"/>
          <w:lang w:val="en-US"/>
        </w:rPr>
        <w:t>prosecutions at the end</w:t>
      </w:r>
      <w:r w:rsidR="00A95EC4" w:rsidRPr="0088508C">
        <w:rPr>
          <w:rFonts w:ascii="Verdana" w:hAnsi="Verdana"/>
          <w:sz w:val="19"/>
          <w:szCs w:val="19"/>
          <w:lang w:val="en-US"/>
        </w:rPr>
        <w:t xml:space="preserve"> of the hostilities</w:t>
      </w:r>
      <w:r w:rsidR="00CA4B7D" w:rsidRPr="0088508C">
        <w:rPr>
          <w:rFonts w:ascii="Verdana" w:hAnsi="Verdana"/>
          <w:sz w:val="19"/>
          <w:szCs w:val="19"/>
          <w:lang w:val="en-US"/>
        </w:rPr>
        <w:t>.</w:t>
      </w:r>
      <w:r w:rsidR="00213F40" w:rsidRPr="0088508C">
        <w:rPr>
          <w:rFonts w:ascii="Verdana" w:hAnsi="Verdana"/>
          <w:sz w:val="19"/>
          <w:szCs w:val="19"/>
          <w:lang w:val="en-US"/>
        </w:rPr>
        <w:t xml:space="preserve"> </w:t>
      </w:r>
    </w:p>
    <w:p w14:paraId="1F61782F" w14:textId="77777777" w:rsidR="00C354AE" w:rsidRDefault="00C354AE" w:rsidP="00C354AE">
      <w:pPr>
        <w:ind w:left="426"/>
        <w:jc w:val="both"/>
        <w:rPr>
          <w:rFonts w:ascii="Verdana" w:hAnsi="Verdana"/>
          <w:sz w:val="19"/>
          <w:szCs w:val="19"/>
          <w:lang w:val="en-US"/>
        </w:rPr>
      </w:pPr>
    </w:p>
    <w:p w14:paraId="72E5B498" w14:textId="3C1B869B" w:rsidR="0003117F" w:rsidRPr="00ED325D" w:rsidRDefault="00ED325D" w:rsidP="00C354AE">
      <w:pPr>
        <w:ind w:left="426"/>
        <w:jc w:val="both"/>
        <w:rPr>
          <w:rFonts w:ascii="Verdana" w:hAnsi="Verdana"/>
          <w:i/>
          <w:sz w:val="19"/>
          <w:szCs w:val="19"/>
          <w:u w:val="single"/>
          <w:lang w:val="en-US"/>
        </w:rPr>
      </w:pPr>
      <w:r w:rsidRPr="00ED325D">
        <w:rPr>
          <w:rFonts w:ascii="Verdana" w:hAnsi="Verdana"/>
          <w:i/>
          <w:sz w:val="19"/>
          <w:szCs w:val="19"/>
          <w:u w:val="single"/>
          <w:lang w:val="en-US"/>
        </w:rPr>
        <w:t>R</w:t>
      </w:r>
      <w:r w:rsidR="00C354AE" w:rsidRPr="00ED325D">
        <w:rPr>
          <w:rFonts w:ascii="Verdana" w:hAnsi="Verdana"/>
          <w:i/>
          <w:sz w:val="19"/>
          <w:szCs w:val="19"/>
          <w:u w:val="single"/>
          <w:lang w:val="en-US"/>
        </w:rPr>
        <w:t>ecommendations about para. 15 of the present draft</w:t>
      </w:r>
    </w:p>
    <w:p w14:paraId="18C5C210" w14:textId="77777777" w:rsidR="002319F9" w:rsidRPr="00C354AE" w:rsidRDefault="002319F9" w:rsidP="00C354AE">
      <w:pPr>
        <w:ind w:left="426"/>
        <w:jc w:val="both"/>
        <w:rPr>
          <w:rFonts w:ascii="Verdana" w:hAnsi="Verdana"/>
          <w:i/>
          <w:sz w:val="19"/>
          <w:szCs w:val="19"/>
          <w:lang w:val="en-US"/>
        </w:rPr>
      </w:pPr>
    </w:p>
    <w:p w14:paraId="714E213A" w14:textId="77777777" w:rsidR="00AC3816" w:rsidRDefault="00A570BD" w:rsidP="0088508C">
      <w:pPr>
        <w:pStyle w:val="ListParagraph"/>
        <w:numPr>
          <w:ilvl w:val="0"/>
          <w:numId w:val="4"/>
        </w:numPr>
        <w:ind w:left="426"/>
        <w:jc w:val="both"/>
        <w:rPr>
          <w:rFonts w:ascii="Verdana" w:hAnsi="Verdana"/>
          <w:sz w:val="19"/>
          <w:szCs w:val="19"/>
          <w:lang w:val="en-US"/>
        </w:rPr>
      </w:pPr>
      <w:r w:rsidRPr="00C354AE">
        <w:rPr>
          <w:rFonts w:ascii="Verdana" w:hAnsi="Verdana"/>
          <w:sz w:val="19"/>
          <w:szCs w:val="19"/>
        </w:rPr>
        <w:t xml:space="preserve">In place of </w:t>
      </w:r>
      <w:r w:rsidR="0044625E" w:rsidRPr="00C354AE">
        <w:rPr>
          <w:rFonts w:ascii="Verdana" w:hAnsi="Verdana"/>
          <w:sz w:val="19"/>
          <w:szCs w:val="19"/>
        </w:rPr>
        <w:t xml:space="preserve">a reference </w:t>
      </w:r>
      <w:r w:rsidR="0044625E" w:rsidRPr="00C354AE">
        <w:rPr>
          <w:rFonts w:ascii="Verdana" w:hAnsi="Verdana"/>
          <w:sz w:val="19"/>
          <w:szCs w:val="19"/>
          <w:lang w:val="en-US"/>
        </w:rPr>
        <w:t>to “</w:t>
      </w:r>
      <w:r w:rsidR="0044625E" w:rsidRPr="00C354AE">
        <w:rPr>
          <w:rFonts w:ascii="Verdana" w:hAnsi="Verdana"/>
          <w:sz w:val="19"/>
          <w:szCs w:val="19"/>
        </w:rPr>
        <w:t>a present, direct and imperative threat”</w:t>
      </w:r>
      <w:r w:rsidRPr="00C354AE">
        <w:rPr>
          <w:rFonts w:ascii="Verdana" w:hAnsi="Verdana"/>
          <w:sz w:val="19"/>
          <w:szCs w:val="19"/>
        </w:rPr>
        <w:t xml:space="preserve"> in para</w:t>
      </w:r>
      <w:r w:rsidR="00E834FE" w:rsidRPr="00C354AE">
        <w:rPr>
          <w:rFonts w:ascii="Verdana" w:hAnsi="Verdana"/>
          <w:sz w:val="19"/>
          <w:szCs w:val="19"/>
        </w:rPr>
        <w:t>. 15</w:t>
      </w:r>
      <w:r w:rsidRPr="00C354AE">
        <w:rPr>
          <w:rFonts w:ascii="Verdana" w:hAnsi="Verdana"/>
          <w:sz w:val="19"/>
          <w:szCs w:val="19"/>
        </w:rPr>
        <w:t xml:space="preserve">, the ICJ recommends that </w:t>
      </w:r>
      <w:r w:rsidRPr="00C354AE">
        <w:rPr>
          <w:rFonts w:ascii="Verdana" w:hAnsi="Verdana"/>
          <w:sz w:val="19"/>
          <w:szCs w:val="19"/>
          <w:lang w:val="en-US"/>
        </w:rPr>
        <w:t xml:space="preserve">the present draft be amended to reflect the requirement that “security detention” may only take place pursuant to lawful derogating measures and only to the extent strictly required by the exigencies of the situation. </w:t>
      </w:r>
      <w:r w:rsidRPr="00A570BD">
        <w:rPr>
          <w:rFonts w:ascii="Verdana" w:hAnsi="Verdana"/>
          <w:sz w:val="19"/>
          <w:szCs w:val="19"/>
          <w:lang w:val="en-US"/>
        </w:rPr>
        <w:t>Such an amendment would be consistent with the first part of the last sentence of para. 65 of the present draft, which states that “</w:t>
      </w:r>
      <w:r w:rsidRPr="00A570BD">
        <w:rPr>
          <w:rFonts w:ascii="Verdana" w:hAnsi="Verdana"/>
          <w:sz w:val="19"/>
          <w:szCs w:val="19"/>
        </w:rPr>
        <w:t>Outside that context, the requirements of strict necessity and proportionality constrain any derogating measures involving security detention, which must be limited in duration and accompanied by procedures to prevent arbitrary application”</w:t>
      </w:r>
      <w:r w:rsidRPr="00A570BD">
        <w:rPr>
          <w:rFonts w:ascii="Verdana" w:hAnsi="Verdana"/>
          <w:sz w:val="19"/>
          <w:szCs w:val="19"/>
          <w:lang w:val="en-US"/>
        </w:rPr>
        <w:t xml:space="preserve">. </w:t>
      </w:r>
      <w:r w:rsidR="00AC3816">
        <w:rPr>
          <w:rFonts w:ascii="Verdana" w:hAnsi="Verdana"/>
          <w:sz w:val="19"/>
          <w:szCs w:val="19"/>
          <w:lang w:val="en-US"/>
        </w:rPr>
        <w:t xml:space="preserve">     </w:t>
      </w:r>
    </w:p>
    <w:p w14:paraId="5D5DB191" w14:textId="77777777" w:rsidR="00AC3816" w:rsidRPr="00AC3816" w:rsidRDefault="00AC3816" w:rsidP="00AC3816">
      <w:pPr>
        <w:jc w:val="both"/>
        <w:rPr>
          <w:rFonts w:ascii="Verdana" w:hAnsi="Verdana"/>
          <w:sz w:val="19"/>
          <w:szCs w:val="19"/>
        </w:rPr>
      </w:pPr>
    </w:p>
    <w:p w14:paraId="6E71FF7C" w14:textId="77777777" w:rsidR="00A570BD" w:rsidRDefault="00A570BD" w:rsidP="0088508C">
      <w:pPr>
        <w:pStyle w:val="ListParagraph"/>
        <w:numPr>
          <w:ilvl w:val="0"/>
          <w:numId w:val="4"/>
        </w:numPr>
        <w:ind w:left="426"/>
        <w:jc w:val="both"/>
        <w:rPr>
          <w:rFonts w:ascii="Verdana" w:hAnsi="Verdana"/>
          <w:sz w:val="19"/>
          <w:szCs w:val="19"/>
          <w:lang w:val="en-US"/>
        </w:rPr>
      </w:pPr>
      <w:r w:rsidRPr="00A570BD">
        <w:rPr>
          <w:rFonts w:ascii="Verdana" w:hAnsi="Verdana"/>
          <w:sz w:val="19"/>
          <w:szCs w:val="19"/>
        </w:rPr>
        <w:t xml:space="preserve">Furthermore the ICJ recommends </w:t>
      </w:r>
      <w:r w:rsidRPr="00A570BD">
        <w:rPr>
          <w:rFonts w:ascii="Verdana" w:hAnsi="Verdana"/>
          <w:sz w:val="19"/>
          <w:szCs w:val="19"/>
          <w:lang w:val="en-US"/>
        </w:rPr>
        <w:t>that the General Comment should make clear that administrative detention on the basis of status alone, including membership</w:t>
      </w:r>
      <w:r w:rsidR="00912B33">
        <w:rPr>
          <w:rFonts w:ascii="Verdana" w:hAnsi="Verdana"/>
          <w:sz w:val="19"/>
          <w:szCs w:val="19"/>
          <w:lang w:val="en-US"/>
        </w:rPr>
        <w:t xml:space="preserve"> </w:t>
      </w:r>
      <w:r w:rsidRPr="00A570BD">
        <w:rPr>
          <w:rFonts w:ascii="Verdana" w:hAnsi="Verdana"/>
          <w:sz w:val="19"/>
          <w:szCs w:val="19"/>
          <w:lang w:val="en-US"/>
        </w:rPr>
        <w:t>of an organization that is illegal under domestic law, should be addressed through the criminal law and in no way could constitute a lawful ground for internment under the Covenant.</w:t>
      </w:r>
    </w:p>
    <w:p w14:paraId="266322E6" w14:textId="77777777" w:rsidR="00A570BD" w:rsidRPr="00A570BD" w:rsidRDefault="00A570BD" w:rsidP="00A570BD">
      <w:pPr>
        <w:jc w:val="both"/>
        <w:rPr>
          <w:rFonts w:ascii="Verdana" w:hAnsi="Verdana"/>
          <w:sz w:val="19"/>
          <w:szCs w:val="19"/>
          <w:lang w:val="en-US"/>
        </w:rPr>
      </w:pPr>
    </w:p>
    <w:p w14:paraId="443E85EE" w14:textId="77777777" w:rsidR="00547187" w:rsidRPr="0088508C" w:rsidRDefault="00C65488"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The General Comment should emphasize that while IHL governing NIAC contains no provisions in respect of the procedural rights of those subject to “security detention”, under the Covenant any measure derogating from the right to liberty and security of person must be “strictly required by the exigencies of the situation” of a public emergen</w:t>
      </w:r>
      <w:r w:rsidR="002C0246" w:rsidRPr="0088508C">
        <w:rPr>
          <w:rFonts w:ascii="Verdana" w:hAnsi="Verdana"/>
          <w:sz w:val="19"/>
          <w:szCs w:val="19"/>
          <w:lang w:val="en-US"/>
        </w:rPr>
        <w:t>cy necessitating the derogation,</w:t>
      </w:r>
      <w:r w:rsidRPr="0088508C">
        <w:rPr>
          <w:rFonts w:ascii="Verdana" w:hAnsi="Verdana"/>
          <w:sz w:val="19"/>
          <w:szCs w:val="19"/>
          <w:lang w:val="en-US"/>
        </w:rPr>
        <w:t xml:space="preserve"> which may be taken only to the extent required, and </w:t>
      </w:r>
      <w:r w:rsidR="002C0246" w:rsidRPr="0088508C">
        <w:rPr>
          <w:rFonts w:ascii="Verdana" w:hAnsi="Verdana"/>
          <w:sz w:val="19"/>
          <w:szCs w:val="19"/>
          <w:lang w:val="en-US"/>
        </w:rPr>
        <w:t xml:space="preserve">which must comply </w:t>
      </w:r>
      <w:r w:rsidRPr="0088508C">
        <w:rPr>
          <w:rFonts w:ascii="Verdana" w:hAnsi="Verdana"/>
          <w:sz w:val="19"/>
          <w:szCs w:val="19"/>
          <w:lang w:val="en-US"/>
        </w:rPr>
        <w:t>with the principle of proportionality</w:t>
      </w:r>
      <w:r w:rsidR="00064E4F">
        <w:rPr>
          <w:rFonts w:ascii="Verdana" w:hAnsi="Verdana"/>
          <w:sz w:val="19"/>
          <w:szCs w:val="19"/>
          <w:lang w:val="en-US"/>
        </w:rPr>
        <w:t xml:space="preserve"> and the prohibition of discrimination</w:t>
      </w:r>
      <w:r w:rsidRPr="0088508C">
        <w:rPr>
          <w:rFonts w:ascii="Verdana" w:hAnsi="Verdana"/>
          <w:sz w:val="19"/>
          <w:szCs w:val="19"/>
          <w:lang w:val="en-US"/>
        </w:rPr>
        <w:t>.</w:t>
      </w:r>
      <w:r w:rsidR="00056F60" w:rsidRPr="0088508C">
        <w:rPr>
          <w:rFonts w:ascii="Verdana" w:hAnsi="Verdana"/>
          <w:sz w:val="19"/>
          <w:szCs w:val="19"/>
          <w:lang w:val="en-US"/>
        </w:rPr>
        <w:t xml:space="preserve"> </w:t>
      </w:r>
      <w:r w:rsidR="006A43E0" w:rsidRPr="0088508C">
        <w:rPr>
          <w:rFonts w:ascii="Verdana" w:hAnsi="Verdana"/>
          <w:sz w:val="19"/>
          <w:szCs w:val="19"/>
          <w:lang w:val="en-US"/>
        </w:rPr>
        <w:t>Further, the General Comment should also make clear that administrative detention must not be punitive but preventative, and that detention conditions must reflect its non-punitive nature.</w:t>
      </w:r>
      <w:r w:rsidR="00FD7307" w:rsidRPr="0088508C">
        <w:rPr>
          <w:rStyle w:val="FootnoteReference"/>
          <w:rFonts w:ascii="Verdana" w:hAnsi="Verdana"/>
          <w:sz w:val="19"/>
          <w:szCs w:val="19"/>
          <w:lang w:val="en-US"/>
        </w:rPr>
        <w:footnoteReference w:id="10"/>
      </w:r>
      <w:r w:rsidR="006A43E0" w:rsidRPr="0088508C">
        <w:rPr>
          <w:rFonts w:ascii="Verdana" w:hAnsi="Verdana"/>
          <w:sz w:val="19"/>
          <w:szCs w:val="19"/>
          <w:lang w:val="en-US"/>
        </w:rPr>
        <w:t xml:space="preserve"> </w:t>
      </w:r>
    </w:p>
    <w:p w14:paraId="2DA4D407" w14:textId="77777777" w:rsidR="00547187" w:rsidRPr="0088508C" w:rsidRDefault="00547187" w:rsidP="0088508C">
      <w:pPr>
        <w:jc w:val="both"/>
        <w:rPr>
          <w:rFonts w:ascii="Verdana" w:hAnsi="Verdana"/>
          <w:sz w:val="19"/>
          <w:szCs w:val="19"/>
          <w:lang w:val="en-US"/>
        </w:rPr>
      </w:pPr>
    </w:p>
    <w:p w14:paraId="2766DED8" w14:textId="77777777" w:rsidR="00547187" w:rsidRDefault="00F67619" w:rsidP="0088508C">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The ICJ urges the Committee to strengthen the present draft by explicitly asserting that administrative or “preventive” security detention is, as a general matter, anathema to respect for human rights, the principle of legality, the rule of law and the separation of powers. In light of this, the organization repeats its previous submission to the Committee that the General Comment should affirm that administrative or other “preventive” detention on security grounds (e.g. interment) where there is no intention to bring criminal charges within a reasonable time is in principle not capable of justification in the absence of a valid derogation in a declared state of emergency.</w:t>
      </w:r>
      <w:r w:rsidRPr="0088508C">
        <w:rPr>
          <w:rFonts w:ascii="Verdana" w:hAnsi="Verdana"/>
          <w:sz w:val="19"/>
          <w:szCs w:val="19"/>
          <w:vertAlign w:val="superscript"/>
          <w:lang w:val="en-US"/>
        </w:rPr>
        <w:footnoteReference w:id="11"/>
      </w:r>
    </w:p>
    <w:p w14:paraId="02A61879" w14:textId="77777777" w:rsidR="00F16BFF" w:rsidRDefault="00F16BFF" w:rsidP="00F16BFF">
      <w:pPr>
        <w:ind w:left="426"/>
        <w:jc w:val="both"/>
        <w:rPr>
          <w:rFonts w:ascii="Verdana" w:hAnsi="Verdana"/>
          <w:sz w:val="19"/>
          <w:szCs w:val="19"/>
          <w:lang w:val="en-US"/>
        </w:rPr>
      </w:pPr>
    </w:p>
    <w:p w14:paraId="4BD5C234" w14:textId="72C391BF" w:rsidR="00F16BFF" w:rsidRPr="00F16BFF" w:rsidRDefault="00F16BFF" w:rsidP="00F16BFF">
      <w:pPr>
        <w:ind w:left="426"/>
        <w:jc w:val="both"/>
        <w:rPr>
          <w:rFonts w:ascii="Verdana" w:hAnsi="Verdana"/>
          <w:i/>
          <w:sz w:val="19"/>
          <w:szCs w:val="19"/>
          <w:u w:val="single"/>
          <w:lang w:val="en-US"/>
        </w:rPr>
      </w:pPr>
      <w:r w:rsidRPr="00F16BFF">
        <w:rPr>
          <w:rFonts w:ascii="Verdana" w:hAnsi="Verdana"/>
          <w:i/>
          <w:sz w:val="19"/>
          <w:szCs w:val="19"/>
          <w:u w:val="single"/>
          <w:lang w:val="en-US"/>
        </w:rPr>
        <w:t xml:space="preserve">Further concerns about para. 15 of the present draft and recommendations </w:t>
      </w:r>
      <w:r w:rsidR="005F2DF9">
        <w:rPr>
          <w:rFonts w:ascii="Verdana" w:hAnsi="Verdana"/>
          <w:i/>
          <w:sz w:val="19"/>
          <w:szCs w:val="19"/>
          <w:u w:val="single"/>
          <w:lang w:val="en-US"/>
        </w:rPr>
        <w:t>addressing</w:t>
      </w:r>
      <w:r w:rsidRPr="00F16BFF">
        <w:rPr>
          <w:rFonts w:ascii="Verdana" w:hAnsi="Verdana"/>
          <w:i/>
          <w:sz w:val="19"/>
          <w:szCs w:val="19"/>
          <w:u w:val="single"/>
          <w:lang w:val="en-US"/>
        </w:rPr>
        <w:t xml:space="preserve"> them</w:t>
      </w:r>
    </w:p>
    <w:p w14:paraId="62882878" w14:textId="77777777" w:rsidR="00F16BFF" w:rsidRPr="00F16BFF" w:rsidRDefault="00F16BFF" w:rsidP="00F16BFF">
      <w:pPr>
        <w:ind w:left="426"/>
        <w:jc w:val="both"/>
        <w:rPr>
          <w:rFonts w:ascii="Verdana" w:hAnsi="Verdana"/>
          <w:sz w:val="19"/>
          <w:szCs w:val="19"/>
          <w:lang w:val="en-US"/>
        </w:rPr>
      </w:pPr>
    </w:p>
    <w:p w14:paraId="733890D9" w14:textId="77777777" w:rsidR="00F02F33" w:rsidRDefault="00BC279D" w:rsidP="0078162B">
      <w:pPr>
        <w:pStyle w:val="ListParagraph"/>
        <w:numPr>
          <w:ilvl w:val="0"/>
          <w:numId w:val="4"/>
        </w:numPr>
        <w:ind w:left="426"/>
        <w:jc w:val="both"/>
        <w:rPr>
          <w:rFonts w:ascii="Verdana" w:hAnsi="Verdana"/>
          <w:sz w:val="19"/>
          <w:szCs w:val="19"/>
        </w:rPr>
      </w:pPr>
      <w:r>
        <w:rPr>
          <w:rFonts w:ascii="Verdana" w:hAnsi="Verdana"/>
          <w:sz w:val="19"/>
          <w:szCs w:val="19"/>
          <w:lang w:val="en-US"/>
        </w:rPr>
        <w:t xml:space="preserve">In addition to the concerns noted above in connection with para. 15 of the present draft, the ICJ is also </w:t>
      </w:r>
      <w:r w:rsidR="0078162B" w:rsidRPr="0088508C">
        <w:rPr>
          <w:rFonts w:ascii="Verdana" w:hAnsi="Verdana"/>
          <w:sz w:val="19"/>
          <w:szCs w:val="19"/>
          <w:lang w:val="en-US"/>
        </w:rPr>
        <w:t xml:space="preserve">concerned that para. 15 provides too limited a formulation of the detainee’s right to disclosure of </w:t>
      </w:r>
      <w:r w:rsidR="0078162B" w:rsidRPr="0088508C">
        <w:rPr>
          <w:rFonts w:ascii="Verdana" w:hAnsi="Verdana"/>
          <w:sz w:val="19"/>
          <w:szCs w:val="19"/>
        </w:rPr>
        <w:t>the evidence on which the decision to detain is taken. Such limited formulation may unwittingly render the effectiveness of the review illusory, as detainees and their representatives would not be able to challenge the reasons for detention effectively. The ICJ considers that limiting disclosure would be inconsistent with the principle of equality of arms.</w:t>
      </w:r>
      <w:r w:rsidR="0078162B" w:rsidRPr="0088508C">
        <w:rPr>
          <w:rStyle w:val="FootnoteReference"/>
          <w:rFonts w:ascii="Verdana" w:hAnsi="Verdana"/>
          <w:sz w:val="19"/>
          <w:szCs w:val="19"/>
        </w:rPr>
        <w:footnoteReference w:id="12"/>
      </w:r>
      <w:r w:rsidR="0078162B" w:rsidRPr="0088508C">
        <w:rPr>
          <w:rFonts w:ascii="Verdana" w:hAnsi="Verdana"/>
          <w:sz w:val="19"/>
          <w:szCs w:val="19"/>
        </w:rPr>
        <w:t xml:space="preserve"> </w:t>
      </w:r>
    </w:p>
    <w:p w14:paraId="66874695" w14:textId="77777777" w:rsidR="00F02F33" w:rsidRDefault="00F02F33" w:rsidP="00F02F33">
      <w:pPr>
        <w:pStyle w:val="ListParagraph"/>
        <w:ind w:left="426"/>
        <w:jc w:val="both"/>
        <w:rPr>
          <w:rFonts w:ascii="Verdana" w:hAnsi="Verdana"/>
          <w:sz w:val="19"/>
          <w:szCs w:val="19"/>
        </w:rPr>
      </w:pPr>
    </w:p>
    <w:p w14:paraId="131CAF42" w14:textId="5C19D82E" w:rsidR="0078162B" w:rsidRPr="000036CC" w:rsidRDefault="0078162B" w:rsidP="0078162B">
      <w:pPr>
        <w:pStyle w:val="ListParagraph"/>
        <w:numPr>
          <w:ilvl w:val="0"/>
          <w:numId w:val="4"/>
        </w:numPr>
        <w:ind w:left="426"/>
        <w:jc w:val="both"/>
        <w:rPr>
          <w:rFonts w:ascii="Verdana" w:hAnsi="Verdana"/>
          <w:sz w:val="19"/>
          <w:szCs w:val="19"/>
        </w:rPr>
      </w:pPr>
      <w:r w:rsidRPr="0088508C">
        <w:rPr>
          <w:rFonts w:ascii="Verdana" w:hAnsi="Verdana"/>
          <w:sz w:val="19"/>
          <w:szCs w:val="19"/>
        </w:rPr>
        <w:t>The organization recommends that the General Comment should instead make clear that any limitation on disclosure of the evidence on which the decision to detain is taken, including on the grounds of national security, should be decided by court, the latter preferably being a different one from that which would hear the challenge to detention and/or review its reasons. Further, any limitation on disclosure must be counterbalanced by safeguards to ensure that detainees can challenge the lawfulness of their detention effectively by being provided with sufficient evidence of its reasons.</w:t>
      </w:r>
      <w:r w:rsidRPr="0088508C">
        <w:rPr>
          <w:rStyle w:val="FootnoteReference"/>
          <w:rFonts w:ascii="Verdana" w:hAnsi="Verdana"/>
          <w:sz w:val="19"/>
          <w:szCs w:val="19"/>
        </w:rPr>
        <w:footnoteReference w:id="13"/>
      </w:r>
      <w:r w:rsidRPr="0088508C">
        <w:rPr>
          <w:rFonts w:ascii="Verdana" w:hAnsi="Verdana"/>
          <w:sz w:val="19"/>
          <w:szCs w:val="19"/>
        </w:rPr>
        <w:t xml:space="preserve"> In this connection, the ICJ draws the Committee’s attention to the fact that </w:t>
      </w:r>
      <w:r w:rsidRPr="0088508C">
        <w:rPr>
          <w:rFonts w:ascii="Verdana" w:hAnsi="Verdana"/>
          <w:sz w:val="19"/>
          <w:szCs w:val="19"/>
          <w:lang w:val="en-US"/>
        </w:rPr>
        <w:t xml:space="preserve">when reviewing a case in which information had been withheld from the detainee and his lawyer, purportedly to prevent the suspect from tampering with evidence, the European Court clarified that </w:t>
      </w:r>
      <w:r w:rsidRPr="0088508C">
        <w:rPr>
          <w:rFonts w:ascii="Verdana" w:hAnsi="Verdana"/>
          <w:sz w:val="19"/>
          <w:szCs w:val="19"/>
          <w:u w:val="single"/>
          <w:lang w:val="en-US"/>
        </w:rPr>
        <w:t>information essential for assessing the lawfulness of detention should be made available in an appropriate manner to the suspect’s lawyer</w:t>
      </w:r>
      <w:r w:rsidRPr="0088508C">
        <w:rPr>
          <w:rFonts w:ascii="Verdana" w:hAnsi="Verdana"/>
          <w:sz w:val="19"/>
          <w:szCs w:val="19"/>
          <w:lang w:val="en-US"/>
        </w:rPr>
        <w:t>.</w:t>
      </w:r>
      <w:r w:rsidRPr="0088508C">
        <w:rPr>
          <w:rStyle w:val="FootnoteReference"/>
          <w:rFonts w:ascii="Verdana" w:hAnsi="Verdana"/>
          <w:sz w:val="19"/>
          <w:szCs w:val="19"/>
          <w:lang w:val="en-US"/>
        </w:rPr>
        <w:footnoteReference w:id="14"/>
      </w:r>
      <w:r w:rsidRPr="0088508C">
        <w:rPr>
          <w:rFonts w:ascii="Verdana" w:hAnsi="Verdana"/>
          <w:sz w:val="19"/>
          <w:szCs w:val="19"/>
          <w:lang w:val="en-US"/>
        </w:rPr>
        <w:t xml:space="preserve"> The organization considers that the current formulation in para. 15 falls short of this disclosure standard, including because of its reference to “the essence of the evidence” </w:t>
      </w:r>
      <w:r>
        <w:rPr>
          <w:rFonts w:ascii="Verdana" w:hAnsi="Verdana"/>
          <w:sz w:val="19"/>
          <w:szCs w:val="19"/>
          <w:lang w:val="en-US"/>
        </w:rPr>
        <w:t>rather than,</w:t>
      </w:r>
      <w:r w:rsidRPr="0088508C">
        <w:rPr>
          <w:rFonts w:ascii="Verdana" w:hAnsi="Verdana"/>
          <w:sz w:val="19"/>
          <w:szCs w:val="19"/>
          <w:lang w:val="en-US"/>
        </w:rPr>
        <w:t xml:space="preserve"> for instance, </w:t>
      </w:r>
      <w:r>
        <w:rPr>
          <w:rFonts w:ascii="Verdana" w:hAnsi="Verdana"/>
          <w:sz w:val="19"/>
          <w:szCs w:val="19"/>
          <w:lang w:val="en-US"/>
        </w:rPr>
        <w:t>calling for disclosure</w:t>
      </w:r>
      <w:r w:rsidRPr="0088508C">
        <w:rPr>
          <w:rFonts w:ascii="Verdana" w:hAnsi="Verdana"/>
          <w:sz w:val="19"/>
          <w:szCs w:val="19"/>
          <w:lang w:val="en-US"/>
        </w:rPr>
        <w:t xml:space="preserve"> </w:t>
      </w:r>
      <w:r>
        <w:rPr>
          <w:rFonts w:ascii="Verdana" w:hAnsi="Verdana"/>
          <w:sz w:val="19"/>
          <w:szCs w:val="19"/>
          <w:lang w:val="en-US"/>
        </w:rPr>
        <w:t xml:space="preserve">of </w:t>
      </w:r>
      <w:r w:rsidRPr="00C23740">
        <w:rPr>
          <w:rFonts w:ascii="Verdana" w:hAnsi="Verdana"/>
          <w:b/>
          <w:sz w:val="19"/>
          <w:szCs w:val="19"/>
          <w:lang w:val="en-US"/>
        </w:rPr>
        <w:t xml:space="preserve">essential </w:t>
      </w:r>
      <w:r w:rsidRPr="0088508C">
        <w:rPr>
          <w:rFonts w:ascii="Verdana" w:hAnsi="Verdana"/>
          <w:sz w:val="19"/>
          <w:szCs w:val="19"/>
          <w:lang w:val="en-US"/>
        </w:rPr>
        <w:t>details.</w:t>
      </w:r>
    </w:p>
    <w:p w14:paraId="4E7C280E" w14:textId="77777777" w:rsidR="0078162B" w:rsidRPr="000036CC" w:rsidRDefault="0078162B" w:rsidP="0078162B">
      <w:pPr>
        <w:pStyle w:val="ListParagraph"/>
        <w:ind w:left="426"/>
        <w:jc w:val="both"/>
        <w:rPr>
          <w:rFonts w:ascii="Verdana" w:hAnsi="Verdana"/>
          <w:sz w:val="19"/>
          <w:szCs w:val="19"/>
        </w:rPr>
      </w:pPr>
    </w:p>
    <w:p w14:paraId="3C47BC6C" w14:textId="77777777" w:rsidR="00280194" w:rsidRDefault="0078162B" w:rsidP="0078162B">
      <w:pPr>
        <w:pStyle w:val="ListParagraph"/>
        <w:numPr>
          <w:ilvl w:val="0"/>
          <w:numId w:val="4"/>
        </w:numPr>
        <w:ind w:left="426"/>
        <w:jc w:val="both"/>
        <w:rPr>
          <w:rFonts w:ascii="Verdana" w:hAnsi="Verdana"/>
          <w:sz w:val="19"/>
          <w:szCs w:val="19"/>
          <w:lang w:val="en-US"/>
        </w:rPr>
      </w:pPr>
      <w:r>
        <w:rPr>
          <w:rFonts w:ascii="Verdana" w:hAnsi="Verdana"/>
          <w:sz w:val="19"/>
          <w:szCs w:val="19"/>
          <w:lang w:val="en-US"/>
        </w:rPr>
        <w:t xml:space="preserve">The ICJ is also concerned that footnote </w:t>
      </w:r>
      <w:r w:rsidRPr="0088508C">
        <w:rPr>
          <w:rFonts w:ascii="Verdana" w:hAnsi="Verdana"/>
          <w:sz w:val="19"/>
          <w:szCs w:val="19"/>
          <w:lang w:val="en-US"/>
        </w:rPr>
        <w:t>48 in para. 15 of the present draft fails to reflect the fact that immigration detention powers have been used to intern individuals indefinitely, without charge or trial, on the basis that they were said to present a “national security threat”.</w:t>
      </w:r>
      <w:r w:rsidRPr="0088508C">
        <w:rPr>
          <w:rStyle w:val="FootnoteReference"/>
          <w:rFonts w:ascii="Verdana" w:hAnsi="Verdana"/>
          <w:sz w:val="19"/>
          <w:szCs w:val="19"/>
          <w:lang w:val="en-US"/>
        </w:rPr>
        <w:footnoteReference w:id="15"/>
      </w:r>
      <w:r w:rsidRPr="0088508C">
        <w:rPr>
          <w:rFonts w:ascii="Verdana" w:hAnsi="Verdana"/>
          <w:sz w:val="19"/>
          <w:szCs w:val="19"/>
          <w:lang w:val="en-US"/>
        </w:rPr>
        <w:t xml:space="preserve"> Indeed, para. 18 of the present draft acknowledges this eventuality and refers to immigration detention for purposes other than immigration control in connection with the detention of asylum-seekers on the basis of the existence of a </w:t>
      </w:r>
      <w:r w:rsidRPr="0088508C">
        <w:rPr>
          <w:rFonts w:ascii="Verdana" w:hAnsi="Verdana"/>
          <w:sz w:val="19"/>
          <w:szCs w:val="19"/>
          <w:lang w:val="en-CA"/>
        </w:rPr>
        <w:t>“risk of acts against national security”.</w:t>
      </w:r>
      <w:r w:rsidRPr="0088508C">
        <w:rPr>
          <w:rFonts w:ascii="Verdana" w:hAnsi="Verdana"/>
          <w:sz w:val="19"/>
          <w:szCs w:val="19"/>
          <w:lang w:val="en-US"/>
        </w:rPr>
        <w:t xml:space="preserve"> Further, the use of mental health legislation for the purposes of incarcerating political dissidents, activists, lawyers, etc. in psychiatric institutions is well documented in various countries.</w:t>
      </w:r>
      <w:r w:rsidRPr="0088508C">
        <w:rPr>
          <w:rStyle w:val="FootnoteReference"/>
          <w:rFonts w:ascii="Verdana" w:hAnsi="Verdana"/>
          <w:sz w:val="19"/>
          <w:szCs w:val="19"/>
          <w:lang w:val="en-US"/>
        </w:rPr>
        <w:footnoteReference w:id="16"/>
      </w:r>
      <w:r w:rsidRPr="0088508C">
        <w:rPr>
          <w:rFonts w:ascii="Verdana" w:hAnsi="Verdana"/>
          <w:sz w:val="19"/>
          <w:szCs w:val="19"/>
          <w:lang w:val="en-US"/>
        </w:rPr>
        <w:t xml:space="preserve"> </w:t>
      </w:r>
    </w:p>
    <w:p w14:paraId="537DA69D" w14:textId="77777777" w:rsidR="00280194" w:rsidRPr="00280194" w:rsidRDefault="00280194" w:rsidP="00280194">
      <w:pPr>
        <w:jc w:val="both"/>
        <w:rPr>
          <w:rFonts w:ascii="Verdana" w:hAnsi="Verdana"/>
          <w:sz w:val="19"/>
          <w:szCs w:val="19"/>
          <w:lang w:val="en-US"/>
        </w:rPr>
      </w:pPr>
    </w:p>
    <w:p w14:paraId="5EC69099" w14:textId="27145E98" w:rsidR="00F16BFF" w:rsidRPr="0088508C" w:rsidRDefault="0078162B" w:rsidP="0078162B">
      <w:pPr>
        <w:pStyle w:val="ListParagraph"/>
        <w:numPr>
          <w:ilvl w:val="0"/>
          <w:numId w:val="4"/>
        </w:numPr>
        <w:ind w:left="426"/>
        <w:jc w:val="both"/>
        <w:rPr>
          <w:rFonts w:ascii="Verdana" w:hAnsi="Verdana"/>
          <w:sz w:val="19"/>
          <w:szCs w:val="19"/>
          <w:lang w:val="en-US"/>
        </w:rPr>
      </w:pPr>
      <w:r w:rsidRPr="00C962A5">
        <w:rPr>
          <w:rFonts w:ascii="Verdana" w:hAnsi="Verdana"/>
          <w:sz w:val="19"/>
          <w:szCs w:val="19"/>
          <w:lang w:val="en-US"/>
        </w:rPr>
        <w:t>In light of th</w:t>
      </w:r>
      <w:r>
        <w:rPr>
          <w:rFonts w:ascii="Verdana" w:hAnsi="Verdana"/>
          <w:sz w:val="19"/>
          <w:szCs w:val="19"/>
          <w:lang w:val="en-US"/>
        </w:rPr>
        <w:t>is</w:t>
      </w:r>
      <w:r w:rsidRPr="00C962A5">
        <w:rPr>
          <w:rFonts w:ascii="Verdana" w:hAnsi="Verdana"/>
          <w:sz w:val="19"/>
          <w:szCs w:val="19"/>
          <w:lang w:val="en-US"/>
        </w:rPr>
        <w:t>, the ICJ recommends that footnote 48 of the present draft be deleted since the real motives behind States Parties’ resort to “security detention” are the determinant factors, rather than the type of legislation used to enforce it.</w:t>
      </w:r>
    </w:p>
    <w:p w14:paraId="7CAAF342" w14:textId="77777777" w:rsidR="004250FF" w:rsidRDefault="004250FF" w:rsidP="004250FF">
      <w:pPr>
        <w:ind w:left="426"/>
        <w:jc w:val="both"/>
        <w:rPr>
          <w:rFonts w:ascii="Verdana" w:hAnsi="Verdana"/>
          <w:sz w:val="19"/>
          <w:szCs w:val="19"/>
          <w:lang w:val="en-US"/>
        </w:rPr>
      </w:pPr>
    </w:p>
    <w:p w14:paraId="307FD731" w14:textId="6B3FF28D" w:rsidR="00547187" w:rsidRPr="00CE7932" w:rsidRDefault="004250FF" w:rsidP="004250FF">
      <w:pPr>
        <w:ind w:left="426"/>
        <w:jc w:val="both"/>
        <w:rPr>
          <w:rFonts w:ascii="Verdana" w:hAnsi="Verdana"/>
          <w:i/>
          <w:sz w:val="19"/>
          <w:szCs w:val="19"/>
          <w:u w:val="single"/>
          <w:lang w:val="en-US"/>
        </w:rPr>
      </w:pPr>
      <w:r w:rsidRPr="00CE7932">
        <w:rPr>
          <w:rFonts w:ascii="Verdana" w:hAnsi="Verdana"/>
          <w:i/>
          <w:sz w:val="19"/>
          <w:szCs w:val="19"/>
          <w:u w:val="single"/>
          <w:lang w:val="en-US"/>
        </w:rPr>
        <w:t>Paras. 15, 45 and 65</w:t>
      </w:r>
      <w:r w:rsidR="000F5793" w:rsidRPr="00CE7932">
        <w:rPr>
          <w:rFonts w:ascii="Verdana" w:hAnsi="Verdana"/>
          <w:i/>
          <w:sz w:val="19"/>
          <w:szCs w:val="19"/>
          <w:u w:val="single"/>
          <w:lang w:val="en-US"/>
        </w:rPr>
        <w:t xml:space="preserve"> of the present draft</w:t>
      </w:r>
    </w:p>
    <w:p w14:paraId="6988B880" w14:textId="77777777" w:rsidR="000F5793" w:rsidRDefault="000F5793" w:rsidP="000F5793">
      <w:pPr>
        <w:pStyle w:val="ListParagraph"/>
        <w:ind w:left="426"/>
        <w:jc w:val="both"/>
        <w:rPr>
          <w:rFonts w:ascii="Verdana" w:hAnsi="Verdana"/>
          <w:sz w:val="19"/>
          <w:szCs w:val="19"/>
          <w:lang w:val="en-US"/>
        </w:rPr>
      </w:pPr>
    </w:p>
    <w:p w14:paraId="6FD936AC" w14:textId="1A0027BC" w:rsidR="00C767D7" w:rsidRDefault="002E73D7" w:rsidP="00990F3B">
      <w:pPr>
        <w:pStyle w:val="ListParagraph"/>
        <w:numPr>
          <w:ilvl w:val="0"/>
          <w:numId w:val="4"/>
        </w:numPr>
        <w:ind w:left="426"/>
        <w:jc w:val="both"/>
        <w:rPr>
          <w:rFonts w:ascii="Verdana" w:hAnsi="Verdana"/>
          <w:sz w:val="19"/>
          <w:szCs w:val="19"/>
          <w:lang w:val="en-US"/>
        </w:rPr>
      </w:pPr>
      <w:r>
        <w:rPr>
          <w:rFonts w:ascii="Verdana" w:hAnsi="Verdana"/>
          <w:sz w:val="19"/>
          <w:szCs w:val="19"/>
          <w:lang w:val="en-US"/>
        </w:rPr>
        <w:t>T</w:t>
      </w:r>
      <w:r w:rsidR="004D6B0B" w:rsidRPr="006A74A1">
        <w:rPr>
          <w:rFonts w:ascii="Verdana" w:hAnsi="Verdana"/>
          <w:sz w:val="19"/>
          <w:szCs w:val="19"/>
          <w:lang w:val="en-US"/>
        </w:rPr>
        <w:t xml:space="preserve">his section </w:t>
      </w:r>
      <w:r>
        <w:rPr>
          <w:rFonts w:ascii="Verdana" w:hAnsi="Verdana"/>
          <w:sz w:val="19"/>
          <w:szCs w:val="19"/>
          <w:lang w:val="en-US"/>
        </w:rPr>
        <w:t xml:space="preserve">sets out </w:t>
      </w:r>
      <w:r w:rsidR="00891C02" w:rsidRPr="006A74A1">
        <w:rPr>
          <w:rFonts w:ascii="Verdana" w:hAnsi="Verdana"/>
          <w:sz w:val="19"/>
          <w:szCs w:val="19"/>
          <w:lang w:val="en-US"/>
        </w:rPr>
        <w:t xml:space="preserve">the </w:t>
      </w:r>
      <w:r>
        <w:rPr>
          <w:rFonts w:ascii="Verdana" w:hAnsi="Verdana"/>
          <w:sz w:val="19"/>
          <w:szCs w:val="19"/>
          <w:lang w:val="en-US"/>
        </w:rPr>
        <w:t>ICJ’s concern</w:t>
      </w:r>
      <w:r w:rsidR="00891C02" w:rsidRPr="006A74A1">
        <w:rPr>
          <w:rFonts w:ascii="Verdana" w:hAnsi="Verdana"/>
          <w:sz w:val="19"/>
          <w:szCs w:val="19"/>
          <w:lang w:val="en-US"/>
        </w:rPr>
        <w:t xml:space="preserve"> in respect of </w:t>
      </w:r>
      <w:r w:rsidR="009616AA" w:rsidRPr="006A74A1">
        <w:rPr>
          <w:rFonts w:ascii="Verdana" w:hAnsi="Verdana"/>
          <w:sz w:val="19"/>
          <w:szCs w:val="19"/>
          <w:lang w:val="en-US"/>
        </w:rPr>
        <w:t xml:space="preserve">certain elements of </w:t>
      </w:r>
      <w:r w:rsidR="00891C02" w:rsidRPr="006A74A1">
        <w:rPr>
          <w:rFonts w:ascii="Verdana" w:hAnsi="Verdana"/>
          <w:sz w:val="19"/>
          <w:szCs w:val="19"/>
          <w:lang w:val="en-US"/>
        </w:rPr>
        <w:t>paras. 15, 45 and 65</w:t>
      </w:r>
      <w:r w:rsidR="008C2A23">
        <w:rPr>
          <w:rFonts w:ascii="Verdana" w:hAnsi="Verdana"/>
          <w:sz w:val="19"/>
          <w:szCs w:val="19"/>
          <w:lang w:val="en-US"/>
        </w:rPr>
        <w:t>. Namely, that</w:t>
      </w:r>
      <w:r w:rsidR="004564F4" w:rsidRPr="006A74A1">
        <w:rPr>
          <w:rFonts w:ascii="Verdana" w:hAnsi="Verdana"/>
          <w:sz w:val="19"/>
          <w:szCs w:val="19"/>
          <w:lang w:val="en-US"/>
        </w:rPr>
        <w:t xml:space="preserve"> </w:t>
      </w:r>
      <w:r w:rsidR="009616AA" w:rsidRPr="006A74A1">
        <w:rPr>
          <w:rFonts w:ascii="Verdana" w:hAnsi="Verdana"/>
          <w:sz w:val="19"/>
          <w:szCs w:val="19"/>
          <w:lang w:val="en-US"/>
        </w:rPr>
        <w:t xml:space="preserve">if </w:t>
      </w:r>
      <w:r w:rsidR="008C2A23">
        <w:rPr>
          <w:rFonts w:ascii="Verdana" w:hAnsi="Verdana"/>
          <w:sz w:val="19"/>
          <w:szCs w:val="19"/>
          <w:lang w:val="en-US"/>
        </w:rPr>
        <w:t>those paras</w:t>
      </w:r>
      <w:r w:rsidR="00703EA2">
        <w:rPr>
          <w:rFonts w:ascii="Verdana" w:hAnsi="Verdana"/>
          <w:sz w:val="19"/>
          <w:szCs w:val="19"/>
          <w:lang w:val="en-US"/>
        </w:rPr>
        <w:t>.</w:t>
      </w:r>
      <w:r w:rsidR="008C2A23">
        <w:rPr>
          <w:rFonts w:ascii="Verdana" w:hAnsi="Verdana"/>
          <w:sz w:val="19"/>
          <w:szCs w:val="19"/>
          <w:lang w:val="en-US"/>
        </w:rPr>
        <w:t xml:space="preserve"> were </w:t>
      </w:r>
      <w:r w:rsidR="009616AA" w:rsidRPr="006A74A1">
        <w:rPr>
          <w:rFonts w:ascii="Verdana" w:hAnsi="Verdana"/>
          <w:sz w:val="19"/>
          <w:szCs w:val="19"/>
          <w:lang w:val="en-US"/>
        </w:rPr>
        <w:t xml:space="preserve">adopted as currently formulated </w:t>
      </w:r>
      <w:r w:rsidR="004564F4" w:rsidRPr="006A74A1">
        <w:rPr>
          <w:rFonts w:ascii="Verdana" w:hAnsi="Verdana"/>
          <w:sz w:val="19"/>
          <w:szCs w:val="19"/>
          <w:lang w:val="en-US"/>
        </w:rPr>
        <w:t>in the present draft</w:t>
      </w:r>
      <w:r w:rsidR="008C2A23">
        <w:rPr>
          <w:rFonts w:ascii="Verdana" w:hAnsi="Verdana"/>
          <w:sz w:val="19"/>
          <w:szCs w:val="19"/>
          <w:lang w:val="en-US"/>
        </w:rPr>
        <w:t xml:space="preserve">, the General Comment </w:t>
      </w:r>
      <w:r w:rsidR="009616AA" w:rsidRPr="006A74A1">
        <w:rPr>
          <w:rFonts w:ascii="Verdana" w:hAnsi="Verdana"/>
          <w:sz w:val="19"/>
          <w:szCs w:val="19"/>
          <w:lang w:val="en-US"/>
        </w:rPr>
        <w:t>would</w:t>
      </w:r>
      <w:r w:rsidR="008C2A23">
        <w:rPr>
          <w:rFonts w:ascii="Verdana" w:hAnsi="Verdana"/>
          <w:sz w:val="19"/>
          <w:szCs w:val="19"/>
          <w:lang w:val="en-US"/>
        </w:rPr>
        <w:t xml:space="preserve"> assert that, in certain circumstances, </w:t>
      </w:r>
      <w:r w:rsidR="000613F9">
        <w:rPr>
          <w:rFonts w:ascii="Verdana" w:hAnsi="Verdana"/>
          <w:sz w:val="19"/>
          <w:szCs w:val="19"/>
          <w:lang w:val="en-US"/>
        </w:rPr>
        <w:t>there is no requirement for</w:t>
      </w:r>
      <w:r w:rsidR="006A74A1" w:rsidRPr="006A74A1">
        <w:rPr>
          <w:rFonts w:ascii="Verdana" w:hAnsi="Verdana"/>
          <w:sz w:val="19"/>
          <w:szCs w:val="19"/>
          <w:lang w:val="en-US"/>
        </w:rPr>
        <w:t>:</w:t>
      </w:r>
      <w:r w:rsidR="00440B00" w:rsidRPr="006A74A1">
        <w:rPr>
          <w:rFonts w:ascii="Verdana" w:hAnsi="Verdana"/>
          <w:sz w:val="19"/>
          <w:szCs w:val="19"/>
          <w:lang w:val="en-US"/>
        </w:rPr>
        <w:t xml:space="preserve"> </w:t>
      </w:r>
    </w:p>
    <w:p w14:paraId="6EC57E27" w14:textId="22D92292" w:rsidR="00AE3971" w:rsidRDefault="006A74A1" w:rsidP="00AE3971">
      <w:pPr>
        <w:pStyle w:val="ListParagraph"/>
        <w:jc w:val="both"/>
        <w:rPr>
          <w:rFonts w:ascii="Verdana" w:hAnsi="Verdana"/>
          <w:sz w:val="19"/>
          <w:szCs w:val="19"/>
          <w:lang w:val="en-US"/>
        </w:rPr>
      </w:pPr>
      <w:r w:rsidRPr="006A74A1">
        <w:rPr>
          <w:rFonts w:ascii="Verdana" w:hAnsi="Verdana"/>
          <w:sz w:val="19"/>
          <w:szCs w:val="19"/>
          <w:lang w:val="en-US"/>
        </w:rPr>
        <w:t xml:space="preserve">a) </w:t>
      </w:r>
      <w:r w:rsidR="00EA51F9" w:rsidRPr="006A74A1">
        <w:rPr>
          <w:rFonts w:ascii="Verdana" w:hAnsi="Verdana"/>
          <w:sz w:val="19"/>
          <w:szCs w:val="19"/>
          <w:lang w:val="en-US"/>
        </w:rPr>
        <w:t xml:space="preserve">judicial supervision of detention </w:t>
      </w:r>
      <w:r w:rsidR="009616AA" w:rsidRPr="006A74A1">
        <w:rPr>
          <w:rFonts w:ascii="Verdana" w:hAnsi="Verdana"/>
          <w:sz w:val="19"/>
          <w:szCs w:val="19"/>
          <w:lang w:val="en-US"/>
        </w:rPr>
        <w:t>pursuant to</w:t>
      </w:r>
      <w:r w:rsidR="00EA51F9" w:rsidRPr="006A74A1">
        <w:rPr>
          <w:rFonts w:ascii="Verdana" w:hAnsi="Verdana"/>
          <w:sz w:val="19"/>
          <w:szCs w:val="19"/>
          <w:lang w:val="en-US"/>
        </w:rPr>
        <w:t xml:space="preserve"> Article 9(3)</w:t>
      </w:r>
      <w:r w:rsidRPr="006A74A1">
        <w:rPr>
          <w:rFonts w:ascii="Verdana" w:hAnsi="Verdana"/>
          <w:sz w:val="19"/>
          <w:szCs w:val="19"/>
          <w:lang w:val="en-US"/>
        </w:rPr>
        <w:t xml:space="preserve">; </w:t>
      </w:r>
      <w:r w:rsidR="000613F9">
        <w:rPr>
          <w:rFonts w:ascii="Verdana" w:hAnsi="Verdana"/>
          <w:sz w:val="19"/>
          <w:szCs w:val="19"/>
          <w:lang w:val="en-US"/>
        </w:rPr>
        <w:t>or</w:t>
      </w:r>
    </w:p>
    <w:p w14:paraId="27653369" w14:textId="4415DB26" w:rsidR="00891C02" w:rsidRDefault="006A74A1" w:rsidP="00AE3971">
      <w:pPr>
        <w:pStyle w:val="ListParagraph"/>
        <w:jc w:val="both"/>
        <w:rPr>
          <w:rFonts w:ascii="Verdana" w:hAnsi="Verdana"/>
          <w:sz w:val="19"/>
          <w:szCs w:val="19"/>
          <w:lang w:val="en-US"/>
        </w:rPr>
      </w:pPr>
      <w:r w:rsidRPr="006A74A1">
        <w:rPr>
          <w:rFonts w:ascii="Verdana" w:hAnsi="Verdana"/>
          <w:sz w:val="19"/>
          <w:szCs w:val="19"/>
          <w:lang w:val="en-US"/>
        </w:rPr>
        <w:t xml:space="preserve">b) </w:t>
      </w:r>
      <w:r w:rsidR="00226DE9">
        <w:rPr>
          <w:rFonts w:ascii="Verdana" w:hAnsi="Verdana"/>
          <w:sz w:val="19"/>
          <w:szCs w:val="19"/>
          <w:lang w:val="en-US"/>
        </w:rPr>
        <w:t xml:space="preserve">for </w:t>
      </w:r>
      <w:r w:rsidRPr="006A74A1">
        <w:rPr>
          <w:rFonts w:ascii="Verdana" w:hAnsi="Verdana"/>
          <w:sz w:val="19"/>
          <w:szCs w:val="19"/>
          <w:lang w:val="en-US"/>
        </w:rPr>
        <w:t xml:space="preserve">a judge </w:t>
      </w:r>
      <w:r w:rsidR="000613F9">
        <w:rPr>
          <w:rFonts w:ascii="Verdana" w:hAnsi="Verdana"/>
          <w:sz w:val="19"/>
          <w:szCs w:val="19"/>
          <w:lang w:val="en-US"/>
        </w:rPr>
        <w:t xml:space="preserve">to </w:t>
      </w:r>
      <w:r w:rsidRPr="006A74A1">
        <w:rPr>
          <w:rFonts w:ascii="Verdana" w:hAnsi="Verdana"/>
          <w:sz w:val="19"/>
          <w:szCs w:val="19"/>
          <w:lang w:val="en-US"/>
        </w:rPr>
        <w:t xml:space="preserve">preside </w:t>
      </w:r>
      <w:r w:rsidR="000613F9">
        <w:rPr>
          <w:rFonts w:ascii="Verdana" w:hAnsi="Verdana"/>
          <w:sz w:val="19"/>
          <w:szCs w:val="19"/>
          <w:lang w:val="en-US"/>
        </w:rPr>
        <w:t xml:space="preserve">over </w:t>
      </w:r>
      <w:r w:rsidRPr="006A74A1">
        <w:rPr>
          <w:rFonts w:ascii="Verdana" w:hAnsi="Verdana"/>
          <w:sz w:val="19"/>
          <w:szCs w:val="19"/>
          <w:lang w:val="en-US"/>
        </w:rPr>
        <w:t xml:space="preserve">proceedings </w:t>
      </w:r>
      <w:r w:rsidR="000613F9">
        <w:rPr>
          <w:rFonts w:ascii="Verdana" w:hAnsi="Verdana"/>
          <w:sz w:val="19"/>
          <w:szCs w:val="19"/>
          <w:lang w:val="en-US"/>
        </w:rPr>
        <w:t xml:space="preserve">brought </w:t>
      </w:r>
      <w:r w:rsidR="00772A66">
        <w:rPr>
          <w:rFonts w:ascii="Verdana" w:hAnsi="Verdana"/>
          <w:sz w:val="19"/>
          <w:szCs w:val="19"/>
          <w:lang w:val="en-US"/>
        </w:rPr>
        <w:t xml:space="preserve">pursuant to Article 9(4) of the Covenant </w:t>
      </w:r>
      <w:r w:rsidR="000613F9">
        <w:rPr>
          <w:rFonts w:ascii="Verdana" w:hAnsi="Verdana"/>
          <w:sz w:val="19"/>
          <w:szCs w:val="19"/>
          <w:lang w:val="en-US"/>
        </w:rPr>
        <w:t xml:space="preserve">to </w:t>
      </w:r>
      <w:r w:rsidRPr="006A74A1">
        <w:rPr>
          <w:rFonts w:ascii="Verdana" w:hAnsi="Verdana"/>
          <w:sz w:val="19"/>
          <w:szCs w:val="19"/>
          <w:lang w:val="en-US"/>
        </w:rPr>
        <w:t xml:space="preserve">challenge the lawfulness of detention. </w:t>
      </w:r>
    </w:p>
    <w:p w14:paraId="13BA7F86" w14:textId="77777777" w:rsidR="006A74A1" w:rsidRPr="006A74A1" w:rsidRDefault="006A74A1" w:rsidP="006A74A1">
      <w:pPr>
        <w:pStyle w:val="ListParagraph"/>
        <w:ind w:left="426"/>
        <w:jc w:val="both"/>
        <w:rPr>
          <w:rFonts w:ascii="Verdana" w:hAnsi="Verdana"/>
          <w:sz w:val="19"/>
          <w:szCs w:val="19"/>
          <w:lang w:val="en-US"/>
        </w:rPr>
      </w:pPr>
    </w:p>
    <w:p w14:paraId="336F3AA8" w14:textId="3E1AFB4D" w:rsidR="000B4663" w:rsidRPr="0088508C" w:rsidRDefault="00990F3B" w:rsidP="0088508C">
      <w:pPr>
        <w:pStyle w:val="ListParagraph"/>
        <w:numPr>
          <w:ilvl w:val="0"/>
          <w:numId w:val="4"/>
        </w:numPr>
        <w:ind w:left="426"/>
        <w:jc w:val="both"/>
        <w:rPr>
          <w:rFonts w:ascii="Verdana" w:hAnsi="Verdana"/>
          <w:sz w:val="19"/>
          <w:szCs w:val="19"/>
          <w:lang w:val="en-US"/>
        </w:rPr>
      </w:pPr>
      <w:r>
        <w:rPr>
          <w:rFonts w:ascii="Verdana" w:hAnsi="Verdana"/>
          <w:sz w:val="19"/>
          <w:szCs w:val="19"/>
          <w:lang w:val="en-US"/>
        </w:rPr>
        <w:t>T</w:t>
      </w:r>
      <w:r w:rsidR="008D5195" w:rsidRPr="0088508C">
        <w:rPr>
          <w:rFonts w:ascii="Verdana" w:hAnsi="Verdana"/>
          <w:sz w:val="19"/>
          <w:szCs w:val="19"/>
          <w:lang w:val="en-US"/>
        </w:rPr>
        <w:t xml:space="preserve">he ICJ wishes to draw the Committee’s attention to the </w:t>
      </w:r>
      <w:r w:rsidR="00064E4F">
        <w:rPr>
          <w:rFonts w:ascii="Verdana" w:hAnsi="Verdana"/>
          <w:sz w:val="19"/>
          <w:szCs w:val="19"/>
          <w:lang w:val="en-US"/>
        </w:rPr>
        <w:t xml:space="preserve">worrying </w:t>
      </w:r>
      <w:r w:rsidR="008D5195" w:rsidRPr="0088508C">
        <w:rPr>
          <w:rFonts w:ascii="Verdana" w:hAnsi="Verdana"/>
          <w:sz w:val="19"/>
          <w:szCs w:val="19"/>
          <w:lang w:val="en-US"/>
        </w:rPr>
        <w:t xml:space="preserve">fact that </w:t>
      </w:r>
      <w:r w:rsidR="00195EE7">
        <w:rPr>
          <w:rFonts w:ascii="Verdana" w:hAnsi="Verdana"/>
          <w:sz w:val="19"/>
          <w:szCs w:val="19"/>
          <w:lang w:val="en-US"/>
        </w:rPr>
        <w:t xml:space="preserve">elements of the </w:t>
      </w:r>
      <w:r w:rsidR="008D5195" w:rsidRPr="0088508C">
        <w:rPr>
          <w:rFonts w:ascii="Verdana" w:hAnsi="Verdana"/>
          <w:sz w:val="19"/>
          <w:szCs w:val="19"/>
          <w:lang w:val="en-US"/>
        </w:rPr>
        <w:t xml:space="preserve">present draft </w:t>
      </w:r>
      <w:r w:rsidR="00064E4F">
        <w:rPr>
          <w:rFonts w:ascii="Verdana" w:hAnsi="Verdana"/>
          <w:sz w:val="19"/>
          <w:szCs w:val="19"/>
          <w:lang w:val="en-US"/>
        </w:rPr>
        <w:t xml:space="preserve">have been cited, including by ICRC officials, </w:t>
      </w:r>
      <w:r w:rsidR="008D5195" w:rsidRPr="0088508C">
        <w:rPr>
          <w:rFonts w:ascii="Verdana" w:hAnsi="Verdana"/>
          <w:sz w:val="19"/>
          <w:szCs w:val="19"/>
          <w:lang w:val="en-US"/>
        </w:rPr>
        <w:t xml:space="preserve">in support of the proposition that </w:t>
      </w:r>
      <w:r w:rsidR="00797E7A" w:rsidRPr="0088508C">
        <w:rPr>
          <w:rFonts w:ascii="Verdana" w:hAnsi="Verdana"/>
          <w:sz w:val="19"/>
          <w:szCs w:val="19"/>
          <w:lang w:val="en-US"/>
        </w:rPr>
        <w:t xml:space="preserve">it would be consistent with the Covenant, in particular, and human rights law more generally, if the body reviewing detention initially and/or periodically and/or </w:t>
      </w:r>
      <w:r w:rsidR="00892412" w:rsidRPr="0088508C">
        <w:rPr>
          <w:rFonts w:ascii="Verdana" w:hAnsi="Verdana"/>
          <w:sz w:val="19"/>
          <w:szCs w:val="19"/>
          <w:lang w:val="en-US"/>
        </w:rPr>
        <w:t xml:space="preserve">hearing </w:t>
      </w:r>
      <w:r w:rsidR="00892412" w:rsidRPr="0088508C">
        <w:rPr>
          <w:rFonts w:ascii="Verdana" w:hAnsi="Verdana"/>
          <w:i/>
          <w:sz w:val="19"/>
          <w:szCs w:val="19"/>
          <w:lang w:val="en-US"/>
        </w:rPr>
        <w:t>habeas</w:t>
      </w:r>
      <w:r w:rsidR="00892412" w:rsidRPr="0088508C">
        <w:rPr>
          <w:rFonts w:ascii="Verdana" w:hAnsi="Verdana"/>
          <w:sz w:val="19"/>
          <w:szCs w:val="19"/>
          <w:lang w:val="en-US"/>
        </w:rPr>
        <w:t xml:space="preserve">-type challenges to the lawfulness of detention </w:t>
      </w:r>
      <w:r w:rsidR="00064E4F">
        <w:rPr>
          <w:rFonts w:ascii="Verdana" w:hAnsi="Verdana"/>
          <w:sz w:val="19"/>
          <w:szCs w:val="19"/>
          <w:lang w:val="en-US"/>
        </w:rPr>
        <w:t xml:space="preserve">was not a judicial body or court </w:t>
      </w:r>
      <w:r w:rsidR="00892412" w:rsidRPr="0088508C">
        <w:rPr>
          <w:rFonts w:ascii="Verdana" w:hAnsi="Verdana"/>
          <w:sz w:val="19"/>
          <w:szCs w:val="19"/>
          <w:lang w:val="en-US"/>
        </w:rPr>
        <w:t>so long as it were</w:t>
      </w:r>
      <w:r w:rsidR="006D14E7" w:rsidRPr="0088508C">
        <w:rPr>
          <w:rFonts w:ascii="Verdana" w:hAnsi="Verdana"/>
          <w:sz w:val="19"/>
          <w:szCs w:val="19"/>
          <w:lang w:val="en-US"/>
        </w:rPr>
        <w:t xml:space="preserve"> "independent and impartial"</w:t>
      </w:r>
      <w:r w:rsidR="00892412" w:rsidRPr="0088508C">
        <w:rPr>
          <w:rFonts w:ascii="Verdana" w:hAnsi="Verdana"/>
          <w:sz w:val="19"/>
          <w:szCs w:val="19"/>
          <w:lang w:val="en-US"/>
        </w:rPr>
        <w:t>.</w:t>
      </w:r>
      <w:r w:rsidR="006D14E7" w:rsidRPr="0088508C">
        <w:rPr>
          <w:rFonts w:ascii="Verdana" w:hAnsi="Verdana"/>
          <w:sz w:val="19"/>
          <w:szCs w:val="19"/>
          <w:lang w:val="en-US"/>
        </w:rPr>
        <w:t xml:space="preserve"> Simultaneously, the</w:t>
      </w:r>
      <w:r w:rsidR="00EA76A4" w:rsidRPr="0088508C">
        <w:rPr>
          <w:rFonts w:ascii="Verdana" w:hAnsi="Verdana"/>
          <w:sz w:val="19"/>
          <w:szCs w:val="19"/>
          <w:lang w:val="en-US"/>
        </w:rPr>
        <w:t>y</w:t>
      </w:r>
      <w:r w:rsidR="00892412" w:rsidRPr="0088508C">
        <w:rPr>
          <w:rFonts w:ascii="Verdana" w:hAnsi="Verdana"/>
          <w:sz w:val="19"/>
          <w:szCs w:val="19"/>
          <w:lang w:val="en-US"/>
        </w:rPr>
        <w:t xml:space="preserve"> a</w:t>
      </w:r>
      <w:r w:rsidR="006D14E7" w:rsidRPr="0088508C">
        <w:rPr>
          <w:rFonts w:ascii="Verdana" w:hAnsi="Verdana"/>
          <w:sz w:val="19"/>
          <w:szCs w:val="19"/>
          <w:lang w:val="en-US"/>
        </w:rPr>
        <w:t>l</w:t>
      </w:r>
      <w:r w:rsidR="00892412" w:rsidRPr="0088508C">
        <w:rPr>
          <w:rFonts w:ascii="Verdana" w:hAnsi="Verdana"/>
          <w:sz w:val="19"/>
          <w:szCs w:val="19"/>
          <w:lang w:val="en-US"/>
        </w:rPr>
        <w:t>s</w:t>
      </w:r>
      <w:r w:rsidR="006D14E7" w:rsidRPr="0088508C">
        <w:rPr>
          <w:rFonts w:ascii="Verdana" w:hAnsi="Verdana"/>
          <w:sz w:val="19"/>
          <w:szCs w:val="19"/>
          <w:lang w:val="en-US"/>
        </w:rPr>
        <w:t xml:space="preserve">o </w:t>
      </w:r>
      <w:r w:rsidR="00892412" w:rsidRPr="0088508C">
        <w:rPr>
          <w:rFonts w:ascii="Verdana" w:hAnsi="Verdana"/>
          <w:sz w:val="19"/>
          <w:szCs w:val="19"/>
          <w:lang w:val="en-US"/>
        </w:rPr>
        <w:t>appear</w:t>
      </w:r>
      <w:r w:rsidR="006329A6" w:rsidRPr="0088508C">
        <w:rPr>
          <w:rFonts w:ascii="Verdana" w:hAnsi="Verdana"/>
          <w:sz w:val="19"/>
          <w:szCs w:val="19"/>
          <w:lang w:val="en-US"/>
        </w:rPr>
        <w:t>ed</w:t>
      </w:r>
      <w:r w:rsidR="00892412" w:rsidRPr="0088508C">
        <w:rPr>
          <w:rFonts w:ascii="Verdana" w:hAnsi="Verdana"/>
          <w:sz w:val="19"/>
          <w:szCs w:val="19"/>
          <w:lang w:val="en-US"/>
        </w:rPr>
        <w:t xml:space="preserve"> to have </w:t>
      </w:r>
      <w:r w:rsidR="006D14E7" w:rsidRPr="0088508C">
        <w:rPr>
          <w:rFonts w:ascii="Verdana" w:hAnsi="Verdana"/>
          <w:sz w:val="19"/>
          <w:szCs w:val="19"/>
          <w:lang w:val="en-US"/>
        </w:rPr>
        <w:t xml:space="preserve">erroneously </w:t>
      </w:r>
      <w:r w:rsidR="00C7246F" w:rsidRPr="0088508C">
        <w:rPr>
          <w:rFonts w:ascii="Verdana" w:hAnsi="Verdana"/>
          <w:sz w:val="19"/>
          <w:szCs w:val="19"/>
          <w:lang w:val="en-US"/>
        </w:rPr>
        <w:t>c</w:t>
      </w:r>
      <w:r w:rsidR="00966EBE" w:rsidRPr="0088508C">
        <w:rPr>
          <w:rFonts w:ascii="Verdana" w:hAnsi="Verdana"/>
          <w:sz w:val="19"/>
          <w:szCs w:val="19"/>
          <w:lang w:val="en-US"/>
        </w:rPr>
        <w:t>onflat</w:t>
      </w:r>
      <w:r w:rsidR="006D14E7" w:rsidRPr="0088508C">
        <w:rPr>
          <w:rFonts w:ascii="Verdana" w:hAnsi="Verdana"/>
          <w:sz w:val="19"/>
          <w:szCs w:val="19"/>
          <w:lang w:val="en-US"/>
        </w:rPr>
        <w:t>e</w:t>
      </w:r>
      <w:r w:rsidR="00892412" w:rsidRPr="0088508C">
        <w:rPr>
          <w:rFonts w:ascii="Verdana" w:hAnsi="Verdana"/>
          <w:sz w:val="19"/>
          <w:szCs w:val="19"/>
          <w:lang w:val="en-US"/>
        </w:rPr>
        <w:t>d</w:t>
      </w:r>
      <w:r w:rsidR="006D14E7" w:rsidRPr="0088508C">
        <w:rPr>
          <w:rFonts w:ascii="Verdana" w:hAnsi="Verdana"/>
          <w:sz w:val="19"/>
          <w:szCs w:val="19"/>
          <w:lang w:val="en-US"/>
        </w:rPr>
        <w:t xml:space="preserve"> </w:t>
      </w:r>
      <w:r w:rsidR="00966EBE" w:rsidRPr="0088508C">
        <w:rPr>
          <w:rFonts w:ascii="Verdana" w:hAnsi="Verdana"/>
          <w:sz w:val="19"/>
          <w:szCs w:val="19"/>
          <w:lang w:val="en-US"/>
        </w:rPr>
        <w:t xml:space="preserve">detention </w:t>
      </w:r>
      <w:r w:rsidR="00063CE8" w:rsidRPr="0088508C">
        <w:rPr>
          <w:rFonts w:ascii="Verdana" w:hAnsi="Verdana"/>
          <w:sz w:val="19"/>
          <w:szCs w:val="19"/>
          <w:lang w:val="en-US"/>
        </w:rPr>
        <w:t xml:space="preserve">reviews with </w:t>
      </w:r>
      <w:r w:rsidR="00063CE8" w:rsidRPr="0088508C">
        <w:rPr>
          <w:rFonts w:ascii="Verdana" w:hAnsi="Verdana"/>
          <w:i/>
          <w:sz w:val="19"/>
          <w:szCs w:val="19"/>
          <w:lang w:val="en-US"/>
        </w:rPr>
        <w:t>habeas</w:t>
      </w:r>
      <w:r w:rsidR="00063CE8" w:rsidRPr="0088508C">
        <w:rPr>
          <w:rFonts w:ascii="Verdana" w:hAnsi="Verdana"/>
          <w:sz w:val="19"/>
          <w:szCs w:val="19"/>
          <w:lang w:val="en-US"/>
        </w:rPr>
        <w:t>-type</w:t>
      </w:r>
      <w:r w:rsidR="00063CE8" w:rsidRPr="0088508C">
        <w:rPr>
          <w:rFonts w:ascii="Verdana" w:hAnsi="Verdana"/>
          <w:i/>
          <w:sz w:val="19"/>
          <w:szCs w:val="19"/>
          <w:lang w:val="en-US"/>
        </w:rPr>
        <w:t xml:space="preserve"> </w:t>
      </w:r>
      <w:r w:rsidR="00063CE8" w:rsidRPr="0088508C">
        <w:rPr>
          <w:rFonts w:ascii="Verdana" w:hAnsi="Verdana"/>
          <w:sz w:val="19"/>
          <w:szCs w:val="19"/>
          <w:lang w:val="en-US"/>
        </w:rPr>
        <w:t>challenges</w:t>
      </w:r>
      <w:r w:rsidR="00966EBE" w:rsidRPr="0088508C">
        <w:rPr>
          <w:rFonts w:ascii="Verdana" w:hAnsi="Verdana"/>
          <w:sz w:val="19"/>
          <w:szCs w:val="19"/>
          <w:lang w:val="en-US"/>
        </w:rPr>
        <w:t xml:space="preserve"> to the lawfulness of detention</w:t>
      </w:r>
      <w:r w:rsidR="007620DD" w:rsidRPr="0088508C">
        <w:rPr>
          <w:rFonts w:ascii="Verdana" w:hAnsi="Verdana"/>
          <w:sz w:val="19"/>
          <w:szCs w:val="19"/>
          <w:lang w:val="en-US"/>
        </w:rPr>
        <w:t>.</w:t>
      </w:r>
      <w:r w:rsidR="00616352" w:rsidRPr="0088508C">
        <w:rPr>
          <w:rFonts w:ascii="Verdana" w:hAnsi="Verdana"/>
          <w:sz w:val="19"/>
          <w:szCs w:val="19"/>
          <w:lang w:val="en-US"/>
        </w:rPr>
        <w:t xml:space="preserve"> </w:t>
      </w:r>
    </w:p>
    <w:p w14:paraId="4D2A204A" w14:textId="77777777" w:rsidR="000B4663" w:rsidRPr="0088508C" w:rsidRDefault="000B4663" w:rsidP="0088508C">
      <w:pPr>
        <w:jc w:val="both"/>
        <w:rPr>
          <w:rFonts w:ascii="Verdana" w:hAnsi="Verdana"/>
          <w:sz w:val="19"/>
          <w:szCs w:val="19"/>
          <w:lang w:val="en-US"/>
        </w:rPr>
      </w:pPr>
    </w:p>
    <w:p w14:paraId="642587E1" w14:textId="039A19DC" w:rsidR="00027FF9" w:rsidRPr="0088508C" w:rsidRDefault="00064E4F" w:rsidP="0088508C">
      <w:pPr>
        <w:pStyle w:val="ListParagraph"/>
        <w:numPr>
          <w:ilvl w:val="0"/>
          <w:numId w:val="4"/>
        </w:numPr>
        <w:ind w:left="426"/>
        <w:jc w:val="both"/>
        <w:rPr>
          <w:rFonts w:ascii="Verdana" w:hAnsi="Verdana"/>
          <w:sz w:val="19"/>
          <w:szCs w:val="19"/>
        </w:rPr>
      </w:pPr>
      <w:r>
        <w:rPr>
          <w:rFonts w:ascii="Verdana" w:hAnsi="Verdana"/>
          <w:sz w:val="19"/>
          <w:szCs w:val="19"/>
          <w:lang w:val="en-US"/>
        </w:rPr>
        <w:t xml:space="preserve">Indeed </w:t>
      </w:r>
      <w:r w:rsidR="00E4463C" w:rsidRPr="0088508C">
        <w:rPr>
          <w:rFonts w:ascii="Verdana" w:hAnsi="Verdana"/>
          <w:sz w:val="19"/>
          <w:szCs w:val="19"/>
          <w:lang w:val="en-US"/>
        </w:rPr>
        <w:t>paras.</w:t>
      </w:r>
      <w:r>
        <w:rPr>
          <w:rFonts w:ascii="Verdana" w:hAnsi="Verdana"/>
          <w:sz w:val="19"/>
          <w:szCs w:val="19"/>
          <w:lang w:val="en-US"/>
        </w:rPr>
        <w:t xml:space="preserve"> </w:t>
      </w:r>
      <w:r w:rsidRPr="0088508C">
        <w:rPr>
          <w:rFonts w:ascii="Verdana" w:hAnsi="Verdana"/>
          <w:sz w:val="19"/>
          <w:szCs w:val="19"/>
          <w:lang w:val="en-US"/>
        </w:rPr>
        <w:t>15</w:t>
      </w:r>
      <w:r>
        <w:rPr>
          <w:rFonts w:ascii="Verdana" w:hAnsi="Verdana"/>
          <w:sz w:val="19"/>
          <w:szCs w:val="19"/>
          <w:lang w:val="en-US"/>
        </w:rPr>
        <w:t>,</w:t>
      </w:r>
      <w:r w:rsidRPr="0088508C">
        <w:rPr>
          <w:rFonts w:ascii="Verdana" w:hAnsi="Verdana"/>
          <w:sz w:val="19"/>
          <w:szCs w:val="19"/>
          <w:lang w:val="en-US"/>
        </w:rPr>
        <w:t xml:space="preserve"> 45 </w:t>
      </w:r>
      <w:r w:rsidRPr="00064E4F">
        <w:rPr>
          <w:rFonts w:ascii="Verdana" w:hAnsi="Verdana"/>
          <w:sz w:val="19"/>
          <w:szCs w:val="19"/>
          <w:lang w:val="en-US"/>
        </w:rPr>
        <w:t>and 65</w:t>
      </w:r>
      <w:r w:rsidRPr="0088508C">
        <w:rPr>
          <w:rFonts w:ascii="Verdana" w:hAnsi="Verdana"/>
          <w:sz w:val="19"/>
          <w:szCs w:val="19"/>
          <w:lang w:val="en-US"/>
        </w:rPr>
        <w:t xml:space="preserve"> of</w:t>
      </w:r>
      <w:r w:rsidR="00E4463C" w:rsidRPr="0088508C">
        <w:rPr>
          <w:rFonts w:ascii="Verdana" w:hAnsi="Verdana"/>
          <w:sz w:val="19"/>
          <w:szCs w:val="19"/>
          <w:lang w:val="en-US"/>
        </w:rPr>
        <w:t xml:space="preserve"> </w:t>
      </w:r>
      <w:r w:rsidR="00F93941" w:rsidRPr="0088508C">
        <w:rPr>
          <w:rFonts w:ascii="Verdana" w:hAnsi="Verdana"/>
          <w:sz w:val="19"/>
          <w:szCs w:val="19"/>
          <w:lang w:val="en-US"/>
        </w:rPr>
        <w:t>in</w:t>
      </w:r>
      <w:r w:rsidR="00E4463C" w:rsidRPr="0088508C">
        <w:rPr>
          <w:rFonts w:ascii="Verdana" w:hAnsi="Verdana"/>
          <w:sz w:val="19"/>
          <w:szCs w:val="19"/>
          <w:lang w:val="en-US"/>
        </w:rPr>
        <w:t xml:space="preserve"> the present draft may be cited as authority for the</w:t>
      </w:r>
      <w:r w:rsidR="00BA1704" w:rsidRPr="0088508C">
        <w:rPr>
          <w:rFonts w:ascii="Verdana" w:hAnsi="Verdana"/>
          <w:sz w:val="19"/>
          <w:szCs w:val="19"/>
          <w:lang w:val="en-US"/>
        </w:rPr>
        <w:t>se propositions</w:t>
      </w:r>
      <w:r w:rsidR="006F1B62">
        <w:rPr>
          <w:rFonts w:ascii="Verdana" w:hAnsi="Verdana"/>
          <w:sz w:val="19"/>
          <w:szCs w:val="19"/>
          <w:lang w:val="en-US"/>
        </w:rPr>
        <w:t xml:space="preserve"> given that:</w:t>
      </w:r>
    </w:p>
    <w:p w14:paraId="0EDAAA25" w14:textId="77777777" w:rsidR="00027FF9" w:rsidRPr="0088508C" w:rsidRDefault="00027FF9" w:rsidP="0088508C">
      <w:pPr>
        <w:ind w:left="66"/>
        <w:jc w:val="both"/>
        <w:rPr>
          <w:rFonts w:ascii="Verdana" w:hAnsi="Verdana"/>
          <w:sz w:val="19"/>
          <w:szCs w:val="19"/>
          <w:lang w:val="en-US"/>
        </w:rPr>
      </w:pPr>
    </w:p>
    <w:p w14:paraId="75BDF407" w14:textId="77777777" w:rsidR="00027FF9" w:rsidRPr="0088508C" w:rsidRDefault="00027FF9" w:rsidP="0088508C">
      <w:pPr>
        <w:pStyle w:val="ListParagraph"/>
        <w:numPr>
          <w:ilvl w:val="0"/>
          <w:numId w:val="24"/>
        </w:numPr>
        <w:jc w:val="both"/>
        <w:rPr>
          <w:rFonts w:ascii="Verdana" w:hAnsi="Verdana"/>
          <w:sz w:val="19"/>
          <w:szCs w:val="19"/>
        </w:rPr>
      </w:pPr>
      <w:r w:rsidRPr="0088508C">
        <w:rPr>
          <w:rFonts w:ascii="Verdana" w:hAnsi="Verdana"/>
          <w:sz w:val="19"/>
          <w:szCs w:val="19"/>
          <w:lang w:val="en-US"/>
        </w:rPr>
        <w:t>para. 15 refers to “</w:t>
      </w:r>
      <w:r w:rsidRPr="0088508C">
        <w:rPr>
          <w:rFonts w:ascii="Verdana" w:hAnsi="Verdana"/>
          <w:sz w:val="19"/>
          <w:szCs w:val="19"/>
        </w:rPr>
        <w:t xml:space="preserve">Prompt and regular review by a court </w:t>
      </w:r>
      <w:r w:rsidRPr="0088508C">
        <w:rPr>
          <w:rFonts w:ascii="Verdana" w:hAnsi="Verdana"/>
          <w:sz w:val="19"/>
          <w:szCs w:val="19"/>
          <w:u w:val="single"/>
        </w:rPr>
        <w:t>or other tribunal possessing the same attributes of independence and impartiality as the judiciary</w:t>
      </w:r>
      <w:r w:rsidRPr="0088508C">
        <w:rPr>
          <w:rFonts w:ascii="Verdana" w:hAnsi="Verdana"/>
          <w:sz w:val="19"/>
          <w:szCs w:val="19"/>
        </w:rPr>
        <w:t>” (</w:t>
      </w:r>
      <w:r w:rsidRPr="0088508C">
        <w:rPr>
          <w:rFonts w:ascii="Verdana" w:hAnsi="Verdana"/>
          <w:sz w:val="19"/>
          <w:szCs w:val="19"/>
          <w:u w:val="single"/>
        </w:rPr>
        <w:t>emphasis added</w:t>
      </w:r>
      <w:r w:rsidRPr="0088508C">
        <w:rPr>
          <w:rFonts w:ascii="Verdana" w:hAnsi="Verdana"/>
          <w:sz w:val="19"/>
          <w:szCs w:val="19"/>
        </w:rPr>
        <w:t xml:space="preserve">); </w:t>
      </w:r>
    </w:p>
    <w:p w14:paraId="13479F4A" w14:textId="77777777" w:rsidR="00027FF9" w:rsidRPr="0088508C" w:rsidRDefault="00027FF9" w:rsidP="0088508C">
      <w:pPr>
        <w:pStyle w:val="ListParagraph"/>
        <w:numPr>
          <w:ilvl w:val="0"/>
          <w:numId w:val="24"/>
        </w:numPr>
        <w:jc w:val="both"/>
        <w:rPr>
          <w:rFonts w:ascii="Verdana" w:hAnsi="Verdana"/>
          <w:sz w:val="19"/>
          <w:szCs w:val="19"/>
        </w:rPr>
      </w:pPr>
      <w:r w:rsidRPr="0088508C">
        <w:rPr>
          <w:rFonts w:ascii="Verdana" w:hAnsi="Verdana"/>
          <w:sz w:val="19"/>
          <w:szCs w:val="19"/>
        </w:rPr>
        <w:t xml:space="preserve">while para. 45, in turn, affirms that “Paragraph 4 entitles the individual to take proceedings before “a court,” which should ordinarily be a court within the judiciary. </w:t>
      </w:r>
      <w:r w:rsidRPr="0088508C">
        <w:rPr>
          <w:rFonts w:ascii="Verdana" w:hAnsi="Verdana"/>
          <w:sz w:val="19"/>
          <w:szCs w:val="19"/>
          <w:u w:val="single"/>
        </w:rPr>
        <w:t>Exceptionally, for some forms of detention, legislation may provide for proceedings before a tribunal outside the judiciary</w:t>
      </w:r>
      <w:r w:rsidRPr="0088508C">
        <w:rPr>
          <w:rFonts w:ascii="Verdana" w:hAnsi="Verdana"/>
          <w:sz w:val="19"/>
          <w:szCs w:val="19"/>
        </w:rPr>
        <w:t>” (</w:t>
      </w:r>
      <w:r w:rsidRPr="0088508C">
        <w:rPr>
          <w:rFonts w:ascii="Verdana" w:hAnsi="Verdana"/>
          <w:sz w:val="19"/>
          <w:szCs w:val="19"/>
          <w:u w:val="single"/>
        </w:rPr>
        <w:t>emphasis added</w:t>
      </w:r>
      <w:r w:rsidRPr="0088508C">
        <w:rPr>
          <w:rFonts w:ascii="Verdana" w:hAnsi="Verdana"/>
          <w:sz w:val="19"/>
          <w:szCs w:val="19"/>
        </w:rPr>
        <w:t>); and</w:t>
      </w:r>
      <w:r w:rsidR="00490772">
        <w:rPr>
          <w:rFonts w:ascii="Verdana" w:hAnsi="Verdana"/>
          <w:sz w:val="19"/>
          <w:szCs w:val="19"/>
        </w:rPr>
        <w:t xml:space="preserve"> infers by its language that not all bodies hearing such challenges need to be </w:t>
      </w:r>
      <w:r w:rsidR="00490772" w:rsidRPr="00E01DD1">
        <w:rPr>
          <w:rFonts w:ascii="Verdana" w:hAnsi="Verdana"/>
          <w:b/>
          <w:sz w:val="19"/>
          <w:szCs w:val="19"/>
        </w:rPr>
        <w:t>both</w:t>
      </w:r>
      <w:r w:rsidR="00490772">
        <w:rPr>
          <w:rFonts w:ascii="Verdana" w:hAnsi="Verdana"/>
          <w:sz w:val="19"/>
          <w:szCs w:val="19"/>
        </w:rPr>
        <w:t xml:space="preserve"> indepen</w:t>
      </w:r>
      <w:r w:rsidR="000C1FAE">
        <w:rPr>
          <w:rFonts w:ascii="Verdana" w:hAnsi="Verdana"/>
          <w:sz w:val="19"/>
          <w:szCs w:val="19"/>
        </w:rPr>
        <w:t>dent of the legislative and exec</w:t>
      </w:r>
      <w:r w:rsidR="00490772">
        <w:rPr>
          <w:rFonts w:ascii="Verdana" w:hAnsi="Verdana"/>
          <w:sz w:val="19"/>
          <w:szCs w:val="19"/>
        </w:rPr>
        <w:t xml:space="preserve">utive branches of government, </w:t>
      </w:r>
      <w:r w:rsidR="00490772" w:rsidRPr="00E01DD1">
        <w:rPr>
          <w:rFonts w:ascii="Verdana" w:hAnsi="Verdana"/>
          <w:b/>
          <w:sz w:val="19"/>
          <w:szCs w:val="19"/>
        </w:rPr>
        <w:t>and</w:t>
      </w:r>
      <w:r w:rsidR="00490772">
        <w:rPr>
          <w:rFonts w:ascii="Verdana" w:hAnsi="Verdana"/>
          <w:sz w:val="19"/>
          <w:szCs w:val="19"/>
        </w:rPr>
        <w:t xml:space="preserve"> </w:t>
      </w:r>
      <w:r w:rsidR="00490772" w:rsidRPr="004F7092">
        <w:rPr>
          <w:rFonts w:ascii="Verdana" w:hAnsi="Verdana"/>
          <w:sz w:val="19"/>
          <w:szCs w:val="19"/>
        </w:rPr>
        <w:t>independent and impartial</w:t>
      </w:r>
      <w:r w:rsidR="00490772">
        <w:rPr>
          <w:rFonts w:ascii="Verdana" w:hAnsi="Verdana"/>
          <w:sz w:val="19"/>
          <w:szCs w:val="19"/>
        </w:rPr>
        <w:t xml:space="preserve"> when deciding legal matters in proceedings that are judicial in nature</w:t>
      </w:r>
      <w:r w:rsidR="00E71274">
        <w:rPr>
          <w:rFonts w:ascii="Verdana" w:hAnsi="Verdana"/>
          <w:sz w:val="19"/>
          <w:szCs w:val="19"/>
        </w:rPr>
        <w:t>;</w:t>
      </w:r>
      <w:r w:rsidR="006C68E3">
        <w:rPr>
          <w:rStyle w:val="FootnoteReference"/>
          <w:rFonts w:ascii="Verdana" w:hAnsi="Verdana"/>
          <w:sz w:val="19"/>
          <w:szCs w:val="19"/>
        </w:rPr>
        <w:footnoteReference w:id="17"/>
      </w:r>
      <w:r w:rsidR="00E71274">
        <w:rPr>
          <w:rFonts w:ascii="Verdana" w:hAnsi="Verdana"/>
          <w:sz w:val="19"/>
          <w:szCs w:val="19"/>
        </w:rPr>
        <w:t xml:space="preserve"> and</w:t>
      </w:r>
      <w:r w:rsidR="000C1FAE">
        <w:rPr>
          <w:rFonts w:ascii="Verdana" w:hAnsi="Verdana"/>
          <w:sz w:val="19"/>
          <w:szCs w:val="19"/>
        </w:rPr>
        <w:t xml:space="preserve"> </w:t>
      </w:r>
    </w:p>
    <w:p w14:paraId="3DB69F58" w14:textId="77777777" w:rsidR="00027FF9" w:rsidRPr="0088508C" w:rsidRDefault="00027FF9" w:rsidP="0088508C">
      <w:pPr>
        <w:pStyle w:val="ListParagraph"/>
        <w:numPr>
          <w:ilvl w:val="0"/>
          <w:numId w:val="24"/>
        </w:numPr>
        <w:jc w:val="both"/>
        <w:rPr>
          <w:rFonts w:ascii="Verdana" w:hAnsi="Verdana"/>
          <w:sz w:val="19"/>
          <w:szCs w:val="19"/>
        </w:rPr>
      </w:pPr>
      <w:r w:rsidRPr="0088508C">
        <w:rPr>
          <w:rFonts w:ascii="Verdana" w:hAnsi="Verdana"/>
          <w:sz w:val="19"/>
          <w:szCs w:val="19"/>
        </w:rPr>
        <w:t xml:space="preserve">para. 65 speaks of “review by a court </w:t>
      </w:r>
      <w:r w:rsidRPr="0088508C">
        <w:rPr>
          <w:rFonts w:ascii="Verdana" w:hAnsi="Verdana"/>
          <w:sz w:val="19"/>
          <w:szCs w:val="19"/>
          <w:u w:val="single"/>
        </w:rPr>
        <w:t>or an equivalently independent and impartial tribunal</w:t>
      </w:r>
      <w:r w:rsidRPr="0088508C">
        <w:rPr>
          <w:rFonts w:ascii="Verdana" w:hAnsi="Verdana"/>
          <w:sz w:val="19"/>
          <w:szCs w:val="19"/>
        </w:rPr>
        <w:t>”, (</w:t>
      </w:r>
      <w:r w:rsidRPr="0088508C">
        <w:rPr>
          <w:rFonts w:ascii="Verdana" w:hAnsi="Verdana"/>
          <w:sz w:val="19"/>
          <w:szCs w:val="19"/>
          <w:u w:val="single"/>
        </w:rPr>
        <w:t>emphasis added</w:t>
      </w:r>
      <w:r w:rsidRPr="0088508C">
        <w:rPr>
          <w:rFonts w:ascii="Verdana" w:hAnsi="Verdana"/>
          <w:sz w:val="19"/>
          <w:szCs w:val="19"/>
        </w:rPr>
        <w:t>).</w:t>
      </w:r>
    </w:p>
    <w:p w14:paraId="220BB50F" w14:textId="77777777" w:rsidR="00027FF9" w:rsidRPr="0088508C" w:rsidRDefault="00027FF9" w:rsidP="0088508C">
      <w:pPr>
        <w:pStyle w:val="ListParagraph"/>
        <w:ind w:left="426"/>
        <w:jc w:val="both"/>
        <w:rPr>
          <w:rFonts w:ascii="Verdana" w:hAnsi="Verdana"/>
          <w:sz w:val="19"/>
          <w:szCs w:val="19"/>
        </w:rPr>
      </w:pPr>
    </w:p>
    <w:p w14:paraId="362DBBDE" w14:textId="111734F3" w:rsidR="00D122B2" w:rsidRPr="0088508C" w:rsidRDefault="00AB2844" w:rsidP="0088508C">
      <w:pPr>
        <w:pStyle w:val="ListParagraph"/>
        <w:numPr>
          <w:ilvl w:val="0"/>
          <w:numId w:val="4"/>
        </w:numPr>
        <w:ind w:left="426"/>
        <w:jc w:val="both"/>
        <w:rPr>
          <w:rFonts w:ascii="Verdana" w:hAnsi="Verdana"/>
          <w:sz w:val="19"/>
          <w:szCs w:val="19"/>
        </w:rPr>
      </w:pPr>
      <w:r w:rsidRPr="0088508C">
        <w:rPr>
          <w:rFonts w:ascii="Verdana" w:hAnsi="Verdana"/>
          <w:sz w:val="19"/>
          <w:szCs w:val="19"/>
          <w:lang w:val="en-US"/>
        </w:rPr>
        <w:t>In light of this, the ICJ is particularly concerned that the above-mentioned formulations in paras. 15, 45 and 65 do not</w:t>
      </w:r>
      <w:r w:rsidR="001E2592" w:rsidRPr="0088508C">
        <w:rPr>
          <w:rFonts w:ascii="Verdana" w:hAnsi="Verdana"/>
          <w:sz w:val="19"/>
          <w:szCs w:val="19"/>
          <w:lang w:val="en-US"/>
        </w:rPr>
        <w:t xml:space="preserve"> </w:t>
      </w:r>
      <w:r w:rsidRPr="0088508C">
        <w:rPr>
          <w:rFonts w:ascii="Verdana" w:hAnsi="Verdana"/>
          <w:sz w:val="19"/>
          <w:szCs w:val="19"/>
          <w:lang w:val="en-US"/>
        </w:rPr>
        <w:t xml:space="preserve">require </w:t>
      </w:r>
      <w:r w:rsidRPr="0050792D">
        <w:rPr>
          <w:rFonts w:ascii="Verdana" w:hAnsi="Verdana"/>
          <w:b/>
          <w:sz w:val="19"/>
          <w:szCs w:val="19"/>
          <w:lang w:val="en-US"/>
        </w:rPr>
        <w:t>judicial supervision</w:t>
      </w:r>
      <w:r w:rsidRPr="0088508C">
        <w:rPr>
          <w:rFonts w:ascii="Verdana" w:hAnsi="Verdana"/>
          <w:sz w:val="19"/>
          <w:szCs w:val="19"/>
          <w:lang w:val="en-US"/>
        </w:rPr>
        <w:t xml:space="preserve"> of detention under Article 9(3) </w:t>
      </w:r>
      <w:r w:rsidR="00AE4C38" w:rsidRPr="0088508C">
        <w:rPr>
          <w:rFonts w:ascii="Verdana" w:hAnsi="Verdana"/>
          <w:sz w:val="19"/>
          <w:szCs w:val="19"/>
          <w:lang w:val="en-US"/>
        </w:rPr>
        <w:t xml:space="preserve">nor </w:t>
      </w:r>
      <w:r w:rsidR="006329A6" w:rsidRPr="0088508C">
        <w:rPr>
          <w:rFonts w:ascii="Verdana" w:hAnsi="Verdana"/>
          <w:sz w:val="19"/>
          <w:szCs w:val="19"/>
          <w:lang w:val="en-US"/>
        </w:rPr>
        <w:t xml:space="preserve">the right to </w:t>
      </w:r>
      <w:r w:rsidR="00916FE0" w:rsidRPr="0088508C">
        <w:rPr>
          <w:rFonts w:ascii="Verdana" w:hAnsi="Verdana"/>
          <w:sz w:val="19"/>
          <w:szCs w:val="19"/>
          <w:lang w:val="en-US"/>
        </w:rPr>
        <w:t>a</w:t>
      </w:r>
      <w:r w:rsidRPr="0088508C">
        <w:rPr>
          <w:rFonts w:ascii="Verdana" w:hAnsi="Verdana"/>
          <w:sz w:val="19"/>
          <w:szCs w:val="19"/>
          <w:lang w:val="en-US"/>
        </w:rPr>
        <w:t xml:space="preserve"> </w:t>
      </w:r>
      <w:r w:rsidRPr="0088508C">
        <w:rPr>
          <w:rFonts w:ascii="Verdana" w:hAnsi="Verdana"/>
          <w:i/>
          <w:sz w:val="19"/>
          <w:szCs w:val="19"/>
          <w:lang w:val="en-US"/>
        </w:rPr>
        <w:t>habeas</w:t>
      </w:r>
      <w:r w:rsidR="00916FE0" w:rsidRPr="0088508C">
        <w:rPr>
          <w:rFonts w:ascii="Verdana" w:hAnsi="Verdana"/>
          <w:sz w:val="19"/>
          <w:szCs w:val="19"/>
          <w:lang w:val="en-US"/>
        </w:rPr>
        <w:t>-type challenge to the lawfulness of detention</w:t>
      </w:r>
      <w:r w:rsidR="00DE360C">
        <w:rPr>
          <w:rFonts w:ascii="Verdana" w:hAnsi="Verdana"/>
          <w:sz w:val="19"/>
          <w:szCs w:val="19"/>
          <w:lang w:val="en-US"/>
        </w:rPr>
        <w:t xml:space="preserve"> under A</w:t>
      </w:r>
      <w:r w:rsidRPr="0088508C">
        <w:rPr>
          <w:rFonts w:ascii="Verdana" w:hAnsi="Verdana"/>
          <w:sz w:val="19"/>
          <w:szCs w:val="19"/>
          <w:lang w:val="en-US"/>
        </w:rPr>
        <w:t xml:space="preserve">rticle 9(4) before a </w:t>
      </w:r>
      <w:r w:rsidRPr="0050792D">
        <w:rPr>
          <w:rFonts w:ascii="Verdana" w:hAnsi="Verdana"/>
          <w:b/>
          <w:sz w:val="19"/>
          <w:szCs w:val="19"/>
          <w:lang w:val="en-US"/>
        </w:rPr>
        <w:t>judge/court</w:t>
      </w:r>
      <w:r w:rsidRPr="0088508C">
        <w:rPr>
          <w:rFonts w:ascii="Verdana" w:hAnsi="Verdana"/>
          <w:sz w:val="19"/>
          <w:szCs w:val="19"/>
          <w:lang w:val="en-US"/>
        </w:rPr>
        <w:t xml:space="preserve">. </w:t>
      </w:r>
      <w:r w:rsidR="00462F30" w:rsidRPr="0088508C">
        <w:rPr>
          <w:rFonts w:ascii="Verdana" w:hAnsi="Verdana"/>
          <w:sz w:val="19"/>
          <w:szCs w:val="19"/>
          <w:lang w:val="en-US"/>
        </w:rPr>
        <w:t>As presently formulated, those shortcomings may unwittingly be exploited to justify holding people in administrativ</w:t>
      </w:r>
      <w:r w:rsidR="00DF3111">
        <w:rPr>
          <w:rFonts w:ascii="Verdana" w:hAnsi="Verdana"/>
          <w:sz w:val="19"/>
          <w:szCs w:val="19"/>
          <w:lang w:val="en-US"/>
        </w:rPr>
        <w:t>e detention without access to a</w:t>
      </w:r>
      <w:r w:rsidR="00462F30" w:rsidRPr="0088508C">
        <w:rPr>
          <w:rFonts w:ascii="Verdana" w:hAnsi="Verdana"/>
          <w:sz w:val="19"/>
          <w:szCs w:val="19"/>
          <w:lang w:val="en-US"/>
        </w:rPr>
        <w:t xml:space="preserve"> judge</w:t>
      </w:r>
      <w:r w:rsidR="00ED10A0">
        <w:rPr>
          <w:rFonts w:ascii="Verdana" w:hAnsi="Verdana"/>
          <w:sz w:val="19"/>
          <w:szCs w:val="19"/>
          <w:lang w:val="en-US"/>
        </w:rPr>
        <w:t xml:space="preserve"> or court</w:t>
      </w:r>
      <w:r w:rsidR="0084463E" w:rsidRPr="0088508C">
        <w:rPr>
          <w:rFonts w:ascii="Verdana" w:hAnsi="Verdana"/>
          <w:sz w:val="19"/>
          <w:szCs w:val="19"/>
          <w:lang w:val="en-US"/>
        </w:rPr>
        <w:t>, under Article 9(3) or 9(4)</w:t>
      </w:r>
      <w:r w:rsidR="00506891" w:rsidRPr="0088508C">
        <w:rPr>
          <w:rFonts w:ascii="Verdana" w:hAnsi="Verdana"/>
          <w:sz w:val="19"/>
          <w:szCs w:val="19"/>
          <w:lang w:val="en-US"/>
        </w:rPr>
        <w:t xml:space="preserve"> of the Covenant</w:t>
      </w:r>
      <w:r w:rsidR="00462F30" w:rsidRPr="0088508C">
        <w:rPr>
          <w:rFonts w:ascii="Verdana" w:hAnsi="Verdana"/>
          <w:sz w:val="19"/>
          <w:szCs w:val="19"/>
          <w:lang w:val="en-US"/>
        </w:rPr>
        <w:t xml:space="preserve">. </w:t>
      </w:r>
    </w:p>
    <w:p w14:paraId="138D0F10" w14:textId="77777777" w:rsidR="00D122B2" w:rsidRPr="0088508C" w:rsidRDefault="00D122B2" w:rsidP="0088508C">
      <w:pPr>
        <w:pStyle w:val="ListParagraph"/>
        <w:ind w:left="426"/>
        <w:jc w:val="both"/>
        <w:rPr>
          <w:rFonts w:ascii="Verdana" w:hAnsi="Verdana"/>
          <w:sz w:val="19"/>
          <w:szCs w:val="19"/>
        </w:rPr>
      </w:pPr>
    </w:p>
    <w:p w14:paraId="591F10B6" w14:textId="77777777" w:rsidR="007C16CD" w:rsidRPr="007C16CD" w:rsidRDefault="00BA2241" w:rsidP="000622AA">
      <w:pPr>
        <w:pStyle w:val="ListParagraph"/>
        <w:numPr>
          <w:ilvl w:val="0"/>
          <w:numId w:val="4"/>
        </w:numPr>
        <w:ind w:left="426"/>
        <w:jc w:val="both"/>
        <w:rPr>
          <w:rFonts w:ascii="Verdana" w:hAnsi="Verdana"/>
          <w:sz w:val="19"/>
          <w:szCs w:val="19"/>
        </w:rPr>
      </w:pPr>
      <w:r w:rsidRPr="0088508C">
        <w:rPr>
          <w:rFonts w:ascii="Verdana" w:hAnsi="Verdana"/>
          <w:sz w:val="19"/>
          <w:szCs w:val="19"/>
          <w:lang w:val="en-US"/>
        </w:rPr>
        <w:t>Indeed, o</w:t>
      </w:r>
      <w:r w:rsidR="00D33E04" w:rsidRPr="0088508C">
        <w:rPr>
          <w:rFonts w:ascii="Verdana" w:hAnsi="Verdana"/>
          <w:sz w:val="19"/>
          <w:szCs w:val="19"/>
          <w:lang w:val="en-US"/>
        </w:rPr>
        <w:t xml:space="preserve">n both </w:t>
      </w:r>
      <w:r w:rsidR="00435D02" w:rsidRPr="0088508C">
        <w:rPr>
          <w:rFonts w:ascii="Verdana" w:hAnsi="Verdana"/>
          <w:sz w:val="19"/>
          <w:szCs w:val="19"/>
          <w:lang w:val="en-US"/>
        </w:rPr>
        <w:t xml:space="preserve">of these </w:t>
      </w:r>
      <w:r w:rsidR="00D33E04" w:rsidRPr="0088508C">
        <w:rPr>
          <w:rFonts w:ascii="Verdana" w:hAnsi="Verdana"/>
          <w:sz w:val="19"/>
          <w:szCs w:val="19"/>
          <w:lang w:val="en-US"/>
        </w:rPr>
        <w:t>counts, the</w:t>
      </w:r>
      <w:r w:rsidR="003A262F">
        <w:rPr>
          <w:rFonts w:ascii="Verdana" w:hAnsi="Verdana"/>
          <w:sz w:val="19"/>
          <w:szCs w:val="19"/>
          <w:lang w:val="en-US"/>
        </w:rPr>
        <w:t>se</w:t>
      </w:r>
      <w:r w:rsidR="00D33E04" w:rsidRPr="0088508C">
        <w:rPr>
          <w:rFonts w:ascii="Verdana" w:hAnsi="Verdana"/>
          <w:sz w:val="19"/>
          <w:szCs w:val="19"/>
          <w:lang w:val="en-US"/>
        </w:rPr>
        <w:t xml:space="preserve"> formulations are inconsistent with </w:t>
      </w:r>
      <w:r w:rsidR="001E2592" w:rsidRPr="0088508C">
        <w:rPr>
          <w:rFonts w:ascii="Verdana" w:hAnsi="Verdana"/>
          <w:sz w:val="19"/>
          <w:szCs w:val="19"/>
          <w:lang w:val="en-US"/>
        </w:rPr>
        <w:t>the Covenant itself, since Article 9(3), on the one hand, speaks of “a judge or other officer authorized by law to exercise judicial power”, as well as of “judicial proceedings”;</w:t>
      </w:r>
      <w:r w:rsidR="000F1DE8" w:rsidRPr="000F1DE8">
        <w:rPr>
          <w:rFonts w:ascii="Verdana" w:hAnsi="Verdana"/>
          <w:sz w:val="19"/>
          <w:szCs w:val="19"/>
          <w:vertAlign w:val="superscript"/>
          <w:lang w:val="en-US"/>
        </w:rPr>
        <w:footnoteReference w:id="18"/>
      </w:r>
      <w:r w:rsidR="001E2592" w:rsidRPr="0088508C">
        <w:rPr>
          <w:rFonts w:ascii="Verdana" w:hAnsi="Verdana"/>
          <w:sz w:val="19"/>
          <w:szCs w:val="19"/>
          <w:lang w:val="en-US"/>
        </w:rPr>
        <w:t xml:space="preserve"> while Article 9(4), on the other, refers to “proceedings before a court”.</w:t>
      </w:r>
      <w:r w:rsidR="00D77E60" w:rsidRPr="0088508C">
        <w:rPr>
          <w:rStyle w:val="FootnoteReference"/>
          <w:rFonts w:ascii="Verdana" w:hAnsi="Verdana"/>
          <w:sz w:val="19"/>
          <w:szCs w:val="19"/>
          <w:lang w:val="en-US"/>
        </w:rPr>
        <w:footnoteReference w:id="19"/>
      </w:r>
      <w:r w:rsidR="001E2592" w:rsidRPr="0088508C">
        <w:rPr>
          <w:rFonts w:ascii="Verdana" w:hAnsi="Verdana"/>
          <w:sz w:val="19"/>
          <w:szCs w:val="19"/>
          <w:lang w:val="en-US"/>
        </w:rPr>
        <w:t xml:space="preserve"> </w:t>
      </w:r>
    </w:p>
    <w:p w14:paraId="45A67AC5" w14:textId="77777777" w:rsidR="007C16CD" w:rsidRPr="007C16CD" w:rsidRDefault="007C16CD" w:rsidP="007C16CD">
      <w:pPr>
        <w:jc w:val="both"/>
        <w:rPr>
          <w:rFonts w:ascii="Verdana" w:hAnsi="Verdana"/>
          <w:sz w:val="19"/>
          <w:szCs w:val="19"/>
          <w:lang w:val="en-US"/>
        </w:rPr>
      </w:pPr>
    </w:p>
    <w:p w14:paraId="50F12D8D" w14:textId="17D0F07C" w:rsidR="0057515E" w:rsidRPr="000622AA" w:rsidRDefault="001E2592" w:rsidP="000622AA">
      <w:pPr>
        <w:pStyle w:val="ListParagraph"/>
        <w:numPr>
          <w:ilvl w:val="0"/>
          <w:numId w:val="4"/>
        </w:numPr>
        <w:ind w:left="426"/>
        <w:jc w:val="both"/>
        <w:rPr>
          <w:rFonts w:ascii="Verdana" w:hAnsi="Verdana"/>
          <w:sz w:val="19"/>
          <w:szCs w:val="19"/>
        </w:rPr>
      </w:pPr>
      <w:r w:rsidRPr="0088508C">
        <w:rPr>
          <w:rFonts w:ascii="Verdana" w:hAnsi="Verdana"/>
          <w:sz w:val="19"/>
          <w:szCs w:val="19"/>
          <w:lang w:val="en-US"/>
        </w:rPr>
        <w:t>In additi</w:t>
      </w:r>
      <w:r w:rsidR="00AE4C38" w:rsidRPr="0088508C">
        <w:rPr>
          <w:rFonts w:ascii="Verdana" w:hAnsi="Verdana"/>
          <w:sz w:val="19"/>
          <w:szCs w:val="19"/>
          <w:lang w:val="en-US"/>
        </w:rPr>
        <w:t xml:space="preserve">on and </w:t>
      </w:r>
      <w:r w:rsidR="00AD3523" w:rsidRPr="0088508C">
        <w:rPr>
          <w:rFonts w:ascii="Verdana" w:hAnsi="Verdana"/>
          <w:sz w:val="19"/>
          <w:szCs w:val="19"/>
          <w:lang w:val="en-US"/>
        </w:rPr>
        <w:t>for the same reasons, paras.</w:t>
      </w:r>
      <w:r w:rsidRPr="0088508C">
        <w:rPr>
          <w:rFonts w:ascii="Verdana" w:hAnsi="Verdana"/>
          <w:sz w:val="19"/>
          <w:szCs w:val="19"/>
          <w:lang w:val="en-US"/>
        </w:rPr>
        <w:t xml:space="preserve"> 15, 45 a</w:t>
      </w:r>
      <w:r w:rsidR="00AD3523" w:rsidRPr="0088508C">
        <w:rPr>
          <w:rFonts w:ascii="Verdana" w:hAnsi="Verdana"/>
          <w:sz w:val="19"/>
          <w:szCs w:val="19"/>
          <w:lang w:val="en-US"/>
        </w:rPr>
        <w:t>nd 65 fall</w:t>
      </w:r>
      <w:r w:rsidRPr="0088508C">
        <w:rPr>
          <w:rFonts w:ascii="Verdana" w:hAnsi="Verdana"/>
          <w:sz w:val="19"/>
          <w:szCs w:val="19"/>
          <w:lang w:val="en-US"/>
        </w:rPr>
        <w:t xml:space="preserve"> short of the pertinent formulations in </w:t>
      </w:r>
      <w:r w:rsidR="00F6450D">
        <w:rPr>
          <w:rFonts w:ascii="Verdana" w:hAnsi="Verdana"/>
          <w:sz w:val="19"/>
          <w:szCs w:val="19"/>
          <w:lang w:val="en-US"/>
        </w:rPr>
        <w:t xml:space="preserve">other </w:t>
      </w:r>
      <w:r w:rsidR="00D33E04" w:rsidRPr="0088508C">
        <w:rPr>
          <w:rFonts w:ascii="Verdana" w:hAnsi="Verdana"/>
          <w:sz w:val="19"/>
          <w:szCs w:val="19"/>
          <w:lang w:val="en-US"/>
        </w:rPr>
        <w:t>General Comments</w:t>
      </w:r>
      <w:r w:rsidR="00BB16F5" w:rsidRPr="0088508C">
        <w:rPr>
          <w:rStyle w:val="FootnoteReference"/>
          <w:rFonts w:ascii="Verdana" w:hAnsi="Verdana"/>
          <w:sz w:val="19"/>
          <w:szCs w:val="19"/>
          <w:lang w:val="en-US"/>
        </w:rPr>
        <w:footnoteReference w:id="20"/>
      </w:r>
      <w:r w:rsidR="00D33E04" w:rsidRPr="0088508C">
        <w:rPr>
          <w:rFonts w:ascii="Verdana" w:hAnsi="Verdana"/>
          <w:sz w:val="19"/>
          <w:szCs w:val="19"/>
          <w:lang w:val="en-US"/>
        </w:rPr>
        <w:t xml:space="preserve"> and</w:t>
      </w:r>
      <w:r w:rsidR="00BC4C0E" w:rsidRPr="0088508C">
        <w:rPr>
          <w:rFonts w:ascii="Verdana" w:hAnsi="Verdana"/>
          <w:sz w:val="19"/>
          <w:szCs w:val="19"/>
          <w:lang w:val="en-US"/>
        </w:rPr>
        <w:t xml:space="preserve"> </w:t>
      </w:r>
      <w:r w:rsidR="00F6450D">
        <w:rPr>
          <w:rFonts w:ascii="Verdana" w:hAnsi="Verdana"/>
          <w:sz w:val="19"/>
          <w:szCs w:val="19"/>
          <w:lang w:val="en-US"/>
        </w:rPr>
        <w:t>recommendations</w:t>
      </w:r>
      <w:r w:rsidR="005920B5">
        <w:rPr>
          <w:rFonts w:ascii="Verdana" w:hAnsi="Verdana"/>
          <w:sz w:val="19"/>
          <w:szCs w:val="19"/>
          <w:lang w:val="en-US"/>
        </w:rPr>
        <w:t xml:space="preserve"> by the Committee</w:t>
      </w:r>
      <w:r w:rsidR="00F6450D">
        <w:rPr>
          <w:rFonts w:ascii="Verdana" w:hAnsi="Verdana"/>
          <w:sz w:val="19"/>
          <w:szCs w:val="19"/>
          <w:lang w:val="en-US"/>
        </w:rPr>
        <w:t xml:space="preserve"> </w:t>
      </w:r>
      <w:r w:rsidR="00BC4C0E" w:rsidRPr="0088508C">
        <w:rPr>
          <w:rFonts w:ascii="Verdana" w:hAnsi="Verdana"/>
          <w:sz w:val="19"/>
          <w:szCs w:val="19"/>
          <w:lang w:val="en-US"/>
        </w:rPr>
        <w:t>on these matters.</w:t>
      </w:r>
      <w:r w:rsidR="00BC4C0E" w:rsidRPr="0088508C">
        <w:rPr>
          <w:rStyle w:val="FootnoteReference"/>
          <w:rFonts w:ascii="Verdana" w:hAnsi="Verdana"/>
          <w:sz w:val="19"/>
          <w:szCs w:val="19"/>
          <w:lang w:val="en-US"/>
        </w:rPr>
        <w:footnoteReference w:id="21"/>
      </w:r>
      <w:r w:rsidR="00BC4C0E" w:rsidRPr="0088508C">
        <w:rPr>
          <w:rFonts w:ascii="Verdana" w:hAnsi="Verdana"/>
          <w:sz w:val="19"/>
          <w:szCs w:val="19"/>
          <w:lang w:val="en-US"/>
        </w:rPr>
        <w:t xml:space="preserve"> </w:t>
      </w:r>
      <w:r w:rsidR="0057515E" w:rsidRPr="000622AA">
        <w:rPr>
          <w:rFonts w:ascii="Verdana" w:hAnsi="Verdana"/>
          <w:sz w:val="19"/>
          <w:szCs w:val="19"/>
          <w:lang w:val="en-US"/>
        </w:rPr>
        <w:t>Further, notwithstanding the fact that the right to take proceedings to challenge the lawfulness of detention before a court is not listed in Article 4 among the non-derogable provisions of the Covenant, the Committee has determined that Article 9(4) is non-derogable as an essential element of the right to liberty and security of person and must be preserved under any circumstances.</w:t>
      </w:r>
      <w:r w:rsidR="0057515E" w:rsidRPr="0088508C">
        <w:rPr>
          <w:vertAlign w:val="superscript"/>
          <w:lang w:val="en-US"/>
        </w:rPr>
        <w:footnoteReference w:id="22"/>
      </w:r>
      <w:r w:rsidR="0057515E" w:rsidRPr="000622AA">
        <w:rPr>
          <w:rFonts w:ascii="Verdana" w:hAnsi="Verdana"/>
          <w:sz w:val="19"/>
          <w:szCs w:val="19"/>
          <w:lang w:val="en-US"/>
        </w:rPr>
        <w:t xml:space="preserve"> Such a right must always apply, even in times of emergency. It safeguards the right to liberty and other rights, including non-derogable rights such as the right to be free from torture and other ill-treatment.</w:t>
      </w:r>
      <w:r w:rsidR="0057515E" w:rsidRPr="0088508C">
        <w:rPr>
          <w:rStyle w:val="FootnoteReference"/>
          <w:rFonts w:ascii="Verdana" w:hAnsi="Verdana"/>
          <w:sz w:val="19"/>
          <w:szCs w:val="19"/>
          <w:lang w:val="en-US"/>
        </w:rPr>
        <w:footnoteReference w:id="23"/>
      </w:r>
    </w:p>
    <w:p w14:paraId="1EFE554C" w14:textId="77777777" w:rsidR="0057515E" w:rsidRPr="0057515E" w:rsidRDefault="0057515E" w:rsidP="0057515E">
      <w:pPr>
        <w:pStyle w:val="ListParagraph"/>
        <w:ind w:left="426"/>
        <w:jc w:val="both"/>
        <w:rPr>
          <w:rFonts w:ascii="Verdana" w:hAnsi="Verdana"/>
          <w:sz w:val="19"/>
          <w:szCs w:val="19"/>
        </w:rPr>
      </w:pPr>
    </w:p>
    <w:p w14:paraId="4325783B" w14:textId="4A51C089" w:rsidR="0057515E" w:rsidRPr="0057515E" w:rsidRDefault="002019A4" w:rsidP="0088508C">
      <w:pPr>
        <w:pStyle w:val="ListParagraph"/>
        <w:numPr>
          <w:ilvl w:val="0"/>
          <w:numId w:val="4"/>
        </w:numPr>
        <w:ind w:left="426"/>
        <w:jc w:val="both"/>
        <w:rPr>
          <w:rFonts w:ascii="Verdana" w:hAnsi="Verdana"/>
          <w:sz w:val="19"/>
          <w:szCs w:val="19"/>
        </w:rPr>
      </w:pPr>
      <w:r w:rsidRPr="0088508C">
        <w:rPr>
          <w:rFonts w:ascii="Verdana" w:hAnsi="Verdana"/>
          <w:sz w:val="19"/>
          <w:szCs w:val="19"/>
          <w:lang w:val="en-US"/>
        </w:rPr>
        <w:t>T</w:t>
      </w:r>
      <w:r w:rsidR="00BB16F5" w:rsidRPr="0088508C">
        <w:rPr>
          <w:rFonts w:ascii="Verdana" w:hAnsi="Verdana"/>
          <w:sz w:val="19"/>
          <w:szCs w:val="19"/>
          <w:lang w:val="en-US"/>
        </w:rPr>
        <w:t xml:space="preserve">herefore, </w:t>
      </w:r>
      <w:r w:rsidRPr="0088508C">
        <w:rPr>
          <w:rFonts w:ascii="Verdana" w:hAnsi="Verdana"/>
          <w:sz w:val="19"/>
          <w:szCs w:val="19"/>
          <w:lang w:val="en-US"/>
        </w:rPr>
        <w:t xml:space="preserve">the adoption of paras. 15, 45 and 65 as currently formulated </w:t>
      </w:r>
      <w:r w:rsidR="00D33E04" w:rsidRPr="0088508C">
        <w:rPr>
          <w:rFonts w:ascii="Verdana" w:hAnsi="Verdana"/>
          <w:sz w:val="19"/>
          <w:szCs w:val="19"/>
          <w:lang w:val="en-US"/>
        </w:rPr>
        <w:t xml:space="preserve">would represent a </w:t>
      </w:r>
      <w:r w:rsidR="00ED10A0">
        <w:rPr>
          <w:rFonts w:ascii="Verdana" w:hAnsi="Verdana"/>
          <w:sz w:val="19"/>
          <w:szCs w:val="19"/>
          <w:lang w:val="en-US"/>
        </w:rPr>
        <w:t xml:space="preserve">most regrettable, </w:t>
      </w:r>
      <w:r w:rsidR="00D33E04" w:rsidRPr="0088508C">
        <w:rPr>
          <w:rFonts w:ascii="Verdana" w:hAnsi="Verdana"/>
          <w:sz w:val="19"/>
          <w:szCs w:val="19"/>
          <w:lang w:val="en-US"/>
        </w:rPr>
        <w:t xml:space="preserve">regressive </w:t>
      </w:r>
      <w:r w:rsidR="00AB2844" w:rsidRPr="0088508C">
        <w:rPr>
          <w:rFonts w:ascii="Verdana" w:hAnsi="Verdana"/>
          <w:sz w:val="19"/>
          <w:szCs w:val="19"/>
          <w:lang w:val="en-US"/>
        </w:rPr>
        <w:t>step</w:t>
      </w:r>
      <w:r w:rsidR="00ED10A0">
        <w:rPr>
          <w:rFonts w:ascii="Verdana" w:hAnsi="Verdana"/>
          <w:sz w:val="19"/>
          <w:szCs w:val="19"/>
          <w:lang w:val="en-US"/>
        </w:rPr>
        <w:t>, which could lead to diminishing rather than enhancing protection of detained individuals, including those interned on grounds of security within or outside the context of NIAC</w:t>
      </w:r>
      <w:r w:rsidR="00D33E04" w:rsidRPr="0088508C">
        <w:rPr>
          <w:rFonts w:ascii="Verdana" w:hAnsi="Verdana"/>
          <w:sz w:val="19"/>
          <w:szCs w:val="19"/>
          <w:lang w:val="en-US"/>
        </w:rPr>
        <w:t>.</w:t>
      </w:r>
    </w:p>
    <w:p w14:paraId="5F931CB8" w14:textId="77777777" w:rsidR="00B353A9" w:rsidRDefault="00B353A9" w:rsidP="0088508C">
      <w:pPr>
        <w:jc w:val="both"/>
        <w:rPr>
          <w:rFonts w:ascii="Verdana" w:hAnsi="Verdana"/>
          <w:sz w:val="19"/>
          <w:szCs w:val="19"/>
          <w:lang w:val="en-US"/>
        </w:rPr>
      </w:pPr>
    </w:p>
    <w:p w14:paraId="6C2BF3E1" w14:textId="77777777" w:rsidR="00791F60" w:rsidRPr="00600691" w:rsidRDefault="003B2DA9" w:rsidP="003B2DA9">
      <w:pPr>
        <w:ind w:left="426"/>
        <w:jc w:val="both"/>
        <w:rPr>
          <w:rFonts w:ascii="Verdana" w:hAnsi="Verdana"/>
          <w:i/>
          <w:sz w:val="19"/>
          <w:szCs w:val="19"/>
          <w:u w:val="single"/>
          <w:lang w:val="en-US"/>
        </w:rPr>
      </w:pPr>
      <w:r w:rsidRPr="00600691">
        <w:rPr>
          <w:rFonts w:ascii="Verdana" w:hAnsi="Verdana"/>
          <w:i/>
          <w:sz w:val="19"/>
          <w:szCs w:val="19"/>
          <w:u w:val="single"/>
          <w:lang w:val="en-US"/>
        </w:rPr>
        <w:t xml:space="preserve">Recommendations </w:t>
      </w:r>
      <w:r w:rsidR="00791F60" w:rsidRPr="00600691">
        <w:rPr>
          <w:rFonts w:ascii="Verdana" w:hAnsi="Verdana"/>
          <w:i/>
          <w:sz w:val="19"/>
          <w:szCs w:val="19"/>
          <w:u w:val="single"/>
          <w:lang w:val="en-US"/>
        </w:rPr>
        <w:t>about paras. 15, 45 and 65 of the present draft</w:t>
      </w:r>
    </w:p>
    <w:p w14:paraId="1CDC565A" w14:textId="6D37F353" w:rsidR="003B2DA9" w:rsidRPr="0088508C" w:rsidRDefault="003B2DA9" w:rsidP="003B2DA9">
      <w:pPr>
        <w:ind w:left="426"/>
        <w:jc w:val="both"/>
        <w:rPr>
          <w:rFonts w:ascii="Verdana" w:hAnsi="Verdana"/>
          <w:sz w:val="19"/>
          <w:szCs w:val="19"/>
          <w:lang w:val="en-US"/>
        </w:rPr>
      </w:pPr>
      <w:r>
        <w:rPr>
          <w:rFonts w:ascii="Verdana" w:hAnsi="Verdana"/>
          <w:sz w:val="19"/>
          <w:szCs w:val="19"/>
          <w:lang w:val="en-US"/>
        </w:rPr>
        <w:t xml:space="preserve"> </w:t>
      </w:r>
    </w:p>
    <w:p w14:paraId="29C1BB4D" w14:textId="10DCD38F" w:rsidR="00490772" w:rsidRPr="005C2482" w:rsidRDefault="00F41435" w:rsidP="0088508C">
      <w:pPr>
        <w:pStyle w:val="ListParagraph"/>
        <w:numPr>
          <w:ilvl w:val="0"/>
          <w:numId w:val="4"/>
        </w:numPr>
        <w:ind w:left="426"/>
        <w:jc w:val="both"/>
        <w:rPr>
          <w:rFonts w:ascii="Verdana" w:hAnsi="Verdana"/>
          <w:sz w:val="19"/>
          <w:szCs w:val="19"/>
        </w:rPr>
      </w:pPr>
      <w:r>
        <w:rPr>
          <w:rFonts w:ascii="Verdana" w:hAnsi="Verdana"/>
          <w:sz w:val="19"/>
          <w:szCs w:val="19"/>
          <w:lang w:val="en-US"/>
        </w:rPr>
        <w:t>In light of the concerns</w:t>
      </w:r>
      <w:r w:rsidR="006A50DE">
        <w:rPr>
          <w:rFonts w:ascii="Verdana" w:hAnsi="Verdana"/>
          <w:sz w:val="19"/>
          <w:szCs w:val="19"/>
          <w:lang w:val="en-US"/>
        </w:rPr>
        <w:t xml:space="preserve"> set out above, t</w:t>
      </w:r>
      <w:r w:rsidR="004A3DDA" w:rsidRPr="0088508C">
        <w:rPr>
          <w:rFonts w:ascii="Verdana" w:hAnsi="Verdana"/>
          <w:sz w:val="19"/>
          <w:szCs w:val="19"/>
          <w:lang w:val="en-US"/>
        </w:rPr>
        <w:t xml:space="preserve">he ICJ urges the Committee to make it clear that, at all times, </w:t>
      </w:r>
      <w:r w:rsidR="00047F09" w:rsidRPr="0088508C">
        <w:rPr>
          <w:rFonts w:ascii="Verdana" w:hAnsi="Verdana"/>
          <w:sz w:val="19"/>
          <w:szCs w:val="19"/>
          <w:lang w:val="en-US"/>
        </w:rPr>
        <w:t xml:space="preserve">whether in the context of proceedings pursuant to Article 9(3) or Article 9(4), </w:t>
      </w:r>
      <w:r w:rsidR="004A3DDA" w:rsidRPr="0088508C">
        <w:rPr>
          <w:rFonts w:ascii="Verdana" w:hAnsi="Verdana"/>
          <w:sz w:val="19"/>
          <w:szCs w:val="19"/>
          <w:lang w:val="en-US"/>
        </w:rPr>
        <w:t>the body reviewing the lawfulness of detention must be a court that is impartial and independent of the executive.</w:t>
      </w:r>
      <w:r w:rsidR="0056547C" w:rsidRPr="0088508C">
        <w:rPr>
          <w:rFonts w:ascii="Verdana" w:hAnsi="Verdana"/>
          <w:sz w:val="19"/>
          <w:szCs w:val="19"/>
          <w:lang w:val="en-US"/>
        </w:rPr>
        <w:t xml:space="preserve"> </w:t>
      </w:r>
      <w:r w:rsidR="00ED10A0">
        <w:rPr>
          <w:rFonts w:ascii="Verdana" w:hAnsi="Verdana"/>
          <w:sz w:val="19"/>
          <w:szCs w:val="19"/>
          <w:lang w:val="en-US"/>
        </w:rPr>
        <w:t xml:space="preserve">To this end: </w:t>
      </w:r>
    </w:p>
    <w:p w14:paraId="083B4780" w14:textId="77777777" w:rsidR="00490772" w:rsidRPr="00490772" w:rsidRDefault="00490772" w:rsidP="00915ED5">
      <w:pPr>
        <w:jc w:val="both"/>
        <w:rPr>
          <w:rFonts w:ascii="Verdana" w:hAnsi="Verdana"/>
          <w:sz w:val="19"/>
          <w:szCs w:val="19"/>
          <w:lang w:val="en-US"/>
        </w:rPr>
      </w:pPr>
    </w:p>
    <w:p w14:paraId="6532BAC3" w14:textId="175CFAC4" w:rsidR="00414A66" w:rsidRPr="00414A66" w:rsidRDefault="00915ED5" w:rsidP="00414A66">
      <w:pPr>
        <w:pStyle w:val="ListParagraph"/>
        <w:numPr>
          <w:ilvl w:val="0"/>
          <w:numId w:val="32"/>
        </w:numPr>
        <w:jc w:val="both"/>
        <w:rPr>
          <w:rFonts w:ascii="Verdana" w:hAnsi="Verdana"/>
          <w:sz w:val="19"/>
          <w:szCs w:val="19"/>
        </w:rPr>
      </w:pPr>
      <w:r>
        <w:rPr>
          <w:rFonts w:ascii="Verdana" w:hAnsi="Verdana"/>
          <w:sz w:val="19"/>
          <w:szCs w:val="19"/>
          <w:lang w:val="en-US"/>
        </w:rPr>
        <w:t>p</w:t>
      </w:r>
      <w:r w:rsidR="002E1D70" w:rsidRPr="0088508C">
        <w:rPr>
          <w:rFonts w:ascii="Verdana" w:hAnsi="Verdana"/>
          <w:sz w:val="19"/>
          <w:szCs w:val="19"/>
          <w:lang w:val="en-US"/>
        </w:rPr>
        <w:t>ara</w:t>
      </w:r>
      <w:r>
        <w:rPr>
          <w:rFonts w:ascii="Verdana" w:hAnsi="Verdana"/>
          <w:sz w:val="19"/>
          <w:szCs w:val="19"/>
          <w:lang w:val="en-US"/>
        </w:rPr>
        <w:t>.</w:t>
      </w:r>
      <w:r w:rsidR="002E1D70" w:rsidRPr="0088508C">
        <w:rPr>
          <w:rFonts w:ascii="Verdana" w:hAnsi="Verdana"/>
          <w:sz w:val="19"/>
          <w:szCs w:val="19"/>
          <w:lang w:val="en-US"/>
        </w:rPr>
        <w:t xml:space="preserve"> 15, in particular, </w:t>
      </w:r>
      <w:r w:rsidR="00ED10A0">
        <w:rPr>
          <w:rFonts w:ascii="Verdana" w:hAnsi="Verdana"/>
          <w:sz w:val="19"/>
          <w:szCs w:val="19"/>
          <w:lang w:val="en-US"/>
        </w:rPr>
        <w:t xml:space="preserve">and </w:t>
      </w:r>
      <w:r w:rsidR="00490772">
        <w:rPr>
          <w:rFonts w:ascii="Verdana" w:hAnsi="Verdana"/>
          <w:sz w:val="19"/>
          <w:szCs w:val="19"/>
          <w:lang w:val="en-US"/>
        </w:rPr>
        <w:t>para</w:t>
      </w:r>
      <w:r>
        <w:rPr>
          <w:rFonts w:ascii="Verdana" w:hAnsi="Verdana"/>
          <w:sz w:val="19"/>
          <w:szCs w:val="19"/>
          <w:lang w:val="en-US"/>
        </w:rPr>
        <w:t>.</w:t>
      </w:r>
      <w:r w:rsidR="00490772">
        <w:rPr>
          <w:rFonts w:ascii="Verdana" w:hAnsi="Verdana"/>
          <w:sz w:val="19"/>
          <w:szCs w:val="19"/>
          <w:lang w:val="en-US"/>
        </w:rPr>
        <w:t xml:space="preserve"> 65 which refers back to it</w:t>
      </w:r>
      <w:r>
        <w:rPr>
          <w:rFonts w:ascii="Verdana" w:hAnsi="Verdana"/>
          <w:sz w:val="19"/>
          <w:szCs w:val="19"/>
          <w:lang w:val="en-US"/>
        </w:rPr>
        <w:t>,</w:t>
      </w:r>
      <w:r w:rsidR="00490772">
        <w:rPr>
          <w:rFonts w:ascii="Verdana" w:hAnsi="Verdana"/>
          <w:sz w:val="19"/>
          <w:szCs w:val="19"/>
          <w:lang w:val="en-US"/>
        </w:rPr>
        <w:t xml:space="preserve"> </w:t>
      </w:r>
      <w:r w:rsidR="002E1D70" w:rsidRPr="0088508C">
        <w:rPr>
          <w:rFonts w:ascii="Verdana" w:hAnsi="Verdana"/>
          <w:sz w:val="19"/>
          <w:szCs w:val="19"/>
          <w:lang w:val="en-US"/>
        </w:rPr>
        <w:t>should be amended</w:t>
      </w:r>
      <w:r w:rsidR="008344E9">
        <w:rPr>
          <w:rFonts w:ascii="Verdana" w:hAnsi="Verdana"/>
          <w:sz w:val="19"/>
          <w:szCs w:val="19"/>
          <w:lang w:val="en-US"/>
        </w:rPr>
        <w:t>: a)</w:t>
      </w:r>
      <w:r w:rsidR="002E1D70" w:rsidRPr="0088508C">
        <w:rPr>
          <w:rFonts w:ascii="Verdana" w:hAnsi="Verdana"/>
          <w:sz w:val="19"/>
          <w:szCs w:val="19"/>
          <w:lang w:val="en-US"/>
        </w:rPr>
        <w:t xml:space="preserve"> to emphasize that a review pursuant to Article 9(3)</w:t>
      </w:r>
      <w:r w:rsidR="00490772">
        <w:rPr>
          <w:rFonts w:ascii="Verdana" w:hAnsi="Verdana"/>
          <w:sz w:val="19"/>
          <w:szCs w:val="19"/>
          <w:lang w:val="en-US"/>
        </w:rPr>
        <w:t xml:space="preserve"> </w:t>
      </w:r>
      <w:r w:rsidR="002E1D70" w:rsidRPr="0088508C">
        <w:rPr>
          <w:rFonts w:ascii="Verdana" w:hAnsi="Verdana"/>
          <w:sz w:val="19"/>
          <w:szCs w:val="19"/>
          <w:lang w:val="en-US"/>
        </w:rPr>
        <w:t>must be before</w:t>
      </w:r>
      <w:r w:rsidR="00F43CB4">
        <w:rPr>
          <w:rFonts w:ascii="Verdana" w:hAnsi="Verdana"/>
          <w:sz w:val="19"/>
          <w:szCs w:val="19"/>
          <w:lang w:val="en-US"/>
        </w:rPr>
        <w:t xml:space="preserve"> a judge or judicial authority, </w:t>
      </w:r>
      <w:r w:rsidR="002E1D70" w:rsidRPr="0088508C">
        <w:rPr>
          <w:rFonts w:ascii="Verdana" w:hAnsi="Verdana"/>
          <w:sz w:val="19"/>
          <w:szCs w:val="19"/>
          <w:lang w:val="en-US"/>
        </w:rPr>
        <w:t>in order to ensure ju</w:t>
      </w:r>
      <w:r w:rsidR="008344E9">
        <w:rPr>
          <w:rFonts w:ascii="Verdana" w:hAnsi="Verdana"/>
          <w:sz w:val="19"/>
          <w:szCs w:val="19"/>
          <w:lang w:val="en-US"/>
        </w:rPr>
        <w:t>dicial supervision of detention;</w:t>
      </w:r>
      <w:r w:rsidR="002E1D70" w:rsidRPr="0088508C">
        <w:rPr>
          <w:rFonts w:ascii="Verdana" w:hAnsi="Verdana"/>
          <w:sz w:val="19"/>
          <w:szCs w:val="19"/>
          <w:lang w:val="en-US"/>
        </w:rPr>
        <w:t xml:space="preserve"> and </w:t>
      </w:r>
      <w:r w:rsidR="008344E9">
        <w:rPr>
          <w:rFonts w:ascii="Verdana" w:hAnsi="Verdana"/>
          <w:sz w:val="19"/>
          <w:szCs w:val="19"/>
          <w:lang w:val="en-US"/>
        </w:rPr>
        <w:t xml:space="preserve">b) </w:t>
      </w:r>
      <w:r w:rsidR="002E1D70" w:rsidRPr="0088508C">
        <w:rPr>
          <w:rFonts w:ascii="Verdana" w:hAnsi="Verdana"/>
          <w:sz w:val="19"/>
          <w:szCs w:val="19"/>
          <w:lang w:val="en-US"/>
        </w:rPr>
        <w:t xml:space="preserve">to indicate that all courts or judicial authorities exercising such functions must be independent of both the legislative and executive </w:t>
      </w:r>
      <w:r w:rsidR="00ED10A0">
        <w:rPr>
          <w:rFonts w:ascii="Verdana" w:hAnsi="Verdana"/>
          <w:sz w:val="19"/>
          <w:szCs w:val="19"/>
          <w:lang w:val="en-US"/>
        </w:rPr>
        <w:t xml:space="preserve">branches of government </w:t>
      </w:r>
      <w:r w:rsidR="002E1D70" w:rsidRPr="0088508C">
        <w:rPr>
          <w:rFonts w:ascii="Verdana" w:hAnsi="Verdana"/>
          <w:b/>
          <w:sz w:val="19"/>
          <w:szCs w:val="19"/>
          <w:lang w:val="en-US"/>
        </w:rPr>
        <w:t>and</w:t>
      </w:r>
      <w:r w:rsidR="002E1D70" w:rsidRPr="0088508C">
        <w:rPr>
          <w:rFonts w:ascii="Verdana" w:hAnsi="Verdana"/>
          <w:sz w:val="19"/>
          <w:szCs w:val="19"/>
          <w:lang w:val="en-US"/>
        </w:rPr>
        <w:t xml:space="preserve"> (not “or”) enjoy independence in deciding </w:t>
      </w:r>
      <w:r w:rsidR="00197D4C" w:rsidRPr="0088508C">
        <w:rPr>
          <w:rFonts w:ascii="Verdana" w:hAnsi="Verdana"/>
          <w:sz w:val="19"/>
          <w:szCs w:val="19"/>
          <w:lang w:val="en-US"/>
        </w:rPr>
        <w:t xml:space="preserve">legal </w:t>
      </w:r>
      <w:r w:rsidR="002E1D70" w:rsidRPr="0088508C">
        <w:rPr>
          <w:rFonts w:ascii="Verdana" w:hAnsi="Verdana"/>
          <w:sz w:val="19"/>
          <w:szCs w:val="19"/>
          <w:lang w:val="en-US"/>
        </w:rPr>
        <w:t xml:space="preserve">matters in proceedings that are judicial in nature, </w:t>
      </w:r>
      <w:r w:rsidR="002E1D70" w:rsidRPr="0088508C">
        <w:rPr>
          <w:rFonts w:ascii="Verdana" w:hAnsi="Verdana"/>
          <w:b/>
          <w:sz w:val="19"/>
          <w:szCs w:val="19"/>
          <w:lang w:val="en-US"/>
        </w:rPr>
        <w:t xml:space="preserve">as well as </w:t>
      </w:r>
      <w:r w:rsidR="00742BE9" w:rsidRPr="0088508C">
        <w:rPr>
          <w:rFonts w:ascii="Verdana" w:hAnsi="Verdana"/>
          <w:b/>
          <w:sz w:val="19"/>
          <w:szCs w:val="19"/>
          <w:lang w:val="en-US"/>
        </w:rPr>
        <w:t xml:space="preserve">being </w:t>
      </w:r>
      <w:r w:rsidR="002E1D70" w:rsidRPr="0088508C">
        <w:rPr>
          <w:rFonts w:ascii="Verdana" w:hAnsi="Verdana"/>
          <w:b/>
          <w:sz w:val="19"/>
          <w:szCs w:val="19"/>
          <w:lang w:val="en-US"/>
        </w:rPr>
        <w:t>impartial</w:t>
      </w:r>
      <w:r w:rsidR="00414A66">
        <w:rPr>
          <w:rFonts w:ascii="Verdana" w:hAnsi="Verdana"/>
          <w:sz w:val="19"/>
          <w:szCs w:val="19"/>
          <w:lang w:val="en-US"/>
        </w:rPr>
        <w:t>; and</w:t>
      </w:r>
      <w:r w:rsidR="00742BE9" w:rsidRPr="0088508C">
        <w:rPr>
          <w:rFonts w:ascii="Verdana" w:hAnsi="Verdana"/>
          <w:sz w:val="19"/>
          <w:szCs w:val="19"/>
          <w:lang w:val="en-US"/>
        </w:rPr>
        <w:t xml:space="preserve"> </w:t>
      </w:r>
    </w:p>
    <w:p w14:paraId="6633ACB2" w14:textId="77777777" w:rsidR="00414A66" w:rsidRPr="00414A66" w:rsidRDefault="00414A66" w:rsidP="00414A66">
      <w:pPr>
        <w:ind w:left="786"/>
        <w:jc w:val="both"/>
        <w:rPr>
          <w:rFonts w:ascii="Verdana" w:hAnsi="Verdana"/>
          <w:sz w:val="19"/>
          <w:szCs w:val="19"/>
        </w:rPr>
      </w:pPr>
    </w:p>
    <w:p w14:paraId="67750B0B" w14:textId="45DDEE11" w:rsidR="00834518" w:rsidRPr="00914A24" w:rsidRDefault="0056547C" w:rsidP="00414A66">
      <w:pPr>
        <w:pStyle w:val="ListParagraph"/>
        <w:numPr>
          <w:ilvl w:val="0"/>
          <w:numId w:val="32"/>
        </w:numPr>
        <w:jc w:val="both"/>
        <w:rPr>
          <w:rFonts w:ascii="Verdana" w:hAnsi="Verdana"/>
          <w:sz w:val="19"/>
          <w:szCs w:val="19"/>
        </w:rPr>
      </w:pPr>
      <w:r w:rsidRPr="00414A66">
        <w:rPr>
          <w:rFonts w:ascii="Verdana" w:hAnsi="Verdana"/>
          <w:sz w:val="19"/>
          <w:szCs w:val="19"/>
          <w:lang w:val="en-US"/>
        </w:rPr>
        <w:t xml:space="preserve">the </w:t>
      </w:r>
      <w:r w:rsidR="00490772" w:rsidRPr="00414A66">
        <w:rPr>
          <w:rFonts w:ascii="Verdana" w:hAnsi="Verdana"/>
          <w:sz w:val="19"/>
          <w:szCs w:val="19"/>
          <w:lang w:val="en-US"/>
        </w:rPr>
        <w:t xml:space="preserve">following words should be deleted </w:t>
      </w:r>
      <w:r w:rsidRPr="00414A66">
        <w:rPr>
          <w:rFonts w:ascii="Verdana" w:hAnsi="Verdana"/>
          <w:sz w:val="19"/>
          <w:szCs w:val="19"/>
          <w:lang w:val="en-US"/>
        </w:rPr>
        <w:t xml:space="preserve"> from para. 45 “</w:t>
      </w:r>
      <w:r w:rsidR="009C749C" w:rsidRPr="00414A66">
        <w:rPr>
          <w:rFonts w:ascii="Verdana" w:hAnsi="Verdana"/>
          <w:sz w:val="19"/>
          <w:szCs w:val="19"/>
        </w:rPr>
        <w:t>Exceptionally, for some forms of detention, legislation may provide for proceedings before a tribunal outside the judiciary, which must be established by law, and must either be independent of the executive and legislative branches or must enjoy judicial independence in deciding legal matters in proceedings that are judicial in nature</w:t>
      </w:r>
      <w:r w:rsidR="009C749C" w:rsidRPr="00914A24">
        <w:rPr>
          <w:rFonts w:ascii="Verdana" w:hAnsi="Verdana"/>
          <w:sz w:val="19"/>
          <w:szCs w:val="19"/>
        </w:rPr>
        <w:t>.”</w:t>
      </w:r>
      <w:r w:rsidR="00D77E60" w:rsidRPr="00D77E60">
        <w:rPr>
          <w:rStyle w:val="FootnoteReference"/>
          <w:rFonts w:ascii="Verdana" w:hAnsi="Verdana"/>
          <w:sz w:val="19"/>
          <w:szCs w:val="19"/>
          <w:lang w:val="en-US"/>
        </w:rPr>
        <w:t xml:space="preserve"> </w:t>
      </w:r>
    </w:p>
    <w:p w14:paraId="59B9C73C" w14:textId="77777777" w:rsidR="002E2960" w:rsidRPr="0088508C" w:rsidRDefault="002E2960" w:rsidP="0088508C">
      <w:pPr>
        <w:jc w:val="both"/>
        <w:rPr>
          <w:rFonts w:ascii="Verdana" w:hAnsi="Verdana"/>
          <w:sz w:val="19"/>
          <w:szCs w:val="19"/>
          <w:lang w:val="en-US"/>
        </w:rPr>
      </w:pPr>
    </w:p>
    <w:p w14:paraId="7BA0E7C1" w14:textId="727EAA18" w:rsidR="000036CC" w:rsidRPr="00773769" w:rsidRDefault="00972962" w:rsidP="00773769">
      <w:pPr>
        <w:pStyle w:val="ListParagraph"/>
        <w:numPr>
          <w:ilvl w:val="0"/>
          <w:numId w:val="4"/>
        </w:numPr>
        <w:ind w:left="426"/>
        <w:jc w:val="both"/>
        <w:rPr>
          <w:rFonts w:ascii="Verdana" w:hAnsi="Verdana"/>
          <w:sz w:val="19"/>
          <w:szCs w:val="19"/>
        </w:rPr>
      </w:pPr>
      <w:r w:rsidRPr="00DB078A">
        <w:rPr>
          <w:rFonts w:ascii="Verdana" w:hAnsi="Verdana"/>
          <w:sz w:val="19"/>
          <w:szCs w:val="19"/>
          <w:lang w:val="en-US"/>
        </w:rPr>
        <w:t>T</w:t>
      </w:r>
      <w:r w:rsidR="00C9656A" w:rsidRPr="00DB078A">
        <w:rPr>
          <w:rFonts w:ascii="Verdana" w:hAnsi="Verdana"/>
          <w:sz w:val="19"/>
          <w:szCs w:val="19"/>
          <w:lang w:val="en-US"/>
        </w:rPr>
        <w:t xml:space="preserve">he ICJ also recommends that the </w:t>
      </w:r>
      <w:r w:rsidR="00417C25" w:rsidRPr="00DB078A">
        <w:rPr>
          <w:rFonts w:ascii="Verdana" w:hAnsi="Verdana"/>
          <w:sz w:val="19"/>
          <w:szCs w:val="19"/>
          <w:lang w:val="en-US"/>
        </w:rPr>
        <w:t xml:space="preserve">Committee ensure that </w:t>
      </w:r>
      <w:r w:rsidR="00C9656A" w:rsidRPr="00DB078A">
        <w:rPr>
          <w:rFonts w:ascii="Verdana" w:hAnsi="Verdana"/>
          <w:sz w:val="19"/>
          <w:szCs w:val="19"/>
          <w:lang w:val="en-US"/>
        </w:rPr>
        <w:t>General Comment</w:t>
      </w:r>
      <w:r w:rsidR="00417C25" w:rsidRPr="00DB078A">
        <w:rPr>
          <w:rFonts w:ascii="Verdana" w:hAnsi="Verdana"/>
          <w:sz w:val="19"/>
          <w:szCs w:val="19"/>
          <w:lang w:val="en-US"/>
        </w:rPr>
        <w:t xml:space="preserve"> 35</w:t>
      </w:r>
      <w:r w:rsidR="00C9656A" w:rsidRPr="00DB078A">
        <w:rPr>
          <w:rFonts w:ascii="Verdana" w:hAnsi="Verdana"/>
          <w:sz w:val="19"/>
          <w:szCs w:val="19"/>
          <w:lang w:val="en-US"/>
        </w:rPr>
        <w:t xml:space="preserve"> make it clear</w:t>
      </w:r>
      <w:r w:rsidR="001B4BE5" w:rsidRPr="00DB078A">
        <w:rPr>
          <w:rFonts w:ascii="Verdana" w:hAnsi="Verdana"/>
          <w:sz w:val="19"/>
          <w:szCs w:val="19"/>
          <w:lang w:val="en-US"/>
        </w:rPr>
        <w:t>er</w:t>
      </w:r>
      <w:r w:rsidR="00C9656A" w:rsidRPr="00DB078A">
        <w:rPr>
          <w:rFonts w:ascii="Verdana" w:hAnsi="Verdana"/>
          <w:sz w:val="19"/>
          <w:szCs w:val="19"/>
          <w:lang w:val="en-US"/>
        </w:rPr>
        <w:t xml:space="preserve"> </w:t>
      </w:r>
      <w:r w:rsidRPr="00DB078A">
        <w:rPr>
          <w:rFonts w:ascii="Verdana" w:hAnsi="Verdana"/>
          <w:sz w:val="19"/>
          <w:szCs w:val="19"/>
          <w:lang w:val="en-US"/>
        </w:rPr>
        <w:t>than is currently set out in para</w:t>
      </w:r>
      <w:r w:rsidR="00723355" w:rsidRPr="00DB078A">
        <w:rPr>
          <w:rFonts w:ascii="Verdana" w:hAnsi="Verdana"/>
          <w:sz w:val="19"/>
          <w:szCs w:val="19"/>
          <w:lang w:val="en-US"/>
        </w:rPr>
        <w:t>.</w:t>
      </w:r>
      <w:r w:rsidRPr="00DB078A">
        <w:rPr>
          <w:rFonts w:ascii="Verdana" w:hAnsi="Verdana"/>
          <w:sz w:val="19"/>
          <w:szCs w:val="19"/>
          <w:lang w:val="en-US"/>
        </w:rPr>
        <w:t xml:space="preserve"> 46 (regarding Article 9(4)) </w:t>
      </w:r>
      <w:r w:rsidR="00C9656A" w:rsidRPr="00DB078A">
        <w:rPr>
          <w:rFonts w:ascii="Verdana" w:hAnsi="Verdana"/>
          <w:sz w:val="19"/>
          <w:szCs w:val="19"/>
          <w:lang w:val="en-US"/>
        </w:rPr>
        <w:t xml:space="preserve">that the </w:t>
      </w:r>
      <w:r w:rsidR="005A0244" w:rsidRPr="00DB078A">
        <w:rPr>
          <w:rFonts w:ascii="Verdana" w:hAnsi="Verdana"/>
          <w:sz w:val="19"/>
          <w:szCs w:val="19"/>
          <w:lang w:val="en-US"/>
        </w:rPr>
        <w:t>right itself and the procedures to give effect to the righ</w:t>
      </w:r>
      <w:r w:rsidR="0007519F" w:rsidRPr="00DB078A">
        <w:rPr>
          <w:rFonts w:ascii="Verdana" w:hAnsi="Verdana"/>
          <w:sz w:val="19"/>
          <w:szCs w:val="19"/>
          <w:lang w:val="en-US"/>
        </w:rPr>
        <w:t xml:space="preserve">t to be brought promptly before “a </w:t>
      </w:r>
      <w:r w:rsidR="005A0244" w:rsidRPr="00DB078A">
        <w:rPr>
          <w:rFonts w:ascii="Verdana" w:hAnsi="Verdana"/>
          <w:sz w:val="19"/>
          <w:szCs w:val="19"/>
          <w:lang w:val="en-US"/>
        </w:rPr>
        <w:t>judge or other officer authorized b</w:t>
      </w:r>
      <w:r w:rsidR="00CF6C5B" w:rsidRPr="00DB078A">
        <w:rPr>
          <w:rFonts w:ascii="Verdana" w:hAnsi="Verdana"/>
          <w:sz w:val="19"/>
          <w:szCs w:val="19"/>
          <w:lang w:val="en-US"/>
        </w:rPr>
        <w:t>y law to exercise judicial power”</w:t>
      </w:r>
      <w:r w:rsidR="005A0244" w:rsidRPr="00DB078A">
        <w:rPr>
          <w:rFonts w:ascii="Verdana" w:hAnsi="Verdana"/>
          <w:sz w:val="19"/>
          <w:szCs w:val="19"/>
          <w:lang w:val="en-US"/>
        </w:rPr>
        <w:t xml:space="preserve"> envisaged under Article 9(3) of the Covenant </w:t>
      </w:r>
      <w:r w:rsidR="0007519F" w:rsidRPr="00DB078A">
        <w:rPr>
          <w:rFonts w:ascii="Verdana" w:hAnsi="Verdana"/>
          <w:sz w:val="19"/>
          <w:szCs w:val="19"/>
          <w:lang w:val="en-US"/>
        </w:rPr>
        <w:t>is</w:t>
      </w:r>
      <w:r w:rsidR="005A0244" w:rsidRPr="00DB078A">
        <w:rPr>
          <w:rFonts w:ascii="Verdana" w:hAnsi="Verdana"/>
          <w:sz w:val="19"/>
          <w:szCs w:val="19"/>
          <w:lang w:val="en-US"/>
        </w:rPr>
        <w:t xml:space="preserve"> </w:t>
      </w:r>
      <w:r w:rsidR="00C9656A" w:rsidRPr="00DB078A">
        <w:rPr>
          <w:rFonts w:ascii="Verdana" w:hAnsi="Verdana"/>
          <w:sz w:val="19"/>
          <w:szCs w:val="19"/>
          <w:lang w:val="en-US"/>
        </w:rPr>
        <w:t xml:space="preserve">distinct from </w:t>
      </w:r>
      <w:r w:rsidR="005A0244" w:rsidRPr="00DB078A">
        <w:rPr>
          <w:rFonts w:ascii="Verdana" w:hAnsi="Verdana"/>
          <w:sz w:val="19"/>
          <w:szCs w:val="19"/>
          <w:lang w:val="en-US"/>
        </w:rPr>
        <w:t xml:space="preserve">the right and the </w:t>
      </w:r>
      <w:r w:rsidR="00C9656A" w:rsidRPr="00DB078A">
        <w:rPr>
          <w:rFonts w:ascii="Verdana" w:hAnsi="Verdana"/>
          <w:sz w:val="19"/>
          <w:szCs w:val="19"/>
          <w:lang w:val="en-US"/>
        </w:rPr>
        <w:t>procedures contemplated by</w:t>
      </w:r>
      <w:r w:rsidR="005A0244" w:rsidRPr="00DB078A">
        <w:rPr>
          <w:rFonts w:ascii="Verdana" w:hAnsi="Verdana"/>
          <w:sz w:val="19"/>
          <w:szCs w:val="19"/>
          <w:lang w:val="en-US"/>
        </w:rPr>
        <w:t xml:space="preserve"> A</w:t>
      </w:r>
      <w:r w:rsidR="00C9656A" w:rsidRPr="00DB078A">
        <w:rPr>
          <w:rFonts w:ascii="Verdana" w:hAnsi="Verdana"/>
          <w:sz w:val="19"/>
          <w:szCs w:val="19"/>
          <w:lang w:val="en-US"/>
        </w:rPr>
        <w:t xml:space="preserve">rticle 9(4) and initiated by or on behalf of the detainee, such as </w:t>
      </w:r>
      <w:r w:rsidR="00C9656A" w:rsidRPr="00DB078A">
        <w:rPr>
          <w:rFonts w:ascii="Verdana" w:hAnsi="Verdana"/>
          <w:i/>
          <w:sz w:val="19"/>
          <w:szCs w:val="19"/>
          <w:lang w:val="en-US"/>
        </w:rPr>
        <w:t>habeas</w:t>
      </w:r>
      <w:r w:rsidR="005A0244" w:rsidRPr="00DB078A">
        <w:rPr>
          <w:rFonts w:ascii="Verdana" w:hAnsi="Verdana"/>
          <w:i/>
          <w:sz w:val="19"/>
          <w:szCs w:val="19"/>
          <w:lang w:val="en-US"/>
        </w:rPr>
        <w:t xml:space="preserve"> </w:t>
      </w:r>
      <w:r w:rsidR="00C9656A" w:rsidRPr="00DB078A">
        <w:rPr>
          <w:rFonts w:ascii="Verdana" w:hAnsi="Verdana"/>
          <w:i/>
          <w:sz w:val="19"/>
          <w:szCs w:val="19"/>
          <w:lang w:val="en-US"/>
        </w:rPr>
        <w:t>corpus</w:t>
      </w:r>
      <w:r w:rsidR="00C9656A" w:rsidRPr="00DB078A">
        <w:rPr>
          <w:rFonts w:ascii="Verdana" w:hAnsi="Verdana"/>
          <w:sz w:val="19"/>
          <w:szCs w:val="19"/>
          <w:lang w:val="en-US"/>
        </w:rPr>
        <w:t xml:space="preserve"> or </w:t>
      </w:r>
      <w:r w:rsidR="00C9656A" w:rsidRPr="00DB078A">
        <w:rPr>
          <w:rFonts w:ascii="Verdana" w:hAnsi="Verdana"/>
          <w:i/>
          <w:sz w:val="19"/>
          <w:szCs w:val="19"/>
          <w:lang w:val="en-US"/>
        </w:rPr>
        <w:t>amparo</w:t>
      </w:r>
      <w:r w:rsidR="00C9656A" w:rsidRPr="00DB078A">
        <w:rPr>
          <w:rFonts w:ascii="Verdana" w:hAnsi="Verdana"/>
          <w:sz w:val="19"/>
          <w:szCs w:val="19"/>
          <w:lang w:val="en-US"/>
        </w:rPr>
        <w:t>, and from regular periodic administrative review of</w:t>
      </w:r>
      <w:r w:rsidR="005A0244" w:rsidRPr="00DB078A">
        <w:rPr>
          <w:rFonts w:ascii="Verdana" w:hAnsi="Verdana"/>
          <w:sz w:val="19"/>
          <w:szCs w:val="19"/>
          <w:lang w:val="en-US"/>
        </w:rPr>
        <w:t xml:space="preserve"> </w:t>
      </w:r>
      <w:r w:rsidR="00C9656A" w:rsidRPr="00DB078A">
        <w:rPr>
          <w:rFonts w:ascii="Verdana" w:hAnsi="Verdana"/>
          <w:sz w:val="19"/>
          <w:szCs w:val="19"/>
          <w:lang w:val="en-US"/>
        </w:rPr>
        <w:t>detention.</w:t>
      </w:r>
      <w:r w:rsidR="008344E9">
        <w:rPr>
          <w:rStyle w:val="FootnoteReference"/>
          <w:rFonts w:ascii="Verdana" w:hAnsi="Verdana"/>
          <w:sz w:val="19"/>
          <w:szCs w:val="19"/>
          <w:lang w:val="en-US"/>
        </w:rPr>
        <w:footnoteReference w:id="24"/>
      </w:r>
      <w:r w:rsidR="00C9656A" w:rsidRPr="00DB078A">
        <w:rPr>
          <w:rFonts w:ascii="Verdana" w:hAnsi="Verdana"/>
          <w:sz w:val="19"/>
          <w:szCs w:val="19"/>
          <w:lang w:val="en-US"/>
        </w:rPr>
        <w:t xml:space="preserve"> The availability of </w:t>
      </w:r>
      <w:r w:rsidR="00C9656A" w:rsidRPr="00DB078A">
        <w:rPr>
          <w:rFonts w:ascii="Verdana" w:hAnsi="Verdana"/>
          <w:i/>
          <w:sz w:val="19"/>
          <w:szCs w:val="19"/>
          <w:lang w:val="en-US"/>
        </w:rPr>
        <w:t>habeas corpus</w:t>
      </w:r>
      <w:r w:rsidR="00C9656A" w:rsidRPr="00DB078A">
        <w:rPr>
          <w:rFonts w:ascii="Verdana" w:hAnsi="Verdana"/>
          <w:sz w:val="19"/>
          <w:szCs w:val="19"/>
          <w:lang w:val="en-US"/>
        </w:rPr>
        <w:t xml:space="preserve"> or other such procedures does not</w:t>
      </w:r>
      <w:r w:rsidR="005A0244" w:rsidRPr="00DB078A">
        <w:rPr>
          <w:rFonts w:ascii="Verdana" w:hAnsi="Verdana"/>
          <w:sz w:val="19"/>
          <w:szCs w:val="19"/>
          <w:lang w:val="en-US"/>
        </w:rPr>
        <w:t xml:space="preserve"> </w:t>
      </w:r>
      <w:r w:rsidR="00C9656A" w:rsidRPr="00DB078A">
        <w:rPr>
          <w:rFonts w:ascii="Verdana" w:hAnsi="Verdana"/>
          <w:sz w:val="19"/>
          <w:szCs w:val="19"/>
          <w:lang w:val="en-US"/>
        </w:rPr>
        <w:t>excuse a state’s failure to bring a det</w:t>
      </w:r>
      <w:r w:rsidR="005A0244" w:rsidRPr="00DB078A">
        <w:rPr>
          <w:rFonts w:ascii="Verdana" w:hAnsi="Verdana"/>
          <w:sz w:val="19"/>
          <w:szCs w:val="19"/>
          <w:lang w:val="en-US"/>
        </w:rPr>
        <w:t xml:space="preserve">ainee promptly before a judicial </w:t>
      </w:r>
      <w:r w:rsidR="00C9656A" w:rsidRPr="00DB078A">
        <w:rPr>
          <w:rFonts w:ascii="Verdana" w:hAnsi="Verdana"/>
          <w:sz w:val="19"/>
          <w:szCs w:val="19"/>
          <w:lang w:val="en-US"/>
        </w:rPr>
        <w:t>authority</w:t>
      </w:r>
      <w:r w:rsidR="00FB3AB6">
        <w:rPr>
          <w:rFonts w:ascii="Verdana" w:hAnsi="Verdana"/>
          <w:sz w:val="19"/>
          <w:szCs w:val="19"/>
          <w:lang w:val="en-US"/>
        </w:rPr>
        <w:t>.</w:t>
      </w:r>
      <w:r w:rsidR="00C91400">
        <w:rPr>
          <w:rStyle w:val="FootnoteReference"/>
          <w:rFonts w:ascii="Verdana" w:hAnsi="Verdana"/>
          <w:sz w:val="19"/>
          <w:szCs w:val="19"/>
          <w:lang w:val="en-US"/>
        </w:rPr>
        <w:footnoteReference w:id="25"/>
      </w:r>
      <w:r w:rsidR="000036CC" w:rsidRPr="00773769">
        <w:rPr>
          <w:rFonts w:ascii="Verdana" w:hAnsi="Verdana"/>
          <w:sz w:val="19"/>
          <w:szCs w:val="19"/>
          <w:lang w:val="en-US"/>
        </w:rPr>
        <w:t xml:space="preserve"> </w:t>
      </w:r>
    </w:p>
    <w:p w14:paraId="66E7C302" w14:textId="77777777" w:rsidR="009F5779" w:rsidRPr="0088508C" w:rsidRDefault="009F5779" w:rsidP="0088508C">
      <w:pPr>
        <w:pStyle w:val="ListParagraph"/>
        <w:jc w:val="both"/>
        <w:rPr>
          <w:rFonts w:ascii="Verdana" w:hAnsi="Verdana"/>
          <w:sz w:val="19"/>
          <w:szCs w:val="19"/>
          <w:lang w:val="en-US"/>
        </w:rPr>
      </w:pPr>
    </w:p>
    <w:p w14:paraId="64311325" w14:textId="77777777" w:rsidR="0085270E" w:rsidRPr="0088508C" w:rsidRDefault="00911C33" w:rsidP="00911C33">
      <w:pPr>
        <w:ind w:left="426"/>
        <w:jc w:val="both"/>
        <w:rPr>
          <w:rFonts w:ascii="Verdana" w:hAnsi="Verdana"/>
          <w:b/>
          <w:sz w:val="19"/>
          <w:szCs w:val="19"/>
          <w:lang w:val="en-US"/>
        </w:rPr>
      </w:pPr>
      <w:r>
        <w:rPr>
          <w:rFonts w:ascii="Verdana" w:hAnsi="Verdana"/>
          <w:b/>
          <w:sz w:val="19"/>
          <w:szCs w:val="19"/>
          <w:lang w:val="en-US"/>
        </w:rPr>
        <w:t xml:space="preserve">III. </w:t>
      </w:r>
      <w:r w:rsidR="00744ADE" w:rsidRPr="0088508C">
        <w:rPr>
          <w:rFonts w:ascii="Verdana" w:hAnsi="Verdana"/>
          <w:b/>
          <w:sz w:val="19"/>
          <w:szCs w:val="19"/>
          <w:lang w:val="en-US"/>
        </w:rPr>
        <w:t>Suggestions for strengthening the language on judicial supervision of all forms of deprivation of liberty</w:t>
      </w:r>
    </w:p>
    <w:p w14:paraId="49B8501A" w14:textId="77777777" w:rsidR="00744ADE" w:rsidRPr="0088508C" w:rsidRDefault="00744ADE" w:rsidP="0088508C">
      <w:pPr>
        <w:pStyle w:val="ListParagraph"/>
        <w:jc w:val="both"/>
        <w:rPr>
          <w:rFonts w:ascii="Verdana" w:hAnsi="Verdana"/>
          <w:sz w:val="19"/>
          <w:szCs w:val="19"/>
          <w:lang w:val="en-US"/>
        </w:rPr>
      </w:pPr>
    </w:p>
    <w:p w14:paraId="3EE5D13C" w14:textId="77777777" w:rsidR="008113BD" w:rsidRPr="008113BD" w:rsidRDefault="008113BD" w:rsidP="008113BD">
      <w:pPr>
        <w:pStyle w:val="ListParagraph"/>
        <w:numPr>
          <w:ilvl w:val="0"/>
          <w:numId w:val="4"/>
        </w:numPr>
        <w:ind w:left="426"/>
        <w:jc w:val="both"/>
        <w:rPr>
          <w:rFonts w:ascii="Verdana" w:hAnsi="Verdana"/>
          <w:sz w:val="19"/>
          <w:szCs w:val="19"/>
          <w:lang w:val="en-US"/>
        </w:rPr>
      </w:pPr>
      <w:r w:rsidRPr="008113BD">
        <w:rPr>
          <w:rFonts w:ascii="Verdana" w:hAnsi="Verdana"/>
          <w:sz w:val="19"/>
          <w:szCs w:val="19"/>
          <w:lang w:val="en-US"/>
        </w:rPr>
        <w:t xml:space="preserve">The ICJ </w:t>
      </w:r>
      <w:r>
        <w:rPr>
          <w:rFonts w:ascii="Verdana" w:hAnsi="Verdana"/>
          <w:sz w:val="19"/>
          <w:szCs w:val="19"/>
          <w:lang w:val="en-US"/>
        </w:rPr>
        <w:t xml:space="preserve">welcomes the fact that </w:t>
      </w:r>
      <w:r w:rsidRPr="008113BD">
        <w:rPr>
          <w:rFonts w:ascii="Verdana" w:hAnsi="Verdana"/>
          <w:sz w:val="19"/>
          <w:szCs w:val="19"/>
          <w:lang w:val="en-US"/>
        </w:rPr>
        <w:t xml:space="preserve">the Committee has already </w:t>
      </w:r>
      <w:r>
        <w:rPr>
          <w:rFonts w:ascii="Verdana" w:hAnsi="Verdana"/>
          <w:sz w:val="19"/>
          <w:szCs w:val="19"/>
          <w:lang w:val="en-US"/>
        </w:rPr>
        <w:t xml:space="preserve">resolved </w:t>
      </w:r>
      <w:r w:rsidRPr="008113BD">
        <w:rPr>
          <w:rFonts w:ascii="Verdana" w:hAnsi="Verdana"/>
          <w:sz w:val="19"/>
          <w:szCs w:val="19"/>
          <w:lang w:val="en-US"/>
        </w:rPr>
        <w:t>to clarify</w:t>
      </w:r>
      <w:r>
        <w:rPr>
          <w:rFonts w:ascii="Verdana" w:hAnsi="Verdana"/>
          <w:sz w:val="19"/>
          <w:szCs w:val="19"/>
          <w:lang w:val="en-US"/>
        </w:rPr>
        <w:t xml:space="preserve"> </w:t>
      </w:r>
      <w:r w:rsidRPr="008113BD">
        <w:rPr>
          <w:rFonts w:ascii="Verdana" w:hAnsi="Verdana"/>
          <w:sz w:val="19"/>
          <w:szCs w:val="19"/>
          <w:lang w:val="en-US"/>
        </w:rPr>
        <w:t>and strengthen the language on judicial supervision of all deprivations of liberty.</w:t>
      </w:r>
      <w:r>
        <w:rPr>
          <w:rFonts w:ascii="Verdana" w:hAnsi="Verdana"/>
          <w:sz w:val="19"/>
          <w:szCs w:val="19"/>
          <w:lang w:val="en-US"/>
        </w:rPr>
        <w:t xml:space="preserve"> In this context, the </w:t>
      </w:r>
      <w:r w:rsidRPr="008113BD">
        <w:rPr>
          <w:rFonts w:ascii="Verdana" w:hAnsi="Verdana"/>
          <w:sz w:val="19"/>
          <w:szCs w:val="19"/>
          <w:lang w:val="en-US"/>
        </w:rPr>
        <w:t xml:space="preserve">ICJ </w:t>
      </w:r>
      <w:r>
        <w:rPr>
          <w:rFonts w:ascii="Verdana" w:hAnsi="Verdana"/>
          <w:sz w:val="19"/>
          <w:szCs w:val="19"/>
          <w:lang w:val="en-US"/>
        </w:rPr>
        <w:t xml:space="preserve">commends </w:t>
      </w:r>
      <w:r w:rsidR="005F1380">
        <w:rPr>
          <w:rFonts w:ascii="Verdana" w:hAnsi="Verdana"/>
          <w:sz w:val="19"/>
          <w:szCs w:val="19"/>
          <w:lang w:val="en-US"/>
        </w:rPr>
        <w:t xml:space="preserve">the </w:t>
      </w:r>
      <w:r>
        <w:rPr>
          <w:rFonts w:ascii="Verdana" w:hAnsi="Verdana"/>
          <w:sz w:val="19"/>
          <w:szCs w:val="19"/>
          <w:lang w:val="en-US"/>
        </w:rPr>
        <w:t>affirmation of the right of those detained in the mental health context to “initial and periodic judicial review of the lawfulness of detention”</w:t>
      </w:r>
      <w:r w:rsidR="005F1380">
        <w:rPr>
          <w:rFonts w:ascii="Verdana" w:hAnsi="Verdana"/>
          <w:sz w:val="19"/>
          <w:szCs w:val="19"/>
          <w:lang w:val="en-US"/>
        </w:rPr>
        <w:t xml:space="preserve"> set out in para 19</w:t>
      </w:r>
      <w:r>
        <w:rPr>
          <w:rFonts w:ascii="Verdana" w:hAnsi="Verdana"/>
          <w:sz w:val="19"/>
          <w:szCs w:val="19"/>
          <w:lang w:val="en-US"/>
        </w:rPr>
        <w:t xml:space="preserve">. </w:t>
      </w:r>
    </w:p>
    <w:p w14:paraId="1198B1D5" w14:textId="77777777" w:rsidR="008113BD" w:rsidRDefault="008113BD" w:rsidP="008113BD">
      <w:pPr>
        <w:pStyle w:val="ListParagraph"/>
        <w:ind w:left="426"/>
        <w:jc w:val="both"/>
        <w:rPr>
          <w:rFonts w:ascii="Verdana" w:hAnsi="Verdana"/>
          <w:sz w:val="19"/>
          <w:szCs w:val="19"/>
          <w:lang w:val="en-US"/>
        </w:rPr>
      </w:pPr>
    </w:p>
    <w:p w14:paraId="29EAF359" w14:textId="77777777" w:rsidR="00C96D65" w:rsidRPr="00C96D65" w:rsidRDefault="008E3B18" w:rsidP="008113BD">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In the last sentence in para. 10 of the present draft, the Committee affirms that “</w:t>
      </w:r>
      <w:r w:rsidRPr="0088508C">
        <w:rPr>
          <w:rFonts w:ascii="Verdana" w:hAnsi="Verdana"/>
          <w:sz w:val="19"/>
          <w:szCs w:val="19"/>
          <w:lang w:val="en-CA"/>
        </w:rPr>
        <w:t>Paragraph 1 requires that deprivations of liberty…. must be carried out with respect for the rule of law.”</w:t>
      </w:r>
      <w:r w:rsidRPr="0088508C">
        <w:rPr>
          <w:rFonts w:ascii="Verdana" w:hAnsi="Verdana"/>
          <w:sz w:val="19"/>
          <w:szCs w:val="19"/>
          <w:lang w:val="en-US"/>
        </w:rPr>
        <w:t xml:space="preserve"> Further, in </w:t>
      </w:r>
      <w:r w:rsidR="003D7A97">
        <w:rPr>
          <w:rFonts w:ascii="Verdana" w:hAnsi="Verdana"/>
          <w:sz w:val="19"/>
          <w:szCs w:val="19"/>
          <w:lang w:val="en-US"/>
        </w:rPr>
        <w:t xml:space="preserve">elucidating Article 9(3) of the Covenant, para. 32 of the present draft affirms that </w:t>
      </w:r>
      <w:r w:rsidR="00032233">
        <w:rPr>
          <w:rFonts w:ascii="Verdana" w:hAnsi="Verdana"/>
          <w:sz w:val="19"/>
          <w:szCs w:val="19"/>
          <w:lang w:val="en-US"/>
        </w:rPr>
        <w:t>“</w:t>
      </w:r>
      <w:r w:rsidR="003D7A97" w:rsidRPr="003D7A97">
        <w:rPr>
          <w:rFonts w:ascii="Verdana" w:hAnsi="Verdana"/>
          <w:sz w:val="19"/>
          <w:szCs w:val="19"/>
        </w:rPr>
        <w:t>The right is intended to bring the detention of a person in a criminal investigation or prosecution under judicial control.</w:t>
      </w:r>
      <w:r w:rsidR="00F90A59">
        <w:rPr>
          <w:rFonts w:ascii="Verdana" w:hAnsi="Verdana"/>
          <w:sz w:val="19"/>
          <w:szCs w:val="19"/>
          <w:lang w:val="en-US"/>
        </w:rPr>
        <w:t xml:space="preserve">” Further, </w:t>
      </w:r>
      <w:r w:rsidRPr="0088508C">
        <w:rPr>
          <w:rFonts w:ascii="Verdana" w:hAnsi="Verdana"/>
          <w:sz w:val="19"/>
          <w:szCs w:val="19"/>
          <w:lang w:val="en-US"/>
        </w:rPr>
        <w:t>the last sentence in para. 12 of the present draft affirms that “</w:t>
      </w:r>
      <w:r w:rsidRPr="0088508C">
        <w:rPr>
          <w:rFonts w:ascii="Verdana" w:hAnsi="Verdana"/>
          <w:sz w:val="19"/>
          <w:szCs w:val="19"/>
          <w:lang w:val="en-CA"/>
        </w:rPr>
        <w:t xml:space="preserve">Aside from judicially imposed sentences for a fixed period of time, the decision to keep a person in detention is arbitrary if it is not subject to periodic re-evaluation of the justification for continuing the detention.” </w:t>
      </w:r>
    </w:p>
    <w:p w14:paraId="3586754C" w14:textId="77777777" w:rsidR="00C96D65" w:rsidRPr="00C96D65" w:rsidRDefault="00C96D65" w:rsidP="00C96D65">
      <w:pPr>
        <w:jc w:val="both"/>
        <w:rPr>
          <w:rFonts w:ascii="Verdana" w:hAnsi="Verdana"/>
          <w:sz w:val="19"/>
          <w:szCs w:val="19"/>
          <w:lang w:val="en-CA"/>
        </w:rPr>
      </w:pPr>
    </w:p>
    <w:p w14:paraId="024EC7E5" w14:textId="77777777" w:rsidR="00624F57" w:rsidRDefault="008E3B18" w:rsidP="008113BD">
      <w:pPr>
        <w:pStyle w:val="ListParagraph"/>
        <w:numPr>
          <w:ilvl w:val="0"/>
          <w:numId w:val="4"/>
        </w:numPr>
        <w:ind w:left="426"/>
        <w:jc w:val="both"/>
        <w:rPr>
          <w:rFonts w:ascii="Verdana" w:hAnsi="Verdana"/>
          <w:sz w:val="19"/>
          <w:szCs w:val="19"/>
          <w:lang w:val="en-US"/>
        </w:rPr>
      </w:pPr>
      <w:r>
        <w:rPr>
          <w:rFonts w:ascii="Verdana" w:hAnsi="Verdana"/>
          <w:sz w:val="19"/>
          <w:szCs w:val="19"/>
          <w:lang w:val="en-CA"/>
        </w:rPr>
        <w:t xml:space="preserve">In this context the ICJ notes that </w:t>
      </w:r>
      <w:r>
        <w:rPr>
          <w:rFonts w:ascii="Verdana" w:hAnsi="Verdana"/>
          <w:sz w:val="19"/>
          <w:szCs w:val="19"/>
          <w:lang w:val="en-US"/>
        </w:rPr>
        <w:t xml:space="preserve">indeed any form of detention without judicial control </w:t>
      </w:r>
      <w:r w:rsidRPr="0088508C">
        <w:rPr>
          <w:rFonts w:ascii="Verdana" w:hAnsi="Verdana"/>
          <w:sz w:val="19"/>
          <w:szCs w:val="19"/>
          <w:lang w:val="en-US"/>
        </w:rPr>
        <w:t xml:space="preserve">is </w:t>
      </w:r>
      <w:r>
        <w:rPr>
          <w:rFonts w:ascii="Verdana" w:hAnsi="Verdana"/>
          <w:sz w:val="19"/>
          <w:szCs w:val="19"/>
          <w:lang w:val="en-US"/>
        </w:rPr>
        <w:t>inconsistent with the rule of law</w:t>
      </w:r>
      <w:r w:rsidR="00625097">
        <w:rPr>
          <w:rFonts w:ascii="Verdana" w:hAnsi="Verdana"/>
          <w:sz w:val="19"/>
          <w:szCs w:val="19"/>
          <w:lang w:val="en-US"/>
        </w:rPr>
        <w:t>,</w:t>
      </w:r>
      <w:r>
        <w:rPr>
          <w:rFonts w:ascii="Verdana" w:hAnsi="Verdana"/>
          <w:sz w:val="19"/>
          <w:szCs w:val="19"/>
          <w:lang w:val="en-US"/>
        </w:rPr>
        <w:t xml:space="preserve"> the separation of powers</w:t>
      </w:r>
      <w:r w:rsidR="00625097">
        <w:rPr>
          <w:rFonts w:ascii="Verdana" w:hAnsi="Verdana"/>
          <w:sz w:val="19"/>
          <w:szCs w:val="19"/>
          <w:lang w:val="en-US"/>
        </w:rPr>
        <w:t>, the principle of legality and the right to liberty and security of person, as well as other human rights</w:t>
      </w:r>
      <w:r>
        <w:rPr>
          <w:rFonts w:ascii="Verdana" w:hAnsi="Verdana"/>
          <w:sz w:val="19"/>
          <w:szCs w:val="19"/>
          <w:lang w:val="en-US"/>
        </w:rPr>
        <w:t xml:space="preserve">. </w:t>
      </w:r>
    </w:p>
    <w:p w14:paraId="23574328" w14:textId="77777777" w:rsidR="00624F57" w:rsidRPr="00624F57" w:rsidRDefault="00624F57" w:rsidP="00624F57">
      <w:pPr>
        <w:jc w:val="both"/>
        <w:rPr>
          <w:rFonts w:ascii="Verdana" w:hAnsi="Verdana"/>
          <w:sz w:val="19"/>
          <w:szCs w:val="19"/>
          <w:lang w:val="en-US"/>
        </w:rPr>
      </w:pPr>
    </w:p>
    <w:p w14:paraId="65B81A64" w14:textId="77777777" w:rsidR="008E3B18" w:rsidRDefault="00C96D65" w:rsidP="008113BD">
      <w:pPr>
        <w:pStyle w:val="ListParagraph"/>
        <w:numPr>
          <w:ilvl w:val="0"/>
          <w:numId w:val="4"/>
        </w:numPr>
        <w:ind w:left="426"/>
        <w:jc w:val="both"/>
        <w:rPr>
          <w:rFonts w:ascii="Verdana" w:hAnsi="Verdana"/>
          <w:sz w:val="19"/>
          <w:szCs w:val="19"/>
          <w:lang w:val="en-US"/>
        </w:rPr>
      </w:pPr>
      <w:r>
        <w:rPr>
          <w:rFonts w:ascii="Verdana" w:hAnsi="Verdana"/>
          <w:sz w:val="19"/>
          <w:szCs w:val="19"/>
          <w:lang w:val="en-US"/>
        </w:rPr>
        <w:t xml:space="preserve">Further, the organization considers that the very same reasons for which the Committee has held the guarantee in Article 9(4) to be non-derogable in any circumstances (as stated above), apply, </w:t>
      </w:r>
      <w:r w:rsidRPr="00D0574E">
        <w:rPr>
          <w:rFonts w:ascii="Verdana" w:hAnsi="Verdana"/>
          <w:i/>
          <w:sz w:val="19"/>
          <w:szCs w:val="19"/>
          <w:lang w:val="en-US"/>
        </w:rPr>
        <w:t>mutatis mutandis</w:t>
      </w:r>
      <w:r>
        <w:rPr>
          <w:rFonts w:ascii="Verdana" w:hAnsi="Verdana"/>
          <w:sz w:val="19"/>
          <w:szCs w:val="19"/>
          <w:lang w:val="en-US"/>
        </w:rPr>
        <w:t>, to the need to ensure that any individual under any form of detention should be broug</w:t>
      </w:r>
      <w:r w:rsidR="009957D9">
        <w:rPr>
          <w:rFonts w:ascii="Verdana" w:hAnsi="Verdana"/>
          <w:sz w:val="19"/>
          <w:szCs w:val="19"/>
          <w:lang w:val="en-US"/>
        </w:rPr>
        <w:t xml:space="preserve">ht promptly before a judge or other officer authorized by law to exercise judicial power </w:t>
      </w:r>
      <w:r w:rsidR="00D0574E">
        <w:rPr>
          <w:rFonts w:ascii="Verdana" w:hAnsi="Verdana"/>
          <w:sz w:val="19"/>
          <w:szCs w:val="19"/>
          <w:lang w:val="en-US"/>
        </w:rPr>
        <w:t xml:space="preserve">promptly after the commencement of his or her deprivation of liberty </w:t>
      </w:r>
      <w:r w:rsidR="009957D9">
        <w:rPr>
          <w:rFonts w:ascii="Verdana" w:hAnsi="Verdana"/>
          <w:sz w:val="19"/>
          <w:szCs w:val="19"/>
          <w:lang w:val="en-US"/>
        </w:rPr>
        <w:t>and periodically thereafter, automatically, throughout the duration of the detention, so that its lawfulness may be determined, and reassessed at regular intervals, to ensure compliance with the right liberty and security of person, other human rights, as well as the principle of legality, the rule of law and the separation powers. “</w:t>
      </w:r>
      <w:r w:rsidR="009957D9" w:rsidRPr="009957D9">
        <w:rPr>
          <w:rFonts w:ascii="Verdana" w:hAnsi="Verdana"/>
          <w:sz w:val="19"/>
          <w:szCs w:val="19"/>
          <w:lang w:val="en-US"/>
        </w:rPr>
        <w:t>To hold the contrary view --</w:t>
      </w:r>
      <w:r w:rsidR="009957D9">
        <w:rPr>
          <w:rFonts w:ascii="Verdana" w:hAnsi="Verdana"/>
          <w:sz w:val="19"/>
          <w:szCs w:val="19"/>
          <w:lang w:val="en-US"/>
        </w:rPr>
        <w:t xml:space="preserve"> </w:t>
      </w:r>
      <w:r w:rsidR="009957D9" w:rsidRPr="009957D9">
        <w:rPr>
          <w:rFonts w:ascii="Verdana" w:hAnsi="Verdana"/>
          <w:sz w:val="19"/>
          <w:szCs w:val="19"/>
          <w:lang w:val="en-US"/>
        </w:rPr>
        <w:t>that is, that the executive branch is under no obligation to give reasons for a detention and may prolon</w:t>
      </w:r>
      <w:r w:rsidR="00EC0ADF">
        <w:rPr>
          <w:rFonts w:ascii="Verdana" w:hAnsi="Verdana"/>
          <w:sz w:val="19"/>
          <w:szCs w:val="19"/>
          <w:lang w:val="en-US"/>
        </w:rPr>
        <w:t>g such a detention indefinitely….</w:t>
      </w:r>
      <w:r w:rsidR="007C5CF1">
        <w:rPr>
          <w:rFonts w:ascii="Verdana" w:hAnsi="Verdana"/>
          <w:sz w:val="19"/>
          <w:szCs w:val="19"/>
          <w:lang w:val="en-US"/>
        </w:rPr>
        <w:t xml:space="preserve"> </w:t>
      </w:r>
      <w:r w:rsidR="009957D9" w:rsidRPr="009957D9">
        <w:rPr>
          <w:rFonts w:ascii="Verdana" w:hAnsi="Verdana"/>
          <w:sz w:val="19"/>
          <w:szCs w:val="19"/>
          <w:lang w:val="en-US"/>
        </w:rPr>
        <w:t xml:space="preserve">without bringing the detainee before a judge </w:t>
      </w:r>
      <w:r w:rsidR="009957D9">
        <w:rPr>
          <w:rFonts w:ascii="Verdana" w:hAnsi="Verdana"/>
          <w:sz w:val="19"/>
          <w:szCs w:val="19"/>
          <w:lang w:val="en-US"/>
        </w:rPr>
        <w:t>…</w:t>
      </w:r>
      <w:r w:rsidR="009957D9" w:rsidRPr="009957D9">
        <w:rPr>
          <w:rFonts w:ascii="Verdana" w:hAnsi="Verdana"/>
          <w:sz w:val="19"/>
          <w:szCs w:val="19"/>
          <w:lang w:val="en-US"/>
        </w:rPr>
        <w:t>would, in the opinion of the Commission, be equivalent to attributing uniquely judicial functions to the executive branch, which would violate the principle of separation of powers, a basic characteristic of the rule of law and of democratic systems."</w:t>
      </w:r>
      <w:r w:rsidR="009957D9">
        <w:rPr>
          <w:rStyle w:val="FootnoteReference"/>
          <w:rFonts w:ascii="Verdana" w:hAnsi="Verdana"/>
          <w:sz w:val="19"/>
          <w:szCs w:val="19"/>
          <w:lang w:val="en-US"/>
        </w:rPr>
        <w:footnoteReference w:id="26"/>
      </w:r>
    </w:p>
    <w:p w14:paraId="62D95C65" w14:textId="77777777" w:rsidR="008E3B18" w:rsidRPr="008E3B18" w:rsidRDefault="008E3B18" w:rsidP="008E3B18">
      <w:pPr>
        <w:jc w:val="both"/>
        <w:rPr>
          <w:rFonts w:ascii="Verdana" w:hAnsi="Verdana"/>
          <w:sz w:val="19"/>
          <w:szCs w:val="19"/>
          <w:lang w:val="en-US"/>
        </w:rPr>
      </w:pPr>
    </w:p>
    <w:p w14:paraId="47BA8860" w14:textId="00AAFD7F" w:rsidR="008113BD" w:rsidRPr="008113BD" w:rsidRDefault="008E3B18" w:rsidP="008113BD">
      <w:pPr>
        <w:pStyle w:val="ListParagraph"/>
        <w:numPr>
          <w:ilvl w:val="0"/>
          <w:numId w:val="4"/>
        </w:numPr>
        <w:ind w:left="426"/>
        <w:jc w:val="both"/>
        <w:rPr>
          <w:rFonts w:ascii="Verdana" w:hAnsi="Verdana"/>
          <w:sz w:val="19"/>
          <w:szCs w:val="19"/>
          <w:lang w:val="en-US"/>
        </w:rPr>
      </w:pPr>
      <w:r>
        <w:rPr>
          <w:rFonts w:ascii="Verdana" w:hAnsi="Verdana"/>
          <w:sz w:val="19"/>
          <w:szCs w:val="19"/>
          <w:lang w:val="en-US"/>
        </w:rPr>
        <w:t>In light of the above, a</w:t>
      </w:r>
      <w:r w:rsidR="008113BD" w:rsidRPr="008113BD">
        <w:rPr>
          <w:rFonts w:ascii="Verdana" w:hAnsi="Verdana"/>
          <w:sz w:val="19"/>
          <w:szCs w:val="19"/>
          <w:lang w:val="en-US"/>
        </w:rPr>
        <w:t>t a minimum, the ICJ would recommend</w:t>
      </w:r>
      <w:r w:rsidR="008113BD">
        <w:rPr>
          <w:rFonts w:ascii="Verdana" w:hAnsi="Verdana"/>
          <w:sz w:val="19"/>
          <w:szCs w:val="19"/>
          <w:lang w:val="en-US"/>
        </w:rPr>
        <w:t xml:space="preserve"> </w:t>
      </w:r>
      <w:r w:rsidR="008113BD" w:rsidRPr="008113BD">
        <w:rPr>
          <w:rFonts w:ascii="Verdana" w:hAnsi="Verdana"/>
          <w:sz w:val="19"/>
          <w:szCs w:val="19"/>
          <w:lang w:val="en-US"/>
        </w:rPr>
        <w:t>that the same language used in para</w:t>
      </w:r>
      <w:r w:rsidR="00C7183A">
        <w:rPr>
          <w:rFonts w:ascii="Verdana" w:hAnsi="Verdana"/>
          <w:sz w:val="19"/>
          <w:szCs w:val="19"/>
          <w:lang w:val="en-US"/>
        </w:rPr>
        <w:t>. 18</w:t>
      </w:r>
      <w:r w:rsidR="003D7A97">
        <w:rPr>
          <w:rFonts w:ascii="Verdana" w:hAnsi="Verdana"/>
          <w:sz w:val="19"/>
          <w:szCs w:val="19"/>
          <w:lang w:val="en-US"/>
        </w:rPr>
        <w:t>,</w:t>
      </w:r>
      <w:r w:rsidR="00887C95">
        <w:rPr>
          <w:rStyle w:val="FootnoteReference"/>
          <w:rFonts w:ascii="Verdana" w:hAnsi="Verdana"/>
          <w:sz w:val="19"/>
          <w:szCs w:val="19"/>
          <w:lang w:val="en-US"/>
        </w:rPr>
        <w:footnoteReference w:id="27"/>
      </w:r>
      <w:r w:rsidR="0029163B">
        <w:rPr>
          <w:rFonts w:ascii="Verdana" w:hAnsi="Verdana"/>
          <w:sz w:val="19"/>
          <w:szCs w:val="19"/>
          <w:lang w:val="en-US"/>
        </w:rPr>
        <w:t xml:space="preserve"> and </w:t>
      </w:r>
      <w:r w:rsidR="003D7A97">
        <w:rPr>
          <w:rFonts w:ascii="Verdana" w:hAnsi="Verdana"/>
          <w:sz w:val="19"/>
          <w:szCs w:val="19"/>
          <w:lang w:val="en-US"/>
        </w:rPr>
        <w:t>in particular</w:t>
      </w:r>
      <w:r w:rsidR="0029163B">
        <w:rPr>
          <w:rFonts w:ascii="Verdana" w:hAnsi="Verdana"/>
          <w:sz w:val="19"/>
          <w:szCs w:val="19"/>
          <w:lang w:val="en-US"/>
        </w:rPr>
        <w:t xml:space="preserve"> in para. 19 </w:t>
      </w:r>
      <w:r w:rsidR="008113BD" w:rsidRPr="008113BD">
        <w:rPr>
          <w:rFonts w:ascii="Verdana" w:hAnsi="Verdana"/>
          <w:sz w:val="19"/>
          <w:szCs w:val="19"/>
          <w:lang w:val="en-US"/>
        </w:rPr>
        <w:t xml:space="preserve">in </w:t>
      </w:r>
      <w:r w:rsidR="003D7A97">
        <w:rPr>
          <w:rFonts w:ascii="Verdana" w:hAnsi="Verdana"/>
          <w:sz w:val="19"/>
          <w:szCs w:val="19"/>
          <w:lang w:val="en-US"/>
        </w:rPr>
        <w:t xml:space="preserve">relation to </w:t>
      </w:r>
      <w:r w:rsidR="008113BD" w:rsidRPr="008113BD">
        <w:rPr>
          <w:rFonts w:ascii="Verdana" w:hAnsi="Verdana"/>
          <w:sz w:val="19"/>
          <w:szCs w:val="19"/>
          <w:lang w:val="en-US"/>
        </w:rPr>
        <w:t>the mental health detention context,</w:t>
      </w:r>
      <w:r w:rsidR="008113BD">
        <w:rPr>
          <w:rFonts w:ascii="Verdana" w:hAnsi="Verdana"/>
          <w:sz w:val="19"/>
          <w:szCs w:val="19"/>
          <w:lang w:val="en-US"/>
        </w:rPr>
        <w:t xml:space="preserve"> </w:t>
      </w:r>
      <w:r w:rsidR="008113BD" w:rsidRPr="008113BD">
        <w:rPr>
          <w:rFonts w:ascii="Verdana" w:hAnsi="Verdana"/>
          <w:sz w:val="19"/>
          <w:szCs w:val="19"/>
          <w:lang w:val="en-US"/>
        </w:rPr>
        <w:t xml:space="preserve">including that the review should be judicial in character, be </w:t>
      </w:r>
      <w:r w:rsidR="008113BD">
        <w:rPr>
          <w:rFonts w:ascii="Verdana" w:hAnsi="Verdana"/>
          <w:sz w:val="19"/>
          <w:szCs w:val="19"/>
          <w:lang w:val="en-US"/>
        </w:rPr>
        <w:t xml:space="preserve">adopted </w:t>
      </w:r>
      <w:r w:rsidR="008113BD" w:rsidRPr="008113BD">
        <w:rPr>
          <w:rFonts w:ascii="Verdana" w:hAnsi="Verdana"/>
          <w:sz w:val="19"/>
          <w:szCs w:val="19"/>
          <w:lang w:val="en-US"/>
        </w:rPr>
        <w:t xml:space="preserve">to address </w:t>
      </w:r>
      <w:r w:rsidR="00BD02A0">
        <w:rPr>
          <w:rFonts w:ascii="Verdana" w:hAnsi="Verdana"/>
          <w:sz w:val="19"/>
          <w:szCs w:val="19"/>
          <w:lang w:val="en-US"/>
        </w:rPr>
        <w:t xml:space="preserve">any </w:t>
      </w:r>
      <w:r w:rsidR="008113BD" w:rsidRPr="008113BD">
        <w:rPr>
          <w:rFonts w:ascii="Verdana" w:hAnsi="Verdana"/>
          <w:sz w:val="19"/>
          <w:szCs w:val="19"/>
          <w:lang w:val="en-US"/>
        </w:rPr>
        <w:t>detention</w:t>
      </w:r>
      <w:r w:rsidR="006012B6">
        <w:rPr>
          <w:rFonts w:ascii="Verdana" w:hAnsi="Verdana"/>
          <w:sz w:val="19"/>
          <w:szCs w:val="19"/>
          <w:lang w:val="en-US"/>
        </w:rPr>
        <w:t xml:space="preserve"> in </w:t>
      </w:r>
      <w:r w:rsidR="00BD02A0">
        <w:rPr>
          <w:rFonts w:ascii="Verdana" w:hAnsi="Verdana"/>
          <w:sz w:val="19"/>
          <w:szCs w:val="19"/>
          <w:lang w:val="en-US"/>
        </w:rPr>
        <w:t>any context</w:t>
      </w:r>
      <w:r w:rsidR="008113BD" w:rsidRPr="008113BD">
        <w:rPr>
          <w:rFonts w:ascii="Verdana" w:hAnsi="Verdana"/>
          <w:sz w:val="19"/>
          <w:szCs w:val="19"/>
          <w:lang w:val="en-US"/>
        </w:rPr>
        <w:t>.</w:t>
      </w:r>
      <w:r>
        <w:rPr>
          <w:rFonts w:ascii="Verdana" w:hAnsi="Verdana"/>
          <w:sz w:val="19"/>
          <w:szCs w:val="19"/>
          <w:lang w:val="en-US"/>
        </w:rPr>
        <w:t xml:space="preserve"> </w:t>
      </w:r>
    </w:p>
    <w:p w14:paraId="5A0EA41D" w14:textId="77777777" w:rsidR="008113BD" w:rsidRDefault="008113BD" w:rsidP="00D617A2">
      <w:pPr>
        <w:pStyle w:val="ListParagraph"/>
        <w:ind w:left="426"/>
        <w:jc w:val="both"/>
        <w:rPr>
          <w:rFonts w:ascii="Verdana" w:hAnsi="Verdana"/>
          <w:sz w:val="19"/>
          <w:szCs w:val="19"/>
          <w:lang w:val="en-US"/>
        </w:rPr>
      </w:pPr>
    </w:p>
    <w:p w14:paraId="7EBAD32F" w14:textId="77777777" w:rsidR="008113BD" w:rsidRPr="00D617A2" w:rsidRDefault="005F1380" w:rsidP="00D617A2">
      <w:pPr>
        <w:pStyle w:val="ListParagraph"/>
        <w:numPr>
          <w:ilvl w:val="0"/>
          <w:numId w:val="4"/>
        </w:numPr>
        <w:ind w:left="426"/>
        <w:jc w:val="both"/>
        <w:rPr>
          <w:rFonts w:ascii="Verdana" w:hAnsi="Verdana"/>
          <w:sz w:val="19"/>
          <w:szCs w:val="19"/>
          <w:lang w:val="en-US"/>
        </w:rPr>
      </w:pPr>
      <w:r>
        <w:rPr>
          <w:rFonts w:ascii="Verdana" w:hAnsi="Verdana"/>
          <w:sz w:val="19"/>
          <w:szCs w:val="19"/>
          <w:lang w:val="en-US"/>
        </w:rPr>
        <w:t xml:space="preserve">Given the </w:t>
      </w:r>
      <w:r w:rsidR="008113BD" w:rsidRPr="008113BD">
        <w:rPr>
          <w:rFonts w:ascii="Verdana" w:hAnsi="Verdana"/>
          <w:sz w:val="19"/>
          <w:szCs w:val="19"/>
          <w:lang w:val="en-US"/>
        </w:rPr>
        <w:t xml:space="preserve">importance </w:t>
      </w:r>
      <w:r>
        <w:rPr>
          <w:rFonts w:ascii="Verdana" w:hAnsi="Verdana"/>
          <w:sz w:val="19"/>
          <w:szCs w:val="19"/>
          <w:lang w:val="en-US"/>
        </w:rPr>
        <w:t xml:space="preserve">of judicial supervision of detention </w:t>
      </w:r>
      <w:r w:rsidR="008113BD" w:rsidRPr="008113BD">
        <w:rPr>
          <w:rFonts w:ascii="Verdana" w:hAnsi="Verdana"/>
          <w:sz w:val="19"/>
          <w:szCs w:val="19"/>
          <w:lang w:val="en-US"/>
        </w:rPr>
        <w:t>to securing</w:t>
      </w:r>
      <w:r w:rsidR="00D617A2">
        <w:rPr>
          <w:rFonts w:ascii="Verdana" w:hAnsi="Verdana"/>
          <w:sz w:val="19"/>
          <w:szCs w:val="19"/>
          <w:lang w:val="en-US"/>
        </w:rPr>
        <w:t xml:space="preserve"> </w:t>
      </w:r>
      <w:r w:rsidR="008113BD" w:rsidRPr="00D617A2">
        <w:rPr>
          <w:rFonts w:ascii="Verdana" w:hAnsi="Verdana"/>
          <w:sz w:val="19"/>
          <w:szCs w:val="19"/>
          <w:lang w:val="en-US"/>
        </w:rPr>
        <w:t>respect for the right to liberty</w:t>
      </w:r>
      <w:r>
        <w:rPr>
          <w:rFonts w:ascii="Verdana" w:hAnsi="Verdana"/>
          <w:sz w:val="19"/>
          <w:szCs w:val="19"/>
          <w:lang w:val="en-US"/>
        </w:rPr>
        <w:t xml:space="preserve"> and other human rights</w:t>
      </w:r>
      <w:r w:rsidR="008113BD" w:rsidRPr="00D617A2">
        <w:rPr>
          <w:rFonts w:ascii="Verdana" w:hAnsi="Verdana"/>
          <w:sz w:val="19"/>
          <w:szCs w:val="19"/>
          <w:lang w:val="en-US"/>
        </w:rPr>
        <w:t xml:space="preserve">, </w:t>
      </w:r>
      <w:r>
        <w:rPr>
          <w:rFonts w:ascii="Verdana" w:hAnsi="Verdana"/>
          <w:sz w:val="19"/>
          <w:szCs w:val="19"/>
          <w:lang w:val="en-US"/>
        </w:rPr>
        <w:t>the ICJ also</w:t>
      </w:r>
      <w:r w:rsidR="008113BD" w:rsidRPr="00D617A2">
        <w:rPr>
          <w:rFonts w:ascii="Verdana" w:hAnsi="Verdana"/>
          <w:sz w:val="19"/>
          <w:szCs w:val="19"/>
          <w:lang w:val="en-US"/>
        </w:rPr>
        <w:t xml:space="preserve"> recommends the Committee elaborate further,</w:t>
      </w:r>
      <w:r w:rsidR="00D617A2">
        <w:rPr>
          <w:rFonts w:ascii="Verdana" w:hAnsi="Verdana"/>
          <w:sz w:val="19"/>
          <w:szCs w:val="19"/>
          <w:lang w:val="en-US"/>
        </w:rPr>
        <w:t xml:space="preserve"> </w:t>
      </w:r>
      <w:r w:rsidR="008113BD" w:rsidRPr="00D617A2">
        <w:rPr>
          <w:rFonts w:ascii="Verdana" w:hAnsi="Verdana"/>
          <w:sz w:val="19"/>
          <w:szCs w:val="19"/>
          <w:lang w:val="en-US"/>
        </w:rPr>
        <w:t>for instance by adopting additional text along the following lines:</w:t>
      </w:r>
    </w:p>
    <w:p w14:paraId="6044AC6E" w14:textId="77777777" w:rsidR="00C5232D" w:rsidRDefault="00C5232D" w:rsidP="00C5232D">
      <w:pPr>
        <w:pStyle w:val="ListParagraph"/>
        <w:jc w:val="both"/>
        <w:rPr>
          <w:rFonts w:ascii="Verdana" w:hAnsi="Verdana"/>
          <w:bCs/>
          <w:sz w:val="19"/>
          <w:szCs w:val="19"/>
          <w:lang w:val="en-US"/>
        </w:rPr>
      </w:pPr>
    </w:p>
    <w:p w14:paraId="4597E9A1" w14:textId="77777777" w:rsidR="00C5232D" w:rsidRP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“While article 9(3) expressly requires that anyone detained under criminal</w:t>
      </w:r>
      <w:r>
        <w:rPr>
          <w:rFonts w:ascii="Verdana" w:hAnsi="Verdana"/>
          <w:bCs/>
          <w:sz w:val="19"/>
          <w:szCs w:val="19"/>
          <w:lang w:val="en-US"/>
        </w:rPr>
        <w:t xml:space="preserve"> </w:t>
      </w:r>
      <w:r w:rsidRPr="00C5232D">
        <w:rPr>
          <w:rFonts w:ascii="Verdana" w:hAnsi="Verdana"/>
          <w:bCs/>
          <w:sz w:val="19"/>
          <w:szCs w:val="19"/>
          <w:lang w:val="en-US"/>
        </w:rPr>
        <w:t>charge be brought promptly before a judge or other officer authorized by law</w:t>
      </w:r>
      <w:r>
        <w:rPr>
          <w:rFonts w:ascii="Verdana" w:hAnsi="Verdana"/>
          <w:bCs/>
          <w:sz w:val="19"/>
          <w:szCs w:val="19"/>
          <w:lang w:val="en-US"/>
        </w:rPr>
        <w:t xml:space="preserve"> </w:t>
      </w:r>
      <w:r w:rsidRPr="00C5232D">
        <w:rPr>
          <w:rFonts w:ascii="Verdana" w:hAnsi="Verdana"/>
          <w:bCs/>
          <w:sz w:val="19"/>
          <w:szCs w:val="19"/>
          <w:lang w:val="en-US"/>
        </w:rPr>
        <w:t>to exercise judicial power, adoption of the same practice for all persons</w:t>
      </w:r>
      <w:r>
        <w:rPr>
          <w:rFonts w:ascii="Verdana" w:hAnsi="Verdana"/>
          <w:bCs/>
          <w:sz w:val="19"/>
          <w:szCs w:val="19"/>
          <w:lang w:val="en-US"/>
        </w:rPr>
        <w:t xml:space="preserve"> </w:t>
      </w:r>
      <w:r w:rsidRPr="00C5232D">
        <w:rPr>
          <w:rFonts w:ascii="Verdana" w:hAnsi="Verdana"/>
          <w:bCs/>
          <w:sz w:val="19"/>
          <w:szCs w:val="19"/>
          <w:lang w:val="en-US"/>
        </w:rPr>
        <w:t>deprived of liberty on any ground would serve as a fundamental safeguard</w:t>
      </w:r>
      <w:r>
        <w:rPr>
          <w:rFonts w:ascii="Verdana" w:hAnsi="Verdana"/>
          <w:bCs/>
          <w:sz w:val="19"/>
          <w:szCs w:val="19"/>
          <w:lang w:val="en-US"/>
        </w:rPr>
        <w:t xml:space="preserve"> </w:t>
      </w:r>
      <w:r w:rsidRPr="00C5232D">
        <w:rPr>
          <w:rFonts w:ascii="Verdana" w:hAnsi="Verdana"/>
          <w:bCs/>
          <w:sz w:val="19"/>
          <w:szCs w:val="19"/>
          <w:lang w:val="en-US"/>
        </w:rPr>
        <w:t>against arbitrary detention, as well as other human rights violations.</w:t>
      </w:r>
      <w:r w:rsidR="00C7183A">
        <w:rPr>
          <w:rStyle w:val="FootnoteReference"/>
          <w:rFonts w:ascii="Verdana" w:hAnsi="Verdana"/>
          <w:bCs/>
          <w:sz w:val="19"/>
          <w:szCs w:val="19"/>
          <w:lang w:val="en-US"/>
        </w:rPr>
        <w:footnoteReference w:id="28"/>
      </w:r>
    </w:p>
    <w:p w14:paraId="6FEA8E04" w14:textId="77777777" w:rsidR="00C5232D" w:rsidRDefault="00C5232D" w:rsidP="00C5232D">
      <w:pPr>
        <w:pStyle w:val="ListParagraph"/>
        <w:jc w:val="both"/>
        <w:rPr>
          <w:rFonts w:ascii="Verdana" w:hAnsi="Verdana"/>
          <w:bCs/>
          <w:sz w:val="19"/>
          <w:szCs w:val="19"/>
          <w:lang w:val="en-US"/>
        </w:rPr>
      </w:pPr>
    </w:p>
    <w:p w14:paraId="14572911" w14:textId="77777777" w:rsidR="00C5232D" w:rsidRP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“States are under a corresponding obligation to ensure that all forms of</w:t>
      </w:r>
      <w:r>
        <w:rPr>
          <w:rFonts w:ascii="Verdana" w:hAnsi="Verdana"/>
          <w:bCs/>
          <w:sz w:val="19"/>
          <w:szCs w:val="19"/>
          <w:lang w:val="en-US"/>
        </w:rPr>
        <w:t xml:space="preserve"> </w:t>
      </w:r>
      <w:r w:rsidRPr="00C5232D">
        <w:rPr>
          <w:rFonts w:ascii="Verdana" w:hAnsi="Verdana"/>
          <w:bCs/>
          <w:sz w:val="19"/>
          <w:szCs w:val="19"/>
          <w:lang w:val="en-US"/>
        </w:rPr>
        <w:t>detention or imprisonment be ordered by, or subject to, the effective control</w:t>
      </w:r>
      <w:r>
        <w:rPr>
          <w:rFonts w:ascii="Verdana" w:hAnsi="Verdana"/>
          <w:bCs/>
          <w:sz w:val="19"/>
          <w:szCs w:val="19"/>
          <w:lang w:val="en-US"/>
        </w:rPr>
        <w:t xml:space="preserve"> </w:t>
      </w:r>
      <w:r w:rsidRPr="00C5232D">
        <w:rPr>
          <w:rFonts w:ascii="Verdana" w:hAnsi="Verdana"/>
          <w:bCs/>
          <w:sz w:val="19"/>
          <w:szCs w:val="19"/>
          <w:lang w:val="en-US"/>
        </w:rPr>
        <w:t>of a judicial authority, including through regular,</w:t>
      </w:r>
      <w:r>
        <w:rPr>
          <w:rFonts w:ascii="Verdana" w:hAnsi="Verdana"/>
          <w:bCs/>
          <w:sz w:val="19"/>
          <w:szCs w:val="19"/>
          <w:lang w:val="en-US"/>
        </w:rPr>
        <w:t xml:space="preserve"> periodic judicial review of the </w:t>
      </w:r>
      <w:r w:rsidRPr="00C5232D">
        <w:rPr>
          <w:rFonts w:ascii="Verdana" w:hAnsi="Verdana"/>
          <w:bCs/>
          <w:sz w:val="19"/>
          <w:szCs w:val="19"/>
          <w:lang w:val="en-US"/>
        </w:rPr>
        <w:t>lawfulness of detention.</w:t>
      </w:r>
    </w:p>
    <w:p w14:paraId="6ECF1D28" w14:textId="77777777" w:rsidR="00C5232D" w:rsidRDefault="00C5232D" w:rsidP="00C5232D">
      <w:pPr>
        <w:pStyle w:val="ListParagraph"/>
        <w:jc w:val="both"/>
        <w:rPr>
          <w:rFonts w:ascii="Verdana" w:hAnsi="Verdana"/>
          <w:bCs/>
          <w:sz w:val="19"/>
          <w:szCs w:val="19"/>
          <w:lang w:val="en-US"/>
        </w:rPr>
      </w:pPr>
    </w:p>
    <w:p w14:paraId="1A9E7946" w14:textId="77777777" w:rsidR="00C5232D" w:rsidRP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“Judicial oversight of detention serves to safeguard the right to liberty and in</w:t>
      </w:r>
      <w:r>
        <w:rPr>
          <w:rFonts w:ascii="Verdana" w:hAnsi="Verdana"/>
          <w:bCs/>
          <w:sz w:val="19"/>
          <w:szCs w:val="19"/>
          <w:lang w:val="en-US"/>
        </w:rPr>
        <w:t xml:space="preserve"> </w:t>
      </w:r>
      <w:r w:rsidRPr="00C5232D">
        <w:rPr>
          <w:rFonts w:ascii="Verdana" w:hAnsi="Verdana"/>
          <w:bCs/>
          <w:sz w:val="19"/>
          <w:szCs w:val="19"/>
          <w:lang w:val="en-US"/>
        </w:rPr>
        <w:t>criminal cases, the presumption of innocence. It also aims to prevent human</w:t>
      </w:r>
      <w:r>
        <w:rPr>
          <w:rFonts w:ascii="Verdana" w:hAnsi="Verdana"/>
          <w:bCs/>
          <w:sz w:val="19"/>
          <w:szCs w:val="19"/>
          <w:lang w:val="en-US"/>
        </w:rPr>
        <w:t xml:space="preserve"> </w:t>
      </w:r>
      <w:r w:rsidRPr="00C5232D">
        <w:rPr>
          <w:rFonts w:ascii="Verdana" w:hAnsi="Verdana"/>
          <w:bCs/>
          <w:sz w:val="19"/>
          <w:szCs w:val="19"/>
          <w:lang w:val="en-US"/>
        </w:rPr>
        <w:t>rights violations, including torture or other ill-treatment, arbitrary detention</w:t>
      </w:r>
      <w:r>
        <w:rPr>
          <w:rFonts w:ascii="Verdana" w:hAnsi="Verdana"/>
          <w:bCs/>
          <w:sz w:val="19"/>
          <w:szCs w:val="19"/>
          <w:lang w:val="en-US"/>
        </w:rPr>
        <w:t xml:space="preserve"> </w:t>
      </w:r>
      <w:r w:rsidRPr="00C5232D">
        <w:rPr>
          <w:rFonts w:ascii="Verdana" w:hAnsi="Verdana"/>
          <w:bCs/>
          <w:sz w:val="19"/>
          <w:szCs w:val="19"/>
          <w:lang w:val="en-US"/>
        </w:rPr>
        <w:t>and enforced disappearance. It ensures that detainees are not exclusively at</w:t>
      </w:r>
      <w:r>
        <w:rPr>
          <w:rFonts w:ascii="Verdana" w:hAnsi="Verdana"/>
          <w:bCs/>
          <w:sz w:val="19"/>
          <w:szCs w:val="19"/>
          <w:lang w:val="en-US"/>
        </w:rPr>
        <w:t xml:space="preserve"> </w:t>
      </w:r>
      <w:r w:rsidRPr="00C5232D">
        <w:rPr>
          <w:rFonts w:ascii="Verdana" w:hAnsi="Verdana"/>
          <w:bCs/>
          <w:sz w:val="19"/>
          <w:szCs w:val="19"/>
          <w:lang w:val="en-US"/>
        </w:rPr>
        <w:t>the mercy of the authorities detaining them.</w:t>
      </w:r>
    </w:p>
    <w:p w14:paraId="4C9F4214" w14:textId="77777777" w:rsidR="00C5232D" w:rsidRDefault="00C5232D" w:rsidP="00C5232D">
      <w:pPr>
        <w:pStyle w:val="ListParagraph"/>
        <w:jc w:val="both"/>
        <w:rPr>
          <w:rFonts w:ascii="Verdana" w:hAnsi="Verdana"/>
          <w:bCs/>
          <w:sz w:val="19"/>
          <w:szCs w:val="19"/>
          <w:lang w:val="en-US"/>
        </w:rPr>
      </w:pPr>
    </w:p>
    <w:p w14:paraId="14B6D654" w14:textId="77777777" w:rsidR="00C5232D" w:rsidRP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“The purposes of bringing the detainee promptly before a judge include:</w:t>
      </w:r>
    </w:p>
    <w:p w14:paraId="45491EEB"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sz w:val="19"/>
          <w:szCs w:val="19"/>
          <w:lang w:val="en-US"/>
        </w:rPr>
        <w:t xml:space="preserve">• </w:t>
      </w:r>
      <w:r w:rsidRPr="00C5232D">
        <w:rPr>
          <w:rFonts w:ascii="Verdana" w:hAnsi="Verdana"/>
          <w:bCs/>
          <w:sz w:val="19"/>
          <w:szCs w:val="19"/>
          <w:lang w:val="en-US"/>
        </w:rPr>
        <w:t>to assess whether sufficient legal reasons exist for the arrest or</w:t>
      </w:r>
    </w:p>
    <w:p w14:paraId="21340560"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bCs/>
          <w:sz w:val="19"/>
          <w:szCs w:val="19"/>
          <w:lang w:val="en-US"/>
        </w:rPr>
        <w:t>detention, and to order release if not,</w:t>
      </w:r>
    </w:p>
    <w:p w14:paraId="63BEEBD8"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sz w:val="19"/>
          <w:szCs w:val="19"/>
          <w:lang w:val="en-US"/>
        </w:rPr>
        <w:t xml:space="preserve">• </w:t>
      </w:r>
      <w:r w:rsidRPr="00C5232D">
        <w:rPr>
          <w:rFonts w:ascii="Verdana" w:hAnsi="Verdana"/>
          <w:bCs/>
          <w:sz w:val="19"/>
          <w:szCs w:val="19"/>
          <w:lang w:val="en-US"/>
        </w:rPr>
        <w:t>to safeguard the well-being of the detainee,</w:t>
      </w:r>
    </w:p>
    <w:p w14:paraId="2E6AB19C"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sz w:val="19"/>
          <w:szCs w:val="19"/>
          <w:lang w:val="en-US"/>
        </w:rPr>
        <w:t xml:space="preserve">• </w:t>
      </w:r>
      <w:r w:rsidRPr="00C5232D">
        <w:rPr>
          <w:rFonts w:ascii="Verdana" w:hAnsi="Verdana"/>
          <w:bCs/>
          <w:sz w:val="19"/>
          <w:szCs w:val="19"/>
          <w:lang w:val="en-US"/>
        </w:rPr>
        <w:t>to prevent violations of the detainee’s rights,</w:t>
      </w:r>
    </w:p>
    <w:p w14:paraId="4E2C75FA"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sz w:val="19"/>
          <w:szCs w:val="19"/>
          <w:lang w:val="en-US"/>
        </w:rPr>
        <w:t xml:space="preserve">• </w:t>
      </w:r>
      <w:r w:rsidRPr="00C5232D">
        <w:rPr>
          <w:rFonts w:ascii="Verdana" w:hAnsi="Verdana"/>
          <w:bCs/>
          <w:sz w:val="19"/>
          <w:szCs w:val="19"/>
          <w:lang w:val="en-US"/>
        </w:rPr>
        <w:t>if the initial detention or arrest was lawful, to assess whether the</w:t>
      </w:r>
    </w:p>
    <w:p w14:paraId="1AB6DC87"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bCs/>
          <w:sz w:val="19"/>
          <w:szCs w:val="19"/>
          <w:lang w:val="en-US"/>
        </w:rPr>
        <w:t>individual should be released from custody and if any conditions should</w:t>
      </w:r>
    </w:p>
    <w:p w14:paraId="7436DF50" w14:textId="77777777" w:rsidR="00C5232D" w:rsidRPr="00C5232D" w:rsidRDefault="00C5232D" w:rsidP="00C5232D">
      <w:pPr>
        <w:pStyle w:val="ListParagraph"/>
        <w:ind w:firstLine="720"/>
        <w:jc w:val="both"/>
        <w:rPr>
          <w:rFonts w:ascii="Verdana" w:hAnsi="Verdana"/>
          <w:bCs/>
          <w:sz w:val="19"/>
          <w:szCs w:val="19"/>
          <w:lang w:val="en-US"/>
        </w:rPr>
      </w:pPr>
      <w:r w:rsidRPr="00C5232D">
        <w:rPr>
          <w:rFonts w:ascii="Verdana" w:hAnsi="Verdana"/>
          <w:bCs/>
          <w:sz w:val="19"/>
          <w:szCs w:val="19"/>
          <w:lang w:val="en-US"/>
        </w:rPr>
        <w:t>be imposed.</w:t>
      </w:r>
    </w:p>
    <w:p w14:paraId="7821E9B5" w14:textId="77777777" w:rsidR="00C5232D" w:rsidRDefault="00C5232D" w:rsidP="00C5232D">
      <w:pPr>
        <w:pStyle w:val="ListParagraph"/>
        <w:jc w:val="both"/>
        <w:rPr>
          <w:rFonts w:ascii="Verdana" w:hAnsi="Verdana"/>
          <w:bCs/>
          <w:sz w:val="19"/>
          <w:szCs w:val="19"/>
          <w:lang w:val="en-US"/>
        </w:rPr>
      </w:pPr>
    </w:p>
    <w:p w14:paraId="480FC974" w14:textId="77777777" w:rsid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“States have an obligation to ensure that people arrested or detained are</w:t>
      </w:r>
      <w:r>
        <w:rPr>
          <w:rFonts w:ascii="Verdana" w:hAnsi="Verdana"/>
          <w:bCs/>
          <w:sz w:val="19"/>
          <w:szCs w:val="19"/>
          <w:lang w:val="en-US"/>
        </w:rPr>
        <w:t xml:space="preserve"> </w:t>
      </w:r>
      <w:r w:rsidRPr="00C5232D">
        <w:rPr>
          <w:rFonts w:ascii="Verdana" w:hAnsi="Verdana"/>
          <w:bCs/>
          <w:sz w:val="19"/>
          <w:szCs w:val="19"/>
          <w:lang w:val="en-US"/>
        </w:rPr>
        <w:t>brought before a judge promptly, regardless of whether a detainee challenges</w:t>
      </w:r>
    </w:p>
    <w:p w14:paraId="20B034FE" w14:textId="77777777" w:rsidR="008113BD" w:rsidRPr="00C5232D" w:rsidRDefault="00C5232D" w:rsidP="00C5232D">
      <w:pPr>
        <w:pStyle w:val="ListParagraph"/>
        <w:jc w:val="both"/>
        <w:rPr>
          <w:rFonts w:ascii="Verdana" w:hAnsi="Verdana"/>
          <w:bCs/>
          <w:sz w:val="19"/>
          <w:szCs w:val="19"/>
          <w:lang w:val="en-US"/>
        </w:rPr>
      </w:pPr>
      <w:r w:rsidRPr="00C5232D">
        <w:rPr>
          <w:rFonts w:ascii="Verdana" w:hAnsi="Verdana"/>
          <w:bCs/>
          <w:sz w:val="19"/>
          <w:szCs w:val="19"/>
          <w:lang w:val="en-US"/>
        </w:rPr>
        <w:t>their detention. This procedure is distinct from procedures contemplated by</w:t>
      </w:r>
      <w:r>
        <w:rPr>
          <w:rFonts w:ascii="Verdana" w:hAnsi="Verdana"/>
          <w:bCs/>
          <w:sz w:val="19"/>
          <w:szCs w:val="19"/>
          <w:lang w:val="en-US"/>
        </w:rPr>
        <w:t xml:space="preserve"> </w:t>
      </w:r>
      <w:r w:rsidRPr="00C5232D">
        <w:rPr>
          <w:rFonts w:ascii="Verdana" w:hAnsi="Verdana"/>
          <w:bCs/>
          <w:sz w:val="19"/>
          <w:szCs w:val="19"/>
          <w:lang w:val="en-US"/>
        </w:rPr>
        <w:t xml:space="preserve">article 9(4) and initiated by or on behalf of the detainee, such as </w:t>
      </w:r>
      <w:r w:rsidRPr="00DF4AE6">
        <w:rPr>
          <w:rFonts w:ascii="Verdana" w:hAnsi="Verdana"/>
          <w:i/>
          <w:sz w:val="19"/>
          <w:szCs w:val="19"/>
          <w:lang w:val="en-US"/>
        </w:rPr>
        <w:t>habeas corpus</w:t>
      </w:r>
      <w:r w:rsidRPr="00C5232D">
        <w:rPr>
          <w:rFonts w:ascii="Verdana" w:hAnsi="Verdana"/>
          <w:sz w:val="19"/>
          <w:szCs w:val="19"/>
          <w:lang w:val="en-US"/>
        </w:rPr>
        <w:t xml:space="preserve"> </w:t>
      </w:r>
      <w:r w:rsidRPr="00C5232D">
        <w:rPr>
          <w:rFonts w:ascii="Verdana" w:hAnsi="Verdana"/>
          <w:bCs/>
          <w:sz w:val="19"/>
          <w:szCs w:val="19"/>
          <w:lang w:val="en-US"/>
        </w:rPr>
        <w:t xml:space="preserve">or </w:t>
      </w:r>
      <w:r w:rsidRPr="00DF4AE6">
        <w:rPr>
          <w:rFonts w:ascii="Verdana" w:hAnsi="Verdana"/>
          <w:i/>
          <w:sz w:val="19"/>
          <w:szCs w:val="19"/>
          <w:lang w:val="en-US"/>
        </w:rPr>
        <w:t>amparo</w:t>
      </w:r>
      <w:r w:rsidRPr="00C5232D">
        <w:rPr>
          <w:rFonts w:ascii="Verdana" w:hAnsi="Verdana"/>
          <w:bCs/>
          <w:sz w:val="19"/>
          <w:szCs w:val="19"/>
          <w:lang w:val="en-US"/>
        </w:rPr>
        <w:t>, and from regular periodic administrative review of</w:t>
      </w:r>
      <w:r>
        <w:rPr>
          <w:rFonts w:ascii="Verdana" w:hAnsi="Verdana"/>
          <w:bCs/>
          <w:sz w:val="19"/>
          <w:szCs w:val="19"/>
          <w:lang w:val="en-US"/>
        </w:rPr>
        <w:t xml:space="preserve"> </w:t>
      </w:r>
      <w:r w:rsidRPr="00C5232D">
        <w:rPr>
          <w:rFonts w:ascii="Verdana" w:hAnsi="Verdana"/>
          <w:bCs/>
          <w:sz w:val="19"/>
          <w:szCs w:val="19"/>
          <w:lang w:val="en-US"/>
        </w:rPr>
        <w:t xml:space="preserve">detention. The availability of </w:t>
      </w:r>
      <w:r w:rsidRPr="00C5232D">
        <w:rPr>
          <w:rFonts w:ascii="Verdana" w:hAnsi="Verdana"/>
          <w:sz w:val="19"/>
          <w:szCs w:val="19"/>
          <w:lang w:val="en-US"/>
        </w:rPr>
        <w:t xml:space="preserve">habeas corpus </w:t>
      </w:r>
      <w:r w:rsidRPr="00C5232D">
        <w:rPr>
          <w:rFonts w:ascii="Verdana" w:hAnsi="Verdana"/>
          <w:bCs/>
          <w:sz w:val="19"/>
          <w:szCs w:val="19"/>
          <w:lang w:val="en-US"/>
        </w:rPr>
        <w:t>or other such procedures does not</w:t>
      </w:r>
      <w:r>
        <w:rPr>
          <w:rFonts w:ascii="Verdana" w:hAnsi="Verdana"/>
          <w:bCs/>
          <w:sz w:val="19"/>
          <w:szCs w:val="19"/>
          <w:lang w:val="en-US"/>
        </w:rPr>
        <w:t xml:space="preserve"> </w:t>
      </w:r>
      <w:r w:rsidRPr="00C5232D">
        <w:rPr>
          <w:rFonts w:ascii="Verdana" w:hAnsi="Verdana"/>
          <w:bCs/>
          <w:sz w:val="19"/>
          <w:szCs w:val="19"/>
          <w:lang w:val="en-US"/>
        </w:rPr>
        <w:t>excuse a state’s failure to bring a detainee promptly before a judicial</w:t>
      </w:r>
      <w:r>
        <w:rPr>
          <w:rFonts w:ascii="Verdana" w:hAnsi="Verdana"/>
          <w:bCs/>
          <w:sz w:val="19"/>
          <w:szCs w:val="19"/>
          <w:lang w:val="en-US"/>
        </w:rPr>
        <w:t xml:space="preserve"> </w:t>
      </w:r>
      <w:r w:rsidRPr="00C5232D">
        <w:rPr>
          <w:rFonts w:ascii="Verdana" w:hAnsi="Verdana"/>
          <w:bCs/>
          <w:sz w:val="19"/>
          <w:szCs w:val="19"/>
          <w:lang w:val="en-US"/>
        </w:rPr>
        <w:t>authority.”</w:t>
      </w:r>
    </w:p>
    <w:p w14:paraId="22EDC38D" w14:textId="77777777" w:rsidR="006C21E8" w:rsidRDefault="006C21E8" w:rsidP="006C21E8">
      <w:pPr>
        <w:pStyle w:val="ListParagraph"/>
        <w:ind w:left="426"/>
        <w:jc w:val="both"/>
        <w:rPr>
          <w:rFonts w:ascii="Verdana" w:hAnsi="Verdana"/>
          <w:sz w:val="19"/>
          <w:szCs w:val="19"/>
          <w:lang w:val="en-US"/>
        </w:rPr>
      </w:pPr>
    </w:p>
    <w:p w14:paraId="1673B272" w14:textId="77777777" w:rsidR="00DF4AE6" w:rsidRDefault="000B4663" w:rsidP="00DF4AE6">
      <w:pPr>
        <w:pStyle w:val="ListParagraph"/>
        <w:numPr>
          <w:ilvl w:val="0"/>
          <w:numId w:val="4"/>
        </w:numPr>
        <w:ind w:left="426"/>
        <w:jc w:val="both"/>
        <w:rPr>
          <w:rFonts w:ascii="Verdana" w:hAnsi="Verdana"/>
          <w:sz w:val="19"/>
          <w:szCs w:val="19"/>
          <w:lang w:val="en-US"/>
        </w:rPr>
      </w:pPr>
      <w:r w:rsidRPr="0088508C">
        <w:rPr>
          <w:rFonts w:ascii="Verdana" w:hAnsi="Verdana"/>
          <w:sz w:val="19"/>
          <w:szCs w:val="19"/>
          <w:lang w:val="en-US"/>
        </w:rPr>
        <w:t>The ICJ recommends that the word “only”</w:t>
      </w:r>
      <w:r w:rsidRPr="0088508C">
        <w:rPr>
          <w:rStyle w:val="FootnoteReference"/>
          <w:rFonts w:ascii="Verdana" w:hAnsi="Verdana"/>
          <w:sz w:val="19"/>
          <w:szCs w:val="19"/>
          <w:lang w:val="en-US"/>
        </w:rPr>
        <w:t xml:space="preserve"> </w:t>
      </w:r>
      <w:r w:rsidRPr="0088508C">
        <w:rPr>
          <w:rStyle w:val="FootnoteReference"/>
          <w:rFonts w:ascii="Verdana" w:hAnsi="Verdana"/>
          <w:sz w:val="19"/>
          <w:szCs w:val="19"/>
          <w:lang w:val="en-US"/>
        </w:rPr>
        <w:footnoteReference w:id="29"/>
      </w:r>
      <w:r w:rsidRPr="0088508C">
        <w:rPr>
          <w:rFonts w:ascii="Verdana" w:hAnsi="Verdana"/>
          <w:sz w:val="19"/>
          <w:szCs w:val="19"/>
          <w:lang w:val="en-US"/>
        </w:rPr>
        <w:t xml:space="preserve"> in para. 4 of the present draft be replaced with “expressly” so as to ensure consistency</w:t>
      </w:r>
      <w:r w:rsidR="00606492">
        <w:rPr>
          <w:rFonts w:ascii="Verdana" w:hAnsi="Verdana"/>
          <w:sz w:val="19"/>
          <w:szCs w:val="19"/>
          <w:lang w:val="en-US"/>
        </w:rPr>
        <w:t xml:space="preserve"> </w:t>
      </w:r>
      <w:r w:rsidR="00606492">
        <w:rPr>
          <w:rFonts w:ascii="Verdana" w:hAnsi="Verdana"/>
          <w:sz w:val="19"/>
          <w:szCs w:val="19"/>
        </w:rPr>
        <w:t>with the above-mentioned language set out in paras 18 and 19 of the draft, and also</w:t>
      </w:r>
      <w:r w:rsidR="00CB5B67">
        <w:rPr>
          <w:rFonts w:ascii="Verdana" w:hAnsi="Verdana"/>
          <w:sz w:val="19"/>
          <w:szCs w:val="19"/>
        </w:rPr>
        <w:t>,</w:t>
      </w:r>
      <w:r w:rsidR="00CB5B67" w:rsidRPr="00CB5B67">
        <w:rPr>
          <w:rFonts w:ascii="Verdana" w:hAnsi="Verdana"/>
          <w:sz w:val="19"/>
          <w:szCs w:val="19"/>
          <w:lang w:val="en-US"/>
        </w:rPr>
        <w:t xml:space="preserve"> </w:t>
      </w:r>
      <w:r w:rsidR="00CB5B67">
        <w:rPr>
          <w:rFonts w:ascii="Verdana" w:hAnsi="Verdana"/>
          <w:sz w:val="19"/>
          <w:szCs w:val="19"/>
          <w:lang w:val="en-US"/>
        </w:rPr>
        <w:t xml:space="preserve">if they </w:t>
      </w:r>
      <w:r w:rsidR="00CB5B67" w:rsidRPr="0088508C">
        <w:rPr>
          <w:rFonts w:ascii="Verdana" w:hAnsi="Verdana"/>
          <w:sz w:val="19"/>
          <w:szCs w:val="19"/>
          <w:lang w:val="en-US"/>
        </w:rPr>
        <w:t>are adopted</w:t>
      </w:r>
      <w:r w:rsidR="00CB5B67">
        <w:rPr>
          <w:rFonts w:ascii="Verdana" w:hAnsi="Verdana"/>
          <w:sz w:val="19"/>
          <w:szCs w:val="19"/>
          <w:lang w:val="en-US"/>
        </w:rPr>
        <w:t>,</w:t>
      </w:r>
      <w:r w:rsidR="00606492">
        <w:rPr>
          <w:rFonts w:ascii="Verdana" w:hAnsi="Verdana"/>
          <w:sz w:val="19"/>
          <w:szCs w:val="19"/>
        </w:rPr>
        <w:t xml:space="preserve"> </w:t>
      </w:r>
      <w:r w:rsidR="00880A51">
        <w:rPr>
          <w:rFonts w:ascii="Verdana" w:hAnsi="Verdana"/>
          <w:sz w:val="19"/>
          <w:szCs w:val="19"/>
        </w:rPr>
        <w:t xml:space="preserve">with </w:t>
      </w:r>
      <w:r w:rsidR="00606492" w:rsidRPr="0088508C">
        <w:rPr>
          <w:rFonts w:ascii="Verdana" w:hAnsi="Verdana"/>
          <w:sz w:val="19"/>
          <w:szCs w:val="19"/>
          <w:lang w:val="en-US"/>
        </w:rPr>
        <w:t xml:space="preserve">the suggestions contained </w:t>
      </w:r>
      <w:r w:rsidR="00606492">
        <w:rPr>
          <w:rFonts w:ascii="Verdana" w:hAnsi="Verdana"/>
          <w:sz w:val="19"/>
          <w:szCs w:val="19"/>
          <w:lang w:val="en-US"/>
        </w:rPr>
        <w:t>above</w:t>
      </w:r>
      <w:r w:rsidR="00606492" w:rsidRPr="0088508C">
        <w:rPr>
          <w:rFonts w:ascii="Verdana" w:hAnsi="Verdana"/>
          <w:sz w:val="19"/>
          <w:szCs w:val="19"/>
          <w:lang w:val="en-US"/>
        </w:rPr>
        <w:t xml:space="preserve"> for strengthening the language on judicial supervision of all </w:t>
      </w:r>
      <w:r w:rsidR="00220CFE">
        <w:rPr>
          <w:rFonts w:ascii="Verdana" w:hAnsi="Verdana"/>
          <w:sz w:val="19"/>
          <w:szCs w:val="19"/>
          <w:lang w:val="en-US"/>
        </w:rPr>
        <w:t>forms of deprivation of liberty</w:t>
      </w:r>
      <w:r w:rsidRPr="0088508C">
        <w:rPr>
          <w:rFonts w:ascii="Verdana" w:hAnsi="Verdana"/>
          <w:sz w:val="19"/>
          <w:szCs w:val="19"/>
          <w:lang w:val="en-US"/>
        </w:rPr>
        <w:t xml:space="preserve">.  </w:t>
      </w:r>
    </w:p>
    <w:p w14:paraId="6F91780F" w14:textId="77777777" w:rsidR="00DF4AE6" w:rsidRDefault="00DF4AE6" w:rsidP="00DF4AE6">
      <w:pPr>
        <w:pStyle w:val="ListParagraph"/>
        <w:ind w:left="426"/>
        <w:jc w:val="both"/>
        <w:rPr>
          <w:rFonts w:ascii="Verdana" w:hAnsi="Verdana"/>
          <w:sz w:val="19"/>
          <w:szCs w:val="19"/>
          <w:lang w:val="en-US"/>
        </w:rPr>
      </w:pPr>
    </w:p>
    <w:p w14:paraId="3AB7BD94" w14:textId="77777777" w:rsidR="00DF4AE6" w:rsidRPr="0088508C" w:rsidRDefault="00DF4AE6" w:rsidP="00DF4AE6">
      <w:pPr>
        <w:ind w:firstLine="360"/>
        <w:jc w:val="both"/>
        <w:rPr>
          <w:rFonts w:ascii="Verdana" w:hAnsi="Verdana"/>
          <w:sz w:val="19"/>
          <w:szCs w:val="19"/>
          <w:lang w:val="en-US"/>
        </w:rPr>
      </w:pPr>
      <w:r>
        <w:rPr>
          <w:rFonts w:ascii="Verdana" w:hAnsi="Verdana"/>
          <w:b/>
          <w:sz w:val="19"/>
          <w:szCs w:val="19"/>
          <w:lang w:val="en-US"/>
        </w:rPr>
        <w:t>IV.</w:t>
      </w:r>
      <w:r>
        <w:rPr>
          <w:rFonts w:ascii="Verdana" w:hAnsi="Verdana"/>
          <w:b/>
          <w:sz w:val="19"/>
          <w:szCs w:val="19"/>
          <w:lang w:val="en-US"/>
        </w:rPr>
        <w:tab/>
      </w:r>
      <w:r w:rsidRPr="0088508C">
        <w:rPr>
          <w:rFonts w:ascii="Verdana" w:hAnsi="Verdana"/>
          <w:b/>
          <w:sz w:val="19"/>
          <w:szCs w:val="19"/>
          <w:lang w:val="en-US"/>
        </w:rPr>
        <w:t>Additional concerns arising from section V. of the present draft</w:t>
      </w:r>
      <w:r w:rsidRPr="0088508C">
        <w:rPr>
          <w:rStyle w:val="FootnoteReference"/>
          <w:rFonts w:ascii="Verdana" w:hAnsi="Verdana"/>
          <w:b/>
          <w:sz w:val="19"/>
          <w:szCs w:val="19"/>
          <w:lang w:val="en-US"/>
        </w:rPr>
        <w:footnoteReference w:id="30"/>
      </w:r>
    </w:p>
    <w:p w14:paraId="35F0A06C" w14:textId="77777777" w:rsidR="00DF4AE6" w:rsidRPr="00DF4AE6" w:rsidRDefault="00DF4AE6" w:rsidP="00DF4AE6">
      <w:pPr>
        <w:jc w:val="both"/>
        <w:rPr>
          <w:rFonts w:ascii="Verdana" w:hAnsi="Verdana"/>
          <w:sz w:val="19"/>
          <w:szCs w:val="19"/>
          <w:lang w:val="en-US"/>
        </w:rPr>
      </w:pPr>
    </w:p>
    <w:p w14:paraId="6B4717EA" w14:textId="39B1ED54" w:rsidR="00C53FD0" w:rsidRPr="00EB6F72" w:rsidRDefault="00F2169C" w:rsidP="00C53FD0">
      <w:pPr>
        <w:pStyle w:val="ListParagraph"/>
        <w:numPr>
          <w:ilvl w:val="0"/>
          <w:numId w:val="4"/>
        </w:numPr>
        <w:ind w:left="426"/>
        <w:jc w:val="both"/>
        <w:rPr>
          <w:rFonts w:ascii="Verdana" w:hAnsi="Verdana"/>
          <w:sz w:val="19"/>
          <w:szCs w:val="19"/>
          <w:lang w:val="en-US"/>
        </w:rPr>
      </w:pPr>
      <w:r>
        <w:rPr>
          <w:rFonts w:ascii="Verdana" w:hAnsi="Verdana"/>
          <w:sz w:val="19"/>
          <w:szCs w:val="19"/>
          <w:lang w:val="en-US"/>
        </w:rPr>
        <w:t>The ICJ is</w:t>
      </w:r>
      <w:r w:rsidR="00776049" w:rsidRPr="00EB6F72">
        <w:rPr>
          <w:rFonts w:ascii="Verdana" w:hAnsi="Verdana"/>
          <w:sz w:val="19"/>
          <w:szCs w:val="19"/>
          <w:lang w:val="en-US"/>
        </w:rPr>
        <w:t xml:space="preserve"> concerned that paragraph 41 of the present draft</w:t>
      </w:r>
      <w:r w:rsidR="009A7384" w:rsidRPr="00EB6F72">
        <w:rPr>
          <w:rFonts w:ascii="Verdana" w:hAnsi="Verdana"/>
          <w:sz w:val="19"/>
          <w:szCs w:val="19"/>
          <w:lang w:val="en-US"/>
        </w:rPr>
        <w:t xml:space="preserve">, </w:t>
      </w:r>
      <w:r w:rsidR="00776049" w:rsidRPr="00EB6F72">
        <w:rPr>
          <w:rFonts w:ascii="Verdana" w:hAnsi="Verdana"/>
          <w:sz w:val="19"/>
          <w:szCs w:val="19"/>
          <w:lang w:val="en-US"/>
        </w:rPr>
        <w:t xml:space="preserve">when read in conjunction with para. 48, would appear to </w:t>
      </w:r>
      <w:r w:rsidR="00B859E2" w:rsidRPr="00EB6F72">
        <w:rPr>
          <w:rFonts w:ascii="Verdana" w:hAnsi="Verdana"/>
          <w:sz w:val="19"/>
          <w:szCs w:val="19"/>
          <w:lang w:val="en-US"/>
        </w:rPr>
        <w:t xml:space="preserve">indicate that </w:t>
      </w:r>
      <w:r w:rsidR="00776049" w:rsidRPr="00EB6F72">
        <w:rPr>
          <w:rFonts w:ascii="Verdana" w:hAnsi="Verdana"/>
          <w:sz w:val="19"/>
          <w:szCs w:val="19"/>
          <w:lang w:val="en-US"/>
        </w:rPr>
        <w:t xml:space="preserve">a ruling in the context of Article 9(4) proceedings that detention </w:t>
      </w:r>
      <w:r w:rsidR="00D5099B" w:rsidRPr="00EB6F72">
        <w:rPr>
          <w:rFonts w:ascii="Verdana" w:hAnsi="Verdana"/>
          <w:sz w:val="19"/>
          <w:szCs w:val="19"/>
          <w:lang w:val="en-US"/>
        </w:rPr>
        <w:t xml:space="preserve">of an individual </w:t>
      </w:r>
      <w:r w:rsidR="00776049" w:rsidRPr="00EB6F72">
        <w:rPr>
          <w:rFonts w:ascii="Verdana" w:hAnsi="Verdana"/>
          <w:sz w:val="19"/>
          <w:szCs w:val="19"/>
          <w:lang w:val="en-US"/>
        </w:rPr>
        <w:t xml:space="preserve">is </w:t>
      </w:r>
      <w:r w:rsidR="00776049" w:rsidRPr="00EB6F72">
        <w:rPr>
          <w:rFonts w:ascii="Verdana" w:hAnsi="Verdana"/>
          <w:sz w:val="19"/>
          <w:szCs w:val="19"/>
          <w:u w:val="single"/>
          <w:lang w:val="en-US"/>
        </w:rPr>
        <w:t>unlawful</w:t>
      </w:r>
      <w:r w:rsidR="00776049" w:rsidRPr="00EB6F72">
        <w:rPr>
          <w:rFonts w:ascii="Verdana" w:hAnsi="Verdana"/>
          <w:sz w:val="19"/>
          <w:szCs w:val="19"/>
          <w:lang w:val="en-US"/>
        </w:rPr>
        <w:t xml:space="preserve"> is appealable, while</w:t>
      </w:r>
      <w:r w:rsidR="009A7384" w:rsidRPr="00EB6F72">
        <w:rPr>
          <w:rFonts w:ascii="Verdana" w:hAnsi="Verdana"/>
          <w:sz w:val="19"/>
          <w:szCs w:val="19"/>
          <w:lang w:val="en-US"/>
        </w:rPr>
        <w:t xml:space="preserve"> </w:t>
      </w:r>
      <w:r w:rsidR="00B859E2" w:rsidRPr="00EB6F72">
        <w:rPr>
          <w:rFonts w:ascii="Verdana" w:hAnsi="Verdana"/>
          <w:sz w:val="19"/>
          <w:szCs w:val="19"/>
          <w:lang w:val="en-US"/>
        </w:rPr>
        <w:t xml:space="preserve">a ruling </w:t>
      </w:r>
      <w:r w:rsidR="00D5099B" w:rsidRPr="00EB6F72">
        <w:rPr>
          <w:rFonts w:ascii="Verdana" w:hAnsi="Verdana"/>
          <w:sz w:val="19"/>
          <w:szCs w:val="19"/>
          <w:lang w:val="en-US"/>
        </w:rPr>
        <w:t xml:space="preserve">that the detention of </w:t>
      </w:r>
      <w:r w:rsidR="009D30DB" w:rsidRPr="00EB6F72">
        <w:rPr>
          <w:rFonts w:ascii="Verdana" w:hAnsi="Verdana"/>
          <w:sz w:val="19"/>
          <w:szCs w:val="19"/>
          <w:lang w:val="en-US"/>
        </w:rPr>
        <w:t xml:space="preserve">an individual is </w:t>
      </w:r>
      <w:r w:rsidR="009D30DB" w:rsidRPr="00EB6F72">
        <w:rPr>
          <w:rFonts w:ascii="Verdana" w:hAnsi="Verdana"/>
          <w:sz w:val="19"/>
          <w:szCs w:val="19"/>
          <w:u w:val="single"/>
          <w:lang w:val="en-US"/>
        </w:rPr>
        <w:t>lawful</w:t>
      </w:r>
      <w:r w:rsidR="00B859E2" w:rsidRPr="00EB6F72">
        <w:rPr>
          <w:rFonts w:ascii="Verdana" w:hAnsi="Verdana"/>
          <w:sz w:val="19"/>
          <w:szCs w:val="19"/>
          <w:lang w:val="en-US"/>
        </w:rPr>
        <w:t xml:space="preserve"> </w:t>
      </w:r>
      <w:r w:rsidR="00023F4E" w:rsidRPr="00EB6F72">
        <w:rPr>
          <w:rFonts w:ascii="Verdana" w:hAnsi="Verdana"/>
          <w:sz w:val="19"/>
          <w:szCs w:val="19"/>
          <w:lang w:val="en-US"/>
        </w:rPr>
        <w:t>is not. M</w:t>
      </w:r>
      <w:r w:rsidR="00B859E2" w:rsidRPr="00EB6F72">
        <w:rPr>
          <w:rFonts w:ascii="Verdana" w:hAnsi="Verdana"/>
          <w:sz w:val="19"/>
          <w:szCs w:val="19"/>
          <w:lang w:val="en-US"/>
        </w:rPr>
        <w:t xml:space="preserve">oreover, </w:t>
      </w:r>
      <w:r w:rsidR="00023F4E" w:rsidRPr="00EB6F72">
        <w:rPr>
          <w:rFonts w:ascii="Verdana" w:hAnsi="Verdana"/>
          <w:sz w:val="19"/>
          <w:szCs w:val="19"/>
          <w:lang w:val="en-US"/>
        </w:rPr>
        <w:t xml:space="preserve">the </w:t>
      </w:r>
      <w:r w:rsidR="00DC5280">
        <w:rPr>
          <w:rFonts w:ascii="Verdana" w:hAnsi="Verdana"/>
          <w:sz w:val="19"/>
          <w:szCs w:val="19"/>
          <w:lang w:val="en-US"/>
        </w:rPr>
        <w:t>organization</w:t>
      </w:r>
      <w:r w:rsidR="00023F4E" w:rsidRPr="00EB6F72">
        <w:rPr>
          <w:rFonts w:ascii="Verdana" w:hAnsi="Verdana"/>
          <w:sz w:val="19"/>
          <w:szCs w:val="19"/>
          <w:lang w:val="en-US"/>
        </w:rPr>
        <w:t xml:space="preserve"> is concerned that, </w:t>
      </w:r>
      <w:r w:rsidR="00667B7A">
        <w:rPr>
          <w:rFonts w:ascii="Verdana" w:hAnsi="Verdana"/>
          <w:sz w:val="19"/>
          <w:szCs w:val="19"/>
          <w:lang w:val="en-US"/>
        </w:rPr>
        <w:t xml:space="preserve">pursuant to the </w:t>
      </w:r>
      <w:r w:rsidR="00023F4E" w:rsidRPr="00EB6F72">
        <w:rPr>
          <w:rFonts w:ascii="Verdana" w:hAnsi="Verdana"/>
          <w:sz w:val="19"/>
          <w:szCs w:val="19"/>
          <w:lang w:val="en-US"/>
        </w:rPr>
        <w:t xml:space="preserve">present wording of para. 41, </w:t>
      </w:r>
      <w:r w:rsidR="00B859E2" w:rsidRPr="00EB6F72">
        <w:rPr>
          <w:rFonts w:ascii="Verdana" w:hAnsi="Verdana"/>
          <w:sz w:val="19"/>
          <w:szCs w:val="19"/>
          <w:lang w:val="en-US"/>
        </w:rPr>
        <w:t xml:space="preserve">an </w:t>
      </w:r>
      <w:r w:rsidR="00776049" w:rsidRPr="00EB6F72">
        <w:rPr>
          <w:rFonts w:ascii="Verdana" w:hAnsi="Verdana"/>
          <w:sz w:val="19"/>
          <w:szCs w:val="19"/>
          <w:lang w:val="en-US"/>
        </w:rPr>
        <w:t>order for immediate release</w:t>
      </w:r>
      <w:r w:rsidR="003F499B" w:rsidRPr="00EB6F72">
        <w:rPr>
          <w:rFonts w:ascii="Verdana" w:hAnsi="Verdana"/>
          <w:sz w:val="19"/>
          <w:szCs w:val="19"/>
          <w:lang w:val="en-US"/>
        </w:rPr>
        <w:t xml:space="preserve"> following a jud</w:t>
      </w:r>
      <w:r w:rsidR="00023F4E" w:rsidRPr="00EB6F72">
        <w:rPr>
          <w:rFonts w:ascii="Verdana" w:hAnsi="Verdana"/>
          <w:sz w:val="19"/>
          <w:szCs w:val="19"/>
          <w:lang w:val="en-US"/>
        </w:rPr>
        <w:t>icial decision that detention is</w:t>
      </w:r>
      <w:r w:rsidR="003F499B" w:rsidRPr="00EB6F72">
        <w:rPr>
          <w:rFonts w:ascii="Verdana" w:hAnsi="Verdana"/>
          <w:sz w:val="19"/>
          <w:szCs w:val="19"/>
          <w:lang w:val="en-US"/>
        </w:rPr>
        <w:t xml:space="preserve"> unlawful</w:t>
      </w:r>
      <w:r w:rsidR="00776049" w:rsidRPr="00EB6F72">
        <w:rPr>
          <w:rFonts w:ascii="Verdana" w:hAnsi="Verdana"/>
          <w:sz w:val="19"/>
          <w:szCs w:val="19"/>
          <w:lang w:val="en-US"/>
        </w:rPr>
        <w:t xml:space="preserve"> is not </w:t>
      </w:r>
      <w:r w:rsidR="00B859E2" w:rsidRPr="00EB6F72">
        <w:rPr>
          <w:rFonts w:ascii="Verdana" w:hAnsi="Verdana"/>
          <w:sz w:val="19"/>
          <w:szCs w:val="19"/>
          <w:lang w:val="en-US"/>
        </w:rPr>
        <w:t xml:space="preserve">immediately executable, but requires </w:t>
      </w:r>
      <w:r w:rsidR="00776049" w:rsidRPr="00EB6F72">
        <w:rPr>
          <w:rFonts w:ascii="Verdana" w:hAnsi="Verdana"/>
          <w:sz w:val="19"/>
          <w:szCs w:val="19"/>
          <w:lang w:val="en-US"/>
        </w:rPr>
        <w:t>execution</w:t>
      </w:r>
      <w:r w:rsidR="00B859E2" w:rsidRPr="00EB6F72">
        <w:rPr>
          <w:rFonts w:ascii="Verdana" w:hAnsi="Verdana"/>
          <w:sz w:val="19"/>
          <w:szCs w:val="19"/>
          <w:lang w:val="en-US"/>
        </w:rPr>
        <w:t xml:space="preserve"> before becoming</w:t>
      </w:r>
      <w:r w:rsidR="00776049" w:rsidRPr="00EB6F72">
        <w:rPr>
          <w:rFonts w:ascii="Verdana" w:hAnsi="Verdana"/>
          <w:sz w:val="19"/>
          <w:szCs w:val="19"/>
          <w:lang w:val="en-US"/>
        </w:rPr>
        <w:t xml:space="preserve"> “</w:t>
      </w:r>
      <w:r w:rsidR="00776049" w:rsidRPr="00EB6F72">
        <w:rPr>
          <w:rFonts w:ascii="Verdana" w:hAnsi="Verdana"/>
          <w:sz w:val="19"/>
          <w:szCs w:val="19"/>
        </w:rPr>
        <w:t>operative</w:t>
      </w:r>
      <w:r w:rsidR="009F3EC8" w:rsidRPr="00EB6F72">
        <w:rPr>
          <w:rFonts w:ascii="Verdana" w:hAnsi="Verdana"/>
          <w:sz w:val="19"/>
          <w:szCs w:val="19"/>
        </w:rPr>
        <w:t>”</w:t>
      </w:r>
      <w:r w:rsidR="00776049" w:rsidRPr="00EB6F72">
        <w:rPr>
          <w:rFonts w:ascii="Verdana" w:hAnsi="Verdana"/>
          <w:sz w:val="19"/>
          <w:szCs w:val="19"/>
        </w:rPr>
        <w:t xml:space="preserve"> (</w:t>
      </w:r>
      <w:r w:rsidR="00776049" w:rsidRPr="00EB6F72">
        <w:rPr>
          <w:rFonts w:ascii="Verdana" w:hAnsi="Verdana"/>
          <w:i/>
          <w:sz w:val="19"/>
          <w:szCs w:val="19"/>
        </w:rPr>
        <w:t>exécutoire</w:t>
      </w:r>
      <w:r w:rsidR="00776049" w:rsidRPr="00EB6F72">
        <w:rPr>
          <w:rFonts w:ascii="Verdana" w:hAnsi="Verdana"/>
          <w:sz w:val="19"/>
          <w:szCs w:val="19"/>
        </w:rPr>
        <w:t>).</w:t>
      </w:r>
      <w:r w:rsidR="009905F4" w:rsidRPr="00EB6F72">
        <w:rPr>
          <w:rFonts w:ascii="Verdana" w:hAnsi="Verdana"/>
          <w:sz w:val="19"/>
          <w:szCs w:val="19"/>
        </w:rPr>
        <w:t xml:space="preserve"> </w:t>
      </w:r>
    </w:p>
    <w:p w14:paraId="216D4D31" w14:textId="77777777" w:rsidR="00EB6F72" w:rsidRPr="00EB6F72" w:rsidRDefault="00EB6F72" w:rsidP="00EB6F72">
      <w:pPr>
        <w:pStyle w:val="ListParagraph"/>
        <w:ind w:left="426"/>
        <w:jc w:val="both"/>
        <w:rPr>
          <w:rFonts w:ascii="Verdana" w:hAnsi="Verdana"/>
          <w:sz w:val="19"/>
          <w:szCs w:val="19"/>
          <w:lang w:val="en-US"/>
        </w:rPr>
      </w:pPr>
    </w:p>
    <w:p w14:paraId="79371AE7" w14:textId="46DD42C7" w:rsidR="008B6BF6" w:rsidRDefault="008B6BF6" w:rsidP="00432B69">
      <w:pPr>
        <w:pStyle w:val="ListParagraph"/>
        <w:numPr>
          <w:ilvl w:val="0"/>
          <w:numId w:val="4"/>
        </w:numPr>
        <w:ind w:left="426"/>
        <w:jc w:val="both"/>
        <w:rPr>
          <w:rFonts w:ascii="Verdana" w:hAnsi="Verdana"/>
          <w:sz w:val="19"/>
          <w:szCs w:val="19"/>
          <w:lang w:val="en-US"/>
        </w:rPr>
      </w:pPr>
      <w:r>
        <w:rPr>
          <w:rFonts w:ascii="Verdana" w:hAnsi="Verdana"/>
          <w:sz w:val="19"/>
          <w:szCs w:val="19"/>
          <w:lang w:val="en-US"/>
        </w:rPr>
        <w:t>In light of this, the ICJ recommends that the last sentence of para. 41 be amended to read: “if the detention is ruled to be unlawful, the court must order release; such order must be complied with immediately; continued detention would be arbitrary, in violation of Article 9, paragraph 1</w:t>
      </w:r>
      <w:r w:rsidR="00E12368">
        <w:rPr>
          <w:rFonts w:ascii="Verdana" w:hAnsi="Verdana"/>
          <w:sz w:val="19"/>
          <w:szCs w:val="19"/>
          <w:lang w:val="en-US"/>
        </w:rPr>
        <w:t>”</w:t>
      </w:r>
      <w:r>
        <w:rPr>
          <w:rFonts w:ascii="Verdana" w:hAnsi="Verdana"/>
          <w:sz w:val="19"/>
          <w:szCs w:val="19"/>
          <w:lang w:val="en-US"/>
        </w:rPr>
        <w:t xml:space="preserve">. </w:t>
      </w:r>
    </w:p>
    <w:p w14:paraId="52100268" w14:textId="77777777" w:rsidR="008B6BF6" w:rsidRPr="008B6BF6" w:rsidRDefault="008B6BF6" w:rsidP="008B6BF6">
      <w:pPr>
        <w:jc w:val="both"/>
        <w:rPr>
          <w:rFonts w:ascii="Verdana" w:hAnsi="Verdana"/>
          <w:sz w:val="19"/>
          <w:szCs w:val="19"/>
          <w:lang w:val="en-US"/>
        </w:rPr>
      </w:pPr>
    </w:p>
    <w:p w14:paraId="4B393E9A" w14:textId="7660B068" w:rsidR="008B6BF6" w:rsidRPr="00436E9C" w:rsidRDefault="008B6BF6" w:rsidP="008B6BF6">
      <w:pPr>
        <w:pStyle w:val="ListParagraph"/>
        <w:numPr>
          <w:ilvl w:val="0"/>
          <w:numId w:val="4"/>
        </w:numPr>
        <w:ind w:left="426"/>
        <w:jc w:val="both"/>
        <w:rPr>
          <w:rFonts w:ascii="Verdana" w:hAnsi="Verdana"/>
          <w:sz w:val="19"/>
          <w:szCs w:val="19"/>
          <w:lang w:val="en-US"/>
        </w:rPr>
      </w:pPr>
      <w:r w:rsidRPr="00436E9C">
        <w:rPr>
          <w:rFonts w:ascii="Verdana" w:hAnsi="Verdana"/>
          <w:sz w:val="19"/>
          <w:szCs w:val="19"/>
          <w:lang w:val="en-US"/>
        </w:rPr>
        <w:t xml:space="preserve">Further, para. 48, in turn, should be amended as follows: </w:t>
      </w:r>
      <w:r w:rsidR="0044324E">
        <w:rPr>
          <w:rFonts w:ascii="Verdana" w:hAnsi="Verdana"/>
          <w:sz w:val="19"/>
          <w:szCs w:val="19"/>
          <w:lang w:val="en-US"/>
        </w:rPr>
        <w:t xml:space="preserve">the first sentence, </w:t>
      </w:r>
      <w:r w:rsidR="0044324E">
        <w:rPr>
          <w:rFonts w:ascii="Verdana" w:hAnsi="Verdana"/>
          <w:sz w:val="19"/>
          <w:szCs w:val="19"/>
        </w:rPr>
        <w:t xml:space="preserve">should be deleted in its entirety; </w:t>
      </w:r>
      <w:r w:rsidR="00F2169C">
        <w:rPr>
          <w:rFonts w:ascii="Verdana" w:hAnsi="Verdana"/>
          <w:sz w:val="19"/>
          <w:szCs w:val="19"/>
        </w:rPr>
        <w:t>and</w:t>
      </w:r>
      <w:r w:rsidR="0044324E">
        <w:rPr>
          <w:rFonts w:ascii="Verdana" w:hAnsi="Verdana"/>
          <w:sz w:val="19"/>
          <w:szCs w:val="19"/>
        </w:rPr>
        <w:t>, in the remaining sentence</w:t>
      </w:r>
      <w:r w:rsidR="00F2169C">
        <w:rPr>
          <w:rFonts w:ascii="Verdana" w:hAnsi="Verdana"/>
          <w:sz w:val="19"/>
          <w:szCs w:val="19"/>
        </w:rPr>
        <w:t>,</w:t>
      </w:r>
      <w:r w:rsidR="0044324E">
        <w:rPr>
          <w:rFonts w:ascii="Verdana" w:hAnsi="Verdana"/>
          <w:sz w:val="19"/>
          <w:szCs w:val="19"/>
        </w:rPr>
        <w:t xml:space="preserve"> the words “or further instances” should also be deleted</w:t>
      </w:r>
      <w:r w:rsidR="00436E9C" w:rsidRPr="00436E9C">
        <w:rPr>
          <w:rFonts w:ascii="Verdana" w:hAnsi="Verdana"/>
          <w:sz w:val="19"/>
          <w:szCs w:val="19"/>
        </w:rPr>
        <w:t>.</w:t>
      </w:r>
      <w:r w:rsidR="0044324E">
        <w:rPr>
          <w:rFonts w:ascii="Verdana" w:hAnsi="Verdana"/>
          <w:sz w:val="19"/>
          <w:szCs w:val="19"/>
        </w:rPr>
        <w:t xml:space="preserve"> Therefore, para. 48 would read: “</w:t>
      </w:r>
      <w:r w:rsidR="0044324E" w:rsidRPr="0044324E">
        <w:rPr>
          <w:rFonts w:ascii="Verdana" w:hAnsi="Verdana"/>
          <w:sz w:val="19"/>
          <w:szCs w:val="19"/>
        </w:rPr>
        <w:t>If a State party does provide for appeal, the standard of delay may reflect the ch</w:t>
      </w:r>
      <w:r w:rsidR="0044324E">
        <w:rPr>
          <w:rFonts w:ascii="Verdana" w:hAnsi="Verdana"/>
          <w:sz w:val="19"/>
          <w:szCs w:val="19"/>
        </w:rPr>
        <w:t>anging nature of the proceeding” (footnote in the original omitted), if the suggested deletions are adopted.</w:t>
      </w:r>
    </w:p>
    <w:p w14:paraId="6E236638" w14:textId="77777777" w:rsidR="00436E9C" w:rsidRPr="00045833" w:rsidRDefault="00436E9C" w:rsidP="00045833">
      <w:pPr>
        <w:jc w:val="both"/>
        <w:rPr>
          <w:rFonts w:ascii="Verdana" w:hAnsi="Verdana"/>
          <w:sz w:val="19"/>
          <w:szCs w:val="19"/>
          <w:lang w:val="en-US"/>
        </w:rPr>
      </w:pPr>
    </w:p>
    <w:p w14:paraId="5F156F19" w14:textId="77777777" w:rsidR="00432B69" w:rsidRDefault="00926528" w:rsidP="00432B69">
      <w:pPr>
        <w:pStyle w:val="ListParagraph"/>
        <w:numPr>
          <w:ilvl w:val="0"/>
          <w:numId w:val="4"/>
        </w:numPr>
        <w:ind w:left="426"/>
        <w:jc w:val="both"/>
        <w:rPr>
          <w:rFonts w:ascii="Verdana" w:hAnsi="Verdana"/>
          <w:sz w:val="19"/>
          <w:szCs w:val="19"/>
          <w:lang w:val="en-US"/>
        </w:rPr>
      </w:pPr>
      <w:r w:rsidRPr="00C53FD0">
        <w:rPr>
          <w:rFonts w:ascii="Verdana" w:hAnsi="Verdana"/>
          <w:sz w:val="19"/>
          <w:szCs w:val="19"/>
          <w:lang w:val="en-US"/>
        </w:rPr>
        <w:t xml:space="preserve">The ICJ </w:t>
      </w:r>
      <w:r w:rsidR="007474EA" w:rsidRPr="00C53FD0">
        <w:rPr>
          <w:rFonts w:ascii="Verdana" w:hAnsi="Verdana"/>
          <w:sz w:val="19"/>
          <w:szCs w:val="19"/>
          <w:lang w:val="en-US"/>
        </w:rPr>
        <w:t>is concerned about the last sentence in para. 43 of the draft</w:t>
      </w:r>
      <w:r w:rsidR="00880758" w:rsidRPr="00C53FD0">
        <w:rPr>
          <w:rFonts w:ascii="Verdana" w:hAnsi="Verdana"/>
          <w:sz w:val="19"/>
          <w:szCs w:val="19"/>
          <w:lang w:val="en-US"/>
        </w:rPr>
        <w:t xml:space="preserve"> and is not aware of any authority that supports it</w:t>
      </w:r>
      <w:r w:rsidR="007474EA" w:rsidRPr="00C53FD0">
        <w:rPr>
          <w:rFonts w:ascii="Verdana" w:hAnsi="Verdana"/>
          <w:sz w:val="19"/>
          <w:szCs w:val="19"/>
          <w:lang w:val="en-US"/>
        </w:rPr>
        <w:t>.</w:t>
      </w:r>
      <w:r w:rsidR="00517691" w:rsidRPr="0088508C">
        <w:rPr>
          <w:rStyle w:val="FootnoteReference"/>
          <w:rFonts w:ascii="Verdana" w:hAnsi="Verdana"/>
          <w:sz w:val="19"/>
          <w:szCs w:val="19"/>
          <w:lang w:val="en-US"/>
        </w:rPr>
        <w:footnoteReference w:id="31"/>
      </w:r>
      <w:r w:rsidR="00880758" w:rsidRPr="00C53FD0">
        <w:rPr>
          <w:rFonts w:ascii="Verdana" w:hAnsi="Verdana"/>
          <w:sz w:val="19"/>
          <w:szCs w:val="19"/>
          <w:lang w:val="en-US"/>
        </w:rPr>
        <w:t xml:space="preserve"> </w:t>
      </w:r>
      <w:r w:rsidR="00284445" w:rsidRPr="00C53FD0">
        <w:rPr>
          <w:rFonts w:ascii="Verdana" w:hAnsi="Verdana"/>
          <w:sz w:val="19"/>
          <w:szCs w:val="19"/>
          <w:lang w:val="en-US"/>
        </w:rPr>
        <w:t xml:space="preserve">Detainees may be at risk of ill-treatment, for instance, even following a judicial decision to remand them to custody, particularly in circumstances where </w:t>
      </w:r>
      <w:r w:rsidR="00843517" w:rsidRPr="00C53FD0">
        <w:rPr>
          <w:rFonts w:ascii="Verdana" w:hAnsi="Verdana"/>
          <w:sz w:val="19"/>
          <w:szCs w:val="19"/>
          <w:lang w:val="en-US"/>
        </w:rPr>
        <w:t xml:space="preserve">such remand is in the </w:t>
      </w:r>
      <w:r w:rsidR="00880758" w:rsidRPr="00C53FD0">
        <w:rPr>
          <w:rFonts w:ascii="Verdana" w:hAnsi="Verdana"/>
          <w:sz w:val="19"/>
          <w:szCs w:val="19"/>
          <w:lang w:val="en-US"/>
        </w:rPr>
        <w:t xml:space="preserve">custody </w:t>
      </w:r>
      <w:r w:rsidR="00843517" w:rsidRPr="00C53FD0">
        <w:rPr>
          <w:rFonts w:ascii="Verdana" w:hAnsi="Verdana"/>
          <w:sz w:val="19"/>
          <w:szCs w:val="19"/>
          <w:lang w:val="en-US"/>
        </w:rPr>
        <w:t xml:space="preserve">of </w:t>
      </w:r>
      <w:r w:rsidR="00284445" w:rsidRPr="00C53FD0">
        <w:rPr>
          <w:rFonts w:ascii="Verdana" w:hAnsi="Verdana"/>
          <w:sz w:val="19"/>
          <w:szCs w:val="19"/>
          <w:lang w:val="en-US"/>
        </w:rPr>
        <w:t xml:space="preserve">the </w:t>
      </w:r>
      <w:r w:rsidR="00880758" w:rsidRPr="00C53FD0">
        <w:rPr>
          <w:rFonts w:ascii="Verdana" w:hAnsi="Verdana"/>
          <w:sz w:val="19"/>
          <w:szCs w:val="19"/>
          <w:lang w:val="en-US"/>
        </w:rPr>
        <w:t xml:space="preserve">investigating authorities or </w:t>
      </w:r>
      <w:r w:rsidR="00284445" w:rsidRPr="00C53FD0">
        <w:rPr>
          <w:rFonts w:ascii="Verdana" w:hAnsi="Verdana"/>
          <w:sz w:val="19"/>
          <w:szCs w:val="19"/>
          <w:lang w:val="en-US"/>
        </w:rPr>
        <w:t xml:space="preserve">when the detainee may be </w:t>
      </w:r>
      <w:r w:rsidR="00880758" w:rsidRPr="00C53FD0">
        <w:rPr>
          <w:rFonts w:ascii="Verdana" w:hAnsi="Verdana"/>
          <w:sz w:val="19"/>
          <w:szCs w:val="19"/>
          <w:lang w:val="en-US"/>
        </w:rPr>
        <w:t>transferred back to them during remand</w:t>
      </w:r>
      <w:r w:rsidR="00284445" w:rsidRPr="00C53FD0">
        <w:rPr>
          <w:rFonts w:ascii="Verdana" w:hAnsi="Verdana"/>
          <w:sz w:val="19"/>
          <w:szCs w:val="19"/>
          <w:lang w:val="en-US"/>
        </w:rPr>
        <w:t xml:space="preserve">. </w:t>
      </w:r>
      <w:r w:rsidR="00843517" w:rsidRPr="00C53FD0">
        <w:rPr>
          <w:rFonts w:ascii="Verdana" w:hAnsi="Verdana"/>
          <w:sz w:val="19"/>
          <w:szCs w:val="19"/>
          <w:lang w:val="en-US"/>
        </w:rPr>
        <w:t xml:space="preserve">The risk of ill-treatment may be </w:t>
      </w:r>
      <w:r w:rsidR="00284445" w:rsidRPr="00C53FD0">
        <w:rPr>
          <w:rFonts w:ascii="Verdana" w:hAnsi="Verdana"/>
          <w:sz w:val="19"/>
          <w:szCs w:val="19"/>
          <w:lang w:val="en-US"/>
        </w:rPr>
        <w:t xml:space="preserve">even greater </w:t>
      </w:r>
      <w:r w:rsidR="00880758" w:rsidRPr="00C53FD0">
        <w:rPr>
          <w:rFonts w:ascii="Verdana" w:hAnsi="Verdana"/>
          <w:sz w:val="19"/>
          <w:szCs w:val="19"/>
          <w:lang w:val="en-US"/>
        </w:rPr>
        <w:t xml:space="preserve">in situations where </w:t>
      </w:r>
      <w:r w:rsidR="00284445" w:rsidRPr="00C53FD0">
        <w:rPr>
          <w:rFonts w:ascii="Verdana" w:hAnsi="Verdana"/>
          <w:sz w:val="19"/>
          <w:szCs w:val="19"/>
          <w:lang w:val="en-US"/>
        </w:rPr>
        <w:t xml:space="preserve">the individuals concerned </w:t>
      </w:r>
      <w:r w:rsidR="00880758" w:rsidRPr="00C53FD0">
        <w:rPr>
          <w:rFonts w:ascii="Verdana" w:hAnsi="Verdana"/>
          <w:sz w:val="19"/>
          <w:szCs w:val="19"/>
          <w:lang w:val="en-US"/>
        </w:rPr>
        <w:t>do not have prompt and reg</w:t>
      </w:r>
      <w:r w:rsidR="00284445" w:rsidRPr="00C53FD0">
        <w:rPr>
          <w:rFonts w:ascii="Verdana" w:hAnsi="Verdana"/>
          <w:sz w:val="19"/>
          <w:szCs w:val="19"/>
          <w:lang w:val="en-US"/>
        </w:rPr>
        <w:t>ular</w:t>
      </w:r>
      <w:r w:rsidR="00880758" w:rsidRPr="00C53FD0">
        <w:rPr>
          <w:rFonts w:ascii="Verdana" w:hAnsi="Verdana"/>
          <w:sz w:val="19"/>
          <w:szCs w:val="19"/>
          <w:lang w:val="en-US"/>
        </w:rPr>
        <w:t xml:space="preserve"> access to </w:t>
      </w:r>
      <w:r w:rsidR="00284445" w:rsidRPr="00C53FD0">
        <w:rPr>
          <w:rFonts w:ascii="Verdana" w:hAnsi="Verdana"/>
          <w:sz w:val="19"/>
          <w:szCs w:val="19"/>
          <w:lang w:val="en-US"/>
        </w:rPr>
        <w:t xml:space="preserve">a </w:t>
      </w:r>
      <w:r w:rsidR="00880758" w:rsidRPr="00C53FD0">
        <w:rPr>
          <w:rFonts w:ascii="Verdana" w:hAnsi="Verdana"/>
          <w:sz w:val="19"/>
          <w:szCs w:val="19"/>
          <w:lang w:val="en-US"/>
        </w:rPr>
        <w:t>law</w:t>
      </w:r>
      <w:r w:rsidR="00284445" w:rsidRPr="00C53FD0">
        <w:rPr>
          <w:rFonts w:ascii="Verdana" w:hAnsi="Verdana"/>
          <w:sz w:val="19"/>
          <w:szCs w:val="19"/>
          <w:lang w:val="en-US"/>
        </w:rPr>
        <w:t>yer.</w:t>
      </w:r>
      <w:r w:rsidR="00843517" w:rsidRPr="00C53FD0">
        <w:rPr>
          <w:rFonts w:ascii="Verdana" w:hAnsi="Verdana"/>
          <w:sz w:val="19"/>
          <w:szCs w:val="19"/>
          <w:lang w:val="en-US"/>
        </w:rPr>
        <w:t xml:space="preserve"> As a result, the ICJ would recommend deletion of the last sentence of para. 43. </w:t>
      </w:r>
      <w:r w:rsidR="00880758" w:rsidRPr="00C53FD0">
        <w:rPr>
          <w:rFonts w:ascii="Verdana" w:hAnsi="Verdana"/>
          <w:sz w:val="19"/>
          <w:szCs w:val="19"/>
          <w:lang w:val="en-US"/>
        </w:rPr>
        <w:t xml:space="preserve"> </w:t>
      </w:r>
    </w:p>
    <w:p w14:paraId="5453FC8E" w14:textId="77777777" w:rsidR="00432B69" w:rsidRDefault="00432B69" w:rsidP="00432B69">
      <w:pPr>
        <w:jc w:val="both"/>
        <w:rPr>
          <w:rFonts w:ascii="Verdana" w:hAnsi="Verdana"/>
          <w:sz w:val="19"/>
          <w:szCs w:val="19"/>
          <w:lang w:val="en-US"/>
        </w:rPr>
      </w:pPr>
    </w:p>
    <w:p w14:paraId="350CB1B2" w14:textId="77777777" w:rsidR="003E0097" w:rsidRPr="003E0097" w:rsidRDefault="003E0097" w:rsidP="003E0097">
      <w:pPr>
        <w:pStyle w:val="ListParagraph"/>
        <w:ind w:left="426"/>
        <w:jc w:val="both"/>
        <w:rPr>
          <w:rFonts w:ascii="Verdana" w:hAnsi="Verdana"/>
          <w:b/>
          <w:sz w:val="19"/>
          <w:szCs w:val="19"/>
        </w:rPr>
      </w:pPr>
      <w:r>
        <w:rPr>
          <w:rFonts w:ascii="Verdana" w:hAnsi="Verdana"/>
          <w:b/>
          <w:sz w:val="19"/>
          <w:szCs w:val="19"/>
        </w:rPr>
        <w:t>V.</w:t>
      </w:r>
      <w:r>
        <w:rPr>
          <w:rFonts w:ascii="Verdana" w:hAnsi="Verdana"/>
          <w:b/>
          <w:sz w:val="19"/>
          <w:szCs w:val="19"/>
        </w:rPr>
        <w:tab/>
      </w:r>
      <w:r w:rsidRPr="0088508C">
        <w:rPr>
          <w:rFonts w:ascii="Verdana" w:hAnsi="Verdana"/>
          <w:b/>
          <w:sz w:val="19"/>
          <w:szCs w:val="19"/>
        </w:rPr>
        <w:t xml:space="preserve">The </w:t>
      </w:r>
      <w:r w:rsidRPr="00EB3EDA">
        <w:rPr>
          <w:rFonts w:ascii="Verdana" w:hAnsi="Verdana"/>
          <w:b/>
          <w:i/>
          <w:sz w:val="19"/>
          <w:szCs w:val="19"/>
        </w:rPr>
        <w:t>non-refoulement</w:t>
      </w:r>
      <w:r w:rsidRPr="0088508C">
        <w:rPr>
          <w:rFonts w:ascii="Verdana" w:hAnsi="Verdana"/>
          <w:b/>
          <w:sz w:val="19"/>
          <w:szCs w:val="19"/>
        </w:rPr>
        <w:t xml:space="preserve"> content of Article 9</w:t>
      </w:r>
    </w:p>
    <w:p w14:paraId="4309D8E6" w14:textId="77777777" w:rsidR="003E0097" w:rsidRPr="00432B69" w:rsidRDefault="003E0097" w:rsidP="00432B69">
      <w:pPr>
        <w:jc w:val="both"/>
        <w:rPr>
          <w:rFonts w:ascii="Verdana" w:hAnsi="Verdana"/>
          <w:sz w:val="19"/>
          <w:szCs w:val="19"/>
          <w:lang w:val="en-US"/>
        </w:rPr>
      </w:pPr>
    </w:p>
    <w:p w14:paraId="6BD2C439" w14:textId="77777777" w:rsidR="0042350C" w:rsidRDefault="006B6B0D" w:rsidP="0042350C">
      <w:pPr>
        <w:pStyle w:val="ListParagraph"/>
        <w:numPr>
          <w:ilvl w:val="0"/>
          <w:numId w:val="4"/>
        </w:numPr>
        <w:ind w:left="426"/>
        <w:jc w:val="both"/>
        <w:rPr>
          <w:rFonts w:ascii="Verdana" w:hAnsi="Verdana"/>
          <w:sz w:val="19"/>
          <w:szCs w:val="19"/>
          <w:lang w:val="en-US"/>
        </w:rPr>
      </w:pPr>
      <w:r w:rsidRPr="00432B69">
        <w:rPr>
          <w:rFonts w:ascii="Verdana" w:hAnsi="Verdana"/>
          <w:sz w:val="19"/>
          <w:szCs w:val="19"/>
          <w:lang w:val="en-US"/>
        </w:rPr>
        <w:t xml:space="preserve">While </w:t>
      </w:r>
      <w:r w:rsidR="0033176A" w:rsidRPr="00432B69">
        <w:rPr>
          <w:rFonts w:ascii="Verdana" w:hAnsi="Verdana"/>
          <w:sz w:val="19"/>
          <w:szCs w:val="19"/>
          <w:lang w:val="en-US"/>
        </w:rPr>
        <w:t xml:space="preserve">the ICJ considers that </w:t>
      </w:r>
      <w:r w:rsidR="00333C9F" w:rsidRPr="00432B69">
        <w:rPr>
          <w:rFonts w:ascii="Verdana" w:hAnsi="Verdana"/>
          <w:sz w:val="19"/>
          <w:szCs w:val="19"/>
          <w:lang w:val="en-US"/>
        </w:rPr>
        <w:t>para. 57 of the draft</w:t>
      </w:r>
      <w:r w:rsidRPr="00432B69">
        <w:rPr>
          <w:rFonts w:ascii="Verdana" w:hAnsi="Verdana"/>
          <w:sz w:val="19"/>
          <w:szCs w:val="19"/>
          <w:lang w:val="en-US"/>
        </w:rPr>
        <w:t xml:space="preserve"> constitutes a </w:t>
      </w:r>
      <w:r w:rsidR="0033176A" w:rsidRPr="00432B69">
        <w:rPr>
          <w:rFonts w:ascii="Verdana" w:hAnsi="Verdana"/>
          <w:sz w:val="19"/>
          <w:szCs w:val="19"/>
          <w:lang w:val="en-US"/>
        </w:rPr>
        <w:t xml:space="preserve">welcome </w:t>
      </w:r>
      <w:r w:rsidRPr="00432B69">
        <w:rPr>
          <w:rFonts w:ascii="Verdana" w:hAnsi="Verdana"/>
          <w:sz w:val="19"/>
          <w:szCs w:val="19"/>
          <w:lang w:val="en-US"/>
        </w:rPr>
        <w:t>improvement from its precursor,</w:t>
      </w:r>
      <w:r w:rsidR="0076626A" w:rsidRPr="0088508C">
        <w:rPr>
          <w:rStyle w:val="FootnoteReference"/>
          <w:rFonts w:ascii="Verdana" w:hAnsi="Verdana"/>
          <w:sz w:val="19"/>
          <w:szCs w:val="19"/>
          <w:lang w:val="en-US"/>
        </w:rPr>
        <w:footnoteReference w:id="32"/>
      </w:r>
      <w:r w:rsidRPr="00432B69">
        <w:rPr>
          <w:rFonts w:ascii="Verdana" w:hAnsi="Verdana"/>
          <w:sz w:val="19"/>
          <w:szCs w:val="19"/>
          <w:lang w:val="en-US"/>
        </w:rPr>
        <w:t xml:space="preserve"> </w:t>
      </w:r>
      <w:r w:rsidR="0033176A" w:rsidRPr="00432B69">
        <w:rPr>
          <w:rFonts w:ascii="Verdana" w:hAnsi="Verdana"/>
          <w:sz w:val="19"/>
          <w:szCs w:val="19"/>
          <w:lang w:val="en-US"/>
        </w:rPr>
        <w:t xml:space="preserve">the organization is concerned that </w:t>
      </w:r>
      <w:r w:rsidR="007E7461" w:rsidRPr="00432B69">
        <w:rPr>
          <w:rFonts w:ascii="Verdana" w:hAnsi="Verdana"/>
          <w:sz w:val="19"/>
          <w:szCs w:val="19"/>
          <w:lang w:val="en-US"/>
        </w:rPr>
        <w:t xml:space="preserve">the </w:t>
      </w:r>
      <w:r w:rsidR="007E7461" w:rsidRPr="00432B69">
        <w:rPr>
          <w:rFonts w:ascii="Verdana" w:hAnsi="Verdana"/>
          <w:i/>
          <w:sz w:val="19"/>
          <w:szCs w:val="19"/>
          <w:lang w:val="en-US"/>
        </w:rPr>
        <w:t>non-refoulement</w:t>
      </w:r>
      <w:r w:rsidR="007E7461" w:rsidRPr="00432B69">
        <w:rPr>
          <w:rFonts w:ascii="Verdana" w:hAnsi="Verdana"/>
          <w:sz w:val="19"/>
          <w:szCs w:val="19"/>
          <w:lang w:val="en-US"/>
        </w:rPr>
        <w:t xml:space="preserve"> content of Article 9 </w:t>
      </w:r>
      <w:r w:rsidR="00E93B6F" w:rsidRPr="00432B69">
        <w:rPr>
          <w:rFonts w:ascii="Verdana" w:hAnsi="Verdana"/>
          <w:sz w:val="19"/>
          <w:szCs w:val="19"/>
          <w:lang w:val="en-US"/>
        </w:rPr>
        <w:t xml:space="preserve">continues to be </w:t>
      </w:r>
      <w:r w:rsidR="007E7461" w:rsidRPr="00432B69">
        <w:rPr>
          <w:rFonts w:ascii="Verdana" w:hAnsi="Verdana"/>
          <w:sz w:val="19"/>
          <w:szCs w:val="19"/>
          <w:lang w:val="en-US"/>
        </w:rPr>
        <w:t>inadequately canvassed</w:t>
      </w:r>
      <w:r w:rsidR="00E93B6F" w:rsidRPr="00432B69">
        <w:rPr>
          <w:rFonts w:ascii="Verdana" w:hAnsi="Verdana"/>
          <w:sz w:val="19"/>
          <w:szCs w:val="19"/>
          <w:lang w:val="en-US"/>
        </w:rPr>
        <w:t xml:space="preserve">, since, </w:t>
      </w:r>
      <w:r w:rsidR="00E92B92" w:rsidRPr="00432B69">
        <w:rPr>
          <w:rFonts w:ascii="Verdana" w:hAnsi="Verdana"/>
          <w:sz w:val="19"/>
          <w:szCs w:val="19"/>
          <w:lang w:val="en-US"/>
        </w:rPr>
        <w:t>as presently formulated,</w:t>
      </w:r>
      <w:r w:rsidR="007E7461" w:rsidRPr="00432B69">
        <w:rPr>
          <w:rFonts w:ascii="Verdana" w:hAnsi="Verdana"/>
          <w:sz w:val="19"/>
          <w:szCs w:val="19"/>
          <w:lang w:val="en-US"/>
        </w:rPr>
        <w:t xml:space="preserve"> it appears to be framed not in terms of a violation of Article 9 in its own right</w:t>
      </w:r>
      <w:r w:rsidR="00980097" w:rsidRPr="00432B69">
        <w:rPr>
          <w:rFonts w:ascii="Verdana" w:hAnsi="Verdana"/>
          <w:sz w:val="19"/>
          <w:szCs w:val="19"/>
          <w:lang w:val="en-US"/>
        </w:rPr>
        <w:t>,</w:t>
      </w:r>
      <w:r w:rsidR="007E7461" w:rsidRPr="00432B69">
        <w:rPr>
          <w:rFonts w:ascii="Verdana" w:hAnsi="Verdana"/>
          <w:sz w:val="19"/>
          <w:szCs w:val="19"/>
          <w:lang w:val="en-US"/>
        </w:rPr>
        <w:t xml:space="preserve"> but </w:t>
      </w:r>
      <w:r w:rsidR="00980097" w:rsidRPr="00432B69">
        <w:rPr>
          <w:rFonts w:ascii="Verdana" w:hAnsi="Verdana"/>
          <w:sz w:val="19"/>
          <w:szCs w:val="19"/>
          <w:lang w:val="en-US"/>
        </w:rPr>
        <w:t xml:space="preserve">exclusively </w:t>
      </w:r>
      <w:r w:rsidR="007E7461" w:rsidRPr="00432B69">
        <w:rPr>
          <w:rFonts w:ascii="Verdana" w:hAnsi="Verdana"/>
          <w:sz w:val="19"/>
          <w:szCs w:val="19"/>
          <w:lang w:val="en-US"/>
        </w:rPr>
        <w:t>in conjunction with Article 7</w:t>
      </w:r>
      <w:r w:rsidR="00C23E28" w:rsidRPr="00432B69">
        <w:rPr>
          <w:rFonts w:ascii="Verdana" w:hAnsi="Verdana"/>
          <w:sz w:val="19"/>
          <w:szCs w:val="19"/>
          <w:lang w:val="en-US"/>
        </w:rPr>
        <w:t xml:space="preserve"> of the Covenant.</w:t>
      </w:r>
      <w:r w:rsidR="007E7461" w:rsidRPr="00432B69">
        <w:rPr>
          <w:rFonts w:ascii="Verdana" w:hAnsi="Verdana"/>
          <w:sz w:val="19"/>
          <w:szCs w:val="19"/>
          <w:lang w:val="en-US"/>
        </w:rPr>
        <w:t xml:space="preserve"> </w:t>
      </w:r>
      <w:r w:rsidR="00064454" w:rsidRPr="00432B69">
        <w:rPr>
          <w:rFonts w:ascii="Verdana" w:hAnsi="Verdana"/>
          <w:sz w:val="19"/>
          <w:szCs w:val="19"/>
          <w:lang w:val="en-US"/>
        </w:rPr>
        <w:t xml:space="preserve">While </w:t>
      </w:r>
      <w:r w:rsidR="00E93B6F" w:rsidRPr="00432B69">
        <w:rPr>
          <w:rFonts w:ascii="Verdana" w:hAnsi="Verdana"/>
          <w:sz w:val="19"/>
          <w:szCs w:val="19"/>
          <w:lang w:val="en-US"/>
        </w:rPr>
        <w:t xml:space="preserve">the ICJ concurs with </w:t>
      </w:r>
      <w:r w:rsidR="00490371" w:rsidRPr="00432B69">
        <w:rPr>
          <w:rFonts w:ascii="Verdana" w:hAnsi="Verdana"/>
          <w:sz w:val="19"/>
          <w:szCs w:val="19"/>
          <w:lang w:val="en-US"/>
        </w:rPr>
        <w:t xml:space="preserve">much of what </w:t>
      </w:r>
      <w:r w:rsidR="008D6508" w:rsidRPr="00432B69">
        <w:rPr>
          <w:rFonts w:ascii="Verdana" w:hAnsi="Verdana"/>
          <w:sz w:val="19"/>
          <w:szCs w:val="19"/>
          <w:lang w:val="en-US"/>
        </w:rPr>
        <w:t xml:space="preserve">para. 57 </w:t>
      </w:r>
      <w:r w:rsidR="00490371" w:rsidRPr="00432B69">
        <w:rPr>
          <w:rFonts w:ascii="Verdana" w:hAnsi="Verdana"/>
          <w:sz w:val="19"/>
          <w:szCs w:val="19"/>
          <w:lang w:val="en-US"/>
        </w:rPr>
        <w:t>affirms</w:t>
      </w:r>
      <w:r w:rsidR="00064454" w:rsidRPr="00432B69">
        <w:rPr>
          <w:rFonts w:ascii="Verdana" w:hAnsi="Verdana"/>
          <w:sz w:val="19"/>
          <w:szCs w:val="19"/>
          <w:lang w:val="en-US"/>
        </w:rPr>
        <w:t xml:space="preserve">, the organization considers that </w:t>
      </w:r>
      <w:r w:rsidR="006F6284" w:rsidRPr="00432B69">
        <w:rPr>
          <w:rFonts w:ascii="Verdana" w:hAnsi="Verdana"/>
          <w:sz w:val="19"/>
          <w:szCs w:val="19"/>
          <w:lang w:val="en-US"/>
        </w:rPr>
        <w:t>its present</w:t>
      </w:r>
      <w:r w:rsidR="00E93B6F" w:rsidRPr="00432B69">
        <w:rPr>
          <w:rFonts w:ascii="Verdana" w:hAnsi="Verdana"/>
          <w:sz w:val="19"/>
          <w:szCs w:val="19"/>
          <w:lang w:val="en-US"/>
        </w:rPr>
        <w:t xml:space="preserve"> </w:t>
      </w:r>
      <w:r w:rsidR="006F6284" w:rsidRPr="00432B69">
        <w:rPr>
          <w:rFonts w:ascii="Verdana" w:hAnsi="Verdana"/>
          <w:sz w:val="19"/>
          <w:szCs w:val="19"/>
          <w:lang w:val="en-CA"/>
        </w:rPr>
        <w:t xml:space="preserve">wording is both too prescriptive and too restrictive </w:t>
      </w:r>
      <w:r w:rsidR="00B21753" w:rsidRPr="00432B69">
        <w:rPr>
          <w:rFonts w:ascii="Verdana" w:hAnsi="Verdana"/>
          <w:sz w:val="19"/>
          <w:szCs w:val="19"/>
          <w:lang w:val="en-CA"/>
        </w:rPr>
        <w:t>and, as such, it is</w:t>
      </w:r>
      <w:r w:rsidR="00E93B6F" w:rsidRPr="00432B69">
        <w:rPr>
          <w:rFonts w:ascii="Verdana" w:hAnsi="Verdana"/>
          <w:sz w:val="19"/>
          <w:szCs w:val="19"/>
          <w:lang w:val="en-US"/>
        </w:rPr>
        <w:t xml:space="preserve"> inconsistent with and fails to reflect the following:</w:t>
      </w:r>
    </w:p>
    <w:p w14:paraId="0FBEA24A" w14:textId="77777777" w:rsidR="0042350C" w:rsidRPr="0088508C" w:rsidRDefault="0042350C" w:rsidP="0042350C">
      <w:pPr>
        <w:jc w:val="both"/>
        <w:rPr>
          <w:rFonts w:ascii="Verdana" w:hAnsi="Verdana"/>
          <w:sz w:val="19"/>
          <w:szCs w:val="19"/>
          <w:lang w:val="en-US"/>
        </w:rPr>
      </w:pPr>
    </w:p>
    <w:p w14:paraId="1F64B3CC" w14:textId="77777777" w:rsidR="0042350C" w:rsidRPr="001A1D85" w:rsidRDefault="0042350C" w:rsidP="0042350C">
      <w:pPr>
        <w:pStyle w:val="ListParagraph"/>
        <w:numPr>
          <w:ilvl w:val="0"/>
          <w:numId w:val="27"/>
        </w:numPr>
        <w:ind w:left="1276" w:hanging="567"/>
        <w:jc w:val="both"/>
        <w:rPr>
          <w:rFonts w:ascii="Verdana" w:hAnsi="Verdana"/>
          <w:sz w:val="19"/>
          <w:szCs w:val="19"/>
          <w:lang w:val="en-CA"/>
        </w:rPr>
      </w:pPr>
      <w:r w:rsidRPr="0088508C">
        <w:rPr>
          <w:rFonts w:ascii="Verdana" w:hAnsi="Verdana"/>
          <w:bCs/>
          <w:sz w:val="19"/>
          <w:szCs w:val="19"/>
          <w:lang w:val="en-US"/>
        </w:rPr>
        <w:t xml:space="preserve">General </w:t>
      </w:r>
      <w:r>
        <w:rPr>
          <w:rFonts w:ascii="Verdana" w:hAnsi="Verdana"/>
          <w:bCs/>
          <w:sz w:val="19"/>
          <w:szCs w:val="19"/>
          <w:lang w:val="en-US"/>
        </w:rPr>
        <w:t>C</w:t>
      </w:r>
      <w:r w:rsidRPr="0088508C">
        <w:rPr>
          <w:rFonts w:ascii="Verdana" w:hAnsi="Verdana"/>
          <w:bCs/>
          <w:sz w:val="19"/>
          <w:szCs w:val="19"/>
          <w:lang w:val="en-US"/>
        </w:rPr>
        <w:t>omment No. 31: The Nature of the General Legal Obligation Imposed on States Parties to the Covenant, para. 12 of which states, inter alia,</w:t>
      </w:r>
      <w:r w:rsidRPr="0088508C">
        <w:rPr>
          <w:rFonts w:ascii="Verdana" w:hAnsi="Verdana"/>
          <w:sz w:val="19"/>
          <w:szCs w:val="19"/>
          <w:lang w:val="en-US"/>
        </w:rPr>
        <w:t xml:space="preserve"> “12. Moreover, the article 2 obligation requiring that States parties respect and ensure the Covenant rights for all persons in their territory and all persons under their control entails an obligation not to extradite, deport, expel or otherwise remove a person from their territory, where there are substantial grounds for believing that there is a real risk of irreparable harm, </w:t>
      </w:r>
      <w:r w:rsidRPr="0088508C">
        <w:rPr>
          <w:rFonts w:ascii="Verdana" w:hAnsi="Verdana"/>
          <w:sz w:val="19"/>
          <w:szCs w:val="19"/>
          <w:u w:val="single"/>
          <w:lang w:val="en-US"/>
        </w:rPr>
        <w:t xml:space="preserve">such as </w:t>
      </w:r>
      <w:r w:rsidRPr="0088508C">
        <w:rPr>
          <w:rFonts w:ascii="Verdana" w:hAnsi="Verdana"/>
          <w:sz w:val="19"/>
          <w:szCs w:val="19"/>
          <w:lang w:val="en-US"/>
        </w:rPr>
        <w:t>that c</w:t>
      </w:r>
      <w:r>
        <w:rPr>
          <w:rFonts w:ascii="Verdana" w:hAnsi="Verdana"/>
          <w:sz w:val="19"/>
          <w:szCs w:val="19"/>
          <w:lang w:val="en-US"/>
        </w:rPr>
        <w:t>ontemplated by A</w:t>
      </w:r>
      <w:r w:rsidRPr="0088508C">
        <w:rPr>
          <w:rFonts w:ascii="Verdana" w:hAnsi="Verdana"/>
          <w:sz w:val="19"/>
          <w:szCs w:val="19"/>
          <w:lang w:val="en-US"/>
        </w:rPr>
        <w:t xml:space="preserve">rticles 6 and 7 of the Covenant, either in the country to which removal is to be effected or in any country to which the person may subsequently be removed.” </w:t>
      </w:r>
    </w:p>
    <w:p w14:paraId="75525473" w14:textId="77777777" w:rsidR="0042350C" w:rsidRPr="000A1D22" w:rsidRDefault="0042350C" w:rsidP="0042350C">
      <w:pPr>
        <w:pStyle w:val="ListParagraph"/>
        <w:numPr>
          <w:ilvl w:val="0"/>
          <w:numId w:val="27"/>
        </w:numPr>
        <w:ind w:left="1276" w:hanging="567"/>
        <w:jc w:val="both"/>
        <w:rPr>
          <w:rFonts w:ascii="Verdana" w:hAnsi="Verdana"/>
          <w:sz w:val="19"/>
          <w:szCs w:val="19"/>
          <w:lang w:val="en-CA"/>
        </w:rPr>
      </w:pPr>
      <w:r w:rsidRPr="000A1D22">
        <w:rPr>
          <w:rFonts w:ascii="Verdana" w:hAnsi="Verdana"/>
          <w:sz w:val="19"/>
          <w:szCs w:val="19"/>
          <w:lang w:val="en-US"/>
        </w:rPr>
        <w:t xml:space="preserve">the jurisprudence of the Committee, notably in the case of </w:t>
      </w:r>
      <w:r w:rsidRPr="00F14D27">
        <w:rPr>
          <w:rFonts w:ascii="Verdana" w:hAnsi="Verdana"/>
          <w:i/>
          <w:sz w:val="19"/>
          <w:szCs w:val="19"/>
          <w:lang w:val="en-US"/>
        </w:rPr>
        <w:t>G.T. v. Australia</w:t>
      </w:r>
      <w:r w:rsidRPr="000A1D22">
        <w:rPr>
          <w:rFonts w:ascii="Verdana" w:hAnsi="Verdana"/>
          <w:sz w:val="19"/>
          <w:szCs w:val="19"/>
          <w:lang w:val="en-US"/>
        </w:rPr>
        <w:t>,</w:t>
      </w:r>
      <w:r w:rsidRPr="0088508C">
        <w:rPr>
          <w:rStyle w:val="FootnoteReference"/>
          <w:rFonts w:ascii="Verdana" w:hAnsi="Verdana"/>
          <w:sz w:val="19"/>
          <w:szCs w:val="19"/>
          <w:lang w:val="en-US"/>
        </w:rPr>
        <w:footnoteReference w:id="33"/>
      </w:r>
      <w:r w:rsidRPr="000A1D22">
        <w:rPr>
          <w:rFonts w:ascii="Verdana" w:hAnsi="Verdana"/>
          <w:sz w:val="19"/>
          <w:szCs w:val="19"/>
          <w:lang w:val="en-US"/>
        </w:rPr>
        <w:t xml:space="preserve"> which does not rule out the possibility of finding in future cases a violation of the States Parties’ </w:t>
      </w:r>
      <w:r w:rsidRPr="000A1D22">
        <w:rPr>
          <w:rFonts w:ascii="Verdana" w:hAnsi="Verdana"/>
          <w:i/>
          <w:sz w:val="19"/>
          <w:szCs w:val="19"/>
          <w:lang w:val="en-US"/>
        </w:rPr>
        <w:t>non-refoulement</w:t>
      </w:r>
      <w:r w:rsidRPr="000A1D22">
        <w:rPr>
          <w:rFonts w:ascii="Verdana" w:hAnsi="Verdana"/>
          <w:sz w:val="19"/>
          <w:szCs w:val="19"/>
          <w:lang w:val="en-US"/>
        </w:rPr>
        <w:t xml:space="preserve"> obligations arising pursuant to Article 9; </w:t>
      </w:r>
    </w:p>
    <w:p w14:paraId="727EBA95" w14:textId="77777777" w:rsidR="0042350C" w:rsidRPr="0088508C" w:rsidRDefault="0042350C" w:rsidP="0042350C">
      <w:pPr>
        <w:pStyle w:val="ListParagraph"/>
        <w:numPr>
          <w:ilvl w:val="0"/>
          <w:numId w:val="27"/>
        </w:numPr>
        <w:ind w:left="1276" w:hanging="567"/>
        <w:jc w:val="both"/>
        <w:rPr>
          <w:rFonts w:ascii="Verdana" w:hAnsi="Verdana"/>
          <w:sz w:val="19"/>
          <w:szCs w:val="19"/>
          <w:lang w:val="en-US"/>
        </w:rPr>
      </w:pPr>
      <w:r w:rsidRPr="0088508C">
        <w:rPr>
          <w:rFonts w:ascii="Verdana" w:hAnsi="Verdana"/>
          <w:sz w:val="19"/>
          <w:szCs w:val="19"/>
          <w:lang w:val="en-US"/>
        </w:rPr>
        <w:t>international refugee law;</w:t>
      </w:r>
      <w:r w:rsidRPr="0088508C">
        <w:rPr>
          <w:rStyle w:val="FootnoteReference"/>
          <w:rFonts w:ascii="Verdana" w:hAnsi="Verdana"/>
          <w:sz w:val="19"/>
          <w:szCs w:val="19"/>
          <w:lang w:val="en-US"/>
        </w:rPr>
        <w:footnoteReference w:id="34"/>
      </w:r>
    </w:p>
    <w:p w14:paraId="02C8DB3F" w14:textId="77777777" w:rsidR="0042350C" w:rsidRPr="0088508C" w:rsidRDefault="0042350C" w:rsidP="0042350C">
      <w:pPr>
        <w:pStyle w:val="ListParagraph"/>
        <w:numPr>
          <w:ilvl w:val="0"/>
          <w:numId w:val="27"/>
        </w:numPr>
        <w:ind w:left="1276" w:hanging="567"/>
        <w:jc w:val="both"/>
        <w:rPr>
          <w:rFonts w:ascii="Verdana" w:hAnsi="Verdana"/>
          <w:sz w:val="19"/>
          <w:szCs w:val="19"/>
          <w:lang w:val="en-US"/>
        </w:rPr>
      </w:pPr>
      <w:r w:rsidRPr="0088508C">
        <w:rPr>
          <w:rFonts w:ascii="Verdana" w:hAnsi="Verdana"/>
          <w:sz w:val="19"/>
          <w:szCs w:val="19"/>
          <w:lang w:val="en-US"/>
        </w:rPr>
        <w:t>the jurisprudence of the European Court of Human Rights;</w:t>
      </w:r>
      <w:r w:rsidRPr="0088508C">
        <w:rPr>
          <w:rStyle w:val="FootnoteReference"/>
          <w:rFonts w:ascii="Verdana" w:hAnsi="Verdana"/>
          <w:sz w:val="19"/>
          <w:szCs w:val="19"/>
          <w:lang w:val="en-US"/>
        </w:rPr>
        <w:footnoteReference w:id="35"/>
      </w:r>
    </w:p>
    <w:p w14:paraId="6E8FAFC3" w14:textId="77777777" w:rsidR="0042350C" w:rsidRPr="0088508C" w:rsidRDefault="0042350C" w:rsidP="0042350C">
      <w:pPr>
        <w:pStyle w:val="ListParagraph"/>
        <w:numPr>
          <w:ilvl w:val="0"/>
          <w:numId w:val="27"/>
        </w:numPr>
        <w:ind w:left="1276" w:hanging="567"/>
        <w:jc w:val="both"/>
        <w:rPr>
          <w:rFonts w:ascii="Verdana" w:hAnsi="Verdana"/>
          <w:sz w:val="19"/>
          <w:szCs w:val="19"/>
          <w:lang w:val="en-US"/>
        </w:rPr>
      </w:pPr>
      <w:r w:rsidRPr="0088508C">
        <w:rPr>
          <w:rFonts w:ascii="Verdana" w:hAnsi="Verdana"/>
          <w:sz w:val="19"/>
          <w:szCs w:val="19"/>
          <w:lang w:val="en-US"/>
        </w:rPr>
        <w:t>the approach of the Working Group on Arbitrary Detention;</w:t>
      </w:r>
      <w:r w:rsidRPr="0088508C">
        <w:rPr>
          <w:rStyle w:val="FootnoteReference"/>
          <w:rFonts w:ascii="Verdana" w:hAnsi="Verdana"/>
          <w:sz w:val="19"/>
          <w:szCs w:val="19"/>
          <w:lang w:val="en-US"/>
        </w:rPr>
        <w:footnoteReference w:id="36"/>
      </w:r>
      <w:r w:rsidRPr="0088508C">
        <w:rPr>
          <w:rFonts w:ascii="Verdana" w:hAnsi="Verdana"/>
          <w:sz w:val="19"/>
          <w:szCs w:val="19"/>
          <w:lang w:val="en-US"/>
        </w:rPr>
        <w:t xml:space="preserve"> </w:t>
      </w:r>
    </w:p>
    <w:p w14:paraId="1956CEAB" w14:textId="77777777" w:rsidR="0042350C" w:rsidRPr="001A1D85" w:rsidRDefault="0042350C" w:rsidP="0042350C">
      <w:pPr>
        <w:pStyle w:val="ListParagraph"/>
        <w:numPr>
          <w:ilvl w:val="0"/>
          <w:numId w:val="27"/>
        </w:numPr>
        <w:ind w:left="1276" w:hanging="567"/>
        <w:jc w:val="both"/>
        <w:rPr>
          <w:rFonts w:ascii="Verdana" w:hAnsi="Verdana"/>
          <w:sz w:val="19"/>
          <w:szCs w:val="19"/>
          <w:lang w:val="en-US"/>
        </w:rPr>
      </w:pPr>
      <w:r w:rsidRPr="0088508C">
        <w:rPr>
          <w:rFonts w:ascii="Verdana" w:hAnsi="Verdana"/>
          <w:sz w:val="19"/>
          <w:szCs w:val="19"/>
          <w:lang w:val="en-CA"/>
        </w:rPr>
        <w:t xml:space="preserve">the opening sentence of para. 7 of the draft </w:t>
      </w:r>
      <w:r>
        <w:rPr>
          <w:rFonts w:ascii="Verdana" w:hAnsi="Verdana"/>
          <w:sz w:val="19"/>
          <w:szCs w:val="19"/>
          <w:lang w:val="en-CA"/>
        </w:rPr>
        <w:t xml:space="preserve">of General Comment 35 </w:t>
      </w:r>
      <w:r w:rsidRPr="0088508C">
        <w:rPr>
          <w:rFonts w:ascii="Verdana" w:hAnsi="Verdana"/>
          <w:sz w:val="19"/>
          <w:szCs w:val="19"/>
          <w:lang w:val="en-CA"/>
        </w:rPr>
        <w:t xml:space="preserve">which affirms that “The right to security of person protects individuals against intentional </w:t>
      </w:r>
      <w:r w:rsidRPr="0088508C">
        <w:rPr>
          <w:rFonts w:ascii="Verdana" w:hAnsi="Verdana"/>
          <w:sz w:val="19"/>
          <w:szCs w:val="19"/>
        </w:rPr>
        <w:t>infliction</w:t>
      </w:r>
      <w:r w:rsidRPr="0088508C">
        <w:rPr>
          <w:rFonts w:ascii="Verdana" w:hAnsi="Verdana"/>
          <w:sz w:val="19"/>
          <w:szCs w:val="19"/>
          <w:lang w:val="en-CA"/>
        </w:rPr>
        <w:t xml:space="preserve"> of bodily or mental injury, regardless of whether the victim is detained or non-detained”; </w:t>
      </w:r>
    </w:p>
    <w:p w14:paraId="32434638" w14:textId="77777777" w:rsidR="0042350C" w:rsidRPr="0042350C" w:rsidRDefault="0042350C" w:rsidP="0042350C">
      <w:pPr>
        <w:pStyle w:val="ListParagraph"/>
        <w:numPr>
          <w:ilvl w:val="0"/>
          <w:numId w:val="27"/>
        </w:numPr>
        <w:ind w:left="1276" w:hanging="567"/>
        <w:jc w:val="both"/>
        <w:rPr>
          <w:rFonts w:ascii="Verdana" w:hAnsi="Verdana"/>
          <w:sz w:val="19"/>
          <w:szCs w:val="19"/>
          <w:lang w:val="en-US"/>
        </w:rPr>
      </w:pPr>
      <w:r w:rsidRPr="0088508C">
        <w:rPr>
          <w:rFonts w:ascii="Verdana" w:hAnsi="Verdana"/>
          <w:sz w:val="19"/>
          <w:szCs w:val="19"/>
          <w:lang w:val="en-US"/>
        </w:rPr>
        <w:t>para. 14 of the present draft</w:t>
      </w:r>
      <w:r>
        <w:rPr>
          <w:rFonts w:ascii="Verdana" w:hAnsi="Verdana"/>
          <w:sz w:val="19"/>
          <w:szCs w:val="19"/>
          <w:lang w:val="en-US"/>
        </w:rPr>
        <w:t xml:space="preserve"> of General Comment 35</w:t>
      </w:r>
      <w:r w:rsidRPr="0088508C">
        <w:rPr>
          <w:rFonts w:ascii="Verdana" w:hAnsi="Verdana"/>
          <w:sz w:val="19"/>
          <w:szCs w:val="19"/>
          <w:lang w:val="en-US"/>
        </w:rPr>
        <w:t>, the Committee affirms, among other things that “</w:t>
      </w:r>
      <w:r w:rsidRPr="0088508C">
        <w:rPr>
          <w:rFonts w:ascii="Verdana" w:hAnsi="Verdana"/>
          <w:sz w:val="19"/>
          <w:szCs w:val="19"/>
          <w:lang w:val="en-CA"/>
        </w:rPr>
        <w:t>Although conditions of detention are addressed primarily by articles 7 and 10, detention may be arbitrary if the manner in which the detainees are treated does not relate to the purpose for which they ar</w:t>
      </w:r>
      <w:r>
        <w:rPr>
          <w:rFonts w:ascii="Verdana" w:hAnsi="Verdana"/>
          <w:sz w:val="19"/>
          <w:szCs w:val="19"/>
          <w:lang w:val="en-CA"/>
        </w:rPr>
        <w:t>e ostensibly being detained”</w:t>
      </w:r>
      <w:r w:rsidRPr="0088508C">
        <w:rPr>
          <w:rFonts w:ascii="Verdana" w:hAnsi="Verdana"/>
          <w:sz w:val="19"/>
          <w:szCs w:val="19"/>
          <w:lang w:val="en-CA"/>
        </w:rPr>
        <w:t>; and</w:t>
      </w:r>
    </w:p>
    <w:p w14:paraId="59E9B2DA" w14:textId="77777777" w:rsidR="0042350C" w:rsidRPr="0042350C" w:rsidRDefault="0042350C" w:rsidP="0042350C">
      <w:pPr>
        <w:pStyle w:val="ListParagraph"/>
        <w:numPr>
          <w:ilvl w:val="0"/>
          <w:numId w:val="27"/>
        </w:numPr>
        <w:ind w:left="1276" w:hanging="567"/>
        <w:jc w:val="both"/>
        <w:rPr>
          <w:rFonts w:ascii="Verdana" w:hAnsi="Verdana"/>
          <w:sz w:val="19"/>
          <w:szCs w:val="19"/>
          <w:lang w:val="en-US"/>
        </w:rPr>
      </w:pPr>
      <w:r w:rsidRPr="0042350C">
        <w:rPr>
          <w:rFonts w:ascii="Verdana" w:hAnsi="Verdana"/>
          <w:sz w:val="19"/>
          <w:szCs w:val="19"/>
          <w:lang w:val="en-CA"/>
        </w:rPr>
        <w:t>the whole of para. 17 of the present draft.</w:t>
      </w:r>
      <w:r w:rsidRPr="0088508C">
        <w:rPr>
          <w:rStyle w:val="FootnoteReference"/>
          <w:rFonts w:ascii="Verdana" w:hAnsi="Verdana"/>
          <w:sz w:val="19"/>
          <w:szCs w:val="19"/>
          <w:lang w:val="en-CA"/>
        </w:rPr>
        <w:footnoteReference w:id="37"/>
      </w:r>
    </w:p>
    <w:p w14:paraId="757F2D3C" w14:textId="77777777" w:rsidR="0042350C" w:rsidRDefault="0042350C" w:rsidP="0042350C">
      <w:pPr>
        <w:pStyle w:val="ListParagraph"/>
        <w:ind w:left="426"/>
        <w:jc w:val="both"/>
        <w:rPr>
          <w:rFonts w:ascii="Verdana" w:hAnsi="Verdana"/>
          <w:sz w:val="19"/>
          <w:szCs w:val="19"/>
          <w:lang w:val="en-US"/>
        </w:rPr>
      </w:pPr>
    </w:p>
    <w:p w14:paraId="2AF7410C" w14:textId="77777777" w:rsidR="00DF1A4B" w:rsidRPr="0042350C" w:rsidRDefault="00F338C2" w:rsidP="0042350C">
      <w:pPr>
        <w:pStyle w:val="ListParagraph"/>
        <w:numPr>
          <w:ilvl w:val="0"/>
          <w:numId w:val="4"/>
        </w:numPr>
        <w:ind w:left="426"/>
        <w:jc w:val="both"/>
        <w:rPr>
          <w:rFonts w:ascii="Verdana" w:hAnsi="Verdana"/>
          <w:sz w:val="19"/>
          <w:szCs w:val="19"/>
          <w:lang w:val="en-US"/>
        </w:rPr>
      </w:pPr>
      <w:r w:rsidRPr="0042350C">
        <w:rPr>
          <w:rFonts w:ascii="Verdana" w:hAnsi="Verdana"/>
          <w:sz w:val="19"/>
          <w:szCs w:val="19"/>
          <w:lang w:val="en-US"/>
        </w:rPr>
        <w:t>In light of the above</w:t>
      </w:r>
      <w:r w:rsidR="00413405" w:rsidRPr="0042350C">
        <w:rPr>
          <w:rFonts w:ascii="Verdana" w:hAnsi="Verdana"/>
          <w:sz w:val="19"/>
          <w:szCs w:val="19"/>
          <w:lang w:val="en-US"/>
        </w:rPr>
        <w:t xml:space="preserve">, the ICJ would welcome </w:t>
      </w:r>
      <w:r w:rsidR="00F85777" w:rsidRPr="0042350C">
        <w:rPr>
          <w:rFonts w:ascii="Verdana" w:hAnsi="Verdana"/>
          <w:sz w:val="19"/>
          <w:szCs w:val="19"/>
          <w:lang w:val="en-US"/>
        </w:rPr>
        <w:t xml:space="preserve">the inclusion of </w:t>
      </w:r>
      <w:r w:rsidR="00413405" w:rsidRPr="0042350C">
        <w:rPr>
          <w:rFonts w:ascii="Verdana" w:hAnsi="Verdana"/>
          <w:sz w:val="19"/>
          <w:szCs w:val="19"/>
          <w:lang w:val="en-US"/>
        </w:rPr>
        <w:t xml:space="preserve">a statement to the effect that </w:t>
      </w:r>
      <w:r w:rsidR="00413405" w:rsidRPr="0042350C">
        <w:rPr>
          <w:rFonts w:ascii="Verdana" w:hAnsi="Verdana"/>
          <w:i/>
          <w:sz w:val="19"/>
          <w:szCs w:val="19"/>
          <w:lang w:val="en-US"/>
        </w:rPr>
        <w:t>non-refoulement</w:t>
      </w:r>
      <w:r w:rsidR="00413405" w:rsidRPr="0042350C">
        <w:rPr>
          <w:rFonts w:ascii="Verdana" w:hAnsi="Verdana"/>
          <w:sz w:val="19"/>
          <w:szCs w:val="19"/>
          <w:lang w:val="en-US"/>
        </w:rPr>
        <w:t xml:space="preserve"> obligations under Article 9 arise when States Parties know or ought to know that the removal of a person from their jurisdiction would expose the concerned individual to a real risk of a serious violation of article 9, such as prolonged </w:t>
      </w:r>
      <w:r w:rsidR="001A1D85" w:rsidRPr="0042350C">
        <w:rPr>
          <w:rFonts w:ascii="Verdana" w:hAnsi="Verdana"/>
          <w:sz w:val="19"/>
          <w:szCs w:val="19"/>
          <w:lang w:val="en-US"/>
        </w:rPr>
        <w:t>incommunicado</w:t>
      </w:r>
      <w:r w:rsidR="00413405" w:rsidRPr="0042350C">
        <w:rPr>
          <w:rFonts w:ascii="Verdana" w:hAnsi="Verdana"/>
          <w:sz w:val="19"/>
          <w:szCs w:val="19"/>
          <w:lang w:val="en-US"/>
        </w:rPr>
        <w:t xml:space="preserve"> detention. </w:t>
      </w:r>
      <w:r w:rsidR="00413405" w:rsidRPr="0042350C">
        <w:rPr>
          <w:rFonts w:ascii="Verdana" w:hAnsi="Verdana"/>
          <w:i/>
          <w:sz w:val="19"/>
          <w:szCs w:val="19"/>
          <w:lang w:val="en-US"/>
        </w:rPr>
        <w:t>Non-refoulement</w:t>
      </w:r>
      <w:r w:rsidR="00413405" w:rsidRPr="0042350C">
        <w:rPr>
          <w:rFonts w:ascii="Verdana" w:hAnsi="Verdana"/>
          <w:sz w:val="19"/>
          <w:szCs w:val="19"/>
          <w:lang w:val="en-US"/>
        </w:rPr>
        <w:t xml:space="preserve"> obligations enjoin States from removing the concerned person from their jurisdiction by whatever means and/or require them to take all necessary measures to prevent third parties from doing so.</w:t>
      </w:r>
    </w:p>
    <w:p w14:paraId="6A8732B6" w14:textId="77777777" w:rsidR="00CE1171" w:rsidRPr="0088508C" w:rsidRDefault="00CE1171" w:rsidP="0088508C">
      <w:pPr>
        <w:jc w:val="both"/>
        <w:rPr>
          <w:rFonts w:ascii="Verdana" w:hAnsi="Verdana"/>
          <w:sz w:val="19"/>
          <w:szCs w:val="19"/>
          <w:lang w:val="en-US"/>
        </w:rPr>
      </w:pPr>
    </w:p>
    <w:p w14:paraId="5FB169A6" w14:textId="77777777" w:rsidR="00C622D4" w:rsidRPr="00290D79" w:rsidRDefault="00C622D4" w:rsidP="00C622D4">
      <w:pPr>
        <w:ind w:left="284"/>
        <w:jc w:val="both"/>
        <w:rPr>
          <w:rFonts w:ascii="Verdana" w:hAnsi="Verdana"/>
          <w:sz w:val="18"/>
          <w:szCs w:val="18"/>
          <w:lang w:val="en-US"/>
        </w:rPr>
      </w:pPr>
    </w:p>
    <w:sectPr w:rsidR="00C622D4" w:rsidRPr="00290D79" w:rsidSect="002325A2">
      <w:headerReference w:type="default" r:id="rId14"/>
      <w:footerReference w:type="even" r:id="rId15"/>
      <w:footerReference w:type="default" r:id="rId16"/>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0D4C0A" w14:textId="77777777" w:rsidR="00F43CB4" w:rsidRDefault="00F43CB4" w:rsidP="003617C1">
      <w:r>
        <w:separator/>
      </w:r>
    </w:p>
  </w:endnote>
  <w:endnote w:type="continuationSeparator" w:id="0">
    <w:p w14:paraId="081E36E7" w14:textId="77777777" w:rsidR="00F43CB4" w:rsidRDefault="00F43CB4" w:rsidP="00361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MS Mincho">
    <w:altName w:val="ＭＳ 明朝"/>
    <w:charset w:val="80"/>
    <w:family w:val="modern"/>
    <w:pitch w:val="fixed"/>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Palatino">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F40F7" w14:textId="77777777" w:rsidR="00F43CB4" w:rsidRDefault="00F43CB4" w:rsidP="009263F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D5C29A3" w14:textId="77777777" w:rsidR="00F43CB4" w:rsidRDefault="00F43CB4">
    <w:pPr>
      <w:pStyle w:val="Footer"/>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326E8" w14:textId="77777777" w:rsidR="00F43CB4" w:rsidRPr="00092567" w:rsidRDefault="00F43CB4" w:rsidP="009263F6">
    <w:pPr>
      <w:pStyle w:val="Footer"/>
      <w:framePr w:wrap="around" w:vAnchor="text" w:hAnchor="margin" w:xAlign="center" w:y="1"/>
      <w:jc w:val="center"/>
      <w:rPr>
        <w:rStyle w:val="PageNumber"/>
      </w:rPr>
    </w:pPr>
    <w:r w:rsidRPr="00092567">
      <w:rPr>
        <w:rStyle w:val="PageNumber"/>
        <w:rFonts w:ascii="Verdana" w:hAnsi="Verdana"/>
        <w:sz w:val="16"/>
      </w:rPr>
      <w:fldChar w:fldCharType="begin"/>
    </w:r>
    <w:r w:rsidRPr="00092567">
      <w:rPr>
        <w:rStyle w:val="PageNumber"/>
        <w:rFonts w:ascii="Verdana" w:hAnsi="Verdana"/>
        <w:sz w:val="16"/>
      </w:rPr>
      <w:instrText xml:space="preserve">PAGE  </w:instrText>
    </w:r>
    <w:r w:rsidRPr="00092567">
      <w:rPr>
        <w:rStyle w:val="PageNumber"/>
        <w:rFonts w:ascii="Verdana" w:hAnsi="Verdana"/>
        <w:sz w:val="16"/>
      </w:rPr>
      <w:fldChar w:fldCharType="separate"/>
    </w:r>
    <w:r>
      <w:rPr>
        <w:rStyle w:val="PageNumber"/>
        <w:rFonts w:ascii="Verdana" w:hAnsi="Verdana"/>
        <w:noProof/>
        <w:sz w:val="16"/>
      </w:rPr>
      <w:t>2</w:t>
    </w:r>
    <w:r w:rsidRPr="00092567">
      <w:rPr>
        <w:rStyle w:val="PageNumber"/>
        <w:rFonts w:ascii="Verdana" w:hAnsi="Verdana"/>
        <w:sz w:val="16"/>
      </w:rPr>
      <w:fldChar w:fldCharType="end"/>
    </w:r>
  </w:p>
  <w:p w14:paraId="2A685040" w14:textId="77777777" w:rsidR="00F43CB4" w:rsidRDefault="00F43CB4" w:rsidP="009263F6">
    <w:pPr>
      <w:ind w:left="-567" w:right="360" w:firstLine="360"/>
      <w:jc w:val="center"/>
      <w:rPr>
        <w:rFonts w:ascii="Palatino" w:hAnsi="Palatino"/>
        <w:sz w:val="16"/>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382CED" w14:textId="77777777" w:rsidR="00F43CB4" w:rsidRDefault="00F43CB4" w:rsidP="00CE44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204208" w14:textId="77777777" w:rsidR="00F43CB4" w:rsidRDefault="00F43CB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36745" w14:textId="77777777" w:rsidR="00F43CB4" w:rsidRDefault="00F43CB4" w:rsidP="00CE445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87C95">
      <w:rPr>
        <w:rStyle w:val="PageNumber"/>
        <w:noProof/>
      </w:rPr>
      <w:t>10</w:t>
    </w:r>
    <w:r>
      <w:rPr>
        <w:rStyle w:val="PageNumber"/>
      </w:rPr>
      <w:fldChar w:fldCharType="end"/>
    </w:r>
  </w:p>
  <w:p w14:paraId="07CD6C7B" w14:textId="77777777" w:rsidR="00F43CB4" w:rsidRDefault="00F43CB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6D7FF7" w14:textId="77777777" w:rsidR="00F43CB4" w:rsidRDefault="00F43CB4" w:rsidP="003617C1">
      <w:r>
        <w:separator/>
      </w:r>
    </w:p>
  </w:footnote>
  <w:footnote w:type="continuationSeparator" w:id="0">
    <w:p w14:paraId="558A4A0C" w14:textId="77777777" w:rsidR="00F43CB4" w:rsidRDefault="00F43CB4" w:rsidP="003617C1">
      <w:r>
        <w:continuationSeparator/>
      </w:r>
    </w:p>
  </w:footnote>
  <w:footnote w:id="1">
    <w:p w14:paraId="578436C7" w14:textId="13539CC1" w:rsidR="00F43CB4" w:rsidRPr="00866EE6" w:rsidRDefault="00F43CB4" w:rsidP="000B3F1E">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In March 2014, during its 110</w:t>
      </w:r>
      <w:r w:rsidRPr="00866EE6">
        <w:rPr>
          <w:rFonts w:ascii="Verdana" w:hAnsi="Verdana"/>
          <w:sz w:val="17"/>
          <w:szCs w:val="17"/>
          <w:vertAlign w:val="superscript"/>
          <w:lang w:val="en-US"/>
        </w:rPr>
        <w:t>th</w:t>
      </w:r>
      <w:r w:rsidRPr="00866EE6">
        <w:rPr>
          <w:rFonts w:ascii="Verdana" w:hAnsi="Verdana"/>
          <w:sz w:val="17"/>
          <w:szCs w:val="17"/>
          <w:lang w:val="en-US"/>
        </w:rPr>
        <w:t xml:space="preserve"> session, the Committee finalised its first reading of draft General Comment 35 on article 9 of the Covenant, and invited all interested stakeholders, including  “Member States, other UN and regional human rights mechanisms, UN organisations or specialised agencies, National Human Rights Institution, Non-Governmental Organisations (NGOs), research institutions, and academics” to comment on the Committee’s Draft; see </w:t>
      </w:r>
      <w:hyperlink r:id="rId1" w:history="1">
        <w:r w:rsidRPr="00866EE6">
          <w:rPr>
            <w:rStyle w:val="Hyperlink"/>
            <w:rFonts w:ascii="Verdana" w:hAnsi="Verdana"/>
            <w:sz w:val="17"/>
            <w:szCs w:val="17"/>
          </w:rPr>
          <w:t>http://www.ohchr.org/EN/HRBodies/CCPR/Pages/DGCArticle9.aspx</w:t>
        </w:r>
      </w:hyperlink>
      <w:r w:rsidRPr="00866EE6">
        <w:rPr>
          <w:rFonts w:ascii="Verdana" w:hAnsi="Verdana"/>
          <w:sz w:val="17"/>
          <w:szCs w:val="17"/>
        </w:rPr>
        <w:t>.</w:t>
      </w:r>
    </w:p>
  </w:footnote>
  <w:footnote w:id="2">
    <w:p w14:paraId="0636669C" w14:textId="77777777" w:rsidR="00F43CB4" w:rsidRPr="00866EE6" w:rsidRDefault="00F43CB4" w:rsidP="000B3F1E">
      <w:pPr>
        <w:pStyle w:val="FootnoteText"/>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See, </w:t>
      </w:r>
      <w:r w:rsidRPr="00866EE6">
        <w:rPr>
          <w:rFonts w:ascii="Verdana" w:hAnsi="Verdana"/>
          <w:sz w:val="17"/>
          <w:szCs w:val="17"/>
          <w:lang w:val="en-US"/>
        </w:rPr>
        <w:t xml:space="preserve">ICJ Initial Comments to the Human Rights Committee on Draft General Comment 35 on Article 9 of the ICCPR, submitted on 16 October 2013, </w:t>
      </w:r>
      <w:hyperlink r:id="rId2" w:history="1">
        <w:r w:rsidRPr="00866EE6">
          <w:rPr>
            <w:rStyle w:val="Hyperlink"/>
            <w:rFonts w:ascii="Verdana" w:hAnsi="Verdana"/>
            <w:sz w:val="17"/>
            <w:szCs w:val="17"/>
            <w:lang w:val="en-US"/>
          </w:rPr>
          <w:t>http://icj.wpengine.netdna-cdn.com/wp-content/uploads/2013/10/16-10-13-FINAL-Submission-DRAFT-GC35.pdf</w:t>
        </w:r>
      </w:hyperlink>
      <w:r w:rsidRPr="00866EE6">
        <w:rPr>
          <w:rFonts w:ascii="Verdana" w:hAnsi="Verdana"/>
          <w:sz w:val="17"/>
          <w:szCs w:val="17"/>
          <w:lang w:val="en-US"/>
        </w:rPr>
        <w:t>.</w:t>
      </w:r>
    </w:p>
  </w:footnote>
  <w:footnote w:id="3">
    <w:p w14:paraId="76744B63" w14:textId="77777777" w:rsidR="00F43CB4" w:rsidRPr="00866EE6" w:rsidRDefault="00F43CB4" w:rsidP="00863140">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i/>
          <w:iCs/>
          <w:sz w:val="17"/>
          <w:szCs w:val="17"/>
          <w:lang w:val="en-US"/>
        </w:rPr>
        <w:t>Mohammed Alzery v. Sweden</w:t>
      </w:r>
      <w:r w:rsidRPr="00866EE6">
        <w:rPr>
          <w:rFonts w:ascii="Verdana" w:hAnsi="Verdana"/>
          <w:sz w:val="17"/>
          <w:szCs w:val="17"/>
          <w:lang w:val="en-US"/>
        </w:rPr>
        <w:t>, CCPR/C/88/D/1416/2005, UN Human Rights Committee (HRC), 10 November 2006.</w:t>
      </w:r>
    </w:p>
  </w:footnote>
  <w:footnote w:id="4">
    <w:p w14:paraId="667D129E" w14:textId="77777777" w:rsidR="00F43CB4" w:rsidRPr="00866EE6" w:rsidRDefault="00F43CB4" w:rsidP="00864EC0">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Conversely, para. 65 of the present draft does specifically refer to “the existence and nature of a public emergency which threatens the life of the nation”.</w:t>
      </w:r>
    </w:p>
  </w:footnote>
  <w:footnote w:id="5">
    <w:p w14:paraId="674028C3" w14:textId="65CB1451" w:rsidR="00F43CB4" w:rsidRPr="00866EE6" w:rsidRDefault="00F43CB4" w:rsidP="00864EC0">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General Comment No. 29 on Article 4, </w:t>
      </w:r>
      <w:r w:rsidRPr="00866EE6">
        <w:rPr>
          <w:rFonts w:ascii="Verdana" w:hAnsi="Verdana"/>
          <w:sz w:val="17"/>
          <w:szCs w:val="17"/>
          <w:lang w:val="en-US"/>
        </w:rPr>
        <w:t>adopted at the 1950</w:t>
      </w:r>
      <w:r w:rsidRPr="00866EE6">
        <w:rPr>
          <w:rFonts w:ascii="Verdana" w:hAnsi="Verdana"/>
          <w:sz w:val="17"/>
          <w:szCs w:val="17"/>
          <w:vertAlign w:val="superscript"/>
          <w:lang w:val="en-US"/>
        </w:rPr>
        <w:t>th</w:t>
      </w:r>
      <w:r w:rsidRPr="00866EE6">
        <w:rPr>
          <w:rFonts w:ascii="Verdana" w:hAnsi="Verdana"/>
          <w:sz w:val="17"/>
          <w:szCs w:val="17"/>
          <w:lang w:val="en-US"/>
        </w:rPr>
        <w:t xml:space="preserve"> meeting, on 24 July 2001, CCPR/C/21/Rev.1/Add.11, paras. 2, 3, 5 and 6.</w:t>
      </w:r>
    </w:p>
  </w:footnote>
  <w:footnote w:id="6">
    <w:p w14:paraId="2368BA3A" w14:textId="337003AA" w:rsidR="00F43CB4" w:rsidRPr="00866EE6" w:rsidRDefault="00F43CB4" w:rsidP="00A91C14">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Under Article 78 of the </w:t>
      </w:r>
      <w:r w:rsidRPr="00866EE6">
        <w:rPr>
          <w:rFonts w:ascii="Verdana" w:hAnsi="Verdana"/>
          <w:sz w:val="17"/>
          <w:szCs w:val="17"/>
          <w:lang w:val="en-US"/>
        </w:rPr>
        <w:t>1949 Fourth Geneva Convention</w:t>
      </w:r>
      <w:r w:rsidRPr="00866EE6">
        <w:rPr>
          <w:rFonts w:ascii="Verdana" w:hAnsi="Verdana" w:cs="Arial"/>
          <w:b/>
          <w:bCs/>
          <w:color w:val="2A2A2A"/>
          <w:sz w:val="17"/>
          <w:szCs w:val="17"/>
          <w:lang w:val="en-US"/>
        </w:rPr>
        <w:t xml:space="preserve"> </w:t>
      </w:r>
      <w:r w:rsidRPr="00866EE6">
        <w:rPr>
          <w:rFonts w:ascii="Verdana" w:hAnsi="Verdana"/>
          <w:bCs/>
          <w:sz w:val="17"/>
          <w:szCs w:val="17"/>
          <w:lang w:val="en-US"/>
        </w:rPr>
        <w:t xml:space="preserve">relative to the Protection of Civilian Persons in Time of War, internment in international armed conflicts may be imposed </w:t>
      </w:r>
      <w:r w:rsidRPr="00866EE6">
        <w:rPr>
          <w:rFonts w:ascii="Verdana" w:hAnsi="Verdana"/>
          <w:sz w:val="17"/>
          <w:szCs w:val="17"/>
          <w:lang w:val="en-US"/>
        </w:rPr>
        <w:t>for “imperative reasons of security". </w:t>
      </w:r>
    </w:p>
  </w:footnote>
  <w:footnote w:id="7">
    <w:p w14:paraId="03BD0071" w14:textId="77777777" w:rsidR="00F43CB4" w:rsidRPr="00866EE6" w:rsidRDefault="00F43CB4" w:rsidP="0094619D">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Among other things, </w:t>
      </w:r>
      <w:r w:rsidRPr="00866EE6">
        <w:rPr>
          <w:rFonts w:ascii="Verdana" w:hAnsi="Verdana"/>
          <w:sz w:val="17"/>
          <w:szCs w:val="17"/>
          <w:lang w:val="en-US"/>
        </w:rPr>
        <w:t xml:space="preserve">Resolution 1 adopted by the 31st International Conference of the Red Cross and Red Crescent in November 2011 invites the ICRC to consult with states and other relevant actors on strengthening IHL in respect of the protection of persons deprived of their liberty in NIACs. The Resolution also asks the ICRC to report back in 2015 with options and recommendations for a way forward. For more information, see </w:t>
      </w:r>
      <w:hyperlink r:id="rId3" w:history="1">
        <w:r w:rsidRPr="00866EE6">
          <w:rPr>
            <w:rStyle w:val="Hyperlink"/>
            <w:rFonts w:ascii="Verdana" w:hAnsi="Verdana"/>
            <w:sz w:val="17"/>
            <w:szCs w:val="17"/>
            <w:lang w:val="en-US"/>
          </w:rPr>
          <w:t>http://www.icrc.org/eng/what-we-do/other-activities/development-ihl/index.jsp</w:t>
        </w:r>
      </w:hyperlink>
      <w:r w:rsidRPr="00866EE6">
        <w:rPr>
          <w:rFonts w:ascii="Verdana" w:hAnsi="Verdana"/>
          <w:sz w:val="17"/>
          <w:szCs w:val="17"/>
          <w:lang w:val="en-US"/>
        </w:rPr>
        <w:t>.</w:t>
      </w:r>
    </w:p>
  </w:footnote>
  <w:footnote w:id="8">
    <w:p w14:paraId="04C69977" w14:textId="77777777" w:rsidR="00F43CB4" w:rsidRPr="00866EE6" w:rsidRDefault="00F43CB4" w:rsidP="00C7135C">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Neither Common Article 3 of the Geneva Conventions nor </w:t>
      </w:r>
      <w:r w:rsidRPr="00866EE6">
        <w:rPr>
          <w:rFonts w:ascii="Verdana" w:hAnsi="Verdana"/>
          <w:bCs/>
          <w:sz w:val="17"/>
          <w:szCs w:val="17"/>
          <w:lang w:val="en-US"/>
        </w:rPr>
        <w:t xml:space="preserve">Protocol Additional to the Geneva Conventions of 12 August 1949, and relating to the Protection of Victims of Non-International Armed Conflicts (Protocol II), 8 June 1977, provides authority/ground for depriving people of their liberty for reasons related to the armed conflict, whether they are interned or detained. The lawful basis for such deprivation of liberty must therefore be provided in national law. </w:t>
      </w:r>
    </w:p>
  </w:footnote>
  <w:footnote w:id="9">
    <w:p w14:paraId="51FA165D" w14:textId="3359D6B2" w:rsidR="00F43CB4" w:rsidRPr="00866EE6" w:rsidRDefault="00F43CB4" w:rsidP="00926528">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In this context, the ICJ considers that it should also be borne in mind that several states have for a number of years now expressed doubts as to the </w:t>
      </w:r>
      <w:r w:rsidRPr="00866EE6">
        <w:rPr>
          <w:rFonts w:ascii="Verdana" w:hAnsi="Verdana"/>
          <w:sz w:val="17"/>
          <w:szCs w:val="17"/>
          <w:lang w:val="en-US"/>
        </w:rPr>
        <w:t xml:space="preserve">applicability of human rights law to NIAC; while other states have been asserting, in particular, that their human rights obligations do not apply extraterritorially in NIAC or IAC, including when they detain individuals extraterritorially. </w:t>
      </w:r>
    </w:p>
  </w:footnote>
  <w:footnote w:id="10">
    <w:p w14:paraId="0238C71B" w14:textId="77777777" w:rsidR="00F43CB4" w:rsidRPr="00866EE6" w:rsidRDefault="00F43CB4" w:rsidP="005A6E9E">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See, Jelena Pejic’s </w:t>
      </w:r>
      <w:r w:rsidRPr="00866EE6">
        <w:rPr>
          <w:rFonts w:ascii="Verdana" w:hAnsi="Verdana"/>
          <w:sz w:val="17"/>
          <w:szCs w:val="17"/>
          <w:lang w:val="en-US"/>
        </w:rPr>
        <w:t xml:space="preserve">Procedural principles and safeguards for internment/administrative detention in armed conflict and other situations of violence, which now represent the views of the ICRC on these matters, in particular the section entitled “Internment/administrative detention is not an alternative to criminal proceedings”, p. 381; </w:t>
      </w:r>
      <w:r w:rsidRPr="00866EE6">
        <w:rPr>
          <w:rFonts w:ascii="Verdana" w:hAnsi="Verdana"/>
          <w:sz w:val="17"/>
          <w:szCs w:val="17"/>
        </w:rPr>
        <w:t xml:space="preserve">International Review of the Red Cross, </w:t>
      </w:r>
      <w:r w:rsidRPr="00866EE6">
        <w:rPr>
          <w:rFonts w:ascii="Verdana" w:hAnsi="Verdana"/>
          <w:sz w:val="17"/>
          <w:szCs w:val="17"/>
          <w:lang w:val="en-US"/>
        </w:rPr>
        <w:t xml:space="preserve">Volume 87 Number 858 June 2005, pp. 375-391, available at </w:t>
      </w:r>
      <w:hyperlink r:id="rId4" w:history="1">
        <w:r w:rsidRPr="00866EE6">
          <w:rPr>
            <w:rStyle w:val="Hyperlink"/>
            <w:rFonts w:ascii="Verdana" w:hAnsi="Verdana"/>
            <w:sz w:val="17"/>
            <w:szCs w:val="17"/>
            <w:lang w:val="en-US"/>
          </w:rPr>
          <w:t>http://www.icrc.org/eng/assets/files/other/irrc_858_pejic.pdf</w:t>
        </w:r>
      </w:hyperlink>
      <w:r w:rsidRPr="00866EE6">
        <w:rPr>
          <w:rFonts w:ascii="Verdana" w:hAnsi="Verdana"/>
          <w:sz w:val="17"/>
          <w:szCs w:val="17"/>
          <w:lang w:val="en-US"/>
        </w:rPr>
        <w:t xml:space="preserve">. </w:t>
      </w:r>
    </w:p>
  </w:footnote>
  <w:footnote w:id="11">
    <w:p w14:paraId="573AF7B3" w14:textId="77777777" w:rsidR="00F43CB4" w:rsidRPr="00866EE6" w:rsidRDefault="00F43CB4" w:rsidP="000C29B2">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 xml:space="preserve">ICJ Initial Comments to the Human Rights Committee on Draft General Comment 35 on Article 9 of the ICCPR, op. cit., paras. 18-23. </w:t>
      </w:r>
    </w:p>
  </w:footnote>
  <w:footnote w:id="12">
    <w:p w14:paraId="48684973" w14:textId="77777777" w:rsidR="00F43CB4" w:rsidRPr="00866EE6" w:rsidRDefault="00F43CB4" w:rsidP="0078162B">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In this context, the ICJ notes that </w:t>
      </w:r>
      <w:r w:rsidRPr="00866EE6">
        <w:rPr>
          <w:rFonts w:ascii="Verdana" w:hAnsi="Verdana"/>
          <w:sz w:val="17"/>
          <w:szCs w:val="17"/>
          <w:lang w:val="en-US"/>
        </w:rPr>
        <w:t xml:space="preserve">even the ICRC’s position on disclosure is broader, see Procedural principles and safeguards for internment/administrative detention in armed conflict and other situations of violence, op. cit., the section entitled “Right to information about the reasons for internment/administrative detention”, p. 384. </w:t>
      </w:r>
    </w:p>
  </w:footnote>
  <w:footnote w:id="13">
    <w:p w14:paraId="63D6A960" w14:textId="77777777" w:rsidR="00F43CB4" w:rsidRPr="00866EE6" w:rsidRDefault="00F43CB4" w:rsidP="0078162B">
      <w:pPr>
        <w:pStyle w:val="FootnoteText"/>
        <w:jc w:val="both"/>
        <w:rPr>
          <w:rFonts w:ascii="Verdana" w:hAnsi="Verdana"/>
          <w:b/>
          <w:bCs/>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i/>
          <w:sz w:val="17"/>
          <w:szCs w:val="17"/>
          <w:lang w:val="en-US"/>
        </w:rPr>
        <w:t>Lebedev v Russia</w:t>
      </w:r>
      <w:r w:rsidRPr="00866EE6">
        <w:rPr>
          <w:rFonts w:ascii="Verdana" w:hAnsi="Verdana"/>
          <w:sz w:val="17"/>
          <w:szCs w:val="17"/>
          <w:lang w:val="en-US"/>
        </w:rPr>
        <w:t xml:space="preserve"> </w:t>
      </w:r>
      <w:r w:rsidRPr="00866EE6">
        <w:rPr>
          <w:rFonts w:ascii="Verdana" w:hAnsi="Verdana"/>
          <w:bCs/>
          <w:sz w:val="17"/>
          <w:szCs w:val="17"/>
          <w:lang w:val="en-US"/>
        </w:rPr>
        <w:t xml:space="preserve">(493/04), European Court (2007) para. 77; </w:t>
      </w:r>
      <w:r w:rsidRPr="00866EE6">
        <w:rPr>
          <w:rFonts w:ascii="Verdana" w:hAnsi="Verdana"/>
          <w:bCs/>
          <w:i/>
          <w:sz w:val="17"/>
          <w:szCs w:val="17"/>
          <w:lang w:val="en-US"/>
        </w:rPr>
        <w:t>A and Others v United Kingdom</w:t>
      </w:r>
      <w:r w:rsidRPr="00866EE6">
        <w:rPr>
          <w:rFonts w:ascii="Verdana" w:hAnsi="Verdana"/>
          <w:bCs/>
          <w:sz w:val="17"/>
          <w:szCs w:val="17"/>
          <w:lang w:val="en-US"/>
        </w:rPr>
        <w:t xml:space="preserve"> (3455/05) European Court Grand Chamber (2009) paras. 202-224 (particularly 205, 218-224).</w:t>
      </w:r>
    </w:p>
  </w:footnote>
  <w:footnote w:id="14">
    <w:p w14:paraId="3D2CB798" w14:textId="77777777" w:rsidR="00F43CB4" w:rsidRPr="00866EE6" w:rsidRDefault="00F43CB4" w:rsidP="0078162B">
      <w:pPr>
        <w:pStyle w:val="FootnoteText"/>
        <w:jc w:val="both"/>
        <w:rPr>
          <w:rStyle w:val="FootnoteReference"/>
          <w:rFonts w:ascii="Verdana" w:hAnsi="Verdana"/>
          <w:sz w:val="17"/>
          <w:szCs w:val="17"/>
        </w:rPr>
      </w:pPr>
      <w:r w:rsidRPr="00866EE6">
        <w:rPr>
          <w:rStyle w:val="FootnoteReference"/>
          <w:rFonts w:ascii="Verdana" w:hAnsi="Verdana"/>
          <w:sz w:val="17"/>
          <w:szCs w:val="17"/>
        </w:rPr>
        <w:footnoteRef/>
      </w:r>
      <w:r w:rsidRPr="00866EE6">
        <w:rPr>
          <w:rStyle w:val="FootnoteReference"/>
          <w:rFonts w:ascii="Verdana" w:hAnsi="Verdana"/>
          <w:sz w:val="17"/>
          <w:szCs w:val="17"/>
        </w:rPr>
        <w:t xml:space="preserve"> </w:t>
      </w:r>
      <w:r w:rsidRPr="00866EE6">
        <w:rPr>
          <w:rFonts w:ascii="Verdana" w:hAnsi="Verdana"/>
          <w:i/>
          <w:sz w:val="17"/>
          <w:szCs w:val="17"/>
          <w:lang w:val="en-US"/>
        </w:rPr>
        <w:t>Garcia Alva v Germany</w:t>
      </w:r>
      <w:r w:rsidRPr="00866EE6">
        <w:rPr>
          <w:rFonts w:ascii="Verdana" w:hAnsi="Verdana"/>
          <w:sz w:val="17"/>
          <w:szCs w:val="17"/>
          <w:lang w:val="en-US"/>
        </w:rPr>
        <w:t xml:space="preserve"> </w:t>
      </w:r>
      <w:r w:rsidRPr="00866EE6">
        <w:rPr>
          <w:rFonts w:ascii="Verdana" w:hAnsi="Verdana"/>
          <w:bCs/>
          <w:sz w:val="17"/>
          <w:szCs w:val="17"/>
          <w:lang w:val="en-US"/>
        </w:rPr>
        <w:t>(23541/94), European Court (2001) para. 42.</w:t>
      </w:r>
    </w:p>
  </w:footnote>
  <w:footnote w:id="15">
    <w:p w14:paraId="778C1563" w14:textId="77777777" w:rsidR="00F43CB4" w:rsidRPr="00866EE6" w:rsidRDefault="00F43CB4" w:rsidP="0078162B">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See, e.g. the UK’s Part IV of the Anti-terrorism, Crime and Security Act 2001, which bolted onto immigration legislation powers to detain foreign nationals said to pose a threat to the UK’s national security indefinitely, without charge or trial. </w:t>
      </w:r>
    </w:p>
  </w:footnote>
  <w:footnote w:id="16">
    <w:p w14:paraId="541D68A1" w14:textId="77777777" w:rsidR="00F43CB4" w:rsidRPr="00866EE6" w:rsidRDefault="00F43CB4" w:rsidP="0078162B">
      <w:pPr>
        <w:pStyle w:val="FootnoteText"/>
        <w:jc w:val="both"/>
        <w:rPr>
          <w:rFonts w:ascii="Verdana" w:hAnsi="Verdana"/>
          <w:sz w:val="17"/>
          <w:szCs w:val="17"/>
          <w:lang w:val="fr-FR"/>
        </w:rPr>
      </w:pPr>
      <w:r w:rsidRPr="00866EE6">
        <w:rPr>
          <w:rStyle w:val="FootnoteReference"/>
          <w:rFonts w:ascii="Verdana" w:hAnsi="Verdana"/>
          <w:sz w:val="17"/>
          <w:szCs w:val="17"/>
        </w:rPr>
        <w:footnoteRef/>
      </w:r>
      <w:r w:rsidRPr="00866EE6">
        <w:rPr>
          <w:rFonts w:ascii="Verdana" w:hAnsi="Verdana"/>
          <w:sz w:val="17"/>
          <w:szCs w:val="17"/>
        </w:rPr>
        <w:t xml:space="preserve"> See, e.g. ICJ, </w:t>
      </w:r>
      <w:r w:rsidRPr="00866EE6">
        <w:rPr>
          <w:rFonts w:ascii="Verdana" w:hAnsi="Verdana"/>
          <w:sz w:val="17"/>
          <w:szCs w:val="17"/>
          <w:lang w:val="en-US"/>
        </w:rPr>
        <w:t xml:space="preserve">Kazakhstan: Psychiatric detention of lawyer must be ended, 3 September 2013, </w:t>
      </w:r>
      <w:hyperlink r:id="rId5" w:history="1">
        <w:r w:rsidRPr="00866EE6">
          <w:rPr>
            <w:rStyle w:val="Hyperlink"/>
            <w:rFonts w:ascii="Verdana" w:hAnsi="Verdana"/>
            <w:sz w:val="17"/>
            <w:szCs w:val="17"/>
            <w:lang w:val="en-US"/>
          </w:rPr>
          <w:t>http://icj.wpengine.netdna-cdn.com/wp-content/uploads/2013/09/Statement-Kazakhstan-030913.pdf</w:t>
        </w:r>
      </w:hyperlink>
      <w:r w:rsidRPr="00866EE6">
        <w:rPr>
          <w:rFonts w:ascii="Verdana" w:hAnsi="Verdana"/>
          <w:sz w:val="17"/>
          <w:szCs w:val="17"/>
          <w:lang w:val="en-US"/>
        </w:rPr>
        <w:t>.</w:t>
      </w:r>
    </w:p>
  </w:footnote>
  <w:footnote w:id="17">
    <w:p w14:paraId="0C3D8445" w14:textId="77777777" w:rsidR="00F43CB4" w:rsidRPr="00866EE6" w:rsidRDefault="00F43CB4">
      <w:pPr>
        <w:pStyle w:val="FootnoteText"/>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In addition, it implies that those presiding over the body hearing the challenge need not have legal training and expertise.</w:t>
      </w:r>
    </w:p>
  </w:footnote>
  <w:footnote w:id="18">
    <w:p w14:paraId="26CB9303" w14:textId="50AF0AEE" w:rsidR="00F43CB4" w:rsidRPr="00866EE6" w:rsidRDefault="00F43CB4" w:rsidP="000F1DE8">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In addition</w:t>
      </w:r>
      <w:r>
        <w:rPr>
          <w:rFonts w:ascii="Verdana" w:hAnsi="Verdana"/>
          <w:sz w:val="17"/>
          <w:szCs w:val="17"/>
        </w:rPr>
        <w:t xml:space="preserve"> to the Covenant itself</w:t>
      </w:r>
      <w:r w:rsidRPr="00866EE6">
        <w:rPr>
          <w:rFonts w:ascii="Verdana" w:hAnsi="Verdana"/>
          <w:sz w:val="17"/>
          <w:szCs w:val="17"/>
        </w:rPr>
        <w:t>, see</w:t>
      </w:r>
      <w:r>
        <w:rPr>
          <w:rFonts w:ascii="Verdana" w:hAnsi="Verdana"/>
          <w:sz w:val="17"/>
          <w:szCs w:val="17"/>
        </w:rPr>
        <w:t>,</w:t>
      </w:r>
      <w:r w:rsidRPr="00866EE6">
        <w:rPr>
          <w:rFonts w:ascii="Verdana" w:hAnsi="Verdana"/>
          <w:sz w:val="17"/>
          <w:szCs w:val="17"/>
        </w:rPr>
        <w:t xml:space="preserve"> as </w:t>
      </w:r>
      <w:r w:rsidRPr="00866EE6">
        <w:rPr>
          <w:rFonts w:ascii="Verdana" w:hAnsi="Verdana"/>
          <w:sz w:val="17"/>
          <w:szCs w:val="17"/>
          <w:lang w:val="en-US"/>
        </w:rPr>
        <w:t>applicable only in criminal cases</w:t>
      </w:r>
      <w:r>
        <w:rPr>
          <w:rFonts w:ascii="Verdana" w:hAnsi="Verdana"/>
          <w:sz w:val="17"/>
          <w:szCs w:val="17"/>
          <w:lang w:val="en-US"/>
        </w:rPr>
        <w:t>,</w:t>
      </w:r>
      <w:r w:rsidRPr="00866EE6">
        <w:rPr>
          <w:rFonts w:ascii="Verdana" w:hAnsi="Verdana"/>
          <w:sz w:val="17"/>
          <w:szCs w:val="17"/>
          <w:lang w:val="en-US"/>
        </w:rPr>
        <w:t xml:space="preserve"> Article 16(6) of the Migrant Workers Convention, Article 14(5) of the Arab Charter, Article 5(3) of the European Convention, Section M(3) of the Principles on Fair Trial in Africa, Article 59(2) of the ICC Statute. Further, see</w:t>
      </w:r>
      <w:r>
        <w:rPr>
          <w:rFonts w:ascii="Verdana" w:hAnsi="Verdana"/>
          <w:sz w:val="17"/>
          <w:szCs w:val="17"/>
          <w:lang w:val="en-US"/>
        </w:rPr>
        <w:t>,</w:t>
      </w:r>
      <w:r w:rsidRPr="00866EE6">
        <w:rPr>
          <w:rFonts w:ascii="Verdana" w:hAnsi="Verdana"/>
          <w:sz w:val="17"/>
          <w:szCs w:val="17"/>
          <w:lang w:val="en-US"/>
        </w:rPr>
        <w:t xml:space="preserve"> as applicable to all people deprived of liberty</w:t>
      </w:r>
      <w:r>
        <w:rPr>
          <w:rFonts w:ascii="Verdana" w:hAnsi="Verdana"/>
          <w:sz w:val="17"/>
          <w:szCs w:val="17"/>
          <w:lang w:val="en-US"/>
        </w:rPr>
        <w:t>, i.e. beyond the criminal context,</w:t>
      </w:r>
      <w:r w:rsidRPr="00866EE6">
        <w:rPr>
          <w:rFonts w:ascii="Verdana" w:hAnsi="Verdana"/>
          <w:sz w:val="17"/>
          <w:szCs w:val="17"/>
          <w:lang w:val="en-US"/>
        </w:rPr>
        <w:t xml:space="preserve"> Article 7(5) of the American Convention, Article XI of the Inter-American Convention on Disappearance, Principles 4 and 11(1) of the Body of Principles, Article 10(1) of the Declaration on Disappearance, Guideline 27 of the Robben Island Guidelines.</w:t>
      </w:r>
    </w:p>
  </w:footnote>
  <w:footnote w:id="19">
    <w:p w14:paraId="3CA1FE86" w14:textId="46608A42" w:rsidR="00F43CB4" w:rsidRPr="00866EE6" w:rsidRDefault="00F43CB4" w:rsidP="00D77E60">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 xml:space="preserve">HRC: </w:t>
      </w:r>
      <w:r w:rsidRPr="00866EE6">
        <w:rPr>
          <w:rFonts w:ascii="Verdana" w:hAnsi="Verdana"/>
          <w:i/>
          <w:sz w:val="17"/>
          <w:szCs w:val="17"/>
          <w:lang w:val="en-US"/>
        </w:rPr>
        <w:t>Vuolanne v Finland</w:t>
      </w:r>
      <w:r w:rsidRPr="00866EE6">
        <w:rPr>
          <w:rFonts w:ascii="Verdana" w:hAnsi="Verdana"/>
          <w:sz w:val="17"/>
          <w:szCs w:val="17"/>
          <w:lang w:val="en-US"/>
        </w:rPr>
        <w:t xml:space="preserve">, UN Doc. CCPR/C/35/D/265/1987 </w:t>
      </w:r>
      <w:r w:rsidRPr="00866EE6">
        <w:rPr>
          <w:rFonts w:ascii="Verdana" w:hAnsi="Verdana"/>
          <w:bCs/>
          <w:sz w:val="17"/>
          <w:szCs w:val="17"/>
          <w:lang w:val="en-US"/>
        </w:rPr>
        <w:t xml:space="preserve">(1989) paras. 9.6-10, </w:t>
      </w:r>
      <w:r w:rsidRPr="00866EE6">
        <w:rPr>
          <w:rFonts w:ascii="Verdana" w:hAnsi="Verdana"/>
          <w:i/>
          <w:sz w:val="17"/>
          <w:szCs w:val="17"/>
          <w:lang w:val="en-US"/>
        </w:rPr>
        <w:t>Umarova v Uzbekistan</w:t>
      </w:r>
      <w:r w:rsidRPr="00866EE6">
        <w:rPr>
          <w:rFonts w:ascii="Verdana" w:hAnsi="Verdana"/>
          <w:sz w:val="17"/>
          <w:szCs w:val="17"/>
          <w:lang w:val="en-US"/>
        </w:rPr>
        <w:t xml:space="preserve">, UN Doc. </w:t>
      </w:r>
      <w:r w:rsidRPr="00866EE6">
        <w:rPr>
          <w:rFonts w:ascii="Verdana" w:hAnsi="Verdana"/>
          <w:bCs/>
          <w:sz w:val="17"/>
          <w:szCs w:val="17"/>
          <w:lang w:val="en-US"/>
        </w:rPr>
        <w:t xml:space="preserve">CCPR/C/100/D/1449/2006 (2010) para. 8.6; </w:t>
      </w:r>
      <w:r w:rsidRPr="00866EE6">
        <w:rPr>
          <w:rFonts w:ascii="Verdana" w:hAnsi="Verdana"/>
          <w:i/>
          <w:sz w:val="17"/>
          <w:szCs w:val="17"/>
          <w:lang w:val="en-US"/>
        </w:rPr>
        <w:t>Kulov v Kyrgyzstan</w:t>
      </w:r>
      <w:r w:rsidRPr="00866EE6">
        <w:rPr>
          <w:rFonts w:ascii="Verdana" w:hAnsi="Verdana"/>
          <w:sz w:val="17"/>
          <w:szCs w:val="17"/>
          <w:lang w:val="en-US"/>
        </w:rPr>
        <w:t xml:space="preserve">, UN </w:t>
      </w:r>
      <w:r w:rsidRPr="00866EE6">
        <w:rPr>
          <w:rFonts w:ascii="Verdana" w:hAnsi="Verdana"/>
          <w:bCs/>
          <w:sz w:val="17"/>
          <w:szCs w:val="17"/>
          <w:lang w:val="en-US"/>
        </w:rPr>
        <w:t xml:space="preserve">Doc. CCPR/C/99/D/1369/2005 (2010) para. 8.5; </w:t>
      </w:r>
      <w:r w:rsidRPr="00866EE6">
        <w:rPr>
          <w:rFonts w:ascii="Verdana" w:hAnsi="Verdana"/>
          <w:i/>
          <w:sz w:val="17"/>
          <w:szCs w:val="17"/>
          <w:lang w:val="en-US"/>
        </w:rPr>
        <w:t>Constitutional Rights Project v Nigeria</w:t>
      </w:r>
      <w:r w:rsidRPr="00866EE6">
        <w:rPr>
          <w:rFonts w:ascii="Verdana" w:hAnsi="Verdana"/>
          <w:sz w:val="17"/>
          <w:szCs w:val="17"/>
          <w:lang w:val="en-US"/>
        </w:rPr>
        <w:t xml:space="preserve"> </w:t>
      </w:r>
      <w:r w:rsidRPr="00866EE6">
        <w:rPr>
          <w:rFonts w:ascii="Verdana" w:hAnsi="Verdana"/>
          <w:bCs/>
          <w:sz w:val="17"/>
          <w:szCs w:val="17"/>
          <w:lang w:val="en-US"/>
        </w:rPr>
        <w:t xml:space="preserve">(153/96), African Commission, 13th Annual Report (1999) paras. 11-18; Inter-American Court: </w:t>
      </w:r>
      <w:r w:rsidRPr="00866EE6">
        <w:rPr>
          <w:rFonts w:ascii="Verdana" w:hAnsi="Verdana"/>
          <w:i/>
          <w:sz w:val="17"/>
          <w:szCs w:val="17"/>
          <w:lang w:val="en-US"/>
        </w:rPr>
        <w:t>Chaparro Álvarez and Lapo Íñiguez v Ecuador</w:t>
      </w:r>
      <w:r w:rsidRPr="00866EE6">
        <w:rPr>
          <w:rFonts w:ascii="Verdana" w:hAnsi="Verdana"/>
          <w:bCs/>
          <w:sz w:val="17"/>
          <w:szCs w:val="17"/>
          <w:lang w:val="en-US"/>
        </w:rPr>
        <w:t xml:space="preserve">, (2007) para. 128, </w:t>
      </w:r>
      <w:r w:rsidRPr="00866EE6">
        <w:rPr>
          <w:rFonts w:ascii="Verdana" w:hAnsi="Verdana"/>
          <w:bCs/>
          <w:i/>
          <w:sz w:val="17"/>
          <w:szCs w:val="17"/>
          <w:lang w:val="en-US"/>
        </w:rPr>
        <w:t>Habeas Corpus</w:t>
      </w:r>
      <w:r w:rsidRPr="00866EE6">
        <w:rPr>
          <w:rFonts w:ascii="Verdana" w:hAnsi="Verdana"/>
          <w:bCs/>
          <w:sz w:val="17"/>
          <w:szCs w:val="17"/>
          <w:lang w:val="en-US"/>
        </w:rPr>
        <w:t xml:space="preserve"> in Emergency </w:t>
      </w:r>
      <w:r w:rsidRPr="00866EE6">
        <w:rPr>
          <w:rFonts w:ascii="Verdana" w:hAnsi="Verdana"/>
          <w:sz w:val="17"/>
          <w:szCs w:val="17"/>
          <w:lang w:val="en-US"/>
        </w:rPr>
        <w:t xml:space="preserve">Situations Advisory Opinion OC-8/87 </w:t>
      </w:r>
      <w:r w:rsidRPr="00866EE6">
        <w:rPr>
          <w:rFonts w:ascii="Verdana" w:hAnsi="Verdana"/>
          <w:bCs/>
          <w:sz w:val="17"/>
          <w:szCs w:val="17"/>
          <w:lang w:val="en-US"/>
        </w:rPr>
        <w:t xml:space="preserve">(1987) para. 42; European Court: </w:t>
      </w:r>
      <w:r w:rsidRPr="00866EE6">
        <w:rPr>
          <w:rFonts w:ascii="Verdana" w:hAnsi="Verdana"/>
          <w:i/>
          <w:sz w:val="17"/>
          <w:szCs w:val="17"/>
          <w:lang w:val="en-US"/>
        </w:rPr>
        <w:t>Ramishvili and Kokhreidze v Georgia</w:t>
      </w:r>
      <w:r w:rsidRPr="00866EE6">
        <w:rPr>
          <w:rFonts w:ascii="Verdana" w:hAnsi="Verdana"/>
          <w:bCs/>
          <w:sz w:val="17"/>
          <w:szCs w:val="17"/>
          <w:lang w:val="en-US"/>
        </w:rPr>
        <w:t xml:space="preserve">, (1704/06), (2009) paras. 128-136; </w:t>
      </w:r>
      <w:r>
        <w:rPr>
          <w:rFonts w:ascii="Verdana" w:hAnsi="Verdana"/>
          <w:sz w:val="17"/>
          <w:szCs w:val="17"/>
          <w:lang w:val="en-US"/>
        </w:rPr>
        <w:t>s</w:t>
      </w:r>
      <w:r w:rsidRPr="00866EE6">
        <w:rPr>
          <w:rFonts w:ascii="Verdana" w:hAnsi="Verdana"/>
          <w:sz w:val="17"/>
          <w:szCs w:val="17"/>
          <w:lang w:val="en-US"/>
        </w:rPr>
        <w:t xml:space="preserve">ee </w:t>
      </w:r>
      <w:r w:rsidRPr="00866EE6">
        <w:rPr>
          <w:rFonts w:ascii="Verdana" w:hAnsi="Verdana"/>
          <w:i/>
          <w:sz w:val="17"/>
          <w:szCs w:val="17"/>
          <w:lang w:val="en-US"/>
        </w:rPr>
        <w:t>Varbanov v Bulgaria</w:t>
      </w:r>
      <w:r w:rsidRPr="00866EE6">
        <w:rPr>
          <w:rFonts w:ascii="Verdana" w:hAnsi="Verdana"/>
          <w:sz w:val="17"/>
          <w:szCs w:val="17"/>
          <w:lang w:val="en-US"/>
        </w:rPr>
        <w:t xml:space="preserve"> </w:t>
      </w:r>
      <w:r w:rsidRPr="00866EE6">
        <w:rPr>
          <w:rFonts w:ascii="Verdana" w:hAnsi="Verdana"/>
          <w:bCs/>
          <w:sz w:val="17"/>
          <w:szCs w:val="17"/>
          <w:lang w:val="en-US"/>
        </w:rPr>
        <w:t>(31365/96), (2000) paras. 58-61.</w:t>
      </w:r>
    </w:p>
  </w:footnote>
  <w:footnote w:id="20">
    <w:p w14:paraId="2F08074F" w14:textId="6DE5E79A" w:rsidR="00F43CB4" w:rsidRPr="00866EE6" w:rsidRDefault="00F43CB4" w:rsidP="00EB042F">
      <w:pPr>
        <w:pStyle w:val="FootnoteText"/>
        <w:jc w:val="both"/>
        <w:rPr>
          <w:rFonts w:ascii="Verdana" w:hAnsi="Verdana"/>
          <w:sz w:val="17"/>
          <w:szCs w:val="17"/>
        </w:rPr>
      </w:pPr>
      <w:r w:rsidRPr="00866EE6">
        <w:rPr>
          <w:rStyle w:val="FootnoteReference"/>
          <w:rFonts w:ascii="Verdana" w:hAnsi="Verdana"/>
          <w:sz w:val="17"/>
          <w:szCs w:val="17"/>
        </w:rPr>
        <w:footnoteRef/>
      </w:r>
      <w:r w:rsidRPr="00866EE6">
        <w:rPr>
          <w:rFonts w:ascii="Verdana" w:hAnsi="Verdana"/>
          <w:sz w:val="17"/>
          <w:szCs w:val="17"/>
        </w:rPr>
        <w:t xml:space="preserve"> General Comment No. 29, for example, affirms that “</w:t>
      </w:r>
      <w:r w:rsidRPr="00866EE6">
        <w:rPr>
          <w:rFonts w:ascii="Verdana" w:hAnsi="Verdana"/>
          <w:sz w:val="17"/>
          <w:szCs w:val="17"/>
          <w:lang w:val="en-US"/>
        </w:rPr>
        <w:t xml:space="preserve">In order to protect non-derogable rights, the right to take proceedings before </w:t>
      </w:r>
      <w:r w:rsidRPr="00866EE6">
        <w:rPr>
          <w:rFonts w:ascii="Verdana" w:hAnsi="Verdana"/>
          <w:b/>
          <w:sz w:val="17"/>
          <w:szCs w:val="17"/>
          <w:lang w:val="en-US"/>
        </w:rPr>
        <w:t>a court</w:t>
      </w:r>
      <w:r w:rsidRPr="00866EE6">
        <w:rPr>
          <w:rFonts w:ascii="Verdana" w:hAnsi="Verdana"/>
          <w:sz w:val="17"/>
          <w:szCs w:val="17"/>
          <w:lang w:val="en-US"/>
        </w:rPr>
        <w:t xml:space="preserve"> to enable </w:t>
      </w:r>
      <w:r w:rsidRPr="00866EE6">
        <w:rPr>
          <w:rFonts w:ascii="Verdana" w:hAnsi="Verdana"/>
          <w:b/>
          <w:sz w:val="17"/>
          <w:szCs w:val="17"/>
          <w:lang w:val="en-US"/>
        </w:rPr>
        <w:t>the court</w:t>
      </w:r>
      <w:r w:rsidRPr="00866EE6">
        <w:rPr>
          <w:rFonts w:ascii="Verdana" w:hAnsi="Verdana"/>
          <w:sz w:val="17"/>
          <w:szCs w:val="17"/>
          <w:lang w:val="en-US"/>
        </w:rPr>
        <w:t xml:space="preserve"> to decide without delay on the lawfulness of detention, must not be diminished by a State party’s decision to derogate from the Covenant”, op. cit. para. 16 (</w:t>
      </w:r>
      <w:r w:rsidRPr="00866EE6">
        <w:rPr>
          <w:rFonts w:ascii="Verdana" w:hAnsi="Verdana"/>
          <w:b/>
          <w:sz w:val="17"/>
          <w:szCs w:val="17"/>
          <w:lang w:val="en-US"/>
        </w:rPr>
        <w:t>emphasis added</w:t>
      </w:r>
      <w:r w:rsidRPr="00866EE6">
        <w:rPr>
          <w:rFonts w:ascii="Verdana" w:hAnsi="Verdana"/>
          <w:sz w:val="17"/>
          <w:szCs w:val="17"/>
          <w:lang w:val="en-US"/>
        </w:rPr>
        <w:t xml:space="preserve">). See also, paras. 14, 15 and the remainder of para. 16 in General Comment 29. </w:t>
      </w:r>
      <w:r w:rsidRPr="00866EE6">
        <w:rPr>
          <w:rFonts w:ascii="Verdana" w:hAnsi="Verdana"/>
          <w:sz w:val="17"/>
          <w:szCs w:val="17"/>
        </w:rPr>
        <w:t>See also General Comment no. 8:</w:t>
      </w:r>
      <w:r w:rsidRPr="00866EE6">
        <w:rPr>
          <w:rFonts w:ascii="Verdana" w:hAnsi="Verdana"/>
          <w:bCs/>
          <w:sz w:val="17"/>
          <w:szCs w:val="17"/>
          <w:lang w:val="en-US"/>
        </w:rPr>
        <w:t xml:space="preserve"> Article 9 (Right to liberty and security of persons)</w:t>
      </w:r>
      <w:r w:rsidRPr="00866EE6">
        <w:rPr>
          <w:rFonts w:ascii="Verdana" w:hAnsi="Verdana"/>
          <w:sz w:val="17"/>
          <w:szCs w:val="17"/>
        </w:rPr>
        <w:t>, S</w:t>
      </w:r>
      <w:r w:rsidRPr="00866EE6">
        <w:rPr>
          <w:rFonts w:ascii="Verdana" w:hAnsi="Verdana"/>
          <w:bCs/>
          <w:sz w:val="17"/>
          <w:szCs w:val="17"/>
          <w:lang w:val="en-US"/>
        </w:rPr>
        <w:t>ixteenth session (1982), para. 4:</w:t>
      </w:r>
      <w:r w:rsidRPr="00866EE6">
        <w:rPr>
          <w:rFonts w:ascii="Verdana" w:hAnsi="Verdana"/>
          <w:sz w:val="17"/>
          <w:szCs w:val="17"/>
        </w:rPr>
        <w:t xml:space="preserve"> “</w:t>
      </w:r>
      <w:r w:rsidRPr="00866EE6">
        <w:rPr>
          <w:rFonts w:ascii="Verdana" w:hAnsi="Verdana"/>
          <w:sz w:val="17"/>
          <w:szCs w:val="17"/>
          <w:lang w:val="en-US"/>
        </w:rPr>
        <w:t xml:space="preserve">Also if so-called preventive detention is used, for reasons of public security, it must be controlled by these same provisions, i.e. … </w:t>
      </w:r>
      <w:r w:rsidRPr="00866EE6">
        <w:rPr>
          <w:rFonts w:ascii="Verdana" w:hAnsi="Verdana"/>
          <w:b/>
          <w:sz w:val="17"/>
          <w:szCs w:val="17"/>
          <w:lang w:val="en-US"/>
        </w:rPr>
        <w:t xml:space="preserve">and court control of the detention must be available </w:t>
      </w:r>
      <w:r w:rsidRPr="00866EE6">
        <w:rPr>
          <w:rFonts w:ascii="Verdana" w:hAnsi="Verdana"/>
          <w:sz w:val="17"/>
          <w:szCs w:val="17"/>
          <w:lang w:val="en-US"/>
        </w:rPr>
        <w:t>(para. 4) …</w:t>
      </w:r>
      <w:r w:rsidRPr="00866EE6">
        <w:rPr>
          <w:rFonts w:ascii="Verdana" w:hAnsi="Verdana"/>
          <w:sz w:val="17"/>
          <w:szCs w:val="17"/>
        </w:rPr>
        <w:t>”, (</w:t>
      </w:r>
      <w:r w:rsidRPr="00866EE6">
        <w:rPr>
          <w:rFonts w:ascii="Verdana" w:hAnsi="Verdana"/>
          <w:b/>
          <w:sz w:val="17"/>
          <w:szCs w:val="17"/>
        </w:rPr>
        <w:t>emphasis added</w:t>
      </w:r>
      <w:r w:rsidRPr="00866EE6">
        <w:rPr>
          <w:rFonts w:ascii="Verdana" w:hAnsi="Verdana"/>
          <w:sz w:val="17"/>
          <w:szCs w:val="17"/>
        </w:rPr>
        <w:t>).</w:t>
      </w:r>
    </w:p>
  </w:footnote>
  <w:footnote w:id="21">
    <w:p w14:paraId="620D3D09" w14:textId="00933F14" w:rsidR="00F43CB4" w:rsidRPr="00866EE6" w:rsidRDefault="00F43CB4" w:rsidP="00A67D72">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See, e.g., the Concluding Observations of the Committee on the USA in 2006, </w:t>
      </w:r>
      <w:r w:rsidRPr="00866EE6">
        <w:rPr>
          <w:rFonts w:ascii="Verdana" w:hAnsi="Verdana"/>
          <w:sz w:val="17"/>
          <w:szCs w:val="17"/>
          <w:lang w:val="en-US"/>
        </w:rPr>
        <w:t xml:space="preserve">UN Doc. CCPR/C/USA/CO/3/REV.1 (2006) para. 18, </w:t>
      </w:r>
      <w:r w:rsidRPr="00866EE6">
        <w:rPr>
          <w:rFonts w:ascii="Verdana" w:hAnsi="Verdana"/>
          <w:sz w:val="17"/>
          <w:szCs w:val="17"/>
        </w:rPr>
        <w:t xml:space="preserve">when the </w:t>
      </w:r>
      <w:r w:rsidRPr="00866EE6">
        <w:rPr>
          <w:rFonts w:ascii="Verdana" w:hAnsi="Verdana"/>
          <w:sz w:val="17"/>
          <w:szCs w:val="17"/>
          <w:lang w:val="en-US"/>
        </w:rPr>
        <w:t xml:space="preserve">Committee raised concern that the initial bodies that reviewed the detention of individuals held at Guantánamo Bay failed to meet the requirements of independence essential to the notion of a “court”, due to their lack of independence from the executive and army and that the release of a detainee was not guaranteed, even if those bodies determined that the individual should no longer be held. In particular, the Committee expressed concern that </w:t>
      </w:r>
      <w:r w:rsidRPr="00866EE6">
        <w:rPr>
          <w:rFonts w:ascii="Verdana" w:hAnsi="Verdana"/>
          <w:sz w:val="17"/>
          <w:szCs w:val="17"/>
        </w:rPr>
        <w:t>“</w:t>
      </w:r>
      <w:r w:rsidRPr="00866EE6">
        <w:rPr>
          <w:rFonts w:ascii="Verdana" w:hAnsi="Verdana"/>
          <w:sz w:val="17"/>
          <w:szCs w:val="17"/>
          <w:lang w:val="en-US"/>
        </w:rPr>
        <w:t>following the Supreme Court ruling in Rasul v. Bush (2004), proceedings before Combatant Status Review Tribunals (CSRTs) and Administrative Review Boards (ARBs), mandated respectively to determine and review the status of detainees, may not offer adequate safeguards of due process, in particular due to: (a) their lack of independence from the executive branch and the army, (b) restrictions on the rights of detainees to have access to all proceedings and evidence, (c) the inevitable difficulty CSRTs and ARBs face in summoning witnesses, and (d) the possibility given to CSRTs and ARBs, under Section 1005 of the 2005 Detainee Treatment Act, to weigh evidence obtained by coercion for its probative value. The Committee is further concerned that detention in other locations, such as Afghanistan and Iraq, is reviewed by mechanisms providing even fewer guarantees. (article 9) The State party should ensure, in accordance with article 9 (4) of the Covenant, that persons detained in Guantanamo Bay are entitled to proceedings before a court to decide, without delay, on the lawfulness of their detention or order their release. Due process, independence of the reviewing courts from the executive branch and the army, access of detainees to counsel of their choice and to all proceedings and evidence, should be guaranteed in this regard”.</w:t>
      </w:r>
    </w:p>
  </w:footnote>
  <w:footnote w:id="22">
    <w:p w14:paraId="4F6D52CA" w14:textId="17F1324E" w:rsidR="00F43CB4" w:rsidRPr="00866EE6" w:rsidRDefault="00F43CB4" w:rsidP="0057515E">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 xml:space="preserve">See HRC, General Comment No. 29, op. cit. paras. 14, 15 and 16. See also, Body of Principles for the Protection of All Persons under Any Form of Detention or Imprisonment, Principle 32. This is also consistent with international human rights law in general, including the jurisprudence of international and regional human rights bodies, see Concluding Observations of the HRC: Japan, CCPR/C/79/Add.102, 19 November 1998, para. 24; the Concluding Observations of the HRC: Nigeria, CCPR/C/79/Add.64, para. 7; Views of 26 October 1979, Communication No. 9/1977, </w:t>
      </w:r>
      <w:r w:rsidRPr="00866EE6">
        <w:rPr>
          <w:rFonts w:ascii="Verdana" w:hAnsi="Verdana"/>
          <w:i/>
          <w:sz w:val="17"/>
          <w:szCs w:val="17"/>
          <w:lang w:val="en-US"/>
        </w:rPr>
        <w:t>Edgardo Dante Santullo Valcada vs. Uruguay</w:t>
      </w:r>
      <w:r w:rsidRPr="00866EE6">
        <w:rPr>
          <w:rFonts w:ascii="Verdana" w:hAnsi="Verdana"/>
          <w:sz w:val="17"/>
          <w:szCs w:val="17"/>
          <w:lang w:val="en-US"/>
        </w:rPr>
        <w:t xml:space="preserve">, CCPR/C/8/D/9/1977; Views of 29 July 1980, Communication No. 6/1977, </w:t>
      </w:r>
      <w:r w:rsidRPr="00866EE6">
        <w:rPr>
          <w:rFonts w:ascii="Verdana" w:hAnsi="Verdana"/>
          <w:i/>
          <w:sz w:val="17"/>
          <w:szCs w:val="17"/>
          <w:lang w:val="en-US"/>
        </w:rPr>
        <w:t>Miguel A. Millan Sequeira vs. Uruguay</w:t>
      </w:r>
      <w:r w:rsidRPr="00866EE6">
        <w:rPr>
          <w:rFonts w:ascii="Verdana" w:hAnsi="Verdana"/>
          <w:sz w:val="17"/>
          <w:szCs w:val="17"/>
          <w:lang w:val="en-US"/>
        </w:rPr>
        <w:t xml:space="preserve">, CCPR/C/10/D/6/1977; and Views of 27 March 1981, Communication No. 37/1978, </w:t>
      </w:r>
      <w:r w:rsidRPr="00866EE6">
        <w:rPr>
          <w:rFonts w:ascii="Verdana" w:hAnsi="Verdana"/>
          <w:i/>
          <w:sz w:val="17"/>
          <w:szCs w:val="17"/>
          <w:lang w:val="en-US"/>
        </w:rPr>
        <w:t>Esther Soriano de Bouton vs. Uruguay</w:t>
      </w:r>
      <w:r w:rsidRPr="00866EE6">
        <w:rPr>
          <w:rFonts w:ascii="Verdana" w:hAnsi="Verdana"/>
          <w:sz w:val="17"/>
          <w:szCs w:val="17"/>
          <w:lang w:val="en-US"/>
        </w:rPr>
        <w:t>, CCPR/C/12/D/37/1978; Concluding Observations of the HRC: Dominican Republic, CCPR/CO/71/DOM, 26 March 2001. Further, during non-international armed conflict, the right to fair trial continues with all judicial guarantees. See ICRC, Rule 100.</w:t>
      </w:r>
    </w:p>
  </w:footnote>
  <w:footnote w:id="23">
    <w:p w14:paraId="300DDDAF" w14:textId="5B9E6CA9" w:rsidR="00F43CB4" w:rsidRPr="00866EE6" w:rsidRDefault="00F43CB4" w:rsidP="0057515E">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HRC General Comment 29, op. cit. para. 16; Inter-American Court: Advisory Opinion OC-8/87 (1987) para. 4</w:t>
      </w:r>
      <w:r>
        <w:rPr>
          <w:rFonts w:ascii="Verdana" w:hAnsi="Verdana"/>
          <w:sz w:val="17"/>
          <w:szCs w:val="17"/>
          <w:lang w:val="en-US"/>
        </w:rPr>
        <w:t xml:space="preserve">1(1) and </w:t>
      </w:r>
      <w:r w:rsidRPr="00866EE6">
        <w:rPr>
          <w:rFonts w:ascii="Verdana" w:hAnsi="Verdana"/>
          <w:sz w:val="17"/>
          <w:szCs w:val="17"/>
          <w:lang w:val="en-US"/>
        </w:rPr>
        <w:t>para. 4</w:t>
      </w:r>
      <w:r>
        <w:rPr>
          <w:rFonts w:ascii="Verdana" w:hAnsi="Verdana"/>
          <w:sz w:val="17"/>
          <w:szCs w:val="17"/>
          <w:lang w:val="en-US"/>
        </w:rPr>
        <w:t>2</w:t>
      </w:r>
      <w:r w:rsidRPr="00866EE6">
        <w:rPr>
          <w:rFonts w:ascii="Verdana" w:hAnsi="Verdana"/>
          <w:sz w:val="17"/>
          <w:szCs w:val="17"/>
          <w:lang w:val="en-US"/>
        </w:rPr>
        <w:t>; CHR resolution 1992/35, para. 2; UN Mechanisms Joint Report on secret detention, UN Doc. A/HRC/13/42 (2010), paras. 46-47; WGAD, UN Doc. A/HRC/7/4 (2008) para. 67, 82(a); SPT: Honduras, UN Doc. CAT/OP/HND/1 (2010), para. 282(a)-(b).</w:t>
      </w:r>
    </w:p>
  </w:footnote>
  <w:footnote w:id="24">
    <w:p w14:paraId="196BD87F" w14:textId="306280BB" w:rsidR="008344E9" w:rsidRPr="008344E9" w:rsidRDefault="008344E9" w:rsidP="008344E9">
      <w:pPr>
        <w:pStyle w:val="FootnoteText"/>
        <w:jc w:val="both"/>
        <w:rPr>
          <w:rFonts w:ascii="Verdana" w:hAnsi="Verdana"/>
          <w:b/>
          <w:bCs/>
          <w:sz w:val="17"/>
          <w:szCs w:val="17"/>
          <w:lang w:val="en-US"/>
        </w:rPr>
      </w:pPr>
      <w:r w:rsidRPr="008344E9">
        <w:rPr>
          <w:rStyle w:val="FootnoteReference"/>
          <w:rFonts w:ascii="Verdana" w:hAnsi="Verdana"/>
          <w:sz w:val="17"/>
          <w:szCs w:val="17"/>
        </w:rPr>
        <w:footnoteRef/>
      </w:r>
      <w:r w:rsidRPr="008344E9">
        <w:rPr>
          <w:rFonts w:ascii="Verdana" w:hAnsi="Verdana"/>
          <w:sz w:val="17"/>
          <w:szCs w:val="17"/>
        </w:rPr>
        <w:t xml:space="preserve"> </w:t>
      </w:r>
      <w:r w:rsidRPr="008344E9">
        <w:rPr>
          <w:rFonts w:ascii="Verdana" w:hAnsi="Verdana"/>
          <w:sz w:val="17"/>
          <w:szCs w:val="17"/>
          <w:lang w:val="en-US"/>
        </w:rPr>
        <w:t xml:space="preserve">European Court: </w:t>
      </w:r>
      <w:r w:rsidRPr="008344E9">
        <w:rPr>
          <w:rFonts w:ascii="Verdana" w:hAnsi="Verdana"/>
          <w:i/>
          <w:sz w:val="17"/>
          <w:szCs w:val="17"/>
          <w:lang w:val="en-US"/>
        </w:rPr>
        <w:t>McKay v United Kingdom</w:t>
      </w:r>
      <w:r w:rsidRPr="008344E9">
        <w:rPr>
          <w:rFonts w:ascii="Verdana" w:hAnsi="Verdana"/>
          <w:sz w:val="17"/>
          <w:szCs w:val="17"/>
          <w:lang w:val="en-US"/>
        </w:rPr>
        <w:t xml:space="preserve"> </w:t>
      </w:r>
      <w:r w:rsidRPr="008344E9">
        <w:rPr>
          <w:rFonts w:ascii="Verdana" w:hAnsi="Verdana"/>
          <w:bCs/>
          <w:sz w:val="17"/>
          <w:szCs w:val="17"/>
          <w:lang w:val="en-US"/>
        </w:rPr>
        <w:t xml:space="preserve">(543/03), Grand Chamber (2006) para. 34, </w:t>
      </w:r>
      <w:r w:rsidRPr="008344E9">
        <w:rPr>
          <w:rFonts w:ascii="Verdana" w:hAnsi="Verdana"/>
          <w:i/>
          <w:sz w:val="17"/>
          <w:szCs w:val="17"/>
          <w:lang w:val="en-US"/>
        </w:rPr>
        <w:t>De Jong, Baljet and Van den Brink v the</w:t>
      </w:r>
      <w:r w:rsidRPr="008344E9">
        <w:rPr>
          <w:rFonts w:ascii="Verdana" w:hAnsi="Verdana"/>
          <w:bCs/>
          <w:i/>
          <w:sz w:val="17"/>
          <w:szCs w:val="17"/>
          <w:lang w:val="en-US"/>
        </w:rPr>
        <w:t xml:space="preserve"> </w:t>
      </w:r>
      <w:r w:rsidRPr="008344E9">
        <w:rPr>
          <w:rFonts w:ascii="Verdana" w:hAnsi="Verdana"/>
          <w:i/>
          <w:sz w:val="17"/>
          <w:szCs w:val="17"/>
          <w:lang w:val="en-US"/>
        </w:rPr>
        <w:t>Netherlands</w:t>
      </w:r>
      <w:r w:rsidRPr="008344E9">
        <w:rPr>
          <w:rFonts w:ascii="Verdana" w:hAnsi="Verdana"/>
          <w:sz w:val="17"/>
          <w:szCs w:val="17"/>
          <w:lang w:val="en-US"/>
        </w:rPr>
        <w:t xml:space="preserve"> </w:t>
      </w:r>
      <w:r w:rsidRPr="008344E9">
        <w:rPr>
          <w:rFonts w:ascii="Verdana" w:hAnsi="Verdana"/>
          <w:bCs/>
          <w:sz w:val="17"/>
          <w:szCs w:val="17"/>
          <w:lang w:val="en-US"/>
        </w:rPr>
        <w:t xml:space="preserve">(8805/79 8806/79 9242/81), (1984) paras. 51, 57, </w:t>
      </w:r>
      <w:r w:rsidRPr="008344E9">
        <w:rPr>
          <w:rFonts w:ascii="Verdana" w:hAnsi="Verdana"/>
          <w:i/>
          <w:sz w:val="17"/>
          <w:szCs w:val="17"/>
          <w:lang w:val="en-US"/>
        </w:rPr>
        <w:t>Jecius v</w:t>
      </w:r>
      <w:r w:rsidRPr="008344E9">
        <w:rPr>
          <w:rFonts w:ascii="Verdana" w:hAnsi="Verdana"/>
          <w:bCs/>
          <w:i/>
          <w:sz w:val="17"/>
          <w:szCs w:val="17"/>
          <w:lang w:val="en-US"/>
        </w:rPr>
        <w:t xml:space="preserve"> </w:t>
      </w:r>
      <w:r w:rsidRPr="008344E9">
        <w:rPr>
          <w:rFonts w:ascii="Verdana" w:hAnsi="Verdana"/>
          <w:i/>
          <w:sz w:val="17"/>
          <w:szCs w:val="17"/>
          <w:lang w:val="en-US"/>
        </w:rPr>
        <w:t>Lithuania</w:t>
      </w:r>
      <w:r w:rsidRPr="008344E9">
        <w:rPr>
          <w:rFonts w:ascii="Verdana" w:hAnsi="Verdana"/>
          <w:sz w:val="17"/>
          <w:szCs w:val="17"/>
          <w:lang w:val="en-US"/>
        </w:rPr>
        <w:t xml:space="preserve"> </w:t>
      </w:r>
      <w:r w:rsidRPr="008344E9">
        <w:rPr>
          <w:rFonts w:ascii="Verdana" w:hAnsi="Verdana"/>
          <w:bCs/>
          <w:sz w:val="17"/>
          <w:szCs w:val="17"/>
          <w:lang w:val="en-US"/>
        </w:rPr>
        <w:t>(34578/1997), (2000) para. 84.</w:t>
      </w:r>
    </w:p>
  </w:footnote>
  <w:footnote w:id="25">
    <w:p w14:paraId="00505FCC" w14:textId="0FDB4824" w:rsidR="00C91400" w:rsidRPr="00C91400" w:rsidRDefault="00C91400" w:rsidP="00C91400">
      <w:pPr>
        <w:pStyle w:val="FootnoteText"/>
        <w:jc w:val="both"/>
        <w:rPr>
          <w:rFonts w:ascii="Verdana" w:hAnsi="Verdana"/>
          <w:b/>
          <w:bCs/>
          <w:sz w:val="17"/>
          <w:szCs w:val="17"/>
          <w:lang w:val="en-US"/>
        </w:rPr>
      </w:pPr>
      <w:r w:rsidRPr="00C91400">
        <w:rPr>
          <w:rStyle w:val="FootnoteReference"/>
          <w:rFonts w:ascii="Verdana" w:hAnsi="Verdana"/>
          <w:sz w:val="17"/>
          <w:szCs w:val="17"/>
        </w:rPr>
        <w:footnoteRef/>
      </w:r>
      <w:r w:rsidRPr="00C91400">
        <w:rPr>
          <w:rFonts w:ascii="Verdana" w:hAnsi="Verdana"/>
          <w:sz w:val="17"/>
          <w:szCs w:val="17"/>
        </w:rPr>
        <w:t xml:space="preserve"> </w:t>
      </w:r>
      <w:r w:rsidRPr="00C91400">
        <w:rPr>
          <w:rFonts w:ascii="Verdana" w:hAnsi="Verdana"/>
          <w:i/>
          <w:sz w:val="17"/>
          <w:szCs w:val="17"/>
          <w:lang w:val="en-US"/>
        </w:rPr>
        <w:t>De Jong, Baljet and Van den Brink v the Ne</w:t>
      </w:r>
      <w:r w:rsidRPr="000E1606">
        <w:rPr>
          <w:rFonts w:ascii="Verdana" w:hAnsi="Verdana"/>
          <w:i/>
          <w:sz w:val="17"/>
          <w:szCs w:val="17"/>
          <w:lang w:val="en-US"/>
        </w:rPr>
        <w:t>therlands</w:t>
      </w:r>
      <w:r w:rsidRPr="000E1606">
        <w:rPr>
          <w:rFonts w:ascii="Verdana" w:hAnsi="Verdana"/>
          <w:sz w:val="17"/>
          <w:szCs w:val="17"/>
          <w:lang w:val="en-US"/>
        </w:rPr>
        <w:t xml:space="preserve"> </w:t>
      </w:r>
      <w:r w:rsidRPr="000E1606">
        <w:rPr>
          <w:rFonts w:ascii="Verdana" w:hAnsi="Verdana"/>
          <w:bCs/>
          <w:sz w:val="17"/>
          <w:szCs w:val="17"/>
          <w:lang w:val="en-US"/>
        </w:rPr>
        <w:t>(8805/79, 8806/79, 9242/81), E</w:t>
      </w:r>
      <w:r w:rsidR="000E1606" w:rsidRPr="000E1606">
        <w:rPr>
          <w:rFonts w:ascii="Verdana" w:hAnsi="Verdana"/>
          <w:bCs/>
          <w:sz w:val="17"/>
          <w:szCs w:val="17"/>
          <w:lang w:val="en-US"/>
        </w:rPr>
        <w:t>uropean Court (1984) paras. 51, 57;</w:t>
      </w:r>
      <w:r w:rsidRPr="000E1606">
        <w:rPr>
          <w:rFonts w:ascii="Verdana" w:hAnsi="Verdana"/>
          <w:bCs/>
          <w:sz w:val="17"/>
          <w:szCs w:val="17"/>
          <w:lang w:val="en-US"/>
        </w:rPr>
        <w:t xml:space="preserve"> </w:t>
      </w:r>
      <w:r w:rsidRPr="000E1606">
        <w:rPr>
          <w:rFonts w:ascii="Verdana" w:hAnsi="Verdana"/>
          <w:i/>
          <w:sz w:val="17"/>
          <w:szCs w:val="17"/>
          <w:lang w:val="en-US"/>
        </w:rPr>
        <w:t>Berry v</w:t>
      </w:r>
      <w:r w:rsidRPr="000E1606">
        <w:rPr>
          <w:rFonts w:ascii="Verdana" w:hAnsi="Verdana"/>
          <w:bCs/>
          <w:i/>
          <w:sz w:val="17"/>
          <w:szCs w:val="17"/>
          <w:lang w:val="en-US"/>
        </w:rPr>
        <w:t xml:space="preserve"> </w:t>
      </w:r>
      <w:r w:rsidRPr="000E1606">
        <w:rPr>
          <w:rFonts w:ascii="Verdana" w:hAnsi="Verdana"/>
          <w:i/>
          <w:sz w:val="17"/>
          <w:szCs w:val="17"/>
          <w:lang w:val="en-US"/>
        </w:rPr>
        <w:t>Jamaica</w:t>
      </w:r>
      <w:r w:rsidRPr="000E1606">
        <w:rPr>
          <w:rFonts w:ascii="Verdana" w:hAnsi="Verdana"/>
          <w:bCs/>
          <w:sz w:val="17"/>
          <w:szCs w:val="17"/>
          <w:lang w:val="en-US"/>
        </w:rPr>
        <w:t>, HRC, UN Doc. CCPR/C/50/D/330/1988 (1994) para. 11.1.</w:t>
      </w:r>
    </w:p>
  </w:footnote>
  <w:footnote w:id="26">
    <w:p w14:paraId="765A66A3" w14:textId="032E2AEA" w:rsidR="00F43CB4" w:rsidRPr="00866EE6" w:rsidRDefault="00F43CB4" w:rsidP="004515FB">
      <w:pPr>
        <w:pStyle w:val="FootnoteText"/>
        <w:jc w:val="both"/>
        <w:rPr>
          <w:rFonts w:ascii="Verdana" w:hAnsi="Verdana"/>
          <w:bCs/>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bCs/>
          <w:i/>
          <w:sz w:val="17"/>
          <w:szCs w:val="17"/>
          <w:lang w:val="en-US"/>
        </w:rPr>
        <w:t>Habeas Corpus</w:t>
      </w:r>
      <w:r w:rsidRPr="00866EE6">
        <w:rPr>
          <w:rFonts w:ascii="Verdana" w:hAnsi="Verdana"/>
          <w:bCs/>
          <w:sz w:val="17"/>
          <w:szCs w:val="17"/>
          <w:lang w:val="en-US"/>
        </w:rPr>
        <w:t xml:space="preserve"> in Emergency Situations (Arts. 27(2) and 7(6) of the American Convention on Human Rights), Advisory Opinion OC-8/87, </w:t>
      </w:r>
      <w:r w:rsidR="00B90A5A">
        <w:rPr>
          <w:rFonts w:ascii="Verdana" w:hAnsi="Verdana"/>
          <w:bCs/>
          <w:sz w:val="17"/>
          <w:szCs w:val="17"/>
          <w:lang w:val="en-US"/>
        </w:rPr>
        <w:t>op. cit.</w:t>
      </w:r>
      <w:r w:rsidR="00D90FCB">
        <w:rPr>
          <w:rFonts w:ascii="Verdana" w:hAnsi="Verdana"/>
          <w:bCs/>
          <w:sz w:val="17"/>
          <w:szCs w:val="17"/>
          <w:lang w:val="en-US"/>
        </w:rPr>
        <w:t>,</w:t>
      </w:r>
      <w:r w:rsidR="00B90A5A">
        <w:rPr>
          <w:rFonts w:ascii="Verdana" w:hAnsi="Verdana"/>
          <w:bCs/>
          <w:sz w:val="17"/>
          <w:szCs w:val="17"/>
          <w:lang w:val="en-US"/>
        </w:rPr>
        <w:t xml:space="preserve"> </w:t>
      </w:r>
      <w:r w:rsidRPr="00866EE6">
        <w:rPr>
          <w:rFonts w:ascii="Verdana" w:hAnsi="Verdana"/>
          <w:bCs/>
          <w:sz w:val="17"/>
          <w:szCs w:val="17"/>
          <w:lang w:val="en-US"/>
        </w:rPr>
        <w:t xml:space="preserve">para. 12. </w:t>
      </w:r>
    </w:p>
  </w:footnote>
  <w:footnote w:id="27">
    <w:p w14:paraId="3ACBAB0F" w14:textId="6DFC44AE" w:rsidR="00887C95" w:rsidRPr="00887C95" w:rsidRDefault="00887C95" w:rsidP="00887C95">
      <w:pPr>
        <w:pStyle w:val="FootnoteText"/>
        <w:jc w:val="both"/>
        <w:rPr>
          <w:rFonts w:ascii="Verdana" w:hAnsi="Verdana"/>
          <w:sz w:val="17"/>
          <w:szCs w:val="17"/>
          <w:lang w:val="en-US"/>
        </w:rPr>
      </w:pPr>
      <w:r w:rsidRPr="00887C95">
        <w:rPr>
          <w:rStyle w:val="FootnoteReference"/>
          <w:rFonts w:ascii="Verdana" w:hAnsi="Verdana"/>
          <w:sz w:val="17"/>
          <w:szCs w:val="17"/>
        </w:rPr>
        <w:footnoteRef/>
      </w:r>
      <w:r w:rsidRPr="00887C95">
        <w:rPr>
          <w:rFonts w:ascii="Verdana" w:hAnsi="Verdana"/>
          <w:sz w:val="17"/>
          <w:szCs w:val="17"/>
        </w:rPr>
        <w:t xml:space="preserve"> </w:t>
      </w:r>
      <w:r>
        <w:rPr>
          <w:rFonts w:ascii="Verdana" w:hAnsi="Verdana"/>
          <w:sz w:val="17"/>
          <w:szCs w:val="17"/>
        </w:rPr>
        <w:t xml:space="preserve">However, the ICJ notes that the formulation in para. 18 concerning immigration detention falls short of the </w:t>
      </w:r>
      <w:r w:rsidRPr="00887C95">
        <w:rPr>
          <w:rFonts w:ascii="Verdana" w:hAnsi="Verdana"/>
          <w:sz w:val="17"/>
          <w:szCs w:val="17"/>
          <w:lang w:val="en-US"/>
        </w:rPr>
        <w:t>UN High C</w:t>
      </w:r>
      <w:r>
        <w:rPr>
          <w:rFonts w:ascii="Verdana" w:hAnsi="Verdana"/>
          <w:sz w:val="17"/>
          <w:szCs w:val="17"/>
          <w:lang w:val="en-US"/>
        </w:rPr>
        <w:t>ommissioner for Refugees’</w:t>
      </w:r>
      <w:r w:rsidRPr="00887C95">
        <w:rPr>
          <w:rFonts w:ascii="Verdana" w:hAnsi="Verdana"/>
          <w:sz w:val="17"/>
          <w:szCs w:val="17"/>
          <w:lang w:val="en-US"/>
        </w:rPr>
        <w:t xml:space="preserve"> </w:t>
      </w:r>
      <w:r w:rsidRPr="00887C95">
        <w:rPr>
          <w:rFonts w:ascii="Verdana" w:hAnsi="Verdana"/>
          <w:i/>
          <w:iCs/>
          <w:sz w:val="17"/>
          <w:szCs w:val="17"/>
          <w:lang w:val="en-US"/>
        </w:rPr>
        <w:t>Guidelines on the Applicable Criteria and Standards relating to the Detention of Asylum-Seekers and Alternatives to Detention</w:t>
      </w:r>
      <w:r>
        <w:rPr>
          <w:rFonts w:ascii="Verdana" w:hAnsi="Verdana"/>
          <w:sz w:val="17"/>
          <w:szCs w:val="17"/>
          <w:lang w:val="en-US"/>
        </w:rPr>
        <w:t>, 2012; see in particular, Guideline 7 entitled “</w:t>
      </w:r>
      <w:r w:rsidRPr="00887C95">
        <w:rPr>
          <w:rFonts w:ascii="Verdana" w:hAnsi="Verdana"/>
          <w:sz w:val="17"/>
          <w:szCs w:val="17"/>
          <w:lang w:val="en-US"/>
        </w:rPr>
        <w:t>Decisions to detain or to extend</w:t>
      </w:r>
      <w:r>
        <w:rPr>
          <w:rFonts w:ascii="Verdana" w:hAnsi="Verdana"/>
          <w:sz w:val="17"/>
          <w:szCs w:val="17"/>
          <w:lang w:val="en-US"/>
        </w:rPr>
        <w:t xml:space="preserve"> </w:t>
      </w:r>
      <w:r w:rsidRPr="00887C95">
        <w:rPr>
          <w:rFonts w:ascii="Verdana" w:hAnsi="Verdana"/>
          <w:sz w:val="17"/>
          <w:szCs w:val="17"/>
          <w:lang w:val="en-US"/>
        </w:rPr>
        <w:t>detention must be subject to</w:t>
      </w:r>
      <w:r>
        <w:rPr>
          <w:rFonts w:ascii="Verdana" w:hAnsi="Verdana"/>
          <w:sz w:val="17"/>
          <w:szCs w:val="17"/>
          <w:lang w:val="en-US"/>
        </w:rPr>
        <w:t xml:space="preserve"> </w:t>
      </w:r>
      <w:r w:rsidRPr="00887C95">
        <w:rPr>
          <w:rFonts w:ascii="Verdana" w:hAnsi="Verdana"/>
          <w:sz w:val="17"/>
          <w:szCs w:val="17"/>
          <w:lang w:val="en-US"/>
        </w:rPr>
        <w:t>minimum procedural safeguards</w:t>
      </w:r>
      <w:r>
        <w:rPr>
          <w:rFonts w:ascii="Verdana" w:hAnsi="Verdana"/>
          <w:sz w:val="17"/>
          <w:szCs w:val="17"/>
          <w:lang w:val="en-US"/>
        </w:rPr>
        <w:t>”,</w:t>
      </w:r>
      <w:r w:rsidRPr="00887C95">
        <w:rPr>
          <w:rFonts w:ascii="Verdana" w:hAnsi="Verdana"/>
          <w:sz w:val="17"/>
          <w:szCs w:val="17"/>
          <w:lang w:val="en-US"/>
        </w:rPr>
        <w:t> available at:</w:t>
      </w:r>
      <w:r>
        <w:rPr>
          <w:rFonts w:ascii="Verdana" w:hAnsi="Verdana"/>
          <w:sz w:val="17"/>
          <w:szCs w:val="17"/>
          <w:lang w:val="en-US"/>
        </w:rPr>
        <w:t xml:space="preserve"> </w:t>
      </w:r>
      <w:bookmarkStart w:id="0" w:name="_GoBack"/>
      <w:bookmarkEnd w:id="0"/>
      <w:r>
        <w:rPr>
          <w:rFonts w:ascii="Verdana" w:hAnsi="Verdana"/>
          <w:sz w:val="17"/>
          <w:szCs w:val="17"/>
          <w:lang w:val="en-US"/>
        </w:rPr>
        <w:fldChar w:fldCharType="begin"/>
      </w:r>
      <w:r>
        <w:rPr>
          <w:rFonts w:ascii="Verdana" w:hAnsi="Verdana"/>
          <w:sz w:val="17"/>
          <w:szCs w:val="17"/>
          <w:lang w:val="en-US"/>
        </w:rPr>
        <w:instrText xml:space="preserve"> HYPERLINK "</w:instrText>
      </w:r>
      <w:r w:rsidRPr="00887C95">
        <w:rPr>
          <w:rFonts w:ascii="Verdana" w:hAnsi="Verdana"/>
          <w:sz w:val="17"/>
          <w:szCs w:val="17"/>
          <w:lang w:val="en-US"/>
        </w:rPr>
        <w:instrText>http://www.refworld.org/docid/503489533b8.html</w:instrText>
      </w:r>
      <w:r>
        <w:rPr>
          <w:rFonts w:ascii="Verdana" w:hAnsi="Verdana"/>
          <w:sz w:val="17"/>
          <w:szCs w:val="17"/>
          <w:lang w:val="en-US"/>
        </w:rPr>
        <w:instrText xml:space="preserve">" </w:instrText>
      </w:r>
      <w:r>
        <w:rPr>
          <w:rFonts w:ascii="Verdana" w:hAnsi="Verdana"/>
          <w:sz w:val="17"/>
          <w:szCs w:val="17"/>
          <w:lang w:val="en-US"/>
        </w:rPr>
        <w:fldChar w:fldCharType="separate"/>
      </w:r>
      <w:r w:rsidRPr="00211B7A">
        <w:rPr>
          <w:rStyle w:val="Hyperlink"/>
          <w:rFonts w:ascii="Verdana" w:hAnsi="Verdana"/>
          <w:sz w:val="17"/>
          <w:szCs w:val="17"/>
          <w:lang w:val="en-US"/>
        </w:rPr>
        <w:t>http://www.refworld.org/docid/503489533b8.html</w:t>
      </w:r>
      <w:r>
        <w:rPr>
          <w:rFonts w:ascii="Verdana" w:hAnsi="Verdana"/>
          <w:sz w:val="17"/>
          <w:szCs w:val="17"/>
          <w:lang w:val="en-US"/>
        </w:rPr>
        <w:fldChar w:fldCharType="end"/>
      </w:r>
      <w:r>
        <w:rPr>
          <w:rFonts w:ascii="Verdana" w:hAnsi="Verdana"/>
          <w:sz w:val="17"/>
          <w:szCs w:val="17"/>
          <w:lang w:val="en-US"/>
        </w:rPr>
        <w:t>.</w:t>
      </w:r>
    </w:p>
  </w:footnote>
  <w:footnote w:id="28">
    <w:p w14:paraId="0520829D" w14:textId="77777777" w:rsidR="00F43CB4" w:rsidRPr="00866EE6" w:rsidRDefault="00F43CB4" w:rsidP="001373D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See e.g. Declaration on the Protection of all Persons from Enforced Disappearance, General Assembly resolution 47/133 of 18 December 1992, Article 10(1); Commission on Human Rights resolution 2005/27 on enforced or involuntary disappearances, paragraph 4(c); UN General Assembly resolution 65/205 on torture and other cruel, inhuman or degrading treatment or punishment adopted on 21 December 2010, paragraph 20; General Assembly resolution 67/180 on enforced or involuntary disappearances, 20 December 2012, paragraphs 7 and 8; Human Rights Committee, Concluding Observations on Vietnam, UN Doc CCPR/CO/75/VNM (5 August 2002), para 8. See also Principle 4 of the UN Body of Principles for the Protection of All Persons under Any Form of Detention or Imprisonment, UN General Assembly resolution 43/173 of 9 December 1988.</w:t>
      </w:r>
    </w:p>
  </w:footnote>
  <w:footnote w:id="29">
    <w:p w14:paraId="4B3F7D34" w14:textId="77777777" w:rsidR="00F43CB4" w:rsidRPr="00866EE6" w:rsidRDefault="00F43CB4" w:rsidP="000B4663">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The relevant sentence in para. 4 reads as follows: “Some of the provisions of article 9 (part of paragraph 2 and the whole of paragraph 3) apply </w:t>
      </w:r>
      <w:r w:rsidRPr="00866EE6">
        <w:rPr>
          <w:rFonts w:ascii="Verdana" w:hAnsi="Verdana"/>
          <w:sz w:val="17"/>
          <w:szCs w:val="17"/>
          <w:u w:val="single"/>
        </w:rPr>
        <w:t>only</w:t>
      </w:r>
      <w:r w:rsidRPr="00866EE6">
        <w:rPr>
          <w:rFonts w:ascii="Verdana" w:hAnsi="Verdana"/>
          <w:sz w:val="17"/>
          <w:szCs w:val="17"/>
        </w:rPr>
        <w:t xml:space="preserve"> in connection with criminal charges”, (</w:t>
      </w:r>
      <w:r w:rsidRPr="00866EE6">
        <w:rPr>
          <w:rFonts w:ascii="Verdana" w:hAnsi="Verdana"/>
          <w:sz w:val="17"/>
          <w:szCs w:val="17"/>
          <w:u w:val="single"/>
        </w:rPr>
        <w:t>emphasis added</w:t>
      </w:r>
      <w:r w:rsidRPr="00866EE6">
        <w:rPr>
          <w:rFonts w:ascii="Verdana" w:hAnsi="Verdana"/>
          <w:sz w:val="17"/>
          <w:szCs w:val="17"/>
        </w:rPr>
        <w:t>).</w:t>
      </w:r>
    </w:p>
  </w:footnote>
  <w:footnote w:id="30">
    <w:p w14:paraId="5DB30842" w14:textId="77777777" w:rsidR="00F43CB4" w:rsidRPr="00866EE6" w:rsidRDefault="00F43CB4" w:rsidP="00DF4AE6">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Section V. is entitled “The right to take proceedings for release from unlawful or arbitrary detention”, see para. 39 to 48 of the present draft.</w:t>
      </w:r>
    </w:p>
  </w:footnote>
  <w:footnote w:id="31">
    <w:p w14:paraId="3850BA0C" w14:textId="77777777" w:rsidR="00F43CB4" w:rsidRPr="00866EE6" w:rsidRDefault="00F43CB4" w:rsidP="00517691">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It reads: </w:t>
      </w:r>
      <w:r w:rsidRPr="00866EE6">
        <w:rPr>
          <w:rFonts w:ascii="Verdana" w:hAnsi="Verdana"/>
          <w:sz w:val="17"/>
          <w:szCs w:val="17"/>
          <w:lang w:val="en-US"/>
        </w:rPr>
        <w:t>“</w:t>
      </w:r>
      <w:r w:rsidRPr="00866EE6">
        <w:rPr>
          <w:rFonts w:ascii="Verdana" w:hAnsi="Verdana"/>
          <w:sz w:val="17"/>
          <w:szCs w:val="17"/>
        </w:rPr>
        <w:t>In criminal proceedings, once detention has been upheld in a prompt hearing before a judge in compliance with article 9, paragraph 3, an appropriate period of time may pass before the individual is entitled to take additional proceedings under article 9, paragraph 4.”</w:t>
      </w:r>
    </w:p>
  </w:footnote>
  <w:footnote w:id="32">
    <w:p w14:paraId="0BFE31AF" w14:textId="77777777" w:rsidR="00F43CB4" w:rsidRPr="00866EE6" w:rsidRDefault="00F43CB4" w:rsidP="0076626A">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What then was para. 66 in </w:t>
      </w:r>
      <w:r w:rsidRPr="00866EE6">
        <w:rPr>
          <w:rFonts w:ascii="Verdana" w:hAnsi="Verdana"/>
          <w:sz w:val="17"/>
          <w:szCs w:val="17"/>
          <w:lang w:val="en-US"/>
        </w:rPr>
        <w:t>UN Doc CCPR/C/107/R.3 (28 January 2013).</w:t>
      </w:r>
    </w:p>
  </w:footnote>
  <w:footnote w:id="33">
    <w:p w14:paraId="31C4B974" w14:textId="77777777" w:rsidR="00F43CB4" w:rsidRPr="00866EE6" w:rsidRDefault="00F43CB4" w:rsidP="0042350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 xml:space="preserve">The Committee’s point of departure in its detailed consideration of the evidence in </w:t>
      </w:r>
      <w:r w:rsidRPr="00866EE6">
        <w:rPr>
          <w:rFonts w:ascii="Verdana" w:hAnsi="Verdana"/>
          <w:i/>
          <w:sz w:val="17"/>
          <w:szCs w:val="17"/>
          <w:lang w:val="en-US"/>
        </w:rPr>
        <w:t>G.T. v Australia</w:t>
      </w:r>
      <w:r w:rsidRPr="00866EE6">
        <w:rPr>
          <w:rFonts w:ascii="Verdana" w:hAnsi="Verdana"/>
          <w:sz w:val="17"/>
          <w:szCs w:val="17"/>
          <w:lang w:val="en-US"/>
        </w:rPr>
        <w:t xml:space="preserve">, CCPR/C/61/D/706/1996 (4 December 1997) was that a State may violate its obligations if it deports a person in the face of a real risk that the individual’s rights “under the Covenant” would be violated in another jurisdiction (para 8.2) as well the existence as a matter of principle of </w:t>
      </w:r>
      <w:r w:rsidRPr="00866EE6">
        <w:rPr>
          <w:rFonts w:ascii="Verdana" w:hAnsi="Verdana"/>
          <w:i/>
          <w:sz w:val="17"/>
          <w:szCs w:val="17"/>
          <w:lang w:val="en-US"/>
        </w:rPr>
        <w:t>non-refoulement</w:t>
      </w:r>
      <w:r w:rsidRPr="00866EE6">
        <w:rPr>
          <w:rFonts w:ascii="Verdana" w:hAnsi="Verdana"/>
          <w:sz w:val="17"/>
          <w:szCs w:val="17"/>
          <w:lang w:val="en-US"/>
        </w:rPr>
        <w:t xml:space="preserve"> obligations under Article 9 (para 8.7). However, the Committee did not find that the case of a potential violation by Australia of its </w:t>
      </w:r>
      <w:r w:rsidRPr="00866EE6">
        <w:rPr>
          <w:rFonts w:ascii="Verdana" w:hAnsi="Verdana"/>
          <w:i/>
          <w:sz w:val="17"/>
          <w:szCs w:val="17"/>
          <w:lang w:val="en-US"/>
        </w:rPr>
        <w:t>non-refoulement</w:t>
      </w:r>
      <w:r w:rsidRPr="00866EE6">
        <w:rPr>
          <w:rFonts w:ascii="Verdana" w:hAnsi="Verdana"/>
          <w:sz w:val="17"/>
          <w:szCs w:val="17"/>
          <w:lang w:val="en-US"/>
        </w:rPr>
        <w:t xml:space="preserve"> obligations in proceeding with the removal of the complainant’s husband to Malaysia had been made out on</w:t>
      </w:r>
    </w:p>
    <w:p w14:paraId="630B576D" w14:textId="77777777" w:rsidR="00F43CB4" w:rsidRPr="00866EE6" w:rsidRDefault="00F43CB4" w:rsidP="0042350C">
      <w:pPr>
        <w:pStyle w:val="FootnoteText"/>
        <w:jc w:val="both"/>
        <w:rPr>
          <w:rFonts w:ascii="Verdana" w:hAnsi="Verdana"/>
          <w:sz w:val="17"/>
          <w:szCs w:val="17"/>
          <w:lang w:val="en-US"/>
        </w:rPr>
      </w:pPr>
      <w:r w:rsidRPr="00866EE6">
        <w:rPr>
          <w:rFonts w:ascii="Verdana" w:hAnsi="Verdana"/>
          <w:sz w:val="17"/>
          <w:szCs w:val="17"/>
          <w:lang w:val="en-US"/>
        </w:rPr>
        <w:t>the evidence (para 8.7).</w:t>
      </w:r>
    </w:p>
  </w:footnote>
  <w:footnote w:id="34">
    <w:p w14:paraId="4525EAF5" w14:textId="77777777" w:rsidR="00F43CB4" w:rsidRPr="00866EE6" w:rsidRDefault="00F43CB4" w:rsidP="0042350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See, inter alia, the UNHCR Handbook on Procedures and Criteria for Determining Refugee Status under the 1951 Convention and the 1967 Protocol relating to the Status of Refugees HCR/IP/4/Eng/REV.1, para 51, “There is no universally accepted definition of ‘persecution’, and various attempts to formulate such a definition have met with little success. From Article 33 of the 1951 Convention, it may be inferred that a threat to life or freedom on account of race, religion, nationality, political opinion or membership of a particular social group is always persecution. Other serious violations of human rights -- for the same reasons -- would also constitute persecution."</w:t>
      </w:r>
    </w:p>
  </w:footnote>
  <w:footnote w:id="35">
    <w:p w14:paraId="5AB3843B" w14:textId="4772E9D7" w:rsidR="00F43CB4" w:rsidRPr="00866EE6" w:rsidRDefault="00F43CB4" w:rsidP="0042350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E</w:t>
      </w:r>
      <w:r w:rsidR="00F2169C">
        <w:rPr>
          <w:rFonts w:ascii="Verdana" w:hAnsi="Verdana"/>
          <w:sz w:val="17"/>
          <w:szCs w:val="17"/>
          <w:lang w:val="en-US"/>
        </w:rPr>
        <w:t>uropean Court</w:t>
      </w:r>
      <w:r w:rsidRPr="00866EE6">
        <w:rPr>
          <w:rFonts w:ascii="Verdana" w:hAnsi="Verdana"/>
          <w:sz w:val="17"/>
          <w:szCs w:val="17"/>
          <w:lang w:val="en-US"/>
        </w:rPr>
        <w:t xml:space="preserve">, </w:t>
      </w:r>
      <w:r w:rsidRPr="00866EE6">
        <w:rPr>
          <w:rFonts w:ascii="Verdana" w:hAnsi="Verdana"/>
          <w:i/>
          <w:sz w:val="17"/>
          <w:szCs w:val="17"/>
          <w:lang w:val="en-US"/>
        </w:rPr>
        <w:t>Othman (Abu Qatada) v. the United Kingdom</w:t>
      </w:r>
      <w:r w:rsidRPr="00866EE6">
        <w:rPr>
          <w:rFonts w:ascii="Verdana" w:hAnsi="Verdana"/>
          <w:sz w:val="17"/>
          <w:szCs w:val="17"/>
          <w:lang w:val="en-US"/>
        </w:rPr>
        <w:t xml:space="preserve">, Application no 8139/09 (17 January 2012), paras 226-235; </w:t>
      </w:r>
      <w:r w:rsidR="00F2169C">
        <w:rPr>
          <w:rFonts w:ascii="Verdana" w:hAnsi="Verdana"/>
          <w:sz w:val="17"/>
          <w:szCs w:val="17"/>
          <w:lang w:val="en-US"/>
        </w:rPr>
        <w:t xml:space="preserve">European Court </w:t>
      </w:r>
      <w:r w:rsidRPr="00866EE6">
        <w:rPr>
          <w:rFonts w:ascii="Verdana" w:hAnsi="Verdana"/>
          <w:sz w:val="17"/>
          <w:szCs w:val="17"/>
          <w:lang w:val="en-US"/>
        </w:rPr>
        <w:t xml:space="preserve">(Grand Chamber), </w:t>
      </w:r>
      <w:r w:rsidRPr="00866EE6">
        <w:rPr>
          <w:rFonts w:ascii="Verdana" w:hAnsi="Verdana"/>
          <w:i/>
          <w:sz w:val="17"/>
          <w:szCs w:val="17"/>
          <w:lang w:val="en-US"/>
        </w:rPr>
        <w:t>El-Masri v. the former Yugoslav Republic of Macedonia</w:t>
      </w:r>
      <w:r w:rsidRPr="00866EE6">
        <w:rPr>
          <w:rFonts w:ascii="Verdana" w:hAnsi="Verdana"/>
          <w:sz w:val="17"/>
          <w:szCs w:val="17"/>
          <w:lang w:val="en-US"/>
        </w:rPr>
        <w:t>, Application No 39630/09 (13 December 2012), para 239.</w:t>
      </w:r>
    </w:p>
  </w:footnote>
  <w:footnote w:id="36">
    <w:p w14:paraId="33E4B35C" w14:textId="77777777" w:rsidR="00F43CB4" w:rsidRPr="00866EE6" w:rsidRDefault="00F43CB4" w:rsidP="0042350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w:t>
      </w:r>
      <w:r w:rsidRPr="00866EE6">
        <w:rPr>
          <w:rFonts w:ascii="Verdana" w:hAnsi="Verdana"/>
          <w:sz w:val="17"/>
          <w:szCs w:val="17"/>
          <w:lang w:val="en-US"/>
        </w:rPr>
        <w:t>Report of the Working Group on Arbitrary Detention, UN Doc A/HRC/4/40 (9 January 2007), para 49.</w:t>
      </w:r>
    </w:p>
  </w:footnote>
  <w:footnote w:id="37">
    <w:p w14:paraId="67C1A7C9" w14:textId="77777777" w:rsidR="00F43CB4" w:rsidRPr="00866EE6" w:rsidRDefault="00F43CB4" w:rsidP="0042350C">
      <w:pPr>
        <w:pStyle w:val="FootnoteText"/>
        <w:jc w:val="both"/>
        <w:rPr>
          <w:rFonts w:ascii="Verdana" w:hAnsi="Verdana"/>
          <w:sz w:val="17"/>
          <w:szCs w:val="17"/>
          <w:lang w:val="en-US"/>
        </w:rPr>
      </w:pPr>
      <w:r w:rsidRPr="00866EE6">
        <w:rPr>
          <w:rStyle w:val="FootnoteReference"/>
          <w:rFonts w:ascii="Verdana" w:hAnsi="Verdana"/>
          <w:sz w:val="17"/>
          <w:szCs w:val="17"/>
        </w:rPr>
        <w:footnoteRef/>
      </w:r>
      <w:r w:rsidRPr="00866EE6">
        <w:rPr>
          <w:rFonts w:ascii="Verdana" w:hAnsi="Verdana"/>
          <w:sz w:val="17"/>
          <w:szCs w:val="17"/>
        </w:rPr>
        <w:t xml:space="preserve"> Para. 17 affirms that “</w:t>
      </w:r>
      <w:r w:rsidRPr="00866EE6">
        <w:rPr>
          <w:rFonts w:ascii="Verdana" w:hAnsi="Verdana"/>
          <w:sz w:val="17"/>
          <w:szCs w:val="17"/>
          <w:lang w:val="en-CA"/>
        </w:rPr>
        <w:t xml:space="preserve">Arrest or detention as punishment for the legitimate exercise of rights as guaranteed by the Covenant is arbitrary, including freedom of opinion and expression (article 19), freedom of assembly (article 21), freedom of association (article 22), freedom of religion (article 18), and the right to privacy (article 17). Arrest or detention on discriminatory grounds in violation of article 2, paragraph 1, article 3, or article 26 may also be arbitrary. Retroactive criminal punishment in violation of article 15 amounts to arbitrary detention. Enforced disappearances violate numerous substantive and procedural provisions of the Covenant, and constitute a particularly aggravated form of arbitrary detention. Imprisonment after a manifestly unfair trial is arbitrary, but not every violation of the specific procedural guarantees for criminal defendants in article 14 results in arbitrary detention”, (footnotes in the original omitted).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6979B" w14:textId="77777777" w:rsidR="00F43CB4" w:rsidRPr="00564239" w:rsidRDefault="00F43CB4" w:rsidP="0012387D">
    <w:pPr>
      <w:pStyle w:val="Header"/>
      <w:jc w:val="center"/>
      <w:rPr>
        <w:rFonts w:ascii="Verdana" w:hAnsi="Verdana"/>
        <w:sz w:val="16"/>
      </w:rPr>
    </w:pPr>
    <w:r>
      <w:rPr>
        <w:rFonts w:ascii="Verdana" w:hAnsi="Verdana"/>
        <w:sz w:val="16"/>
      </w:rPr>
      <w:t xml:space="preserve">ICJ Submission to the Committee against Torture on the occasion of its examination of the Kyrgyz Republic’s second periodic report </w:t>
    </w:r>
  </w:p>
  <w:p w14:paraId="7572FFE2" w14:textId="77777777" w:rsidR="00F43CB4" w:rsidRDefault="00F43CB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374E3" w14:textId="77777777" w:rsidR="00F43CB4" w:rsidRDefault="00F43CB4" w:rsidP="009263F6">
    <w:pPr>
      <w:pStyle w:val="Header"/>
      <w:ind w:left="-426"/>
      <w:rPr>
        <w:rFonts w:ascii="Palatino" w:hAnsi="Palatino"/>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EF79D" w14:textId="46533B9E" w:rsidR="00F43CB4" w:rsidRDefault="00F43CB4" w:rsidP="00053BAB">
    <w:pPr>
      <w:pStyle w:val="Header"/>
      <w:rPr>
        <w:rFonts w:ascii="Verdana" w:hAnsi="Verdana"/>
        <w:b/>
        <w:sz w:val="16"/>
      </w:rPr>
    </w:pPr>
    <w:r w:rsidRPr="0047429E">
      <w:rPr>
        <w:rFonts w:ascii="Verdana" w:hAnsi="Verdana"/>
        <w:b/>
        <w:sz w:val="16"/>
      </w:rPr>
      <w:t>I</w:t>
    </w:r>
    <w:r>
      <w:rPr>
        <w:rFonts w:ascii="Verdana" w:hAnsi="Verdana"/>
        <w:b/>
        <w:sz w:val="16"/>
      </w:rPr>
      <w:t xml:space="preserve">CJ’s </w:t>
    </w:r>
    <w:r w:rsidRPr="0047429E">
      <w:rPr>
        <w:rFonts w:ascii="Verdana" w:hAnsi="Verdana"/>
        <w:b/>
        <w:sz w:val="16"/>
      </w:rPr>
      <w:t>C</w:t>
    </w:r>
    <w:r>
      <w:rPr>
        <w:rFonts w:ascii="Verdana" w:hAnsi="Verdana"/>
        <w:b/>
        <w:sz w:val="16"/>
      </w:rPr>
      <w:t>omments on draft General Comment 35 on Article 9 of the ICCPR as finalised at first reading by the Human Rights Committee in March 2014</w:t>
    </w:r>
  </w:p>
  <w:p w14:paraId="652E0266" w14:textId="77777777" w:rsidR="00F43CB4" w:rsidRDefault="00F43CB4" w:rsidP="0047429E">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F07"/>
    <w:multiLevelType w:val="hybridMultilevel"/>
    <w:tmpl w:val="EE664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10680"/>
    <w:multiLevelType w:val="hybridMultilevel"/>
    <w:tmpl w:val="DE502122"/>
    <w:lvl w:ilvl="0" w:tplc="84B8F31A">
      <w:start w:val="1"/>
      <w:numFmt w:val="decimal"/>
      <w:lvlText w:val="%1."/>
      <w:lvlJc w:val="left"/>
      <w:pPr>
        <w:ind w:left="720" w:hanging="360"/>
      </w:pPr>
      <w:rPr>
        <w:rFonts w:ascii="Verdana" w:eastAsia="MS Mincho" w:hAnsi="Verdana" w:cs="Times New Roman"/>
      </w:rPr>
    </w:lvl>
    <w:lvl w:ilvl="1" w:tplc="100C0003" w:tentative="1">
      <w:start w:val="1"/>
      <w:numFmt w:val="bullet"/>
      <w:lvlText w:val="o"/>
      <w:lvlJc w:val="left"/>
      <w:pPr>
        <w:ind w:left="1440" w:hanging="360"/>
      </w:pPr>
      <w:rPr>
        <w:rFonts w:ascii="Courier New" w:hAnsi="Courier New" w:cs="Arial"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Arial"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Arial" w:hint="default"/>
      </w:rPr>
    </w:lvl>
    <w:lvl w:ilvl="8" w:tplc="100C0005" w:tentative="1">
      <w:start w:val="1"/>
      <w:numFmt w:val="bullet"/>
      <w:lvlText w:val=""/>
      <w:lvlJc w:val="left"/>
      <w:pPr>
        <w:ind w:left="6480" w:hanging="360"/>
      </w:pPr>
      <w:rPr>
        <w:rFonts w:ascii="Wingdings" w:hAnsi="Wingdings" w:hint="default"/>
      </w:rPr>
    </w:lvl>
  </w:abstractNum>
  <w:abstractNum w:abstractNumId="2">
    <w:nsid w:val="024E0D32"/>
    <w:multiLevelType w:val="hybridMultilevel"/>
    <w:tmpl w:val="41B428AC"/>
    <w:lvl w:ilvl="0" w:tplc="0409000F">
      <w:start w:val="1"/>
      <w:numFmt w:val="decimal"/>
      <w:lvlText w:val="%1."/>
      <w:lvlJc w:val="left"/>
      <w:pPr>
        <w:ind w:left="81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F4C50"/>
    <w:multiLevelType w:val="hybridMultilevel"/>
    <w:tmpl w:val="B3122D32"/>
    <w:lvl w:ilvl="0" w:tplc="04090013">
      <w:start w:val="1"/>
      <w:numFmt w:val="upperRoman"/>
      <w:lvlText w:val="%1."/>
      <w:lvlJc w:val="righ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
    <w:nsid w:val="14121CE4"/>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A9093D"/>
    <w:multiLevelType w:val="hybridMultilevel"/>
    <w:tmpl w:val="3DC06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D1E28"/>
    <w:multiLevelType w:val="hybridMultilevel"/>
    <w:tmpl w:val="241CB484"/>
    <w:lvl w:ilvl="0" w:tplc="3E5A4FC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A375EFB"/>
    <w:multiLevelType w:val="hybridMultilevel"/>
    <w:tmpl w:val="6DBEA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B425A5"/>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DC0F63"/>
    <w:multiLevelType w:val="hybridMultilevel"/>
    <w:tmpl w:val="44944C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1C7EDB"/>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5E7084"/>
    <w:multiLevelType w:val="hybridMultilevel"/>
    <w:tmpl w:val="ADAC2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1A3FF1"/>
    <w:multiLevelType w:val="hybridMultilevel"/>
    <w:tmpl w:val="66AC2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CE1B9B"/>
    <w:multiLevelType w:val="hybridMultilevel"/>
    <w:tmpl w:val="B36A92A8"/>
    <w:lvl w:ilvl="0" w:tplc="15387D3A">
      <w:start w:val="1"/>
      <w:numFmt w:val="lowerLetter"/>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B60435"/>
    <w:multiLevelType w:val="hybridMultilevel"/>
    <w:tmpl w:val="46DA856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
    <w:nsid w:val="3B933EDA"/>
    <w:multiLevelType w:val="hybridMultilevel"/>
    <w:tmpl w:val="3D5E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D777D7"/>
    <w:multiLevelType w:val="hybridMultilevel"/>
    <w:tmpl w:val="4B3CC3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944D70"/>
    <w:multiLevelType w:val="hybridMultilevel"/>
    <w:tmpl w:val="B3D21986"/>
    <w:lvl w:ilvl="0" w:tplc="FECEF2C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3496692"/>
    <w:multiLevelType w:val="hybridMultilevel"/>
    <w:tmpl w:val="9D8C7E52"/>
    <w:lvl w:ilvl="0" w:tplc="BA4EDF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D734889"/>
    <w:multiLevelType w:val="hybridMultilevel"/>
    <w:tmpl w:val="B36A92A8"/>
    <w:lvl w:ilvl="0" w:tplc="15387D3A">
      <w:start w:val="1"/>
      <w:numFmt w:val="lowerLetter"/>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5F5C1897"/>
    <w:multiLevelType w:val="hybridMultilevel"/>
    <w:tmpl w:val="80F24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0A4493"/>
    <w:multiLevelType w:val="hybridMultilevel"/>
    <w:tmpl w:val="37C843BA"/>
    <w:lvl w:ilvl="0" w:tplc="2780D4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B94E58"/>
    <w:multiLevelType w:val="hybridMultilevel"/>
    <w:tmpl w:val="AC70D23C"/>
    <w:lvl w:ilvl="0" w:tplc="04090013">
      <w:start w:val="1"/>
      <w:numFmt w:val="upperRoman"/>
      <w:lvlText w:val="%1."/>
      <w:lvlJc w:val="righ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nsid w:val="6956543E"/>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897178"/>
    <w:multiLevelType w:val="hybridMultilevel"/>
    <w:tmpl w:val="3D5E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E47B41"/>
    <w:multiLevelType w:val="hybridMultilevel"/>
    <w:tmpl w:val="EE664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903EEB"/>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6755D5"/>
    <w:multiLevelType w:val="hybridMultilevel"/>
    <w:tmpl w:val="3D5E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CF7C11"/>
    <w:multiLevelType w:val="hybridMultilevel"/>
    <w:tmpl w:val="3D5E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5A384B"/>
    <w:multiLevelType w:val="hybridMultilevel"/>
    <w:tmpl w:val="3D5E9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3405B9"/>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5E5A89"/>
    <w:multiLevelType w:val="hybridMultilevel"/>
    <w:tmpl w:val="B3D21986"/>
    <w:lvl w:ilvl="0" w:tplc="FECEF2C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F47214F"/>
    <w:multiLevelType w:val="hybridMultilevel"/>
    <w:tmpl w:val="0220CB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1"/>
  </w:num>
  <w:num w:numId="3">
    <w:abstractNumId w:val="28"/>
  </w:num>
  <w:num w:numId="4">
    <w:abstractNumId w:val="2"/>
  </w:num>
  <w:num w:numId="5">
    <w:abstractNumId w:val="31"/>
  </w:num>
  <w:num w:numId="6">
    <w:abstractNumId w:val="29"/>
  </w:num>
  <w:num w:numId="7">
    <w:abstractNumId w:val="15"/>
  </w:num>
  <w:num w:numId="8">
    <w:abstractNumId w:val="17"/>
  </w:num>
  <w:num w:numId="9">
    <w:abstractNumId w:val="27"/>
  </w:num>
  <w:num w:numId="10">
    <w:abstractNumId w:val="12"/>
  </w:num>
  <w:num w:numId="11">
    <w:abstractNumId w:val="24"/>
  </w:num>
  <w:num w:numId="12">
    <w:abstractNumId w:val="20"/>
  </w:num>
  <w:num w:numId="13">
    <w:abstractNumId w:val="0"/>
  </w:num>
  <w:num w:numId="14">
    <w:abstractNumId w:val="25"/>
  </w:num>
  <w:num w:numId="15">
    <w:abstractNumId w:val="11"/>
  </w:num>
  <w:num w:numId="16">
    <w:abstractNumId w:val="7"/>
  </w:num>
  <w:num w:numId="17">
    <w:abstractNumId w:val="6"/>
  </w:num>
  <w:num w:numId="18">
    <w:abstractNumId w:val="5"/>
  </w:num>
  <w:num w:numId="19">
    <w:abstractNumId w:val="16"/>
  </w:num>
  <w:num w:numId="20">
    <w:abstractNumId w:val="30"/>
  </w:num>
  <w:num w:numId="21">
    <w:abstractNumId w:val="4"/>
  </w:num>
  <w:num w:numId="22">
    <w:abstractNumId w:val="32"/>
  </w:num>
  <w:num w:numId="23">
    <w:abstractNumId w:val="10"/>
  </w:num>
  <w:num w:numId="24">
    <w:abstractNumId w:val="18"/>
  </w:num>
  <w:num w:numId="25">
    <w:abstractNumId w:val="23"/>
  </w:num>
  <w:num w:numId="26">
    <w:abstractNumId w:val="8"/>
  </w:num>
  <w:num w:numId="27">
    <w:abstractNumId w:val="19"/>
  </w:num>
  <w:num w:numId="28">
    <w:abstractNumId w:val="13"/>
  </w:num>
  <w:num w:numId="29">
    <w:abstractNumId w:val="26"/>
  </w:num>
  <w:num w:numId="30">
    <w:abstractNumId w:val="22"/>
  </w:num>
  <w:num w:numId="31">
    <w:abstractNumId w:val="9"/>
  </w:num>
  <w:num w:numId="32">
    <w:abstractNumId w:val="14"/>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6"/>
  <w:defaultTabStop w:val="720"/>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BAA"/>
    <w:rsid w:val="0000019C"/>
    <w:rsid w:val="00002B7C"/>
    <w:rsid w:val="0000353B"/>
    <w:rsid w:val="00003626"/>
    <w:rsid w:val="000036CC"/>
    <w:rsid w:val="00006A99"/>
    <w:rsid w:val="00006DFB"/>
    <w:rsid w:val="00006E21"/>
    <w:rsid w:val="00007254"/>
    <w:rsid w:val="00011541"/>
    <w:rsid w:val="00013B74"/>
    <w:rsid w:val="000145A5"/>
    <w:rsid w:val="00014A98"/>
    <w:rsid w:val="0001787B"/>
    <w:rsid w:val="0002142E"/>
    <w:rsid w:val="00022F08"/>
    <w:rsid w:val="00023118"/>
    <w:rsid w:val="00023F4E"/>
    <w:rsid w:val="0002444D"/>
    <w:rsid w:val="000253E0"/>
    <w:rsid w:val="00027314"/>
    <w:rsid w:val="00027FF9"/>
    <w:rsid w:val="000303CF"/>
    <w:rsid w:val="00030F6F"/>
    <w:rsid w:val="0003117F"/>
    <w:rsid w:val="00032233"/>
    <w:rsid w:val="000332DD"/>
    <w:rsid w:val="00037A5A"/>
    <w:rsid w:val="00037F86"/>
    <w:rsid w:val="00040AD3"/>
    <w:rsid w:val="00041F47"/>
    <w:rsid w:val="0004246A"/>
    <w:rsid w:val="0004276F"/>
    <w:rsid w:val="000429FD"/>
    <w:rsid w:val="00043D87"/>
    <w:rsid w:val="0004516E"/>
    <w:rsid w:val="00045367"/>
    <w:rsid w:val="00045833"/>
    <w:rsid w:val="00045BD9"/>
    <w:rsid w:val="00046183"/>
    <w:rsid w:val="00047D50"/>
    <w:rsid w:val="00047F09"/>
    <w:rsid w:val="00051759"/>
    <w:rsid w:val="000519C4"/>
    <w:rsid w:val="00053BAB"/>
    <w:rsid w:val="00054100"/>
    <w:rsid w:val="00055022"/>
    <w:rsid w:val="0005588A"/>
    <w:rsid w:val="00056F60"/>
    <w:rsid w:val="000578F0"/>
    <w:rsid w:val="00057A1D"/>
    <w:rsid w:val="000613F9"/>
    <w:rsid w:val="000622AA"/>
    <w:rsid w:val="00063CE8"/>
    <w:rsid w:val="00064454"/>
    <w:rsid w:val="00064D64"/>
    <w:rsid w:val="00064E4F"/>
    <w:rsid w:val="00066587"/>
    <w:rsid w:val="0006685B"/>
    <w:rsid w:val="00070070"/>
    <w:rsid w:val="00072CB9"/>
    <w:rsid w:val="000747D9"/>
    <w:rsid w:val="00074E0E"/>
    <w:rsid w:val="0007519F"/>
    <w:rsid w:val="000757DD"/>
    <w:rsid w:val="0007590D"/>
    <w:rsid w:val="00076148"/>
    <w:rsid w:val="00076BE5"/>
    <w:rsid w:val="0007722B"/>
    <w:rsid w:val="00080040"/>
    <w:rsid w:val="00084CD3"/>
    <w:rsid w:val="000854BE"/>
    <w:rsid w:val="000855A4"/>
    <w:rsid w:val="0008787E"/>
    <w:rsid w:val="00091E00"/>
    <w:rsid w:val="000947CE"/>
    <w:rsid w:val="00095E0A"/>
    <w:rsid w:val="0009609F"/>
    <w:rsid w:val="00096A07"/>
    <w:rsid w:val="00096C60"/>
    <w:rsid w:val="000A0666"/>
    <w:rsid w:val="000A170B"/>
    <w:rsid w:val="000A1D22"/>
    <w:rsid w:val="000A28D7"/>
    <w:rsid w:val="000A37EB"/>
    <w:rsid w:val="000A3DCA"/>
    <w:rsid w:val="000A6A01"/>
    <w:rsid w:val="000A6A33"/>
    <w:rsid w:val="000B18A2"/>
    <w:rsid w:val="000B3F1E"/>
    <w:rsid w:val="000B4663"/>
    <w:rsid w:val="000B4D8E"/>
    <w:rsid w:val="000B510B"/>
    <w:rsid w:val="000B72F8"/>
    <w:rsid w:val="000C0AB4"/>
    <w:rsid w:val="000C1260"/>
    <w:rsid w:val="000C1ED0"/>
    <w:rsid w:val="000C1FAE"/>
    <w:rsid w:val="000C2896"/>
    <w:rsid w:val="000C292C"/>
    <w:rsid w:val="000C29B2"/>
    <w:rsid w:val="000C2C60"/>
    <w:rsid w:val="000C3773"/>
    <w:rsid w:val="000C3D74"/>
    <w:rsid w:val="000C55B8"/>
    <w:rsid w:val="000C6DA4"/>
    <w:rsid w:val="000C72A8"/>
    <w:rsid w:val="000D12A1"/>
    <w:rsid w:val="000D1724"/>
    <w:rsid w:val="000D192D"/>
    <w:rsid w:val="000D2A96"/>
    <w:rsid w:val="000D48B2"/>
    <w:rsid w:val="000D49E5"/>
    <w:rsid w:val="000D6921"/>
    <w:rsid w:val="000E0D29"/>
    <w:rsid w:val="000E0D6F"/>
    <w:rsid w:val="000E1606"/>
    <w:rsid w:val="000E3288"/>
    <w:rsid w:val="000E37E4"/>
    <w:rsid w:val="000E4A77"/>
    <w:rsid w:val="000E6132"/>
    <w:rsid w:val="000E7D33"/>
    <w:rsid w:val="000F0C1F"/>
    <w:rsid w:val="000F1DE8"/>
    <w:rsid w:val="000F443A"/>
    <w:rsid w:val="000F466E"/>
    <w:rsid w:val="000F48CD"/>
    <w:rsid w:val="000F53E5"/>
    <w:rsid w:val="000F5793"/>
    <w:rsid w:val="000F5904"/>
    <w:rsid w:val="000F6A00"/>
    <w:rsid w:val="0010197C"/>
    <w:rsid w:val="00102484"/>
    <w:rsid w:val="001029C5"/>
    <w:rsid w:val="001033A1"/>
    <w:rsid w:val="0010381D"/>
    <w:rsid w:val="00103840"/>
    <w:rsid w:val="00103868"/>
    <w:rsid w:val="00104159"/>
    <w:rsid w:val="00104DCA"/>
    <w:rsid w:val="00107534"/>
    <w:rsid w:val="00107DA8"/>
    <w:rsid w:val="0011009B"/>
    <w:rsid w:val="0011052D"/>
    <w:rsid w:val="00111B17"/>
    <w:rsid w:val="001130E1"/>
    <w:rsid w:val="001142EB"/>
    <w:rsid w:val="00114AF3"/>
    <w:rsid w:val="00120E6C"/>
    <w:rsid w:val="00120E6D"/>
    <w:rsid w:val="00122231"/>
    <w:rsid w:val="00122B96"/>
    <w:rsid w:val="00123211"/>
    <w:rsid w:val="0012387D"/>
    <w:rsid w:val="00124557"/>
    <w:rsid w:val="00126019"/>
    <w:rsid w:val="00126AF2"/>
    <w:rsid w:val="00127DDA"/>
    <w:rsid w:val="00130DDC"/>
    <w:rsid w:val="001313A3"/>
    <w:rsid w:val="00132B4B"/>
    <w:rsid w:val="00132CC7"/>
    <w:rsid w:val="00133E93"/>
    <w:rsid w:val="00134322"/>
    <w:rsid w:val="001348AD"/>
    <w:rsid w:val="00135BD1"/>
    <w:rsid w:val="00135DBE"/>
    <w:rsid w:val="00136799"/>
    <w:rsid w:val="0013736C"/>
    <w:rsid w:val="001373DC"/>
    <w:rsid w:val="00141376"/>
    <w:rsid w:val="0014574F"/>
    <w:rsid w:val="00146F89"/>
    <w:rsid w:val="00147C42"/>
    <w:rsid w:val="001560B3"/>
    <w:rsid w:val="00156AD5"/>
    <w:rsid w:val="0016138E"/>
    <w:rsid w:val="00162355"/>
    <w:rsid w:val="0016671F"/>
    <w:rsid w:val="00167393"/>
    <w:rsid w:val="00167AFF"/>
    <w:rsid w:val="00167E59"/>
    <w:rsid w:val="00170361"/>
    <w:rsid w:val="00171DFA"/>
    <w:rsid w:val="0017259E"/>
    <w:rsid w:val="00174A42"/>
    <w:rsid w:val="001767BE"/>
    <w:rsid w:val="00176CFF"/>
    <w:rsid w:val="001809B6"/>
    <w:rsid w:val="00183126"/>
    <w:rsid w:val="00183D19"/>
    <w:rsid w:val="00192767"/>
    <w:rsid w:val="00192FF3"/>
    <w:rsid w:val="00194761"/>
    <w:rsid w:val="00194CE9"/>
    <w:rsid w:val="001951E4"/>
    <w:rsid w:val="00195EE7"/>
    <w:rsid w:val="001962C3"/>
    <w:rsid w:val="001963C8"/>
    <w:rsid w:val="00196B3C"/>
    <w:rsid w:val="00196C04"/>
    <w:rsid w:val="00197D4C"/>
    <w:rsid w:val="001A03FB"/>
    <w:rsid w:val="001A181C"/>
    <w:rsid w:val="001A1D85"/>
    <w:rsid w:val="001A26E9"/>
    <w:rsid w:val="001A64DE"/>
    <w:rsid w:val="001A66FB"/>
    <w:rsid w:val="001A698C"/>
    <w:rsid w:val="001B105C"/>
    <w:rsid w:val="001B1982"/>
    <w:rsid w:val="001B3651"/>
    <w:rsid w:val="001B3AD4"/>
    <w:rsid w:val="001B3DA9"/>
    <w:rsid w:val="001B4BE5"/>
    <w:rsid w:val="001C038F"/>
    <w:rsid w:val="001C06F8"/>
    <w:rsid w:val="001C14A1"/>
    <w:rsid w:val="001C36EF"/>
    <w:rsid w:val="001C3790"/>
    <w:rsid w:val="001C3D24"/>
    <w:rsid w:val="001C7D65"/>
    <w:rsid w:val="001D1227"/>
    <w:rsid w:val="001D135B"/>
    <w:rsid w:val="001D1FDB"/>
    <w:rsid w:val="001D25CA"/>
    <w:rsid w:val="001D3C59"/>
    <w:rsid w:val="001D41A7"/>
    <w:rsid w:val="001D47AB"/>
    <w:rsid w:val="001D4D31"/>
    <w:rsid w:val="001E09B8"/>
    <w:rsid w:val="001E1368"/>
    <w:rsid w:val="001E1878"/>
    <w:rsid w:val="001E1930"/>
    <w:rsid w:val="001E2592"/>
    <w:rsid w:val="001F17E3"/>
    <w:rsid w:val="001F18D9"/>
    <w:rsid w:val="001F3D08"/>
    <w:rsid w:val="001F72FD"/>
    <w:rsid w:val="001F777C"/>
    <w:rsid w:val="001F7B3D"/>
    <w:rsid w:val="002019A4"/>
    <w:rsid w:val="00202C1E"/>
    <w:rsid w:val="00202E61"/>
    <w:rsid w:val="00206E8F"/>
    <w:rsid w:val="0021364D"/>
    <w:rsid w:val="00213745"/>
    <w:rsid w:val="00213787"/>
    <w:rsid w:val="00213C81"/>
    <w:rsid w:val="00213E00"/>
    <w:rsid w:val="00213F40"/>
    <w:rsid w:val="00216BCC"/>
    <w:rsid w:val="00220200"/>
    <w:rsid w:val="00220CFE"/>
    <w:rsid w:val="002253AA"/>
    <w:rsid w:val="00225AC9"/>
    <w:rsid w:val="00226B2C"/>
    <w:rsid w:val="00226DE9"/>
    <w:rsid w:val="00227BFE"/>
    <w:rsid w:val="0023007C"/>
    <w:rsid w:val="002313BE"/>
    <w:rsid w:val="002319F9"/>
    <w:rsid w:val="0023211D"/>
    <w:rsid w:val="002325A2"/>
    <w:rsid w:val="00233ADD"/>
    <w:rsid w:val="00233EDF"/>
    <w:rsid w:val="00234956"/>
    <w:rsid w:val="00236DC2"/>
    <w:rsid w:val="00236ED7"/>
    <w:rsid w:val="002410A0"/>
    <w:rsid w:val="0024237E"/>
    <w:rsid w:val="00243462"/>
    <w:rsid w:val="00244F34"/>
    <w:rsid w:val="00245289"/>
    <w:rsid w:val="00245EF9"/>
    <w:rsid w:val="0025097C"/>
    <w:rsid w:val="00254569"/>
    <w:rsid w:val="0025682D"/>
    <w:rsid w:val="00257D77"/>
    <w:rsid w:val="00261063"/>
    <w:rsid w:val="002619B5"/>
    <w:rsid w:val="00262EE6"/>
    <w:rsid w:val="00263909"/>
    <w:rsid w:val="00264DAE"/>
    <w:rsid w:val="00265C26"/>
    <w:rsid w:val="002768A3"/>
    <w:rsid w:val="00280194"/>
    <w:rsid w:val="00280D84"/>
    <w:rsid w:val="00282916"/>
    <w:rsid w:val="00283320"/>
    <w:rsid w:val="002834F3"/>
    <w:rsid w:val="00284445"/>
    <w:rsid w:val="0028528D"/>
    <w:rsid w:val="0028547D"/>
    <w:rsid w:val="002865A2"/>
    <w:rsid w:val="002872C0"/>
    <w:rsid w:val="00290CD0"/>
    <w:rsid w:val="00290D79"/>
    <w:rsid w:val="00290E06"/>
    <w:rsid w:val="0029163B"/>
    <w:rsid w:val="00292599"/>
    <w:rsid w:val="00296CEC"/>
    <w:rsid w:val="002975C2"/>
    <w:rsid w:val="002A0DD5"/>
    <w:rsid w:val="002A2A88"/>
    <w:rsid w:val="002A2F14"/>
    <w:rsid w:val="002A3DC5"/>
    <w:rsid w:val="002A5AE1"/>
    <w:rsid w:val="002A5EE2"/>
    <w:rsid w:val="002A5F4C"/>
    <w:rsid w:val="002B0328"/>
    <w:rsid w:val="002B216E"/>
    <w:rsid w:val="002B266A"/>
    <w:rsid w:val="002B2941"/>
    <w:rsid w:val="002B54B5"/>
    <w:rsid w:val="002B7D56"/>
    <w:rsid w:val="002C0113"/>
    <w:rsid w:val="002C0246"/>
    <w:rsid w:val="002C0B56"/>
    <w:rsid w:val="002C3CD9"/>
    <w:rsid w:val="002C527F"/>
    <w:rsid w:val="002C6635"/>
    <w:rsid w:val="002C6F15"/>
    <w:rsid w:val="002D013C"/>
    <w:rsid w:val="002D2B04"/>
    <w:rsid w:val="002D2F2B"/>
    <w:rsid w:val="002D5315"/>
    <w:rsid w:val="002E0527"/>
    <w:rsid w:val="002E0569"/>
    <w:rsid w:val="002E0AD4"/>
    <w:rsid w:val="002E1D70"/>
    <w:rsid w:val="002E27FF"/>
    <w:rsid w:val="002E2960"/>
    <w:rsid w:val="002E408F"/>
    <w:rsid w:val="002E5915"/>
    <w:rsid w:val="002E73D7"/>
    <w:rsid w:val="002E780F"/>
    <w:rsid w:val="002E7957"/>
    <w:rsid w:val="002F11C1"/>
    <w:rsid w:val="002F20AA"/>
    <w:rsid w:val="002F2F66"/>
    <w:rsid w:val="002F63A0"/>
    <w:rsid w:val="003004FC"/>
    <w:rsid w:val="00300E36"/>
    <w:rsid w:val="0030181A"/>
    <w:rsid w:val="00303AD4"/>
    <w:rsid w:val="00304CAC"/>
    <w:rsid w:val="0030529D"/>
    <w:rsid w:val="00305DA1"/>
    <w:rsid w:val="00310F5C"/>
    <w:rsid w:val="00321AD9"/>
    <w:rsid w:val="003224BE"/>
    <w:rsid w:val="00324B80"/>
    <w:rsid w:val="00324F6B"/>
    <w:rsid w:val="00326681"/>
    <w:rsid w:val="00327409"/>
    <w:rsid w:val="00327D0F"/>
    <w:rsid w:val="0033176A"/>
    <w:rsid w:val="003318C9"/>
    <w:rsid w:val="003321B2"/>
    <w:rsid w:val="00332650"/>
    <w:rsid w:val="00332C48"/>
    <w:rsid w:val="003330E0"/>
    <w:rsid w:val="00333715"/>
    <w:rsid w:val="00333C9F"/>
    <w:rsid w:val="00333CF7"/>
    <w:rsid w:val="0033567B"/>
    <w:rsid w:val="0033659B"/>
    <w:rsid w:val="0033780B"/>
    <w:rsid w:val="00340ABA"/>
    <w:rsid w:val="00341608"/>
    <w:rsid w:val="0034249F"/>
    <w:rsid w:val="0035045F"/>
    <w:rsid w:val="00351163"/>
    <w:rsid w:val="003513F4"/>
    <w:rsid w:val="0035175D"/>
    <w:rsid w:val="00351B3C"/>
    <w:rsid w:val="003521BD"/>
    <w:rsid w:val="0035264D"/>
    <w:rsid w:val="00353BDE"/>
    <w:rsid w:val="003617C1"/>
    <w:rsid w:val="00361B73"/>
    <w:rsid w:val="00365041"/>
    <w:rsid w:val="00365DAC"/>
    <w:rsid w:val="00366FB9"/>
    <w:rsid w:val="00370FC7"/>
    <w:rsid w:val="00372F2F"/>
    <w:rsid w:val="00373ABF"/>
    <w:rsid w:val="00373B1F"/>
    <w:rsid w:val="00374A0A"/>
    <w:rsid w:val="00374E80"/>
    <w:rsid w:val="003807D5"/>
    <w:rsid w:val="00380F80"/>
    <w:rsid w:val="00380FBD"/>
    <w:rsid w:val="003818E6"/>
    <w:rsid w:val="0038197D"/>
    <w:rsid w:val="0038202C"/>
    <w:rsid w:val="00382495"/>
    <w:rsid w:val="00382AB4"/>
    <w:rsid w:val="00383390"/>
    <w:rsid w:val="003844F3"/>
    <w:rsid w:val="003850CA"/>
    <w:rsid w:val="0038568D"/>
    <w:rsid w:val="003857E0"/>
    <w:rsid w:val="0038613D"/>
    <w:rsid w:val="003874F5"/>
    <w:rsid w:val="00387611"/>
    <w:rsid w:val="003926D1"/>
    <w:rsid w:val="003933DD"/>
    <w:rsid w:val="003939AE"/>
    <w:rsid w:val="00395508"/>
    <w:rsid w:val="003A262F"/>
    <w:rsid w:val="003A429F"/>
    <w:rsid w:val="003A4FF6"/>
    <w:rsid w:val="003A5836"/>
    <w:rsid w:val="003A6017"/>
    <w:rsid w:val="003A7031"/>
    <w:rsid w:val="003B080E"/>
    <w:rsid w:val="003B0F2D"/>
    <w:rsid w:val="003B1354"/>
    <w:rsid w:val="003B25BE"/>
    <w:rsid w:val="003B2B0B"/>
    <w:rsid w:val="003B2DA9"/>
    <w:rsid w:val="003B3CFC"/>
    <w:rsid w:val="003B5916"/>
    <w:rsid w:val="003B6E18"/>
    <w:rsid w:val="003B7477"/>
    <w:rsid w:val="003B74F1"/>
    <w:rsid w:val="003C053A"/>
    <w:rsid w:val="003C1DFF"/>
    <w:rsid w:val="003C2BF8"/>
    <w:rsid w:val="003C3A7D"/>
    <w:rsid w:val="003C408C"/>
    <w:rsid w:val="003C6D5B"/>
    <w:rsid w:val="003C73A4"/>
    <w:rsid w:val="003C7629"/>
    <w:rsid w:val="003D01B0"/>
    <w:rsid w:val="003D3195"/>
    <w:rsid w:val="003D4314"/>
    <w:rsid w:val="003D7A97"/>
    <w:rsid w:val="003E0097"/>
    <w:rsid w:val="003E0603"/>
    <w:rsid w:val="003E0E55"/>
    <w:rsid w:val="003E2F4F"/>
    <w:rsid w:val="003E4E3C"/>
    <w:rsid w:val="003E57D1"/>
    <w:rsid w:val="003E5C89"/>
    <w:rsid w:val="003E6EDE"/>
    <w:rsid w:val="003F1EF3"/>
    <w:rsid w:val="003F2A6A"/>
    <w:rsid w:val="003F2FE5"/>
    <w:rsid w:val="003F499B"/>
    <w:rsid w:val="003F601D"/>
    <w:rsid w:val="00400C22"/>
    <w:rsid w:val="00401CCC"/>
    <w:rsid w:val="004037AA"/>
    <w:rsid w:val="00403D10"/>
    <w:rsid w:val="00405308"/>
    <w:rsid w:val="00405722"/>
    <w:rsid w:val="00405C3F"/>
    <w:rsid w:val="00411617"/>
    <w:rsid w:val="00412707"/>
    <w:rsid w:val="00413405"/>
    <w:rsid w:val="00413C4F"/>
    <w:rsid w:val="00414A66"/>
    <w:rsid w:val="00415D11"/>
    <w:rsid w:val="00416F61"/>
    <w:rsid w:val="00417C25"/>
    <w:rsid w:val="0042350C"/>
    <w:rsid w:val="00423A86"/>
    <w:rsid w:val="0042405E"/>
    <w:rsid w:val="0042483F"/>
    <w:rsid w:val="004250FF"/>
    <w:rsid w:val="00425A60"/>
    <w:rsid w:val="00426C27"/>
    <w:rsid w:val="004305D5"/>
    <w:rsid w:val="00430B08"/>
    <w:rsid w:val="00432B69"/>
    <w:rsid w:val="00435D02"/>
    <w:rsid w:val="004363FC"/>
    <w:rsid w:val="00436902"/>
    <w:rsid w:val="00436E9C"/>
    <w:rsid w:val="00436EDD"/>
    <w:rsid w:val="00437B89"/>
    <w:rsid w:val="00440B00"/>
    <w:rsid w:val="0044119A"/>
    <w:rsid w:val="00441F91"/>
    <w:rsid w:val="00441FA7"/>
    <w:rsid w:val="0044324E"/>
    <w:rsid w:val="0044625E"/>
    <w:rsid w:val="00446A40"/>
    <w:rsid w:val="00446DED"/>
    <w:rsid w:val="00447194"/>
    <w:rsid w:val="00447B01"/>
    <w:rsid w:val="004509BF"/>
    <w:rsid w:val="004515FB"/>
    <w:rsid w:val="004540BE"/>
    <w:rsid w:val="004564F4"/>
    <w:rsid w:val="00456B2E"/>
    <w:rsid w:val="004628E5"/>
    <w:rsid w:val="00462C9C"/>
    <w:rsid w:val="00462F30"/>
    <w:rsid w:val="00463E0C"/>
    <w:rsid w:val="0046404B"/>
    <w:rsid w:val="00464A99"/>
    <w:rsid w:val="00465C80"/>
    <w:rsid w:val="00470158"/>
    <w:rsid w:val="00470258"/>
    <w:rsid w:val="00471A24"/>
    <w:rsid w:val="0047429E"/>
    <w:rsid w:val="00476F98"/>
    <w:rsid w:val="004771AF"/>
    <w:rsid w:val="004801A3"/>
    <w:rsid w:val="004819BB"/>
    <w:rsid w:val="00481F8A"/>
    <w:rsid w:val="004827AF"/>
    <w:rsid w:val="0048331C"/>
    <w:rsid w:val="004840FA"/>
    <w:rsid w:val="00484853"/>
    <w:rsid w:val="00484881"/>
    <w:rsid w:val="004849D8"/>
    <w:rsid w:val="00484B74"/>
    <w:rsid w:val="004853E5"/>
    <w:rsid w:val="00486EE5"/>
    <w:rsid w:val="0048770F"/>
    <w:rsid w:val="00490371"/>
    <w:rsid w:val="00490772"/>
    <w:rsid w:val="0049190C"/>
    <w:rsid w:val="00491C6F"/>
    <w:rsid w:val="00491F6A"/>
    <w:rsid w:val="004931BB"/>
    <w:rsid w:val="00493675"/>
    <w:rsid w:val="0049718E"/>
    <w:rsid w:val="00497D89"/>
    <w:rsid w:val="004A0EE8"/>
    <w:rsid w:val="004A0FFE"/>
    <w:rsid w:val="004A3938"/>
    <w:rsid w:val="004A3949"/>
    <w:rsid w:val="004A3DDA"/>
    <w:rsid w:val="004A413F"/>
    <w:rsid w:val="004A69AA"/>
    <w:rsid w:val="004B05D9"/>
    <w:rsid w:val="004B1648"/>
    <w:rsid w:val="004B16F1"/>
    <w:rsid w:val="004B1D66"/>
    <w:rsid w:val="004B1E7F"/>
    <w:rsid w:val="004B368D"/>
    <w:rsid w:val="004B43B9"/>
    <w:rsid w:val="004B46D9"/>
    <w:rsid w:val="004B4E1B"/>
    <w:rsid w:val="004B542A"/>
    <w:rsid w:val="004B565D"/>
    <w:rsid w:val="004B7252"/>
    <w:rsid w:val="004B7E02"/>
    <w:rsid w:val="004C0010"/>
    <w:rsid w:val="004C4A24"/>
    <w:rsid w:val="004C6B83"/>
    <w:rsid w:val="004C7791"/>
    <w:rsid w:val="004D31F9"/>
    <w:rsid w:val="004D3F14"/>
    <w:rsid w:val="004D4229"/>
    <w:rsid w:val="004D4249"/>
    <w:rsid w:val="004D556E"/>
    <w:rsid w:val="004D6474"/>
    <w:rsid w:val="004D6ACC"/>
    <w:rsid w:val="004D6B0B"/>
    <w:rsid w:val="004E0949"/>
    <w:rsid w:val="004E109B"/>
    <w:rsid w:val="004E1616"/>
    <w:rsid w:val="004E46CF"/>
    <w:rsid w:val="004E47B8"/>
    <w:rsid w:val="004E5ACF"/>
    <w:rsid w:val="004E63CE"/>
    <w:rsid w:val="004E68F5"/>
    <w:rsid w:val="004E744B"/>
    <w:rsid w:val="004E774E"/>
    <w:rsid w:val="004F00EF"/>
    <w:rsid w:val="004F0391"/>
    <w:rsid w:val="004F0E76"/>
    <w:rsid w:val="004F2C5E"/>
    <w:rsid w:val="004F4ABE"/>
    <w:rsid w:val="004F57B3"/>
    <w:rsid w:val="004F7092"/>
    <w:rsid w:val="00502A6A"/>
    <w:rsid w:val="005036B6"/>
    <w:rsid w:val="00504E30"/>
    <w:rsid w:val="00505AA5"/>
    <w:rsid w:val="0050650D"/>
    <w:rsid w:val="0050656C"/>
    <w:rsid w:val="00506891"/>
    <w:rsid w:val="00506B05"/>
    <w:rsid w:val="0050792D"/>
    <w:rsid w:val="00507BD4"/>
    <w:rsid w:val="00511089"/>
    <w:rsid w:val="00511714"/>
    <w:rsid w:val="00511734"/>
    <w:rsid w:val="00511A87"/>
    <w:rsid w:val="00512BF5"/>
    <w:rsid w:val="0051361D"/>
    <w:rsid w:val="005175A9"/>
    <w:rsid w:val="0051765A"/>
    <w:rsid w:val="00517691"/>
    <w:rsid w:val="00520CC9"/>
    <w:rsid w:val="00520FBF"/>
    <w:rsid w:val="005217A4"/>
    <w:rsid w:val="0052191C"/>
    <w:rsid w:val="00523FBA"/>
    <w:rsid w:val="00524BC2"/>
    <w:rsid w:val="005251F5"/>
    <w:rsid w:val="005274EE"/>
    <w:rsid w:val="0053279C"/>
    <w:rsid w:val="00533F8D"/>
    <w:rsid w:val="005400FB"/>
    <w:rsid w:val="005412A7"/>
    <w:rsid w:val="005423BA"/>
    <w:rsid w:val="00542E3F"/>
    <w:rsid w:val="00543EE3"/>
    <w:rsid w:val="00544685"/>
    <w:rsid w:val="00547187"/>
    <w:rsid w:val="005559D8"/>
    <w:rsid w:val="005570EB"/>
    <w:rsid w:val="00560509"/>
    <w:rsid w:val="00561E2E"/>
    <w:rsid w:val="005641B8"/>
    <w:rsid w:val="0056476B"/>
    <w:rsid w:val="0056547C"/>
    <w:rsid w:val="00565DC7"/>
    <w:rsid w:val="005712E1"/>
    <w:rsid w:val="0057246D"/>
    <w:rsid w:val="00572E0C"/>
    <w:rsid w:val="00573620"/>
    <w:rsid w:val="0057389F"/>
    <w:rsid w:val="00574889"/>
    <w:rsid w:val="0057515E"/>
    <w:rsid w:val="0057776C"/>
    <w:rsid w:val="00577E75"/>
    <w:rsid w:val="00580408"/>
    <w:rsid w:val="005806E4"/>
    <w:rsid w:val="005807EF"/>
    <w:rsid w:val="00580EDE"/>
    <w:rsid w:val="00581AAB"/>
    <w:rsid w:val="00585815"/>
    <w:rsid w:val="00585D81"/>
    <w:rsid w:val="00586431"/>
    <w:rsid w:val="00587496"/>
    <w:rsid w:val="005875B0"/>
    <w:rsid w:val="0059161F"/>
    <w:rsid w:val="00591FC3"/>
    <w:rsid w:val="005920B5"/>
    <w:rsid w:val="0059325B"/>
    <w:rsid w:val="00596EC1"/>
    <w:rsid w:val="005A0244"/>
    <w:rsid w:val="005A0522"/>
    <w:rsid w:val="005A0A08"/>
    <w:rsid w:val="005A10E9"/>
    <w:rsid w:val="005A11BE"/>
    <w:rsid w:val="005A27E0"/>
    <w:rsid w:val="005A556A"/>
    <w:rsid w:val="005A65EC"/>
    <w:rsid w:val="005A6E9E"/>
    <w:rsid w:val="005A7152"/>
    <w:rsid w:val="005B15CD"/>
    <w:rsid w:val="005B27C9"/>
    <w:rsid w:val="005B5341"/>
    <w:rsid w:val="005B616D"/>
    <w:rsid w:val="005C0A29"/>
    <w:rsid w:val="005C0D4E"/>
    <w:rsid w:val="005C1492"/>
    <w:rsid w:val="005C2482"/>
    <w:rsid w:val="005C291B"/>
    <w:rsid w:val="005C311A"/>
    <w:rsid w:val="005C38BB"/>
    <w:rsid w:val="005C6AA9"/>
    <w:rsid w:val="005C7092"/>
    <w:rsid w:val="005C7961"/>
    <w:rsid w:val="005D1ABE"/>
    <w:rsid w:val="005D1E1F"/>
    <w:rsid w:val="005D262C"/>
    <w:rsid w:val="005D26C8"/>
    <w:rsid w:val="005D3F97"/>
    <w:rsid w:val="005D63A3"/>
    <w:rsid w:val="005D6C19"/>
    <w:rsid w:val="005E2257"/>
    <w:rsid w:val="005E38B3"/>
    <w:rsid w:val="005E39E0"/>
    <w:rsid w:val="005E48F2"/>
    <w:rsid w:val="005E4EE3"/>
    <w:rsid w:val="005E615B"/>
    <w:rsid w:val="005E6708"/>
    <w:rsid w:val="005E7EBC"/>
    <w:rsid w:val="005F1380"/>
    <w:rsid w:val="005F20C6"/>
    <w:rsid w:val="005F2D19"/>
    <w:rsid w:val="005F2DF9"/>
    <w:rsid w:val="005F30B9"/>
    <w:rsid w:val="005F34FA"/>
    <w:rsid w:val="005F4963"/>
    <w:rsid w:val="005F55B8"/>
    <w:rsid w:val="00600691"/>
    <w:rsid w:val="006012B6"/>
    <w:rsid w:val="006028B3"/>
    <w:rsid w:val="00603905"/>
    <w:rsid w:val="00603F01"/>
    <w:rsid w:val="00604C5B"/>
    <w:rsid w:val="00606492"/>
    <w:rsid w:val="00606DF5"/>
    <w:rsid w:val="006101D0"/>
    <w:rsid w:val="00610963"/>
    <w:rsid w:val="0061534D"/>
    <w:rsid w:val="00615529"/>
    <w:rsid w:val="006157C8"/>
    <w:rsid w:val="00615D1D"/>
    <w:rsid w:val="00616352"/>
    <w:rsid w:val="006166B1"/>
    <w:rsid w:val="00616DB5"/>
    <w:rsid w:val="00620312"/>
    <w:rsid w:val="006205D4"/>
    <w:rsid w:val="006218F8"/>
    <w:rsid w:val="00622A3E"/>
    <w:rsid w:val="006235A5"/>
    <w:rsid w:val="0062410E"/>
    <w:rsid w:val="00624F57"/>
    <w:rsid w:val="00625097"/>
    <w:rsid w:val="00625290"/>
    <w:rsid w:val="006257A0"/>
    <w:rsid w:val="00626AB3"/>
    <w:rsid w:val="006329A6"/>
    <w:rsid w:val="00633F7C"/>
    <w:rsid w:val="0063418E"/>
    <w:rsid w:val="00634BDF"/>
    <w:rsid w:val="0063669D"/>
    <w:rsid w:val="0064324E"/>
    <w:rsid w:val="006504A9"/>
    <w:rsid w:val="006523FE"/>
    <w:rsid w:val="00652D9E"/>
    <w:rsid w:val="006540F7"/>
    <w:rsid w:val="006540FD"/>
    <w:rsid w:val="00657CE7"/>
    <w:rsid w:val="006602D6"/>
    <w:rsid w:val="0066040A"/>
    <w:rsid w:val="00660B5A"/>
    <w:rsid w:val="00660C7C"/>
    <w:rsid w:val="00663EE1"/>
    <w:rsid w:val="0066553C"/>
    <w:rsid w:val="006669CD"/>
    <w:rsid w:val="00666C60"/>
    <w:rsid w:val="00667844"/>
    <w:rsid w:val="00667B7A"/>
    <w:rsid w:val="00670CF2"/>
    <w:rsid w:val="006720E5"/>
    <w:rsid w:val="006722A6"/>
    <w:rsid w:val="0067318E"/>
    <w:rsid w:val="00673396"/>
    <w:rsid w:val="0067512E"/>
    <w:rsid w:val="006758A8"/>
    <w:rsid w:val="006761B5"/>
    <w:rsid w:val="00682D61"/>
    <w:rsid w:val="00682F51"/>
    <w:rsid w:val="006836DC"/>
    <w:rsid w:val="00683DFD"/>
    <w:rsid w:val="0068418C"/>
    <w:rsid w:val="00687A73"/>
    <w:rsid w:val="00693FC4"/>
    <w:rsid w:val="00694313"/>
    <w:rsid w:val="00696004"/>
    <w:rsid w:val="00696396"/>
    <w:rsid w:val="006A0D66"/>
    <w:rsid w:val="006A20F1"/>
    <w:rsid w:val="006A32E4"/>
    <w:rsid w:val="006A43E0"/>
    <w:rsid w:val="006A50DE"/>
    <w:rsid w:val="006A74A1"/>
    <w:rsid w:val="006B0F50"/>
    <w:rsid w:val="006B23D2"/>
    <w:rsid w:val="006B2555"/>
    <w:rsid w:val="006B395A"/>
    <w:rsid w:val="006B42AB"/>
    <w:rsid w:val="006B4BD5"/>
    <w:rsid w:val="006B62BD"/>
    <w:rsid w:val="006B6637"/>
    <w:rsid w:val="006B6B0D"/>
    <w:rsid w:val="006B6CDF"/>
    <w:rsid w:val="006C15CD"/>
    <w:rsid w:val="006C21E8"/>
    <w:rsid w:val="006C238E"/>
    <w:rsid w:val="006C3269"/>
    <w:rsid w:val="006C4712"/>
    <w:rsid w:val="006C4C93"/>
    <w:rsid w:val="006C68E3"/>
    <w:rsid w:val="006C7C08"/>
    <w:rsid w:val="006D0AE9"/>
    <w:rsid w:val="006D14E7"/>
    <w:rsid w:val="006D2D6F"/>
    <w:rsid w:val="006D30B9"/>
    <w:rsid w:val="006D34AD"/>
    <w:rsid w:val="006D5F97"/>
    <w:rsid w:val="006D6E4C"/>
    <w:rsid w:val="006D752D"/>
    <w:rsid w:val="006D79C5"/>
    <w:rsid w:val="006E2A95"/>
    <w:rsid w:val="006E70B9"/>
    <w:rsid w:val="006F01E9"/>
    <w:rsid w:val="006F0AC6"/>
    <w:rsid w:val="006F156E"/>
    <w:rsid w:val="006F1B62"/>
    <w:rsid w:val="006F3E4A"/>
    <w:rsid w:val="006F6284"/>
    <w:rsid w:val="006F737C"/>
    <w:rsid w:val="006F7B8F"/>
    <w:rsid w:val="00700879"/>
    <w:rsid w:val="00700927"/>
    <w:rsid w:val="00701099"/>
    <w:rsid w:val="00701641"/>
    <w:rsid w:val="007019E7"/>
    <w:rsid w:val="00701A77"/>
    <w:rsid w:val="0070335A"/>
    <w:rsid w:val="00703B73"/>
    <w:rsid w:val="00703EA2"/>
    <w:rsid w:val="00704887"/>
    <w:rsid w:val="00706FB8"/>
    <w:rsid w:val="007169A3"/>
    <w:rsid w:val="00720CDD"/>
    <w:rsid w:val="00721810"/>
    <w:rsid w:val="0072205A"/>
    <w:rsid w:val="00723351"/>
    <w:rsid w:val="00723355"/>
    <w:rsid w:val="007234CA"/>
    <w:rsid w:val="007237D3"/>
    <w:rsid w:val="00725E56"/>
    <w:rsid w:val="00731951"/>
    <w:rsid w:val="00732115"/>
    <w:rsid w:val="00733F86"/>
    <w:rsid w:val="00735937"/>
    <w:rsid w:val="00735F85"/>
    <w:rsid w:val="00735FE5"/>
    <w:rsid w:val="00736741"/>
    <w:rsid w:val="0074050D"/>
    <w:rsid w:val="00742BE9"/>
    <w:rsid w:val="0074370D"/>
    <w:rsid w:val="00743B85"/>
    <w:rsid w:val="0074478D"/>
    <w:rsid w:val="00744ADE"/>
    <w:rsid w:val="00747070"/>
    <w:rsid w:val="007474EA"/>
    <w:rsid w:val="0075052C"/>
    <w:rsid w:val="00751DB1"/>
    <w:rsid w:val="007545F9"/>
    <w:rsid w:val="0075585D"/>
    <w:rsid w:val="0075619B"/>
    <w:rsid w:val="0075772B"/>
    <w:rsid w:val="007609DA"/>
    <w:rsid w:val="00760DDC"/>
    <w:rsid w:val="007619F1"/>
    <w:rsid w:val="007620DD"/>
    <w:rsid w:val="0076258C"/>
    <w:rsid w:val="00763F6C"/>
    <w:rsid w:val="007654FD"/>
    <w:rsid w:val="0076626A"/>
    <w:rsid w:val="00770F1B"/>
    <w:rsid w:val="00772983"/>
    <w:rsid w:val="00772A66"/>
    <w:rsid w:val="00773560"/>
    <w:rsid w:val="00773769"/>
    <w:rsid w:val="0077542D"/>
    <w:rsid w:val="0077602D"/>
    <w:rsid w:val="00776049"/>
    <w:rsid w:val="007760C1"/>
    <w:rsid w:val="00776900"/>
    <w:rsid w:val="00776CC3"/>
    <w:rsid w:val="00777547"/>
    <w:rsid w:val="00781439"/>
    <w:rsid w:val="0078162B"/>
    <w:rsid w:val="00783822"/>
    <w:rsid w:val="007846DF"/>
    <w:rsid w:val="00784956"/>
    <w:rsid w:val="00784C95"/>
    <w:rsid w:val="007869E0"/>
    <w:rsid w:val="00786CD0"/>
    <w:rsid w:val="00790ADF"/>
    <w:rsid w:val="00790DEB"/>
    <w:rsid w:val="00791F60"/>
    <w:rsid w:val="00792E19"/>
    <w:rsid w:val="00793E80"/>
    <w:rsid w:val="00795A57"/>
    <w:rsid w:val="00795F37"/>
    <w:rsid w:val="0079772B"/>
    <w:rsid w:val="00797E7A"/>
    <w:rsid w:val="00797F3E"/>
    <w:rsid w:val="007A0A71"/>
    <w:rsid w:val="007A2FAB"/>
    <w:rsid w:val="007A528F"/>
    <w:rsid w:val="007A537D"/>
    <w:rsid w:val="007A67F8"/>
    <w:rsid w:val="007B2740"/>
    <w:rsid w:val="007B38BC"/>
    <w:rsid w:val="007B436F"/>
    <w:rsid w:val="007B4396"/>
    <w:rsid w:val="007B5B77"/>
    <w:rsid w:val="007B5D10"/>
    <w:rsid w:val="007B5F46"/>
    <w:rsid w:val="007C04CF"/>
    <w:rsid w:val="007C0B5D"/>
    <w:rsid w:val="007C0EAA"/>
    <w:rsid w:val="007C0EC0"/>
    <w:rsid w:val="007C16CD"/>
    <w:rsid w:val="007C1D9C"/>
    <w:rsid w:val="007C2445"/>
    <w:rsid w:val="007C2BE9"/>
    <w:rsid w:val="007C3EBF"/>
    <w:rsid w:val="007C569B"/>
    <w:rsid w:val="007C5CF1"/>
    <w:rsid w:val="007C69BD"/>
    <w:rsid w:val="007C6CA5"/>
    <w:rsid w:val="007C759D"/>
    <w:rsid w:val="007C7CAC"/>
    <w:rsid w:val="007D0263"/>
    <w:rsid w:val="007D5873"/>
    <w:rsid w:val="007D6714"/>
    <w:rsid w:val="007E293E"/>
    <w:rsid w:val="007E2992"/>
    <w:rsid w:val="007E4C35"/>
    <w:rsid w:val="007E5073"/>
    <w:rsid w:val="007E612F"/>
    <w:rsid w:val="007E7461"/>
    <w:rsid w:val="007E7661"/>
    <w:rsid w:val="007E79F4"/>
    <w:rsid w:val="007E7A97"/>
    <w:rsid w:val="007F07C5"/>
    <w:rsid w:val="007F0A83"/>
    <w:rsid w:val="007F101C"/>
    <w:rsid w:val="007F32FC"/>
    <w:rsid w:val="007F51ED"/>
    <w:rsid w:val="007F77F6"/>
    <w:rsid w:val="008029B4"/>
    <w:rsid w:val="0080385C"/>
    <w:rsid w:val="00805654"/>
    <w:rsid w:val="0081026B"/>
    <w:rsid w:val="0081062E"/>
    <w:rsid w:val="008113BD"/>
    <w:rsid w:val="008134E2"/>
    <w:rsid w:val="00813CBD"/>
    <w:rsid w:val="00814865"/>
    <w:rsid w:val="008149D1"/>
    <w:rsid w:val="00815C3C"/>
    <w:rsid w:val="0081643A"/>
    <w:rsid w:val="008178D4"/>
    <w:rsid w:val="00821210"/>
    <w:rsid w:val="0082219A"/>
    <w:rsid w:val="008223FE"/>
    <w:rsid w:val="0082241D"/>
    <w:rsid w:val="00825F58"/>
    <w:rsid w:val="00825FD2"/>
    <w:rsid w:val="00826B8B"/>
    <w:rsid w:val="008275F0"/>
    <w:rsid w:val="00831B9E"/>
    <w:rsid w:val="0083207F"/>
    <w:rsid w:val="00833EB9"/>
    <w:rsid w:val="008344E9"/>
    <w:rsid w:val="00834518"/>
    <w:rsid w:val="00834CB9"/>
    <w:rsid w:val="0083539C"/>
    <w:rsid w:val="0083569F"/>
    <w:rsid w:val="00837E1B"/>
    <w:rsid w:val="008415D6"/>
    <w:rsid w:val="008434DF"/>
    <w:rsid w:val="00843517"/>
    <w:rsid w:val="0084463E"/>
    <w:rsid w:val="00844E61"/>
    <w:rsid w:val="008457C8"/>
    <w:rsid w:val="008511D8"/>
    <w:rsid w:val="00851470"/>
    <w:rsid w:val="0085270E"/>
    <w:rsid w:val="008547C0"/>
    <w:rsid w:val="0085515D"/>
    <w:rsid w:val="00857315"/>
    <w:rsid w:val="0085755B"/>
    <w:rsid w:val="00860D32"/>
    <w:rsid w:val="00862086"/>
    <w:rsid w:val="00863140"/>
    <w:rsid w:val="00864CF0"/>
    <w:rsid w:val="00864EC0"/>
    <w:rsid w:val="00864F24"/>
    <w:rsid w:val="00866EE6"/>
    <w:rsid w:val="008672FC"/>
    <w:rsid w:val="00870895"/>
    <w:rsid w:val="00872494"/>
    <w:rsid w:val="008729AC"/>
    <w:rsid w:val="0087563B"/>
    <w:rsid w:val="00876ACA"/>
    <w:rsid w:val="00876E80"/>
    <w:rsid w:val="008779B5"/>
    <w:rsid w:val="00877D3B"/>
    <w:rsid w:val="00880758"/>
    <w:rsid w:val="00880A51"/>
    <w:rsid w:val="0088464D"/>
    <w:rsid w:val="0088508C"/>
    <w:rsid w:val="00887C95"/>
    <w:rsid w:val="00891146"/>
    <w:rsid w:val="00891C02"/>
    <w:rsid w:val="00892412"/>
    <w:rsid w:val="008925EE"/>
    <w:rsid w:val="00892C0F"/>
    <w:rsid w:val="00892C3D"/>
    <w:rsid w:val="00893F2B"/>
    <w:rsid w:val="00895C76"/>
    <w:rsid w:val="008973F5"/>
    <w:rsid w:val="008A04E5"/>
    <w:rsid w:val="008A1527"/>
    <w:rsid w:val="008A3080"/>
    <w:rsid w:val="008A3108"/>
    <w:rsid w:val="008A3375"/>
    <w:rsid w:val="008A3C1E"/>
    <w:rsid w:val="008A4649"/>
    <w:rsid w:val="008A48A5"/>
    <w:rsid w:val="008B03FC"/>
    <w:rsid w:val="008B3085"/>
    <w:rsid w:val="008B37E9"/>
    <w:rsid w:val="008B6BF6"/>
    <w:rsid w:val="008C0D87"/>
    <w:rsid w:val="008C263E"/>
    <w:rsid w:val="008C2A23"/>
    <w:rsid w:val="008C2CAB"/>
    <w:rsid w:val="008C483A"/>
    <w:rsid w:val="008C6873"/>
    <w:rsid w:val="008D119E"/>
    <w:rsid w:val="008D49A6"/>
    <w:rsid w:val="008D5195"/>
    <w:rsid w:val="008D5B53"/>
    <w:rsid w:val="008D5E4B"/>
    <w:rsid w:val="008D6508"/>
    <w:rsid w:val="008D69F4"/>
    <w:rsid w:val="008D6D33"/>
    <w:rsid w:val="008E020F"/>
    <w:rsid w:val="008E0ED0"/>
    <w:rsid w:val="008E160A"/>
    <w:rsid w:val="008E3B18"/>
    <w:rsid w:val="008E40FF"/>
    <w:rsid w:val="008E440F"/>
    <w:rsid w:val="008E6A47"/>
    <w:rsid w:val="008E73D5"/>
    <w:rsid w:val="008F1798"/>
    <w:rsid w:val="008F230C"/>
    <w:rsid w:val="008F4A9A"/>
    <w:rsid w:val="008F5C36"/>
    <w:rsid w:val="008F5C61"/>
    <w:rsid w:val="008F5E09"/>
    <w:rsid w:val="00900042"/>
    <w:rsid w:val="00900892"/>
    <w:rsid w:val="009023A7"/>
    <w:rsid w:val="00902AF3"/>
    <w:rsid w:val="009031D5"/>
    <w:rsid w:val="00903841"/>
    <w:rsid w:val="00907BE1"/>
    <w:rsid w:val="00911A60"/>
    <w:rsid w:val="00911C33"/>
    <w:rsid w:val="00912B33"/>
    <w:rsid w:val="00912BC2"/>
    <w:rsid w:val="00912D3F"/>
    <w:rsid w:val="00912E27"/>
    <w:rsid w:val="009130D0"/>
    <w:rsid w:val="00914648"/>
    <w:rsid w:val="00914A0C"/>
    <w:rsid w:val="00914A24"/>
    <w:rsid w:val="00915156"/>
    <w:rsid w:val="00915ED5"/>
    <w:rsid w:val="00916FE0"/>
    <w:rsid w:val="009204C5"/>
    <w:rsid w:val="0092131E"/>
    <w:rsid w:val="00924507"/>
    <w:rsid w:val="0092636D"/>
    <w:rsid w:val="009263F6"/>
    <w:rsid w:val="00926528"/>
    <w:rsid w:val="00926CEE"/>
    <w:rsid w:val="00927C90"/>
    <w:rsid w:val="00930075"/>
    <w:rsid w:val="00930AC4"/>
    <w:rsid w:val="00930F67"/>
    <w:rsid w:val="0093195A"/>
    <w:rsid w:val="009319D7"/>
    <w:rsid w:val="009322E9"/>
    <w:rsid w:val="00932524"/>
    <w:rsid w:val="00934F86"/>
    <w:rsid w:val="00935233"/>
    <w:rsid w:val="00936FEA"/>
    <w:rsid w:val="00940207"/>
    <w:rsid w:val="00943E11"/>
    <w:rsid w:val="009441B3"/>
    <w:rsid w:val="009443EF"/>
    <w:rsid w:val="0094619D"/>
    <w:rsid w:val="009475B9"/>
    <w:rsid w:val="009477B0"/>
    <w:rsid w:val="00947CF0"/>
    <w:rsid w:val="009505DE"/>
    <w:rsid w:val="0095219F"/>
    <w:rsid w:val="009522D0"/>
    <w:rsid w:val="0095356A"/>
    <w:rsid w:val="00953973"/>
    <w:rsid w:val="009546E7"/>
    <w:rsid w:val="00955106"/>
    <w:rsid w:val="00955215"/>
    <w:rsid w:val="009571EE"/>
    <w:rsid w:val="00957C4C"/>
    <w:rsid w:val="009616AA"/>
    <w:rsid w:val="00961CEB"/>
    <w:rsid w:val="00962960"/>
    <w:rsid w:val="009650AC"/>
    <w:rsid w:val="009660D2"/>
    <w:rsid w:val="00966EBE"/>
    <w:rsid w:val="009670C0"/>
    <w:rsid w:val="0097023F"/>
    <w:rsid w:val="0097072B"/>
    <w:rsid w:val="00972962"/>
    <w:rsid w:val="00972A74"/>
    <w:rsid w:val="00973987"/>
    <w:rsid w:val="0097433A"/>
    <w:rsid w:val="00975574"/>
    <w:rsid w:val="009758B4"/>
    <w:rsid w:val="00980097"/>
    <w:rsid w:val="00983508"/>
    <w:rsid w:val="009835F1"/>
    <w:rsid w:val="009841C1"/>
    <w:rsid w:val="00985FBD"/>
    <w:rsid w:val="00986BC8"/>
    <w:rsid w:val="009905F4"/>
    <w:rsid w:val="00990815"/>
    <w:rsid w:val="00990F3B"/>
    <w:rsid w:val="00992325"/>
    <w:rsid w:val="00993806"/>
    <w:rsid w:val="00993F0C"/>
    <w:rsid w:val="009957D9"/>
    <w:rsid w:val="00996F7C"/>
    <w:rsid w:val="0099701A"/>
    <w:rsid w:val="0099789A"/>
    <w:rsid w:val="009A31CF"/>
    <w:rsid w:val="009A42BE"/>
    <w:rsid w:val="009A7384"/>
    <w:rsid w:val="009A7C9D"/>
    <w:rsid w:val="009B2167"/>
    <w:rsid w:val="009B3042"/>
    <w:rsid w:val="009C0578"/>
    <w:rsid w:val="009C1E21"/>
    <w:rsid w:val="009C749C"/>
    <w:rsid w:val="009C76CF"/>
    <w:rsid w:val="009D0B05"/>
    <w:rsid w:val="009D12DF"/>
    <w:rsid w:val="009D30DB"/>
    <w:rsid w:val="009D3D81"/>
    <w:rsid w:val="009D4F60"/>
    <w:rsid w:val="009D70C6"/>
    <w:rsid w:val="009E7C86"/>
    <w:rsid w:val="009E7CB2"/>
    <w:rsid w:val="009F2D90"/>
    <w:rsid w:val="009F31FF"/>
    <w:rsid w:val="009F33BA"/>
    <w:rsid w:val="009F3EC8"/>
    <w:rsid w:val="009F4177"/>
    <w:rsid w:val="009F4921"/>
    <w:rsid w:val="009F5218"/>
    <w:rsid w:val="009F5779"/>
    <w:rsid w:val="009F784D"/>
    <w:rsid w:val="009F7B7D"/>
    <w:rsid w:val="00A005AD"/>
    <w:rsid w:val="00A00BE8"/>
    <w:rsid w:val="00A01B98"/>
    <w:rsid w:val="00A01C86"/>
    <w:rsid w:val="00A0244C"/>
    <w:rsid w:val="00A03416"/>
    <w:rsid w:val="00A0696B"/>
    <w:rsid w:val="00A06FEC"/>
    <w:rsid w:val="00A076F9"/>
    <w:rsid w:val="00A07E31"/>
    <w:rsid w:val="00A10E57"/>
    <w:rsid w:val="00A12242"/>
    <w:rsid w:val="00A129DB"/>
    <w:rsid w:val="00A12ACC"/>
    <w:rsid w:val="00A13088"/>
    <w:rsid w:val="00A134F5"/>
    <w:rsid w:val="00A13F05"/>
    <w:rsid w:val="00A1500C"/>
    <w:rsid w:val="00A156C9"/>
    <w:rsid w:val="00A21741"/>
    <w:rsid w:val="00A26CEC"/>
    <w:rsid w:val="00A275BD"/>
    <w:rsid w:val="00A31324"/>
    <w:rsid w:val="00A34CDB"/>
    <w:rsid w:val="00A3605C"/>
    <w:rsid w:val="00A363BE"/>
    <w:rsid w:val="00A3703A"/>
    <w:rsid w:val="00A403DA"/>
    <w:rsid w:val="00A447A6"/>
    <w:rsid w:val="00A460F2"/>
    <w:rsid w:val="00A46C52"/>
    <w:rsid w:val="00A47EF4"/>
    <w:rsid w:val="00A518A7"/>
    <w:rsid w:val="00A524E4"/>
    <w:rsid w:val="00A5446C"/>
    <w:rsid w:val="00A547D0"/>
    <w:rsid w:val="00A55E38"/>
    <w:rsid w:val="00A56C2E"/>
    <w:rsid w:val="00A570BD"/>
    <w:rsid w:val="00A608D4"/>
    <w:rsid w:val="00A61F40"/>
    <w:rsid w:val="00A65774"/>
    <w:rsid w:val="00A66EDB"/>
    <w:rsid w:val="00A6798C"/>
    <w:rsid w:val="00A67D72"/>
    <w:rsid w:val="00A72552"/>
    <w:rsid w:val="00A73009"/>
    <w:rsid w:val="00A75790"/>
    <w:rsid w:val="00A76D4C"/>
    <w:rsid w:val="00A8588F"/>
    <w:rsid w:val="00A86BC4"/>
    <w:rsid w:val="00A91C14"/>
    <w:rsid w:val="00A91C5C"/>
    <w:rsid w:val="00A921A0"/>
    <w:rsid w:val="00A925E8"/>
    <w:rsid w:val="00A928E8"/>
    <w:rsid w:val="00A9526E"/>
    <w:rsid w:val="00A954AF"/>
    <w:rsid w:val="00A95EC4"/>
    <w:rsid w:val="00AA2563"/>
    <w:rsid w:val="00AA262A"/>
    <w:rsid w:val="00AA2C2B"/>
    <w:rsid w:val="00AA3E02"/>
    <w:rsid w:val="00AA466C"/>
    <w:rsid w:val="00AA4D52"/>
    <w:rsid w:val="00AA4D5E"/>
    <w:rsid w:val="00AA5F4F"/>
    <w:rsid w:val="00AA75EF"/>
    <w:rsid w:val="00AA7EA5"/>
    <w:rsid w:val="00AB1EF9"/>
    <w:rsid w:val="00AB2844"/>
    <w:rsid w:val="00AB348D"/>
    <w:rsid w:val="00AC2A99"/>
    <w:rsid w:val="00AC3816"/>
    <w:rsid w:val="00AC3A66"/>
    <w:rsid w:val="00AC4444"/>
    <w:rsid w:val="00AC580A"/>
    <w:rsid w:val="00AC69E6"/>
    <w:rsid w:val="00AC76EF"/>
    <w:rsid w:val="00AD0ACB"/>
    <w:rsid w:val="00AD132D"/>
    <w:rsid w:val="00AD2071"/>
    <w:rsid w:val="00AD2291"/>
    <w:rsid w:val="00AD3523"/>
    <w:rsid w:val="00AD4907"/>
    <w:rsid w:val="00AD6B38"/>
    <w:rsid w:val="00AD6B68"/>
    <w:rsid w:val="00AD7B54"/>
    <w:rsid w:val="00AE3971"/>
    <w:rsid w:val="00AE4C38"/>
    <w:rsid w:val="00AE51FD"/>
    <w:rsid w:val="00AE799F"/>
    <w:rsid w:val="00AF3C52"/>
    <w:rsid w:val="00AF3DCC"/>
    <w:rsid w:val="00AF5A21"/>
    <w:rsid w:val="00AF74FA"/>
    <w:rsid w:val="00AF7945"/>
    <w:rsid w:val="00B012F2"/>
    <w:rsid w:val="00B0313C"/>
    <w:rsid w:val="00B06DB3"/>
    <w:rsid w:val="00B1198D"/>
    <w:rsid w:val="00B147AE"/>
    <w:rsid w:val="00B14EB6"/>
    <w:rsid w:val="00B16F46"/>
    <w:rsid w:val="00B17B6C"/>
    <w:rsid w:val="00B20213"/>
    <w:rsid w:val="00B21753"/>
    <w:rsid w:val="00B224F2"/>
    <w:rsid w:val="00B229F2"/>
    <w:rsid w:val="00B23252"/>
    <w:rsid w:val="00B23311"/>
    <w:rsid w:val="00B245AB"/>
    <w:rsid w:val="00B24792"/>
    <w:rsid w:val="00B25D9F"/>
    <w:rsid w:val="00B25EF6"/>
    <w:rsid w:val="00B269FF"/>
    <w:rsid w:val="00B3104D"/>
    <w:rsid w:val="00B331EA"/>
    <w:rsid w:val="00B34CF8"/>
    <w:rsid w:val="00B34DFB"/>
    <w:rsid w:val="00B34F5A"/>
    <w:rsid w:val="00B353A9"/>
    <w:rsid w:val="00B36CB5"/>
    <w:rsid w:val="00B36EB0"/>
    <w:rsid w:val="00B401F0"/>
    <w:rsid w:val="00B40DD2"/>
    <w:rsid w:val="00B42637"/>
    <w:rsid w:val="00B4381F"/>
    <w:rsid w:val="00B45A54"/>
    <w:rsid w:val="00B5082C"/>
    <w:rsid w:val="00B541B6"/>
    <w:rsid w:val="00B5501D"/>
    <w:rsid w:val="00B56CDF"/>
    <w:rsid w:val="00B604BD"/>
    <w:rsid w:val="00B61AF2"/>
    <w:rsid w:val="00B63324"/>
    <w:rsid w:val="00B63368"/>
    <w:rsid w:val="00B667D3"/>
    <w:rsid w:val="00B70D3A"/>
    <w:rsid w:val="00B71699"/>
    <w:rsid w:val="00B72C9A"/>
    <w:rsid w:val="00B73135"/>
    <w:rsid w:val="00B74796"/>
    <w:rsid w:val="00B75275"/>
    <w:rsid w:val="00B75E40"/>
    <w:rsid w:val="00B771F5"/>
    <w:rsid w:val="00B816C7"/>
    <w:rsid w:val="00B84E82"/>
    <w:rsid w:val="00B85634"/>
    <w:rsid w:val="00B85970"/>
    <w:rsid w:val="00B859E2"/>
    <w:rsid w:val="00B90366"/>
    <w:rsid w:val="00B90A5A"/>
    <w:rsid w:val="00B916AB"/>
    <w:rsid w:val="00B91C09"/>
    <w:rsid w:val="00B92CE8"/>
    <w:rsid w:val="00B937E0"/>
    <w:rsid w:val="00B947FD"/>
    <w:rsid w:val="00BA04FD"/>
    <w:rsid w:val="00BA1704"/>
    <w:rsid w:val="00BA193F"/>
    <w:rsid w:val="00BA2241"/>
    <w:rsid w:val="00BA2740"/>
    <w:rsid w:val="00BA2E3C"/>
    <w:rsid w:val="00BA6912"/>
    <w:rsid w:val="00BA77C2"/>
    <w:rsid w:val="00BB0FF7"/>
    <w:rsid w:val="00BB1001"/>
    <w:rsid w:val="00BB16F5"/>
    <w:rsid w:val="00BB6B42"/>
    <w:rsid w:val="00BB77B9"/>
    <w:rsid w:val="00BC1658"/>
    <w:rsid w:val="00BC279D"/>
    <w:rsid w:val="00BC311F"/>
    <w:rsid w:val="00BC3951"/>
    <w:rsid w:val="00BC3C55"/>
    <w:rsid w:val="00BC42EC"/>
    <w:rsid w:val="00BC4C0E"/>
    <w:rsid w:val="00BC553F"/>
    <w:rsid w:val="00BC609E"/>
    <w:rsid w:val="00BC732A"/>
    <w:rsid w:val="00BD02A0"/>
    <w:rsid w:val="00BD0592"/>
    <w:rsid w:val="00BD2079"/>
    <w:rsid w:val="00BD3D19"/>
    <w:rsid w:val="00BD40ED"/>
    <w:rsid w:val="00BD55FC"/>
    <w:rsid w:val="00BD6450"/>
    <w:rsid w:val="00BD7631"/>
    <w:rsid w:val="00BD7E70"/>
    <w:rsid w:val="00BE1192"/>
    <w:rsid w:val="00BE21BA"/>
    <w:rsid w:val="00BE3904"/>
    <w:rsid w:val="00BE61AA"/>
    <w:rsid w:val="00BE6D6B"/>
    <w:rsid w:val="00BF33F5"/>
    <w:rsid w:val="00BF365B"/>
    <w:rsid w:val="00BF470A"/>
    <w:rsid w:val="00BF6564"/>
    <w:rsid w:val="00BF68A8"/>
    <w:rsid w:val="00BF7419"/>
    <w:rsid w:val="00BF7864"/>
    <w:rsid w:val="00BF7BD0"/>
    <w:rsid w:val="00C00497"/>
    <w:rsid w:val="00C00F1F"/>
    <w:rsid w:val="00C013F7"/>
    <w:rsid w:val="00C02370"/>
    <w:rsid w:val="00C0347A"/>
    <w:rsid w:val="00C0382E"/>
    <w:rsid w:val="00C0389E"/>
    <w:rsid w:val="00C03CED"/>
    <w:rsid w:val="00C04503"/>
    <w:rsid w:val="00C0601D"/>
    <w:rsid w:val="00C066AE"/>
    <w:rsid w:val="00C12D42"/>
    <w:rsid w:val="00C12EA9"/>
    <w:rsid w:val="00C150D5"/>
    <w:rsid w:val="00C151DB"/>
    <w:rsid w:val="00C1767A"/>
    <w:rsid w:val="00C176E4"/>
    <w:rsid w:val="00C17889"/>
    <w:rsid w:val="00C2150A"/>
    <w:rsid w:val="00C21815"/>
    <w:rsid w:val="00C228F1"/>
    <w:rsid w:val="00C23740"/>
    <w:rsid w:val="00C23E28"/>
    <w:rsid w:val="00C24559"/>
    <w:rsid w:val="00C25C25"/>
    <w:rsid w:val="00C26B5C"/>
    <w:rsid w:val="00C32A75"/>
    <w:rsid w:val="00C354AE"/>
    <w:rsid w:val="00C373F9"/>
    <w:rsid w:val="00C375DE"/>
    <w:rsid w:val="00C3767C"/>
    <w:rsid w:val="00C42B9F"/>
    <w:rsid w:val="00C43CC4"/>
    <w:rsid w:val="00C44222"/>
    <w:rsid w:val="00C45CEA"/>
    <w:rsid w:val="00C45D5A"/>
    <w:rsid w:val="00C4627E"/>
    <w:rsid w:val="00C46931"/>
    <w:rsid w:val="00C51FCB"/>
    <w:rsid w:val="00C5232D"/>
    <w:rsid w:val="00C529BE"/>
    <w:rsid w:val="00C53FD0"/>
    <w:rsid w:val="00C56222"/>
    <w:rsid w:val="00C577AF"/>
    <w:rsid w:val="00C60726"/>
    <w:rsid w:val="00C622D4"/>
    <w:rsid w:val="00C646FB"/>
    <w:rsid w:val="00C65488"/>
    <w:rsid w:val="00C657E8"/>
    <w:rsid w:val="00C65AFC"/>
    <w:rsid w:val="00C7135C"/>
    <w:rsid w:val="00C7183A"/>
    <w:rsid w:val="00C7246F"/>
    <w:rsid w:val="00C73FEE"/>
    <w:rsid w:val="00C764F8"/>
    <w:rsid w:val="00C767D7"/>
    <w:rsid w:val="00C773D5"/>
    <w:rsid w:val="00C8221C"/>
    <w:rsid w:val="00C82B74"/>
    <w:rsid w:val="00C91159"/>
    <w:rsid w:val="00C91400"/>
    <w:rsid w:val="00C931E0"/>
    <w:rsid w:val="00C93DB7"/>
    <w:rsid w:val="00C94276"/>
    <w:rsid w:val="00C95EC1"/>
    <w:rsid w:val="00C962A5"/>
    <w:rsid w:val="00C9656A"/>
    <w:rsid w:val="00C96B2B"/>
    <w:rsid w:val="00C96C91"/>
    <w:rsid w:val="00C96D65"/>
    <w:rsid w:val="00C96DC9"/>
    <w:rsid w:val="00C97456"/>
    <w:rsid w:val="00CA0FC7"/>
    <w:rsid w:val="00CA14AF"/>
    <w:rsid w:val="00CA2BA9"/>
    <w:rsid w:val="00CA4B7D"/>
    <w:rsid w:val="00CA5191"/>
    <w:rsid w:val="00CA5270"/>
    <w:rsid w:val="00CB035B"/>
    <w:rsid w:val="00CB089E"/>
    <w:rsid w:val="00CB1312"/>
    <w:rsid w:val="00CB296E"/>
    <w:rsid w:val="00CB2D6A"/>
    <w:rsid w:val="00CB5B67"/>
    <w:rsid w:val="00CB749E"/>
    <w:rsid w:val="00CC1730"/>
    <w:rsid w:val="00CC3302"/>
    <w:rsid w:val="00CC342A"/>
    <w:rsid w:val="00CC43D5"/>
    <w:rsid w:val="00CC4D8E"/>
    <w:rsid w:val="00CC7647"/>
    <w:rsid w:val="00CD0C4F"/>
    <w:rsid w:val="00CD18A7"/>
    <w:rsid w:val="00CD295D"/>
    <w:rsid w:val="00CE0E5C"/>
    <w:rsid w:val="00CE1171"/>
    <w:rsid w:val="00CE2279"/>
    <w:rsid w:val="00CE2AAB"/>
    <w:rsid w:val="00CE2E2B"/>
    <w:rsid w:val="00CE4458"/>
    <w:rsid w:val="00CE49C1"/>
    <w:rsid w:val="00CE7932"/>
    <w:rsid w:val="00CF08F6"/>
    <w:rsid w:val="00CF160D"/>
    <w:rsid w:val="00CF2D6F"/>
    <w:rsid w:val="00CF4C99"/>
    <w:rsid w:val="00CF506A"/>
    <w:rsid w:val="00CF6C5B"/>
    <w:rsid w:val="00CF7421"/>
    <w:rsid w:val="00D041DC"/>
    <w:rsid w:val="00D0574E"/>
    <w:rsid w:val="00D05BF4"/>
    <w:rsid w:val="00D06201"/>
    <w:rsid w:val="00D122B2"/>
    <w:rsid w:val="00D14BAA"/>
    <w:rsid w:val="00D1585C"/>
    <w:rsid w:val="00D1762D"/>
    <w:rsid w:val="00D17C77"/>
    <w:rsid w:val="00D217A2"/>
    <w:rsid w:val="00D23145"/>
    <w:rsid w:val="00D24C73"/>
    <w:rsid w:val="00D25242"/>
    <w:rsid w:val="00D2591B"/>
    <w:rsid w:val="00D25CC9"/>
    <w:rsid w:val="00D26C1A"/>
    <w:rsid w:val="00D27EB5"/>
    <w:rsid w:val="00D32A03"/>
    <w:rsid w:val="00D33E04"/>
    <w:rsid w:val="00D33FC5"/>
    <w:rsid w:val="00D35443"/>
    <w:rsid w:val="00D36458"/>
    <w:rsid w:val="00D4036C"/>
    <w:rsid w:val="00D424D4"/>
    <w:rsid w:val="00D42F2D"/>
    <w:rsid w:val="00D4405F"/>
    <w:rsid w:val="00D4789E"/>
    <w:rsid w:val="00D47D2C"/>
    <w:rsid w:val="00D5099B"/>
    <w:rsid w:val="00D5112C"/>
    <w:rsid w:val="00D52D10"/>
    <w:rsid w:val="00D53553"/>
    <w:rsid w:val="00D53B63"/>
    <w:rsid w:val="00D562A9"/>
    <w:rsid w:val="00D57856"/>
    <w:rsid w:val="00D5797E"/>
    <w:rsid w:val="00D617A2"/>
    <w:rsid w:val="00D62829"/>
    <w:rsid w:val="00D6450A"/>
    <w:rsid w:val="00D651E6"/>
    <w:rsid w:val="00D65938"/>
    <w:rsid w:val="00D66789"/>
    <w:rsid w:val="00D66FE0"/>
    <w:rsid w:val="00D708CA"/>
    <w:rsid w:val="00D70AAC"/>
    <w:rsid w:val="00D71A2A"/>
    <w:rsid w:val="00D71F18"/>
    <w:rsid w:val="00D7327A"/>
    <w:rsid w:val="00D741D4"/>
    <w:rsid w:val="00D747DA"/>
    <w:rsid w:val="00D74F60"/>
    <w:rsid w:val="00D751FF"/>
    <w:rsid w:val="00D77322"/>
    <w:rsid w:val="00D77E60"/>
    <w:rsid w:val="00D8489F"/>
    <w:rsid w:val="00D850FD"/>
    <w:rsid w:val="00D868A1"/>
    <w:rsid w:val="00D86B8E"/>
    <w:rsid w:val="00D90B62"/>
    <w:rsid w:val="00D90FCB"/>
    <w:rsid w:val="00D91742"/>
    <w:rsid w:val="00D91AA2"/>
    <w:rsid w:val="00D91C15"/>
    <w:rsid w:val="00D92CEE"/>
    <w:rsid w:val="00D9380C"/>
    <w:rsid w:val="00D952B0"/>
    <w:rsid w:val="00D96E1B"/>
    <w:rsid w:val="00DA0045"/>
    <w:rsid w:val="00DA2006"/>
    <w:rsid w:val="00DA4758"/>
    <w:rsid w:val="00DA50FE"/>
    <w:rsid w:val="00DB078A"/>
    <w:rsid w:val="00DB26F1"/>
    <w:rsid w:val="00DB6024"/>
    <w:rsid w:val="00DB6881"/>
    <w:rsid w:val="00DC125D"/>
    <w:rsid w:val="00DC17CB"/>
    <w:rsid w:val="00DC1CFD"/>
    <w:rsid w:val="00DC3DDF"/>
    <w:rsid w:val="00DC3E51"/>
    <w:rsid w:val="00DC5280"/>
    <w:rsid w:val="00DC5BB4"/>
    <w:rsid w:val="00DC5C36"/>
    <w:rsid w:val="00DC7485"/>
    <w:rsid w:val="00DD0FD2"/>
    <w:rsid w:val="00DD1DC2"/>
    <w:rsid w:val="00DD2203"/>
    <w:rsid w:val="00DD328E"/>
    <w:rsid w:val="00DD410C"/>
    <w:rsid w:val="00DD429A"/>
    <w:rsid w:val="00DD4B81"/>
    <w:rsid w:val="00DD5081"/>
    <w:rsid w:val="00DD530E"/>
    <w:rsid w:val="00DD62A1"/>
    <w:rsid w:val="00DD6C30"/>
    <w:rsid w:val="00DE03A9"/>
    <w:rsid w:val="00DE0C48"/>
    <w:rsid w:val="00DE193B"/>
    <w:rsid w:val="00DE2B83"/>
    <w:rsid w:val="00DE3132"/>
    <w:rsid w:val="00DE360C"/>
    <w:rsid w:val="00DE3B15"/>
    <w:rsid w:val="00DE58A8"/>
    <w:rsid w:val="00DE69CD"/>
    <w:rsid w:val="00DE74C9"/>
    <w:rsid w:val="00DF11D3"/>
    <w:rsid w:val="00DF1A4B"/>
    <w:rsid w:val="00DF1E6C"/>
    <w:rsid w:val="00DF3111"/>
    <w:rsid w:val="00DF47B7"/>
    <w:rsid w:val="00DF4AE6"/>
    <w:rsid w:val="00DF6BAC"/>
    <w:rsid w:val="00DF7094"/>
    <w:rsid w:val="00DF721B"/>
    <w:rsid w:val="00DF7DFE"/>
    <w:rsid w:val="00E01DD1"/>
    <w:rsid w:val="00E02224"/>
    <w:rsid w:val="00E02C2C"/>
    <w:rsid w:val="00E0313F"/>
    <w:rsid w:val="00E0461F"/>
    <w:rsid w:val="00E05AD3"/>
    <w:rsid w:val="00E05DF1"/>
    <w:rsid w:val="00E11185"/>
    <w:rsid w:val="00E12368"/>
    <w:rsid w:val="00E12BCE"/>
    <w:rsid w:val="00E12CF4"/>
    <w:rsid w:val="00E12D4D"/>
    <w:rsid w:val="00E13F07"/>
    <w:rsid w:val="00E144F4"/>
    <w:rsid w:val="00E1620C"/>
    <w:rsid w:val="00E1738C"/>
    <w:rsid w:val="00E17BD0"/>
    <w:rsid w:val="00E17C8A"/>
    <w:rsid w:val="00E20C2D"/>
    <w:rsid w:val="00E22C22"/>
    <w:rsid w:val="00E258E9"/>
    <w:rsid w:val="00E27EB8"/>
    <w:rsid w:val="00E312D1"/>
    <w:rsid w:val="00E315CE"/>
    <w:rsid w:val="00E343DA"/>
    <w:rsid w:val="00E34E22"/>
    <w:rsid w:val="00E3663C"/>
    <w:rsid w:val="00E4177F"/>
    <w:rsid w:val="00E41ECB"/>
    <w:rsid w:val="00E4281E"/>
    <w:rsid w:val="00E43FB1"/>
    <w:rsid w:val="00E43FC2"/>
    <w:rsid w:val="00E4463C"/>
    <w:rsid w:val="00E4514A"/>
    <w:rsid w:val="00E4529E"/>
    <w:rsid w:val="00E455FF"/>
    <w:rsid w:val="00E510D9"/>
    <w:rsid w:val="00E52286"/>
    <w:rsid w:val="00E539F9"/>
    <w:rsid w:val="00E62089"/>
    <w:rsid w:val="00E623FA"/>
    <w:rsid w:val="00E63C05"/>
    <w:rsid w:val="00E6705E"/>
    <w:rsid w:val="00E670E4"/>
    <w:rsid w:val="00E67729"/>
    <w:rsid w:val="00E679FF"/>
    <w:rsid w:val="00E70A97"/>
    <w:rsid w:val="00E71274"/>
    <w:rsid w:val="00E75DFD"/>
    <w:rsid w:val="00E76789"/>
    <w:rsid w:val="00E834FE"/>
    <w:rsid w:val="00E8582E"/>
    <w:rsid w:val="00E8693E"/>
    <w:rsid w:val="00E86A41"/>
    <w:rsid w:val="00E875B8"/>
    <w:rsid w:val="00E91FD2"/>
    <w:rsid w:val="00E925C5"/>
    <w:rsid w:val="00E92B92"/>
    <w:rsid w:val="00E92BA5"/>
    <w:rsid w:val="00E93B6F"/>
    <w:rsid w:val="00E93BF8"/>
    <w:rsid w:val="00E95A17"/>
    <w:rsid w:val="00E972B8"/>
    <w:rsid w:val="00E97A48"/>
    <w:rsid w:val="00EA3C29"/>
    <w:rsid w:val="00EA498C"/>
    <w:rsid w:val="00EA51F9"/>
    <w:rsid w:val="00EA71F2"/>
    <w:rsid w:val="00EA76A4"/>
    <w:rsid w:val="00EA7E24"/>
    <w:rsid w:val="00EB042F"/>
    <w:rsid w:val="00EB1E5D"/>
    <w:rsid w:val="00EB3715"/>
    <w:rsid w:val="00EB3EDA"/>
    <w:rsid w:val="00EB445D"/>
    <w:rsid w:val="00EB45F7"/>
    <w:rsid w:val="00EB4676"/>
    <w:rsid w:val="00EB53D0"/>
    <w:rsid w:val="00EB6E1F"/>
    <w:rsid w:val="00EB6F72"/>
    <w:rsid w:val="00EB76B4"/>
    <w:rsid w:val="00EB77B9"/>
    <w:rsid w:val="00EB77E8"/>
    <w:rsid w:val="00EC0131"/>
    <w:rsid w:val="00EC06C0"/>
    <w:rsid w:val="00EC0A09"/>
    <w:rsid w:val="00EC0ADF"/>
    <w:rsid w:val="00EC1F07"/>
    <w:rsid w:val="00EC4063"/>
    <w:rsid w:val="00EC7172"/>
    <w:rsid w:val="00ED10A0"/>
    <w:rsid w:val="00ED325D"/>
    <w:rsid w:val="00ED347B"/>
    <w:rsid w:val="00ED4F4C"/>
    <w:rsid w:val="00ED675D"/>
    <w:rsid w:val="00EE2839"/>
    <w:rsid w:val="00EE508E"/>
    <w:rsid w:val="00EE671F"/>
    <w:rsid w:val="00EE789A"/>
    <w:rsid w:val="00EF38E6"/>
    <w:rsid w:val="00EF4952"/>
    <w:rsid w:val="00EF53E5"/>
    <w:rsid w:val="00EF5D49"/>
    <w:rsid w:val="00EF736C"/>
    <w:rsid w:val="00F015C3"/>
    <w:rsid w:val="00F02F33"/>
    <w:rsid w:val="00F03B08"/>
    <w:rsid w:val="00F05ED2"/>
    <w:rsid w:val="00F0712D"/>
    <w:rsid w:val="00F122D5"/>
    <w:rsid w:val="00F147E9"/>
    <w:rsid w:val="00F14D27"/>
    <w:rsid w:val="00F155B0"/>
    <w:rsid w:val="00F162C8"/>
    <w:rsid w:val="00F16BFF"/>
    <w:rsid w:val="00F176B3"/>
    <w:rsid w:val="00F2169C"/>
    <w:rsid w:val="00F218F3"/>
    <w:rsid w:val="00F23504"/>
    <w:rsid w:val="00F24ADE"/>
    <w:rsid w:val="00F25B2B"/>
    <w:rsid w:val="00F25C69"/>
    <w:rsid w:val="00F2618B"/>
    <w:rsid w:val="00F27107"/>
    <w:rsid w:val="00F30C57"/>
    <w:rsid w:val="00F31273"/>
    <w:rsid w:val="00F31B4C"/>
    <w:rsid w:val="00F320D1"/>
    <w:rsid w:val="00F338C2"/>
    <w:rsid w:val="00F34160"/>
    <w:rsid w:val="00F34A2E"/>
    <w:rsid w:val="00F3536C"/>
    <w:rsid w:val="00F357C2"/>
    <w:rsid w:val="00F35990"/>
    <w:rsid w:val="00F36191"/>
    <w:rsid w:val="00F36D70"/>
    <w:rsid w:val="00F370D7"/>
    <w:rsid w:val="00F41182"/>
    <w:rsid w:val="00F41435"/>
    <w:rsid w:val="00F43CB4"/>
    <w:rsid w:val="00F4698E"/>
    <w:rsid w:val="00F46AB7"/>
    <w:rsid w:val="00F54455"/>
    <w:rsid w:val="00F57280"/>
    <w:rsid w:val="00F615A1"/>
    <w:rsid w:val="00F627DA"/>
    <w:rsid w:val="00F63B13"/>
    <w:rsid w:val="00F6450D"/>
    <w:rsid w:val="00F67619"/>
    <w:rsid w:val="00F70C46"/>
    <w:rsid w:val="00F71409"/>
    <w:rsid w:val="00F7334F"/>
    <w:rsid w:val="00F7355A"/>
    <w:rsid w:val="00F745CC"/>
    <w:rsid w:val="00F753FC"/>
    <w:rsid w:val="00F81C59"/>
    <w:rsid w:val="00F82814"/>
    <w:rsid w:val="00F8351A"/>
    <w:rsid w:val="00F83598"/>
    <w:rsid w:val="00F85777"/>
    <w:rsid w:val="00F85813"/>
    <w:rsid w:val="00F90A59"/>
    <w:rsid w:val="00F92943"/>
    <w:rsid w:val="00F93941"/>
    <w:rsid w:val="00F93AF7"/>
    <w:rsid w:val="00F95E18"/>
    <w:rsid w:val="00F963E1"/>
    <w:rsid w:val="00F96B09"/>
    <w:rsid w:val="00F97608"/>
    <w:rsid w:val="00FA1A64"/>
    <w:rsid w:val="00FA1E5A"/>
    <w:rsid w:val="00FA206B"/>
    <w:rsid w:val="00FA36EF"/>
    <w:rsid w:val="00FA43E3"/>
    <w:rsid w:val="00FA486D"/>
    <w:rsid w:val="00FA59F5"/>
    <w:rsid w:val="00FA6BBF"/>
    <w:rsid w:val="00FB0AC8"/>
    <w:rsid w:val="00FB24B3"/>
    <w:rsid w:val="00FB2B06"/>
    <w:rsid w:val="00FB2C11"/>
    <w:rsid w:val="00FB2CD3"/>
    <w:rsid w:val="00FB3577"/>
    <w:rsid w:val="00FB3AB6"/>
    <w:rsid w:val="00FB6466"/>
    <w:rsid w:val="00FB7610"/>
    <w:rsid w:val="00FC06B4"/>
    <w:rsid w:val="00FC1FA0"/>
    <w:rsid w:val="00FC3AEB"/>
    <w:rsid w:val="00FC3FC2"/>
    <w:rsid w:val="00FC4489"/>
    <w:rsid w:val="00FC4EE8"/>
    <w:rsid w:val="00FC686D"/>
    <w:rsid w:val="00FC6D96"/>
    <w:rsid w:val="00FC7962"/>
    <w:rsid w:val="00FC7AFE"/>
    <w:rsid w:val="00FD0BA3"/>
    <w:rsid w:val="00FD182C"/>
    <w:rsid w:val="00FD3953"/>
    <w:rsid w:val="00FD4666"/>
    <w:rsid w:val="00FD72C1"/>
    <w:rsid w:val="00FD7307"/>
    <w:rsid w:val="00FE18ED"/>
    <w:rsid w:val="00FE37F5"/>
    <w:rsid w:val="00FE3F99"/>
    <w:rsid w:val="00FE43E0"/>
    <w:rsid w:val="00FE5D1A"/>
    <w:rsid w:val="00FF11D6"/>
    <w:rsid w:val="00FF1400"/>
    <w:rsid w:val="00FF2183"/>
    <w:rsid w:val="00FF2736"/>
    <w:rsid w:val="00FF3E3C"/>
    <w:rsid w:val="00FF43CB"/>
    <w:rsid w:val="00FF5140"/>
    <w:rsid w:val="00FF69B7"/>
    <w:rsid w:val="00FF7FE5"/>
  </w:rsids>
  <m:mathPr>
    <m:mathFont m:val="Cambria Math"/>
    <m:brkBin m:val="before"/>
    <m:brkBinSub m:val="--"/>
    <m:smallFrac/>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65C9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B7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10E57"/>
    <w:rPr>
      <w:rFonts w:ascii="Lucida Grande" w:hAnsi="Lucida Grande"/>
      <w:sz w:val="18"/>
      <w:szCs w:val="18"/>
    </w:rPr>
  </w:style>
  <w:style w:type="character" w:customStyle="1" w:styleId="BalloonTextChar">
    <w:name w:val="Balloon Text Char"/>
    <w:basedOn w:val="DefaultParagraphFont"/>
    <w:uiPriority w:val="99"/>
    <w:semiHidden/>
    <w:rsid w:val="00175A7B"/>
    <w:rPr>
      <w:rFonts w:ascii="Lucida Grande" w:hAnsi="Lucida Grande" w:cs="Lucida Grande"/>
      <w:sz w:val="18"/>
      <w:szCs w:val="18"/>
    </w:rPr>
  </w:style>
  <w:style w:type="paragraph" w:styleId="FootnoteText">
    <w:name w:val="footnote text"/>
    <w:basedOn w:val="Normal"/>
    <w:link w:val="FootnoteTextChar"/>
    <w:unhideWhenUsed/>
    <w:rsid w:val="003617C1"/>
  </w:style>
  <w:style w:type="character" w:customStyle="1" w:styleId="FootnoteTextChar">
    <w:name w:val="Footnote Text Char"/>
    <w:link w:val="FootnoteText"/>
    <w:rsid w:val="003617C1"/>
    <w:rPr>
      <w:lang w:val="en-GB"/>
    </w:rPr>
  </w:style>
  <w:style w:type="character" w:styleId="FootnoteReference">
    <w:name w:val="footnote reference"/>
    <w:unhideWhenUsed/>
    <w:rsid w:val="003617C1"/>
    <w:rPr>
      <w:vertAlign w:val="superscript"/>
    </w:rPr>
  </w:style>
  <w:style w:type="character" w:styleId="Hyperlink">
    <w:name w:val="Hyperlink"/>
    <w:basedOn w:val="DefaultParagraphFont"/>
    <w:uiPriority w:val="99"/>
    <w:unhideWhenUsed/>
    <w:rsid w:val="003B3CFC"/>
    <w:rPr>
      <w:color w:val="0000FF" w:themeColor="hyperlink"/>
      <w:u w:val="single"/>
    </w:rPr>
  </w:style>
  <w:style w:type="character" w:customStyle="1" w:styleId="apple-converted-space">
    <w:name w:val="apple-converted-space"/>
    <w:basedOn w:val="DefaultParagraphFont"/>
    <w:rsid w:val="007C0EC0"/>
  </w:style>
  <w:style w:type="character" w:customStyle="1" w:styleId="BalloonTextChar1">
    <w:name w:val="Balloon Text Char1"/>
    <w:basedOn w:val="DefaultParagraphFont"/>
    <w:link w:val="BalloonText"/>
    <w:uiPriority w:val="99"/>
    <w:semiHidden/>
    <w:rsid w:val="00A10E57"/>
    <w:rPr>
      <w:rFonts w:ascii="Lucida Grande" w:hAnsi="Lucida Grande"/>
      <w:sz w:val="18"/>
      <w:szCs w:val="18"/>
    </w:rPr>
  </w:style>
  <w:style w:type="character" w:styleId="CommentReference">
    <w:name w:val="annotation reference"/>
    <w:basedOn w:val="DefaultParagraphFont"/>
    <w:uiPriority w:val="99"/>
    <w:semiHidden/>
    <w:unhideWhenUsed/>
    <w:rsid w:val="00A10E57"/>
    <w:rPr>
      <w:sz w:val="18"/>
      <w:szCs w:val="18"/>
    </w:rPr>
  </w:style>
  <w:style w:type="paragraph" w:styleId="CommentText">
    <w:name w:val="annotation text"/>
    <w:basedOn w:val="Normal"/>
    <w:link w:val="CommentTextChar"/>
    <w:uiPriority w:val="99"/>
    <w:semiHidden/>
    <w:unhideWhenUsed/>
    <w:rsid w:val="00A10E57"/>
  </w:style>
  <w:style w:type="character" w:customStyle="1" w:styleId="CommentTextChar">
    <w:name w:val="Comment Text Char"/>
    <w:basedOn w:val="DefaultParagraphFont"/>
    <w:link w:val="CommentText"/>
    <w:uiPriority w:val="99"/>
    <w:semiHidden/>
    <w:rsid w:val="00A10E57"/>
    <w:rPr>
      <w:sz w:val="24"/>
      <w:szCs w:val="24"/>
    </w:rPr>
  </w:style>
  <w:style w:type="paragraph" w:styleId="CommentSubject">
    <w:name w:val="annotation subject"/>
    <w:basedOn w:val="CommentText"/>
    <w:next w:val="CommentText"/>
    <w:link w:val="CommentSubjectChar"/>
    <w:uiPriority w:val="99"/>
    <w:semiHidden/>
    <w:unhideWhenUsed/>
    <w:rsid w:val="00A10E57"/>
    <w:rPr>
      <w:b/>
      <w:bCs/>
      <w:sz w:val="20"/>
      <w:szCs w:val="20"/>
    </w:rPr>
  </w:style>
  <w:style w:type="character" w:customStyle="1" w:styleId="CommentSubjectChar">
    <w:name w:val="Comment Subject Char"/>
    <w:basedOn w:val="CommentTextChar"/>
    <w:link w:val="CommentSubject"/>
    <w:uiPriority w:val="99"/>
    <w:semiHidden/>
    <w:rsid w:val="00A10E57"/>
    <w:rPr>
      <w:b/>
      <w:bCs/>
      <w:sz w:val="24"/>
      <w:szCs w:val="24"/>
    </w:rPr>
  </w:style>
  <w:style w:type="paragraph" w:styleId="Revision">
    <w:name w:val="Revision"/>
    <w:hidden/>
    <w:uiPriority w:val="99"/>
    <w:semiHidden/>
    <w:rsid w:val="00B84E82"/>
  </w:style>
  <w:style w:type="paragraph" w:styleId="Footer">
    <w:name w:val="footer"/>
    <w:basedOn w:val="Normal"/>
    <w:link w:val="FooterChar"/>
    <w:unhideWhenUsed/>
    <w:rsid w:val="00CE4458"/>
    <w:pPr>
      <w:tabs>
        <w:tab w:val="center" w:pos="4320"/>
        <w:tab w:val="right" w:pos="8640"/>
      </w:tabs>
    </w:pPr>
  </w:style>
  <w:style w:type="character" w:customStyle="1" w:styleId="FooterChar">
    <w:name w:val="Footer Char"/>
    <w:basedOn w:val="DefaultParagraphFont"/>
    <w:link w:val="Footer"/>
    <w:rsid w:val="00CE4458"/>
    <w:rPr>
      <w:sz w:val="24"/>
      <w:szCs w:val="24"/>
    </w:rPr>
  </w:style>
  <w:style w:type="character" w:styleId="PageNumber">
    <w:name w:val="page number"/>
    <w:basedOn w:val="DefaultParagraphFont"/>
    <w:unhideWhenUsed/>
    <w:rsid w:val="00CE4458"/>
  </w:style>
  <w:style w:type="paragraph" w:styleId="Header">
    <w:name w:val="header"/>
    <w:basedOn w:val="Normal"/>
    <w:link w:val="HeaderChar"/>
    <w:uiPriority w:val="99"/>
    <w:unhideWhenUsed/>
    <w:rsid w:val="009263F6"/>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9263F6"/>
    <w:rPr>
      <w:rFonts w:asciiTheme="minorHAnsi" w:eastAsiaTheme="minorEastAsia" w:hAnsiTheme="minorHAnsi" w:cstheme="minorBidi"/>
      <w:lang w:eastAsia="ja-JP"/>
    </w:rPr>
  </w:style>
  <w:style w:type="paragraph" w:styleId="ListParagraph">
    <w:name w:val="List Paragraph"/>
    <w:basedOn w:val="Normal"/>
    <w:uiPriority w:val="34"/>
    <w:qFormat/>
    <w:rsid w:val="00167AFF"/>
    <w:pPr>
      <w:ind w:left="720"/>
      <w:contextualSpacing/>
    </w:pPr>
  </w:style>
  <w:style w:type="character" w:styleId="FollowedHyperlink">
    <w:name w:val="FollowedHyperlink"/>
    <w:basedOn w:val="DefaultParagraphFont"/>
    <w:uiPriority w:val="99"/>
    <w:semiHidden/>
    <w:unhideWhenUsed/>
    <w:rsid w:val="0094619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4B7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A10E57"/>
    <w:rPr>
      <w:rFonts w:ascii="Lucida Grande" w:hAnsi="Lucida Grande"/>
      <w:sz w:val="18"/>
      <w:szCs w:val="18"/>
    </w:rPr>
  </w:style>
  <w:style w:type="character" w:customStyle="1" w:styleId="BalloonTextChar">
    <w:name w:val="Balloon Text Char"/>
    <w:basedOn w:val="DefaultParagraphFont"/>
    <w:uiPriority w:val="99"/>
    <w:semiHidden/>
    <w:rsid w:val="00175A7B"/>
    <w:rPr>
      <w:rFonts w:ascii="Lucida Grande" w:hAnsi="Lucida Grande" w:cs="Lucida Grande"/>
      <w:sz w:val="18"/>
      <w:szCs w:val="18"/>
    </w:rPr>
  </w:style>
  <w:style w:type="paragraph" w:styleId="FootnoteText">
    <w:name w:val="footnote text"/>
    <w:basedOn w:val="Normal"/>
    <w:link w:val="FootnoteTextChar"/>
    <w:unhideWhenUsed/>
    <w:rsid w:val="003617C1"/>
  </w:style>
  <w:style w:type="character" w:customStyle="1" w:styleId="FootnoteTextChar">
    <w:name w:val="Footnote Text Char"/>
    <w:link w:val="FootnoteText"/>
    <w:rsid w:val="003617C1"/>
    <w:rPr>
      <w:lang w:val="en-GB"/>
    </w:rPr>
  </w:style>
  <w:style w:type="character" w:styleId="FootnoteReference">
    <w:name w:val="footnote reference"/>
    <w:unhideWhenUsed/>
    <w:rsid w:val="003617C1"/>
    <w:rPr>
      <w:vertAlign w:val="superscript"/>
    </w:rPr>
  </w:style>
  <w:style w:type="character" w:styleId="Hyperlink">
    <w:name w:val="Hyperlink"/>
    <w:basedOn w:val="DefaultParagraphFont"/>
    <w:uiPriority w:val="99"/>
    <w:unhideWhenUsed/>
    <w:rsid w:val="003B3CFC"/>
    <w:rPr>
      <w:color w:val="0000FF" w:themeColor="hyperlink"/>
      <w:u w:val="single"/>
    </w:rPr>
  </w:style>
  <w:style w:type="character" w:customStyle="1" w:styleId="apple-converted-space">
    <w:name w:val="apple-converted-space"/>
    <w:basedOn w:val="DefaultParagraphFont"/>
    <w:rsid w:val="007C0EC0"/>
  </w:style>
  <w:style w:type="character" w:customStyle="1" w:styleId="BalloonTextChar1">
    <w:name w:val="Balloon Text Char1"/>
    <w:basedOn w:val="DefaultParagraphFont"/>
    <w:link w:val="BalloonText"/>
    <w:uiPriority w:val="99"/>
    <w:semiHidden/>
    <w:rsid w:val="00A10E57"/>
    <w:rPr>
      <w:rFonts w:ascii="Lucida Grande" w:hAnsi="Lucida Grande"/>
      <w:sz w:val="18"/>
      <w:szCs w:val="18"/>
    </w:rPr>
  </w:style>
  <w:style w:type="character" w:styleId="CommentReference">
    <w:name w:val="annotation reference"/>
    <w:basedOn w:val="DefaultParagraphFont"/>
    <w:uiPriority w:val="99"/>
    <w:semiHidden/>
    <w:unhideWhenUsed/>
    <w:rsid w:val="00A10E57"/>
    <w:rPr>
      <w:sz w:val="18"/>
      <w:szCs w:val="18"/>
    </w:rPr>
  </w:style>
  <w:style w:type="paragraph" w:styleId="CommentText">
    <w:name w:val="annotation text"/>
    <w:basedOn w:val="Normal"/>
    <w:link w:val="CommentTextChar"/>
    <w:uiPriority w:val="99"/>
    <w:semiHidden/>
    <w:unhideWhenUsed/>
    <w:rsid w:val="00A10E57"/>
  </w:style>
  <w:style w:type="character" w:customStyle="1" w:styleId="CommentTextChar">
    <w:name w:val="Comment Text Char"/>
    <w:basedOn w:val="DefaultParagraphFont"/>
    <w:link w:val="CommentText"/>
    <w:uiPriority w:val="99"/>
    <w:semiHidden/>
    <w:rsid w:val="00A10E57"/>
    <w:rPr>
      <w:sz w:val="24"/>
      <w:szCs w:val="24"/>
    </w:rPr>
  </w:style>
  <w:style w:type="paragraph" w:styleId="CommentSubject">
    <w:name w:val="annotation subject"/>
    <w:basedOn w:val="CommentText"/>
    <w:next w:val="CommentText"/>
    <w:link w:val="CommentSubjectChar"/>
    <w:uiPriority w:val="99"/>
    <w:semiHidden/>
    <w:unhideWhenUsed/>
    <w:rsid w:val="00A10E57"/>
    <w:rPr>
      <w:b/>
      <w:bCs/>
      <w:sz w:val="20"/>
      <w:szCs w:val="20"/>
    </w:rPr>
  </w:style>
  <w:style w:type="character" w:customStyle="1" w:styleId="CommentSubjectChar">
    <w:name w:val="Comment Subject Char"/>
    <w:basedOn w:val="CommentTextChar"/>
    <w:link w:val="CommentSubject"/>
    <w:uiPriority w:val="99"/>
    <w:semiHidden/>
    <w:rsid w:val="00A10E57"/>
    <w:rPr>
      <w:b/>
      <w:bCs/>
      <w:sz w:val="24"/>
      <w:szCs w:val="24"/>
    </w:rPr>
  </w:style>
  <w:style w:type="paragraph" w:styleId="Revision">
    <w:name w:val="Revision"/>
    <w:hidden/>
    <w:uiPriority w:val="99"/>
    <w:semiHidden/>
    <w:rsid w:val="00B84E82"/>
  </w:style>
  <w:style w:type="paragraph" w:styleId="Footer">
    <w:name w:val="footer"/>
    <w:basedOn w:val="Normal"/>
    <w:link w:val="FooterChar"/>
    <w:unhideWhenUsed/>
    <w:rsid w:val="00CE4458"/>
    <w:pPr>
      <w:tabs>
        <w:tab w:val="center" w:pos="4320"/>
        <w:tab w:val="right" w:pos="8640"/>
      </w:tabs>
    </w:pPr>
  </w:style>
  <w:style w:type="character" w:customStyle="1" w:styleId="FooterChar">
    <w:name w:val="Footer Char"/>
    <w:basedOn w:val="DefaultParagraphFont"/>
    <w:link w:val="Footer"/>
    <w:rsid w:val="00CE4458"/>
    <w:rPr>
      <w:sz w:val="24"/>
      <w:szCs w:val="24"/>
    </w:rPr>
  </w:style>
  <w:style w:type="character" w:styleId="PageNumber">
    <w:name w:val="page number"/>
    <w:basedOn w:val="DefaultParagraphFont"/>
    <w:unhideWhenUsed/>
    <w:rsid w:val="00CE4458"/>
  </w:style>
  <w:style w:type="paragraph" w:styleId="Header">
    <w:name w:val="header"/>
    <w:basedOn w:val="Normal"/>
    <w:link w:val="HeaderChar"/>
    <w:uiPriority w:val="99"/>
    <w:unhideWhenUsed/>
    <w:rsid w:val="009263F6"/>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uiPriority w:val="99"/>
    <w:rsid w:val="009263F6"/>
    <w:rPr>
      <w:rFonts w:asciiTheme="minorHAnsi" w:eastAsiaTheme="minorEastAsia" w:hAnsiTheme="minorHAnsi" w:cstheme="minorBidi"/>
      <w:lang w:eastAsia="ja-JP"/>
    </w:rPr>
  </w:style>
  <w:style w:type="paragraph" w:styleId="ListParagraph">
    <w:name w:val="List Paragraph"/>
    <w:basedOn w:val="Normal"/>
    <w:uiPriority w:val="34"/>
    <w:qFormat/>
    <w:rsid w:val="00167AFF"/>
    <w:pPr>
      <w:ind w:left="720"/>
      <w:contextualSpacing/>
    </w:pPr>
  </w:style>
  <w:style w:type="character" w:styleId="FollowedHyperlink">
    <w:name w:val="FollowedHyperlink"/>
    <w:basedOn w:val="DefaultParagraphFont"/>
    <w:uiPriority w:val="99"/>
    <w:semiHidden/>
    <w:unhideWhenUsed/>
    <w:rsid w:val="009461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492720">
      <w:bodyDiv w:val="1"/>
      <w:marLeft w:val="0"/>
      <w:marRight w:val="0"/>
      <w:marTop w:val="0"/>
      <w:marBottom w:val="0"/>
      <w:divBdr>
        <w:top w:val="none" w:sz="0" w:space="0" w:color="auto"/>
        <w:left w:val="none" w:sz="0" w:space="0" w:color="auto"/>
        <w:bottom w:val="none" w:sz="0" w:space="0" w:color="auto"/>
        <w:right w:val="none" w:sz="0" w:space="0" w:color="auto"/>
      </w:divBdr>
    </w:div>
    <w:div w:id="1192258090">
      <w:bodyDiv w:val="1"/>
      <w:marLeft w:val="0"/>
      <w:marRight w:val="0"/>
      <w:marTop w:val="0"/>
      <w:marBottom w:val="0"/>
      <w:divBdr>
        <w:top w:val="none" w:sz="0" w:space="0" w:color="auto"/>
        <w:left w:val="none" w:sz="0" w:space="0" w:color="auto"/>
        <w:bottom w:val="none" w:sz="0" w:space="0" w:color="auto"/>
        <w:right w:val="none" w:sz="0" w:space="0" w:color="auto"/>
      </w:divBdr>
      <w:divsChild>
        <w:div w:id="9141273">
          <w:marLeft w:val="0"/>
          <w:marRight w:val="0"/>
          <w:marTop w:val="0"/>
          <w:marBottom w:val="0"/>
          <w:divBdr>
            <w:top w:val="none" w:sz="0" w:space="0" w:color="auto"/>
            <w:left w:val="none" w:sz="0" w:space="0" w:color="auto"/>
            <w:bottom w:val="none" w:sz="0" w:space="0" w:color="auto"/>
            <w:right w:val="none" w:sz="0" w:space="0" w:color="auto"/>
          </w:divBdr>
        </w:div>
        <w:div w:id="1830748572">
          <w:marLeft w:val="0"/>
          <w:marRight w:val="0"/>
          <w:marTop w:val="0"/>
          <w:marBottom w:val="0"/>
          <w:divBdr>
            <w:top w:val="none" w:sz="0" w:space="0" w:color="auto"/>
            <w:left w:val="none" w:sz="0" w:space="0" w:color="auto"/>
            <w:bottom w:val="none" w:sz="0" w:space="0" w:color="auto"/>
            <w:right w:val="none" w:sz="0" w:space="0" w:color="auto"/>
          </w:divBdr>
        </w:div>
      </w:divsChild>
    </w:div>
    <w:div w:id="1351032065">
      <w:bodyDiv w:val="1"/>
      <w:marLeft w:val="0"/>
      <w:marRight w:val="0"/>
      <w:marTop w:val="0"/>
      <w:marBottom w:val="0"/>
      <w:divBdr>
        <w:top w:val="none" w:sz="0" w:space="0" w:color="auto"/>
        <w:left w:val="none" w:sz="0" w:space="0" w:color="auto"/>
        <w:bottom w:val="none" w:sz="0" w:space="0" w:color="auto"/>
        <w:right w:val="none" w:sz="0" w:space="0" w:color="auto"/>
      </w:divBdr>
    </w:div>
    <w:div w:id="1447500344">
      <w:bodyDiv w:val="1"/>
      <w:marLeft w:val="0"/>
      <w:marRight w:val="0"/>
      <w:marTop w:val="0"/>
      <w:marBottom w:val="0"/>
      <w:divBdr>
        <w:top w:val="none" w:sz="0" w:space="0" w:color="auto"/>
        <w:left w:val="none" w:sz="0" w:space="0" w:color="auto"/>
        <w:bottom w:val="none" w:sz="0" w:space="0" w:color="auto"/>
        <w:right w:val="none" w:sz="0" w:space="0" w:color="auto"/>
      </w:divBdr>
    </w:div>
    <w:div w:id="1766151179">
      <w:bodyDiv w:val="1"/>
      <w:marLeft w:val="0"/>
      <w:marRight w:val="0"/>
      <w:marTop w:val="0"/>
      <w:marBottom w:val="0"/>
      <w:divBdr>
        <w:top w:val="none" w:sz="0" w:space="0" w:color="auto"/>
        <w:left w:val="none" w:sz="0" w:space="0" w:color="auto"/>
        <w:bottom w:val="none" w:sz="0" w:space="0" w:color="auto"/>
        <w:right w:val="none" w:sz="0" w:space="0" w:color="auto"/>
      </w:divBdr>
    </w:div>
    <w:div w:id="1940720422">
      <w:bodyDiv w:val="1"/>
      <w:marLeft w:val="0"/>
      <w:marRight w:val="0"/>
      <w:marTop w:val="0"/>
      <w:marBottom w:val="0"/>
      <w:divBdr>
        <w:top w:val="none" w:sz="0" w:space="0" w:color="auto"/>
        <w:left w:val="none" w:sz="0" w:space="0" w:color="auto"/>
        <w:bottom w:val="none" w:sz="0" w:space="0" w:color="auto"/>
        <w:right w:val="none" w:sz="0" w:space="0" w:color="auto"/>
      </w:divBdr>
      <w:divsChild>
        <w:div w:id="38752254">
          <w:marLeft w:val="0"/>
          <w:marRight w:val="0"/>
          <w:marTop w:val="0"/>
          <w:marBottom w:val="0"/>
          <w:divBdr>
            <w:top w:val="none" w:sz="0" w:space="0" w:color="auto"/>
            <w:left w:val="none" w:sz="0" w:space="0" w:color="auto"/>
            <w:bottom w:val="none" w:sz="0" w:space="0" w:color="auto"/>
            <w:right w:val="none" w:sz="0" w:space="0" w:color="auto"/>
          </w:divBdr>
        </w:div>
        <w:div w:id="44186318">
          <w:marLeft w:val="0"/>
          <w:marRight w:val="0"/>
          <w:marTop w:val="0"/>
          <w:marBottom w:val="0"/>
          <w:divBdr>
            <w:top w:val="none" w:sz="0" w:space="0" w:color="auto"/>
            <w:left w:val="none" w:sz="0" w:space="0" w:color="auto"/>
            <w:bottom w:val="none" w:sz="0" w:space="0" w:color="auto"/>
            <w:right w:val="none" w:sz="0" w:space="0" w:color="auto"/>
          </w:divBdr>
        </w:div>
        <w:div w:id="143863226">
          <w:marLeft w:val="0"/>
          <w:marRight w:val="0"/>
          <w:marTop w:val="0"/>
          <w:marBottom w:val="0"/>
          <w:divBdr>
            <w:top w:val="none" w:sz="0" w:space="0" w:color="auto"/>
            <w:left w:val="none" w:sz="0" w:space="0" w:color="auto"/>
            <w:bottom w:val="none" w:sz="0" w:space="0" w:color="auto"/>
            <w:right w:val="none" w:sz="0" w:space="0" w:color="auto"/>
          </w:divBdr>
        </w:div>
        <w:div w:id="339508357">
          <w:marLeft w:val="0"/>
          <w:marRight w:val="0"/>
          <w:marTop w:val="0"/>
          <w:marBottom w:val="0"/>
          <w:divBdr>
            <w:top w:val="none" w:sz="0" w:space="0" w:color="auto"/>
            <w:left w:val="none" w:sz="0" w:space="0" w:color="auto"/>
            <w:bottom w:val="none" w:sz="0" w:space="0" w:color="auto"/>
            <w:right w:val="none" w:sz="0" w:space="0" w:color="auto"/>
          </w:divBdr>
        </w:div>
        <w:div w:id="549270362">
          <w:marLeft w:val="0"/>
          <w:marRight w:val="0"/>
          <w:marTop w:val="0"/>
          <w:marBottom w:val="0"/>
          <w:divBdr>
            <w:top w:val="none" w:sz="0" w:space="0" w:color="auto"/>
            <w:left w:val="none" w:sz="0" w:space="0" w:color="auto"/>
            <w:bottom w:val="none" w:sz="0" w:space="0" w:color="auto"/>
            <w:right w:val="none" w:sz="0" w:space="0" w:color="auto"/>
          </w:divBdr>
        </w:div>
        <w:div w:id="1016999365">
          <w:marLeft w:val="0"/>
          <w:marRight w:val="0"/>
          <w:marTop w:val="0"/>
          <w:marBottom w:val="0"/>
          <w:divBdr>
            <w:top w:val="none" w:sz="0" w:space="0" w:color="auto"/>
            <w:left w:val="none" w:sz="0" w:space="0" w:color="auto"/>
            <w:bottom w:val="none" w:sz="0" w:space="0" w:color="auto"/>
            <w:right w:val="none" w:sz="0" w:space="0" w:color="auto"/>
          </w:divBdr>
        </w:div>
        <w:div w:id="1638876051">
          <w:marLeft w:val="0"/>
          <w:marRight w:val="0"/>
          <w:marTop w:val="0"/>
          <w:marBottom w:val="0"/>
          <w:divBdr>
            <w:top w:val="none" w:sz="0" w:space="0" w:color="auto"/>
            <w:left w:val="none" w:sz="0" w:space="0" w:color="auto"/>
            <w:bottom w:val="none" w:sz="0" w:space="0" w:color="auto"/>
            <w:right w:val="none" w:sz="0" w:space="0" w:color="auto"/>
          </w:divBdr>
        </w:div>
      </w:divsChild>
    </w:div>
    <w:div w:id="1956061889">
      <w:bodyDiv w:val="1"/>
      <w:marLeft w:val="0"/>
      <w:marRight w:val="0"/>
      <w:marTop w:val="0"/>
      <w:marBottom w:val="0"/>
      <w:divBdr>
        <w:top w:val="none" w:sz="0" w:space="0" w:color="auto"/>
        <w:left w:val="none" w:sz="0" w:space="0" w:color="auto"/>
        <w:bottom w:val="none" w:sz="0" w:space="0" w:color="auto"/>
        <w:right w:val="none" w:sz="0" w:space="0" w:color="auto"/>
      </w:divBdr>
    </w:div>
    <w:div w:id="206806817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theme" Target="theme/theme1.xml"/><Relationship Id="rId8" Type="http://schemas.openxmlformats.org/officeDocument/2006/relationships/image" Target="media/image1.tiff"/><Relationship Id="rId3" Type="http://schemas.microsoft.com/office/2007/relationships/stylesWithEffects" Target="stylesWithEffects.xml"/><Relationship Id="rId21"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fontTable" Target="fontTable.xml"/><Relationship Id="rId7" Type="http://schemas.openxmlformats.org/officeDocument/2006/relationships/endnotes" Target="endnotes.xml"/><Relationship Id="rId16" Type="http://schemas.openxmlformats.org/officeDocument/2006/relationships/footer" Target="footer4.xml"/><Relationship Id="rId2" Type="http://schemas.openxmlformats.org/officeDocument/2006/relationships/styles" Target="styles.xml"/><Relationship Id="rId20" Type="http://schemas.openxmlformats.org/officeDocument/2006/relationships/customXml" Target="../customXml/item2.xml"/><Relationship Id="rId1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customXml" Target="../customXml/item1.xml"/><Relationship Id="rId1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info@icj.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crc.org/eng/what-we-do/other-activities/development-ihl/index.jsp" TargetMode="External"/><Relationship Id="rId4" Type="http://schemas.openxmlformats.org/officeDocument/2006/relationships/hyperlink" Target="http://www.icrc.org/eng/assets/files/other/irrc_858_pejic.pdf" TargetMode="External"/><Relationship Id="rId5" Type="http://schemas.openxmlformats.org/officeDocument/2006/relationships/hyperlink" Target="http://icj.wpengine.netdna-cdn.com/wp-content/uploads/2013/09/Statement-Kazakhstan-030913.pdf" TargetMode="External"/><Relationship Id="rId1" Type="http://schemas.openxmlformats.org/officeDocument/2006/relationships/hyperlink" Target="http://www.ohchr.org/EN/HRBodies/CCPR/Pages/DGCArticle9.aspx" TargetMode="External"/><Relationship Id="rId2" Type="http://schemas.openxmlformats.org/officeDocument/2006/relationships/hyperlink" Target="http://icj.wpengine.netdna-cdn.com/wp-content/uploads/2013/10/16-10-13-FINAL-Submission-DRAFT-GC35.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FC9E43-B06B-4406-941E-27A4AD806398}"/>
</file>

<file path=customXml/itemProps2.xml><?xml version="1.0" encoding="utf-8"?>
<ds:datastoreItem xmlns:ds="http://schemas.openxmlformats.org/officeDocument/2006/customXml" ds:itemID="{E6DF5CF6-02BE-4F91-9735-B25FF227A61E}"/>
</file>

<file path=customXml/itemProps3.xml><?xml version="1.0" encoding="utf-8"?>
<ds:datastoreItem xmlns:ds="http://schemas.openxmlformats.org/officeDocument/2006/customXml" ds:itemID="{9488731F-9E34-4A55-BE84-2BDF1F139913}"/>
</file>

<file path=docProps/app.xml><?xml version="1.0" encoding="utf-8"?>
<Properties xmlns="http://schemas.openxmlformats.org/officeDocument/2006/extended-properties" xmlns:vt="http://schemas.openxmlformats.org/officeDocument/2006/docPropsVTypes">
  <Template>Normal.dotm</Template>
  <TotalTime>242</TotalTime>
  <Pages>12</Pages>
  <Words>4392</Words>
  <Characters>25039</Characters>
  <Application>Microsoft Macintosh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ICJ</Company>
  <LinksUpToDate>false</LinksUpToDate>
  <CharactersWithSpaces>29373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Temur Shakirov</dc:creator>
  <cp:keywords/>
  <cp:lastModifiedBy>Livio</cp:lastModifiedBy>
  <cp:revision>149</cp:revision>
  <cp:lastPrinted>2013-10-11T16:03:00Z</cp:lastPrinted>
  <dcterms:created xsi:type="dcterms:W3CDTF">2014-06-01T15:32:00Z</dcterms:created>
  <dcterms:modified xsi:type="dcterms:W3CDTF">2014-06-01T20:54:00Z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2398500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