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60" w:rsidRPr="000F0C3B" w:rsidRDefault="00D70119" w:rsidP="00BB2912">
      <w:pPr>
        <w:spacing w:after="120" w:line="720" w:lineRule="auto"/>
        <w:jc w:val="center"/>
        <w:rPr>
          <w:rFonts w:ascii="Times New Roman" w:hAnsi="Times New Roman" w:cs="Times New Roman"/>
          <w:b/>
          <w:noProof/>
          <w:sz w:val="22"/>
          <w:szCs w:val="22"/>
          <w:lang w:val="en-US" w:eastAsia="da-DK"/>
        </w:rPr>
      </w:pPr>
      <w:r w:rsidRPr="00185ECE">
        <w:rPr>
          <w:noProof/>
          <w:lang w:val="da-DK" w:eastAsia="da-DK"/>
        </w:rPr>
        <w:drawing>
          <wp:inline distT="0" distB="0" distL="0" distR="0">
            <wp:extent cx="1407381" cy="670334"/>
            <wp:effectExtent l="0" t="0" r="2540" b="0"/>
            <wp:docPr id="2051" name="Picture 1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12" descr="im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258" cy="672657"/>
                    </a:xfrm>
                    <a:prstGeom prst="rect">
                      <a:avLst/>
                    </a:prstGeom>
                    <a:noFill/>
                    <a:ln>
                      <a:noFill/>
                    </a:ln>
                    <a:extLst/>
                  </pic:spPr>
                </pic:pic>
              </a:graphicData>
            </a:graphic>
          </wp:inline>
        </w:drawing>
      </w:r>
      <w:r w:rsidR="00BB2912" w:rsidRPr="000F0C3B">
        <w:rPr>
          <w:rFonts w:ascii="Times New Roman" w:hAnsi="Times New Roman" w:cs="Times New Roman"/>
          <w:b/>
          <w:noProof/>
          <w:sz w:val="22"/>
          <w:szCs w:val="22"/>
          <w:lang w:val="en-US" w:eastAsia="da-DK"/>
        </w:rPr>
        <w:t xml:space="preserve">      </w:t>
      </w:r>
      <w:r w:rsidR="00192683">
        <w:rPr>
          <w:rFonts w:ascii="Times New Roman" w:hAnsi="Times New Roman" w:cs="Times New Roman"/>
          <w:b/>
          <w:noProof/>
          <w:sz w:val="22"/>
          <w:szCs w:val="22"/>
          <w:lang w:val="da-DK" w:eastAsia="da-DK"/>
        </w:rPr>
        <w:drawing>
          <wp:inline distT="0" distB="0" distL="0" distR="0" wp14:anchorId="1FB56888" wp14:editId="0D77E4D4">
            <wp:extent cx="2218690" cy="620395"/>
            <wp:effectExtent l="0" t="0" r="0" b="8255"/>
            <wp:docPr id="1" name="Picture 1" descr="C:\Users\jop\Downloads\RED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Downloads\REDRES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8690" cy="620395"/>
                    </a:xfrm>
                    <a:prstGeom prst="rect">
                      <a:avLst/>
                    </a:prstGeom>
                    <a:noFill/>
                    <a:ln>
                      <a:noFill/>
                    </a:ln>
                  </pic:spPr>
                </pic:pic>
              </a:graphicData>
            </a:graphic>
          </wp:inline>
        </w:drawing>
      </w:r>
      <w:r w:rsidR="00F87E7E">
        <w:rPr>
          <w:rFonts w:ascii="Times New Roman" w:hAnsi="Times New Roman" w:cs="Times New Roman"/>
          <w:b/>
          <w:noProof/>
          <w:sz w:val="22"/>
          <w:szCs w:val="22"/>
          <w:lang w:val="da-DK" w:eastAsia="da-DK"/>
        </w:rPr>
        <w:drawing>
          <wp:inline distT="0" distB="0" distL="0" distR="0" wp14:anchorId="4B924E11" wp14:editId="46C9ACBB">
            <wp:extent cx="2245308" cy="834887"/>
            <wp:effectExtent l="0" t="0" r="3175" b="3810"/>
            <wp:docPr id="5" name="Picture 5" descr="C:\Users\jop\Downloads\logoACAT-FDorange_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p\Downloads\logoACAT-FDorange_ 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4791" cy="834695"/>
                    </a:xfrm>
                    <a:prstGeom prst="rect">
                      <a:avLst/>
                    </a:prstGeom>
                    <a:noFill/>
                    <a:ln>
                      <a:noFill/>
                    </a:ln>
                  </pic:spPr>
                </pic:pic>
              </a:graphicData>
            </a:graphic>
          </wp:inline>
        </w:drawing>
      </w:r>
      <w:r w:rsidR="00BB2912" w:rsidRPr="000F0C3B">
        <w:rPr>
          <w:rFonts w:ascii="Times New Roman" w:hAnsi="Times New Roman" w:cs="Times New Roman"/>
          <w:b/>
          <w:noProof/>
          <w:sz w:val="22"/>
          <w:szCs w:val="22"/>
          <w:lang w:val="en-US" w:eastAsia="da-DK"/>
        </w:rPr>
        <w:t xml:space="preserve">       </w:t>
      </w:r>
      <w:r w:rsidR="00F87E7E" w:rsidRPr="00CC58BA">
        <w:rPr>
          <w:rFonts w:ascii="Times New Roman" w:hAnsi="Times New Roman" w:cs="Times New Roman"/>
          <w:noProof/>
          <w:lang w:val="da-DK" w:eastAsia="da-DK"/>
        </w:rPr>
        <w:drawing>
          <wp:inline distT="0" distB="0" distL="0" distR="0" wp14:anchorId="54E7BE51" wp14:editId="597D1E50">
            <wp:extent cx="1554624" cy="962107"/>
            <wp:effectExtent l="0" t="0" r="0" b="0"/>
            <wp:docPr id="2" name="Image 1" descr="Macintosh HD:Users:nb:Library:Caches:TemporaryItems:Outlook Temp:Logos OMCT PDF:v1.0_logoEN_OMCT2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b:Library:Caches:TemporaryItems:Outlook Temp:Logos OMCT PDF:v1.0_logoEN_OMCT2013.pd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0003" t="28426" r="31018" b="37542"/>
                    <a:stretch/>
                  </pic:blipFill>
                  <pic:spPr bwMode="auto">
                    <a:xfrm>
                      <a:off x="0" y="0"/>
                      <a:ext cx="1559382" cy="965051"/>
                    </a:xfrm>
                    <a:prstGeom prst="rect">
                      <a:avLst/>
                    </a:prstGeom>
                    <a:noFill/>
                    <a:ln>
                      <a:noFill/>
                    </a:ln>
                    <a:extLst>
                      <a:ext uri="{53640926-AAD7-44D8-BBD7-CCE9431645EC}">
                        <a14:shadowObscured xmlns:a14="http://schemas.microsoft.com/office/drawing/2010/main"/>
                      </a:ext>
                    </a:extLst>
                  </pic:spPr>
                </pic:pic>
              </a:graphicData>
            </a:graphic>
          </wp:inline>
        </w:drawing>
      </w:r>
      <w:r w:rsidR="00F87E7E">
        <w:rPr>
          <w:rFonts w:ascii="Times New Roman" w:hAnsi="Times New Roman" w:cs="Times New Roman"/>
          <w:b/>
          <w:noProof/>
          <w:sz w:val="22"/>
          <w:szCs w:val="22"/>
          <w:lang w:val="da-DK" w:eastAsia="da-DK"/>
        </w:rPr>
        <w:drawing>
          <wp:inline distT="0" distB="0" distL="0" distR="0" wp14:anchorId="3000CAB1" wp14:editId="296CA3CC">
            <wp:extent cx="1510748" cy="1181757"/>
            <wp:effectExtent l="0" t="0" r="0" b="0"/>
            <wp:docPr id="3" name="Picture 3" descr="C:\Users\jop\Downloads\IRCT-logo-2-(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p\Downloads\IRCT-logo-2-(P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3616" cy="1184000"/>
                    </a:xfrm>
                    <a:prstGeom prst="rect">
                      <a:avLst/>
                    </a:prstGeom>
                    <a:noFill/>
                    <a:ln>
                      <a:noFill/>
                    </a:ln>
                  </pic:spPr>
                </pic:pic>
              </a:graphicData>
            </a:graphic>
          </wp:inline>
        </w:drawing>
      </w:r>
      <w:r w:rsidR="00BB2912" w:rsidRPr="000F0C3B">
        <w:rPr>
          <w:rFonts w:ascii="Times New Roman" w:hAnsi="Times New Roman" w:cs="Times New Roman"/>
          <w:b/>
          <w:noProof/>
          <w:sz w:val="22"/>
          <w:szCs w:val="22"/>
          <w:lang w:val="en-US" w:eastAsia="da-DK"/>
        </w:rPr>
        <w:t xml:space="preserve">       </w:t>
      </w:r>
      <w:r w:rsidR="00F87E7E">
        <w:rPr>
          <w:rFonts w:ascii="Times New Roman" w:hAnsi="Times New Roman" w:cs="Times New Roman"/>
          <w:b/>
          <w:noProof/>
          <w:sz w:val="22"/>
          <w:szCs w:val="22"/>
          <w:lang w:val="da-DK" w:eastAsia="da-DK"/>
        </w:rPr>
        <w:drawing>
          <wp:inline distT="0" distB="0" distL="0" distR="0" wp14:anchorId="18EA4430" wp14:editId="6E4691A5">
            <wp:extent cx="2522101" cy="1181100"/>
            <wp:effectExtent l="0" t="0" r="0" b="0"/>
            <wp:docPr id="4" name="Picture 4" descr="C:\Users\jop\Downloads\apt_logo English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p\Downloads\apt_logo English blu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144" cy="1180184"/>
                    </a:xfrm>
                    <a:prstGeom prst="rect">
                      <a:avLst/>
                    </a:prstGeom>
                    <a:noFill/>
                    <a:ln>
                      <a:noFill/>
                    </a:ln>
                  </pic:spPr>
                </pic:pic>
              </a:graphicData>
            </a:graphic>
          </wp:inline>
        </w:drawing>
      </w:r>
    </w:p>
    <w:p w:rsidR="00BB2912" w:rsidRDefault="00B903F0" w:rsidP="00BB2912">
      <w:pPr>
        <w:jc w:val="center"/>
        <w:rPr>
          <w:sz w:val="22"/>
        </w:rPr>
      </w:pPr>
      <w:r>
        <w:rPr>
          <w:rFonts w:ascii="Times New Roman" w:hAnsi="Times New Roman" w:cs="Times New Roman"/>
          <w:b/>
          <w:noProof/>
          <w:sz w:val="22"/>
          <w:szCs w:val="22"/>
          <w:lang w:val="da-DK" w:eastAsia="da-DK"/>
        </w:rPr>
        <w:drawing>
          <wp:inline distT="0" distB="0" distL="0" distR="0" wp14:anchorId="6A0F3F47" wp14:editId="65FB845F">
            <wp:extent cx="2571750" cy="793350"/>
            <wp:effectExtent l="0" t="0" r="0" b="6985"/>
            <wp:docPr id="6" name="Picture 6" descr="\\Rctsrv01\Privat\jop\My Documents\GC 35 Submission\Logo - Dark for pr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tsrv01\Privat\jop\My Documents\GC 35 Submission\Logo - Dark for print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83306" cy="796915"/>
                    </a:xfrm>
                    <a:prstGeom prst="rect">
                      <a:avLst/>
                    </a:prstGeom>
                    <a:noFill/>
                    <a:ln>
                      <a:noFill/>
                    </a:ln>
                  </pic:spPr>
                </pic:pic>
              </a:graphicData>
            </a:graphic>
          </wp:inline>
        </w:drawing>
      </w:r>
      <w:r w:rsidR="00BB2912">
        <w:rPr>
          <w:sz w:val="22"/>
        </w:rPr>
        <w:t xml:space="preserve">           </w:t>
      </w:r>
      <w:r w:rsidR="00BB2912">
        <w:rPr>
          <w:noProof/>
          <w:sz w:val="22"/>
          <w:lang w:val="da-DK" w:eastAsia="da-DK"/>
        </w:rPr>
        <w:drawing>
          <wp:inline distT="0" distB="0" distL="0" distR="0" wp14:anchorId="1A4C1F7D" wp14:editId="7560ABF7">
            <wp:extent cx="2152650" cy="61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619125"/>
                    </a:xfrm>
                    <a:prstGeom prst="rect">
                      <a:avLst/>
                    </a:prstGeom>
                    <a:noFill/>
                    <a:ln>
                      <a:noFill/>
                    </a:ln>
                  </pic:spPr>
                </pic:pic>
              </a:graphicData>
            </a:graphic>
          </wp:inline>
        </w:drawing>
      </w:r>
    </w:p>
    <w:p w:rsidR="007827BA" w:rsidRDefault="00BB2912" w:rsidP="00BB2912">
      <w:pPr>
        <w:spacing w:after="120" w:line="720" w:lineRule="auto"/>
        <w:jc w:val="center"/>
        <w:rPr>
          <w:rFonts w:ascii="Times New Roman" w:hAnsi="Times New Roman" w:cs="Times New Roman"/>
          <w:b/>
          <w:sz w:val="22"/>
          <w:szCs w:val="22"/>
          <w:lang w:val="en-US"/>
        </w:rPr>
      </w:pPr>
      <w:r>
        <w:rPr>
          <w:sz w:val="22"/>
        </w:rPr>
        <w:tab/>
      </w:r>
      <w:r>
        <w:rPr>
          <w:sz w:val="22"/>
        </w:rPr>
        <w:tab/>
      </w:r>
      <w:r>
        <w:rPr>
          <w:sz w:val="22"/>
        </w:rPr>
        <w:tab/>
      </w:r>
      <w:r>
        <w:rPr>
          <w:sz w:val="22"/>
        </w:rPr>
        <w:tab/>
      </w:r>
      <w:r>
        <w:rPr>
          <w:sz w:val="22"/>
        </w:rPr>
        <w:tab/>
      </w:r>
      <w:r>
        <w:rPr>
          <w:sz w:val="22"/>
        </w:rPr>
        <w:tab/>
        <w:t xml:space="preserve">    Human Rights Implementation Centre</w:t>
      </w:r>
    </w:p>
    <w:p w:rsidR="00B935C8" w:rsidRDefault="00B935C8" w:rsidP="00D3761D">
      <w:pPr>
        <w:jc w:val="both"/>
        <w:rPr>
          <w:rFonts w:ascii="Times New Roman" w:hAnsi="Times New Roman" w:cs="Times New Roman"/>
          <w:b/>
          <w:sz w:val="22"/>
          <w:szCs w:val="22"/>
          <w:lang w:val="en-US"/>
        </w:rPr>
      </w:pPr>
    </w:p>
    <w:p w:rsidR="00F87E7E" w:rsidRPr="00F87E7E" w:rsidRDefault="00F87E7E" w:rsidP="00720827">
      <w:pPr>
        <w:jc w:val="center"/>
        <w:rPr>
          <w:rFonts w:ascii="Times New Roman" w:hAnsi="Times New Roman" w:cs="Times New Roman"/>
          <w:b/>
          <w:sz w:val="36"/>
          <w:szCs w:val="36"/>
          <w:lang w:val="en-US"/>
        </w:rPr>
      </w:pPr>
      <w:r w:rsidRPr="00F87E7E">
        <w:rPr>
          <w:rFonts w:ascii="Times New Roman" w:hAnsi="Times New Roman" w:cs="Times New Roman"/>
          <w:b/>
          <w:sz w:val="36"/>
          <w:szCs w:val="36"/>
          <w:lang w:val="en-US"/>
        </w:rPr>
        <w:t>Joint Submission to the</w:t>
      </w:r>
    </w:p>
    <w:p w:rsidR="00F87E7E" w:rsidRPr="00F87E7E" w:rsidRDefault="00F87E7E" w:rsidP="00720827">
      <w:pPr>
        <w:jc w:val="center"/>
        <w:rPr>
          <w:rFonts w:ascii="Times New Roman" w:hAnsi="Times New Roman" w:cs="Times New Roman"/>
          <w:b/>
          <w:sz w:val="36"/>
          <w:szCs w:val="36"/>
          <w:lang w:val="en-US"/>
        </w:rPr>
      </w:pPr>
    </w:p>
    <w:p w:rsidR="00675260" w:rsidRPr="00F87E7E" w:rsidRDefault="00675260" w:rsidP="00720827">
      <w:pPr>
        <w:jc w:val="center"/>
        <w:rPr>
          <w:rFonts w:ascii="Times New Roman" w:hAnsi="Times New Roman" w:cs="Times New Roman"/>
          <w:b/>
          <w:sz w:val="36"/>
          <w:szCs w:val="36"/>
          <w:lang w:val="en-US"/>
        </w:rPr>
      </w:pPr>
      <w:r w:rsidRPr="00F87E7E">
        <w:rPr>
          <w:rFonts w:ascii="Times New Roman" w:hAnsi="Times New Roman" w:cs="Times New Roman"/>
          <w:b/>
          <w:sz w:val="36"/>
          <w:szCs w:val="36"/>
          <w:lang w:val="en-US"/>
        </w:rPr>
        <w:t>United Nations Human Rights Committee</w:t>
      </w:r>
    </w:p>
    <w:p w:rsidR="00675260" w:rsidRPr="00F87E7E" w:rsidRDefault="00675260" w:rsidP="00720827">
      <w:pPr>
        <w:jc w:val="center"/>
        <w:rPr>
          <w:rFonts w:ascii="Times New Roman" w:hAnsi="Times New Roman" w:cs="Times New Roman"/>
          <w:b/>
          <w:sz w:val="36"/>
          <w:szCs w:val="36"/>
          <w:lang w:val="en-US"/>
        </w:rPr>
      </w:pPr>
    </w:p>
    <w:p w:rsidR="00675260" w:rsidRPr="00F87E7E" w:rsidRDefault="00675260" w:rsidP="00720827">
      <w:pPr>
        <w:jc w:val="center"/>
        <w:rPr>
          <w:rFonts w:ascii="Times New Roman" w:hAnsi="Times New Roman" w:cs="Times New Roman"/>
          <w:b/>
          <w:sz w:val="36"/>
          <w:szCs w:val="36"/>
          <w:lang w:val="en-US"/>
        </w:rPr>
      </w:pPr>
      <w:r w:rsidRPr="00F87E7E">
        <w:rPr>
          <w:rFonts w:ascii="Times New Roman" w:hAnsi="Times New Roman" w:cs="Times New Roman"/>
          <w:b/>
          <w:sz w:val="36"/>
          <w:szCs w:val="36"/>
          <w:lang w:val="en-US"/>
        </w:rPr>
        <w:t xml:space="preserve">Comments on Draft General Comment </w:t>
      </w:r>
      <w:r w:rsidR="00316381">
        <w:rPr>
          <w:rFonts w:ascii="Times New Roman" w:hAnsi="Times New Roman" w:cs="Times New Roman"/>
          <w:b/>
          <w:sz w:val="36"/>
          <w:szCs w:val="36"/>
          <w:lang w:val="en-US"/>
        </w:rPr>
        <w:t xml:space="preserve">No. </w:t>
      </w:r>
      <w:r w:rsidRPr="00F87E7E">
        <w:rPr>
          <w:rFonts w:ascii="Times New Roman" w:hAnsi="Times New Roman" w:cs="Times New Roman"/>
          <w:b/>
          <w:sz w:val="36"/>
          <w:szCs w:val="36"/>
          <w:lang w:val="en-US"/>
        </w:rPr>
        <w:t>35</w:t>
      </w:r>
    </w:p>
    <w:p w:rsidR="00F87E7E" w:rsidRDefault="00675260" w:rsidP="00720827">
      <w:pPr>
        <w:jc w:val="center"/>
        <w:rPr>
          <w:rFonts w:ascii="Times New Roman" w:hAnsi="Times New Roman" w:cs="Times New Roman"/>
          <w:b/>
          <w:sz w:val="36"/>
          <w:szCs w:val="36"/>
          <w:lang w:val="en-US"/>
        </w:rPr>
      </w:pPr>
      <w:proofErr w:type="gramStart"/>
      <w:r w:rsidRPr="00F87E7E">
        <w:rPr>
          <w:rFonts w:ascii="Times New Roman" w:hAnsi="Times New Roman" w:cs="Times New Roman"/>
          <w:b/>
          <w:sz w:val="36"/>
          <w:szCs w:val="36"/>
          <w:lang w:val="en-US"/>
        </w:rPr>
        <w:t>on</w:t>
      </w:r>
      <w:proofErr w:type="gramEnd"/>
      <w:r w:rsidRPr="00F87E7E">
        <w:rPr>
          <w:rFonts w:ascii="Times New Roman" w:hAnsi="Times New Roman" w:cs="Times New Roman"/>
          <w:b/>
          <w:sz w:val="36"/>
          <w:szCs w:val="36"/>
          <w:lang w:val="en-US"/>
        </w:rPr>
        <w:t xml:space="preserve"> Article 9 of the</w:t>
      </w:r>
    </w:p>
    <w:p w:rsidR="00675260" w:rsidRPr="00F87E7E" w:rsidRDefault="00675260" w:rsidP="00720827">
      <w:pPr>
        <w:jc w:val="center"/>
        <w:rPr>
          <w:rFonts w:ascii="Times New Roman" w:hAnsi="Times New Roman" w:cs="Times New Roman"/>
          <w:b/>
          <w:sz w:val="36"/>
          <w:szCs w:val="36"/>
          <w:lang w:val="en-US"/>
        </w:rPr>
      </w:pPr>
      <w:r w:rsidRPr="00F87E7E">
        <w:rPr>
          <w:rFonts w:ascii="Times New Roman" w:hAnsi="Times New Roman" w:cs="Times New Roman"/>
          <w:b/>
          <w:sz w:val="36"/>
          <w:szCs w:val="36"/>
          <w:lang w:val="en-US"/>
        </w:rPr>
        <w:t>International Covenant on Civil and Political Rights</w:t>
      </w:r>
    </w:p>
    <w:p w:rsidR="00675260" w:rsidRDefault="00675260" w:rsidP="00720827">
      <w:pPr>
        <w:jc w:val="center"/>
        <w:rPr>
          <w:rFonts w:ascii="Times New Roman" w:hAnsi="Times New Roman" w:cs="Times New Roman"/>
          <w:sz w:val="22"/>
          <w:szCs w:val="22"/>
          <w:lang w:val="en-US"/>
        </w:rPr>
      </w:pPr>
    </w:p>
    <w:p w:rsidR="00F87E7E" w:rsidRDefault="00F87E7E" w:rsidP="00720827">
      <w:pPr>
        <w:jc w:val="center"/>
        <w:rPr>
          <w:rFonts w:ascii="Times New Roman" w:hAnsi="Times New Roman" w:cs="Times New Roman"/>
          <w:sz w:val="22"/>
          <w:szCs w:val="22"/>
          <w:lang w:val="en-US"/>
        </w:rPr>
      </w:pPr>
    </w:p>
    <w:p w:rsidR="00F87E7E" w:rsidRPr="00A46B17" w:rsidRDefault="00F87E7E" w:rsidP="00720827">
      <w:pPr>
        <w:jc w:val="center"/>
        <w:rPr>
          <w:rFonts w:ascii="Times New Roman" w:hAnsi="Times New Roman" w:cs="Times New Roman"/>
          <w:sz w:val="22"/>
          <w:szCs w:val="22"/>
          <w:lang w:val="en-US"/>
        </w:rPr>
      </w:pPr>
    </w:p>
    <w:p w:rsidR="00F87E7E" w:rsidRDefault="00E236BB" w:rsidP="00720827">
      <w:pPr>
        <w:jc w:val="center"/>
        <w:rPr>
          <w:rFonts w:ascii="Times New Roman" w:hAnsi="Times New Roman" w:cs="Times New Roman"/>
          <w:b/>
          <w:sz w:val="28"/>
          <w:szCs w:val="28"/>
          <w:lang w:val="en-US"/>
        </w:rPr>
      </w:pPr>
      <w:r w:rsidRPr="00F87E7E">
        <w:rPr>
          <w:rFonts w:ascii="Times New Roman" w:hAnsi="Times New Roman" w:cs="Times New Roman"/>
          <w:b/>
          <w:sz w:val="28"/>
          <w:szCs w:val="28"/>
          <w:lang w:val="en-US"/>
        </w:rPr>
        <w:t>Submitted 30</w:t>
      </w:r>
      <w:r w:rsidR="00675260" w:rsidRPr="00F87E7E">
        <w:rPr>
          <w:rFonts w:ascii="Times New Roman" w:hAnsi="Times New Roman" w:cs="Times New Roman"/>
          <w:b/>
          <w:sz w:val="28"/>
          <w:szCs w:val="28"/>
          <w:lang w:val="en-US"/>
        </w:rPr>
        <w:t xml:space="preserve"> May 2014</w:t>
      </w:r>
    </w:p>
    <w:p w:rsidR="00F87E7E" w:rsidRDefault="00F87E7E" w:rsidP="00D3761D">
      <w:pPr>
        <w:jc w:val="both"/>
        <w:rPr>
          <w:rFonts w:ascii="Times New Roman" w:hAnsi="Times New Roman" w:cs="Times New Roman"/>
          <w:b/>
          <w:sz w:val="28"/>
          <w:szCs w:val="28"/>
          <w:lang w:val="en-US"/>
        </w:rPr>
      </w:pPr>
      <w:r>
        <w:rPr>
          <w:rFonts w:ascii="Times New Roman" w:hAnsi="Times New Roman" w:cs="Times New Roman"/>
          <w:b/>
          <w:sz w:val="28"/>
          <w:szCs w:val="28"/>
          <w:lang w:val="en-US"/>
        </w:rPr>
        <w:br w:type="page"/>
      </w:r>
    </w:p>
    <w:bookmarkStart w:id="0" w:name="_Toc388961665" w:displacedByCustomXml="next"/>
    <w:bookmarkStart w:id="1" w:name="_Toc388377548" w:displacedByCustomXml="next"/>
    <w:sdt>
      <w:sdtPr>
        <w:rPr>
          <w:rFonts w:asciiTheme="minorHAnsi" w:eastAsiaTheme="minorHAnsi" w:hAnsiTheme="minorHAnsi" w:cstheme="minorBidi"/>
          <w:b w:val="0"/>
          <w:bCs w:val="0"/>
          <w:color w:val="auto"/>
          <w:sz w:val="24"/>
          <w:szCs w:val="24"/>
          <w:lang w:val="en-GB" w:eastAsia="en-US"/>
        </w:rPr>
        <w:id w:val="197510206"/>
        <w:docPartObj>
          <w:docPartGallery w:val="Table of Contents"/>
          <w:docPartUnique/>
        </w:docPartObj>
      </w:sdtPr>
      <w:sdtEndPr>
        <w:rPr>
          <w:noProof/>
        </w:rPr>
      </w:sdtEndPr>
      <w:sdtContent>
        <w:p w:rsidR="00F87E7E" w:rsidRDefault="00F87E7E" w:rsidP="0066425A">
          <w:pPr>
            <w:pStyle w:val="TOCHeading"/>
            <w:spacing w:before="0" w:after="60" w:line="240" w:lineRule="auto"/>
            <w:jc w:val="both"/>
          </w:pPr>
          <w:r>
            <w:t>Contents</w:t>
          </w:r>
        </w:p>
        <w:p w:rsidR="00995B4F" w:rsidRDefault="004C61F2" w:rsidP="00995B4F">
          <w:pPr>
            <w:pStyle w:val="TOC1"/>
            <w:tabs>
              <w:tab w:val="left" w:pos="480"/>
              <w:tab w:val="right" w:leader="dot" w:pos="8290"/>
            </w:tabs>
            <w:spacing w:after="0"/>
            <w:rPr>
              <w:rFonts w:eastAsiaTheme="minorEastAsia"/>
              <w:noProof/>
              <w:sz w:val="22"/>
              <w:szCs w:val="22"/>
              <w:lang w:val="da-DK" w:eastAsia="da-DK"/>
            </w:rPr>
          </w:pPr>
          <w:r>
            <w:fldChar w:fldCharType="begin"/>
          </w:r>
          <w:r w:rsidR="00F87E7E">
            <w:instrText xml:space="preserve"> TOC \o "1-3" \h \z \u </w:instrText>
          </w:r>
          <w:r>
            <w:fldChar w:fldCharType="separate"/>
          </w:r>
          <w:hyperlink w:anchor="_Toc389236136" w:history="1">
            <w:r w:rsidR="00995B4F" w:rsidRPr="008640CD">
              <w:rPr>
                <w:rStyle w:val="Hyperlink"/>
                <w:rFonts w:ascii="Times New Roman" w:hAnsi="Times New Roman" w:cs="Times New Roman"/>
                <w:noProof/>
                <w:lang w:val="en-US"/>
              </w:rPr>
              <w:t>A.</w:t>
            </w:r>
            <w:r w:rsidR="00995B4F">
              <w:rPr>
                <w:rFonts w:eastAsiaTheme="minorEastAsia"/>
                <w:noProof/>
                <w:sz w:val="22"/>
                <w:szCs w:val="22"/>
                <w:lang w:val="da-DK" w:eastAsia="da-DK"/>
              </w:rPr>
              <w:tab/>
            </w:r>
            <w:r w:rsidR="00995B4F" w:rsidRPr="008640CD">
              <w:rPr>
                <w:rStyle w:val="Hyperlink"/>
                <w:rFonts w:ascii="Times New Roman" w:hAnsi="Times New Roman" w:cs="Times New Roman"/>
                <w:noProof/>
                <w:lang w:val="en-US"/>
              </w:rPr>
              <w:t>Introduction</w:t>
            </w:r>
            <w:r w:rsidR="00995B4F">
              <w:rPr>
                <w:noProof/>
                <w:webHidden/>
              </w:rPr>
              <w:tab/>
            </w:r>
            <w:r w:rsidR="00995B4F">
              <w:rPr>
                <w:noProof/>
                <w:webHidden/>
              </w:rPr>
              <w:fldChar w:fldCharType="begin"/>
            </w:r>
            <w:r w:rsidR="00995B4F">
              <w:rPr>
                <w:noProof/>
                <w:webHidden/>
              </w:rPr>
              <w:instrText xml:space="preserve"> PAGEREF _Toc389236136 \h </w:instrText>
            </w:r>
            <w:r w:rsidR="00995B4F">
              <w:rPr>
                <w:noProof/>
                <w:webHidden/>
              </w:rPr>
            </w:r>
            <w:r w:rsidR="00995B4F">
              <w:rPr>
                <w:noProof/>
                <w:webHidden/>
              </w:rPr>
              <w:fldChar w:fldCharType="separate"/>
            </w:r>
            <w:r w:rsidR="00995B4F">
              <w:rPr>
                <w:noProof/>
                <w:webHidden/>
              </w:rPr>
              <w:t>3</w:t>
            </w:r>
            <w:r w:rsidR="00995B4F">
              <w:rPr>
                <w:noProof/>
                <w:webHidden/>
              </w:rPr>
              <w:fldChar w:fldCharType="end"/>
            </w:r>
          </w:hyperlink>
        </w:p>
        <w:p w:rsidR="00995B4F" w:rsidRDefault="00C86618" w:rsidP="00995B4F">
          <w:pPr>
            <w:pStyle w:val="TOC1"/>
            <w:tabs>
              <w:tab w:val="left" w:pos="480"/>
              <w:tab w:val="right" w:leader="dot" w:pos="8290"/>
            </w:tabs>
            <w:spacing w:after="0"/>
            <w:rPr>
              <w:rFonts w:eastAsiaTheme="minorEastAsia"/>
              <w:noProof/>
              <w:sz w:val="22"/>
              <w:szCs w:val="22"/>
              <w:lang w:val="da-DK" w:eastAsia="da-DK"/>
            </w:rPr>
          </w:pPr>
          <w:hyperlink w:anchor="_Toc389236137" w:history="1">
            <w:r w:rsidR="00995B4F" w:rsidRPr="008640CD">
              <w:rPr>
                <w:rStyle w:val="Hyperlink"/>
                <w:rFonts w:ascii="Times New Roman" w:hAnsi="Times New Roman" w:cs="Times New Roman"/>
                <w:noProof/>
                <w:lang w:val="en-US"/>
              </w:rPr>
              <w:t>B.</w:t>
            </w:r>
            <w:r w:rsidR="00995B4F">
              <w:rPr>
                <w:rFonts w:eastAsiaTheme="minorEastAsia"/>
                <w:noProof/>
                <w:sz w:val="22"/>
                <w:szCs w:val="22"/>
                <w:lang w:val="da-DK" w:eastAsia="da-DK"/>
              </w:rPr>
              <w:tab/>
            </w:r>
            <w:r w:rsidR="00995B4F" w:rsidRPr="008640CD">
              <w:rPr>
                <w:rStyle w:val="Hyperlink"/>
                <w:rFonts w:ascii="Times New Roman" w:hAnsi="Times New Roman" w:cs="Times New Roman"/>
                <w:noProof/>
                <w:lang w:val="en-US"/>
              </w:rPr>
              <w:t>General Remarks (paragraphs 1-9)</w:t>
            </w:r>
            <w:r w:rsidR="00995B4F">
              <w:rPr>
                <w:noProof/>
                <w:webHidden/>
              </w:rPr>
              <w:tab/>
            </w:r>
            <w:r w:rsidR="00995B4F">
              <w:rPr>
                <w:noProof/>
                <w:webHidden/>
              </w:rPr>
              <w:fldChar w:fldCharType="begin"/>
            </w:r>
            <w:r w:rsidR="00995B4F">
              <w:rPr>
                <w:noProof/>
                <w:webHidden/>
              </w:rPr>
              <w:instrText xml:space="preserve"> PAGEREF _Toc389236137 \h </w:instrText>
            </w:r>
            <w:r w:rsidR="00995B4F">
              <w:rPr>
                <w:noProof/>
                <w:webHidden/>
              </w:rPr>
            </w:r>
            <w:r w:rsidR="00995B4F">
              <w:rPr>
                <w:noProof/>
                <w:webHidden/>
              </w:rPr>
              <w:fldChar w:fldCharType="separate"/>
            </w:r>
            <w:r w:rsidR="00995B4F">
              <w:rPr>
                <w:noProof/>
                <w:webHidden/>
              </w:rPr>
              <w:t>3</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38" w:history="1">
            <w:r w:rsidR="00995B4F" w:rsidRPr="008640CD">
              <w:rPr>
                <w:rStyle w:val="Hyperlink"/>
                <w:rFonts w:ascii="Times New Roman" w:hAnsi="Times New Roman" w:cs="Times New Roman"/>
                <w:noProof/>
                <w:lang w:val="en-US"/>
              </w:rPr>
              <w:t>Deprivations of liberty by third parties</w:t>
            </w:r>
            <w:r w:rsidR="00995B4F">
              <w:rPr>
                <w:noProof/>
                <w:webHidden/>
              </w:rPr>
              <w:tab/>
            </w:r>
            <w:r w:rsidR="00995B4F">
              <w:rPr>
                <w:noProof/>
                <w:webHidden/>
              </w:rPr>
              <w:fldChar w:fldCharType="begin"/>
            </w:r>
            <w:r w:rsidR="00995B4F">
              <w:rPr>
                <w:noProof/>
                <w:webHidden/>
              </w:rPr>
              <w:instrText xml:space="preserve"> PAGEREF _Toc389236138 \h </w:instrText>
            </w:r>
            <w:r w:rsidR="00995B4F">
              <w:rPr>
                <w:noProof/>
                <w:webHidden/>
              </w:rPr>
            </w:r>
            <w:r w:rsidR="00995B4F">
              <w:rPr>
                <w:noProof/>
                <w:webHidden/>
              </w:rPr>
              <w:fldChar w:fldCharType="separate"/>
            </w:r>
            <w:r w:rsidR="00995B4F">
              <w:rPr>
                <w:noProof/>
                <w:webHidden/>
              </w:rPr>
              <w:t>3</w:t>
            </w:r>
            <w:r w:rsidR="00995B4F">
              <w:rPr>
                <w:noProof/>
                <w:webHidden/>
              </w:rPr>
              <w:fldChar w:fldCharType="end"/>
            </w:r>
          </w:hyperlink>
        </w:p>
        <w:p w:rsidR="00995B4F" w:rsidRDefault="00C86618" w:rsidP="00995B4F">
          <w:pPr>
            <w:pStyle w:val="TOC1"/>
            <w:tabs>
              <w:tab w:val="right" w:leader="dot" w:pos="8290"/>
            </w:tabs>
            <w:spacing w:after="0"/>
            <w:rPr>
              <w:rFonts w:eastAsiaTheme="minorEastAsia"/>
              <w:noProof/>
              <w:sz w:val="22"/>
              <w:szCs w:val="22"/>
              <w:lang w:val="da-DK" w:eastAsia="da-DK"/>
            </w:rPr>
          </w:pPr>
          <w:hyperlink w:anchor="_Toc389236139" w:history="1">
            <w:r w:rsidR="00995B4F" w:rsidRPr="008640CD">
              <w:rPr>
                <w:rStyle w:val="Hyperlink"/>
                <w:rFonts w:ascii="Times New Roman" w:hAnsi="Times New Roman" w:cs="Times New Roman"/>
                <w:noProof/>
                <w:lang w:val="en-US"/>
              </w:rPr>
              <w:t>C. Arbitrary detention and unlawful detention (paragraphs 10-23)</w:t>
            </w:r>
            <w:r w:rsidR="00995B4F">
              <w:rPr>
                <w:noProof/>
                <w:webHidden/>
              </w:rPr>
              <w:tab/>
            </w:r>
            <w:r w:rsidR="00995B4F">
              <w:rPr>
                <w:noProof/>
                <w:webHidden/>
              </w:rPr>
              <w:fldChar w:fldCharType="begin"/>
            </w:r>
            <w:r w:rsidR="00995B4F">
              <w:rPr>
                <w:noProof/>
                <w:webHidden/>
              </w:rPr>
              <w:instrText xml:space="preserve"> PAGEREF _Toc389236139 \h </w:instrText>
            </w:r>
            <w:r w:rsidR="00995B4F">
              <w:rPr>
                <w:noProof/>
                <w:webHidden/>
              </w:rPr>
            </w:r>
            <w:r w:rsidR="00995B4F">
              <w:rPr>
                <w:noProof/>
                <w:webHidden/>
              </w:rPr>
              <w:fldChar w:fldCharType="separate"/>
            </w:r>
            <w:r w:rsidR="00995B4F">
              <w:rPr>
                <w:noProof/>
                <w:webHidden/>
              </w:rPr>
              <w:t>5</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40" w:history="1">
            <w:r w:rsidR="00995B4F" w:rsidRPr="008640CD">
              <w:rPr>
                <w:rStyle w:val="Hyperlink"/>
                <w:rFonts w:ascii="Times New Roman" w:hAnsi="Times New Roman" w:cs="Times New Roman"/>
                <w:noProof/>
                <w:lang w:val="en-US"/>
              </w:rPr>
              <w:t>Safeguards on arrest and in detention</w:t>
            </w:r>
            <w:r w:rsidR="00995B4F">
              <w:rPr>
                <w:noProof/>
                <w:webHidden/>
              </w:rPr>
              <w:tab/>
            </w:r>
            <w:r w:rsidR="00995B4F">
              <w:rPr>
                <w:noProof/>
                <w:webHidden/>
              </w:rPr>
              <w:fldChar w:fldCharType="begin"/>
            </w:r>
            <w:r w:rsidR="00995B4F">
              <w:rPr>
                <w:noProof/>
                <w:webHidden/>
              </w:rPr>
              <w:instrText xml:space="preserve"> PAGEREF _Toc389236140 \h </w:instrText>
            </w:r>
            <w:r w:rsidR="00995B4F">
              <w:rPr>
                <w:noProof/>
                <w:webHidden/>
              </w:rPr>
            </w:r>
            <w:r w:rsidR="00995B4F">
              <w:rPr>
                <w:noProof/>
                <w:webHidden/>
              </w:rPr>
              <w:fldChar w:fldCharType="separate"/>
            </w:r>
            <w:r w:rsidR="00995B4F">
              <w:rPr>
                <w:noProof/>
                <w:webHidden/>
              </w:rPr>
              <w:t>5</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41" w:history="1">
            <w:r w:rsidR="00995B4F" w:rsidRPr="008640CD">
              <w:rPr>
                <w:rStyle w:val="Hyperlink"/>
                <w:rFonts w:ascii="Times New Roman" w:hAnsi="Times New Roman" w:cs="Times New Roman"/>
                <w:noProof/>
                <w:lang w:val="en-US"/>
              </w:rPr>
              <w:t>In accordance with law</w:t>
            </w:r>
            <w:r w:rsidR="00995B4F">
              <w:rPr>
                <w:noProof/>
                <w:webHidden/>
              </w:rPr>
              <w:tab/>
            </w:r>
            <w:r w:rsidR="00995B4F">
              <w:rPr>
                <w:noProof/>
                <w:webHidden/>
              </w:rPr>
              <w:fldChar w:fldCharType="begin"/>
            </w:r>
            <w:r w:rsidR="00995B4F">
              <w:rPr>
                <w:noProof/>
                <w:webHidden/>
              </w:rPr>
              <w:instrText xml:space="preserve"> PAGEREF _Toc389236141 \h </w:instrText>
            </w:r>
            <w:r w:rsidR="00995B4F">
              <w:rPr>
                <w:noProof/>
                <w:webHidden/>
              </w:rPr>
            </w:r>
            <w:r w:rsidR="00995B4F">
              <w:rPr>
                <w:noProof/>
                <w:webHidden/>
              </w:rPr>
              <w:fldChar w:fldCharType="separate"/>
            </w:r>
            <w:r w:rsidR="00995B4F">
              <w:rPr>
                <w:noProof/>
                <w:webHidden/>
              </w:rPr>
              <w:t>8</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42" w:history="1">
            <w:r w:rsidR="00995B4F" w:rsidRPr="008640CD">
              <w:rPr>
                <w:rStyle w:val="Hyperlink"/>
                <w:rFonts w:ascii="Times New Roman" w:hAnsi="Times New Roman" w:cs="Times New Roman"/>
                <w:noProof/>
                <w:lang w:val="en-US"/>
              </w:rPr>
              <w:t>Administrative Detention</w:t>
            </w:r>
            <w:r w:rsidR="00995B4F">
              <w:rPr>
                <w:noProof/>
                <w:webHidden/>
              </w:rPr>
              <w:tab/>
            </w:r>
            <w:r w:rsidR="00995B4F">
              <w:rPr>
                <w:noProof/>
                <w:webHidden/>
              </w:rPr>
              <w:fldChar w:fldCharType="begin"/>
            </w:r>
            <w:r w:rsidR="00995B4F">
              <w:rPr>
                <w:noProof/>
                <w:webHidden/>
              </w:rPr>
              <w:instrText xml:space="preserve"> PAGEREF _Toc389236142 \h </w:instrText>
            </w:r>
            <w:r w:rsidR="00995B4F">
              <w:rPr>
                <w:noProof/>
                <w:webHidden/>
              </w:rPr>
            </w:r>
            <w:r w:rsidR="00995B4F">
              <w:rPr>
                <w:noProof/>
                <w:webHidden/>
              </w:rPr>
              <w:fldChar w:fldCharType="separate"/>
            </w:r>
            <w:r w:rsidR="00995B4F">
              <w:rPr>
                <w:noProof/>
                <w:webHidden/>
              </w:rPr>
              <w:t>9</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43" w:history="1">
            <w:r w:rsidR="00995B4F" w:rsidRPr="008640CD">
              <w:rPr>
                <w:rStyle w:val="Hyperlink"/>
                <w:rFonts w:ascii="Times New Roman" w:hAnsi="Times New Roman" w:cs="Times New Roman"/>
                <w:noProof/>
                <w:lang w:val="en-US"/>
              </w:rPr>
              <w:t>Enforced Disappearance</w:t>
            </w:r>
            <w:r w:rsidR="00995B4F">
              <w:rPr>
                <w:noProof/>
                <w:webHidden/>
              </w:rPr>
              <w:tab/>
            </w:r>
            <w:r w:rsidR="00995B4F">
              <w:rPr>
                <w:noProof/>
                <w:webHidden/>
              </w:rPr>
              <w:fldChar w:fldCharType="begin"/>
            </w:r>
            <w:r w:rsidR="00995B4F">
              <w:rPr>
                <w:noProof/>
                <w:webHidden/>
              </w:rPr>
              <w:instrText xml:space="preserve"> PAGEREF _Toc389236143 \h </w:instrText>
            </w:r>
            <w:r w:rsidR="00995B4F">
              <w:rPr>
                <w:noProof/>
                <w:webHidden/>
              </w:rPr>
            </w:r>
            <w:r w:rsidR="00995B4F">
              <w:rPr>
                <w:noProof/>
                <w:webHidden/>
              </w:rPr>
              <w:fldChar w:fldCharType="separate"/>
            </w:r>
            <w:r w:rsidR="00995B4F">
              <w:rPr>
                <w:noProof/>
                <w:webHidden/>
              </w:rPr>
              <w:t>10</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44" w:history="1">
            <w:r w:rsidR="00995B4F" w:rsidRPr="008640CD">
              <w:rPr>
                <w:rStyle w:val="Hyperlink"/>
                <w:rFonts w:ascii="Times New Roman" w:hAnsi="Times New Roman" w:cs="Times New Roman"/>
                <w:noProof/>
                <w:lang w:val="en-US"/>
              </w:rPr>
              <w:t>Vulnerable Persons</w:t>
            </w:r>
            <w:r w:rsidR="00995B4F">
              <w:rPr>
                <w:noProof/>
                <w:webHidden/>
              </w:rPr>
              <w:tab/>
            </w:r>
            <w:r w:rsidR="00995B4F">
              <w:rPr>
                <w:noProof/>
                <w:webHidden/>
              </w:rPr>
              <w:fldChar w:fldCharType="begin"/>
            </w:r>
            <w:r w:rsidR="00995B4F">
              <w:rPr>
                <w:noProof/>
                <w:webHidden/>
              </w:rPr>
              <w:instrText xml:space="preserve"> PAGEREF _Toc389236144 \h </w:instrText>
            </w:r>
            <w:r w:rsidR="00995B4F">
              <w:rPr>
                <w:noProof/>
                <w:webHidden/>
              </w:rPr>
            </w:r>
            <w:r w:rsidR="00995B4F">
              <w:rPr>
                <w:noProof/>
                <w:webHidden/>
              </w:rPr>
              <w:fldChar w:fldCharType="separate"/>
            </w:r>
            <w:r w:rsidR="00995B4F">
              <w:rPr>
                <w:noProof/>
                <w:webHidden/>
              </w:rPr>
              <w:t>11</w:t>
            </w:r>
            <w:r w:rsidR="00995B4F">
              <w:rPr>
                <w:noProof/>
                <w:webHidden/>
              </w:rPr>
              <w:fldChar w:fldCharType="end"/>
            </w:r>
          </w:hyperlink>
        </w:p>
        <w:p w:rsidR="00995B4F" w:rsidRDefault="00C86618" w:rsidP="00995B4F">
          <w:pPr>
            <w:pStyle w:val="TOC1"/>
            <w:tabs>
              <w:tab w:val="left" w:pos="480"/>
              <w:tab w:val="right" w:leader="dot" w:pos="8290"/>
            </w:tabs>
            <w:spacing w:after="0"/>
            <w:rPr>
              <w:rFonts w:eastAsiaTheme="minorEastAsia"/>
              <w:noProof/>
              <w:sz w:val="22"/>
              <w:szCs w:val="22"/>
              <w:lang w:val="da-DK" w:eastAsia="da-DK"/>
            </w:rPr>
          </w:pPr>
          <w:hyperlink w:anchor="_Toc389236145" w:history="1">
            <w:r w:rsidR="00995B4F" w:rsidRPr="008640CD">
              <w:rPr>
                <w:rStyle w:val="Hyperlink"/>
                <w:rFonts w:ascii="Times New Roman" w:hAnsi="Times New Roman" w:cs="Times New Roman"/>
                <w:noProof/>
                <w:lang w:val="en-US"/>
              </w:rPr>
              <w:t>D.</w:t>
            </w:r>
            <w:r w:rsidR="00995B4F">
              <w:rPr>
                <w:rFonts w:eastAsiaTheme="minorEastAsia"/>
                <w:noProof/>
                <w:sz w:val="22"/>
                <w:szCs w:val="22"/>
                <w:lang w:val="da-DK" w:eastAsia="da-DK"/>
              </w:rPr>
              <w:tab/>
            </w:r>
            <w:r w:rsidR="00995B4F" w:rsidRPr="008640CD">
              <w:rPr>
                <w:rStyle w:val="Hyperlink"/>
                <w:rFonts w:ascii="Times New Roman" w:hAnsi="Times New Roman" w:cs="Times New Roman"/>
                <w:noProof/>
                <w:lang w:val="en-US"/>
              </w:rPr>
              <w:t>Judicial control of detention in connection with criminal charges (paragraphs 31-38)</w:t>
            </w:r>
            <w:r w:rsidR="00995B4F">
              <w:rPr>
                <w:noProof/>
                <w:webHidden/>
              </w:rPr>
              <w:tab/>
            </w:r>
            <w:r w:rsidR="00995B4F">
              <w:rPr>
                <w:noProof/>
                <w:webHidden/>
              </w:rPr>
              <w:fldChar w:fldCharType="begin"/>
            </w:r>
            <w:r w:rsidR="00995B4F">
              <w:rPr>
                <w:noProof/>
                <w:webHidden/>
              </w:rPr>
              <w:instrText xml:space="preserve"> PAGEREF _Toc389236145 \h </w:instrText>
            </w:r>
            <w:r w:rsidR="00995B4F">
              <w:rPr>
                <w:noProof/>
                <w:webHidden/>
              </w:rPr>
            </w:r>
            <w:r w:rsidR="00995B4F">
              <w:rPr>
                <w:noProof/>
                <w:webHidden/>
              </w:rPr>
              <w:fldChar w:fldCharType="separate"/>
            </w:r>
            <w:r w:rsidR="00995B4F">
              <w:rPr>
                <w:noProof/>
                <w:webHidden/>
              </w:rPr>
              <w:t>12</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46" w:history="1">
            <w:r w:rsidR="00995B4F" w:rsidRPr="008640CD">
              <w:rPr>
                <w:rStyle w:val="Hyperlink"/>
                <w:rFonts w:ascii="Times New Roman" w:hAnsi="Times New Roman" w:cs="Times New Roman"/>
                <w:noProof/>
                <w:lang w:val="en-US"/>
              </w:rPr>
              <w:t>Detention in police custody</w:t>
            </w:r>
            <w:r w:rsidR="00995B4F">
              <w:rPr>
                <w:noProof/>
                <w:webHidden/>
              </w:rPr>
              <w:tab/>
            </w:r>
            <w:r w:rsidR="00995B4F">
              <w:rPr>
                <w:noProof/>
                <w:webHidden/>
              </w:rPr>
              <w:fldChar w:fldCharType="begin"/>
            </w:r>
            <w:r w:rsidR="00995B4F">
              <w:rPr>
                <w:noProof/>
                <w:webHidden/>
              </w:rPr>
              <w:instrText xml:space="preserve"> PAGEREF _Toc389236146 \h </w:instrText>
            </w:r>
            <w:r w:rsidR="00995B4F">
              <w:rPr>
                <w:noProof/>
                <w:webHidden/>
              </w:rPr>
            </w:r>
            <w:r w:rsidR="00995B4F">
              <w:rPr>
                <w:noProof/>
                <w:webHidden/>
              </w:rPr>
              <w:fldChar w:fldCharType="separate"/>
            </w:r>
            <w:r w:rsidR="00995B4F">
              <w:rPr>
                <w:noProof/>
                <w:webHidden/>
              </w:rPr>
              <w:t>12</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47" w:history="1">
            <w:r w:rsidR="00995B4F" w:rsidRPr="008640CD">
              <w:rPr>
                <w:rStyle w:val="Hyperlink"/>
                <w:rFonts w:ascii="Times New Roman" w:hAnsi="Times New Roman" w:cs="Times New Roman"/>
                <w:noProof/>
                <w:lang w:val="en-US"/>
              </w:rPr>
              <w:t>The right to legal counsel</w:t>
            </w:r>
            <w:r w:rsidR="00995B4F">
              <w:rPr>
                <w:noProof/>
                <w:webHidden/>
              </w:rPr>
              <w:tab/>
            </w:r>
            <w:r w:rsidR="00995B4F">
              <w:rPr>
                <w:noProof/>
                <w:webHidden/>
              </w:rPr>
              <w:fldChar w:fldCharType="begin"/>
            </w:r>
            <w:r w:rsidR="00995B4F">
              <w:rPr>
                <w:noProof/>
                <w:webHidden/>
              </w:rPr>
              <w:instrText xml:space="preserve"> PAGEREF _Toc389236147 \h </w:instrText>
            </w:r>
            <w:r w:rsidR="00995B4F">
              <w:rPr>
                <w:noProof/>
                <w:webHidden/>
              </w:rPr>
            </w:r>
            <w:r w:rsidR="00995B4F">
              <w:rPr>
                <w:noProof/>
                <w:webHidden/>
              </w:rPr>
              <w:fldChar w:fldCharType="separate"/>
            </w:r>
            <w:r w:rsidR="00995B4F">
              <w:rPr>
                <w:noProof/>
                <w:webHidden/>
              </w:rPr>
              <w:t>13</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48" w:history="1">
            <w:r w:rsidR="00995B4F" w:rsidRPr="008640CD">
              <w:rPr>
                <w:rStyle w:val="Hyperlink"/>
                <w:rFonts w:ascii="Times New Roman" w:hAnsi="Times New Roman" w:cs="Times New Roman"/>
                <w:noProof/>
                <w:lang w:val="en-US"/>
              </w:rPr>
              <w:t>Requirement for detainees to appear physically before a judge</w:t>
            </w:r>
            <w:r w:rsidR="00995B4F">
              <w:rPr>
                <w:noProof/>
                <w:webHidden/>
              </w:rPr>
              <w:tab/>
            </w:r>
            <w:r w:rsidR="00995B4F">
              <w:rPr>
                <w:noProof/>
                <w:webHidden/>
              </w:rPr>
              <w:fldChar w:fldCharType="begin"/>
            </w:r>
            <w:r w:rsidR="00995B4F">
              <w:rPr>
                <w:noProof/>
                <w:webHidden/>
              </w:rPr>
              <w:instrText xml:space="preserve"> PAGEREF _Toc389236148 \h </w:instrText>
            </w:r>
            <w:r w:rsidR="00995B4F">
              <w:rPr>
                <w:noProof/>
                <w:webHidden/>
              </w:rPr>
            </w:r>
            <w:r w:rsidR="00995B4F">
              <w:rPr>
                <w:noProof/>
                <w:webHidden/>
              </w:rPr>
              <w:fldChar w:fldCharType="separate"/>
            </w:r>
            <w:r w:rsidR="00995B4F">
              <w:rPr>
                <w:noProof/>
                <w:webHidden/>
              </w:rPr>
              <w:t>14</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49" w:history="1">
            <w:r w:rsidR="00995B4F" w:rsidRPr="008640CD">
              <w:rPr>
                <w:rStyle w:val="Hyperlink"/>
                <w:rFonts w:ascii="Times New Roman" w:hAnsi="Times New Roman" w:cs="Times New Roman"/>
                <w:noProof/>
                <w:lang w:val="en-US"/>
              </w:rPr>
              <w:t>Requirement for detainees to be brought “promptly before a judge”</w:t>
            </w:r>
            <w:r w:rsidR="00995B4F">
              <w:rPr>
                <w:noProof/>
                <w:webHidden/>
              </w:rPr>
              <w:tab/>
            </w:r>
            <w:r w:rsidR="00995B4F">
              <w:rPr>
                <w:noProof/>
                <w:webHidden/>
              </w:rPr>
              <w:fldChar w:fldCharType="begin"/>
            </w:r>
            <w:r w:rsidR="00995B4F">
              <w:rPr>
                <w:noProof/>
                <w:webHidden/>
              </w:rPr>
              <w:instrText xml:space="preserve"> PAGEREF _Toc389236149 \h </w:instrText>
            </w:r>
            <w:r w:rsidR="00995B4F">
              <w:rPr>
                <w:noProof/>
                <w:webHidden/>
              </w:rPr>
            </w:r>
            <w:r w:rsidR="00995B4F">
              <w:rPr>
                <w:noProof/>
                <w:webHidden/>
              </w:rPr>
              <w:fldChar w:fldCharType="separate"/>
            </w:r>
            <w:r w:rsidR="00995B4F">
              <w:rPr>
                <w:noProof/>
                <w:webHidden/>
              </w:rPr>
              <w:t>16</w:t>
            </w:r>
            <w:r w:rsidR="00995B4F">
              <w:rPr>
                <w:noProof/>
                <w:webHidden/>
              </w:rPr>
              <w:fldChar w:fldCharType="end"/>
            </w:r>
          </w:hyperlink>
        </w:p>
        <w:p w:rsidR="00995B4F" w:rsidRDefault="00C86618" w:rsidP="00995B4F">
          <w:pPr>
            <w:pStyle w:val="TOC1"/>
            <w:tabs>
              <w:tab w:val="left" w:pos="480"/>
              <w:tab w:val="right" w:leader="dot" w:pos="8290"/>
            </w:tabs>
            <w:spacing w:after="0"/>
            <w:rPr>
              <w:rFonts w:eastAsiaTheme="minorEastAsia"/>
              <w:noProof/>
              <w:sz w:val="22"/>
              <w:szCs w:val="22"/>
              <w:lang w:val="da-DK" w:eastAsia="da-DK"/>
            </w:rPr>
          </w:pPr>
          <w:hyperlink w:anchor="_Toc389236150" w:history="1">
            <w:r w:rsidR="00995B4F" w:rsidRPr="008640CD">
              <w:rPr>
                <w:rStyle w:val="Hyperlink"/>
                <w:rFonts w:ascii="Times New Roman" w:hAnsi="Times New Roman" w:cs="Times New Roman"/>
                <w:noProof/>
                <w:lang w:val="en-US"/>
              </w:rPr>
              <w:t>E.</w:t>
            </w:r>
            <w:r w:rsidR="00995B4F">
              <w:rPr>
                <w:rFonts w:eastAsiaTheme="minorEastAsia"/>
                <w:noProof/>
                <w:sz w:val="22"/>
                <w:szCs w:val="22"/>
                <w:lang w:val="da-DK" w:eastAsia="da-DK"/>
              </w:rPr>
              <w:tab/>
            </w:r>
            <w:r w:rsidR="00995B4F" w:rsidRPr="008640CD">
              <w:rPr>
                <w:rStyle w:val="Hyperlink"/>
                <w:rFonts w:ascii="Times New Roman" w:hAnsi="Times New Roman" w:cs="Times New Roman"/>
                <w:noProof/>
                <w:lang w:val="en-US"/>
              </w:rPr>
              <w:t>VI. The right to compensation for unlawful or arbitrary arrest or detention (paras. 49-52)</w:t>
            </w:r>
            <w:r w:rsidR="00995B4F">
              <w:rPr>
                <w:noProof/>
                <w:webHidden/>
              </w:rPr>
              <w:tab/>
            </w:r>
            <w:r w:rsidR="00995B4F">
              <w:rPr>
                <w:noProof/>
                <w:webHidden/>
              </w:rPr>
              <w:fldChar w:fldCharType="begin"/>
            </w:r>
            <w:r w:rsidR="00995B4F">
              <w:rPr>
                <w:noProof/>
                <w:webHidden/>
              </w:rPr>
              <w:instrText xml:space="preserve"> PAGEREF _Toc389236150 \h </w:instrText>
            </w:r>
            <w:r w:rsidR="00995B4F">
              <w:rPr>
                <w:noProof/>
                <w:webHidden/>
              </w:rPr>
            </w:r>
            <w:r w:rsidR="00995B4F">
              <w:rPr>
                <w:noProof/>
                <w:webHidden/>
              </w:rPr>
              <w:fldChar w:fldCharType="separate"/>
            </w:r>
            <w:r w:rsidR="00995B4F">
              <w:rPr>
                <w:noProof/>
                <w:webHidden/>
              </w:rPr>
              <w:t>16</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51" w:history="1">
            <w:r w:rsidR="00995B4F" w:rsidRPr="008640CD">
              <w:rPr>
                <w:rStyle w:val="Hyperlink"/>
                <w:rFonts w:ascii="Times New Roman" w:hAnsi="Times New Roman" w:cs="Times New Roman"/>
                <w:noProof/>
                <w:lang w:val="en-US"/>
              </w:rPr>
              <w:t>Right to compensation v. right to reparation</w:t>
            </w:r>
            <w:r w:rsidR="00995B4F">
              <w:rPr>
                <w:noProof/>
                <w:webHidden/>
              </w:rPr>
              <w:tab/>
            </w:r>
            <w:r w:rsidR="00995B4F">
              <w:rPr>
                <w:noProof/>
                <w:webHidden/>
              </w:rPr>
              <w:fldChar w:fldCharType="begin"/>
            </w:r>
            <w:r w:rsidR="00995B4F">
              <w:rPr>
                <w:noProof/>
                <w:webHidden/>
              </w:rPr>
              <w:instrText xml:space="preserve"> PAGEREF _Toc389236151 \h </w:instrText>
            </w:r>
            <w:r w:rsidR="00995B4F">
              <w:rPr>
                <w:noProof/>
                <w:webHidden/>
              </w:rPr>
            </w:r>
            <w:r w:rsidR="00995B4F">
              <w:rPr>
                <w:noProof/>
                <w:webHidden/>
              </w:rPr>
              <w:fldChar w:fldCharType="separate"/>
            </w:r>
            <w:r w:rsidR="00995B4F">
              <w:rPr>
                <w:noProof/>
                <w:webHidden/>
              </w:rPr>
              <w:t>16</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52" w:history="1">
            <w:r w:rsidR="00995B4F" w:rsidRPr="008640CD">
              <w:rPr>
                <w:rStyle w:val="Hyperlink"/>
                <w:rFonts w:ascii="Times New Roman" w:hAnsi="Times New Roman" w:cs="Times New Roman"/>
                <w:noProof/>
                <w:lang w:val="en-US"/>
              </w:rPr>
              <w:t>Right to redress the harm caused by private persons or entities</w:t>
            </w:r>
            <w:r w:rsidR="00995B4F">
              <w:rPr>
                <w:noProof/>
                <w:webHidden/>
              </w:rPr>
              <w:tab/>
            </w:r>
            <w:r w:rsidR="00995B4F">
              <w:rPr>
                <w:noProof/>
                <w:webHidden/>
              </w:rPr>
              <w:fldChar w:fldCharType="begin"/>
            </w:r>
            <w:r w:rsidR="00995B4F">
              <w:rPr>
                <w:noProof/>
                <w:webHidden/>
              </w:rPr>
              <w:instrText xml:space="preserve"> PAGEREF _Toc389236152 \h </w:instrText>
            </w:r>
            <w:r w:rsidR="00995B4F">
              <w:rPr>
                <w:noProof/>
                <w:webHidden/>
              </w:rPr>
            </w:r>
            <w:r w:rsidR="00995B4F">
              <w:rPr>
                <w:noProof/>
                <w:webHidden/>
              </w:rPr>
              <w:fldChar w:fldCharType="separate"/>
            </w:r>
            <w:r w:rsidR="00995B4F">
              <w:rPr>
                <w:noProof/>
                <w:webHidden/>
              </w:rPr>
              <w:t>19</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53" w:history="1">
            <w:r w:rsidR="00995B4F" w:rsidRPr="008640CD">
              <w:rPr>
                <w:rStyle w:val="Hyperlink"/>
                <w:rFonts w:ascii="Times New Roman" w:hAnsi="Times New Roman" w:cs="Times New Roman"/>
                <w:noProof/>
                <w:lang w:val="en-US"/>
              </w:rPr>
              <w:t>A remedy against the State must always be available.</w:t>
            </w:r>
            <w:r w:rsidR="00995B4F">
              <w:rPr>
                <w:noProof/>
                <w:webHidden/>
              </w:rPr>
              <w:tab/>
            </w:r>
            <w:r w:rsidR="00995B4F">
              <w:rPr>
                <w:noProof/>
                <w:webHidden/>
              </w:rPr>
              <w:fldChar w:fldCharType="begin"/>
            </w:r>
            <w:r w:rsidR="00995B4F">
              <w:rPr>
                <w:noProof/>
                <w:webHidden/>
              </w:rPr>
              <w:instrText xml:space="preserve"> PAGEREF _Toc389236153 \h </w:instrText>
            </w:r>
            <w:r w:rsidR="00995B4F">
              <w:rPr>
                <w:noProof/>
                <w:webHidden/>
              </w:rPr>
            </w:r>
            <w:r w:rsidR="00995B4F">
              <w:rPr>
                <w:noProof/>
                <w:webHidden/>
              </w:rPr>
              <w:fldChar w:fldCharType="separate"/>
            </w:r>
            <w:r w:rsidR="00995B4F">
              <w:rPr>
                <w:noProof/>
                <w:webHidden/>
              </w:rPr>
              <w:t>19</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54" w:history="1">
            <w:r w:rsidR="00995B4F" w:rsidRPr="008640CD">
              <w:rPr>
                <w:rStyle w:val="Hyperlink"/>
                <w:rFonts w:ascii="Times New Roman" w:hAnsi="Times New Roman" w:cs="Times New Roman"/>
                <w:noProof/>
                <w:lang w:val="en-US"/>
              </w:rPr>
              <w:t>Procedures for providing reparation must be transparent and readily accessible</w:t>
            </w:r>
            <w:r w:rsidR="00995B4F">
              <w:rPr>
                <w:noProof/>
                <w:webHidden/>
              </w:rPr>
              <w:tab/>
            </w:r>
            <w:r w:rsidR="00995B4F">
              <w:rPr>
                <w:noProof/>
                <w:webHidden/>
              </w:rPr>
              <w:fldChar w:fldCharType="begin"/>
            </w:r>
            <w:r w:rsidR="00995B4F">
              <w:rPr>
                <w:noProof/>
                <w:webHidden/>
              </w:rPr>
              <w:instrText xml:space="preserve"> PAGEREF _Toc389236154 \h </w:instrText>
            </w:r>
            <w:r w:rsidR="00995B4F">
              <w:rPr>
                <w:noProof/>
                <w:webHidden/>
              </w:rPr>
            </w:r>
            <w:r w:rsidR="00995B4F">
              <w:rPr>
                <w:noProof/>
                <w:webHidden/>
              </w:rPr>
              <w:fldChar w:fldCharType="separate"/>
            </w:r>
            <w:r w:rsidR="00995B4F">
              <w:rPr>
                <w:noProof/>
                <w:webHidden/>
              </w:rPr>
              <w:t>20</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55" w:history="1">
            <w:r w:rsidR="00995B4F" w:rsidRPr="008640CD">
              <w:rPr>
                <w:rStyle w:val="Hyperlink"/>
                <w:rFonts w:ascii="Times New Roman" w:hAnsi="Times New Roman" w:cs="Times New Roman"/>
                <w:noProof/>
                <w:lang w:val="en-US"/>
              </w:rPr>
              <w:t>Vulnerability of persons deprived of liberty</w:t>
            </w:r>
            <w:r w:rsidR="00995B4F">
              <w:rPr>
                <w:noProof/>
                <w:webHidden/>
              </w:rPr>
              <w:tab/>
            </w:r>
            <w:r w:rsidR="00995B4F">
              <w:rPr>
                <w:noProof/>
                <w:webHidden/>
              </w:rPr>
              <w:fldChar w:fldCharType="begin"/>
            </w:r>
            <w:r w:rsidR="00995B4F">
              <w:rPr>
                <w:noProof/>
                <w:webHidden/>
              </w:rPr>
              <w:instrText xml:space="preserve"> PAGEREF _Toc389236155 \h </w:instrText>
            </w:r>
            <w:r w:rsidR="00995B4F">
              <w:rPr>
                <w:noProof/>
                <w:webHidden/>
              </w:rPr>
            </w:r>
            <w:r w:rsidR="00995B4F">
              <w:rPr>
                <w:noProof/>
                <w:webHidden/>
              </w:rPr>
              <w:fldChar w:fldCharType="separate"/>
            </w:r>
            <w:r w:rsidR="00995B4F">
              <w:rPr>
                <w:noProof/>
                <w:webHidden/>
              </w:rPr>
              <w:t>20</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56" w:history="1">
            <w:r w:rsidR="00995B4F" w:rsidRPr="008640CD">
              <w:rPr>
                <w:rStyle w:val="Hyperlink"/>
                <w:rFonts w:ascii="Times New Roman" w:hAnsi="Times New Roman" w:cs="Times New Roman"/>
                <w:noProof/>
                <w:lang w:val="en-US"/>
              </w:rPr>
              <w:t>Monetary compensation may not be sufficient redress and remedies under other relevant human rights instruments</w:t>
            </w:r>
            <w:r w:rsidR="00995B4F">
              <w:rPr>
                <w:noProof/>
                <w:webHidden/>
              </w:rPr>
              <w:tab/>
            </w:r>
            <w:r w:rsidR="00995B4F">
              <w:rPr>
                <w:noProof/>
                <w:webHidden/>
              </w:rPr>
              <w:fldChar w:fldCharType="begin"/>
            </w:r>
            <w:r w:rsidR="00995B4F">
              <w:rPr>
                <w:noProof/>
                <w:webHidden/>
              </w:rPr>
              <w:instrText xml:space="preserve"> PAGEREF _Toc389236156 \h </w:instrText>
            </w:r>
            <w:r w:rsidR="00995B4F">
              <w:rPr>
                <w:noProof/>
                <w:webHidden/>
              </w:rPr>
            </w:r>
            <w:r w:rsidR="00995B4F">
              <w:rPr>
                <w:noProof/>
                <w:webHidden/>
              </w:rPr>
              <w:fldChar w:fldCharType="separate"/>
            </w:r>
            <w:r w:rsidR="00995B4F">
              <w:rPr>
                <w:noProof/>
                <w:webHidden/>
              </w:rPr>
              <w:t>20</w:t>
            </w:r>
            <w:r w:rsidR="00995B4F">
              <w:rPr>
                <w:noProof/>
                <w:webHidden/>
              </w:rPr>
              <w:fldChar w:fldCharType="end"/>
            </w:r>
          </w:hyperlink>
        </w:p>
        <w:p w:rsidR="00995B4F" w:rsidRDefault="00C86618" w:rsidP="00995B4F">
          <w:pPr>
            <w:pStyle w:val="TOC1"/>
            <w:tabs>
              <w:tab w:val="left" w:pos="480"/>
              <w:tab w:val="right" w:leader="dot" w:pos="8290"/>
            </w:tabs>
            <w:spacing w:after="0"/>
            <w:rPr>
              <w:rFonts w:eastAsiaTheme="minorEastAsia"/>
              <w:noProof/>
              <w:sz w:val="22"/>
              <w:szCs w:val="22"/>
              <w:lang w:val="da-DK" w:eastAsia="da-DK"/>
            </w:rPr>
          </w:pPr>
          <w:hyperlink w:anchor="_Toc389236157" w:history="1">
            <w:r w:rsidR="00995B4F" w:rsidRPr="008640CD">
              <w:rPr>
                <w:rStyle w:val="Hyperlink"/>
                <w:rFonts w:ascii="Times New Roman" w:hAnsi="Times New Roman" w:cs="Times New Roman"/>
                <w:noProof/>
                <w:lang w:val="en-US"/>
              </w:rPr>
              <w:t>F.</w:t>
            </w:r>
            <w:r w:rsidR="00995B4F">
              <w:rPr>
                <w:rFonts w:eastAsiaTheme="minorEastAsia"/>
                <w:noProof/>
                <w:sz w:val="22"/>
                <w:szCs w:val="22"/>
                <w:lang w:val="da-DK" w:eastAsia="da-DK"/>
              </w:rPr>
              <w:tab/>
            </w:r>
            <w:r w:rsidR="00995B4F" w:rsidRPr="008640CD">
              <w:rPr>
                <w:rStyle w:val="Hyperlink"/>
                <w:rFonts w:ascii="Times New Roman" w:hAnsi="Times New Roman" w:cs="Times New Roman"/>
                <w:noProof/>
                <w:lang w:val="en-US"/>
              </w:rPr>
              <w:t>VII. Relationship of Article 9 with other articles of the Covenant (paragraphs 53-66)</w:t>
            </w:r>
            <w:r w:rsidR="00995B4F">
              <w:rPr>
                <w:noProof/>
                <w:webHidden/>
              </w:rPr>
              <w:tab/>
            </w:r>
            <w:r w:rsidR="00995B4F">
              <w:rPr>
                <w:noProof/>
                <w:webHidden/>
              </w:rPr>
              <w:fldChar w:fldCharType="begin"/>
            </w:r>
            <w:r w:rsidR="00995B4F">
              <w:rPr>
                <w:noProof/>
                <w:webHidden/>
              </w:rPr>
              <w:instrText xml:space="preserve"> PAGEREF _Toc389236157 \h </w:instrText>
            </w:r>
            <w:r w:rsidR="00995B4F">
              <w:rPr>
                <w:noProof/>
                <w:webHidden/>
              </w:rPr>
            </w:r>
            <w:r w:rsidR="00995B4F">
              <w:rPr>
                <w:noProof/>
                <w:webHidden/>
              </w:rPr>
              <w:fldChar w:fldCharType="separate"/>
            </w:r>
            <w:r w:rsidR="00995B4F">
              <w:rPr>
                <w:noProof/>
                <w:webHidden/>
              </w:rPr>
              <w:t>21</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58" w:history="1">
            <w:r w:rsidR="00995B4F" w:rsidRPr="008640CD">
              <w:rPr>
                <w:rStyle w:val="Hyperlink"/>
                <w:rFonts w:ascii="Times New Roman" w:hAnsi="Times New Roman" w:cs="Times New Roman"/>
                <w:noProof/>
                <w:lang w:val="en-US"/>
              </w:rPr>
              <w:t>The link between Article 9 and Article 7</w:t>
            </w:r>
            <w:r w:rsidR="00995B4F">
              <w:rPr>
                <w:noProof/>
                <w:webHidden/>
              </w:rPr>
              <w:tab/>
            </w:r>
            <w:r w:rsidR="00995B4F">
              <w:rPr>
                <w:noProof/>
                <w:webHidden/>
              </w:rPr>
              <w:fldChar w:fldCharType="begin"/>
            </w:r>
            <w:r w:rsidR="00995B4F">
              <w:rPr>
                <w:noProof/>
                <w:webHidden/>
              </w:rPr>
              <w:instrText xml:space="preserve"> PAGEREF _Toc389236158 \h </w:instrText>
            </w:r>
            <w:r w:rsidR="00995B4F">
              <w:rPr>
                <w:noProof/>
                <w:webHidden/>
              </w:rPr>
            </w:r>
            <w:r w:rsidR="00995B4F">
              <w:rPr>
                <w:noProof/>
                <w:webHidden/>
              </w:rPr>
              <w:fldChar w:fldCharType="separate"/>
            </w:r>
            <w:r w:rsidR="00995B4F">
              <w:rPr>
                <w:noProof/>
                <w:webHidden/>
              </w:rPr>
              <w:t>21</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59" w:history="1">
            <w:r w:rsidR="00995B4F" w:rsidRPr="008640CD">
              <w:rPr>
                <w:rStyle w:val="Hyperlink"/>
                <w:rFonts w:ascii="Times New Roman" w:hAnsi="Times New Roman" w:cs="Times New Roman"/>
                <w:noProof/>
                <w:lang w:val="en-US"/>
              </w:rPr>
              <w:t>Solitary confinement and other types of detention that may amount to torture or cruel, inhuman or degrading treatment or punishment</w:t>
            </w:r>
            <w:r w:rsidR="00995B4F">
              <w:rPr>
                <w:noProof/>
                <w:webHidden/>
              </w:rPr>
              <w:tab/>
            </w:r>
            <w:r w:rsidR="00995B4F">
              <w:rPr>
                <w:noProof/>
                <w:webHidden/>
              </w:rPr>
              <w:fldChar w:fldCharType="begin"/>
            </w:r>
            <w:r w:rsidR="00995B4F">
              <w:rPr>
                <w:noProof/>
                <w:webHidden/>
              </w:rPr>
              <w:instrText xml:space="preserve"> PAGEREF _Toc389236159 \h </w:instrText>
            </w:r>
            <w:r w:rsidR="00995B4F">
              <w:rPr>
                <w:noProof/>
                <w:webHidden/>
              </w:rPr>
            </w:r>
            <w:r w:rsidR="00995B4F">
              <w:rPr>
                <w:noProof/>
                <w:webHidden/>
              </w:rPr>
              <w:fldChar w:fldCharType="separate"/>
            </w:r>
            <w:r w:rsidR="00995B4F">
              <w:rPr>
                <w:noProof/>
                <w:webHidden/>
              </w:rPr>
              <w:t>21</w:t>
            </w:r>
            <w:r w:rsidR="00995B4F">
              <w:rPr>
                <w:noProof/>
                <w:webHidden/>
              </w:rPr>
              <w:fldChar w:fldCharType="end"/>
            </w:r>
          </w:hyperlink>
        </w:p>
        <w:p w:rsidR="00995B4F" w:rsidRDefault="00C86618" w:rsidP="00995B4F">
          <w:pPr>
            <w:pStyle w:val="TOC3"/>
            <w:tabs>
              <w:tab w:val="right" w:leader="dot" w:pos="8290"/>
            </w:tabs>
            <w:spacing w:after="0"/>
            <w:rPr>
              <w:rFonts w:eastAsiaTheme="minorEastAsia"/>
              <w:noProof/>
              <w:sz w:val="22"/>
              <w:szCs w:val="22"/>
              <w:lang w:val="da-DK" w:eastAsia="da-DK"/>
            </w:rPr>
          </w:pPr>
          <w:hyperlink w:anchor="_Toc389236160" w:history="1">
            <w:r w:rsidR="00995B4F" w:rsidRPr="008640CD">
              <w:rPr>
                <w:rStyle w:val="Hyperlink"/>
                <w:rFonts w:ascii="Times New Roman" w:hAnsi="Times New Roman" w:cs="Times New Roman"/>
                <w:i/>
                <w:noProof/>
                <w:lang w:val="en-CA"/>
              </w:rPr>
              <w:t>Solitary confinement</w:t>
            </w:r>
            <w:r w:rsidR="00995B4F">
              <w:rPr>
                <w:noProof/>
                <w:webHidden/>
              </w:rPr>
              <w:tab/>
            </w:r>
            <w:r w:rsidR="00995B4F">
              <w:rPr>
                <w:noProof/>
                <w:webHidden/>
              </w:rPr>
              <w:fldChar w:fldCharType="begin"/>
            </w:r>
            <w:r w:rsidR="00995B4F">
              <w:rPr>
                <w:noProof/>
                <w:webHidden/>
              </w:rPr>
              <w:instrText xml:space="preserve"> PAGEREF _Toc389236160 \h </w:instrText>
            </w:r>
            <w:r w:rsidR="00995B4F">
              <w:rPr>
                <w:noProof/>
                <w:webHidden/>
              </w:rPr>
            </w:r>
            <w:r w:rsidR="00995B4F">
              <w:rPr>
                <w:noProof/>
                <w:webHidden/>
              </w:rPr>
              <w:fldChar w:fldCharType="separate"/>
            </w:r>
            <w:r w:rsidR="00995B4F">
              <w:rPr>
                <w:noProof/>
                <w:webHidden/>
              </w:rPr>
              <w:t>22</w:t>
            </w:r>
            <w:r w:rsidR="00995B4F">
              <w:rPr>
                <w:noProof/>
                <w:webHidden/>
              </w:rPr>
              <w:fldChar w:fldCharType="end"/>
            </w:r>
          </w:hyperlink>
        </w:p>
        <w:p w:rsidR="00995B4F" w:rsidRDefault="00C86618" w:rsidP="00995B4F">
          <w:pPr>
            <w:pStyle w:val="TOC2"/>
            <w:tabs>
              <w:tab w:val="right" w:leader="dot" w:pos="8290"/>
            </w:tabs>
            <w:spacing w:after="0"/>
            <w:rPr>
              <w:rFonts w:eastAsiaTheme="minorEastAsia"/>
              <w:noProof/>
              <w:sz w:val="22"/>
              <w:szCs w:val="22"/>
              <w:lang w:val="da-DK" w:eastAsia="da-DK"/>
            </w:rPr>
          </w:pPr>
          <w:hyperlink w:anchor="_Toc389236161" w:history="1">
            <w:r w:rsidR="00995B4F" w:rsidRPr="008640CD">
              <w:rPr>
                <w:rStyle w:val="Hyperlink"/>
                <w:rFonts w:ascii="Times New Roman" w:hAnsi="Times New Roman" w:cs="Times New Roman"/>
                <w:noProof/>
                <w:lang w:val="en-US"/>
              </w:rPr>
              <w:t>Other forms of detention that may amount to torture or other ill-treatment</w:t>
            </w:r>
            <w:r w:rsidR="00995B4F">
              <w:rPr>
                <w:noProof/>
                <w:webHidden/>
              </w:rPr>
              <w:tab/>
            </w:r>
            <w:r w:rsidR="00995B4F">
              <w:rPr>
                <w:noProof/>
                <w:webHidden/>
              </w:rPr>
              <w:fldChar w:fldCharType="begin"/>
            </w:r>
            <w:r w:rsidR="00995B4F">
              <w:rPr>
                <w:noProof/>
                <w:webHidden/>
              </w:rPr>
              <w:instrText xml:space="preserve"> PAGEREF _Toc389236161 \h </w:instrText>
            </w:r>
            <w:r w:rsidR="00995B4F">
              <w:rPr>
                <w:noProof/>
                <w:webHidden/>
              </w:rPr>
            </w:r>
            <w:r w:rsidR="00995B4F">
              <w:rPr>
                <w:noProof/>
                <w:webHidden/>
              </w:rPr>
              <w:fldChar w:fldCharType="separate"/>
            </w:r>
            <w:r w:rsidR="00995B4F">
              <w:rPr>
                <w:noProof/>
                <w:webHidden/>
              </w:rPr>
              <w:t>24</w:t>
            </w:r>
            <w:r w:rsidR="00995B4F">
              <w:rPr>
                <w:noProof/>
                <w:webHidden/>
              </w:rPr>
              <w:fldChar w:fldCharType="end"/>
            </w:r>
          </w:hyperlink>
        </w:p>
        <w:p w:rsidR="00995B4F" w:rsidRDefault="00C86618" w:rsidP="00995B4F">
          <w:pPr>
            <w:pStyle w:val="TOC3"/>
            <w:tabs>
              <w:tab w:val="right" w:leader="dot" w:pos="8290"/>
            </w:tabs>
            <w:spacing w:after="0"/>
            <w:rPr>
              <w:rFonts w:eastAsiaTheme="minorEastAsia"/>
              <w:noProof/>
              <w:sz w:val="22"/>
              <w:szCs w:val="22"/>
              <w:lang w:val="da-DK" w:eastAsia="da-DK"/>
            </w:rPr>
          </w:pPr>
          <w:hyperlink w:anchor="_Toc389236162" w:history="1">
            <w:r w:rsidR="00995B4F" w:rsidRPr="008640CD">
              <w:rPr>
                <w:rStyle w:val="Hyperlink"/>
                <w:rFonts w:ascii="Times New Roman" w:hAnsi="Times New Roman" w:cs="Times New Roman"/>
                <w:i/>
                <w:noProof/>
                <w:lang w:val="en-CA"/>
              </w:rPr>
              <w:t>Prolonged or arbitrary detention without the prospect of challenge, or indefinite detention without charge</w:t>
            </w:r>
            <w:r w:rsidR="00995B4F">
              <w:rPr>
                <w:noProof/>
                <w:webHidden/>
              </w:rPr>
              <w:tab/>
            </w:r>
            <w:r w:rsidR="00995B4F">
              <w:rPr>
                <w:noProof/>
                <w:webHidden/>
              </w:rPr>
              <w:fldChar w:fldCharType="begin"/>
            </w:r>
            <w:r w:rsidR="00995B4F">
              <w:rPr>
                <w:noProof/>
                <w:webHidden/>
              </w:rPr>
              <w:instrText xml:space="preserve"> PAGEREF _Toc389236162 \h </w:instrText>
            </w:r>
            <w:r w:rsidR="00995B4F">
              <w:rPr>
                <w:noProof/>
                <w:webHidden/>
              </w:rPr>
            </w:r>
            <w:r w:rsidR="00995B4F">
              <w:rPr>
                <w:noProof/>
                <w:webHidden/>
              </w:rPr>
              <w:fldChar w:fldCharType="separate"/>
            </w:r>
            <w:r w:rsidR="00995B4F">
              <w:rPr>
                <w:noProof/>
                <w:webHidden/>
              </w:rPr>
              <w:t>24</w:t>
            </w:r>
            <w:r w:rsidR="00995B4F">
              <w:rPr>
                <w:noProof/>
                <w:webHidden/>
              </w:rPr>
              <w:fldChar w:fldCharType="end"/>
            </w:r>
          </w:hyperlink>
        </w:p>
        <w:p w:rsidR="00995B4F" w:rsidRDefault="00C86618" w:rsidP="00995B4F">
          <w:pPr>
            <w:pStyle w:val="TOC3"/>
            <w:tabs>
              <w:tab w:val="right" w:leader="dot" w:pos="8290"/>
            </w:tabs>
            <w:spacing w:after="0"/>
            <w:rPr>
              <w:rFonts w:eastAsiaTheme="minorEastAsia"/>
              <w:noProof/>
              <w:sz w:val="22"/>
              <w:szCs w:val="22"/>
              <w:lang w:val="da-DK" w:eastAsia="da-DK"/>
            </w:rPr>
          </w:pPr>
          <w:hyperlink w:anchor="_Toc389236163" w:history="1">
            <w:r w:rsidR="00995B4F" w:rsidRPr="008640CD">
              <w:rPr>
                <w:rStyle w:val="Hyperlink"/>
                <w:rFonts w:ascii="Times New Roman" w:hAnsi="Times New Roman" w:cs="Times New Roman"/>
                <w:i/>
                <w:noProof/>
                <w:lang w:val="en-CA"/>
              </w:rPr>
              <w:t>Detention of particularly vulnerable individuals, with particular reference to torture survivors</w:t>
            </w:r>
            <w:r w:rsidR="00995B4F">
              <w:rPr>
                <w:noProof/>
                <w:webHidden/>
              </w:rPr>
              <w:tab/>
            </w:r>
            <w:r w:rsidR="00995B4F">
              <w:rPr>
                <w:noProof/>
                <w:webHidden/>
              </w:rPr>
              <w:fldChar w:fldCharType="begin"/>
            </w:r>
            <w:r w:rsidR="00995B4F">
              <w:rPr>
                <w:noProof/>
                <w:webHidden/>
              </w:rPr>
              <w:instrText xml:space="preserve"> PAGEREF _Toc389236163 \h </w:instrText>
            </w:r>
            <w:r w:rsidR="00995B4F">
              <w:rPr>
                <w:noProof/>
                <w:webHidden/>
              </w:rPr>
            </w:r>
            <w:r w:rsidR="00995B4F">
              <w:rPr>
                <w:noProof/>
                <w:webHidden/>
              </w:rPr>
              <w:fldChar w:fldCharType="separate"/>
            </w:r>
            <w:r w:rsidR="00995B4F">
              <w:rPr>
                <w:noProof/>
                <w:webHidden/>
              </w:rPr>
              <w:t>24</w:t>
            </w:r>
            <w:r w:rsidR="00995B4F">
              <w:rPr>
                <w:noProof/>
                <w:webHidden/>
              </w:rPr>
              <w:fldChar w:fldCharType="end"/>
            </w:r>
          </w:hyperlink>
        </w:p>
        <w:p w:rsidR="00995B4F" w:rsidRDefault="00C86618" w:rsidP="00995B4F">
          <w:pPr>
            <w:pStyle w:val="TOC3"/>
            <w:tabs>
              <w:tab w:val="right" w:leader="dot" w:pos="8290"/>
            </w:tabs>
            <w:spacing w:after="0"/>
            <w:rPr>
              <w:rFonts w:eastAsiaTheme="minorEastAsia"/>
              <w:noProof/>
              <w:sz w:val="22"/>
              <w:szCs w:val="22"/>
              <w:lang w:val="da-DK" w:eastAsia="da-DK"/>
            </w:rPr>
          </w:pPr>
          <w:hyperlink w:anchor="_Toc389236164" w:history="1">
            <w:r w:rsidR="00995B4F" w:rsidRPr="008640CD">
              <w:rPr>
                <w:rStyle w:val="Hyperlink"/>
                <w:rFonts w:ascii="Times New Roman" w:hAnsi="Times New Roman" w:cs="Times New Roman"/>
                <w:i/>
                <w:noProof/>
                <w:lang w:val="en-CA"/>
              </w:rPr>
              <w:t>Life imprisonment without prospect of release</w:t>
            </w:r>
            <w:r w:rsidR="00995B4F">
              <w:rPr>
                <w:noProof/>
                <w:webHidden/>
              </w:rPr>
              <w:tab/>
            </w:r>
            <w:r w:rsidR="00995B4F">
              <w:rPr>
                <w:noProof/>
                <w:webHidden/>
              </w:rPr>
              <w:fldChar w:fldCharType="begin"/>
            </w:r>
            <w:r w:rsidR="00995B4F">
              <w:rPr>
                <w:noProof/>
                <w:webHidden/>
              </w:rPr>
              <w:instrText xml:space="preserve"> PAGEREF _Toc389236164 \h </w:instrText>
            </w:r>
            <w:r w:rsidR="00995B4F">
              <w:rPr>
                <w:noProof/>
                <w:webHidden/>
              </w:rPr>
            </w:r>
            <w:r w:rsidR="00995B4F">
              <w:rPr>
                <w:noProof/>
                <w:webHidden/>
              </w:rPr>
              <w:fldChar w:fldCharType="separate"/>
            </w:r>
            <w:r w:rsidR="00995B4F">
              <w:rPr>
                <w:noProof/>
                <w:webHidden/>
              </w:rPr>
              <w:t>26</w:t>
            </w:r>
            <w:r w:rsidR="00995B4F">
              <w:rPr>
                <w:noProof/>
                <w:webHidden/>
              </w:rPr>
              <w:fldChar w:fldCharType="end"/>
            </w:r>
          </w:hyperlink>
        </w:p>
        <w:p w:rsidR="00995B4F" w:rsidRDefault="00C86618" w:rsidP="00995B4F">
          <w:pPr>
            <w:pStyle w:val="TOC3"/>
            <w:tabs>
              <w:tab w:val="right" w:leader="dot" w:pos="8290"/>
            </w:tabs>
            <w:spacing w:after="0"/>
            <w:rPr>
              <w:rFonts w:eastAsiaTheme="minorEastAsia"/>
              <w:noProof/>
              <w:sz w:val="22"/>
              <w:szCs w:val="22"/>
              <w:lang w:val="da-DK" w:eastAsia="da-DK"/>
            </w:rPr>
          </w:pPr>
          <w:hyperlink w:anchor="_Toc389236165" w:history="1">
            <w:r w:rsidR="00995B4F" w:rsidRPr="008640CD">
              <w:rPr>
                <w:rStyle w:val="Hyperlink"/>
                <w:rFonts w:ascii="Times New Roman" w:hAnsi="Times New Roman" w:cs="Times New Roman"/>
                <w:i/>
                <w:noProof/>
                <w:lang w:val="en-CA"/>
              </w:rPr>
              <w:t>The death row phenomenon</w:t>
            </w:r>
            <w:r w:rsidR="00995B4F">
              <w:rPr>
                <w:noProof/>
                <w:webHidden/>
              </w:rPr>
              <w:tab/>
            </w:r>
            <w:r w:rsidR="00995B4F">
              <w:rPr>
                <w:noProof/>
                <w:webHidden/>
              </w:rPr>
              <w:fldChar w:fldCharType="begin"/>
            </w:r>
            <w:r w:rsidR="00995B4F">
              <w:rPr>
                <w:noProof/>
                <w:webHidden/>
              </w:rPr>
              <w:instrText xml:space="preserve"> PAGEREF _Toc389236165 \h </w:instrText>
            </w:r>
            <w:r w:rsidR="00995B4F">
              <w:rPr>
                <w:noProof/>
                <w:webHidden/>
              </w:rPr>
            </w:r>
            <w:r w:rsidR="00995B4F">
              <w:rPr>
                <w:noProof/>
                <w:webHidden/>
              </w:rPr>
              <w:fldChar w:fldCharType="separate"/>
            </w:r>
            <w:r w:rsidR="00995B4F">
              <w:rPr>
                <w:noProof/>
                <w:webHidden/>
              </w:rPr>
              <w:t>26</w:t>
            </w:r>
            <w:r w:rsidR="00995B4F">
              <w:rPr>
                <w:noProof/>
                <w:webHidden/>
              </w:rPr>
              <w:fldChar w:fldCharType="end"/>
            </w:r>
          </w:hyperlink>
        </w:p>
        <w:p w:rsidR="00F87E7E" w:rsidRDefault="004C61F2" w:rsidP="0066425A">
          <w:pPr>
            <w:spacing w:after="60"/>
            <w:jc w:val="both"/>
          </w:pPr>
          <w:r>
            <w:rPr>
              <w:b/>
              <w:bCs/>
              <w:noProof/>
            </w:rPr>
            <w:fldChar w:fldCharType="end"/>
          </w:r>
        </w:p>
      </w:sdtContent>
    </w:sdt>
    <w:p w:rsidR="00F87E7E" w:rsidRDefault="00F87E7E" w:rsidP="00D3761D">
      <w:pPr>
        <w:jc w:val="both"/>
        <w:rPr>
          <w:rFonts w:ascii="Times New Roman" w:eastAsiaTheme="majorEastAsia" w:hAnsi="Times New Roman" w:cs="Times New Roman"/>
          <w:b/>
          <w:bCs/>
          <w:sz w:val="28"/>
          <w:szCs w:val="28"/>
          <w:lang w:val="en-US"/>
        </w:rPr>
      </w:pPr>
      <w:r>
        <w:rPr>
          <w:rFonts w:ascii="Times New Roman" w:hAnsi="Times New Roman" w:cs="Times New Roman"/>
          <w:lang w:val="en-US"/>
        </w:rPr>
        <w:br w:type="page"/>
      </w:r>
    </w:p>
    <w:p w:rsidR="00675260" w:rsidRPr="00A46B17" w:rsidRDefault="00675260" w:rsidP="00D3761D">
      <w:pPr>
        <w:pStyle w:val="Heading1"/>
        <w:numPr>
          <w:ilvl w:val="0"/>
          <w:numId w:val="48"/>
        </w:numPr>
        <w:spacing w:before="0"/>
        <w:jc w:val="both"/>
        <w:rPr>
          <w:rFonts w:ascii="Times New Roman" w:hAnsi="Times New Roman" w:cs="Times New Roman"/>
          <w:color w:val="auto"/>
          <w:lang w:val="en-US"/>
        </w:rPr>
      </w:pPr>
      <w:bookmarkStart w:id="2" w:name="_Toc389236136"/>
      <w:r w:rsidRPr="00A46B17">
        <w:rPr>
          <w:rFonts w:ascii="Times New Roman" w:hAnsi="Times New Roman" w:cs="Times New Roman"/>
          <w:color w:val="auto"/>
          <w:lang w:val="en-US"/>
        </w:rPr>
        <w:lastRenderedPageBreak/>
        <w:t>Introduction</w:t>
      </w:r>
      <w:bookmarkEnd w:id="2"/>
      <w:bookmarkEnd w:id="1"/>
      <w:bookmarkEnd w:id="0"/>
    </w:p>
    <w:p w:rsidR="00675260" w:rsidRPr="00A46B17" w:rsidRDefault="00675260" w:rsidP="00887A4F">
      <w:pPr>
        <w:jc w:val="both"/>
        <w:rPr>
          <w:rFonts w:ascii="Times New Roman" w:hAnsi="Times New Roman" w:cs="Times New Roman"/>
          <w:sz w:val="22"/>
          <w:szCs w:val="22"/>
          <w:lang w:val="en-US"/>
        </w:rPr>
      </w:pPr>
    </w:p>
    <w:p w:rsidR="00675260" w:rsidRPr="00A46B17" w:rsidRDefault="00675260" w:rsidP="00D3761D">
      <w:pPr>
        <w:pStyle w:val="ListParagraph"/>
        <w:numPr>
          <w:ilvl w:val="0"/>
          <w:numId w:val="37"/>
        </w:numPr>
        <w:ind w:left="360"/>
        <w:jc w:val="both"/>
        <w:rPr>
          <w:sz w:val="22"/>
          <w:szCs w:val="22"/>
          <w:lang w:val="en-US"/>
        </w:rPr>
      </w:pPr>
      <w:r w:rsidRPr="00A46B17">
        <w:rPr>
          <w:sz w:val="22"/>
          <w:szCs w:val="22"/>
          <w:lang w:val="en-US"/>
        </w:rPr>
        <w:t xml:space="preserve">Following the Human Rights Committee’s invitation for written comments on the finalized first reading draft of General Comment </w:t>
      </w:r>
      <w:r w:rsidR="00316381">
        <w:rPr>
          <w:sz w:val="22"/>
          <w:szCs w:val="22"/>
          <w:lang w:val="en-US"/>
        </w:rPr>
        <w:t xml:space="preserve">No. </w:t>
      </w:r>
      <w:r w:rsidRPr="00A46B17">
        <w:rPr>
          <w:sz w:val="22"/>
          <w:szCs w:val="22"/>
          <w:lang w:val="en-US"/>
        </w:rPr>
        <w:t xml:space="preserve">35 on Article 9 of the International Covenant on Civil and Political Rights (ICCPR), we, the undersigned </w:t>
      </w:r>
      <w:proofErr w:type="spellStart"/>
      <w:r w:rsidRPr="00A46B17">
        <w:rPr>
          <w:sz w:val="22"/>
          <w:szCs w:val="22"/>
          <w:lang w:val="en-US"/>
        </w:rPr>
        <w:t>organisations</w:t>
      </w:r>
      <w:proofErr w:type="spellEnd"/>
      <w:r w:rsidRPr="00A46B17">
        <w:rPr>
          <w:sz w:val="22"/>
          <w:szCs w:val="22"/>
          <w:lang w:val="en-US"/>
        </w:rPr>
        <w:t xml:space="preserve">, welcome the opportunity to provide our views and recommendations. </w:t>
      </w:r>
    </w:p>
    <w:p w:rsidR="00675260" w:rsidRPr="00A46B17" w:rsidRDefault="00675260" w:rsidP="00D3761D">
      <w:pPr>
        <w:jc w:val="both"/>
        <w:rPr>
          <w:rFonts w:ascii="Times New Roman" w:hAnsi="Times New Roman" w:cs="Times New Roman"/>
          <w:sz w:val="22"/>
          <w:szCs w:val="22"/>
          <w:lang w:val="en-US"/>
        </w:rPr>
      </w:pPr>
    </w:p>
    <w:p w:rsidR="00675260" w:rsidRPr="00A46B17" w:rsidRDefault="00675260" w:rsidP="00D3761D">
      <w:pPr>
        <w:pStyle w:val="ListParagraph"/>
        <w:numPr>
          <w:ilvl w:val="0"/>
          <w:numId w:val="37"/>
        </w:numPr>
        <w:ind w:left="360"/>
        <w:jc w:val="both"/>
        <w:rPr>
          <w:sz w:val="22"/>
          <w:szCs w:val="22"/>
          <w:lang w:val="en-US"/>
        </w:rPr>
      </w:pPr>
      <w:r w:rsidRPr="00A46B17">
        <w:rPr>
          <w:sz w:val="22"/>
          <w:szCs w:val="22"/>
          <w:lang w:val="en-US"/>
        </w:rPr>
        <w:t xml:space="preserve">We commend the Committee on the draft General Comment </w:t>
      </w:r>
      <w:r w:rsidR="00316381">
        <w:rPr>
          <w:sz w:val="22"/>
          <w:szCs w:val="22"/>
          <w:lang w:val="en-US"/>
        </w:rPr>
        <w:t xml:space="preserve">No. </w:t>
      </w:r>
      <w:r w:rsidRPr="00A46B17">
        <w:rPr>
          <w:sz w:val="22"/>
          <w:szCs w:val="22"/>
          <w:lang w:val="en-US"/>
        </w:rPr>
        <w:t>35, which has been strengthened following the conclusion of the first reading, and are in agreement with much of the text. The present submission focuses on several areas where, we respectfully submit, the text could be further strengthened in order to ensure that the General Comment clearly articulates t</w:t>
      </w:r>
      <w:r w:rsidR="00D3761D">
        <w:rPr>
          <w:sz w:val="22"/>
          <w:szCs w:val="22"/>
          <w:lang w:val="en-US"/>
        </w:rPr>
        <w:t>he obligations of States under A</w:t>
      </w:r>
      <w:r w:rsidRPr="00A46B17">
        <w:rPr>
          <w:sz w:val="22"/>
          <w:szCs w:val="22"/>
          <w:lang w:val="en-US"/>
        </w:rPr>
        <w:t xml:space="preserve">rticle 9 and the steps that must be taken to ensure that the rights of persons </w:t>
      </w:r>
      <w:r w:rsidR="00D3761D">
        <w:rPr>
          <w:sz w:val="22"/>
          <w:szCs w:val="22"/>
          <w:lang w:val="en-US"/>
        </w:rPr>
        <w:t>under A</w:t>
      </w:r>
      <w:r w:rsidR="00E236BB" w:rsidRPr="00A46B17">
        <w:rPr>
          <w:sz w:val="22"/>
          <w:szCs w:val="22"/>
          <w:lang w:val="en-US"/>
        </w:rPr>
        <w:t xml:space="preserve">rticle 9 </w:t>
      </w:r>
      <w:r w:rsidRPr="00A46B17">
        <w:rPr>
          <w:sz w:val="22"/>
          <w:szCs w:val="22"/>
          <w:lang w:val="en-US"/>
        </w:rPr>
        <w:t xml:space="preserve">are sufficiently protected. </w:t>
      </w:r>
    </w:p>
    <w:p w:rsidR="00675260" w:rsidRPr="00A46B17" w:rsidRDefault="00675260" w:rsidP="00D3761D">
      <w:pPr>
        <w:jc w:val="both"/>
        <w:rPr>
          <w:rFonts w:ascii="Times New Roman" w:hAnsi="Times New Roman" w:cs="Times New Roman"/>
          <w:sz w:val="22"/>
          <w:szCs w:val="22"/>
          <w:lang w:val="en-US"/>
        </w:rPr>
      </w:pPr>
    </w:p>
    <w:p w:rsidR="00675260" w:rsidRPr="00A46B17" w:rsidRDefault="00675260" w:rsidP="00D3761D">
      <w:pPr>
        <w:pStyle w:val="ListParagraph"/>
        <w:numPr>
          <w:ilvl w:val="0"/>
          <w:numId w:val="37"/>
        </w:numPr>
        <w:ind w:left="360"/>
        <w:jc w:val="both"/>
        <w:rPr>
          <w:sz w:val="22"/>
          <w:szCs w:val="22"/>
          <w:lang w:val="en-US"/>
        </w:rPr>
      </w:pPr>
      <w:r w:rsidRPr="00A46B17">
        <w:rPr>
          <w:sz w:val="22"/>
          <w:szCs w:val="22"/>
          <w:lang w:val="en-US"/>
        </w:rPr>
        <w:t>In this regard, one overarching comment which is addressed in various sections throughout this submission is the important nexus between the oblig</w:t>
      </w:r>
      <w:r w:rsidR="00D3761D">
        <w:rPr>
          <w:sz w:val="22"/>
          <w:szCs w:val="22"/>
          <w:lang w:val="en-US"/>
        </w:rPr>
        <w:t>ations of States parties under A</w:t>
      </w:r>
      <w:r w:rsidRPr="00A46B17">
        <w:rPr>
          <w:sz w:val="22"/>
          <w:szCs w:val="22"/>
          <w:lang w:val="en-US"/>
        </w:rPr>
        <w:t>rticle 9</w:t>
      </w:r>
      <w:r w:rsidR="00D3761D">
        <w:rPr>
          <w:sz w:val="22"/>
          <w:szCs w:val="22"/>
          <w:lang w:val="en-US"/>
        </w:rPr>
        <w:t xml:space="preserve"> of the ICCPR, and those under A</w:t>
      </w:r>
      <w:r w:rsidRPr="00A46B17">
        <w:rPr>
          <w:sz w:val="22"/>
          <w:szCs w:val="22"/>
          <w:lang w:val="en-US"/>
        </w:rPr>
        <w:t>rticle 7. As is discussed in further detail below, we would like to highlight that the l</w:t>
      </w:r>
      <w:r w:rsidR="00D3761D">
        <w:rPr>
          <w:sz w:val="22"/>
          <w:szCs w:val="22"/>
          <w:lang w:val="en-US"/>
        </w:rPr>
        <w:t>egal safeguards required under A</w:t>
      </w:r>
      <w:r w:rsidRPr="00A46B17">
        <w:rPr>
          <w:sz w:val="22"/>
          <w:szCs w:val="22"/>
          <w:lang w:val="en-US"/>
        </w:rPr>
        <w:t xml:space="preserve">rticle 9 protect against both arbitrary detention as well as torture and other cruel, inhuman or degrading treatment or punishment (or ‘ill-treatment’). Our </w:t>
      </w:r>
      <w:proofErr w:type="spellStart"/>
      <w:r w:rsidRPr="00A46B17">
        <w:rPr>
          <w:sz w:val="22"/>
          <w:szCs w:val="22"/>
          <w:lang w:val="en-US"/>
        </w:rPr>
        <w:t>organisations</w:t>
      </w:r>
      <w:proofErr w:type="spellEnd"/>
      <w:r w:rsidRPr="00A46B17">
        <w:rPr>
          <w:sz w:val="22"/>
          <w:szCs w:val="22"/>
          <w:lang w:val="en-US"/>
        </w:rPr>
        <w:t xml:space="preserve"> respectfully suggest that this relationship should be more clearly articulated in General Comment </w:t>
      </w:r>
      <w:r w:rsidR="00316381">
        <w:rPr>
          <w:sz w:val="22"/>
          <w:szCs w:val="22"/>
          <w:lang w:val="en-US"/>
        </w:rPr>
        <w:t xml:space="preserve">No. </w:t>
      </w:r>
      <w:r w:rsidRPr="00A46B17">
        <w:rPr>
          <w:sz w:val="22"/>
          <w:szCs w:val="22"/>
          <w:lang w:val="en-US"/>
        </w:rPr>
        <w:t xml:space="preserve">35.  </w:t>
      </w:r>
    </w:p>
    <w:p w:rsidR="00675260" w:rsidRPr="00A46B17" w:rsidRDefault="00675260" w:rsidP="00D3761D">
      <w:pPr>
        <w:jc w:val="both"/>
        <w:rPr>
          <w:rFonts w:ascii="Times New Roman" w:hAnsi="Times New Roman" w:cs="Times New Roman"/>
          <w:sz w:val="22"/>
          <w:szCs w:val="22"/>
          <w:lang w:val="en-US"/>
        </w:rPr>
      </w:pPr>
    </w:p>
    <w:p w:rsidR="00C962D1" w:rsidRPr="00A46B17" w:rsidRDefault="00C962D1" w:rsidP="00D3761D">
      <w:pPr>
        <w:pStyle w:val="ListParagraph"/>
        <w:numPr>
          <w:ilvl w:val="0"/>
          <w:numId w:val="37"/>
        </w:numPr>
        <w:ind w:left="360"/>
        <w:jc w:val="both"/>
        <w:rPr>
          <w:sz w:val="22"/>
          <w:szCs w:val="22"/>
          <w:lang w:val="en-US"/>
        </w:rPr>
      </w:pPr>
      <w:r w:rsidRPr="00A46B17">
        <w:rPr>
          <w:sz w:val="22"/>
          <w:szCs w:val="22"/>
          <w:lang w:val="en-US"/>
        </w:rPr>
        <w:t xml:space="preserve">The content of this submission is organized so as to reflect the structure of the draft General Comment, for your ease of reading and convenience. </w:t>
      </w:r>
      <w:r w:rsidR="003900A9" w:rsidRPr="00A46B17">
        <w:rPr>
          <w:sz w:val="22"/>
          <w:szCs w:val="22"/>
          <w:lang w:val="en-US"/>
        </w:rPr>
        <w:t xml:space="preserve">Where </w:t>
      </w:r>
      <w:r w:rsidR="000027DC" w:rsidRPr="00A46B17">
        <w:rPr>
          <w:sz w:val="22"/>
          <w:szCs w:val="22"/>
          <w:lang w:val="en-US"/>
        </w:rPr>
        <w:t>proposals for suggested wording</w:t>
      </w:r>
      <w:r w:rsidRPr="00A46B17">
        <w:rPr>
          <w:sz w:val="22"/>
          <w:szCs w:val="22"/>
          <w:lang w:val="en-US"/>
        </w:rPr>
        <w:t xml:space="preserve"> to include in the General Comment </w:t>
      </w:r>
      <w:r w:rsidR="003900A9" w:rsidRPr="00A46B17">
        <w:rPr>
          <w:sz w:val="22"/>
          <w:szCs w:val="22"/>
          <w:lang w:val="en-US"/>
        </w:rPr>
        <w:t xml:space="preserve">are made, these can be found in the text boxes throughout this submission.  </w:t>
      </w:r>
    </w:p>
    <w:p w:rsidR="00C962D1" w:rsidRPr="00A46B17" w:rsidRDefault="00C962D1" w:rsidP="00D3761D">
      <w:pPr>
        <w:jc w:val="both"/>
        <w:rPr>
          <w:rFonts w:ascii="Times New Roman" w:hAnsi="Times New Roman" w:cs="Times New Roman"/>
          <w:sz w:val="22"/>
          <w:szCs w:val="22"/>
          <w:lang w:val="en-US"/>
        </w:rPr>
      </w:pPr>
    </w:p>
    <w:p w:rsidR="00675260" w:rsidRPr="00A46B17" w:rsidRDefault="009902CD" w:rsidP="00D3761D">
      <w:pPr>
        <w:pStyle w:val="Heading1"/>
        <w:numPr>
          <w:ilvl w:val="0"/>
          <w:numId w:val="48"/>
        </w:numPr>
        <w:spacing w:before="0"/>
        <w:jc w:val="both"/>
        <w:rPr>
          <w:rFonts w:ascii="Times New Roman" w:hAnsi="Times New Roman" w:cs="Times New Roman"/>
          <w:color w:val="auto"/>
          <w:lang w:val="en-US"/>
        </w:rPr>
      </w:pPr>
      <w:bookmarkStart w:id="3" w:name="_Toc388377549"/>
      <w:bookmarkStart w:id="4" w:name="_Toc388961666"/>
      <w:bookmarkStart w:id="5" w:name="_Toc389236137"/>
      <w:r w:rsidRPr="00A46B17">
        <w:rPr>
          <w:rFonts w:ascii="Times New Roman" w:hAnsi="Times New Roman" w:cs="Times New Roman"/>
          <w:color w:val="auto"/>
          <w:lang w:val="en-US"/>
        </w:rPr>
        <w:t xml:space="preserve">General Remarks </w:t>
      </w:r>
      <w:r w:rsidR="003900A9" w:rsidRPr="00A46B17">
        <w:rPr>
          <w:rFonts w:ascii="Times New Roman" w:hAnsi="Times New Roman" w:cs="Times New Roman"/>
          <w:color w:val="auto"/>
          <w:lang w:val="en-US"/>
        </w:rPr>
        <w:t>(paragraphs 1-9)</w:t>
      </w:r>
      <w:bookmarkEnd w:id="3"/>
      <w:bookmarkEnd w:id="4"/>
      <w:bookmarkEnd w:id="5"/>
      <w:r w:rsidR="00675260" w:rsidRPr="00A46B17">
        <w:rPr>
          <w:rFonts w:ascii="Times New Roman" w:hAnsi="Times New Roman" w:cs="Times New Roman"/>
          <w:color w:val="auto"/>
          <w:lang w:val="en-US"/>
        </w:rPr>
        <w:tab/>
      </w:r>
    </w:p>
    <w:p w:rsidR="00675260" w:rsidRPr="00A46B17" w:rsidRDefault="00675260" w:rsidP="00887A4F">
      <w:pPr>
        <w:jc w:val="both"/>
        <w:rPr>
          <w:rFonts w:ascii="Times New Roman" w:hAnsi="Times New Roman" w:cs="Times New Roman"/>
          <w:b/>
          <w:sz w:val="22"/>
          <w:szCs w:val="22"/>
          <w:lang w:val="en-US"/>
        </w:rPr>
      </w:pPr>
    </w:p>
    <w:p w:rsidR="001D39B4" w:rsidRPr="00A46B17" w:rsidRDefault="001D39B4" w:rsidP="00D3761D">
      <w:pPr>
        <w:pStyle w:val="Heading2"/>
        <w:spacing w:before="0"/>
        <w:jc w:val="both"/>
        <w:rPr>
          <w:rFonts w:ascii="Times New Roman" w:hAnsi="Times New Roman" w:cs="Times New Roman"/>
          <w:color w:val="auto"/>
          <w:sz w:val="24"/>
          <w:szCs w:val="24"/>
          <w:lang w:val="en-US"/>
        </w:rPr>
      </w:pPr>
      <w:bookmarkStart w:id="6" w:name="_Toc388377550"/>
      <w:bookmarkStart w:id="7" w:name="_Toc388961667"/>
      <w:bookmarkStart w:id="8" w:name="_Toc389236138"/>
      <w:r w:rsidRPr="00A46B17">
        <w:rPr>
          <w:rFonts w:ascii="Times New Roman" w:hAnsi="Times New Roman" w:cs="Times New Roman"/>
          <w:color w:val="auto"/>
          <w:sz w:val="24"/>
          <w:szCs w:val="24"/>
          <w:lang w:val="en-US"/>
        </w:rPr>
        <w:t>Deprivations of liberty by third parties</w:t>
      </w:r>
      <w:bookmarkEnd w:id="6"/>
      <w:bookmarkEnd w:id="7"/>
      <w:bookmarkEnd w:id="8"/>
    </w:p>
    <w:p w:rsidR="0092321A" w:rsidRPr="00D3761D" w:rsidRDefault="001D39B4" w:rsidP="00887A4F">
      <w:pPr>
        <w:pStyle w:val="ListParagraph"/>
        <w:numPr>
          <w:ilvl w:val="0"/>
          <w:numId w:val="37"/>
        </w:numPr>
        <w:ind w:left="360"/>
        <w:jc w:val="both"/>
        <w:rPr>
          <w:sz w:val="22"/>
          <w:lang w:val="en-GB"/>
        </w:rPr>
      </w:pPr>
      <w:r w:rsidRPr="00A46B17">
        <w:rPr>
          <w:sz w:val="22"/>
          <w:szCs w:val="22"/>
          <w:lang w:val="en-US"/>
        </w:rPr>
        <w:t xml:space="preserve">We welcome </w:t>
      </w:r>
      <w:r w:rsidRPr="00A46B17">
        <w:rPr>
          <w:b/>
          <w:sz w:val="22"/>
          <w:szCs w:val="22"/>
          <w:u w:val="single"/>
          <w:lang w:val="en-US"/>
        </w:rPr>
        <w:t>paragraph 8</w:t>
      </w:r>
      <w:r w:rsidR="00640097">
        <w:rPr>
          <w:sz w:val="22"/>
          <w:szCs w:val="22"/>
          <w:lang w:val="en-US"/>
        </w:rPr>
        <w:t xml:space="preserve"> of the draft General Comment</w:t>
      </w:r>
      <w:r w:rsidR="00316381">
        <w:rPr>
          <w:sz w:val="22"/>
          <w:szCs w:val="22"/>
          <w:lang w:val="en-US"/>
        </w:rPr>
        <w:t xml:space="preserve"> No.</w:t>
      </w:r>
      <w:r w:rsidR="00640097">
        <w:rPr>
          <w:sz w:val="22"/>
          <w:szCs w:val="22"/>
          <w:lang w:val="en-US"/>
        </w:rPr>
        <w:t xml:space="preserve"> 35</w:t>
      </w:r>
      <w:r w:rsidRPr="00A46B17">
        <w:rPr>
          <w:sz w:val="22"/>
          <w:szCs w:val="22"/>
          <w:lang w:val="en-US"/>
        </w:rPr>
        <w:t xml:space="preserve">, which concerns States parties’ duty to protect the right to liberty of persons against deprivations by third parties.  We </w:t>
      </w:r>
      <w:r w:rsidR="0092321A" w:rsidRPr="00A46B17">
        <w:rPr>
          <w:sz w:val="22"/>
          <w:szCs w:val="22"/>
          <w:lang w:val="en-US"/>
        </w:rPr>
        <w:t xml:space="preserve">also welcome </w:t>
      </w:r>
      <w:r w:rsidR="0092321A" w:rsidRPr="00A46B17">
        <w:rPr>
          <w:sz w:val="22"/>
          <w:szCs w:val="22"/>
          <w:lang w:val="en-CA"/>
        </w:rPr>
        <w:t>the acknowledgement that States parties must protect individuals “against wrongful deprivation of liberty by lawful organizations, such as employers, schools and hospitals”.</w:t>
      </w:r>
      <w:r w:rsidR="000F0C3B">
        <w:rPr>
          <w:sz w:val="22"/>
          <w:szCs w:val="22"/>
          <w:lang w:val="en-CA"/>
        </w:rPr>
        <w:t xml:space="preserve"> </w:t>
      </w:r>
      <w:r w:rsidR="00476B59">
        <w:rPr>
          <w:sz w:val="22"/>
          <w:szCs w:val="22"/>
          <w:lang w:val="en-CA"/>
        </w:rPr>
        <w:t>This reflects the Committee’s understanding that “</w:t>
      </w:r>
      <w:r w:rsidR="00476B59" w:rsidRPr="00476B59">
        <w:rPr>
          <w:sz w:val="22"/>
          <w:szCs w:val="22"/>
          <w:lang w:val="en-GB"/>
        </w:rPr>
        <w:t>the positive obligations on States Parties to ensure Covenant rights will only be fully discharged if individuals are protected by the State, not just against violations of Covenant rights by its agents, but also against acts committed by private persons or entities that would impair the enjoyment of Covenant rights in so far as they are amenable to application between private persons or entities</w:t>
      </w:r>
      <w:r w:rsidR="00476B59">
        <w:rPr>
          <w:sz w:val="22"/>
          <w:szCs w:val="22"/>
          <w:lang w:val="en-GB"/>
        </w:rPr>
        <w:t>”.</w:t>
      </w:r>
      <w:r w:rsidR="00476B59">
        <w:rPr>
          <w:rStyle w:val="FootnoteReference"/>
          <w:szCs w:val="22"/>
          <w:lang w:val="en-GB"/>
        </w:rPr>
        <w:footnoteReference w:id="2"/>
      </w:r>
      <w:r w:rsidR="00476B59">
        <w:rPr>
          <w:sz w:val="22"/>
          <w:szCs w:val="22"/>
          <w:lang w:val="en-GB"/>
        </w:rPr>
        <w:t xml:space="preserve">  As such “</w:t>
      </w:r>
      <w:r w:rsidR="00476B59" w:rsidRPr="00D3761D">
        <w:rPr>
          <w:sz w:val="22"/>
          <w:szCs w:val="22"/>
          <w:lang w:val="en-GB"/>
        </w:rPr>
        <w:t xml:space="preserve">there may be circumstances in which a failure to ensure Covenant rights as required by </w:t>
      </w:r>
      <w:r w:rsidR="00D3761D">
        <w:rPr>
          <w:sz w:val="22"/>
          <w:szCs w:val="22"/>
          <w:lang w:val="en-GB"/>
        </w:rPr>
        <w:t>A</w:t>
      </w:r>
      <w:r w:rsidR="00476B59" w:rsidRPr="00D3761D">
        <w:rPr>
          <w:sz w:val="22"/>
          <w:szCs w:val="22"/>
          <w:lang w:val="en-GB"/>
        </w:rPr>
        <w:t>rticle 2 would giv</w:t>
      </w:r>
      <w:r w:rsidR="000F0C3B">
        <w:rPr>
          <w:sz w:val="22"/>
          <w:szCs w:val="22"/>
          <w:lang w:val="en-GB"/>
        </w:rPr>
        <w:t>e rise to violations by States p</w:t>
      </w:r>
      <w:r w:rsidR="00476B59" w:rsidRPr="00D3761D">
        <w:rPr>
          <w:sz w:val="22"/>
          <w:szCs w:val="22"/>
          <w:lang w:val="en-GB"/>
        </w:rPr>
        <w:t>arties of those</w:t>
      </w:r>
      <w:r w:rsidR="000F0C3B">
        <w:rPr>
          <w:sz w:val="22"/>
          <w:szCs w:val="22"/>
          <w:lang w:val="en-GB"/>
        </w:rPr>
        <w:t xml:space="preserve"> rights, as a result of States parties’</w:t>
      </w:r>
      <w:r w:rsidR="00476B59" w:rsidRPr="00D3761D">
        <w:rPr>
          <w:sz w:val="22"/>
          <w:szCs w:val="22"/>
          <w:lang w:val="en-GB"/>
        </w:rPr>
        <w:t xml:space="preserve"> permitting or failing to take appropriate measures or to exercise due diligence to prevent, punish, investigate or redress the harm caused by such acts by private persons or entities</w:t>
      </w:r>
      <w:r w:rsidR="00476B59">
        <w:rPr>
          <w:sz w:val="22"/>
          <w:szCs w:val="22"/>
          <w:lang w:val="en-GB"/>
        </w:rPr>
        <w:t>”.</w:t>
      </w:r>
      <w:r w:rsidR="00476B59">
        <w:rPr>
          <w:rStyle w:val="FootnoteReference"/>
          <w:szCs w:val="22"/>
          <w:lang w:val="en-GB"/>
        </w:rPr>
        <w:footnoteReference w:id="3"/>
      </w:r>
      <w:r w:rsidR="00E660C7">
        <w:rPr>
          <w:sz w:val="22"/>
          <w:szCs w:val="22"/>
          <w:lang w:val="en-GB"/>
        </w:rPr>
        <w:t xml:space="preserve">  We suggest that it may be helpful </w:t>
      </w:r>
      <w:r w:rsidR="00E660C7">
        <w:rPr>
          <w:sz w:val="22"/>
          <w:szCs w:val="22"/>
          <w:u w:val="single"/>
          <w:lang w:val="en-CA"/>
        </w:rPr>
        <w:t xml:space="preserve">for the Committee to refer specifically in footnote 27 </w:t>
      </w:r>
      <w:r w:rsidR="00640097">
        <w:rPr>
          <w:sz w:val="22"/>
          <w:szCs w:val="22"/>
          <w:u w:val="single"/>
          <w:lang w:val="en-CA"/>
        </w:rPr>
        <w:t xml:space="preserve">of the draft </w:t>
      </w:r>
      <w:r w:rsidR="00E660C7">
        <w:rPr>
          <w:sz w:val="22"/>
          <w:szCs w:val="22"/>
          <w:u w:val="single"/>
          <w:lang w:val="en-CA"/>
        </w:rPr>
        <w:t>to this understanding of</w:t>
      </w:r>
      <w:r w:rsidR="00E660C7" w:rsidRPr="00476B59">
        <w:rPr>
          <w:sz w:val="22"/>
          <w:szCs w:val="22"/>
          <w:u w:val="single"/>
          <w:lang w:val="en-CA"/>
        </w:rPr>
        <w:t xml:space="preserve"> the</w:t>
      </w:r>
      <w:r w:rsidR="00E660C7">
        <w:rPr>
          <w:sz w:val="22"/>
          <w:szCs w:val="22"/>
          <w:u w:val="single"/>
          <w:lang w:val="en-CA"/>
        </w:rPr>
        <w:t xml:space="preserve"> effect of the</w:t>
      </w:r>
      <w:r w:rsidR="00E660C7" w:rsidRPr="00476B59">
        <w:rPr>
          <w:sz w:val="22"/>
          <w:szCs w:val="22"/>
          <w:u w:val="single"/>
          <w:lang w:val="en-CA"/>
        </w:rPr>
        <w:t xml:space="preserve"> Covenant as set out in paragraph 8 of General Comment </w:t>
      </w:r>
      <w:r w:rsidR="00E660C7" w:rsidRPr="00476B59">
        <w:rPr>
          <w:sz w:val="22"/>
          <w:szCs w:val="22"/>
          <w:u w:val="single"/>
          <w:lang w:val="en-CA"/>
        </w:rPr>
        <w:lastRenderedPageBreak/>
        <w:t>No. 31</w:t>
      </w:r>
      <w:r w:rsidR="00E660C7">
        <w:rPr>
          <w:sz w:val="22"/>
          <w:szCs w:val="22"/>
          <w:lang w:val="en-CA"/>
        </w:rPr>
        <w:t>, in order to make it absolutely clear that “third party” is not defined narrowly in this context.</w:t>
      </w:r>
    </w:p>
    <w:p w:rsidR="00116FBF" w:rsidRPr="00A46B17" w:rsidRDefault="00116FBF" w:rsidP="00887A4F">
      <w:pPr>
        <w:pStyle w:val="ListParagraph"/>
        <w:ind w:left="360"/>
        <w:jc w:val="both"/>
        <w:rPr>
          <w:sz w:val="22"/>
          <w:szCs w:val="22"/>
          <w:lang w:val="en-CA"/>
        </w:rPr>
      </w:pPr>
    </w:p>
    <w:p w:rsidR="00BD4638" w:rsidRPr="00A46B17" w:rsidRDefault="005A4748" w:rsidP="00D3761D">
      <w:pPr>
        <w:pStyle w:val="ListParagraph"/>
        <w:numPr>
          <w:ilvl w:val="0"/>
          <w:numId w:val="37"/>
        </w:numPr>
        <w:ind w:left="360"/>
        <w:jc w:val="both"/>
        <w:rPr>
          <w:sz w:val="22"/>
          <w:szCs w:val="22"/>
          <w:lang w:val="en-CA"/>
        </w:rPr>
      </w:pPr>
      <w:r w:rsidRPr="00A46B17">
        <w:rPr>
          <w:sz w:val="22"/>
          <w:szCs w:val="22"/>
          <w:lang w:val="en-CA"/>
        </w:rPr>
        <w:t xml:space="preserve">In its Concluding Observations on State party reviews, the </w:t>
      </w:r>
      <w:r w:rsidR="004C5050" w:rsidRPr="00A46B17">
        <w:rPr>
          <w:sz w:val="22"/>
          <w:szCs w:val="22"/>
          <w:lang w:val="en-CA"/>
        </w:rPr>
        <w:t>Committee</w:t>
      </w:r>
      <w:r w:rsidRPr="00A46B17">
        <w:rPr>
          <w:sz w:val="22"/>
          <w:szCs w:val="22"/>
          <w:lang w:val="en-CA"/>
        </w:rPr>
        <w:t xml:space="preserve"> has regularly expressed </w:t>
      </w:r>
      <w:r w:rsidR="00087960" w:rsidRPr="00A46B17">
        <w:rPr>
          <w:sz w:val="22"/>
          <w:szCs w:val="22"/>
          <w:lang w:val="en-CA"/>
        </w:rPr>
        <w:t xml:space="preserve">concern about violations </w:t>
      </w:r>
      <w:r w:rsidR="004C5050" w:rsidRPr="00A46B17">
        <w:rPr>
          <w:sz w:val="22"/>
          <w:szCs w:val="22"/>
          <w:lang w:val="en-CA"/>
        </w:rPr>
        <w:t>experienced by migrant workers</w:t>
      </w:r>
      <w:r w:rsidR="00087960" w:rsidRPr="00A46B17">
        <w:rPr>
          <w:sz w:val="22"/>
          <w:szCs w:val="22"/>
          <w:lang w:val="en-CA"/>
        </w:rPr>
        <w:t xml:space="preserve">, and </w:t>
      </w:r>
      <w:r w:rsidR="00654241" w:rsidRPr="00A46B17">
        <w:rPr>
          <w:sz w:val="22"/>
          <w:szCs w:val="22"/>
          <w:lang w:val="en-CA"/>
        </w:rPr>
        <w:t>in particular</w:t>
      </w:r>
      <w:r w:rsidR="00004F14" w:rsidRPr="00A46B17">
        <w:rPr>
          <w:sz w:val="22"/>
          <w:szCs w:val="22"/>
          <w:lang w:val="en-CA"/>
        </w:rPr>
        <w:t xml:space="preserve"> low-skilled workers such as construction workers and</w:t>
      </w:r>
      <w:r w:rsidR="00654241" w:rsidRPr="00A46B17">
        <w:rPr>
          <w:sz w:val="22"/>
          <w:szCs w:val="22"/>
          <w:lang w:val="en-CA"/>
        </w:rPr>
        <w:t xml:space="preserve"> </w:t>
      </w:r>
      <w:r w:rsidR="00087960" w:rsidRPr="00A46B17">
        <w:rPr>
          <w:sz w:val="22"/>
          <w:szCs w:val="22"/>
          <w:lang w:val="en-CA"/>
        </w:rPr>
        <w:t>migrant domestic workers.</w:t>
      </w:r>
      <w:r w:rsidR="00087960" w:rsidRPr="00A46B17">
        <w:rPr>
          <w:rStyle w:val="FootnoteReference"/>
          <w:sz w:val="22"/>
          <w:szCs w:val="22"/>
          <w:lang w:val="en-CA"/>
        </w:rPr>
        <w:footnoteReference w:id="4"/>
      </w:r>
      <w:r w:rsidR="000F0C3B">
        <w:rPr>
          <w:sz w:val="22"/>
          <w:szCs w:val="22"/>
          <w:lang w:val="en-CA"/>
        </w:rPr>
        <w:t xml:space="preserve"> </w:t>
      </w:r>
      <w:r w:rsidR="00087960" w:rsidRPr="00A46B17">
        <w:rPr>
          <w:sz w:val="22"/>
          <w:szCs w:val="22"/>
          <w:lang w:val="en-CA"/>
        </w:rPr>
        <w:t xml:space="preserve">Such workers </w:t>
      </w:r>
      <w:r w:rsidRPr="00A46B17">
        <w:rPr>
          <w:sz w:val="22"/>
          <w:szCs w:val="22"/>
          <w:lang w:val="en-CA"/>
        </w:rPr>
        <w:t xml:space="preserve">are </w:t>
      </w:r>
      <w:r w:rsidR="00087960" w:rsidRPr="00A46B17">
        <w:rPr>
          <w:sz w:val="22"/>
          <w:szCs w:val="22"/>
          <w:lang w:val="en-CA"/>
        </w:rPr>
        <w:t>particularly vulnerable to multiple violations of their rights – including the right to liberty and security of the person</w:t>
      </w:r>
      <w:r w:rsidR="00F62C49" w:rsidRPr="00A46B17">
        <w:rPr>
          <w:sz w:val="22"/>
          <w:szCs w:val="22"/>
          <w:lang w:val="en-CA"/>
        </w:rPr>
        <w:t xml:space="preserve"> when, for example, they are prevented from leaving their workplace</w:t>
      </w:r>
      <w:r w:rsidR="00087960" w:rsidRPr="00A46B17">
        <w:rPr>
          <w:sz w:val="22"/>
          <w:szCs w:val="22"/>
          <w:lang w:val="en-CA"/>
        </w:rPr>
        <w:t>.</w:t>
      </w:r>
      <w:r w:rsidR="00087960" w:rsidRPr="00A46B17">
        <w:rPr>
          <w:rStyle w:val="FootnoteReference"/>
          <w:sz w:val="22"/>
          <w:szCs w:val="22"/>
          <w:lang w:val="en-CA"/>
        </w:rPr>
        <w:footnoteReference w:id="5"/>
      </w:r>
      <w:r w:rsidR="00087960" w:rsidRPr="00A46B17">
        <w:rPr>
          <w:sz w:val="22"/>
          <w:szCs w:val="22"/>
          <w:lang w:val="en-CA"/>
        </w:rPr>
        <w:t xml:space="preserve"> </w:t>
      </w:r>
      <w:r w:rsidR="009361AB" w:rsidRPr="00A46B17">
        <w:rPr>
          <w:sz w:val="22"/>
          <w:szCs w:val="22"/>
          <w:lang w:val="en-CA"/>
        </w:rPr>
        <w:t xml:space="preserve">Such deprivation of liberty is a violation in itself, increases vulnerability to other human rights violations, and blocks access to remedies. </w:t>
      </w:r>
      <w:r w:rsidR="00087960" w:rsidRPr="00A46B17">
        <w:rPr>
          <w:sz w:val="22"/>
          <w:szCs w:val="22"/>
          <w:lang w:val="en-CA"/>
        </w:rPr>
        <w:t>In some cases, the pattern of conduct may</w:t>
      </w:r>
      <w:r w:rsidRPr="00A46B17">
        <w:rPr>
          <w:sz w:val="22"/>
          <w:szCs w:val="22"/>
          <w:lang w:val="en-CA"/>
        </w:rPr>
        <w:t xml:space="preserve"> also</w:t>
      </w:r>
      <w:r w:rsidR="00087960" w:rsidRPr="00A46B17">
        <w:rPr>
          <w:sz w:val="22"/>
          <w:szCs w:val="22"/>
          <w:lang w:val="en-CA"/>
        </w:rPr>
        <w:t xml:space="preserve"> amount to trafficking of persons</w:t>
      </w:r>
      <w:r w:rsidR="007925FF" w:rsidRPr="00A46B17">
        <w:rPr>
          <w:sz w:val="22"/>
          <w:szCs w:val="22"/>
          <w:lang w:val="en-CA"/>
        </w:rPr>
        <w:t xml:space="preserve"> and other serious human rights violations including sexual exploitation, forced labour, slavery or servitude</w:t>
      </w:r>
      <w:r w:rsidR="00087960" w:rsidRPr="00A46B17">
        <w:rPr>
          <w:sz w:val="22"/>
          <w:szCs w:val="22"/>
          <w:lang w:val="en-CA"/>
        </w:rPr>
        <w:t>.</w:t>
      </w:r>
      <w:bookmarkStart w:id="9" w:name="_Ref261613322"/>
      <w:r w:rsidR="00087960" w:rsidRPr="00A46B17">
        <w:rPr>
          <w:rStyle w:val="FootnoteReference"/>
          <w:sz w:val="22"/>
          <w:szCs w:val="22"/>
          <w:lang w:val="en-CA"/>
        </w:rPr>
        <w:footnoteReference w:id="6"/>
      </w:r>
      <w:bookmarkEnd w:id="9"/>
      <w:r w:rsidR="00087960" w:rsidRPr="00A46B17">
        <w:rPr>
          <w:sz w:val="22"/>
          <w:szCs w:val="22"/>
          <w:lang w:val="en-CA"/>
        </w:rPr>
        <w:t xml:space="preserve"> </w:t>
      </w:r>
      <w:r w:rsidR="00B73ECF" w:rsidRPr="00A46B17">
        <w:rPr>
          <w:sz w:val="22"/>
          <w:szCs w:val="22"/>
          <w:lang w:val="en-CA"/>
        </w:rPr>
        <w:t xml:space="preserve">Although these violations are widespread, they </w:t>
      </w:r>
      <w:r w:rsidR="0060165E" w:rsidRPr="00A46B17">
        <w:rPr>
          <w:sz w:val="22"/>
          <w:szCs w:val="22"/>
          <w:lang w:val="en-CA"/>
        </w:rPr>
        <w:t xml:space="preserve">are not necessarily </w:t>
      </w:r>
      <w:r w:rsidR="009361AB" w:rsidRPr="00A46B17">
        <w:rPr>
          <w:sz w:val="22"/>
          <w:szCs w:val="22"/>
          <w:lang w:val="en-CA"/>
        </w:rPr>
        <w:t>thought of</w:t>
      </w:r>
      <w:r w:rsidR="00B73ECF" w:rsidRPr="00A46B17">
        <w:rPr>
          <w:sz w:val="22"/>
          <w:szCs w:val="22"/>
          <w:lang w:val="en-CA"/>
        </w:rPr>
        <w:t xml:space="preserve"> when considering the rights guaranteed under Article 9, and it</w:t>
      </w:r>
      <w:r w:rsidR="002504AD" w:rsidRPr="00A46B17">
        <w:rPr>
          <w:sz w:val="22"/>
          <w:szCs w:val="22"/>
          <w:lang w:val="en-CA"/>
        </w:rPr>
        <w:t xml:space="preserve"> would</w:t>
      </w:r>
      <w:r w:rsidR="009361AB" w:rsidRPr="00A46B17">
        <w:rPr>
          <w:sz w:val="22"/>
          <w:szCs w:val="22"/>
          <w:lang w:val="en-CA"/>
        </w:rPr>
        <w:t xml:space="preserve"> therefore</w:t>
      </w:r>
      <w:r w:rsidR="002504AD" w:rsidRPr="00A46B17">
        <w:rPr>
          <w:sz w:val="22"/>
          <w:szCs w:val="22"/>
          <w:lang w:val="en-CA"/>
        </w:rPr>
        <w:t xml:space="preserve"> be helpful to make </w:t>
      </w:r>
      <w:r w:rsidR="00B73ECF" w:rsidRPr="00A46B17">
        <w:rPr>
          <w:sz w:val="22"/>
          <w:szCs w:val="22"/>
          <w:lang w:val="en-CA"/>
        </w:rPr>
        <w:t xml:space="preserve">specific </w:t>
      </w:r>
      <w:r w:rsidR="002504AD" w:rsidRPr="00A46B17">
        <w:rPr>
          <w:sz w:val="22"/>
          <w:szCs w:val="22"/>
          <w:lang w:val="en-CA"/>
        </w:rPr>
        <w:t xml:space="preserve">reference to these concepts in </w:t>
      </w:r>
      <w:r w:rsidR="002504AD" w:rsidRPr="00D3761D">
        <w:rPr>
          <w:b/>
          <w:sz w:val="22"/>
          <w:szCs w:val="22"/>
          <w:u w:val="single"/>
          <w:lang w:val="en-CA"/>
        </w:rPr>
        <w:t>paragraph</w:t>
      </w:r>
      <w:r w:rsidR="00795AB6" w:rsidRPr="00D3761D">
        <w:rPr>
          <w:b/>
          <w:sz w:val="22"/>
          <w:szCs w:val="22"/>
          <w:u w:val="single"/>
          <w:lang w:val="en-CA"/>
        </w:rPr>
        <w:t xml:space="preserve"> 8</w:t>
      </w:r>
      <w:r w:rsidR="002504AD" w:rsidRPr="00A46B17">
        <w:rPr>
          <w:sz w:val="22"/>
          <w:szCs w:val="22"/>
          <w:lang w:val="en-CA"/>
        </w:rPr>
        <w:t>.</w:t>
      </w:r>
      <w:r w:rsidR="00C876C4" w:rsidRPr="00A46B17">
        <w:rPr>
          <w:sz w:val="22"/>
          <w:szCs w:val="22"/>
          <w:lang w:val="en-CA"/>
        </w:rPr>
        <w:t xml:space="preserve">  It may also be helpful to include reference to “employees” in the list of people covered by the term “everyone” in </w:t>
      </w:r>
      <w:r w:rsidR="00C876C4" w:rsidRPr="00A46B17">
        <w:rPr>
          <w:b/>
          <w:sz w:val="22"/>
          <w:szCs w:val="22"/>
          <w:u w:val="single"/>
          <w:lang w:val="en-CA"/>
        </w:rPr>
        <w:t>paragraph 3</w:t>
      </w:r>
      <w:r w:rsidR="00C876C4" w:rsidRPr="007827BA">
        <w:rPr>
          <w:sz w:val="22"/>
          <w:lang w:val="en-CA"/>
        </w:rPr>
        <w:t>.</w:t>
      </w:r>
    </w:p>
    <w:p w:rsidR="00116FBF" w:rsidRPr="00A46B17" w:rsidRDefault="00116FBF" w:rsidP="00D3761D">
      <w:pPr>
        <w:pStyle w:val="ListParagraph"/>
        <w:ind w:left="360"/>
        <w:jc w:val="both"/>
        <w:rPr>
          <w:sz w:val="22"/>
          <w:szCs w:val="22"/>
          <w:lang w:val="en-CA"/>
        </w:rPr>
      </w:pPr>
    </w:p>
    <w:p w:rsidR="00087960" w:rsidRPr="00A46B17" w:rsidRDefault="00BD4638" w:rsidP="00D3761D">
      <w:pPr>
        <w:pStyle w:val="ListParagraph"/>
        <w:numPr>
          <w:ilvl w:val="0"/>
          <w:numId w:val="37"/>
        </w:numPr>
        <w:ind w:left="360"/>
        <w:jc w:val="both"/>
        <w:rPr>
          <w:sz w:val="22"/>
          <w:szCs w:val="22"/>
          <w:lang w:val="en-CA"/>
        </w:rPr>
      </w:pPr>
      <w:r w:rsidRPr="00A46B17">
        <w:rPr>
          <w:sz w:val="22"/>
          <w:szCs w:val="22"/>
          <w:lang w:val="en-CA"/>
        </w:rPr>
        <w:t>We</w:t>
      </w:r>
      <w:r w:rsidR="002504AD" w:rsidRPr="00A46B17">
        <w:rPr>
          <w:sz w:val="22"/>
          <w:szCs w:val="22"/>
          <w:lang w:val="en-CA"/>
        </w:rPr>
        <w:t xml:space="preserve"> also </w:t>
      </w:r>
      <w:r w:rsidR="00C83FE6" w:rsidRPr="00A46B17">
        <w:rPr>
          <w:sz w:val="22"/>
          <w:szCs w:val="22"/>
          <w:lang w:val="en-CA"/>
        </w:rPr>
        <w:t>suggest that the Committee includes</w:t>
      </w:r>
      <w:r w:rsidR="00C876C4" w:rsidRPr="00A46B17">
        <w:rPr>
          <w:sz w:val="22"/>
          <w:szCs w:val="22"/>
          <w:lang w:val="en-CA"/>
        </w:rPr>
        <w:t xml:space="preserve"> in </w:t>
      </w:r>
      <w:r w:rsidR="00C876C4" w:rsidRPr="00A46B17">
        <w:rPr>
          <w:b/>
          <w:sz w:val="22"/>
          <w:szCs w:val="22"/>
          <w:u w:val="single"/>
          <w:lang w:val="en-CA"/>
        </w:rPr>
        <w:t>paragraph 8</w:t>
      </w:r>
      <w:r w:rsidR="00C83FE6" w:rsidRPr="00A46B17">
        <w:rPr>
          <w:sz w:val="22"/>
          <w:szCs w:val="22"/>
          <w:lang w:val="en-CA"/>
        </w:rPr>
        <w:t xml:space="preserve"> a more specific recommendation about the types of steps that States parties should take to protect individuals against</w:t>
      </w:r>
      <w:r w:rsidR="00415004" w:rsidRPr="00A46B17">
        <w:rPr>
          <w:sz w:val="22"/>
          <w:szCs w:val="22"/>
          <w:lang w:val="en-CA"/>
        </w:rPr>
        <w:t>,</w:t>
      </w:r>
      <w:r w:rsidR="00C83FE6" w:rsidRPr="00A46B17">
        <w:rPr>
          <w:sz w:val="22"/>
          <w:szCs w:val="22"/>
          <w:lang w:val="en-CA"/>
        </w:rPr>
        <w:t xml:space="preserve"> </w:t>
      </w:r>
      <w:r w:rsidR="0031055B" w:rsidRPr="00A46B17">
        <w:rPr>
          <w:sz w:val="22"/>
          <w:szCs w:val="22"/>
          <w:lang w:val="en-CA"/>
        </w:rPr>
        <w:t xml:space="preserve">and respond to </w:t>
      </w:r>
      <w:r w:rsidR="00C83FE6" w:rsidRPr="00A46B17">
        <w:rPr>
          <w:sz w:val="22"/>
          <w:szCs w:val="22"/>
          <w:lang w:val="en-CA"/>
        </w:rPr>
        <w:t xml:space="preserve">wrongful deprivation of liberty by third parties. This may include </w:t>
      </w:r>
      <w:r w:rsidR="00654241" w:rsidRPr="00A46B17">
        <w:rPr>
          <w:sz w:val="22"/>
          <w:szCs w:val="22"/>
          <w:lang w:val="en-CA"/>
        </w:rPr>
        <w:t xml:space="preserve">effective </w:t>
      </w:r>
      <w:r w:rsidR="00C83FE6" w:rsidRPr="00A46B17">
        <w:rPr>
          <w:sz w:val="22"/>
          <w:szCs w:val="22"/>
          <w:lang w:val="en-CA"/>
        </w:rPr>
        <w:t xml:space="preserve">regulation and </w:t>
      </w:r>
      <w:r w:rsidR="00811783" w:rsidRPr="00A46B17">
        <w:rPr>
          <w:sz w:val="22"/>
          <w:szCs w:val="22"/>
          <w:lang w:val="en-CA"/>
        </w:rPr>
        <w:t xml:space="preserve">inspection </w:t>
      </w:r>
      <w:r w:rsidR="00C83FE6" w:rsidRPr="00A46B17">
        <w:rPr>
          <w:sz w:val="22"/>
          <w:szCs w:val="22"/>
          <w:lang w:val="en-CA"/>
        </w:rPr>
        <w:t>of</w:t>
      </w:r>
      <w:r w:rsidR="005A4748" w:rsidRPr="00A46B17">
        <w:rPr>
          <w:sz w:val="22"/>
          <w:szCs w:val="22"/>
          <w:lang w:val="en-CA"/>
        </w:rPr>
        <w:t xml:space="preserve"> schools, hospitals, care homes, and</w:t>
      </w:r>
      <w:r w:rsidR="00C83FE6" w:rsidRPr="00A46B17">
        <w:rPr>
          <w:sz w:val="22"/>
          <w:szCs w:val="22"/>
          <w:lang w:val="en-CA"/>
        </w:rPr>
        <w:t xml:space="preserve"> places of work, including th</w:t>
      </w:r>
      <w:r w:rsidR="007925FF" w:rsidRPr="00A46B17">
        <w:rPr>
          <w:sz w:val="22"/>
          <w:szCs w:val="22"/>
          <w:lang w:val="en-CA"/>
        </w:rPr>
        <w:t xml:space="preserve">e workplace </w:t>
      </w:r>
      <w:r w:rsidR="00C83FE6" w:rsidRPr="00A46B17">
        <w:rPr>
          <w:sz w:val="22"/>
          <w:szCs w:val="22"/>
          <w:lang w:val="en-CA"/>
        </w:rPr>
        <w:t>of domestic workers</w:t>
      </w:r>
      <w:r w:rsidR="009361AB" w:rsidRPr="00A46B17">
        <w:rPr>
          <w:sz w:val="22"/>
          <w:szCs w:val="22"/>
          <w:lang w:val="en-CA"/>
        </w:rPr>
        <w:t>.</w:t>
      </w:r>
      <w:r w:rsidR="00C83FE6" w:rsidRPr="00A46B17">
        <w:rPr>
          <w:rStyle w:val="FootnoteReference"/>
          <w:sz w:val="22"/>
          <w:szCs w:val="22"/>
          <w:lang w:val="en-CA"/>
        </w:rPr>
        <w:footnoteReference w:id="7"/>
      </w:r>
      <w:r w:rsidR="0031055B" w:rsidRPr="00A46B17">
        <w:rPr>
          <w:sz w:val="22"/>
          <w:szCs w:val="22"/>
          <w:lang w:val="en-CA"/>
        </w:rPr>
        <w:t xml:space="preserve"> </w:t>
      </w:r>
      <w:r w:rsidR="009361AB" w:rsidRPr="00A46B17">
        <w:rPr>
          <w:sz w:val="22"/>
          <w:szCs w:val="22"/>
          <w:lang w:val="en-CA"/>
        </w:rPr>
        <w:t xml:space="preserve">It may also require </w:t>
      </w:r>
      <w:r w:rsidR="00791952" w:rsidRPr="00A46B17">
        <w:rPr>
          <w:sz w:val="22"/>
          <w:szCs w:val="22"/>
          <w:lang w:val="en-CA"/>
        </w:rPr>
        <w:t>ensuring the right to change employer,</w:t>
      </w:r>
      <w:r w:rsidR="00791952" w:rsidRPr="00A46B17">
        <w:rPr>
          <w:rStyle w:val="FootnoteReference"/>
          <w:sz w:val="22"/>
          <w:szCs w:val="22"/>
          <w:lang w:val="en-CA"/>
        </w:rPr>
        <w:footnoteReference w:id="8"/>
      </w:r>
      <w:r w:rsidR="00791952" w:rsidRPr="00A46B17">
        <w:rPr>
          <w:sz w:val="22"/>
          <w:szCs w:val="22"/>
          <w:lang w:val="en-CA"/>
        </w:rPr>
        <w:t xml:space="preserve"> </w:t>
      </w:r>
      <w:r w:rsidR="0057221F" w:rsidRPr="00A46B17">
        <w:rPr>
          <w:sz w:val="22"/>
          <w:szCs w:val="22"/>
          <w:lang w:val="en-CA"/>
        </w:rPr>
        <w:t xml:space="preserve">accessible complaints mechanisms, </w:t>
      </w:r>
      <w:r w:rsidR="009361AB" w:rsidRPr="00A46B17">
        <w:rPr>
          <w:sz w:val="22"/>
          <w:szCs w:val="22"/>
          <w:lang w:val="en-CA"/>
        </w:rPr>
        <w:t>systematic efforts to identify victims of trafficking,</w:t>
      </w:r>
      <w:r w:rsidR="009361AB" w:rsidRPr="00A46B17">
        <w:rPr>
          <w:rStyle w:val="FootnoteReference"/>
          <w:sz w:val="22"/>
          <w:szCs w:val="22"/>
          <w:lang w:val="en-CA"/>
        </w:rPr>
        <w:footnoteReference w:id="9"/>
      </w:r>
      <w:r w:rsidR="009361AB" w:rsidRPr="00A46B17">
        <w:rPr>
          <w:sz w:val="22"/>
          <w:szCs w:val="22"/>
          <w:lang w:val="en-CA"/>
        </w:rPr>
        <w:t xml:space="preserve"> </w:t>
      </w:r>
      <w:r w:rsidR="0031055B" w:rsidRPr="00A46B17">
        <w:rPr>
          <w:sz w:val="22"/>
          <w:szCs w:val="22"/>
          <w:lang w:val="en-CA"/>
        </w:rPr>
        <w:t>provision of support shelters and other assistance for victims,</w:t>
      </w:r>
      <w:r w:rsidR="0031055B" w:rsidRPr="00A46B17">
        <w:rPr>
          <w:rStyle w:val="FootnoteReference"/>
          <w:sz w:val="22"/>
          <w:szCs w:val="22"/>
          <w:lang w:val="en-CA"/>
        </w:rPr>
        <w:footnoteReference w:id="10"/>
      </w:r>
      <w:r w:rsidR="002504AD" w:rsidRPr="00A46B17">
        <w:rPr>
          <w:sz w:val="22"/>
          <w:szCs w:val="22"/>
          <w:lang w:val="en-CA"/>
        </w:rPr>
        <w:t xml:space="preserve"> </w:t>
      </w:r>
      <w:r w:rsidR="0031055B" w:rsidRPr="00A46B17">
        <w:rPr>
          <w:sz w:val="22"/>
          <w:szCs w:val="22"/>
          <w:lang w:val="en-CA"/>
        </w:rPr>
        <w:t>and systematic efforts to identify and prosecute perpetrators.</w:t>
      </w:r>
      <w:r w:rsidR="0031055B" w:rsidRPr="00A46B17">
        <w:rPr>
          <w:rStyle w:val="FootnoteReference"/>
          <w:sz w:val="22"/>
          <w:szCs w:val="22"/>
          <w:lang w:val="en-CA"/>
        </w:rPr>
        <w:footnoteReference w:id="11"/>
      </w:r>
      <w:r w:rsidR="002504AD" w:rsidRPr="00A46B17">
        <w:rPr>
          <w:sz w:val="22"/>
          <w:szCs w:val="22"/>
          <w:lang w:val="en-CA"/>
        </w:rPr>
        <w:t xml:space="preserve"> States may also be encouraged to ratify treaties relating to the abolition of slavery, </w:t>
      </w:r>
      <w:r w:rsidR="002504AD" w:rsidRPr="00A46B17">
        <w:rPr>
          <w:sz w:val="22"/>
          <w:szCs w:val="22"/>
          <w:lang w:val="en-CA"/>
        </w:rPr>
        <w:lastRenderedPageBreak/>
        <w:t>protection from trafficking and protection of workers, including the prohibition of forced labour.</w:t>
      </w:r>
      <w:r w:rsidR="002504AD" w:rsidRPr="00A46B17">
        <w:rPr>
          <w:rStyle w:val="FootnoteReference"/>
          <w:sz w:val="22"/>
          <w:szCs w:val="22"/>
          <w:lang w:val="en-CA"/>
        </w:rPr>
        <w:footnoteReference w:id="12"/>
      </w:r>
      <w:r w:rsidR="00251C96" w:rsidRPr="00A46B17">
        <w:rPr>
          <w:sz w:val="22"/>
          <w:szCs w:val="22"/>
          <w:lang w:val="en-CA"/>
        </w:rPr>
        <w:t xml:space="preserve"> </w:t>
      </w:r>
    </w:p>
    <w:p w:rsidR="00116FBF" w:rsidRPr="00A46B17" w:rsidRDefault="00116FBF" w:rsidP="00D3761D">
      <w:pPr>
        <w:jc w:val="both"/>
        <w:rPr>
          <w:rFonts w:ascii="Times New Roman" w:hAnsi="Times New Roman" w:cs="Times New Roman"/>
          <w:sz w:val="22"/>
          <w:szCs w:val="22"/>
          <w:lang w:val="en-CA"/>
        </w:rPr>
      </w:pPr>
    </w:p>
    <w:p w:rsidR="00C876C4" w:rsidRPr="00A46B17" w:rsidRDefault="00C876C4" w:rsidP="00D3761D">
      <w:pPr>
        <w:pStyle w:val="ListParagraph"/>
        <w:numPr>
          <w:ilvl w:val="0"/>
          <w:numId w:val="37"/>
        </w:numPr>
        <w:ind w:left="360"/>
        <w:jc w:val="both"/>
        <w:rPr>
          <w:sz w:val="22"/>
          <w:szCs w:val="22"/>
          <w:lang w:val="en-CA"/>
        </w:rPr>
      </w:pPr>
      <w:r w:rsidRPr="00A46B17">
        <w:rPr>
          <w:sz w:val="22"/>
          <w:szCs w:val="22"/>
          <w:lang w:val="en-CA"/>
        </w:rPr>
        <w:t xml:space="preserve">In view of the violence experienced by many workers, including in particular domestic workers, reference could also be made to “violence against workers, including domestic workers” in </w:t>
      </w:r>
      <w:r w:rsidRPr="00A46B17">
        <w:rPr>
          <w:b/>
          <w:sz w:val="22"/>
          <w:szCs w:val="22"/>
          <w:u w:val="single"/>
          <w:lang w:val="en-CA"/>
        </w:rPr>
        <w:t>paragraph 7</w:t>
      </w:r>
      <w:r w:rsidRPr="00A46B17">
        <w:rPr>
          <w:sz w:val="22"/>
          <w:szCs w:val="22"/>
          <w:lang w:val="en-CA"/>
        </w:rPr>
        <w:t xml:space="preserve"> concerning security of the person.</w:t>
      </w:r>
    </w:p>
    <w:p w:rsidR="00D76D85" w:rsidRPr="00A46B17" w:rsidRDefault="00D76D85" w:rsidP="00D3761D">
      <w:pPr>
        <w:pStyle w:val="ListParagraph"/>
        <w:ind w:left="360"/>
        <w:jc w:val="both"/>
        <w:rPr>
          <w:sz w:val="22"/>
          <w:szCs w:val="22"/>
          <w:lang w:val="en-CA"/>
        </w:rPr>
      </w:pPr>
    </w:p>
    <w:p w:rsidR="00E94E67" w:rsidRPr="00A46B17" w:rsidRDefault="007F74FD" w:rsidP="00720827">
      <w:pPr>
        <w:pStyle w:val="ListParagraph"/>
        <w:numPr>
          <w:ilvl w:val="0"/>
          <w:numId w:val="37"/>
        </w:numPr>
        <w:ind w:left="360"/>
        <w:jc w:val="both"/>
        <w:rPr>
          <w:sz w:val="22"/>
          <w:szCs w:val="22"/>
          <w:lang w:val="en-CA"/>
        </w:rPr>
      </w:pPr>
      <w:r w:rsidRPr="00A46B17">
        <w:rPr>
          <w:sz w:val="22"/>
          <w:szCs w:val="22"/>
          <w:lang w:val="en-CA"/>
        </w:rPr>
        <w:t xml:space="preserve">In addition, we suggest that a sentence is included in </w:t>
      </w:r>
      <w:r w:rsidRPr="00A46B17">
        <w:rPr>
          <w:b/>
          <w:sz w:val="22"/>
          <w:szCs w:val="22"/>
          <w:u w:val="single"/>
          <w:lang w:val="en-CA"/>
        </w:rPr>
        <w:t>Section VI (Compensation)</w:t>
      </w:r>
      <w:r w:rsidRPr="00A46B17">
        <w:rPr>
          <w:sz w:val="22"/>
          <w:szCs w:val="22"/>
          <w:lang w:val="en-CA"/>
        </w:rPr>
        <w:t xml:space="preserve"> to recall the Committee’s jurisprudence in General Comment No. 31 on States parties’ separate obligations under the Convention “</w:t>
      </w:r>
      <w:r w:rsidR="00B062C1" w:rsidRPr="00A46B17">
        <w:rPr>
          <w:sz w:val="22"/>
          <w:szCs w:val="22"/>
          <w:lang w:val="en-US"/>
        </w:rPr>
        <w:t>to take appropriate measures or to exercise due diligence to prevent, punish, investigate or redress the harm caused by such acts by private persons or entities</w:t>
      </w:r>
      <w:r w:rsidRPr="00A46B17">
        <w:rPr>
          <w:sz w:val="22"/>
          <w:szCs w:val="22"/>
          <w:lang w:val="en-CA"/>
        </w:rPr>
        <w:t>” in the context of unlawful deprivation of liberty.</w:t>
      </w:r>
      <w:r w:rsidRPr="00A46B17">
        <w:rPr>
          <w:rStyle w:val="FootnoteReference"/>
          <w:sz w:val="22"/>
          <w:szCs w:val="22"/>
          <w:lang w:val="en-CA"/>
        </w:rPr>
        <w:footnoteReference w:id="13"/>
      </w:r>
    </w:p>
    <w:p w:rsidR="00B73ECF" w:rsidRPr="00A46B17" w:rsidRDefault="00B73ECF" w:rsidP="00720827">
      <w:pPr>
        <w:pStyle w:val="ListParagraph"/>
        <w:ind w:left="0"/>
        <w:jc w:val="both"/>
        <w:rPr>
          <w:sz w:val="22"/>
          <w:szCs w:val="22"/>
          <w:lang w:val="en-CA"/>
        </w:rPr>
      </w:pPr>
    </w:p>
    <w:p w:rsidR="00B73ECF" w:rsidRPr="00A46B17" w:rsidRDefault="00B73ECF" w:rsidP="0072082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CA"/>
        </w:rPr>
      </w:pPr>
      <w:r w:rsidRPr="00A46B17">
        <w:rPr>
          <w:rFonts w:ascii="Times New Roman" w:hAnsi="Times New Roman" w:cs="Times New Roman"/>
          <w:b/>
          <w:sz w:val="22"/>
          <w:szCs w:val="22"/>
          <w:lang w:val="en-CA"/>
        </w:rPr>
        <w:t>Summary:</w:t>
      </w:r>
      <w:r w:rsidRPr="00A46B17">
        <w:rPr>
          <w:rFonts w:ascii="Times New Roman" w:hAnsi="Times New Roman" w:cs="Times New Roman"/>
          <w:sz w:val="22"/>
          <w:szCs w:val="22"/>
          <w:lang w:val="en-CA"/>
        </w:rPr>
        <w:t xml:space="preserve">  We suggest that </w:t>
      </w:r>
      <w:r w:rsidR="00E660C7">
        <w:rPr>
          <w:rFonts w:ascii="Times New Roman" w:hAnsi="Times New Roman" w:cs="Times New Roman"/>
          <w:sz w:val="22"/>
          <w:szCs w:val="22"/>
          <w:lang w:val="en-CA"/>
        </w:rPr>
        <w:t>specific reference is made to paragraph 8 of General Comment No. 31 in the first sentence of</w:t>
      </w:r>
      <w:r w:rsidRPr="00A46B17">
        <w:rPr>
          <w:rFonts w:ascii="Times New Roman" w:hAnsi="Times New Roman" w:cs="Times New Roman"/>
          <w:sz w:val="22"/>
          <w:szCs w:val="22"/>
          <w:lang w:val="en-CA"/>
        </w:rPr>
        <w:t xml:space="preserve"> </w:t>
      </w:r>
      <w:r w:rsidRPr="00A46B17">
        <w:rPr>
          <w:rFonts w:ascii="Times New Roman" w:hAnsi="Times New Roman" w:cs="Times New Roman"/>
          <w:b/>
          <w:sz w:val="22"/>
          <w:szCs w:val="22"/>
          <w:u w:val="single"/>
          <w:lang w:val="en-CA"/>
        </w:rPr>
        <w:t>paragraph 8</w:t>
      </w:r>
      <w:r w:rsidR="00795AB6" w:rsidRPr="00D3761D">
        <w:rPr>
          <w:rFonts w:ascii="Times New Roman" w:hAnsi="Times New Roman" w:cs="Times New Roman"/>
          <w:sz w:val="22"/>
          <w:szCs w:val="22"/>
          <w:lang w:val="en-CA"/>
        </w:rPr>
        <w:t xml:space="preserve"> of the draft General Comment</w:t>
      </w:r>
      <w:r w:rsidR="00E660C7" w:rsidRPr="00D8726E">
        <w:rPr>
          <w:rFonts w:ascii="Times New Roman" w:hAnsi="Times New Roman" w:cs="Times New Roman"/>
          <w:b/>
          <w:sz w:val="22"/>
          <w:szCs w:val="22"/>
          <w:lang w:val="en-CA"/>
        </w:rPr>
        <w:t xml:space="preserve">. </w:t>
      </w:r>
      <w:r w:rsidR="00E660C7" w:rsidRPr="00D8726E">
        <w:rPr>
          <w:rFonts w:ascii="Times New Roman" w:hAnsi="Times New Roman" w:cs="Times New Roman"/>
          <w:sz w:val="22"/>
          <w:szCs w:val="22"/>
          <w:lang w:val="en-CA"/>
        </w:rPr>
        <w:t>We suggest it</w:t>
      </w:r>
      <w:r w:rsidRPr="00A46B17">
        <w:rPr>
          <w:rFonts w:ascii="Times New Roman" w:hAnsi="Times New Roman" w:cs="Times New Roman"/>
          <w:sz w:val="22"/>
          <w:szCs w:val="22"/>
          <w:lang w:val="en-CA"/>
        </w:rPr>
        <w:t xml:space="preserve"> is</w:t>
      </w:r>
      <w:r w:rsidR="00E660C7">
        <w:rPr>
          <w:rFonts w:ascii="Times New Roman" w:hAnsi="Times New Roman" w:cs="Times New Roman"/>
          <w:sz w:val="22"/>
          <w:szCs w:val="22"/>
          <w:lang w:val="en-CA"/>
        </w:rPr>
        <w:t xml:space="preserve"> also</w:t>
      </w:r>
      <w:r w:rsidRPr="00A46B17">
        <w:rPr>
          <w:rFonts w:ascii="Times New Roman" w:hAnsi="Times New Roman" w:cs="Times New Roman"/>
          <w:sz w:val="22"/>
          <w:szCs w:val="22"/>
          <w:lang w:val="en-CA"/>
        </w:rPr>
        <w:t xml:space="preserve"> strengthened further by drawing on the Committee’s experience to make reference to (</w:t>
      </w:r>
      <w:proofErr w:type="spellStart"/>
      <w:r w:rsidRPr="00A46B17">
        <w:rPr>
          <w:rFonts w:ascii="Times New Roman" w:hAnsi="Times New Roman" w:cs="Times New Roman"/>
          <w:sz w:val="22"/>
          <w:szCs w:val="22"/>
          <w:lang w:val="en-CA"/>
        </w:rPr>
        <w:t>i</w:t>
      </w:r>
      <w:proofErr w:type="spellEnd"/>
      <w:r w:rsidRPr="00A46B17">
        <w:rPr>
          <w:rFonts w:ascii="Times New Roman" w:hAnsi="Times New Roman" w:cs="Times New Roman"/>
          <w:sz w:val="22"/>
          <w:szCs w:val="22"/>
          <w:lang w:val="en-CA"/>
        </w:rPr>
        <w:t xml:space="preserve">) migrant workers as a group particularly vulnerable to wrongful deprivation of liberty by third parties, including criminal groups and employers, (ii) the link to trafficking of persons and other related serious human rights violations, and (iii) the types of steps that States parties should take to protect against such unlawful deprivations of liberty.  We also suggest that </w:t>
      </w:r>
      <w:r w:rsidR="00C876C4" w:rsidRPr="00A46B17">
        <w:rPr>
          <w:rFonts w:ascii="Times New Roman" w:hAnsi="Times New Roman" w:cs="Times New Roman"/>
          <w:sz w:val="22"/>
          <w:szCs w:val="22"/>
          <w:lang w:val="en-CA"/>
        </w:rPr>
        <w:t xml:space="preserve">the word “employees” is included in the last sentence of </w:t>
      </w:r>
      <w:r w:rsidR="00C876C4" w:rsidRPr="00A46B17">
        <w:rPr>
          <w:rFonts w:ascii="Times New Roman" w:hAnsi="Times New Roman" w:cs="Times New Roman"/>
          <w:b/>
          <w:sz w:val="22"/>
          <w:szCs w:val="22"/>
          <w:u w:val="single"/>
          <w:lang w:val="en-CA"/>
        </w:rPr>
        <w:t>paragraph 3</w:t>
      </w:r>
      <w:r w:rsidR="00C876C4" w:rsidRPr="00A46B17">
        <w:rPr>
          <w:rFonts w:ascii="Times New Roman" w:hAnsi="Times New Roman" w:cs="Times New Roman"/>
          <w:sz w:val="22"/>
          <w:szCs w:val="22"/>
          <w:lang w:val="en-CA"/>
        </w:rPr>
        <w:t xml:space="preserve">, that reference to violence against workers is included in </w:t>
      </w:r>
      <w:r w:rsidR="00C876C4" w:rsidRPr="00A46B17">
        <w:rPr>
          <w:rFonts w:ascii="Times New Roman" w:hAnsi="Times New Roman" w:cs="Times New Roman"/>
          <w:b/>
          <w:sz w:val="22"/>
          <w:szCs w:val="22"/>
          <w:u w:val="single"/>
          <w:lang w:val="en-CA"/>
        </w:rPr>
        <w:t>paragraph 7</w:t>
      </w:r>
      <w:r w:rsidR="007C0448" w:rsidRPr="00A46B17">
        <w:rPr>
          <w:rFonts w:ascii="Times New Roman" w:hAnsi="Times New Roman" w:cs="Times New Roman"/>
          <w:sz w:val="22"/>
          <w:szCs w:val="22"/>
          <w:lang w:val="en-CA"/>
        </w:rPr>
        <w:t xml:space="preserve"> on the right to security of the person</w:t>
      </w:r>
      <w:r w:rsidR="00C876C4" w:rsidRPr="00A46B17">
        <w:rPr>
          <w:rFonts w:ascii="Times New Roman" w:hAnsi="Times New Roman" w:cs="Times New Roman"/>
          <w:sz w:val="22"/>
          <w:szCs w:val="22"/>
          <w:lang w:val="en-CA"/>
        </w:rPr>
        <w:t xml:space="preserve">,  and that </w:t>
      </w:r>
      <w:r w:rsidRPr="00A46B17">
        <w:rPr>
          <w:rFonts w:ascii="Times New Roman" w:hAnsi="Times New Roman" w:cs="Times New Roman"/>
          <w:sz w:val="22"/>
          <w:szCs w:val="22"/>
          <w:lang w:val="en-CA"/>
        </w:rPr>
        <w:t xml:space="preserve">a sentence is included in </w:t>
      </w:r>
      <w:r w:rsidRPr="00A46B17">
        <w:rPr>
          <w:rFonts w:ascii="Times New Roman" w:hAnsi="Times New Roman" w:cs="Times New Roman"/>
          <w:b/>
          <w:sz w:val="22"/>
          <w:szCs w:val="22"/>
          <w:u w:val="single"/>
          <w:lang w:val="en-CA"/>
        </w:rPr>
        <w:t>Section VI (Compensation)</w:t>
      </w:r>
      <w:r w:rsidRPr="00A46B17">
        <w:rPr>
          <w:rFonts w:ascii="Times New Roman" w:hAnsi="Times New Roman" w:cs="Times New Roman"/>
          <w:sz w:val="22"/>
          <w:szCs w:val="22"/>
          <w:lang w:val="en-CA"/>
        </w:rPr>
        <w:t xml:space="preserve"> to address redress for victims of violations by third parties. </w:t>
      </w:r>
    </w:p>
    <w:p w:rsidR="00675260" w:rsidRPr="00A46B17" w:rsidRDefault="00675260" w:rsidP="00D3761D">
      <w:pPr>
        <w:jc w:val="both"/>
        <w:rPr>
          <w:rFonts w:ascii="Times New Roman" w:hAnsi="Times New Roman" w:cs="Times New Roman"/>
          <w:sz w:val="22"/>
          <w:szCs w:val="22"/>
          <w:lang w:val="en-CA"/>
        </w:rPr>
      </w:pPr>
    </w:p>
    <w:p w:rsidR="00935C63" w:rsidRPr="00A46B17" w:rsidRDefault="009902CD" w:rsidP="00D3761D">
      <w:pPr>
        <w:pStyle w:val="Heading1"/>
        <w:spacing w:before="0"/>
        <w:jc w:val="both"/>
        <w:rPr>
          <w:rFonts w:ascii="Times New Roman" w:hAnsi="Times New Roman" w:cs="Times New Roman"/>
          <w:color w:val="auto"/>
          <w:lang w:val="en-US"/>
        </w:rPr>
      </w:pPr>
      <w:bookmarkStart w:id="10" w:name="_Toc388377551"/>
      <w:bookmarkStart w:id="11" w:name="_Toc388961668"/>
      <w:bookmarkStart w:id="12" w:name="_Toc389236139"/>
      <w:r w:rsidRPr="00A46B17">
        <w:rPr>
          <w:rFonts w:ascii="Times New Roman" w:hAnsi="Times New Roman" w:cs="Times New Roman"/>
          <w:color w:val="auto"/>
          <w:lang w:val="en-US"/>
        </w:rPr>
        <w:t>C</w:t>
      </w:r>
      <w:r w:rsidR="00675260" w:rsidRPr="00A46B17">
        <w:rPr>
          <w:rFonts w:ascii="Times New Roman" w:hAnsi="Times New Roman" w:cs="Times New Roman"/>
          <w:color w:val="auto"/>
          <w:lang w:val="en-US"/>
        </w:rPr>
        <w:t xml:space="preserve">. </w:t>
      </w:r>
      <w:r w:rsidR="00B82628" w:rsidRPr="00A46B17">
        <w:rPr>
          <w:rFonts w:ascii="Times New Roman" w:hAnsi="Times New Roman" w:cs="Times New Roman"/>
          <w:color w:val="auto"/>
          <w:lang w:val="en-US"/>
        </w:rPr>
        <w:t>Arbitrary detention and unlawful detention</w:t>
      </w:r>
      <w:r w:rsidR="00A508C7" w:rsidRPr="00A46B17">
        <w:rPr>
          <w:rFonts w:ascii="Times New Roman" w:hAnsi="Times New Roman" w:cs="Times New Roman"/>
          <w:color w:val="auto"/>
          <w:lang w:val="en-US"/>
        </w:rPr>
        <w:t xml:space="preserve"> (</w:t>
      </w:r>
      <w:r w:rsidRPr="00A46B17">
        <w:rPr>
          <w:rFonts w:ascii="Times New Roman" w:hAnsi="Times New Roman" w:cs="Times New Roman"/>
          <w:color w:val="auto"/>
          <w:lang w:val="en-US"/>
        </w:rPr>
        <w:t>paragraphs</w:t>
      </w:r>
      <w:r w:rsidR="00A508C7" w:rsidRPr="00A46B17">
        <w:rPr>
          <w:rFonts w:ascii="Times New Roman" w:hAnsi="Times New Roman" w:cs="Times New Roman"/>
          <w:color w:val="auto"/>
          <w:lang w:val="en-US"/>
        </w:rPr>
        <w:t xml:space="preserve"> 10-23)</w:t>
      </w:r>
      <w:bookmarkEnd w:id="10"/>
      <w:bookmarkEnd w:id="11"/>
      <w:bookmarkEnd w:id="12"/>
    </w:p>
    <w:p w:rsidR="007E0489" w:rsidRPr="00A46B17" w:rsidRDefault="007E0489" w:rsidP="00D3761D">
      <w:pPr>
        <w:jc w:val="both"/>
        <w:rPr>
          <w:rFonts w:ascii="Times New Roman" w:hAnsi="Times New Roman" w:cs="Times New Roman"/>
          <w:lang w:val="en-US"/>
        </w:rPr>
      </w:pPr>
    </w:p>
    <w:p w:rsidR="00B82628" w:rsidRPr="00A46B17" w:rsidRDefault="00935C63" w:rsidP="00D3761D">
      <w:pPr>
        <w:pStyle w:val="Heading2"/>
        <w:spacing w:before="0"/>
        <w:jc w:val="both"/>
        <w:rPr>
          <w:rFonts w:ascii="Times New Roman" w:hAnsi="Times New Roman" w:cs="Times New Roman"/>
          <w:color w:val="auto"/>
          <w:sz w:val="24"/>
          <w:szCs w:val="24"/>
          <w:lang w:val="en-US"/>
        </w:rPr>
      </w:pPr>
      <w:bookmarkStart w:id="13" w:name="_Toc388377552"/>
      <w:bookmarkStart w:id="14" w:name="_Toc388961669"/>
      <w:bookmarkStart w:id="15" w:name="_Toc389236140"/>
      <w:r w:rsidRPr="00A46B17">
        <w:rPr>
          <w:rFonts w:ascii="Times New Roman" w:hAnsi="Times New Roman" w:cs="Times New Roman"/>
          <w:color w:val="auto"/>
          <w:sz w:val="24"/>
          <w:szCs w:val="24"/>
          <w:lang w:val="en-US"/>
        </w:rPr>
        <w:t xml:space="preserve">Safeguards on arrest and </w:t>
      </w:r>
      <w:r w:rsidR="0020224F" w:rsidRPr="00A46B17">
        <w:rPr>
          <w:rFonts w:ascii="Times New Roman" w:hAnsi="Times New Roman" w:cs="Times New Roman"/>
          <w:color w:val="auto"/>
          <w:sz w:val="24"/>
          <w:szCs w:val="24"/>
          <w:lang w:val="en-US"/>
        </w:rPr>
        <w:t xml:space="preserve">in </w:t>
      </w:r>
      <w:r w:rsidRPr="00A46B17">
        <w:rPr>
          <w:rFonts w:ascii="Times New Roman" w:hAnsi="Times New Roman" w:cs="Times New Roman"/>
          <w:color w:val="auto"/>
          <w:sz w:val="24"/>
          <w:szCs w:val="24"/>
          <w:lang w:val="en-US"/>
        </w:rPr>
        <w:t>detention</w:t>
      </w:r>
      <w:bookmarkEnd w:id="13"/>
      <w:bookmarkEnd w:id="14"/>
      <w:bookmarkEnd w:id="15"/>
    </w:p>
    <w:p w:rsidR="00C90D52" w:rsidRPr="00A46B17" w:rsidRDefault="00935C63" w:rsidP="00887A4F">
      <w:pPr>
        <w:pStyle w:val="ListParagraph"/>
        <w:numPr>
          <w:ilvl w:val="0"/>
          <w:numId w:val="37"/>
        </w:numPr>
        <w:ind w:left="360"/>
        <w:jc w:val="both"/>
        <w:rPr>
          <w:sz w:val="22"/>
          <w:szCs w:val="22"/>
          <w:lang w:val="en-US"/>
        </w:rPr>
      </w:pPr>
      <w:r w:rsidRPr="00A46B17">
        <w:rPr>
          <w:sz w:val="22"/>
          <w:szCs w:val="22"/>
          <w:lang w:val="en-US"/>
        </w:rPr>
        <w:t xml:space="preserve">The Committee has consistently made it clear that in order to prevent violations of Article 9, States must put in place certain safeguards against unlawful or arbitrary deprivation of liberty for those </w:t>
      </w:r>
      <w:r w:rsidR="002821C8" w:rsidRPr="00A46B17">
        <w:rPr>
          <w:sz w:val="22"/>
          <w:szCs w:val="22"/>
          <w:lang w:val="en-US"/>
        </w:rPr>
        <w:t>deprived of their liberty</w:t>
      </w:r>
      <w:r w:rsidRPr="00A46B17">
        <w:rPr>
          <w:sz w:val="22"/>
          <w:szCs w:val="22"/>
          <w:lang w:val="en-US"/>
        </w:rPr>
        <w:t xml:space="preserve"> by State authorities. The draft General Comment addresses these safeguards in a number of paragraphs, including </w:t>
      </w:r>
      <w:r w:rsidRPr="00C15AC6">
        <w:rPr>
          <w:b/>
          <w:sz w:val="22"/>
          <w:szCs w:val="22"/>
          <w:lang w:val="en-US"/>
        </w:rPr>
        <w:t>para</w:t>
      </w:r>
      <w:r w:rsidR="00C15AC6" w:rsidRPr="00C15AC6">
        <w:rPr>
          <w:b/>
          <w:sz w:val="22"/>
          <w:szCs w:val="22"/>
          <w:lang w:val="en-US"/>
        </w:rPr>
        <w:t>graph</w:t>
      </w:r>
      <w:r w:rsidRPr="00C15AC6">
        <w:rPr>
          <w:b/>
          <w:sz w:val="22"/>
          <w:szCs w:val="22"/>
          <w:lang w:val="en-US"/>
        </w:rPr>
        <w:t xml:space="preserve"> 23</w:t>
      </w:r>
      <w:r w:rsidRPr="00A46B17">
        <w:rPr>
          <w:sz w:val="22"/>
          <w:szCs w:val="22"/>
          <w:lang w:val="en-US"/>
        </w:rPr>
        <w:t xml:space="preserve"> (compliance with domestic regulation on safeguards), </w:t>
      </w:r>
      <w:r w:rsidRPr="00D3761D">
        <w:rPr>
          <w:b/>
          <w:sz w:val="22"/>
          <w:szCs w:val="22"/>
          <w:lang w:val="en-US"/>
        </w:rPr>
        <w:t>para</w:t>
      </w:r>
      <w:r w:rsidR="00795AB6" w:rsidRPr="00D3761D">
        <w:rPr>
          <w:b/>
          <w:sz w:val="22"/>
          <w:szCs w:val="22"/>
          <w:lang w:val="en-US"/>
        </w:rPr>
        <w:t>graphs</w:t>
      </w:r>
      <w:r w:rsidRPr="00D3761D">
        <w:rPr>
          <w:b/>
          <w:sz w:val="22"/>
          <w:szCs w:val="22"/>
          <w:lang w:val="en-US"/>
        </w:rPr>
        <w:t xml:space="preserve"> 34 and 35</w:t>
      </w:r>
      <w:r w:rsidRPr="00A46B17">
        <w:rPr>
          <w:sz w:val="22"/>
          <w:szCs w:val="22"/>
          <w:lang w:val="en-US"/>
        </w:rPr>
        <w:t xml:space="preserve"> (access to a lawyer),</w:t>
      </w:r>
      <w:r w:rsidR="00C15AC6">
        <w:rPr>
          <w:sz w:val="22"/>
          <w:szCs w:val="22"/>
          <w:lang w:val="en-US"/>
        </w:rPr>
        <w:t xml:space="preserve"> </w:t>
      </w:r>
      <w:r w:rsidR="00C15AC6" w:rsidRPr="00C15AC6">
        <w:rPr>
          <w:b/>
          <w:sz w:val="22"/>
          <w:szCs w:val="22"/>
          <w:lang w:val="en-US"/>
        </w:rPr>
        <w:t>paragraph</w:t>
      </w:r>
      <w:r w:rsidR="0020224F" w:rsidRPr="00C15AC6">
        <w:rPr>
          <w:b/>
          <w:sz w:val="22"/>
          <w:szCs w:val="22"/>
          <w:lang w:val="en-US"/>
        </w:rPr>
        <w:t xml:space="preserve"> 46</w:t>
      </w:r>
      <w:r w:rsidR="0020224F" w:rsidRPr="00A46B17">
        <w:rPr>
          <w:sz w:val="22"/>
          <w:szCs w:val="22"/>
          <w:lang w:val="en-US"/>
        </w:rPr>
        <w:t xml:space="preserve"> (access to counsel to facilitate review of detention)</w:t>
      </w:r>
      <w:r w:rsidR="007A41B0">
        <w:rPr>
          <w:sz w:val="22"/>
          <w:szCs w:val="22"/>
          <w:lang w:val="en-US"/>
        </w:rPr>
        <w:t>,</w:t>
      </w:r>
      <w:r w:rsidRPr="00A46B17">
        <w:rPr>
          <w:sz w:val="22"/>
          <w:szCs w:val="22"/>
          <w:lang w:val="en-US"/>
        </w:rPr>
        <w:t xml:space="preserve"> and</w:t>
      </w:r>
      <w:r w:rsidR="002821C8" w:rsidRPr="00A46B17">
        <w:rPr>
          <w:sz w:val="22"/>
          <w:szCs w:val="22"/>
          <w:lang w:val="en-US"/>
        </w:rPr>
        <w:t xml:space="preserve"> </w:t>
      </w:r>
      <w:r w:rsidR="002821C8" w:rsidRPr="00C15AC6">
        <w:rPr>
          <w:b/>
          <w:sz w:val="22"/>
          <w:szCs w:val="22"/>
          <w:lang w:val="en-US"/>
        </w:rPr>
        <w:t>para</w:t>
      </w:r>
      <w:r w:rsidR="00C15AC6" w:rsidRPr="00C15AC6">
        <w:rPr>
          <w:b/>
          <w:sz w:val="22"/>
          <w:szCs w:val="22"/>
          <w:lang w:val="en-US"/>
        </w:rPr>
        <w:t>graph</w:t>
      </w:r>
      <w:r w:rsidRPr="00C15AC6">
        <w:rPr>
          <w:b/>
          <w:sz w:val="22"/>
          <w:szCs w:val="22"/>
          <w:lang w:val="en-US"/>
        </w:rPr>
        <w:t xml:space="preserve"> 58</w:t>
      </w:r>
      <w:r w:rsidRPr="00A46B17">
        <w:rPr>
          <w:sz w:val="22"/>
          <w:szCs w:val="22"/>
          <w:lang w:val="en-US"/>
        </w:rPr>
        <w:t xml:space="preserve"> (relationship with the prohibition of torture and ill-treatment).</w:t>
      </w:r>
      <w:r w:rsidR="0020224F" w:rsidRPr="00A46B17">
        <w:rPr>
          <w:sz w:val="22"/>
          <w:szCs w:val="22"/>
          <w:lang w:val="en-US"/>
        </w:rPr>
        <w:t xml:space="preserve"> They are</w:t>
      </w:r>
      <w:r w:rsidR="00C90D52" w:rsidRPr="00A46B17">
        <w:rPr>
          <w:sz w:val="22"/>
          <w:szCs w:val="22"/>
          <w:lang w:val="en-US"/>
        </w:rPr>
        <w:t xml:space="preserve"> dealt with in most detail in </w:t>
      </w:r>
      <w:r w:rsidR="002821C8" w:rsidRPr="00A46B17">
        <w:rPr>
          <w:sz w:val="22"/>
          <w:szCs w:val="22"/>
          <w:lang w:val="en-US"/>
        </w:rPr>
        <w:t>the latter.</w:t>
      </w:r>
    </w:p>
    <w:p w:rsidR="00D76D85" w:rsidRPr="00A46B17" w:rsidRDefault="00D76D85" w:rsidP="00D3761D">
      <w:pPr>
        <w:pStyle w:val="ListParagraph"/>
        <w:ind w:left="360"/>
        <w:jc w:val="both"/>
        <w:rPr>
          <w:sz w:val="22"/>
          <w:szCs w:val="22"/>
          <w:lang w:val="en-US"/>
        </w:rPr>
      </w:pPr>
    </w:p>
    <w:p w:rsidR="002821C8" w:rsidRPr="00A46B17" w:rsidRDefault="00FB6F85" w:rsidP="00D3761D">
      <w:pPr>
        <w:pStyle w:val="ListParagraph"/>
        <w:numPr>
          <w:ilvl w:val="0"/>
          <w:numId w:val="37"/>
        </w:numPr>
        <w:ind w:left="360"/>
        <w:jc w:val="both"/>
        <w:rPr>
          <w:sz w:val="22"/>
          <w:szCs w:val="22"/>
          <w:lang w:val="en-US"/>
        </w:rPr>
      </w:pPr>
      <w:r w:rsidRPr="00A46B17">
        <w:rPr>
          <w:sz w:val="22"/>
          <w:szCs w:val="22"/>
          <w:lang w:val="en-US"/>
        </w:rPr>
        <w:t>G</w:t>
      </w:r>
      <w:r w:rsidR="00C90D52" w:rsidRPr="00A46B17">
        <w:rPr>
          <w:sz w:val="22"/>
          <w:szCs w:val="22"/>
          <w:lang w:val="en-US"/>
        </w:rPr>
        <w:t>iven the</w:t>
      </w:r>
      <w:r w:rsidR="002821C8" w:rsidRPr="00A46B17">
        <w:rPr>
          <w:sz w:val="22"/>
          <w:szCs w:val="22"/>
          <w:lang w:val="en-US"/>
        </w:rPr>
        <w:t xml:space="preserve"> central</w:t>
      </w:r>
      <w:r w:rsidR="00C90D52" w:rsidRPr="00A46B17">
        <w:rPr>
          <w:sz w:val="22"/>
          <w:szCs w:val="22"/>
          <w:lang w:val="en-US"/>
        </w:rPr>
        <w:t xml:space="preserve"> importance of these safeguards to States’ obligations to ensure respect for Article 9(1), we urge the Committee to include</w:t>
      </w:r>
      <w:r w:rsidR="002821C8" w:rsidRPr="00A46B17">
        <w:rPr>
          <w:sz w:val="22"/>
          <w:szCs w:val="22"/>
          <w:lang w:val="en-US"/>
        </w:rPr>
        <w:t xml:space="preserve"> </w:t>
      </w:r>
      <w:r w:rsidR="00257D20" w:rsidRPr="00A46B17">
        <w:rPr>
          <w:sz w:val="22"/>
          <w:szCs w:val="22"/>
          <w:lang w:val="en-US"/>
        </w:rPr>
        <w:t xml:space="preserve">a separate </w:t>
      </w:r>
      <w:r w:rsidR="002821C8" w:rsidRPr="00A46B17">
        <w:rPr>
          <w:sz w:val="22"/>
          <w:szCs w:val="22"/>
          <w:lang w:val="en-US"/>
        </w:rPr>
        <w:t>detailed stand-alone</w:t>
      </w:r>
      <w:r w:rsidR="00257D20" w:rsidRPr="00A46B17">
        <w:rPr>
          <w:sz w:val="22"/>
          <w:szCs w:val="22"/>
          <w:lang w:val="en-US"/>
        </w:rPr>
        <w:t xml:space="preserve"> paragraph or paragraphs </w:t>
      </w:r>
      <w:r w:rsidR="002821C8" w:rsidRPr="00A46B17">
        <w:rPr>
          <w:sz w:val="22"/>
          <w:szCs w:val="22"/>
          <w:lang w:val="en-US"/>
        </w:rPr>
        <w:t>on safeguards in Section II</w:t>
      </w:r>
      <w:r w:rsidR="00C90D52" w:rsidRPr="00A46B17">
        <w:rPr>
          <w:sz w:val="22"/>
          <w:szCs w:val="22"/>
          <w:lang w:val="en-US"/>
        </w:rPr>
        <w:t xml:space="preserve">. </w:t>
      </w:r>
      <w:r w:rsidRPr="00A46B17">
        <w:rPr>
          <w:sz w:val="22"/>
          <w:szCs w:val="22"/>
          <w:lang w:val="en-US"/>
        </w:rPr>
        <w:t xml:space="preserve">Considering </w:t>
      </w:r>
      <w:r w:rsidR="002821C8" w:rsidRPr="00A46B17">
        <w:rPr>
          <w:sz w:val="22"/>
          <w:szCs w:val="22"/>
          <w:lang w:val="en-US"/>
        </w:rPr>
        <w:t>their very close links, this same paragraph should also refer to the importance of such safeguards for upholding the prohibition of torture and ill-treatment, with a shorter cross-reference</w:t>
      </w:r>
      <w:r w:rsidR="00257D20" w:rsidRPr="00A46B17">
        <w:rPr>
          <w:sz w:val="22"/>
          <w:szCs w:val="22"/>
          <w:lang w:val="en-US"/>
        </w:rPr>
        <w:t xml:space="preserve"> and </w:t>
      </w:r>
      <w:r w:rsidR="00EC645C" w:rsidRPr="00A46B17">
        <w:rPr>
          <w:sz w:val="22"/>
          <w:szCs w:val="22"/>
          <w:lang w:val="en-US"/>
        </w:rPr>
        <w:t xml:space="preserve">more detailed </w:t>
      </w:r>
      <w:r w:rsidR="00257D20" w:rsidRPr="00A46B17">
        <w:rPr>
          <w:sz w:val="22"/>
          <w:szCs w:val="22"/>
          <w:lang w:val="en-US"/>
        </w:rPr>
        <w:t xml:space="preserve">explanation of </w:t>
      </w:r>
      <w:r w:rsidR="00257D20" w:rsidRPr="00A46B17">
        <w:rPr>
          <w:i/>
          <w:sz w:val="22"/>
          <w:szCs w:val="22"/>
          <w:lang w:val="en-US"/>
        </w:rPr>
        <w:t>how</w:t>
      </w:r>
      <w:r w:rsidR="00257D20" w:rsidRPr="00A46B17">
        <w:rPr>
          <w:sz w:val="22"/>
          <w:szCs w:val="22"/>
          <w:lang w:val="en-US"/>
        </w:rPr>
        <w:t xml:space="preserve"> such safeguards promote the prohibition of torture and ill-</w:t>
      </w:r>
      <w:r w:rsidR="00257D20" w:rsidRPr="00A46B17">
        <w:rPr>
          <w:sz w:val="22"/>
          <w:szCs w:val="22"/>
          <w:lang w:val="en-US"/>
        </w:rPr>
        <w:lastRenderedPageBreak/>
        <w:t>treatment in</w:t>
      </w:r>
      <w:r w:rsidR="002821C8" w:rsidRPr="00A46B17">
        <w:rPr>
          <w:sz w:val="22"/>
          <w:szCs w:val="22"/>
          <w:lang w:val="en-US"/>
        </w:rPr>
        <w:t xml:space="preserve"> the section dealing specifically with the relationship between Articles 7 and 9</w:t>
      </w:r>
      <w:r w:rsidR="00720827">
        <w:rPr>
          <w:sz w:val="22"/>
          <w:szCs w:val="22"/>
          <w:lang w:val="en-US"/>
        </w:rPr>
        <w:t>.</w:t>
      </w:r>
      <w:r w:rsidR="009361AB" w:rsidRPr="00A46B17">
        <w:rPr>
          <w:sz w:val="22"/>
          <w:szCs w:val="22"/>
          <w:lang w:val="en-US"/>
        </w:rPr>
        <w:t xml:space="preserve">  </w:t>
      </w:r>
      <w:r w:rsidR="002821C8" w:rsidRPr="00A46B17">
        <w:rPr>
          <w:sz w:val="22"/>
          <w:szCs w:val="22"/>
          <w:lang w:val="en-US"/>
        </w:rPr>
        <w:t xml:space="preserve">   </w:t>
      </w:r>
    </w:p>
    <w:p w:rsidR="00D76D85" w:rsidRPr="00A46B17" w:rsidRDefault="00D76D85" w:rsidP="00D3761D">
      <w:pPr>
        <w:jc w:val="both"/>
        <w:rPr>
          <w:rFonts w:ascii="Times New Roman" w:hAnsi="Times New Roman" w:cs="Times New Roman"/>
          <w:sz w:val="22"/>
          <w:szCs w:val="22"/>
          <w:lang w:val="en-US"/>
        </w:rPr>
      </w:pPr>
    </w:p>
    <w:p w:rsidR="002821C8" w:rsidRPr="00A46B17" w:rsidRDefault="002821C8" w:rsidP="00D3761D">
      <w:pPr>
        <w:pStyle w:val="ListParagraph"/>
        <w:numPr>
          <w:ilvl w:val="0"/>
          <w:numId w:val="37"/>
        </w:numPr>
        <w:ind w:left="360"/>
        <w:jc w:val="both"/>
        <w:rPr>
          <w:sz w:val="22"/>
          <w:szCs w:val="22"/>
          <w:lang w:val="en-US"/>
        </w:rPr>
      </w:pPr>
      <w:r w:rsidRPr="00A46B17">
        <w:rPr>
          <w:sz w:val="22"/>
          <w:szCs w:val="22"/>
          <w:lang w:val="en-US"/>
        </w:rPr>
        <w:t>It is also very important that the General Comment clarif</w:t>
      </w:r>
      <w:r w:rsidR="007A41B0">
        <w:rPr>
          <w:sz w:val="22"/>
          <w:szCs w:val="22"/>
          <w:lang w:val="en-US"/>
        </w:rPr>
        <w:t>ies</w:t>
      </w:r>
      <w:r w:rsidRPr="00A46B17">
        <w:rPr>
          <w:sz w:val="22"/>
          <w:szCs w:val="22"/>
          <w:lang w:val="en-US"/>
        </w:rPr>
        <w:t xml:space="preserve"> that these safeguards must be provided to any person deprived of their liberty by State authorities</w:t>
      </w:r>
      <w:r w:rsidR="0020224F" w:rsidRPr="00A46B17">
        <w:rPr>
          <w:sz w:val="22"/>
          <w:szCs w:val="22"/>
          <w:lang w:val="en-US"/>
        </w:rPr>
        <w:t xml:space="preserve"> and private actors acting on their behalf</w:t>
      </w:r>
      <w:r w:rsidRPr="00A46B17">
        <w:rPr>
          <w:sz w:val="22"/>
          <w:szCs w:val="22"/>
          <w:lang w:val="en-US"/>
        </w:rPr>
        <w:t xml:space="preserve">; not only to those arrested by police. This is already included in the current text of </w:t>
      </w:r>
      <w:r w:rsidRPr="00C15AC6">
        <w:rPr>
          <w:b/>
          <w:sz w:val="22"/>
          <w:szCs w:val="22"/>
          <w:lang w:val="en-US"/>
        </w:rPr>
        <w:t>paragraph 58</w:t>
      </w:r>
      <w:r w:rsidRPr="00A46B17">
        <w:rPr>
          <w:sz w:val="22"/>
          <w:szCs w:val="22"/>
          <w:lang w:val="en-US"/>
        </w:rPr>
        <w:t>,</w:t>
      </w:r>
      <w:r w:rsidRPr="00A46B17">
        <w:rPr>
          <w:rStyle w:val="FootnoteReference"/>
          <w:sz w:val="22"/>
          <w:szCs w:val="22"/>
          <w:lang w:val="en-US"/>
        </w:rPr>
        <w:footnoteReference w:id="14"/>
      </w:r>
      <w:r w:rsidRPr="00A46B17">
        <w:rPr>
          <w:sz w:val="22"/>
          <w:szCs w:val="22"/>
          <w:lang w:val="en-US"/>
        </w:rPr>
        <w:t xml:space="preserve"> but we </w:t>
      </w:r>
      <w:r w:rsidR="002D0B69" w:rsidRPr="00A46B17">
        <w:rPr>
          <w:sz w:val="22"/>
          <w:szCs w:val="22"/>
          <w:lang w:val="en-US"/>
        </w:rPr>
        <w:t xml:space="preserve">consider </w:t>
      </w:r>
      <w:r w:rsidRPr="00A46B17">
        <w:rPr>
          <w:sz w:val="22"/>
          <w:szCs w:val="22"/>
          <w:lang w:val="en-US"/>
        </w:rPr>
        <w:t>it is important that the broad sc</w:t>
      </w:r>
      <w:r w:rsidR="00257D20" w:rsidRPr="00A46B17">
        <w:rPr>
          <w:sz w:val="22"/>
          <w:szCs w:val="22"/>
          <w:lang w:val="en-US"/>
        </w:rPr>
        <w:t xml:space="preserve">ope of </w:t>
      </w:r>
      <w:r w:rsidR="00795AB6">
        <w:rPr>
          <w:sz w:val="22"/>
          <w:szCs w:val="22"/>
          <w:lang w:val="en-US"/>
        </w:rPr>
        <w:t>A</w:t>
      </w:r>
      <w:r w:rsidR="00257D20" w:rsidRPr="00A46B17">
        <w:rPr>
          <w:sz w:val="22"/>
          <w:szCs w:val="22"/>
          <w:lang w:val="en-US"/>
        </w:rPr>
        <w:t xml:space="preserve">rticle 9 should be </w:t>
      </w:r>
      <w:r w:rsidR="004E0424" w:rsidRPr="00A46B17">
        <w:rPr>
          <w:sz w:val="22"/>
          <w:szCs w:val="22"/>
          <w:lang w:val="en-US"/>
        </w:rPr>
        <w:t>clearly set out and</w:t>
      </w:r>
      <w:r w:rsidR="00257D20" w:rsidRPr="00A46B17">
        <w:rPr>
          <w:sz w:val="22"/>
          <w:szCs w:val="22"/>
          <w:lang w:val="en-US"/>
        </w:rPr>
        <w:t xml:space="preserve"> </w:t>
      </w:r>
      <w:r w:rsidRPr="00A46B17">
        <w:rPr>
          <w:sz w:val="22"/>
          <w:szCs w:val="22"/>
          <w:lang w:val="en-US"/>
        </w:rPr>
        <w:t>explained in order to enhance the protection of detainees, especially in situations in which there is a high risk of</w:t>
      </w:r>
      <w:r w:rsidR="00257D20" w:rsidRPr="00A46B17">
        <w:rPr>
          <w:sz w:val="22"/>
          <w:szCs w:val="22"/>
          <w:lang w:val="en-US"/>
        </w:rPr>
        <w:t xml:space="preserve"> both arbitrary detention and</w:t>
      </w:r>
      <w:r w:rsidRPr="00A46B17">
        <w:rPr>
          <w:sz w:val="22"/>
          <w:szCs w:val="22"/>
          <w:lang w:val="en-US"/>
        </w:rPr>
        <w:t xml:space="preserve"> ill-treatment</w:t>
      </w:r>
      <w:r w:rsidR="00257D20" w:rsidRPr="00A46B17">
        <w:rPr>
          <w:sz w:val="22"/>
          <w:szCs w:val="22"/>
          <w:lang w:val="en-US"/>
        </w:rPr>
        <w:t xml:space="preserve">. For example, in a number of countries there may be a greater risk of arbitrary detention and torture and ill-treatment in </w:t>
      </w:r>
      <w:r w:rsidRPr="00A46B17">
        <w:rPr>
          <w:sz w:val="22"/>
          <w:szCs w:val="22"/>
          <w:lang w:val="en-US"/>
        </w:rPr>
        <w:t>facilities run by intelligence officials which are outside of the ordinary criminal justice system.</w:t>
      </w:r>
      <w:r w:rsidR="00257D20" w:rsidRPr="00A46B17">
        <w:rPr>
          <w:rStyle w:val="FootnoteReference"/>
          <w:sz w:val="22"/>
          <w:szCs w:val="22"/>
          <w:lang w:val="en-US"/>
        </w:rPr>
        <w:footnoteReference w:id="15"/>
      </w:r>
      <w:r w:rsidR="00257D20" w:rsidRPr="00A46B17">
        <w:rPr>
          <w:sz w:val="22"/>
          <w:szCs w:val="22"/>
          <w:lang w:val="en-US"/>
        </w:rPr>
        <w:t xml:space="preserve">  </w:t>
      </w:r>
    </w:p>
    <w:p w:rsidR="00A46B17" w:rsidRPr="00A46B17" w:rsidRDefault="00A46B17" w:rsidP="00D3761D">
      <w:pPr>
        <w:pStyle w:val="ListParagraph"/>
        <w:ind w:left="360"/>
        <w:jc w:val="both"/>
        <w:rPr>
          <w:sz w:val="22"/>
          <w:szCs w:val="22"/>
          <w:lang w:val="en-US"/>
        </w:rPr>
      </w:pPr>
    </w:p>
    <w:p w:rsidR="00B434C5" w:rsidRPr="00A46B17" w:rsidRDefault="00C90D52" w:rsidP="00D3761D">
      <w:pPr>
        <w:pStyle w:val="ListParagraph"/>
        <w:numPr>
          <w:ilvl w:val="0"/>
          <w:numId w:val="37"/>
        </w:numPr>
        <w:ind w:left="360"/>
        <w:jc w:val="both"/>
        <w:rPr>
          <w:sz w:val="22"/>
          <w:szCs w:val="22"/>
          <w:lang w:val="en-US"/>
        </w:rPr>
      </w:pPr>
      <w:r w:rsidRPr="00A46B17">
        <w:rPr>
          <w:sz w:val="22"/>
          <w:szCs w:val="22"/>
          <w:lang w:val="en-US"/>
        </w:rPr>
        <w:t xml:space="preserve">The safeguards referred to should include those currently referred to in </w:t>
      </w:r>
      <w:r w:rsidRPr="00A46B17">
        <w:rPr>
          <w:b/>
          <w:sz w:val="22"/>
          <w:szCs w:val="22"/>
          <w:u w:val="single"/>
          <w:lang w:val="en-US"/>
        </w:rPr>
        <w:t>paragraph 58</w:t>
      </w:r>
      <w:r w:rsidRPr="00A46B17">
        <w:rPr>
          <w:sz w:val="22"/>
          <w:szCs w:val="22"/>
          <w:lang w:val="en-US"/>
        </w:rPr>
        <w:t xml:space="preserve"> of the draft</w:t>
      </w:r>
      <w:r w:rsidR="00436ED6">
        <w:rPr>
          <w:sz w:val="22"/>
          <w:szCs w:val="22"/>
          <w:lang w:val="en-US"/>
        </w:rPr>
        <w:t xml:space="preserve">. </w:t>
      </w:r>
      <w:r w:rsidR="00C7651F" w:rsidRPr="00C7651F">
        <w:rPr>
          <w:sz w:val="22"/>
          <w:szCs w:val="22"/>
          <w:lang w:val="en-US"/>
        </w:rPr>
        <w:t>With reference to the safeguard that "Prompt and regular access should be given to independent</w:t>
      </w:r>
      <w:r w:rsidR="000F0C3B">
        <w:rPr>
          <w:sz w:val="22"/>
          <w:szCs w:val="22"/>
          <w:lang w:val="en-US"/>
        </w:rPr>
        <w:t xml:space="preserve"> medical personnel and lawyers"</w:t>
      </w:r>
      <w:r w:rsidR="00C7651F" w:rsidRPr="00C7651F">
        <w:rPr>
          <w:sz w:val="22"/>
          <w:szCs w:val="22"/>
          <w:lang w:val="en-US"/>
        </w:rPr>
        <w:t>, we respectf</w:t>
      </w:r>
      <w:r w:rsidR="000F0C3B">
        <w:rPr>
          <w:sz w:val="22"/>
          <w:szCs w:val="22"/>
          <w:lang w:val="en-US"/>
        </w:rPr>
        <w:t>ully submit that this wording should be</w:t>
      </w:r>
      <w:r w:rsidR="00C7651F" w:rsidRPr="00C7651F">
        <w:rPr>
          <w:sz w:val="22"/>
          <w:szCs w:val="22"/>
          <w:lang w:val="en-US"/>
        </w:rPr>
        <w:t xml:space="preserve"> further strengthened to explain that the dual purpose of providing access to medical personnel should be to both allow for medical and/or psychological treatment and to document the medical condition of the detainee.</w:t>
      </w:r>
      <w:r w:rsidR="00C7651F">
        <w:rPr>
          <w:rStyle w:val="FootnoteReference"/>
          <w:szCs w:val="22"/>
          <w:lang w:val="en-US"/>
        </w:rPr>
        <w:footnoteReference w:id="16"/>
      </w:r>
      <w:r w:rsidR="00C7651F">
        <w:rPr>
          <w:sz w:val="22"/>
          <w:szCs w:val="22"/>
          <w:lang w:val="en-US"/>
        </w:rPr>
        <w:t xml:space="preserve"> </w:t>
      </w:r>
      <w:r w:rsidRPr="00A46B17">
        <w:rPr>
          <w:sz w:val="22"/>
          <w:szCs w:val="22"/>
          <w:lang w:val="en-US"/>
        </w:rPr>
        <w:t xml:space="preserve">In addition, </w:t>
      </w:r>
      <w:r w:rsidR="00B434C5" w:rsidRPr="00A46B17">
        <w:rPr>
          <w:sz w:val="22"/>
          <w:szCs w:val="22"/>
          <w:lang w:val="en-US"/>
        </w:rPr>
        <w:t xml:space="preserve">we suggest the inclusion of reference to </w:t>
      </w:r>
      <w:r w:rsidR="009361AB" w:rsidRPr="00A46B17">
        <w:rPr>
          <w:sz w:val="22"/>
          <w:szCs w:val="22"/>
          <w:lang w:val="en-US"/>
        </w:rPr>
        <w:t>two</w:t>
      </w:r>
      <w:r w:rsidR="00B434C5" w:rsidRPr="00A46B17">
        <w:rPr>
          <w:sz w:val="22"/>
          <w:szCs w:val="22"/>
          <w:lang w:val="en-US"/>
        </w:rPr>
        <w:t xml:space="preserve"> additional very important safeguards.</w:t>
      </w:r>
    </w:p>
    <w:p w:rsidR="00D76D85" w:rsidRPr="00A46B17" w:rsidRDefault="00D76D85" w:rsidP="00D3761D">
      <w:pPr>
        <w:pStyle w:val="ListParagraph"/>
        <w:ind w:left="0"/>
        <w:jc w:val="both"/>
        <w:rPr>
          <w:sz w:val="22"/>
          <w:szCs w:val="22"/>
          <w:lang w:val="en-US"/>
        </w:rPr>
      </w:pPr>
    </w:p>
    <w:p w:rsidR="00B434C5" w:rsidRPr="00A46B17" w:rsidRDefault="00B434C5" w:rsidP="00887A4F">
      <w:pPr>
        <w:pStyle w:val="ListParagraph"/>
        <w:numPr>
          <w:ilvl w:val="0"/>
          <w:numId w:val="37"/>
        </w:numPr>
        <w:ind w:left="360"/>
        <w:jc w:val="both"/>
        <w:rPr>
          <w:sz w:val="22"/>
          <w:szCs w:val="22"/>
          <w:lang w:val="en-US"/>
        </w:rPr>
      </w:pPr>
      <w:r w:rsidRPr="00A46B17">
        <w:rPr>
          <w:sz w:val="22"/>
          <w:szCs w:val="22"/>
          <w:lang w:val="en-US"/>
        </w:rPr>
        <w:t xml:space="preserve">First, </w:t>
      </w:r>
      <w:r w:rsidR="00C90D52" w:rsidRPr="00A46B17">
        <w:rPr>
          <w:sz w:val="22"/>
          <w:szCs w:val="22"/>
          <w:lang w:val="en-US"/>
        </w:rPr>
        <w:t xml:space="preserve">a particularly important safeguard that </w:t>
      </w:r>
      <w:r w:rsidR="00257D20" w:rsidRPr="00A46B17">
        <w:rPr>
          <w:sz w:val="22"/>
          <w:szCs w:val="22"/>
          <w:lang w:val="en-US"/>
        </w:rPr>
        <w:t xml:space="preserve">the Committee has previously recommended </w:t>
      </w:r>
      <w:r w:rsidR="00C90D52" w:rsidRPr="00A46B17">
        <w:rPr>
          <w:sz w:val="22"/>
          <w:szCs w:val="22"/>
          <w:lang w:val="en-US"/>
        </w:rPr>
        <w:t xml:space="preserve">is the </w:t>
      </w:r>
      <w:r w:rsidR="00C90D52" w:rsidRPr="00A46B17">
        <w:rPr>
          <w:b/>
          <w:sz w:val="22"/>
          <w:szCs w:val="22"/>
          <w:lang w:val="en-US"/>
        </w:rPr>
        <w:t xml:space="preserve">right to </w:t>
      </w:r>
      <w:r w:rsidR="00257D20" w:rsidRPr="00A46B17">
        <w:rPr>
          <w:b/>
          <w:sz w:val="22"/>
          <w:szCs w:val="22"/>
          <w:lang w:val="en-US"/>
        </w:rPr>
        <w:t xml:space="preserve">promptly </w:t>
      </w:r>
      <w:r w:rsidR="00C90D52" w:rsidRPr="00A46B17">
        <w:rPr>
          <w:b/>
          <w:sz w:val="22"/>
          <w:szCs w:val="22"/>
          <w:lang w:val="en-US"/>
        </w:rPr>
        <w:t>contact a relative or third party</w:t>
      </w:r>
      <w:r w:rsidR="00C90D52" w:rsidRPr="00A46B17">
        <w:rPr>
          <w:sz w:val="22"/>
          <w:szCs w:val="22"/>
          <w:lang w:val="en-US"/>
        </w:rPr>
        <w:t xml:space="preserve"> to inform them </w:t>
      </w:r>
      <w:r w:rsidR="00257D20" w:rsidRPr="00A46B17">
        <w:rPr>
          <w:sz w:val="22"/>
          <w:szCs w:val="22"/>
          <w:lang w:val="en-US"/>
        </w:rPr>
        <w:t xml:space="preserve">about the </w:t>
      </w:r>
      <w:r w:rsidR="00C90D52" w:rsidRPr="00A46B17">
        <w:rPr>
          <w:sz w:val="22"/>
          <w:szCs w:val="22"/>
          <w:lang w:val="en-US"/>
        </w:rPr>
        <w:t>arrest.</w:t>
      </w:r>
      <w:r w:rsidR="00C90D52" w:rsidRPr="00A46B17">
        <w:rPr>
          <w:rStyle w:val="FootnoteReference"/>
          <w:sz w:val="22"/>
          <w:szCs w:val="22"/>
          <w:lang w:val="en-US"/>
        </w:rPr>
        <w:footnoteReference w:id="17"/>
      </w:r>
      <w:r w:rsidR="00436ED6">
        <w:rPr>
          <w:sz w:val="22"/>
          <w:szCs w:val="22"/>
          <w:lang w:val="en-US"/>
        </w:rPr>
        <w:t xml:space="preserve"> </w:t>
      </w:r>
      <w:r w:rsidR="00257D20" w:rsidRPr="00A46B17">
        <w:rPr>
          <w:sz w:val="22"/>
          <w:szCs w:val="22"/>
          <w:lang w:val="en-US"/>
        </w:rPr>
        <w:t>Without this safeguard, other safeguards, including obtaining access to an independent lawyer and doctor, may be illusory.</w:t>
      </w:r>
    </w:p>
    <w:p w:rsidR="00D76D85" w:rsidRPr="00A46B17" w:rsidRDefault="00D76D85" w:rsidP="00D3761D">
      <w:pPr>
        <w:jc w:val="both"/>
        <w:rPr>
          <w:rFonts w:ascii="Times New Roman" w:hAnsi="Times New Roman" w:cs="Times New Roman"/>
          <w:sz w:val="22"/>
          <w:szCs w:val="22"/>
          <w:lang w:val="en-US"/>
        </w:rPr>
      </w:pPr>
    </w:p>
    <w:p w:rsidR="009361AB" w:rsidRPr="00A46B17" w:rsidRDefault="00B434C5" w:rsidP="00D3761D">
      <w:pPr>
        <w:pStyle w:val="ListParagraph"/>
        <w:numPr>
          <w:ilvl w:val="0"/>
          <w:numId w:val="37"/>
        </w:numPr>
        <w:ind w:left="360"/>
        <w:jc w:val="both"/>
        <w:rPr>
          <w:sz w:val="22"/>
          <w:szCs w:val="22"/>
          <w:lang w:val="en-US"/>
        </w:rPr>
      </w:pPr>
      <w:r w:rsidRPr="00A46B17">
        <w:rPr>
          <w:sz w:val="22"/>
          <w:szCs w:val="22"/>
          <w:lang w:val="en-US"/>
        </w:rPr>
        <w:t xml:space="preserve">Second, for foreign nationals who are detained, the </w:t>
      </w:r>
      <w:r w:rsidRPr="00A46B17">
        <w:rPr>
          <w:b/>
          <w:sz w:val="22"/>
          <w:szCs w:val="22"/>
          <w:lang w:val="en-US"/>
        </w:rPr>
        <w:t xml:space="preserve">right of access to consular </w:t>
      </w:r>
      <w:r w:rsidR="009575BA" w:rsidRPr="00A46B17">
        <w:rPr>
          <w:b/>
          <w:sz w:val="22"/>
          <w:szCs w:val="22"/>
          <w:lang w:val="en-US"/>
        </w:rPr>
        <w:t>assistance</w:t>
      </w:r>
      <w:r w:rsidRPr="00A46B17">
        <w:rPr>
          <w:sz w:val="22"/>
          <w:szCs w:val="22"/>
          <w:lang w:val="en-US"/>
        </w:rPr>
        <w:t xml:space="preserve"> is of crucial importance</w:t>
      </w:r>
      <w:r w:rsidR="009575BA" w:rsidRPr="00A46B17">
        <w:rPr>
          <w:sz w:val="22"/>
          <w:szCs w:val="22"/>
          <w:lang w:val="en-US"/>
        </w:rPr>
        <w:t>.</w:t>
      </w:r>
      <w:r w:rsidR="009575BA" w:rsidRPr="00A46B17">
        <w:rPr>
          <w:rStyle w:val="FootnoteReference"/>
          <w:sz w:val="22"/>
          <w:szCs w:val="22"/>
          <w:lang w:val="en-US"/>
        </w:rPr>
        <w:footnoteReference w:id="18"/>
      </w:r>
      <w:r w:rsidR="00436ED6">
        <w:rPr>
          <w:sz w:val="22"/>
          <w:szCs w:val="22"/>
          <w:lang w:val="en-US"/>
        </w:rPr>
        <w:t xml:space="preserve"> </w:t>
      </w:r>
      <w:r w:rsidR="009F5A5E" w:rsidRPr="00A46B17">
        <w:rPr>
          <w:sz w:val="22"/>
          <w:szCs w:val="22"/>
          <w:lang w:val="en-US"/>
        </w:rPr>
        <w:t>This requires both that foreign detainees are informed of their right to contact their embassy, and that there is free communication between the detainee and consular staff, including that consular officials be allowed to visit the detainee in person.</w:t>
      </w:r>
      <w:r w:rsidR="009F5A5E" w:rsidRPr="00A46B17">
        <w:rPr>
          <w:rStyle w:val="FootnoteReference"/>
          <w:sz w:val="22"/>
          <w:szCs w:val="22"/>
          <w:lang w:val="en-US"/>
        </w:rPr>
        <w:footnoteReference w:id="19"/>
      </w:r>
      <w:r w:rsidR="009F5A5E" w:rsidRPr="00A46B17">
        <w:rPr>
          <w:sz w:val="22"/>
          <w:szCs w:val="22"/>
          <w:lang w:val="en-US"/>
        </w:rPr>
        <w:t xml:space="preserve"> </w:t>
      </w:r>
      <w:r w:rsidR="009575BA" w:rsidRPr="00A46B17">
        <w:rPr>
          <w:sz w:val="22"/>
          <w:szCs w:val="22"/>
          <w:lang w:val="en-US"/>
        </w:rPr>
        <w:t>Foreign nationals who are detained are often unfamiliar with the local language and</w:t>
      </w:r>
      <w:r w:rsidR="00436ED6">
        <w:rPr>
          <w:sz w:val="22"/>
          <w:szCs w:val="22"/>
          <w:lang w:val="en-US"/>
        </w:rPr>
        <w:t xml:space="preserve"> the local legal system. </w:t>
      </w:r>
      <w:r w:rsidR="009575BA" w:rsidRPr="00A46B17">
        <w:rPr>
          <w:sz w:val="22"/>
          <w:szCs w:val="22"/>
          <w:lang w:val="en-US"/>
        </w:rPr>
        <w:t>Access to consular assistance is a crucial safeguard against both arbitrary detention and against torture and other forms of ill-treatment,</w:t>
      </w:r>
      <w:r w:rsidR="009F5A5E" w:rsidRPr="00A46B17">
        <w:rPr>
          <w:rStyle w:val="FootnoteReference"/>
          <w:sz w:val="22"/>
          <w:szCs w:val="22"/>
          <w:lang w:val="en-US"/>
        </w:rPr>
        <w:footnoteReference w:id="20"/>
      </w:r>
      <w:r w:rsidR="009575BA" w:rsidRPr="00A46B17">
        <w:rPr>
          <w:sz w:val="22"/>
          <w:szCs w:val="22"/>
          <w:lang w:val="en-US"/>
        </w:rPr>
        <w:t xml:space="preserve"> and crucial to ensure the right to a fair trial.</w:t>
      </w:r>
      <w:r w:rsidR="002B62FB" w:rsidRPr="00A46B17">
        <w:rPr>
          <w:rStyle w:val="FootnoteReference"/>
          <w:sz w:val="22"/>
          <w:szCs w:val="22"/>
          <w:lang w:val="en-US"/>
        </w:rPr>
        <w:footnoteReference w:id="21"/>
      </w:r>
    </w:p>
    <w:p w:rsidR="00D76D85" w:rsidRPr="00A46B17" w:rsidRDefault="00D76D85" w:rsidP="00D3761D">
      <w:pPr>
        <w:jc w:val="both"/>
        <w:rPr>
          <w:rFonts w:ascii="Times New Roman" w:hAnsi="Times New Roman" w:cs="Times New Roman"/>
          <w:sz w:val="22"/>
          <w:szCs w:val="22"/>
          <w:lang w:val="en-US"/>
        </w:rPr>
      </w:pPr>
    </w:p>
    <w:p w:rsidR="00D76D85" w:rsidRPr="00A46B17" w:rsidRDefault="009361AB" w:rsidP="00D3761D">
      <w:pPr>
        <w:pStyle w:val="ListParagraph"/>
        <w:numPr>
          <w:ilvl w:val="0"/>
          <w:numId w:val="37"/>
        </w:numPr>
        <w:ind w:left="360"/>
        <w:jc w:val="both"/>
        <w:rPr>
          <w:sz w:val="22"/>
          <w:szCs w:val="22"/>
          <w:lang w:val="en-US"/>
        </w:rPr>
      </w:pPr>
      <w:r w:rsidRPr="00A46B17">
        <w:rPr>
          <w:sz w:val="22"/>
          <w:szCs w:val="22"/>
          <w:lang w:val="en-US"/>
        </w:rPr>
        <w:t xml:space="preserve">In addition, we suggest that greater prominence is given to the important role played by </w:t>
      </w:r>
      <w:r w:rsidRPr="00720827">
        <w:rPr>
          <w:sz w:val="22"/>
          <w:szCs w:val="22"/>
          <w:lang w:val="en-US"/>
        </w:rPr>
        <w:t>independent monitoring of places of detention</w:t>
      </w:r>
      <w:r w:rsidR="00436ED6">
        <w:rPr>
          <w:sz w:val="22"/>
          <w:szCs w:val="22"/>
          <w:lang w:val="en-US"/>
        </w:rPr>
        <w:t>.</w:t>
      </w:r>
      <w:r w:rsidRPr="00A46B17">
        <w:rPr>
          <w:sz w:val="22"/>
          <w:szCs w:val="22"/>
          <w:lang w:val="en-US"/>
        </w:rPr>
        <w:t xml:space="preserve"> </w:t>
      </w:r>
      <w:r w:rsidR="001C221C" w:rsidRPr="00A46B17">
        <w:rPr>
          <w:sz w:val="22"/>
          <w:szCs w:val="22"/>
          <w:lang w:val="en-US"/>
        </w:rPr>
        <w:t>In draft</w:t>
      </w:r>
      <w:r w:rsidR="001C221C" w:rsidRPr="00C15AC6">
        <w:rPr>
          <w:b/>
          <w:sz w:val="22"/>
          <w:szCs w:val="22"/>
          <w:lang w:val="en-US"/>
        </w:rPr>
        <w:t xml:space="preserve"> paragraph 58</w:t>
      </w:r>
      <w:r w:rsidR="001C221C" w:rsidRPr="00A46B17">
        <w:rPr>
          <w:sz w:val="22"/>
          <w:szCs w:val="22"/>
          <w:lang w:val="en-US"/>
        </w:rPr>
        <w:t>, the Committee already states “</w:t>
      </w:r>
      <w:r w:rsidR="001C221C" w:rsidRPr="00A46B17">
        <w:rPr>
          <w:sz w:val="22"/>
          <w:szCs w:val="22"/>
          <w:lang w:val="en-GB"/>
        </w:rPr>
        <w:t xml:space="preserve">Independent and impartial mechanisms </w:t>
      </w:r>
      <w:r w:rsidR="001C221C" w:rsidRPr="00A46B17">
        <w:rPr>
          <w:sz w:val="22"/>
          <w:szCs w:val="22"/>
          <w:lang w:val="en-US"/>
        </w:rPr>
        <w:t>should</w:t>
      </w:r>
      <w:r w:rsidR="001C221C" w:rsidRPr="00A46B17">
        <w:rPr>
          <w:sz w:val="22"/>
          <w:szCs w:val="22"/>
          <w:lang w:val="en-GB"/>
        </w:rPr>
        <w:t xml:space="preserve"> be established for visiting and inspecting all places of detention, including mental health institutions”.</w:t>
      </w:r>
      <w:r w:rsidR="001C221C" w:rsidRPr="00A46B17">
        <w:rPr>
          <w:sz w:val="22"/>
          <w:szCs w:val="22"/>
          <w:vertAlign w:val="superscript"/>
          <w:lang w:val="en-GB"/>
        </w:rPr>
        <w:footnoteReference w:id="22"/>
      </w:r>
      <w:r w:rsidR="001C221C" w:rsidRPr="00A46B17">
        <w:rPr>
          <w:sz w:val="22"/>
          <w:szCs w:val="22"/>
          <w:lang w:val="en-GB"/>
        </w:rPr>
        <w:t xml:space="preserve"> We suggest that this reference is expanded and developed in a separate paragraph and that it be explicitly clear that this applies to all places where persons are</w:t>
      </w:r>
      <w:r w:rsidR="001C221C" w:rsidRPr="00A46B17">
        <w:rPr>
          <w:sz w:val="22"/>
          <w:szCs w:val="22"/>
          <w:lang w:val="en-US"/>
        </w:rPr>
        <w:t xml:space="preserve"> deprived of their liberty, defined in its br</w:t>
      </w:r>
      <w:r w:rsidR="00436ED6">
        <w:rPr>
          <w:sz w:val="22"/>
          <w:szCs w:val="22"/>
          <w:lang w:val="en-US"/>
        </w:rPr>
        <w:t>oadest sense.</w:t>
      </w:r>
      <w:r w:rsidR="001C221C" w:rsidRPr="00A46B17">
        <w:rPr>
          <w:sz w:val="22"/>
          <w:szCs w:val="22"/>
          <w:lang w:val="en-US"/>
        </w:rPr>
        <w:t xml:space="preserve"> In addition to mental health institutions, it would be helpful to refer to</w:t>
      </w:r>
      <w:r w:rsidR="00A274A0" w:rsidRPr="00A46B17">
        <w:rPr>
          <w:sz w:val="22"/>
          <w:szCs w:val="22"/>
          <w:lang w:val="en-US"/>
        </w:rPr>
        <w:t xml:space="preserve"> intelligence agency offices</w:t>
      </w:r>
      <w:r w:rsidR="00A274A0" w:rsidRPr="00A46B17">
        <w:rPr>
          <w:rStyle w:val="FootnoteReference"/>
          <w:sz w:val="22"/>
          <w:szCs w:val="22"/>
          <w:lang w:val="en-US"/>
        </w:rPr>
        <w:footnoteReference w:id="23"/>
      </w:r>
      <w:r w:rsidR="00A274A0" w:rsidRPr="00A46B17">
        <w:rPr>
          <w:sz w:val="22"/>
          <w:szCs w:val="22"/>
          <w:lang w:val="en-US"/>
        </w:rPr>
        <w:t xml:space="preserve"> and</w:t>
      </w:r>
      <w:r w:rsidR="001C221C" w:rsidRPr="00A46B17">
        <w:rPr>
          <w:sz w:val="22"/>
          <w:szCs w:val="22"/>
          <w:lang w:val="en-US"/>
        </w:rPr>
        <w:t xml:space="preserve"> </w:t>
      </w:r>
      <w:r w:rsidR="00F6288D" w:rsidRPr="00A46B17">
        <w:rPr>
          <w:sz w:val="22"/>
          <w:szCs w:val="22"/>
          <w:lang w:val="en-US"/>
        </w:rPr>
        <w:t xml:space="preserve">immigration detention </w:t>
      </w:r>
      <w:proofErr w:type="spellStart"/>
      <w:r w:rsidR="00F6288D" w:rsidRPr="00A46B17">
        <w:rPr>
          <w:sz w:val="22"/>
          <w:szCs w:val="22"/>
          <w:lang w:val="en-US"/>
        </w:rPr>
        <w:t>centres</w:t>
      </w:r>
      <w:proofErr w:type="spellEnd"/>
      <w:r w:rsidR="00F6288D" w:rsidRPr="00A46B17">
        <w:rPr>
          <w:sz w:val="22"/>
          <w:szCs w:val="22"/>
          <w:lang w:val="en-US"/>
        </w:rPr>
        <w:t xml:space="preserve"> </w:t>
      </w:r>
      <w:r w:rsidR="00A274A0" w:rsidRPr="00A46B17">
        <w:rPr>
          <w:sz w:val="22"/>
          <w:szCs w:val="22"/>
          <w:lang w:val="en-US"/>
        </w:rPr>
        <w:t xml:space="preserve">as </w:t>
      </w:r>
      <w:r w:rsidR="001C221C" w:rsidRPr="00A46B17">
        <w:rPr>
          <w:sz w:val="22"/>
          <w:szCs w:val="22"/>
          <w:lang w:val="en-US"/>
        </w:rPr>
        <w:t>example</w:t>
      </w:r>
      <w:r w:rsidR="00A274A0" w:rsidRPr="00A46B17">
        <w:rPr>
          <w:sz w:val="22"/>
          <w:szCs w:val="22"/>
          <w:lang w:val="en-US"/>
        </w:rPr>
        <w:t>s</w:t>
      </w:r>
      <w:r w:rsidR="00F6288D" w:rsidRPr="00A46B17">
        <w:rPr>
          <w:sz w:val="22"/>
          <w:szCs w:val="22"/>
          <w:lang w:val="en-US"/>
        </w:rPr>
        <w:t>.</w:t>
      </w:r>
      <w:r w:rsidR="00F6288D" w:rsidRPr="00A46B17">
        <w:rPr>
          <w:rStyle w:val="FootnoteReference"/>
          <w:sz w:val="22"/>
          <w:szCs w:val="22"/>
          <w:lang w:val="en-US"/>
        </w:rPr>
        <w:footnoteReference w:id="24"/>
      </w:r>
    </w:p>
    <w:p w:rsidR="00A274A0" w:rsidRPr="00A46B17" w:rsidRDefault="001C221C" w:rsidP="00D3761D">
      <w:pPr>
        <w:jc w:val="both"/>
        <w:rPr>
          <w:rFonts w:ascii="Times New Roman" w:hAnsi="Times New Roman" w:cs="Times New Roman"/>
          <w:sz w:val="22"/>
          <w:szCs w:val="22"/>
          <w:lang w:val="en-US"/>
        </w:rPr>
      </w:pPr>
      <w:r w:rsidRPr="00A46B17">
        <w:rPr>
          <w:rFonts w:ascii="Times New Roman" w:hAnsi="Times New Roman" w:cs="Times New Roman"/>
          <w:sz w:val="22"/>
          <w:szCs w:val="22"/>
          <w:lang w:val="en-US"/>
        </w:rPr>
        <w:t xml:space="preserve">  </w:t>
      </w:r>
    </w:p>
    <w:p w:rsidR="00D2186A" w:rsidRPr="00A46B17" w:rsidRDefault="00D2186A" w:rsidP="00D3761D">
      <w:pPr>
        <w:pStyle w:val="ListParagraph"/>
        <w:numPr>
          <w:ilvl w:val="0"/>
          <w:numId w:val="37"/>
        </w:numPr>
        <w:ind w:left="360"/>
        <w:jc w:val="both"/>
        <w:rPr>
          <w:sz w:val="22"/>
          <w:szCs w:val="22"/>
          <w:lang w:val="en-US"/>
        </w:rPr>
      </w:pPr>
      <w:r w:rsidRPr="00A46B17">
        <w:rPr>
          <w:sz w:val="22"/>
          <w:szCs w:val="22"/>
          <w:lang w:val="en-US"/>
        </w:rPr>
        <w:t>The</w:t>
      </w:r>
      <w:r w:rsidR="00A274A0" w:rsidRPr="00A46B17">
        <w:rPr>
          <w:sz w:val="22"/>
          <w:szCs w:val="22"/>
          <w:lang w:val="en-US"/>
        </w:rPr>
        <w:t xml:space="preserve"> </w:t>
      </w:r>
      <w:r w:rsidR="001C221C" w:rsidRPr="00A46B17">
        <w:rPr>
          <w:sz w:val="22"/>
          <w:szCs w:val="22"/>
          <w:lang w:val="en-US"/>
        </w:rPr>
        <w:t>Optional Protocol to</w:t>
      </w:r>
      <w:r w:rsidR="00FA0F18">
        <w:rPr>
          <w:sz w:val="22"/>
          <w:szCs w:val="22"/>
          <w:lang w:val="en-US"/>
        </w:rPr>
        <w:t xml:space="preserve"> the Convention a</w:t>
      </w:r>
      <w:r w:rsidR="00A274A0" w:rsidRPr="00A46B17">
        <w:rPr>
          <w:sz w:val="22"/>
          <w:szCs w:val="22"/>
          <w:lang w:val="en-US"/>
        </w:rPr>
        <w:t xml:space="preserve">gainst Torture (“OPCAT”) </w:t>
      </w:r>
      <w:r w:rsidRPr="00A46B17">
        <w:rPr>
          <w:sz w:val="22"/>
          <w:szCs w:val="22"/>
          <w:lang w:val="en-US"/>
        </w:rPr>
        <w:t>is an instrument specifically directed to protecting persons deprived of their liberty, and establishes a system of independent monitoring of places of detention.</w:t>
      </w:r>
      <w:r w:rsidRPr="00A46B17">
        <w:rPr>
          <w:rStyle w:val="FootnoteReference"/>
          <w:sz w:val="22"/>
          <w:szCs w:val="22"/>
          <w:lang w:val="en-US"/>
        </w:rPr>
        <w:footnoteReference w:id="25"/>
      </w:r>
      <w:r w:rsidRPr="00A46B17">
        <w:rPr>
          <w:sz w:val="22"/>
          <w:szCs w:val="22"/>
          <w:lang w:val="en-US"/>
        </w:rPr>
        <w:t xml:space="preserve">  </w:t>
      </w:r>
      <w:proofErr w:type="spellStart"/>
      <w:r w:rsidRPr="00A46B17">
        <w:rPr>
          <w:sz w:val="22"/>
          <w:szCs w:val="22"/>
          <w:lang w:val="en-US"/>
        </w:rPr>
        <w:t>Recognising</w:t>
      </w:r>
      <w:proofErr w:type="spellEnd"/>
      <w:r w:rsidRPr="00A46B17">
        <w:rPr>
          <w:sz w:val="22"/>
          <w:szCs w:val="22"/>
          <w:lang w:val="en-US"/>
        </w:rPr>
        <w:t xml:space="preserve"> its importance as</w:t>
      </w:r>
      <w:r w:rsidR="00A274A0" w:rsidRPr="00A46B17">
        <w:rPr>
          <w:sz w:val="22"/>
          <w:szCs w:val="22"/>
          <w:lang w:val="en-US"/>
        </w:rPr>
        <w:t xml:space="preserve"> a </w:t>
      </w:r>
      <w:r w:rsidRPr="00A46B17">
        <w:rPr>
          <w:sz w:val="22"/>
          <w:szCs w:val="22"/>
          <w:lang w:val="en-US"/>
        </w:rPr>
        <w:t>framework</w:t>
      </w:r>
      <w:r w:rsidR="00A274A0" w:rsidRPr="00A46B17">
        <w:rPr>
          <w:sz w:val="22"/>
          <w:szCs w:val="22"/>
          <w:lang w:val="en-US"/>
        </w:rPr>
        <w:t xml:space="preserve"> to guard against both arbitrary detention and torture and other ill-treatment, the Committee has recommended that Stat</w:t>
      </w:r>
      <w:r w:rsidR="000F0C3B">
        <w:rPr>
          <w:sz w:val="22"/>
          <w:szCs w:val="22"/>
          <w:lang w:val="en-US"/>
        </w:rPr>
        <w:t>es parties</w:t>
      </w:r>
      <w:r w:rsidR="00A274A0" w:rsidRPr="00A46B17">
        <w:rPr>
          <w:sz w:val="22"/>
          <w:szCs w:val="22"/>
          <w:lang w:val="en-US"/>
        </w:rPr>
        <w:t xml:space="preserve"> ratify the OPCAT.</w:t>
      </w:r>
      <w:r w:rsidR="00A274A0" w:rsidRPr="00A46B17">
        <w:rPr>
          <w:rStyle w:val="FootnoteReference"/>
          <w:sz w:val="22"/>
          <w:szCs w:val="22"/>
          <w:lang w:val="en-US"/>
        </w:rPr>
        <w:footnoteReference w:id="26"/>
      </w:r>
      <w:r w:rsidR="00A274A0" w:rsidRPr="00A46B17">
        <w:rPr>
          <w:sz w:val="22"/>
          <w:szCs w:val="22"/>
          <w:lang w:val="en-US"/>
        </w:rPr>
        <w:t xml:space="preserve"> The Committee has also regularly welcomed the adoption of OPCAT,</w:t>
      </w:r>
      <w:r w:rsidR="001C221C" w:rsidRPr="00A46B17">
        <w:rPr>
          <w:rStyle w:val="FootnoteReference"/>
          <w:sz w:val="22"/>
          <w:szCs w:val="22"/>
          <w:lang w:val="en-US"/>
        </w:rPr>
        <w:footnoteReference w:id="27"/>
      </w:r>
      <w:r w:rsidR="001C221C" w:rsidRPr="00A46B17">
        <w:rPr>
          <w:sz w:val="22"/>
          <w:szCs w:val="22"/>
          <w:lang w:val="en-US"/>
        </w:rPr>
        <w:t xml:space="preserve"> and the establishment</w:t>
      </w:r>
      <w:r w:rsidR="002617AA" w:rsidRPr="00A46B17">
        <w:rPr>
          <w:sz w:val="22"/>
          <w:szCs w:val="22"/>
          <w:lang w:val="en-US"/>
        </w:rPr>
        <w:t xml:space="preserve"> of</w:t>
      </w:r>
      <w:r w:rsidR="001C221C" w:rsidRPr="00A46B17">
        <w:rPr>
          <w:sz w:val="22"/>
          <w:szCs w:val="22"/>
          <w:lang w:val="en-US"/>
        </w:rPr>
        <w:t xml:space="preserve"> national preventive mechanisms (</w:t>
      </w:r>
      <w:r w:rsidRPr="00A46B17">
        <w:rPr>
          <w:sz w:val="22"/>
          <w:szCs w:val="22"/>
          <w:lang w:val="en-US"/>
        </w:rPr>
        <w:t>“</w:t>
      </w:r>
      <w:r w:rsidR="001C221C" w:rsidRPr="00A46B17">
        <w:rPr>
          <w:sz w:val="22"/>
          <w:szCs w:val="22"/>
          <w:lang w:val="en-US"/>
        </w:rPr>
        <w:t>NPMs</w:t>
      </w:r>
      <w:r w:rsidRPr="00A46B17">
        <w:rPr>
          <w:sz w:val="22"/>
          <w:szCs w:val="22"/>
          <w:lang w:val="en-US"/>
        </w:rPr>
        <w:t>”</w:t>
      </w:r>
      <w:r w:rsidR="001C221C" w:rsidRPr="00A46B17">
        <w:rPr>
          <w:sz w:val="22"/>
          <w:szCs w:val="22"/>
          <w:lang w:val="en-US"/>
        </w:rPr>
        <w:t>) under it.</w:t>
      </w:r>
      <w:r w:rsidR="001C221C" w:rsidRPr="00A46B17">
        <w:rPr>
          <w:rStyle w:val="FootnoteReference"/>
          <w:sz w:val="22"/>
          <w:szCs w:val="22"/>
          <w:lang w:val="en-US"/>
        </w:rPr>
        <w:footnoteReference w:id="28"/>
      </w:r>
      <w:r w:rsidR="001C221C" w:rsidRPr="00A46B17">
        <w:rPr>
          <w:sz w:val="22"/>
          <w:szCs w:val="22"/>
          <w:lang w:val="en-US"/>
        </w:rPr>
        <w:t xml:space="preserve"> It has </w:t>
      </w:r>
      <w:r w:rsidR="002617AA" w:rsidRPr="00A46B17">
        <w:rPr>
          <w:sz w:val="22"/>
          <w:szCs w:val="22"/>
          <w:lang w:val="en-US"/>
        </w:rPr>
        <w:t xml:space="preserve">further </w:t>
      </w:r>
      <w:r w:rsidR="006B5785" w:rsidRPr="00A46B17">
        <w:rPr>
          <w:sz w:val="22"/>
          <w:szCs w:val="22"/>
          <w:lang w:val="en-US"/>
        </w:rPr>
        <w:t>recommended swift adoption of legal provisions to establish NPMs</w:t>
      </w:r>
      <w:r w:rsidR="00A274A0" w:rsidRPr="00A46B17">
        <w:rPr>
          <w:sz w:val="22"/>
          <w:szCs w:val="22"/>
          <w:lang w:val="en-US"/>
        </w:rPr>
        <w:t>,</w:t>
      </w:r>
      <w:r w:rsidR="006B5785" w:rsidRPr="00A46B17">
        <w:rPr>
          <w:rStyle w:val="FootnoteReference"/>
          <w:sz w:val="22"/>
          <w:szCs w:val="22"/>
          <w:lang w:val="en-US"/>
        </w:rPr>
        <w:footnoteReference w:id="29"/>
      </w:r>
      <w:r w:rsidR="006B5785" w:rsidRPr="00A46B17">
        <w:rPr>
          <w:sz w:val="22"/>
          <w:szCs w:val="22"/>
          <w:lang w:val="en-US"/>
        </w:rPr>
        <w:t xml:space="preserve"> </w:t>
      </w:r>
      <w:r w:rsidR="00A274A0" w:rsidRPr="00A46B17">
        <w:rPr>
          <w:sz w:val="22"/>
          <w:szCs w:val="22"/>
          <w:lang w:val="en-US"/>
        </w:rPr>
        <w:t>a</w:t>
      </w:r>
      <w:r w:rsidR="006B5785" w:rsidRPr="00A46B17">
        <w:rPr>
          <w:sz w:val="22"/>
          <w:szCs w:val="22"/>
          <w:lang w:val="en-US"/>
        </w:rPr>
        <w:t xml:space="preserve">nd </w:t>
      </w:r>
      <w:r w:rsidR="001C221C" w:rsidRPr="00A46B17">
        <w:rPr>
          <w:sz w:val="22"/>
          <w:szCs w:val="22"/>
          <w:lang w:val="en-US"/>
        </w:rPr>
        <w:t>expressed concern when NPMs envisaged in laws have not been made operational</w:t>
      </w:r>
      <w:r w:rsidR="006B5785" w:rsidRPr="00A46B17">
        <w:rPr>
          <w:sz w:val="22"/>
          <w:szCs w:val="22"/>
          <w:lang w:val="en-US"/>
        </w:rPr>
        <w:t>.</w:t>
      </w:r>
      <w:r w:rsidR="001C221C" w:rsidRPr="00A46B17">
        <w:rPr>
          <w:rStyle w:val="FootnoteReference"/>
          <w:sz w:val="22"/>
          <w:szCs w:val="22"/>
          <w:lang w:val="en-US"/>
        </w:rPr>
        <w:footnoteReference w:id="30"/>
      </w:r>
      <w:r w:rsidR="006B5785" w:rsidRPr="00A46B17">
        <w:rPr>
          <w:sz w:val="22"/>
          <w:szCs w:val="22"/>
          <w:lang w:val="en-US"/>
        </w:rPr>
        <w:t xml:space="preserve"> </w:t>
      </w:r>
      <w:r w:rsidR="009E1414" w:rsidRPr="00A46B17">
        <w:rPr>
          <w:sz w:val="22"/>
          <w:szCs w:val="22"/>
          <w:lang w:val="en-US"/>
        </w:rPr>
        <w:t>The Working Group on Arbitrary Detention has also recommended, within its mandate, that States ratify the OPCAT,</w:t>
      </w:r>
      <w:r w:rsidR="009E1414" w:rsidRPr="00A46B17">
        <w:rPr>
          <w:rStyle w:val="FootnoteReference"/>
          <w:sz w:val="22"/>
          <w:szCs w:val="22"/>
          <w:lang w:val="en-US"/>
        </w:rPr>
        <w:footnoteReference w:id="31"/>
      </w:r>
      <w:r w:rsidR="009E1414" w:rsidRPr="00A46B17">
        <w:rPr>
          <w:sz w:val="22"/>
          <w:szCs w:val="22"/>
          <w:lang w:val="en-US"/>
        </w:rPr>
        <w:t xml:space="preserve"> and that NPMs roles be strengthened, including to extend </w:t>
      </w:r>
      <w:r w:rsidR="00A6400E" w:rsidRPr="00A46B17">
        <w:rPr>
          <w:sz w:val="22"/>
          <w:szCs w:val="22"/>
          <w:lang w:val="en-US"/>
        </w:rPr>
        <w:t>t</w:t>
      </w:r>
      <w:r w:rsidR="009E1414" w:rsidRPr="00A46B17">
        <w:rPr>
          <w:sz w:val="22"/>
          <w:szCs w:val="22"/>
          <w:lang w:val="en-GB"/>
        </w:rPr>
        <w:t xml:space="preserve">heir </w:t>
      </w:r>
      <w:r w:rsidR="00A6400E" w:rsidRPr="00A46B17">
        <w:rPr>
          <w:sz w:val="22"/>
          <w:szCs w:val="22"/>
          <w:lang w:val="en-GB"/>
        </w:rPr>
        <w:t>mandates</w:t>
      </w:r>
      <w:r w:rsidR="009E1414" w:rsidRPr="00A46B17">
        <w:rPr>
          <w:sz w:val="22"/>
          <w:szCs w:val="22"/>
          <w:lang w:val="en-GB"/>
        </w:rPr>
        <w:t xml:space="preserve"> </w:t>
      </w:r>
      <w:r w:rsidR="00A6400E" w:rsidRPr="00A46B17">
        <w:rPr>
          <w:sz w:val="22"/>
          <w:szCs w:val="22"/>
          <w:lang w:val="en-GB"/>
        </w:rPr>
        <w:t>“</w:t>
      </w:r>
      <w:r w:rsidR="009E1414" w:rsidRPr="00A46B17">
        <w:rPr>
          <w:sz w:val="22"/>
          <w:szCs w:val="22"/>
          <w:lang w:val="en-GB"/>
        </w:rPr>
        <w:t>to the aspect of legality of detention which is not ordered by a court, includin</w:t>
      </w:r>
      <w:r w:rsidR="000F0C3B">
        <w:rPr>
          <w:sz w:val="22"/>
          <w:szCs w:val="22"/>
          <w:lang w:val="en-GB"/>
        </w:rPr>
        <w:t>g administrative detention and ‘detention within detention’</w:t>
      </w:r>
      <w:r w:rsidR="009E1414" w:rsidRPr="00A46B17">
        <w:rPr>
          <w:sz w:val="22"/>
          <w:szCs w:val="22"/>
          <w:lang w:val="en-GB"/>
        </w:rPr>
        <w:t xml:space="preserve"> as a form of disciplinary measure</w:t>
      </w:r>
      <w:r w:rsidR="00A6400E" w:rsidRPr="00A46B17">
        <w:rPr>
          <w:sz w:val="22"/>
          <w:szCs w:val="22"/>
          <w:lang w:val="en-GB"/>
        </w:rPr>
        <w:t>”.</w:t>
      </w:r>
      <w:r w:rsidR="00A6400E" w:rsidRPr="00A46B17">
        <w:rPr>
          <w:rStyle w:val="FootnoteReference"/>
          <w:sz w:val="22"/>
          <w:szCs w:val="22"/>
          <w:lang w:val="en-GB"/>
        </w:rPr>
        <w:footnoteReference w:id="32"/>
      </w:r>
    </w:p>
    <w:p w:rsidR="00D76D85" w:rsidRPr="00A46B17" w:rsidRDefault="00D76D85" w:rsidP="00720827">
      <w:pPr>
        <w:jc w:val="both"/>
        <w:rPr>
          <w:rFonts w:ascii="Times New Roman" w:hAnsi="Times New Roman" w:cs="Times New Roman"/>
          <w:sz w:val="22"/>
          <w:szCs w:val="22"/>
          <w:lang w:val="en-US"/>
        </w:rPr>
      </w:pPr>
    </w:p>
    <w:p w:rsidR="001C221C" w:rsidRPr="00A46B17" w:rsidRDefault="00D2186A" w:rsidP="00720827">
      <w:pPr>
        <w:pStyle w:val="ListParagraph"/>
        <w:numPr>
          <w:ilvl w:val="0"/>
          <w:numId w:val="37"/>
        </w:numPr>
        <w:ind w:left="360"/>
        <w:jc w:val="both"/>
        <w:rPr>
          <w:sz w:val="22"/>
          <w:szCs w:val="22"/>
          <w:lang w:val="en-US"/>
        </w:rPr>
      </w:pPr>
      <w:r w:rsidRPr="00A46B17">
        <w:rPr>
          <w:sz w:val="22"/>
          <w:szCs w:val="22"/>
          <w:lang w:val="en-US"/>
        </w:rPr>
        <w:t>Given this important</w:t>
      </w:r>
      <w:r w:rsidR="00A6400E" w:rsidRPr="00A46B17">
        <w:rPr>
          <w:sz w:val="22"/>
          <w:szCs w:val="22"/>
          <w:lang w:val="en-US"/>
        </w:rPr>
        <w:t xml:space="preserve"> opportunity provided by the OPCAT, and the important</w:t>
      </w:r>
      <w:r w:rsidRPr="00A46B17">
        <w:rPr>
          <w:sz w:val="22"/>
          <w:szCs w:val="22"/>
          <w:lang w:val="en-US"/>
        </w:rPr>
        <w:t xml:space="preserve"> role</w:t>
      </w:r>
      <w:r w:rsidR="00A6400E" w:rsidRPr="00A46B17">
        <w:rPr>
          <w:sz w:val="22"/>
          <w:szCs w:val="22"/>
          <w:lang w:val="en-US"/>
        </w:rPr>
        <w:t xml:space="preserve"> it can play</w:t>
      </w:r>
      <w:r w:rsidRPr="00A46B17">
        <w:rPr>
          <w:sz w:val="22"/>
          <w:szCs w:val="22"/>
          <w:lang w:val="en-US"/>
        </w:rPr>
        <w:t xml:space="preserve"> in preventing both arbitrary deprivation of liberty and torture and ill-treatment of those deprived of their liberty, we suggest that the General Comment specifically recommend that States parties ratify the OPCAT and establish independent and effective NP</w:t>
      </w:r>
      <w:r w:rsidR="00436ED6">
        <w:rPr>
          <w:sz w:val="22"/>
          <w:szCs w:val="22"/>
          <w:lang w:val="en-US"/>
        </w:rPr>
        <w:t>Ms in line with its provisions.</w:t>
      </w:r>
      <w:r w:rsidRPr="00A46B17">
        <w:rPr>
          <w:sz w:val="22"/>
          <w:szCs w:val="22"/>
          <w:lang w:val="en-US"/>
        </w:rPr>
        <w:t xml:space="preserve"> Where States parties have not ratified OPCAT, they should establish independent bodies </w:t>
      </w:r>
      <w:r w:rsidR="00785DEC">
        <w:rPr>
          <w:sz w:val="22"/>
          <w:szCs w:val="22"/>
          <w:lang w:val="en-US"/>
        </w:rPr>
        <w:t xml:space="preserve">in line with Articles 17-23 of the OPCAT and the </w:t>
      </w:r>
      <w:r w:rsidR="00785DEC">
        <w:rPr>
          <w:sz w:val="22"/>
          <w:szCs w:val="22"/>
          <w:lang w:val="en-US"/>
        </w:rPr>
        <w:lastRenderedPageBreak/>
        <w:t>Guidelines on NPMs adopted by the Subcommittee on Prevention of Torture (SPT),</w:t>
      </w:r>
      <w:r w:rsidR="00785DEC">
        <w:rPr>
          <w:rStyle w:val="FootnoteReference"/>
          <w:szCs w:val="22"/>
          <w:lang w:val="en-US"/>
        </w:rPr>
        <w:footnoteReference w:id="33"/>
      </w:r>
      <w:r w:rsidRPr="00A46B17">
        <w:rPr>
          <w:sz w:val="22"/>
          <w:szCs w:val="22"/>
          <w:lang w:val="en-US"/>
        </w:rPr>
        <w:t xml:space="preserve"> to monitor all places where individuals </w:t>
      </w:r>
      <w:r w:rsidR="00436ED6">
        <w:rPr>
          <w:sz w:val="22"/>
          <w:szCs w:val="22"/>
          <w:lang w:val="en-US"/>
        </w:rPr>
        <w:t xml:space="preserve">are deprived of their liberty. </w:t>
      </w:r>
      <w:r w:rsidRPr="00A46B17">
        <w:rPr>
          <w:sz w:val="22"/>
          <w:szCs w:val="22"/>
          <w:lang w:val="en-US"/>
        </w:rPr>
        <w:t>Such bodies should be independent, and adequately resourced financially and in terms of personnel, to enable them to undertake regular unannounced visits</w:t>
      </w:r>
      <w:r w:rsidR="00785DEC">
        <w:rPr>
          <w:sz w:val="22"/>
          <w:szCs w:val="22"/>
          <w:lang w:val="en-US"/>
        </w:rPr>
        <w:t xml:space="preserve"> and conduct private interviews with those deprived of their liberty</w:t>
      </w:r>
      <w:r w:rsidRPr="00A46B17">
        <w:rPr>
          <w:sz w:val="22"/>
          <w:szCs w:val="22"/>
          <w:lang w:val="en-US"/>
        </w:rPr>
        <w:t xml:space="preserve">. </w:t>
      </w:r>
      <w:r w:rsidR="00785DEC">
        <w:rPr>
          <w:sz w:val="22"/>
          <w:szCs w:val="22"/>
          <w:lang w:val="en-US"/>
        </w:rPr>
        <w:t xml:space="preserve">The establishment of such independent bodies should not be to the exclusion of other </w:t>
      </w:r>
      <w:proofErr w:type="spellStart"/>
      <w:r w:rsidR="00785DEC">
        <w:rPr>
          <w:sz w:val="22"/>
          <w:szCs w:val="22"/>
          <w:lang w:val="en-US"/>
        </w:rPr>
        <w:t>organisations</w:t>
      </w:r>
      <w:proofErr w:type="spellEnd"/>
      <w:r w:rsidR="00785DEC">
        <w:rPr>
          <w:sz w:val="22"/>
          <w:szCs w:val="22"/>
          <w:lang w:val="en-US"/>
        </w:rPr>
        <w:t xml:space="preserve"> such as civil society </w:t>
      </w:r>
      <w:proofErr w:type="spellStart"/>
      <w:r w:rsidR="00785DEC">
        <w:rPr>
          <w:sz w:val="22"/>
          <w:szCs w:val="22"/>
          <w:lang w:val="en-US"/>
        </w:rPr>
        <w:t>organ</w:t>
      </w:r>
      <w:r w:rsidR="00D8726E">
        <w:rPr>
          <w:sz w:val="22"/>
          <w:szCs w:val="22"/>
          <w:lang w:val="en-US"/>
        </w:rPr>
        <w:t>i</w:t>
      </w:r>
      <w:r w:rsidR="00785DEC">
        <w:rPr>
          <w:sz w:val="22"/>
          <w:szCs w:val="22"/>
          <w:lang w:val="en-US"/>
        </w:rPr>
        <w:t>sations</w:t>
      </w:r>
      <w:proofErr w:type="spellEnd"/>
      <w:r w:rsidR="00785DEC">
        <w:rPr>
          <w:sz w:val="22"/>
          <w:szCs w:val="22"/>
          <w:lang w:val="en-US"/>
        </w:rPr>
        <w:t xml:space="preserve"> which may visit places where individuals are deprived of their liberty.</w:t>
      </w:r>
    </w:p>
    <w:p w:rsidR="00D76D85" w:rsidRPr="00A46B17" w:rsidRDefault="00D76D85" w:rsidP="00720827">
      <w:pPr>
        <w:jc w:val="both"/>
        <w:rPr>
          <w:rFonts w:ascii="Times New Roman" w:hAnsi="Times New Roman" w:cs="Times New Roman"/>
          <w:sz w:val="22"/>
          <w:szCs w:val="22"/>
          <w:lang w:val="en-US"/>
        </w:rPr>
      </w:pPr>
    </w:p>
    <w:p w:rsidR="00935C63" w:rsidRPr="00A46B17" w:rsidRDefault="000F0C3B" w:rsidP="00720827">
      <w:pPr>
        <w:pStyle w:val="ListParagraph"/>
        <w:pBdr>
          <w:top w:val="single" w:sz="4" w:space="1" w:color="auto"/>
          <w:left w:val="single" w:sz="4" w:space="4" w:color="auto"/>
          <w:bottom w:val="single" w:sz="4" w:space="1" w:color="auto"/>
          <w:right w:val="single" w:sz="4" w:space="4" w:color="auto"/>
        </w:pBdr>
        <w:ind w:left="0"/>
        <w:jc w:val="both"/>
        <w:rPr>
          <w:sz w:val="22"/>
          <w:szCs w:val="22"/>
          <w:lang w:val="en-US"/>
        </w:rPr>
      </w:pPr>
      <w:r>
        <w:rPr>
          <w:b/>
          <w:sz w:val="22"/>
          <w:szCs w:val="22"/>
          <w:lang w:val="en-US"/>
        </w:rPr>
        <w:t>Summary:</w:t>
      </w:r>
      <w:r w:rsidR="0020224F" w:rsidRPr="00A46B17">
        <w:rPr>
          <w:b/>
          <w:sz w:val="22"/>
          <w:szCs w:val="22"/>
          <w:lang w:val="en-US"/>
        </w:rPr>
        <w:t xml:space="preserve"> </w:t>
      </w:r>
      <w:r w:rsidR="0020224F" w:rsidRPr="00A46B17">
        <w:rPr>
          <w:sz w:val="22"/>
          <w:szCs w:val="22"/>
          <w:lang w:val="en-US"/>
        </w:rPr>
        <w:t>We suggest that the Committee highlight</w:t>
      </w:r>
      <w:r>
        <w:rPr>
          <w:sz w:val="22"/>
          <w:szCs w:val="22"/>
          <w:lang w:val="en-US"/>
        </w:rPr>
        <w:t>s</w:t>
      </w:r>
      <w:r w:rsidR="0020224F" w:rsidRPr="00A46B17">
        <w:rPr>
          <w:sz w:val="22"/>
          <w:szCs w:val="22"/>
          <w:lang w:val="en-US"/>
        </w:rPr>
        <w:t xml:space="preserve"> the importance of detention safeguards to ensur</w:t>
      </w:r>
      <w:r w:rsidR="001F39F7">
        <w:rPr>
          <w:sz w:val="22"/>
          <w:szCs w:val="22"/>
          <w:lang w:val="en-US"/>
        </w:rPr>
        <w:t>e</w:t>
      </w:r>
      <w:r w:rsidR="0020224F" w:rsidRPr="00A46B17">
        <w:rPr>
          <w:sz w:val="22"/>
          <w:szCs w:val="22"/>
          <w:lang w:val="en-US"/>
        </w:rPr>
        <w:t xml:space="preserve"> respect for Article 9 of the Covenant by including a stand-alone paragraph on the issue in </w:t>
      </w:r>
      <w:r w:rsidR="0020224F" w:rsidRPr="00A46B17">
        <w:rPr>
          <w:b/>
          <w:sz w:val="22"/>
          <w:szCs w:val="22"/>
          <w:u w:val="single"/>
          <w:lang w:val="en-US"/>
        </w:rPr>
        <w:t>Section II</w:t>
      </w:r>
      <w:r w:rsidR="00436ED6">
        <w:rPr>
          <w:sz w:val="22"/>
          <w:szCs w:val="22"/>
          <w:lang w:val="en-US"/>
        </w:rPr>
        <w:t xml:space="preserve"> of the General Comment.</w:t>
      </w:r>
      <w:r w:rsidR="0020224F" w:rsidRPr="00A46B17">
        <w:rPr>
          <w:sz w:val="22"/>
          <w:szCs w:val="22"/>
          <w:lang w:val="en-US"/>
        </w:rPr>
        <w:t xml:space="preserve"> It would be helpful if the paragraph set out clearly that such safeguards apply to all types of detention by state authorities and private actors acting on their behalf; not just to those arrested by police. In addition to those safeguards mentioned in current draft </w:t>
      </w:r>
      <w:r w:rsidR="0020224F" w:rsidRPr="00A46B17">
        <w:rPr>
          <w:b/>
          <w:sz w:val="22"/>
          <w:szCs w:val="22"/>
          <w:u w:val="single"/>
          <w:lang w:val="en-US"/>
        </w:rPr>
        <w:t>paragraph 58</w:t>
      </w:r>
      <w:r w:rsidR="0020224F" w:rsidRPr="00A46B17">
        <w:rPr>
          <w:sz w:val="22"/>
          <w:szCs w:val="22"/>
          <w:lang w:val="en-US"/>
        </w:rPr>
        <w:t xml:space="preserve">, we suggest that the right to promptly inform a relative or third party of arrest is included. We also suggest that a separate paragraph on independent monitoring of places of detention be included, </w:t>
      </w:r>
      <w:r w:rsidR="00D2186A" w:rsidRPr="00A46B17">
        <w:rPr>
          <w:sz w:val="22"/>
          <w:szCs w:val="22"/>
          <w:lang w:val="en-US"/>
        </w:rPr>
        <w:t>with a recommendation that States parties ratify the OPCAT, and ensure sufficiently resourced independent bodies to monitor all places of detention</w:t>
      </w:r>
      <w:r w:rsidR="0020224F" w:rsidRPr="00A46B17">
        <w:rPr>
          <w:sz w:val="22"/>
          <w:szCs w:val="22"/>
          <w:lang w:val="en-US"/>
        </w:rPr>
        <w:t>.</w:t>
      </w:r>
    </w:p>
    <w:p w:rsidR="0020224F" w:rsidRPr="00A46B17" w:rsidRDefault="0020224F" w:rsidP="00720827">
      <w:pPr>
        <w:jc w:val="both"/>
        <w:rPr>
          <w:rFonts w:ascii="Times New Roman" w:hAnsi="Times New Roman" w:cs="Times New Roman"/>
          <w:i/>
          <w:sz w:val="22"/>
          <w:szCs w:val="22"/>
          <w:lang w:val="en-US"/>
        </w:rPr>
      </w:pPr>
    </w:p>
    <w:p w:rsidR="00935C63" w:rsidRPr="00A46B17" w:rsidRDefault="00935C63" w:rsidP="00D3761D">
      <w:pPr>
        <w:pStyle w:val="Heading2"/>
        <w:spacing w:before="0"/>
        <w:jc w:val="both"/>
        <w:rPr>
          <w:rFonts w:ascii="Times New Roman" w:hAnsi="Times New Roman" w:cs="Times New Roman"/>
          <w:color w:val="auto"/>
          <w:sz w:val="24"/>
          <w:szCs w:val="24"/>
          <w:lang w:val="en-US"/>
        </w:rPr>
      </w:pPr>
      <w:bookmarkStart w:id="16" w:name="_Toc388377553"/>
      <w:bookmarkStart w:id="17" w:name="_Toc388961670"/>
      <w:bookmarkStart w:id="18" w:name="_Toc389236141"/>
      <w:r w:rsidRPr="00A46B17">
        <w:rPr>
          <w:rFonts w:ascii="Times New Roman" w:hAnsi="Times New Roman" w:cs="Times New Roman"/>
          <w:color w:val="auto"/>
          <w:sz w:val="24"/>
          <w:szCs w:val="24"/>
          <w:lang w:val="en-US"/>
        </w:rPr>
        <w:t>In accordance with law</w:t>
      </w:r>
      <w:bookmarkEnd w:id="16"/>
      <w:bookmarkEnd w:id="17"/>
      <w:bookmarkEnd w:id="18"/>
    </w:p>
    <w:p w:rsidR="000203AF" w:rsidRPr="00A46B17" w:rsidRDefault="00B16457" w:rsidP="00887A4F">
      <w:pPr>
        <w:pStyle w:val="ListParagraph"/>
        <w:numPr>
          <w:ilvl w:val="0"/>
          <w:numId w:val="37"/>
        </w:numPr>
        <w:ind w:left="360"/>
        <w:jc w:val="both"/>
        <w:rPr>
          <w:sz w:val="22"/>
          <w:szCs w:val="22"/>
          <w:lang w:val="en-US"/>
        </w:rPr>
      </w:pPr>
      <w:r w:rsidRPr="00A46B17">
        <w:rPr>
          <w:sz w:val="22"/>
          <w:szCs w:val="22"/>
          <w:lang w:val="en-US"/>
        </w:rPr>
        <w:t xml:space="preserve">Article 9(1) which requires that deprivations of liberty must be in accordance with law </w:t>
      </w:r>
      <w:r w:rsidR="000203AF" w:rsidRPr="00A46B17">
        <w:rPr>
          <w:sz w:val="22"/>
          <w:szCs w:val="22"/>
          <w:lang w:val="en-US"/>
        </w:rPr>
        <w:t>appl</w:t>
      </w:r>
      <w:r w:rsidRPr="00A46B17">
        <w:rPr>
          <w:sz w:val="22"/>
          <w:szCs w:val="22"/>
          <w:lang w:val="en-US"/>
        </w:rPr>
        <w:t>ies</w:t>
      </w:r>
      <w:r w:rsidR="000203AF" w:rsidRPr="00A46B17">
        <w:rPr>
          <w:sz w:val="22"/>
          <w:szCs w:val="22"/>
          <w:lang w:val="en-US"/>
        </w:rPr>
        <w:t xml:space="preserve"> to all deprivations of liberty, not only arrests of those who are suspected of having committed a crime.</w:t>
      </w:r>
      <w:r w:rsidRPr="00A46B17">
        <w:rPr>
          <w:rStyle w:val="FootnoteReference"/>
          <w:sz w:val="22"/>
          <w:szCs w:val="22"/>
          <w:lang w:val="en-US"/>
        </w:rPr>
        <w:footnoteReference w:id="34"/>
      </w:r>
      <w:r w:rsidR="000203AF" w:rsidRPr="00A46B17">
        <w:rPr>
          <w:sz w:val="22"/>
          <w:szCs w:val="22"/>
          <w:lang w:val="en-US"/>
        </w:rPr>
        <w:t xml:space="preserve"> We therefore suggest that</w:t>
      </w:r>
      <w:r w:rsidRPr="00A46B17">
        <w:rPr>
          <w:sz w:val="22"/>
          <w:szCs w:val="22"/>
          <w:lang w:val="en-US"/>
        </w:rPr>
        <w:t>,</w:t>
      </w:r>
      <w:r w:rsidR="000203AF" w:rsidRPr="00A46B17">
        <w:rPr>
          <w:sz w:val="22"/>
          <w:szCs w:val="22"/>
          <w:lang w:val="en-US"/>
        </w:rPr>
        <w:t xml:space="preserve"> </w:t>
      </w:r>
      <w:r w:rsidRPr="00A46B17">
        <w:rPr>
          <w:sz w:val="22"/>
          <w:szCs w:val="22"/>
          <w:lang w:val="en-US"/>
        </w:rPr>
        <w:t xml:space="preserve">where </w:t>
      </w:r>
      <w:r w:rsidRPr="00A46B17">
        <w:rPr>
          <w:b/>
          <w:sz w:val="22"/>
          <w:szCs w:val="22"/>
          <w:u w:val="single"/>
          <w:lang w:val="en-US"/>
        </w:rPr>
        <w:t>paragraph 23</w:t>
      </w:r>
      <w:r w:rsidRPr="00A46B17">
        <w:rPr>
          <w:sz w:val="22"/>
          <w:szCs w:val="22"/>
          <w:lang w:val="en-US"/>
        </w:rPr>
        <w:t xml:space="preserve"> of the draft currently states “</w:t>
      </w:r>
      <w:r w:rsidRPr="00A46B17">
        <w:rPr>
          <w:sz w:val="22"/>
          <w:szCs w:val="22"/>
          <w:lang w:val="en-CA"/>
        </w:rPr>
        <w:t>where suspects may be detained</w:t>
      </w:r>
      <w:r w:rsidRPr="00A46B17">
        <w:rPr>
          <w:sz w:val="22"/>
          <w:szCs w:val="22"/>
          <w:lang w:val="en-US"/>
        </w:rPr>
        <w:t xml:space="preserve">”, </w:t>
      </w:r>
      <w:r w:rsidR="000203AF" w:rsidRPr="00A46B17">
        <w:rPr>
          <w:sz w:val="22"/>
          <w:szCs w:val="22"/>
          <w:lang w:val="en-US"/>
        </w:rPr>
        <w:t>the word “suspects” is replaced by the word “individuals”.</w:t>
      </w:r>
    </w:p>
    <w:p w:rsidR="00D76D85" w:rsidRPr="00A46B17" w:rsidRDefault="00D76D85" w:rsidP="00D3761D">
      <w:pPr>
        <w:pStyle w:val="ListParagraph"/>
        <w:ind w:left="360"/>
        <w:jc w:val="both"/>
        <w:rPr>
          <w:sz w:val="22"/>
          <w:szCs w:val="22"/>
          <w:lang w:val="en-US"/>
        </w:rPr>
      </w:pPr>
    </w:p>
    <w:p w:rsidR="001C451C" w:rsidRPr="00A46B17" w:rsidRDefault="00CB75C6" w:rsidP="00D3761D">
      <w:pPr>
        <w:pStyle w:val="ListParagraph"/>
        <w:numPr>
          <w:ilvl w:val="0"/>
          <w:numId w:val="37"/>
        </w:numPr>
        <w:ind w:left="360"/>
        <w:jc w:val="both"/>
        <w:rPr>
          <w:sz w:val="22"/>
          <w:szCs w:val="22"/>
          <w:lang w:val="en-US"/>
        </w:rPr>
      </w:pPr>
      <w:r w:rsidRPr="00A46B17">
        <w:rPr>
          <w:sz w:val="22"/>
          <w:szCs w:val="22"/>
          <w:lang w:val="en-US"/>
        </w:rPr>
        <w:t xml:space="preserve">The penultimate </w:t>
      </w:r>
      <w:r w:rsidR="00B82628" w:rsidRPr="00A46B17">
        <w:rPr>
          <w:sz w:val="22"/>
          <w:szCs w:val="22"/>
          <w:lang w:val="en-US"/>
        </w:rPr>
        <w:t>sentence in</w:t>
      </w:r>
      <w:r w:rsidR="00B82628" w:rsidRPr="00A46B17">
        <w:rPr>
          <w:b/>
          <w:sz w:val="22"/>
          <w:szCs w:val="22"/>
          <w:lang w:val="en-US"/>
        </w:rPr>
        <w:t xml:space="preserve"> </w:t>
      </w:r>
      <w:r w:rsidR="00B82628" w:rsidRPr="00A46B17">
        <w:rPr>
          <w:sz w:val="22"/>
          <w:szCs w:val="22"/>
          <w:lang w:val="en-US"/>
        </w:rPr>
        <w:t xml:space="preserve">paragraph 23 is </w:t>
      </w:r>
      <w:r w:rsidR="001C451C" w:rsidRPr="00A46B17">
        <w:rPr>
          <w:sz w:val="22"/>
          <w:szCs w:val="22"/>
          <w:lang w:val="en-US"/>
        </w:rPr>
        <w:t>very</w:t>
      </w:r>
      <w:r w:rsidR="00B82628" w:rsidRPr="00A46B17">
        <w:rPr>
          <w:sz w:val="22"/>
          <w:szCs w:val="22"/>
          <w:lang w:val="en-US"/>
        </w:rPr>
        <w:t xml:space="preserve"> important </w:t>
      </w:r>
      <w:r w:rsidR="00257D20" w:rsidRPr="00A46B17">
        <w:rPr>
          <w:sz w:val="22"/>
          <w:szCs w:val="22"/>
          <w:lang w:val="en-US"/>
        </w:rPr>
        <w:t>and related to the</w:t>
      </w:r>
      <w:r w:rsidR="00B82628" w:rsidRPr="00A46B17">
        <w:rPr>
          <w:sz w:val="22"/>
          <w:szCs w:val="22"/>
          <w:lang w:val="en-US"/>
        </w:rPr>
        <w:t xml:space="preserve"> </w:t>
      </w:r>
      <w:r w:rsidR="00D8450E" w:rsidRPr="00A46B17">
        <w:rPr>
          <w:sz w:val="22"/>
          <w:szCs w:val="22"/>
          <w:lang w:val="en-US"/>
        </w:rPr>
        <w:t>safeguards against</w:t>
      </w:r>
      <w:r w:rsidR="00B82628" w:rsidRPr="00A46B17">
        <w:rPr>
          <w:sz w:val="22"/>
          <w:szCs w:val="22"/>
          <w:lang w:val="en-US"/>
        </w:rPr>
        <w:t xml:space="preserve"> unlawful and/or arbitrary </w:t>
      </w:r>
      <w:r w:rsidR="00D8450E" w:rsidRPr="00A46B17">
        <w:rPr>
          <w:sz w:val="22"/>
          <w:szCs w:val="22"/>
          <w:lang w:val="en-US"/>
        </w:rPr>
        <w:t>deprivation of liberty</w:t>
      </w:r>
      <w:r w:rsidR="00257D20" w:rsidRPr="00A46B17">
        <w:rPr>
          <w:sz w:val="22"/>
          <w:szCs w:val="22"/>
          <w:lang w:val="en-US"/>
        </w:rPr>
        <w:t xml:space="preserve"> referred to above</w:t>
      </w:r>
      <w:r w:rsidR="00436ED6">
        <w:rPr>
          <w:sz w:val="22"/>
          <w:szCs w:val="22"/>
          <w:lang w:val="en-US"/>
        </w:rPr>
        <w:t xml:space="preserve">. </w:t>
      </w:r>
      <w:r w:rsidR="00D8450E" w:rsidRPr="00A46B17">
        <w:rPr>
          <w:sz w:val="22"/>
          <w:szCs w:val="22"/>
          <w:lang w:val="en-US"/>
        </w:rPr>
        <w:t>A</w:t>
      </w:r>
      <w:r w:rsidR="00257D20" w:rsidRPr="00A46B17">
        <w:rPr>
          <w:sz w:val="22"/>
          <w:szCs w:val="22"/>
          <w:lang w:val="en-US"/>
        </w:rPr>
        <w:t>gain, a</w:t>
      </w:r>
      <w:r w:rsidR="001C451C" w:rsidRPr="00A46B17">
        <w:rPr>
          <w:sz w:val="22"/>
          <w:szCs w:val="22"/>
          <w:lang w:val="en-US"/>
        </w:rPr>
        <w:t xml:space="preserve"> particularly</w:t>
      </w:r>
      <w:r w:rsidR="00D8450E" w:rsidRPr="00A46B17">
        <w:rPr>
          <w:sz w:val="22"/>
          <w:szCs w:val="22"/>
          <w:lang w:val="en-US"/>
        </w:rPr>
        <w:t xml:space="preserve"> important </w:t>
      </w:r>
      <w:r w:rsidR="00B82628" w:rsidRPr="00A46B17">
        <w:rPr>
          <w:sz w:val="22"/>
          <w:szCs w:val="22"/>
          <w:lang w:val="en-US"/>
        </w:rPr>
        <w:t xml:space="preserve">safeguard that we suggest should </w:t>
      </w:r>
      <w:r w:rsidR="00D8450E" w:rsidRPr="00A46B17">
        <w:rPr>
          <w:sz w:val="22"/>
          <w:szCs w:val="22"/>
          <w:lang w:val="en-US"/>
        </w:rPr>
        <w:t xml:space="preserve">also be included is compliance with regulations </w:t>
      </w:r>
      <w:r w:rsidRPr="00A46B17">
        <w:rPr>
          <w:sz w:val="22"/>
          <w:szCs w:val="22"/>
          <w:lang w:val="en-US"/>
        </w:rPr>
        <w:t>giving detainees the right to contact a relative</w:t>
      </w:r>
      <w:r w:rsidR="001C451C" w:rsidRPr="00A46B17">
        <w:rPr>
          <w:sz w:val="22"/>
          <w:szCs w:val="22"/>
          <w:lang w:val="en-US"/>
        </w:rPr>
        <w:t xml:space="preserve"> or third party to inform them of their arrest</w:t>
      </w:r>
      <w:r w:rsidRPr="00A46B17">
        <w:rPr>
          <w:sz w:val="22"/>
          <w:szCs w:val="22"/>
          <w:lang w:val="en-US"/>
        </w:rPr>
        <w:t>.</w:t>
      </w:r>
      <w:r w:rsidRPr="00A46B17">
        <w:rPr>
          <w:rStyle w:val="FootnoteReference"/>
          <w:sz w:val="22"/>
          <w:szCs w:val="22"/>
          <w:lang w:val="en-US"/>
        </w:rPr>
        <w:footnoteReference w:id="35"/>
      </w:r>
      <w:r w:rsidR="00B82628" w:rsidRPr="00A46B17">
        <w:rPr>
          <w:sz w:val="22"/>
          <w:szCs w:val="22"/>
          <w:lang w:val="en-US"/>
        </w:rPr>
        <w:t xml:space="preserve"> </w:t>
      </w:r>
      <w:r w:rsidR="001306A5" w:rsidRPr="00A46B17">
        <w:rPr>
          <w:sz w:val="22"/>
          <w:szCs w:val="22"/>
          <w:lang w:val="en-US"/>
        </w:rPr>
        <w:t>We also urge the Committee to include reference to the right of prompt access to an independent doctor as an important safeguard of the right to security of the person.</w:t>
      </w:r>
    </w:p>
    <w:p w:rsidR="00D76D85" w:rsidRPr="00A46B17" w:rsidRDefault="00D76D85" w:rsidP="00D3761D">
      <w:pPr>
        <w:pStyle w:val="ListParagraph"/>
        <w:ind w:left="360"/>
        <w:jc w:val="both"/>
        <w:rPr>
          <w:sz w:val="22"/>
          <w:szCs w:val="22"/>
          <w:lang w:val="en-US"/>
        </w:rPr>
      </w:pPr>
    </w:p>
    <w:p w:rsidR="00D76D85" w:rsidRPr="00A46B17" w:rsidRDefault="000203AF" w:rsidP="00D3761D">
      <w:pPr>
        <w:pStyle w:val="ListParagraph"/>
        <w:numPr>
          <w:ilvl w:val="0"/>
          <w:numId w:val="37"/>
        </w:numPr>
        <w:ind w:left="360"/>
        <w:jc w:val="both"/>
        <w:rPr>
          <w:sz w:val="22"/>
          <w:szCs w:val="22"/>
          <w:lang w:val="en-US"/>
        </w:rPr>
      </w:pPr>
      <w:r w:rsidRPr="00A46B17">
        <w:rPr>
          <w:sz w:val="22"/>
          <w:szCs w:val="22"/>
          <w:lang w:val="en-US"/>
        </w:rPr>
        <w:t xml:space="preserve">As </w:t>
      </w:r>
      <w:r w:rsidR="00F6288D" w:rsidRPr="00A46B17">
        <w:rPr>
          <w:sz w:val="22"/>
          <w:szCs w:val="22"/>
          <w:lang w:val="en-US"/>
        </w:rPr>
        <w:t xml:space="preserve">discussed above and </w:t>
      </w:r>
      <w:r w:rsidRPr="00A46B17">
        <w:rPr>
          <w:sz w:val="22"/>
          <w:szCs w:val="22"/>
          <w:lang w:val="en-US"/>
        </w:rPr>
        <w:t xml:space="preserve">set out further in the draft </w:t>
      </w:r>
      <w:r w:rsidR="00436ED6">
        <w:rPr>
          <w:sz w:val="22"/>
          <w:szCs w:val="22"/>
          <w:lang w:val="en-US"/>
        </w:rPr>
        <w:t>(at paragraph</w:t>
      </w:r>
      <w:r w:rsidR="00F6288D" w:rsidRPr="00A46B17">
        <w:rPr>
          <w:sz w:val="22"/>
          <w:szCs w:val="22"/>
          <w:lang w:val="en-US"/>
        </w:rPr>
        <w:t xml:space="preserve"> 58), </w:t>
      </w:r>
      <w:r w:rsidRPr="00A46B17">
        <w:rPr>
          <w:sz w:val="22"/>
          <w:szCs w:val="22"/>
          <w:lang w:val="en-US"/>
        </w:rPr>
        <w:t xml:space="preserve">there are other </w:t>
      </w:r>
      <w:r w:rsidR="002617AA" w:rsidRPr="00A46B17">
        <w:rPr>
          <w:sz w:val="22"/>
          <w:szCs w:val="22"/>
          <w:lang w:val="en-US"/>
        </w:rPr>
        <w:t>crucial</w:t>
      </w:r>
      <w:r w:rsidRPr="00A46B17">
        <w:rPr>
          <w:sz w:val="22"/>
          <w:szCs w:val="22"/>
          <w:lang w:val="en-US"/>
        </w:rPr>
        <w:t xml:space="preserve"> safeguards</w:t>
      </w:r>
      <w:r w:rsidR="001306A5" w:rsidRPr="00A46B17">
        <w:rPr>
          <w:sz w:val="22"/>
          <w:szCs w:val="22"/>
          <w:lang w:val="en-US"/>
        </w:rPr>
        <w:t xml:space="preserve"> </w:t>
      </w:r>
      <w:r w:rsidRPr="00A46B17">
        <w:rPr>
          <w:sz w:val="22"/>
          <w:szCs w:val="22"/>
          <w:lang w:val="en-US"/>
        </w:rPr>
        <w:t>required under Article 7 to protect detainees from torture and other prohibited ill-treatment.</w:t>
      </w:r>
      <w:r w:rsidRPr="00A46B17">
        <w:rPr>
          <w:rStyle w:val="FootnoteReference"/>
          <w:sz w:val="22"/>
          <w:szCs w:val="22"/>
          <w:lang w:val="en-US"/>
        </w:rPr>
        <w:footnoteReference w:id="36"/>
      </w:r>
      <w:r w:rsidRPr="00A46B17">
        <w:rPr>
          <w:sz w:val="22"/>
          <w:szCs w:val="22"/>
          <w:lang w:val="en-US"/>
        </w:rPr>
        <w:t xml:space="preserve"> We suggest that this is clarified in the final sentence of paragraph 23, as proposed below.</w:t>
      </w:r>
    </w:p>
    <w:p w:rsidR="00CB75C6" w:rsidRPr="00A46B17" w:rsidRDefault="00F86D6D" w:rsidP="00D3761D">
      <w:pPr>
        <w:jc w:val="both"/>
        <w:rPr>
          <w:rFonts w:ascii="Times New Roman" w:hAnsi="Times New Roman" w:cs="Times New Roman"/>
          <w:sz w:val="22"/>
          <w:szCs w:val="22"/>
          <w:lang w:val="en-US"/>
        </w:rPr>
      </w:pPr>
      <w:r w:rsidRPr="00A46B17">
        <w:rPr>
          <w:rFonts w:ascii="Times New Roman" w:hAnsi="Times New Roman" w:cs="Times New Roman"/>
          <w:sz w:val="22"/>
          <w:szCs w:val="22"/>
          <w:lang w:val="en-US"/>
        </w:rPr>
        <w:t xml:space="preserve"> </w:t>
      </w:r>
    </w:p>
    <w:p w:rsidR="00B82628" w:rsidRPr="00A46B17" w:rsidRDefault="00CB75C6" w:rsidP="00D376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US"/>
        </w:rPr>
      </w:pPr>
      <w:r w:rsidRPr="00A46B17">
        <w:rPr>
          <w:rFonts w:ascii="Times New Roman" w:hAnsi="Times New Roman" w:cs="Times New Roman"/>
          <w:b/>
          <w:sz w:val="22"/>
          <w:szCs w:val="22"/>
          <w:lang w:val="en-US"/>
        </w:rPr>
        <w:lastRenderedPageBreak/>
        <w:t>Suggested wording</w:t>
      </w:r>
      <w:r w:rsidRPr="00A46B17">
        <w:rPr>
          <w:rFonts w:ascii="Times New Roman" w:hAnsi="Times New Roman" w:cs="Times New Roman"/>
          <w:sz w:val="22"/>
          <w:szCs w:val="22"/>
          <w:lang w:val="en-US"/>
        </w:rPr>
        <w:t xml:space="preserve">: </w:t>
      </w:r>
      <w:proofErr w:type="gramStart"/>
      <w:r w:rsidR="000027DC" w:rsidRPr="00A46B17">
        <w:rPr>
          <w:rFonts w:ascii="Times New Roman" w:hAnsi="Times New Roman" w:cs="Times New Roman"/>
          <w:sz w:val="22"/>
          <w:szCs w:val="22"/>
          <w:lang w:val="en-US"/>
        </w:rPr>
        <w:t>23.</w:t>
      </w:r>
      <w:r w:rsidR="001C451C" w:rsidRPr="00A46B17">
        <w:rPr>
          <w:rFonts w:ascii="Times New Roman" w:hAnsi="Times New Roman" w:cs="Times New Roman"/>
          <w:sz w:val="22"/>
          <w:szCs w:val="22"/>
          <w:lang w:val="en-US"/>
        </w:rPr>
        <w:t>…</w:t>
      </w:r>
      <w:proofErr w:type="gramEnd"/>
      <w:r w:rsidR="001C451C" w:rsidRPr="00A46B17">
        <w:rPr>
          <w:rFonts w:ascii="Times New Roman" w:hAnsi="Times New Roman" w:cs="Times New Roman"/>
          <w:sz w:val="22"/>
          <w:szCs w:val="22"/>
          <w:lang w:val="en-CA"/>
        </w:rPr>
        <w:t xml:space="preserve"> It also requires compliance with domestic rules that define when authorization to continue detention must be obtained from a judge or other officer,</w:t>
      </w:r>
      <w:r w:rsidR="001C451C" w:rsidRPr="00A46B17">
        <w:rPr>
          <w:rFonts w:ascii="Times New Roman" w:hAnsi="Times New Roman" w:cs="Times New Roman"/>
          <w:sz w:val="22"/>
          <w:szCs w:val="22"/>
          <w:vertAlign w:val="superscript"/>
          <w:lang w:val="en-CA"/>
        </w:rPr>
        <w:footnoteReference w:id="37"/>
      </w:r>
      <w:r w:rsidR="001C451C" w:rsidRPr="00A46B17">
        <w:rPr>
          <w:rFonts w:ascii="Times New Roman" w:hAnsi="Times New Roman" w:cs="Times New Roman"/>
          <w:sz w:val="22"/>
          <w:szCs w:val="22"/>
          <w:lang w:val="en-CA"/>
        </w:rPr>
        <w:t xml:space="preserve"> where </w:t>
      </w:r>
      <w:proofErr w:type="gramStart"/>
      <w:r w:rsidR="001C451C" w:rsidRPr="00A46B17">
        <w:rPr>
          <w:rFonts w:ascii="Times New Roman" w:hAnsi="Times New Roman" w:cs="Times New Roman"/>
          <w:strike/>
          <w:sz w:val="22"/>
          <w:szCs w:val="22"/>
          <w:lang w:val="en-CA"/>
        </w:rPr>
        <w:t>suspects</w:t>
      </w:r>
      <w:proofErr w:type="gramEnd"/>
      <w:r w:rsidR="001C451C" w:rsidRPr="00A46B17">
        <w:rPr>
          <w:rFonts w:ascii="Times New Roman" w:hAnsi="Times New Roman" w:cs="Times New Roman"/>
          <w:sz w:val="22"/>
          <w:szCs w:val="22"/>
          <w:lang w:val="en-CA"/>
        </w:rPr>
        <w:t xml:space="preserve"> </w:t>
      </w:r>
      <w:r w:rsidR="001C451C" w:rsidRPr="00A46B17">
        <w:rPr>
          <w:rFonts w:ascii="Times New Roman" w:hAnsi="Times New Roman" w:cs="Times New Roman"/>
          <w:sz w:val="22"/>
          <w:szCs w:val="22"/>
          <w:u w:val="single"/>
          <w:lang w:val="en-CA"/>
        </w:rPr>
        <w:t>individuals</w:t>
      </w:r>
      <w:r w:rsidR="001C451C" w:rsidRPr="00A46B17">
        <w:rPr>
          <w:rFonts w:ascii="Times New Roman" w:hAnsi="Times New Roman" w:cs="Times New Roman"/>
          <w:sz w:val="22"/>
          <w:szCs w:val="22"/>
          <w:lang w:val="en-CA"/>
        </w:rPr>
        <w:t xml:space="preserve"> may be detained,</w:t>
      </w:r>
      <w:r w:rsidR="001C451C" w:rsidRPr="00A46B17">
        <w:rPr>
          <w:rFonts w:ascii="Times New Roman" w:hAnsi="Times New Roman" w:cs="Times New Roman"/>
          <w:sz w:val="22"/>
          <w:szCs w:val="22"/>
          <w:vertAlign w:val="superscript"/>
          <w:lang w:val="en-CA"/>
        </w:rPr>
        <w:footnoteReference w:id="38"/>
      </w:r>
      <w:r w:rsidR="001C451C" w:rsidRPr="00A46B17">
        <w:rPr>
          <w:rFonts w:ascii="Times New Roman" w:hAnsi="Times New Roman" w:cs="Times New Roman"/>
          <w:sz w:val="22"/>
          <w:szCs w:val="22"/>
          <w:lang w:val="en-CA"/>
        </w:rPr>
        <w:t xml:space="preserve"> when the detained person must be brought to court,</w:t>
      </w:r>
      <w:r w:rsidR="001C451C" w:rsidRPr="00A46B17">
        <w:rPr>
          <w:rFonts w:ascii="Times New Roman" w:hAnsi="Times New Roman" w:cs="Times New Roman"/>
          <w:sz w:val="22"/>
          <w:szCs w:val="22"/>
          <w:vertAlign w:val="superscript"/>
          <w:lang w:val="en-CA"/>
        </w:rPr>
        <w:footnoteReference w:id="39"/>
      </w:r>
      <w:r w:rsidR="001C451C" w:rsidRPr="00A46B17">
        <w:rPr>
          <w:rFonts w:ascii="Times New Roman" w:hAnsi="Times New Roman" w:cs="Times New Roman"/>
          <w:sz w:val="22"/>
          <w:szCs w:val="22"/>
          <w:lang w:val="en-CA"/>
        </w:rPr>
        <w:t xml:space="preserve"> and legal limits on the duration of detention.</w:t>
      </w:r>
      <w:r w:rsidR="001C451C" w:rsidRPr="00A46B17">
        <w:rPr>
          <w:rFonts w:ascii="Times New Roman" w:hAnsi="Times New Roman" w:cs="Times New Roman"/>
          <w:sz w:val="22"/>
          <w:szCs w:val="22"/>
          <w:vertAlign w:val="superscript"/>
          <w:lang w:val="en-CA"/>
        </w:rPr>
        <w:footnoteReference w:id="40"/>
      </w:r>
      <w:r w:rsidR="001C451C" w:rsidRPr="00A46B17">
        <w:rPr>
          <w:rFonts w:ascii="Times New Roman" w:hAnsi="Times New Roman" w:cs="Times New Roman"/>
          <w:sz w:val="22"/>
          <w:szCs w:val="22"/>
          <w:lang w:val="en-CA"/>
        </w:rPr>
        <w:t xml:space="preserve"> </w:t>
      </w:r>
      <w:r w:rsidRPr="00A46B17">
        <w:rPr>
          <w:rFonts w:ascii="Times New Roman" w:hAnsi="Times New Roman" w:cs="Times New Roman"/>
          <w:sz w:val="22"/>
          <w:szCs w:val="22"/>
          <w:lang w:val="en-US"/>
        </w:rPr>
        <w:t>It also requires compliance with domestic rules providing important safeguards for detained persons, such as making a record of an arrest,</w:t>
      </w:r>
      <w:r w:rsidRPr="00A46B17">
        <w:rPr>
          <w:rFonts w:ascii="Times New Roman" w:hAnsi="Times New Roman" w:cs="Times New Roman"/>
          <w:sz w:val="22"/>
          <w:szCs w:val="22"/>
          <w:vertAlign w:val="superscript"/>
          <w:lang w:val="en-US"/>
        </w:rPr>
        <w:footnoteReference w:id="41"/>
      </w:r>
      <w:r w:rsidRPr="00A46B17">
        <w:rPr>
          <w:rFonts w:ascii="Times New Roman" w:hAnsi="Times New Roman" w:cs="Times New Roman"/>
          <w:sz w:val="22"/>
          <w:szCs w:val="22"/>
          <w:lang w:val="en-US"/>
        </w:rPr>
        <w:t xml:space="preserve"> </w:t>
      </w:r>
      <w:r w:rsidRPr="00A46B17">
        <w:rPr>
          <w:rFonts w:ascii="Times New Roman" w:hAnsi="Times New Roman" w:cs="Times New Roman"/>
          <w:sz w:val="22"/>
          <w:szCs w:val="22"/>
          <w:u w:val="single"/>
          <w:lang w:val="en-US"/>
        </w:rPr>
        <w:t>granting detaine</w:t>
      </w:r>
      <w:r w:rsidR="001C451C" w:rsidRPr="00A46B17">
        <w:rPr>
          <w:rFonts w:ascii="Times New Roman" w:hAnsi="Times New Roman" w:cs="Times New Roman"/>
          <w:sz w:val="22"/>
          <w:szCs w:val="22"/>
          <w:u w:val="single"/>
          <w:lang w:val="en-US"/>
        </w:rPr>
        <w:t>d persons</w:t>
      </w:r>
      <w:r w:rsidRPr="00A46B17">
        <w:rPr>
          <w:rFonts w:ascii="Times New Roman" w:hAnsi="Times New Roman" w:cs="Times New Roman"/>
          <w:sz w:val="22"/>
          <w:szCs w:val="22"/>
          <w:u w:val="single"/>
          <w:lang w:val="en-US"/>
        </w:rPr>
        <w:t xml:space="preserve"> the right to</w:t>
      </w:r>
      <w:r w:rsidR="001C451C" w:rsidRPr="00A46B17">
        <w:rPr>
          <w:rFonts w:ascii="Times New Roman" w:hAnsi="Times New Roman" w:cs="Times New Roman"/>
          <w:sz w:val="22"/>
          <w:szCs w:val="22"/>
          <w:u w:val="single"/>
          <w:lang w:val="en-US"/>
        </w:rPr>
        <w:t xml:space="preserve"> promptly</w:t>
      </w:r>
      <w:r w:rsidRPr="00A46B17">
        <w:rPr>
          <w:rFonts w:ascii="Times New Roman" w:hAnsi="Times New Roman" w:cs="Times New Roman"/>
          <w:sz w:val="22"/>
          <w:szCs w:val="22"/>
          <w:u w:val="single"/>
          <w:lang w:val="en-US"/>
        </w:rPr>
        <w:t xml:space="preserve"> </w:t>
      </w:r>
      <w:r w:rsidR="001C451C" w:rsidRPr="00A46B17">
        <w:rPr>
          <w:rFonts w:ascii="Times New Roman" w:hAnsi="Times New Roman" w:cs="Times New Roman"/>
          <w:sz w:val="22"/>
          <w:szCs w:val="22"/>
          <w:u w:val="single"/>
          <w:lang w:val="en-US"/>
        </w:rPr>
        <w:t>inform a</w:t>
      </w:r>
      <w:r w:rsidRPr="00A46B17">
        <w:rPr>
          <w:rFonts w:ascii="Times New Roman" w:hAnsi="Times New Roman" w:cs="Times New Roman"/>
          <w:sz w:val="22"/>
          <w:szCs w:val="22"/>
          <w:u w:val="single"/>
          <w:lang w:val="en-US"/>
        </w:rPr>
        <w:t xml:space="preserve"> relative</w:t>
      </w:r>
      <w:r w:rsidR="001C451C" w:rsidRPr="00A46B17">
        <w:rPr>
          <w:rFonts w:ascii="Times New Roman" w:hAnsi="Times New Roman" w:cs="Times New Roman"/>
          <w:sz w:val="22"/>
          <w:szCs w:val="22"/>
          <w:u w:val="single"/>
          <w:lang w:val="en-US"/>
        </w:rPr>
        <w:t xml:space="preserve"> or third party of their arrest</w:t>
      </w:r>
      <w:r w:rsidRPr="00A46B17">
        <w:rPr>
          <w:rFonts w:ascii="Times New Roman" w:hAnsi="Times New Roman" w:cs="Times New Roman"/>
          <w:sz w:val="22"/>
          <w:szCs w:val="22"/>
          <w:u w:val="single"/>
          <w:lang w:val="en-US"/>
        </w:rPr>
        <w:t>,</w:t>
      </w:r>
      <w:r w:rsidRPr="00A46B17">
        <w:rPr>
          <w:rStyle w:val="FootnoteReference"/>
          <w:rFonts w:cs="Times New Roman"/>
          <w:sz w:val="22"/>
          <w:szCs w:val="22"/>
          <w:u w:val="single"/>
          <w:lang w:val="en-US"/>
        </w:rPr>
        <w:footnoteReference w:id="42"/>
      </w:r>
      <w:r w:rsidRPr="00A46B17">
        <w:rPr>
          <w:rFonts w:ascii="Times New Roman" w:hAnsi="Times New Roman" w:cs="Times New Roman"/>
          <w:sz w:val="22"/>
          <w:szCs w:val="22"/>
          <w:lang w:val="en-US"/>
        </w:rPr>
        <w:t xml:space="preserve"> and permitting </w:t>
      </w:r>
      <w:r w:rsidR="001306A5" w:rsidRPr="00A46B17">
        <w:rPr>
          <w:rFonts w:ascii="Times New Roman" w:hAnsi="Times New Roman" w:cs="Times New Roman"/>
          <w:sz w:val="22"/>
          <w:szCs w:val="22"/>
          <w:u w:val="single"/>
          <w:lang w:val="en-US"/>
        </w:rPr>
        <w:t xml:space="preserve">prompt </w:t>
      </w:r>
      <w:r w:rsidRPr="00A46B17">
        <w:rPr>
          <w:rFonts w:ascii="Times New Roman" w:hAnsi="Times New Roman" w:cs="Times New Roman"/>
          <w:sz w:val="22"/>
          <w:szCs w:val="22"/>
          <w:lang w:val="en-US"/>
        </w:rPr>
        <w:t>access to counsel</w:t>
      </w:r>
      <w:r w:rsidR="001306A5" w:rsidRPr="00A46B17">
        <w:rPr>
          <w:rFonts w:ascii="Times New Roman" w:hAnsi="Times New Roman" w:cs="Times New Roman"/>
          <w:sz w:val="22"/>
          <w:szCs w:val="22"/>
          <w:lang w:val="en-US"/>
        </w:rPr>
        <w:t xml:space="preserve"> </w:t>
      </w:r>
      <w:r w:rsidR="001306A5" w:rsidRPr="00A46B17">
        <w:rPr>
          <w:rFonts w:ascii="Times New Roman" w:hAnsi="Times New Roman" w:cs="Times New Roman"/>
          <w:sz w:val="22"/>
          <w:szCs w:val="22"/>
          <w:u w:val="single"/>
          <w:lang w:val="en-US"/>
        </w:rPr>
        <w:t>and an independent doctor</w:t>
      </w:r>
      <w:r w:rsidRPr="00A46B17">
        <w:rPr>
          <w:rFonts w:ascii="Times New Roman" w:hAnsi="Times New Roman" w:cs="Times New Roman"/>
          <w:sz w:val="22"/>
          <w:szCs w:val="22"/>
          <w:lang w:val="en-US"/>
        </w:rPr>
        <w:t>.</w:t>
      </w:r>
      <w:r w:rsidRPr="00A46B17">
        <w:rPr>
          <w:rFonts w:ascii="Times New Roman" w:hAnsi="Times New Roman" w:cs="Times New Roman"/>
          <w:sz w:val="22"/>
          <w:szCs w:val="22"/>
          <w:vertAlign w:val="superscript"/>
          <w:lang w:val="en-US"/>
        </w:rPr>
        <w:footnoteReference w:id="43"/>
      </w:r>
      <w:r w:rsidR="001C451C" w:rsidRPr="00A46B17">
        <w:rPr>
          <w:rFonts w:ascii="Times New Roman" w:hAnsi="Times New Roman" w:cs="Times New Roman"/>
          <w:sz w:val="22"/>
          <w:szCs w:val="22"/>
          <w:lang w:val="en-US"/>
        </w:rPr>
        <w:t xml:space="preserve"> </w:t>
      </w:r>
      <w:r w:rsidR="00F86D6D" w:rsidRPr="00A46B17">
        <w:rPr>
          <w:rFonts w:ascii="Times New Roman" w:hAnsi="Times New Roman" w:cs="Times New Roman"/>
          <w:sz w:val="22"/>
          <w:szCs w:val="22"/>
          <w:lang w:val="en-CA"/>
        </w:rPr>
        <w:t xml:space="preserve">Violations of domestic procedural rules not related to such issues may not raise an issue under </w:t>
      </w:r>
      <w:r w:rsidR="00795AB6">
        <w:rPr>
          <w:rFonts w:ascii="Times New Roman" w:hAnsi="Times New Roman" w:cs="Times New Roman"/>
          <w:sz w:val="22"/>
          <w:szCs w:val="22"/>
          <w:lang w:val="en-CA"/>
        </w:rPr>
        <w:t>A</w:t>
      </w:r>
      <w:r w:rsidR="00F86D6D" w:rsidRPr="00A46B17">
        <w:rPr>
          <w:rFonts w:ascii="Times New Roman" w:hAnsi="Times New Roman" w:cs="Times New Roman"/>
          <w:sz w:val="22"/>
          <w:szCs w:val="22"/>
          <w:lang w:val="en-CA"/>
        </w:rPr>
        <w:t>rticle 9,</w:t>
      </w:r>
      <w:r w:rsidR="001306A5" w:rsidRPr="00A46B17">
        <w:rPr>
          <w:rFonts w:ascii="Times New Roman" w:hAnsi="Times New Roman" w:cs="Times New Roman"/>
          <w:sz w:val="22"/>
          <w:szCs w:val="22"/>
          <w:vertAlign w:val="superscript"/>
          <w:lang w:val="en-CA"/>
        </w:rPr>
        <w:footnoteReference w:id="44"/>
      </w:r>
      <w:r w:rsidR="00F86D6D" w:rsidRPr="00A46B17">
        <w:rPr>
          <w:rFonts w:ascii="Times New Roman" w:hAnsi="Times New Roman" w:cs="Times New Roman"/>
          <w:sz w:val="22"/>
          <w:szCs w:val="22"/>
          <w:lang w:val="en-CA"/>
        </w:rPr>
        <w:t xml:space="preserve"> </w:t>
      </w:r>
      <w:r w:rsidR="00F86D6D" w:rsidRPr="00A46B17">
        <w:rPr>
          <w:rFonts w:ascii="Times New Roman" w:hAnsi="Times New Roman" w:cs="Times New Roman"/>
          <w:sz w:val="22"/>
          <w:szCs w:val="22"/>
          <w:u w:val="single"/>
          <w:lang w:val="en-CA"/>
        </w:rPr>
        <w:t>although they may raise issues under other provisi</w:t>
      </w:r>
      <w:r w:rsidR="00D3761D">
        <w:rPr>
          <w:rFonts w:ascii="Times New Roman" w:hAnsi="Times New Roman" w:cs="Times New Roman"/>
          <w:sz w:val="22"/>
          <w:szCs w:val="22"/>
          <w:u w:val="single"/>
          <w:lang w:val="en-CA"/>
        </w:rPr>
        <w:t>ons of the Covenant, including A</w:t>
      </w:r>
      <w:r w:rsidR="00F86D6D" w:rsidRPr="00A46B17">
        <w:rPr>
          <w:rFonts w:ascii="Times New Roman" w:hAnsi="Times New Roman" w:cs="Times New Roman"/>
          <w:sz w:val="22"/>
          <w:szCs w:val="22"/>
          <w:u w:val="single"/>
          <w:lang w:val="en-CA"/>
        </w:rPr>
        <w:t>rticle 7</w:t>
      </w:r>
      <w:r w:rsidR="00F86D6D" w:rsidRPr="00A46B17">
        <w:rPr>
          <w:rFonts w:ascii="Times New Roman" w:hAnsi="Times New Roman" w:cs="Times New Roman"/>
          <w:sz w:val="22"/>
          <w:szCs w:val="22"/>
          <w:lang w:val="en-CA"/>
        </w:rPr>
        <w:t>.</w:t>
      </w:r>
      <w:r w:rsidR="001306A5" w:rsidRPr="00A46B17">
        <w:rPr>
          <w:rStyle w:val="FootnoteReference"/>
          <w:rFonts w:cs="Times New Roman"/>
          <w:sz w:val="22"/>
          <w:szCs w:val="22"/>
          <w:u w:val="single"/>
          <w:lang w:val="en-US"/>
        </w:rPr>
        <w:footnoteReference w:id="45"/>
      </w:r>
    </w:p>
    <w:p w:rsidR="0020224F" w:rsidRPr="00A46B17" w:rsidRDefault="0020224F" w:rsidP="00D3761D">
      <w:pPr>
        <w:jc w:val="both"/>
        <w:rPr>
          <w:rFonts w:ascii="Times New Roman" w:hAnsi="Times New Roman" w:cs="Times New Roman"/>
          <w:b/>
          <w:sz w:val="22"/>
          <w:szCs w:val="22"/>
          <w:lang w:val="en-US"/>
        </w:rPr>
      </w:pPr>
    </w:p>
    <w:p w:rsidR="00AE31C1" w:rsidRPr="00A46B17" w:rsidRDefault="00AE31C1" w:rsidP="00D3761D">
      <w:pPr>
        <w:pStyle w:val="Heading2"/>
        <w:spacing w:before="0"/>
        <w:jc w:val="both"/>
        <w:rPr>
          <w:rFonts w:ascii="Times New Roman" w:hAnsi="Times New Roman" w:cs="Times New Roman"/>
          <w:color w:val="auto"/>
          <w:sz w:val="24"/>
          <w:szCs w:val="24"/>
          <w:lang w:val="en-US"/>
        </w:rPr>
      </w:pPr>
      <w:bookmarkStart w:id="19" w:name="_Toc388377554"/>
      <w:bookmarkStart w:id="20" w:name="_Toc388961671"/>
      <w:bookmarkStart w:id="21" w:name="_Toc389236142"/>
      <w:r w:rsidRPr="00A46B17">
        <w:rPr>
          <w:rFonts w:ascii="Times New Roman" w:hAnsi="Times New Roman" w:cs="Times New Roman"/>
          <w:color w:val="auto"/>
          <w:sz w:val="24"/>
          <w:szCs w:val="24"/>
          <w:lang w:val="en-US"/>
        </w:rPr>
        <w:t>Administrative Detention</w:t>
      </w:r>
      <w:bookmarkEnd w:id="19"/>
      <w:bookmarkEnd w:id="20"/>
      <w:bookmarkEnd w:id="21"/>
    </w:p>
    <w:p w:rsidR="00C1266C" w:rsidRDefault="00C90E7E" w:rsidP="00887A4F">
      <w:pPr>
        <w:pStyle w:val="ListParagraph"/>
        <w:numPr>
          <w:ilvl w:val="0"/>
          <w:numId w:val="37"/>
        </w:numPr>
        <w:ind w:left="360"/>
        <w:jc w:val="both"/>
        <w:rPr>
          <w:sz w:val="22"/>
          <w:szCs w:val="22"/>
          <w:lang w:val="en-US"/>
        </w:rPr>
      </w:pPr>
      <w:r w:rsidRPr="00C90E7E">
        <w:rPr>
          <w:sz w:val="22"/>
          <w:szCs w:val="22"/>
          <w:lang w:val="en-US"/>
        </w:rPr>
        <w:t>While we welcome the Committee</w:t>
      </w:r>
      <w:r w:rsidR="00436ED6">
        <w:rPr>
          <w:sz w:val="22"/>
          <w:szCs w:val="22"/>
          <w:lang w:val="en-US"/>
        </w:rPr>
        <w:t>’</w:t>
      </w:r>
      <w:r w:rsidRPr="00C90E7E">
        <w:rPr>
          <w:sz w:val="22"/>
          <w:szCs w:val="22"/>
          <w:lang w:val="en-US"/>
        </w:rPr>
        <w:t xml:space="preserve">s reference to administrative detention, </w:t>
      </w:r>
      <w:r w:rsidR="00436ED6">
        <w:rPr>
          <w:sz w:val="22"/>
          <w:szCs w:val="22"/>
          <w:lang w:val="en-US"/>
        </w:rPr>
        <w:t>in our view</w:t>
      </w:r>
      <w:r w:rsidRPr="00C90E7E">
        <w:rPr>
          <w:sz w:val="22"/>
          <w:szCs w:val="22"/>
          <w:lang w:val="en-US"/>
        </w:rPr>
        <w:t xml:space="preserve"> it needs further elaboration and</w:t>
      </w:r>
      <w:r w:rsidRPr="007F4D3E">
        <w:rPr>
          <w:sz w:val="22"/>
          <w:szCs w:val="22"/>
          <w:lang w:val="en-US"/>
        </w:rPr>
        <w:t xml:space="preserve"> emphasis</w:t>
      </w:r>
      <w:r>
        <w:rPr>
          <w:sz w:val="22"/>
          <w:szCs w:val="22"/>
          <w:lang w:val="en-US"/>
        </w:rPr>
        <w:t xml:space="preserve">. </w:t>
      </w:r>
      <w:r w:rsidR="00AE31C1" w:rsidRPr="00A46B17">
        <w:rPr>
          <w:sz w:val="22"/>
          <w:szCs w:val="22"/>
          <w:lang w:val="en-US"/>
        </w:rPr>
        <w:t>To the extent that State</w:t>
      </w:r>
      <w:r w:rsidR="00436ED6">
        <w:rPr>
          <w:sz w:val="22"/>
          <w:szCs w:val="22"/>
          <w:lang w:val="en-US"/>
        </w:rPr>
        <w:t>s</w:t>
      </w:r>
      <w:r w:rsidR="00AE31C1" w:rsidRPr="00A46B17">
        <w:rPr>
          <w:sz w:val="22"/>
          <w:szCs w:val="22"/>
          <w:lang w:val="en-US"/>
        </w:rPr>
        <w:t xml:space="preserve"> parties impose administrative detention (also known as security or preventive detention or internment), not in contemplation of prosecution on a criminal charge, the Committee </w:t>
      </w:r>
      <w:r w:rsidR="000F0C3B">
        <w:rPr>
          <w:sz w:val="22"/>
          <w:szCs w:val="22"/>
          <w:lang w:val="en-US"/>
        </w:rPr>
        <w:t xml:space="preserve">has </w:t>
      </w:r>
      <w:r w:rsidR="00436ED6">
        <w:rPr>
          <w:sz w:val="22"/>
          <w:szCs w:val="22"/>
          <w:lang w:val="en-US"/>
        </w:rPr>
        <w:t xml:space="preserve">expressed its view </w:t>
      </w:r>
      <w:r w:rsidR="00AE31C1" w:rsidRPr="00A46B17">
        <w:rPr>
          <w:sz w:val="22"/>
          <w:szCs w:val="22"/>
          <w:lang w:val="en-US"/>
        </w:rPr>
        <w:t xml:space="preserve">that such detention presents </w:t>
      </w:r>
      <w:r w:rsidR="00436ED6">
        <w:rPr>
          <w:sz w:val="22"/>
          <w:szCs w:val="22"/>
          <w:lang w:val="en-US"/>
        </w:rPr>
        <w:t xml:space="preserve">a </w:t>
      </w:r>
      <w:r w:rsidR="00AE31C1" w:rsidRPr="00A46B17">
        <w:rPr>
          <w:sz w:val="22"/>
          <w:szCs w:val="22"/>
          <w:lang w:val="en-US"/>
        </w:rPr>
        <w:t>severe risk of arbitrary deprivation of liberty. Due to the lack of judicial oversight, administrative detention increases the risk of torture and ill-treatment. Further, the Committee has expressed its concern about the use of administrative detention for the control of</w:t>
      </w:r>
      <w:r w:rsidR="00A46B17" w:rsidRPr="00A46B17">
        <w:rPr>
          <w:sz w:val="22"/>
          <w:szCs w:val="22"/>
          <w:lang w:val="en-US"/>
        </w:rPr>
        <w:t xml:space="preserve"> illegal immigration</w:t>
      </w:r>
      <w:r w:rsidR="00A46B17" w:rsidRPr="00A46B17">
        <w:rPr>
          <w:rStyle w:val="FootnoteReference"/>
          <w:lang w:val="en-US"/>
        </w:rPr>
        <w:footnoteReference w:id="46"/>
      </w:r>
      <w:r w:rsidR="00AE31C1" w:rsidRPr="00A46B17">
        <w:rPr>
          <w:sz w:val="22"/>
          <w:szCs w:val="22"/>
          <w:lang w:val="en-US"/>
        </w:rPr>
        <w:t xml:space="preserve"> as well as for the </w:t>
      </w:r>
      <w:proofErr w:type="spellStart"/>
      <w:r w:rsidR="00AE31C1" w:rsidRPr="00A46B17">
        <w:rPr>
          <w:sz w:val="22"/>
          <w:szCs w:val="22"/>
          <w:lang w:val="en-US"/>
        </w:rPr>
        <w:t>st</w:t>
      </w:r>
      <w:r w:rsidR="00A46B17" w:rsidRPr="00A46B17">
        <w:rPr>
          <w:sz w:val="22"/>
          <w:szCs w:val="22"/>
          <w:lang w:val="en-US"/>
        </w:rPr>
        <w:t>igmatisation</w:t>
      </w:r>
      <w:proofErr w:type="spellEnd"/>
      <w:r w:rsidR="00A46B17" w:rsidRPr="00A46B17">
        <w:rPr>
          <w:sz w:val="22"/>
          <w:szCs w:val="22"/>
          <w:lang w:val="en-US"/>
        </w:rPr>
        <w:t xml:space="preserve"> of certain groups.</w:t>
      </w:r>
      <w:r w:rsidR="00A46B17" w:rsidRPr="00A46B17">
        <w:rPr>
          <w:rStyle w:val="FootnoteReference"/>
          <w:lang w:val="en-US"/>
        </w:rPr>
        <w:footnoteReference w:id="47"/>
      </w:r>
      <w:r w:rsidR="00AE31C1" w:rsidRPr="00A46B17">
        <w:rPr>
          <w:sz w:val="22"/>
          <w:szCs w:val="22"/>
          <w:lang w:val="en-US"/>
        </w:rPr>
        <w:t xml:space="preserve"> Hence, the Committee has called on member states to end the practice of administrative detention.</w:t>
      </w:r>
      <w:r w:rsidR="00A46B17" w:rsidRPr="00A46B17">
        <w:rPr>
          <w:rStyle w:val="FootnoteReference"/>
          <w:lang w:val="en-US"/>
        </w:rPr>
        <w:footnoteReference w:id="48"/>
      </w:r>
      <w:r w:rsidR="00AE31C1" w:rsidRPr="00A46B17">
        <w:rPr>
          <w:sz w:val="22"/>
          <w:szCs w:val="22"/>
          <w:lang w:val="en-US"/>
        </w:rPr>
        <w:t xml:space="preserve">  </w:t>
      </w:r>
    </w:p>
    <w:p w:rsidR="00C1266C" w:rsidRPr="00C1266C" w:rsidRDefault="00C1266C" w:rsidP="00720827">
      <w:pPr>
        <w:pStyle w:val="ListParagraph"/>
        <w:ind w:left="360"/>
        <w:jc w:val="both"/>
        <w:rPr>
          <w:sz w:val="22"/>
          <w:szCs w:val="22"/>
          <w:lang w:val="en-US"/>
        </w:rPr>
      </w:pPr>
    </w:p>
    <w:p w:rsidR="00AE31C1" w:rsidRPr="00434B0F" w:rsidRDefault="00AE31C1" w:rsidP="00D3761D">
      <w:pPr>
        <w:pStyle w:val="ListParagraph"/>
        <w:numPr>
          <w:ilvl w:val="0"/>
          <w:numId w:val="37"/>
        </w:numPr>
        <w:ind w:left="360"/>
        <w:jc w:val="both"/>
        <w:rPr>
          <w:sz w:val="22"/>
          <w:szCs w:val="22"/>
          <w:lang w:val="en-US"/>
        </w:rPr>
      </w:pPr>
      <w:r w:rsidRPr="00C1266C">
        <w:rPr>
          <w:sz w:val="22"/>
          <w:szCs w:val="22"/>
          <w:lang w:val="en-US"/>
        </w:rPr>
        <w:t xml:space="preserve">The Committee </w:t>
      </w:r>
      <w:r w:rsidR="00436ED6">
        <w:rPr>
          <w:sz w:val="22"/>
          <w:szCs w:val="22"/>
          <w:lang w:val="en-US"/>
        </w:rPr>
        <w:t xml:space="preserve">has </w:t>
      </w:r>
      <w:r w:rsidRPr="00C1266C">
        <w:rPr>
          <w:sz w:val="22"/>
          <w:szCs w:val="22"/>
          <w:lang w:val="en-US"/>
        </w:rPr>
        <w:t>found that any deprivation of liberty, including administrative detention, falls under Article 9 of the ICCPR and thus needs to respect the rights enshrined therein.</w:t>
      </w:r>
      <w:r w:rsidR="00A46B17" w:rsidRPr="00D3761D">
        <w:rPr>
          <w:sz w:val="22"/>
          <w:szCs w:val="22"/>
          <w:vertAlign w:val="superscript"/>
          <w:lang w:val="en-CA" w:eastAsia="en-US"/>
        </w:rPr>
        <w:footnoteReference w:id="49"/>
      </w:r>
      <w:r w:rsidRPr="00C1266C">
        <w:rPr>
          <w:sz w:val="22"/>
          <w:szCs w:val="22"/>
          <w:lang w:val="en-US"/>
        </w:rPr>
        <w:t xml:space="preserve"> These include </w:t>
      </w:r>
      <w:r w:rsidRPr="00D8726E">
        <w:rPr>
          <w:i/>
          <w:sz w:val="22"/>
          <w:szCs w:val="22"/>
          <w:lang w:val="en-US"/>
        </w:rPr>
        <w:t>inter alia</w:t>
      </w:r>
      <w:r w:rsidRPr="00C1266C">
        <w:rPr>
          <w:sz w:val="22"/>
          <w:szCs w:val="22"/>
          <w:lang w:val="en-US"/>
        </w:rPr>
        <w:t xml:space="preserve"> the right not to be arbitrarily detained, the right to be informed of the reasons for his or her arrest and of any charges against him or her, the right to access to a lawyer, and the right to have one’s detention reviewed by an independent court. According to the Committee</w:t>
      </w:r>
      <w:r w:rsidR="00436ED6">
        <w:rPr>
          <w:sz w:val="22"/>
          <w:szCs w:val="22"/>
          <w:lang w:val="en-US"/>
        </w:rPr>
        <w:t>,</w:t>
      </w:r>
      <w:r w:rsidRPr="00C1266C">
        <w:rPr>
          <w:sz w:val="22"/>
          <w:szCs w:val="22"/>
          <w:lang w:val="en-US"/>
        </w:rPr>
        <w:t xml:space="preserve"> the right to judicial review is non-</w:t>
      </w:r>
      <w:proofErr w:type="spellStart"/>
      <w:r w:rsidRPr="00C1266C">
        <w:rPr>
          <w:sz w:val="22"/>
          <w:szCs w:val="22"/>
          <w:lang w:val="en-US"/>
        </w:rPr>
        <w:t>derogable</w:t>
      </w:r>
      <w:proofErr w:type="spellEnd"/>
      <w:r w:rsidR="00A46B17" w:rsidRPr="00D3761D">
        <w:rPr>
          <w:sz w:val="22"/>
          <w:szCs w:val="22"/>
          <w:vertAlign w:val="superscript"/>
          <w:lang w:val="en-CA" w:eastAsia="en-US"/>
        </w:rPr>
        <w:footnoteReference w:id="50"/>
      </w:r>
      <w:r w:rsidRPr="00C1266C">
        <w:rPr>
          <w:sz w:val="22"/>
          <w:szCs w:val="22"/>
          <w:lang w:val="en-US"/>
        </w:rPr>
        <w:t xml:space="preserve"> and thus also applicable </w:t>
      </w:r>
      <w:r w:rsidR="00510E11" w:rsidRPr="00C1266C">
        <w:rPr>
          <w:sz w:val="22"/>
          <w:szCs w:val="22"/>
          <w:lang w:val="en-US"/>
        </w:rPr>
        <w:t xml:space="preserve">during </w:t>
      </w:r>
      <w:r w:rsidR="00436ED6">
        <w:rPr>
          <w:sz w:val="22"/>
          <w:szCs w:val="22"/>
          <w:lang w:val="en-US"/>
        </w:rPr>
        <w:t xml:space="preserve">times of </w:t>
      </w:r>
      <w:r w:rsidRPr="00C1266C">
        <w:rPr>
          <w:sz w:val="22"/>
          <w:szCs w:val="22"/>
          <w:lang w:val="en-US"/>
        </w:rPr>
        <w:t>armed conflict.</w:t>
      </w:r>
      <w:r w:rsidR="00434B0F" w:rsidRPr="00C1266C">
        <w:rPr>
          <w:sz w:val="22"/>
          <w:szCs w:val="22"/>
          <w:lang w:val="en-US"/>
        </w:rPr>
        <w:t xml:space="preserve"> </w:t>
      </w:r>
      <w:r w:rsidR="00436ED6">
        <w:rPr>
          <w:sz w:val="22"/>
          <w:szCs w:val="22"/>
          <w:lang w:val="en-US"/>
        </w:rPr>
        <w:t>Furthermore the C</w:t>
      </w:r>
      <w:r w:rsidR="00434B0F" w:rsidRPr="00C1266C">
        <w:rPr>
          <w:sz w:val="22"/>
          <w:szCs w:val="22"/>
          <w:lang w:val="en-US"/>
        </w:rPr>
        <w:t xml:space="preserve">ommittee </w:t>
      </w:r>
      <w:r w:rsidR="00436ED6">
        <w:rPr>
          <w:sz w:val="22"/>
          <w:szCs w:val="22"/>
          <w:lang w:val="en-US"/>
        </w:rPr>
        <w:t xml:space="preserve">has expressed its view that other </w:t>
      </w:r>
      <w:r w:rsidR="00434B0F" w:rsidRPr="00C1266C">
        <w:rPr>
          <w:sz w:val="22"/>
          <w:szCs w:val="22"/>
          <w:lang w:val="en-US"/>
        </w:rPr>
        <w:t>provisions of the Covenant that are no</w:t>
      </w:r>
      <w:r w:rsidR="00436ED6">
        <w:rPr>
          <w:sz w:val="22"/>
          <w:szCs w:val="22"/>
          <w:lang w:val="en-US"/>
        </w:rPr>
        <w:t xml:space="preserve">t listed in </w:t>
      </w:r>
      <w:r w:rsidR="00D3761D">
        <w:rPr>
          <w:sz w:val="22"/>
          <w:szCs w:val="22"/>
          <w:lang w:val="en-US"/>
        </w:rPr>
        <w:t>A</w:t>
      </w:r>
      <w:r w:rsidR="00436ED6">
        <w:rPr>
          <w:sz w:val="22"/>
          <w:szCs w:val="22"/>
          <w:lang w:val="en-US"/>
        </w:rPr>
        <w:t>rticle 4(</w:t>
      </w:r>
      <w:r w:rsidR="00434B0F" w:rsidRPr="00C1266C">
        <w:rPr>
          <w:sz w:val="22"/>
          <w:szCs w:val="22"/>
          <w:lang w:val="en-US"/>
        </w:rPr>
        <w:t>2</w:t>
      </w:r>
      <w:proofErr w:type="gramStart"/>
      <w:r w:rsidR="00436ED6">
        <w:rPr>
          <w:sz w:val="22"/>
          <w:szCs w:val="22"/>
          <w:lang w:val="en-US"/>
        </w:rPr>
        <w:t>)</w:t>
      </w:r>
      <w:r w:rsidR="00434B0F" w:rsidRPr="00C1266C">
        <w:rPr>
          <w:sz w:val="22"/>
          <w:szCs w:val="22"/>
          <w:lang w:val="en-US"/>
        </w:rPr>
        <w:t>,</w:t>
      </w:r>
      <w:proofErr w:type="gramEnd"/>
      <w:r w:rsidR="00434B0F" w:rsidRPr="00C1266C">
        <w:rPr>
          <w:sz w:val="22"/>
          <w:szCs w:val="22"/>
          <w:lang w:val="en-US"/>
        </w:rPr>
        <w:t xml:space="preserve"> </w:t>
      </w:r>
      <w:r w:rsidR="00436ED6">
        <w:rPr>
          <w:sz w:val="22"/>
          <w:szCs w:val="22"/>
          <w:lang w:val="en-US"/>
        </w:rPr>
        <w:t xml:space="preserve">contain </w:t>
      </w:r>
      <w:r w:rsidR="00434B0F" w:rsidRPr="00C1266C">
        <w:rPr>
          <w:sz w:val="22"/>
          <w:szCs w:val="22"/>
          <w:lang w:val="en-US"/>
        </w:rPr>
        <w:t xml:space="preserve">elements that cannot be made subject to lawful derogation. In particular </w:t>
      </w:r>
      <w:r w:rsidR="00436ED6">
        <w:rPr>
          <w:sz w:val="22"/>
          <w:szCs w:val="22"/>
          <w:lang w:val="en-US"/>
        </w:rPr>
        <w:t xml:space="preserve">the right of </w:t>
      </w:r>
      <w:r w:rsidR="00434B0F" w:rsidRPr="00C1266C">
        <w:rPr>
          <w:sz w:val="22"/>
          <w:szCs w:val="22"/>
          <w:lang w:val="en-US"/>
        </w:rPr>
        <w:t xml:space="preserve">all persons deprived of their liberty </w:t>
      </w:r>
      <w:r w:rsidR="00436ED6">
        <w:rPr>
          <w:sz w:val="22"/>
          <w:szCs w:val="22"/>
          <w:lang w:val="en-US"/>
        </w:rPr>
        <w:t>to</w:t>
      </w:r>
      <w:r w:rsidR="00434B0F" w:rsidRPr="00C1266C">
        <w:rPr>
          <w:sz w:val="22"/>
          <w:szCs w:val="22"/>
          <w:lang w:val="en-US"/>
        </w:rPr>
        <w:t xml:space="preserve"> be treated with humanity and with respect for the inherent dignity of the human person, and the prohibitions against abductions or unacknowledged detention are not subject to derogation. The absolute nature of these prohibitions, even in times of emergency, is justified by their status as norms of general international law.</w:t>
      </w:r>
      <w:r w:rsidR="00434B0F" w:rsidRPr="00C1266C">
        <w:rPr>
          <w:rStyle w:val="FootnoteReference"/>
          <w:lang w:val="en-US"/>
        </w:rPr>
        <w:footnoteReference w:id="51"/>
      </w:r>
      <w:r w:rsidR="00212BCC">
        <w:rPr>
          <w:sz w:val="22"/>
          <w:szCs w:val="22"/>
          <w:lang w:val="en-US"/>
        </w:rPr>
        <w:t xml:space="preserve"> </w:t>
      </w:r>
      <w:r w:rsidRPr="00434B0F">
        <w:rPr>
          <w:sz w:val="22"/>
          <w:szCs w:val="22"/>
          <w:lang w:val="en-US"/>
        </w:rPr>
        <w:t xml:space="preserve">Other elements of Article 9 are </w:t>
      </w:r>
      <w:proofErr w:type="spellStart"/>
      <w:r w:rsidRPr="00434B0F">
        <w:rPr>
          <w:sz w:val="22"/>
          <w:szCs w:val="22"/>
          <w:lang w:val="en-US"/>
        </w:rPr>
        <w:t>derogable</w:t>
      </w:r>
      <w:proofErr w:type="spellEnd"/>
      <w:r w:rsidRPr="00434B0F">
        <w:rPr>
          <w:sz w:val="22"/>
          <w:szCs w:val="22"/>
          <w:lang w:val="en-US"/>
        </w:rPr>
        <w:t xml:space="preserve"> but underlie the requirements of Article 4 of the ICCPR. This means that the obligations in Article 9 can only be derogated if the State </w:t>
      </w:r>
      <w:r w:rsidR="002E4915" w:rsidRPr="00434B0F">
        <w:rPr>
          <w:sz w:val="22"/>
          <w:szCs w:val="22"/>
          <w:lang w:val="en-US"/>
        </w:rPr>
        <w:t xml:space="preserve">officially </w:t>
      </w:r>
      <w:r w:rsidRPr="00434B0F">
        <w:rPr>
          <w:sz w:val="22"/>
          <w:szCs w:val="22"/>
          <w:lang w:val="en-US"/>
        </w:rPr>
        <w:t>pro</w:t>
      </w:r>
      <w:r w:rsidR="00D8726E">
        <w:rPr>
          <w:sz w:val="22"/>
          <w:szCs w:val="22"/>
          <w:lang w:val="en-US"/>
        </w:rPr>
        <w:t>claim</w:t>
      </w:r>
      <w:r w:rsidR="002E4915" w:rsidRPr="00434B0F">
        <w:rPr>
          <w:sz w:val="22"/>
          <w:szCs w:val="22"/>
          <w:lang w:val="en-US"/>
        </w:rPr>
        <w:t>s</w:t>
      </w:r>
      <w:r w:rsidRPr="00434B0F">
        <w:rPr>
          <w:sz w:val="22"/>
          <w:szCs w:val="22"/>
          <w:lang w:val="en-US"/>
        </w:rPr>
        <w:t xml:space="preserve"> a public emergency and if </w:t>
      </w:r>
      <w:r w:rsidRPr="00434B0F">
        <w:rPr>
          <w:sz w:val="22"/>
          <w:szCs w:val="22"/>
          <w:lang w:val="en-US"/>
        </w:rPr>
        <w:lastRenderedPageBreak/>
        <w:t>there is a threat to the life of the nation.</w:t>
      </w:r>
      <w:r w:rsidR="00A46B17" w:rsidRPr="00A46B17">
        <w:rPr>
          <w:rStyle w:val="FootnoteReference"/>
          <w:sz w:val="24"/>
          <w:lang w:val="en-US"/>
        </w:rPr>
        <w:footnoteReference w:id="52"/>
      </w:r>
      <w:r w:rsidR="00A46B17" w:rsidRPr="00434B0F">
        <w:rPr>
          <w:sz w:val="22"/>
          <w:szCs w:val="22"/>
          <w:lang w:val="en-US"/>
        </w:rPr>
        <w:t xml:space="preserve"> </w:t>
      </w:r>
      <w:r w:rsidRPr="00434B0F">
        <w:rPr>
          <w:sz w:val="22"/>
          <w:szCs w:val="22"/>
          <w:lang w:val="en-US"/>
        </w:rPr>
        <w:t>Typically, these elements are present in an armed conflict in which additional rules and safeguards regulated in international humanitarian law apply.</w:t>
      </w:r>
      <w:r w:rsidR="00434B0F" w:rsidRPr="00434B0F">
        <w:rPr>
          <w:sz w:val="22"/>
          <w:szCs w:val="22"/>
          <w:lang w:val="en-US"/>
        </w:rPr>
        <w:t xml:space="preserve"> Derogating measures must also be proportionate to t</w:t>
      </w:r>
      <w:r w:rsidR="00D8726E">
        <w:rPr>
          <w:sz w:val="22"/>
          <w:szCs w:val="22"/>
          <w:lang w:val="en-US"/>
        </w:rPr>
        <w:t xml:space="preserve">he exigencies of the situation—in </w:t>
      </w:r>
      <w:r w:rsidR="00436ED6">
        <w:rPr>
          <w:sz w:val="22"/>
          <w:szCs w:val="22"/>
          <w:lang w:val="en-US"/>
        </w:rPr>
        <w:t>practice, this serves to</w:t>
      </w:r>
      <w:r w:rsidR="00434B0F" w:rsidRPr="00434B0F">
        <w:rPr>
          <w:sz w:val="22"/>
          <w:szCs w:val="22"/>
          <w:lang w:val="en-US"/>
        </w:rPr>
        <w:t xml:space="preserve"> ensure that no provision of the</w:t>
      </w:r>
      <w:r w:rsidR="00434B0F">
        <w:rPr>
          <w:sz w:val="22"/>
          <w:szCs w:val="22"/>
          <w:lang w:val="en-US"/>
        </w:rPr>
        <w:t xml:space="preserve"> </w:t>
      </w:r>
      <w:r w:rsidR="00434B0F" w:rsidRPr="00434B0F">
        <w:rPr>
          <w:sz w:val="22"/>
          <w:szCs w:val="22"/>
          <w:lang w:val="en-US"/>
        </w:rPr>
        <w:t>Covenant, however validly derogated from</w:t>
      </w:r>
      <w:r w:rsidR="00436ED6">
        <w:rPr>
          <w:sz w:val="22"/>
          <w:szCs w:val="22"/>
          <w:lang w:val="en-US"/>
        </w:rPr>
        <w:t>,</w:t>
      </w:r>
      <w:r w:rsidR="00434B0F" w:rsidRPr="00434B0F">
        <w:rPr>
          <w:sz w:val="22"/>
          <w:szCs w:val="22"/>
          <w:lang w:val="en-US"/>
        </w:rPr>
        <w:t xml:space="preserve"> will be entirely inapplicable.</w:t>
      </w:r>
      <w:r w:rsidR="00434B0F">
        <w:rPr>
          <w:rStyle w:val="FootnoteReference"/>
          <w:szCs w:val="22"/>
          <w:lang w:val="en-US"/>
        </w:rPr>
        <w:footnoteReference w:id="53"/>
      </w:r>
      <w:r w:rsidRPr="00434B0F">
        <w:rPr>
          <w:sz w:val="22"/>
          <w:szCs w:val="22"/>
          <w:lang w:val="en-US"/>
        </w:rPr>
        <w:t xml:space="preserve"> It is important to note that the </w:t>
      </w:r>
      <w:r w:rsidR="00434B0F" w:rsidRPr="00D3761D">
        <w:rPr>
          <w:sz w:val="22"/>
          <w:szCs w:val="22"/>
          <w:lang w:val="en-GB"/>
        </w:rPr>
        <w:t xml:space="preserve">the existence of a conflict and the applicability of international humanitarian law is not per se sufficient or a valid criterion to render lawful a deprivation of liberty considered arbitrary outside the context of an </w:t>
      </w:r>
      <w:r w:rsidR="00D3761D">
        <w:rPr>
          <w:sz w:val="22"/>
          <w:szCs w:val="22"/>
          <w:lang w:val="en-GB"/>
        </w:rPr>
        <w:t>A</w:t>
      </w:r>
      <w:r w:rsidR="00434B0F" w:rsidRPr="00D3761D">
        <w:rPr>
          <w:sz w:val="22"/>
          <w:szCs w:val="22"/>
          <w:lang w:val="en-GB"/>
        </w:rPr>
        <w:t>rticle 4 situation.</w:t>
      </w:r>
      <w:r w:rsidR="00DF31BF" w:rsidRPr="00434B0F">
        <w:rPr>
          <w:sz w:val="22"/>
          <w:szCs w:val="22"/>
          <w:lang w:val="en-US"/>
        </w:rPr>
        <w:t xml:space="preserve">  </w:t>
      </w:r>
    </w:p>
    <w:p w:rsidR="00AE31C1" w:rsidRPr="00434B0F" w:rsidRDefault="00AE31C1" w:rsidP="00D3761D">
      <w:pPr>
        <w:jc w:val="both"/>
        <w:rPr>
          <w:rFonts w:ascii="Times New Roman" w:hAnsi="Times New Roman"/>
          <w:b/>
          <w:sz w:val="22"/>
          <w:lang w:val="en-US"/>
        </w:rPr>
      </w:pPr>
    </w:p>
    <w:p w:rsidR="00A508C7" w:rsidRPr="00A46B17" w:rsidRDefault="00A508C7" w:rsidP="00D3761D">
      <w:pPr>
        <w:pStyle w:val="Heading2"/>
        <w:spacing w:before="0"/>
        <w:jc w:val="both"/>
        <w:rPr>
          <w:rFonts w:ascii="Times New Roman" w:hAnsi="Times New Roman" w:cs="Times New Roman"/>
          <w:color w:val="auto"/>
          <w:sz w:val="24"/>
          <w:szCs w:val="24"/>
          <w:lang w:val="en-US"/>
        </w:rPr>
      </w:pPr>
      <w:bookmarkStart w:id="22" w:name="_Toc388377555"/>
      <w:bookmarkStart w:id="23" w:name="_Toc388961672"/>
      <w:bookmarkStart w:id="24" w:name="_Toc389236143"/>
      <w:r w:rsidRPr="00A46B17">
        <w:rPr>
          <w:rFonts w:ascii="Times New Roman" w:hAnsi="Times New Roman" w:cs="Times New Roman"/>
          <w:color w:val="auto"/>
          <w:sz w:val="24"/>
          <w:szCs w:val="24"/>
          <w:lang w:val="en-US"/>
        </w:rPr>
        <w:t>Enforced Disappearance</w:t>
      </w:r>
      <w:bookmarkEnd w:id="22"/>
      <w:bookmarkEnd w:id="23"/>
      <w:bookmarkEnd w:id="24"/>
    </w:p>
    <w:p w:rsidR="00A508C7" w:rsidRPr="00A46B17" w:rsidRDefault="00A508C7" w:rsidP="00887A4F">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As mentioned already in the draft General Comment </w:t>
      </w:r>
      <w:r w:rsidR="00316381">
        <w:rPr>
          <w:rFonts w:ascii="Times New Roman" w:hAnsi="Times New Roman" w:cs="Times New Roman"/>
          <w:lang w:val="en-US"/>
        </w:rPr>
        <w:t xml:space="preserve">No. </w:t>
      </w:r>
      <w:r w:rsidRPr="00A46B17">
        <w:rPr>
          <w:rFonts w:ascii="Times New Roman" w:hAnsi="Times New Roman" w:cs="Times New Roman"/>
          <w:lang w:val="en-US"/>
        </w:rPr>
        <w:t>35, enforced disappearance is a particularly serious form of arbitrary detention.</w:t>
      </w:r>
      <w:r w:rsidRPr="00A46B17">
        <w:rPr>
          <w:rStyle w:val="FootnoteReference"/>
          <w:rFonts w:cs="Times New Roman"/>
          <w:sz w:val="22"/>
          <w:lang w:val="en-US"/>
        </w:rPr>
        <w:footnoteReference w:id="54"/>
      </w:r>
      <w:r w:rsidRPr="00A46B17">
        <w:rPr>
          <w:rFonts w:ascii="Times New Roman" w:hAnsi="Times New Roman" w:cs="Times New Roman"/>
          <w:lang w:val="en-US"/>
        </w:rPr>
        <w:t xml:space="preserve"> Internat</w:t>
      </w:r>
      <w:r w:rsidR="000F0C3B">
        <w:rPr>
          <w:rFonts w:ascii="Times New Roman" w:hAnsi="Times New Roman" w:cs="Times New Roman"/>
          <w:lang w:val="en-US"/>
        </w:rPr>
        <w:t xml:space="preserve">ional jurisprudence has </w:t>
      </w:r>
      <w:proofErr w:type="spellStart"/>
      <w:r w:rsidR="000F0C3B">
        <w:rPr>
          <w:rFonts w:ascii="Times New Roman" w:hAnsi="Times New Roman" w:cs="Times New Roman"/>
          <w:lang w:val="en-US"/>
        </w:rPr>
        <w:t>recognis</w:t>
      </w:r>
      <w:r w:rsidRPr="00A46B17">
        <w:rPr>
          <w:rFonts w:ascii="Times New Roman" w:hAnsi="Times New Roman" w:cs="Times New Roman"/>
          <w:lang w:val="en-US"/>
        </w:rPr>
        <w:t>ed</w:t>
      </w:r>
      <w:proofErr w:type="spellEnd"/>
      <w:r w:rsidRPr="00A46B17">
        <w:rPr>
          <w:rFonts w:ascii="Times New Roman" w:hAnsi="Times New Roman" w:cs="Times New Roman"/>
          <w:lang w:val="en-US"/>
        </w:rPr>
        <w:t xml:space="preserve"> that enforced disappearance constitutes, in and of itself, a form of torture for the disappeared person as well as ill-treatment, and in some cases torture, for his or her family.</w:t>
      </w:r>
      <w:r w:rsidRPr="00A46B17">
        <w:rPr>
          <w:rStyle w:val="FootnoteReference"/>
          <w:rFonts w:cs="Times New Roman"/>
          <w:sz w:val="22"/>
          <w:lang w:val="en-US"/>
        </w:rPr>
        <w:footnoteReference w:id="55"/>
      </w:r>
      <w:r w:rsidRPr="00A46B17">
        <w:rPr>
          <w:rFonts w:ascii="Times New Roman" w:hAnsi="Times New Roman" w:cs="Times New Roman"/>
          <w:lang w:val="en-US"/>
        </w:rPr>
        <w:t xml:space="preserve"> The Hum</w:t>
      </w:r>
      <w:r w:rsidR="000F0C3B">
        <w:rPr>
          <w:rFonts w:ascii="Times New Roman" w:hAnsi="Times New Roman" w:cs="Times New Roman"/>
          <w:lang w:val="en-US"/>
        </w:rPr>
        <w:t xml:space="preserve">an Rights Committee has </w:t>
      </w:r>
      <w:proofErr w:type="spellStart"/>
      <w:r w:rsidR="000F0C3B">
        <w:rPr>
          <w:rFonts w:ascii="Times New Roman" w:hAnsi="Times New Roman" w:cs="Times New Roman"/>
          <w:lang w:val="en-US"/>
        </w:rPr>
        <w:t>recognis</w:t>
      </w:r>
      <w:r w:rsidRPr="00A46B17">
        <w:rPr>
          <w:rFonts w:ascii="Times New Roman" w:hAnsi="Times New Roman" w:cs="Times New Roman"/>
          <w:lang w:val="en-US"/>
        </w:rPr>
        <w:t>ed</w:t>
      </w:r>
      <w:proofErr w:type="spellEnd"/>
      <w:r w:rsidRPr="00A46B17">
        <w:rPr>
          <w:rFonts w:ascii="Times New Roman" w:hAnsi="Times New Roman" w:cs="Times New Roman"/>
          <w:lang w:val="en-US"/>
        </w:rPr>
        <w:t xml:space="preserve"> enforced disappearance as a violation of many rights enshrined in the Covenant, including the right to liberty and security of the person under </w:t>
      </w:r>
      <w:r w:rsidR="00795AB6">
        <w:rPr>
          <w:rFonts w:ascii="Times New Roman" w:hAnsi="Times New Roman" w:cs="Times New Roman"/>
          <w:lang w:val="en-US"/>
        </w:rPr>
        <w:t>A</w:t>
      </w:r>
      <w:r w:rsidRPr="00A46B17">
        <w:rPr>
          <w:rFonts w:ascii="Times New Roman" w:hAnsi="Times New Roman" w:cs="Times New Roman"/>
          <w:lang w:val="en-US"/>
        </w:rPr>
        <w:t>rticle 9 and the right not to</w:t>
      </w:r>
      <w:r w:rsidR="00D3761D">
        <w:rPr>
          <w:rFonts w:ascii="Times New Roman" w:hAnsi="Times New Roman" w:cs="Times New Roman"/>
          <w:lang w:val="en-US"/>
        </w:rPr>
        <w:t xml:space="preserve"> be subjected to torture under A</w:t>
      </w:r>
      <w:r w:rsidRPr="00A46B17">
        <w:rPr>
          <w:rFonts w:ascii="Times New Roman" w:hAnsi="Times New Roman" w:cs="Times New Roman"/>
          <w:lang w:val="en-US"/>
        </w:rPr>
        <w:t>rticle 7, and has specified that the v</w:t>
      </w:r>
      <w:r w:rsidR="00D3761D">
        <w:rPr>
          <w:rFonts w:ascii="Times New Roman" w:hAnsi="Times New Roman" w:cs="Times New Roman"/>
          <w:lang w:val="en-US"/>
        </w:rPr>
        <w:t>iolation of A</w:t>
      </w:r>
      <w:r w:rsidRPr="00A46B17">
        <w:rPr>
          <w:rFonts w:ascii="Times New Roman" w:hAnsi="Times New Roman" w:cs="Times New Roman"/>
          <w:lang w:val="en-US"/>
        </w:rPr>
        <w:t>rticle 7 is in relation to the disappeared person as well as his or her family members.</w:t>
      </w:r>
      <w:r w:rsidRPr="00A46B17">
        <w:rPr>
          <w:rStyle w:val="FootnoteReference"/>
          <w:rFonts w:cs="Times New Roman"/>
          <w:sz w:val="22"/>
          <w:lang w:val="en-US"/>
        </w:rPr>
        <w:footnoteReference w:id="56"/>
      </w:r>
      <w:r w:rsidRPr="00A46B17">
        <w:rPr>
          <w:rFonts w:ascii="Times New Roman" w:hAnsi="Times New Roman" w:cs="Times New Roman"/>
          <w:lang w:val="en-US"/>
        </w:rPr>
        <w:t xml:space="preserve"> </w:t>
      </w:r>
    </w:p>
    <w:p w:rsidR="00D76D85" w:rsidRPr="00A46B17" w:rsidRDefault="00D76D85" w:rsidP="00D3761D">
      <w:pPr>
        <w:pStyle w:val="PlainText"/>
        <w:jc w:val="both"/>
        <w:rPr>
          <w:rFonts w:ascii="Times New Roman" w:hAnsi="Times New Roman" w:cs="Times New Roman"/>
          <w:lang w:val="en-US"/>
        </w:rPr>
      </w:pPr>
    </w:p>
    <w:p w:rsidR="00A508C7" w:rsidRPr="00A46B17" w:rsidRDefault="00A508C7" w:rsidP="00D3761D">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Given the aggravated nature of enforced disappearance as a form of arbitrary detention and a form of torture and cruel, inhumane or degrading treatment, our </w:t>
      </w:r>
      <w:proofErr w:type="spellStart"/>
      <w:r w:rsidRPr="00A46B17">
        <w:rPr>
          <w:rFonts w:ascii="Times New Roman" w:hAnsi="Times New Roman" w:cs="Times New Roman"/>
          <w:lang w:val="en-US"/>
        </w:rPr>
        <w:t>organisations</w:t>
      </w:r>
      <w:proofErr w:type="spellEnd"/>
      <w:r w:rsidRPr="00A46B17">
        <w:rPr>
          <w:rFonts w:ascii="Times New Roman" w:hAnsi="Times New Roman" w:cs="Times New Roman"/>
          <w:lang w:val="en-US"/>
        </w:rPr>
        <w:t xml:space="preserve"> respectfully submit that this issue needs further elaboration and emphasis in the General Comment on </w:t>
      </w:r>
      <w:r w:rsidR="00795AB6">
        <w:rPr>
          <w:rFonts w:ascii="Times New Roman" w:hAnsi="Times New Roman" w:cs="Times New Roman"/>
          <w:lang w:val="en-US"/>
        </w:rPr>
        <w:t>A</w:t>
      </w:r>
      <w:r w:rsidRPr="00A46B17">
        <w:rPr>
          <w:rFonts w:ascii="Times New Roman" w:hAnsi="Times New Roman" w:cs="Times New Roman"/>
          <w:lang w:val="en-US"/>
        </w:rPr>
        <w:t xml:space="preserve">rticle 9. In particular, </w:t>
      </w:r>
      <w:r w:rsidR="00436ED6">
        <w:rPr>
          <w:rFonts w:ascii="Times New Roman" w:hAnsi="Times New Roman" w:cs="Times New Roman"/>
          <w:lang w:val="en-US"/>
        </w:rPr>
        <w:t xml:space="preserve">we suggest that </w:t>
      </w:r>
      <w:r w:rsidRPr="00A46B17">
        <w:rPr>
          <w:rFonts w:ascii="Times New Roman" w:hAnsi="Times New Roman" w:cs="Times New Roman"/>
          <w:lang w:val="en-US"/>
        </w:rPr>
        <w:t xml:space="preserve">the sentence on enforced disappearance in </w:t>
      </w:r>
      <w:r w:rsidRPr="00C15AC6">
        <w:rPr>
          <w:rFonts w:ascii="Times New Roman" w:hAnsi="Times New Roman" w:cs="Times New Roman"/>
          <w:b/>
          <w:lang w:val="en-US"/>
        </w:rPr>
        <w:t xml:space="preserve">paragraph 17 </w:t>
      </w:r>
      <w:r w:rsidRPr="00A46B17">
        <w:rPr>
          <w:rFonts w:ascii="Times New Roman" w:hAnsi="Times New Roman" w:cs="Times New Roman"/>
          <w:lang w:val="en-US"/>
        </w:rPr>
        <w:t>should be highlighted in a separate</w:t>
      </w:r>
      <w:r w:rsidR="00436ED6">
        <w:rPr>
          <w:rFonts w:ascii="Times New Roman" w:hAnsi="Times New Roman" w:cs="Times New Roman"/>
          <w:lang w:val="en-US"/>
        </w:rPr>
        <w:t xml:space="preserve"> detailed standalone</w:t>
      </w:r>
      <w:r w:rsidRPr="00A46B17">
        <w:rPr>
          <w:rFonts w:ascii="Times New Roman" w:hAnsi="Times New Roman" w:cs="Times New Roman"/>
          <w:lang w:val="en-US"/>
        </w:rPr>
        <w:t xml:space="preserve"> paragraph recalling the prohibition of enforced disappearances </w:t>
      </w:r>
      <w:r w:rsidR="00FA0F18">
        <w:rPr>
          <w:rFonts w:ascii="Times New Roman" w:hAnsi="Times New Roman" w:cs="Times New Roman"/>
          <w:lang w:val="en-US"/>
        </w:rPr>
        <w:t xml:space="preserve">and the obligation to </w:t>
      </w:r>
      <w:proofErr w:type="spellStart"/>
      <w:r w:rsidR="00FA0F18">
        <w:rPr>
          <w:rFonts w:ascii="Times New Roman" w:hAnsi="Times New Roman" w:cs="Times New Roman"/>
          <w:lang w:val="en-US"/>
        </w:rPr>
        <w:t>criminalis</w:t>
      </w:r>
      <w:r w:rsidRPr="00A46B17">
        <w:rPr>
          <w:rFonts w:ascii="Times New Roman" w:hAnsi="Times New Roman" w:cs="Times New Roman"/>
          <w:lang w:val="en-US"/>
        </w:rPr>
        <w:t>e</w:t>
      </w:r>
      <w:proofErr w:type="spellEnd"/>
      <w:r w:rsidRPr="00A46B17">
        <w:rPr>
          <w:rFonts w:ascii="Times New Roman" w:hAnsi="Times New Roman" w:cs="Times New Roman"/>
          <w:lang w:val="en-US"/>
        </w:rPr>
        <w:t xml:space="preserve"> and punish this crime.  </w:t>
      </w:r>
    </w:p>
    <w:p w:rsidR="00A508C7" w:rsidRPr="00A46B17" w:rsidRDefault="00A508C7" w:rsidP="00D3761D">
      <w:pPr>
        <w:pStyle w:val="PlainText"/>
        <w:jc w:val="both"/>
        <w:rPr>
          <w:rFonts w:ascii="Times New Roman" w:hAnsi="Times New Roman" w:cs="Times New Roman"/>
          <w:lang w:val="en-US"/>
        </w:rPr>
      </w:pPr>
    </w:p>
    <w:p w:rsidR="00A508C7" w:rsidRPr="00A46B17" w:rsidRDefault="000027DC" w:rsidP="00D3761D">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u w:val="single"/>
          <w:lang w:val="en-US"/>
        </w:rPr>
      </w:pPr>
      <w:r w:rsidRPr="00A46B17">
        <w:rPr>
          <w:rFonts w:ascii="Times New Roman" w:hAnsi="Times New Roman" w:cs="Times New Roman"/>
          <w:b/>
          <w:lang w:val="en-US"/>
        </w:rPr>
        <w:t>Suggested l</w:t>
      </w:r>
      <w:r w:rsidR="00A508C7" w:rsidRPr="00A46B17">
        <w:rPr>
          <w:rFonts w:ascii="Times New Roman" w:hAnsi="Times New Roman" w:cs="Times New Roman"/>
          <w:b/>
          <w:lang w:val="en-US"/>
        </w:rPr>
        <w:t>anguage:</w:t>
      </w:r>
      <w:r w:rsidRPr="00A46B17">
        <w:rPr>
          <w:rFonts w:ascii="Times New Roman" w:hAnsi="Times New Roman" w:cs="Times New Roman"/>
          <w:b/>
          <w:lang w:val="en-US"/>
        </w:rPr>
        <w:t xml:space="preserve"> </w:t>
      </w:r>
      <w:r w:rsidRPr="00A46B17">
        <w:rPr>
          <w:rFonts w:ascii="Times New Roman" w:hAnsi="Times New Roman" w:cs="Times New Roman"/>
          <w:lang w:val="en-US"/>
        </w:rPr>
        <w:t xml:space="preserve">New paragraph: </w:t>
      </w:r>
      <w:r w:rsidR="00A508C7" w:rsidRPr="00A46B17">
        <w:rPr>
          <w:rFonts w:ascii="Times New Roman" w:hAnsi="Times New Roman" w:cs="Times New Roman"/>
          <w:u w:val="single"/>
          <w:lang w:val="en-US"/>
        </w:rPr>
        <w:t xml:space="preserve">Enforced disappearance constitutes a particularly aggravated form of arbitrary detention under </w:t>
      </w:r>
      <w:r w:rsidR="00795AB6">
        <w:rPr>
          <w:rFonts w:ascii="Times New Roman" w:hAnsi="Times New Roman" w:cs="Times New Roman"/>
          <w:u w:val="single"/>
          <w:lang w:val="en-US"/>
        </w:rPr>
        <w:t>A</w:t>
      </w:r>
      <w:r w:rsidR="00A508C7" w:rsidRPr="00A46B17">
        <w:rPr>
          <w:rFonts w:ascii="Times New Roman" w:hAnsi="Times New Roman" w:cs="Times New Roman"/>
          <w:u w:val="single"/>
          <w:lang w:val="en-US"/>
        </w:rPr>
        <w:t>rticle 9 of the Covenant. Enforced disappearance also violates other substantive and procedural provisi</w:t>
      </w:r>
      <w:r w:rsidR="00D3761D">
        <w:rPr>
          <w:rFonts w:ascii="Times New Roman" w:hAnsi="Times New Roman" w:cs="Times New Roman"/>
          <w:u w:val="single"/>
          <w:lang w:val="en-US"/>
        </w:rPr>
        <w:t>ons of the Covenant, including A</w:t>
      </w:r>
      <w:r w:rsidR="00A508C7" w:rsidRPr="00A46B17">
        <w:rPr>
          <w:rFonts w:ascii="Times New Roman" w:hAnsi="Times New Roman" w:cs="Times New Roman"/>
          <w:u w:val="single"/>
          <w:lang w:val="en-US"/>
        </w:rPr>
        <w:t>rticles, 2, 7, 10, 14, 26 and often 6.</w:t>
      </w:r>
      <w:r w:rsidR="00A508C7" w:rsidRPr="00A46B17">
        <w:rPr>
          <w:rStyle w:val="FootnoteReference"/>
          <w:rFonts w:cs="Times New Roman"/>
          <w:sz w:val="22"/>
          <w:u w:val="single"/>
          <w:lang w:val="en-US"/>
        </w:rPr>
        <w:footnoteReference w:id="57"/>
      </w:r>
      <w:r w:rsidR="00A508C7" w:rsidRPr="00A46B17">
        <w:rPr>
          <w:rFonts w:ascii="Times New Roman" w:hAnsi="Times New Roman" w:cs="Times New Roman"/>
          <w:u w:val="single"/>
          <w:lang w:val="en-US"/>
        </w:rPr>
        <w:t xml:space="preserve"> The suffering caused to a victim by an enforced disappearance as a result of the continuous unacknowledged detention and deprivation of all contact with the outside w</w:t>
      </w:r>
      <w:r w:rsidR="00D3761D">
        <w:rPr>
          <w:rFonts w:ascii="Times New Roman" w:hAnsi="Times New Roman" w:cs="Times New Roman"/>
          <w:u w:val="single"/>
          <w:lang w:val="en-US"/>
        </w:rPr>
        <w:t>orld amounts to a violation of A</w:t>
      </w:r>
      <w:r w:rsidR="00A508C7" w:rsidRPr="00A46B17">
        <w:rPr>
          <w:rFonts w:ascii="Times New Roman" w:hAnsi="Times New Roman" w:cs="Times New Roman"/>
          <w:u w:val="single"/>
          <w:lang w:val="en-US"/>
        </w:rPr>
        <w:t>rticle 7, and the anguish and distress caused to the family of a victim of enforced disappearance may</w:t>
      </w:r>
      <w:r w:rsidR="00D3761D">
        <w:rPr>
          <w:rFonts w:ascii="Times New Roman" w:hAnsi="Times New Roman" w:cs="Times New Roman"/>
          <w:u w:val="single"/>
          <w:lang w:val="en-US"/>
        </w:rPr>
        <w:t xml:space="preserve"> also amount to a violation of A</w:t>
      </w:r>
      <w:r w:rsidR="00A508C7" w:rsidRPr="00A46B17">
        <w:rPr>
          <w:rFonts w:ascii="Times New Roman" w:hAnsi="Times New Roman" w:cs="Times New Roman"/>
          <w:u w:val="single"/>
          <w:lang w:val="en-US"/>
        </w:rPr>
        <w:t>rticle 7.</w:t>
      </w:r>
      <w:r w:rsidR="00A508C7" w:rsidRPr="00A46B17">
        <w:rPr>
          <w:rStyle w:val="FootnoteReference"/>
          <w:rFonts w:cs="Times New Roman"/>
          <w:sz w:val="22"/>
          <w:u w:val="single"/>
          <w:lang w:val="en-US"/>
        </w:rPr>
        <w:footnoteReference w:id="58"/>
      </w:r>
      <w:r w:rsidR="00A508C7" w:rsidRPr="00A46B17">
        <w:rPr>
          <w:rFonts w:ascii="Times New Roman" w:hAnsi="Times New Roman" w:cs="Times New Roman"/>
          <w:u w:val="single"/>
          <w:lang w:val="en-US"/>
        </w:rPr>
        <w:t xml:space="preserve"> As stated in General Comment 31, States parties are </w:t>
      </w:r>
      <w:r w:rsidR="00A508C7" w:rsidRPr="00A46B17">
        <w:rPr>
          <w:rFonts w:ascii="Times New Roman" w:hAnsi="Times New Roman" w:cs="Times New Roman"/>
          <w:u w:val="single"/>
          <w:lang w:val="en-US"/>
        </w:rPr>
        <w:lastRenderedPageBreak/>
        <w:t>u</w:t>
      </w:r>
      <w:r w:rsidR="00FA0F18">
        <w:rPr>
          <w:rFonts w:ascii="Times New Roman" w:hAnsi="Times New Roman" w:cs="Times New Roman"/>
          <w:u w:val="single"/>
          <w:lang w:val="en-US"/>
        </w:rPr>
        <w:t xml:space="preserve">nder an obligation to </w:t>
      </w:r>
      <w:proofErr w:type="spellStart"/>
      <w:r w:rsidR="00FA0F18">
        <w:rPr>
          <w:rFonts w:ascii="Times New Roman" w:hAnsi="Times New Roman" w:cs="Times New Roman"/>
          <w:u w:val="single"/>
          <w:lang w:val="en-US"/>
        </w:rPr>
        <w:t>criminalis</w:t>
      </w:r>
      <w:r w:rsidR="00A508C7" w:rsidRPr="00A46B17">
        <w:rPr>
          <w:rFonts w:ascii="Times New Roman" w:hAnsi="Times New Roman" w:cs="Times New Roman"/>
          <w:u w:val="single"/>
          <w:lang w:val="en-US"/>
        </w:rPr>
        <w:t>e</w:t>
      </w:r>
      <w:proofErr w:type="spellEnd"/>
      <w:r w:rsidR="00A508C7" w:rsidRPr="00A46B17">
        <w:rPr>
          <w:rFonts w:ascii="Times New Roman" w:hAnsi="Times New Roman" w:cs="Times New Roman"/>
          <w:u w:val="single"/>
          <w:lang w:val="en-US"/>
        </w:rPr>
        <w:t xml:space="preserve"> enforced disappearance and to prosecute and punish perpetrators.</w:t>
      </w:r>
    </w:p>
    <w:p w:rsidR="00A508C7" w:rsidRDefault="00A508C7" w:rsidP="00D3761D">
      <w:pPr>
        <w:jc w:val="both"/>
        <w:rPr>
          <w:rFonts w:ascii="Times New Roman" w:hAnsi="Times New Roman" w:cs="Times New Roman"/>
          <w:b/>
          <w:i/>
          <w:sz w:val="22"/>
          <w:szCs w:val="22"/>
          <w:lang w:val="en-US"/>
        </w:rPr>
      </w:pPr>
    </w:p>
    <w:p w:rsidR="001B6EF3" w:rsidRPr="00A46B17" w:rsidRDefault="001B6EF3" w:rsidP="00D3761D">
      <w:pPr>
        <w:pStyle w:val="Heading2"/>
        <w:spacing w:before="0"/>
        <w:jc w:val="both"/>
        <w:rPr>
          <w:rFonts w:ascii="Times New Roman" w:hAnsi="Times New Roman" w:cs="Times New Roman"/>
          <w:color w:val="auto"/>
          <w:sz w:val="24"/>
          <w:szCs w:val="24"/>
          <w:lang w:val="en-US"/>
        </w:rPr>
      </w:pPr>
      <w:bookmarkStart w:id="25" w:name="_Toc388377567"/>
      <w:bookmarkStart w:id="26" w:name="_Toc388961673"/>
      <w:bookmarkStart w:id="27" w:name="_Toc389236144"/>
      <w:r w:rsidRPr="00A46B17">
        <w:rPr>
          <w:rFonts w:ascii="Times New Roman" w:hAnsi="Times New Roman" w:cs="Times New Roman"/>
          <w:color w:val="auto"/>
          <w:sz w:val="24"/>
          <w:szCs w:val="24"/>
          <w:lang w:val="en-US"/>
        </w:rPr>
        <w:t>Vulnerable Persons</w:t>
      </w:r>
      <w:bookmarkEnd w:id="25"/>
      <w:bookmarkEnd w:id="26"/>
      <w:bookmarkEnd w:id="27"/>
    </w:p>
    <w:p w:rsidR="001B6EF3" w:rsidRPr="00A46B17" w:rsidRDefault="001B6EF3" w:rsidP="00887A4F">
      <w:pPr>
        <w:pStyle w:val="ListParagraph"/>
        <w:numPr>
          <w:ilvl w:val="0"/>
          <w:numId w:val="37"/>
        </w:numPr>
        <w:ind w:left="360"/>
        <w:jc w:val="both"/>
        <w:rPr>
          <w:sz w:val="22"/>
          <w:szCs w:val="22"/>
          <w:lang w:val="en-US"/>
        </w:rPr>
      </w:pPr>
      <w:r w:rsidRPr="00A46B17">
        <w:rPr>
          <w:sz w:val="22"/>
          <w:szCs w:val="22"/>
          <w:lang w:val="en-US"/>
        </w:rPr>
        <w:t xml:space="preserve">We welcome the sections of the General Comment dealing specifically with the deprivation of liberty of persons with mental disabilities as well as migrants, refugees and asylum-seekers. However, our </w:t>
      </w:r>
      <w:proofErr w:type="spellStart"/>
      <w:r w:rsidRPr="00A46B17">
        <w:rPr>
          <w:sz w:val="22"/>
          <w:szCs w:val="22"/>
          <w:lang w:val="en-US"/>
        </w:rPr>
        <w:t>organisations</w:t>
      </w:r>
      <w:proofErr w:type="spellEnd"/>
      <w:r w:rsidRPr="00A46B17">
        <w:rPr>
          <w:sz w:val="22"/>
          <w:szCs w:val="22"/>
          <w:lang w:val="en-US"/>
        </w:rPr>
        <w:t xml:space="preserve"> are of the view that </w:t>
      </w:r>
      <w:r w:rsidR="002D4244">
        <w:rPr>
          <w:sz w:val="22"/>
          <w:szCs w:val="22"/>
          <w:lang w:val="en-US"/>
        </w:rPr>
        <w:t xml:space="preserve">the </w:t>
      </w:r>
      <w:r w:rsidRPr="00A46B17">
        <w:rPr>
          <w:sz w:val="22"/>
          <w:szCs w:val="22"/>
          <w:lang w:val="en-US"/>
        </w:rPr>
        <w:t xml:space="preserve">draft would be significantly strengthened by including greater emphasis on the position of vulnerable persons (children, migrants and refugees, women, among others) more generally, in particular in terms of decision to detain and conditions of detention. Paragraphs </w:t>
      </w:r>
      <w:r w:rsidR="00720827">
        <w:rPr>
          <w:sz w:val="22"/>
          <w:szCs w:val="22"/>
          <w:lang w:val="en-US"/>
        </w:rPr>
        <w:t>74-78</w:t>
      </w:r>
      <w:r>
        <w:rPr>
          <w:sz w:val="22"/>
          <w:szCs w:val="22"/>
          <w:lang w:val="en-US"/>
        </w:rPr>
        <w:t xml:space="preserve"> below address</w:t>
      </w:r>
      <w:r w:rsidRPr="00A46B17">
        <w:rPr>
          <w:sz w:val="22"/>
          <w:szCs w:val="22"/>
          <w:lang w:val="en-US"/>
        </w:rPr>
        <w:t xml:space="preserve"> the question of the decision to detain members of certain vulnerable groups in more detail. </w:t>
      </w:r>
    </w:p>
    <w:p w:rsidR="001B6EF3" w:rsidRPr="00A46B17" w:rsidRDefault="001B6EF3" w:rsidP="00D3761D">
      <w:pPr>
        <w:pStyle w:val="ListParagraph"/>
        <w:ind w:left="0"/>
        <w:jc w:val="both"/>
        <w:rPr>
          <w:sz w:val="22"/>
          <w:szCs w:val="22"/>
          <w:lang w:val="en-US"/>
        </w:rPr>
      </w:pPr>
    </w:p>
    <w:p w:rsidR="001B6EF3" w:rsidRPr="00A46B17" w:rsidRDefault="001B6EF3" w:rsidP="00D3761D">
      <w:pPr>
        <w:pStyle w:val="ListParagraph"/>
        <w:numPr>
          <w:ilvl w:val="0"/>
          <w:numId w:val="37"/>
        </w:numPr>
        <w:ind w:left="360"/>
        <w:jc w:val="both"/>
        <w:rPr>
          <w:sz w:val="22"/>
          <w:szCs w:val="22"/>
          <w:lang w:val="en-US"/>
        </w:rPr>
      </w:pPr>
      <w:r w:rsidRPr="00A46B17">
        <w:rPr>
          <w:sz w:val="22"/>
          <w:szCs w:val="22"/>
          <w:lang w:val="en-US"/>
        </w:rPr>
        <w:t>I</w:t>
      </w:r>
      <w:r w:rsidR="00436ED6">
        <w:rPr>
          <w:sz w:val="22"/>
          <w:szCs w:val="22"/>
          <w:lang w:val="en-US"/>
        </w:rPr>
        <w:t xml:space="preserve">n the context of migrants, </w:t>
      </w:r>
      <w:r w:rsidRPr="00A46B17">
        <w:rPr>
          <w:sz w:val="22"/>
          <w:szCs w:val="22"/>
          <w:lang w:val="en-US"/>
        </w:rPr>
        <w:t>the Special Rapporteur on the Human Rights of Migrants has called on States to ensure that in cases where vulnerable individuals are deprived of their liberty, “this should only be on the certification of a qualified medical practitioner that detention will not adversely affect their health and well-being”</w:t>
      </w:r>
      <w:r w:rsidR="00436ED6">
        <w:rPr>
          <w:sz w:val="22"/>
          <w:szCs w:val="22"/>
          <w:lang w:val="en-US"/>
        </w:rPr>
        <w:t>, so as to</w:t>
      </w:r>
      <w:r w:rsidR="00436ED6" w:rsidRPr="00A46B17">
        <w:rPr>
          <w:sz w:val="22"/>
          <w:szCs w:val="22"/>
          <w:lang w:val="en-US"/>
        </w:rPr>
        <w:t xml:space="preserve"> mitigate the undue risks that vulnerabl</w:t>
      </w:r>
      <w:r w:rsidR="00436ED6">
        <w:rPr>
          <w:sz w:val="22"/>
          <w:szCs w:val="22"/>
          <w:lang w:val="en-US"/>
        </w:rPr>
        <w:t>e persons in detention may face.</w:t>
      </w:r>
      <w:r w:rsidR="00436ED6">
        <w:rPr>
          <w:rStyle w:val="FootnoteReference"/>
          <w:szCs w:val="22"/>
          <w:lang w:val="en-US"/>
        </w:rPr>
        <w:footnoteReference w:id="59"/>
      </w:r>
      <w:r w:rsidRPr="00A46B17">
        <w:rPr>
          <w:sz w:val="22"/>
          <w:szCs w:val="22"/>
          <w:lang w:val="en-US"/>
        </w:rPr>
        <w:t xml:space="preserve"> The Special Rapporteur has also called for regular follow up of such persons in detention by skilled personnel, as well as access to adequate health services, medication and counselling.</w:t>
      </w:r>
      <w:r w:rsidR="00436ED6">
        <w:rPr>
          <w:rStyle w:val="FootnoteReference"/>
          <w:szCs w:val="22"/>
          <w:lang w:val="en-US"/>
        </w:rPr>
        <w:footnoteReference w:id="60"/>
      </w:r>
      <w:r w:rsidRPr="00A46B17">
        <w:rPr>
          <w:sz w:val="22"/>
          <w:szCs w:val="22"/>
          <w:lang w:val="en-US"/>
        </w:rPr>
        <w:t xml:space="preserve"> Our </w:t>
      </w:r>
      <w:proofErr w:type="spellStart"/>
      <w:r w:rsidRPr="00A46B17">
        <w:rPr>
          <w:sz w:val="22"/>
          <w:szCs w:val="22"/>
          <w:lang w:val="en-US"/>
        </w:rPr>
        <w:t>organisations</w:t>
      </w:r>
      <w:proofErr w:type="spellEnd"/>
      <w:r w:rsidRPr="00A46B17">
        <w:rPr>
          <w:sz w:val="22"/>
          <w:szCs w:val="22"/>
          <w:lang w:val="en-US"/>
        </w:rPr>
        <w:t xml:space="preserve"> are of the view that it would be highly important for the General Comment to include reference to this important safeguard to ensure that the rights of vulnerable persons are not breached as a result of their deprivation of liberty. </w:t>
      </w:r>
    </w:p>
    <w:p w:rsidR="001B6EF3" w:rsidRPr="00A46B17" w:rsidRDefault="001B6EF3" w:rsidP="00D3761D">
      <w:pPr>
        <w:pStyle w:val="ListParagraph"/>
        <w:ind w:left="0"/>
        <w:jc w:val="both"/>
        <w:rPr>
          <w:sz w:val="22"/>
          <w:szCs w:val="22"/>
          <w:lang w:val="en-US"/>
        </w:rPr>
      </w:pPr>
    </w:p>
    <w:p w:rsidR="001B6EF3" w:rsidRPr="00A46B17" w:rsidRDefault="001B6EF3" w:rsidP="00D3761D">
      <w:pPr>
        <w:pStyle w:val="ListParagraph"/>
        <w:numPr>
          <w:ilvl w:val="0"/>
          <w:numId w:val="37"/>
        </w:numPr>
        <w:ind w:left="360"/>
        <w:jc w:val="both"/>
        <w:rPr>
          <w:sz w:val="22"/>
          <w:szCs w:val="22"/>
          <w:lang w:val="en-US"/>
        </w:rPr>
      </w:pPr>
      <w:r w:rsidRPr="00A46B17">
        <w:rPr>
          <w:sz w:val="22"/>
          <w:szCs w:val="22"/>
          <w:lang w:val="en-US"/>
        </w:rPr>
        <w:t>In addition, there are a number of soft-law instruments which have been adopted by the UN addressing the rights of individuals from specific groups who are deprived of their liberty. We suggest that these should be referenced and recognized in General Comment</w:t>
      </w:r>
      <w:r w:rsidR="00316381">
        <w:rPr>
          <w:sz w:val="22"/>
          <w:szCs w:val="22"/>
          <w:lang w:val="en-US"/>
        </w:rPr>
        <w:t xml:space="preserve"> No.</w:t>
      </w:r>
      <w:r w:rsidRPr="00A46B17">
        <w:rPr>
          <w:sz w:val="22"/>
          <w:szCs w:val="22"/>
          <w:lang w:val="en-US"/>
        </w:rPr>
        <w:t xml:space="preserve"> 35, in particular, the UN Rules for the Treatment of Women Prisoners and Non-Custodial Measures for Women Offenders (the Bangkok Rules)</w:t>
      </w:r>
      <w:r w:rsidR="00436ED6">
        <w:rPr>
          <w:rStyle w:val="FootnoteReference"/>
          <w:szCs w:val="22"/>
          <w:lang w:val="en-US"/>
        </w:rPr>
        <w:footnoteReference w:id="61"/>
      </w:r>
      <w:r w:rsidR="00436ED6">
        <w:rPr>
          <w:sz w:val="22"/>
          <w:szCs w:val="22"/>
          <w:lang w:val="en-US"/>
        </w:rPr>
        <w:t xml:space="preserve">, </w:t>
      </w:r>
      <w:r w:rsidRPr="00A46B17">
        <w:rPr>
          <w:sz w:val="22"/>
          <w:szCs w:val="22"/>
          <w:lang w:val="en-US"/>
        </w:rPr>
        <w:t>the Standard Minimum Rules for the Treatment of Prisoners</w:t>
      </w:r>
      <w:r w:rsidR="00436ED6">
        <w:rPr>
          <w:rStyle w:val="FootnoteReference"/>
          <w:szCs w:val="22"/>
          <w:lang w:val="en-US"/>
        </w:rPr>
        <w:footnoteReference w:id="62"/>
      </w:r>
      <w:r w:rsidRPr="00A46B17">
        <w:rPr>
          <w:sz w:val="22"/>
          <w:szCs w:val="22"/>
          <w:lang w:val="en-US"/>
        </w:rPr>
        <w:t>, and the Body of Principles for the Protection of All Persons under Any Form of Detention or Imprisonment Regarding the Situation of Immigrants and Asylum Seekers.</w:t>
      </w:r>
    </w:p>
    <w:p w:rsidR="001B6EF3" w:rsidRPr="00A46B17" w:rsidRDefault="001B6EF3" w:rsidP="00D3761D">
      <w:pPr>
        <w:jc w:val="both"/>
        <w:rPr>
          <w:rFonts w:ascii="Times New Roman" w:hAnsi="Times New Roman" w:cs="Times New Roman"/>
          <w:sz w:val="22"/>
          <w:szCs w:val="22"/>
        </w:rPr>
      </w:pPr>
    </w:p>
    <w:p w:rsidR="001B6EF3" w:rsidRPr="00A46B17" w:rsidRDefault="001B6EF3" w:rsidP="00720827">
      <w:pPr>
        <w:jc w:val="both"/>
        <w:rPr>
          <w:rFonts w:ascii="Times New Roman" w:hAnsi="Times New Roman" w:cs="Times New Roman"/>
          <w:i/>
          <w:sz w:val="22"/>
          <w:szCs w:val="22"/>
        </w:rPr>
      </w:pPr>
      <w:r w:rsidRPr="00A46B17">
        <w:rPr>
          <w:rFonts w:ascii="Times New Roman" w:hAnsi="Times New Roman" w:cs="Times New Roman"/>
          <w:i/>
          <w:sz w:val="22"/>
          <w:szCs w:val="22"/>
        </w:rPr>
        <w:t>Specific Proposals</w:t>
      </w:r>
    </w:p>
    <w:p w:rsidR="001B6EF3" w:rsidRPr="00A46B17" w:rsidRDefault="001B6EF3" w:rsidP="00720827">
      <w:pPr>
        <w:pStyle w:val="ListParagraph"/>
        <w:numPr>
          <w:ilvl w:val="0"/>
          <w:numId w:val="37"/>
        </w:numPr>
        <w:ind w:left="360"/>
        <w:jc w:val="both"/>
        <w:rPr>
          <w:sz w:val="22"/>
          <w:szCs w:val="22"/>
          <w:lang w:val="en-US"/>
        </w:rPr>
      </w:pPr>
      <w:r w:rsidRPr="00A46B17">
        <w:rPr>
          <w:sz w:val="22"/>
          <w:szCs w:val="22"/>
          <w:lang w:val="en-US"/>
        </w:rPr>
        <w:t>Without prejudice to other groups of vulnerable people, we would like to make some proposals with regard to the sections of the General Comment which address deprivation of liberty of children.</w:t>
      </w:r>
    </w:p>
    <w:p w:rsidR="001B6EF3" w:rsidRPr="00A46B17" w:rsidRDefault="001B6EF3" w:rsidP="00720827">
      <w:pPr>
        <w:jc w:val="both"/>
        <w:rPr>
          <w:rFonts w:ascii="Times New Roman" w:hAnsi="Times New Roman" w:cs="Times New Roman"/>
          <w:sz w:val="22"/>
          <w:szCs w:val="22"/>
          <w:lang w:val="en-US"/>
        </w:rPr>
      </w:pPr>
    </w:p>
    <w:p w:rsidR="001B6EF3" w:rsidRPr="00A46B17" w:rsidRDefault="000F0C3B" w:rsidP="00720827">
      <w:pPr>
        <w:pStyle w:val="ListParagraph"/>
        <w:numPr>
          <w:ilvl w:val="0"/>
          <w:numId w:val="37"/>
        </w:numPr>
        <w:ind w:left="360"/>
        <w:jc w:val="both"/>
        <w:rPr>
          <w:sz w:val="22"/>
          <w:szCs w:val="22"/>
          <w:lang w:val="en-US"/>
        </w:rPr>
      </w:pPr>
      <w:r>
        <w:rPr>
          <w:sz w:val="22"/>
          <w:szCs w:val="22"/>
          <w:lang w:val="en-US"/>
        </w:rPr>
        <w:t>D</w:t>
      </w:r>
      <w:r w:rsidR="001B6EF3" w:rsidRPr="00A46B17">
        <w:rPr>
          <w:sz w:val="22"/>
          <w:szCs w:val="22"/>
          <w:lang w:val="en-US"/>
        </w:rPr>
        <w:t xml:space="preserve">raft General Comment </w:t>
      </w:r>
      <w:r w:rsidR="00316381">
        <w:rPr>
          <w:sz w:val="22"/>
          <w:szCs w:val="22"/>
          <w:lang w:val="en-US"/>
        </w:rPr>
        <w:t xml:space="preserve">No. </w:t>
      </w:r>
      <w:r w:rsidR="001B6EF3" w:rsidRPr="00A46B17">
        <w:rPr>
          <w:sz w:val="22"/>
          <w:szCs w:val="22"/>
          <w:lang w:val="en-US"/>
        </w:rPr>
        <w:t xml:space="preserve">35 refers to deprivation of liberty for children as a measure of last resort in paragraph 18, which appears to refer only to detention of children in the context of immigration. However, a number of UN instruments and bodies have clearly stated that deprivation of liberty for </w:t>
      </w:r>
      <w:r w:rsidR="00436ED6">
        <w:rPr>
          <w:sz w:val="22"/>
          <w:szCs w:val="22"/>
          <w:lang w:val="en-US"/>
        </w:rPr>
        <w:t xml:space="preserve">all </w:t>
      </w:r>
      <w:r w:rsidR="001B6EF3" w:rsidRPr="00A46B17">
        <w:rPr>
          <w:sz w:val="22"/>
          <w:szCs w:val="22"/>
          <w:lang w:val="en-US"/>
        </w:rPr>
        <w:t>children should be a measure of last resort and for the shortest appropriate time.</w:t>
      </w:r>
      <w:r w:rsidR="001B6EF3" w:rsidRPr="00A46B17">
        <w:rPr>
          <w:rStyle w:val="FootnoteReference"/>
          <w:szCs w:val="22"/>
          <w:lang w:val="en-US"/>
        </w:rPr>
        <w:footnoteReference w:id="63"/>
      </w:r>
      <w:r w:rsidR="001B6EF3" w:rsidRPr="00A46B17">
        <w:rPr>
          <w:sz w:val="22"/>
          <w:szCs w:val="22"/>
          <w:lang w:val="en-US"/>
        </w:rPr>
        <w:t xml:space="preserve"> We therefore suggest that in order to clarify that the for </w:t>
      </w:r>
      <w:r w:rsidR="001B6EF3" w:rsidRPr="00A46B17">
        <w:rPr>
          <w:i/>
          <w:sz w:val="22"/>
          <w:szCs w:val="22"/>
          <w:lang w:val="en-US"/>
        </w:rPr>
        <w:t xml:space="preserve">all </w:t>
      </w:r>
      <w:r w:rsidR="001B6EF3" w:rsidRPr="00A46B17">
        <w:rPr>
          <w:sz w:val="22"/>
          <w:szCs w:val="22"/>
          <w:lang w:val="en-US"/>
        </w:rPr>
        <w:t xml:space="preserve">children, deprivation of liberty should be a measure of last resort, that this sentence </w:t>
      </w:r>
      <w:r w:rsidR="001B6EF3" w:rsidRPr="00A46B17">
        <w:rPr>
          <w:sz w:val="22"/>
          <w:szCs w:val="22"/>
          <w:lang w:val="en-US"/>
        </w:rPr>
        <w:lastRenderedPageBreak/>
        <w:t xml:space="preserve">should be moved to a separate paragraph relating to the specific measures that must be taken in the context of deprivation of liberty of vulnerable persons. </w:t>
      </w:r>
    </w:p>
    <w:p w:rsidR="001B6EF3" w:rsidRPr="00C15AC6" w:rsidRDefault="001B6EF3" w:rsidP="00720827">
      <w:pPr>
        <w:pStyle w:val="ListParagraph"/>
        <w:ind w:left="360"/>
        <w:jc w:val="both"/>
        <w:rPr>
          <w:b/>
          <w:sz w:val="22"/>
          <w:szCs w:val="22"/>
          <w:lang w:val="en-US"/>
        </w:rPr>
      </w:pPr>
    </w:p>
    <w:p w:rsidR="001B6EF3" w:rsidRPr="00C15AC6" w:rsidRDefault="001B6EF3" w:rsidP="00D3761D">
      <w:pPr>
        <w:pStyle w:val="ListParagraph"/>
        <w:numPr>
          <w:ilvl w:val="0"/>
          <w:numId w:val="37"/>
        </w:numPr>
        <w:ind w:left="360"/>
        <w:jc w:val="both"/>
        <w:rPr>
          <w:b/>
          <w:sz w:val="22"/>
          <w:szCs w:val="22"/>
          <w:lang w:val="en-US"/>
        </w:rPr>
      </w:pPr>
      <w:r w:rsidRPr="00C15AC6">
        <w:rPr>
          <w:sz w:val="22"/>
          <w:szCs w:val="22"/>
          <w:lang w:val="en-US"/>
        </w:rPr>
        <w:t>In addition, in paragraph 18, for the sentence beginning with “Decisions regarding the detention of adult migrants…</w:t>
      </w:r>
      <w:proofErr w:type="gramStart"/>
      <w:r w:rsidRPr="00C15AC6">
        <w:rPr>
          <w:sz w:val="22"/>
          <w:szCs w:val="22"/>
          <w:lang w:val="en-US"/>
        </w:rPr>
        <w:t>”,</w:t>
      </w:r>
      <w:proofErr w:type="gramEnd"/>
      <w:r w:rsidRPr="00C15AC6">
        <w:rPr>
          <w:sz w:val="22"/>
          <w:szCs w:val="22"/>
          <w:lang w:val="en-US"/>
        </w:rPr>
        <w:t xml:space="preserve"> we suggest that the reference to ‘adult’ is omitted as this issue can concern children too. In addition the wording could be strengthened - we propose primarily to strengthen it by including specific reference to victims of torture or ill treatment (or as an alternative, more general wording e.g. “in compliance with other human rights instruments”).</w:t>
      </w:r>
    </w:p>
    <w:p w:rsidR="001B6EF3" w:rsidRDefault="001B6EF3" w:rsidP="00D3761D">
      <w:pPr>
        <w:jc w:val="both"/>
        <w:rPr>
          <w:rFonts w:ascii="Times New Roman" w:hAnsi="Times New Roman" w:cs="Times New Roman"/>
          <w:b/>
          <w:i/>
          <w:sz w:val="22"/>
          <w:szCs w:val="22"/>
          <w:lang w:val="en-US"/>
        </w:rPr>
      </w:pPr>
    </w:p>
    <w:p w:rsidR="00436ED6" w:rsidRDefault="00436ED6" w:rsidP="00D376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CA"/>
        </w:rPr>
      </w:pPr>
      <w:r>
        <w:rPr>
          <w:rFonts w:ascii="Times New Roman" w:hAnsi="Times New Roman" w:cs="Times New Roman"/>
          <w:b/>
          <w:sz w:val="22"/>
          <w:szCs w:val="22"/>
          <w:lang w:val="en-US"/>
        </w:rPr>
        <w:t>Suggested wording:</w:t>
      </w:r>
      <w:r w:rsidRPr="00436ED6">
        <w:rPr>
          <w:rFonts w:ascii="Times New Roman" w:hAnsi="Times New Roman" w:cs="Times New Roman"/>
          <w:b/>
          <w:sz w:val="22"/>
          <w:szCs w:val="22"/>
          <w:lang w:val="en-US"/>
        </w:rPr>
        <w:t xml:space="preserve"> </w:t>
      </w:r>
      <w:r w:rsidRPr="00436ED6">
        <w:rPr>
          <w:rFonts w:ascii="Times New Roman" w:hAnsi="Times New Roman" w:cs="Times New Roman"/>
          <w:sz w:val="22"/>
          <w:szCs w:val="22"/>
          <w:lang w:val="en-CA"/>
        </w:rPr>
        <w:t>18</w:t>
      </w:r>
      <w:r>
        <w:rPr>
          <w:rFonts w:ascii="Times New Roman" w:hAnsi="Times New Roman" w:cs="Times New Roman"/>
          <w:sz w:val="22"/>
          <w:szCs w:val="22"/>
          <w:lang w:val="en-CA"/>
        </w:rPr>
        <w:t xml:space="preserve">…. </w:t>
      </w:r>
      <w:r w:rsidRPr="00D3761D">
        <w:rPr>
          <w:rFonts w:ascii="Times New Roman" w:hAnsi="Times New Roman" w:cs="Times New Roman"/>
          <w:sz w:val="22"/>
          <w:szCs w:val="22"/>
          <w:lang w:val="en-CA"/>
        </w:rPr>
        <w:t xml:space="preserve">Decisions regarding the detention of </w:t>
      </w:r>
      <w:r w:rsidRPr="00D3761D">
        <w:rPr>
          <w:rFonts w:ascii="Times New Roman" w:hAnsi="Times New Roman" w:cs="Times New Roman"/>
          <w:strike/>
          <w:sz w:val="22"/>
          <w:szCs w:val="22"/>
          <w:lang w:val="en-CA"/>
        </w:rPr>
        <w:t>adult</w:t>
      </w:r>
      <w:r w:rsidRPr="00D3761D">
        <w:rPr>
          <w:rFonts w:ascii="Times New Roman" w:hAnsi="Times New Roman" w:cs="Times New Roman"/>
          <w:sz w:val="22"/>
          <w:szCs w:val="22"/>
          <w:lang w:val="en-CA"/>
        </w:rPr>
        <w:t xml:space="preserve"> migrants must also take into account the effect of the detention on their mental health</w:t>
      </w:r>
      <w:r w:rsidRPr="00436ED6">
        <w:rPr>
          <w:rFonts w:ascii="Times New Roman" w:hAnsi="Times New Roman" w:cs="Times New Roman"/>
          <w:sz w:val="22"/>
          <w:szCs w:val="22"/>
          <w:lang w:val="en-CA"/>
        </w:rPr>
        <w:t xml:space="preserve">, </w:t>
      </w:r>
      <w:r w:rsidRPr="00D3761D">
        <w:rPr>
          <w:rFonts w:ascii="Times New Roman" w:hAnsi="Times New Roman" w:cs="Times New Roman"/>
          <w:sz w:val="22"/>
          <w:szCs w:val="22"/>
          <w:u w:val="single"/>
          <w:lang w:val="en-US"/>
        </w:rPr>
        <w:t>in compliance with other human rights instruments</w:t>
      </w:r>
      <w:r w:rsidRPr="00D3761D">
        <w:rPr>
          <w:rFonts w:ascii="Times New Roman" w:hAnsi="Times New Roman" w:cs="Times New Roman"/>
          <w:sz w:val="22"/>
          <w:szCs w:val="22"/>
          <w:u w:val="single"/>
          <w:lang w:val="en-CA"/>
        </w:rPr>
        <w:t>.</w:t>
      </w:r>
      <w:r w:rsidRPr="00D3761D">
        <w:rPr>
          <w:rFonts w:ascii="Times New Roman" w:hAnsi="Times New Roman" w:cs="Times New Roman"/>
          <w:sz w:val="22"/>
          <w:szCs w:val="22"/>
          <w:lang w:val="en-CA"/>
        </w:rPr>
        <w:t xml:space="preserve"> </w:t>
      </w:r>
    </w:p>
    <w:p w:rsidR="00436ED6" w:rsidRDefault="00436ED6" w:rsidP="00D376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CA"/>
        </w:rPr>
      </w:pPr>
    </w:p>
    <w:p w:rsidR="00436ED6" w:rsidRPr="00D3761D" w:rsidRDefault="00436ED6" w:rsidP="00D3761D">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US"/>
        </w:rPr>
      </w:pPr>
      <w:r>
        <w:rPr>
          <w:rFonts w:ascii="Times New Roman" w:hAnsi="Times New Roman" w:cs="Times New Roman"/>
          <w:sz w:val="22"/>
          <w:szCs w:val="22"/>
          <w:lang w:val="en-CA"/>
        </w:rPr>
        <w:t xml:space="preserve">New Paragraph 19: </w:t>
      </w:r>
      <w:r w:rsidRPr="00D3761D">
        <w:rPr>
          <w:rFonts w:ascii="Times New Roman" w:hAnsi="Times New Roman" w:cs="Times New Roman"/>
          <w:sz w:val="22"/>
          <w:szCs w:val="22"/>
          <w:u w:val="single"/>
          <w:lang w:val="en-CA"/>
        </w:rPr>
        <w:t>Children</w:t>
      </w:r>
      <w:r w:rsidRPr="00D3761D">
        <w:rPr>
          <w:rFonts w:ascii="Times New Roman" w:hAnsi="Times New Roman" w:cs="Times New Roman"/>
          <w:b/>
          <w:sz w:val="22"/>
          <w:szCs w:val="22"/>
          <w:u w:val="single"/>
          <w:lang w:val="en-CA"/>
        </w:rPr>
        <w:t xml:space="preserve"> </w:t>
      </w:r>
      <w:r w:rsidRPr="00D3761D">
        <w:rPr>
          <w:rFonts w:ascii="Times New Roman" w:hAnsi="Times New Roman" w:cs="Times New Roman"/>
          <w:sz w:val="22"/>
          <w:szCs w:val="22"/>
          <w:u w:val="single"/>
          <w:lang w:val="en-CA"/>
        </w:rPr>
        <w:t>may be deprived of liberty only as a measure of last resort and for the shortest appropriate period of time, taking into account their best interests as a primary consideration with regard to the duration and conditions of detention.</w:t>
      </w:r>
      <w:r w:rsidRPr="00D3761D">
        <w:rPr>
          <w:rStyle w:val="FootnoteReference"/>
          <w:rFonts w:cs="Times New Roman"/>
          <w:sz w:val="22"/>
          <w:szCs w:val="22"/>
          <w:u w:val="single"/>
          <w:lang w:val="en-CA"/>
        </w:rPr>
        <w:footnoteReference w:id="64"/>
      </w:r>
    </w:p>
    <w:p w:rsidR="00436ED6" w:rsidRPr="00A46B17" w:rsidRDefault="00436ED6" w:rsidP="00D3761D">
      <w:pPr>
        <w:jc w:val="both"/>
        <w:rPr>
          <w:rFonts w:ascii="Times New Roman" w:hAnsi="Times New Roman" w:cs="Times New Roman"/>
          <w:b/>
          <w:i/>
          <w:sz w:val="22"/>
          <w:szCs w:val="22"/>
          <w:lang w:val="en-US"/>
        </w:rPr>
      </w:pPr>
    </w:p>
    <w:p w:rsidR="00B82628" w:rsidRPr="00A46B17" w:rsidRDefault="0020224F" w:rsidP="00D3761D">
      <w:pPr>
        <w:pStyle w:val="Heading1"/>
        <w:numPr>
          <w:ilvl w:val="0"/>
          <w:numId w:val="49"/>
        </w:numPr>
        <w:spacing w:before="0"/>
        <w:jc w:val="both"/>
        <w:rPr>
          <w:rFonts w:ascii="Times New Roman" w:hAnsi="Times New Roman" w:cs="Times New Roman"/>
          <w:color w:val="auto"/>
          <w:lang w:val="en-US"/>
        </w:rPr>
      </w:pPr>
      <w:bookmarkStart w:id="28" w:name="_Toc388377556"/>
      <w:bookmarkStart w:id="29" w:name="_Toc388961674"/>
      <w:bookmarkStart w:id="30" w:name="_Toc389236145"/>
      <w:r w:rsidRPr="00A46B17">
        <w:rPr>
          <w:rFonts w:ascii="Times New Roman" w:hAnsi="Times New Roman" w:cs="Times New Roman"/>
          <w:color w:val="auto"/>
          <w:lang w:val="en-US"/>
        </w:rPr>
        <w:t>Judicial control of detention in connection with criminal charges</w:t>
      </w:r>
      <w:r w:rsidR="00A508C7" w:rsidRPr="00A46B17">
        <w:rPr>
          <w:rFonts w:ascii="Times New Roman" w:hAnsi="Times New Roman" w:cs="Times New Roman"/>
          <w:color w:val="auto"/>
          <w:lang w:val="en-US"/>
        </w:rPr>
        <w:t xml:space="preserve"> (</w:t>
      </w:r>
      <w:r w:rsidR="009902CD" w:rsidRPr="00A46B17">
        <w:rPr>
          <w:rFonts w:ascii="Times New Roman" w:hAnsi="Times New Roman" w:cs="Times New Roman"/>
          <w:color w:val="auto"/>
          <w:lang w:val="en-US"/>
        </w:rPr>
        <w:t xml:space="preserve">paragraphs </w:t>
      </w:r>
      <w:r w:rsidR="00A508C7" w:rsidRPr="00A46B17">
        <w:rPr>
          <w:rFonts w:ascii="Times New Roman" w:hAnsi="Times New Roman" w:cs="Times New Roman"/>
          <w:color w:val="auto"/>
          <w:lang w:val="en-US"/>
        </w:rPr>
        <w:t>31-38)</w:t>
      </w:r>
      <w:bookmarkEnd w:id="28"/>
      <w:bookmarkEnd w:id="29"/>
      <w:bookmarkEnd w:id="30"/>
    </w:p>
    <w:p w:rsidR="000027DC" w:rsidRPr="00A46B17" w:rsidRDefault="000027DC" w:rsidP="00887A4F">
      <w:pPr>
        <w:pStyle w:val="PlainText"/>
        <w:keepNext/>
        <w:ind w:left="360"/>
        <w:jc w:val="both"/>
        <w:rPr>
          <w:rFonts w:ascii="Times New Roman" w:hAnsi="Times New Roman" w:cs="Times New Roman"/>
          <w:lang w:val="en-US"/>
        </w:rPr>
      </w:pPr>
    </w:p>
    <w:p w:rsidR="007E0489" w:rsidRPr="00A46B17" w:rsidRDefault="007E0489" w:rsidP="00D3761D">
      <w:pPr>
        <w:pStyle w:val="PlainText"/>
        <w:keepN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We are pleased to note that the section of the draft general comment addressing judicial oversight of detention (paras 31-38) has undergone some important amendments from previous versions of the draft. In particular, we welcome the inclusion of language which specifically refers to the requirement to bring a person detained on criminal charges or on suspicion of criminal activity promptly before a judge, and that this is a rule that applies in all cases and is not dependent on the choice or ability of the detainee to assert it. </w:t>
      </w:r>
    </w:p>
    <w:p w:rsidR="007E0489" w:rsidRPr="00A46B17" w:rsidRDefault="007E0489" w:rsidP="00D3761D">
      <w:pPr>
        <w:pStyle w:val="PlainText"/>
        <w:jc w:val="both"/>
        <w:rPr>
          <w:rFonts w:ascii="Times New Roman" w:hAnsi="Times New Roman" w:cs="Times New Roman"/>
          <w:lang w:val="en-US"/>
        </w:rPr>
      </w:pPr>
    </w:p>
    <w:p w:rsidR="007E0489" w:rsidRPr="00A46B17" w:rsidRDefault="007E0489" w:rsidP="00D3761D">
      <w:pPr>
        <w:pStyle w:val="PlainText"/>
        <w:keepNext/>
        <w:numPr>
          <w:ilvl w:val="0"/>
          <w:numId w:val="37"/>
        </w:numPr>
        <w:ind w:left="360"/>
        <w:jc w:val="both"/>
        <w:rPr>
          <w:rFonts w:ascii="Times New Roman" w:hAnsi="Times New Roman" w:cs="Times New Roman"/>
          <w:b/>
          <w:lang w:val="en-US"/>
        </w:rPr>
      </w:pPr>
      <w:r w:rsidRPr="00A46B17">
        <w:rPr>
          <w:rFonts w:ascii="Times New Roman" w:hAnsi="Times New Roman" w:cs="Times New Roman"/>
          <w:lang w:val="en-US"/>
        </w:rPr>
        <w:t xml:space="preserve">There are some aspects of this section which our </w:t>
      </w:r>
      <w:proofErr w:type="spellStart"/>
      <w:r w:rsidRPr="00A46B17">
        <w:rPr>
          <w:rFonts w:ascii="Times New Roman" w:hAnsi="Times New Roman" w:cs="Times New Roman"/>
          <w:lang w:val="en-US"/>
        </w:rPr>
        <w:t>organisations</w:t>
      </w:r>
      <w:proofErr w:type="spellEnd"/>
      <w:r w:rsidRPr="00A46B17">
        <w:rPr>
          <w:rFonts w:ascii="Times New Roman" w:hAnsi="Times New Roman" w:cs="Times New Roman"/>
          <w:lang w:val="en-US"/>
        </w:rPr>
        <w:t xml:space="preserve"> respectfully submit could be strengthened to more clearly articulate the obligations of states to ensure the legal safeguards required under </w:t>
      </w:r>
      <w:r w:rsidR="00795AB6">
        <w:rPr>
          <w:rFonts w:ascii="Times New Roman" w:hAnsi="Times New Roman" w:cs="Times New Roman"/>
          <w:lang w:val="en-US"/>
        </w:rPr>
        <w:t>A</w:t>
      </w:r>
      <w:r w:rsidRPr="00A46B17">
        <w:rPr>
          <w:rFonts w:ascii="Times New Roman" w:hAnsi="Times New Roman" w:cs="Times New Roman"/>
          <w:lang w:val="en-US"/>
        </w:rPr>
        <w:t xml:space="preserve">rticle 9(3) of the Covenant are sufficiently protective. In this regard, it is important to highlight the nexus between State party obligations under </w:t>
      </w:r>
      <w:r w:rsidR="00795AB6">
        <w:rPr>
          <w:rFonts w:ascii="Times New Roman" w:hAnsi="Times New Roman" w:cs="Times New Roman"/>
          <w:lang w:val="en-US"/>
        </w:rPr>
        <w:t>A</w:t>
      </w:r>
      <w:r w:rsidRPr="00A46B17">
        <w:rPr>
          <w:rFonts w:ascii="Times New Roman" w:hAnsi="Times New Roman" w:cs="Times New Roman"/>
          <w:lang w:val="en-US"/>
        </w:rPr>
        <w:t>rticl</w:t>
      </w:r>
      <w:r w:rsidR="00D3761D">
        <w:rPr>
          <w:rFonts w:ascii="Times New Roman" w:hAnsi="Times New Roman" w:cs="Times New Roman"/>
          <w:lang w:val="en-US"/>
        </w:rPr>
        <w:t>e 9 and those that arise under A</w:t>
      </w:r>
      <w:r w:rsidRPr="00A46B17">
        <w:rPr>
          <w:rFonts w:ascii="Times New Roman" w:hAnsi="Times New Roman" w:cs="Times New Roman"/>
          <w:lang w:val="en-US"/>
        </w:rPr>
        <w:t xml:space="preserve">rticle 7, and </w:t>
      </w:r>
      <w:proofErr w:type="spellStart"/>
      <w:r w:rsidRPr="00A46B17">
        <w:rPr>
          <w:rFonts w:ascii="Times New Roman" w:hAnsi="Times New Roman" w:cs="Times New Roman"/>
          <w:lang w:val="en-US"/>
        </w:rPr>
        <w:t>emphasise</w:t>
      </w:r>
      <w:proofErr w:type="spellEnd"/>
      <w:r w:rsidRPr="00A46B17">
        <w:rPr>
          <w:rFonts w:ascii="Times New Roman" w:hAnsi="Times New Roman" w:cs="Times New Roman"/>
          <w:lang w:val="en-US"/>
        </w:rPr>
        <w:t xml:space="preserve"> that the safeguards required under </w:t>
      </w:r>
      <w:r w:rsidR="00795AB6">
        <w:rPr>
          <w:rFonts w:ascii="Times New Roman" w:hAnsi="Times New Roman" w:cs="Times New Roman"/>
          <w:lang w:val="en-US"/>
        </w:rPr>
        <w:t>A</w:t>
      </w:r>
      <w:r w:rsidRPr="00A46B17">
        <w:rPr>
          <w:rFonts w:ascii="Times New Roman" w:hAnsi="Times New Roman" w:cs="Times New Roman"/>
          <w:lang w:val="en-US"/>
        </w:rPr>
        <w:t xml:space="preserve">rticle 9 are in place to </w:t>
      </w:r>
      <w:proofErr w:type="gramStart"/>
      <w:r w:rsidRPr="00A46B17">
        <w:rPr>
          <w:rFonts w:ascii="Times New Roman" w:hAnsi="Times New Roman" w:cs="Times New Roman"/>
          <w:lang w:val="en-US"/>
        </w:rPr>
        <w:t>mitigate</w:t>
      </w:r>
      <w:proofErr w:type="gramEnd"/>
      <w:r w:rsidRPr="00A46B17">
        <w:rPr>
          <w:rFonts w:ascii="Times New Roman" w:hAnsi="Times New Roman" w:cs="Times New Roman"/>
          <w:lang w:val="en-US"/>
        </w:rPr>
        <w:t xml:space="preserve"> equally against arbitrary and unlawful detention as they are against torture and ill-treatment.</w:t>
      </w:r>
    </w:p>
    <w:p w:rsidR="007E0489" w:rsidRPr="00A46B17" w:rsidRDefault="007E0489" w:rsidP="00D3761D">
      <w:pPr>
        <w:pStyle w:val="PlainText"/>
        <w:keepNext/>
        <w:jc w:val="both"/>
        <w:rPr>
          <w:rFonts w:ascii="Times New Roman" w:hAnsi="Times New Roman" w:cs="Times New Roman"/>
          <w:b/>
          <w:lang w:val="en-US"/>
        </w:rPr>
      </w:pPr>
    </w:p>
    <w:p w:rsidR="00CC6AC6" w:rsidRPr="00A46B17" w:rsidRDefault="00CC6AC6" w:rsidP="00D3761D">
      <w:pPr>
        <w:pStyle w:val="Heading2"/>
        <w:spacing w:before="0"/>
        <w:jc w:val="both"/>
        <w:rPr>
          <w:rFonts w:ascii="Times New Roman" w:hAnsi="Times New Roman" w:cs="Times New Roman"/>
          <w:color w:val="auto"/>
          <w:sz w:val="24"/>
          <w:szCs w:val="24"/>
          <w:lang w:val="en-US"/>
        </w:rPr>
      </w:pPr>
      <w:bookmarkStart w:id="31" w:name="_Toc388377557"/>
      <w:bookmarkStart w:id="32" w:name="_Toc388961675"/>
      <w:bookmarkStart w:id="33" w:name="_Toc389236146"/>
      <w:r w:rsidRPr="00A46B17">
        <w:rPr>
          <w:rFonts w:ascii="Times New Roman" w:hAnsi="Times New Roman" w:cs="Times New Roman"/>
          <w:color w:val="auto"/>
          <w:sz w:val="24"/>
          <w:szCs w:val="24"/>
          <w:lang w:val="en-US"/>
        </w:rPr>
        <w:t>Detention in police custody</w:t>
      </w:r>
      <w:bookmarkEnd w:id="31"/>
      <w:bookmarkEnd w:id="32"/>
      <w:bookmarkEnd w:id="33"/>
    </w:p>
    <w:p w:rsidR="00BB6188" w:rsidRPr="00A46B17" w:rsidRDefault="00BB6188" w:rsidP="00887A4F">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It is widely acknowledged that </w:t>
      </w:r>
      <w:r w:rsidR="00C62815" w:rsidRPr="00A46B17">
        <w:rPr>
          <w:rFonts w:ascii="Times New Roman" w:hAnsi="Times New Roman" w:cs="Times New Roman"/>
          <w:lang w:val="en-US"/>
        </w:rPr>
        <w:t>detainees in</w:t>
      </w:r>
      <w:r w:rsidRPr="00A46B17">
        <w:rPr>
          <w:rFonts w:ascii="Times New Roman" w:hAnsi="Times New Roman" w:cs="Times New Roman"/>
          <w:lang w:val="en-US"/>
        </w:rPr>
        <w:t xml:space="preserve"> police custody </w:t>
      </w:r>
      <w:r w:rsidR="00C62815" w:rsidRPr="00A46B17">
        <w:rPr>
          <w:rFonts w:ascii="Times New Roman" w:hAnsi="Times New Roman" w:cs="Times New Roman"/>
          <w:lang w:val="en-US"/>
        </w:rPr>
        <w:t>are at risk of both</w:t>
      </w:r>
      <w:r w:rsidRPr="00A46B17">
        <w:rPr>
          <w:rFonts w:ascii="Times New Roman" w:hAnsi="Times New Roman" w:cs="Times New Roman"/>
          <w:lang w:val="en-US"/>
        </w:rPr>
        <w:t xml:space="preserve"> torture (for prohibited purposes including </w:t>
      </w:r>
      <w:proofErr w:type="gramStart"/>
      <w:r w:rsidRPr="00A46B17">
        <w:rPr>
          <w:rFonts w:ascii="Times New Roman" w:hAnsi="Times New Roman" w:cs="Times New Roman"/>
          <w:lang w:val="en-US"/>
        </w:rPr>
        <w:t>to</w:t>
      </w:r>
      <w:r w:rsidR="009361AB" w:rsidRPr="00A46B17">
        <w:rPr>
          <w:rFonts w:ascii="Times New Roman" w:hAnsi="Times New Roman" w:cs="Times New Roman"/>
          <w:lang w:val="en-US"/>
        </w:rPr>
        <w:t xml:space="preserve"> </w:t>
      </w:r>
      <w:r w:rsidRPr="00A46B17">
        <w:rPr>
          <w:rFonts w:ascii="Times New Roman" w:hAnsi="Times New Roman" w:cs="Times New Roman"/>
          <w:lang w:val="en-US"/>
        </w:rPr>
        <w:t>obtain</w:t>
      </w:r>
      <w:proofErr w:type="gramEnd"/>
      <w:r w:rsidRPr="00A46B17">
        <w:rPr>
          <w:rFonts w:ascii="Times New Roman" w:hAnsi="Times New Roman" w:cs="Times New Roman"/>
          <w:lang w:val="en-US"/>
        </w:rPr>
        <w:t xml:space="preserve"> information, to punish, to intimidate and for discrimination) and </w:t>
      </w:r>
      <w:r w:rsidR="00C62815" w:rsidRPr="00A46B17">
        <w:rPr>
          <w:rFonts w:ascii="Times New Roman" w:hAnsi="Times New Roman" w:cs="Times New Roman"/>
          <w:lang w:val="en-US"/>
        </w:rPr>
        <w:t xml:space="preserve">other forms of </w:t>
      </w:r>
      <w:r w:rsidRPr="00A46B17">
        <w:rPr>
          <w:rFonts w:ascii="Times New Roman" w:hAnsi="Times New Roman" w:cs="Times New Roman"/>
          <w:lang w:val="en-US"/>
        </w:rPr>
        <w:t>ill-treatment</w:t>
      </w:r>
      <w:r w:rsidR="00C62815" w:rsidRPr="00A46B17">
        <w:rPr>
          <w:rFonts w:ascii="Times New Roman" w:hAnsi="Times New Roman" w:cs="Times New Roman"/>
          <w:lang w:val="en-US"/>
        </w:rPr>
        <w:t>, and the Committee has regularly expressed concern about allegations of torture in police custody.</w:t>
      </w:r>
      <w:r w:rsidR="00C62815" w:rsidRPr="00A46B17">
        <w:rPr>
          <w:rStyle w:val="FootnoteReference"/>
          <w:rFonts w:cs="Times New Roman"/>
          <w:sz w:val="22"/>
          <w:lang w:val="en-US"/>
        </w:rPr>
        <w:footnoteReference w:id="65"/>
      </w:r>
      <w:r w:rsidRPr="00A46B17">
        <w:rPr>
          <w:rFonts w:ascii="Times New Roman" w:hAnsi="Times New Roman" w:cs="Times New Roman"/>
          <w:lang w:val="en-US"/>
        </w:rPr>
        <w:t xml:space="preserve"> We therefore suggest that this is </w:t>
      </w:r>
      <w:proofErr w:type="spellStart"/>
      <w:r w:rsidRPr="00A46B17">
        <w:rPr>
          <w:rFonts w:ascii="Times New Roman" w:hAnsi="Times New Roman" w:cs="Times New Roman"/>
          <w:lang w:val="en-US"/>
        </w:rPr>
        <w:t>recogni</w:t>
      </w:r>
      <w:r w:rsidR="00EC5282" w:rsidRPr="00A46B17">
        <w:rPr>
          <w:rFonts w:ascii="Times New Roman" w:hAnsi="Times New Roman" w:cs="Times New Roman"/>
          <w:lang w:val="en-US"/>
        </w:rPr>
        <w:t>s</w:t>
      </w:r>
      <w:r w:rsidRPr="00A46B17">
        <w:rPr>
          <w:rFonts w:ascii="Times New Roman" w:hAnsi="Times New Roman" w:cs="Times New Roman"/>
          <w:lang w:val="en-US"/>
        </w:rPr>
        <w:t>ed</w:t>
      </w:r>
      <w:proofErr w:type="spellEnd"/>
      <w:r w:rsidRPr="00A46B17">
        <w:rPr>
          <w:rFonts w:ascii="Times New Roman" w:hAnsi="Times New Roman" w:cs="Times New Roman"/>
          <w:lang w:val="en-US"/>
        </w:rPr>
        <w:t xml:space="preserve"> clearly in </w:t>
      </w:r>
      <w:r w:rsidRPr="00A46B17">
        <w:rPr>
          <w:rFonts w:ascii="Times New Roman" w:hAnsi="Times New Roman" w:cs="Times New Roman"/>
          <w:b/>
          <w:u w:val="single"/>
          <w:lang w:val="en-US"/>
        </w:rPr>
        <w:t>paragraph</w:t>
      </w:r>
      <w:r w:rsidR="004F3693" w:rsidRPr="00A46B17">
        <w:rPr>
          <w:rFonts w:ascii="Times New Roman" w:hAnsi="Times New Roman" w:cs="Times New Roman"/>
          <w:b/>
          <w:u w:val="single"/>
          <w:lang w:val="en-US"/>
        </w:rPr>
        <w:t>s</w:t>
      </w:r>
      <w:r w:rsidRPr="00A46B17">
        <w:rPr>
          <w:rFonts w:ascii="Times New Roman" w:hAnsi="Times New Roman" w:cs="Times New Roman"/>
          <w:b/>
          <w:u w:val="single"/>
          <w:lang w:val="en-US"/>
        </w:rPr>
        <w:t xml:space="preserve"> 33</w:t>
      </w:r>
      <w:r w:rsidR="004F3693" w:rsidRPr="00A46B17">
        <w:rPr>
          <w:rFonts w:ascii="Times New Roman" w:hAnsi="Times New Roman" w:cs="Times New Roman"/>
          <w:b/>
          <w:u w:val="single"/>
          <w:lang w:val="en-US"/>
        </w:rPr>
        <w:t xml:space="preserve"> and 36</w:t>
      </w:r>
      <w:r w:rsidRPr="00A46B17">
        <w:rPr>
          <w:rFonts w:ascii="Times New Roman" w:hAnsi="Times New Roman" w:cs="Times New Roman"/>
          <w:lang w:val="en-US"/>
        </w:rPr>
        <w:t xml:space="preserve"> by making explicit reference to torture as follows:</w:t>
      </w:r>
    </w:p>
    <w:p w:rsidR="00AD1B49" w:rsidRPr="00A46B17" w:rsidRDefault="00AD1B49" w:rsidP="00D3761D">
      <w:pPr>
        <w:pStyle w:val="PlainText"/>
        <w:ind w:left="360"/>
        <w:jc w:val="both"/>
        <w:rPr>
          <w:rFonts w:ascii="Times New Roman" w:hAnsi="Times New Roman" w:cs="Times New Roman"/>
          <w:lang w:val="en-US"/>
        </w:rPr>
      </w:pPr>
    </w:p>
    <w:p w:rsidR="004F3693" w:rsidRPr="00A46B17" w:rsidRDefault="00C62815" w:rsidP="00D3761D">
      <w:pPr>
        <w:pStyle w:val="ListParagraph"/>
        <w:pBdr>
          <w:top w:val="single" w:sz="4" w:space="1" w:color="auto"/>
          <w:left w:val="single" w:sz="4" w:space="4" w:color="auto"/>
          <w:bottom w:val="single" w:sz="4" w:space="1" w:color="auto"/>
          <w:right w:val="single" w:sz="4" w:space="4" w:color="auto"/>
        </w:pBdr>
        <w:ind w:left="0"/>
        <w:jc w:val="both"/>
        <w:rPr>
          <w:sz w:val="22"/>
          <w:szCs w:val="22"/>
          <w:lang w:val="en-US"/>
        </w:rPr>
      </w:pPr>
      <w:r w:rsidRPr="00A46B17">
        <w:rPr>
          <w:b/>
          <w:sz w:val="22"/>
          <w:szCs w:val="22"/>
          <w:lang w:val="en-GB" w:eastAsia="en-US"/>
        </w:rPr>
        <w:lastRenderedPageBreak/>
        <w:t xml:space="preserve">Suggested wording: </w:t>
      </w:r>
      <w:r w:rsidR="004F3693" w:rsidRPr="00A46B17">
        <w:rPr>
          <w:b/>
          <w:sz w:val="22"/>
          <w:szCs w:val="22"/>
          <w:lang w:val="en-GB" w:eastAsia="en-US"/>
        </w:rPr>
        <w:t xml:space="preserve">33. </w:t>
      </w:r>
      <w:r w:rsidRPr="00A46B17">
        <w:rPr>
          <w:sz w:val="22"/>
          <w:szCs w:val="22"/>
          <w:lang w:val="en-GB" w:eastAsia="en-US"/>
        </w:rPr>
        <w:t>Longer detention in the custody of law enforcement officials without judicial control unnecessarily increases the risk of</w:t>
      </w:r>
      <w:r w:rsidRPr="00A46B17">
        <w:rPr>
          <w:sz w:val="22"/>
          <w:szCs w:val="22"/>
          <w:u w:val="single"/>
          <w:lang w:val="en-GB" w:eastAsia="en-US"/>
        </w:rPr>
        <w:t xml:space="preserve"> torture and other</w:t>
      </w:r>
      <w:r w:rsidRPr="00A46B17">
        <w:rPr>
          <w:sz w:val="22"/>
          <w:szCs w:val="22"/>
          <w:lang w:val="en-GB" w:eastAsia="en-US"/>
        </w:rPr>
        <w:t xml:space="preserve"> ill-treatment.</w:t>
      </w:r>
      <w:r w:rsidRPr="00A46B17">
        <w:rPr>
          <w:sz w:val="22"/>
          <w:szCs w:val="22"/>
          <w:vertAlign w:val="superscript"/>
          <w:lang w:val="en-GB" w:eastAsia="en-US"/>
        </w:rPr>
        <w:footnoteReference w:id="66"/>
      </w:r>
      <w:r w:rsidR="004F3693" w:rsidRPr="00A46B17">
        <w:rPr>
          <w:sz w:val="22"/>
          <w:szCs w:val="22"/>
          <w:lang w:val="en-US"/>
        </w:rPr>
        <w:t xml:space="preserve">  </w:t>
      </w:r>
    </w:p>
    <w:p w:rsidR="00AE31C1" w:rsidRPr="00A46B17" w:rsidRDefault="00AE31C1" w:rsidP="00D3761D">
      <w:pPr>
        <w:pStyle w:val="ListParagraph"/>
        <w:pBdr>
          <w:top w:val="single" w:sz="4" w:space="1" w:color="auto"/>
          <w:left w:val="single" w:sz="4" w:space="4" w:color="auto"/>
          <w:bottom w:val="single" w:sz="4" w:space="1" w:color="auto"/>
          <w:right w:val="single" w:sz="4" w:space="4" w:color="auto"/>
        </w:pBdr>
        <w:ind w:left="0"/>
        <w:jc w:val="both"/>
        <w:rPr>
          <w:sz w:val="22"/>
          <w:szCs w:val="22"/>
          <w:lang w:val="en-US"/>
        </w:rPr>
      </w:pPr>
    </w:p>
    <w:p w:rsidR="00AE31C1" w:rsidRPr="00A46B17" w:rsidRDefault="0088030C" w:rsidP="00D3761D">
      <w:pPr>
        <w:pStyle w:val="ListParagraph"/>
        <w:pBdr>
          <w:top w:val="single" w:sz="4" w:space="1" w:color="auto"/>
          <w:left w:val="single" w:sz="4" w:space="4" w:color="auto"/>
          <w:bottom w:val="single" w:sz="4" w:space="1" w:color="auto"/>
          <w:right w:val="single" w:sz="4" w:space="4" w:color="auto"/>
        </w:pBdr>
        <w:ind w:left="0"/>
        <w:jc w:val="both"/>
        <w:rPr>
          <w:sz w:val="22"/>
          <w:szCs w:val="22"/>
          <w:lang w:val="en-US"/>
        </w:rPr>
      </w:pPr>
      <w:r w:rsidRPr="00A46B17">
        <w:rPr>
          <w:sz w:val="22"/>
          <w:szCs w:val="22"/>
          <w:lang w:val="en-US"/>
        </w:rPr>
        <w:t xml:space="preserve">36.…. In the view of the Committee, detention on remand should not involve a return to police custody, but rather to a separate facility under different authority, </w:t>
      </w:r>
      <w:r w:rsidRPr="00A46B17">
        <w:rPr>
          <w:sz w:val="22"/>
          <w:szCs w:val="22"/>
          <w:u w:val="single"/>
          <w:lang w:val="en-US"/>
        </w:rPr>
        <w:t xml:space="preserve">so as to </w:t>
      </w:r>
      <w:proofErr w:type="spellStart"/>
      <w:r w:rsidRPr="00A46B17">
        <w:rPr>
          <w:sz w:val="22"/>
          <w:szCs w:val="22"/>
          <w:u w:val="single"/>
          <w:lang w:val="en-US"/>
        </w:rPr>
        <w:t>minim</w:t>
      </w:r>
      <w:r w:rsidR="00FA0F18">
        <w:rPr>
          <w:sz w:val="22"/>
          <w:szCs w:val="22"/>
          <w:u w:val="single"/>
          <w:lang w:val="en-US"/>
        </w:rPr>
        <w:t>is</w:t>
      </w:r>
      <w:r w:rsidR="00D3761D">
        <w:rPr>
          <w:sz w:val="22"/>
          <w:szCs w:val="22"/>
          <w:u w:val="single"/>
          <w:lang w:val="en-US"/>
        </w:rPr>
        <w:t>e</w:t>
      </w:r>
      <w:proofErr w:type="spellEnd"/>
      <w:r w:rsidR="00D3761D">
        <w:rPr>
          <w:sz w:val="22"/>
          <w:szCs w:val="22"/>
          <w:u w:val="single"/>
          <w:lang w:val="en-US"/>
        </w:rPr>
        <w:t xml:space="preserve"> the risk of a violation of A</w:t>
      </w:r>
      <w:r w:rsidRPr="00A46B17">
        <w:rPr>
          <w:sz w:val="22"/>
          <w:szCs w:val="22"/>
          <w:u w:val="single"/>
          <w:lang w:val="en-US"/>
        </w:rPr>
        <w:t>rticle 7.</w:t>
      </w:r>
      <w:r w:rsidRPr="00A46B17">
        <w:rPr>
          <w:sz w:val="22"/>
          <w:szCs w:val="22"/>
          <w:lang w:val="en-US"/>
        </w:rPr>
        <w:t xml:space="preserve">  </w:t>
      </w:r>
    </w:p>
    <w:p w:rsidR="004F3693" w:rsidRPr="00A46B17" w:rsidRDefault="004F3693" w:rsidP="00D3761D">
      <w:pPr>
        <w:pStyle w:val="ListParagraph"/>
        <w:pBdr>
          <w:top w:val="single" w:sz="4" w:space="1" w:color="auto"/>
          <w:left w:val="single" w:sz="4" w:space="4" w:color="auto"/>
          <w:bottom w:val="single" w:sz="4" w:space="1" w:color="auto"/>
          <w:right w:val="single" w:sz="4" w:space="4" w:color="auto"/>
        </w:pBdr>
        <w:ind w:left="0"/>
        <w:jc w:val="both"/>
        <w:rPr>
          <w:sz w:val="22"/>
          <w:szCs w:val="22"/>
          <w:lang w:val="en-US"/>
        </w:rPr>
      </w:pPr>
    </w:p>
    <w:p w:rsidR="004F3693" w:rsidRPr="00A46B17" w:rsidRDefault="004F3693" w:rsidP="00720827">
      <w:pPr>
        <w:pStyle w:val="ListParagraph"/>
        <w:pBdr>
          <w:top w:val="single" w:sz="4" w:space="1" w:color="auto"/>
          <w:left w:val="single" w:sz="4" w:space="4" w:color="auto"/>
          <w:bottom w:val="single" w:sz="4" w:space="1" w:color="auto"/>
          <w:right w:val="single" w:sz="4" w:space="4" w:color="auto"/>
        </w:pBdr>
        <w:ind w:left="0"/>
        <w:jc w:val="both"/>
        <w:rPr>
          <w:sz w:val="22"/>
          <w:szCs w:val="22"/>
          <w:lang w:val="en-GB" w:eastAsia="en-US"/>
        </w:rPr>
      </w:pPr>
      <w:r w:rsidRPr="00A46B17">
        <w:rPr>
          <w:sz w:val="22"/>
          <w:szCs w:val="22"/>
          <w:lang w:val="en-US"/>
        </w:rPr>
        <w:t xml:space="preserve">41.The object of the right is release (either unconditional or conditional) from ongoing unlawful detention; compensation for unlawful detention that has already ended is addressed in paragraph 5. </w:t>
      </w:r>
      <w:r w:rsidRPr="00A46B17">
        <w:rPr>
          <w:sz w:val="22"/>
          <w:szCs w:val="22"/>
          <w:u w:val="single"/>
          <w:lang w:val="en-US"/>
        </w:rPr>
        <w:t>Another important function of this right is for detainees to complain of torture and cruel, inhuman or degrading treatment that has taken place in custody.</w:t>
      </w:r>
      <w:r w:rsidRPr="00A46B17">
        <w:rPr>
          <w:sz w:val="22"/>
          <w:szCs w:val="22"/>
          <w:lang w:val="en-US"/>
        </w:rPr>
        <w:t xml:space="preserve"> Paragraph 4 requires that the reviewing court must have the power to order release from the unlawful detention.</w:t>
      </w:r>
    </w:p>
    <w:p w:rsidR="00CC6AC6" w:rsidRPr="00A46B17" w:rsidRDefault="00CC6AC6" w:rsidP="00D3761D">
      <w:pPr>
        <w:pStyle w:val="PlainText"/>
        <w:jc w:val="both"/>
        <w:rPr>
          <w:rFonts w:ascii="Times New Roman" w:hAnsi="Times New Roman" w:cs="Times New Roman"/>
          <w:lang w:val="en-US"/>
        </w:rPr>
      </w:pPr>
    </w:p>
    <w:p w:rsidR="00CC6AC6" w:rsidRPr="00A46B17" w:rsidRDefault="00CC6AC6" w:rsidP="00D3761D">
      <w:pPr>
        <w:pStyle w:val="Heading2"/>
        <w:spacing w:before="0"/>
        <w:jc w:val="both"/>
        <w:rPr>
          <w:rFonts w:ascii="Times New Roman" w:hAnsi="Times New Roman" w:cs="Times New Roman"/>
          <w:color w:val="auto"/>
          <w:sz w:val="24"/>
          <w:szCs w:val="24"/>
          <w:lang w:val="en-US"/>
        </w:rPr>
      </w:pPr>
      <w:bookmarkStart w:id="34" w:name="_Toc388377558"/>
      <w:bookmarkStart w:id="35" w:name="_Toc388961676"/>
      <w:bookmarkStart w:id="36" w:name="_Toc389236147"/>
      <w:r w:rsidRPr="00A46B17">
        <w:rPr>
          <w:rFonts w:ascii="Times New Roman" w:hAnsi="Times New Roman" w:cs="Times New Roman"/>
          <w:color w:val="auto"/>
          <w:sz w:val="24"/>
          <w:szCs w:val="24"/>
          <w:lang w:val="en-US"/>
        </w:rPr>
        <w:t>The right to legal counsel</w:t>
      </w:r>
      <w:bookmarkEnd w:id="34"/>
      <w:bookmarkEnd w:id="35"/>
      <w:bookmarkEnd w:id="36"/>
    </w:p>
    <w:p w:rsidR="00CC6AC6" w:rsidRPr="00A46B17" w:rsidRDefault="00CC6AC6" w:rsidP="00887A4F">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The right of access to legal counsel is dealt with in a number of places in the draft, including:</w:t>
      </w:r>
    </w:p>
    <w:p w:rsidR="00CC6AC6" w:rsidRPr="00A46B17" w:rsidRDefault="00CC6AC6" w:rsidP="00D3761D">
      <w:pPr>
        <w:pStyle w:val="SingleTxtG"/>
        <w:numPr>
          <w:ilvl w:val="0"/>
          <w:numId w:val="23"/>
        </w:numPr>
        <w:spacing w:after="0" w:line="240" w:lineRule="auto"/>
        <w:ind w:left="720" w:right="-64"/>
        <w:rPr>
          <w:sz w:val="22"/>
          <w:szCs w:val="22"/>
          <w:lang w:val="en-US"/>
        </w:rPr>
      </w:pPr>
      <w:r w:rsidRPr="00A46B17">
        <w:rPr>
          <w:b/>
          <w:sz w:val="22"/>
          <w:szCs w:val="22"/>
          <w:u w:val="single"/>
          <w:lang w:val="en-US"/>
        </w:rPr>
        <w:t>paragraph 34</w:t>
      </w:r>
      <w:r w:rsidRPr="00A46B17">
        <w:rPr>
          <w:sz w:val="22"/>
          <w:szCs w:val="22"/>
          <w:lang w:val="en-US"/>
        </w:rPr>
        <w:t xml:space="preserve">, </w:t>
      </w:r>
      <w:r w:rsidRPr="00A46B17">
        <w:rPr>
          <w:sz w:val="22"/>
          <w:szCs w:val="22"/>
        </w:rPr>
        <w:t>which</w:t>
      </w:r>
      <w:r w:rsidRPr="00A46B17">
        <w:rPr>
          <w:sz w:val="22"/>
          <w:szCs w:val="22"/>
          <w:lang w:val="en-US"/>
        </w:rPr>
        <w:t xml:space="preserve"> states (in the context of the right to be brought before a judge) that “the individual is </w:t>
      </w:r>
      <w:r w:rsidRPr="00A46B17">
        <w:rPr>
          <w:sz w:val="22"/>
          <w:szCs w:val="22"/>
        </w:rPr>
        <w:t>entitled</w:t>
      </w:r>
      <w:r w:rsidRPr="00A46B17">
        <w:rPr>
          <w:sz w:val="22"/>
          <w:szCs w:val="22"/>
          <w:lang w:val="en-US"/>
        </w:rPr>
        <w:t xml:space="preserve"> to legal assistance, which should in principle be by counsel of choice”;</w:t>
      </w:r>
    </w:p>
    <w:p w:rsidR="00CC6AC6" w:rsidRPr="00A46B17" w:rsidRDefault="00CC6AC6" w:rsidP="00D3761D">
      <w:pPr>
        <w:pStyle w:val="SingleTxtG"/>
        <w:numPr>
          <w:ilvl w:val="0"/>
          <w:numId w:val="23"/>
        </w:numPr>
        <w:spacing w:after="0" w:line="240" w:lineRule="auto"/>
        <w:ind w:left="720" w:right="-64"/>
        <w:rPr>
          <w:b/>
          <w:sz w:val="22"/>
          <w:szCs w:val="22"/>
          <w:lang w:val="en-US"/>
        </w:rPr>
      </w:pPr>
      <w:r w:rsidRPr="00A46B17">
        <w:rPr>
          <w:b/>
          <w:sz w:val="22"/>
          <w:szCs w:val="22"/>
          <w:u w:val="single"/>
          <w:lang w:val="en-US"/>
        </w:rPr>
        <w:t>paragraph 35</w:t>
      </w:r>
      <w:r w:rsidRPr="00A46B17">
        <w:rPr>
          <w:sz w:val="22"/>
          <w:szCs w:val="22"/>
          <w:lang w:val="en-US"/>
        </w:rPr>
        <w:t>, which states (in relation to incommunicado detention) that “</w:t>
      </w:r>
      <w:r w:rsidRPr="00A46B17">
        <w:rPr>
          <w:sz w:val="22"/>
          <w:szCs w:val="22"/>
        </w:rPr>
        <w:t>States parties should permit and facilitate access to counsel for detainees in criminal cases, fro</w:t>
      </w:r>
      <w:r w:rsidR="00261322" w:rsidRPr="00A46B17">
        <w:rPr>
          <w:sz w:val="22"/>
          <w:szCs w:val="22"/>
        </w:rPr>
        <w:t>m the outset of their detention”;</w:t>
      </w:r>
      <w:r w:rsidR="00EC5282" w:rsidRPr="00A46B17">
        <w:rPr>
          <w:sz w:val="22"/>
          <w:szCs w:val="22"/>
          <w:vertAlign w:val="superscript"/>
        </w:rPr>
        <w:footnoteReference w:id="67"/>
      </w:r>
      <w:r w:rsidR="00261322" w:rsidRPr="00A46B17">
        <w:rPr>
          <w:sz w:val="22"/>
          <w:szCs w:val="22"/>
        </w:rPr>
        <w:t xml:space="preserve"> </w:t>
      </w:r>
    </w:p>
    <w:p w:rsidR="00261322" w:rsidRPr="00A46B17" w:rsidRDefault="00CC6AC6" w:rsidP="00D3761D">
      <w:pPr>
        <w:pStyle w:val="SingleTxtG"/>
        <w:numPr>
          <w:ilvl w:val="0"/>
          <w:numId w:val="23"/>
        </w:numPr>
        <w:spacing w:after="0" w:line="240" w:lineRule="auto"/>
        <w:ind w:left="720" w:right="-64"/>
        <w:rPr>
          <w:b/>
          <w:sz w:val="22"/>
          <w:szCs w:val="22"/>
          <w:lang w:val="en-US"/>
        </w:rPr>
      </w:pPr>
      <w:r w:rsidRPr="00A46B17">
        <w:rPr>
          <w:b/>
          <w:sz w:val="22"/>
          <w:szCs w:val="22"/>
          <w:u w:val="single"/>
          <w:lang w:val="en-US"/>
        </w:rPr>
        <w:t>paragraph 46</w:t>
      </w:r>
      <w:r w:rsidRPr="00A46B17">
        <w:rPr>
          <w:sz w:val="22"/>
          <w:szCs w:val="22"/>
          <w:lang w:val="en-US"/>
        </w:rPr>
        <w:t xml:space="preserve">, which </w:t>
      </w:r>
      <w:r w:rsidRPr="00A46B17">
        <w:rPr>
          <w:sz w:val="22"/>
          <w:szCs w:val="22"/>
        </w:rPr>
        <w:t>provides</w:t>
      </w:r>
      <w:r w:rsidR="00261322" w:rsidRPr="00A46B17">
        <w:rPr>
          <w:sz w:val="22"/>
          <w:szCs w:val="22"/>
          <w:lang w:val="en-US"/>
        </w:rPr>
        <w:t xml:space="preserve"> (</w:t>
      </w:r>
      <w:r w:rsidRPr="00A46B17">
        <w:rPr>
          <w:sz w:val="22"/>
          <w:szCs w:val="22"/>
          <w:lang w:val="en-US"/>
        </w:rPr>
        <w:t>in the context of review of detention</w:t>
      </w:r>
      <w:r w:rsidR="00261322" w:rsidRPr="00A46B17">
        <w:rPr>
          <w:sz w:val="22"/>
          <w:szCs w:val="22"/>
          <w:lang w:val="en-US"/>
        </w:rPr>
        <w:t xml:space="preserve">) that </w:t>
      </w:r>
      <w:r w:rsidRPr="00A46B17">
        <w:rPr>
          <w:sz w:val="22"/>
          <w:szCs w:val="22"/>
          <w:lang w:val="en-US"/>
        </w:rPr>
        <w:t>“</w:t>
      </w:r>
      <w:r w:rsidR="00261322" w:rsidRPr="00A46B17">
        <w:rPr>
          <w:sz w:val="22"/>
          <w:szCs w:val="22"/>
        </w:rPr>
        <w:t>[t]</w:t>
      </w:r>
      <w:r w:rsidRPr="00A46B17">
        <w:rPr>
          <w:sz w:val="22"/>
          <w:szCs w:val="22"/>
        </w:rPr>
        <w:t>o facilitate effective review, detainees should be afforded prompt and regular access to counsel”</w:t>
      </w:r>
      <w:r w:rsidR="00261322" w:rsidRPr="00A46B17">
        <w:rPr>
          <w:sz w:val="22"/>
          <w:szCs w:val="22"/>
        </w:rPr>
        <w:t xml:space="preserve">; and </w:t>
      </w:r>
    </w:p>
    <w:p w:rsidR="00CC6AC6" w:rsidRPr="00A46B17" w:rsidRDefault="00261322" w:rsidP="00D3761D">
      <w:pPr>
        <w:pStyle w:val="SingleTxtG"/>
        <w:numPr>
          <w:ilvl w:val="0"/>
          <w:numId w:val="23"/>
        </w:numPr>
        <w:spacing w:after="0" w:line="240" w:lineRule="auto"/>
        <w:ind w:left="720" w:right="-64"/>
        <w:rPr>
          <w:b/>
          <w:sz w:val="22"/>
          <w:szCs w:val="22"/>
          <w:lang w:val="en-US"/>
        </w:rPr>
      </w:pPr>
      <w:proofErr w:type="gramStart"/>
      <w:r w:rsidRPr="00A46B17">
        <w:rPr>
          <w:b/>
          <w:sz w:val="22"/>
          <w:szCs w:val="22"/>
          <w:u w:val="single"/>
          <w:lang w:val="en-US"/>
        </w:rPr>
        <w:t>paragraph</w:t>
      </w:r>
      <w:proofErr w:type="gramEnd"/>
      <w:r w:rsidRPr="00A46B17">
        <w:rPr>
          <w:b/>
          <w:sz w:val="22"/>
          <w:szCs w:val="22"/>
          <w:u w:val="single"/>
          <w:lang w:val="en-US"/>
        </w:rPr>
        <w:t xml:space="preserve"> 58</w:t>
      </w:r>
      <w:r w:rsidRPr="00A46B17">
        <w:rPr>
          <w:sz w:val="22"/>
          <w:szCs w:val="22"/>
          <w:lang w:val="en-US"/>
        </w:rPr>
        <w:t>, which provides (</w:t>
      </w:r>
      <w:r w:rsidRPr="00A46B17">
        <w:rPr>
          <w:sz w:val="22"/>
          <w:szCs w:val="22"/>
        </w:rPr>
        <w:t>in the context of the link between Articles 7 and 9) that “[p]</w:t>
      </w:r>
      <w:proofErr w:type="spellStart"/>
      <w:r w:rsidRPr="00A46B17">
        <w:rPr>
          <w:sz w:val="22"/>
          <w:szCs w:val="22"/>
        </w:rPr>
        <w:t>rompt</w:t>
      </w:r>
      <w:proofErr w:type="spellEnd"/>
      <w:r w:rsidRPr="00A46B17">
        <w:rPr>
          <w:sz w:val="22"/>
          <w:szCs w:val="22"/>
        </w:rPr>
        <w:t xml:space="preserve"> and regular access should be given to independent medical personnel and lawyers and, under appropriate supervision when the legitimate purpose of the detention so requires, to family members”.</w:t>
      </w:r>
    </w:p>
    <w:p w:rsidR="00AD1B49" w:rsidRPr="00A46B17" w:rsidRDefault="00AD1B49" w:rsidP="00D3761D">
      <w:pPr>
        <w:pStyle w:val="SingleTxtG"/>
        <w:spacing w:after="0" w:line="240" w:lineRule="auto"/>
        <w:ind w:left="720" w:right="-64"/>
        <w:rPr>
          <w:b/>
          <w:sz w:val="22"/>
          <w:szCs w:val="22"/>
          <w:lang w:val="en-US"/>
        </w:rPr>
      </w:pPr>
    </w:p>
    <w:p w:rsidR="00826E36" w:rsidRPr="00A46B17" w:rsidRDefault="00CC6AC6" w:rsidP="00D3761D">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We stress the importance of this guarantee for the protection of rights under Article 9, and agree that it should be mentioned in each of these contexts. However, given its importance we urge the Committee to include a separate paragraph on the guarantee, with detailed reference to what it requires.</w:t>
      </w:r>
      <w:r w:rsidRPr="00A46B17">
        <w:rPr>
          <w:rStyle w:val="FootnoteReference"/>
          <w:rFonts w:cs="Times New Roman"/>
          <w:sz w:val="22"/>
          <w:lang w:val="en-US"/>
        </w:rPr>
        <w:footnoteReference w:id="68"/>
      </w:r>
      <w:r w:rsidRPr="00A46B17">
        <w:rPr>
          <w:rFonts w:ascii="Times New Roman" w:hAnsi="Times New Roman" w:cs="Times New Roman"/>
          <w:lang w:val="en-US"/>
        </w:rPr>
        <w:t xml:space="preserve"> </w:t>
      </w:r>
      <w:r w:rsidR="00826E36" w:rsidRPr="00A46B17">
        <w:rPr>
          <w:rFonts w:ascii="Times New Roman" w:hAnsi="Times New Roman" w:cs="Times New Roman"/>
          <w:lang w:val="en-US"/>
        </w:rPr>
        <w:t xml:space="preserve">In addition to the Committee’s own jurisprudence, we suggest that reference is made to the </w:t>
      </w:r>
      <w:r w:rsidR="00826E36" w:rsidRPr="00A46B17">
        <w:rPr>
          <w:rFonts w:ascii="Times New Roman" w:hAnsi="Times New Roman" w:cs="Times New Roman"/>
          <w:bCs/>
          <w:lang w:val="en-US"/>
        </w:rPr>
        <w:t>United Nations Principles and Guidelines on Access to Legal Aid in Criminal Justice Systems</w:t>
      </w:r>
      <w:r w:rsidR="00826E36" w:rsidRPr="00A46B17">
        <w:rPr>
          <w:rFonts w:ascii="Times New Roman" w:hAnsi="Times New Roman" w:cs="Times New Roman"/>
          <w:lang w:val="en-US"/>
        </w:rPr>
        <w:t>,</w:t>
      </w:r>
      <w:r w:rsidR="00826E36" w:rsidRPr="00A46B17">
        <w:rPr>
          <w:rStyle w:val="FootnoteReference"/>
          <w:rFonts w:cs="Times New Roman"/>
          <w:sz w:val="22"/>
          <w:lang w:val="en-US"/>
        </w:rPr>
        <w:footnoteReference w:id="69"/>
      </w:r>
      <w:r w:rsidR="00826E36" w:rsidRPr="00A46B17">
        <w:rPr>
          <w:rFonts w:ascii="Times New Roman" w:hAnsi="Times New Roman" w:cs="Times New Roman"/>
          <w:lang w:val="en-US"/>
        </w:rPr>
        <w:t xml:space="preserve"> adopted by the UN General Assembly in December 2012, which includes detailed guidelines on the right of access to a lawyer for persons detained on criminal charges.</w:t>
      </w:r>
    </w:p>
    <w:p w:rsidR="00AD1B49" w:rsidRPr="00A46B17" w:rsidRDefault="00AD1B49" w:rsidP="00720827">
      <w:pPr>
        <w:pStyle w:val="PlainText"/>
        <w:ind w:left="360"/>
        <w:jc w:val="both"/>
        <w:rPr>
          <w:rFonts w:ascii="Times New Roman" w:hAnsi="Times New Roman" w:cs="Times New Roman"/>
          <w:lang w:val="en-US"/>
        </w:rPr>
      </w:pPr>
    </w:p>
    <w:p w:rsidR="00826E36" w:rsidRPr="00A46B17" w:rsidRDefault="00826E36" w:rsidP="00720827">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Points that we suggest are important to include in this paragraph are:</w:t>
      </w:r>
    </w:p>
    <w:p w:rsidR="00826E36" w:rsidRPr="00A46B17" w:rsidRDefault="00261322" w:rsidP="00720827">
      <w:pPr>
        <w:pStyle w:val="SingleTxtG"/>
        <w:numPr>
          <w:ilvl w:val="0"/>
          <w:numId w:val="23"/>
        </w:numPr>
        <w:spacing w:after="0" w:line="240" w:lineRule="auto"/>
        <w:ind w:left="720" w:right="-64"/>
        <w:rPr>
          <w:sz w:val="22"/>
          <w:szCs w:val="22"/>
          <w:lang w:val="en-US"/>
        </w:rPr>
      </w:pPr>
      <w:r w:rsidRPr="00A46B17">
        <w:rPr>
          <w:sz w:val="22"/>
          <w:szCs w:val="22"/>
          <w:lang w:val="en-US"/>
        </w:rPr>
        <w:t>D</w:t>
      </w:r>
      <w:r w:rsidR="00CC6AC6" w:rsidRPr="00A46B17">
        <w:rPr>
          <w:sz w:val="22"/>
          <w:szCs w:val="22"/>
          <w:lang w:val="en-US"/>
        </w:rPr>
        <w:t xml:space="preserve">etainees’ right to access a </w:t>
      </w:r>
      <w:r w:rsidR="00CC6AC6" w:rsidRPr="00A46B17">
        <w:rPr>
          <w:sz w:val="22"/>
          <w:szCs w:val="22"/>
        </w:rPr>
        <w:t>lawyer</w:t>
      </w:r>
      <w:r w:rsidR="00B434C5" w:rsidRPr="00A46B17">
        <w:rPr>
          <w:sz w:val="22"/>
          <w:szCs w:val="22"/>
          <w:lang w:val="en-US"/>
        </w:rPr>
        <w:t xml:space="preserve"> </w:t>
      </w:r>
      <w:r w:rsidR="00B434C5" w:rsidRPr="000F0C3B">
        <w:rPr>
          <w:b/>
          <w:sz w:val="22"/>
          <w:szCs w:val="22"/>
          <w:lang w:val="en-US"/>
        </w:rPr>
        <w:t>f</w:t>
      </w:r>
      <w:r w:rsidR="00B434C5" w:rsidRPr="00A46B17">
        <w:rPr>
          <w:b/>
          <w:sz w:val="22"/>
          <w:szCs w:val="22"/>
          <w:lang w:val="en-US"/>
        </w:rPr>
        <w:t>rom</w:t>
      </w:r>
      <w:r w:rsidR="00CC6AC6" w:rsidRPr="00A46B17">
        <w:rPr>
          <w:b/>
          <w:sz w:val="22"/>
          <w:szCs w:val="22"/>
          <w:lang w:val="en-US"/>
        </w:rPr>
        <w:t xml:space="preserve"> the outset of detention and during all interrogations and proceedings</w:t>
      </w:r>
      <w:r w:rsidR="00826E36" w:rsidRPr="00A46B17">
        <w:rPr>
          <w:sz w:val="22"/>
          <w:szCs w:val="22"/>
          <w:lang w:val="en-US"/>
        </w:rPr>
        <w:t>.</w:t>
      </w:r>
    </w:p>
    <w:p w:rsidR="00AD1B49" w:rsidRPr="00A46B17" w:rsidRDefault="00AD1B49" w:rsidP="00720827">
      <w:pPr>
        <w:pStyle w:val="SingleTxtG"/>
        <w:spacing w:after="0" w:line="240" w:lineRule="auto"/>
        <w:ind w:left="720" w:right="-64"/>
        <w:rPr>
          <w:sz w:val="22"/>
          <w:szCs w:val="22"/>
          <w:lang w:val="en-US"/>
        </w:rPr>
      </w:pPr>
    </w:p>
    <w:p w:rsidR="00826E36" w:rsidRPr="00A46B17" w:rsidRDefault="00826E36" w:rsidP="00720827">
      <w:pPr>
        <w:pStyle w:val="SingleTxtG"/>
        <w:spacing w:after="0" w:line="240" w:lineRule="auto"/>
        <w:ind w:left="720" w:right="-64"/>
        <w:rPr>
          <w:sz w:val="22"/>
          <w:szCs w:val="22"/>
          <w:lang w:val="en-US"/>
        </w:rPr>
      </w:pPr>
      <w:r w:rsidRPr="00A46B17">
        <w:rPr>
          <w:sz w:val="22"/>
          <w:szCs w:val="22"/>
          <w:lang w:val="en-US"/>
        </w:rPr>
        <w:lastRenderedPageBreak/>
        <w:t xml:space="preserve">We suggest that the Committee </w:t>
      </w:r>
      <w:r w:rsidR="00261322" w:rsidRPr="00A46B17">
        <w:rPr>
          <w:sz w:val="22"/>
          <w:szCs w:val="22"/>
          <w:lang w:val="en-US"/>
        </w:rPr>
        <w:t>provide further guidance about what “</w:t>
      </w:r>
      <w:r w:rsidR="00DA4AF8" w:rsidRPr="00A46B17">
        <w:rPr>
          <w:sz w:val="22"/>
          <w:szCs w:val="22"/>
          <w:lang w:val="en-US"/>
        </w:rPr>
        <w:t>prompt</w:t>
      </w:r>
      <w:r w:rsidRPr="00A46B17">
        <w:rPr>
          <w:sz w:val="22"/>
          <w:szCs w:val="22"/>
          <w:lang w:val="en-US"/>
        </w:rPr>
        <w:t>”</w:t>
      </w:r>
      <w:r w:rsidR="00DA4AF8" w:rsidRPr="00A46B17">
        <w:rPr>
          <w:sz w:val="22"/>
          <w:szCs w:val="22"/>
          <w:lang w:val="en-US"/>
        </w:rPr>
        <w:t xml:space="preserve"> access to a lawyer</w:t>
      </w:r>
      <w:r w:rsidRPr="00A46B17">
        <w:rPr>
          <w:sz w:val="22"/>
          <w:szCs w:val="22"/>
          <w:lang w:val="en-US"/>
        </w:rPr>
        <w:t xml:space="preserve"> means,</w:t>
      </w:r>
      <w:r w:rsidR="00DE6E6E" w:rsidRPr="00A46B17">
        <w:rPr>
          <w:sz w:val="22"/>
          <w:szCs w:val="22"/>
          <w:lang w:val="en-US"/>
        </w:rPr>
        <w:t xml:space="preserve"> and</w:t>
      </w:r>
      <w:r w:rsidR="005D2E41" w:rsidRPr="00A46B17">
        <w:rPr>
          <w:sz w:val="22"/>
          <w:szCs w:val="22"/>
          <w:lang w:val="en-US"/>
        </w:rPr>
        <w:t xml:space="preserve"> that it</w:t>
      </w:r>
      <w:r w:rsidR="00DE6E6E" w:rsidRPr="00A46B17">
        <w:rPr>
          <w:sz w:val="22"/>
          <w:szCs w:val="22"/>
          <w:lang w:val="en-US"/>
        </w:rPr>
        <w:t xml:space="preserve"> includes access to a lawyer while in police custody.</w:t>
      </w:r>
      <w:r w:rsidR="00DE6E6E" w:rsidRPr="00A46B17">
        <w:rPr>
          <w:rStyle w:val="FootnoteReference"/>
          <w:sz w:val="22"/>
          <w:szCs w:val="22"/>
          <w:lang w:val="en-US"/>
        </w:rPr>
        <w:footnoteReference w:id="70"/>
      </w:r>
      <w:r w:rsidRPr="00A46B17">
        <w:rPr>
          <w:sz w:val="22"/>
          <w:szCs w:val="22"/>
          <w:lang w:val="en-US"/>
        </w:rPr>
        <w:t xml:space="preserve"> </w:t>
      </w:r>
      <w:r w:rsidR="00DE6E6E" w:rsidRPr="00A46B17">
        <w:rPr>
          <w:sz w:val="22"/>
          <w:szCs w:val="22"/>
          <w:lang w:val="en-US"/>
        </w:rPr>
        <w:t xml:space="preserve">It would be helpful to clarify that, to enable prompt access to a lawyer, officials should </w:t>
      </w:r>
      <w:r w:rsidR="005D2E41" w:rsidRPr="00A46B17">
        <w:rPr>
          <w:sz w:val="22"/>
          <w:szCs w:val="22"/>
          <w:lang w:val="en-US"/>
        </w:rPr>
        <w:t xml:space="preserve">“facilitate access for legal aid providers assigned to provide assistance to </w:t>
      </w:r>
      <w:r w:rsidR="005D2E41" w:rsidRPr="00A46B17">
        <w:rPr>
          <w:sz w:val="22"/>
          <w:szCs w:val="22"/>
        </w:rPr>
        <w:t>detained</w:t>
      </w:r>
      <w:r w:rsidR="005D2E41" w:rsidRPr="00A46B17">
        <w:rPr>
          <w:sz w:val="22"/>
          <w:szCs w:val="22"/>
          <w:lang w:val="en-US"/>
        </w:rPr>
        <w:t xml:space="preserve"> persons in police stations and other places of detention</w:t>
      </w:r>
      <w:r w:rsidR="00DE6E6E" w:rsidRPr="00A46B17">
        <w:rPr>
          <w:sz w:val="22"/>
          <w:szCs w:val="22"/>
          <w:lang w:val="en-US"/>
        </w:rPr>
        <w:t xml:space="preserve"> for the purpose of providing that assistance”.</w:t>
      </w:r>
      <w:r w:rsidR="00DE6E6E" w:rsidRPr="00A46B17">
        <w:rPr>
          <w:rStyle w:val="FootnoteReference"/>
          <w:sz w:val="22"/>
          <w:szCs w:val="22"/>
          <w:lang w:val="en-US"/>
        </w:rPr>
        <w:footnoteReference w:id="71"/>
      </w:r>
      <w:r w:rsidRPr="00A46B17">
        <w:rPr>
          <w:sz w:val="22"/>
          <w:szCs w:val="22"/>
          <w:lang w:val="en-US"/>
        </w:rPr>
        <w:t xml:space="preserve">  We also suggest that the Committee clearly state that law should “prohibit </w:t>
      </w:r>
      <w:r w:rsidR="00C35497" w:rsidRPr="00A46B17">
        <w:rPr>
          <w:sz w:val="22"/>
          <w:szCs w:val="22"/>
          <w:lang w:val="en-US"/>
        </w:rPr>
        <w:t>interviewing of a person by the police in the absence of a lawyer, unless the person gives his or her informed and voluntary consent to waive the lawyer’s presence and to establish mechanisms for verifying the voluntary nature of the person’s consent</w:t>
      </w:r>
      <w:r w:rsidR="005D2E41" w:rsidRPr="00A46B17">
        <w:rPr>
          <w:sz w:val="22"/>
          <w:szCs w:val="22"/>
          <w:lang w:val="en-US"/>
        </w:rPr>
        <w:t>” and that “[a]</w:t>
      </w:r>
      <w:r w:rsidR="00C35497" w:rsidRPr="00A46B17">
        <w:rPr>
          <w:sz w:val="22"/>
          <w:szCs w:val="22"/>
          <w:lang w:val="en-US"/>
        </w:rPr>
        <w:t>n interview should not start until</w:t>
      </w:r>
      <w:r w:rsidRPr="00A46B17">
        <w:rPr>
          <w:sz w:val="22"/>
          <w:szCs w:val="22"/>
          <w:lang w:val="en-US"/>
        </w:rPr>
        <w:t xml:space="preserve"> the legal aid provider arrives”.</w:t>
      </w:r>
      <w:r w:rsidRPr="00A46B17">
        <w:rPr>
          <w:rStyle w:val="FootnoteReference"/>
          <w:sz w:val="22"/>
          <w:szCs w:val="22"/>
          <w:lang w:val="en-US"/>
        </w:rPr>
        <w:footnoteReference w:id="72"/>
      </w:r>
      <w:r w:rsidR="00C35497" w:rsidRPr="00A46B17">
        <w:rPr>
          <w:sz w:val="22"/>
          <w:szCs w:val="22"/>
          <w:lang w:val="en-US"/>
        </w:rPr>
        <w:t xml:space="preserve"> </w:t>
      </w:r>
    </w:p>
    <w:p w:rsidR="00AD1B49" w:rsidRPr="00A46B17" w:rsidRDefault="00AD1B49" w:rsidP="00720827">
      <w:pPr>
        <w:pStyle w:val="SingleTxtG"/>
        <w:spacing w:after="0" w:line="240" w:lineRule="auto"/>
        <w:ind w:left="720" w:right="-64"/>
        <w:rPr>
          <w:sz w:val="22"/>
          <w:szCs w:val="22"/>
          <w:lang w:val="en-US"/>
        </w:rPr>
      </w:pPr>
    </w:p>
    <w:p w:rsidR="00DE6E6E" w:rsidRPr="00A46B17" w:rsidRDefault="00DE6E6E" w:rsidP="00720827">
      <w:pPr>
        <w:pStyle w:val="SingleTxtG"/>
        <w:numPr>
          <w:ilvl w:val="0"/>
          <w:numId w:val="23"/>
        </w:numPr>
        <w:spacing w:after="0" w:line="240" w:lineRule="auto"/>
        <w:ind w:left="720" w:right="-64"/>
        <w:rPr>
          <w:sz w:val="22"/>
          <w:szCs w:val="22"/>
          <w:lang w:val="en-US"/>
        </w:rPr>
      </w:pPr>
      <w:r w:rsidRPr="00A46B17">
        <w:rPr>
          <w:sz w:val="22"/>
          <w:szCs w:val="22"/>
          <w:lang w:val="en-US"/>
        </w:rPr>
        <w:t xml:space="preserve">States’ </w:t>
      </w:r>
      <w:r w:rsidRPr="00A46B17">
        <w:rPr>
          <w:sz w:val="22"/>
          <w:szCs w:val="22"/>
        </w:rPr>
        <w:t>obligations</w:t>
      </w:r>
      <w:r w:rsidRPr="00A46B17">
        <w:rPr>
          <w:sz w:val="22"/>
          <w:szCs w:val="22"/>
          <w:lang w:val="en-US"/>
        </w:rPr>
        <w:t xml:space="preserve"> to provide </w:t>
      </w:r>
      <w:r w:rsidRPr="00A46B17">
        <w:rPr>
          <w:b/>
          <w:sz w:val="22"/>
          <w:szCs w:val="22"/>
          <w:lang w:val="en-US"/>
        </w:rPr>
        <w:t>legal aid</w:t>
      </w:r>
      <w:r w:rsidRPr="00A46B17">
        <w:rPr>
          <w:sz w:val="22"/>
          <w:szCs w:val="22"/>
          <w:lang w:val="en-US"/>
        </w:rPr>
        <w:t xml:space="preserve"> to enable access to independent counsel for all those arrested, detained, suspected of or charged with a criminal offence punishable by a term of imprisonment or the death penalty.</w:t>
      </w:r>
      <w:r w:rsidRPr="00A46B17">
        <w:rPr>
          <w:rStyle w:val="FootnoteReference"/>
          <w:sz w:val="22"/>
          <w:szCs w:val="22"/>
          <w:lang w:val="en-US"/>
        </w:rPr>
        <w:footnoteReference w:id="73"/>
      </w:r>
      <w:r w:rsidRPr="00A46B17">
        <w:rPr>
          <w:sz w:val="22"/>
          <w:szCs w:val="22"/>
          <w:lang w:val="en-US"/>
        </w:rPr>
        <w:t xml:space="preserve">  </w:t>
      </w:r>
    </w:p>
    <w:p w:rsidR="00AD1B49" w:rsidRPr="00A46B17" w:rsidRDefault="00AD1B49" w:rsidP="00720827">
      <w:pPr>
        <w:pStyle w:val="SingleTxtG"/>
        <w:spacing w:after="0" w:line="240" w:lineRule="auto"/>
        <w:ind w:left="720" w:right="-64"/>
        <w:rPr>
          <w:sz w:val="22"/>
          <w:szCs w:val="22"/>
          <w:lang w:val="en-US"/>
        </w:rPr>
      </w:pPr>
    </w:p>
    <w:p w:rsidR="00C04356" w:rsidRPr="00A46B17" w:rsidRDefault="00DE6E6E" w:rsidP="00720827">
      <w:pPr>
        <w:pStyle w:val="SingleTxtG"/>
        <w:spacing w:after="0" w:line="240" w:lineRule="auto"/>
        <w:ind w:left="720" w:right="-64"/>
        <w:rPr>
          <w:sz w:val="22"/>
          <w:szCs w:val="22"/>
          <w:lang w:val="en-US"/>
        </w:rPr>
      </w:pPr>
      <w:r w:rsidRPr="00A46B17">
        <w:rPr>
          <w:sz w:val="22"/>
          <w:szCs w:val="22"/>
          <w:lang w:val="en-US"/>
        </w:rPr>
        <w:t>Here it would be helpful if the Committee gave recognition to the principle contained in the UN Guidelines that “[</w:t>
      </w:r>
      <w:proofErr w:type="spellStart"/>
      <w:r w:rsidRPr="00A46B17">
        <w:rPr>
          <w:sz w:val="22"/>
          <w:szCs w:val="22"/>
          <w:lang w:val="en-US"/>
        </w:rPr>
        <w:t>i</w:t>
      </w:r>
      <w:proofErr w:type="spellEnd"/>
      <w:r w:rsidRPr="00A46B17">
        <w:rPr>
          <w:sz w:val="22"/>
          <w:szCs w:val="22"/>
          <w:lang w:val="en-US"/>
        </w:rPr>
        <w:t>]t is the responsibility of police, prosecutors and judges to ensure that those who appear before them who cannot afford a lawyer and/or who are vulnerable are provided access to legal aid”,</w:t>
      </w:r>
      <w:r w:rsidRPr="00A46B17">
        <w:rPr>
          <w:rStyle w:val="FootnoteReference"/>
          <w:sz w:val="22"/>
          <w:szCs w:val="22"/>
          <w:lang w:val="en-US"/>
        </w:rPr>
        <w:footnoteReference w:id="74"/>
      </w:r>
      <w:r w:rsidRPr="00A46B17">
        <w:rPr>
          <w:sz w:val="22"/>
          <w:szCs w:val="22"/>
          <w:lang w:val="en-US"/>
        </w:rPr>
        <w:t xml:space="preserve"> </w:t>
      </w:r>
      <w:r w:rsidR="0085562F" w:rsidRPr="00A46B17">
        <w:rPr>
          <w:sz w:val="22"/>
          <w:szCs w:val="22"/>
          <w:lang w:val="en-US"/>
        </w:rPr>
        <w:t>and that the means of contacting legal aid providers should be made available in police stations and other places of detention</w:t>
      </w:r>
      <w:r w:rsidRPr="00A46B17">
        <w:rPr>
          <w:sz w:val="22"/>
          <w:szCs w:val="22"/>
          <w:lang w:val="en-US"/>
        </w:rPr>
        <w:t>.</w:t>
      </w:r>
      <w:r w:rsidRPr="00A46B17">
        <w:rPr>
          <w:rStyle w:val="FootnoteReference"/>
          <w:sz w:val="22"/>
          <w:szCs w:val="22"/>
          <w:lang w:val="en-US"/>
        </w:rPr>
        <w:footnoteReference w:id="75"/>
      </w:r>
      <w:r w:rsidRPr="00A46B17">
        <w:rPr>
          <w:sz w:val="22"/>
          <w:szCs w:val="22"/>
          <w:lang w:val="en-US"/>
        </w:rPr>
        <w:t xml:space="preserve"> It should be stressed that “States should ensure that, prior to any questioning and at the time of deprivation of liberty, persons are informed of their right to legal aid and other procedural safeguards as well as of the potential consequences of voluntarily waiving those rights”.</w:t>
      </w:r>
      <w:r w:rsidRPr="00A46B17">
        <w:rPr>
          <w:rStyle w:val="FootnoteReference"/>
          <w:sz w:val="22"/>
          <w:szCs w:val="22"/>
          <w:lang w:val="en-US"/>
        </w:rPr>
        <w:footnoteReference w:id="76"/>
      </w:r>
      <w:r w:rsidRPr="00A46B17">
        <w:rPr>
          <w:sz w:val="22"/>
          <w:szCs w:val="22"/>
          <w:lang w:val="en-US"/>
        </w:rPr>
        <w:t xml:space="preserve"> Although legal aid may be means tested, the UN Guidelines provide that “[p]</w:t>
      </w:r>
      <w:proofErr w:type="spellStart"/>
      <w:r w:rsidRPr="00A46B17">
        <w:rPr>
          <w:sz w:val="22"/>
          <w:szCs w:val="22"/>
          <w:lang w:val="en-US"/>
        </w:rPr>
        <w:t>ersons</w:t>
      </w:r>
      <w:proofErr w:type="spellEnd"/>
      <w:r w:rsidRPr="00A46B17">
        <w:rPr>
          <w:sz w:val="22"/>
          <w:szCs w:val="22"/>
          <w:lang w:val="en-US"/>
        </w:rPr>
        <w:t xml:space="preserve"> urgently requiring legal aid at police stations, detention </w:t>
      </w:r>
      <w:proofErr w:type="spellStart"/>
      <w:r w:rsidRPr="00A46B17">
        <w:rPr>
          <w:sz w:val="22"/>
          <w:szCs w:val="22"/>
          <w:lang w:val="en-US"/>
        </w:rPr>
        <w:t>centres</w:t>
      </w:r>
      <w:proofErr w:type="spellEnd"/>
      <w:r w:rsidRPr="00A46B17">
        <w:rPr>
          <w:sz w:val="22"/>
          <w:szCs w:val="22"/>
          <w:lang w:val="en-US"/>
        </w:rPr>
        <w:t xml:space="preserve"> or courts should be provided preliminary legal aid while their eligibility is being determined. Children are always exempted from the means test”.</w:t>
      </w:r>
      <w:r w:rsidRPr="00A46B17">
        <w:rPr>
          <w:rStyle w:val="FootnoteReference"/>
          <w:sz w:val="22"/>
          <w:szCs w:val="22"/>
          <w:lang w:val="en-US"/>
        </w:rPr>
        <w:footnoteReference w:id="77"/>
      </w:r>
    </w:p>
    <w:p w:rsidR="00AD1B49" w:rsidRPr="00A46B17" w:rsidRDefault="00AD1B49" w:rsidP="00720827">
      <w:pPr>
        <w:pStyle w:val="SingleTxtG"/>
        <w:spacing w:after="0" w:line="240" w:lineRule="auto"/>
        <w:ind w:left="720" w:right="-64"/>
        <w:rPr>
          <w:sz w:val="22"/>
          <w:szCs w:val="22"/>
          <w:lang w:val="en-US"/>
        </w:rPr>
      </w:pPr>
    </w:p>
    <w:p w:rsidR="008139B3" w:rsidRPr="00A46B17" w:rsidRDefault="00C04356" w:rsidP="00720827">
      <w:pPr>
        <w:pStyle w:val="SingleTxtG"/>
        <w:numPr>
          <w:ilvl w:val="0"/>
          <w:numId w:val="30"/>
        </w:numPr>
        <w:spacing w:after="0" w:line="240" w:lineRule="auto"/>
        <w:ind w:left="720" w:right="-64"/>
        <w:rPr>
          <w:sz w:val="22"/>
          <w:szCs w:val="22"/>
          <w:lang w:val="en-US"/>
        </w:rPr>
      </w:pPr>
      <w:r w:rsidRPr="00A46B17">
        <w:rPr>
          <w:sz w:val="22"/>
          <w:szCs w:val="22"/>
          <w:lang w:val="en-US"/>
        </w:rPr>
        <w:t xml:space="preserve">The </w:t>
      </w:r>
      <w:r w:rsidRPr="00A46B17">
        <w:rPr>
          <w:b/>
          <w:sz w:val="22"/>
          <w:szCs w:val="22"/>
          <w:lang w:val="en-US"/>
        </w:rPr>
        <w:t>confidentiality</w:t>
      </w:r>
      <w:r w:rsidRPr="00A46B17">
        <w:rPr>
          <w:sz w:val="22"/>
          <w:szCs w:val="22"/>
          <w:lang w:val="en-US"/>
        </w:rPr>
        <w:t xml:space="preserve"> of communications between a detainee and legal counsel</w:t>
      </w:r>
      <w:r w:rsidR="005D2E41" w:rsidRPr="00A46B17">
        <w:rPr>
          <w:sz w:val="22"/>
          <w:szCs w:val="22"/>
          <w:lang w:val="en-US"/>
        </w:rPr>
        <w:t>.</w:t>
      </w:r>
      <w:r w:rsidR="005D2E41" w:rsidRPr="00A46B17">
        <w:rPr>
          <w:rStyle w:val="FootnoteReference"/>
          <w:sz w:val="22"/>
          <w:szCs w:val="22"/>
          <w:lang w:val="en-US"/>
        </w:rPr>
        <w:footnoteReference w:id="78"/>
      </w:r>
    </w:p>
    <w:p w:rsidR="00AD1B49" w:rsidRPr="00A46B17" w:rsidRDefault="00AD1B49" w:rsidP="00720827">
      <w:pPr>
        <w:pStyle w:val="SingleTxtG"/>
        <w:spacing w:after="0" w:line="240" w:lineRule="auto"/>
        <w:ind w:left="720" w:right="-64"/>
        <w:rPr>
          <w:sz w:val="22"/>
          <w:szCs w:val="22"/>
          <w:lang w:val="en-US"/>
        </w:rPr>
      </w:pPr>
    </w:p>
    <w:p w:rsidR="002B44CC" w:rsidRPr="00A46B17" w:rsidRDefault="002B44CC" w:rsidP="00720827">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A46B17">
        <w:rPr>
          <w:rFonts w:ascii="Times New Roman" w:hAnsi="Times New Roman" w:cs="Times New Roman"/>
          <w:b/>
          <w:lang w:val="en-US"/>
        </w:rPr>
        <w:t>Summary:</w:t>
      </w:r>
      <w:r w:rsidRPr="00A46B17">
        <w:rPr>
          <w:rFonts w:ascii="Times New Roman" w:hAnsi="Times New Roman" w:cs="Times New Roman"/>
          <w:lang w:val="en-US"/>
        </w:rPr>
        <w:t xml:space="preserve"> Given the crucial importance of the right of access to a lawyer and legal assistance to upholding the right to liberty and security of the person, and other rights protected under the Covenant, we urge the Committee to include a separate paragra</w:t>
      </w:r>
      <w:r w:rsidR="000F0C3B">
        <w:rPr>
          <w:rFonts w:ascii="Times New Roman" w:hAnsi="Times New Roman" w:cs="Times New Roman"/>
          <w:lang w:val="en-US"/>
        </w:rPr>
        <w:t>ph on this issue.</w:t>
      </w:r>
      <w:r w:rsidRPr="00A46B17">
        <w:rPr>
          <w:rFonts w:ascii="Times New Roman" w:hAnsi="Times New Roman" w:cs="Times New Roman"/>
          <w:lang w:val="en-US"/>
        </w:rPr>
        <w:t xml:space="preserve"> We suggest that the paragraph provide further guidance to States parties in relation to the times and places at which access to a lawyer is required, the obligation to provide legal aid to allow access to a lawyer, and the confidentiality of communications</w:t>
      </w:r>
      <w:r w:rsidR="000F0C3B">
        <w:rPr>
          <w:rFonts w:ascii="Times New Roman" w:hAnsi="Times New Roman" w:cs="Times New Roman"/>
          <w:lang w:val="en-US"/>
        </w:rPr>
        <w:t xml:space="preserve"> between a detainee and lawyer.</w:t>
      </w:r>
      <w:r w:rsidR="00F27AAD" w:rsidRPr="00A46B17">
        <w:rPr>
          <w:rFonts w:ascii="Times New Roman" w:hAnsi="Times New Roman" w:cs="Times New Roman"/>
          <w:lang w:val="en-US"/>
        </w:rPr>
        <w:t xml:space="preserve"> It would be helpful if this paragraph referred to the </w:t>
      </w:r>
      <w:r w:rsidR="00F27AAD" w:rsidRPr="00A46B17">
        <w:rPr>
          <w:rFonts w:ascii="Times New Roman" w:hAnsi="Times New Roman" w:cs="Times New Roman"/>
          <w:bCs/>
          <w:lang w:val="en-US"/>
        </w:rPr>
        <w:t>United Nations Principles and Guidelines on Access to Legal Aid in Criminal Justice Systems as a helpful guide for States.</w:t>
      </w:r>
    </w:p>
    <w:p w:rsidR="00675260" w:rsidRPr="00A46B17" w:rsidRDefault="00675260" w:rsidP="00720827">
      <w:pPr>
        <w:pStyle w:val="PlainText"/>
        <w:jc w:val="both"/>
        <w:rPr>
          <w:rFonts w:ascii="Times New Roman" w:hAnsi="Times New Roman" w:cs="Times New Roman"/>
          <w:b/>
          <w:caps/>
          <w:lang w:val="en-GB"/>
        </w:rPr>
      </w:pPr>
    </w:p>
    <w:p w:rsidR="00675260" w:rsidRPr="00A46B17" w:rsidRDefault="00A508C7" w:rsidP="00D3761D">
      <w:pPr>
        <w:pStyle w:val="Heading2"/>
        <w:spacing w:before="0"/>
        <w:jc w:val="both"/>
        <w:rPr>
          <w:rFonts w:ascii="Times New Roman" w:hAnsi="Times New Roman" w:cs="Times New Roman"/>
          <w:color w:val="auto"/>
          <w:sz w:val="24"/>
          <w:szCs w:val="24"/>
          <w:lang w:val="en-US"/>
        </w:rPr>
      </w:pPr>
      <w:bookmarkStart w:id="37" w:name="_Toc388377559"/>
      <w:bookmarkStart w:id="38" w:name="_Toc388961677"/>
      <w:bookmarkStart w:id="39" w:name="_Toc389236148"/>
      <w:r w:rsidRPr="00A46B17">
        <w:rPr>
          <w:rFonts w:ascii="Times New Roman" w:hAnsi="Times New Roman" w:cs="Times New Roman"/>
          <w:color w:val="auto"/>
          <w:sz w:val="24"/>
          <w:szCs w:val="24"/>
          <w:lang w:val="en-US"/>
        </w:rPr>
        <w:t>Requirement for detainees to appear physically before a judge</w:t>
      </w:r>
      <w:bookmarkEnd w:id="37"/>
      <w:bookmarkEnd w:id="38"/>
      <w:bookmarkEnd w:id="39"/>
    </w:p>
    <w:p w:rsidR="00675260" w:rsidRPr="00A46B17" w:rsidRDefault="00675260" w:rsidP="00606255">
      <w:pPr>
        <w:pStyle w:val="PlainText"/>
        <w:numPr>
          <w:ilvl w:val="0"/>
          <w:numId w:val="37"/>
        </w:numPr>
        <w:jc w:val="both"/>
        <w:rPr>
          <w:rFonts w:ascii="Times New Roman" w:hAnsi="Times New Roman" w:cs="Times New Roman"/>
          <w:lang w:val="en-US"/>
        </w:rPr>
      </w:pPr>
      <w:r w:rsidRPr="00A46B17">
        <w:rPr>
          <w:rFonts w:ascii="Times New Roman" w:hAnsi="Times New Roman" w:cs="Times New Roman"/>
          <w:lang w:val="en-US"/>
        </w:rPr>
        <w:t xml:space="preserve">We are pleased to note that </w:t>
      </w:r>
      <w:r w:rsidRPr="00C15AC6">
        <w:rPr>
          <w:rFonts w:ascii="Times New Roman" w:hAnsi="Times New Roman" w:cs="Times New Roman"/>
          <w:b/>
          <w:lang w:val="en-US"/>
        </w:rPr>
        <w:t>paragraph 34</w:t>
      </w:r>
      <w:r w:rsidRPr="00A46B17">
        <w:rPr>
          <w:rFonts w:ascii="Times New Roman" w:hAnsi="Times New Roman" w:cs="Times New Roman"/>
          <w:lang w:val="en-US"/>
        </w:rPr>
        <w:t xml:space="preserve"> of the draft General Comment</w:t>
      </w:r>
      <w:r w:rsidR="00316381">
        <w:rPr>
          <w:rFonts w:ascii="Times New Roman" w:hAnsi="Times New Roman" w:cs="Times New Roman"/>
          <w:lang w:val="en-US"/>
        </w:rPr>
        <w:t xml:space="preserve"> No.</w:t>
      </w:r>
      <w:r w:rsidRPr="00A46B17">
        <w:rPr>
          <w:rFonts w:ascii="Times New Roman" w:hAnsi="Times New Roman" w:cs="Times New Roman"/>
          <w:lang w:val="en-US"/>
        </w:rPr>
        <w:t xml:space="preserve"> 35 refers to the need for individuals to be brought to appear physically before a judge or other officer authorized by law to exercise judicial power. The importance of this </w:t>
      </w:r>
      <w:r w:rsidRPr="00A46B17">
        <w:rPr>
          <w:rFonts w:ascii="Times New Roman" w:hAnsi="Times New Roman" w:cs="Times New Roman"/>
          <w:lang w:val="en-US"/>
        </w:rPr>
        <w:lastRenderedPageBreak/>
        <w:t>requirement as a fundamental safeguard against torture and ill-treatment should not be underestimated as this gives the judge an opportunity not only to inquire about the treatment of the detainee, but also to carry out a visual check of the detainee’s physical condition so as to identify any obvious signs of injury on the detainee that may be the result of torture or ill-treatment, and to take the necessary action thereafter. The physical presence of the suspect before a judge or other judicial officer can also provide him/her with the opportunity to challenge evidence that was obtained through torture and ill-treatment, which is prohibited under international law</w:t>
      </w:r>
      <w:r w:rsidRPr="00A46B17">
        <w:rPr>
          <w:rStyle w:val="FootnoteReference"/>
          <w:rFonts w:cs="Times New Roman"/>
          <w:sz w:val="22"/>
          <w:lang w:val="en-US"/>
        </w:rPr>
        <w:footnoteReference w:id="79"/>
      </w:r>
      <w:r w:rsidRPr="00A46B17">
        <w:rPr>
          <w:rFonts w:ascii="Times New Roman" w:hAnsi="Times New Roman" w:cs="Times New Roman"/>
          <w:lang w:val="en-US"/>
        </w:rPr>
        <w:t xml:space="preserve">, and to protect his or her right to protection against self-incrimination. </w:t>
      </w:r>
    </w:p>
    <w:p w:rsidR="00675260" w:rsidRPr="00A46B17" w:rsidRDefault="00675260" w:rsidP="00D3761D">
      <w:pPr>
        <w:pStyle w:val="PlainText"/>
        <w:jc w:val="both"/>
        <w:rPr>
          <w:rFonts w:ascii="Times New Roman" w:hAnsi="Times New Roman" w:cs="Times New Roman"/>
          <w:lang w:val="en-US"/>
        </w:rPr>
      </w:pPr>
    </w:p>
    <w:p w:rsidR="00675260" w:rsidRPr="00A46B17" w:rsidRDefault="00F15C98" w:rsidP="00606255">
      <w:pPr>
        <w:pStyle w:val="PlainText"/>
        <w:numPr>
          <w:ilvl w:val="0"/>
          <w:numId w:val="37"/>
        </w:numPr>
        <w:jc w:val="both"/>
        <w:rPr>
          <w:rFonts w:ascii="Times New Roman" w:hAnsi="Times New Roman" w:cs="Times New Roman"/>
          <w:lang w:val="en-US"/>
        </w:rPr>
      </w:pPr>
      <w:r>
        <w:rPr>
          <w:rFonts w:ascii="Times New Roman" w:hAnsi="Times New Roman" w:cs="Times New Roman"/>
          <w:lang w:val="en-US"/>
        </w:rPr>
        <w:t>While i</w:t>
      </w:r>
      <w:r w:rsidR="00675260" w:rsidRPr="00A46B17">
        <w:rPr>
          <w:rFonts w:ascii="Times New Roman" w:hAnsi="Times New Roman" w:cs="Times New Roman"/>
          <w:lang w:val="en-US"/>
        </w:rPr>
        <w:t xml:space="preserve">n many </w:t>
      </w:r>
      <w:r>
        <w:rPr>
          <w:rFonts w:ascii="Times New Roman" w:hAnsi="Times New Roman" w:cs="Times New Roman"/>
          <w:lang w:val="en-US"/>
        </w:rPr>
        <w:t xml:space="preserve">States parties, </w:t>
      </w:r>
      <w:r w:rsidR="00675260" w:rsidRPr="00A46B17">
        <w:rPr>
          <w:rFonts w:ascii="Times New Roman" w:hAnsi="Times New Roman" w:cs="Times New Roman"/>
          <w:lang w:val="en-US"/>
        </w:rPr>
        <w:t>detained criminal suspects are brought to the court to be presented before a judge within the required time frame in order for a judicial order of detention to be issued</w:t>
      </w:r>
      <w:r>
        <w:rPr>
          <w:rFonts w:ascii="Times New Roman" w:hAnsi="Times New Roman" w:cs="Times New Roman"/>
          <w:lang w:val="en-US"/>
        </w:rPr>
        <w:t>, in some countries</w:t>
      </w:r>
      <w:r w:rsidR="00675260" w:rsidRPr="00A46B17">
        <w:rPr>
          <w:rFonts w:ascii="Times New Roman" w:hAnsi="Times New Roman" w:cs="Times New Roman"/>
          <w:lang w:val="en-US"/>
        </w:rPr>
        <w:t xml:space="preserve"> it is standard practice for the detainee to be held in the court house jail during these proceedings rather than to appear physically before the judge. Instead, the judge is provided with the investigation file and uses this as the basis upon which to make the decision regarding the continued detention of the suspect. The failure of the judge to physically view the detainee in-person entirely undermines the ability of this judicial oversight to effectively serve as a safeguard against torture and ill-treatment. In the view of our </w:t>
      </w:r>
      <w:proofErr w:type="spellStart"/>
      <w:r w:rsidR="00675260" w:rsidRPr="00A46B17">
        <w:rPr>
          <w:rFonts w:ascii="Times New Roman" w:hAnsi="Times New Roman" w:cs="Times New Roman"/>
          <w:lang w:val="en-US"/>
        </w:rPr>
        <w:t>organisations</w:t>
      </w:r>
      <w:proofErr w:type="spellEnd"/>
      <w:r w:rsidR="00675260" w:rsidRPr="00A46B17">
        <w:rPr>
          <w:rFonts w:ascii="Times New Roman" w:hAnsi="Times New Roman" w:cs="Times New Roman"/>
          <w:lang w:val="en-US"/>
        </w:rPr>
        <w:t xml:space="preserve">, the visual check is an important component of the judge’s role in preventing and protecting against torture, and this should be more clearly articulated in General Comment </w:t>
      </w:r>
      <w:r w:rsidR="00316381">
        <w:rPr>
          <w:rFonts w:ascii="Times New Roman" w:hAnsi="Times New Roman" w:cs="Times New Roman"/>
          <w:lang w:val="en-US"/>
        </w:rPr>
        <w:t xml:space="preserve">No. </w:t>
      </w:r>
      <w:r w:rsidR="00675260" w:rsidRPr="00A46B17">
        <w:rPr>
          <w:rFonts w:ascii="Times New Roman" w:hAnsi="Times New Roman" w:cs="Times New Roman"/>
          <w:lang w:val="en-US"/>
        </w:rPr>
        <w:t xml:space="preserve">35. </w:t>
      </w:r>
    </w:p>
    <w:p w:rsidR="00675260" w:rsidRPr="00A46B17" w:rsidRDefault="00675260" w:rsidP="00D3761D">
      <w:pPr>
        <w:pStyle w:val="PlainText"/>
        <w:jc w:val="both"/>
        <w:rPr>
          <w:rFonts w:ascii="Times New Roman" w:hAnsi="Times New Roman" w:cs="Times New Roman"/>
          <w:lang w:val="en-US"/>
        </w:rPr>
      </w:pPr>
    </w:p>
    <w:p w:rsidR="00675260" w:rsidRPr="00F15C98" w:rsidRDefault="00675260" w:rsidP="00606255">
      <w:pPr>
        <w:pStyle w:val="PlainText"/>
        <w:numPr>
          <w:ilvl w:val="0"/>
          <w:numId w:val="37"/>
        </w:numPr>
        <w:jc w:val="both"/>
        <w:rPr>
          <w:rFonts w:ascii="Times New Roman" w:hAnsi="Times New Roman" w:cs="Times New Roman"/>
          <w:lang w:val="en-US"/>
        </w:rPr>
      </w:pPr>
      <w:r w:rsidRPr="00F15C98">
        <w:rPr>
          <w:rFonts w:ascii="Times New Roman" w:hAnsi="Times New Roman" w:cs="Times New Roman"/>
          <w:lang w:val="en-US"/>
        </w:rPr>
        <w:t xml:space="preserve">In several states, the judges or other authorized officers simply approve </w:t>
      </w:r>
      <w:r w:rsidR="00F15C98" w:rsidRPr="00F15C98">
        <w:rPr>
          <w:rFonts w:ascii="Times New Roman" w:hAnsi="Times New Roman" w:cs="Times New Roman"/>
          <w:lang w:val="en-US"/>
        </w:rPr>
        <w:t xml:space="preserve">extension of pre-charge detention or imposition of </w:t>
      </w:r>
      <w:r w:rsidRPr="00F15C98">
        <w:rPr>
          <w:rFonts w:ascii="Times New Roman" w:hAnsi="Times New Roman" w:cs="Times New Roman"/>
          <w:lang w:val="en-US"/>
        </w:rPr>
        <w:t>pre-trial detention on the basis of police reports, without further investigation or inquiry. In order to ensure the effectiveness of the safeguard provided by judicial oversight of detention, it is also necessary to ensure that those judges or other authorized officers are competent, in terms of the powers vested in them</w:t>
      </w:r>
      <w:r w:rsidR="0088030C" w:rsidRPr="00F15C98">
        <w:rPr>
          <w:rFonts w:ascii="Times New Roman" w:hAnsi="Times New Roman" w:cs="Times New Roman"/>
          <w:lang w:val="en-US"/>
        </w:rPr>
        <w:t>,</w:t>
      </w:r>
      <w:r w:rsidRPr="00F15C98">
        <w:rPr>
          <w:rFonts w:ascii="Times New Roman" w:hAnsi="Times New Roman" w:cs="Times New Roman"/>
          <w:lang w:val="en-US"/>
        </w:rPr>
        <w:t xml:space="preserve"> as well as </w:t>
      </w:r>
      <w:r w:rsidR="0088030C" w:rsidRPr="00F15C98">
        <w:rPr>
          <w:rFonts w:ascii="Times New Roman" w:hAnsi="Times New Roman" w:cs="Times New Roman"/>
          <w:lang w:val="en-US"/>
        </w:rPr>
        <w:t xml:space="preserve">in terms of </w:t>
      </w:r>
      <w:r w:rsidRPr="00F15C98">
        <w:rPr>
          <w:rFonts w:ascii="Times New Roman" w:hAnsi="Times New Roman" w:cs="Times New Roman"/>
          <w:lang w:val="en-US"/>
        </w:rPr>
        <w:t>their independence and willingness to question information furnished to them by the police, to determine whether contin</w:t>
      </w:r>
      <w:r w:rsidR="00F15C98" w:rsidRPr="00F15C98">
        <w:rPr>
          <w:rFonts w:ascii="Times New Roman" w:hAnsi="Times New Roman" w:cs="Times New Roman"/>
          <w:lang w:val="en-US"/>
        </w:rPr>
        <w:t>ued detention should be ordered</w:t>
      </w:r>
      <w:r w:rsidRPr="00F15C98">
        <w:rPr>
          <w:rFonts w:ascii="Times New Roman" w:hAnsi="Times New Roman" w:cs="Times New Roman"/>
          <w:lang w:val="en-US"/>
        </w:rPr>
        <w:t xml:space="preserve">. </w:t>
      </w:r>
      <w:r w:rsidR="00F15C98" w:rsidRPr="00F15C98">
        <w:rPr>
          <w:rFonts w:ascii="Times New Roman" w:hAnsi="Times New Roman" w:cs="Times New Roman"/>
          <w:lang w:val="en-US"/>
        </w:rPr>
        <w:t>In our view, these competencies are</w:t>
      </w:r>
      <w:r w:rsidRPr="00F15C98">
        <w:rPr>
          <w:rFonts w:ascii="Times New Roman" w:hAnsi="Times New Roman" w:cs="Times New Roman"/>
          <w:lang w:val="en-US"/>
        </w:rPr>
        <w:t xml:space="preserve"> an important aspect of judicial oversight of detention which should</w:t>
      </w:r>
      <w:r w:rsidR="0088030C" w:rsidRPr="00F15C98">
        <w:rPr>
          <w:rFonts w:ascii="Times New Roman" w:hAnsi="Times New Roman" w:cs="Times New Roman"/>
          <w:lang w:val="en-US"/>
        </w:rPr>
        <w:t xml:space="preserve"> </w:t>
      </w:r>
      <w:r w:rsidRPr="00F15C98">
        <w:rPr>
          <w:rFonts w:ascii="Times New Roman" w:hAnsi="Times New Roman" w:cs="Times New Roman"/>
          <w:lang w:val="en-US"/>
        </w:rPr>
        <w:t>be reflected in General Comment</w:t>
      </w:r>
      <w:r w:rsidR="00316381">
        <w:rPr>
          <w:rFonts w:ascii="Times New Roman" w:hAnsi="Times New Roman" w:cs="Times New Roman"/>
          <w:lang w:val="en-US"/>
        </w:rPr>
        <w:t xml:space="preserve"> No.</w:t>
      </w:r>
      <w:r w:rsidRPr="00F15C98">
        <w:rPr>
          <w:rFonts w:ascii="Times New Roman" w:hAnsi="Times New Roman" w:cs="Times New Roman"/>
          <w:lang w:val="en-US"/>
        </w:rPr>
        <w:t xml:space="preserve"> 35. </w:t>
      </w:r>
      <w:r w:rsidR="0088030C" w:rsidRPr="00F15C98">
        <w:rPr>
          <w:rFonts w:ascii="Times New Roman" w:hAnsi="Times New Roman" w:cs="Times New Roman"/>
          <w:lang w:val="en-US"/>
        </w:rPr>
        <w:t xml:space="preserve">The lack of independence of the judicial authority responsible </w:t>
      </w:r>
      <w:r w:rsidR="00F15C98" w:rsidRPr="00F15C98">
        <w:rPr>
          <w:rFonts w:ascii="Times New Roman" w:hAnsi="Times New Roman" w:cs="Times New Roman"/>
          <w:lang w:val="en-US"/>
        </w:rPr>
        <w:t xml:space="preserve">can severely undermine the effectiveness of judicial oversight of detention. For example, </w:t>
      </w:r>
      <w:r w:rsidR="00F15C98">
        <w:rPr>
          <w:rFonts w:ascii="Times New Roman" w:hAnsi="Times New Roman" w:cs="Times New Roman"/>
          <w:lang w:val="en-US"/>
        </w:rPr>
        <w:t>i</w:t>
      </w:r>
      <w:r w:rsidR="00AE31C1" w:rsidRPr="00F15C98">
        <w:rPr>
          <w:rFonts w:ascii="Times New Roman" w:hAnsi="Times New Roman" w:cs="Times New Roman"/>
          <w:lang w:val="en-US"/>
        </w:rPr>
        <w:t>n some legal systems</w:t>
      </w:r>
      <w:r w:rsidRPr="00F15C98">
        <w:rPr>
          <w:rFonts w:ascii="Times New Roman" w:hAnsi="Times New Roman" w:cs="Times New Roman"/>
          <w:lang w:val="en-US"/>
        </w:rPr>
        <w:t xml:space="preserve">, the Public Prosecutor is responsible for deciding </w:t>
      </w:r>
      <w:r w:rsidR="00F15C98">
        <w:rPr>
          <w:rFonts w:ascii="Times New Roman" w:hAnsi="Times New Roman" w:cs="Times New Roman"/>
          <w:lang w:val="en-US"/>
        </w:rPr>
        <w:t xml:space="preserve">whether pre-charge detention should be extended for certain levels of crime. From our experience working in those </w:t>
      </w:r>
      <w:r w:rsidRPr="00F15C98">
        <w:rPr>
          <w:rFonts w:ascii="Times New Roman" w:hAnsi="Times New Roman" w:cs="Times New Roman"/>
          <w:lang w:val="en-US"/>
        </w:rPr>
        <w:t xml:space="preserve">countries where there are concerns that the Public Prosecution does not exercise sufficient independence, including from the police, their role in deciding on the continued detention of a criminal suspect is highly problematic. </w:t>
      </w:r>
    </w:p>
    <w:p w:rsidR="004F3693" w:rsidRPr="00A46B17" w:rsidRDefault="004F3693" w:rsidP="00D3761D">
      <w:pPr>
        <w:pStyle w:val="PlainText"/>
        <w:jc w:val="both"/>
        <w:rPr>
          <w:rFonts w:ascii="Times New Roman" w:hAnsi="Times New Roman" w:cs="Times New Roman"/>
          <w:lang w:val="en-US"/>
        </w:rPr>
      </w:pPr>
    </w:p>
    <w:p w:rsidR="004F3693" w:rsidRPr="00A46B17" w:rsidRDefault="004F3693" w:rsidP="00720827">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A46B17">
        <w:rPr>
          <w:rFonts w:ascii="Times New Roman" w:hAnsi="Times New Roman" w:cs="Times New Roman"/>
          <w:b/>
          <w:lang w:val="en-US"/>
        </w:rPr>
        <w:t xml:space="preserve">Summary: </w:t>
      </w:r>
      <w:r w:rsidRPr="00A46B17">
        <w:rPr>
          <w:rFonts w:ascii="Times New Roman" w:hAnsi="Times New Roman" w:cs="Times New Roman"/>
          <w:lang w:val="en-US"/>
        </w:rPr>
        <w:t>In light of the important role played by the judge or other authorized officer in visually identifying possible signs of injury that may be indicative of the kind of treatment experienced by a detainee, we suggest including a sentence in paragraph 34 which more explicitly refers to this.</w:t>
      </w:r>
    </w:p>
    <w:p w:rsidR="004F3693" w:rsidRPr="00A46B17" w:rsidRDefault="004F3693" w:rsidP="00720827">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lang w:val="en-US"/>
        </w:rPr>
      </w:pPr>
    </w:p>
    <w:p w:rsidR="004F3693" w:rsidRPr="00A46B17" w:rsidRDefault="000027DC" w:rsidP="00720827">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A46B17">
        <w:rPr>
          <w:rFonts w:ascii="Times New Roman" w:hAnsi="Times New Roman" w:cs="Times New Roman"/>
          <w:b/>
          <w:lang w:val="en-US"/>
        </w:rPr>
        <w:t>Suggested wording</w:t>
      </w:r>
      <w:r w:rsidR="004F3693" w:rsidRPr="00A46B17">
        <w:rPr>
          <w:rFonts w:ascii="Times New Roman" w:hAnsi="Times New Roman" w:cs="Times New Roman"/>
          <w:b/>
          <w:lang w:val="en-US"/>
        </w:rPr>
        <w:t xml:space="preserve">: </w:t>
      </w:r>
      <w:r w:rsidR="004F3693" w:rsidRPr="00A46B17">
        <w:rPr>
          <w:rFonts w:ascii="Times New Roman" w:hAnsi="Times New Roman" w:cs="Times New Roman"/>
          <w:lang w:val="en-US"/>
        </w:rPr>
        <w:t xml:space="preserve">32. ….It is inherent to the proper exercise of judicial power that it be exercised by a </w:t>
      </w:r>
      <w:r w:rsidR="004F3693" w:rsidRPr="00A46B17">
        <w:rPr>
          <w:rFonts w:ascii="Times New Roman" w:hAnsi="Times New Roman" w:cs="Times New Roman"/>
          <w:u w:val="single"/>
          <w:lang w:val="en-US"/>
        </w:rPr>
        <w:t>competent</w:t>
      </w:r>
      <w:r w:rsidR="004F3693" w:rsidRPr="00A46B17">
        <w:rPr>
          <w:rFonts w:ascii="Times New Roman" w:hAnsi="Times New Roman" w:cs="Times New Roman"/>
          <w:lang w:val="en-US"/>
        </w:rPr>
        <w:t xml:space="preserve"> authority which is independent, objective and impartial in relation to the issues dealt with, </w:t>
      </w:r>
      <w:r w:rsidR="004F3693" w:rsidRPr="00A46B17">
        <w:rPr>
          <w:rFonts w:ascii="Times New Roman" w:hAnsi="Times New Roman" w:cs="Times New Roman"/>
          <w:u w:val="single"/>
          <w:lang w:val="en-US"/>
        </w:rPr>
        <w:t>so as to ensure that detention is not left to the sole discretion of the state agents responsible for carrying out the detention.</w:t>
      </w:r>
    </w:p>
    <w:p w:rsidR="004F3693" w:rsidRPr="00A46B17" w:rsidRDefault="004F3693" w:rsidP="00720827">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p>
    <w:p w:rsidR="00675260" w:rsidRPr="00A46B17" w:rsidRDefault="004F3693" w:rsidP="00720827">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A46B17">
        <w:rPr>
          <w:rFonts w:ascii="Times New Roman" w:hAnsi="Times New Roman" w:cs="Times New Roman"/>
          <w:lang w:val="en-US"/>
        </w:rPr>
        <w:lastRenderedPageBreak/>
        <w:t xml:space="preserve">34. The individual must be brought to appear physically before a </w:t>
      </w:r>
      <w:r w:rsidRPr="00A46B17">
        <w:rPr>
          <w:rFonts w:ascii="Times New Roman" w:hAnsi="Times New Roman" w:cs="Times New Roman"/>
          <w:u w:val="single"/>
          <w:lang w:val="en-US"/>
        </w:rPr>
        <w:t>competent</w:t>
      </w:r>
      <w:r w:rsidRPr="00A46B17">
        <w:rPr>
          <w:rFonts w:ascii="Times New Roman" w:hAnsi="Times New Roman" w:cs="Times New Roman"/>
          <w:lang w:val="en-US"/>
        </w:rPr>
        <w:t xml:space="preserve"> judge or other officer authorized by law to exercise judicial power. The physical presence of detainees at the hearing gives the opportunity for inquiry into the treatment that they received in custody </w:t>
      </w:r>
      <w:r w:rsidRPr="00A46B17">
        <w:rPr>
          <w:rFonts w:ascii="Times New Roman" w:hAnsi="Times New Roman" w:cs="Times New Roman"/>
          <w:u w:val="single"/>
          <w:lang w:val="en-US"/>
        </w:rPr>
        <w:t>as well as to visually identify any signs of injury on the detainee which may be indicative of the use of torture or cruel, inhuman or degrading treatment or punishment. Suspects</w:t>
      </w:r>
      <w:r w:rsidR="00434B0F">
        <w:rPr>
          <w:rFonts w:ascii="Times New Roman" w:hAnsi="Times New Roman" w:cs="Times New Roman"/>
          <w:u w:val="single"/>
          <w:lang w:val="en-US"/>
        </w:rPr>
        <w:t>, or their legal counsel on their behalf,</w:t>
      </w:r>
      <w:r w:rsidRPr="00A46B17">
        <w:rPr>
          <w:rFonts w:ascii="Times New Roman" w:hAnsi="Times New Roman" w:cs="Times New Roman"/>
          <w:u w:val="single"/>
          <w:lang w:val="en-US"/>
        </w:rPr>
        <w:t xml:space="preserve"> should have the right to speak during such proceedings, as well as the right to present witnesses. The physical presence of detainees</w:t>
      </w:r>
      <w:r w:rsidRPr="00A46B17">
        <w:rPr>
          <w:rFonts w:ascii="Times New Roman" w:hAnsi="Times New Roman" w:cs="Times New Roman"/>
          <w:lang w:val="en-US"/>
        </w:rPr>
        <w:t xml:space="preserve"> also facilitates immediate transfer to a remand detention centre if continued detention is ordered…. </w:t>
      </w:r>
    </w:p>
    <w:p w:rsidR="004F3693" w:rsidRPr="00A46B17" w:rsidRDefault="004F3693" w:rsidP="00720827">
      <w:pPr>
        <w:pStyle w:val="PlainText"/>
        <w:jc w:val="both"/>
        <w:rPr>
          <w:rFonts w:ascii="Times New Roman" w:hAnsi="Times New Roman" w:cs="Times New Roman"/>
          <w:lang w:val="en-US"/>
        </w:rPr>
      </w:pPr>
    </w:p>
    <w:p w:rsidR="007E0489" w:rsidRPr="00720827" w:rsidRDefault="00675260" w:rsidP="00720827">
      <w:pPr>
        <w:pStyle w:val="Heading2"/>
        <w:spacing w:before="0"/>
        <w:jc w:val="both"/>
        <w:rPr>
          <w:rFonts w:ascii="Times New Roman" w:hAnsi="Times New Roman" w:cs="Times New Roman"/>
          <w:color w:val="auto"/>
          <w:sz w:val="24"/>
          <w:szCs w:val="24"/>
          <w:lang w:val="en-US"/>
        </w:rPr>
      </w:pPr>
      <w:bookmarkStart w:id="40" w:name="_Toc388377560"/>
      <w:bookmarkStart w:id="41" w:name="_Toc388961678"/>
      <w:bookmarkStart w:id="42" w:name="_Toc389236149"/>
      <w:r w:rsidRPr="00A46B17">
        <w:rPr>
          <w:rFonts w:ascii="Times New Roman" w:hAnsi="Times New Roman" w:cs="Times New Roman"/>
          <w:color w:val="auto"/>
          <w:sz w:val="24"/>
          <w:szCs w:val="24"/>
          <w:lang w:val="en-US"/>
        </w:rPr>
        <w:t>Requirement for detainees to be brought “promptly before a judge”</w:t>
      </w:r>
      <w:bookmarkEnd w:id="40"/>
      <w:bookmarkEnd w:id="41"/>
      <w:bookmarkEnd w:id="42"/>
      <w:r w:rsidRPr="00A46B17">
        <w:rPr>
          <w:rFonts w:ascii="Times New Roman" w:hAnsi="Times New Roman" w:cs="Times New Roman"/>
          <w:color w:val="auto"/>
          <w:sz w:val="24"/>
          <w:szCs w:val="24"/>
          <w:lang w:val="en-US"/>
        </w:rPr>
        <w:t xml:space="preserve"> </w:t>
      </w:r>
    </w:p>
    <w:p w:rsidR="00675260" w:rsidRPr="00A46B17" w:rsidRDefault="00675260" w:rsidP="00606255">
      <w:pPr>
        <w:pStyle w:val="PlainText"/>
        <w:numPr>
          <w:ilvl w:val="0"/>
          <w:numId w:val="37"/>
        </w:numPr>
        <w:jc w:val="both"/>
        <w:rPr>
          <w:rFonts w:ascii="Times New Roman" w:hAnsi="Times New Roman" w:cs="Times New Roman"/>
          <w:lang w:val="en-US"/>
        </w:rPr>
      </w:pPr>
      <w:r w:rsidRPr="00A46B17">
        <w:rPr>
          <w:rFonts w:ascii="Times New Roman" w:hAnsi="Times New Roman" w:cs="Times New Roman"/>
          <w:lang w:val="en-US"/>
        </w:rPr>
        <w:t xml:space="preserve">We welcome the draft General Comment’s strong language regarding the Committee’s understanding of the requirement for detainees to be brought “promptly” before a judge, i.e. within 48 hours, and that any longer delay must be “absolutely exceptional and justified under the circumstances.” In its jurisprudence, the Committee has held that “any longer delay would require special justification to be compatible with </w:t>
      </w:r>
      <w:r w:rsidR="00795AB6">
        <w:rPr>
          <w:rFonts w:ascii="Times New Roman" w:hAnsi="Times New Roman" w:cs="Times New Roman"/>
          <w:lang w:val="en-US"/>
        </w:rPr>
        <w:t>A</w:t>
      </w:r>
      <w:r w:rsidRPr="00A46B17">
        <w:rPr>
          <w:rFonts w:ascii="Times New Roman" w:hAnsi="Times New Roman" w:cs="Times New Roman"/>
          <w:lang w:val="en-US"/>
        </w:rPr>
        <w:t>rticle 9, paragraph 3 of the Covenant.”</w:t>
      </w:r>
      <w:r w:rsidRPr="00A46B17">
        <w:rPr>
          <w:rStyle w:val="FootnoteReference"/>
          <w:rFonts w:cs="Times New Roman"/>
          <w:sz w:val="22"/>
          <w:lang w:val="en-US"/>
        </w:rPr>
        <w:footnoteReference w:id="80"/>
      </w:r>
      <w:r w:rsidRPr="00A46B17">
        <w:rPr>
          <w:rFonts w:ascii="Times New Roman" w:hAnsi="Times New Roman" w:cs="Times New Roman"/>
          <w:lang w:val="en-US"/>
        </w:rPr>
        <w:t xml:space="preserve"> </w:t>
      </w:r>
    </w:p>
    <w:p w:rsidR="00675260" w:rsidRPr="00A46B17" w:rsidRDefault="00675260" w:rsidP="00D3761D">
      <w:pPr>
        <w:pStyle w:val="PlainText"/>
        <w:jc w:val="both"/>
        <w:rPr>
          <w:rFonts w:ascii="Times New Roman" w:hAnsi="Times New Roman" w:cs="Times New Roman"/>
          <w:lang w:val="en-US"/>
        </w:rPr>
      </w:pPr>
    </w:p>
    <w:p w:rsidR="00675260" w:rsidRPr="00A46B17" w:rsidRDefault="00675260" w:rsidP="00606255">
      <w:pPr>
        <w:pStyle w:val="PlainText"/>
        <w:numPr>
          <w:ilvl w:val="0"/>
          <w:numId w:val="37"/>
        </w:numPr>
        <w:jc w:val="both"/>
        <w:rPr>
          <w:rFonts w:ascii="Times New Roman" w:hAnsi="Times New Roman" w:cs="Times New Roman"/>
          <w:lang w:val="en-US"/>
        </w:rPr>
      </w:pPr>
      <w:r w:rsidRPr="00A46B17">
        <w:rPr>
          <w:rFonts w:ascii="Times New Roman" w:hAnsi="Times New Roman" w:cs="Times New Roman"/>
          <w:lang w:val="en-US"/>
        </w:rPr>
        <w:t>In the wake of 11 September 2001 and the ensuing so-called ‘war on terror’, a number of states have adopted legislation which allows extended pre-charge detention well beyond the 48 hours envisaged by the Committee. For example, under the Penal Code of Algeria, those suspected of terrorism or terrorism-related crimes may be detained for up to 12 days in pre-charge detention.</w:t>
      </w:r>
      <w:r w:rsidRPr="00A46B17">
        <w:rPr>
          <w:rStyle w:val="FootnoteReference"/>
          <w:rFonts w:cs="Times New Roman"/>
          <w:sz w:val="22"/>
          <w:lang w:val="en-US"/>
        </w:rPr>
        <w:footnoteReference w:id="81"/>
      </w:r>
      <w:r w:rsidRPr="00A46B17">
        <w:rPr>
          <w:rFonts w:ascii="Times New Roman" w:hAnsi="Times New Roman" w:cs="Times New Roman"/>
          <w:lang w:val="en-US"/>
        </w:rPr>
        <w:t xml:space="preserve"> </w:t>
      </w:r>
      <w:r w:rsidR="00F15C98">
        <w:rPr>
          <w:rFonts w:ascii="Times New Roman" w:hAnsi="Times New Roman" w:cs="Times New Roman"/>
          <w:lang w:val="en-US"/>
        </w:rPr>
        <w:t xml:space="preserve">REDRESS has documented </w:t>
      </w:r>
      <w:r w:rsidR="000F0C3B">
        <w:rPr>
          <w:rFonts w:ascii="Times New Roman" w:hAnsi="Times New Roman" w:cs="Times New Roman"/>
          <w:lang w:val="en-US"/>
        </w:rPr>
        <w:t xml:space="preserve">security legislation in </w:t>
      </w:r>
      <w:r w:rsidR="00F15C98">
        <w:rPr>
          <w:rFonts w:ascii="Times New Roman" w:hAnsi="Times New Roman" w:cs="Times New Roman"/>
          <w:lang w:val="en-US"/>
        </w:rPr>
        <w:t xml:space="preserve">a number of other States </w:t>
      </w:r>
      <w:r w:rsidR="000F0C3B">
        <w:rPr>
          <w:rFonts w:ascii="Times New Roman" w:hAnsi="Times New Roman" w:cs="Times New Roman"/>
          <w:lang w:val="en-US"/>
        </w:rPr>
        <w:t>which similarly</w:t>
      </w:r>
      <w:r w:rsidR="00F15C98">
        <w:rPr>
          <w:rFonts w:ascii="Times New Roman" w:hAnsi="Times New Roman" w:cs="Times New Roman"/>
          <w:lang w:val="en-US"/>
        </w:rPr>
        <w:t xml:space="preserve"> allows for extended pre-charge detention of those suspected of terror-related offenses.</w:t>
      </w:r>
      <w:r w:rsidR="00F15C98">
        <w:rPr>
          <w:rStyle w:val="FootnoteReference"/>
          <w:rFonts w:cs="Times New Roman"/>
          <w:lang w:val="en-US"/>
        </w:rPr>
        <w:footnoteReference w:id="82"/>
      </w:r>
      <w:r w:rsidR="00F15C98">
        <w:rPr>
          <w:rFonts w:ascii="Times New Roman" w:hAnsi="Times New Roman" w:cs="Times New Roman"/>
          <w:lang w:val="en-US"/>
        </w:rPr>
        <w:t xml:space="preserve"> </w:t>
      </w:r>
      <w:r w:rsidRPr="00A46B17">
        <w:rPr>
          <w:rFonts w:ascii="Times New Roman" w:hAnsi="Times New Roman" w:cs="Times New Roman"/>
          <w:lang w:val="en-US"/>
        </w:rPr>
        <w:t>We respectfully submit that in order to prevent an overly broad interpretation of the circumstances in which a delay of longer than 48 hours would be justified, it would be helpful for the General Comment to provide some elaboration as to what such justifications and circumstances may entail, and/or clarification as to what justifications would not be considered acceptable, as well as the maximum upper limit for pre-charge detention exceeding 48 hours.</w:t>
      </w:r>
    </w:p>
    <w:p w:rsidR="00675260" w:rsidRPr="00A46B17" w:rsidRDefault="00675260" w:rsidP="00D3761D">
      <w:pPr>
        <w:pStyle w:val="PlainText"/>
        <w:jc w:val="both"/>
        <w:rPr>
          <w:rFonts w:ascii="Times New Roman" w:hAnsi="Times New Roman" w:cs="Times New Roman"/>
          <w:lang w:val="en-US"/>
        </w:rPr>
      </w:pPr>
    </w:p>
    <w:p w:rsidR="004F3693" w:rsidRPr="00A46B17" w:rsidRDefault="004F3693" w:rsidP="00720827">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A46B17">
        <w:rPr>
          <w:rFonts w:ascii="Times New Roman" w:hAnsi="Times New Roman" w:cs="Times New Roman"/>
          <w:b/>
          <w:lang w:val="en-US"/>
        </w:rPr>
        <w:t xml:space="preserve">Summary: </w:t>
      </w:r>
      <w:r w:rsidR="000027DC" w:rsidRPr="00A46B17">
        <w:rPr>
          <w:rFonts w:ascii="Times New Roman" w:hAnsi="Times New Roman" w:cs="Times New Roman"/>
          <w:lang w:val="en-US"/>
        </w:rPr>
        <w:t xml:space="preserve">Elaborate in </w:t>
      </w:r>
      <w:r w:rsidR="000027DC" w:rsidRPr="00A46B17">
        <w:rPr>
          <w:rFonts w:ascii="Times New Roman" w:hAnsi="Times New Roman" w:cs="Times New Roman"/>
          <w:b/>
          <w:lang w:val="en-US"/>
        </w:rPr>
        <w:t>P</w:t>
      </w:r>
      <w:r w:rsidRPr="00A46B17">
        <w:rPr>
          <w:rFonts w:ascii="Times New Roman" w:hAnsi="Times New Roman" w:cs="Times New Roman"/>
          <w:b/>
          <w:lang w:val="en-US"/>
        </w:rPr>
        <w:t>aragraph 33</w:t>
      </w:r>
      <w:r w:rsidRPr="00A46B17">
        <w:rPr>
          <w:rFonts w:ascii="Times New Roman" w:hAnsi="Times New Roman" w:cs="Times New Roman"/>
          <w:lang w:val="en-US"/>
        </w:rPr>
        <w:t xml:space="preserve"> the circumstances and justifications that would, or would not be acceptable for a legitimate delay of the requirement to bring a detainee before a judge “promptly”, i.e. within </w:t>
      </w:r>
      <w:r w:rsidR="00AE31C1" w:rsidRPr="00A46B17">
        <w:rPr>
          <w:rFonts w:ascii="Times New Roman" w:hAnsi="Times New Roman" w:cs="Times New Roman"/>
          <w:lang w:val="en-US"/>
        </w:rPr>
        <w:t xml:space="preserve">48 hours. Consider including in the General Comment the maximum upper limit for pre-charge detention exceeding 48 hours. </w:t>
      </w:r>
    </w:p>
    <w:p w:rsidR="00675260" w:rsidRPr="00A46B17" w:rsidRDefault="00675260" w:rsidP="00D3761D">
      <w:pPr>
        <w:keepNext/>
        <w:jc w:val="both"/>
        <w:rPr>
          <w:rFonts w:ascii="Times New Roman" w:hAnsi="Times New Roman" w:cs="Times New Roman"/>
          <w:b/>
          <w:caps/>
          <w:sz w:val="22"/>
          <w:szCs w:val="22"/>
        </w:rPr>
      </w:pPr>
    </w:p>
    <w:p w:rsidR="00675260" w:rsidRPr="00A46B17" w:rsidRDefault="00675260" w:rsidP="00D3761D">
      <w:pPr>
        <w:keepNext/>
        <w:jc w:val="both"/>
        <w:rPr>
          <w:rFonts w:ascii="Times New Roman" w:hAnsi="Times New Roman" w:cs="Times New Roman"/>
          <w:b/>
          <w:caps/>
          <w:sz w:val="22"/>
          <w:szCs w:val="22"/>
        </w:rPr>
      </w:pPr>
    </w:p>
    <w:p w:rsidR="00EB76AD" w:rsidRPr="00A46B17" w:rsidRDefault="00EB76AD" w:rsidP="00D3761D">
      <w:pPr>
        <w:pStyle w:val="Heading1"/>
        <w:numPr>
          <w:ilvl w:val="0"/>
          <w:numId w:val="49"/>
        </w:numPr>
        <w:spacing w:before="0"/>
        <w:jc w:val="both"/>
        <w:rPr>
          <w:rFonts w:ascii="Times New Roman" w:hAnsi="Times New Roman" w:cs="Times New Roman"/>
          <w:color w:val="auto"/>
          <w:lang w:val="en-US"/>
        </w:rPr>
      </w:pPr>
      <w:bookmarkStart w:id="43" w:name="_Toc388961679"/>
      <w:bookmarkStart w:id="44" w:name="_Toc389236150"/>
      <w:r w:rsidRPr="00A46B17">
        <w:rPr>
          <w:rFonts w:ascii="Times New Roman" w:hAnsi="Times New Roman" w:cs="Times New Roman"/>
          <w:color w:val="auto"/>
          <w:lang w:val="en-US"/>
        </w:rPr>
        <w:t>VI. The right to compensation for unlawful or arbitrary arrest or detention (paras. 49-52)</w:t>
      </w:r>
      <w:bookmarkEnd w:id="43"/>
      <w:bookmarkEnd w:id="44"/>
    </w:p>
    <w:p w:rsidR="00EB76AD" w:rsidRPr="00A46B17" w:rsidRDefault="00EB76AD" w:rsidP="00D3761D">
      <w:pPr>
        <w:jc w:val="both"/>
        <w:rPr>
          <w:rFonts w:ascii="Times New Roman" w:hAnsi="Times New Roman" w:cs="Times New Roman"/>
          <w:b/>
          <w:sz w:val="22"/>
          <w:szCs w:val="22"/>
          <w:lang w:val="en-US"/>
        </w:rPr>
      </w:pPr>
    </w:p>
    <w:p w:rsidR="00EB76AD" w:rsidRPr="00A46B17" w:rsidRDefault="00EB76AD" w:rsidP="00D3761D">
      <w:pPr>
        <w:pStyle w:val="Heading2"/>
        <w:spacing w:before="0"/>
        <w:jc w:val="both"/>
        <w:rPr>
          <w:rFonts w:ascii="Times New Roman" w:hAnsi="Times New Roman" w:cs="Times New Roman"/>
          <w:color w:val="auto"/>
          <w:sz w:val="24"/>
          <w:szCs w:val="24"/>
          <w:lang w:val="en-US"/>
        </w:rPr>
      </w:pPr>
      <w:bookmarkStart w:id="45" w:name="_Toc388377568"/>
      <w:bookmarkStart w:id="46" w:name="_Toc388961680"/>
      <w:bookmarkStart w:id="47" w:name="_Toc389236151"/>
      <w:r w:rsidRPr="00A46B17">
        <w:rPr>
          <w:rFonts w:ascii="Times New Roman" w:hAnsi="Times New Roman" w:cs="Times New Roman"/>
          <w:color w:val="auto"/>
          <w:sz w:val="24"/>
          <w:szCs w:val="24"/>
          <w:lang w:val="en-US"/>
        </w:rPr>
        <w:t>Right to compensation v. right to reparation</w:t>
      </w:r>
      <w:bookmarkEnd w:id="45"/>
      <w:bookmarkEnd w:id="46"/>
      <w:bookmarkEnd w:id="47"/>
    </w:p>
    <w:p w:rsidR="00EB76AD" w:rsidRPr="00606255" w:rsidRDefault="00EB76AD" w:rsidP="00606255">
      <w:pPr>
        <w:pStyle w:val="ListParagraph"/>
        <w:numPr>
          <w:ilvl w:val="0"/>
          <w:numId w:val="37"/>
        </w:numPr>
        <w:jc w:val="both"/>
        <w:rPr>
          <w:sz w:val="22"/>
          <w:szCs w:val="22"/>
          <w:lang w:val="en-US"/>
        </w:rPr>
      </w:pPr>
      <w:r w:rsidRPr="00606255">
        <w:rPr>
          <w:sz w:val="22"/>
          <w:szCs w:val="22"/>
          <w:lang w:val="en-US"/>
        </w:rPr>
        <w:t xml:space="preserve">Paragraph 49 of the current draft of General Comment </w:t>
      </w:r>
      <w:r w:rsidR="00316381" w:rsidRPr="00606255">
        <w:rPr>
          <w:sz w:val="22"/>
          <w:szCs w:val="22"/>
          <w:lang w:val="en-US"/>
        </w:rPr>
        <w:t xml:space="preserve">No. </w:t>
      </w:r>
      <w:r w:rsidRPr="00606255">
        <w:rPr>
          <w:sz w:val="22"/>
          <w:szCs w:val="22"/>
          <w:lang w:val="en-US"/>
        </w:rPr>
        <w:t xml:space="preserve">35 refers to paragraph 4 and 5 of </w:t>
      </w:r>
      <w:r w:rsidR="00795AB6" w:rsidRPr="00606255">
        <w:rPr>
          <w:sz w:val="22"/>
          <w:szCs w:val="22"/>
          <w:lang w:val="en-US"/>
        </w:rPr>
        <w:t>A</w:t>
      </w:r>
      <w:r w:rsidRPr="00606255">
        <w:rPr>
          <w:sz w:val="22"/>
          <w:szCs w:val="22"/>
          <w:lang w:val="en-US"/>
        </w:rPr>
        <w:t>rticle 9 of the ICCPR regarding remedies for unlawful or arbitrary arrest or detention (</w:t>
      </w:r>
      <w:proofErr w:type="spellStart"/>
      <w:r w:rsidRPr="00606255">
        <w:rPr>
          <w:sz w:val="22"/>
          <w:szCs w:val="22"/>
          <w:lang w:val="en-US"/>
        </w:rPr>
        <w:t>i.e</w:t>
      </w:r>
      <w:proofErr w:type="spellEnd"/>
      <w:r w:rsidRPr="00606255">
        <w:rPr>
          <w:sz w:val="22"/>
          <w:szCs w:val="22"/>
          <w:lang w:val="en-US"/>
        </w:rPr>
        <w:t xml:space="preserve"> release fr</w:t>
      </w:r>
      <w:r w:rsidR="00FA0F18">
        <w:rPr>
          <w:sz w:val="22"/>
          <w:szCs w:val="22"/>
          <w:lang w:val="en-US"/>
        </w:rPr>
        <w:t>om ongoing unlawful detention (A</w:t>
      </w:r>
      <w:r w:rsidRPr="00606255">
        <w:rPr>
          <w:sz w:val="22"/>
          <w:szCs w:val="22"/>
          <w:lang w:val="en-US"/>
        </w:rPr>
        <w:t>rt</w:t>
      </w:r>
      <w:r w:rsidR="00FA0F18">
        <w:rPr>
          <w:sz w:val="22"/>
          <w:szCs w:val="22"/>
          <w:lang w:val="en-US"/>
        </w:rPr>
        <w:t>icle 9(</w:t>
      </w:r>
      <w:r w:rsidRPr="00606255">
        <w:rPr>
          <w:sz w:val="22"/>
          <w:szCs w:val="22"/>
          <w:lang w:val="en-US"/>
        </w:rPr>
        <w:t>4</w:t>
      </w:r>
      <w:r w:rsidR="00FA0F18">
        <w:rPr>
          <w:sz w:val="22"/>
          <w:szCs w:val="22"/>
          <w:lang w:val="en-US"/>
        </w:rPr>
        <w:t>)</w:t>
      </w:r>
      <w:r w:rsidRPr="00606255">
        <w:rPr>
          <w:sz w:val="22"/>
          <w:szCs w:val="22"/>
          <w:lang w:val="en-US"/>
        </w:rPr>
        <w:t>); financial compensati</w:t>
      </w:r>
      <w:r w:rsidR="00FA0F18">
        <w:rPr>
          <w:sz w:val="22"/>
          <w:szCs w:val="22"/>
          <w:lang w:val="en-US"/>
        </w:rPr>
        <w:t>on (Article 9(</w:t>
      </w:r>
      <w:r w:rsidRPr="00606255">
        <w:rPr>
          <w:sz w:val="22"/>
          <w:szCs w:val="22"/>
          <w:lang w:val="en-US"/>
        </w:rPr>
        <w:t xml:space="preserve">5)).  </w:t>
      </w:r>
    </w:p>
    <w:p w:rsidR="00EB76AD" w:rsidRPr="00A46B17" w:rsidRDefault="00EB76AD" w:rsidP="00D3761D">
      <w:pPr>
        <w:jc w:val="both"/>
        <w:rPr>
          <w:rFonts w:ascii="Times New Roman" w:hAnsi="Times New Roman" w:cs="Times New Roman"/>
          <w:sz w:val="22"/>
          <w:szCs w:val="22"/>
          <w:lang w:val="en-US"/>
        </w:rPr>
      </w:pPr>
    </w:p>
    <w:p w:rsidR="00EB76AD" w:rsidRPr="00606255" w:rsidRDefault="00EB76AD" w:rsidP="00606255">
      <w:pPr>
        <w:pStyle w:val="ListParagraph"/>
        <w:numPr>
          <w:ilvl w:val="0"/>
          <w:numId w:val="37"/>
        </w:numPr>
        <w:jc w:val="both"/>
        <w:rPr>
          <w:sz w:val="22"/>
          <w:szCs w:val="22"/>
          <w:lang w:val="en-US"/>
        </w:rPr>
      </w:pPr>
      <w:r w:rsidRPr="00606255">
        <w:rPr>
          <w:sz w:val="22"/>
          <w:szCs w:val="22"/>
          <w:lang w:val="en-US"/>
        </w:rPr>
        <w:t>We note that during the discussion of the Human Rights Committee on the draft General Comment No.</w:t>
      </w:r>
      <w:r w:rsidR="00887A4F" w:rsidRPr="00606255">
        <w:rPr>
          <w:sz w:val="22"/>
          <w:szCs w:val="22"/>
          <w:lang w:val="en-US"/>
        </w:rPr>
        <w:t xml:space="preserve"> </w:t>
      </w:r>
      <w:r w:rsidRPr="00606255">
        <w:rPr>
          <w:sz w:val="22"/>
          <w:szCs w:val="22"/>
          <w:lang w:val="en-US"/>
        </w:rPr>
        <w:t>35 at the 109</w:t>
      </w:r>
      <w:r w:rsidRPr="00606255">
        <w:rPr>
          <w:sz w:val="22"/>
          <w:szCs w:val="22"/>
          <w:vertAlign w:val="superscript"/>
          <w:lang w:val="en-US"/>
        </w:rPr>
        <w:t>th</w:t>
      </w:r>
      <w:r w:rsidRPr="00606255">
        <w:rPr>
          <w:sz w:val="22"/>
          <w:szCs w:val="22"/>
          <w:lang w:val="en-US"/>
        </w:rPr>
        <w:t xml:space="preserve"> session in October 2013, a debate took place between the Committee’s members on the </w:t>
      </w:r>
      <w:r w:rsidRPr="00606255">
        <w:rPr>
          <w:sz w:val="22"/>
          <w:szCs w:val="22"/>
          <w:lang w:val="en-GB"/>
        </w:rPr>
        <w:t xml:space="preserve">differences between the equally </w:t>
      </w:r>
      <w:r w:rsidRPr="00606255">
        <w:rPr>
          <w:sz w:val="22"/>
          <w:szCs w:val="22"/>
          <w:lang w:val="en-GB"/>
        </w:rPr>
        <w:lastRenderedPageBreak/>
        <w:t xml:space="preserve">authoritative English, French and Spanish texts of </w:t>
      </w:r>
      <w:r w:rsidR="00795AB6" w:rsidRPr="00606255">
        <w:rPr>
          <w:sz w:val="22"/>
          <w:szCs w:val="22"/>
          <w:lang w:val="en-GB"/>
        </w:rPr>
        <w:t>A</w:t>
      </w:r>
      <w:r w:rsidR="00DB7E48">
        <w:rPr>
          <w:sz w:val="22"/>
          <w:szCs w:val="22"/>
          <w:lang w:val="en-GB"/>
        </w:rPr>
        <w:t>rticle 9(</w:t>
      </w:r>
      <w:r w:rsidRPr="00606255">
        <w:rPr>
          <w:sz w:val="22"/>
          <w:szCs w:val="22"/>
          <w:lang w:val="en-GB"/>
        </w:rPr>
        <w:t>5</w:t>
      </w:r>
      <w:r w:rsidR="00DB7E48">
        <w:rPr>
          <w:sz w:val="22"/>
          <w:szCs w:val="22"/>
          <w:lang w:val="en-GB"/>
        </w:rPr>
        <w:t>)</w:t>
      </w:r>
      <w:r w:rsidR="00887A4F" w:rsidRPr="00606255">
        <w:rPr>
          <w:sz w:val="22"/>
          <w:szCs w:val="22"/>
          <w:lang w:val="en-GB"/>
        </w:rPr>
        <w:t>.</w:t>
      </w:r>
      <w:r w:rsidRPr="00606255">
        <w:rPr>
          <w:rStyle w:val="FootnoteReference"/>
          <w:sz w:val="22"/>
          <w:szCs w:val="22"/>
          <w:lang w:val="en-GB"/>
        </w:rPr>
        <w:footnoteReference w:id="83"/>
      </w:r>
      <w:r w:rsidRPr="00606255">
        <w:rPr>
          <w:sz w:val="22"/>
          <w:szCs w:val="22"/>
          <w:lang w:val="en-GB"/>
        </w:rPr>
        <w:t xml:space="preserve"> The English text refers to the enforceable </w:t>
      </w:r>
      <w:r w:rsidRPr="00606255">
        <w:rPr>
          <w:b/>
          <w:sz w:val="22"/>
          <w:szCs w:val="22"/>
          <w:lang w:val="en-GB"/>
        </w:rPr>
        <w:t>right to compensation</w:t>
      </w:r>
      <w:r w:rsidRPr="00606255">
        <w:rPr>
          <w:sz w:val="22"/>
          <w:szCs w:val="22"/>
          <w:lang w:val="en-GB"/>
        </w:rPr>
        <w:t xml:space="preserve"> for unlawful arrest or detention, where the French and Spanish texts speak of the </w:t>
      </w:r>
      <w:r w:rsidRPr="00606255">
        <w:rPr>
          <w:b/>
          <w:sz w:val="22"/>
          <w:szCs w:val="22"/>
          <w:lang w:val="en-GB"/>
        </w:rPr>
        <w:t>right to reparation</w:t>
      </w:r>
      <w:r w:rsidRPr="00606255">
        <w:rPr>
          <w:sz w:val="22"/>
          <w:szCs w:val="22"/>
          <w:lang w:val="en-GB"/>
        </w:rPr>
        <w:t xml:space="preserve"> (French: </w:t>
      </w:r>
      <w:r w:rsidR="000027DC" w:rsidRPr="00606255">
        <w:rPr>
          <w:sz w:val="22"/>
          <w:szCs w:val="22"/>
          <w:lang w:val="en-GB"/>
        </w:rPr>
        <w:t>reparation</w:t>
      </w:r>
      <w:r w:rsidRPr="00606255">
        <w:rPr>
          <w:sz w:val="22"/>
          <w:szCs w:val="22"/>
          <w:lang w:val="en-GB"/>
        </w:rPr>
        <w:t xml:space="preserve">, Spanish: </w:t>
      </w:r>
      <w:proofErr w:type="spellStart"/>
      <w:r w:rsidRPr="00606255">
        <w:rPr>
          <w:sz w:val="22"/>
          <w:szCs w:val="22"/>
          <w:lang w:val="en-GB"/>
        </w:rPr>
        <w:t>reparación</w:t>
      </w:r>
      <w:proofErr w:type="spellEnd"/>
      <w:r w:rsidRPr="00606255">
        <w:rPr>
          <w:sz w:val="22"/>
          <w:szCs w:val="22"/>
          <w:lang w:val="en-GB"/>
        </w:rPr>
        <w:t>)</w:t>
      </w:r>
      <w:r w:rsidRPr="00606255">
        <w:rPr>
          <w:sz w:val="22"/>
          <w:szCs w:val="22"/>
          <w:lang w:val="en-US"/>
        </w:rPr>
        <w:t>. Some Committee members expressed particular concern at the fact that the draft text of the General Comment had narrowed the scope of this provision by referring to ‘financial compensation’. Indeed the ‘right to reparation’ is a much broader concept than ‘compensation’. We support M</w:t>
      </w:r>
      <w:r w:rsidR="00C913CC">
        <w:rPr>
          <w:sz w:val="22"/>
          <w:szCs w:val="22"/>
          <w:lang w:val="en-US"/>
        </w:rPr>
        <w:t>r</w:t>
      </w:r>
      <w:r w:rsidRPr="00606255">
        <w:rPr>
          <w:sz w:val="22"/>
          <w:szCs w:val="22"/>
          <w:lang w:val="en-US"/>
        </w:rPr>
        <w:t xml:space="preserve">. </w:t>
      </w:r>
      <w:proofErr w:type="spellStart"/>
      <w:r w:rsidRPr="00606255">
        <w:rPr>
          <w:sz w:val="22"/>
          <w:szCs w:val="22"/>
          <w:lang w:val="en-US"/>
        </w:rPr>
        <w:t>Kälin’s</w:t>
      </w:r>
      <w:proofErr w:type="spellEnd"/>
      <w:r w:rsidRPr="00606255">
        <w:rPr>
          <w:sz w:val="22"/>
          <w:szCs w:val="22"/>
          <w:lang w:val="en-US"/>
        </w:rPr>
        <w:t xml:space="preserve"> position that suggested that the General Comment should at least recall the discrepancy of translations.</w:t>
      </w:r>
    </w:p>
    <w:p w:rsidR="00EB76AD" w:rsidRPr="00A46B17" w:rsidRDefault="00EB76AD" w:rsidP="00D3761D">
      <w:pPr>
        <w:jc w:val="both"/>
        <w:rPr>
          <w:rFonts w:ascii="Times New Roman" w:hAnsi="Times New Roman" w:cs="Times New Roman"/>
          <w:sz w:val="22"/>
          <w:szCs w:val="22"/>
          <w:lang w:val="en-US"/>
        </w:rPr>
      </w:pPr>
    </w:p>
    <w:p w:rsidR="004C61F2" w:rsidRDefault="00EB76AD">
      <w:pPr>
        <w:pStyle w:val="ListParagraph"/>
        <w:numPr>
          <w:ilvl w:val="0"/>
          <w:numId w:val="37"/>
        </w:numPr>
        <w:jc w:val="both"/>
        <w:rPr>
          <w:rFonts w:cs="SimSun"/>
          <w:sz w:val="22"/>
          <w:szCs w:val="22"/>
          <w:lang w:val="en-US"/>
        </w:rPr>
      </w:pPr>
      <w:r w:rsidRPr="00A46B17">
        <w:rPr>
          <w:sz w:val="22"/>
          <w:szCs w:val="22"/>
          <w:lang w:val="en-US"/>
        </w:rPr>
        <w:t>The Rapporteur, M</w:t>
      </w:r>
      <w:r w:rsidR="00C913CC">
        <w:rPr>
          <w:sz w:val="22"/>
          <w:szCs w:val="22"/>
          <w:lang w:val="en-US"/>
        </w:rPr>
        <w:t>r</w:t>
      </w:r>
      <w:r w:rsidRPr="00A46B17">
        <w:rPr>
          <w:sz w:val="22"/>
          <w:szCs w:val="22"/>
          <w:lang w:val="en-US"/>
        </w:rPr>
        <w:t xml:space="preserve">. Gerald L. </w:t>
      </w:r>
      <w:proofErr w:type="spellStart"/>
      <w:r w:rsidRPr="00A46B17">
        <w:rPr>
          <w:sz w:val="22"/>
          <w:szCs w:val="22"/>
          <w:lang w:val="en-US"/>
        </w:rPr>
        <w:t>Neuman</w:t>
      </w:r>
      <w:proofErr w:type="spellEnd"/>
      <w:r w:rsidRPr="00A46B17">
        <w:rPr>
          <w:sz w:val="22"/>
          <w:szCs w:val="22"/>
          <w:lang w:val="en-US"/>
        </w:rPr>
        <w:t xml:space="preserve">, argued that there was no additional value to modify </w:t>
      </w:r>
      <w:r w:rsidR="00795AB6">
        <w:rPr>
          <w:sz w:val="22"/>
          <w:szCs w:val="22"/>
          <w:lang w:val="en-US"/>
        </w:rPr>
        <w:t>A</w:t>
      </w:r>
      <w:r w:rsidR="00D3761D">
        <w:rPr>
          <w:sz w:val="22"/>
          <w:szCs w:val="22"/>
          <w:lang w:val="en-US"/>
        </w:rPr>
        <w:t>rti</w:t>
      </w:r>
      <w:r w:rsidR="00DB7E48">
        <w:rPr>
          <w:sz w:val="22"/>
          <w:szCs w:val="22"/>
          <w:lang w:val="en-US"/>
        </w:rPr>
        <w:t>cle 9(</w:t>
      </w:r>
      <w:r w:rsidR="00D3761D">
        <w:rPr>
          <w:sz w:val="22"/>
          <w:szCs w:val="22"/>
          <w:lang w:val="en-US"/>
        </w:rPr>
        <w:t>5</w:t>
      </w:r>
      <w:r w:rsidR="00DB7E48">
        <w:rPr>
          <w:sz w:val="22"/>
          <w:szCs w:val="22"/>
          <w:lang w:val="en-US"/>
        </w:rPr>
        <w:t>)</w:t>
      </w:r>
      <w:r w:rsidR="00D3761D">
        <w:rPr>
          <w:sz w:val="22"/>
          <w:szCs w:val="22"/>
          <w:lang w:val="en-US"/>
        </w:rPr>
        <w:t>, as A</w:t>
      </w:r>
      <w:r w:rsidR="00DB7E48">
        <w:rPr>
          <w:sz w:val="22"/>
          <w:szCs w:val="22"/>
          <w:lang w:val="en-US"/>
        </w:rPr>
        <w:t>rticle 2(</w:t>
      </w:r>
      <w:r w:rsidRPr="00A46B17">
        <w:rPr>
          <w:sz w:val="22"/>
          <w:szCs w:val="22"/>
          <w:lang w:val="en-US"/>
        </w:rPr>
        <w:t>3</w:t>
      </w:r>
      <w:r w:rsidR="00DB7E48">
        <w:rPr>
          <w:sz w:val="22"/>
          <w:szCs w:val="22"/>
          <w:lang w:val="en-US"/>
        </w:rPr>
        <w:t>)</w:t>
      </w:r>
      <w:r w:rsidRPr="00A46B17">
        <w:rPr>
          <w:sz w:val="22"/>
          <w:szCs w:val="22"/>
          <w:lang w:val="en-US"/>
        </w:rPr>
        <w:t xml:space="preserve"> provide</w:t>
      </w:r>
      <w:r w:rsidR="000F0C3B">
        <w:rPr>
          <w:sz w:val="22"/>
          <w:szCs w:val="22"/>
          <w:lang w:val="en-US"/>
        </w:rPr>
        <w:t>s for other forms of reparation</w:t>
      </w:r>
      <w:r w:rsidRPr="00A46B17">
        <w:rPr>
          <w:sz w:val="22"/>
          <w:szCs w:val="22"/>
          <w:lang w:val="en-US"/>
        </w:rPr>
        <w:t xml:space="preserve">. He specified that paragraph 49 of the General Comment states that “these specific remedies [under paragraph 4 and paragraph 5 of </w:t>
      </w:r>
      <w:r w:rsidR="00795AB6">
        <w:rPr>
          <w:sz w:val="22"/>
          <w:szCs w:val="22"/>
          <w:lang w:val="en-US"/>
        </w:rPr>
        <w:t>A</w:t>
      </w:r>
      <w:r w:rsidR="00DB7E48">
        <w:rPr>
          <w:sz w:val="22"/>
          <w:szCs w:val="22"/>
          <w:lang w:val="en-US"/>
        </w:rPr>
        <w:t>rticle 9</w:t>
      </w:r>
      <w:r w:rsidRPr="00A46B17">
        <w:rPr>
          <w:sz w:val="22"/>
          <w:szCs w:val="22"/>
          <w:lang w:val="en-US"/>
        </w:rPr>
        <w:t xml:space="preserve"> do not replace, but are included alongside, the other remedies that may be required in a particular situation by article 2, paragraph 3 of the Covenant”. We welcome this mention. Paragraph 52 also provides that:</w:t>
      </w:r>
    </w:p>
    <w:p w:rsidR="00EB76AD" w:rsidRPr="00A46B17" w:rsidRDefault="00EB76AD" w:rsidP="00D3761D">
      <w:pPr>
        <w:jc w:val="both"/>
        <w:rPr>
          <w:rFonts w:ascii="Times New Roman" w:hAnsi="Times New Roman" w:cs="Times New Roman"/>
          <w:sz w:val="22"/>
          <w:szCs w:val="22"/>
          <w:lang w:val="en-US"/>
        </w:rPr>
      </w:pPr>
    </w:p>
    <w:p w:rsidR="00EB76AD" w:rsidRPr="00A46B17" w:rsidRDefault="00EB76AD" w:rsidP="00D3761D">
      <w:pPr>
        <w:pStyle w:val="ListParagraph"/>
        <w:ind w:left="1440"/>
        <w:jc w:val="both"/>
        <w:rPr>
          <w:sz w:val="22"/>
          <w:szCs w:val="22"/>
          <w:lang w:val="en-US"/>
        </w:rPr>
      </w:pPr>
      <w:r w:rsidRPr="00A46B17">
        <w:rPr>
          <w:sz w:val="22"/>
          <w:szCs w:val="22"/>
          <w:lang w:val="en-US"/>
        </w:rPr>
        <w:t xml:space="preserve">When the unlawfulness of the arrest arises </w:t>
      </w:r>
      <w:r w:rsidRPr="00D3761D">
        <w:rPr>
          <w:i/>
          <w:sz w:val="22"/>
          <w:szCs w:val="22"/>
          <w:lang w:val="en-US"/>
        </w:rPr>
        <w:t>from the violation of other human rights</w:t>
      </w:r>
      <w:r w:rsidRPr="00A46B17">
        <w:rPr>
          <w:sz w:val="22"/>
          <w:szCs w:val="22"/>
          <w:lang w:val="en-US"/>
        </w:rPr>
        <w:t>, such as freedom of expression, the State party may have further obligations to provide compensation or other reparation in relation to those ot</w:t>
      </w:r>
      <w:r w:rsidR="00D3761D">
        <w:rPr>
          <w:sz w:val="22"/>
          <w:szCs w:val="22"/>
          <w:lang w:val="en-US"/>
        </w:rPr>
        <w:t>her violations, as required by A</w:t>
      </w:r>
      <w:r w:rsidRPr="00A46B17">
        <w:rPr>
          <w:sz w:val="22"/>
          <w:szCs w:val="22"/>
          <w:lang w:val="en-US"/>
        </w:rPr>
        <w:t>rticle 2, paragraph 3 of the Covenant (emphasis added).</w:t>
      </w:r>
      <w:r w:rsidR="008C178B">
        <w:rPr>
          <w:sz w:val="22"/>
          <w:szCs w:val="22"/>
          <w:lang w:val="en-US"/>
        </w:rPr>
        <w:t xml:space="preserve"> </w:t>
      </w:r>
    </w:p>
    <w:p w:rsidR="007827BA" w:rsidRDefault="007827BA" w:rsidP="00D3761D">
      <w:pPr>
        <w:jc w:val="both"/>
        <w:rPr>
          <w:sz w:val="22"/>
          <w:szCs w:val="22"/>
          <w:lang w:val="en-US"/>
        </w:rPr>
      </w:pPr>
    </w:p>
    <w:p w:rsidR="00EB76AD" w:rsidRPr="00887A4F" w:rsidRDefault="008C178B" w:rsidP="00D3761D">
      <w:pPr>
        <w:pStyle w:val="ListParagraph"/>
        <w:numPr>
          <w:ilvl w:val="0"/>
          <w:numId w:val="37"/>
        </w:numPr>
        <w:jc w:val="both"/>
        <w:rPr>
          <w:sz w:val="22"/>
          <w:szCs w:val="22"/>
          <w:lang w:val="en-US"/>
        </w:rPr>
      </w:pPr>
      <w:r w:rsidRPr="007827BA">
        <w:rPr>
          <w:sz w:val="22"/>
          <w:szCs w:val="22"/>
          <w:lang w:val="en-US"/>
        </w:rPr>
        <w:t xml:space="preserve">However as paragraph 52 is currently drafted, it suggests that </w:t>
      </w:r>
      <w:r w:rsidR="00D3761D">
        <w:rPr>
          <w:sz w:val="22"/>
          <w:szCs w:val="22"/>
          <w:lang w:val="en-US"/>
        </w:rPr>
        <w:t>A</w:t>
      </w:r>
      <w:r w:rsidRPr="007827BA">
        <w:rPr>
          <w:sz w:val="22"/>
          <w:szCs w:val="22"/>
          <w:lang w:val="en-US"/>
        </w:rPr>
        <w:t>rticle 2(3) is only relevant where other violations are present.  We think it is crucial that the Committee clarifies this key point.</w:t>
      </w:r>
      <w:r w:rsidR="00887A4F">
        <w:rPr>
          <w:sz w:val="22"/>
          <w:szCs w:val="22"/>
          <w:lang w:val="en-US"/>
        </w:rPr>
        <w:t xml:space="preserve"> </w:t>
      </w:r>
      <w:r w:rsidR="00EB76AD" w:rsidRPr="00887A4F">
        <w:rPr>
          <w:sz w:val="22"/>
          <w:szCs w:val="22"/>
          <w:lang w:val="en-US"/>
        </w:rPr>
        <w:t xml:space="preserve">We consider that </w:t>
      </w:r>
      <w:r w:rsidR="00AE31C1" w:rsidRPr="00D3761D">
        <w:rPr>
          <w:sz w:val="22"/>
          <w:szCs w:val="22"/>
          <w:lang w:val="en-US"/>
        </w:rPr>
        <w:t>the General Comment sh</w:t>
      </w:r>
      <w:r w:rsidR="00EB76AD" w:rsidRPr="00D3761D">
        <w:rPr>
          <w:sz w:val="22"/>
          <w:szCs w:val="22"/>
          <w:lang w:val="en-US"/>
        </w:rPr>
        <w:t xml:space="preserve">ould better clarify that reparation required by the Covenant </w:t>
      </w:r>
      <w:r w:rsidR="00EB76AD" w:rsidRPr="00D3761D">
        <w:rPr>
          <w:i/>
          <w:sz w:val="22"/>
          <w:szCs w:val="22"/>
          <w:lang w:val="en-US"/>
        </w:rPr>
        <w:t>for violations of Article 9</w:t>
      </w:r>
      <w:r w:rsidR="00EB76AD" w:rsidRPr="00D3761D">
        <w:rPr>
          <w:sz w:val="22"/>
          <w:szCs w:val="22"/>
          <w:lang w:val="en-US"/>
        </w:rPr>
        <w:t xml:space="preserve"> will generally be broader than compensation alone.</w:t>
      </w:r>
    </w:p>
    <w:p w:rsidR="00EB76AD" w:rsidRPr="00A46B17" w:rsidRDefault="00EB76AD" w:rsidP="00D3761D">
      <w:pPr>
        <w:jc w:val="both"/>
        <w:rPr>
          <w:rFonts w:ascii="Times New Roman" w:hAnsi="Times New Roman" w:cs="Times New Roman"/>
          <w:sz w:val="22"/>
          <w:szCs w:val="22"/>
          <w:lang w:val="en-US"/>
        </w:rPr>
      </w:pPr>
    </w:p>
    <w:p w:rsidR="00EB76AD" w:rsidRPr="00A46B17" w:rsidRDefault="00EB76AD" w:rsidP="00D3761D">
      <w:pPr>
        <w:pStyle w:val="ListParagraph"/>
        <w:numPr>
          <w:ilvl w:val="0"/>
          <w:numId w:val="37"/>
        </w:numPr>
        <w:jc w:val="both"/>
        <w:rPr>
          <w:b/>
          <w:sz w:val="22"/>
          <w:szCs w:val="22"/>
          <w:lang w:val="en-US"/>
        </w:rPr>
      </w:pPr>
      <w:r w:rsidRPr="00A46B17">
        <w:rPr>
          <w:sz w:val="22"/>
          <w:szCs w:val="22"/>
          <w:lang w:val="en-US"/>
        </w:rPr>
        <w:t xml:space="preserve">We note that the practice of the Committee does not always refer strictly to financial compensation but also to the concept of reparation. In its Concluding </w:t>
      </w:r>
      <w:r w:rsidR="00887A4F">
        <w:rPr>
          <w:sz w:val="22"/>
          <w:szCs w:val="22"/>
          <w:lang w:val="en-US"/>
        </w:rPr>
        <w:t>O</w:t>
      </w:r>
      <w:r w:rsidRPr="00A46B17">
        <w:rPr>
          <w:sz w:val="22"/>
          <w:szCs w:val="22"/>
          <w:lang w:val="en-US"/>
        </w:rPr>
        <w:t xml:space="preserve">bservations, it regularly provides recommendations regarding intertwined violations of rights that include a breach of </w:t>
      </w:r>
      <w:r w:rsidR="00795AB6">
        <w:rPr>
          <w:sz w:val="22"/>
          <w:szCs w:val="22"/>
          <w:lang w:val="en-US"/>
        </w:rPr>
        <w:t>A</w:t>
      </w:r>
      <w:r w:rsidRPr="00A46B17">
        <w:rPr>
          <w:sz w:val="22"/>
          <w:szCs w:val="22"/>
          <w:lang w:val="en-US"/>
        </w:rPr>
        <w:t>rticle 9. The Committee doesn’t restrict itself to request compensation but usually recommends taking effective measures to prevent unlawful and arbitrary detention, investigating the alleged cases, prosecuting those held responsible and ensuring that full reparation is granted, including fair and adequate compensation.</w:t>
      </w:r>
      <w:r w:rsidRPr="00A46B17">
        <w:rPr>
          <w:rStyle w:val="FootnoteReference"/>
          <w:sz w:val="22"/>
          <w:szCs w:val="22"/>
          <w:lang w:val="en-US"/>
        </w:rPr>
        <w:t xml:space="preserve"> </w:t>
      </w:r>
      <w:r w:rsidRPr="00A46B17">
        <w:rPr>
          <w:rStyle w:val="FootnoteReference"/>
          <w:sz w:val="22"/>
          <w:szCs w:val="22"/>
          <w:lang w:val="en-US"/>
        </w:rPr>
        <w:footnoteReference w:id="84"/>
      </w:r>
      <w:r w:rsidRPr="00A46B17">
        <w:rPr>
          <w:sz w:val="22"/>
          <w:szCs w:val="22"/>
          <w:lang w:val="en-US"/>
        </w:rPr>
        <w:t xml:space="preserve"> </w:t>
      </w:r>
      <w:r w:rsidRPr="00D3761D">
        <w:rPr>
          <w:sz w:val="22"/>
          <w:szCs w:val="22"/>
          <w:lang w:val="en-US"/>
        </w:rPr>
        <w:t>The right to compensation for unlawful and arbitrary detention is therefore one form of reparation that the Committee has ref</w:t>
      </w:r>
      <w:r w:rsidR="000027DC" w:rsidRPr="00D3761D">
        <w:rPr>
          <w:sz w:val="22"/>
          <w:szCs w:val="22"/>
          <w:lang w:val="en-US"/>
        </w:rPr>
        <w:t>erred to, but not the only one.</w:t>
      </w:r>
      <w:r w:rsidRPr="00D3761D">
        <w:rPr>
          <w:sz w:val="22"/>
          <w:szCs w:val="22"/>
          <w:lang w:val="en-US"/>
        </w:rPr>
        <w:t xml:space="preserve"> </w:t>
      </w:r>
    </w:p>
    <w:p w:rsidR="00EB76AD" w:rsidRPr="00A46B17" w:rsidRDefault="00EB76AD" w:rsidP="00D3761D">
      <w:pPr>
        <w:jc w:val="both"/>
        <w:rPr>
          <w:rFonts w:ascii="Times New Roman" w:hAnsi="Times New Roman" w:cs="Times New Roman"/>
          <w:sz w:val="22"/>
          <w:szCs w:val="22"/>
          <w:lang w:val="en-US"/>
        </w:rPr>
      </w:pPr>
    </w:p>
    <w:p w:rsidR="00EB76AD" w:rsidRPr="00A46B17" w:rsidRDefault="00EB76AD" w:rsidP="00D3761D">
      <w:pPr>
        <w:pStyle w:val="ListParagraph"/>
        <w:numPr>
          <w:ilvl w:val="0"/>
          <w:numId w:val="37"/>
        </w:numPr>
        <w:jc w:val="both"/>
        <w:rPr>
          <w:sz w:val="22"/>
          <w:szCs w:val="22"/>
          <w:lang w:val="en-US"/>
        </w:rPr>
      </w:pPr>
      <w:r w:rsidRPr="00A46B17">
        <w:rPr>
          <w:sz w:val="22"/>
          <w:szCs w:val="22"/>
          <w:lang w:val="en-US"/>
        </w:rPr>
        <w:t xml:space="preserve">The Committee has also referred to the broader concept of “reparation” instead </w:t>
      </w:r>
      <w:r w:rsidR="000F0C3B">
        <w:rPr>
          <w:sz w:val="22"/>
          <w:szCs w:val="22"/>
          <w:lang w:val="en-US"/>
        </w:rPr>
        <w:t>of “compensation”. In its 2006 Concluding O</w:t>
      </w:r>
      <w:r w:rsidRPr="00A46B17">
        <w:rPr>
          <w:sz w:val="22"/>
          <w:szCs w:val="22"/>
          <w:lang w:val="en-US"/>
        </w:rPr>
        <w:t xml:space="preserve">bservations regarding the USA, </w:t>
      </w:r>
      <w:r w:rsidRPr="00A46B17">
        <w:rPr>
          <w:rFonts w:eastAsia="SimSun"/>
          <w:sz w:val="22"/>
          <w:szCs w:val="22"/>
          <w:lang w:val="en-US"/>
        </w:rPr>
        <w:t>the</w:t>
      </w:r>
      <w:r w:rsidRPr="00A46B17">
        <w:rPr>
          <w:sz w:val="22"/>
          <w:szCs w:val="22"/>
          <w:lang w:val="en-US"/>
        </w:rPr>
        <w:t xml:space="preserve"> Committee requested specifically u</w:t>
      </w:r>
      <w:r w:rsidRPr="00A46B17">
        <w:rPr>
          <w:rFonts w:eastAsia="SimSun"/>
          <w:sz w:val="22"/>
          <w:szCs w:val="22"/>
          <w:lang w:val="en-US"/>
        </w:rPr>
        <w:t xml:space="preserve">nder </w:t>
      </w:r>
      <w:r w:rsidR="00795AB6">
        <w:rPr>
          <w:rFonts w:eastAsia="SimSun"/>
          <w:sz w:val="22"/>
          <w:szCs w:val="22"/>
          <w:lang w:val="en-US"/>
        </w:rPr>
        <w:t>A</w:t>
      </w:r>
      <w:r w:rsidRPr="00A46B17">
        <w:rPr>
          <w:rFonts w:eastAsia="SimSun"/>
          <w:sz w:val="22"/>
          <w:szCs w:val="22"/>
          <w:lang w:val="en-US"/>
        </w:rPr>
        <w:t xml:space="preserve">rticle 9 </w:t>
      </w:r>
      <w:r w:rsidRPr="00A46B17">
        <w:rPr>
          <w:sz w:val="22"/>
          <w:szCs w:val="22"/>
          <w:lang w:val="en-US"/>
        </w:rPr>
        <w:t xml:space="preserve">that individuals that were “improperly detained </w:t>
      </w:r>
      <w:r w:rsidRPr="00A46B17">
        <w:rPr>
          <w:rFonts w:eastAsia="Calibri"/>
          <w:bCs/>
          <w:sz w:val="22"/>
          <w:szCs w:val="22"/>
          <w:lang w:val="en-US"/>
        </w:rPr>
        <w:t xml:space="preserve">receive[d] </w:t>
      </w:r>
      <w:r w:rsidRPr="00D3761D">
        <w:rPr>
          <w:rFonts w:eastAsia="Calibri"/>
          <w:bCs/>
          <w:i/>
          <w:sz w:val="22"/>
          <w:szCs w:val="22"/>
          <w:lang w:val="en-US"/>
        </w:rPr>
        <w:t>appropriate reparation</w:t>
      </w:r>
      <w:r w:rsidRPr="00A46B17">
        <w:rPr>
          <w:rFonts w:eastAsia="Calibri"/>
          <w:bCs/>
          <w:sz w:val="22"/>
          <w:szCs w:val="22"/>
          <w:lang w:val="en-US"/>
        </w:rPr>
        <w:t>”</w:t>
      </w:r>
      <w:r w:rsidR="00C913CC">
        <w:rPr>
          <w:rFonts w:eastAsia="Calibri"/>
          <w:bCs/>
          <w:sz w:val="22"/>
          <w:szCs w:val="22"/>
          <w:lang w:val="en-US"/>
        </w:rPr>
        <w:t>.</w:t>
      </w:r>
      <w:r w:rsidRPr="00A46B17">
        <w:rPr>
          <w:rStyle w:val="FootnoteReference"/>
          <w:sz w:val="22"/>
          <w:szCs w:val="22"/>
          <w:lang w:val="en-US"/>
        </w:rPr>
        <w:t xml:space="preserve"> </w:t>
      </w:r>
      <w:r w:rsidRPr="00A46B17">
        <w:rPr>
          <w:rStyle w:val="FootnoteReference"/>
          <w:sz w:val="22"/>
          <w:szCs w:val="22"/>
          <w:lang w:val="en-US"/>
        </w:rPr>
        <w:footnoteReference w:id="85"/>
      </w:r>
      <w:r w:rsidRPr="00A46B17">
        <w:rPr>
          <w:rStyle w:val="FootnoteReference"/>
          <w:sz w:val="22"/>
          <w:szCs w:val="22"/>
          <w:lang w:val="en-US"/>
        </w:rPr>
        <w:t xml:space="preserve"> </w:t>
      </w:r>
      <w:r w:rsidRPr="00A46B17">
        <w:rPr>
          <w:rFonts w:eastAsia="Calibri"/>
          <w:bCs/>
          <w:sz w:val="22"/>
          <w:szCs w:val="22"/>
          <w:lang w:val="en-US"/>
        </w:rPr>
        <w:t>The Commit</w:t>
      </w:r>
      <w:r w:rsidR="000F0C3B">
        <w:rPr>
          <w:rFonts w:eastAsia="Calibri"/>
          <w:bCs/>
          <w:sz w:val="22"/>
          <w:szCs w:val="22"/>
          <w:lang w:val="en-US"/>
        </w:rPr>
        <w:t xml:space="preserve">tee did not refer strictly to </w:t>
      </w:r>
      <w:r w:rsidRPr="00A46B17">
        <w:rPr>
          <w:rFonts w:eastAsia="Calibri"/>
          <w:bCs/>
          <w:sz w:val="22"/>
          <w:szCs w:val="22"/>
          <w:lang w:val="en-US"/>
        </w:rPr>
        <w:t xml:space="preserve">financial compensation. </w:t>
      </w:r>
    </w:p>
    <w:p w:rsidR="00EB76AD" w:rsidRPr="00A46B17" w:rsidRDefault="00EB76AD" w:rsidP="00D3761D">
      <w:pPr>
        <w:jc w:val="both"/>
        <w:rPr>
          <w:rFonts w:ascii="Times New Roman" w:hAnsi="Times New Roman" w:cs="Times New Roman"/>
          <w:sz w:val="22"/>
          <w:szCs w:val="22"/>
          <w:lang w:val="en-US"/>
        </w:rPr>
      </w:pPr>
    </w:p>
    <w:p w:rsidR="00EB76AD" w:rsidRPr="00A46B17" w:rsidRDefault="00EB76AD" w:rsidP="00D3761D">
      <w:pPr>
        <w:pStyle w:val="ListParagraph"/>
        <w:numPr>
          <w:ilvl w:val="0"/>
          <w:numId w:val="37"/>
        </w:numPr>
        <w:jc w:val="both"/>
        <w:rPr>
          <w:sz w:val="22"/>
          <w:szCs w:val="22"/>
          <w:lang w:val="en-US"/>
        </w:rPr>
      </w:pPr>
      <w:r w:rsidRPr="00A46B17">
        <w:rPr>
          <w:sz w:val="22"/>
          <w:szCs w:val="22"/>
          <w:lang w:val="en-US"/>
        </w:rPr>
        <w:lastRenderedPageBreak/>
        <w:t xml:space="preserve">Regarding enforced disappearance that constitutes an aggravated form of arbitrary detention under </w:t>
      </w:r>
      <w:r w:rsidR="00795AB6">
        <w:rPr>
          <w:sz w:val="22"/>
          <w:szCs w:val="22"/>
          <w:lang w:val="en-US"/>
        </w:rPr>
        <w:t>A</w:t>
      </w:r>
      <w:r w:rsidRPr="00A46B17">
        <w:rPr>
          <w:sz w:val="22"/>
          <w:szCs w:val="22"/>
          <w:lang w:val="en-US"/>
        </w:rPr>
        <w:t>rticle 9 of the Covenant, the Committee regularly requests investigation, prosecution and punishment of perpetrators and reparation to victims or their families that includes once more, among others, compensation.</w:t>
      </w:r>
      <w:r w:rsidRPr="00A46B17">
        <w:rPr>
          <w:rStyle w:val="FootnoteReference"/>
          <w:sz w:val="22"/>
          <w:szCs w:val="22"/>
          <w:lang w:val="en-US"/>
        </w:rPr>
        <w:footnoteReference w:id="86"/>
      </w:r>
      <w:r w:rsidRPr="00A46B17">
        <w:rPr>
          <w:sz w:val="22"/>
          <w:szCs w:val="22"/>
          <w:lang w:val="en-US"/>
        </w:rPr>
        <w:t xml:space="preserve"> As discussed in section </w:t>
      </w:r>
      <w:r w:rsidR="00887A4F">
        <w:rPr>
          <w:sz w:val="22"/>
          <w:szCs w:val="22"/>
          <w:lang w:val="en-US"/>
        </w:rPr>
        <w:t>C above</w:t>
      </w:r>
      <w:r w:rsidRPr="00A46B17">
        <w:rPr>
          <w:sz w:val="22"/>
          <w:szCs w:val="22"/>
          <w:lang w:val="en-US"/>
        </w:rPr>
        <w:t>, enforced disappearance may also constitute a breach of other articles of the Covenant, however it is crucial not to create inconsistency regarding the different forms of redress for arbitrary detention.</w:t>
      </w:r>
    </w:p>
    <w:p w:rsidR="00EB76AD" w:rsidRPr="00A46B17" w:rsidRDefault="00EB76AD" w:rsidP="00D3761D">
      <w:pPr>
        <w:jc w:val="both"/>
        <w:rPr>
          <w:rFonts w:ascii="Times New Roman" w:hAnsi="Times New Roman" w:cs="Times New Roman"/>
          <w:sz w:val="22"/>
          <w:szCs w:val="22"/>
          <w:lang w:val="en-US"/>
        </w:rPr>
      </w:pPr>
    </w:p>
    <w:p w:rsidR="00EB76AD" w:rsidRPr="00A46B17" w:rsidRDefault="00EB76AD" w:rsidP="00D3761D">
      <w:pPr>
        <w:pStyle w:val="ListParagraph"/>
        <w:numPr>
          <w:ilvl w:val="0"/>
          <w:numId w:val="37"/>
        </w:numPr>
        <w:jc w:val="both"/>
        <w:rPr>
          <w:sz w:val="22"/>
          <w:szCs w:val="22"/>
          <w:lang w:val="en-US"/>
        </w:rPr>
      </w:pPr>
      <w:r w:rsidRPr="00A46B17">
        <w:rPr>
          <w:sz w:val="22"/>
          <w:szCs w:val="22"/>
          <w:lang w:val="en-US"/>
        </w:rPr>
        <w:t>As d</w:t>
      </w:r>
      <w:r w:rsidR="00887A4F">
        <w:rPr>
          <w:sz w:val="22"/>
          <w:szCs w:val="22"/>
          <w:lang w:val="en-US"/>
        </w:rPr>
        <w:t>iscussed</w:t>
      </w:r>
      <w:r w:rsidR="0088030C" w:rsidRPr="00A46B17">
        <w:rPr>
          <w:sz w:val="22"/>
          <w:szCs w:val="22"/>
          <w:lang w:val="en-US"/>
        </w:rPr>
        <w:t xml:space="preserve"> under section </w:t>
      </w:r>
      <w:r w:rsidR="00887A4F">
        <w:rPr>
          <w:sz w:val="22"/>
          <w:szCs w:val="22"/>
          <w:lang w:val="en-US"/>
        </w:rPr>
        <w:t>C</w:t>
      </w:r>
      <w:r w:rsidRPr="00A46B17">
        <w:rPr>
          <w:sz w:val="22"/>
          <w:szCs w:val="22"/>
          <w:lang w:val="en-US"/>
        </w:rPr>
        <w:t xml:space="preserve"> of </w:t>
      </w:r>
      <w:r w:rsidR="00887A4F">
        <w:rPr>
          <w:sz w:val="22"/>
          <w:szCs w:val="22"/>
          <w:lang w:val="en-US"/>
        </w:rPr>
        <w:t>this</w:t>
      </w:r>
      <w:r w:rsidR="00887A4F" w:rsidRPr="00A46B17">
        <w:rPr>
          <w:sz w:val="22"/>
          <w:szCs w:val="22"/>
          <w:lang w:val="en-US"/>
        </w:rPr>
        <w:t xml:space="preserve"> </w:t>
      </w:r>
      <w:r w:rsidRPr="00A46B17">
        <w:rPr>
          <w:sz w:val="22"/>
          <w:szCs w:val="22"/>
          <w:lang w:val="en-US"/>
        </w:rPr>
        <w:t xml:space="preserve">submission, different types of detention may amount in itself both to arbitrary detention under </w:t>
      </w:r>
      <w:r w:rsidR="00795AB6">
        <w:rPr>
          <w:sz w:val="22"/>
          <w:szCs w:val="22"/>
          <w:lang w:val="en-US"/>
        </w:rPr>
        <w:t>A</w:t>
      </w:r>
      <w:r w:rsidRPr="00A46B17">
        <w:rPr>
          <w:sz w:val="22"/>
          <w:szCs w:val="22"/>
          <w:lang w:val="en-US"/>
        </w:rPr>
        <w:t xml:space="preserve">rticle 9, and torture or cruel, inhuman or degrading treatment or punishment under </w:t>
      </w:r>
      <w:r w:rsidR="00DB7E48">
        <w:rPr>
          <w:sz w:val="22"/>
          <w:szCs w:val="22"/>
          <w:lang w:val="en-US"/>
        </w:rPr>
        <w:t>A</w:t>
      </w:r>
      <w:r w:rsidRPr="00A46B17">
        <w:rPr>
          <w:sz w:val="22"/>
          <w:szCs w:val="22"/>
          <w:lang w:val="en-US"/>
        </w:rPr>
        <w:t>rticle 7. Among other forms or arbitrary detention, enforced disappearances</w:t>
      </w:r>
      <w:r w:rsidRPr="00A46B17">
        <w:rPr>
          <w:rStyle w:val="FootnoteReference"/>
          <w:sz w:val="22"/>
          <w:szCs w:val="22"/>
          <w:lang w:val="en-US"/>
        </w:rPr>
        <w:footnoteReference w:id="87"/>
      </w:r>
      <w:r w:rsidRPr="00A46B17">
        <w:rPr>
          <w:sz w:val="22"/>
          <w:szCs w:val="22"/>
          <w:lang w:val="en-US"/>
        </w:rPr>
        <w:t>, prolonged incommunicado detention</w:t>
      </w:r>
      <w:r w:rsidRPr="00A46B17">
        <w:rPr>
          <w:rStyle w:val="FootnoteReference"/>
          <w:sz w:val="22"/>
          <w:szCs w:val="22"/>
          <w:lang w:val="en-US"/>
        </w:rPr>
        <w:footnoteReference w:id="88"/>
      </w:r>
      <w:r w:rsidRPr="00A46B17">
        <w:rPr>
          <w:sz w:val="22"/>
          <w:szCs w:val="22"/>
          <w:lang w:val="en-US"/>
        </w:rPr>
        <w:t xml:space="preserve"> or some forms of confinement</w:t>
      </w:r>
      <w:r w:rsidRPr="00A46B17">
        <w:rPr>
          <w:rStyle w:val="FootnoteReference"/>
          <w:sz w:val="22"/>
          <w:szCs w:val="22"/>
          <w:lang w:val="en-US"/>
        </w:rPr>
        <w:footnoteReference w:id="89"/>
      </w:r>
      <w:r w:rsidRPr="00A46B17">
        <w:rPr>
          <w:sz w:val="22"/>
          <w:szCs w:val="22"/>
          <w:lang w:val="en-US"/>
        </w:rPr>
        <w:t xml:space="preserve"> may constitute </w:t>
      </w:r>
      <w:r w:rsidRPr="00A46B17">
        <w:rPr>
          <w:i/>
          <w:sz w:val="22"/>
          <w:szCs w:val="22"/>
          <w:lang w:val="en-US"/>
        </w:rPr>
        <w:t>per se</w:t>
      </w:r>
      <w:r w:rsidRPr="00A46B17">
        <w:rPr>
          <w:sz w:val="22"/>
          <w:szCs w:val="22"/>
          <w:lang w:val="en-US"/>
        </w:rPr>
        <w:t xml:space="preserve"> torture or ill-treatment. </w:t>
      </w:r>
    </w:p>
    <w:p w:rsidR="00EB76AD" w:rsidRPr="00A46B17" w:rsidRDefault="00EB76AD" w:rsidP="00D3761D">
      <w:pPr>
        <w:jc w:val="both"/>
        <w:rPr>
          <w:rFonts w:ascii="Times New Roman" w:hAnsi="Times New Roman" w:cs="Times New Roman"/>
          <w:sz w:val="22"/>
          <w:szCs w:val="22"/>
          <w:lang w:val="en-US"/>
        </w:rPr>
      </w:pPr>
    </w:p>
    <w:p w:rsidR="000027DC" w:rsidRDefault="00EB76AD" w:rsidP="00D3761D">
      <w:pPr>
        <w:pStyle w:val="ListParagraph"/>
        <w:numPr>
          <w:ilvl w:val="0"/>
          <w:numId w:val="37"/>
        </w:numPr>
        <w:jc w:val="both"/>
        <w:rPr>
          <w:sz w:val="22"/>
          <w:szCs w:val="22"/>
          <w:lang w:val="en-US"/>
        </w:rPr>
      </w:pPr>
      <w:r w:rsidRPr="00A46B17">
        <w:rPr>
          <w:sz w:val="22"/>
          <w:szCs w:val="22"/>
          <w:lang w:val="en-US"/>
        </w:rPr>
        <w:t xml:space="preserve">Such </w:t>
      </w:r>
      <w:r w:rsidR="00887A4F">
        <w:rPr>
          <w:sz w:val="22"/>
          <w:szCs w:val="22"/>
          <w:lang w:val="en-US"/>
        </w:rPr>
        <w:t xml:space="preserve">a </w:t>
      </w:r>
      <w:r w:rsidRPr="00A46B17">
        <w:rPr>
          <w:sz w:val="22"/>
          <w:szCs w:val="22"/>
          <w:lang w:val="en-US"/>
        </w:rPr>
        <w:t xml:space="preserve">violation would entail a right to reparation under </w:t>
      </w:r>
      <w:r w:rsidR="00C913CC">
        <w:rPr>
          <w:sz w:val="22"/>
          <w:szCs w:val="22"/>
          <w:lang w:val="en-US"/>
        </w:rPr>
        <w:t>A</w:t>
      </w:r>
      <w:r w:rsidR="00C913CC" w:rsidRPr="00A46B17">
        <w:rPr>
          <w:sz w:val="22"/>
          <w:szCs w:val="22"/>
          <w:lang w:val="en-US"/>
        </w:rPr>
        <w:t xml:space="preserve">rticles </w:t>
      </w:r>
      <w:r w:rsidRPr="00A46B17">
        <w:rPr>
          <w:sz w:val="22"/>
          <w:szCs w:val="22"/>
          <w:lang w:val="en-US"/>
        </w:rPr>
        <w:t xml:space="preserve">9.5 and 2(3) of the Covenant and </w:t>
      </w:r>
      <w:r w:rsidR="00C913CC">
        <w:rPr>
          <w:sz w:val="22"/>
          <w:szCs w:val="22"/>
          <w:lang w:val="en-US"/>
        </w:rPr>
        <w:t>A</w:t>
      </w:r>
      <w:r w:rsidR="00C913CC" w:rsidRPr="00A46B17">
        <w:rPr>
          <w:sz w:val="22"/>
          <w:szCs w:val="22"/>
          <w:lang w:val="en-US"/>
        </w:rPr>
        <w:t xml:space="preserve">rticle </w:t>
      </w:r>
      <w:r w:rsidRPr="00A46B17">
        <w:rPr>
          <w:sz w:val="22"/>
          <w:szCs w:val="22"/>
          <w:lang w:val="en-US"/>
        </w:rPr>
        <w:t>14 of the Convention against Torture, if applicable. We draw the attention of the Committee to the General Comment No</w:t>
      </w:r>
      <w:r w:rsidR="00C913CC">
        <w:rPr>
          <w:sz w:val="22"/>
          <w:szCs w:val="22"/>
          <w:lang w:val="en-US"/>
        </w:rPr>
        <w:t>.</w:t>
      </w:r>
      <w:r w:rsidRPr="00A46B17">
        <w:rPr>
          <w:sz w:val="22"/>
          <w:szCs w:val="22"/>
          <w:lang w:val="en-US"/>
        </w:rPr>
        <w:t xml:space="preserve"> 3 of the Committee against Torture about the implementation of </w:t>
      </w:r>
      <w:r w:rsidR="00C913CC">
        <w:rPr>
          <w:sz w:val="22"/>
          <w:szCs w:val="22"/>
          <w:lang w:val="en-US"/>
        </w:rPr>
        <w:t>A</w:t>
      </w:r>
      <w:r w:rsidR="00C913CC" w:rsidRPr="00A46B17">
        <w:rPr>
          <w:sz w:val="22"/>
          <w:szCs w:val="22"/>
          <w:lang w:val="en-US"/>
        </w:rPr>
        <w:t xml:space="preserve">rticle </w:t>
      </w:r>
      <w:r w:rsidRPr="00A46B17">
        <w:rPr>
          <w:sz w:val="22"/>
          <w:szCs w:val="22"/>
          <w:lang w:val="en-US"/>
        </w:rPr>
        <w:t xml:space="preserve">14 of the Convention against Torture. It clearly states that </w:t>
      </w:r>
      <w:r w:rsidR="00887A4F">
        <w:rPr>
          <w:sz w:val="22"/>
          <w:szCs w:val="22"/>
          <w:lang w:val="en-US"/>
        </w:rPr>
        <w:t>“</w:t>
      </w:r>
      <w:r w:rsidRPr="00D3761D">
        <w:rPr>
          <w:sz w:val="22"/>
          <w:szCs w:val="22"/>
          <w:lang w:val="en-US"/>
        </w:rPr>
        <w:t xml:space="preserve">monetary compensation alone </w:t>
      </w:r>
      <w:r w:rsidR="00606255">
        <w:rPr>
          <w:sz w:val="22"/>
          <w:szCs w:val="22"/>
          <w:lang w:val="en-US"/>
        </w:rPr>
        <w:t>may not be sufficient</w:t>
      </w:r>
      <w:r w:rsidRPr="00D3761D">
        <w:rPr>
          <w:sz w:val="22"/>
          <w:szCs w:val="22"/>
          <w:lang w:val="en-US"/>
        </w:rPr>
        <w:t xml:space="preserve"> redress</w:t>
      </w:r>
      <w:r w:rsidRPr="00A46B17">
        <w:rPr>
          <w:sz w:val="22"/>
          <w:szCs w:val="22"/>
          <w:lang w:val="en-US"/>
        </w:rPr>
        <w:t xml:space="preserve"> for a victim of torture and ill-treatment</w:t>
      </w:r>
      <w:r w:rsidR="00887A4F">
        <w:rPr>
          <w:sz w:val="22"/>
          <w:szCs w:val="22"/>
          <w:lang w:val="en-US"/>
        </w:rPr>
        <w:t>”</w:t>
      </w:r>
      <w:r w:rsidRPr="00A46B17">
        <w:rPr>
          <w:sz w:val="22"/>
          <w:szCs w:val="22"/>
          <w:lang w:val="en-US"/>
        </w:rPr>
        <w:t>.</w:t>
      </w:r>
      <w:r w:rsidRPr="00A46B17">
        <w:rPr>
          <w:rStyle w:val="FootnoteReference"/>
          <w:sz w:val="22"/>
          <w:szCs w:val="22"/>
          <w:lang w:val="en-US"/>
        </w:rPr>
        <w:footnoteReference w:id="90"/>
      </w:r>
      <w:r w:rsidRPr="00A46B17">
        <w:rPr>
          <w:sz w:val="22"/>
          <w:szCs w:val="22"/>
          <w:lang w:val="en-US"/>
        </w:rPr>
        <w:t xml:space="preserve"> We consider that it</w:t>
      </w:r>
      <w:r w:rsidR="000F0C3B">
        <w:rPr>
          <w:sz w:val="22"/>
          <w:szCs w:val="22"/>
          <w:lang w:val="en-US"/>
        </w:rPr>
        <w:t xml:space="preserve"> is important that draft </w:t>
      </w:r>
      <w:r w:rsidRPr="00A46B17">
        <w:rPr>
          <w:sz w:val="22"/>
          <w:szCs w:val="22"/>
          <w:lang w:val="en-US"/>
        </w:rPr>
        <w:t>General Comment No</w:t>
      </w:r>
      <w:r w:rsidR="00887A4F">
        <w:rPr>
          <w:sz w:val="22"/>
          <w:szCs w:val="22"/>
          <w:lang w:val="en-US"/>
        </w:rPr>
        <w:t xml:space="preserve">. </w:t>
      </w:r>
      <w:r w:rsidRPr="00A46B17">
        <w:rPr>
          <w:sz w:val="22"/>
          <w:szCs w:val="22"/>
          <w:lang w:val="en-US"/>
        </w:rPr>
        <w:t>35 reflects this point in</w:t>
      </w:r>
      <w:r w:rsidR="00887A4F">
        <w:rPr>
          <w:sz w:val="22"/>
          <w:szCs w:val="22"/>
          <w:lang w:val="en-US"/>
        </w:rPr>
        <w:t xml:space="preserve"> section VI on the right to compensation</w:t>
      </w:r>
      <w:r w:rsidRPr="00A46B17">
        <w:rPr>
          <w:sz w:val="22"/>
          <w:szCs w:val="22"/>
          <w:lang w:val="en-US"/>
        </w:rPr>
        <w:t>.</w:t>
      </w:r>
    </w:p>
    <w:p w:rsidR="00720827" w:rsidRPr="00A46B17" w:rsidRDefault="00720827" w:rsidP="00720827">
      <w:pPr>
        <w:pStyle w:val="ListParagraph"/>
        <w:jc w:val="both"/>
        <w:rPr>
          <w:sz w:val="22"/>
          <w:szCs w:val="22"/>
          <w:lang w:val="en-US"/>
        </w:rPr>
      </w:pPr>
    </w:p>
    <w:p w:rsidR="00A023D9" w:rsidRPr="008C178B" w:rsidRDefault="000F0C3B" w:rsidP="00720827">
      <w:pPr>
        <w:pStyle w:val="Default"/>
        <w:numPr>
          <w:ilvl w:val="0"/>
          <w:numId w:val="37"/>
        </w:numPr>
        <w:jc w:val="both"/>
        <w:rPr>
          <w:sz w:val="22"/>
          <w:szCs w:val="22"/>
          <w:lang w:val="en-US"/>
        </w:rPr>
      </w:pPr>
      <w:r>
        <w:rPr>
          <w:color w:val="auto"/>
          <w:sz w:val="22"/>
          <w:szCs w:val="22"/>
          <w:lang w:val="en-US" w:eastAsia="da-DK"/>
        </w:rPr>
        <w:t xml:space="preserve">We also note that </w:t>
      </w:r>
      <w:r w:rsidR="00A023D9" w:rsidRPr="00A023D9">
        <w:rPr>
          <w:color w:val="auto"/>
          <w:sz w:val="22"/>
          <w:szCs w:val="22"/>
          <w:lang w:val="en-US" w:eastAsia="da-DK"/>
        </w:rPr>
        <w:t>draft General Comment No</w:t>
      </w:r>
      <w:r w:rsidR="00887A4F">
        <w:rPr>
          <w:color w:val="auto"/>
          <w:sz w:val="22"/>
          <w:szCs w:val="22"/>
          <w:lang w:val="en-US" w:eastAsia="da-DK"/>
        </w:rPr>
        <w:t xml:space="preserve">. </w:t>
      </w:r>
      <w:r w:rsidR="00A023D9" w:rsidRPr="00A023D9">
        <w:rPr>
          <w:color w:val="auto"/>
          <w:sz w:val="22"/>
          <w:szCs w:val="22"/>
          <w:lang w:val="en-US" w:eastAsia="da-DK"/>
        </w:rPr>
        <w:t xml:space="preserve">35 refers to rehabilitation only twice with reference to punitive sanction and </w:t>
      </w:r>
      <w:proofErr w:type="spellStart"/>
      <w:r w:rsidR="00A023D9" w:rsidRPr="00A023D9">
        <w:rPr>
          <w:color w:val="auto"/>
          <w:sz w:val="22"/>
          <w:szCs w:val="22"/>
          <w:lang w:val="en-US" w:eastAsia="da-DK"/>
        </w:rPr>
        <w:t>institutionalised</w:t>
      </w:r>
      <w:proofErr w:type="spellEnd"/>
      <w:r w:rsidR="00A023D9" w:rsidRPr="00A023D9">
        <w:rPr>
          <w:color w:val="auto"/>
          <w:sz w:val="22"/>
          <w:szCs w:val="22"/>
          <w:lang w:val="en-US" w:eastAsia="da-DK"/>
        </w:rPr>
        <w:t xml:space="preserve"> persons. We consider that rehabilitation is an important element of the due redress to be mentioned and considered</w:t>
      </w:r>
      <w:r w:rsidR="00A023D9">
        <w:rPr>
          <w:color w:val="auto"/>
          <w:sz w:val="22"/>
          <w:szCs w:val="22"/>
          <w:lang w:val="en-US" w:eastAsia="da-DK"/>
        </w:rPr>
        <w:t>, i</w:t>
      </w:r>
      <w:r w:rsidR="00A023D9" w:rsidRPr="00A023D9">
        <w:rPr>
          <w:color w:val="auto"/>
          <w:sz w:val="22"/>
          <w:szCs w:val="22"/>
          <w:lang w:val="en-US" w:eastAsia="da-DK"/>
        </w:rPr>
        <w:t>n particular in case of victims of torture</w:t>
      </w:r>
      <w:r w:rsidR="00A023D9">
        <w:rPr>
          <w:color w:val="auto"/>
          <w:sz w:val="22"/>
          <w:szCs w:val="22"/>
          <w:lang w:val="en-US" w:eastAsia="da-DK"/>
        </w:rPr>
        <w:t>. A</w:t>
      </w:r>
      <w:r w:rsidR="00A023D9" w:rsidRPr="00A023D9">
        <w:rPr>
          <w:color w:val="auto"/>
          <w:sz w:val="22"/>
          <w:szCs w:val="22"/>
          <w:lang w:val="en-US" w:eastAsia="da-DK"/>
        </w:rPr>
        <w:t>s affirmed by the Committee against Torture, “rehabilitation for victims should aim to restore, as far as possible, their independence, physical, mental, social and vocational ability; and full inclusion and participation in society</w:t>
      </w:r>
      <w:r>
        <w:rPr>
          <w:color w:val="auto"/>
          <w:sz w:val="22"/>
          <w:szCs w:val="22"/>
          <w:lang w:val="en-US" w:eastAsia="da-DK"/>
        </w:rPr>
        <w:t>”</w:t>
      </w:r>
      <w:r w:rsidR="00A023D9" w:rsidRPr="00230733">
        <w:rPr>
          <w:rFonts w:asciiTheme="minorHAnsi" w:hAnsiTheme="minorHAnsi"/>
          <w:sz w:val="20"/>
          <w:szCs w:val="20"/>
          <w:lang w:val="en-GB"/>
        </w:rPr>
        <w:t>.</w:t>
      </w:r>
      <w:r w:rsidR="00A023D9">
        <w:rPr>
          <w:rStyle w:val="FootnoteReference"/>
          <w:szCs w:val="20"/>
          <w:lang w:val="en-GB"/>
        </w:rPr>
        <w:footnoteReference w:id="91"/>
      </w:r>
      <w:r w:rsidR="00A023D9" w:rsidRPr="00230733">
        <w:rPr>
          <w:rFonts w:asciiTheme="minorHAnsi" w:hAnsiTheme="minorHAnsi"/>
          <w:sz w:val="20"/>
          <w:szCs w:val="20"/>
          <w:lang w:val="en-GB"/>
        </w:rPr>
        <w:t xml:space="preserve"> </w:t>
      </w:r>
      <w:r w:rsidR="00A023D9">
        <w:rPr>
          <w:color w:val="auto"/>
          <w:sz w:val="22"/>
          <w:szCs w:val="22"/>
          <w:lang w:val="en-US" w:eastAsia="da-DK"/>
        </w:rPr>
        <w:t>It</w:t>
      </w:r>
      <w:r w:rsidR="00A023D9" w:rsidRPr="00A023D9">
        <w:rPr>
          <w:color w:val="auto"/>
          <w:sz w:val="22"/>
          <w:szCs w:val="22"/>
          <w:lang w:val="en-US" w:eastAsia="da-DK"/>
        </w:rPr>
        <w:t xml:space="preserve"> emphasizes that the obligation of States parties to provide the means for “as full rehabilitation as possible” refers to the need to restore and repair the harm suffered by a victim whose life situation, including dignity, health and self-sufficiency may never be fully recovered as a result of the pervasive effect of torture. The obligation does not relate to the available resources of States parties and may not be postponed.</w:t>
      </w:r>
    </w:p>
    <w:p w:rsidR="00EB76AD" w:rsidRPr="00A46B17" w:rsidRDefault="00EB76AD" w:rsidP="00720827">
      <w:pPr>
        <w:jc w:val="both"/>
        <w:rPr>
          <w:rFonts w:ascii="Times New Roman" w:hAnsi="Times New Roman" w:cs="Times New Roman"/>
          <w:sz w:val="22"/>
          <w:szCs w:val="22"/>
          <w:lang w:val="en-US"/>
        </w:rPr>
      </w:pPr>
    </w:p>
    <w:p w:rsidR="000027DC" w:rsidRPr="00A46B17" w:rsidRDefault="00EB76AD" w:rsidP="00720827">
      <w:pPr>
        <w:pStyle w:val="ListParagraph"/>
        <w:numPr>
          <w:ilvl w:val="0"/>
          <w:numId w:val="37"/>
        </w:numPr>
        <w:jc w:val="both"/>
        <w:rPr>
          <w:sz w:val="22"/>
          <w:szCs w:val="22"/>
          <w:lang w:val="en-US"/>
        </w:rPr>
      </w:pPr>
      <w:r w:rsidRPr="00A46B17">
        <w:rPr>
          <w:sz w:val="22"/>
          <w:szCs w:val="22"/>
          <w:lang w:val="en-US"/>
        </w:rPr>
        <w:t>Not restricting only to the right to compensation, General Comment No</w:t>
      </w:r>
      <w:r w:rsidR="00887A4F">
        <w:rPr>
          <w:sz w:val="22"/>
          <w:szCs w:val="22"/>
          <w:lang w:val="en-US"/>
        </w:rPr>
        <w:t>.</w:t>
      </w:r>
      <w:r w:rsidRPr="00A46B17">
        <w:rPr>
          <w:sz w:val="22"/>
          <w:szCs w:val="22"/>
          <w:lang w:val="en-US"/>
        </w:rPr>
        <w:t xml:space="preserve"> 35 could also recall that certain </w:t>
      </w:r>
      <w:r w:rsidR="007B43F7">
        <w:rPr>
          <w:sz w:val="22"/>
          <w:szCs w:val="22"/>
          <w:lang w:val="en-US"/>
        </w:rPr>
        <w:t xml:space="preserve">forms of </w:t>
      </w:r>
      <w:r w:rsidRPr="00A46B17">
        <w:rPr>
          <w:sz w:val="22"/>
          <w:szCs w:val="22"/>
          <w:lang w:val="en-US"/>
        </w:rPr>
        <w:t>reparation could prevent further arbitrary deten</w:t>
      </w:r>
      <w:r w:rsidR="000F0C3B">
        <w:rPr>
          <w:sz w:val="22"/>
          <w:szCs w:val="22"/>
          <w:lang w:val="en-US"/>
        </w:rPr>
        <w:t xml:space="preserve">tion. For instance initiating </w:t>
      </w:r>
      <w:r w:rsidRPr="00A46B17">
        <w:rPr>
          <w:sz w:val="22"/>
          <w:szCs w:val="22"/>
          <w:lang w:val="en-US"/>
        </w:rPr>
        <w:t xml:space="preserve">serious, impartial and effective investigations, establishing the facts, determining the possible perpetrators, bringing them to prosecution and trial are </w:t>
      </w:r>
      <w:r w:rsidRPr="00A46B17">
        <w:rPr>
          <w:sz w:val="22"/>
          <w:szCs w:val="22"/>
          <w:lang w:val="en-US"/>
        </w:rPr>
        <w:lastRenderedPageBreak/>
        <w:t xml:space="preserve">not only a part of the duty to remedy the wrong, but they also perform a preventive function. </w:t>
      </w:r>
    </w:p>
    <w:p w:rsidR="00EB76AD" w:rsidRPr="00A46B17" w:rsidRDefault="00EB76AD" w:rsidP="00720827">
      <w:pPr>
        <w:jc w:val="both"/>
        <w:rPr>
          <w:rFonts w:ascii="Times New Roman" w:hAnsi="Times New Roman" w:cs="Times New Roman"/>
          <w:sz w:val="22"/>
          <w:szCs w:val="22"/>
          <w:lang w:val="en-US"/>
        </w:rPr>
      </w:pPr>
    </w:p>
    <w:p w:rsidR="00EB76AD" w:rsidRPr="00A46B17" w:rsidRDefault="00EB76AD" w:rsidP="00720827">
      <w:pPr>
        <w:pStyle w:val="SingleTxtG"/>
        <w:numPr>
          <w:ilvl w:val="0"/>
          <w:numId w:val="37"/>
        </w:numPr>
        <w:spacing w:after="0" w:line="240" w:lineRule="auto"/>
        <w:ind w:right="0"/>
        <w:rPr>
          <w:sz w:val="22"/>
          <w:szCs w:val="22"/>
          <w:lang w:val="en-US"/>
        </w:rPr>
      </w:pPr>
      <w:r w:rsidRPr="00A46B17">
        <w:rPr>
          <w:rFonts w:eastAsiaTheme="minorHAnsi"/>
          <w:sz w:val="22"/>
          <w:szCs w:val="22"/>
          <w:lang w:val="en-US"/>
        </w:rPr>
        <w:t>Regarding the development of the concept of ‘reparation’ in the 2000s by different UN bodies</w:t>
      </w:r>
      <w:r w:rsidRPr="00A46B17">
        <w:rPr>
          <w:sz w:val="22"/>
          <w:szCs w:val="22"/>
          <w:lang w:val="en-US"/>
        </w:rPr>
        <w:t>,</w:t>
      </w:r>
      <w:r w:rsidRPr="00A46B17">
        <w:rPr>
          <w:rStyle w:val="FootnoteReference"/>
          <w:sz w:val="22"/>
          <w:szCs w:val="22"/>
          <w:lang w:val="en-US"/>
        </w:rPr>
        <w:footnoteReference w:id="92"/>
      </w:r>
      <w:r w:rsidRPr="00A46B17">
        <w:rPr>
          <w:sz w:val="22"/>
          <w:szCs w:val="22"/>
          <w:lang w:val="en-US"/>
        </w:rPr>
        <w:t xml:space="preserve"> </w:t>
      </w:r>
      <w:r w:rsidRPr="00A46B17">
        <w:rPr>
          <w:rFonts w:eastAsiaTheme="minorHAnsi"/>
          <w:sz w:val="22"/>
          <w:szCs w:val="22"/>
          <w:lang w:val="en-US"/>
        </w:rPr>
        <w:t xml:space="preserve">we consider </w:t>
      </w:r>
      <w:r w:rsidR="000F0C3B">
        <w:rPr>
          <w:rFonts w:eastAsiaTheme="minorHAnsi"/>
          <w:sz w:val="22"/>
          <w:szCs w:val="22"/>
          <w:lang w:val="en-US"/>
        </w:rPr>
        <w:t>that it is important to keep c</w:t>
      </w:r>
      <w:r w:rsidRPr="00A46B17">
        <w:rPr>
          <w:rFonts w:eastAsiaTheme="minorHAnsi"/>
          <w:sz w:val="22"/>
          <w:szCs w:val="22"/>
          <w:lang w:val="en-US"/>
        </w:rPr>
        <w:t>onsistency in the interpretation giv</w:t>
      </w:r>
      <w:r w:rsidR="000F0C3B">
        <w:rPr>
          <w:rFonts w:eastAsiaTheme="minorHAnsi"/>
          <w:sz w:val="22"/>
          <w:szCs w:val="22"/>
          <w:lang w:val="en-US"/>
        </w:rPr>
        <w:t>en to the right to redress. The</w:t>
      </w:r>
      <w:r w:rsidRPr="00A46B17">
        <w:rPr>
          <w:rFonts w:eastAsiaTheme="minorHAnsi"/>
          <w:sz w:val="22"/>
          <w:szCs w:val="22"/>
          <w:lang w:val="en-US"/>
        </w:rPr>
        <w:t xml:space="preserve"> G</w:t>
      </w:r>
      <w:r w:rsidR="000F0C3B">
        <w:rPr>
          <w:rFonts w:eastAsiaTheme="minorHAnsi"/>
          <w:sz w:val="22"/>
          <w:szCs w:val="22"/>
          <w:lang w:val="en-US"/>
        </w:rPr>
        <w:t>eneral Comment should reflect this</w:t>
      </w:r>
      <w:r w:rsidRPr="00A46B17">
        <w:rPr>
          <w:rFonts w:eastAsiaTheme="minorHAnsi"/>
          <w:sz w:val="22"/>
          <w:szCs w:val="22"/>
          <w:lang w:val="en-US"/>
        </w:rPr>
        <w:t xml:space="preserve"> more specifically and should refer to the different concepts encompassed by the term “reparation” instead of being limited to the right to financial compensation.</w:t>
      </w:r>
      <w:r w:rsidRPr="00A46B17">
        <w:rPr>
          <w:sz w:val="22"/>
          <w:szCs w:val="22"/>
          <w:lang w:val="en-US"/>
        </w:rPr>
        <w:t xml:space="preserve"> </w:t>
      </w:r>
    </w:p>
    <w:p w:rsidR="00EB76AD" w:rsidRPr="00A46B17" w:rsidRDefault="00EB76AD" w:rsidP="00D3761D">
      <w:pPr>
        <w:jc w:val="both"/>
        <w:rPr>
          <w:rFonts w:ascii="Times New Roman" w:hAnsi="Times New Roman" w:cs="Times New Roman"/>
          <w:b/>
          <w:sz w:val="22"/>
          <w:szCs w:val="22"/>
          <w:lang w:val="en-US"/>
        </w:rPr>
      </w:pPr>
    </w:p>
    <w:p w:rsidR="00EB76AD" w:rsidRPr="00A46B17" w:rsidRDefault="00EB76AD" w:rsidP="00D3761D">
      <w:pPr>
        <w:pStyle w:val="Heading2"/>
        <w:spacing w:before="0"/>
        <w:jc w:val="both"/>
        <w:rPr>
          <w:rFonts w:ascii="Times New Roman" w:hAnsi="Times New Roman" w:cs="Times New Roman"/>
          <w:color w:val="auto"/>
          <w:sz w:val="24"/>
          <w:szCs w:val="24"/>
          <w:lang w:val="en-US"/>
        </w:rPr>
      </w:pPr>
      <w:bookmarkStart w:id="48" w:name="_Toc388377569"/>
      <w:bookmarkStart w:id="49" w:name="_Toc388961681"/>
      <w:bookmarkStart w:id="50" w:name="_Toc389236152"/>
      <w:r w:rsidRPr="00A46B17">
        <w:rPr>
          <w:rFonts w:ascii="Times New Roman" w:hAnsi="Times New Roman" w:cs="Times New Roman"/>
          <w:color w:val="auto"/>
          <w:sz w:val="24"/>
          <w:szCs w:val="24"/>
          <w:lang w:val="en-US"/>
        </w:rPr>
        <w:t>Right to redress the harm caused by private persons or entities</w:t>
      </w:r>
      <w:bookmarkEnd w:id="48"/>
      <w:bookmarkEnd w:id="49"/>
      <w:bookmarkEnd w:id="50"/>
    </w:p>
    <w:p w:rsidR="00EB76AD" w:rsidRPr="00A46B17" w:rsidRDefault="00EB76AD" w:rsidP="00887A4F">
      <w:pPr>
        <w:pStyle w:val="ListParagraph"/>
        <w:numPr>
          <w:ilvl w:val="0"/>
          <w:numId w:val="37"/>
        </w:numPr>
        <w:jc w:val="both"/>
        <w:rPr>
          <w:sz w:val="22"/>
          <w:szCs w:val="22"/>
          <w:lang w:val="en-CA"/>
        </w:rPr>
      </w:pPr>
      <w:r w:rsidRPr="00A46B17">
        <w:rPr>
          <w:sz w:val="22"/>
          <w:szCs w:val="22"/>
          <w:lang w:val="en-CA"/>
        </w:rPr>
        <w:t xml:space="preserve">As hereinbefore mentioned in this submission (See </w:t>
      </w:r>
      <w:r w:rsidR="00887A4F">
        <w:rPr>
          <w:sz w:val="22"/>
          <w:szCs w:val="22"/>
          <w:lang w:val="en-CA"/>
        </w:rPr>
        <w:t>section B on</w:t>
      </w:r>
      <w:r w:rsidRPr="00A46B17">
        <w:rPr>
          <w:sz w:val="22"/>
          <w:szCs w:val="22"/>
          <w:lang w:val="en-CA"/>
        </w:rPr>
        <w:t xml:space="preserve"> deprivation of liberty by third parties), we suggest that a sentence is included in Section VI (Compensation) </w:t>
      </w:r>
      <w:r w:rsidR="00887A4F">
        <w:rPr>
          <w:sz w:val="22"/>
          <w:szCs w:val="22"/>
          <w:lang w:val="en-CA"/>
        </w:rPr>
        <w:t xml:space="preserve">of the draft General Comment </w:t>
      </w:r>
      <w:r w:rsidRPr="00A46B17">
        <w:rPr>
          <w:sz w:val="22"/>
          <w:szCs w:val="22"/>
          <w:lang w:val="en-CA"/>
        </w:rPr>
        <w:t>to recall the Committee’s jurisprudence in General Comment No. 31 on States parties’ separate obligations under the Convention “</w:t>
      </w:r>
      <w:r w:rsidRPr="00A46B17">
        <w:rPr>
          <w:sz w:val="22"/>
          <w:szCs w:val="22"/>
          <w:lang w:val="en-US"/>
        </w:rPr>
        <w:t xml:space="preserve">to take appropriate measures or to exercise due diligence to prevent, punish, investigate or </w:t>
      </w:r>
      <w:r w:rsidRPr="00D3761D">
        <w:rPr>
          <w:i/>
          <w:sz w:val="22"/>
          <w:szCs w:val="22"/>
          <w:lang w:val="en-US"/>
        </w:rPr>
        <w:t>redress the harm caused by such acts by private persons or entities</w:t>
      </w:r>
      <w:r w:rsidRPr="00A46B17">
        <w:rPr>
          <w:sz w:val="22"/>
          <w:szCs w:val="22"/>
          <w:lang w:val="en-CA"/>
        </w:rPr>
        <w:t>” in the context of unlawful deprivation of liberty.</w:t>
      </w:r>
      <w:r w:rsidRPr="00A46B17">
        <w:rPr>
          <w:rStyle w:val="FootnoteReference"/>
          <w:sz w:val="22"/>
          <w:szCs w:val="22"/>
          <w:lang w:val="en-CA"/>
        </w:rPr>
        <w:footnoteReference w:id="93"/>
      </w:r>
    </w:p>
    <w:p w:rsidR="00EB76AD" w:rsidRPr="00A46B17" w:rsidRDefault="00EB76AD" w:rsidP="00720827">
      <w:pPr>
        <w:jc w:val="both"/>
        <w:rPr>
          <w:rFonts w:ascii="Times New Roman" w:hAnsi="Times New Roman" w:cs="Times New Roman"/>
          <w:sz w:val="22"/>
          <w:szCs w:val="22"/>
          <w:lang w:val="en-US"/>
        </w:rPr>
      </w:pPr>
    </w:p>
    <w:p w:rsidR="00EB76AD" w:rsidRPr="00A46B17" w:rsidRDefault="00EB76AD" w:rsidP="00720827">
      <w:pPr>
        <w:pStyle w:val="Heading2"/>
        <w:spacing w:before="0"/>
        <w:jc w:val="both"/>
        <w:rPr>
          <w:rFonts w:ascii="Times New Roman" w:hAnsi="Times New Roman" w:cs="Times New Roman"/>
          <w:color w:val="auto"/>
          <w:sz w:val="24"/>
          <w:szCs w:val="24"/>
          <w:lang w:val="en-US"/>
        </w:rPr>
      </w:pPr>
      <w:bookmarkStart w:id="51" w:name="_Toc388377570"/>
      <w:bookmarkStart w:id="52" w:name="_Toc388961682"/>
      <w:bookmarkStart w:id="53" w:name="_Toc389236153"/>
      <w:r w:rsidRPr="00A46B17">
        <w:rPr>
          <w:rFonts w:ascii="Times New Roman" w:hAnsi="Times New Roman" w:cs="Times New Roman"/>
          <w:color w:val="auto"/>
          <w:sz w:val="24"/>
          <w:szCs w:val="24"/>
          <w:lang w:val="en-US"/>
        </w:rPr>
        <w:t>A remedy against the State must always be available.</w:t>
      </w:r>
      <w:bookmarkEnd w:id="51"/>
      <w:bookmarkEnd w:id="52"/>
      <w:bookmarkEnd w:id="53"/>
    </w:p>
    <w:p w:rsidR="00C15AC6" w:rsidRDefault="00EB76AD" w:rsidP="00720827">
      <w:pPr>
        <w:pStyle w:val="ListParagraph"/>
        <w:numPr>
          <w:ilvl w:val="0"/>
          <w:numId w:val="37"/>
        </w:numPr>
        <w:jc w:val="both"/>
        <w:rPr>
          <w:sz w:val="22"/>
          <w:szCs w:val="22"/>
          <w:lang w:val="en-US"/>
        </w:rPr>
      </w:pPr>
      <w:r w:rsidRPr="00A46B17">
        <w:rPr>
          <w:sz w:val="22"/>
          <w:szCs w:val="22"/>
          <w:lang w:val="en-US"/>
        </w:rPr>
        <w:t xml:space="preserve"> </w:t>
      </w:r>
      <w:r w:rsidRPr="00A46B17">
        <w:rPr>
          <w:b/>
          <w:sz w:val="22"/>
          <w:szCs w:val="22"/>
          <w:u w:val="single"/>
          <w:lang w:val="en-US"/>
        </w:rPr>
        <w:t>Paragraph 50</w:t>
      </w:r>
      <w:r w:rsidRPr="00A46B17">
        <w:rPr>
          <w:sz w:val="22"/>
          <w:szCs w:val="22"/>
          <w:lang w:val="en-US"/>
        </w:rPr>
        <w:t xml:space="preserve"> of the General Comment provides for the legal framework of the implementation of the right to compensation.  It states that </w:t>
      </w:r>
      <w:r w:rsidR="00795AB6">
        <w:rPr>
          <w:sz w:val="22"/>
          <w:szCs w:val="22"/>
          <w:lang w:val="en-US"/>
        </w:rPr>
        <w:t>A</w:t>
      </w:r>
      <w:r w:rsidR="000F0C3B">
        <w:rPr>
          <w:sz w:val="22"/>
          <w:szCs w:val="22"/>
          <w:lang w:val="en-US"/>
        </w:rPr>
        <w:t>rticle 9(</w:t>
      </w:r>
      <w:r w:rsidRPr="00A46B17">
        <w:rPr>
          <w:sz w:val="22"/>
          <w:szCs w:val="22"/>
          <w:lang w:val="en-US"/>
        </w:rPr>
        <w:t>5</w:t>
      </w:r>
      <w:r w:rsidR="000F0C3B">
        <w:rPr>
          <w:sz w:val="22"/>
          <w:szCs w:val="22"/>
          <w:lang w:val="en-US"/>
        </w:rPr>
        <w:t>)</w:t>
      </w:r>
      <w:r w:rsidRPr="00A46B17">
        <w:rPr>
          <w:sz w:val="22"/>
          <w:szCs w:val="22"/>
          <w:lang w:val="en-US"/>
        </w:rPr>
        <w:t xml:space="preserve"> “does not specify the precise form of procedure, which may include remedies against the state </w:t>
      </w:r>
      <w:proofErr w:type="gramStart"/>
      <w:r w:rsidRPr="00A46B17">
        <w:rPr>
          <w:sz w:val="22"/>
          <w:szCs w:val="22"/>
          <w:lang w:val="en-US"/>
        </w:rPr>
        <w:t>itself,</w:t>
      </w:r>
      <w:r w:rsidRPr="00A46B17">
        <w:rPr>
          <w:rStyle w:val="FootnoteReference"/>
          <w:sz w:val="22"/>
          <w:szCs w:val="22"/>
        </w:rPr>
        <w:footnoteReference w:id="94"/>
      </w:r>
      <w:proofErr w:type="gramEnd"/>
      <w:r w:rsidRPr="00A46B17">
        <w:rPr>
          <w:sz w:val="22"/>
          <w:szCs w:val="22"/>
          <w:lang w:val="en-US"/>
        </w:rPr>
        <w:t xml:space="preserve"> or against individual state official</w:t>
      </w:r>
      <w:r w:rsidR="000F0C3B">
        <w:rPr>
          <w:sz w:val="22"/>
          <w:szCs w:val="22"/>
          <w:lang w:val="en-US"/>
        </w:rPr>
        <w:t>s responsible for the violation”.</w:t>
      </w:r>
      <w:r w:rsidRPr="00A46B17">
        <w:rPr>
          <w:rStyle w:val="FootnoteReference"/>
          <w:sz w:val="22"/>
          <w:szCs w:val="22"/>
        </w:rPr>
        <w:footnoteReference w:id="95"/>
      </w:r>
      <w:r w:rsidRPr="00A46B17">
        <w:rPr>
          <w:sz w:val="22"/>
          <w:szCs w:val="22"/>
          <w:lang w:val="en-US"/>
        </w:rPr>
        <w:t xml:space="preserve"> We agree that </w:t>
      </w:r>
      <w:r w:rsidR="00795AB6">
        <w:rPr>
          <w:sz w:val="22"/>
          <w:szCs w:val="22"/>
          <w:lang w:val="en-US"/>
        </w:rPr>
        <w:t>A</w:t>
      </w:r>
      <w:r w:rsidR="000F0C3B">
        <w:rPr>
          <w:sz w:val="22"/>
          <w:szCs w:val="22"/>
          <w:lang w:val="en-US"/>
        </w:rPr>
        <w:t>rticle 9(</w:t>
      </w:r>
      <w:r w:rsidRPr="00A46B17">
        <w:rPr>
          <w:sz w:val="22"/>
          <w:szCs w:val="22"/>
          <w:lang w:val="en-US"/>
        </w:rPr>
        <w:t>5</w:t>
      </w:r>
      <w:r w:rsidR="000F0C3B">
        <w:rPr>
          <w:sz w:val="22"/>
          <w:szCs w:val="22"/>
          <w:lang w:val="en-US"/>
        </w:rPr>
        <w:t>)</w:t>
      </w:r>
      <w:r w:rsidRPr="00A46B17">
        <w:rPr>
          <w:sz w:val="22"/>
          <w:szCs w:val="22"/>
          <w:lang w:val="en-US"/>
        </w:rPr>
        <w:t xml:space="preserve"> does</w:t>
      </w:r>
      <w:r w:rsidR="00606255">
        <w:rPr>
          <w:sz w:val="22"/>
          <w:szCs w:val="22"/>
          <w:lang w:val="en-US"/>
        </w:rPr>
        <w:t xml:space="preserve"> not</w:t>
      </w:r>
      <w:r w:rsidRPr="00A46B17">
        <w:rPr>
          <w:sz w:val="22"/>
          <w:szCs w:val="22"/>
          <w:lang w:val="en-US"/>
        </w:rPr>
        <w:t xml:space="preserve"> provide any detail on the procedure but we are concerned by the drafting of this sentence which may encourage State</w:t>
      </w:r>
      <w:r w:rsidR="00606255">
        <w:rPr>
          <w:sz w:val="22"/>
          <w:szCs w:val="22"/>
          <w:lang w:val="en-US"/>
        </w:rPr>
        <w:t>s</w:t>
      </w:r>
      <w:r w:rsidRPr="00A46B17">
        <w:rPr>
          <w:sz w:val="22"/>
          <w:szCs w:val="22"/>
          <w:lang w:val="en-US"/>
        </w:rPr>
        <w:t xml:space="preserve"> to provide a procedure for claims against State officials only. We consider that </w:t>
      </w:r>
      <w:r w:rsidRPr="00720827">
        <w:rPr>
          <w:sz w:val="22"/>
          <w:szCs w:val="22"/>
          <w:lang w:val="en-US"/>
        </w:rPr>
        <w:t>a remedy against the State is a crucial issue</w:t>
      </w:r>
      <w:r w:rsidRPr="00A46B17">
        <w:rPr>
          <w:sz w:val="22"/>
          <w:szCs w:val="22"/>
          <w:lang w:val="en-US"/>
        </w:rPr>
        <w:t xml:space="preserve"> and must always be available. </w:t>
      </w:r>
      <w:r w:rsidR="00C15AC6">
        <w:rPr>
          <w:sz w:val="22"/>
          <w:szCs w:val="22"/>
          <w:lang w:val="en-US"/>
        </w:rPr>
        <w:t xml:space="preserve">The Committee has recently considered a case where a judgment awarding compensation was made against state officials but not enforced, and found the State responsible for a violation of Article 2(3). The Committee stressed that “a </w:t>
      </w:r>
      <w:r w:rsidR="00C15AC6" w:rsidRPr="00B45B04">
        <w:rPr>
          <w:sz w:val="22"/>
          <w:szCs w:val="22"/>
          <w:lang w:val="en-US"/>
        </w:rPr>
        <w:t>State cannot elude its responsibility for violations of the Covenant committed by its own agents</w:t>
      </w:r>
      <w:r w:rsidR="00C15AC6">
        <w:rPr>
          <w:sz w:val="22"/>
          <w:szCs w:val="22"/>
          <w:lang w:val="en-US"/>
        </w:rPr>
        <w:t>” and “</w:t>
      </w:r>
      <w:r w:rsidR="00C15AC6" w:rsidRPr="00B45B04">
        <w:rPr>
          <w:sz w:val="22"/>
          <w:szCs w:val="22"/>
          <w:lang w:val="en-US"/>
        </w:rPr>
        <w:t xml:space="preserve">should use all appropriate means and organize their legal system in such a way so as to guarantee the enforcement of </w:t>
      </w:r>
      <w:proofErr w:type="spellStart"/>
      <w:r w:rsidR="00C15AC6" w:rsidRPr="00B45B04">
        <w:rPr>
          <w:sz w:val="22"/>
          <w:szCs w:val="22"/>
          <w:lang w:val="en-US"/>
        </w:rPr>
        <w:t>remediums</w:t>
      </w:r>
      <w:proofErr w:type="spellEnd"/>
      <w:r w:rsidR="00C15AC6" w:rsidRPr="00B45B04">
        <w:rPr>
          <w:sz w:val="22"/>
          <w:szCs w:val="22"/>
          <w:lang w:val="en-US"/>
        </w:rPr>
        <w:t>”.</w:t>
      </w:r>
      <w:r w:rsidR="00C15AC6">
        <w:rPr>
          <w:rStyle w:val="FootnoteReference"/>
          <w:szCs w:val="22"/>
          <w:lang w:val="en-US"/>
        </w:rPr>
        <w:footnoteReference w:id="96"/>
      </w:r>
    </w:p>
    <w:p w:rsidR="00C15AC6" w:rsidRDefault="00C15AC6" w:rsidP="00720827">
      <w:pPr>
        <w:pStyle w:val="ListParagraph"/>
        <w:jc w:val="both"/>
        <w:rPr>
          <w:sz w:val="22"/>
          <w:szCs w:val="22"/>
          <w:lang w:val="en-US"/>
        </w:rPr>
      </w:pPr>
    </w:p>
    <w:p w:rsidR="00EB76AD" w:rsidRPr="00A46B17" w:rsidRDefault="00EB76AD" w:rsidP="00720827">
      <w:pPr>
        <w:pStyle w:val="ListParagraph"/>
        <w:numPr>
          <w:ilvl w:val="0"/>
          <w:numId w:val="37"/>
        </w:numPr>
        <w:jc w:val="both"/>
        <w:rPr>
          <w:sz w:val="22"/>
          <w:szCs w:val="22"/>
          <w:lang w:val="en-US"/>
        </w:rPr>
      </w:pPr>
      <w:r w:rsidRPr="00A46B17">
        <w:rPr>
          <w:sz w:val="22"/>
          <w:szCs w:val="22"/>
          <w:lang w:val="en-US"/>
        </w:rPr>
        <w:t>By definition, where a violation of the Covenant arises from the actions of a State official, the State is responsible for those actions, and liable to pay reparation under the Covenant.</w:t>
      </w:r>
      <w:r w:rsidRPr="00A46B17">
        <w:rPr>
          <w:rStyle w:val="FootnoteReference"/>
          <w:sz w:val="22"/>
          <w:szCs w:val="22"/>
          <w:lang w:val="en-US"/>
        </w:rPr>
        <w:footnoteReference w:id="97"/>
      </w:r>
      <w:r w:rsidRPr="00A46B17">
        <w:rPr>
          <w:sz w:val="22"/>
          <w:szCs w:val="22"/>
          <w:lang w:val="en-US"/>
        </w:rPr>
        <w:t xml:space="preserve"> In practice, individual officials often do not have means to provide reparation to victims. We suggest that the Committee modifies the second sentence of paragraph 50 to reflect that there must always be a procedure to claim directly against the State.</w:t>
      </w:r>
      <w:r w:rsidRPr="00A46B17">
        <w:rPr>
          <w:rStyle w:val="FootnoteReference"/>
          <w:sz w:val="22"/>
          <w:szCs w:val="22"/>
          <w:lang w:val="en-US"/>
        </w:rPr>
        <w:t xml:space="preserve"> </w:t>
      </w:r>
      <w:r w:rsidRPr="00A46B17">
        <w:rPr>
          <w:rStyle w:val="FootnoteReference"/>
          <w:sz w:val="22"/>
          <w:szCs w:val="22"/>
          <w:lang w:val="en-US"/>
        </w:rPr>
        <w:footnoteReference w:id="98"/>
      </w:r>
      <w:r w:rsidRPr="00A46B17">
        <w:rPr>
          <w:sz w:val="22"/>
          <w:szCs w:val="22"/>
          <w:lang w:val="en-US"/>
        </w:rPr>
        <w:t xml:space="preserve">  It </w:t>
      </w:r>
      <w:r w:rsidR="00C913CC">
        <w:rPr>
          <w:sz w:val="22"/>
          <w:szCs w:val="22"/>
          <w:lang w:val="en-US"/>
        </w:rPr>
        <w:t xml:space="preserve">is </w:t>
      </w:r>
      <w:r w:rsidR="00D3761D">
        <w:rPr>
          <w:sz w:val="22"/>
          <w:szCs w:val="22"/>
          <w:lang w:val="en-US"/>
        </w:rPr>
        <w:t xml:space="preserve">up </w:t>
      </w:r>
      <w:r w:rsidRPr="00A46B17">
        <w:rPr>
          <w:sz w:val="22"/>
          <w:szCs w:val="22"/>
          <w:lang w:val="en-US"/>
        </w:rPr>
        <w:t>to the State to recover eventually from the individual official.</w:t>
      </w:r>
    </w:p>
    <w:p w:rsidR="00EB76AD" w:rsidRPr="00A46B17" w:rsidRDefault="00EB76AD" w:rsidP="00720827">
      <w:pPr>
        <w:jc w:val="both"/>
        <w:rPr>
          <w:rFonts w:ascii="Times New Roman" w:hAnsi="Times New Roman" w:cs="Times New Roman"/>
          <w:sz w:val="22"/>
          <w:szCs w:val="22"/>
          <w:lang w:val="en-US"/>
        </w:rPr>
      </w:pPr>
    </w:p>
    <w:p w:rsidR="00EB76AD" w:rsidRPr="00A46B17" w:rsidRDefault="000027DC" w:rsidP="00720827">
      <w:pPr>
        <w:pStyle w:val="Heading2"/>
        <w:spacing w:before="0"/>
        <w:jc w:val="both"/>
        <w:rPr>
          <w:rFonts w:ascii="Times New Roman" w:hAnsi="Times New Roman" w:cs="Times New Roman"/>
          <w:color w:val="auto"/>
          <w:sz w:val="24"/>
          <w:szCs w:val="24"/>
          <w:lang w:val="en-US"/>
        </w:rPr>
      </w:pPr>
      <w:bookmarkStart w:id="54" w:name="_Toc388377571"/>
      <w:bookmarkStart w:id="55" w:name="_Toc388961683"/>
      <w:bookmarkStart w:id="56" w:name="_Toc389236154"/>
      <w:r w:rsidRPr="00A46B17">
        <w:rPr>
          <w:rFonts w:ascii="Times New Roman" w:hAnsi="Times New Roman" w:cs="Times New Roman"/>
          <w:color w:val="auto"/>
          <w:sz w:val="24"/>
          <w:szCs w:val="24"/>
          <w:lang w:val="en-US"/>
        </w:rPr>
        <w:lastRenderedPageBreak/>
        <w:t>P</w:t>
      </w:r>
      <w:r w:rsidR="00EB76AD" w:rsidRPr="00A46B17">
        <w:rPr>
          <w:rFonts w:ascii="Times New Roman" w:hAnsi="Times New Roman" w:cs="Times New Roman"/>
          <w:color w:val="auto"/>
          <w:sz w:val="24"/>
          <w:szCs w:val="24"/>
          <w:lang w:val="en-US"/>
        </w:rPr>
        <w:t xml:space="preserve">rocedures for providing </w:t>
      </w:r>
      <w:r w:rsidR="00C55E97">
        <w:rPr>
          <w:rFonts w:ascii="Times New Roman" w:hAnsi="Times New Roman" w:cs="Times New Roman"/>
          <w:color w:val="auto"/>
          <w:sz w:val="24"/>
          <w:szCs w:val="24"/>
          <w:lang w:val="en-US"/>
        </w:rPr>
        <w:t xml:space="preserve">reparation </w:t>
      </w:r>
      <w:r w:rsidR="00EB76AD" w:rsidRPr="00A46B17">
        <w:rPr>
          <w:rFonts w:ascii="Times New Roman" w:hAnsi="Times New Roman" w:cs="Times New Roman"/>
          <w:color w:val="auto"/>
          <w:sz w:val="24"/>
          <w:szCs w:val="24"/>
          <w:lang w:val="en-US"/>
        </w:rPr>
        <w:t>must be transparent and readily accessible</w:t>
      </w:r>
      <w:bookmarkEnd w:id="54"/>
      <w:bookmarkEnd w:id="55"/>
      <w:bookmarkEnd w:id="56"/>
    </w:p>
    <w:p w:rsidR="00EB76AD" w:rsidRPr="000F0C3B" w:rsidRDefault="00EB76AD" w:rsidP="00887A4F">
      <w:pPr>
        <w:pStyle w:val="ListParagraph"/>
        <w:numPr>
          <w:ilvl w:val="0"/>
          <w:numId w:val="37"/>
        </w:numPr>
        <w:jc w:val="both"/>
        <w:rPr>
          <w:sz w:val="22"/>
          <w:szCs w:val="22"/>
          <w:lang w:val="en-US"/>
        </w:rPr>
      </w:pPr>
      <w:r w:rsidRPr="00A46B17">
        <w:rPr>
          <w:b/>
          <w:sz w:val="22"/>
          <w:szCs w:val="22"/>
          <w:u w:val="single"/>
          <w:lang w:val="en-US"/>
        </w:rPr>
        <w:t>Paragraph 50</w:t>
      </w:r>
      <w:r w:rsidRPr="00A46B17">
        <w:rPr>
          <w:sz w:val="22"/>
          <w:szCs w:val="22"/>
          <w:lang w:val="en-US"/>
        </w:rPr>
        <w:t xml:space="preserve"> of the General Comment states that “Paragraph 5 does not require that a single procedure be established providing compensation for all forms of unlawful arrest, but only that an effective system of procedures exist that provides compensation in all the cases covered by paragraph 5. The remedy must not exist merely in theory, but must operate effectively and make payment within a reasonable period of time.” We consider that it is significant to highlight that procedures for providing compensation for all forms of unlawful arrest and detention </w:t>
      </w:r>
      <w:r w:rsidRPr="00720827">
        <w:rPr>
          <w:sz w:val="22"/>
          <w:szCs w:val="22"/>
          <w:lang w:val="en-US"/>
        </w:rPr>
        <w:t>must be transparent and readily</w:t>
      </w:r>
      <w:r w:rsidRPr="00887A4F">
        <w:rPr>
          <w:sz w:val="22"/>
          <w:szCs w:val="22"/>
          <w:lang w:val="en-US"/>
        </w:rPr>
        <w:t xml:space="preserve"> </w:t>
      </w:r>
      <w:r w:rsidRPr="00720827">
        <w:rPr>
          <w:sz w:val="22"/>
          <w:szCs w:val="22"/>
          <w:lang w:val="en-US"/>
        </w:rPr>
        <w:t>accessible</w:t>
      </w:r>
      <w:r w:rsidRPr="00A46B17">
        <w:rPr>
          <w:sz w:val="22"/>
          <w:szCs w:val="22"/>
          <w:lang w:val="en-US"/>
        </w:rPr>
        <w:t>. Individuals must have access to relevant information concerning reparation mechanisms.</w:t>
      </w:r>
      <w:r w:rsidRPr="00A46B17">
        <w:rPr>
          <w:rStyle w:val="FootnoteReference"/>
          <w:sz w:val="22"/>
          <w:szCs w:val="22"/>
          <w:lang w:val="en-US"/>
        </w:rPr>
        <w:t xml:space="preserve"> </w:t>
      </w:r>
      <w:r w:rsidRPr="00A46B17">
        <w:rPr>
          <w:sz w:val="22"/>
          <w:szCs w:val="22"/>
          <w:lang w:val="en-US"/>
        </w:rPr>
        <w:t xml:space="preserve">Victims must have an equal, transparent, effective and prompt access to remedies and reparation mechanisms. </w:t>
      </w:r>
      <w:r w:rsidRPr="00A46B17">
        <w:rPr>
          <w:rStyle w:val="FootnoteReference"/>
          <w:sz w:val="22"/>
          <w:szCs w:val="22"/>
          <w:lang w:val="en-US"/>
        </w:rPr>
        <w:footnoteReference w:id="99"/>
      </w:r>
      <w:r w:rsidR="00C15AC6">
        <w:rPr>
          <w:sz w:val="22"/>
          <w:szCs w:val="22"/>
          <w:lang w:val="en-US"/>
        </w:rPr>
        <w:t xml:space="preserve"> In order to meet the requirement for effectiveness, victims should not be required to wait for t</w:t>
      </w:r>
      <w:r w:rsidR="00C15AC6" w:rsidRPr="000F0C3B">
        <w:rPr>
          <w:sz w:val="22"/>
          <w:szCs w:val="22"/>
          <w:lang w:val="en-US"/>
        </w:rPr>
        <w:t>he outcome of criminal proceedings, notwithstanding the evidentiary benefits to victims afforded by a criminal investigation.</w:t>
      </w:r>
      <w:r w:rsidR="00C15AC6" w:rsidRPr="000F0C3B">
        <w:rPr>
          <w:rStyle w:val="FootnoteReference"/>
          <w:sz w:val="22"/>
          <w:szCs w:val="22"/>
          <w:lang w:val="en-US"/>
        </w:rPr>
        <w:footnoteReference w:id="100"/>
      </w:r>
    </w:p>
    <w:p w:rsidR="00EB76AD" w:rsidRPr="000F0C3B" w:rsidRDefault="00EB76AD" w:rsidP="00720827">
      <w:pPr>
        <w:jc w:val="both"/>
        <w:rPr>
          <w:rFonts w:ascii="Times New Roman" w:hAnsi="Times New Roman" w:cs="Times New Roman"/>
          <w:sz w:val="22"/>
          <w:szCs w:val="22"/>
          <w:lang w:val="en-US"/>
        </w:rPr>
      </w:pPr>
    </w:p>
    <w:p w:rsidR="00EB76AD" w:rsidRPr="00A46B17" w:rsidRDefault="000027DC" w:rsidP="00720827">
      <w:pPr>
        <w:pStyle w:val="Heading2"/>
        <w:spacing w:before="0"/>
        <w:jc w:val="both"/>
        <w:rPr>
          <w:rFonts w:ascii="Times New Roman" w:hAnsi="Times New Roman" w:cs="Times New Roman"/>
          <w:color w:val="auto"/>
          <w:sz w:val="24"/>
          <w:szCs w:val="24"/>
          <w:lang w:val="en-US"/>
        </w:rPr>
      </w:pPr>
      <w:bookmarkStart w:id="57" w:name="_Toc388377572"/>
      <w:bookmarkStart w:id="58" w:name="_Toc388961684"/>
      <w:bookmarkStart w:id="59" w:name="_Toc389236155"/>
      <w:r w:rsidRPr="00A46B17">
        <w:rPr>
          <w:rFonts w:ascii="Times New Roman" w:hAnsi="Times New Roman" w:cs="Times New Roman"/>
          <w:color w:val="auto"/>
          <w:sz w:val="24"/>
          <w:szCs w:val="24"/>
          <w:lang w:val="en-US"/>
        </w:rPr>
        <w:t>V</w:t>
      </w:r>
      <w:r w:rsidR="00EB76AD" w:rsidRPr="00A46B17">
        <w:rPr>
          <w:rFonts w:ascii="Times New Roman" w:hAnsi="Times New Roman" w:cs="Times New Roman"/>
          <w:color w:val="auto"/>
          <w:sz w:val="24"/>
          <w:szCs w:val="24"/>
          <w:lang w:val="en-US"/>
        </w:rPr>
        <w:t>ulnerability of persons deprived of liberty</w:t>
      </w:r>
      <w:bookmarkEnd w:id="57"/>
      <w:bookmarkEnd w:id="58"/>
      <w:bookmarkEnd w:id="59"/>
    </w:p>
    <w:p w:rsidR="00EB76AD" w:rsidRPr="00A46B17" w:rsidRDefault="00EB76AD" w:rsidP="00887A4F">
      <w:pPr>
        <w:pStyle w:val="ListParagraph"/>
        <w:numPr>
          <w:ilvl w:val="0"/>
          <w:numId w:val="37"/>
        </w:numPr>
        <w:jc w:val="both"/>
        <w:rPr>
          <w:sz w:val="22"/>
          <w:szCs w:val="22"/>
          <w:lang w:val="en-US"/>
        </w:rPr>
      </w:pPr>
      <w:r w:rsidRPr="00A46B17">
        <w:rPr>
          <w:sz w:val="22"/>
          <w:szCs w:val="22"/>
          <w:lang w:val="en-US"/>
        </w:rPr>
        <w:t xml:space="preserve">We also point out the necessity </w:t>
      </w:r>
      <w:r w:rsidRPr="00720827">
        <w:rPr>
          <w:sz w:val="22"/>
          <w:szCs w:val="22"/>
          <w:lang w:val="en-US"/>
        </w:rPr>
        <w:t>to take into account the vulnerability of persons deprived of liberty</w:t>
      </w:r>
      <w:r w:rsidRPr="00A46B17">
        <w:rPr>
          <w:sz w:val="22"/>
          <w:szCs w:val="22"/>
          <w:lang w:val="en-US"/>
        </w:rPr>
        <w:t>. There is a risk of reprisals to consider in many countries if an individual seek remedy while still in custody (e.g</w:t>
      </w:r>
      <w:r w:rsidR="000F0C3B">
        <w:rPr>
          <w:sz w:val="22"/>
          <w:szCs w:val="22"/>
          <w:lang w:val="en-US"/>
        </w:rPr>
        <w:t>.</w:t>
      </w:r>
      <w:r w:rsidRPr="00A46B17">
        <w:rPr>
          <w:sz w:val="22"/>
          <w:szCs w:val="22"/>
          <w:lang w:val="en-US"/>
        </w:rPr>
        <w:t xml:space="preserve"> to be released from unlawful detention, to request for an investigation into illegal actions by State agents). Some specific categories of detainees are </w:t>
      </w:r>
      <w:r w:rsidR="00887A4F">
        <w:rPr>
          <w:sz w:val="22"/>
          <w:szCs w:val="22"/>
          <w:lang w:val="en-US"/>
        </w:rPr>
        <w:t>particularly</w:t>
      </w:r>
      <w:r w:rsidRPr="00A46B17">
        <w:rPr>
          <w:sz w:val="22"/>
          <w:szCs w:val="22"/>
          <w:lang w:val="en-US"/>
        </w:rPr>
        <w:t xml:space="preserve"> vulnerable such as women, children or foreigners (asylum seekers, migrants, etc – who may face particular challenges regarding the local language and the absence of familiarity with the local legal system).  We therefore suggest that these points should be highlighted in paragraph 50.</w:t>
      </w:r>
    </w:p>
    <w:p w:rsidR="00EB76AD" w:rsidRPr="00A46B17" w:rsidRDefault="00EB76AD" w:rsidP="00720827">
      <w:pPr>
        <w:jc w:val="both"/>
        <w:rPr>
          <w:rFonts w:ascii="Times New Roman" w:hAnsi="Times New Roman" w:cs="Times New Roman"/>
          <w:sz w:val="22"/>
          <w:szCs w:val="22"/>
          <w:lang w:val="en-US"/>
        </w:rPr>
      </w:pPr>
    </w:p>
    <w:p w:rsidR="00EB76AD" w:rsidRPr="00A46B17" w:rsidRDefault="00EB76AD" w:rsidP="00720827">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2"/>
          <w:szCs w:val="22"/>
          <w:lang w:val="en-US"/>
        </w:rPr>
      </w:pPr>
      <w:r w:rsidRPr="00A46B17">
        <w:rPr>
          <w:rFonts w:ascii="Times New Roman" w:hAnsi="Times New Roman" w:cs="Times New Roman"/>
          <w:b/>
          <w:sz w:val="22"/>
          <w:szCs w:val="22"/>
          <w:lang w:val="en-US"/>
        </w:rPr>
        <w:t>Suggested wording:</w:t>
      </w:r>
      <w:r w:rsidR="000027DC" w:rsidRPr="00A46B17">
        <w:rPr>
          <w:rFonts w:ascii="Times New Roman" w:hAnsi="Times New Roman" w:cs="Times New Roman"/>
          <w:b/>
          <w:sz w:val="22"/>
          <w:szCs w:val="22"/>
          <w:lang w:val="en-US"/>
        </w:rPr>
        <w:t xml:space="preserve"> </w:t>
      </w:r>
      <w:r w:rsidRPr="00A46B17">
        <w:rPr>
          <w:rFonts w:ascii="Times New Roman" w:hAnsi="Times New Roman" w:cs="Times New Roman"/>
          <w:sz w:val="22"/>
          <w:szCs w:val="22"/>
          <w:lang w:val="en-US"/>
        </w:rPr>
        <w:t xml:space="preserve">50. …Paragraph 5 does not require that a single procedure be established providing compensation for all forms of unlawful arrest, but only that an effective system of procedures exist that provides compensation in all the cases covered by paragraph 5. </w:t>
      </w:r>
      <w:r w:rsidRPr="00A46B17">
        <w:rPr>
          <w:rFonts w:ascii="Times New Roman" w:hAnsi="Times New Roman" w:cs="Times New Roman"/>
          <w:sz w:val="22"/>
          <w:szCs w:val="22"/>
          <w:u w:val="single"/>
          <w:lang w:val="en-US"/>
        </w:rPr>
        <w:t xml:space="preserve">States parties must ensure that individuals have access to relevant information concerning </w:t>
      </w:r>
      <w:r w:rsidR="00887A4F">
        <w:rPr>
          <w:rFonts w:ascii="Times New Roman" w:hAnsi="Times New Roman" w:cs="Times New Roman"/>
          <w:sz w:val="22"/>
          <w:szCs w:val="22"/>
          <w:u w:val="single"/>
          <w:lang w:val="en-US"/>
        </w:rPr>
        <w:t xml:space="preserve">available </w:t>
      </w:r>
      <w:r w:rsidRPr="00A46B17">
        <w:rPr>
          <w:rFonts w:ascii="Times New Roman" w:hAnsi="Times New Roman" w:cs="Times New Roman"/>
          <w:sz w:val="22"/>
          <w:szCs w:val="22"/>
          <w:u w:val="single"/>
          <w:lang w:val="en-US"/>
        </w:rPr>
        <w:t>reparation mechanisms.</w:t>
      </w:r>
      <w:r w:rsidRPr="00A46B17">
        <w:rPr>
          <w:rStyle w:val="FootnoteReference"/>
          <w:rFonts w:cs="Times New Roman"/>
          <w:sz w:val="22"/>
          <w:szCs w:val="22"/>
          <w:u w:val="single"/>
          <w:lang w:val="en-US"/>
        </w:rPr>
        <w:t xml:space="preserve"> </w:t>
      </w:r>
      <w:r w:rsidRPr="00A46B17">
        <w:rPr>
          <w:rStyle w:val="FootnoteReference"/>
          <w:rFonts w:cs="Times New Roman"/>
          <w:sz w:val="22"/>
          <w:szCs w:val="22"/>
          <w:u w:val="single"/>
          <w:lang w:val="en-US"/>
        </w:rPr>
        <w:footnoteReference w:id="101"/>
      </w:r>
      <w:r w:rsidRPr="00A46B17">
        <w:rPr>
          <w:rFonts w:ascii="Times New Roman" w:hAnsi="Times New Roman" w:cs="Times New Roman"/>
          <w:sz w:val="22"/>
          <w:szCs w:val="22"/>
          <w:u w:val="single"/>
          <w:lang w:val="en-US"/>
        </w:rPr>
        <w:t xml:space="preserve"> Victims must have an equal, transparent, effective and prompt access to remedies and reparation mechanisms. Such remedies should be appropriately adapted so as to take into account of the vulnerability of person deprived of liberty.</w:t>
      </w:r>
      <w:r w:rsidRPr="00A46B17">
        <w:rPr>
          <w:rStyle w:val="FootnoteReference"/>
          <w:rFonts w:cs="Times New Roman"/>
          <w:sz w:val="22"/>
          <w:szCs w:val="22"/>
          <w:u w:val="single"/>
          <w:lang w:val="en-US"/>
        </w:rPr>
        <w:t xml:space="preserve"> </w:t>
      </w:r>
      <w:r w:rsidRPr="00A46B17">
        <w:rPr>
          <w:rStyle w:val="FootnoteReference"/>
          <w:rFonts w:cs="Times New Roman"/>
          <w:sz w:val="22"/>
          <w:szCs w:val="22"/>
          <w:u w:val="single"/>
          <w:lang w:val="en-US"/>
        </w:rPr>
        <w:footnoteReference w:id="102"/>
      </w:r>
      <w:r w:rsidRPr="00A46B17">
        <w:rPr>
          <w:rFonts w:ascii="Times New Roman" w:hAnsi="Times New Roman" w:cs="Times New Roman"/>
          <w:sz w:val="22"/>
          <w:szCs w:val="22"/>
          <w:lang w:val="en-US"/>
        </w:rPr>
        <w:t xml:space="preserve"> The remedy must not exist merely in theory…</w:t>
      </w:r>
    </w:p>
    <w:p w:rsidR="00EB76AD" w:rsidRPr="00A46B17" w:rsidRDefault="00EB76AD" w:rsidP="00720827">
      <w:pPr>
        <w:jc w:val="both"/>
        <w:rPr>
          <w:rFonts w:ascii="Times New Roman" w:hAnsi="Times New Roman" w:cs="Times New Roman"/>
          <w:sz w:val="22"/>
          <w:szCs w:val="22"/>
          <w:lang w:val="en-US"/>
        </w:rPr>
      </w:pPr>
    </w:p>
    <w:p w:rsidR="00EB76AD" w:rsidRPr="00A46B17" w:rsidRDefault="00EB76AD" w:rsidP="00720827">
      <w:pPr>
        <w:pStyle w:val="Heading2"/>
        <w:spacing w:before="0"/>
        <w:jc w:val="both"/>
        <w:rPr>
          <w:rFonts w:ascii="Times New Roman" w:hAnsi="Times New Roman" w:cs="Times New Roman"/>
          <w:color w:val="auto"/>
          <w:sz w:val="24"/>
          <w:szCs w:val="24"/>
          <w:lang w:val="en-US"/>
        </w:rPr>
      </w:pPr>
      <w:bookmarkStart w:id="60" w:name="_Toc388377573"/>
      <w:bookmarkStart w:id="61" w:name="_Toc388961685"/>
      <w:bookmarkStart w:id="62" w:name="_Toc389236156"/>
      <w:r w:rsidRPr="00A46B17">
        <w:rPr>
          <w:rFonts w:ascii="Times New Roman" w:hAnsi="Times New Roman" w:cs="Times New Roman"/>
          <w:color w:val="auto"/>
          <w:sz w:val="24"/>
          <w:szCs w:val="24"/>
          <w:lang w:val="en-US"/>
        </w:rPr>
        <w:t>Monetary compensation may not be sufficient redress and remedies under other relevant human rights instruments</w:t>
      </w:r>
      <w:bookmarkEnd w:id="60"/>
      <w:bookmarkEnd w:id="61"/>
      <w:bookmarkEnd w:id="62"/>
    </w:p>
    <w:p w:rsidR="00EB76AD" w:rsidRPr="00A46B17" w:rsidRDefault="00EB76AD" w:rsidP="00887A4F">
      <w:pPr>
        <w:pStyle w:val="ListParagraph"/>
        <w:numPr>
          <w:ilvl w:val="0"/>
          <w:numId w:val="37"/>
        </w:numPr>
        <w:ind w:left="360"/>
        <w:jc w:val="both"/>
        <w:rPr>
          <w:sz w:val="22"/>
          <w:szCs w:val="22"/>
          <w:lang w:val="en-US"/>
        </w:rPr>
      </w:pPr>
      <w:r w:rsidRPr="00A46B17">
        <w:rPr>
          <w:sz w:val="22"/>
          <w:szCs w:val="22"/>
          <w:lang w:val="en-US"/>
        </w:rPr>
        <w:t>As hereinbefore mentioned, some forms of arbitrary detention, such as enforced disappearances</w:t>
      </w:r>
      <w:r w:rsidRPr="00A46B17">
        <w:rPr>
          <w:rStyle w:val="FootnoteReference"/>
          <w:sz w:val="22"/>
          <w:szCs w:val="22"/>
          <w:lang w:val="en-US"/>
        </w:rPr>
        <w:footnoteReference w:id="103"/>
      </w:r>
      <w:r w:rsidRPr="00A46B17">
        <w:rPr>
          <w:sz w:val="22"/>
          <w:szCs w:val="22"/>
          <w:lang w:val="en-US"/>
        </w:rPr>
        <w:t>, prolonged incommunicado detention</w:t>
      </w:r>
      <w:r w:rsidRPr="00A46B17">
        <w:rPr>
          <w:rStyle w:val="FootnoteReference"/>
          <w:sz w:val="22"/>
          <w:szCs w:val="22"/>
          <w:lang w:val="en-US"/>
        </w:rPr>
        <w:footnoteReference w:id="104"/>
      </w:r>
      <w:r w:rsidRPr="00A46B17">
        <w:rPr>
          <w:sz w:val="22"/>
          <w:szCs w:val="22"/>
          <w:lang w:val="en-US"/>
        </w:rPr>
        <w:t xml:space="preserve"> or some forms of confinement</w:t>
      </w:r>
      <w:r w:rsidRPr="00A46B17">
        <w:rPr>
          <w:rStyle w:val="FootnoteReference"/>
          <w:sz w:val="22"/>
          <w:szCs w:val="22"/>
          <w:lang w:val="en-US"/>
        </w:rPr>
        <w:footnoteReference w:id="105"/>
      </w:r>
      <w:r w:rsidRPr="00A46B17">
        <w:rPr>
          <w:sz w:val="22"/>
          <w:szCs w:val="22"/>
          <w:lang w:val="en-US"/>
        </w:rPr>
        <w:t xml:space="preserve"> may constitute </w:t>
      </w:r>
      <w:r w:rsidRPr="00A46B17">
        <w:rPr>
          <w:i/>
          <w:sz w:val="22"/>
          <w:szCs w:val="22"/>
          <w:lang w:val="en-US"/>
        </w:rPr>
        <w:t>per se</w:t>
      </w:r>
      <w:r w:rsidRPr="00A46B17">
        <w:rPr>
          <w:sz w:val="22"/>
          <w:szCs w:val="22"/>
          <w:lang w:val="en-US"/>
        </w:rPr>
        <w:t xml:space="preserve"> torture or ill-treatment. General Comment No</w:t>
      </w:r>
      <w:r w:rsidR="00887A4F">
        <w:rPr>
          <w:sz w:val="22"/>
          <w:szCs w:val="22"/>
          <w:lang w:val="en-US"/>
        </w:rPr>
        <w:t>.</w:t>
      </w:r>
      <w:r w:rsidRPr="00A46B17">
        <w:rPr>
          <w:sz w:val="22"/>
          <w:szCs w:val="22"/>
          <w:lang w:val="en-US"/>
        </w:rPr>
        <w:t xml:space="preserve"> 3 of the Committee </w:t>
      </w:r>
      <w:r w:rsidR="000F0C3B">
        <w:rPr>
          <w:sz w:val="22"/>
          <w:szCs w:val="22"/>
          <w:lang w:val="en-US"/>
        </w:rPr>
        <w:t>a</w:t>
      </w:r>
      <w:r w:rsidRPr="00A46B17">
        <w:rPr>
          <w:sz w:val="22"/>
          <w:szCs w:val="22"/>
          <w:lang w:val="en-US"/>
        </w:rPr>
        <w:t xml:space="preserve">gainst Torture </w:t>
      </w:r>
      <w:r w:rsidR="00887A4F">
        <w:rPr>
          <w:sz w:val="22"/>
          <w:szCs w:val="22"/>
          <w:lang w:val="en-US"/>
        </w:rPr>
        <w:t xml:space="preserve">regarding </w:t>
      </w:r>
      <w:r w:rsidR="00DB7E48">
        <w:rPr>
          <w:sz w:val="22"/>
          <w:szCs w:val="22"/>
          <w:lang w:val="en-US"/>
        </w:rPr>
        <w:t>the implementation of A</w:t>
      </w:r>
      <w:r w:rsidRPr="00A46B17">
        <w:rPr>
          <w:sz w:val="22"/>
          <w:szCs w:val="22"/>
          <w:lang w:val="en-US"/>
        </w:rPr>
        <w:t xml:space="preserve">rticle 14 of the Convention against Torture clearly states that </w:t>
      </w:r>
      <w:r w:rsidRPr="00720827">
        <w:rPr>
          <w:sz w:val="22"/>
          <w:szCs w:val="22"/>
          <w:lang w:val="en-US"/>
        </w:rPr>
        <w:t xml:space="preserve">monetary compensation alone may not be </w:t>
      </w:r>
      <w:r w:rsidRPr="00720827">
        <w:rPr>
          <w:sz w:val="22"/>
          <w:szCs w:val="22"/>
          <w:lang w:val="en-US"/>
        </w:rPr>
        <w:lastRenderedPageBreak/>
        <w:t>sufficient redress</w:t>
      </w:r>
      <w:r w:rsidRPr="00A46B17">
        <w:rPr>
          <w:sz w:val="22"/>
          <w:szCs w:val="22"/>
          <w:lang w:val="en-US"/>
        </w:rPr>
        <w:t xml:space="preserve"> for a victim of torture and ill-treatment.</w:t>
      </w:r>
      <w:r w:rsidRPr="00A46B17">
        <w:rPr>
          <w:rStyle w:val="FootnoteReference"/>
          <w:sz w:val="22"/>
          <w:szCs w:val="22"/>
          <w:lang w:val="en-US"/>
        </w:rPr>
        <w:footnoteReference w:id="106"/>
      </w:r>
      <w:r w:rsidRPr="00A46B17">
        <w:rPr>
          <w:sz w:val="22"/>
          <w:szCs w:val="22"/>
          <w:lang w:val="en-US"/>
        </w:rPr>
        <w:t xml:space="preserve"> It </w:t>
      </w:r>
      <w:r w:rsidR="00887A4F">
        <w:rPr>
          <w:sz w:val="22"/>
          <w:szCs w:val="22"/>
          <w:lang w:val="en-US"/>
        </w:rPr>
        <w:t xml:space="preserve">would be </w:t>
      </w:r>
      <w:r w:rsidRPr="00A46B17">
        <w:rPr>
          <w:sz w:val="22"/>
          <w:szCs w:val="22"/>
          <w:lang w:val="en-US"/>
        </w:rPr>
        <w:t xml:space="preserve">significant </w:t>
      </w:r>
      <w:r w:rsidR="00887A4F">
        <w:rPr>
          <w:sz w:val="22"/>
          <w:szCs w:val="22"/>
          <w:lang w:val="en-US"/>
        </w:rPr>
        <w:t>for</w:t>
      </w:r>
      <w:r w:rsidRPr="00A46B17">
        <w:rPr>
          <w:sz w:val="22"/>
          <w:szCs w:val="22"/>
          <w:lang w:val="en-US"/>
        </w:rPr>
        <w:t xml:space="preserve"> the draft General Comment</w:t>
      </w:r>
      <w:r w:rsidR="00887A4F">
        <w:rPr>
          <w:sz w:val="22"/>
          <w:szCs w:val="22"/>
          <w:lang w:val="en-US"/>
        </w:rPr>
        <w:t xml:space="preserve"> to</w:t>
      </w:r>
      <w:r w:rsidRPr="00A46B17">
        <w:rPr>
          <w:sz w:val="22"/>
          <w:szCs w:val="22"/>
          <w:lang w:val="en-US"/>
        </w:rPr>
        <w:t xml:space="preserve"> reflect</w:t>
      </w:r>
      <w:r w:rsidR="00887A4F">
        <w:rPr>
          <w:sz w:val="22"/>
          <w:szCs w:val="22"/>
          <w:lang w:val="en-US"/>
        </w:rPr>
        <w:t xml:space="preserve"> this.</w:t>
      </w:r>
    </w:p>
    <w:p w:rsidR="00EB76AD" w:rsidRPr="00A46B17" w:rsidRDefault="00EB76AD" w:rsidP="00D3761D">
      <w:pPr>
        <w:jc w:val="both"/>
        <w:rPr>
          <w:rFonts w:ascii="Times New Roman" w:hAnsi="Times New Roman" w:cs="Times New Roman"/>
          <w:b/>
          <w:sz w:val="22"/>
          <w:szCs w:val="22"/>
          <w:u w:val="single"/>
          <w:lang w:val="en-US"/>
        </w:rPr>
      </w:pPr>
    </w:p>
    <w:p w:rsidR="00EB76AD" w:rsidRPr="00A46B17" w:rsidRDefault="00EB76AD" w:rsidP="00D3761D">
      <w:pPr>
        <w:pStyle w:val="ListParagraph"/>
        <w:numPr>
          <w:ilvl w:val="0"/>
          <w:numId w:val="37"/>
        </w:numPr>
        <w:ind w:left="360"/>
        <w:jc w:val="both"/>
        <w:rPr>
          <w:sz w:val="22"/>
          <w:szCs w:val="22"/>
          <w:lang w:val="en-US"/>
        </w:rPr>
      </w:pPr>
      <w:r w:rsidRPr="00A46B17">
        <w:rPr>
          <w:b/>
          <w:sz w:val="22"/>
          <w:szCs w:val="22"/>
          <w:u w:val="single"/>
          <w:lang w:val="en-US"/>
        </w:rPr>
        <w:t>Paragraph 52</w:t>
      </w:r>
      <w:r w:rsidRPr="00A46B17">
        <w:rPr>
          <w:sz w:val="22"/>
          <w:szCs w:val="22"/>
          <w:lang w:val="en-US"/>
        </w:rPr>
        <w:t xml:space="preserve"> also states that “when the unlawfulness of an arrest arises from the violation of other human rights, such as freedom of expression, the State party may have further obligations to provide compensation or other reparation in relation to those ot</w:t>
      </w:r>
      <w:r w:rsidR="00DB7E48">
        <w:rPr>
          <w:sz w:val="22"/>
          <w:szCs w:val="22"/>
          <w:lang w:val="en-US"/>
        </w:rPr>
        <w:t>her violations, as required by A</w:t>
      </w:r>
      <w:r w:rsidRPr="00A46B17">
        <w:rPr>
          <w:sz w:val="22"/>
          <w:szCs w:val="22"/>
          <w:lang w:val="en-US"/>
        </w:rPr>
        <w:t xml:space="preserve">rticle 2, paragraph 3 of the Covenant.” We suggest adding as an alternative to </w:t>
      </w:r>
      <w:r w:rsidR="00887A4F">
        <w:rPr>
          <w:sz w:val="22"/>
          <w:szCs w:val="22"/>
          <w:lang w:val="en-US"/>
        </w:rPr>
        <w:t>A</w:t>
      </w:r>
      <w:r w:rsidRPr="00A46B17">
        <w:rPr>
          <w:sz w:val="22"/>
          <w:szCs w:val="22"/>
          <w:lang w:val="en-US"/>
        </w:rPr>
        <w:t>rticle 2</w:t>
      </w:r>
      <w:r w:rsidR="00887A4F">
        <w:rPr>
          <w:sz w:val="22"/>
          <w:szCs w:val="22"/>
          <w:lang w:val="en-US"/>
        </w:rPr>
        <w:t xml:space="preserve"> of the</w:t>
      </w:r>
      <w:r w:rsidRPr="00A46B17">
        <w:rPr>
          <w:sz w:val="22"/>
          <w:szCs w:val="22"/>
          <w:lang w:val="en-US"/>
        </w:rPr>
        <w:t xml:space="preserve"> ICCPR a reference to remedies under other relevant human rights instruments.</w:t>
      </w:r>
    </w:p>
    <w:p w:rsidR="00EB76AD" w:rsidRPr="00A46B17" w:rsidRDefault="00EB76AD" w:rsidP="00D3761D">
      <w:pPr>
        <w:jc w:val="both"/>
        <w:rPr>
          <w:rFonts w:ascii="Times New Roman" w:hAnsi="Times New Roman" w:cs="Times New Roman"/>
          <w:sz w:val="22"/>
          <w:szCs w:val="22"/>
          <w:lang w:val="en-US"/>
        </w:rPr>
      </w:pPr>
    </w:p>
    <w:p w:rsidR="00E236BB" w:rsidRPr="00A46B17" w:rsidRDefault="00E236BB" w:rsidP="00D3761D">
      <w:pPr>
        <w:pStyle w:val="Heading1"/>
        <w:numPr>
          <w:ilvl w:val="0"/>
          <w:numId w:val="49"/>
        </w:numPr>
        <w:spacing w:before="0"/>
        <w:jc w:val="both"/>
        <w:rPr>
          <w:rFonts w:ascii="Times New Roman" w:hAnsi="Times New Roman" w:cs="Times New Roman"/>
          <w:color w:val="auto"/>
          <w:lang w:val="en-US"/>
        </w:rPr>
      </w:pPr>
      <w:bookmarkStart w:id="63" w:name="_Toc388377561"/>
      <w:bookmarkStart w:id="64" w:name="_Toc388961686"/>
      <w:bookmarkStart w:id="65" w:name="_Toc389236157"/>
      <w:r w:rsidRPr="00A46B17">
        <w:rPr>
          <w:rFonts w:ascii="Times New Roman" w:hAnsi="Times New Roman" w:cs="Times New Roman"/>
          <w:color w:val="auto"/>
          <w:lang w:val="en-US"/>
        </w:rPr>
        <w:t xml:space="preserve">VII. Relationship of </w:t>
      </w:r>
      <w:r w:rsidR="00795AB6">
        <w:rPr>
          <w:rFonts w:ascii="Times New Roman" w:hAnsi="Times New Roman" w:cs="Times New Roman"/>
          <w:color w:val="auto"/>
          <w:lang w:val="en-US"/>
        </w:rPr>
        <w:t>A</w:t>
      </w:r>
      <w:r w:rsidRPr="00A46B17">
        <w:rPr>
          <w:rFonts w:ascii="Times New Roman" w:hAnsi="Times New Roman" w:cs="Times New Roman"/>
          <w:color w:val="auto"/>
          <w:lang w:val="en-US"/>
        </w:rPr>
        <w:t xml:space="preserve">rticle 9 with other articles of the </w:t>
      </w:r>
      <w:bookmarkEnd w:id="63"/>
      <w:r w:rsidRPr="00A46B17">
        <w:rPr>
          <w:rFonts w:ascii="Times New Roman" w:hAnsi="Times New Roman" w:cs="Times New Roman"/>
          <w:color w:val="auto"/>
          <w:lang w:val="en-US"/>
        </w:rPr>
        <w:t>Covenant (paragraphs 53-66)</w:t>
      </w:r>
      <w:bookmarkEnd w:id="64"/>
      <w:bookmarkEnd w:id="65"/>
    </w:p>
    <w:p w:rsidR="00E236BB" w:rsidRPr="00A46B17" w:rsidRDefault="00E236BB" w:rsidP="00720827">
      <w:pPr>
        <w:keepNext/>
        <w:ind w:firstLine="360"/>
        <w:jc w:val="both"/>
        <w:rPr>
          <w:rFonts w:ascii="Times New Roman" w:hAnsi="Times New Roman" w:cs="Times New Roman"/>
          <w:b/>
          <w:sz w:val="22"/>
          <w:szCs w:val="22"/>
          <w:lang w:val="en-US"/>
        </w:rPr>
      </w:pPr>
    </w:p>
    <w:p w:rsidR="00E236BB" w:rsidRPr="00A46B17" w:rsidRDefault="00E236BB" w:rsidP="00720827">
      <w:pPr>
        <w:pStyle w:val="Heading2"/>
        <w:spacing w:before="0"/>
        <w:jc w:val="both"/>
        <w:rPr>
          <w:rFonts w:ascii="Times New Roman" w:hAnsi="Times New Roman" w:cs="Times New Roman"/>
          <w:color w:val="auto"/>
          <w:sz w:val="24"/>
          <w:szCs w:val="24"/>
          <w:lang w:val="en-US"/>
        </w:rPr>
      </w:pPr>
      <w:bookmarkStart w:id="66" w:name="_Toc388377562"/>
      <w:bookmarkStart w:id="67" w:name="_Toc388961687"/>
      <w:bookmarkStart w:id="68" w:name="_Toc389236158"/>
      <w:r w:rsidRPr="00A46B17">
        <w:rPr>
          <w:rFonts w:ascii="Times New Roman" w:hAnsi="Times New Roman" w:cs="Times New Roman"/>
          <w:color w:val="auto"/>
          <w:sz w:val="24"/>
          <w:szCs w:val="24"/>
          <w:lang w:val="en-US"/>
        </w:rPr>
        <w:t>The link between Article 9 and Article 7</w:t>
      </w:r>
      <w:bookmarkEnd w:id="66"/>
      <w:bookmarkEnd w:id="67"/>
      <w:bookmarkEnd w:id="68"/>
    </w:p>
    <w:p w:rsidR="00E236BB" w:rsidRPr="00A46B17" w:rsidRDefault="00E236BB" w:rsidP="00887A4F">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As mentioned in the introductory paragraphs, it is our view that the General Comment would be strengthened through the inclusion of language more clearly linking the rights and obligations under </w:t>
      </w:r>
      <w:r w:rsidR="00795AB6">
        <w:rPr>
          <w:rFonts w:ascii="Times New Roman" w:hAnsi="Times New Roman" w:cs="Times New Roman"/>
          <w:lang w:val="en-US"/>
        </w:rPr>
        <w:t>A</w:t>
      </w:r>
      <w:r w:rsidRPr="00A46B17">
        <w:rPr>
          <w:rFonts w:ascii="Times New Roman" w:hAnsi="Times New Roman" w:cs="Times New Roman"/>
          <w:lang w:val="en-US"/>
        </w:rPr>
        <w:t xml:space="preserve">rticle 9 of the Covenant to those under </w:t>
      </w:r>
      <w:r w:rsidR="00D3761D">
        <w:rPr>
          <w:rFonts w:ascii="Times New Roman" w:hAnsi="Times New Roman" w:cs="Times New Roman"/>
          <w:lang w:val="en-US"/>
        </w:rPr>
        <w:t>A</w:t>
      </w:r>
      <w:r w:rsidRPr="00A46B17">
        <w:rPr>
          <w:rFonts w:ascii="Times New Roman" w:hAnsi="Times New Roman" w:cs="Times New Roman"/>
          <w:lang w:val="en-US"/>
        </w:rPr>
        <w:t xml:space="preserve">rticle 7. </w:t>
      </w:r>
    </w:p>
    <w:p w:rsidR="00E236BB" w:rsidRPr="00A46B17" w:rsidRDefault="00E236BB" w:rsidP="00D3761D">
      <w:pPr>
        <w:pStyle w:val="PlainText"/>
        <w:jc w:val="both"/>
        <w:rPr>
          <w:rFonts w:ascii="Times New Roman" w:hAnsi="Times New Roman" w:cs="Times New Roman"/>
          <w:lang w:val="en-US"/>
        </w:rPr>
      </w:pPr>
    </w:p>
    <w:p w:rsidR="00E236BB" w:rsidRPr="00A46B17" w:rsidRDefault="00E236BB" w:rsidP="00D3761D">
      <w:pPr>
        <w:pStyle w:val="PlainText"/>
        <w:keepN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Paragraph 56 of the draft </w:t>
      </w:r>
      <w:proofErr w:type="spellStart"/>
      <w:r w:rsidRPr="00A46B17">
        <w:rPr>
          <w:rFonts w:ascii="Times New Roman" w:hAnsi="Times New Roman" w:cs="Times New Roman"/>
          <w:lang w:val="en-US"/>
        </w:rPr>
        <w:t>recognises</w:t>
      </w:r>
      <w:proofErr w:type="spellEnd"/>
      <w:r w:rsidRPr="00A46B17">
        <w:rPr>
          <w:rFonts w:ascii="Times New Roman" w:hAnsi="Times New Roman" w:cs="Times New Roman"/>
          <w:lang w:val="en-US"/>
        </w:rPr>
        <w:t xml:space="preserve"> that: </w:t>
      </w:r>
    </w:p>
    <w:p w:rsidR="00887A4F" w:rsidRDefault="00887A4F" w:rsidP="00720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iCs/>
          <w:sz w:val="22"/>
          <w:szCs w:val="22"/>
        </w:rPr>
      </w:pPr>
    </w:p>
    <w:p w:rsidR="00E236BB" w:rsidRPr="00A46B17" w:rsidRDefault="00E236BB" w:rsidP="00D376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jc w:val="both"/>
        <w:rPr>
          <w:rFonts w:ascii="Times New Roman" w:hAnsi="Times New Roman" w:cs="Times New Roman"/>
          <w:iCs/>
          <w:sz w:val="22"/>
          <w:szCs w:val="22"/>
        </w:rPr>
      </w:pPr>
      <w:r w:rsidRPr="00A46B17">
        <w:rPr>
          <w:rFonts w:ascii="Times New Roman" w:hAnsi="Times New Roman" w:cs="Times New Roman"/>
          <w:iCs/>
          <w:sz w:val="22"/>
          <w:szCs w:val="22"/>
        </w:rPr>
        <w:t xml:space="preserve">Arbitrary detention creates risks of torture and ill-treatment, and several of the procedural </w:t>
      </w:r>
      <w:r w:rsidRPr="00A46B17">
        <w:rPr>
          <w:rFonts w:ascii="Times New Roman" w:hAnsi="Times New Roman" w:cs="Times New Roman"/>
          <w:sz w:val="22"/>
          <w:szCs w:val="22"/>
          <w:lang w:val="en-US"/>
        </w:rPr>
        <w:t>guarantees</w:t>
      </w:r>
      <w:r w:rsidRPr="00A46B17">
        <w:rPr>
          <w:rFonts w:ascii="Times New Roman" w:hAnsi="Times New Roman" w:cs="Times New Roman"/>
          <w:iCs/>
          <w:sz w:val="22"/>
          <w:szCs w:val="22"/>
        </w:rPr>
        <w:t xml:space="preserve"> in </w:t>
      </w:r>
      <w:r w:rsidR="00795AB6">
        <w:rPr>
          <w:rFonts w:ascii="Times New Roman" w:hAnsi="Times New Roman" w:cs="Times New Roman"/>
          <w:iCs/>
          <w:sz w:val="22"/>
          <w:szCs w:val="22"/>
        </w:rPr>
        <w:t>A</w:t>
      </w:r>
      <w:r w:rsidRPr="00A46B17">
        <w:rPr>
          <w:rFonts w:ascii="Times New Roman" w:hAnsi="Times New Roman" w:cs="Times New Roman"/>
          <w:iCs/>
          <w:sz w:val="22"/>
          <w:szCs w:val="22"/>
        </w:rPr>
        <w:t>rticle 9 serve to reduce the likelihood of such risks. … The right to personal security protects interests in bodily and mental integr</w:t>
      </w:r>
      <w:r w:rsidR="00D3761D">
        <w:rPr>
          <w:rFonts w:ascii="Times New Roman" w:hAnsi="Times New Roman" w:cs="Times New Roman"/>
          <w:iCs/>
          <w:sz w:val="22"/>
          <w:szCs w:val="22"/>
        </w:rPr>
        <w:t>ity that are also protected by A</w:t>
      </w:r>
      <w:r w:rsidRPr="00A46B17">
        <w:rPr>
          <w:rFonts w:ascii="Times New Roman" w:hAnsi="Times New Roman" w:cs="Times New Roman"/>
          <w:iCs/>
          <w:sz w:val="22"/>
          <w:szCs w:val="22"/>
        </w:rPr>
        <w:t>rticle 7.</w:t>
      </w:r>
      <w:r w:rsidRPr="00A46B17">
        <w:rPr>
          <w:rStyle w:val="FootnoteReference"/>
          <w:rFonts w:cs="Times New Roman"/>
          <w:iCs/>
          <w:sz w:val="22"/>
          <w:szCs w:val="22"/>
        </w:rPr>
        <w:footnoteReference w:id="107"/>
      </w:r>
    </w:p>
    <w:p w:rsidR="00E236BB" w:rsidRPr="00A46B17" w:rsidRDefault="00E236BB" w:rsidP="00887A4F">
      <w:pPr>
        <w:pStyle w:val="PlainText"/>
        <w:ind w:left="360"/>
        <w:jc w:val="both"/>
        <w:rPr>
          <w:rFonts w:ascii="Times New Roman" w:hAnsi="Times New Roman" w:cs="Times New Roman"/>
          <w:lang w:val="en-US"/>
        </w:rPr>
      </w:pPr>
    </w:p>
    <w:p w:rsidR="00E236BB" w:rsidRPr="00A46B17" w:rsidRDefault="00E236BB" w:rsidP="00D3761D">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Paragraph 58 then goes on to list a number of safeguards that are important to protect against both arbitrary detention and torture and other prohibited ill-treatment. We have suggested</w:t>
      </w:r>
      <w:r w:rsidR="00D3761D">
        <w:rPr>
          <w:rFonts w:ascii="Times New Roman" w:hAnsi="Times New Roman" w:cs="Times New Roman"/>
          <w:lang w:val="en-US"/>
        </w:rPr>
        <w:t xml:space="preserve"> </w:t>
      </w:r>
      <w:r w:rsidRPr="00A46B17">
        <w:rPr>
          <w:rFonts w:ascii="Times New Roman" w:hAnsi="Times New Roman" w:cs="Times New Roman"/>
          <w:lang w:val="en-US"/>
        </w:rPr>
        <w:t xml:space="preserve">that the substance of this paragraph is moved to an earlier section in the General Comment, to highlight the importance of these safeguards to protecting rights under Article 9.  In this section, we suggest that the text explain how the safeguards required by Article 9, including those specifically referred to in Article 9(2), (3) and (4), also reduce the risk of torture ill-treatment, and why they should be granted at the outset of arrest. </w:t>
      </w:r>
    </w:p>
    <w:p w:rsidR="00E236BB" w:rsidRPr="00A46B17" w:rsidRDefault="00E236BB" w:rsidP="00D3761D">
      <w:pPr>
        <w:pStyle w:val="PlainText"/>
        <w:jc w:val="both"/>
        <w:rPr>
          <w:rFonts w:ascii="Times New Roman" w:hAnsi="Times New Roman" w:cs="Times New Roman"/>
          <w:lang w:val="en-US"/>
        </w:rPr>
      </w:pPr>
    </w:p>
    <w:p w:rsidR="00E236BB" w:rsidRPr="00A46B17" w:rsidRDefault="00E236BB" w:rsidP="00720827">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b/>
          <w:lang w:val="en-US"/>
        </w:rPr>
      </w:pPr>
      <w:r w:rsidRPr="00A46B17">
        <w:rPr>
          <w:rFonts w:ascii="Times New Roman" w:hAnsi="Times New Roman" w:cs="Times New Roman"/>
          <w:b/>
          <w:lang w:val="en-US"/>
        </w:rPr>
        <w:t xml:space="preserve">Summary: </w:t>
      </w:r>
      <w:r w:rsidRPr="00A46B17">
        <w:rPr>
          <w:rFonts w:ascii="Times New Roman" w:hAnsi="Times New Roman" w:cs="Times New Roman"/>
          <w:lang w:val="en-US"/>
        </w:rPr>
        <w:t>We suggest that this section</w:t>
      </w:r>
      <w:r w:rsidRPr="00A46B17">
        <w:rPr>
          <w:rFonts w:ascii="Times New Roman" w:hAnsi="Times New Roman" w:cs="Times New Roman"/>
          <w:b/>
          <w:lang w:val="en-US"/>
        </w:rPr>
        <w:t xml:space="preserve"> </w:t>
      </w:r>
      <w:r w:rsidRPr="00A46B17">
        <w:rPr>
          <w:rFonts w:ascii="Times New Roman" w:hAnsi="Times New Roman" w:cs="Times New Roman"/>
          <w:lang w:val="en-US"/>
        </w:rPr>
        <w:t>explain how the safeguards set out in Article 9, and other safeguards important to protect the right to liberty and security of the person, are also crucial for the prevention of torture and other ill-treatment, and why it is important that they are available from the point of arrest.</w:t>
      </w:r>
    </w:p>
    <w:p w:rsidR="00E236BB" w:rsidRPr="00A46B17" w:rsidRDefault="00E236BB" w:rsidP="00720827">
      <w:pPr>
        <w:pStyle w:val="PlainText"/>
        <w:ind w:left="-360"/>
        <w:jc w:val="both"/>
        <w:rPr>
          <w:rFonts w:ascii="Times New Roman" w:hAnsi="Times New Roman" w:cs="Times New Roman"/>
          <w:lang w:val="en-US"/>
        </w:rPr>
      </w:pPr>
    </w:p>
    <w:p w:rsidR="00E236BB" w:rsidRPr="00A46B17" w:rsidRDefault="00E236BB" w:rsidP="00720827">
      <w:pPr>
        <w:pStyle w:val="Heading2"/>
        <w:spacing w:before="0"/>
        <w:jc w:val="both"/>
        <w:rPr>
          <w:rFonts w:ascii="Times New Roman" w:hAnsi="Times New Roman" w:cs="Times New Roman"/>
          <w:color w:val="auto"/>
          <w:sz w:val="24"/>
          <w:szCs w:val="24"/>
          <w:lang w:val="en-US"/>
        </w:rPr>
      </w:pPr>
      <w:bookmarkStart w:id="69" w:name="_Toc388377563"/>
      <w:bookmarkStart w:id="70" w:name="_Toc388961688"/>
      <w:bookmarkStart w:id="71" w:name="_Toc389236159"/>
      <w:r w:rsidRPr="00A46B17">
        <w:rPr>
          <w:rFonts w:ascii="Times New Roman" w:hAnsi="Times New Roman" w:cs="Times New Roman"/>
          <w:color w:val="auto"/>
          <w:sz w:val="24"/>
          <w:szCs w:val="24"/>
          <w:lang w:val="en-US"/>
        </w:rPr>
        <w:t>Solitary confinement and other types of detention that may amount to torture or cruel, inhuman or degrading treatment or punishment</w:t>
      </w:r>
      <w:bookmarkEnd w:id="69"/>
      <w:bookmarkEnd w:id="70"/>
      <w:bookmarkEnd w:id="71"/>
    </w:p>
    <w:p w:rsidR="00E236BB" w:rsidRPr="00A46B17" w:rsidRDefault="00E236BB" w:rsidP="00887A4F">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Paragraph</w:t>
      </w:r>
      <w:r w:rsidRPr="00A46B17">
        <w:rPr>
          <w:rFonts w:ascii="Times New Roman" w:hAnsi="Times New Roman" w:cs="Times New Roman"/>
          <w:lang w:val="en-CA"/>
        </w:rPr>
        <w:t xml:space="preserve"> 56 of the draft recognises that “[p]</w:t>
      </w:r>
      <w:proofErr w:type="spellStart"/>
      <w:r w:rsidRPr="00A46B17">
        <w:rPr>
          <w:rFonts w:ascii="Times New Roman" w:hAnsi="Times New Roman" w:cs="Times New Roman"/>
          <w:iCs/>
          <w:lang w:val="en-US"/>
        </w:rPr>
        <w:t>rolonged</w:t>
      </w:r>
      <w:proofErr w:type="spellEnd"/>
      <w:r w:rsidRPr="00A46B17">
        <w:rPr>
          <w:rFonts w:ascii="Times New Roman" w:hAnsi="Times New Roman" w:cs="Times New Roman"/>
          <w:iCs/>
          <w:lang w:val="en-US"/>
        </w:rPr>
        <w:t xml:space="preserve"> </w:t>
      </w:r>
      <w:proofErr w:type="gramStart"/>
      <w:r w:rsidRPr="00A46B17">
        <w:rPr>
          <w:rFonts w:ascii="Times New Roman" w:hAnsi="Times New Roman" w:cs="Times New Roman"/>
          <w:iCs/>
          <w:lang w:val="en-US"/>
        </w:rPr>
        <w:t>incommunicado</w:t>
      </w:r>
      <w:proofErr w:type="gramEnd"/>
      <w:r w:rsidRPr="00A46B17">
        <w:rPr>
          <w:rFonts w:ascii="Times New Roman" w:hAnsi="Times New Roman" w:cs="Times New Roman"/>
          <w:iCs/>
          <w:lang w:val="en-US"/>
        </w:rPr>
        <w:t xml:space="preserve"> detention violates </w:t>
      </w:r>
      <w:r w:rsidR="00795AB6">
        <w:rPr>
          <w:rFonts w:ascii="Times New Roman" w:hAnsi="Times New Roman" w:cs="Times New Roman"/>
          <w:iCs/>
          <w:lang w:val="en-US"/>
        </w:rPr>
        <w:t>A</w:t>
      </w:r>
      <w:r w:rsidRPr="00A46B17">
        <w:rPr>
          <w:rFonts w:ascii="Times New Roman" w:hAnsi="Times New Roman" w:cs="Times New Roman"/>
          <w:iCs/>
          <w:lang w:val="en-US"/>
        </w:rPr>
        <w:t>rticle 9 and may also amount to ill-treatment o</w:t>
      </w:r>
      <w:r w:rsidR="00D3761D">
        <w:rPr>
          <w:rFonts w:ascii="Times New Roman" w:hAnsi="Times New Roman" w:cs="Times New Roman"/>
          <w:iCs/>
          <w:lang w:val="en-US"/>
        </w:rPr>
        <w:t>r even torture in violation of A</w:t>
      </w:r>
      <w:r w:rsidRPr="00A46B17">
        <w:rPr>
          <w:rFonts w:ascii="Times New Roman" w:hAnsi="Times New Roman" w:cs="Times New Roman"/>
          <w:iCs/>
          <w:lang w:val="en-US"/>
        </w:rPr>
        <w:t>rticle 7</w:t>
      </w:r>
      <w:r w:rsidR="00887A4F">
        <w:rPr>
          <w:rFonts w:ascii="Times New Roman" w:hAnsi="Times New Roman" w:cs="Times New Roman"/>
          <w:iCs/>
          <w:lang w:val="en-US"/>
        </w:rPr>
        <w:t>”.</w:t>
      </w:r>
      <w:r w:rsidRPr="00A46B17">
        <w:rPr>
          <w:rStyle w:val="FootnoteReference"/>
          <w:rFonts w:cs="Times New Roman"/>
          <w:iCs/>
          <w:sz w:val="22"/>
        </w:rPr>
        <w:footnoteReference w:id="108"/>
      </w:r>
      <w:r w:rsidRPr="00A46B17">
        <w:rPr>
          <w:rFonts w:ascii="Times New Roman" w:hAnsi="Times New Roman" w:cs="Times New Roman"/>
          <w:iCs/>
          <w:lang w:val="en-US"/>
        </w:rPr>
        <w:t xml:space="preserve">  </w:t>
      </w:r>
      <w:r w:rsidRPr="00A46B17">
        <w:rPr>
          <w:rFonts w:ascii="Times New Roman" w:hAnsi="Times New Roman" w:cs="Times New Roman"/>
          <w:lang w:val="en-US"/>
        </w:rPr>
        <w:t xml:space="preserve">This is an important issue, but we suggest that this is expanded </w:t>
      </w:r>
      <w:r w:rsidR="00887A4F">
        <w:rPr>
          <w:rFonts w:ascii="Times New Roman" w:hAnsi="Times New Roman" w:cs="Times New Roman"/>
          <w:lang w:val="en-US"/>
        </w:rPr>
        <w:t>further</w:t>
      </w:r>
      <w:r w:rsidRPr="00A46B17">
        <w:rPr>
          <w:rFonts w:ascii="Times New Roman" w:hAnsi="Times New Roman" w:cs="Times New Roman"/>
          <w:lang w:val="en-US"/>
        </w:rPr>
        <w:t xml:space="preserve"> to refer to other types of detention that may also amount to ill-treatment or even torture.</w:t>
      </w:r>
    </w:p>
    <w:p w:rsidR="00E236BB" w:rsidRPr="00A46B17" w:rsidRDefault="00E236BB" w:rsidP="00D3761D">
      <w:pPr>
        <w:pStyle w:val="PlainText"/>
        <w:jc w:val="both"/>
        <w:rPr>
          <w:rFonts w:ascii="Times New Roman" w:hAnsi="Times New Roman" w:cs="Times New Roman"/>
          <w:b/>
          <w:i/>
          <w:lang w:val="en-CA"/>
        </w:rPr>
      </w:pPr>
    </w:p>
    <w:p w:rsidR="00E236BB" w:rsidRPr="00A46B17" w:rsidRDefault="00E236BB" w:rsidP="00720827">
      <w:pPr>
        <w:pStyle w:val="Heading3"/>
        <w:spacing w:before="0"/>
        <w:jc w:val="both"/>
        <w:rPr>
          <w:rFonts w:ascii="Times New Roman" w:hAnsi="Times New Roman" w:cs="Times New Roman"/>
          <w:i/>
          <w:color w:val="auto"/>
          <w:lang w:val="en-CA"/>
        </w:rPr>
      </w:pPr>
      <w:bookmarkStart w:id="72" w:name="_Toc388377564"/>
      <w:bookmarkStart w:id="73" w:name="_Toc388961689"/>
      <w:bookmarkStart w:id="74" w:name="_Toc389236160"/>
      <w:r w:rsidRPr="00A46B17">
        <w:rPr>
          <w:rFonts w:ascii="Times New Roman" w:hAnsi="Times New Roman" w:cs="Times New Roman"/>
          <w:i/>
          <w:color w:val="auto"/>
          <w:lang w:val="en-CA"/>
        </w:rPr>
        <w:lastRenderedPageBreak/>
        <w:t>Solitary confinement</w:t>
      </w:r>
      <w:bookmarkEnd w:id="72"/>
      <w:bookmarkEnd w:id="73"/>
      <w:bookmarkEnd w:id="74"/>
    </w:p>
    <w:p w:rsidR="00E236BB" w:rsidRPr="00A46B17" w:rsidRDefault="00E236BB" w:rsidP="00887A4F">
      <w:pPr>
        <w:pStyle w:val="PlainText"/>
        <w:numPr>
          <w:ilvl w:val="0"/>
          <w:numId w:val="37"/>
        </w:numPr>
        <w:ind w:left="360"/>
        <w:jc w:val="both"/>
        <w:rPr>
          <w:rFonts w:ascii="Times New Roman" w:hAnsi="Times New Roman" w:cs="Times New Roman"/>
          <w:iCs/>
          <w:lang w:val="en-US"/>
        </w:rPr>
      </w:pPr>
      <w:r w:rsidRPr="00A46B17">
        <w:rPr>
          <w:rFonts w:ascii="Times New Roman" w:hAnsi="Times New Roman" w:cs="Times New Roman"/>
          <w:iCs/>
          <w:lang w:val="en-US"/>
        </w:rPr>
        <w:t>There is no internationally agreed definition of ‘solitary confinement’ however the Istanbul Statement on the Use and Effects of Solitary Confinement defines it as the physical isolation of individuals who are confined to their cells for 22 to 24 hours a day.</w:t>
      </w:r>
      <w:r w:rsidRPr="00A46B17">
        <w:rPr>
          <w:rStyle w:val="FootnoteReference"/>
          <w:rFonts w:cs="Times New Roman"/>
          <w:iCs/>
          <w:sz w:val="22"/>
          <w:lang w:val="en-US"/>
        </w:rPr>
        <w:footnoteReference w:id="109"/>
      </w:r>
      <w:r w:rsidRPr="00A46B17">
        <w:rPr>
          <w:rFonts w:ascii="Times New Roman" w:hAnsi="Times New Roman" w:cs="Times New Roman"/>
          <w:iCs/>
          <w:lang w:val="en-US"/>
        </w:rPr>
        <w:t xml:space="preserve"> Those subject to solitary confinement may be allowed out of their cells for solitary exercise, but “meaningful contact with other people is typically reduced to a minimum”.</w:t>
      </w:r>
      <w:r w:rsidRPr="00A46B17">
        <w:rPr>
          <w:rStyle w:val="FootnoteReference"/>
          <w:rFonts w:cs="Times New Roman"/>
          <w:iCs/>
          <w:sz w:val="22"/>
          <w:lang w:val="en-US"/>
        </w:rPr>
        <w:footnoteReference w:id="110"/>
      </w:r>
      <w:r w:rsidRPr="00A46B17">
        <w:rPr>
          <w:rFonts w:ascii="Times New Roman" w:hAnsi="Times New Roman" w:cs="Times New Roman"/>
          <w:iCs/>
          <w:lang w:val="en-US"/>
        </w:rPr>
        <w:t xml:space="preserve">  Solitary confinement is a form of deprivation of liberty under </w:t>
      </w:r>
      <w:r w:rsidR="00795AB6">
        <w:rPr>
          <w:rFonts w:ascii="Times New Roman" w:hAnsi="Times New Roman" w:cs="Times New Roman"/>
          <w:iCs/>
          <w:lang w:val="en-US"/>
        </w:rPr>
        <w:t>A</w:t>
      </w:r>
      <w:r w:rsidRPr="00A46B17">
        <w:rPr>
          <w:rFonts w:ascii="Times New Roman" w:hAnsi="Times New Roman" w:cs="Times New Roman"/>
          <w:iCs/>
          <w:lang w:val="en-US"/>
        </w:rPr>
        <w:t xml:space="preserve">rticle 9 of the ICCPR. </w:t>
      </w:r>
      <w:r w:rsidRPr="00A46B17">
        <w:rPr>
          <w:rFonts w:ascii="Times New Roman" w:hAnsi="Times New Roman" w:cs="Times New Roman"/>
          <w:lang w:val="en-CA"/>
        </w:rPr>
        <w:t>The</w:t>
      </w:r>
      <w:r w:rsidRPr="00A46B17">
        <w:rPr>
          <w:rFonts w:ascii="Times New Roman" w:hAnsi="Times New Roman" w:cs="Times New Roman"/>
          <w:iCs/>
          <w:lang w:val="en-US"/>
        </w:rPr>
        <w:t xml:space="preserve"> current draft of General Comment </w:t>
      </w:r>
      <w:r w:rsidR="00887A4F">
        <w:rPr>
          <w:rFonts w:ascii="Times New Roman" w:hAnsi="Times New Roman" w:cs="Times New Roman"/>
          <w:iCs/>
          <w:lang w:val="en-US"/>
        </w:rPr>
        <w:t xml:space="preserve">No. </w:t>
      </w:r>
      <w:r w:rsidRPr="00A46B17">
        <w:rPr>
          <w:rFonts w:ascii="Times New Roman" w:hAnsi="Times New Roman" w:cs="Times New Roman"/>
          <w:iCs/>
          <w:lang w:val="en-US"/>
        </w:rPr>
        <w:t>35 refers to solitary confinement as a form of deprivation of liberty in paragraph 5, as well as in paragraph 40.</w:t>
      </w:r>
    </w:p>
    <w:p w:rsidR="00E236BB" w:rsidRPr="00A46B17" w:rsidRDefault="00E236BB" w:rsidP="00D3761D">
      <w:pPr>
        <w:pStyle w:val="PlainText"/>
        <w:ind w:left="360"/>
        <w:jc w:val="both"/>
        <w:rPr>
          <w:rFonts w:ascii="Times New Roman" w:hAnsi="Times New Roman" w:cs="Times New Roman"/>
          <w:iCs/>
          <w:lang w:val="en-US"/>
        </w:rPr>
      </w:pPr>
    </w:p>
    <w:p w:rsidR="00E236BB" w:rsidRPr="00A46B17" w:rsidRDefault="00E236BB" w:rsidP="00D3761D">
      <w:pPr>
        <w:pStyle w:val="PlainText"/>
        <w:numPr>
          <w:ilvl w:val="0"/>
          <w:numId w:val="37"/>
        </w:numPr>
        <w:ind w:left="360"/>
        <w:jc w:val="both"/>
        <w:rPr>
          <w:rFonts w:ascii="Times New Roman" w:hAnsi="Times New Roman" w:cs="Times New Roman"/>
          <w:iCs/>
          <w:lang w:val="en-US"/>
        </w:rPr>
      </w:pPr>
      <w:r w:rsidRPr="00A46B17">
        <w:rPr>
          <w:rFonts w:ascii="Times New Roman" w:hAnsi="Times New Roman" w:cs="Times New Roman"/>
          <w:iCs/>
          <w:lang w:val="en-US"/>
        </w:rPr>
        <w:t>Solitary confinement has implications for other prov</w:t>
      </w:r>
      <w:r w:rsidR="00D3761D">
        <w:rPr>
          <w:rFonts w:ascii="Times New Roman" w:hAnsi="Times New Roman" w:cs="Times New Roman"/>
          <w:iCs/>
          <w:lang w:val="en-US"/>
        </w:rPr>
        <w:t>isions of the Covenant, namely A</w:t>
      </w:r>
      <w:r w:rsidRPr="00A46B17">
        <w:rPr>
          <w:rFonts w:ascii="Times New Roman" w:hAnsi="Times New Roman" w:cs="Times New Roman"/>
          <w:iCs/>
          <w:lang w:val="en-US"/>
        </w:rPr>
        <w:t>rticles 7 and 10, particularly where it is ‘prolonged’. General Comment No. 20 of the Human Rights Committee note</w:t>
      </w:r>
      <w:r w:rsidR="00887A4F">
        <w:rPr>
          <w:rFonts w:ascii="Times New Roman" w:hAnsi="Times New Roman" w:cs="Times New Roman"/>
          <w:iCs/>
          <w:lang w:val="en-US"/>
        </w:rPr>
        <w:t>s</w:t>
      </w:r>
      <w:r w:rsidRPr="00A46B17">
        <w:rPr>
          <w:rFonts w:ascii="Times New Roman" w:hAnsi="Times New Roman" w:cs="Times New Roman"/>
          <w:iCs/>
          <w:lang w:val="en-US"/>
        </w:rPr>
        <w:t xml:space="preserve"> that “prolonged solitary confinement of the detained or imprisoned person ma</w:t>
      </w:r>
      <w:r w:rsidR="00D3761D">
        <w:rPr>
          <w:rFonts w:ascii="Times New Roman" w:hAnsi="Times New Roman" w:cs="Times New Roman"/>
          <w:iCs/>
          <w:lang w:val="en-US"/>
        </w:rPr>
        <w:t>y amount to acts prohibited by A</w:t>
      </w:r>
      <w:r w:rsidRPr="00A46B17">
        <w:rPr>
          <w:rFonts w:ascii="Times New Roman" w:hAnsi="Times New Roman" w:cs="Times New Roman"/>
          <w:iCs/>
          <w:lang w:val="en-US"/>
        </w:rPr>
        <w:t>rticle 7.”</w:t>
      </w:r>
      <w:r w:rsidRPr="00A46B17">
        <w:rPr>
          <w:rStyle w:val="FootnoteReference"/>
          <w:rFonts w:cs="Times New Roman"/>
          <w:iCs/>
          <w:sz w:val="22"/>
          <w:lang w:val="en-US"/>
        </w:rPr>
        <w:footnoteReference w:id="111"/>
      </w:r>
      <w:r w:rsidRPr="00A46B17">
        <w:rPr>
          <w:rFonts w:ascii="Times New Roman" w:hAnsi="Times New Roman" w:cs="Times New Roman"/>
          <w:iCs/>
          <w:lang w:val="en-US"/>
        </w:rPr>
        <w:t xml:space="preserve"> The UN Special Rapporteur on torture and other cruel, inhuman, degrading treatment or punishment has stated that solitary confinement exceeding 15 days should be considered prolonged.</w:t>
      </w:r>
      <w:r w:rsidRPr="00A46B17">
        <w:rPr>
          <w:rStyle w:val="FootnoteReference"/>
          <w:rFonts w:cs="Times New Roman"/>
          <w:iCs/>
          <w:sz w:val="22"/>
          <w:lang w:val="en-US"/>
        </w:rPr>
        <w:footnoteReference w:id="112"/>
      </w:r>
      <w:r w:rsidRPr="00A46B17">
        <w:rPr>
          <w:rFonts w:ascii="Times New Roman" w:hAnsi="Times New Roman" w:cs="Times New Roman"/>
          <w:iCs/>
          <w:lang w:val="en-US"/>
        </w:rPr>
        <w:t xml:space="preserve"> </w:t>
      </w:r>
    </w:p>
    <w:p w:rsidR="00E236BB" w:rsidRPr="00A46B17" w:rsidRDefault="00E236BB" w:rsidP="00D3761D">
      <w:pPr>
        <w:pStyle w:val="PlainText"/>
        <w:jc w:val="both"/>
        <w:rPr>
          <w:rFonts w:ascii="Times New Roman" w:hAnsi="Times New Roman" w:cs="Times New Roman"/>
          <w:iCs/>
          <w:lang w:val="en-US"/>
        </w:rPr>
      </w:pPr>
    </w:p>
    <w:p w:rsidR="00E236BB" w:rsidRPr="00A46B17" w:rsidRDefault="00E236BB" w:rsidP="00316381">
      <w:pPr>
        <w:pStyle w:val="PlainText"/>
        <w:numPr>
          <w:ilvl w:val="0"/>
          <w:numId w:val="37"/>
        </w:numPr>
        <w:ind w:left="360"/>
        <w:jc w:val="both"/>
        <w:rPr>
          <w:rFonts w:ascii="Times New Roman" w:hAnsi="Times New Roman" w:cs="Times New Roman"/>
          <w:iCs/>
          <w:lang w:val="en-US"/>
        </w:rPr>
      </w:pPr>
      <w:r w:rsidRPr="00A46B17">
        <w:rPr>
          <w:rFonts w:ascii="Times New Roman" w:hAnsi="Times New Roman" w:cs="Times New Roman"/>
          <w:iCs/>
          <w:lang w:val="en-US"/>
        </w:rPr>
        <w:t xml:space="preserve">The current draft of General Comment </w:t>
      </w:r>
      <w:r w:rsidR="00887A4F">
        <w:rPr>
          <w:rFonts w:ascii="Times New Roman" w:hAnsi="Times New Roman" w:cs="Times New Roman"/>
          <w:iCs/>
          <w:lang w:val="en-US"/>
        </w:rPr>
        <w:t xml:space="preserve">No. </w:t>
      </w:r>
      <w:r w:rsidRPr="00A46B17">
        <w:rPr>
          <w:rFonts w:ascii="Times New Roman" w:hAnsi="Times New Roman" w:cs="Times New Roman"/>
          <w:iCs/>
          <w:lang w:val="en-US"/>
        </w:rPr>
        <w:t xml:space="preserve">35 refers to solitary confinement as a form of deprivation of liberty in paragraph 5, as well as in paragraph 40. Our </w:t>
      </w:r>
      <w:proofErr w:type="spellStart"/>
      <w:r w:rsidRPr="00A46B17">
        <w:rPr>
          <w:rFonts w:ascii="Times New Roman" w:hAnsi="Times New Roman" w:cs="Times New Roman"/>
          <w:iCs/>
          <w:lang w:val="en-US"/>
        </w:rPr>
        <w:t>organisations</w:t>
      </w:r>
      <w:proofErr w:type="spellEnd"/>
      <w:r w:rsidRPr="00A46B17">
        <w:rPr>
          <w:rFonts w:ascii="Times New Roman" w:hAnsi="Times New Roman" w:cs="Times New Roman"/>
          <w:iCs/>
          <w:lang w:val="en-US"/>
        </w:rPr>
        <w:t xml:space="preserve"> respectfully submit that given the serious risk of cruel, inhuman or degrading treatment or punishment, and in some cases torture, arising from the practice of solitary confinement, and in particular prolonged solitary confinement, it is important that the General Comment on Article 9 include more detailed language outlining the necessary limits and restrictions that should be applied in the use of solitary confinement in order to ensure respect for the rights of persons deprived of their liberty. </w:t>
      </w:r>
    </w:p>
    <w:p w:rsidR="00E236BB" w:rsidRPr="00A46B17" w:rsidRDefault="00E236BB" w:rsidP="00316381">
      <w:pPr>
        <w:pStyle w:val="PlainText"/>
        <w:ind w:left="360"/>
        <w:jc w:val="both"/>
        <w:rPr>
          <w:rFonts w:ascii="Times New Roman" w:hAnsi="Times New Roman" w:cs="Times New Roman"/>
          <w:iCs/>
          <w:lang w:val="en-US"/>
        </w:rPr>
      </w:pPr>
    </w:p>
    <w:p w:rsidR="00E236BB" w:rsidRPr="00A46B17" w:rsidRDefault="00E236BB" w:rsidP="00720827">
      <w:pPr>
        <w:pStyle w:val="PlainText"/>
        <w:numPr>
          <w:ilvl w:val="0"/>
          <w:numId w:val="37"/>
        </w:numPr>
        <w:ind w:left="360"/>
        <w:jc w:val="both"/>
        <w:rPr>
          <w:rFonts w:ascii="Times New Roman" w:hAnsi="Times New Roman" w:cs="Times New Roman"/>
          <w:iCs/>
          <w:lang w:val="en-US"/>
        </w:rPr>
      </w:pPr>
      <w:r w:rsidRPr="00A46B17">
        <w:rPr>
          <w:rFonts w:ascii="Times New Roman" w:hAnsi="Times New Roman" w:cs="Times New Roman"/>
          <w:iCs/>
          <w:lang w:val="en-US"/>
        </w:rPr>
        <w:t>The Human Rights Committee has in its periodic country reviews addressed the issue of solitary confinement, clarifying that it should be an exceptional measure and strictly limited in duration,</w:t>
      </w:r>
      <w:r w:rsidRPr="00A46B17">
        <w:rPr>
          <w:rStyle w:val="FootnoteReference"/>
          <w:rFonts w:cs="Times New Roman"/>
          <w:sz w:val="22"/>
          <w:lang w:val="en-US"/>
        </w:rPr>
        <w:footnoteReference w:id="113"/>
      </w:r>
      <w:r w:rsidRPr="00A46B17">
        <w:rPr>
          <w:rFonts w:ascii="Times New Roman" w:hAnsi="Times New Roman" w:cs="Times New Roman"/>
          <w:iCs/>
          <w:lang w:val="en-US"/>
        </w:rPr>
        <w:t xml:space="preserve"> and calling on States parties to take steps to ensure solitary confinement is used only in urgent necessity</w:t>
      </w:r>
      <w:r w:rsidRPr="00A46B17">
        <w:rPr>
          <w:rStyle w:val="FootnoteReference"/>
          <w:rFonts w:cs="Times New Roman"/>
          <w:sz w:val="22"/>
          <w:lang w:val="en-US"/>
        </w:rPr>
        <w:footnoteReference w:id="114"/>
      </w:r>
      <w:r w:rsidRPr="00A46B17">
        <w:rPr>
          <w:rFonts w:ascii="Times New Roman" w:hAnsi="Times New Roman" w:cs="Times New Roman"/>
          <w:iCs/>
          <w:lang w:val="en-US"/>
        </w:rPr>
        <w:t xml:space="preserve"> and that those held in solitary confinement are monitored daily by fully qualified medical staff.</w:t>
      </w:r>
      <w:r w:rsidRPr="00A46B17">
        <w:rPr>
          <w:rStyle w:val="FootnoteReference"/>
          <w:rFonts w:cs="Times New Roman"/>
          <w:sz w:val="22"/>
          <w:lang w:val="en-US"/>
        </w:rPr>
        <w:footnoteReference w:id="115"/>
      </w:r>
      <w:r w:rsidRPr="00A46B17">
        <w:rPr>
          <w:rFonts w:ascii="Times New Roman" w:hAnsi="Times New Roman" w:cs="Times New Roman"/>
          <w:lang w:val="en-US"/>
        </w:rPr>
        <w:t xml:space="preserve"> </w:t>
      </w:r>
      <w:r w:rsidRPr="00A46B17">
        <w:rPr>
          <w:rFonts w:ascii="Times New Roman" w:hAnsi="Times New Roman" w:cs="Times New Roman"/>
          <w:iCs/>
          <w:lang w:val="en-US"/>
        </w:rPr>
        <w:t xml:space="preserve"> The Committee has also called on States parties to immediately stop the use of “long periods of solitary confinement” and to put an end to the sentence of solitary confinement.</w:t>
      </w:r>
      <w:r w:rsidRPr="00A46B17">
        <w:rPr>
          <w:rStyle w:val="FootnoteReference"/>
          <w:rFonts w:cs="Times New Roman"/>
          <w:sz w:val="22"/>
          <w:lang w:val="en-US"/>
        </w:rPr>
        <w:footnoteReference w:id="116"/>
      </w:r>
      <w:r w:rsidRPr="00A46B17">
        <w:rPr>
          <w:rFonts w:ascii="Times New Roman" w:hAnsi="Times New Roman" w:cs="Times New Roman"/>
          <w:iCs/>
          <w:lang w:val="en-US"/>
        </w:rPr>
        <w:t xml:space="preserve"> </w:t>
      </w:r>
    </w:p>
    <w:p w:rsidR="00E236BB" w:rsidRPr="00A46B17" w:rsidRDefault="00E236BB" w:rsidP="00720827">
      <w:pPr>
        <w:pStyle w:val="PlainText"/>
        <w:ind w:left="360"/>
        <w:jc w:val="both"/>
        <w:rPr>
          <w:rFonts w:ascii="Times New Roman" w:hAnsi="Times New Roman" w:cs="Times New Roman"/>
          <w:iCs/>
          <w:lang w:val="en-US"/>
        </w:rPr>
      </w:pPr>
    </w:p>
    <w:p w:rsidR="00E236BB" w:rsidRPr="00A46B17" w:rsidRDefault="00E236BB" w:rsidP="00720827">
      <w:pPr>
        <w:pStyle w:val="PlainText"/>
        <w:numPr>
          <w:ilvl w:val="0"/>
          <w:numId w:val="37"/>
        </w:numPr>
        <w:ind w:left="360"/>
        <w:jc w:val="both"/>
        <w:rPr>
          <w:rFonts w:ascii="Times New Roman" w:hAnsi="Times New Roman" w:cs="Times New Roman"/>
          <w:iCs/>
          <w:lang w:val="en-US"/>
        </w:rPr>
      </w:pPr>
      <w:r w:rsidRPr="00A46B17">
        <w:rPr>
          <w:rFonts w:ascii="Times New Roman" w:hAnsi="Times New Roman" w:cs="Times New Roman"/>
          <w:iCs/>
          <w:lang w:val="en-US"/>
        </w:rPr>
        <w:t xml:space="preserve">A number of other UN human rights bodies and mechanisms have also clarified the circumstances in which solitary confinement should be applied in order to prevent violations of the rights of persons deprived of their liberty: </w:t>
      </w:r>
    </w:p>
    <w:p w:rsidR="00E236BB" w:rsidRPr="00A46B17" w:rsidRDefault="00E236BB" w:rsidP="00720827">
      <w:pPr>
        <w:pStyle w:val="PlainText"/>
        <w:numPr>
          <w:ilvl w:val="0"/>
          <w:numId w:val="23"/>
        </w:numPr>
        <w:ind w:left="720"/>
        <w:jc w:val="both"/>
        <w:rPr>
          <w:rFonts w:ascii="Times New Roman" w:hAnsi="Times New Roman" w:cs="Times New Roman"/>
          <w:iCs/>
          <w:lang w:val="en-US"/>
        </w:rPr>
      </w:pPr>
      <w:r w:rsidRPr="00A46B17">
        <w:rPr>
          <w:rFonts w:ascii="Times New Roman" w:hAnsi="Times New Roman" w:cs="Times New Roman"/>
          <w:iCs/>
          <w:lang w:val="en-US"/>
        </w:rPr>
        <w:t>The Subcommittee on the Prevention of Torture has recommended that a medical officer should visit detainees held in solitary confinement every day in order to ensure their health is safeguarded.</w:t>
      </w:r>
      <w:r w:rsidRPr="00A46B17">
        <w:rPr>
          <w:rStyle w:val="FootnoteReference"/>
          <w:rFonts w:cs="Times New Roman"/>
          <w:sz w:val="22"/>
          <w:lang w:val="en-US"/>
        </w:rPr>
        <w:footnoteReference w:id="117"/>
      </w:r>
      <w:r w:rsidRPr="00A46B17">
        <w:rPr>
          <w:rFonts w:ascii="Times New Roman" w:hAnsi="Times New Roman" w:cs="Times New Roman"/>
          <w:iCs/>
          <w:lang w:val="en-US"/>
        </w:rPr>
        <w:t xml:space="preserve"> </w:t>
      </w:r>
    </w:p>
    <w:p w:rsidR="00E236BB" w:rsidRPr="00A46B17" w:rsidRDefault="00E236BB" w:rsidP="00720827">
      <w:pPr>
        <w:pStyle w:val="PlainText"/>
        <w:numPr>
          <w:ilvl w:val="0"/>
          <w:numId w:val="23"/>
        </w:numPr>
        <w:ind w:left="720"/>
        <w:jc w:val="both"/>
        <w:rPr>
          <w:rFonts w:ascii="Times New Roman" w:hAnsi="Times New Roman" w:cs="Times New Roman"/>
          <w:iCs/>
          <w:lang w:val="en-US"/>
        </w:rPr>
      </w:pPr>
      <w:r w:rsidRPr="00A46B17">
        <w:rPr>
          <w:rFonts w:ascii="Times New Roman" w:hAnsi="Times New Roman" w:cs="Times New Roman"/>
          <w:iCs/>
          <w:lang w:val="en-US"/>
        </w:rPr>
        <w:lastRenderedPageBreak/>
        <w:t xml:space="preserve">The </w:t>
      </w:r>
      <w:r w:rsidR="00FA0F18">
        <w:rPr>
          <w:rFonts w:ascii="Times New Roman" w:hAnsi="Times New Roman" w:cs="Times New Roman"/>
          <w:iCs/>
          <w:lang w:val="en-US"/>
        </w:rPr>
        <w:t>Subcommittee and the Committee a</w:t>
      </w:r>
      <w:r w:rsidRPr="00A46B17">
        <w:rPr>
          <w:rFonts w:ascii="Times New Roman" w:hAnsi="Times New Roman" w:cs="Times New Roman"/>
          <w:iCs/>
          <w:lang w:val="en-US"/>
        </w:rPr>
        <w:t xml:space="preserve">gainst Torture have recommended that children under the age of 18 years should not be subjected to solitary confinement.  The Committee on the Rights of the Child has also clarified that solitary confinement of detained juveniles as a disciplinary must be strictly forbidden </w:t>
      </w:r>
      <w:r w:rsidR="00D3761D">
        <w:rPr>
          <w:rFonts w:ascii="Times New Roman" w:hAnsi="Times New Roman" w:cs="Times New Roman"/>
          <w:iCs/>
          <w:lang w:val="en-US"/>
        </w:rPr>
        <w:t>as it would be in violation of A</w:t>
      </w:r>
      <w:r w:rsidRPr="00A46B17">
        <w:rPr>
          <w:rFonts w:ascii="Times New Roman" w:hAnsi="Times New Roman" w:cs="Times New Roman"/>
          <w:iCs/>
          <w:lang w:val="en-US"/>
        </w:rPr>
        <w:t>rticle 37 of the Convention on the Rights of the Child.</w:t>
      </w:r>
      <w:r w:rsidRPr="00A46B17">
        <w:rPr>
          <w:rStyle w:val="FootnoteReference"/>
          <w:rFonts w:cs="Times New Roman"/>
          <w:sz w:val="22"/>
          <w:lang w:val="en-US"/>
        </w:rPr>
        <w:footnoteReference w:id="118"/>
      </w:r>
      <w:r w:rsidRPr="00A46B17">
        <w:rPr>
          <w:rFonts w:ascii="Times New Roman" w:hAnsi="Times New Roman" w:cs="Times New Roman"/>
          <w:iCs/>
          <w:lang w:val="en-US"/>
        </w:rPr>
        <w:t xml:space="preserve"> </w:t>
      </w:r>
    </w:p>
    <w:p w:rsidR="00E236BB" w:rsidRPr="00A46B17" w:rsidRDefault="00E236BB" w:rsidP="00720827">
      <w:pPr>
        <w:pStyle w:val="PlainText"/>
        <w:numPr>
          <w:ilvl w:val="0"/>
          <w:numId w:val="23"/>
        </w:numPr>
        <w:ind w:left="720"/>
        <w:jc w:val="both"/>
        <w:rPr>
          <w:rFonts w:ascii="Times New Roman" w:hAnsi="Times New Roman" w:cs="Times New Roman"/>
          <w:iCs/>
          <w:lang w:val="en-US"/>
        </w:rPr>
      </w:pPr>
      <w:r w:rsidRPr="00A46B17">
        <w:rPr>
          <w:rFonts w:ascii="Times New Roman" w:hAnsi="Times New Roman" w:cs="Times New Roman"/>
          <w:iCs/>
          <w:lang w:val="en-US"/>
        </w:rPr>
        <w:t xml:space="preserve">The Committee </w:t>
      </w:r>
      <w:r w:rsidR="00191435">
        <w:rPr>
          <w:rFonts w:ascii="Times New Roman" w:hAnsi="Times New Roman" w:cs="Times New Roman"/>
          <w:iCs/>
          <w:lang w:val="en-US"/>
        </w:rPr>
        <w:t>a</w:t>
      </w:r>
      <w:r w:rsidRPr="00A46B17">
        <w:rPr>
          <w:rFonts w:ascii="Times New Roman" w:hAnsi="Times New Roman" w:cs="Times New Roman"/>
          <w:iCs/>
          <w:lang w:val="en-US"/>
        </w:rPr>
        <w:t>gainst Torture has recommended that solitary confinement should be used as a measure of last resort when all other alternatives for control have failed; for the shortest possible time; under strict medical supervision; and with the possibility of judicial control.</w:t>
      </w:r>
      <w:r w:rsidRPr="00A46B17">
        <w:rPr>
          <w:rStyle w:val="FootnoteReference"/>
          <w:rFonts w:cs="Times New Roman"/>
          <w:sz w:val="22"/>
          <w:lang w:val="en-US"/>
        </w:rPr>
        <w:footnoteReference w:id="119"/>
      </w:r>
      <w:r w:rsidRPr="00A46B17">
        <w:rPr>
          <w:rFonts w:ascii="Times New Roman" w:hAnsi="Times New Roman" w:cs="Times New Roman"/>
          <w:iCs/>
          <w:lang w:val="en-US"/>
        </w:rPr>
        <w:t xml:space="preserve"> </w:t>
      </w:r>
    </w:p>
    <w:p w:rsidR="00E236BB" w:rsidRPr="00A46B17" w:rsidRDefault="00E236BB" w:rsidP="00720827">
      <w:pPr>
        <w:pStyle w:val="PlainText"/>
        <w:ind w:left="360"/>
        <w:jc w:val="both"/>
        <w:rPr>
          <w:rFonts w:ascii="Times New Roman" w:hAnsi="Times New Roman" w:cs="Times New Roman"/>
          <w:lang w:val="en-US"/>
        </w:rPr>
      </w:pPr>
    </w:p>
    <w:p w:rsidR="00E236BB" w:rsidRPr="00A46B17" w:rsidRDefault="00E236BB" w:rsidP="00720827">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It should also be highlighted that the Special Rapporteur on </w:t>
      </w:r>
      <w:r w:rsidR="00191435">
        <w:rPr>
          <w:rFonts w:ascii="Times New Roman" w:hAnsi="Times New Roman" w:cs="Times New Roman"/>
          <w:lang w:val="en-US"/>
        </w:rPr>
        <w:t>t</w:t>
      </w:r>
      <w:r w:rsidRPr="00A46B17">
        <w:rPr>
          <w:rFonts w:ascii="Times New Roman" w:hAnsi="Times New Roman" w:cs="Times New Roman"/>
          <w:lang w:val="en-US"/>
        </w:rPr>
        <w:t xml:space="preserve">orture has recommended that the practice of solitary </w:t>
      </w:r>
      <w:r w:rsidRPr="00A46B17">
        <w:rPr>
          <w:rFonts w:ascii="Times New Roman" w:hAnsi="Times New Roman" w:cs="Times New Roman"/>
          <w:iCs/>
          <w:lang w:val="en-US"/>
        </w:rPr>
        <w:t>confinement</w:t>
      </w:r>
      <w:r w:rsidRPr="00A46B17">
        <w:rPr>
          <w:rFonts w:ascii="Times New Roman" w:hAnsi="Times New Roman" w:cs="Times New Roman"/>
          <w:lang w:val="en-US"/>
        </w:rPr>
        <w:t xml:space="preserve"> </w:t>
      </w:r>
      <w:r w:rsidR="00191435" w:rsidRPr="00A46B17">
        <w:rPr>
          <w:rFonts w:ascii="Times New Roman" w:hAnsi="Times New Roman" w:cs="Times New Roman"/>
          <w:lang w:val="en-US"/>
        </w:rPr>
        <w:t xml:space="preserve">as an extortion technique </w:t>
      </w:r>
      <w:r w:rsidRPr="00A46B17">
        <w:rPr>
          <w:rFonts w:ascii="Times New Roman" w:hAnsi="Times New Roman" w:cs="Times New Roman"/>
          <w:lang w:val="en-US"/>
        </w:rPr>
        <w:t xml:space="preserve">in pre-trial detention </w:t>
      </w:r>
      <w:r w:rsidR="00434B0F">
        <w:rPr>
          <w:rFonts w:ascii="Times New Roman" w:hAnsi="Times New Roman" w:cs="Times New Roman"/>
          <w:lang w:val="en-US"/>
        </w:rPr>
        <w:t>or for the purpose of punishment</w:t>
      </w:r>
      <w:r w:rsidRPr="00A46B17">
        <w:rPr>
          <w:rFonts w:ascii="Times New Roman" w:hAnsi="Times New Roman" w:cs="Times New Roman"/>
          <w:lang w:val="en-US"/>
        </w:rPr>
        <w:t>, as well as the use of solitary confinement of minors and persons with mental disabilities, should be abolished.</w:t>
      </w:r>
      <w:r w:rsidRPr="00A46B17">
        <w:rPr>
          <w:rStyle w:val="FootnoteReference"/>
          <w:rFonts w:cs="Times New Roman"/>
          <w:sz w:val="22"/>
          <w:lang w:val="en-US"/>
        </w:rPr>
        <w:footnoteReference w:id="120"/>
      </w:r>
      <w:r w:rsidRPr="00A46B17">
        <w:rPr>
          <w:rFonts w:ascii="Times New Roman" w:hAnsi="Times New Roman" w:cs="Times New Roman"/>
          <w:lang w:val="en-US"/>
        </w:rPr>
        <w:t xml:space="preserve"> The Special Rapporteur on </w:t>
      </w:r>
      <w:r w:rsidR="00887A4F">
        <w:rPr>
          <w:rFonts w:ascii="Times New Roman" w:hAnsi="Times New Roman" w:cs="Times New Roman"/>
          <w:lang w:val="en-US"/>
        </w:rPr>
        <w:t>t</w:t>
      </w:r>
      <w:r w:rsidRPr="00A46B17">
        <w:rPr>
          <w:rFonts w:ascii="Times New Roman" w:hAnsi="Times New Roman" w:cs="Times New Roman"/>
          <w:lang w:val="en-US"/>
        </w:rPr>
        <w:t>orture also recommends the</w:t>
      </w:r>
      <w:r w:rsidR="00887A4F">
        <w:rPr>
          <w:rFonts w:ascii="Times New Roman" w:hAnsi="Times New Roman" w:cs="Times New Roman"/>
          <w:lang w:val="en-US"/>
        </w:rPr>
        <w:t xml:space="preserve"> </w:t>
      </w:r>
      <w:r w:rsidRPr="00A46B17">
        <w:rPr>
          <w:rFonts w:ascii="Times New Roman" w:hAnsi="Times New Roman" w:cs="Times New Roman"/>
          <w:lang w:val="en-US"/>
        </w:rPr>
        <w:t>abolition of indefinite solitary confinement.</w:t>
      </w:r>
      <w:r w:rsidRPr="00A46B17">
        <w:rPr>
          <w:rStyle w:val="FootnoteReference"/>
          <w:rFonts w:cs="Times New Roman"/>
          <w:sz w:val="22"/>
          <w:lang w:val="en-US"/>
        </w:rPr>
        <w:footnoteReference w:id="121"/>
      </w:r>
      <w:r w:rsidR="00434B0F">
        <w:rPr>
          <w:rFonts w:ascii="Times New Roman" w:hAnsi="Times New Roman" w:cs="Times New Roman"/>
          <w:lang w:val="en-US"/>
        </w:rPr>
        <w:t xml:space="preserve"> F</w:t>
      </w:r>
      <w:r w:rsidR="00434B0F" w:rsidRPr="00434B0F">
        <w:rPr>
          <w:rFonts w:ascii="Times New Roman" w:hAnsi="Times New Roman" w:cs="Times New Roman"/>
          <w:lang w:val="en-US"/>
        </w:rPr>
        <w:t>urthermore</w:t>
      </w:r>
      <w:r w:rsidR="00434B0F">
        <w:rPr>
          <w:rFonts w:ascii="Times New Roman" w:hAnsi="Times New Roman" w:cs="Times New Roman"/>
          <w:lang w:val="en-US"/>
        </w:rPr>
        <w:t>, according to the Special Rapporteur, s</w:t>
      </w:r>
      <w:r w:rsidR="00434B0F" w:rsidRPr="00434B0F">
        <w:rPr>
          <w:rFonts w:ascii="Times New Roman" w:hAnsi="Times New Roman" w:cs="Times New Roman"/>
          <w:lang w:val="en-US"/>
        </w:rPr>
        <w:t xml:space="preserve">pecial regard should be given to the material conditions of confinement, because they can themselves lead to severe mental and physical pain or suffering, </w:t>
      </w:r>
      <w:r w:rsidR="00434B0F">
        <w:rPr>
          <w:rFonts w:ascii="Times New Roman" w:hAnsi="Times New Roman" w:cs="Times New Roman"/>
          <w:lang w:val="en-US"/>
        </w:rPr>
        <w:t xml:space="preserve">and therefore to a violation of </w:t>
      </w:r>
      <w:r w:rsidR="00D3761D">
        <w:rPr>
          <w:rFonts w:ascii="Times New Roman" w:hAnsi="Times New Roman" w:cs="Times New Roman"/>
          <w:lang w:val="en-US"/>
        </w:rPr>
        <w:t>A</w:t>
      </w:r>
      <w:r w:rsidR="00434B0F">
        <w:rPr>
          <w:rFonts w:ascii="Times New Roman" w:hAnsi="Times New Roman" w:cs="Times New Roman"/>
          <w:lang w:val="en-US"/>
        </w:rPr>
        <w:t>rticle</w:t>
      </w:r>
      <w:r w:rsidR="00434B0F" w:rsidRPr="00434B0F">
        <w:rPr>
          <w:rFonts w:ascii="Times New Roman" w:hAnsi="Times New Roman" w:cs="Times New Roman"/>
          <w:lang w:val="en-US"/>
        </w:rPr>
        <w:t xml:space="preserve"> 7</w:t>
      </w:r>
      <w:r w:rsidR="00434B0F">
        <w:rPr>
          <w:rFonts w:ascii="Times New Roman" w:hAnsi="Times New Roman" w:cs="Times New Roman"/>
          <w:lang w:val="en-US"/>
        </w:rPr>
        <w:t>.</w:t>
      </w:r>
      <w:r w:rsidR="00434B0F">
        <w:rPr>
          <w:rStyle w:val="FootnoteReference"/>
          <w:rFonts w:cs="Times New Roman"/>
          <w:lang w:val="en-US"/>
        </w:rPr>
        <w:footnoteReference w:id="122"/>
      </w:r>
    </w:p>
    <w:p w:rsidR="00E236BB" w:rsidRPr="00A46B17" w:rsidRDefault="00E236BB" w:rsidP="00720827">
      <w:pPr>
        <w:pStyle w:val="PlainText"/>
        <w:ind w:left="360"/>
        <w:jc w:val="both"/>
        <w:rPr>
          <w:rFonts w:ascii="Times New Roman" w:hAnsi="Times New Roman" w:cs="Times New Roman"/>
          <w:lang w:val="en-US"/>
        </w:rPr>
      </w:pPr>
    </w:p>
    <w:p w:rsidR="00E236BB" w:rsidRPr="00A46B17" w:rsidRDefault="00E236BB" w:rsidP="00316381">
      <w:pPr>
        <w:pStyle w:val="PlainText"/>
        <w:pBdr>
          <w:top w:val="single" w:sz="4" w:space="1" w:color="auto"/>
          <w:left w:val="single" w:sz="4" w:space="4" w:color="auto"/>
          <w:bottom w:val="single" w:sz="4" w:space="1" w:color="auto"/>
          <w:right w:val="single" w:sz="4" w:space="4" w:color="auto"/>
        </w:pBdr>
        <w:ind w:left="423"/>
        <w:jc w:val="both"/>
        <w:rPr>
          <w:rFonts w:ascii="Times New Roman" w:hAnsi="Times New Roman" w:cs="Times New Roman"/>
          <w:iCs/>
          <w:lang w:val="en-US"/>
        </w:rPr>
      </w:pPr>
      <w:r w:rsidRPr="00A46B17">
        <w:rPr>
          <w:rFonts w:ascii="Times New Roman" w:hAnsi="Times New Roman" w:cs="Times New Roman"/>
          <w:b/>
          <w:iCs/>
          <w:lang w:val="en-US"/>
        </w:rPr>
        <w:t>Summary:</w:t>
      </w:r>
      <w:r w:rsidRPr="00A46B17">
        <w:rPr>
          <w:rFonts w:ascii="Times New Roman" w:hAnsi="Times New Roman" w:cs="Times New Roman"/>
          <w:iCs/>
          <w:lang w:val="en-US"/>
        </w:rPr>
        <w:t xml:space="preserve"> Our </w:t>
      </w:r>
      <w:proofErr w:type="spellStart"/>
      <w:r w:rsidRPr="00A46B17">
        <w:rPr>
          <w:rFonts w:ascii="Times New Roman" w:hAnsi="Times New Roman" w:cs="Times New Roman"/>
          <w:iCs/>
          <w:lang w:val="en-US"/>
        </w:rPr>
        <w:t>organisations</w:t>
      </w:r>
      <w:proofErr w:type="spellEnd"/>
      <w:r w:rsidRPr="00A46B17">
        <w:rPr>
          <w:rFonts w:ascii="Times New Roman" w:hAnsi="Times New Roman" w:cs="Times New Roman"/>
          <w:iCs/>
          <w:lang w:val="en-US"/>
        </w:rPr>
        <w:t xml:space="preserve"> respectfully submit that the General Comment </w:t>
      </w:r>
      <w:r w:rsidR="00316381">
        <w:rPr>
          <w:rFonts w:ascii="Times New Roman" w:hAnsi="Times New Roman" w:cs="Times New Roman"/>
          <w:iCs/>
          <w:lang w:val="en-US"/>
        </w:rPr>
        <w:t xml:space="preserve">No. </w:t>
      </w:r>
      <w:r w:rsidRPr="00A46B17">
        <w:rPr>
          <w:rFonts w:ascii="Times New Roman" w:hAnsi="Times New Roman" w:cs="Times New Roman"/>
          <w:iCs/>
          <w:lang w:val="en-US"/>
        </w:rPr>
        <w:t xml:space="preserve">35 would be strengthened through the addition of a new paragraph to Section VII of the General Comment addressing specifically the issue of solitary confinement. Such an addition could follow current paragraph 59.  </w:t>
      </w:r>
    </w:p>
    <w:p w:rsidR="00E236BB" w:rsidRPr="00A46B17" w:rsidRDefault="00E236BB" w:rsidP="00720827">
      <w:pPr>
        <w:pStyle w:val="PlainText"/>
        <w:pBdr>
          <w:top w:val="single" w:sz="4" w:space="1" w:color="auto"/>
          <w:left w:val="single" w:sz="4" w:space="4" w:color="auto"/>
          <w:bottom w:val="single" w:sz="4" w:space="1" w:color="auto"/>
          <w:right w:val="single" w:sz="4" w:space="4" w:color="auto"/>
        </w:pBdr>
        <w:ind w:left="423"/>
        <w:jc w:val="both"/>
        <w:rPr>
          <w:rFonts w:ascii="Times New Roman" w:hAnsi="Times New Roman" w:cs="Times New Roman"/>
          <w:b/>
          <w:lang w:val="en-US"/>
        </w:rPr>
      </w:pPr>
    </w:p>
    <w:p w:rsidR="00E236BB" w:rsidRPr="00A46B17" w:rsidRDefault="00E236BB" w:rsidP="00720827">
      <w:pPr>
        <w:pStyle w:val="PlainText"/>
        <w:pBdr>
          <w:top w:val="single" w:sz="4" w:space="1" w:color="auto"/>
          <w:left w:val="single" w:sz="4" w:space="4" w:color="auto"/>
          <w:bottom w:val="single" w:sz="4" w:space="1" w:color="auto"/>
          <w:right w:val="single" w:sz="4" w:space="4" w:color="auto"/>
        </w:pBdr>
        <w:ind w:left="423"/>
        <w:jc w:val="both"/>
        <w:rPr>
          <w:rFonts w:ascii="Times New Roman" w:hAnsi="Times New Roman" w:cs="Times New Roman"/>
          <w:lang w:val="en-US"/>
        </w:rPr>
      </w:pPr>
      <w:r w:rsidRPr="00A46B17">
        <w:rPr>
          <w:rFonts w:ascii="Times New Roman" w:hAnsi="Times New Roman" w:cs="Times New Roman"/>
          <w:b/>
          <w:lang w:val="en-US"/>
        </w:rPr>
        <w:t>Suggested wording:</w:t>
      </w:r>
      <w:r w:rsidRPr="00A46B17">
        <w:rPr>
          <w:rFonts w:ascii="Times New Roman" w:hAnsi="Times New Roman" w:cs="Times New Roman"/>
          <w:lang w:val="en-US"/>
        </w:rPr>
        <w:t xml:space="preserve"> New paragraph. </w:t>
      </w:r>
      <w:r w:rsidRPr="00A46B17">
        <w:rPr>
          <w:rFonts w:ascii="Times New Roman" w:hAnsi="Times New Roman" w:cs="Times New Roman"/>
          <w:u w:val="single"/>
          <w:lang w:val="en-US"/>
        </w:rPr>
        <w:t>As the Committee has noted in General Comment 20, “prolonged solitary confinement of the detained or imprisoned person may amo</w:t>
      </w:r>
      <w:r w:rsidR="00D3761D">
        <w:rPr>
          <w:rFonts w:ascii="Times New Roman" w:hAnsi="Times New Roman" w:cs="Times New Roman"/>
          <w:u w:val="single"/>
          <w:lang w:val="en-US"/>
        </w:rPr>
        <w:t>unt to acts prohibited under A</w:t>
      </w:r>
      <w:r w:rsidRPr="00A46B17">
        <w:rPr>
          <w:rFonts w:ascii="Times New Roman" w:hAnsi="Times New Roman" w:cs="Times New Roman"/>
          <w:u w:val="single"/>
          <w:lang w:val="en-US"/>
        </w:rPr>
        <w:t xml:space="preserve">rticle 7.” Though not prohibited per se under the Covenant, the practice of </w:t>
      </w:r>
      <w:r w:rsidRPr="00A46B17">
        <w:rPr>
          <w:rFonts w:ascii="Times New Roman" w:hAnsi="Times New Roman" w:cs="Times New Roman"/>
          <w:iCs/>
          <w:u w:val="single"/>
          <w:lang w:val="en-US"/>
        </w:rPr>
        <w:t>solitary</w:t>
      </w:r>
      <w:r w:rsidRPr="00A46B17">
        <w:rPr>
          <w:rFonts w:ascii="Times New Roman" w:hAnsi="Times New Roman" w:cs="Times New Roman"/>
          <w:u w:val="single"/>
          <w:lang w:val="en-US"/>
        </w:rPr>
        <w:t xml:space="preserve"> confinement (which refers to the physical isolation of individuals who are confined to their cells for 22-24 hours a day and who are granted minimal contact with others</w:t>
      </w:r>
      <w:r w:rsidRPr="00A46B17">
        <w:rPr>
          <w:rStyle w:val="FootnoteReference"/>
          <w:rFonts w:cs="Times New Roman"/>
          <w:sz w:val="22"/>
          <w:u w:val="single"/>
          <w:lang w:val="en-US"/>
        </w:rPr>
        <w:footnoteReference w:id="123"/>
      </w:r>
      <w:r w:rsidRPr="00A46B17">
        <w:rPr>
          <w:rFonts w:ascii="Times New Roman" w:hAnsi="Times New Roman" w:cs="Times New Roman"/>
          <w:u w:val="single"/>
          <w:lang w:val="en-US"/>
        </w:rPr>
        <w:t>) for persons deprived of their liberty must be applied in such a manner so as to ensure the protection of their rights unde</w:t>
      </w:r>
      <w:r w:rsidR="00D3761D">
        <w:rPr>
          <w:rFonts w:ascii="Times New Roman" w:hAnsi="Times New Roman" w:cs="Times New Roman"/>
          <w:u w:val="single"/>
          <w:lang w:val="en-US"/>
        </w:rPr>
        <w:t>r A</w:t>
      </w:r>
      <w:r w:rsidRPr="00A46B17">
        <w:rPr>
          <w:rFonts w:ascii="Times New Roman" w:hAnsi="Times New Roman" w:cs="Times New Roman"/>
          <w:u w:val="single"/>
          <w:lang w:val="en-US"/>
        </w:rPr>
        <w:t>rticles 7 and 10 of the Covenant. More specifically, the practice of solitary confinement should be an exceptional measure of last resort used only in urgent necessity, which is strictly limited in duration and for the shortest possible time and subject to judicial control.</w:t>
      </w:r>
      <w:r w:rsidRPr="00A46B17">
        <w:rPr>
          <w:rStyle w:val="FootnoteReference"/>
          <w:rFonts w:cs="Times New Roman"/>
          <w:sz w:val="22"/>
          <w:u w:val="single"/>
          <w:lang w:val="en-US"/>
        </w:rPr>
        <w:footnoteReference w:id="124"/>
      </w:r>
      <w:r w:rsidRPr="00A46B17">
        <w:rPr>
          <w:rFonts w:ascii="Times New Roman" w:hAnsi="Times New Roman" w:cs="Times New Roman"/>
          <w:u w:val="single"/>
          <w:lang w:val="en-US"/>
        </w:rPr>
        <w:t xml:space="preserve">  Persons in solitary confinement should be under strict medical supervision.</w:t>
      </w:r>
      <w:r w:rsidRPr="00A46B17">
        <w:rPr>
          <w:rStyle w:val="FootnoteReference"/>
          <w:rFonts w:cs="Times New Roman"/>
          <w:sz w:val="22"/>
          <w:u w:val="single"/>
          <w:lang w:val="en-US"/>
        </w:rPr>
        <w:footnoteReference w:id="125"/>
      </w:r>
      <w:r w:rsidRPr="00A46B17">
        <w:rPr>
          <w:rFonts w:ascii="Times New Roman" w:hAnsi="Times New Roman" w:cs="Times New Roman"/>
          <w:u w:val="single"/>
          <w:lang w:val="en-US"/>
        </w:rPr>
        <w:t xml:space="preserve"> Minors below the </w:t>
      </w:r>
      <w:r w:rsidRPr="00A46B17">
        <w:rPr>
          <w:rFonts w:ascii="Times New Roman" w:hAnsi="Times New Roman" w:cs="Times New Roman"/>
          <w:u w:val="single"/>
          <w:lang w:val="en-US"/>
        </w:rPr>
        <w:lastRenderedPageBreak/>
        <w:t xml:space="preserve">age of 18 years and persons with mental disabilities should not be subjected to solitary confinement. </w:t>
      </w:r>
      <w:r w:rsidRPr="00A46B17">
        <w:rPr>
          <w:rStyle w:val="FootnoteReference"/>
          <w:rFonts w:cs="Times New Roman"/>
          <w:sz w:val="22"/>
          <w:u w:val="single"/>
          <w:lang w:val="en-US"/>
        </w:rPr>
        <w:footnoteReference w:id="126"/>
      </w:r>
      <w:r w:rsidRPr="00A46B17">
        <w:rPr>
          <w:rFonts w:ascii="Times New Roman" w:hAnsi="Times New Roman" w:cs="Times New Roman"/>
          <w:u w:val="single"/>
          <w:lang w:val="en-US"/>
        </w:rPr>
        <w:t xml:space="preserve"> The practice of indefinite and prolonged solitary confinement should be abolished.</w:t>
      </w:r>
      <w:r w:rsidRPr="00A46B17">
        <w:rPr>
          <w:rStyle w:val="FootnoteReference"/>
          <w:rFonts w:cs="Times New Roman"/>
          <w:sz w:val="22"/>
          <w:u w:val="single"/>
          <w:lang w:val="en-US"/>
        </w:rPr>
        <w:footnoteReference w:id="127"/>
      </w:r>
      <w:r w:rsidRPr="00A46B17">
        <w:rPr>
          <w:rFonts w:ascii="Times New Roman" w:hAnsi="Times New Roman" w:cs="Times New Roman"/>
          <w:lang w:val="en-US"/>
        </w:rPr>
        <w:t xml:space="preserve"> </w:t>
      </w:r>
    </w:p>
    <w:p w:rsidR="00E236BB" w:rsidRPr="00A46B17" w:rsidRDefault="00E236BB" w:rsidP="00720827">
      <w:pPr>
        <w:pStyle w:val="PlainText"/>
        <w:jc w:val="both"/>
        <w:rPr>
          <w:rFonts w:ascii="Times New Roman" w:hAnsi="Times New Roman" w:cs="Times New Roman"/>
          <w:lang w:val="en-CA"/>
        </w:rPr>
      </w:pPr>
    </w:p>
    <w:p w:rsidR="00E236BB" w:rsidRPr="00A46B17" w:rsidRDefault="00E236BB" w:rsidP="00720827">
      <w:pPr>
        <w:pStyle w:val="Heading2"/>
        <w:spacing w:before="0"/>
        <w:jc w:val="both"/>
        <w:rPr>
          <w:rFonts w:ascii="Times New Roman" w:hAnsi="Times New Roman" w:cs="Times New Roman"/>
          <w:color w:val="auto"/>
          <w:sz w:val="24"/>
          <w:szCs w:val="24"/>
          <w:lang w:val="en-US"/>
        </w:rPr>
      </w:pPr>
      <w:bookmarkStart w:id="75" w:name="_Toc388377565"/>
      <w:bookmarkStart w:id="76" w:name="_Toc388961690"/>
      <w:bookmarkStart w:id="77" w:name="_Toc389236161"/>
      <w:r w:rsidRPr="00A46B17">
        <w:rPr>
          <w:rFonts w:ascii="Times New Roman" w:hAnsi="Times New Roman" w:cs="Times New Roman"/>
          <w:color w:val="auto"/>
          <w:sz w:val="24"/>
          <w:szCs w:val="24"/>
          <w:lang w:val="en-US"/>
        </w:rPr>
        <w:t>Other forms of detention that may amount to torture or other ill-treatment</w:t>
      </w:r>
      <w:bookmarkEnd w:id="75"/>
      <w:bookmarkEnd w:id="76"/>
      <w:bookmarkEnd w:id="77"/>
    </w:p>
    <w:p w:rsidR="00E236BB" w:rsidRPr="00A46B17" w:rsidRDefault="00E236BB" w:rsidP="00887A4F">
      <w:pPr>
        <w:pStyle w:val="PlainText"/>
        <w:jc w:val="both"/>
        <w:rPr>
          <w:rFonts w:ascii="Times New Roman" w:hAnsi="Times New Roman" w:cs="Times New Roman"/>
          <w:b/>
          <w:i/>
          <w:lang w:val="en-CA"/>
        </w:rPr>
      </w:pPr>
    </w:p>
    <w:p w:rsidR="00E236BB" w:rsidRPr="00A46B17" w:rsidRDefault="00E236BB" w:rsidP="00720827">
      <w:pPr>
        <w:pStyle w:val="Heading3"/>
        <w:spacing w:before="0"/>
        <w:jc w:val="both"/>
        <w:rPr>
          <w:rFonts w:ascii="Times New Roman" w:hAnsi="Times New Roman" w:cs="Times New Roman"/>
          <w:i/>
          <w:color w:val="auto"/>
          <w:lang w:val="en-CA"/>
        </w:rPr>
      </w:pPr>
      <w:bookmarkStart w:id="78" w:name="_Toc388377566"/>
      <w:bookmarkStart w:id="79" w:name="_Toc388961691"/>
      <w:bookmarkStart w:id="80" w:name="_Toc389236162"/>
      <w:r w:rsidRPr="00A46B17">
        <w:rPr>
          <w:rFonts w:ascii="Times New Roman" w:hAnsi="Times New Roman" w:cs="Times New Roman"/>
          <w:i/>
          <w:color w:val="auto"/>
          <w:lang w:val="en-CA"/>
        </w:rPr>
        <w:t>Prolonged or arbitrary detention without the prospect of challenge, or indefinite detention without charge</w:t>
      </w:r>
      <w:bookmarkEnd w:id="78"/>
      <w:bookmarkEnd w:id="79"/>
      <w:bookmarkEnd w:id="80"/>
      <w:r w:rsidRPr="00A46B17">
        <w:rPr>
          <w:rFonts w:ascii="Times New Roman" w:hAnsi="Times New Roman" w:cs="Times New Roman"/>
          <w:i/>
          <w:color w:val="auto"/>
          <w:lang w:val="en-CA"/>
        </w:rPr>
        <w:t xml:space="preserve"> </w:t>
      </w:r>
    </w:p>
    <w:p w:rsidR="00E236BB" w:rsidRPr="00A46B17" w:rsidRDefault="00E236BB" w:rsidP="00887A4F">
      <w:pPr>
        <w:pStyle w:val="PlainText"/>
        <w:numPr>
          <w:ilvl w:val="0"/>
          <w:numId w:val="37"/>
        </w:numPr>
        <w:ind w:left="360"/>
        <w:jc w:val="both"/>
        <w:rPr>
          <w:rFonts w:ascii="Times New Roman" w:hAnsi="Times New Roman" w:cs="Times New Roman"/>
          <w:lang w:val="en-CA"/>
        </w:rPr>
      </w:pPr>
      <w:r w:rsidRPr="00A46B17">
        <w:rPr>
          <w:rFonts w:ascii="Times New Roman" w:hAnsi="Times New Roman" w:cs="Times New Roman"/>
          <w:lang w:val="en-CA"/>
        </w:rPr>
        <w:t xml:space="preserve">The </w:t>
      </w:r>
      <w:r w:rsidRPr="00A46B17">
        <w:rPr>
          <w:rFonts w:ascii="Times New Roman" w:hAnsi="Times New Roman" w:cs="Times New Roman"/>
          <w:lang w:val="en-US"/>
        </w:rPr>
        <w:t>Committee</w:t>
      </w:r>
      <w:r w:rsidRPr="00A46B17">
        <w:rPr>
          <w:rFonts w:ascii="Times New Roman" w:hAnsi="Times New Roman" w:cs="Times New Roman"/>
          <w:lang w:val="en-CA"/>
        </w:rPr>
        <w:t xml:space="preserve"> recently found in views adopted in the Optional Protocol procedure concerning Australia that arbitrary detention of a number of asylum seekers also amounted to a violation of Article 7.</w:t>
      </w:r>
      <w:r w:rsidRPr="00A46B17">
        <w:rPr>
          <w:rStyle w:val="FootnoteReference"/>
          <w:rFonts w:cs="Times New Roman"/>
          <w:sz w:val="22"/>
          <w:lang w:val="en-CA"/>
        </w:rPr>
        <w:footnoteReference w:id="128"/>
      </w:r>
      <w:r w:rsidRPr="00A46B17">
        <w:rPr>
          <w:rFonts w:ascii="Times New Roman" w:hAnsi="Times New Roman" w:cs="Times New Roman"/>
          <w:lang w:val="en-CA"/>
        </w:rPr>
        <w:t xml:space="preserve"> The Committee found that “the combination of the arbitrary character of the authors’ detention, its protracted and/or indefinite duration, the refusal to provide information and procedural rights to the authors and the difficult conditions of detention are cumulatively inflicting serious psychological harm upon them, and constitute treatment contrary to Article 7 of the Covenant”.</w:t>
      </w:r>
      <w:r w:rsidRPr="00A46B17">
        <w:rPr>
          <w:rStyle w:val="FootnoteReference"/>
          <w:rFonts w:cs="Times New Roman"/>
          <w:sz w:val="22"/>
          <w:lang w:val="en-CA"/>
        </w:rPr>
        <w:footnoteReference w:id="129"/>
      </w:r>
      <w:r w:rsidRPr="00A46B17">
        <w:rPr>
          <w:rFonts w:ascii="Times New Roman" w:hAnsi="Times New Roman" w:cs="Times New Roman"/>
          <w:lang w:val="en-CA"/>
        </w:rPr>
        <w:t xml:space="preserve"> UN Special Procedures mandate holders have also taken a similar view in relation to detention by the United States at </w:t>
      </w:r>
      <w:proofErr w:type="spellStart"/>
      <w:r w:rsidRPr="00A46B17">
        <w:rPr>
          <w:rFonts w:ascii="Times New Roman" w:hAnsi="Times New Roman" w:cs="Times New Roman"/>
          <w:lang w:val="en-CA"/>
        </w:rPr>
        <w:t>Guant</w:t>
      </w:r>
      <w:proofErr w:type="spellEnd"/>
      <w:r w:rsidRPr="00A46B17">
        <w:rPr>
          <w:rFonts w:ascii="Times New Roman" w:hAnsi="Times New Roman" w:cs="Times New Roman"/>
          <w:lang w:val="en-GB"/>
        </w:rPr>
        <w:t>á</w:t>
      </w:r>
      <w:proofErr w:type="spellStart"/>
      <w:r w:rsidRPr="00A46B17">
        <w:rPr>
          <w:rFonts w:ascii="Times New Roman" w:hAnsi="Times New Roman" w:cs="Times New Roman"/>
          <w:lang w:val="en-CA"/>
        </w:rPr>
        <w:t>namo</w:t>
      </w:r>
      <w:proofErr w:type="spellEnd"/>
      <w:r w:rsidRPr="00A46B17">
        <w:rPr>
          <w:rFonts w:ascii="Times New Roman" w:hAnsi="Times New Roman" w:cs="Times New Roman"/>
          <w:lang w:val="en-CA"/>
        </w:rPr>
        <w:t xml:space="preserve"> Bay, finding that “</w:t>
      </w:r>
      <w:r w:rsidRPr="00A46B17">
        <w:rPr>
          <w:rFonts w:ascii="Times New Roman" w:hAnsi="Times New Roman" w:cs="Times New Roman"/>
          <w:bCs/>
          <w:lang w:val="en-US"/>
        </w:rPr>
        <w:t>the general conditions of detention, in particular the uncertainty about the length of detention and prolonged solitary confinement, amount to inhuman treatment…”.</w:t>
      </w:r>
      <w:r w:rsidRPr="00A46B17">
        <w:rPr>
          <w:rStyle w:val="FootnoteReference"/>
          <w:rFonts w:cs="Times New Roman"/>
          <w:bCs/>
          <w:sz w:val="22"/>
          <w:lang w:val="en-US"/>
        </w:rPr>
        <w:footnoteReference w:id="130"/>
      </w:r>
      <w:r w:rsidRPr="00A46B17">
        <w:rPr>
          <w:rFonts w:ascii="Times New Roman" w:hAnsi="Times New Roman" w:cs="Times New Roman"/>
          <w:lang w:val="en-CA"/>
        </w:rPr>
        <w:t xml:space="preserve"> </w:t>
      </w:r>
    </w:p>
    <w:p w:rsidR="00E236BB" w:rsidRPr="00A46B17" w:rsidRDefault="00E236BB" w:rsidP="00D3761D">
      <w:pPr>
        <w:pStyle w:val="PlainText"/>
        <w:ind w:left="360"/>
        <w:jc w:val="both"/>
        <w:rPr>
          <w:rFonts w:ascii="Times New Roman" w:hAnsi="Times New Roman" w:cs="Times New Roman"/>
          <w:lang w:val="en-CA"/>
        </w:rPr>
      </w:pPr>
    </w:p>
    <w:p w:rsidR="00E236BB" w:rsidRPr="00A46B17" w:rsidRDefault="00E236BB" w:rsidP="00D3761D">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CA"/>
        </w:rPr>
        <w:t xml:space="preserve">The </w:t>
      </w:r>
      <w:r w:rsidRPr="00A46B17">
        <w:rPr>
          <w:rFonts w:ascii="Times New Roman" w:hAnsi="Times New Roman" w:cs="Times New Roman"/>
          <w:lang w:val="en-US"/>
        </w:rPr>
        <w:t>Committee</w:t>
      </w:r>
      <w:r w:rsidRPr="00A46B17">
        <w:rPr>
          <w:rFonts w:ascii="Times New Roman" w:hAnsi="Times New Roman" w:cs="Times New Roman"/>
          <w:lang w:val="en-CA"/>
        </w:rPr>
        <w:t xml:space="preserve"> </w:t>
      </w:r>
      <w:proofErr w:type="gramStart"/>
      <w:r w:rsidRPr="00A46B17">
        <w:rPr>
          <w:rFonts w:ascii="Times New Roman" w:hAnsi="Times New Roman" w:cs="Times New Roman"/>
          <w:lang w:val="en-CA"/>
        </w:rPr>
        <w:t>Against</w:t>
      </w:r>
      <w:proofErr w:type="gramEnd"/>
      <w:r w:rsidRPr="00A46B17">
        <w:rPr>
          <w:rFonts w:ascii="Times New Roman" w:hAnsi="Times New Roman" w:cs="Times New Roman"/>
          <w:lang w:val="en-CA"/>
        </w:rPr>
        <w:t xml:space="preserve"> Torture has also stressed that detaining persons indefinitely without charge “constitutes </w:t>
      </w:r>
      <w:r w:rsidRPr="00A46B17">
        <w:rPr>
          <w:rFonts w:ascii="Times New Roman" w:hAnsi="Times New Roman" w:cs="Times New Roman"/>
          <w:i/>
          <w:lang w:val="en-CA"/>
        </w:rPr>
        <w:t>per se</w:t>
      </w:r>
      <w:r w:rsidRPr="00A46B17">
        <w:rPr>
          <w:rFonts w:ascii="Times New Roman" w:hAnsi="Times New Roman" w:cs="Times New Roman"/>
          <w:lang w:val="en-CA"/>
        </w:rPr>
        <w:t xml:space="preserve"> a violation of th</w:t>
      </w:r>
      <w:r w:rsidR="000F0C3B">
        <w:rPr>
          <w:rFonts w:ascii="Times New Roman" w:hAnsi="Times New Roman" w:cs="Times New Roman"/>
          <w:lang w:val="en-CA"/>
        </w:rPr>
        <w:t>e Convention [a</w:t>
      </w:r>
      <w:r w:rsidRPr="00A46B17">
        <w:rPr>
          <w:rFonts w:ascii="Times New Roman" w:hAnsi="Times New Roman" w:cs="Times New Roman"/>
          <w:lang w:val="en-CA"/>
        </w:rPr>
        <w:t>gainst Torture]”</w:t>
      </w:r>
      <w:r w:rsidRPr="00A46B17">
        <w:rPr>
          <w:rFonts w:ascii="Times New Roman" w:hAnsi="Times New Roman" w:cs="Times New Roman"/>
          <w:lang w:val="en-US"/>
        </w:rPr>
        <w:t>.</w:t>
      </w:r>
      <w:r w:rsidRPr="00A46B17">
        <w:rPr>
          <w:rStyle w:val="FootnoteReference"/>
          <w:rFonts w:cs="Times New Roman"/>
          <w:sz w:val="22"/>
        </w:rPr>
        <w:footnoteReference w:id="131"/>
      </w:r>
      <w:r w:rsidRPr="00A46B17">
        <w:rPr>
          <w:rFonts w:ascii="Times New Roman" w:hAnsi="Times New Roman" w:cs="Times New Roman"/>
          <w:lang w:val="en-US"/>
        </w:rPr>
        <w:t xml:space="preserve"> </w:t>
      </w:r>
    </w:p>
    <w:p w:rsidR="00E236BB" w:rsidRPr="00A46B17" w:rsidRDefault="00E236BB" w:rsidP="00720827">
      <w:pPr>
        <w:pStyle w:val="PlainText"/>
        <w:jc w:val="both"/>
        <w:rPr>
          <w:rFonts w:ascii="Times New Roman" w:hAnsi="Times New Roman" w:cs="Times New Roman"/>
          <w:b/>
          <w:i/>
          <w:lang w:val="en-CA"/>
        </w:rPr>
      </w:pPr>
    </w:p>
    <w:p w:rsidR="00E236BB" w:rsidRPr="00A46B17" w:rsidRDefault="00E236BB" w:rsidP="00720827">
      <w:pPr>
        <w:pStyle w:val="Heading3"/>
        <w:spacing w:before="0"/>
        <w:jc w:val="both"/>
        <w:rPr>
          <w:rFonts w:ascii="Times New Roman" w:hAnsi="Times New Roman" w:cs="Times New Roman"/>
          <w:i/>
          <w:color w:val="auto"/>
          <w:lang w:val="en-CA"/>
        </w:rPr>
      </w:pPr>
      <w:bookmarkStart w:id="81" w:name="_Toc388961692"/>
      <w:bookmarkStart w:id="82" w:name="_Toc389236163"/>
      <w:r w:rsidRPr="00A46B17">
        <w:rPr>
          <w:rFonts w:ascii="Times New Roman" w:hAnsi="Times New Roman" w:cs="Times New Roman"/>
          <w:i/>
          <w:color w:val="auto"/>
          <w:lang w:val="en-CA"/>
        </w:rPr>
        <w:t>Detention of particularly vulnerable individuals, with particular reference to torture survivors</w:t>
      </w:r>
      <w:bookmarkEnd w:id="81"/>
      <w:bookmarkEnd w:id="82"/>
    </w:p>
    <w:p w:rsidR="00E236BB" w:rsidRPr="00A46B17" w:rsidRDefault="00E236BB" w:rsidP="00887A4F">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Research </w:t>
      </w:r>
      <w:r w:rsidRPr="00A46B17">
        <w:rPr>
          <w:rFonts w:ascii="Times New Roman" w:hAnsi="Times New Roman" w:cs="Times New Roman"/>
          <w:lang w:val="es-MX"/>
        </w:rPr>
        <w:t>shows</w:t>
      </w:r>
      <w:r w:rsidRPr="00A46B17">
        <w:rPr>
          <w:rFonts w:ascii="Times New Roman" w:hAnsi="Times New Roman" w:cs="Times New Roman"/>
          <w:lang w:val="en-US"/>
        </w:rPr>
        <w:t xml:space="preserve"> that detention or imprisonment of asylum seekers has widespread and seriously damaging effects on the mental (and sometimes physical) health of those incarcerated.</w:t>
      </w:r>
      <w:r w:rsidRPr="00A46B17">
        <w:rPr>
          <w:rStyle w:val="FootnoteReference"/>
          <w:rFonts w:cs="Times New Roman"/>
          <w:sz w:val="22"/>
        </w:rPr>
        <w:footnoteReference w:id="132"/>
      </w:r>
      <w:r w:rsidRPr="00A46B17">
        <w:rPr>
          <w:rFonts w:ascii="Times New Roman" w:hAnsi="Times New Roman" w:cs="Times New Roman"/>
          <w:lang w:val="en-US"/>
        </w:rPr>
        <w:t xml:space="preserve"> Imprisonment can be particularly damaging to those who are already psychologically vulnerable because of past trauma, such as torture.</w:t>
      </w:r>
      <w:r w:rsidRPr="00A46B17">
        <w:rPr>
          <w:rStyle w:val="FootnoteReference"/>
          <w:rFonts w:cs="Times New Roman"/>
          <w:sz w:val="22"/>
        </w:rPr>
        <w:footnoteReference w:id="133"/>
      </w:r>
      <w:r w:rsidRPr="00A46B17">
        <w:rPr>
          <w:rFonts w:ascii="Times New Roman" w:hAnsi="Times New Roman" w:cs="Times New Roman"/>
          <w:lang w:val="en-US"/>
        </w:rPr>
        <w:t xml:space="preserve"> In this regard, the UN Special Rapporteur on </w:t>
      </w:r>
      <w:r w:rsidR="000F0C3B">
        <w:rPr>
          <w:rFonts w:ascii="Times New Roman" w:hAnsi="Times New Roman" w:cs="Times New Roman"/>
          <w:lang w:val="en-US"/>
        </w:rPr>
        <w:t>the human r</w:t>
      </w:r>
      <w:r w:rsidR="008B77ED">
        <w:rPr>
          <w:rFonts w:ascii="Times New Roman" w:hAnsi="Times New Roman" w:cs="Times New Roman"/>
          <w:lang w:val="en-US"/>
        </w:rPr>
        <w:t xml:space="preserve">ights of </w:t>
      </w:r>
      <w:r w:rsidR="000F0C3B">
        <w:rPr>
          <w:rFonts w:ascii="Times New Roman" w:hAnsi="Times New Roman" w:cs="Times New Roman"/>
          <w:lang w:val="en-US"/>
        </w:rPr>
        <w:t>m</w:t>
      </w:r>
      <w:r w:rsidRPr="00A46B17">
        <w:rPr>
          <w:rFonts w:ascii="Times New Roman" w:hAnsi="Times New Roman" w:cs="Times New Roman"/>
          <w:lang w:val="en-US"/>
        </w:rPr>
        <w:t>igrants has pointed out that “</w:t>
      </w:r>
      <w:r w:rsidR="00887A4F">
        <w:rPr>
          <w:rFonts w:ascii="Times New Roman" w:hAnsi="Times New Roman" w:cs="Times New Roman"/>
          <w:lang w:val="en-US"/>
        </w:rPr>
        <w:t>[</w:t>
      </w:r>
      <w:r w:rsidR="00887A4F" w:rsidRPr="00720827">
        <w:rPr>
          <w:rFonts w:ascii="Times New Roman" w:hAnsi="Times New Roman" w:cs="Times New Roman"/>
          <w:sz w:val="24"/>
          <w:lang w:val="en-US"/>
        </w:rPr>
        <w:t>d</w:t>
      </w:r>
      <w:r w:rsidRPr="00720827">
        <w:rPr>
          <w:rFonts w:ascii="Times New Roman" w:hAnsi="Times New Roman" w:cs="Times New Roman"/>
          <w:sz w:val="24"/>
          <w:lang w:val="en-US"/>
        </w:rPr>
        <w:t>etention</w:t>
      </w:r>
      <w:r w:rsidRPr="00A46B17">
        <w:rPr>
          <w:rFonts w:ascii="Times New Roman" w:hAnsi="Times New Roman" w:cs="Times New Roman"/>
          <w:lang w:val="en-US"/>
        </w:rPr>
        <w:t xml:space="preserve"> can be particularly damaging to vulnerable categories of migrants, including victims of torture, unaccompanied older persons, persons with a mental or physical disability, and persons living with HIV/AIDS.”</w:t>
      </w:r>
      <w:r w:rsidRPr="00A46B17">
        <w:rPr>
          <w:rStyle w:val="FootnoteReference"/>
          <w:rFonts w:cs="Times New Roman"/>
          <w:lang w:val="en-US"/>
        </w:rPr>
        <w:footnoteReference w:id="134"/>
      </w:r>
      <w:r w:rsidRPr="00A46B17">
        <w:rPr>
          <w:rFonts w:ascii="Times New Roman" w:hAnsi="Times New Roman" w:cs="Times New Roman"/>
          <w:lang w:val="en-US"/>
        </w:rPr>
        <w:t xml:space="preserve"> </w:t>
      </w:r>
    </w:p>
    <w:p w:rsidR="00E236BB" w:rsidRPr="00A46B17" w:rsidRDefault="00E236BB" w:rsidP="00720827">
      <w:pPr>
        <w:pStyle w:val="ListParagraph"/>
        <w:jc w:val="both"/>
        <w:rPr>
          <w:lang w:val="en-US"/>
        </w:rPr>
      </w:pPr>
    </w:p>
    <w:p w:rsidR="00E236BB" w:rsidRPr="00A46B17" w:rsidRDefault="00E236BB" w:rsidP="00887A4F">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lastRenderedPageBreak/>
        <w:t xml:space="preserve">The potential for additional trauma, and the steps that must be taken to prevent this by ensuring that torture survivors are identified and only detained in exceptional circumstances, has been </w:t>
      </w:r>
      <w:proofErr w:type="spellStart"/>
      <w:r w:rsidRPr="00A46B17">
        <w:rPr>
          <w:rFonts w:ascii="Times New Roman" w:hAnsi="Times New Roman" w:cs="Times New Roman"/>
          <w:lang w:val="en-US"/>
        </w:rPr>
        <w:t>recognised</w:t>
      </w:r>
      <w:proofErr w:type="spellEnd"/>
      <w:r w:rsidRPr="00A46B17">
        <w:rPr>
          <w:rFonts w:ascii="Times New Roman" w:hAnsi="Times New Roman" w:cs="Times New Roman"/>
          <w:lang w:val="en-US"/>
        </w:rPr>
        <w:t xml:space="preserve"> both by international human rights bodies, and by national governments.</w:t>
      </w:r>
      <w:r w:rsidRPr="00A46B17">
        <w:rPr>
          <w:rStyle w:val="FootnoteReference"/>
          <w:rFonts w:cs="Times New Roman"/>
          <w:sz w:val="22"/>
        </w:rPr>
        <w:footnoteReference w:id="135"/>
      </w:r>
      <w:r w:rsidRPr="00A46B17">
        <w:rPr>
          <w:rFonts w:ascii="Times New Roman" w:hAnsi="Times New Roman" w:cs="Times New Roman"/>
          <w:lang w:val="en-US"/>
        </w:rPr>
        <w:t xml:space="preserve"> For example, the Inter-American Court of Human Rights and Inter-American Commission on Human Rights have </w:t>
      </w:r>
      <w:proofErr w:type="spellStart"/>
      <w:r w:rsidRPr="00A46B17">
        <w:rPr>
          <w:rFonts w:ascii="Times New Roman" w:hAnsi="Times New Roman" w:cs="Times New Roman"/>
          <w:lang w:val="en-US"/>
        </w:rPr>
        <w:t>recognised</w:t>
      </w:r>
      <w:proofErr w:type="spellEnd"/>
      <w:r w:rsidRPr="00A46B17">
        <w:rPr>
          <w:rFonts w:ascii="Times New Roman" w:hAnsi="Times New Roman" w:cs="Times New Roman"/>
          <w:lang w:val="en-US"/>
        </w:rPr>
        <w:t xml:space="preserve"> that special measures must be taken to protect vulnerable people when their liberty is at stake.</w:t>
      </w:r>
      <w:r w:rsidRPr="00A46B17">
        <w:rPr>
          <w:rStyle w:val="FootnoteReference"/>
          <w:rFonts w:cs="Times New Roman"/>
          <w:sz w:val="22"/>
        </w:rPr>
        <w:footnoteReference w:id="136"/>
      </w:r>
      <w:r w:rsidRPr="00A46B17">
        <w:rPr>
          <w:rFonts w:ascii="Times New Roman" w:hAnsi="Times New Roman" w:cs="Times New Roman"/>
          <w:lang w:val="en-US"/>
        </w:rPr>
        <w:t xml:space="preserve"> Similarly, Guideline 9 of the UNHCR 2012 Revised Guidelines on Applicable Criteria and Standards Relating to the Detention of Asylum-seekers provides that: </w:t>
      </w:r>
    </w:p>
    <w:p w:rsidR="00E236BB" w:rsidRPr="00A46B17" w:rsidRDefault="00E236BB" w:rsidP="00720827">
      <w:pPr>
        <w:pStyle w:val="ListParagraph"/>
        <w:jc w:val="both"/>
        <w:rPr>
          <w:sz w:val="22"/>
          <w:szCs w:val="22"/>
          <w:lang w:val="en-US"/>
        </w:rPr>
      </w:pPr>
    </w:p>
    <w:p w:rsidR="00E236BB" w:rsidRPr="00A46B17" w:rsidRDefault="00E236BB" w:rsidP="00720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imes New Roman" w:hAnsi="Times New Roman" w:cs="Times New Roman"/>
          <w:sz w:val="22"/>
          <w:szCs w:val="22"/>
          <w:lang w:val="en-US"/>
        </w:rPr>
      </w:pPr>
      <w:r w:rsidRPr="00A46B17">
        <w:rPr>
          <w:rFonts w:ascii="Times New Roman" w:hAnsi="Times New Roman" w:cs="Times New Roman"/>
          <w:sz w:val="22"/>
          <w:szCs w:val="22"/>
          <w:lang w:val="en-US"/>
        </w:rPr>
        <w:t>[v]</w:t>
      </w:r>
      <w:proofErr w:type="spellStart"/>
      <w:r w:rsidRPr="00A46B17">
        <w:rPr>
          <w:rFonts w:ascii="Times New Roman" w:hAnsi="Times New Roman" w:cs="Times New Roman"/>
          <w:sz w:val="22"/>
          <w:szCs w:val="22"/>
          <w:lang w:val="en-US"/>
        </w:rPr>
        <w:t>ictims</w:t>
      </w:r>
      <w:proofErr w:type="spellEnd"/>
      <w:r w:rsidRPr="00A46B17">
        <w:rPr>
          <w:rFonts w:ascii="Times New Roman" w:hAnsi="Times New Roman" w:cs="Times New Roman"/>
          <w:sz w:val="22"/>
          <w:szCs w:val="22"/>
          <w:lang w:val="en-US"/>
        </w:rPr>
        <w:t xml:space="preserve"> of torture and other serious physical, psychological or sexual violence also need special attention and should generally not be detained…. Detention can and has been shown to aggravate and even cause the aforementioned illnesses and symptoms.</w:t>
      </w:r>
      <w:r w:rsidRPr="00A46B17">
        <w:rPr>
          <w:rStyle w:val="FootnoteReference"/>
          <w:rFonts w:cs="Times New Roman"/>
          <w:sz w:val="22"/>
          <w:szCs w:val="22"/>
        </w:rPr>
        <w:footnoteReference w:id="137"/>
      </w:r>
    </w:p>
    <w:p w:rsidR="00E236BB" w:rsidRPr="00A46B17" w:rsidRDefault="00E236BB" w:rsidP="00887A4F">
      <w:pPr>
        <w:pStyle w:val="PlainText"/>
        <w:ind w:left="360"/>
        <w:jc w:val="both"/>
        <w:rPr>
          <w:rFonts w:ascii="Times New Roman" w:hAnsi="Times New Roman" w:cs="Times New Roman"/>
          <w:lang w:val="en-US"/>
        </w:rPr>
      </w:pPr>
    </w:p>
    <w:p w:rsidR="00E236BB" w:rsidRPr="00A46B17" w:rsidRDefault="00E236BB" w:rsidP="00D3761D">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International human rights bodies have </w:t>
      </w:r>
      <w:proofErr w:type="spellStart"/>
      <w:r w:rsidRPr="00A46B17">
        <w:rPr>
          <w:rFonts w:ascii="Times New Roman" w:hAnsi="Times New Roman" w:cs="Times New Roman"/>
          <w:lang w:val="en-US"/>
        </w:rPr>
        <w:t>recognised</w:t>
      </w:r>
      <w:proofErr w:type="spellEnd"/>
      <w:r w:rsidRPr="00A46B17">
        <w:rPr>
          <w:rFonts w:ascii="Times New Roman" w:hAnsi="Times New Roman" w:cs="Times New Roman"/>
          <w:lang w:val="en-US"/>
        </w:rPr>
        <w:t xml:space="preserve"> that the additional trauma caused to a torture survivor by imprisonment or detention can be of such gravity that it may amount to inhuman or degrading treatment. In </w:t>
      </w:r>
      <w:r w:rsidRPr="00A46B17">
        <w:rPr>
          <w:rFonts w:ascii="Times New Roman" w:hAnsi="Times New Roman" w:cs="Times New Roman"/>
          <w:i/>
          <w:lang w:val="en-US"/>
        </w:rPr>
        <w:t>A v</w:t>
      </w:r>
      <w:r w:rsidR="00DB4BD3">
        <w:rPr>
          <w:rFonts w:ascii="Times New Roman" w:hAnsi="Times New Roman" w:cs="Times New Roman"/>
          <w:i/>
          <w:lang w:val="en-US"/>
        </w:rPr>
        <w:t>.</w:t>
      </w:r>
      <w:r w:rsidRPr="00A46B17">
        <w:rPr>
          <w:rFonts w:ascii="Times New Roman" w:hAnsi="Times New Roman" w:cs="Times New Roman"/>
          <w:i/>
          <w:lang w:val="en-US"/>
        </w:rPr>
        <w:t xml:space="preserve"> The Netherlands</w:t>
      </w:r>
      <w:r w:rsidRPr="00A46B17">
        <w:rPr>
          <w:rFonts w:ascii="Times New Roman" w:hAnsi="Times New Roman" w:cs="Times New Roman"/>
          <w:lang w:val="en-US"/>
        </w:rPr>
        <w:t xml:space="preserve"> the Committee </w:t>
      </w:r>
      <w:r w:rsidR="000F0C3B">
        <w:rPr>
          <w:rFonts w:ascii="Times New Roman" w:hAnsi="Times New Roman" w:cs="Times New Roman"/>
          <w:lang w:val="en-US"/>
        </w:rPr>
        <w:t>a</w:t>
      </w:r>
      <w:r w:rsidRPr="00A46B17">
        <w:rPr>
          <w:rFonts w:ascii="Times New Roman" w:hAnsi="Times New Roman" w:cs="Times New Roman"/>
          <w:lang w:val="en-US"/>
        </w:rPr>
        <w:t>gainst Torture expressed its concern that</w:t>
      </w:r>
    </w:p>
    <w:p w:rsidR="00E236BB" w:rsidRPr="00A46B17" w:rsidRDefault="00E236BB" w:rsidP="00720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en-US"/>
        </w:rPr>
      </w:pPr>
    </w:p>
    <w:p w:rsidR="00E236BB" w:rsidRPr="00A46B17" w:rsidRDefault="00E236BB" w:rsidP="00720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Times New Roman" w:hAnsi="Times New Roman" w:cs="Times New Roman"/>
          <w:sz w:val="22"/>
          <w:szCs w:val="22"/>
          <w:lang w:val="en-US"/>
        </w:rPr>
      </w:pPr>
      <w:proofErr w:type="gramStart"/>
      <w:r w:rsidRPr="00A46B17">
        <w:rPr>
          <w:rFonts w:ascii="Times New Roman" w:hAnsi="Times New Roman" w:cs="Times New Roman"/>
          <w:sz w:val="22"/>
          <w:szCs w:val="22"/>
          <w:lang w:val="en-US"/>
        </w:rPr>
        <w:t>the</w:t>
      </w:r>
      <w:proofErr w:type="gramEnd"/>
      <w:r w:rsidRPr="00A46B17">
        <w:rPr>
          <w:rFonts w:ascii="Times New Roman" w:hAnsi="Times New Roman" w:cs="Times New Roman"/>
          <w:sz w:val="22"/>
          <w:szCs w:val="22"/>
          <w:lang w:val="en-US"/>
        </w:rPr>
        <w:t xml:space="preserve"> author has been held in detention since his arrival in the Netherlands on 24 November 1988, i.e. only two months after he was alleged</w:t>
      </w:r>
      <w:r w:rsidRPr="00A46B17">
        <w:rPr>
          <w:rFonts w:ascii="Times New Roman" w:hAnsi="Times New Roman" w:cs="Times New Roman"/>
          <w:sz w:val="22"/>
          <w:szCs w:val="22"/>
          <w:lang w:val="en-US"/>
        </w:rPr>
        <w:softHyphen/>
        <w:t>ly tortured. The Committee considers that if torture did indeed take place, the fact of keeping him in detention for such a prolonged period could have an aggravating effect on his mental health and ultima</w:t>
      </w:r>
      <w:r w:rsidRPr="00A46B17">
        <w:rPr>
          <w:rFonts w:ascii="Times New Roman" w:hAnsi="Times New Roman" w:cs="Times New Roman"/>
          <w:sz w:val="22"/>
          <w:szCs w:val="22"/>
          <w:lang w:val="en-US"/>
        </w:rPr>
        <w:softHyphen/>
        <w:t>tely amount to cruel or inhuman treatment.</w:t>
      </w:r>
      <w:r w:rsidRPr="00A46B17">
        <w:rPr>
          <w:rStyle w:val="FootnoteReference"/>
          <w:rFonts w:cs="Times New Roman"/>
          <w:sz w:val="22"/>
          <w:szCs w:val="22"/>
        </w:rPr>
        <w:footnoteReference w:id="138"/>
      </w:r>
    </w:p>
    <w:p w:rsidR="00E236BB" w:rsidRPr="00A46B17" w:rsidRDefault="00E236BB" w:rsidP="007208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Times New Roman" w:hAnsi="Times New Roman" w:cs="Times New Roman"/>
          <w:sz w:val="22"/>
          <w:szCs w:val="22"/>
          <w:lang w:val="en-US"/>
        </w:rPr>
      </w:pPr>
    </w:p>
    <w:p w:rsidR="00E236BB" w:rsidRPr="00A46B17" w:rsidRDefault="00E236BB" w:rsidP="00887A4F">
      <w:pPr>
        <w:pStyle w:val="PlainText"/>
        <w:numPr>
          <w:ilvl w:val="0"/>
          <w:numId w:val="37"/>
        </w:numPr>
        <w:ind w:left="360"/>
        <w:jc w:val="both"/>
        <w:rPr>
          <w:rFonts w:ascii="Times New Roman" w:hAnsi="Times New Roman" w:cs="Times New Roman"/>
          <w:lang w:val="en-CA"/>
        </w:rPr>
      </w:pPr>
      <w:r w:rsidRPr="00A46B17">
        <w:rPr>
          <w:rFonts w:ascii="Times New Roman" w:hAnsi="Times New Roman" w:cs="Times New Roman"/>
          <w:lang w:val="en-CA"/>
        </w:rPr>
        <w:t xml:space="preserve">The Special Rapporteur on the </w:t>
      </w:r>
      <w:r w:rsidR="00887A4F">
        <w:rPr>
          <w:rFonts w:ascii="Times New Roman" w:hAnsi="Times New Roman" w:cs="Times New Roman"/>
          <w:lang w:val="en-CA"/>
        </w:rPr>
        <w:t>h</w:t>
      </w:r>
      <w:r w:rsidRPr="00A46B17">
        <w:rPr>
          <w:rFonts w:ascii="Times New Roman" w:hAnsi="Times New Roman" w:cs="Times New Roman"/>
          <w:lang w:val="en-CA"/>
        </w:rPr>
        <w:t xml:space="preserve">uman </w:t>
      </w:r>
      <w:r w:rsidR="00887A4F">
        <w:rPr>
          <w:rFonts w:ascii="Times New Roman" w:hAnsi="Times New Roman" w:cs="Times New Roman"/>
          <w:lang w:val="en-CA"/>
        </w:rPr>
        <w:t>r</w:t>
      </w:r>
      <w:r w:rsidRPr="00A46B17">
        <w:rPr>
          <w:rFonts w:ascii="Times New Roman" w:hAnsi="Times New Roman" w:cs="Times New Roman"/>
          <w:lang w:val="en-CA"/>
        </w:rPr>
        <w:t xml:space="preserve">ights of </w:t>
      </w:r>
      <w:r w:rsidR="00887A4F">
        <w:rPr>
          <w:rFonts w:ascii="Times New Roman" w:hAnsi="Times New Roman" w:cs="Times New Roman"/>
          <w:lang w:val="en-CA"/>
        </w:rPr>
        <w:t>m</w:t>
      </w:r>
      <w:r w:rsidRPr="00A46B17">
        <w:rPr>
          <w:rFonts w:ascii="Times New Roman" w:hAnsi="Times New Roman" w:cs="Times New Roman"/>
          <w:lang w:val="en-CA"/>
        </w:rPr>
        <w:t>igrants has also recognised that “[v]</w:t>
      </w:r>
      <w:proofErr w:type="spellStart"/>
      <w:r w:rsidRPr="00A46B17">
        <w:rPr>
          <w:rFonts w:ascii="Times New Roman" w:hAnsi="Times New Roman" w:cs="Times New Roman"/>
          <w:lang w:val="en-CA"/>
        </w:rPr>
        <w:t>ictims</w:t>
      </w:r>
      <w:proofErr w:type="spellEnd"/>
      <w:r w:rsidRPr="00A46B17">
        <w:rPr>
          <w:rFonts w:ascii="Times New Roman" w:hAnsi="Times New Roman" w:cs="Times New Roman"/>
          <w:lang w:val="en-CA"/>
        </w:rPr>
        <w:t xml:space="preserve"> of torture are already psychologically vulnerable due to the trauma they have experienced and detention of victims of torture may in itself amount to inhuman and degrading treatment”.</w:t>
      </w:r>
      <w:r w:rsidRPr="00A46B17">
        <w:rPr>
          <w:rStyle w:val="FootnoteReference"/>
          <w:rFonts w:cs="Times New Roman"/>
          <w:sz w:val="22"/>
          <w:lang w:val="en-CA"/>
        </w:rPr>
        <w:footnoteReference w:id="139"/>
      </w:r>
      <w:r w:rsidRPr="00A46B17">
        <w:rPr>
          <w:rFonts w:ascii="Times New Roman" w:hAnsi="Times New Roman" w:cs="Times New Roman"/>
          <w:lang w:val="en-CA"/>
        </w:rPr>
        <w:t xml:space="preserve">  He has suggested that the same principles apply to the detention of any person with pre-existing mental illness, holding that “serious consideration must be given to alternatives to detention or other arrangements that meet their treatment needs, ensuring their protection from cruel, inhuman or degrading treatment or punishment, and the right to humane conditions of detention”.</w:t>
      </w:r>
      <w:r w:rsidRPr="00A46B17">
        <w:rPr>
          <w:rStyle w:val="FootnoteReference"/>
          <w:rFonts w:cs="Times New Roman"/>
          <w:sz w:val="22"/>
          <w:lang w:val="en-CA"/>
        </w:rPr>
        <w:footnoteReference w:id="140"/>
      </w:r>
    </w:p>
    <w:p w:rsidR="00E236BB" w:rsidRPr="00A46B17" w:rsidRDefault="00E236BB" w:rsidP="00D3761D">
      <w:pPr>
        <w:pStyle w:val="PlainText"/>
        <w:ind w:left="360"/>
        <w:jc w:val="both"/>
        <w:rPr>
          <w:rFonts w:ascii="Times New Roman" w:hAnsi="Times New Roman" w:cs="Times New Roman"/>
          <w:lang w:val="en-CA"/>
        </w:rPr>
      </w:pPr>
    </w:p>
    <w:p w:rsidR="00E236BB" w:rsidRPr="00A46B17" w:rsidRDefault="00E236BB" w:rsidP="00D3761D">
      <w:pPr>
        <w:pStyle w:val="PlainText"/>
        <w:numPr>
          <w:ilvl w:val="0"/>
          <w:numId w:val="37"/>
        </w:numPr>
        <w:ind w:left="360"/>
        <w:jc w:val="both"/>
        <w:rPr>
          <w:rFonts w:ascii="Times New Roman" w:hAnsi="Times New Roman" w:cs="Times New Roman"/>
          <w:lang w:val="en-CA"/>
        </w:rPr>
      </w:pPr>
      <w:r w:rsidRPr="00A46B17">
        <w:rPr>
          <w:rFonts w:ascii="Times New Roman" w:hAnsi="Times New Roman" w:cs="Times New Roman"/>
          <w:lang w:val="en-CA"/>
        </w:rPr>
        <w:t xml:space="preserve">We suggest that this issue is addressed both in relation to immigration detention (at </w:t>
      </w:r>
      <w:r w:rsidRPr="00A46B17">
        <w:rPr>
          <w:rFonts w:ascii="Times New Roman" w:hAnsi="Times New Roman" w:cs="Times New Roman"/>
          <w:b/>
          <w:u w:val="single"/>
          <w:lang w:val="en-CA"/>
        </w:rPr>
        <w:t>paragraph 18</w:t>
      </w:r>
      <w:r w:rsidRPr="00A46B17">
        <w:rPr>
          <w:rFonts w:ascii="Times New Roman" w:hAnsi="Times New Roman" w:cs="Times New Roman"/>
          <w:lang w:val="en-CA"/>
        </w:rPr>
        <w:t xml:space="preserve"> of the draft), along with considerations of detention of vulnerable migrants and asylum seekers more generally, and in the section on the link between Articles 7 and 9.</w:t>
      </w:r>
    </w:p>
    <w:p w:rsidR="00E236BB" w:rsidRPr="00A46B17" w:rsidRDefault="00E236BB" w:rsidP="00D3761D">
      <w:pPr>
        <w:pStyle w:val="PlainText"/>
        <w:jc w:val="both"/>
        <w:rPr>
          <w:rFonts w:ascii="Times New Roman" w:hAnsi="Times New Roman" w:cs="Times New Roman"/>
          <w:b/>
          <w:i/>
          <w:lang w:val="en-CA"/>
        </w:rPr>
      </w:pPr>
    </w:p>
    <w:p w:rsidR="00E236BB" w:rsidRPr="00A46B17" w:rsidRDefault="00E236BB" w:rsidP="00720827">
      <w:pPr>
        <w:pStyle w:val="Heading3"/>
        <w:spacing w:before="0"/>
        <w:jc w:val="both"/>
        <w:rPr>
          <w:rFonts w:ascii="Times New Roman" w:hAnsi="Times New Roman" w:cs="Times New Roman"/>
          <w:i/>
          <w:color w:val="auto"/>
          <w:lang w:val="en-CA"/>
        </w:rPr>
      </w:pPr>
      <w:bookmarkStart w:id="83" w:name="_Toc388961693"/>
      <w:bookmarkStart w:id="84" w:name="_Toc389236164"/>
      <w:r w:rsidRPr="00A46B17">
        <w:rPr>
          <w:rFonts w:ascii="Times New Roman" w:hAnsi="Times New Roman" w:cs="Times New Roman"/>
          <w:i/>
          <w:color w:val="auto"/>
          <w:lang w:val="en-CA"/>
        </w:rPr>
        <w:lastRenderedPageBreak/>
        <w:t>Life imprisonment without prospect of release</w:t>
      </w:r>
      <w:bookmarkEnd w:id="83"/>
      <w:bookmarkEnd w:id="84"/>
      <w:r w:rsidRPr="00A46B17">
        <w:rPr>
          <w:rFonts w:ascii="Times New Roman" w:hAnsi="Times New Roman" w:cs="Times New Roman"/>
          <w:i/>
          <w:color w:val="auto"/>
          <w:lang w:val="en-CA"/>
        </w:rPr>
        <w:t xml:space="preserve"> </w:t>
      </w:r>
    </w:p>
    <w:p w:rsidR="00E236BB" w:rsidRPr="00A46B17" w:rsidRDefault="00E236BB" w:rsidP="00887A4F">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Another type of imprisonment which itself raises concerns under Article 7 is whole life terms without the prospect of release where there is no longer sufficient </w:t>
      </w:r>
      <w:proofErr w:type="spellStart"/>
      <w:r w:rsidRPr="00A46B17">
        <w:rPr>
          <w:rFonts w:ascii="Times New Roman" w:hAnsi="Times New Roman" w:cs="Times New Roman"/>
          <w:lang w:val="en-US"/>
        </w:rPr>
        <w:t>penological</w:t>
      </w:r>
      <w:proofErr w:type="spellEnd"/>
      <w:r w:rsidRPr="00A46B17">
        <w:rPr>
          <w:rFonts w:ascii="Times New Roman" w:hAnsi="Times New Roman" w:cs="Times New Roman"/>
          <w:lang w:val="en-US"/>
        </w:rPr>
        <w:t xml:space="preserve"> justification for continued detention. The Grand Chamber of the European Court of Human Rights has held that such detention is a violation of the right under Article 3 of the European Convention on Human Rights to be free from inhuman or degrading treatment or punishment.</w:t>
      </w:r>
      <w:r w:rsidRPr="00A46B17">
        <w:rPr>
          <w:rStyle w:val="FootnoteReference"/>
          <w:rFonts w:cs="Times New Roman"/>
          <w:sz w:val="22"/>
        </w:rPr>
        <w:footnoteReference w:id="141"/>
      </w:r>
      <w:r w:rsidRPr="00A46B17">
        <w:rPr>
          <w:rFonts w:ascii="Times New Roman" w:hAnsi="Times New Roman" w:cs="Times New Roman"/>
          <w:lang w:val="en-US"/>
        </w:rPr>
        <w:t xml:space="preserve"> The Grand Chamber has found that prisoners sentenced to life imprisonment need a real prospect of release. Such an adequate mechanism must be</w:t>
      </w:r>
      <w:r w:rsidR="00DB4BD3">
        <w:rPr>
          <w:rFonts w:ascii="Times New Roman" w:hAnsi="Times New Roman" w:cs="Times New Roman"/>
          <w:lang w:val="en-US"/>
        </w:rPr>
        <w:t xml:space="preserve"> in</w:t>
      </w:r>
      <w:r w:rsidRPr="00A46B17">
        <w:rPr>
          <w:rFonts w:ascii="Times New Roman" w:hAnsi="Times New Roman" w:cs="Times New Roman"/>
          <w:lang w:val="en-US"/>
        </w:rPr>
        <w:t xml:space="preserve"> place at the time when the sentence of life imprisonment was imposed which enables a review to be conducted that would determine whether there was still sufficient </w:t>
      </w:r>
      <w:proofErr w:type="spellStart"/>
      <w:r w:rsidRPr="00A46B17">
        <w:rPr>
          <w:rFonts w:ascii="Times New Roman" w:hAnsi="Times New Roman" w:cs="Times New Roman"/>
          <w:lang w:val="en-US"/>
        </w:rPr>
        <w:t>penological</w:t>
      </w:r>
      <w:proofErr w:type="spellEnd"/>
      <w:r w:rsidRPr="00A46B17">
        <w:rPr>
          <w:rFonts w:ascii="Times New Roman" w:hAnsi="Times New Roman" w:cs="Times New Roman"/>
          <w:lang w:val="en-US"/>
        </w:rPr>
        <w:t xml:space="preserve"> justification for the continued detention of the person. </w:t>
      </w:r>
    </w:p>
    <w:p w:rsidR="00E236BB" w:rsidRPr="00A46B17" w:rsidRDefault="00E236BB" w:rsidP="00D3761D">
      <w:pPr>
        <w:pStyle w:val="PlainText"/>
        <w:jc w:val="both"/>
        <w:rPr>
          <w:rFonts w:ascii="Times New Roman" w:hAnsi="Times New Roman" w:cs="Times New Roman"/>
          <w:b/>
          <w:i/>
          <w:lang w:val="en-US"/>
        </w:rPr>
      </w:pPr>
    </w:p>
    <w:p w:rsidR="00E236BB" w:rsidRPr="00A46B17" w:rsidRDefault="00E236BB" w:rsidP="00720827">
      <w:pPr>
        <w:pStyle w:val="Heading3"/>
        <w:spacing w:before="0"/>
        <w:jc w:val="both"/>
        <w:rPr>
          <w:rFonts w:ascii="Times New Roman" w:hAnsi="Times New Roman" w:cs="Times New Roman"/>
          <w:i/>
          <w:color w:val="auto"/>
          <w:lang w:val="en-CA"/>
        </w:rPr>
      </w:pPr>
      <w:bookmarkStart w:id="85" w:name="_Toc388961694"/>
      <w:bookmarkStart w:id="86" w:name="_Toc389236165"/>
      <w:r w:rsidRPr="00A46B17">
        <w:rPr>
          <w:rFonts w:ascii="Times New Roman" w:hAnsi="Times New Roman" w:cs="Times New Roman"/>
          <w:i/>
          <w:color w:val="auto"/>
          <w:lang w:val="en-CA"/>
        </w:rPr>
        <w:t>The death row phenomenon</w:t>
      </w:r>
      <w:bookmarkEnd w:id="85"/>
      <w:bookmarkEnd w:id="86"/>
    </w:p>
    <w:p w:rsidR="00E236BB" w:rsidRPr="00A46B17" w:rsidRDefault="00E236BB" w:rsidP="00887A4F">
      <w:pPr>
        <w:pStyle w:val="PlainText"/>
        <w:numPr>
          <w:ilvl w:val="0"/>
          <w:numId w:val="37"/>
        </w:numPr>
        <w:ind w:left="360"/>
        <w:jc w:val="both"/>
        <w:rPr>
          <w:rFonts w:ascii="Times New Roman" w:hAnsi="Times New Roman" w:cs="Times New Roman"/>
        </w:rPr>
      </w:pPr>
      <w:r w:rsidRPr="00A46B17">
        <w:rPr>
          <w:rFonts w:ascii="Times New Roman" w:hAnsi="Times New Roman" w:cs="Times New Roman"/>
          <w:lang w:val="en-US"/>
        </w:rPr>
        <w:t xml:space="preserve">Circumstances of detention on death row, following imposition of the death penalty, may also result in a violation of Article 7 and/or 10. </w:t>
      </w:r>
      <w:proofErr w:type="spellStart"/>
      <w:r w:rsidRPr="00A46B17">
        <w:rPr>
          <w:rFonts w:ascii="Times New Roman" w:hAnsi="Times New Roman" w:cs="Times New Roman"/>
        </w:rPr>
        <w:t>Described</w:t>
      </w:r>
      <w:proofErr w:type="spellEnd"/>
      <w:r w:rsidRPr="00A46B17">
        <w:rPr>
          <w:rFonts w:ascii="Times New Roman" w:hAnsi="Times New Roman" w:cs="Times New Roman"/>
        </w:rPr>
        <w:t xml:space="preserve"> as the ”</w:t>
      </w:r>
      <w:proofErr w:type="spellStart"/>
      <w:r w:rsidRPr="00A46B17">
        <w:rPr>
          <w:rFonts w:ascii="Times New Roman" w:hAnsi="Times New Roman" w:cs="Times New Roman"/>
        </w:rPr>
        <w:t>death</w:t>
      </w:r>
      <w:proofErr w:type="spellEnd"/>
      <w:r w:rsidRPr="00A46B17">
        <w:rPr>
          <w:rFonts w:ascii="Times New Roman" w:hAnsi="Times New Roman" w:cs="Times New Roman"/>
        </w:rPr>
        <w:t xml:space="preserve"> </w:t>
      </w:r>
      <w:proofErr w:type="spellStart"/>
      <w:r w:rsidRPr="00A46B17">
        <w:rPr>
          <w:rFonts w:ascii="Times New Roman" w:hAnsi="Times New Roman" w:cs="Times New Roman"/>
        </w:rPr>
        <w:t>row</w:t>
      </w:r>
      <w:proofErr w:type="spellEnd"/>
      <w:r w:rsidRPr="00A46B17">
        <w:rPr>
          <w:rFonts w:ascii="Times New Roman" w:hAnsi="Times New Roman" w:cs="Times New Roman"/>
        </w:rPr>
        <w:t xml:space="preserve"> </w:t>
      </w:r>
      <w:proofErr w:type="spellStart"/>
      <w:r w:rsidRPr="00A46B17">
        <w:rPr>
          <w:rFonts w:ascii="Times New Roman" w:hAnsi="Times New Roman" w:cs="Times New Roman"/>
        </w:rPr>
        <w:t>phenomenon</w:t>
      </w:r>
      <w:proofErr w:type="spellEnd"/>
      <w:r w:rsidRPr="00A46B17">
        <w:rPr>
          <w:rFonts w:ascii="Times New Roman" w:hAnsi="Times New Roman" w:cs="Times New Roman"/>
        </w:rPr>
        <w:t xml:space="preserve">”, </w:t>
      </w:r>
      <w:proofErr w:type="spellStart"/>
      <w:r w:rsidRPr="00A46B17">
        <w:rPr>
          <w:rFonts w:ascii="Times New Roman" w:hAnsi="Times New Roman" w:cs="Times New Roman"/>
        </w:rPr>
        <w:t>this</w:t>
      </w:r>
      <w:proofErr w:type="spellEnd"/>
    </w:p>
    <w:p w:rsidR="00E236BB" w:rsidRPr="00A46B17" w:rsidRDefault="00E236BB" w:rsidP="00D3761D">
      <w:pPr>
        <w:pStyle w:val="PlainText"/>
        <w:ind w:left="360"/>
        <w:jc w:val="both"/>
        <w:rPr>
          <w:rFonts w:ascii="Times New Roman" w:hAnsi="Times New Roman" w:cs="Times New Roman"/>
        </w:rPr>
      </w:pPr>
    </w:p>
    <w:p w:rsidR="00E236BB" w:rsidRPr="00A46B17" w:rsidRDefault="00E236BB" w:rsidP="00D3761D">
      <w:pPr>
        <w:pStyle w:val="PlainText"/>
        <w:ind w:left="720"/>
        <w:jc w:val="both"/>
        <w:rPr>
          <w:rFonts w:ascii="Times New Roman" w:hAnsi="Times New Roman" w:cs="Times New Roman"/>
          <w:lang w:val="en-US"/>
        </w:rPr>
      </w:pPr>
      <w:proofErr w:type="gramStart"/>
      <w:r w:rsidRPr="00A46B17">
        <w:rPr>
          <w:rFonts w:ascii="Times New Roman" w:hAnsi="Times New Roman" w:cs="Times New Roman"/>
          <w:lang w:val="en-US"/>
        </w:rPr>
        <w:t>consists</w:t>
      </w:r>
      <w:proofErr w:type="gramEnd"/>
      <w:r w:rsidRPr="00A46B17">
        <w:rPr>
          <w:rFonts w:ascii="Times New Roman" w:hAnsi="Times New Roman" w:cs="Times New Roman"/>
          <w:lang w:val="en-US"/>
        </w:rPr>
        <w:t xml:space="preserve"> of a combination of circumstances that produce severe mental trauma and physical deterioration in prisoners under sentence of death. Those circumstances include the lengthy and anxiety-ridden wait for uncertain outcomes, isolation, drastically reduced human contact and even the physical conditions in which some inmates are held. Death row conditions are often worse than those for the rest of the prison population, and prisoners on death row are deni</w:t>
      </w:r>
      <w:r w:rsidR="000F0C3B">
        <w:rPr>
          <w:rFonts w:ascii="Times New Roman" w:hAnsi="Times New Roman" w:cs="Times New Roman"/>
          <w:lang w:val="en-US"/>
        </w:rPr>
        <w:t>ed many basic human necessities</w:t>
      </w:r>
      <w:r w:rsidRPr="00A46B17">
        <w:rPr>
          <w:rFonts w:ascii="Times New Roman" w:hAnsi="Times New Roman" w:cs="Times New Roman"/>
          <w:lang w:val="en-US"/>
        </w:rPr>
        <w:t>.</w:t>
      </w:r>
      <w:r w:rsidRPr="00A46B17">
        <w:rPr>
          <w:rStyle w:val="FootnoteReference"/>
          <w:rFonts w:cs="Times New Roman"/>
          <w:sz w:val="22"/>
          <w:lang w:val="en-US"/>
        </w:rPr>
        <w:footnoteReference w:id="142"/>
      </w:r>
    </w:p>
    <w:p w:rsidR="00E236BB" w:rsidRPr="00A46B17" w:rsidRDefault="00E236BB" w:rsidP="00720827">
      <w:pPr>
        <w:pStyle w:val="PlainText"/>
        <w:ind w:left="360"/>
        <w:jc w:val="both"/>
        <w:rPr>
          <w:rFonts w:ascii="Times New Roman" w:hAnsi="Times New Roman" w:cs="Times New Roman"/>
          <w:lang w:val="en-US"/>
        </w:rPr>
      </w:pPr>
    </w:p>
    <w:p w:rsidR="00E236BB" w:rsidRPr="00A46B17" w:rsidRDefault="00E236BB" w:rsidP="00720827">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lang w:val="en-US"/>
        </w:rPr>
        <w:t xml:space="preserve">The Committee has </w:t>
      </w:r>
      <w:proofErr w:type="spellStart"/>
      <w:r w:rsidRPr="00A46B17">
        <w:rPr>
          <w:rFonts w:ascii="Times New Roman" w:hAnsi="Times New Roman" w:cs="Times New Roman"/>
          <w:lang w:val="en-US"/>
        </w:rPr>
        <w:t>recognised</w:t>
      </w:r>
      <w:proofErr w:type="spellEnd"/>
      <w:r w:rsidRPr="00A46B17">
        <w:rPr>
          <w:rFonts w:ascii="Times New Roman" w:hAnsi="Times New Roman" w:cs="Times New Roman"/>
          <w:lang w:val="en-US"/>
        </w:rPr>
        <w:t xml:space="preserve"> the existence of the death row phenomenon as a possible breach of Article 7, requiring a careful examination of the facts in each case.</w:t>
      </w:r>
      <w:r w:rsidRPr="00A46B17">
        <w:rPr>
          <w:rStyle w:val="FootnoteReference"/>
          <w:rFonts w:cs="Times New Roman"/>
          <w:sz w:val="22"/>
        </w:rPr>
        <w:footnoteReference w:id="143"/>
      </w:r>
      <w:r w:rsidRPr="00A46B17">
        <w:rPr>
          <w:rFonts w:ascii="Times New Roman" w:hAnsi="Times New Roman" w:cs="Times New Roman"/>
          <w:lang w:val="en-US"/>
        </w:rPr>
        <w:t xml:space="preserve"> During State party reviews, the Committee has also regularly expressed concern over the living condition of prisoners on death row in relation to Articles 7 and 10 of the Covenant.</w:t>
      </w:r>
      <w:r w:rsidRPr="00A46B17">
        <w:rPr>
          <w:rStyle w:val="FootnoteReference"/>
          <w:rFonts w:cs="Times New Roman"/>
          <w:sz w:val="22"/>
          <w:lang w:val="en-US"/>
        </w:rPr>
        <w:footnoteReference w:id="144"/>
      </w:r>
      <w:r w:rsidRPr="00A46B17">
        <w:rPr>
          <w:rFonts w:ascii="Times New Roman" w:hAnsi="Times New Roman" w:cs="Times New Roman"/>
          <w:lang w:val="en-US"/>
        </w:rPr>
        <w:t xml:space="preserve"> Regional and national courts have found in a number of cases that the death row phenomenon resulted in a violation of the prohibition of torture and other ill-</w:t>
      </w:r>
      <w:bookmarkStart w:id="87" w:name="_GoBack"/>
      <w:bookmarkEnd w:id="87"/>
      <w:r w:rsidRPr="00A46B17">
        <w:rPr>
          <w:rFonts w:ascii="Times New Roman" w:hAnsi="Times New Roman" w:cs="Times New Roman"/>
          <w:lang w:val="en-US"/>
        </w:rPr>
        <w:t>treatment and right to humane treatment.</w:t>
      </w:r>
      <w:r w:rsidRPr="00A46B17">
        <w:rPr>
          <w:rStyle w:val="FootnoteReference"/>
          <w:rFonts w:cs="Times New Roman"/>
          <w:sz w:val="22"/>
        </w:rPr>
        <w:footnoteReference w:id="145"/>
      </w:r>
      <w:r w:rsidRPr="00A46B17">
        <w:rPr>
          <w:rFonts w:ascii="Times New Roman" w:hAnsi="Times New Roman" w:cs="Times New Roman"/>
          <w:lang w:val="en-US"/>
        </w:rPr>
        <w:t xml:space="preserve">  </w:t>
      </w:r>
    </w:p>
    <w:p w:rsidR="00E236BB" w:rsidRPr="00A46B17" w:rsidRDefault="00E236BB" w:rsidP="00720827">
      <w:pPr>
        <w:pStyle w:val="PlainText"/>
        <w:ind w:left="360"/>
        <w:jc w:val="both"/>
        <w:rPr>
          <w:rFonts w:ascii="Times New Roman" w:hAnsi="Times New Roman" w:cs="Times New Roman"/>
          <w:lang w:val="en-US"/>
        </w:rPr>
      </w:pPr>
    </w:p>
    <w:p w:rsidR="00E236BB" w:rsidRPr="00A46B17" w:rsidRDefault="00E236BB" w:rsidP="00720827">
      <w:pPr>
        <w:pStyle w:val="PlainText"/>
        <w:numPr>
          <w:ilvl w:val="0"/>
          <w:numId w:val="37"/>
        </w:numPr>
        <w:ind w:left="360"/>
        <w:jc w:val="both"/>
        <w:rPr>
          <w:rFonts w:ascii="Times New Roman" w:hAnsi="Times New Roman" w:cs="Times New Roman"/>
          <w:lang w:val="en-US"/>
        </w:rPr>
      </w:pPr>
      <w:r w:rsidRPr="00A46B17">
        <w:rPr>
          <w:rFonts w:ascii="Times New Roman" w:hAnsi="Times New Roman" w:cs="Times New Roman"/>
          <w:bCs/>
          <w:lang w:val="en-US"/>
        </w:rPr>
        <w:t>Simila</w:t>
      </w:r>
      <w:r w:rsidR="000F0C3B">
        <w:rPr>
          <w:rFonts w:ascii="Times New Roman" w:hAnsi="Times New Roman" w:cs="Times New Roman"/>
          <w:bCs/>
          <w:lang w:val="en-US"/>
        </w:rPr>
        <w:t>rly, the Special Rapporteur on t</w:t>
      </w:r>
      <w:r w:rsidRPr="00A46B17">
        <w:rPr>
          <w:rFonts w:ascii="Times New Roman" w:hAnsi="Times New Roman" w:cs="Times New Roman"/>
          <w:bCs/>
          <w:lang w:val="en-US"/>
        </w:rPr>
        <w:t xml:space="preserve">orture has found that the death row phenomenon is a violation of Article 7, because </w:t>
      </w:r>
      <w:r w:rsidRPr="00A46B17">
        <w:rPr>
          <w:rFonts w:ascii="Times New Roman" w:hAnsi="Times New Roman" w:cs="Times New Roman"/>
          <w:lang w:val="en-US"/>
        </w:rPr>
        <w:t>”[t]he</w:t>
      </w:r>
      <w:r w:rsidRPr="00A46B17">
        <w:rPr>
          <w:rFonts w:ascii="Times New Roman" w:hAnsi="Times New Roman" w:cs="Times New Roman"/>
          <w:bCs/>
          <w:lang w:val="en-US"/>
        </w:rPr>
        <w:t xml:space="preserve"> anxiety created by the threat of death and the other circumstances surrounding an execution, inflicts great psychological pressure and trauma on persons sentenced to death”. In his view, “[a] prolonged stay on death row, along with the accompanying conditions, constitutes a violation of the prohibition of torture itself”.</w:t>
      </w:r>
      <w:r w:rsidRPr="00A46B17">
        <w:rPr>
          <w:rStyle w:val="FootnoteReference"/>
          <w:rFonts w:cs="Times New Roman"/>
          <w:bCs/>
          <w:sz w:val="22"/>
          <w:lang w:val="en-US"/>
        </w:rPr>
        <w:footnoteReference w:id="146"/>
      </w:r>
    </w:p>
    <w:p w:rsidR="00E236BB" w:rsidRPr="00A46B17" w:rsidRDefault="00E236BB" w:rsidP="00720827">
      <w:pPr>
        <w:pStyle w:val="PlainText"/>
        <w:jc w:val="both"/>
        <w:rPr>
          <w:rFonts w:ascii="Times New Roman" w:hAnsi="Times New Roman" w:cs="Times New Roman"/>
          <w:lang w:val="en-US"/>
        </w:rPr>
      </w:pPr>
    </w:p>
    <w:p w:rsidR="00E236BB" w:rsidRPr="00A46B17" w:rsidRDefault="000F0C3B" w:rsidP="00720827">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2"/>
          <w:szCs w:val="22"/>
          <w:lang w:val="en-US"/>
        </w:rPr>
      </w:pPr>
      <w:r>
        <w:rPr>
          <w:rFonts w:ascii="Times New Roman" w:hAnsi="Times New Roman" w:cs="Times New Roman"/>
          <w:b/>
          <w:sz w:val="22"/>
          <w:szCs w:val="22"/>
          <w:lang w:val="en-US"/>
        </w:rPr>
        <w:t>Summary:</w:t>
      </w:r>
      <w:r w:rsidR="00E236BB" w:rsidRPr="00A46B17">
        <w:rPr>
          <w:rFonts w:ascii="Times New Roman" w:hAnsi="Times New Roman" w:cs="Times New Roman"/>
          <w:b/>
          <w:sz w:val="22"/>
          <w:szCs w:val="22"/>
          <w:lang w:val="en-US"/>
        </w:rPr>
        <w:t xml:space="preserve"> </w:t>
      </w:r>
      <w:r w:rsidR="00E236BB" w:rsidRPr="00A46B17">
        <w:rPr>
          <w:rFonts w:ascii="Times New Roman" w:hAnsi="Times New Roman" w:cs="Times New Roman"/>
          <w:sz w:val="22"/>
          <w:szCs w:val="22"/>
          <w:lang w:val="en-US"/>
        </w:rPr>
        <w:t>We suggest that this section state</w:t>
      </w:r>
      <w:r w:rsidR="00DB4BD3">
        <w:rPr>
          <w:rFonts w:ascii="Times New Roman" w:hAnsi="Times New Roman" w:cs="Times New Roman"/>
          <w:sz w:val="22"/>
          <w:szCs w:val="22"/>
          <w:lang w:val="en-US"/>
        </w:rPr>
        <w:t>s</w:t>
      </w:r>
      <w:r w:rsidR="00E236BB" w:rsidRPr="00A46B17">
        <w:rPr>
          <w:rFonts w:ascii="Times New Roman" w:hAnsi="Times New Roman" w:cs="Times New Roman"/>
          <w:sz w:val="22"/>
          <w:szCs w:val="22"/>
          <w:lang w:val="en-US"/>
        </w:rPr>
        <w:t xml:space="preserve"> clearly that, in addition to solitary confinement, other types of detention, and in some circumstances detention in </w:t>
      </w:r>
      <w:proofErr w:type="gramStart"/>
      <w:r w:rsidR="00E236BB" w:rsidRPr="00A46B17">
        <w:rPr>
          <w:rFonts w:ascii="Times New Roman" w:hAnsi="Times New Roman" w:cs="Times New Roman"/>
          <w:sz w:val="22"/>
          <w:szCs w:val="22"/>
          <w:lang w:val="en-US"/>
        </w:rPr>
        <w:t>itself</w:t>
      </w:r>
      <w:proofErr w:type="gramEnd"/>
      <w:r w:rsidR="00E236BB" w:rsidRPr="00A46B17">
        <w:rPr>
          <w:rFonts w:ascii="Times New Roman" w:hAnsi="Times New Roman" w:cs="Times New Roman"/>
          <w:sz w:val="22"/>
          <w:szCs w:val="22"/>
          <w:lang w:val="en-US"/>
        </w:rPr>
        <w:t xml:space="preserve">, can amount to a violation of Article 7. This may include prolonged or arbitrary detention without the prospect of challenge, indefinite detention without charge, life imprisonment without parole, circumstances of detention on death row leading to the “death row phenomenon”, and the detention of particularly vulnerable individuals, including survivors of torture. This last point, concerning the detention of vulnerable migrants and asylum seekers, should also be made clearly in </w:t>
      </w:r>
      <w:r w:rsidR="00E236BB" w:rsidRPr="00A46B17">
        <w:rPr>
          <w:rFonts w:ascii="Times New Roman" w:hAnsi="Times New Roman" w:cs="Times New Roman"/>
          <w:b/>
          <w:sz w:val="22"/>
          <w:szCs w:val="22"/>
          <w:u w:val="single"/>
          <w:lang w:val="en-US"/>
        </w:rPr>
        <w:t>paragraph 18</w:t>
      </w:r>
      <w:r w:rsidR="00E236BB" w:rsidRPr="00A46B17">
        <w:rPr>
          <w:rFonts w:ascii="Times New Roman" w:hAnsi="Times New Roman" w:cs="Times New Roman"/>
          <w:sz w:val="22"/>
          <w:szCs w:val="22"/>
          <w:lang w:val="en-US"/>
        </w:rPr>
        <w:t>.</w:t>
      </w:r>
    </w:p>
    <w:p w:rsidR="00E236BB" w:rsidRPr="00A46B17" w:rsidRDefault="00E236BB" w:rsidP="00887A4F">
      <w:pPr>
        <w:pStyle w:val="ListParagraph"/>
        <w:ind w:left="360"/>
        <w:jc w:val="both"/>
        <w:rPr>
          <w:sz w:val="22"/>
          <w:szCs w:val="22"/>
          <w:lang w:val="en-US"/>
        </w:rPr>
      </w:pPr>
    </w:p>
    <w:p w:rsidR="00E236BB" w:rsidRPr="00A46B17" w:rsidRDefault="00E236BB" w:rsidP="00D3761D">
      <w:pPr>
        <w:jc w:val="both"/>
        <w:rPr>
          <w:rFonts w:ascii="Times New Roman" w:hAnsi="Times New Roman" w:cs="Times New Roman"/>
          <w:sz w:val="22"/>
          <w:szCs w:val="22"/>
        </w:rPr>
      </w:pPr>
    </w:p>
    <w:p w:rsidR="00EB76AD" w:rsidRPr="00720827" w:rsidRDefault="00B935C8" w:rsidP="00D3761D">
      <w:pPr>
        <w:jc w:val="both"/>
        <w:rPr>
          <w:rFonts w:ascii="Times New Roman" w:hAnsi="Times New Roman" w:cs="Times New Roman"/>
          <w:b/>
          <w:sz w:val="22"/>
          <w:szCs w:val="22"/>
          <w:u w:val="single"/>
        </w:rPr>
      </w:pPr>
      <w:r w:rsidRPr="00720827">
        <w:rPr>
          <w:rFonts w:ascii="Times New Roman" w:hAnsi="Times New Roman" w:cs="Times New Roman"/>
          <w:b/>
          <w:sz w:val="22"/>
          <w:szCs w:val="22"/>
          <w:u w:val="single"/>
        </w:rPr>
        <w:t xml:space="preserve">Submitted jointly by: </w:t>
      </w:r>
    </w:p>
    <w:p w:rsidR="00B935C8" w:rsidRPr="00720827" w:rsidRDefault="00B935C8" w:rsidP="00D3761D">
      <w:pPr>
        <w:jc w:val="both"/>
        <w:rPr>
          <w:rFonts w:ascii="Times New Roman" w:hAnsi="Times New Roman" w:cs="Times New Roman"/>
          <w:sz w:val="22"/>
          <w:szCs w:val="22"/>
          <w:lang w:val="en-US"/>
        </w:rPr>
      </w:pPr>
    </w:p>
    <w:p w:rsidR="00B935C8" w:rsidRPr="00720827" w:rsidRDefault="00B935C8" w:rsidP="00720827">
      <w:pPr>
        <w:pStyle w:val="ListParagraph"/>
        <w:numPr>
          <w:ilvl w:val="0"/>
          <w:numId w:val="30"/>
        </w:numPr>
        <w:jc w:val="both"/>
        <w:rPr>
          <w:sz w:val="22"/>
          <w:szCs w:val="22"/>
          <w:lang w:val="fr-FR"/>
        </w:rPr>
      </w:pPr>
      <w:r w:rsidRPr="00720827">
        <w:rPr>
          <w:sz w:val="22"/>
          <w:szCs w:val="22"/>
          <w:lang w:val="fr-FR"/>
        </w:rPr>
        <w:t xml:space="preserve">Action </w:t>
      </w:r>
      <w:r w:rsidR="00C86618">
        <w:rPr>
          <w:sz w:val="22"/>
          <w:szCs w:val="22"/>
          <w:lang w:val="fr-FR"/>
        </w:rPr>
        <w:t xml:space="preserve">des </w:t>
      </w:r>
      <w:r w:rsidRPr="00720827">
        <w:rPr>
          <w:sz w:val="22"/>
          <w:szCs w:val="22"/>
          <w:lang w:val="fr-FR"/>
        </w:rPr>
        <w:t>Chr</w:t>
      </w:r>
      <w:r w:rsidR="00C86618">
        <w:rPr>
          <w:sz w:val="22"/>
          <w:szCs w:val="22"/>
          <w:lang w:val="fr-FR"/>
        </w:rPr>
        <w:t>é</w:t>
      </w:r>
      <w:r w:rsidRPr="00720827">
        <w:rPr>
          <w:sz w:val="22"/>
          <w:szCs w:val="22"/>
          <w:lang w:val="fr-FR"/>
        </w:rPr>
        <w:t>tien</w:t>
      </w:r>
      <w:r w:rsidR="00C86618">
        <w:rPr>
          <w:sz w:val="22"/>
          <w:szCs w:val="22"/>
          <w:lang w:val="fr-FR"/>
        </w:rPr>
        <w:t>s</w:t>
      </w:r>
      <w:r w:rsidRPr="00720827">
        <w:rPr>
          <w:sz w:val="22"/>
          <w:szCs w:val="22"/>
          <w:lang w:val="fr-FR"/>
        </w:rPr>
        <w:t xml:space="preserve"> pour l’Abolition de la Torture (ACAT)</w:t>
      </w:r>
    </w:p>
    <w:p w:rsidR="00B935C8" w:rsidRPr="00720827" w:rsidRDefault="00B935C8" w:rsidP="00720827">
      <w:pPr>
        <w:pStyle w:val="ListParagraph"/>
        <w:numPr>
          <w:ilvl w:val="0"/>
          <w:numId w:val="30"/>
        </w:numPr>
        <w:jc w:val="both"/>
        <w:rPr>
          <w:sz w:val="22"/>
          <w:szCs w:val="22"/>
          <w:lang w:val="en-US"/>
        </w:rPr>
      </w:pPr>
      <w:r w:rsidRPr="00720827">
        <w:rPr>
          <w:sz w:val="22"/>
          <w:szCs w:val="22"/>
          <w:lang w:val="en-US"/>
        </w:rPr>
        <w:t>Association for the Prevention of Torture (APT)</w:t>
      </w:r>
    </w:p>
    <w:p w:rsidR="00B935C8" w:rsidRPr="00720827" w:rsidRDefault="00B935C8" w:rsidP="00720827">
      <w:pPr>
        <w:pStyle w:val="ListParagraph"/>
        <w:numPr>
          <w:ilvl w:val="0"/>
          <w:numId w:val="30"/>
        </w:numPr>
        <w:jc w:val="both"/>
        <w:rPr>
          <w:sz w:val="22"/>
          <w:szCs w:val="22"/>
          <w:lang w:val="en-US"/>
        </w:rPr>
      </w:pPr>
      <w:r w:rsidRPr="00720827">
        <w:rPr>
          <w:sz w:val="22"/>
          <w:szCs w:val="22"/>
          <w:lang w:val="en-US"/>
        </w:rPr>
        <w:t>Centre for Civil and Political Rights (CCPR Centre)</w:t>
      </w:r>
    </w:p>
    <w:p w:rsidR="00B935C8" w:rsidRPr="00720827" w:rsidRDefault="00B935C8" w:rsidP="00720827">
      <w:pPr>
        <w:pStyle w:val="ListParagraph"/>
        <w:numPr>
          <w:ilvl w:val="0"/>
          <w:numId w:val="30"/>
        </w:numPr>
        <w:jc w:val="both"/>
        <w:rPr>
          <w:sz w:val="22"/>
          <w:szCs w:val="22"/>
          <w:lang w:val="en-US"/>
        </w:rPr>
      </w:pPr>
      <w:r w:rsidRPr="00720827">
        <w:rPr>
          <w:sz w:val="22"/>
          <w:szCs w:val="22"/>
          <w:lang w:val="en-US"/>
        </w:rPr>
        <w:t>DIGNITY – Danish Institute Against Torture</w:t>
      </w:r>
    </w:p>
    <w:p w:rsidR="00B935C8" w:rsidRPr="00720827" w:rsidRDefault="00B935C8" w:rsidP="00720827">
      <w:pPr>
        <w:pStyle w:val="ListParagraph"/>
        <w:numPr>
          <w:ilvl w:val="0"/>
          <w:numId w:val="30"/>
        </w:numPr>
        <w:jc w:val="both"/>
        <w:rPr>
          <w:sz w:val="22"/>
          <w:szCs w:val="22"/>
          <w:lang w:val="en-US"/>
        </w:rPr>
      </w:pPr>
      <w:r w:rsidRPr="00720827">
        <w:rPr>
          <w:sz w:val="22"/>
          <w:szCs w:val="22"/>
          <w:lang w:val="en-US"/>
        </w:rPr>
        <w:t>Human Rights Implementation Centre – University of Bristol Law</w:t>
      </w:r>
      <w:r w:rsidR="00C86618">
        <w:rPr>
          <w:sz w:val="22"/>
          <w:szCs w:val="22"/>
          <w:lang w:val="en-US"/>
        </w:rPr>
        <w:t xml:space="preserve"> School</w:t>
      </w:r>
      <w:r w:rsidR="00C86618">
        <w:rPr>
          <w:sz w:val="22"/>
          <w:szCs w:val="22"/>
          <w:lang w:val="en-US"/>
        </w:rPr>
        <w:tab/>
      </w:r>
    </w:p>
    <w:p w:rsidR="00B935C8" w:rsidRPr="00720827" w:rsidRDefault="00B935C8" w:rsidP="00720827">
      <w:pPr>
        <w:pStyle w:val="ListParagraph"/>
        <w:numPr>
          <w:ilvl w:val="0"/>
          <w:numId w:val="30"/>
        </w:numPr>
        <w:jc w:val="both"/>
        <w:rPr>
          <w:sz w:val="22"/>
          <w:szCs w:val="22"/>
          <w:lang w:val="en-US"/>
        </w:rPr>
      </w:pPr>
      <w:r w:rsidRPr="00720827">
        <w:rPr>
          <w:sz w:val="22"/>
          <w:szCs w:val="22"/>
          <w:lang w:val="en-US"/>
        </w:rPr>
        <w:t>International Rehabilitation Council for Victims of Torture (IRCT)</w:t>
      </w:r>
    </w:p>
    <w:p w:rsidR="00B935C8" w:rsidRPr="00C86618" w:rsidRDefault="00B935C8" w:rsidP="00720827">
      <w:pPr>
        <w:pStyle w:val="ListParagraph"/>
        <w:numPr>
          <w:ilvl w:val="0"/>
          <w:numId w:val="30"/>
        </w:numPr>
        <w:jc w:val="both"/>
        <w:rPr>
          <w:sz w:val="22"/>
          <w:lang w:val="en-US"/>
        </w:rPr>
      </w:pPr>
      <w:r w:rsidRPr="00720827">
        <w:rPr>
          <w:sz w:val="22"/>
          <w:szCs w:val="22"/>
          <w:lang w:val="en-US"/>
        </w:rPr>
        <w:t>REDRESS</w:t>
      </w:r>
    </w:p>
    <w:p w:rsidR="00C86618" w:rsidRPr="00C86618" w:rsidRDefault="00C86618" w:rsidP="00C86618">
      <w:pPr>
        <w:pStyle w:val="ListParagraph"/>
        <w:numPr>
          <w:ilvl w:val="0"/>
          <w:numId w:val="30"/>
        </w:numPr>
        <w:jc w:val="both"/>
        <w:rPr>
          <w:sz w:val="22"/>
          <w:szCs w:val="22"/>
          <w:lang w:val="en-US"/>
        </w:rPr>
      </w:pPr>
      <w:r w:rsidRPr="00C86618">
        <w:rPr>
          <w:sz w:val="22"/>
          <w:szCs w:val="22"/>
          <w:lang w:val="en-US"/>
        </w:rPr>
        <w:t xml:space="preserve">World </w:t>
      </w:r>
      <w:proofErr w:type="spellStart"/>
      <w:r w:rsidRPr="00C86618">
        <w:rPr>
          <w:sz w:val="22"/>
          <w:szCs w:val="22"/>
          <w:lang w:val="en-US"/>
        </w:rPr>
        <w:t>Org</w:t>
      </w:r>
      <w:r>
        <w:rPr>
          <w:sz w:val="22"/>
          <w:szCs w:val="22"/>
          <w:lang w:val="en-US"/>
        </w:rPr>
        <w:t>anisation</w:t>
      </w:r>
      <w:proofErr w:type="spellEnd"/>
      <w:r>
        <w:rPr>
          <w:sz w:val="22"/>
          <w:szCs w:val="22"/>
          <w:lang w:val="en-US"/>
        </w:rPr>
        <w:t xml:space="preserve"> Against Torture (OMCT)</w:t>
      </w:r>
    </w:p>
    <w:sectPr w:rsidR="00C86618" w:rsidRPr="00C86618" w:rsidSect="00F87E7E">
      <w:footerReference w:type="even" r:id="rId17"/>
      <w:footerReference w:type="default" r:id="rId18"/>
      <w:pgSz w:w="11900" w:h="16840"/>
      <w:pgMar w:top="1440" w:right="1800" w:bottom="1440" w:left="1800"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44" w:rsidRDefault="002D4244">
      <w:r>
        <w:separator/>
      </w:r>
    </w:p>
  </w:endnote>
  <w:endnote w:type="continuationSeparator" w:id="0">
    <w:p w:rsidR="002D4244" w:rsidRDefault="002D4244">
      <w:r>
        <w:continuationSeparator/>
      </w:r>
    </w:p>
  </w:endnote>
  <w:endnote w:type="continuationNotice" w:id="1">
    <w:p w:rsidR="002D4244" w:rsidRDefault="002D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244" w:rsidRDefault="002D4244" w:rsidP="00957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4244" w:rsidRDefault="002D4244" w:rsidP="005C53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252151"/>
      <w:docPartObj>
        <w:docPartGallery w:val="Page Numbers (Bottom of Page)"/>
        <w:docPartUnique/>
      </w:docPartObj>
    </w:sdtPr>
    <w:sdtEndPr/>
    <w:sdtContent>
      <w:p w:rsidR="002D4244" w:rsidRDefault="00D26F3E">
        <w:pPr>
          <w:pStyle w:val="Footer"/>
          <w:jc w:val="center"/>
        </w:pPr>
        <w:r>
          <w:fldChar w:fldCharType="begin"/>
        </w:r>
        <w:r>
          <w:instrText>PAGE   \* MERGEFORMAT</w:instrText>
        </w:r>
        <w:r>
          <w:fldChar w:fldCharType="separate"/>
        </w:r>
        <w:r w:rsidR="00C86618" w:rsidRPr="00C86618">
          <w:rPr>
            <w:noProof/>
            <w:lang w:val="da-DK"/>
          </w:rPr>
          <w:t>25</w:t>
        </w:r>
        <w:r>
          <w:rPr>
            <w:noProof/>
            <w:lang w:val="da-DK"/>
          </w:rPr>
          <w:fldChar w:fldCharType="end"/>
        </w:r>
      </w:p>
    </w:sdtContent>
  </w:sdt>
  <w:p w:rsidR="002D4244" w:rsidRDefault="002D4244" w:rsidP="005C53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44" w:rsidRDefault="002D4244">
      <w:r>
        <w:separator/>
      </w:r>
    </w:p>
  </w:footnote>
  <w:footnote w:type="continuationSeparator" w:id="0">
    <w:p w:rsidR="002D4244" w:rsidRDefault="002D4244">
      <w:r>
        <w:continuationSeparator/>
      </w:r>
    </w:p>
  </w:footnote>
  <w:footnote w:type="continuationNotice" w:id="1">
    <w:p w:rsidR="002D4244" w:rsidRDefault="002D4244"/>
  </w:footnote>
  <w:footnote w:id="2">
    <w:p w:rsidR="002D4244" w:rsidRDefault="002D4244" w:rsidP="00476B59">
      <w:pPr>
        <w:pStyle w:val="FootnoteText"/>
        <w:tabs>
          <w:tab w:val="clear" w:pos="1021"/>
          <w:tab w:val="right" w:pos="0"/>
        </w:tabs>
        <w:spacing w:line="240" w:lineRule="auto"/>
        <w:ind w:left="0" w:right="0" w:firstLine="0"/>
      </w:pPr>
      <w:r>
        <w:rPr>
          <w:rStyle w:val="FootnoteReference"/>
        </w:rPr>
        <w:footnoteRef/>
      </w:r>
      <w:r>
        <w:t xml:space="preserve"> </w:t>
      </w:r>
      <w:r w:rsidRPr="00A46B17">
        <w:rPr>
          <w:szCs w:val="18"/>
        </w:rPr>
        <w:t>Human Rights Committee, ‘General Comment No. 31: The Nature of the General Legal Obligation Imposed on States Parties to the Covenant’, CCPR/C/21/Rev.1/Add.13 (2004)</w:t>
      </w:r>
      <w:r>
        <w:rPr>
          <w:szCs w:val="18"/>
        </w:rPr>
        <w:t xml:space="preserve"> (“HRC General Comment 31”)</w:t>
      </w:r>
      <w:r w:rsidRPr="00A46B17">
        <w:rPr>
          <w:szCs w:val="18"/>
        </w:rPr>
        <w:t>, para. 8.</w:t>
      </w:r>
    </w:p>
  </w:footnote>
  <w:footnote w:id="3">
    <w:p w:rsidR="002D4244" w:rsidRPr="00476B59" w:rsidRDefault="002D4244">
      <w:pPr>
        <w:pStyle w:val="FootnoteText"/>
      </w:pPr>
      <w:r>
        <w:rPr>
          <w:rStyle w:val="FootnoteReference"/>
        </w:rPr>
        <w:footnoteRef/>
      </w:r>
      <w:r>
        <w:t xml:space="preserve"> </w:t>
      </w:r>
      <w:r>
        <w:rPr>
          <w:i/>
        </w:rPr>
        <w:t>Ibid.</w:t>
      </w:r>
    </w:p>
  </w:footnote>
  <w:footnote w:id="4">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w:t>
      </w:r>
      <w:proofErr w:type="spellStart"/>
      <w:r w:rsidRPr="00A46B17">
        <w:rPr>
          <w:szCs w:val="18"/>
        </w:rPr>
        <w:t>eg</w:t>
      </w:r>
      <w:proofErr w:type="spellEnd"/>
      <w:r w:rsidRPr="00A46B17">
        <w:rPr>
          <w:szCs w:val="18"/>
        </w:rPr>
        <w:t xml:space="preserve">. </w:t>
      </w:r>
      <w:r w:rsidRPr="00A46B17">
        <w:rPr>
          <w:szCs w:val="18"/>
          <w:lang w:val="en-US"/>
        </w:rPr>
        <w:t>Concluding</w:t>
      </w:r>
      <w:r w:rsidRPr="00A46B17">
        <w:rPr>
          <w:szCs w:val="18"/>
        </w:rPr>
        <w:t xml:space="preserve"> Observations on Hong Kong, China, CCPR/C/CHN-HKG/CO/3 (2013)</w:t>
      </w:r>
      <w:r>
        <w:rPr>
          <w:szCs w:val="18"/>
        </w:rPr>
        <w:t xml:space="preserve"> (“HRC Concluding Observations on Hong Kong, China”)</w:t>
      </w:r>
      <w:r w:rsidRPr="00A46B17">
        <w:rPr>
          <w:szCs w:val="18"/>
        </w:rPr>
        <w:t xml:space="preserve">, para. </w:t>
      </w:r>
      <w:proofErr w:type="gramStart"/>
      <w:r w:rsidRPr="00A46B17">
        <w:rPr>
          <w:szCs w:val="18"/>
        </w:rPr>
        <w:t xml:space="preserve">21; </w:t>
      </w:r>
      <w:r>
        <w:rPr>
          <w:szCs w:val="18"/>
        </w:rPr>
        <w:t xml:space="preserve">Concluding Observations on </w:t>
      </w:r>
      <w:r w:rsidRPr="00A46B17">
        <w:rPr>
          <w:szCs w:val="18"/>
        </w:rPr>
        <w:t>Kuwait, CCPR/C/KWT/CO/2 (2011)</w:t>
      </w:r>
      <w:r>
        <w:rPr>
          <w:szCs w:val="18"/>
        </w:rPr>
        <w:t xml:space="preserve"> (HRC Concluding Observations on Kuwait”)</w:t>
      </w:r>
      <w:r w:rsidRPr="00A46B17">
        <w:rPr>
          <w:szCs w:val="18"/>
        </w:rPr>
        <w:t>, para.</w:t>
      </w:r>
      <w:proofErr w:type="gramEnd"/>
      <w:r w:rsidRPr="00A46B17">
        <w:rPr>
          <w:szCs w:val="18"/>
        </w:rPr>
        <w:t xml:space="preserve"> </w:t>
      </w:r>
      <w:proofErr w:type="gramStart"/>
      <w:r w:rsidRPr="00A46B17">
        <w:rPr>
          <w:szCs w:val="18"/>
        </w:rPr>
        <w:t xml:space="preserve">18; </w:t>
      </w:r>
      <w:r>
        <w:rPr>
          <w:szCs w:val="18"/>
        </w:rPr>
        <w:t xml:space="preserve">Concluding Observations on </w:t>
      </w:r>
      <w:r w:rsidRPr="00A46B17">
        <w:rPr>
          <w:szCs w:val="18"/>
        </w:rPr>
        <w:t>Paraguay, CCPR/C/PRY/CO/3 (2013)</w:t>
      </w:r>
      <w:r>
        <w:rPr>
          <w:szCs w:val="18"/>
        </w:rPr>
        <w:t xml:space="preserve"> (“HRC Concluding Observations on Paraguay”)</w:t>
      </w:r>
      <w:r w:rsidRPr="00A46B17">
        <w:rPr>
          <w:szCs w:val="18"/>
        </w:rPr>
        <w:t>, para.</w:t>
      </w:r>
      <w:proofErr w:type="gramEnd"/>
      <w:r w:rsidRPr="00A46B17">
        <w:rPr>
          <w:szCs w:val="18"/>
        </w:rPr>
        <w:t xml:space="preserve"> 18. On the particular vulnerability of migrant domestic workers see Committee on Migrant Workers, ‘General Comment No. 1: Migrant Domestic Workers’, CMW/C/GC/1, </w:t>
      </w:r>
      <w:r>
        <w:rPr>
          <w:szCs w:val="18"/>
        </w:rPr>
        <w:t>(</w:t>
      </w:r>
      <w:r w:rsidRPr="00A46B17">
        <w:rPr>
          <w:szCs w:val="18"/>
        </w:rPr>
        <w:t>2011</w:t>
      </w:r>
      <w:r>
        <w:rPr>
          <w:szCs w:val="18"/>
        </w:rPr>
        <w:t>)</w:t>
      </w:r>
      <w:r w:rsidRPr="00A46B17">
        <w:rPr>
          <w:szCs w:val="18"/>
        </w:rPr>
        <w:t xml:space="preserve"> (“CMW General Comment No. 1”); Report of the Special Rapporteur on the Human Rights of Migrants, </w:t>
      </w:r>
      <w:r w:rsidRPr="00A46B17">
        <w:rPr>
          <w:szCs w:val="18"/>
          <w:lang w:val="en-US"/>
        </w:rPr>
        <w:t>A/HRC/26/35 (2014), in particular paras. 50-52.</w:t>
      </w:r>
    </w:p>
  </w:footnote>
  <w:footnote w:id="5">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CMW General Comment No. 1, </w:t>
      </w:r>
      <w:r w:rsidRPr="00A46B17">
        <w:rPr>
          <w:i/>
          <w:szCs w:val="18"/>
        </w:rPr>
        <w:t>ibid</w:t>
      </w:r>
      <w:r w:rsidRPr="00A46B17">
        <w:rPr>
          <w:szCs w:val="18"/>
        </w:rPr>
        <w:t xml:space="preserve">, paras. </w:t>
      </w:r>
      <w:proofErr w:type="gramStart"/>
      <w:r w:rsidRPr="00A46B17">
        <w:rPr>
          <w:szCs w:val="18"/>
        </w:rPr>
        <w:t>7, 12, 13(a).</w:t>
      </w:r>
      <w:proofErr w:type="gramEnd"/>
      <w:r w:rsidRPr="00A46B17">
        <w:rPr>
          <w:szCs w:val="18"/>
        </w:rPr>
        <w:t xml:space="preserve"> See </w:t>
      </w:r>
      <w:r w:rsidRPr="00A46B17">
        <w:rPr>
          <w:szCs w:val="18"/>
          <w:lang w:val="en-US"/>
        </w:rPr>
        <w:t>further</w:t>
      </w:r>
      <w:r w:rsidRPr="00A46B17">
        <w:rPr>
          <w:szCs w:val="18"/>
        </w:rPr>
        <w:t xml:space="preserve"> Report of the Special Rapporteur on the Human Rights of Migrants, </w:t>
      </w:r>
      <w:proofErr w:type="gramStart"/>
      <w:r>
        <w:rPr>
          <w:i/>
          <w:szCs w:val="18"/>
        </w:rPr>
        <w:t>ibid.</w:t>
      </w:r>
      <w:r w:rsidRPr="00A46B17">
        <w:rPr>
          <w:szCs w:val="18"/>
          <w:lang w:val="en-US"/>
        </w:rPr>
        <w:t>,</w:t>
      </w:r>
      <w:proofErr w:type="gramEnd"/>
      <w:r w:rsidRPr="00A46B17">
        <w:rPr>
          <w:szCs w:val="18"/>
          <w:lang w:val="en-US"/>
        </w:rPr>
        <w:t xml:space="preserve"> in particular paras. </w:t>
      </w:r>
      <w:proofErr w:type="gramStart"/>
      <w:r w:rsidRPr="00A46B17">
        <w:rPr>
          <w:szCs w:val="18"/>
          <w:lang w:val="en-US"/>
        </w:rPr>
        <w:t>18, 37, 51, 55 concerning restrictions on freedom to leave the workplace.</w:t>
      </w:r>
      <w:proofErr w:type="gramEnd"/>
      <w:r w:rsidRPr="00A46B17">
        <w:rPr>
          <w:szCs w:val="18"/>
          <w:lang w:val="en-US"/>
        </w:rPr>
        <w:t xml:space="preserve">  As to deprivation of liberty by confinement in a person’s home see Human Rights Committee, ‘General Comment No. 28: </w:t>
      </w:r>
      <w:r w:rsidRPr="00A46B17">
        <w:rPr>
          <w:szCs w:val="18"/>
        </w:rPr>
        <w:t>Equality of rights between men and women (article 3)’, CCPR/C/21/Rev.1/Add.10 (2000),</w:t>
      </w:r>
      <w:r w:rsidRPr="00A46B17">
        <w:rPr>
          <w:szCs w:val="18"/>
          <w:lang w:val="en-US"/>
        </w:rPr>
        <w:t xml:space="preserve"> para. 14.</w:t>
      </w:r>
    </w:p>
  </w:footnote>
  <w:footnote w:id="6">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w:t>
      </w:r>
      <w:proofErr w:type="spellStart"/>
      <w:r w:rsidRPr="00A46B17">
        <w:rPr>
          <w:szCs w:val="18"/>
        </w:rPr>
        <w:t>eg</w:t>
      </w:r>
      <w:proofErr w:type="spellEnd"/>
      <w:r w:rsidRPr="00A46B17">
        <w:rPr>
          <w:szCs w:val="18"/>
        </w:rPr>
        <w:t xml:space="preserve">. </w:t>
      </w:r>
      <w:proofErr w:type="gramStart"/>
      <w:r>
        <w:rPr>
          <w:szCs w:val="18"/>
        </w:rPr>
        <w:t>HRC Concluding Observations on Hong Kong, China</w:t>
      </w:r>
      <w:r w:rsidRPr="00A46B17">
        <w:rPr>
          <w:szCs w:val="18"/>
        </w:rPr>
        <w:t xml:space="preserve">, </w:t>
      </w:r>
      <w:r>
        <w:rPr>
          <w:i/>
          <w:szCs w:val="18"/>
        </w:rPr>
        <w:t xml:space="preserve">supra </w:t>
      </w:r>
      <w:r>
        <w:rPr>
          <w:szCs w:val="18"/>
        </w:rPr>
        <w:t xml:space="preserve">n. 3, </w:t>
      </w:r>
      <w:r w:rsidRPr="00A46B17">
        <w:rPr>
          <w:szCs w:val="18"/>
        </w:rPr>
        <w:t>para.</w:t>
      </w:r>
      <w:proofErr w:type="gramEnd"/>
      <w:r w:rsidRPr="00A46B17">
        <w:rPr>
          <w:szCs w:val="18"/>
        </w:rPr>
        <w:t xml:space="preserve"> 20. See further </w:t>
      </w:r>
      <w:r>
        <w:rPr>
          <w:szCs w:val="18"/>
          <w:lang w:val="en-US"/>
        </w:rPr>
        <w:t xml:space="preserve">Report of Special Rapporteur on the Human Rights of Migrants, </w:t>
      </w:r>
      <w:r>
        <w:rPr>
          <w:i/>
          <w:szCs w:val="18"/>
          <w:lang w:val="en-US"/>
        </w:rPr>
        <w:t xml:space="preserve">supra </w:t>
      </w:r>
      <w:r w:rsidR="00FA0F18">
        <w:rPr>
          <w:szCs w:val="18"/>
          <w:lang w:val="en-US"/>
        </w:rPr>
        <w:t>n. 3</w:t>
      </w:r>
      <w:r w:rsidRPr="00A46B17">
        <w:rPr>
          <w:szCs w:val="18"/>
          <w:lang w:val="en-US"/>
        </w:rPr>
        <w:t xml:space="preserve">, paras. 46-47. </w:t>
      </w:r>
      <w:r w:rsidRPr="00A46B17">
        <w:rPr>
          <w:szCs w:val="18"/>
        </w:rPr>
        <w:t>The Protocol to prevent, suppress and punish trafficking in persons, especially women and children, supplementing the United Nations Convention against Transnational Organized Crime (the “Palermo Protocol”) defines trafficking in persons as “</w:t>
      </w:r>
      <w:r w:rsidRPr="00A46B17">
        <w:rPr>
          <w:szCs w:val="18"/>
          <w:lang w:val="en-US"/>
        </w:rPr>
        <w:t xml:space="preserve">the recruitment, transportation, transfer, </w:t>
      </w:r>
      <w:proofErr w:type="spellStart"/>
      <w:r w:rsidRPr="00A46B17">
        <w:rPr>
          <w:szCs w:val="18"/>
          <w:lang w:val="en-US"/>
        </w:rPr>
        <w:t>harbouring</w:t>
      </w:r>
      <w:proofErr w:type="spellEnd"/>
      <w:r w:rsidRPr="00A46B17">
        <w:rPr>
          <w:szCs w:val="18"/>
          <w:lang w:val="en-US"/>
        </w:rPr>
        <w:t xml:space="preserve">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w:t>
      </w:r>
      <w:proofErr w:type="spellStart"/>
      <w:r w:rsidRPr="00A46B17">
        <w:rPr>
          <w:szCs w:val="18"/>
          <w:lang w:val="en-US"/>
        </w:rPr>
        <w:t>labour</w:t>
      </w:r>
      <w:proofErr w:type="spellEnd"/>
      <w:r w:rsidRPr="00A46B17">
        <w:rPr>
          <w:szCs w:val="18"/>
          <w:lang w:val="en-US"/>
        </w:rPr>
        <w:t xml:space="preserve"> or services, slavery or practices similar to slavery, servitude or the removal of organs”.</w:t>
      </w:r>
    </w:p>
  </w:footnote>
  <w:footnote w:id="7">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In this regard, in relation to effective measures to ensure compliance with regulation see </w:t>
      </w:r>
      <w:r>
        <w:rPr>
          <w:szCs w:val="18"/>
        </w:rPr>
        <w:t xml:space="preserve">HRC Concluding Observations on Hong Kong, China, </w:t>
      </w:r>
      <w:r w:rsidRPr="00A46B17">
        <w:rPr>
          <w:i/>
          <w:szCs w:val="18"/>
        </w:rPr>
        <w:t>ibid</w:t>
      </w:r>
      <w:r w:rsidRPr="00A46B17">
        <w:rPr>
          <w:szCs w:val="18"/>
        </w:rPr>
        <w:t xml:space="preserve">, para. </w:t>
      </w:r>
      <w:proofErr w:type="gramStart"/>
      <w:r w:rsidRPr="00A46B17">
        <w:rPr>
          <w:szCs w:val="18"/>
        </w:rPr>
        <w:t xml:space="preserve">21; </w:t>
      </w:r>
      <w:r>
        <w:rPr>
          <w:szCs w:val="18"/>
        </w:rPr>
        <w:t xml:space="preserve">HRC Concluding Observations on </w:t>
      </w:r>
      <w:r w:rsidRPr="00A46B17">
        <w:rPr>
          <w:szCs w:val="18"/>
        </w:rPr>
        <w:t>Kuwait,</w:t>
      </w:r>
      <w:r>
        <w:rPr>
          <w:szCs w:val="18"/>
        </w:rPr>
        <w:t xml:space="preserve"> </w:t>
      </w:r>
      <w:r>
        <w:rPr>
          <w:i/>
          <w:szCs w:val="18"/>
        </w:rPr>
        <w:t xml:space="preserve">supra </w:t>
      </w:r>
      <w:r>
        <w:rPr>
          <w:szCs w:val="18"/>
        </w:rPr>
        <w:t>n. 3</w:t>
      </w:r>
      <w:r w:rsidRPr="00A46B17">
        <w:rPr>
          <w:szCs w:val="18"/>
        </w:rPr>
        <w:t>, para.</w:t>
      </w:r>
      <w:proofErr w:type="gramEnd"/>
      <w:r w:rsidRPr="00A46B17">
        <w:rPr>
          <w:szCs w:val="18"/>
        </w:rPr>
        <w:t xml:space="preserve"> </w:t>
      </w:r>
      <w:proofErr w:type="gramStart"/>
      <w:r w:rsidRPr="00A46B17">
        <w:rPr>
          <w:szCs w:val="18"/>
        </w:rPr>
        <w:t xml:space="preserve">18; </w:t>
      </w:r>
      <w:r>
        <w:rPr>
          <w:szCs w:val="18"/>
        </w:rPr>
        <w:t xml:space="preserve">HRC Concluding Observations on </w:t>
      </w:r>
      <w:r w:rsidRPr="00A46B17">
        <w:rPr>
          <w:szCs w:val="18"/>
        </w:rPr>
        <w:t>Paraguay,</w:t>
      </w:r>
      <w:r>
        <w:rPr>
          <w:szCs w:val="18"/>
        </w:rPr>
        <w:t xml:space="preserve"> </w:t>
      </w:r>
      <w:r>
        <w:rPr>
          <w:i/>
          <w:szCs w:val="18"/>
        </w:rPr>
        <w:t xml:space="preserve">supra </w:t>
      </w:r>
      <w:r>
        <w:rPr>
          <w:szCs w:val="18"/>
        </w:rPr>
        <w:t>n. 3</w:t>
      </w:r>
      <w:r w:rsidR="00DB4BD3">
        <w:rPr>
          <w:szCs w:val="18"/>
        </w:rPr>
        <w:t>,</w:t>
      </w:r>
      <w:r w:rsidRPr="00A46B17">
        <w:rPr>
          <w:szCs w:val="18"/>
        </w:rPr>
        <w:t xml:space="preserve"> para.</w:t>
      </w:r>
      <w:proofErr w:type="gramEnd"/>
      <w:r w:rsidRPr="00A46B17">
        <w:rPr>
          <w:szCs w:val="18"/>
        </w:rPr>
        <w:t xml:space="preserve"> 18. See also CMW General Comment No. 1, para. 41; and Report of the Special Rapporteur on the Human Rights of Migrants</w:t>
      </w:r>
      <w:r>
        <w:rPr>
          <w:szCs w:val="18"/>
        </w:rPr>
        <w:t xml:space="preserve">, </w:t>
      </w:r>
      <w:r>
        <w:rPr>
          <w:i/>
          <w:szCs w:val="18"/>
        </w:rPr>
        <w:t xml:space="preserve">supra </w:t>
      </w:r>
      <w:r>
        <w:rPr>
          <w:szCs w:val="18"/>
        </w:rPr>
        <w:t>n. 3</w:t>
      </w:r>
      <w:r w:rsidRPr="00A46B17">
        <w:rPr>
          <w:szCs w:val="18"/>
          <w:lang w:val="en-US"/>
        </w:rPr>
        <w:t>, paras. 62-63.</w:t>
      </w:r>
    </w:p>
  </w:footnote>
  <w:footnote w:id="8">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further Report of the Special Rapporteur on the Human Rights of Migrants, </w:t>
      </w:r>
      <w:r>
        <w:rPr>
          <w:i/>
          <w:szCs w:val="18"/>
          <w:lang w:val="en-US"/>
        </w:rPr>
        <w:t>ibid</w:t>
      </w:r>
      <w:r w:rsidRPr="00A46B17">
        <w:rPr>
          <w:szCs w:val="18"/>
          <w:lang w:val="en-US"/>
        </w:rPr>
        <w:t>, para. 52.</w:t>
      </w:r>
    </w:p>
  </w:footnote>
  <w:footnote w:id="9">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i/>
          <w:szCs w:val="18"/>
        </w:rPr>
        <w:t xml:space="preserve"> </w:t>
      </w:r>
      <w:proofErr w:type="gramStart"/>
      <w:r>
        <w:rPr>
          <w:szCs w:val="18"/>
        </w:rPr>
        <w:t xml:space="preserve">HRC Concluding Observations on Hong Kong, China, </w:t>
      </w:r>
      <w:r>
        <w:rPr>
          <w:i/>
          <w:szCs w:val="18"/>
        </w:rPr>
        <w:t xml:space="preserve">supra </w:t>
      </w:r>
      <w:r>
        <w:rPr>
          <w:szCs w:val="18"/>
        </w:rPr>
        <w:t>n. 3</w:t>
      </w:r>
      <w:r w:rsidRPr="00A46B17">
        <w:rPr>
          <w:szCs w:val="18"/>
        </w:rPr>
        <w:t>, para.</w:t>
      </w:r>
      <w:proofErr w:type="gramEnd"/>
      <w:r w:rsidRPr="00A46B17">
        <w:rPr>
          <w:szCs w:val="18"/>
        </w:rPr>
        <w:t xml:space="preserve"> 20.</w:t>
      </w:r>
    </w:p>
  </w:footnote>
  <w:footnote w:id="10">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w:t>
      </w:r>
      <w:r w:rsidRPr="00D3761D">
        <w:rPr>
          <w:i/>
          <w:szCs w:val="18"/>
        </w:rPr>
        <w:t>Ibid</w:t>
      </w:r>
      <w:r w:rsidRPr="00A46B17">
        <w:rPr>
          <w:szCs w:val="18"/>
        </w:rPr>
        <w:t>.</w:t>
      </w:r>
    </w:p>
  </w:footnote>
  <w:footnote w:id="11">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w:t>
      </w:r>
      <w:r w:rsidRPr="00A46B17">
        <w:rPr>
          <w:i/>
          <w:szCs w:val="18"/>
        </w:rPr>
        <w:t>Ibid.</w:t>
      </w:r>
    </w:p>
  </w:footnote>
  <w:footnote w:id="12">
    <w:p w:rsidR="002D4244" w:rsidRPr="00A46B17" w:rsidRDefault="002D4244" w:rsidP="003F0CBB">
      <w:pPr>
        <w:pStyle w:val="FootnoteText"/>
        <w:tabs>
          <w:tab w:val="clear" w:pos="1021"/>
        </w:tabs>
        <w:spacing w:line="240" w:lineRule="auto"/>
        <w:ind w:left="0" w:right="0" w:firstLine="0"/>
        <w:rPr>
          <w:szCs w:val="18"/>
          <w:lang w:val="en-US"/>
        </w:rPr>
      </w:pPr>
      <w:r w:rsidRPr="00A46B17">
        <w:rPr>
          <w:rStyle w:val="FootnoteReference"/>
          <w:szCs w:val="18"/>
        </w:rPr>
        <w:footnoteRef/>
      </w:r>
      <w:r w:rsidRPr="00A46B17">
        <w:rPr>
          <w:szCs w:val="18"/>
        </w:rPr>
        <w:t xml:space="preserve"> Including the Slavery Conventions, the Palermo Protocol, </w:t>
      </w:r>
      <w:r>
        <w:rPr>
          <w:i/>
          <w:szCs w:val="18"/>
        </w:rPr>
        <w:t xml:space="preserve">supra </w:t>
      </w:r>
      <w:r w:rsidR="00FA0F18">
        <w:rPr>
          <w:szCs w:val="18"/>
        </w:rPr>
        <w:t>n. 5</w:t>
      </w:r>
      <w:r w:rsidRPr="00A46B17">
        <w:rPr>
          <w:szCs w:val="18"/>
        </w:rPr>
        <w:t xml:space="preserve">, </w:t>
      </w:r>
      <w:r w:rsidRPr="00A46B17">
        <w:rPr>
          <w:szCs w:val="18"/>
          <w:lang w:val="en-US"/>
        </w:rPr>
        <w:t xml:space="preserve">the International Convention on the Protection of the Rights of All Migrant Workers and Members of Their Families, </w:t>
      </w:r>
      <w:r w:rsidRPr="00A46B17">
        <w:rPr>
          <w:szCs w:val="18"/>
        </w:rPr>
        <w:t xml:space="preserve">ILO Conventions Nos. 97 and 143 concerning migrant workers, No. 29 concerning forced or compulsory labour, </w:t>
      </w:r>
      <w:r>
        <w:rPr>
          <w:szCs w:val="18"/>
        </w:rPr>
        <w:t xml:space="preserve">No. </w:t>
      </w:r>
      <w:r w:rsidRPr="00A46B17">
        <w:rPr>
          <w:szCs w:val="18"/>
        </w:rPr>
        <w:t xml:space="preserve">105 concerning the abolition of forced labour, and </w:t>
      </w:r>
      <w:r>
        <w:rPr>
          <w:szCs w:val="18"/>
        </w:rPr>
        <w:t xml:space="preserve">No. </w:t>
      </w:r>
      <w:r w:rsidRPr="00A46B17">
        <w:rPr>
          <w:szCs w:val="18"/>
        </w:rPr>
        <w:t xml:space="preserve">182 concerning the prohibition and immediate action for the </w:t>
      </w:r>
      <w:r w:rsidRPr="00A46B17">
        <w:rPr>
          <w:szCs w:val="18"/>
          <w:lang w:val="en-US"/>
        </w:rPr>
        <w:t>elimination</w:t>
      </w:r>
      <w:r w:rsidRPr="00A46B17">
        <w:rPr>
          <w:szCs w:val="18"/>
        </w:rPr>
        <w:t xml:space="preserve"> of the worst forms of child labour.  See further </w:t>
      </w:r>
      <w:r>
        <w:rPr>
          <w:szCs w:val="18"/>
        </w:rPr>
        <w:t xml:space="preserve">HRC Concluding Observations on Hong Kong, China, </w:t>
      </w:r>
      <w:r>
        <w:rPr>
          <w:i/>
          <w:szCs w:val="18"/>
        </w:rPr>
        <w:t xml:space="preserve">supra </w:t>
      </w:r>
      <w:r>
        <w:rPr>
          <w:szCs w:val="18"/>
        </w:rPr>
        <w:t xml:space="preserve">n. 3, </w:t>
      </w:r>
      <w:r w:rsidRPr="00A46B17">
        <w:rPr>
          <w:szCs w:val="18"/>
        </w:rPr>
        <w:t xml:space="preserve">para. 20 (concerning the Palermo Protocol) and Report of the Special Rapporteur on contemporary forms of slavery, including its causes and consequences, </w:t>
      </w:r>
      <w:proofErr w:type="spellStart"/>
      <w:r w:rsidRPr="00A46B17">
        <w:rPr>
          <w:szCs w:val="18"/>
        </w:rPr>
        <w:t>Gulnara</w:t>
      </w:r>
      <w:proofErr w:type="spellEnd"/>
      <w:r w:rsidRPr="00A46B17">
        <w:rPr>
          <w:szCs w:val="18"/>
        </w:rPr>
        <w:t xml:space="preserve"> </w:t>
      </w:r>
      <w:proofErr w:type="spellStart"/>
      <w:r w:rsidRPr="00A46B17">
        <w:rPr>
          <w:szCs w:val="18"/>
        </w:rPr>
        <w:t>Shahinian</w:t>
      </w:r>
      <w:proofErr w:type="spellEnd"/>
      <w:r w:rsidRPr="00A46B17">
        <w:rPr>
          <w:szCs w:val="18"/>
        </w:rPr>
        <w:t xml:space="preserve">: Addendum – Mission to Kazakhstan, A/HRC/24/43/Add.1 (2013), para. 118. </w:t>
      </w:r>
    </w:p>
  </w:footnote>
  <w:footnote w:id="13">
    <w:p w:rsidR="002D4244" w:rsidRPr="00A46B17" w:rsidRDefault="002D4244" w:rsidP="003F0CBB">
      <w:pPr>
        <w:pStyle w:val="FootnoteText"/>
        <w:tabs>
          <w:tab w:val="clear" w:pos="1021"/>
        </w:tabs>
        <w:spacing w:line="240" w:lineRule="auto"/>
        <w:ind w:left="0" w:right="0" w:firstLine="0"/>
        <w:rPr>
          <w:szCs w:val="18"/>
        </w:rPr>
      </w:pPr>
      <w:r w:rsidRPr="00A46B17">
        <w:rPr>
          <w:rStyle w:val="FootnoteReference"/>
          <w:szCs w:val="18"/>
        </w:rPr>
        <w:footnoteRef/>
      </w:r>
      <w:r w:rsidRPr="00A46B17">
        <w:rPr>
          <w:szCs w:val="18"/>
        </w:rPr>
        <w:t xml:space="preserve"> </w:t>
      </w:r>
      <w:proofErr w:type="gramStart"/>
      <w:r>
        <w:rPr>
          <w:szCs w:val="18"/>
        </w:rPr>
        <w:t xml:space="preserve">HRC General Comment 31, </w:t>
      </w:r>
      <w:r>
        <w:rPr>
          <w:i/>
          <w:szCs w:val="18"/>
        </w:rPr>
        <w:t xml:space="preserve">supra </w:t>
      </w:r>
      <w:r>
        <w:rPr>
          <w:szCs w:val="18"/>
        </w:rPr>
        <w:t>n. 1</w:t>
      </w:r>
      <w:r w:rsidRPr="00A46B17">
        <w:rPr>
          <w:szCs w:val="18"/>
        </w:rPr>
        <w:t>, para.</w:t>
      </w:r>
      <w:proofErr w:type="gramEnd"/>
      <w:r w:rsidRPr="00A46B17">
        <w:rPr>
          <w:szCs w:val="18"/>
        </w:rPr>
        <w:t xml:space="preserve"> 8.</w:t>
      </w:r>
    </w:p>
  </w:footnote>
  <w:footnote w:id="14">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w:t>
      </w:r>
      <w:r>
        <w:rPr>
          <w:szCs w:val="18"/>
        </w:rPr>
        <w:t xml:space="preserve">Current text of paragraph 58 reads: </w:t>
      </w:r>
      <w:r w:rsidRPr="00A46B17">
        <w:rPr>
          <w:szCs w:val="18"/>
        </w:rPr>
        <w:t xml:space="preserve">“Several safeguards that are essential for the prevention of torture are also necessary for the protection of persons </w:t>
      </w:r>
      <w:r w:rsidRPr="00D3761D">
        <w:rPr>
          <w:szCs w:val="18"/>
        </w:rPr>
        <w:t>in any form of detention</w:t>
      </w:r>
      <w:r w:rsidRPr="00A46B17">
        <w:rPr>
          <w:szCs w:val="18"/>
        </w:rPr>
        <w:t xml:space="preserve"> against arbitrary detention and infringement of personal security”.</w:t>
      </w:r>
    </w:p>
  </w:footnote>
  <w:footnote w:id="15">
    <w:p w:rsidR="002D4244" w:rsidRPr="00A46B17" w:rsidRDefault="002D4244" w:rsidP="001306A5">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further REDRESS, ‘Extraordinary Measures, Predictable Consequences: Security Legislation and the Prohibition of Torture’, September 2012, </w:t>
      </w:r>
      <w:hyperlink r:id="rId1" w:history="1">
        <w:r w:rsidRPr="00A46B17">
          <w:rPr>
            <w:rStyle w:val="Hyperlink"/>
            <w:szCs w:val="18"/>
          </w:rPr>
          <w:t>http://www.redress.org/downloads/publications/1209security_report.pdf</w:t>
        </w:r>
      </w:hyperlink>
      <w:r w:rsidRPr="00A46B17">
        <w:rPr>
          <w:szCs w:val="18"/>
        </w:rPr>
        <w:t xml:space="preserve">.   </w:t>
      </w:r>
    </w:p>
  </w:footnote>
  <w:footnote w:id="16">
    <w:p w:rsidR="002D4244" w:rsidRDefault="002D4244">
      <w:pPr>
        <w:pStyle w:val="FootnoteText"/>
      </w:pPr>
      <w:r>
        <w:rPr>
          <w:rStyle w:val="FootnoteReference"/>
        </w:rPr>
        <w:footnoteRef/>
      </w:r>
      <w:r>
        <w:t xml:space="preserve"> </w:t>
      </w:r>
      <w:r w:rsidRPr="00C7651F">
        <w:t>UN Body of Principles for the Protection of All Persons under Any Form of Deten</w:t>
      </w:r>
      <w:r>
        <w:t>tion or</w:t>
      </w:r>
    </w:p>
    <w:p w:rsidR="002D4244" w:rsidRPr="00C7651F" w:rsidRDefault="002D4244">
      <w:pPr>
        <w:pStyle w:val="FootnoteText"/>
      </w:pPr>
      <w:r w:rsidRPr="00C7651F">
        <w:t>Imprisonment, A/RES/43/173 (1988), Principles 24-26</w:t>
      </w:r>
      <w:r>
        <w:t>.</w:t>
      </w:r>
    </w:p>
  </w:footnote>
  <w:footnote w:id="17">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further Concluding Observations on Switzerland, </w:t>
      </w:r>
      <w:hyperlink r:id="rId2" w:tgtFrame="_blank" w:history="1">
        <w:r w:rsidRPr="00A46B17">
          <w:rPr>
            <w:szCs w:val="18"/>
            <w:lang w:val="es-ES"/>
          </w:rPr>
          <w:t>CCPR/CO/73/CH (2001)</w:t>
        </w:r>
      </w:hyperlink>
      <w:r w:rsidRPr="00A46B17">
        <w:rPr>
          <w:szCs w:val="18"/>
          <w:lang w:val="es-ES"/>
        </w:rPr>
        <w:t>, para. 12 (“</w:t>
      </w:r>
      <w:r w:rsidRPr="00A46B17">
        <w:rPr>
          <w:szCs w:val="18"/>
        </w:rPr>
        <w:t xml:space="preserve">The Committee is particularly concerned at persistent reports that detainees have been </w:t>
      </w:r>
      <w:r w:rsidRPr="00A46B17">
        <w:rPr>
          <w:szCs w:val="18"/>
          <w:lang w:val="en-US"/>
        </w:rPr>
        <w:t>denied</w:t>
      </w:r>
      <w:r w:rsidRPr="00A46B17">
        <w:rPr>
          <w:szCs w:val="18"/>
        </w:rPr>
        <w:t xml:space="preserve"> the right to contact a lawyer upon arrest or to inform a close relative of their detention”)</w:t>
      </w:r>
      <w:r w:rsidRPr="00A46B17">
        <w:rPr>
          <w:szCs w:val="18"/>
          <w:lang w:val="es-ES"/>
        </w:rPr>
        <w:t xml:space="preserve">; </w:t>
      </w:r>
      <w:r>
        <w:rPr>
          <w:szCs w:val="18"/>
          <w:lang w:val="es-ES"/>
        </w:rPr>
        <w:t>Concluding Observations on</w:t>
      </w:r>
      <w:r w:rsidRPr="00A46B17">
        <w:rPr>
          <w:szCs w:val="18"/>
          <w:lang w:val="es-ES"/>
        </w:rPr>
        <w:t xml:space="preserve"> Sweden, </w:t>
      </w:r>
      <w:r w:rsidRPr="00A46B17">
        <w:rPr>
          <w:szCs w:val="18"/>
        </w:rPr>
        <w:t>CCPR/C/SWE/CO/6 (2009), para. 13</w:t>
      </w:r>
      <w:r w:rsidRPr="00A46B17">
        <w:rPr>
          <w:szCs w:val="18"/>
          <w:lang w:val="es-ES"/>
        </w:rPr>
        <w:t xml:space="preserve"> (</w:t>
      </w:r>
      <w:r w:rsidRPr="00A46B17">
        <w:rPr>
          <w:szCs w:val="18"/>
        </w:rPr>
        <w:t xml:space="preserve">“take effective measures to ensure that fundamental legal safeguards are guaranteed in practice to all persons held in custody, in particular …to promptly inform a close relative or a third party concerning their arrest”).  See also </w:t>
      </w:r>
      <w:r w:rsidRPr="00A46B17">
        <w:rPr>
          <w:bCs/>
          <w:szCs w:val="18"/>
          <w:lang w:val="en-US"/>
        </w:rPr>
        <w:t>United Nations Principles and Guidelines on Access to Legal Aid in Criminal Justice Systems</w:t>
      </w:r>
      <w:r w:rsidRPr="00A46B17">
        <w:rPr>
          <w:szCs w:val="18"/>
          <w:lang w:val="en-US"/>
        </w:rPr>
        <w:t>, adopted by the UN General Assembly December 2012, Guideline 3, paragraph 43(e).</w:t>
      </w:r>
    </w:p>
  </w:footnote>
  <w:footnote w:id="18">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w:t>
      </w:r>
      <w:r w:rsidRPr="00A46B17">
        <w:rPr>
          <w:szCs w:val="18"/>
          <w:lang w:val="en-US"/>
        </w:rPr>
        <w:t xml:space="preserve">e, </w:t>
      </w:r>
      <w:proofErr w:type="spellStart"/>
      <w:r w:rsidRPr="00A46B17">
        <w:rPr>
          <w:szCs w:val="18"/>
          <w:lang w:val="en-US"/>
        </w:rPr>
        <w:t>eg</w:t>
      </w:r>
      <w:proofErr w:type="spellEnd"/>
      <w:r w:rsidRPr="00A46B17">
        <w:rPr>
          <w:szCs w:val="18"/>
          <w:lang w:val="en-US"/>
        </w:rPr>
        <w:t>. Vienna Convention on Consular Relations, U.N.T.S. Nos. 8638-8640, vol. 596, pp. 262-512, 24 April 1963, Article 36.</w:t>
      </w:r>
    </w:p>
  </w:footnote>
  <w:footnote w:id="19">
    <w:p w:rsidR="002D4244" w:rsidRPr="00A46B17" w:rsidRDefault="002D4244" w:rsidP="003F0CBB">
      <w:pPr>
        <w:pStyle w:val="FootnoteText"/>
        <w:spacing w:line="240" w:lineRule="auto"/>
        <w:rPr>
          <w:szCs w:val="18"/>
        </w:rPr>
      </w:pPr>
      <w:r w:rsidRPr="00A46B17">
        <w:rPr>
          <w:rStyle w:val="FootnoteReference"/>
          <w:szCs w:val="18"/>
        </w:rPr>
        <w:footnoteRef/>
      </w:r>
      <w:r w:rsidRPr="00A46B17">
        <w:rPr>
          <w:szCs w:val="18"/>
        </w:rPr>
        <w:t xml:space="preserve"> </w:t>
      </w:r>
      <w:r w:rsidRPr="00A46B17">
        <w:rPr>
          <w:i/>
          <w:szCs w:val="18"/>
        </w:rPr>
        <w:t>Ibid</w:t>
      </w:r>
      <w:r w:rsidRPr="00A46B17">
        <w:rPr>
          <w:szCs w:val="18"/>
        </w:rPr>
        <w:t>.</w:t>
      </w:r>
    </w:p>
  </w:footnote>
  <w:footnote w:id="20">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further, </w:t>
      </w:r>
      <w:proofErr w:type="spellStart"/>
      <w:r w:rsidRPr="00A46B17">
        <w:rPr>
          <w:szCs w:val="18"/>
        </w:rPr>
        <w:t>eg</w:t>
      </w:r>
      <w:proofErr w:type="spellEnd"/>
      <w:r w:rsidRPr="00A46B17">
        <w:rPr>
          <w:szCs w:val="18"/>
        </w:rPr>
        <w:t xml:space="preserve">. </w:t>
      </w:r>
      <w:proofErr w:type="gramStart"/>
      <w:r w:rsidRPr="00A46B17">
        <w:rPr>
          <w:szCs w:val="18"/>
        </w:rPr>
        <w:t xml:space="preserve">Committee </w:t>
      </w:r>
      <w:r w:rsidR="00FA0F18">
        <w:rPr>
          <w:szCs w:val="18"/>
        </w:rPr>
        <w:t>a</w:t>
      </w:r>
      <w:proofErr w:type="spellStart"/>
      <w:r w:rsidRPr="00A46B17">
        <w:rPr>
          <w:szCs w:val="18"/>
          <w:lang w:val="en-US"/>
        </w:rPr>
        <w:t>gainst</w:t>
      </w:r>
      <w:proofErr w:type="spellEnd"/>
      <w:r w:rsidRPr="00A46B17">
        <w:rPr>
          <w:szCs w:val="18"/>
        </w:rPr>
        <w:t xml:space="preserve"> Torture</w:t>
      </w:r>
      <w:r>
        <w:rPr>
          <w:szCs w:val="18"/>
        </w:rPr>
        <w:t xml:space="preserve"> (CAT)</w:t>
      </w:r>
      <w:r w:rsidRPr="00A46B17">
        <w:rPr>
          <w:szCs w:val="18"/>
        </w:rPr>
        <w:t xml:space="preserve"> Concluding Observations on Canada, CAT/C/CR/34/CAN (2005), para.</w:t>
      </w:r>
      <w:proofErr w:type="gramEnd"/>
      <w:r w:rsidRPr="00A46B17">
        <w:rPr>
          <w:szCs w:val="18"/>
        </w:rPr>
        <w:t xml:space="preserve"> </w:t>
      </w:r>
      <w:proofErr w:type="gramStart"/>
      <w:r w:rsidRPr="00A46B17">
        <w:rPr>
          <w:szCs w:val="18"/>
        </w:rPr>
        <w:t>5(d)</w:t>
      </w:r>
      <w:r>
        <w:rPr>
          <w:szCs w:val="18"/>
        </w:rPr>
        <w:t>; CAT Concluding Observations on</w:t>
      </w:r>
      <w:r w:rsidRPr="00A46B17">
        <w:rPr>
          <w:szCs w:val="18"/>
        </w:rPr>
        <w:t xml:space="preserve"> Saudi Arabia, CAT/C/CR/28/5 (2002), para.</w:t>
      </w:r>
      <w:proofErr w:type="gramEnd"/>
      <w:r w:rsidRPr="00A46B17">
        <w:rPr>
          <w:szCs w:val="18"/>
        </w:rPr>
        <w:t xml:space="preserve"> </w:t>
      </w:r>
      <w:proofErr w:type="gramStart"/>
      <w:r w:rsidRPr="00A46B17">
        <w:rPr>
          <w:szCs w:val="18"/>
        </w:rPr>
        <w:t>8(h).</w:t>
      </w:r>
      <w:proofErr w:type="gramEnd"/>
    </w:p>
  </w:footnote>
  <w:footnote w:id="21">
    <w:p w:rsidR="002D4244" w:rsidRPr="00A46B17" w:rsidRDefault="002D4244" w:rsidP="003F0CBB">
      <w:pPr>
        <w:pStyle w:val="FootnoteText"/>
        <w:tabs>
          <w:tab w:val="clear" w:pos="1021"/>
          <w:tab w:val="right" w:pos="0"/>
        </w:tabs>
        <w:spacing w:line="240" w:lineRule="auto"/>
        <w:ind w:left="0" w:right="0" w:firstLine="0"/>
        <w:rPr>
          <w:b/>
          <w:szCs w:val="18"/>
        </w:rPr>
      </w:pPr>
      <w:r w:rsidRPr="00A46B17">
        <w:rPr>
          <w:rStyle w:val="FootnoteReference"/>
          <w:szCs w:val="18"/>
        </w:rPr>
        <w:footnoteRef/>
      </w:r>
      <w:r w:rsidRPr="00A46B17">
        <w:rPr>
          <w:szCs w:val="18"/>
        </w:rPr>
        <w:t xml:space="preserve"> As to the importance of the right to consular assistance for detained foreign nationals see further Inter-American Court of Human Rights, </w:t>
      </w:r>
      <w:r w:rsidRPr="00A46B17">
        <w:rPr>
          <w:i/>
          <w:szCs w:val="18"/>
        </w:rPr>
        <w:t xml:space="preserve">The Right </w:t>
      </w:r>
      <w:r w:rsidRPr="00A46B17">
        <w:rPr>
          <w:szCs w:val="18"/>
        </w:rPr>
        <w:t>to</w:t>
      </w:r>
      <w:r w:rsidRPr="00A46B17">
        <w:rPr>
          <w:i/>
          <w:szCs w:val="18"/>
        </w:rPr>
        <w:t xml:space="preserve"> Information on Consular assistance in the Framework of the Guarantees of the Due Process of Law,</w:t>
      </w:r>
      <w:r w:rsidRPr="00A46B17">
        <w:rPr>
          <w:szCs w:val="18"/>
        </w:rPr>
        <w:t xml:space="preserve"> Advisory Opinion No. OC-16/99, Inter-Am Ct. H.R. (Ser A) No. 16 (1999), </w:t>
      </w:r>
      <w:hyperlink r:id="rId3" w:history="1">
        <w:r w:rsidRPr="00A46B17">
          <w:rPr>
            <w:rStyle w:val="Hyperlink"/>
            <w:szCs w:val="18"/>
          </w:rPr>
          <w:t>http://www1.umn.edu/humanrts/iachr/A/OC-16ingles-sinfirmas.html</w:t>
        </w:r>
      </w:hyperlink>
      <w:r w:rsidRPr="00A46B17">
        <w:rPr>
          <w:szCs w:val="18"/>
        </w:rPr>
        <w:t>; Inter-American Commission on Human Rights, ‘Principles and Best Practices on the Protection of Persons Deprived of Liberty in the Americas’, approved by the Commission during its 131</w:t>
      </w:r>
      <w:r w:rsidRPr="00A46B17">
        <w:rPr>
          <w:szCs w:val="18"/>
          <w:vertAlign w:val="superscript"/>
        </w:rPr>
        <w:t>st</w:t>
      </w:r>
      <w:r w:rsidRPr="00A46B17">
        <w:rPr>
          <w:szCs w:val="18"/>
        </w:rPr>
        <w:t xml:space="preserve"> regular period of sessions, held from March 3-14, 2008, </w:t>
      </w:r>
      <w:hyperlink r:id="rId4" w:history="1">
        <w:r w:rsidRPr="00A46B17">
          <w:rPr>
            <w:rStyle w:val="Hyperlink"/>
            <w:szCs w:val="18"/>
          </w:rPr>
          <w:t>http://www.cidh.org/Basicos/English/Basic21.a.Principles%20and%20Best%20Practices%20PDL.htm</w:t>
        </w:r>
      </w:hyperlink>
      <w:r w:rsidRPr="00A46B17">
        <w:rPr>
          <w:szCs w:val="18"/>
        </w:rPr>
        <w:t xml:space="preserve">, Principle 5.  See further International Court of Justice, </w:t>
      </w:r>
      <w:proofErr w:type="spellStart"/>
      <w:r w:rsidRPr="00A46B17">
        <w:rPr>
          <w:i/>
          <w:szCs w:val="18"/>
        </w:rPr>
        <w:t>Avena</w:t>
      </w:r>
      <w:proofErr w:type="spellEnd"/>
      <w:r w:rsidRPr="00A46B17">
        <w:rPr>
          <w:i/>
          <w:szCs w:val="18"/>
        </w:rPr>
        <w:t xml:space="preserve"> and Other Mexican Nationals (Mexico v. United States of America)</w:t>
      </w:r>
      <w:r w:rsidRPr="00A46B17">
        <w:rPr>
          <w:szCs w:val="18"/>
        </w:rPr>
        <w:t xml:space="preserve"> [2004] ICJ Rep 12; </w:t>
      </w:r>
      <w:proofErr w:type="spellStart"/>
      <w:r w:rsidRPr="00A46B17">
        <w:rPr>
          <w:i/>
          <w:iCs/>
          <w:color w:val="000000"/>
          <w:szCs w:val="18"/>
          <w:lang w:val="en-US"/>
        </w:rPr>
        <w:t>LaGrand</w:t>
      </w:r>
      <w:proofErr w:type="spellEnd"/>
      <w:r w:rsidRPr="00A46B17">
        <w:rPr>
          <w:i/>
          <w:iCs/>
          <w:color w:val="000000"/>
          <w:szCs w:val="18"/>
          <w:lang w:val="en-US"/>
        </w:rPr>
        <w:t xml:space="preserve"> Case (Germany v United States of America)</w:t>
      </w:r>
      <w:r w:rsidRPr="00A46B17">
        <w:rPr>
          <w:iCs/>
          <w:color w:val="000000"/>
          <w:szCs w:val="18"/>
          <w:lang w:val="en-US"/>
        </w:rPr>
        <w:t xml:space="preserve"> </w:t>
      </w:r>
      <w:r w:rsidRPr="00A46B17">
        <w:rPr>
          <w:color w:val="000000"/>
          <w:szCs w:val="18"/>
          <w:lang w:val="en-US"/>
        </w:rPr>
        <w:t>[2001] ICJ Rep 466.</w:t>
      </w:r>
    </w:p>
  </w:footnote>
  <w:footnote w:id="22">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w:t>
      </w:r>
      <w:proofErr w:type="gramStart"/>
      <w:r w:rsidRPr="00A46B17">
        <w:rPr>
          <w:szCs w:val="18"/>
        </w:rPr>
        <w:t>Concluding</w:t>
      </w:r>
      <w:proofErr w:type="gramEnd"/>
      <w:r w:rsidRPr="00A46B17">
        <w:rPr>
          <w:szCs w:val="18"/>
        </w:rPr>
        <w:t xml:space="preserve"> observations </w:t>
      </w:r>
      <w:r>
        <w:rPr>
          <w:szCs w:val="18"/>
        </w:rPr>
        <w:t xml:space="preserve">on </w:t>
      </w:r>
      <w:r w:rsidRPr="00A46B17">
        <w:rPr>
          <w:szCs w:val="18"/>
        </w:rPr>
        <w:t>Algeria</w:t>
      </w:r>
      <w:r>
        <w:rPr>
          <w:szCs w:val="18"/>
        </w:rPr>
        <w:t xml:space="preserve">, </w:t>
      </w:r>
      <w:r>
        <w:t>CCPR/C/DZA/CO/3</w:t>
      </w:r>
      <w:r w:rsidRPr="00A46B17">
        <w:rPr>
          <w:szCs w:val="18"/>
        </w:rPr>
        <w:t xml:space="preserve"> </w:t>
      </w:r>
      <w:r>
        <w:rPr>
          <w:szCs w:val="18"/>
        </w:rPr>
        <w:t>(</w:t>
      </w:r>
      <w:r w:rsidRPr="00A46B17">
        <w:rPr>
          <w:szCs w:val="18"/>
        </w:rPr>
        <w:t>2007</w:t>
      </w:r>
      <w:r>
        <w:rPr>
          <w:szCs w:val="18"/>
        </w:rPr>
        <w:t>)</w:t>
      </w:r>
      <w:r w:rsidRPr="00A46B17">
        <w:rPr>
          <w:szCs w:val="18"/>
        </w:rPr>
        <w:t xml:space="preserve">, para. </w:t>
      </w:r>
      <w:proofErr w:type="gramStart"/>
      <w:r w:rsidRPr="00A46B17">
        <w:rPr>
          <w:szCs w:val="18"/>
        </w:rPr>
        <w:t xml:space="preserve">11; </w:t>
      </w:r>
      <w:r>
        <w:rPr>
          <w:szCs w:val="18"/>
        </w:rPr>
        <w:t xml:space="preserve">Concluding Observations on </w:t>
      </w:r>
      <w:r w:rsidRPr="00A46B17">
        <w:rPr>
          <w:szCs w:val="18"/>
        </w:rPr>
        <w:t>Azerbaijan</w:t>
      </w:r>
      <w:r>
        <w:rPr>
          <w:szCs w:val="18"/>
        </w:rPr>
        <w:t xml:space="preserve">, </w:t>
      </w:r>
      <w:r>
        <w:t>CCPR/C/AZE/CO/3</w:t>
      </w:r>
      <w:r w:rsidRPr="00A46B17">
        <w:rPr>
          <w:szCs w:val="18"/>
        </w:rPr>
        <w:t xml:space="preserve"> </w:t>
      </w:r>
      <w:r>
        <w:rPr>
          <w:szCs w:val="18"/>
        </w:rPr>
        <w:t>(</w:t>
      </w:r>
      <w:r w:rsidRPr="00A46B17">
        <w:rPr>
          <w:szCs w:val="18"/>
        </w:rPr>
        <w:t>2009</w:t>
      </w:r>
      <w:r>
        <w:rPr>
          <w:szCs w:val="18"/>
        </w:rPr>
        <w:t>)</w:t>
      </w:r>
      <w:r w:rsidRPr="00A46B17">
        <w:rPr>
          <w:szCs w:val="18"/>
        </w:rPr>
        <w:t>, para.</w:t>
      </w:r>
      <w:proofErr w:type="gramEnd"/>
      <w:r w:rsidRPr="00A46B17">
        <w:rPr>
          <w:szCs w:val="18"/>
        </w:rPr>
        <w:t xml:space="preserve"> </w:t>
      </w:r>
      <w:proofErr w:type="gramStart"/>
      <w:r w:rsidRPr="00A46B17">
        <w:rPr>
          <w:szCs w:val="18"/>
        </w:rPr>
        <w:t xml:space="preserve">11; </w:t>
      </w:r>
      <w:r>
        <w:rPr>
          <w:szCs w:val="18"/>
        </w:rPr>
        <w:t xml:space="preserve">Concluding Observations on </w:t>
      </w:r>
      <w:r w:rsidRPr="00A46B17">
        <w:rPr>
          <w:szCs w:val="18"/>
        </w:rPr>
        <w:t>Russian Federation</w:t>
      </w:r>
      <w:r>
        <w:rPr>
          <w:szCs w:val="18"/>
        </w:rPr>
        <w:t xml:space="preserve">, </w:t>
      </w:r>
      <w:r>
        <w:t>CCPR/C/RUS/CO/6</w:t>
      </w:r>
      <w:r w:rsidRPr="00A46B17">
        <w:rPr>
          <w:szCs w:val="18"/>
        </w:rPr>
        <w:t xml:space="preserve"> </w:t>
      </w:r>
      <w:r>
        <w:rPr>
          <w:szCs w:val="18"/>
        </w:rPr>
        <w:t>(</w:t>
      </w:r>
      <w:r w:rsidRPr="00A46B17">
        <w:rPr>
          <w:szCs w:val="18"/>
        </w:rPr>
        <w:t>2009</w:t>
      </w:r>
      <w:r>
        <w:rPr>
          <w:szCs w:val="18"/>
        </w:rPr>
        <w:t>)</w:t>
      </w:r>
      <w:r w:rsidRPr="00A46B17">
        <w:rPr>
          <w:szCs w:val="18"/>
        </w:rPr>
        <w:t>, para.</w:t>
      </w:r>
      <w:proofErr w:type="gramEnd"/>
      <w:r w:rsidRPr="00A46B17">
        <w:rPr>
          <w:szCs w:val="18"/>
        </w:rPr>
        <w:t xml:space="preserve"> </w:t>
      </w:r>
      <w:proofErr w:type="gramStart"/>
      <w:r w:rsidRPr="00A46B17">
        <w:rPr>
          <w:szCs w:val="18"/>
        </w:rPr>
        <w:t xml:space="preserve">19 (mental health institutions); </w:t>
      </w:r>
      <w:r>
        <w:rPr>
          <w:szCs w:val="18"/>
        </w:rPr>
        <w:t xml:space="preserve">Concluding Observations on </w:t>
      </w:r>
      <w:r w:rsidRPr="00A46B17">
        <w:rPr>
          <w:szCs w:val="18"/>
        </w:rPr>
        <w:t>Iceland</w:t>
      </w:r>
      <w:r>
        <w:rPr>
          <w:szCs w:val="18"/>
        </w:rPr>
        <w:t>, CCPR/C/ISL/CO/5</w:t>
      </w:r>
      <w:r w:rsidRPr="00A46B17">
        <w:rPr>
          <w:szCs w:val="18"/>
        </w:rPr>
        <w:t xml:space="preserve"> </w:t>
      </w:r>
      <w:r>
        <w:rPr>
          <w:szCs w:val="18"/>
        </w:rPr>
        <w:t>(</w:t>
      </w:r>
      <w:r w:rsidRPr="00A46B17">
        <w:rPr>
          <w:szCs w:val="18"/>
        </w:rPr>
        <w:t>2012</w:t>
      </w:r>
      <w:r>
        <w:rPr>
          <w:szCs w:val="18"/>
        </w:rPr>
        <w:t>)</w:t>
      </w:r>
      <w:r w:rsidRPr="00A46B17">
        <w:rPr>
          <w:szCs w:val="18"/>
        </w:rPr>
        <w:t>, para.</w:t>
      </w:r>
      <w:proofErr w:type="gramEnd"/>
      <w:r w:rsidRPr="00A46B17">
        <w:rPr>
          <w:szCs w:val="18"/>
        </w:rPr>
        <w:t xml:space="preserve"> 11 (places of detention, including psychiatric facilities). </w:t>
      </w:r>
    </w:p>
  </w:footnote>
  <w:footnote w:id="23">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further Concluding Observations on Jordan, CCPR/C/JOR/CO/4 (2010), para. 10.</w:t>
      </w:r>
    </w:p>
  </w:footnote>
  <w:footnote w:id="24">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CAT Concluding Observations on Italy, CAT/C/ITA/CO/4 (2007), para. 16; Report of the Working Group on Arbitrary Detention: Visit to Malaysia, A/HRC/16/47/Add.2 (2011), paras. 126-128; Report of the Special Rapporteur on Migrants: Detention of Migrants in an Irregular Situation, A/HRC/20/24 (2012), para. 32.</w:t>
      </w:r>
    </w:p>
  </w:footnote>
  <w:footnote w:id="25">
    <w:p w:rsidR="002D4244" w:rsidRPr="00A46B17" w:rsidRDefault="002D4244" w:rsidP="003F0CBB">
      <w:pPr>
        <w:pStyle w:val="FootnoteText"/>
        <w:tabs>
          <w:tab w:val="clear" w:pos="1021"/>
          <w:tab w:val="right" w:pos="0"/>
        </w:tabs>
        <w:spacing w:line="240" w:lineRule="auto"/>
        <w:ind w:left="0" w:right="0" w:firstLine="0"/>
        <w:rPr>
          <w:b/>
          <w:szCs w:val="18"/>
        </w:rPr>
      </w:pPr>
      <w:r w:rsidRPr="00A46B17">
        <w:rPr>
          <w:rStyle w:val="FootnoteReference"/>
          <w:szCs w:val="18"/>
        </w:rPr>
        <w:footnoteRef/>
      </w:r>
      <w:r w:rsidRPr="00A46B17">
        <w:rPr>
          <w:szCs w:val="18"/>
        </w:rPr>
        <w:t xml:space="preserve"> Optional Protocol to the Convention against Torture and other Cruel, Inhuman or Degrading Treatment or Punishment, adopted on 18 December 2002 by resolution A/RES/57/199, entered into force on 22 June 2006</w:t>
      </w:r>
      <w:r w:rsidRPr="00A46B17">
        <w:rPr>
          <w:b/>
          <w:szCs w:val="18"/>
        </w:rPr>
        <w:t>.</w:t>
      </w:r>
    </w:p>
  </w:footnote>
  <w:footnote w:id="26">
    <w:p w:rsidR="002D4244" w:rsidRPr="00A46B17" w:rsidRDefault="002D4244" w:rsidP="003F0CBB">
      <w:pPr>
        <w:pStyle w:val="FootnoteText"/>
        <w:spacing w:line="240" w:lineRule="auto"/>
        <w:rPr>
          <w:szCs w:val="18"/>
        </w:rPr>
      </w:pPr>
      <w:r w:rsidRPr="00A46B17">
        <w:rPr>
          <w:rStyle w:val="FootnoteReference"/>
          <w:szCs w:val="18"/>
        </w:rPr>
        <w:footnoteRef/>
      </w:r>
      <w:r w:rsidRPr="00A46B17">
        <w:rPr>
          <w:szCs w:val="18"/>
        </w:rPr>
        <w:t xml:space="preserve"> Concluding Observations on Jordan, </w:t>
      </w:r>
      <w:r>
        <w:rPr>
          <w:i/>
          <w:szCs w:val="18"/>
        </w:rPr>
        <w:t xml:space="preserve">supra </w:t>
      </w:r>
      <w:r>
        <w:rPr>
          <w:szCs w:val="18"/>
        </w:rPr>
        <w:t>n. 22</w:t>
      </w:r>
      <w:r w:rsidRPr="00A46B17">
        <w:rPr>
          <w:szCs w:val="18"/>
        </w:rPr>
        <w:t>, para. 10.</w:t>
      </w:r>
    </w:p>
  </w:footnote>
  <w:footnote w:id="27">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w:t>
      </w:r>
      <w:proofErr w:type="spellStart"/>
      <w:r w:rsidRPr="00A46B17">
        <w:rPr>
          <w:szCs w:val="18"/>
        </w:rPr>
        <w:t>eg</w:t>
      </w:r>
      <w:proofErr w:type="spellEnd"/>
      <w:r w:rsidRPr="00A46B17">
        <w:rPr>
          <w:szCs w:val="18"/>
        </w:rPr>
        <w:t xml:space="preserve">. </w:t>
      </w:r>
      <w:proofErr w:type="gramStart"/>
      <w:r w:rsidRPr="00A46B17">
        <w:rPr>
          <w:szCs w:val="18"/>
        </w:rPr>
        <w:t>Concluding Observations on Turkey, CCPR/C/TUR/CO/1 (2012), para.</w:t>
      </w:r>
      <w:proofErr w:type="gramEnd"/>
      <w:r w:rsidRPr="00A46B17">
        <w:rPr>
          <w:szCs w:val="18"/>
        </w:rPr>
        <w:t xml:space="preserve"> </w:t>
      </w:r>
      <w:proofErr w:type="gramStart"/>
      <w:r w:rsidRPr="00A46B17">
        <w:rPr>
          <w:szCs w:val="18"/>
        </w:rPr>
        <w:t xml:space="preserve">4; </w:t>
      </w:r>
      <w:r>
        <w:rPr>
          <w:szCs w:val="18"/>
        </w:rPr>
        <w:t xml:space="preserve">Concluding Observations on </w:t>
      </w:r>
      <w:r w:rsidRPr="00A46B17">
        <w:rPr>
          <w:szCs w:val="18"/>
        </w:rPr>
        <w:t>Peru, CCPR/C/PER/CO/5 (2013), para.</w:t>
      </w:r>
      <w:proofErr w:type="gramEnd"/>
      <w:r w:rsidRPr="00A46B17">
        <w:rPr>
          <w:szCs w:val="18"/>
        </w:rPr>
        <w:t xml:space="preserve"> </w:t>
      </w:r>
      <w:proofErr w:type="gramStart"/>
      <w:r w:rsidRPr="00A46B17">
        <w:rPr>
          <w:szCs w:val="18"/>
        </w:rPr>
        <w:t xml:space="preserve">3; </w:t>
      </w:r>
      <w:r>
        <w:rPr>
          <w:szCs w:val="18"/>
        </w:rPr>
        <w:t xml:space="preserve">Concluding Observations on </w:t>
      </w:r>
      <w:r w:rsidRPr="00A46B17">
        <w:rPr>
          <w:szCs w:val="18"/>
        </w:rPr>
        <w:t>Serbia, CCPR/C/SRB/CO/2 (2011), para.</w:t>
      </w:r>
      <w:proofErr w:type="gramEnd"/>
      <w:r w:rsidRPr="00A46B17">
        <w:rPr>
          <w:szCs w:val="18"/>
        </w:rPr>
        <w:t xml:space="preserve"> </w:t>
      </w:r>
      <w:proofErr w:type="gramStart"/>
      <w:r w:rsidRPr="00A46B17">
        <w:rPr>
          <w:szCs w:val="18"/>
        </w:rPr>
        <w:t xml:space="preserve">4; </w:t>
      </w:r>
      <w:r>
        <w:rPr>
          <w:szCs w:val="18"/>
        </w:rPr>
        <w:t xml:space="preserve">Concluding Observations on </w:t>
      </w:r>
      <w:r w:rsidRPr="00A46B17">
        <w:rPr>
          <w:szCs w:val="18"/>
        </w:rPr>
        <w:t>Mauritania, CCPR/C/MRT/CO/1 (2013), para.</w:t>
      </w:r>
      <w:proofErr w:type="gramEnd"/>
      <w:r w:rsidRPr="00A46B17">
        <w:rPr>
          <w:szCs w:val="18"/>
        </w:rPr>
        <w:t xml:space="preserve"> 3.</w:t>
      </w:r>
    </w:p>
  </w:footnote>
  <w:footnote w:id="28">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w:t>
      </w:r>
      <w:proofErr w:type="gramStart"/>
      <w:r w:rsidRPr="00A46B17">
        <w:rPr>
          <w:szCs w:val="18"/>
        </w:rPr>
        <w:t xml:space="preserve">Concluding Observations on Peru, </w:t>
      </w:r>
      <w:r>
        <w:rPr>
          <w:i/>
          <w:szCs w:val="18"/>
        </w:rPr>
        <w:t>ibid</w:t>
      </w:r>
      <w:r w:rsidRPr="00A46B17">
        <w:rPr>
          <w:szCs w:val="18"/>
        </w:rPr>
        <w:t>, para.</w:t>
      </w:r>
      <w:proofErr w:type="gramEnd"/>
      <w:r w:rsidRPr="00A46B17">
        <w:rPr>
          <w:szCs w:val="18"/>
        </w:rPr>
        <w:t xml:space="preserve"> </w:t>
      </w:r>
      <w:proofErr w:type="gramStart"/>
      <w:r w:rsidRPr="00A46B17">
        <w:rPr>
          <w:szCs w:val="18"/>
        </w:rPr>
        <w:t>19; Czech Republic, CCPR/C/CZE/CO/3 (2013), para.</w:t>
      </w:r>
      <w:proofErr w:type="gramEnd"/>
      <w:r w:rsidRPr="00A46B17">
        <w:rPr>
          <w:szCs w:val="18"/>
        </w:rPr>
        <w:t xml:space="preserve"> 5.</w:t>
      </w:r>
    </w:p>
  </w:footnote>
  <w:footnote w:id="29">
    <w:p w:rsidR="002D4244" w:rsidRPr="00A46B17" w:rsidRDefault="002D4244" w:rsidP="000E1B75">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w:t>
      </w:r>
      <w:r w:rsidRPr="00A46B17">
        <w:rPr>
          <w:i/>
          <w:szCs w:val="18"/>
        </w:rPr>
        <w:t xml:space="preserve">Al </w:t>
      </w:r>
      <w:proofErr w:type="spellStart"/>
      <w:r w:rsidRPr="00A46B17">
        <w:rPr>
          <w:i/>
          <w:szCs w:val="18"/>
        </w:rPr>
        <w:t>Gertani</w:t>
      </w:r>
      <w:proofErr w:type="spellEnd"/>
      <w:r w:rsidRPr="00A46B17">
        <w:rPr>
          <w:i/>
          <w:szCs w:val="18"/>
        </w:rPr>
        <w:t xml:space="preserve"> v. Bosnia and Herzegovina</w:t>
      </w:r>
      <w:r w:rsidRPr="00A46B17">
        <w:rPr>
          <w:szCs w:val="18"/>
        </w:rPr>
        <w:t xml:space="preserve">, Comm. No. 1955/2010, para. </w:t>
      </w:r>
      <w:proofErr w:type="gramStart"/>
      <w:r w:rsidRPr="00A46B17">
        <w:rPr>
          <w:szCs w:val="18"/>
        </w:rPr>
        <w:t xml:space="preserve">10.3; </w:t>
      </w:r>
      <w:r w:rsidRPr="00A46B17">
        <w:rPr>
          <w:i/>
          <w:szCs w:val="18"/>
        </w:rPr>
        <w:t>F.K.AG et Al v. Australia</w:t>
      </w:r>
      <w:r w:rsidRPr="00A46B17">
        <w:rPr>
          <w:szCs w:val="18"/>
        </w:rPr>
        <w:t xml:space="preserve">, </w:t>
      </w:r>
      <w:proofErr w:type="spellStart"/>
      <w:r w:rsidRPr="00A46B17">
        <w:rPr>
          <w:szCs w:val="18"/>
        </w:rPr>
        <w:t>Comm</w:t>
      </w:r>
      <w:proofErr w:type="spellEnd"/>
      <w:r w:rsidRPr="00A46B17">
        <w:rPr>
          <w:szCs w:val="18"/>
        </w:rPr>
        <w:t xml:space="preserve"> No. 2094/2011, para.</w:t>
      </w:r>
      <w:proofErr w:type="gramEnd"/>
      <w:r w:rsidRPr="00A46B17">
        <w:rPr>
          <w:szCs w:val="18"/>
        </w:rPr>
        <w:t xml:space="preserve"> 9.5; </w:t>
      </w:r>
      <w:r w:rsidRPr="00A46B17">
        <w:rPr>
          <w:i/>
          <w:szCs w:val="18"/>
        </w:rPr>
        <w:t>M.M.M. et al v. Australia</w:t>
      </w:r>
      <w:r w:rsidRPr="00A46B17">
        <w:rPr>
          <w:szCs w:val="18"/>
        </w:rPr>
        <w:t>, Comm. No. 2136/2012, para 10.2; Concluding Observations on Argentina, CCPR/C/ARG/CO/4 (2010), para. 18.</w:t>
      </w:r>
    </w:p>
  </w:footnote>
  <w:footnote w:id="30">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Concluding Observations on Peru,</w:t>
      </w:r>
      <w:r>
        <w:rPr>
          <w:szCs w:val="18"/>
        </w:rPr>
        <w:t xml:space="preserve"> </w:t>
      </w:r>
      <w:r>
        <w:rPr>
          <w:i/>
          <w:szCs w:val="18"/>
        </w:rPr>
        <w:t xml:space="preserve">supra </w:t>
      </w:r>
      <w:r w:rsidR="00D8726E">
        <w:rPr>
          <w:szCs w:val="18"/>
        </w:rPr>
        <w:t>n. 26</w:t>
      </w:r>
      <w:r w:rsidRPr="00A46B17">
        <w:rPr>
          <w:szCs w:val="18"/>
        </w:rPr>
        <w:t xml:space="preserve">, para. </w:t>
      </w:r>
      <w:proofErr w:type="gramStart"/>
      <w:r w:rsidRPr="00A46B17">
        <w:rPr>
          <w:szCs w:val="18"/>
        </w:rPr>
        <w:t>19; Czech Republic, CCPR/C/CZE/CO/3 (2013), para.</w:t>
      </w:r>
      <w:proofErr w:type="gramEnd"/>
      <w:r w:rsidRPr="00A46B17">
        <w:rPr>
          <w:szCs w:val="18"/>
        </w:rPr>
        <w:t xml:space="preserve"> 5.</w:t>
      </w:r>
    </w:p>
  </w:footnote>
  <w:footnote w:id="31">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Report of the Working Group on Arbitrary Detention: Mission to Angola, A/HRC/7/4/Add.4 (2008), para. </w:t>
      </w:r>
      <w:proofErr w:type="gramStart"/>
      <w:r w:rsidRPr="00A46B17">
        <w:rPr>
          <w:szCs w:val="18"/>
        </w:rPr>
        <w:t>104(</w:t>
      </w:r>
      <w:proofErr w:type="spellStart"/>
      <w:r w:rsidRPr="00A46B17">
        <w:rPr>
          <w:szCs w:val="18"/>
        </w:rPr>
        <w:t>i</w:t>
      </w:r>
      <w:proofErr w:type="spellEnd"/>
      <w:r w:rsidRPr="00A46B17">
        <w:rPr>
          <w:szCs w:val="18"/>
        </w:rPr>
        <w:t>).</w:t>
      </w:r>
      <w:proofErr w:type="gramEnd"/>
    </w:p>
  </w:footnote>
  <w:footnote w:id="32">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Report of the Working Group on Arbitrary Detention: Mission to Malta, A/HRC/13/30/Add.2 (2010), para. </w:t>
      </w:r>
      <w:proofErr w:type="gramStart"/>
      <w:r w:rsidRPr="00A46B17">
        <w:rPr>
          <w:szCs w:val="18"/>
        </w:rPr>
        <w:t>79(l).</w:t>
      </w:r>
      <w:proofErr w:type="gramEnd"/>
    </w:p>
  </w:footnote>
  <w:footnote w:id="33">
    <w:p w:rsidR="002D4244" w:rsidRPr="00BB2912" w:rsidRDefault="002D4244" w:rsidP="00D8726E">
      <w:pPr>
        <w:spacing w:before="120"/>
        <w:rPr>
          <w:szCs w:val="18"/>
        </w:rPr>
      </w:pPr>
      <w:r>
        <w:rPr>
          <w:rStyle w:val="FootnoteReference"/>
        </w:rPr>
        <w:footnoteRef/>
      </w:r>
      <w:r>
        <w:t xml:space="preserve"> </w:t>
      </w:r>
      <w:r w:rsidR="00DB4BD3" w:rsidRPr="00D8726E">
        <w:rPr>
          <w:rFonts w:ascii="Times New Roman" w:eastAsia="Times New Roman" w:hAnsi="Times New Roman" w:cs="Times New Roman"/>
          <w:sz w:val="18"/>
          <w:szCs w:val="18"/>
        </w:rPr>
        <w:t>Subcommittee on Prevention of Torture</w:t>
      </w:r>
      <w:r w:rsidR="00DB4BD3">
        <w:rPr>
          <w:rFonts w:ascii="Times New Roman" w:eastAsia="Times New Roman" w:hAnsi="Times New Roman" w:cs="Times New Roman"/>
          <w:sz w:val="18"/>
          <w:szCs w:val="18"/>
        </w:rPr>
        <w:t xml:space="preserve"> </w:t>
      </w:r>
      <w:r w:rsidR="00DB4BD3" w:rsidRPr="00D8726E">
        <w:rPr>
          <w:rFonts w:ascii="Times New Roman" w:eastAsia="Times New Roman" w:hAnsi="Times New Roman" w:cs="Times New Roman"/>
          <w:sz w:val="18"/>
          <w:szCs w:val="18"/>
        </w:rPr>
        <w:t>and Other Cruel, Inhu</w:t>
      </w:r>
      <w:r w:rsidR="00DB4BD3">
        <w:rPr>
          <w:rFonts w:ascii="Times New Roman" w:eastAsia="Times New Roman" w:hAnsi="Times New Roman" w:cs="Times New Roman"/>
          <w:sz w:val="18"/>
          <w:szCs w:val="18"/>
        </w:rPr>
        <w:t xml:space="preserve">man or Degrading </w:t>
      </w:r>
      <w:r w:rsidR="00DB4BD3" w:rsidRPr="00D8726E">
        <w:rPr>
          <w:rFonts w:ascii="Times New Roman" w:eastAsia="Times New Roman" w:hAnsi="Times New Roman" w:cs="Times New Roman"/>
          <w:sz w:val="18"/>
          <w:szCs w:val="18"/>
        </w:rPr>
        <w:t>Treatment or Punishment</w:t>
      </w:r>
      <w:r w:rsidR="00DB4BD3">
        <w:rPr>
          <w:rFonts w:ascii="Times New Roman" w:eastAsia="Times New Roman" w:hAnsi="Times New Roman" w:cs="Times New Roman"/>
          <w:sz w:val="18"/>
          <w:szCs w:val="18"/>
        </w:rPr>
        <w:t xml:space="preserve">, </w:t>
      </w:r>
      <w:r w:rsidR="00DB4BD3" w:rsidRPr="00D8726E">
        <w:rPr>
          <w:rFonts w:ascii="Times New Roman" w:eastAsia="Times New Roman" w:hAnsi="Times New Roman" w:cs="Times New Roman"/>
          <w:sz w:val="18"/>
          <w:szCs w:val="18"/>
        </w:rPr>
        <w:t>Guideli</w:t>
      </w:r>
      <w:r w:rsidR="00BB2912">
        <w:rPr>
          <w:rFonts w:ascii="Times New Roman" w:eastAsia="Times New Roman" w:hAnsi="Times New Roman" w:cs="Times New Roman"/>
          <w:sz w:val="18"/>
          <w:szCs w:val="18"/>
        </w:rPr>
        <w:t>ne</w:t>
      </w:r>
      <w:r w:rsidR="00DB4BD3" w:rsidRPr="00D8726E">
        <w:rPr>
          <w:rFonts w:ascii="Times New Roman" w:eastAsia="Times New Roman" w:hAnsi="Times New Roman" w:cs="Times New Roman"/>
          <w:sz w:val="18"/>
          <w:szCs w:val="18"/>
        </w:rPr>
        <w:t xml:space="preserve">s on national preventive mechanisms, </w:t>
      </w:r>
      <w:r w:rsidRPr="00D8726E">
        <w:rPr>
          <w:rFonts w:ascii="Times New Roman" w:eastAsia="Times New Roman" w:hAnsi="Times New Roman" w:cs="Times New Roman"/>
          <w:sz w:val="18"/>
          <w:szCs w:val="18"/>
        </w:rPr>
        <w:t>CAT/OP/12/5</w:t>
      </w:r>
      <w:r w:rsidR="00DB4BD3" w:rsidRPr="00DB4BD3">
        <w:rPr>
          <w:rFonts w:ascii="Times New Roman" w:eastAsia="Times New Roman" w:hAnsi="Times New Roman" w:cs="Times New Roman"/>
          <w:sz w:val="18"/>
          <w:szCs w:val="18"/>
        </w:rPr>
        <w:t xml:space="preserve"> (</w:t>
      </w:r>
      <w:r w:rsidR="00DB4BD3">
        <w:rPr>
          <w:rFonts w:ascii="Times New Roman" w:eastAsia="Times New Roman" w:hAnsi="Times New Roman" w:cs="Times New Roman"/>
          <w:sz w:val="18"/>
          <w:szCs w:val="18"/>
        </w:rPr>
        <w:t>2010).</w:t>
      </w:r>
    </w:p>
  </w:footnote>
  <w:footnote w:id="34">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Human Rights Committee, General Comment No. 8: Article 9 (Right to liberty and security of persons), </w:t>
      </w:r>
      <w:r>
        <w:rPr>
          <w:szCs w:val="18"/>
        </w:rPr>
        <w:t xml:space="preserve">HRI/GEN/1/Rev.1 </w:t>
      </w:r>
      <w:r w:rsidRPr="00A46B17">
        <w:rPr>
          <w:szCs w:val="18"/>
        </w:rPr>
        <w:t>(1982), para. 1.</w:t>
      </w:r>
    </w:p>
  </w:footnote>
  <w:footnote w:id="35">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further Concluding Observations on Switzerland, </w:t>
      </w:r>
      <w:hyperlink r:id="rId5" w:tgtFrame="_blank" w:history="1">
        <w:r w:rsidRPr="00A46B17">
          <w:rPr>
            <w:szCs w:val="18"/>
            <w:lang w:val="es-ES"/>
          </w:rPr>
          <w:t>CCPR/CO/73/CH (2001)</w:t>
        </w:r>
      </w:hyperlink>
      <w:r w:rsidRPr="00A46B17">
        <w:rPr>
          <w:szCs w:val="18"/>
          <w:lang w:val="es-ES"/>
        </w:rPr>
        <w:t>, para. 12 (“</w:t>
      </w:r>
      <w:r w:rsidRPr="00A46B17">
        <w:rPr>
          <w:szCs w:val="18"/>
        </w:rPr>
        <w:t xml:space="preserve">The Committee is particularly concerned at persistent reports that detainees have been </w:t>
      </w:r>
      <w:r w:rsidRPr="00A46B17">
        <w:rPr>
          <w:szCs w:val="18"/>
          <w:lang w:val="en-US"/>
        </w:rPr>
        <w:t>denied</w:t>
      </w:r>
      <w:r w:rsidRPr="00A46B17">
        <w:rPr>
          <w:szCs w:val="18"/>
        </w:rPr>
        <w:t xml:space="preserve"> the right to contact a lawyer upon arrest or to inform a close relative of their detention”)</w:t>
      </w:r>
      <w:r w:rsidRPr="00A46B17">
        <w:rPr>
          <w:szCs w:val="18"/>
          <w:lang w:val="es-ES"/>
        </w:rPr>
        <w:t xml:space="preserve">;  Sweden, </w:t>
      </w:r>
      <w:r w:rsidRPr="00A46B17">
        <w:rPr>
          <w:szCs w:val="18"/>
        </w:rPr>
        <w:t>CCPR/C/SWE/CO/6 (2009), para. 13</w:t>
      </w:r>
      <w:r w:rsidRPr="00A46B17">
        <w:rPr>
          <w:szCs w:val="18"/>
          <w:lang w:val="es-ES"/>
        </w:rPr>
        <w:t xml:space="preserve"> (</w:t>
      </w:r>
      <w:r w:rsidRPr="00A46B17">
        <w:rPr>
          <w:szCs w:val="18"/>
        </w:rPr>
        <w:t>“take effective measures to ensure that fundamental legal safeguards are guaranteed in practice to all persons held in custody, in particular …to promptly inform a close relative or a third party concerning their arrest”).</w:t>
      </w:r>
    </w:p>
  </w:footnote>
  <w:footnote w:id="36">
    <w:p w:rsidR="002D4244" w:rsidRPr="00A46B17" w:rsidRDefault="002D4244" w:rsidP="003F0C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further General Comment No. 20: Article 7 </w:t>
      </w:r>
      <w:r>
        <w:rPr>
          <w:szCs w:val="18"/>
        </w:rPr>
        <w:t xml:space="preserve">on the </w:t>
      </w:r>
      <w:r w:rsidRPr="00A46B17">
        <w:rPr>
          <w:szCs w:val="18"/>
        </w:rPr>
        <w:t>Prohibition of Torture, or Other Cruel, Inhuman or Degrading Treatment or Punishment</w:t>
      </w:r>
      <w:r>
        <w:rPr>
          <w:szCs w:val="18"/>
        </w:rPr>
        <w:t>, A/44/40</w:t>
      </w:r>
      <w:r w:rsidRPr="00A46B17">
        <w:rPr>
          <w:szCs w:val="18"/>
        </w:rPr>
        <w:t xml:space="preserve"> (1992), para. 11.</w:t>
      </w:r>
    </w:p>
  </w:footnote>
  <w:footnote w:id="37">
    <w:p w:rsidR="002D4244" w:rsidRPr="00A46B17" w:rsidRDefault="002D4244" w:rsidP="003F0CBB">
      <w:pPr>
        <w:pStyle w:val="FootnoteText"/>
        <w:tabs>
          <w:tab w:val="clear" w:pos="1021"/>
          <w:tab w:val="right" w:pos="0"/>
        </w:tabs>
        <w:spacing w:line="240" w:lineRule="auto"/>
        <w:ind w:left="0" w:right="0" w:firstLine="0"/>
        <w:rPr>
          <w:szCs w:val="18"/>
          <w:lang w:val="es-ES"/>
        </w:rPr>
      </w:pPr>
      <w:r w:rsidRPr="00A46B17">
        <w:rPr>
          <w:rStyle w:val="FootnoteReference"/>
          <w:szCs w:val="18"/>
        </w:rPr>
        <w:footnoteRef/>
      </w:r>
      <w:r w:rsidRPr="00A46B17">
        <w:rPr>
          <w:szCs w:val="18"/>
          <w:lang w:val="es-ES"/>
        </w:rPr>
        <w:t xml:space="preserve"> </w:t>
      </w:r>
      <w:proofErr w:type="spellStart"/>
      <w:r w:rsidRPr="00720827">
        <w:rPr>
          <w:i/>
          <w:szCs w:val="18"/>
        </w:rPr>
        <w:t>Gridin</w:t>
      </w:r>
      <w:proofErr w:type="spellEnd"/>
      <w:r w:rsidRPr="00720827">
        <w:rPr>
          <w:i/>
          <w:szCs w:val="18"/>
          <w:lang w:val="es-ES"/>
        </w:rPr>
        <w:t xml:space="preserve"> v. Russian Federation</w:t>
      </w:r>
      <w:r w:rsidRPr="00A46B17">
        <w:rPr>
          <w:szCs w:val="18"/>
          <w:lang w:val="es-ES"/>
        </w:rPr>
        <w:t>,</w:t>
      </w:r>
      <w:r>
        <w:rPr>
          <w:szCs w:val="18"/>
          <w:lang w:val="es-ES"/>
        </w:rPr>
        <w:t xml:space="preserve"> Comm. No. </w:t>
      </w:r>
      <w:r w:rsidRPr="00A46B17">
        <w:rPr>
          <w:szCs w:val="18"/>
          <w:lang w:val="es-ES"/>
        </w:rPr>
        <w:t>770/1997, para. 8.1.</w:t>
      </w:r>
    </w:p>
  </w:footnote>
  <w:footnote w:id="38">
    <w:p w:rsidR="002D4244" w:rsidRPr="00A46B17" w:rsidRDefault="002D4244" w:rsidP="003F0CBB">
      <w:pPr>
        <w:pStyle w:val="FootnoteText"/>
        <w:tabs>
          <w:tab w:val="clear" w:pos="1021"/>
          <w:tab w:val="right" w:pos="0"/>
        </w:tabs>
        <w:spacing w:line="240" w:lineRule="auto"/>
        <w:ind w:left="0" w:right="0" w:firstLine="0"/>
        <w:rPr>
          <w:szCs w:val="18"/>
          <w:lang w:val="es-ES"/>
        </w:rPr>
      </w:pPr>
      <w:r w:rsidRPr="00A46B17">
        <w:rPr>
          <w:rStyle w:val="FootnoteReference"/>
          <w:szCs w:val="18"/>
        </w:rPr>
        <w:footnoteRef/>
      </w:r>
      <w:r w:rsidRPr="00A46B17">
        <w:rPr>
          <w:szCs w:val="18"/>
          <w:lang w:val="es-ES"/>
        </w:rPr>
        <w:t xml:space="preserve"> </w:t>
      </w:r>
      <w:r w:rsidRPr="00720827">
        <w:rPr>
          <w:i/>
          <w:szCs w:val="18"/>
          <w:lang w:val="es-ES"/>
        </w:rPr>
        <w:t>Umarov v. Uzbekistan</w:t>
      </w:r>
      <w:r w:rsidRPr="00A46B17">
        <w:rPr>
          <w:szCs w:val="18"/>
          <w:lang w:val="es-ES"/>
        </w:rPr>
        <w:t>,</w:t>
      </w:r>
      <w:r>
        <w:rPr>
          <w:szCs w:val="18"/>
          <w:lang w:val="es-ES"/>
        </w:rPr>
        <w:t xml:space="preserve"> Comm. No. </w:t>
      </w:r>
      <w:r w:rsidRPr="00A46B17">
        <w:rPr>
          <w:szCs w:val="18"/>
          <w:lang w:val="es-ES"/>
        </w:rPr>
        <w:t>1449/2006,  para. 8.4.</w:t>
      </w:r>
    </w:p>
  </w:footnote>
  <w:footnote w:id="39">
    <w:p w:rsidR="002D4244" w:rsidRPr="00A46B17" w:rsidRDefault="002D4244" w:rsidP="003F0CBB">
      <w:pPr>
        <w:pStyle w:val="FootnoteText"/>
        <w:tabs>
          <w:tab w:val="clear" w:pos="1021"/>
          <w:tab w:val="right" w:pos="0"/>
        </w:tabs>
        <w:spacing w:line="240" w:lineRule="auto"/>
        <w:ind w:left="0" w:right="0" w:firstLine="0"/>
        <w:rPr>
          <w:szCs w:val="18"/>
          <w:lang w:val="es-ES"/>
        </w:rPr>
      </w:pPr>
      <w:r w:rsidRPr="00A46B17">
        <w:rPr>
          <w:rStyle w:val="FootnoteReference"/>
          <w:szCs w:val="18"/>
        </w:rPr>
        <w:footnoteRef/>
      </w:r>
      <w:r w:rsidRPr="00A46B17">
        <w:rPr>
          <w:szCs w:val="18"/>
          <w:lang w:val="es-ES"/>
        </w:rPr>
        <w:t xml:space="preserve"> </w:t>
      </w:r>
      <w:r w:rsidRPr="00720827">
        <w:rPr>
          <w:i/>
          <w:szCs w:val="18"/>
          <w:lang w:val="es-ES"/>
        </w:rPr>
        <w:t>Gómez Casafranca v. Peru</w:t>
      </w:r>
      <w:r w:rsidRPr="00A46B17">
        <w:rPr>
          <w:szCs w:val="18"/>
          <w:lang w:val="es-ES"/>
        </w:rPr>
        <w:t xml:space="preserve">, </w:t>
      </w:r>
      <w:r>
        <w:rPr>
          <w:szCs w:val="18"/>
          <w:lang w:val="es-ES"/>
        </w:rPr>
        <w:t xml:space="preserve">Comm. No. </w:t>
      </w:r>
      <w:r w:rsidRPr="00A46B17">
        <w:rPr>
          <w:szCs w:val="18"/>
          <w:lang w:val="es-ES"/>
        </w:rPr>
        <w:t>981/2001, para. 7.2.</w:t>
      </w:r>
    </w:p>
  </w:footnote>
  <w:footnote w:id="40">
    <w:p w:rsidR="002D4244" w:rsidRPr="00A46B17" w:rsidRDefault="002D4244" w:rsidP="003F0CBB">
      <w:pPr>
        <w:pStyle w:val="FootnoteText"/>
        <w:tabs>
          <w:tab w:val="clear" w:pos="1021"/>
          <w:tab w:val="right" w:pos="0"/>
        </w:tabs>
        <w:spacing w:line="240" w:lineRule="auto"/>
        <w:ind w:left="0" w:right="0" w:firstLine="0"/>
        <w:rPr>
          <w:szCs w:val="18"/>
          <w:lang w:val="es-ES"/>
        </w:rPr>
      </w:pPr>
      <w:r w:rsidRPr="00A46B17">
        <w:rPr>
          <w:rStyle w:val="FootnoteReference"/>
          <w:szCs w:val="18"/>
        </w:rPr>
        <w:footnoteRef/>
      </w:r>
      <w:r w:rsidRPr="00A46B17">
        <w:rPr>
          <w:szCs w:val="18"/>
          <w:lang w:val="es-ES"/>
        </w:rPr>
        <w:t xml:space="preserve"> </w:t>
      </w:r>
      <w:r w:rsidRPr="00720827">
        <w:rPr>
          <w:i/>
          <w:szCs w:val="18"/>
          <w:lang w:val="es-ES"/>
        </w:rPr>
        <w:t>Israil v. Kazakhstan</w:t>
      </w:r>
      <w:r w:rsidRPr="00A46B17">
        <w:rPr>
          <w:szCs w:val="18"/>
          <w:lang w:val="es-ES"/>
        </w:rPr>
        <w:t xml:space="preserve">, </w:t>
      </w:r>
      <w:r>
        <w:rPr>
          <w:szCs w:val="18"/>
          <w:lang w:val="es-ES"/>
        </w:rPr>
        <w:t xml:space="preserve">Comm. No. </w:t>
      </w:r>
      <w:r w:rsidRPr="00A46B17">
        <w:rPr>
          <w:szCs w:val="18"/>
          <w:lang w:val="es-ES"/>
        </w:rPr>
        <w:t>2024/2011, para. 9.2.</w:t>
      </w:r>
    </w:p>
  </w:footnote>
  <w:footnote w:id="41">
    <w:p w:rsidR="002D4244" w:rsidRPr="00A46B17" w:rsidRDefault="002D4244" w:rsidP="003F0CBB">
      <w:pPr>
        <w:pStyle w:val="FootnoteText"/>
        <w:tabs>
          <w:tab w:val="clear" w:pos="1021"/>
          <w:tab w:val="right" w:pos="0"/>
        </w:tabs>
        <w:spacing w:line="240" w:lineRule="auto"/>
        <w:ind w:left="0" w:right="0" w:firstLine="0"/>
        <w:rPr>
          <w:szCs w:val="18"/>
          <w:lang w:val="es-ES"/>
        </w:rPr>
      </w:pPr>
      <w:r w:rsidRPr="00A46B17">
        <w:rPr>
          <w:rStyle w:val="FootnoteReference"/>
          <w:szCs w:val="18"/>
        </w:rPr>
        <w:footnoteRef/>
      </w:r>
      <w:r w:rsidRPr="00A46B17">
        <w:rPr>
          <w:szCs w:val="18"/>
          <w:lang w:val="es-ES"/>
        </w:rPr>
        <w:t xml:space="preserve">  </w:t>
      </w:r>
      <w:proofErr w:type="spellStart"/>
      <w:r w:rsidRPr="00720827">
        <w:rPr>
          <w:i/>
          <w:szCs w:val="18"/>
          <w:lang w:val="en-US"/>
        </w:rPr>
        <w:t>Kurbonov</w:t>
      </w:r>
      <w:proofErr w:type="spellEnd"/>
      <w:r w:rsidRPr="00720827">
        <w:rPr>
          <w:i/>
          <w:szCs w:val="18"/>
          <w:lang w:val="es-ES"/>
        </w:rPr>
        <w:t xml:space="preserve"> v. Tajikistan</w:t>
      </w:r>
      <w:r w:rsidRPr="00A46B17">
        <w:rPr>
          <w:szCs w:val="18"/>
          <w:lang w:val="es-ES"/>
        </w:rPr>
        <w:t>,</w:t>
      </w:r>
      <w:r w:rsidRPr="00A42767">
        <w:rPr>
          <w:szCs w:val="18"/>
          <w:lang w:val="es-ES"/>
        </w:rPr>
        <w:t xml:space="preserve"> </w:t>
      </w:r>
      <w:r>
        <w:rPr>
          <w:szCs w:val="18"/>
          <w:lang w:val="es-ES"/>
        </w:rPr>
        <w:t xml:space="preserve">Comm. No. </w:t>
      </w:r>
      <w:r w:rsidRPr="00A46B17">
        <w:rPr>
          <w:szCs w:val="18"/>
          <w:lang w:val="es-ES"/>
        </w:rPr>
        <w:t>208/2003, para. 6.5.</w:t>
      </w:r>
    </w:p>
  </w:footnote>
  <w:footnote w:id="42">
    <w:p w:rsidR="002D4244" w:rsidRPr="00A46B17" w:rsidRDefault="002D4244" w:rsidP="003F0CBB">
      <w:pPr>
        <w:pStyle w:val="FootnoteText"/>
        <w:tabs>
          <w:tab w:val="clear" w:pos="1021"/>
          <w:tab w:val="right" w:pos="0"/>
        </w:tabs>
        <w:spacing w:line="240" w:lineRule="auto"/>
        <w:ind w:left="0" w:right="0" w:firstLine="0"/>
        <w:rPr>
          <w:szCs w:val="18"/>
          <w:u w:val="single"/>
        </w:rPr>
      </w:pPr>
      <w:r w:rsidRPr="00A46B17">
        <w:rPr>
          <w:rStyle w:val="FootnoteReference"/>
          <w:szCs w:val="18"/>
        </w:rPr>
        <w:footnoteRef/>
      </w:r>
      <w:r w:rsidRPr="00A46B17">
        <w:rPr>
          <w:szCs w:val="18"/>
        </w:rPr>
        <w:t xml:space="preserve"> </w:t>
      </w:r>
      <w:proofErr w:type="gramStart"/>
      <w:r w:rsidRPr="00A46B17">
        <w:rPr>
          <w:szCs w:val="18"/>
        </w:rPr>
        <w:t xml:space="preserve">Concluding </w:t>
      </w:r>
      <w:proofErr w:type="spellStart"/>
      <w:r w:rsidRPr="00A46B17">
        <w:rPr>
          <w:szCs w:val="18"/>
          <w:lang w:val="es-ES"/>
        </w:rPr>
        <w:t>Observations</w:t>
      </w:r>
      <w:proofErr w:type="spellEnd"/>
      <w:r w:rsidRPr="00A46B17">
        <w:rPr>
          <w:szCs w:val="18"/>
        </w:rPr>
        <w:t xml:space="preserve"> on Switzerland, </w:t>
      </w:r>
      <w:hyperlink r:id="rId6" w:tgtFrame="_blank" w:history="1">
        <w:r w:rsidRPr="00A46B17">
          <w:rPr>
            <w:szCs w:val="18"/>
            <w:lang w:val="es-ES"/>
          </w:rPr>
          <w:t>CCPR/CO/73/CH (2001)</w:t>
        </w:r>
      </w:hyperlink>
      <w:r w:rsidRPr="00A46B17">
        <w:rPr>
          <w:szCs w:val="18"/>
          <w:lang w:val="es-ES"/>
        </w:rPr>
        <w:t>, para.</w:t>
      </w:r>
      <w:proofErr w:type="gramEnd"/>
      <w:r w:rsidRPr="00A46B17">
        <w:rPr>
          <w:szCs w:val="18"/>
          <w:lang w:val="es-ES"/>
        </w:rPr>
        <w:t xml:space="preserve"> 12.</w:t>
      </w:r>
    </w:p>
  </w:footnote>
  <w:footnote w:id="43">
    <w:p w:rsidR="002D4244" w:rsidRPr="00A46B17" w:rsidRDefault="002D4244" w:rsidP="003F0CBB">
      <w:pPr>
        <w:pStyle w:val="FootnoteText"/>
        <w:tabs>
          <w:tab w:val="clear" w:pos="1021"/>
          <w:tab w:val="right" w:pos="0"/>
        </w:tabs>
        <w:spacing w:line="240" w:lineRule="auto"/>
        <w:ind w:left="0" w:right="0" w:firstLine="0"/>
        <w:rPr>
          <w:szCs w:val="18"/>
          <w:lang w:val="es-ES"/>
        </w:rPr>
      </w:pPr>
      <w:r w:rsidRPr="00A46B17">
        <w:rPr>
          <w:rStyle w:val="FootnoteReference"/>
          <w:szCs w:val="18"/>
        </w:rPr>
        <w:footnoteRef/>
      </w:r>
      <w:r w:rsidRPr="00A46B17">
        <w:rPr>
          <w:szCs w:val="18"/>
          <w:lang w:val="es-ES"/>
        </w:rPr>
        <w:t xml:space="preserve"> </w:t>
      </w:r>
      <w:r w:rsidRPr="00720827">
        <w:rPr>
          <w:i/>
          <w:szCs w:val="18"/>
          <w:lang w:val="es-ES"/>
        </w:rPr>
        <w:t>Butovenko v. Ukraine</w:t>
      </w:r>
      <w:r w:rsidRPr="00A46B17">
        <w:rPr>
          <w:szCs w:val="18"/>
          <w:lang w:val="es-ES"/>
        </w:rPr>
        <w:t xml:space="preserve">, </w:t>
      </w:r>
      <w:r>
        <w:rPr>
          <w:szCs w:val="18"/>
          <w:lang w:val="es-ES"/>
        </w:rPr>
        <w:t xml:space="preserve">Comm. No. </w:t>
      </w:r>
      <w:r w:rsidRPr="00A46B17">
        <w:rPr>
          <w:szCs w:val="18"/>
          <w:lang w:val="es-ES"/>
        </w:rPr>
        <w:t>1412/2005, para. 7.6</w:t>
      </w:r>
      <w:r>
        <w:rPr>
          <w:szCs w:val="18"/>
          <w:lang w:val="es-ES"/>
        </w:rPr>
        <w:t>.</w:t>
      </w:r>
    </w:p>
  </w:footnote>
  <w:footnote w:id="44">
    <w:p w:rsidR="002D4244" w:rsidRPr="00A46B17" w:rsidRDefault="002D4244" w:rsidP="001306A5">
      <w:pPr>
        <w:pStyle w:val="FootnoteText"/>
        <w:tabs>
          <w:tab w:val="clear" w:pos="1021"/>
          <w:tab w:val="right" w:pos="0"/>
        </w:tabs>
        <w:spacing w:line="240" w:lineRule="auto"/>
        <w:ind w:left="0" w:right="0" w:firstLine="0"/>
        <w:rPr>
          <w:szCs w:val="18"/>
          <w:lang w:val="es-ES"/>
        </w:rPr>
      </w:pPr>
      <w:r w:rsidRPr="00A46B17">
        <w:rPr>
          <w:rStyle w:val="FootnoteReference"/>
          <w:szCs w:val="18"/>
        </w:rPr>
        <w:footnoteRef/>
      </w:r>
      <w:r w:rsidRPr="00A46B17">
        <w:rPr>
          <w:szCs w:val="18"/>
          <w:lang w:val="es-ES"/>
        </w:rPr>
        <w:t xml:space="preserve"> See, e.g., </w:t>
      </w:r>
      <w:r w:rsidRPr="00720827">
        <w:rPr>
          <w:i/>
          <w:szCs w:val="18"/>
          <w:lang w:val="es-ES"/>
        </w:rPr>
        <w:t>Marz v. Russian Federation</w:t>
      </w:r>
      <w:r w:rsidRPr="00A46B17">
        <w:rPr>
          <w:szCs w:val="18"/>
          <w:lang w:val="es-ES"/>
        </w:rPr>
        <w:t>,</w:t>
      </w:r>
      <w:r>
        <w:rPr>
          <w:szCs w:val="18"/>
          <w:lang w:val="es-ES"/>
        </w:rPr>
        <w:t xml:space="preserve"> Comm. No. </w:t>
      </w:r>
      <w:r w:rsidRPr="00A46B17">
        <w:rPr>
          <w:szCs w:val="18"/>
          <w:lang w:val="es-ES"/>
        </w:rPr>
        <w:t>1425/2005, para. 5.3.</w:t>
      </w:r>
    </w:p>
  </w:footnote>
  <w:footnote w:id="45">
    <w:p w:rsidR="002D4244" w:rsidRPr="00A46B17" w:rsidRDefault="002D4244" w:rsidP="001306A5">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w:t>
      </w:r>
      <w:r w:rsidRPr="00720827">
        <w:rPr>
          <w:szCs w:val="18"/>
        </w:rPr>
        <w:t>See further General Comment No. 20</w:t>
      </w:r>
      <w:r>
        <w:rPr>
          <w:szCs w:val="18"/>
        </w:rPr>
        <w:t xml:space="preserve">, </w:t>
      </w:r>
      <w:r>
        <w:rPr>
          <w:i/>
          <w:szCs w:val="18"/>
        </w:rPr>
        <w:t xml:space="preserve">supra </w:t>
      </w:r>
      <w:r w:rsidR="00FA0F18">
        <w:rPr>
          <w:szCs w:val="18"/>
        </w:rPr>
        <w:t>n. 35</w:t>
      </w:r>
      <w:r w:rsidRPr="00720827">
        <w:rPr>
          <w:szCs w:val="18"/>
        </w:rPr>
        <w:t>, para. 11</w:t>
      </w:r>
      <w:r w:rsidRPr="00A46B17">
        <w:rPr>
          <w:szCs w:val="18"/>
        </w:rPr>
        <w:t>.</w:t>
      </w:r>
    </w:p>
  </w:footnote>
  <w:footnote w:id="46">
    <w:p w:rsidR="002D4244" w:rsidRPr="000F0C3B" w:rsidRDefault="002D4244" w:rsidP="00A42767">
      <w:pPr>
        <w:pStyle w:val="FootnoteText"/>
        <w:rPr>
          <w:szCs w:val="18"/>
          <w:lang w:val="en-US"/>
        </w:rPr>
      </w:pPr>
      <w:r w:rsidRPr="00A46B17">
        <w:rPr>
          <w:rStyle w:val="FootnoteReference"/>
          <w:szCs w:val="18"/>
        </w:rPr>
        <w:footnoteRef/>
      </w:r>
      <w:r w:rsidRPr="000F0C3B">
        <w:rPr>
          <w:szCs w:val="18"/>
          <w:lang w:val="en-US"/>
        </w:rPr>
        <w:t xml:space="preserve"> </w:t>
      </w:r>
      <w:r w:rsidRPr="000F0C3B">
        <w:rPr>
          <w:i/>
          <w:szCs w:val="18"/>
          <w:lang w:val="en-US"/>
        </w:rPr>
        <w:t>M.M.M. et al. v. Australia</w:t>
      </w:r>
      <w:r w:rsidRPr="000F0C3B">
        <w:rPr>
          <w:szCs w:val="18"/>
          <w:lang w:val="en-US"/>
        </w:rPr>
        <w:t xml:space="preserve">, </w:t>
      </w:r>
      <w:r w:rsidRPr="000F0C3B">
        <w:rPr>
          <w:i/>
          <w:szCs w:val="18"/>
          <w:lang w:val="en-US"/>
        </w:rPr>
        <w:t xml:space="preserve">supra </w:t>
      </w:r>
      <w:r w:rsidR="00D8726E" w:rsidRPr="000F0C3B">
        <w:rPr>
          <w:szCs w:val="18"/>
          <w:lang w:val="en-US"/>
        </w:rPr>
        <w:t>n. 26</w:t>
      </w:r>
      <w:r w:rsidRPr="000F0C3B">
        <w:rPr>
          <w:szCs w:val="18"/>
          <w:lang w:val="en-US"/>
        </w:rPr>
        <w:t>.</w:t>
      </w:r>
    </w:p>
  </w:footnote>
  <w:footnote w:id="47">
    <w:p w:rsidR="002D4244" w:rsidRPr="00A46B17" w:rsidRDefault="002D4244" w:rsidP="00A46B17">
      <w:pPr>
        <w:widowControl w:val="0"/>
        <w:autoSpaceDE w:val="0"/>
        <w:autoSpaceDN w:val="0"/>
        <w:adjustRightInd w:val="0"/>
        <w:rPr>
          <w:rFonts w:ascii="Times New Roman" w:hAnsi="Times New Roman" w:cs="Times New Roman"/>
          <w:sz w:val="18"/>
          <w:szCs w:val="18"/>
        </w:rPr>
      </w:pPr>
      <w:r w:rsidRPr="00A46B17">
        <w:rPr>
          <w:rStyle w:val="FootnoteReference"/>
          <w:rFonts w:cs="Times New Roman"/>
          <w:szCs w:val="18"/>
        </w:rPr>
        <w:footnoteRef/>
      </w:r>
      <w:r w:rsidRPr="00A46B17">
        <w:rPr>
          <w:rFonts w:ascii="Times New Roman" w:hAnsi="Times New Roman" w:cs="Times New Roman"/>
          <w:sz w:val="18"/>
          <w:szCs w:val="18"/>
        </w:rPr>
        <w:t xml:space="preserve"> Concluding Observation on Colombia, CCPR/C/COL/CO/6, </w:t>
      </w:r>
      <w:r>
        <w:rPr>
          <w:rFonts w:ascii="Times New Roman" w:hAnsi="Times New Roman" w:cs="Times New Roman"/>
          <w:sz w:val="18"/>
          <w:szCs w:val="18"/>
        </w:rPr>
        <w:t>(</w:t>
      </w:r>
      <w:r w:rsidRPr="00A46B17">
        <w:rPr>
          <w:rFonts w:ascii="Times New Roman" w:hAnsi="Times New Roman" w:cs="Times New Roman"/>
          <w:sz w:val="18"/>
          <w:szCs w:val="18"/>
        </w:rPr>
        <w:t>2010</w:t>
      </w:r>
      <w:r>
        <w:rPr>
          <w:rFonts w:ascii="Times New Roman" w:hAnsi="Times New Roman" w:cs="Times New Roman"/>
          <w:sz w:val="18"/>
          <w:szCs w:val="18"/>
        </w:rPr>
        <w:t>)</w:t>
      </w:r>
      <w:r w:rsidRPr="00A46B17">
        <w:rPr>
          <w:rFonts w:ascii="Times New Roman" w:hAnsi="Times New Roman" w:cs="Times New Roman"/>
          <w:sz w:val="18"/>
          <w:szCs w:val="18"/>
        </w:rPr>
        <w:t>, par</w:t>
      </w:r>
      <w:r>
        <w:rPr>
          <w:rFonts w:ascii="Times New Roman" w:hAnsi="Times New Roman" w:cs="Times New Roman"/>
          <w:sz w:val="18"/>
          <w:szCs w:val="18"/>
        </w:rPr>
        <w:t>a</w:t>
      </w:r>
      <w:r w:rsidRPr="00A46B17">
        <w:rPr>
          <w:rFonts w:ascii="Times New Roman" w:hAnsi="Times New Roman" w:cs="Times New Roman"/>
          <w:sz w:val="18"/>
          <w:szCs w:val="18"/>
        </w:rPr>
        <w:t>. 20.</w:t>
      </w:r>
    </w:p>
  </w:footnote>
  <w:footnote w:id="48">
    <w:p w:rsidR="002D4244" w:rsidRPr="00A46B17" w:rsidRDefault="002D4244" w:rsidP="00A46B17">
      <w:pPr>
        <w:pStyle w:val="FootnoteText"/>
        <w:rPr>
          <w:szCs w:val="18"/>
        </w:rPr>
      </w:pPr>
      <w:r w:rsidRPr="00A46B17">
        <w:rPr>
          <w:rStyle w:val="FootnoteReference"/>
          <w:szCs w:val="18"/>
        </w:rPr>
        <w:footnoteRef/>
      </w:r>
      <w:r w:rsidRPr="00A46B17">
        <w:rPr>
          <w:szCs w:val="18"/>
        </w:rPr>
        <w:t xml:space="preserve"> Concluding Observations on Jordan, </w:t>
      </w:r>
      <w:r>
        <w:rPr>
          <w:i/>
          <w:szCs w:val="18"/>
        </w:rPr>
        <w:t xml:space="preserve">supra </w:t>
      </w:r>
      <w:r>
        <w:rPr>
          <w:szCs w:val="18"/>
        </w:rPr>
        <w:t xml:space="preserve">n. 22, para. </w:t>
      </w:r>
      <w:r w:rsidRPr="00A46B17">
        <w:rPr>
          <w:szCs w:val="18"/>
        </w:rPr>
        <w:t>11.</w:t>
      </w:r>
    </w:p>
  </w:footnote>
  <w:footnote w:id="49">
    <w:p w:rsidR="002D4244" w:rsidRPr="00A46B17" w:rsidRDefault="002D4244" w:rsidP="00A46B17">
      <w:pPr>
        <w:widowControl w:val="0"/>
        <w:autoSpaceDE w:val="0"/>
        <w:autoSpaceDN w:val="0"/>
        <w:adjustRightInd w:val="0"/>
        <w:rPr>
          <w:rFonts w:ascii="Times New Roman" w:hAnsi="Times New Roman" w:cs="Times New Roman"/>
          <w:sz w:val="18"/>
          <w:szCs w:val="18"/>
        </w:rPr>
      </w:pPr>
      <w:r w:rsidRPr="00A46B17">
        <w:rPr>
          <w:rStyle w:val="FootnoteReference"/>
          <w:rFonts w:cs="Times New Roman"/>
          <w:szCs w:val="18"/>
        </w:rPr>
        <w:footnoteRef/>
      </w:r>
      <w:r w:rsidRPr="00A46B17">
        <w:rPr>
          <w:rFonts w:ascii="Times New Roman" w:hAnsi="Times New Roman" w:cs="Times New Roman"/>
          <w:sz w:val="18"/>
          <w:szCs w:val="18"/>
        </w:rPr>
        <w:t xml:space="preserve"> See e.g. </w:t>
      </w:r>
      <w:proofErr w:type="gramStart"/>
      <w:r w:rsidRPr="00A46B17">
        <w:rPr>
          <w:rFonts w:ascii="Times New Roman" w:hAnsi="Times New Roman" w:cs="Times New Roman"/>
          <w:sz w:val="18"/>
          <w:szCs w:val="18"/>
        </w:rPr>
        <w:t>Concluding</w:t>
      </w:r>
      <w:proofErr w:type="gramEnd"/>
      <w:r w:rsidRPr="00A46B17">
        <w:rPr>
          <w:rFonts w:ascii="Times New Roman" w:hAnsi="Times New Roman" w:cs="Times New Roman"/>
          <w:sz w:val="18"/>
          <w:szCs w:val="18"/>
        </w:rPr>
        <w:t xml:space="preserve"> observation on Tajikistan, CCPR/CO/84/TJK </w:t>
      </w:r>
      <w:r>
        <w:rPr>
          <w:rFonts w:ascii="Times New Roman" w:hAnsi="Times New Roman" w:cs="Times New Roman"/>
          <w:sz w:val="18"/>
          <w:szCs w:val="18"/>
        </w:rPr>
        <w:t>(</w:t>
      </w:r>
      <w:r w:rsidRPr="00A46B17">
        <w:rPr>
          <w:rFonts w:ascii="Times New Roman" w:hAnsi="Times New Roman" w:cs="Times New Roman"/>
          <w:sz w:val="18"/>
          <w:szCs w:val="18"/>
        </w:rPr>
        <w:t>2005</w:t>
      </w:r>
      <w:r>
        <w:rPr>
          <w:rFonts w:ascii="Times New Roman" w:hAnsi="Times New Roman" w:cs="Times New Roman"/>
          <w:sz w:val="18"/>
          <w:szCs w:val="18"/>
        </w:rPr>
        <w:t>)</w:t>
      </w:r>
      <w:r w:rsidRPr="00A46B17">
        <w:rPr>
          <w:rFonts w:ascii="Times New Roman" w:hAnsi="Times New Roman" w:cs="Times New Roman"/>
          <w:sz w:val="18"/>
          <w:szCs w:val="18"/>
        </w:rPr>
        <w:t>, para. 13.</w:t>
      </w:r>
    </w:p>
  </w:footnote>
  <w:footnote w:id="50">
    <w:p w:rsidR="002D4244" w:rsidRPr="00A46B17" w:rsidRDefault="002D4244" w:rsidP="00A46B17">
      <w:pPr>
        <w:widowControl w:val="0"/>
        <w:autoSpaceDE w:val="0"/>
        <w:autoSpaceDN w:val="0"/>
        <w:adjustRightInd w:val="0"/>
        <w:rPr>
          <w:rFonts w:ascii="Times New Roman" w:hAnsi="Times New Roman" w:cs="Times New Roman"/>
          <w:sz w:val="18"/>
          <w:szCs w:val="18"/>
          <w:lang w:val="en-US"/>
        </w:rPr>
      </w:pPr>
      <w:r w:rsidRPr="00A46B17">
        <w:rPr>
          <w:rStyle w:val="FootnoteReference"/>
          <w:rFonts w:cs="Times New Roman"/>
          <w:szCs w:val="18"/>
        </w:rPr>
        <w:footnoteRef/>
      </w:r>
      <w:r w:rsidRPr="00A46B17">
        <w:rPr>
          <w:rFonts w:ascii="Times New Roman" w:hAnsi="Times New Roman" w:cs="Times New Roman"/>
          <w:sz w:val="18"/>
          <w:szCs w:val="18"/>
          <w:lang w:val="en-US"/>
        </w:rPr>
        <w:t xml:space="preserve"> </w:t>
      </w:r>
      <w:proofErr w:type="gramStart"/>
      <w:r w:rsidRPr="00A46B17">
        <w:rPr>
          <w:rFonts w:ascii="Times New Roman" w:hAnsi="Times New Roman" w:cs="Times New Roman"/>
          <w:sz w:val="18"/>
          <w:szCs w:val="18"/>
          <w:lang w:val="en-US"/>
        </w:rPr>
        <w:t>General Comment No. 29</w:t>
      </w:r>
      <w:r>
        <w:rPr>
          <w:rFonts w:ascii="Times New Roman" w:hAnsi="Times New Roman" w:cs="Times New Roman"/>
          <w:sz w:val="18"/>
          <w:szCs w:val="18"/>
          <w:lang w:val="en-US"/>
        </w:rPr>
        <w:t xml:space="preserve"> on States of Emergency</w:t>
      </w:r>
      <w:r w:rsidRPr="00A46B17">
        <w:rPr>
          <w:rFonts w:ascii="Times New Roman" w:hAnsi="Times New Roman" w:cs="Times New Roman"/>
          <w:sz w:val="18"/>
          <w:szCs w:val="18"/>
          <w:lang w:val="en-US"/>
        </w:rPr>
        <w:t xml:space="preserve">, CCPR/C/21/Rev.1/Add.11 </w:t>
      </w:r>
      <w:r>
        <w:rPr>
          <w:rFonts w:ascii="Times New Roman" w:hAnsi="Times New Roman" w:cs="Times New Roman"/>
          <w:sz w:val="18"/>
          <w:szCs w:val="18"/>
          <w:lang w:val="en-US"/>
        </w:rPr>
        <w:t>(</w:t>
      </w:r>
      <w:r w:rsidRPr="00A46B17">
        <w:rPr>
          <w:rFonts w:ascii="Times New Roman" w:hAnsi="Times New Roman" w:cs="Times New Roman"/>
          <w:sz w:val="18"/>
          <w:szCs w:val="18"/>
          <w:lang w:val="en-US"/>
        </w:rPr>
        <w:t>2001</w:t>
      </w:r>
      <w:r>
        <w:rPr>
          <w:rFonts w:ascii="Times New Roman" w:hAnsi="Times New Roman" w:cs="Times New Roman"/>
          <w:sz w:val="18"/>
          <w:szCs w:val="18"/>
          <w:lang w:val="en-US"/>
        </w:rPr>
        <w:t>)</w:t>
      </w:r>
      <w:r w:rsidRPr="00A46B17">
        <w:rPr>
          <w:rFonts w:ascii="Times New Roman" w:hAnsi="Times New Roman" w:cs="Times New Roman"/>
          <w:sz w:val="18"/>
          <w:szCs w:val="18"/>
          <w:lang w:val="en-US"/>
        </w:rPr>
        <w:t>, para.</w:t>
      </w:r>
      <w:proofErr w:type="gramEnd"/>
      <w:r w:rsidRPr="00A46B17">
        <w:rPr>
          <w:rFonts w:ascii="Times New Roman" w:hAnsi="Times New Roman" w:cs="Times New Roman"/>
          <w:sz w:val="18"/>
          <w:szCs w:val="18"/>
          <w:lang w:val="en-US"/>
        </w:rPr>
        <w:t xml:space="preserve"> 16.</w:t>
      </w:r>
    </w:p>
  </w:footnote>
  <w:footnote w:id="51">
    <w:p w:rsidR="002D4244" w:rsidRPr="00434B0F" w:rsidRDefault="002D4244">
      <w:pPr>
        <w:pStyle w:val="FootnoteText"/>
      </w:pPr>
      <w:r>
        <w:rPr>
          <w:rStyle w:val="FootnoteReference"/>
        </w:rPr>
        <w:footnoteRef/>
      </w:r>
      <w:r>
        <w:t xml:space="preserve"> </w:t>
      </w:r>
      <w:proofErr w:type="gramStart"/>
      <w:r>
        <w:rPr>
          <w:i/>
        </w:rPr>
        <w:t>Ibid</w:t>
      </w:r>
      <w:r>
        <w:t>, para.</w:t>
      </w:r>
      <w:proofErr w:type="gramEnd"/>
      <w:r>
        <w:t xml:space="preserve"> </w:t>
      </w:r>
      <w:proofErr w:type="gramStart"/>
      <w:r>
        <w:t>13(a-b).</w:t>
      </w:r>
      <w:proofErr w:type="gramEnd"/>
      <w:r>
        <w:t xml:space="preserve"> </w:t>
      </w:r>
    </w:p>
  </w:footnote>
  <w:footnote w:id="52">
    <w:p w:rsidR="002D4244" w:rsidRPr="00A46B17" w:rsidRDefault="002D4244" w:rsidP="00D8726E">
      <w:pPr>
        <w:pStyle w:val="FootnoteText"/>
        <w:tabs>
          <w:tab w:val="clear" w:pos="1021"/>
        </w:tabs>
        <w:ind w:left="0" w:firstLine="0"/>
        <w:jc w:val="both"/>
        <w:rPr>
          <w:lang w:val="en-US"/>
        </w:rPr>
      </w:pPr>
      <w:r w:rsidRPr="00D8726E">
        <w:rPr>
          <w:rStyle w:val="FootnoteReference"/>
        </w:rPr>
        <w:footnoteRef/>
      </w:r>
      <w:r w:rsidRPr="00D8726E">
        <w:rPr>
          <w:rStyle w:val="FootnoteReference"/>
        </w:rPr>
        <w:t xml:space="preserve"> </w:t>
      </w:r>
      <w:r w:rsidRPr="00720827">
        <w:rPr>
          <w:i/>
          <w:szCs w:val="18"/>
          <w:lang w:val="en-US"/>
        </w:rPr>
        <w:t>Ibid</w:t>
      </w:r>
      <w:r>
        <w:rPr>
          <w:szCs w:val="18"/>
          <w:lang w:val="en-US"/>
        </w:rPr>
        <w:t xml:space="preserve">; </w:t>
      </w:r>
      <w:proofErr w:type="gramStart"/>
      <w:r w:rsidRPr="00606255">
        <w:rPr>
          <w:szCs w:val="18"/>
          <w:lang w:val="en-US"/>
        </w:rPr>
        <w:t>See</w:t>
      </w:r>
      <w:proofErr w:type="gramEnd"/>
      <w:r w:rsidRPr="00606255">
        <w:rPr>
          <w:szCs w:val="18"/>
          <w:lang w:val="en-US"/>
        </w:rPr>
        <w:t xml:space="preserve"> also the Annual Report of the Working Group on Arbitrary Detention, E/CN.4/2003/8,</w:t>
      </w:r>
      <w:r w:rsidR="00DB4BD3">
        <w:rPr>
          <w:szCs w:val="18"/>
          <w:lang w:val="en-US"/>
        </w:rPr>
        <w:t xml:space="preserve"> </w:t>
      </w:r>
      <w:r w:rsidRPr="00DB4BD3">
        <w:rPr>
          <w:szCs w:val="18"/>
          <w:lang w:val="en-US"/>
        </w:rPr>
        <w:t xml:space="preserve">para. 64, in which the preventive detention of suspected terrorists in Guantanamo Bay was declared incompatible with </w:t>
      </w:r>
      <w:r w:rsidRPr="00D8726E">
        <w:rPr>
          <w:szCs w:val="18"/>
          <w:lang w:val="en-US"/>
        </w:rPr>
        <w:t>Article</w:t>
      </w:r>
      <w:r w:rsidRPr="00DB4BD3">
        <w:rPr>
          <w:szCs w:val="18"/>
          <w:lang w:val="en-US"/>
        </w:rPr>
        <w:t xml:space="preserve"> 9 of the ICCPR because the United States</w:t>
      </w:r>
      <w:r w:rsidRPr="00606255">
        <w:rPr>
          <w:szCs w:val="18"/>
          <w:lang w:val="en-US"/>
        </w:rPr>
        <w:t xml:space="preserve"> did not derogate from the</w:t>
      </w:r>
      <w:r>
        <w:rPr>
          <w:szCs w:val="18"/>
          <w:lang w:val="en-US"/>
        </w:rPr>
        <w:t xml:space="preserve"> </w:t>
      </w:r>
      <w:r w:rsidRPr="00606255">
        <w:rPr>
          <w:lang w:val="en-US"/>
        </w:rPr>
        <w:t>Convention in terms of Article 4 of the ICCPR.</w:t>
      </w:r>
    </w:p>
  </w:footnote>
  <w:footnote w:id="53">
    <w:p w:rsidR="002D4244" w:rsidRPr="00C1266C" w:rsidRDefault="002D4244">
      <w:pPr>
        <w:pStyle w:val="FootnoteText"/>
      </w:pPr>
      <w:r>
        <w:rPr>
          <w:rStyle w:val="FootnoteReference"/>
        </w:rPr>
        <w:footnoteRef/>
      </w:r>
      <w:r>
        <w:t xml:space="preserve"> HRC General Comment No. 29, para. 4. </w:t>
      </w:r>
    </w:p>
  </w:footnote>
  <w:footnote w:id="54">
    <w:p w:rsidR="002D4244" w:rsidRPr="00A46B17" w:rsidRDefault="002D4244" w:rsidP="00A508C7">
      <w:pPr>
        <w:pStyle w:val="FootnoteText"/>
        <w:rPr>
          <w:szCs w:val="18"/>
          <w:lang w:val="en-US"/>
        </w:rPr>
      </w:pPr>
      <w:r w:rsidRPr="00A46B17">
        <w:rPr>
          <w:rStyle w:val="FootnoteReference"/>
          <w:szCs w:val="18"/>
        </w:rPr>
        <w:footnoteRef/>
      </w:r>
      <w:r w:rsidRPr="00A46B17">
        <w:rPr>
          <w:szCs w:val="18"/>
          <w:lang w:val="en-US"/>
        </w:rPr>
        <w:t xml:space="preserve"> Draft General Comment </w:t>
      </w:r>
      <w:r>
        <w:rPr>
          <w:szCs w:val="18"/>
          <w:lang w:val="en-US"/>
        </w:rPr>
        <w:t xml:space="preserve">No. </w:t>
      </w:r>
      <w:r w:rsidRPr="00A46B17">
        <w:rPr>
          <w:szCs w:val="18"/>
          <w:lang w:val="en-US"/>
        </w:rPr>
        <w:t xml:space="preserve">35, </w:t>
      </w:r>
      <w:r>
        <w:rPr>
          <w:szCs w:val="18"/>
          <w:lang w:val="en-US"/>
        </w:rPr>
        <w:t xml:space="preserve">CCPR/C/107, </w:t>
      </w:r>
      <w:proofErr w:type="gramStart"/>
      <w:r w:rsidRPr="00A46B17">
        <w:rPr>
          <w:szCs w:val="18"/>
          <w:lang w:val="en-US"/>
        </w:rPr>
        <w:t>para</w:t>
      </w:r>
      <w:proofErr w:type="gramEnd"/>
      <w:r w:rsidRPr="00A46B17">
        <w:rPr>
          <w:szCs w:val="18"/>
          <w:lang w:val="en-US"/>
        </w:rPr>
        <w:t xml:space="preserve">. 17. </w:t>
      </w:r>
    </w:p>
  </w:footnote>
  <w:footnote w:id="55">
    <w:p w:rsidR="002D4244" w:rsidRPr="00A46B17" w:rsidRDefault="002D4244" w:rsidP="000027DC">
      <w:pPr>
        <w:pStyle w:val="FootnoteText"/>
        <w:ind w:left="0" w:right="0"/>
        <w:rPr>
          <w:szCs w:val="18"/>
        </w:rPr>
      </w:pPr>
      <w:r w:rsidRPr="00A46B17">
        <w:rPr>
          <w:szCs w:val="18"/>
          <w:lang w:val="en-US"/>
        </w:rPr>
        <w:tab/>
      </w:r>
      <w:r w:rsidRPr="00A46B17">
        <w:rPr>
          <w:rStyle w:val="FootnoteReference"/>
          <w:szCs w:val="18"/>
        </w:rPr>
        <w:footnoteRef/>
      </w:r>
      <w:r w:rsidRPr="00A46B17">
        <w:rPr>
          <w:szCs w:val="18"/>
          <w:lang w:val="en-US"/>
        </w:rPr>
        <w:t xml:space="preserve"> </w:t>
      </w:r>
      <w:r w:rsidRPr="00A46B17">
        <w:rPr>
          <w:szCs w:val="18"/>
        </w:rPr>
        <w:t xml:space="preserve">European Court of Human Rights, </w:t>
      </w:r>
      <w:r>
        <w:rPr>
          <w:szCs w:val="18"/>
        </w:rPr>
        <w:t xml:space="preserve">Application No. </w:t>
      </w:r>
      <w:r w:rsidRPr="00A42767">
        <w:rPr>
          <w:szCs w:val="18"/>
        </w:rPr>
        <w:t>15/1997/799/1002</w:t>
      </w:r>
      <w:r>
        <w:rPr>
          <w:szCs w:val="18"/>
        </w:rPr>
        <w:t xml:space="preserve">, </w:t>
      </w:r>
      <w:r w:rsidRPr="00720827">
        <w:rPr>
          <w:i/>
          <w:szCs w:val="18"/>
        </w:rPr>
        <w:t xml:space="preserve">Kurt v. Turkey </w:t>
      </w:r>
      <w:r w:rsidRPr="00A46B17">
        <w:rPr>
          <w:szCs w:val="18"/>
        </w:rPr>
        <w:t xml:space="preserve">(1998); Inter-American Commission on Human Rights, </w:t>
      </w:r>
      <w:r w:rsidRPr="00720827">
        <w:rPr>
          <w:i/>
          <w:szCs w:val="18"/>
        </w:rPr>
        <w:t>Velasquez Rodriguez Case</w:t>
      </w:r>
      <w:r w:rsidRPr="00A46B17">
        <w:rPr>
          <w:szCs w:val="18"/>
        </w:rPr>
        <w:t xml:space="preserve"> (1988); </w:t>
      </w:r>
    </w:p>
  </w:footnote>
  <w:footnote w:id="56">
    <w:p w:rsidR="002D4244" w:rsidRPr="00A46B17" w:rsidRDefault="002D4244" w:rsidP="000027DC">
      <w:pPr>
        <w:pStyle w:val="FootnoteText"/>
        <w:ind w:left="0" w:right="0"/>
        <w:rPr>
          <w:szCs w:val="18"/>
          <w:lang w:val="en-US"/>
        </w:rPr>
      </w:pPr>
      <w:r w:rsidRPr="00A46B17">
        <w:rPr>
          <w:szCs w:val="18"/>
          <w:lang w:val="en-US"/>
        </w:rPr>
        <w:tab/>
      </w:r>
      <w:r w:rsidRPr="00A46B17">
        <w:rPr>
          <w:rStyle w:val="FootnoteReference"/>
          <w:szCs w:val="18"/>
        </w:rPr>
        <w:footnoteRef/>
      </w:r>
      <w:r w:rsidRPr="00A46B17">
        <w:rPr>
          <w:szCs w:val="18"/>
          <w:lang w:val="en-US"/>
        </w:rPr>
        <w:t xml:space="preserve"> </w:t>
      </w:r>
      <w:proofErr w:type="gramStart"/>
      <w:r>
        <w:rPr>
          <w:szCs w:val="18"/>
          <w:lang w:val="en-US"/>
        </w:rPr>
        <w:t xml:space="preserve">HRC </w:t>
      </w:r>
      <w:r w:rsidRPr="00A46B17">
        <w:rPr>
          <w:szCs w:val="18"/>
          <w:lang w:val="en-US"/>
        </w:rPr>
        <w:t>General Comment 31</w:t>
      </w:r>
      <w:r>
        <w:rPr>
          <w:szCs w:val="18"/>
          <w:lang w:val="en-US"/>
        </w:rPr>
        <w:t xml:space="preserve">, </w:t>
      </w:r>
      <w:r>
        <w:rPr>
          <w:i/>
          <w:szCs w:val="18"/>
          <w:lang w:val="en-US"/>
        </w:rPr>
        <w:t xml:space="preserve">supra </w:t>
      </w:r>
      <w:r w:rsidR="00FA0F18">
        <w:rPr>
          <w:szCs w:val="18"/>
          <w:lang w:val="en-US"/>
        </w:rPr>
        <w:t>n. 1</w:t>
      </w:r>
      <w:r w:rsidRPr="00A46B17">
        <w:rPr>
          <w:szCs w:val="18"/>
          <w:lang w:val="en-US"/>
        </w:rPr>
        <w:t>, para.</w:t>
      </w:r>
      <w:proofErr w:type="gramEnd"/>
      <w:r w:rsidRPr="00A46B17">
        <w:rPr>
          <w:szCs w:val="18"/>
          <w:lang w:val="en-US"/>
        </w:rPr>
        <w:t xml:space="preserve"> </w:t>
      </w:r>
      <w:proofErr w:type="gramStart"/>
      <w:r w:rsidRPr="00A46B17">
        <w:rPr>
          <w:szCs w:val="18"/>
          <w:lang w:val="en-US"/>
        </w:rPr>
        <w:t xml:space="preserve">18; </w:t>
      </w:r>
      <w:proofErr w:type="spellStart"/>
      <w:r w:rsidRPr="00720827">
        <w:rPr>
          <w:i/>
          <w:szCs w:val="18"/>
          <w:lang w:val="en-US"/>
        </w:rPr>
        <w:t>Benaziza</w:t>
      </w:r>
      <w:proofErr w:type="spellEnd"/>
      <w:r w:rsidRPr="00720827">
        <w:rPr>
          <w:i/>
          <w:szCs w:val="18"/>
          <w:lang w:val="en-US"/>
        </w:rPr>
        <w:t xml:space="preserve"> v. Algeria</w:t>
      </w:r>
      <w:r w:rsidRPr="00A46B17">
        <w:rPr>
          <w:szCs w:val="18"/>
          <w:lang w:val="en-US"/>
        </w:rPr>
        <w:t>,</w:t>
      </w:r>
      <w:r>
        <w:rPr>
          <w:szCs w:val="18"/>
          <w:lang w:val="en-US"/>
        </w:rPr>
        <w:t xml:space="preserve"> Comm.</w:t>
      </w:r>
      <w:r w:rsidRPr="00A46B17">
        <w:rPr>
          <w:szCs w:val="18"/>
          <w:lang w:val="en-US"/>
        </w:rPr>
        <w:t xml:space="preserve"> No. 1588/2007, para.</w:t>
      </w:r>
      <w:proofErr w:type="gramEnd"/>
      <w:r w:rsidRPr="00A46B17">
        <w:rPr>
          <w:szCs w:val="18"/>
          <w:lang w:val="en-US"/>
        </w:rPr>
        <w:t xml:space="preserve"> 9.3; </w:t>
      </w:r>
      <w:proofErr w:type="spellStart"/>
      <w:r w:rsidRPr="00720827">
        <w:rPr>
          <w:i/>
          <w:szCs w:val="18"/>
          <w:lang w:val="en-US"/>
        </w:rPr>
        <w:t>Madoui</w:t>
      </w:r>
      <w:proofErr w:type="spellEnd"/>
      <w:r w:rsidRPr="00720827">
        <w:rPr>
          <w:i/>
          <w:szCs w:val="18"/>
          <w:lang w:val="en-US"/>
        </w:rPr>
        <w:t xml:space="preserve"> v. Algeria</w:t>
      </w:r>
      <w:r w:rsidRPr="00A46B17">
        <w:rPr>
          <w:szCs w:val="18"/>
          <w:lang w:val="en-US"/>
        </w:rPr>
        <w:t>,</w:t>
      </w:r>
      <w:r>
        <w:rPr>
          <w:szCs w:val="18"/>
          <w:lang w:val="en-US"/>
        </w:rPr>
        <w:t xml:space="preserve"> </w:t>
      </w:r>
      <w:r w:rsidRPr="00A46B17">
        <w:rPr>
          <w:szCs w:val="18"/>
          <w:lang w:val="en-US"/>
        </w:rPr>
        <w:t>Comm</w:t>
      </w:r>
      <w:r>
        <w:rPr>
          <w:szCs w:val="18"/>
          <w:lang w:val="en-US"/>
        </w:rPr>
        <w:t xml:space="preserve">. </w:t>
      </w:r>
      <w:r w:rsidRPr="00A46B17">
        <w:rPr>
          <w:szCs w:val="18"/>
          <w:lang w:val="en-US"/>
        </w:rPr>
        <w:t>No. 1495/2006</w:t>
      </w:r>
      <w:proofErr w:type="gramStart"/>
      <w:r w:rsidRPr="00A46B17">
        <w:rPr>
          <w:szCs w:val="18"/>
          <w:lang w:val="en-US"/>
        </w:rPr>
        <w:t xml:space="preserve">, </w:t>
      </w:r>
      <w:r w:rsidRPr="00FA0F18">
        <w:rPr>
          <w:szCs w:val="18"/>
          <w:lang w:val="en-US"/>
        </w:rPr>
        <w:t xml:space="preserve"> para</w:t>
      </w:r>
      <w:proofErr w:type="gramEnd"/>
      <w:r w:rsidRPr="00720827">
        <w:rPr>
          <w:i/>
          <w:szCs w:val="18"/>
          <w:lang w:val="en-US"/>
        </w:rPr>
        <w:t xml:space="preserve">. </w:t>
      </w:r>
      <w:proofErr w:type="gramStart"/>
      <w:r w:rsidRPr="00A46B17">
        <w:rPr>
          <w:szCs w:val="18"/>
          <w:lang w:val="en-US"/>
        </w:rPr>
        <w:t xml:space="preserve">7.2; </w:t>
      </w:r>
      <w:proofErr w:type="spellStart"/>
      <w:r w:rsidRPr="00720827">
        <w:rPr>
          <w:i/>
          <w:szCs w:val="18"/>
          <w:lang w:val="en-US"/>
        </w:rPr>
        <w:t>Aboufaied</w:t>
      </w:r>
      <w:proofErr w:type="spellEnd"/>
      <w:r w:rsidRPr="00720827">
        <w:rPr>
          <w:i/>
          <w:szCs w:val="18"/>
          <w:lang w:val="en-US"/>
        </w:rPr>
        <w:t xml:space="preserve"> v. Libyan Arab Jamahiriya</w:t>
      </w:r>
      <w:r w:rsidRPr="00A46B17">
        <w:rPr>
          <w:szCs w:val="18"/>
          <w:lang w:val="en-US"/>
        </w:rPr>
        <w:t>,</w:t>
      </w:r>
      <w:r>
        <w:rPr>
          <w:szCs w:val="18"/>
          <w:lang w:val="en-US"/>
        </w:rPr>
        <w:t xml:space="preserve"> Comm.</w:t>
      </w:r>
      <w:r w:rsidRPr="00A46B17">
        <w:rPr>
          <w:szCs w:val="18"/>
          <w:lang w:val="en-US"/>
        </w:rPr>
        <w:t xml:space="preserve"> No. 1782/2008, para.</w:t>
      </w:r>
      <w:proofErr w:type="gramEnd"/>
      <w:r>
        <w:rPr>
          <w:szCs w:val="18"/>
          <w:lang w:val="en-US"/>
        </w:rPr>
        <w:t xml:space="preserve"> </w:t>
      </w:r>
      <w:proofErr w:type="gramStart"/>
      <w:r>
        <w:rPr>
          <w:szCs w:val="18"/>
          <w:lang w:val="en-US"/>
        </w:rPr>
        <w:t xml:space="preserve">7.3; </w:t>
      </w:r>
      <w:r w:rsidRPr="00720827">
        <w:rPr>
          <w:i/>
          <w:szCs w:val="18"/>
          <w:lang w:val="en-US"/>
        </w:rPr>
        <w:t xml:space="preserve">El </w:t>
      </w:r>
      <w:proofErr w:type="spellStart"/>
      <w:r w:rsidRPr="00720827">
        <w:rPr>
          <w:i/>
          <w:szCs w:val="18"/>
          <w:lang w:val="en-US"/>
        </w:rPr>
        <w:t>Abani</w:t>
      </w:r>
      <w:proofErr w:type="spellEnd"/>
      <w:r w:rsidRPr="00720827">
        <w:rPr>
          <w:i/>
          <w:szCs w:val="18"/>
          <w:lang w:val="en-US"/>
        </w:rPr>
        <w:t xml:space="preserve"> v. Libyan Arab Jamahiriya</w:t>
      </w:r>
      <w:r w:rsidRPr="00A46B17">
        <w:rPr>
          <w:szCs w:val="18"/>
          <w:lang w:val="en-US"/>
        </w:rPr>
        <w:t>,</w:t>
      </w:r>
      <w:r>
        <w:rPr>
          <w:szCs w:val="18"/>
          <w:lang w:val="en-US"/>
        </w:rPr>
        <w:t xml:space="preserve"> Comm.</w:t>
      </w:r>
      <w:r w:rsidRPr="00A46B17">
        <w:rPr>
          <w:szCs w:val="18"/>
          <w:lang w:val="en-US"/>
        </w:rPr>
        <w:t xml:space="preserve"> No. 1640/2007, para.</w:t>
      </w:r>
      <w:proofErr w:type="gramEnd"/>
      <w:r w:rsidRPr="00A46B17">
        <w:rPr>
          <w:szCs w:val="18"/>
          <w:lang w:val="en-US"/>
        </w:rPr>
        <w:t xml:space="preserve"> 7.3.   </w:t>
      </w:r>
    </w:p>
  </w:footnote>
  <w:footnote w:id="57">
    <w:p w:rsidR="002D4244" w:rsidRPr="00A46B17" w:rsidRDefault="002D4244" w:rsidP="000027DC">
      <w:pPr>
        <w:pStyle w:val="FootnoteText"/>
        <w:ind w:left="0" w:right="0"/>
        <w:rPr>
          <w:szCs w:val="18"/>
          <w:lang w:val="en-US"/>
        </w:rPr>
      </w:pPr>
      <w:r w:rsidRPr="00A46B17">
        <w:rPr>
          <w:szCs w:val="18"/>
          <w:lang w:val="en-US"/>
        </w:rPr>
        <w:tab/>
      </w:r>
      <w:r w:rsidRPr="00A46B17">
        <w:rPr>
          <w:rStyle w:val="FootnoteReference"/>
          <w:szCs w:val="18"/>
        </w:rPr>
        <w:footnoteRef/>
      </w:r>
      <w:r w:rsidRPr="00A46B17">
        <w:rPr>
          <w:szCs w:val="18"/>
          <w:lang w:val="en-US"/>
        </w:rPr>
        <w:t xml:space="preserve"> </w:t>
      </w:r>
      <w:proofErr w:type="gramStart"/>
      <w:r>
        <w:rPr>
          <w:szCs w:val="18"/>
          <w:lang w:val="en-US"/>
        </w:rPr>
        <w:t xml:space="preserve">HRC </w:t>
      </w:r>
      <w:r w:rsidRPr="00A46B17">
        <w:rPr>
          <w:szCs w:val="18"/>
          <w:lang w:val="en-US"/>
        </w:rPr>
        <w:t>General Comment 31</w:t>
      </w:r>
      <w:r>
        <w:rPr>
          <w:szCs w:val="18"/>
          <w:lang w:val="en-US"/>
        </w:rPr>
        <w:t xml:space="preserve">, </w:t>
      </w:r>
      <w:r>
        <w:rPr>
          <w:i/>
          <w:szCs w:val="18"/>
          <w:lang w:val="en-US"/>
        </w:rPr>
        <w:t>ibid</w:t>
      </w:r>
      <w:r w:rsidRPr="00A46B17">
        <w:rPr>
          <w:szCs w:val="18"/>
          <w:lang w:val="en-US"/>
        </w:rPr>
        <w:t>, para.</w:t>
      </w:r>
      <w:proofErr w:type="gramEnd"/>
      <w:r w:rsidRPr="00A46B17">
        <w:rPr>
          <w:szCs w:val="18"/>
          <w:lang w:val="en-US"/>
        </w:rPr>
        <w:t xml:space="preserve"> </w:t>
      </w:r>
      <w:proofErr w:type="gramStart"/>
      <w:r w:rsidRPr="00A46B17">
        <w:rPr>
          <w:szCs w:val="18"/>
          <w:lang w:val="en-US"/>
        </w:rPr>
        <w:t xml:space="preserve">18; </w:t>
      </w:r>
      <w:proofErr w:type="spellStart"/>
      <w:r w:rsidRPr="00720827">
        <w:rPr>
          <w:i/>
          <w:szCs w:val="18"/>
          <w:lang w:val="en-US"/>
        </w:rPr>
        <w:t>Benaziza</w:t>
      </w:r>
      <w:proofErr w:type="spellEnd"/>
      <w:r w:rsidRPr="00720827">
        <w:rPr>
          <w:i/>
          <w:szCs w:val="18"/>
          <w:lang w:val="en-US"/>
        </w:rPr>
        <w:t xml:space="preserve"> v. Algeria</w:t>
      </w:r>
      <w:r w:rsidRPr="00A46B17">
        <w:rPr>
          <w:szCs w:val="18"/>
          <w:lang w:val="en-US"/>
        </w:rPr>
        <w:t>,</w:t>
      </w:r>
      <w:r>
        <w:rPr>
          <w:szCs w:val="18"/>
          <w:lang w:val="en-US"/>
        </w:rPr>
        <w:t xml:space="preserve"> Comm.</w:t>
      </w:r>
      <w:r w:rsidRPr="00A46B17">
        <w:rPr>
          <w:szCs w:val="18"/>
          <w:lang w:val="en-US"/>
        </w:rPr>
        <w:t xml:space="preserve"> No. 1588/2007, para.</w:t>
      </w:r>
      <w:proofErr w:type="gramEnd"/>
      <w:r w:rsidRPr="00A46B17">
        <w:rPr>
          <w:szCs w:val="18"/>
          <w:lang w:val="en-US"/>
        </w:rPr>
        <w:t xml:space="preserve"> </w:t>
      </w:r>
      <w:proofErr w:type="gramStart"/>
      <w:r w:rsidRPr="00A46B17">
        <w:rPr>
          <w:szCs w:val="18"/>
          <w:lang w:val="en-US"/>
        </w:rPr>
        <w:t xml:space="preserve">9.3; </w:t>
      </w:r>
      <w:proofErr w:type="spellStart"/>
      <w:r w:rsidRPr="00720827">
        <w:rPr>
          <w:i/>
          <w:szCs w:val="18"/>
          <w:lang w:val="en-US"/>
        </w:rPr>
        <w:t>Madoui</w:t>
      </w:r>
      <w:proofErr w:type="spellEnd"/>
      <w:r w:rsidRPr="00720827">
        <w:rPr>
          <w:i/>
          <w:szCs w:val="18"/>
          <w:lang w:val="en-US"/>
        </w:rPr>
        <w:t xml:space="preserve"> v. Algeria</w:t>
      </w:r>
      <w:r w:rsidRPr="00A46B17">
        <w:rPr>
          <w:szCs w:val="18"/>
          <w:lang w:val="en-US"/>
        </w:rPr>
        <w:t xml:space="preserve">, </w:t>
      </w:r>
      <w:r>
        <w:rPr>
          <w:szCs w:val="18"/>
          <w:lang w:val="en-US"/>
        </w:rPr>
        <w:t>Comm.</w:t>
      </w:r>
      <w:r w:rsidRPr="00A46B17">
        <w:rPr>
          <w:szCs w:val="18"/>
          <w:lang w:val="en-US"/>
        </w:rPr>
        <w:t xml:space="preserve"> No. 1495/2006, para.</w:t>
      </w:r>
      <w:proofErr w:type="gramEnd"/>
      <w:r w:rsidRPr="00A46B17">
        <w:rPr>
          <w:szCs w:val="18"/>
          <w:lang w:val="en-US"/>
        </w:rPr>
        <w:t xml:space="preserve"> </w:t>
      </w:r>
      <w:proofErr w:type="gramStart"/>
      <w:r w:rsidRPr="00A46B17">
        <w:rPr>
          <w:szCs w:val="18"/>
          <w:lang w:val="en-US"/>
        </w:rPr>
        <w:t xml:space="preserve">7.2; </w:t>
      </w:r>
      <w:proofErr w:type="spellStart"/>
      <w:r w:rsidRPr="00720827">
        <w:rPr>
          <w:i/>
          <w:szCs w:val="18"/>
          <w:lang w:val="en-US"/>
        </w:rPr>
        <w:t>Aboufaied</w:t>
      </w:r>
      <w:proofErr w:type="spellEnd"/>
      <w:r w:rsidRPr="00720827">
        <w:rPr>
          <w:i/>
          <w:szCs w:val="18"/>
          <w:lang w:val="en-US"/>
        </w:rPr>
        <w:t xml:space="preserve"> v. Libyan Arab Jamahiriya</w:t>
      </w:r>
      <w:r w:rsidRPr="00A42767">
        <w:rPr>
          <w:szCs w:val="18"/>
          <w:lang w:val="en-US"/>
        </w:rPr>
        <w:t>,</w:t>
      </w:r>
      <w:r>
        <w:rPr>
          <w:szCs w:val="18"/>
          <w:lang w:val="en-US"/>
        </w:rPr>
        <w:t xml:space="preserve"> Comm.</w:t>
      </w:r>
      <w:r w:rsidRPr="00A46B17">
        <w:rPr>
          <w:szCs w:val="18"/>
          <w:lang w:val="en-US"/>
        </w:rPr>
        <w:t xml:space="preserve"> No. 1782/2008,</w:t>
      </w:r>
      <w:r w:rsidRPr="00A42767">
        <w:rPr>
          <w:szCs w:val="18"/>
          <w:lang w:val="en-US"/>
        </w:rPr>
        <w:t xml:space="preserve"> para.</w:t>
      </w:r>
      <w:proofErr w:type="gramEnd"/>
      <w:r w:rsidRPr="00A42767">
        <w:rPr>
          <w:szCs w:val="18"/>
          <w:lang w:val="en-US"/>
        </w:rPr>
        <w:t xml:space="preserve"> </w:t>
      </w:r>
      <w:proofErr w:type="gramStart"/>
      <w:r w:rsidRPr="00A42767">
        <w:rPr>
          <w:szCs w:val="18"/>
          <w:lang w:val="en-US"/>
        </w:rPr>
        <w:t>7.3;</w:t>
      </w:r>
      <w:r w:rsidRPr="00A46B17">
        <w:rPr>
          <w:szCs w:val="18"/>
          <w:lang w:val="en-US"/>
        </w:rPr>
        <w:t xml:space="preserve"> </w:t>
      </w:r>
      <w:r w:rsidRPr="00720827">
        <w:rPr>
          <w:i/>
          <w:szCs w:val="18"/>
          <w:lang w:val="en-US"/>
        </w:rPr>
        <w:t xml:space="preserve">El </w:t>
      </w:r>
      <w:proofErr w:type="spellStart"/>
      <w:r w:rsidRPr="00720827">
        <w:rPr>
          <w:i/>
          <w:szCs w:val="18"/>
          <w:lang w:val="en-US"/>
        </w:rPr>
        <w:t>Abani</w:t>
      </w:r>
      <w:proofErr w:type="spellEnd"/>
      <w:r w:rsidRPr="00720827">
        <w:rPr>
          <w:i/>
          <w:szCs w:val="18"/>
          <w:lang w:val="en-US"/>
        </w:rPr>
        <w:t xml:space="preserve"> v. Libyan Arab Jamahiriya</w:t>
      </w:r>
      <w:r w:rsidRPr="00A46B17">
        <w:rPr>
          <w:szCs w:val="18"/>
          <w:lang w:val="en-US"/>
        </w:rPr>
        <w:t>,</w:t>
      </w:r>
      <w:r>
        <w:rPr>
          <w:szCs w:val="18"/>
          <w:lang w:val="en-US"/>
        </w:rPr>
        <w:t xml:space="preserve"> Comm.</w:t>
      </w:r>
      <w:r w:rsidRPr="00A46B17">
        <w:rPr>
          <w:szCs w:val="18"/>
          <w:lang w:val="en-US"/>
        </w:rPr>
        <w:t xml:space="preserve"> No. 1640/2007, para.</w:t>
      </w:r>
      <w:proofErr w:type="gramEnd"/>
      <w:r w:rsidRPr="00A46B17">
        <w:rPr>
          <w:szCs w:val="18"/>
          <w:lang w:val="en-US"/>
        </w:rPr>
        <w:t xml:space="preserve"> 7.3.   </w:t>
      </w:r>
    </w:p>
  </w:footnote>
  <w:footnote w:id="58">
    <w:p w:rsidR="002D4244" w:rsidRPr="00A46B17" w:rsidRDefault="002D4244" w:rsidP="000027DC">
      <w:pPr>
        <w:pStyle w:val="FootnoteText"/>
        <w:ind w:left="0" w:right="0"/>
        <w:rPr>
          <w:szCs w:val="18"/>
        </w:rPr>
      </w:pPr>
      <w:r w:rsidRPr="00A46B17">
        <w:rPr>
          <w:szCs w:val="18"/>
          <w:lang w:val="en-US"/>
        </w:rPr>
        <w:tab/>
      </w:r>
      <w:r w:rsidRPr="00A46B17">
        <w:rPr>
          <w:rStyle w:val="FootnoteReference"/>
          <w:szCs w:val="18"/>
        </w:rPr>
        <w:footnoteRef/>
      </w:r>
      <w:r w:rsidRPr="00A46B17">
        <w:rPr>
          <w:szCs w:val="18"/>
          <w:lang w:val="en-US"/>
        </w:rPr>
        <w:t xml:space="preserve"> </w:t>
      </w:r>
      <w:proofErr w:type="spellStart"/>
      <w:proofErr w:type="gramStart"/>
      <w:r w:rsidRPr="00720827">
        <w:rPr>
          <w:i/>
          <w:szCs w:val="18"/>
          <w:lang w:val="en-US"/>
        </w:rPr>
        <w:t>Benaziza</w:t>
      </w:r>
      <w:proofErr w:type="spellEnd"/>
      <w:r w:rsidRPr="00720827">
        <w:rPr>
          <w:i/>
          <w:szCs w:val="18"/>
          <w:lang w:val="en-US"/>
        </w:rPr>
        <w:t xml:space="preserve"> v. Algeria</w:t>
      </w:r>
      <w:r w:rsidRPr="00A46B17">
        <w:rPr>
          <w:szCs w:val="18"/>
          <w:lang w:val="en-US"/>
        </w:rPr>
        <w:t>,</w:t>
      </w:r>
      <w:r>
        <w:rPr>
          <w:szCs w:val="18"/>
          <w:lang w:val="en-US"/>
        </w:rPr>
        <w:t xml:space="preserve"> Comm.</w:t>
      </w:r>
      <w:r w:rsidRPr="00A46B17">
        <w:rPr>
          <w:szCs w:val="18"/>
          <w:lang w:val="en-US"/>
        </w:rPr>
        <w:t xml:space="preserve"> No. 1588/2007, para</w:t>
      </w:r>
      <w:r>
        <w:rPr>
          <w:szCs w:val="18"/>
          <w:lang w:val="en-US"/>
        </w:rPr>
        <w:t>s</w:t>
      </w:r>
      <w:r w:rsidRPr="00A46B17">
        <w:rPr>
          <w:szCs w:val="18"/>
          <w:lang w:val="en-US"/>
        </w:rPr>
        <w:t>.</w:t>
      </w:r>
      <w:proofErr w:type="gramEnd"/>
      <w:r w:rsidRPr="00A46B17">
        <w:rPr>
          <w:szCs w:val="18"/>
          <w:lang w:val="en-US"/>
        </w:rPr>
        <w:t xml:space="preserve"> </w:t>
      </w:r>
      <w:proofErr w:type="gramStart"/>
      <w:r w:rsidRPr="00A46B17">
        <w:rPr>
          <w:szCs w:val="18"/>
          <w:lang w:val="en-US"/>
        </w:rPr>
        <w:t xml:space="preserve">9.5-9.6; </w:t>
      </w:r>
      <w:proofErr w:type="spellStart"/>
      <w:r w:rsidRPr="00720827">
        <w:rPr>
          <w:i/>
          <w:szCs w:val="18"/>
          <w:lang w:val="en-US"/>
        </w:rPr>
        <w:t>Madoui</w:t>
      </w:r>
      <w:proofErr w:type="spellEnd"/>
      <w:r w:rsidRPr="00720827">
        <w:rPr>
          <w:i/>
          <w:szCs w:val="18"/>
          <w:lang w:val="en-US"/>
        </w:rPr>
        <w:t xml:space="preserve"> v. Algeria</w:t>
      </w:r>
      <w:r w:rsidRPr="00A46B17">
        <w:rPr>
          <w:szCs w:val="18"/>
          <w:lang w:val="en-US"/>
        </w:rPr>
        <w:t>,</w:t>
      </w:r>
      <w:r>
        <w:rPr>
          <w:szCs w:val="18"/>
          <w:lang w:val="en-US"/>
        </w:rPr>
        <w:t xml:space="preserve"> </w:t>
      </w:r>
      <w:r w:rsidRPr="00A46B17">
        <w:rPr>
          <w:szCs w:val="18"/>
          <w:lang w:val="en-US"/>
        </w:rPr>
        <w:t>Comm</w:t>
      </w:r>
      <w:r>
        <w:rPr>
          <w:szCs w:val="18"/>
          <w:lang w:val="en-US"/>
        </w:rPr>
        <w:t>.</w:t>
      </w:r>
      <w:r w:rsidRPr="00A46B17">
        <w:rPr>
          <w:szCs w:val="18"/>
          <w:lang w:val="en-US"/>
        </w:rPr>
        <w:t xml:space="preserve"> No. 1495/2006, para.</w:t>
      </w:r>
      <w:proofErr w:type="gramEnd"/>
      <w:r w:rsidRPr="00A46B17">
        <w:rPr>
          <w:szCs w:val="18"/>
          <w:lang w:val="en-US"/>
        </w:rPr>
        <w:t xml:space="preserve"> </w:t>
      </w:r>
      <w:proofErr w:type="gramStart"/>
      <w:r w:rsidRPr="00A46B17">
        <w:rPr>
          <w:szCs w:val="18"/>
        </w:rPr>
        <w:t xml:space="preserve">7.5; </w:t>
      </w:r>
      <w:proofErr w:type="spellStart"/>
      <w:r w:rsidRPr="00720827">
        <w:rPr>
          <w:i/>
          <w:szCs w:val="18"/>
        </w:rPr>
        <w:t>Aboufaied</w:t>
      </w:r>
      <w:proofErr w:type="spellEnd"/>
      <w:r w:rsidRPr="00720827">
        <w:rPr>
          <w:i/>
          <w:szCs w:val="18"/>
        </w:rPr>
        <w:t xml:space="preserve"> v. Libyan Arab Jamahiriya</w:t>
      </w:r>
      <w:r w:rsidRPr="00A46B17">
        <w:rPr>
          <w:szCs w:val="18"/>
        </w:rPr>
        <w:t>,</w:t>
      </w:r>
      <w:r>
        <w:rPr>
          <w:szCs w:val="18"/>
        </w:rPr>
        <w:t xml:space="preserve"> Comm.</w:t>
      </w:r>
      <w:r w:rsidRPr="00A46B17">
        <w:rPr>
          <w:szCs w:val="18"/>
        </w:rPr>
        <w:t xml:space="preserve"> No. 1782/2008, para</w:t>
      </w:r>
      <w:r>
        <w:rPr>
          <w:szCs w:val="18"/>
        </w:rPr>
        <w:t>s</w:t>
      </w:r>
      <w:r w:rsidRPr="00A46B17">
        <w:rPr>
          <w:szCs w:val="18"/>
        </w:rPr>
        <w:t>.</w:t>
      </w:r>
      <w:proofErr w:type="gramEnd"/>
      <w:r w:rsidRPr="00A46B17">
        <w:rPr>
          <w:szCs w:val="18"/>
        </w:rPr>
        <w:t xml:space="preserve"> </w:t>
      </w:r>
      <w:proofErr w:type="gramStart"/>
      <w:r w:rsidRPr="00A46B17">
        <w:rPr>
          <w:szCs w:val="18"/>
        </w:rPr>
        <w:t xml:space="preserve">7.4-7.5; </w:t>
      </w:r>
      <w:r w:rsidRPr="00720827">
        <w:rPr>
          <w:i/>
          <w:szCs w:val="18"/>
        </w:rPr>
        <w:t xml:space="preserve">El </w:t>
      </w:r>
      <w:proofErr w:type="spellStart"/>
      <w:r w:rsidRPr="00720827">
        <w:rPr>
          <w:i/>
          <w:szCs w:val="18"/>
        </w:rPr>
        <w:t>Abani</w:t>
      </w:r>
      <w:proofErr w:type="spellEnd"/>
      <w:r w:rsidRPr="00720827">
        <w:rPr>
          <w:i/>
          <w:szCs w:val="18"/>
        </w:rPr>
        <w:t xml:space="preserve"> v. Libyan Arab Jamahiriya</w:t>
      </w:r>
      <w:r w:rsidRPr="00A46B17">
        <w:rPr>
          <w:szCs w:val="18"/>
        </w:rPr>
        <w:t>,</w:t>
      </w:r>
      <w:r>
        <w:rPr>
          <w:szCs w:val="18"/>
        </w:rPr>
        <w:t xml:space="preserve"> Comm.</w:t>
      </w:r>
      <w:r w:rsidRPr="00A46B17">
        <w:rPr>
          <w:szCs w:val="18"/>
        </w:rPr>
        <w:t xml:space="preserve"> No. 1640/2007, para</w:t>
      </w:r>
      <w:r>
        <w:rPr>
          <w:szCs w:val="18"/>
        </w:rPr>
        <w:t>s</w:t>
      </w:r>
      <w:r w:rsidRPr="00A46B17">
        <w:rPr>
          <w:szCs w:val="18"/>
        </w:rPr>
        <w:t>.</w:t>
      </w:r>
      <w:proofErr w:type="gramEnd"/>
      <w:r w:rsidRPr="00A46B17">
        <w:rPr>
          <w:szCs w:val="18"/>
        </w:rPr>
        <w:t xml:space="preserve"> 7.4-7.5.</w:t>
      </w:r>
    </w:p>
  </w:footnote>
  <w:footnote w:id="59">
    <w:p w:rsidR="002D4244" w:rsidRDefault="002D4244">
      <w:pPr>
        <w:pStyle w:val="FootnoteText"/>
      </w:pPr>
      <w:r>
        <w:rPr>
          <w:rStyle w:val="FootnoteReference"/>
        </w:rPr>
        <w:footnoteRef/>
      </w:r>
      <w:r>
        <w:t xml:space="preserve"> Report of the Special Rapporteur on the Human Rights of Migrants: Migrants in an irregular</w:t>
      </w:r>
    </w:p>
    <w:p w:rsidR="002D4244" w:rsidRPr="00D8726E" w:rsidRDefault="002D4244">
      <w:pPr>
        <w:pStyle w:val="FootnoteText"/>
        <w:rPr>
          <w:lang w:val="fr-FR"/>
        </w:rPr>
      </w:pPr>
      <w:proofErr w:type="gramStart"/>
      <w:r w:rsidRPr="00D8726E">
        <w:rPr>
          <w:lang w:val="fr-FR"/>
        </w:rPr>
        <w:t>situation</w:t>
      </w:r>
      <w:proofErr w:type="gramEnd"/>
      <w:r w:rsidRPr="00D8726E">
        <w:rPr>
          <w:lang w:val="fr-FR"/>
        </w:rPr>
        <w:t xml:space="preserve">, </w:t>
      </w:r>
      <w:r w:rsidRPr="00D8726E">
        <w:rPr>
          <w:i/>
          <w:lang w:val="fr-FR"/>
        </w:rPr>
        <w:t xml:space="preserve">supra </w:t>
      </w:r>
      <w:r w:rsidRPr="00D8726E">
        <w:rPr>
          <w:lang w:val="fr-FR"/>
        </w:rPr>
        <w:t>n. 23, para. 43.</w:t>
      </w:r>
    </w:p>
  </w:footnote>
  <w:footnote w:id="60">
    <w:p w:rsidR="002D4244" w:rsidRPr="00D8726E" w:rsidRDefault="002D4244">
      <w:pPr>
        <w:pStyle w:val="FootnoteText"/>
        <w:rPr>
          <w:lang w:val="fr-FR"/>
        </w:rPr>
      </w:pPr>
      <w:r>
        <w:rPr>
          <w:rStyle w:val="FootnoteReference"/>
        </w:rPr>
        <w:footnoteRef/>
      </w:r>
      <w:r w:rsidRPr="00D8726E">
        <w:rPr>
          <w:lang w:val="fr-FR"/>
        </w:rPr>
        <w:t xml:space="preserve"> </w:t>
      </w:r>
      <w:r w:rsidRPr="00D8726E">
        <w:rPr>
          <w:i/>
          <w:lang w:val="fr-FR"/>
        </w:rPr>
        <w:t>Ibid.</w:t>
      </w:r>
    </w:p>
  </w:footnote>
  <w:footnote w:id="61">
    <w:p w:rsidR="002D4244" w:rsidRPr="00436ED6" w:rsidRDefault="002D4244">
      <w:pPr>
        <w:pStyle w:val="FootnoteText"/>
      </w:pPr>
      <w:r>
        <w:rPr>
          <w:rStyle w:val="FootnoteReference"/>
        </w:rPr>
        <w:footnoteRef/>
      </w:r>
      <w:r>
        <w:t xml:space="preserve"> </w:t>
      </w:r>
      <w:proofErr w:type="gramStart"/>
      <w:r>
        <w:t>Concluding Observations on Uruguay, CCPR/C/URY/CO/5 (2013), para.</w:t>
      </w:r>
      <w:proofErr w:type="gramEnd"/>
      <w:r>
        <w:t xml:space="preserve"> 9. </w:t>
      </w:r>
    </w:p>
  </w:footnote>
  <w:footnote w:id="62">
    <w:p w:rsidR="002D4244" w:rsidRDefault="002D4244">
      <w:pPr>
        <w:pStyle w:val="FootnoteText"/>
      </w:pPr>
      <w:r>
        <w:rPr>
          <w:rStyle w:val="FootnoteReference"/>
        </w:rPr>
        <w:footnoteRef/>
      </w:r>
      <w:r>
        <w:t xml:space="preserve"> </w:t>
      </w:r>
      <w:proofErr w:type="gramStart"/>
      <w:r>
        <w:t>Concluding Observations on Turkey, CCPR/C/TUR/CO/1 (2012), para.</w:t>
      </w:r>
      <w:proofErr w:type="gramEnd"/>
      <w:r>
        <w:t xml:space="preserve"> 18; Concluding</w:t>
      </w:r>
    </w:p>
    <w:p w:rsidR="002D4244" w:rsidRDefault="002D4244">
      <w:pPr>
        <w:pStyle w:val="FootnoteText"/>
      </w:pPr>
      <w:proofErr w:type="gramStart"/>
      <w:r>
        <w:t>Observations on Bulgaria, CCPR/C/BGR/CO/3 (2011), para.</w:t>
      </w:r>
      <w:proofErr w:type="gramEnd"/>
      <w:r>
        <w:t xml:space="preserve"> 18; Concluding Observations on</w:t>
      </w:r>
    </w:p>
    <w:p w:rsidR="002D4244" w:rsidRDefault="002D4244">
      <w:pPr>
        <w:pStyle w:val="FootnoteText"/>
      </w:pPr>
      <w:r>
        <w:t>Peru, CCPR/C/PER/CO/5 (2013), para. 21; Concluding Observations on Rwanda,</w:t>
      </w:r>
    </w:p>
    <w:p w:rsidR="002D4244" w:rsidRPr="00436ED6" w:rsidRDefault="002D4244">
      <w:pPr>
        <w:pStyle w:val="FootnoteText"/>
      </w:pPr>
      <w:proofErr w:type="gramStart"/>
      <w:r>
        <w:t>CCPR/C/RWA/CO/3 (2009), para.</w:t>
      </w:r>
      <w:proofErr w:type="gramEnd"/>
      <w:r>
        <w:t xml:space="preserve"> 14. </w:t>
      </w:r>
    </w:p>
  </w:footnote>
  <w:footnote w:id="63">
    <w:p w:rsidR="002D4244" w:rsidRDefault="002D4244" w:rsidP="001B6EF3">
      <w:pPr>
        <w:pStyle w:val="FootnoteText"/>
        <w:rPr>
          <w:szCs w:val="18"/>
        </w:rPr>
      </w:pPr>
      <w:r w:rsidRPr="00A46B17">
        <w:rPr>
          <w:rStyle w:val="FootnoteReference"/>
          <w:szCs w:val="18"/>
        </w:rPr>
        <w:footnoteRef/>
      </w:r>
      <w:r w:rsidRPr="00A46B17">
        <w:rPr>
          <w:szCs w:val="18"/>
        </w:rPr>
        <w:t xml:space="preserve"> UN Convention on the Rights of the Child,</w:t>
      </w:r>
      <w:r>
        <w:rPr>
          <w:szCs w:val="18"/>
        </w:rPr>
        <w:t xml:space="preserve"> adopted by resolution</w:t>
      </w:r>
      <w:r w:rsidRPr="00A46B17">
        <w:rPr>
          <w:szCs w:val="18"/>
        </w:rPr>
        <w:t xml:space="preserve"> </w:t>
      </w:r>
      <w:r>
        <w:rPr>
          <w:szCs w:val="18"/>
        </w:rPr>
        <w:t>A/44/25 (1989), entered into</w:t>
      </w:r>
    </w:p>
    <w:p w:rsidR="002D4244" w:rsidRPr="003E72B9" w:rsidRDefault="002D4244" w:rsidP="001B6EF3">
      <w:pPr>
        <w:pStyle w:val="FootnoteText"/>
        <w:rPr>
          <w:szCs w:val="18"/>
        </w:rPr>
      </w:pPr>
      <w:proofErr w:type="gramStart"/>
      <w:r>
        <w:rPr>
          <w:szCs w:val="18"/>
        </w:rPr>
        <w:t>force</w:t>
      </w:r>
      <w:proofErr w:type="gramEnd"/>
      <w:r>
        <w:rPr>
          <w:szCs w:val="18"/>
        </w:rPr>
        <w:t xml:space="preserve"> 2 September 1990, </w:t>
      </w:r>
      <w:r w:rsidRPr="00A46B17">
        <w:rPr>
          <w:szCs w:val="18"/>
        </w:rPr>
        <w:t>Article 37(b)</w:t>
      </w:r>
      <w:r>
        <w:rPr>
          <w:szCs w:val="18"/>
        </w:rPr>
        <w:t>.</w:t>
      </w:r>
    </w:p>
  </w:footnote>
  <w:footnote w:id="64">
    <w:p w:rsidR="002D4244" w:rsidRPr="009F03F9" w:rsidRDefault="002D4244" w:rsidP="00606255">
      <w:pPr>
        <w:pStyle w:val="FootnoteText"/>
        <w:tabs>
          <w:tab w:val="clear" w:pos="1021"/>
          <w:tab w:val="right" w:pos="0"/>
        </w:tabs>
        <w:spacing w:line="240" w:lineRule="auto"/>
        <w:ind w:left="0" w:right="0" w:firstLine="0"/>
      </w:pPr>
      <w:r>
        <w:rPr>
          <w:rStyle w:val="FootnoteReference"/>
        </w:rPr>
        <w:footnoteRef/>
      </w:r>
      <w:r w:rsidRPr="007C7C5D">
        <w:rPr>
          <w:lang w:val="es-ES"/>
        </w:rPr>
        <w:t xml:space="preserve"> </w:t>
      </w:r>
      <w:proofErr w:type="spellStart"/>
      <w:r w:rsidRPr="00D8726E">
        <w:rPr>
          <w:i/>
          <w:lang w:val="es-ES"/>
        </w:rPr>
        <w:t>Bakhtiyari</w:t>
      </w:r>
      <w:proofErr w:type="spellEnd"/>
      <w:r w:rsidRPr="00D8726E">
        <w:rPr>
          <w:i/>
          <w:lang w:val="es-ES"/>
        </w:rPr>
        <w:t xml:space="preserve"> v. Australia</w:t>
      </w:r>
      <w:r w:rsidRPr="007C7C5D">
        <w:rPr>
          <w:lang w:val="es-ES"/>
        </w:rPr>
        <w:t>,</w:t>
      </w:r>
      <w:r>
        <w:rPr>
          <w:lang w:val="es-ES"/>
        </w:rPr>
        <w:t xml:space="preserve"> </w:t>
      </w:r>
      <w:r>
        <w:rPr>
          <w:szCs w:val="18"/>
        </w:rPr>
        <w:t>Comm.</w:t>
      </w:r>
      <w:r w:rsidRPr="00A46B17">
        <w:rPr>
          <w:szCs w:val="18"/>
        </w:rPr>
        <w:t xml:space="preserve"> </w:t>
      </w:r>
      <w:proofErr w:type="gramStart"/>
      <w:r w:rsidRPr="00A46B17">
        <w:rPr>
          <w:szCs w:val="18"/>
        </w:rPr>
        <w:t>No.</w:t>
      </w:r>
      <w:r w:rsidRPr="007C7C5D">
        <w:rPr>
          <w:lang w:val="es-ES"/>
        </w:rPr>
        <w:t>1069/2002</w:t>
      </w:r>
      <w:r>
        <w:rPr>
          <w:lang w:val="es-ES"/>
        </w:rPr>
        <w:t>,</w:t>
      </w:r>
      <w:r w:rsidRPr="007C7C5D">
        <w:rPr>
          <w:lang w:val="es-ES"/>
        </w:rPr>
        <w:t xml:space="preserve"> paras.</w:t>
      </w:r>
      <w:proofErr w:type="gramEnd"/>
      <w:r w:rsidRPr="007C7C5D">
        <w:rPr>
          <w:lang w:val="es-ES"/>
        </w:rPr>
        <w:t xml:space="preserve"> 9.</w:t>
      </w:r>
      <w:r>
        <w:rPr>
          <w:lang w:val="es-ES"/>
        </w:rPr>
        <w:t>3</w:t>
      </w:r>
      <w:r w:rsidRPr="007C7C5D">
        <w:rPr>
          <w:lang w:val="es-ES"/>
        </w:rPr>
        <w:t>, 9.</w:t>
      </w:r>
      <w:r>
        <w:rPr>
          <w:lang w:val="es-ES"/>
        </w:rPr>
        <w:t>7</w:t>
      </w:r>
      <w:r w:rsidRPr="007C7C5D">
        <w:rPr>
          <w:lang w:val="es-ES"/>
        </w:rPr>
        <w:t>;</w:t>
      </w:r>
      <w:r>
        <w:rPr>
          <w:lang w:val="es-ES"/>
        </w:rPr>
        <w:t xml:space="preserve"> </w:t>
      </w:r>
      <w:r w:rsidRPr="00D8726E">
        <w:rPr>
          <w:i/>
          <w:lang w:val="es-ES"/>
        </w:rPr>
        <w:t>D. &amp; E. v. Australia</w:t>
      </w:r>
      <w:r>
        <w:rPr>
          <w:lang w:val="es-ES"/>
        </w:rPr>
        <w:t>,</w:t>
      </w:r>
      <w:r w:rsidRPr="007C7C5D">
        <w:rPr>
          <w:lang w:val="es-ES"/>
        </w:rPr>
        <w:t xml:space="preserve"> </w:t>
      </w:r>
      <w:r>
        <w:rPr>
          <w:lang w:val="es-ES"/>
        </w:rPr>
        <w:t xml:space="preserve">Comm. No. </w:t>
      </w:r>
      <w:r w:rsidRPr="007C7C5D">
        <w:rPr>
          <w:lang w:val="es-ES"/>
        </w:rPr>
        <w:t>10</w:t>
      </w:r>
      <w:r>
        <w:rPr>
          <w:lang w:val="es-ES"/>
        </w:rPr>
        <w:t>50</w:t>
      </w:r>
      <w:r w:rsidRPr="007C7C5D">
        <w:rPr>
          <w:lang w:val="es-ES"/>
        </w:rPr>
        <w:t>/200</w:t>
      </w:r>
      <w:r>
        <w:rPr>
          <w:lang w:val="es-ES"/>
        </w:rPr>
        <w:t>2</w:t>
      </w:r>
      <w:r w:rsidRPr="007C7C5D">
        <w:rPr>
          <w:lang w:val="es-ES"/>
        </w:rPr>
        <w:t xml:space="preserve">, para. 7.2; </w:t>
      </w:r>
      <w:proofErr w:type="spellStart"/>
      <w:r w:rsidRPr="00D8726E">
        <w:rPr>
          <w:i/>
          <w:lang w:val="en-US"/>
        </w:rPr>
        <w:t>Jalloh</w:t>
      </w:r>
      <w:proofErr w:type="spellEnd"/>
      <w:r w:rsidRPr="00D8726E">
        <w:rPr>
          <w:i/>
          <w:lang w:val="en-US"/>
        </w:rPr>
        <w:t xml:space="preserve"> v. Netherlands</w:t>
      </w:r>
      <w:r w:rsidRPr="00720827">
        <w:rPr>
          <w:lang w:val="en-US"/>
        </w:rPr>
        <w:t xml:space="preserve">, </w:t>
      </w:r>
      <w:r>
        <w:rPr>
          <w:lang w:val="en-US"/>
        </w:rPr>
        <w:t xml:space="preserve">Comm. No. </w:t>
      </w:r>
      <w:r w:rsidRPr="00720827">
        <w:rPr>
          <w:lang w:val="en-US"/>
        </w:rPr>
        <w:t xml:space="preserve">794/1998, para. </w:t>
      </w:r>
      <w:r>
        <w:t>8.2; see also Convention on the Rights of the Child, Art. 37(b).</w:t>
      </w:r>
    </w:p>
  </w:footnote>
  <w:footnote w:id="65">
    <w:p w:rsidR="002D4244" w:rsidRPr="00A46B17" w:rsidRDefault="002D4244" w:rsidP="000027DC">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See </w:t>
      </w:r>
      <w:proofErr w:type="spellStart"/>
      <w:r w:rsidRPr="00A46B17">
        <w:rPr>
          <w:szCs w:val="18"/>
        </w:rPr>
        <w:t>eg</w:t>
      </w:r>
      <w:proofErr w:type="spellEnd"/>
      <w:r w:rsidRPr="00A46B17">
        <w:rPr>
          <w:szCs w:val="18"/>
        </w:rPr>
        <w:t xml:space="preserve">. </w:t>
      </w:r>
      <w:proofErr w:type="gramStart"/>
      <w:r w:rsidRPr="00A46B17">
        <w:rPr>
          <w:szCs w:val="18"/>
          <w:lang w:val="en-US"/>
        </w:rPr>
        <w:t>Concluding</w:t>
      </w:r>
      <w:r w:rsidRPr="00A46B17">
        <w:rPr>
          <w:szCs w:val="18"/>
        </w:rPr>
        <w:t xml:space="preserve"> Observations on Tanzania, CCPR/C/TZA/CO/4 (2009), para.</w:t>
      </w:r>
      <w:proofErr w:type="gramEnd"/>
      <w:r w:rsidRPr="00A46B17">
        <w:rPr>
          <w:szCs w:val="18"/>
        </w:rPr>
        <w:t xml:space="preserve"> </w:t>
      </w:r>
      <w:proofErr w:type="gramStart"/>
      <w:r w:rsidRPr="00A46B17">
        <w:rPr>
          <w:szCs w:val="18"/>
        </w:rPr>
        <w:t xml:space="preserve">18; </w:t>
      </w:r>
      <w:r>
        <w:rPr>
          <w:szCs w:val="18"/>
        </w:rPr>
        <w:t xml:space="preserve">Concluding Observations on </w:t>
      </w:r>
      <w:r w:rsidRPr="00A46B17">
        <w:rPr>
          <w:szCs w:val="18"/>
        </w:rPr>
        <w:t>Malawi, CCPR/C/MWI/CO/1 (2012), para.</w:t>
      </w:r>
      <w:proofErr w:type="gramEnd"/>
      <w:r w:rsidRPr="00A46B17">
        <w:rPr>
          <w:szCs w:val="18"/>
        </w:rPr>
        <w:t xml:space="preserve"> </w:t>
      </w:r>
      <w:proofErr w:type="gramStart"/>
      <w:r w:rsidRPr="00A46B17">
        <w:rPr>
          <w:szCs w:val="18"/>
        </w:rPr>
        <w:t xml:space="preserve">11; </w:t>
      </w:r>
      <w:r>
        <w:rPr>
          <w:szCs w:val="18"/>
        </w:rPr>
        <w:t xml:space="preserve">Concluding Observations on </w:t>
      </w:r>
      <w:r w:rsidRPr="00A46B17">
        <w:rPr>
          <w:szCs w:val="18"/>
        </w:rPr>
        <w:t>Moldova, CCPR/C/MDA/CO/2 (2009), para.</w:t>
      </w:r>
      <w:proofErr w:type="gramEnd"/>
      <w:r w:rsidRPr="00A46B17">
        <w:rPr>
          <w:szCs w:val="18"/>
        </w:rPr>
        <w:t xml:space="preserve"> </w:t>
      </w:r>
      <w:proofErr w:type="gramStart"/>
      <w:r w:rsidRPr="00A46B17">
        <w:rPr>
          <w:szCs w:val="18"/>
        </w:rPr>
        <w:t xml:space="preserve">9; </w:t>
      </w:r>
      <w:r>
        <w:rPr>
          <w:szCs w:val="18"/>
        </w:rPr>
        <w:t xml:space="preserve">Concluding Observations on </w:t>
      </w:r>
      <w:r w:rsidRPr="00A46B17">
        <w:rPr>
          <w:szCs w:val="18"/>
        </w:rPr>
        <w:t>Kuwait, CCPR/C/KWT/CO/2 (2011), para.</w:t>
      </w:r>
      <w:proofErr w:type="gramEnd"/>
      <w:r w:rsidRPr="00A46B17">
        <w:rPr>
          <w:szCs w:val="18"/>
        </w:rPr>
        <w:t xml:space="preserve"> 21.</w:t>
      </w:r>
    </w:p>
  </w:footnote>
  <w:footnote w:id="66">
    <w:p w:rsidR="002D4244" w:rsidRPr="00A46B17" w:rsidRDefault="002D4244" w:rsidP="000027DC">
      <w:pPr>
        <w:pStyle w:val="FootnoteText"/>
        <w:tabs>
          <w:tab w:val="clear" w:pos="1021"/>
          <w:tab w:val="right" w:pos="0"/>
        </w:tabs>
        <w:spacing w:line="240" w:lineRule="auto"/>
        <w:ind w:left="0" w:right="0" w:firstLine="0"/>
        <w:rPr>
          <w:szCs w:val="18"/>
          <w:lang w:val="es-ES"/>
        </w:rPr>
      </w:pPr>
      <w:r w:rsidRPr="00A46B17">
        <w:rPr>
          <w:rStyle w:val="FootnoteReference"/>
          <w:szCs w:val="18"/>
        </w:rPr>
        <w:footnoteRef/>
      </w:r>
      <w:r w:rsidRPr="00A46B17">
        <w:rPr>
          <w:szCs w:val="18"/>
        </w:rPr>
        <w:t xml:space="preserve"> See Concluding </w:t>
      </w:r>
      <w:r>
        <w:rPr>
          <w:szCs w:val="18"/>
        </w:rPr>
        <w:t>O</w:t>
      </w:r>
      <w:r w:rsidRPr="00A46B17">
        <w:rPr>
          <w:szCs w:val="18"/>
        </w:rPr>
        <w:t xml:space="preserve">bservations </w:t>
      </w:r>
      <w:r>
        <w:rPr>
          <w:szCs w:val="18"/>
        </w:rPr>
        <w:t xml:space="preserve">on </w:t>
      </w:r>
      <w:r w:rsidRPr="00A46B17">
        <w:rPr>
          <w:szCs w:val="18"/>
        </w:rPr>
        <w:t>Zimbabwe</w:t>
      </w:r>
      <w:r>
        <w:rPr>
          <w:szCs w:val="18"/>
        </w:rPr>
        <w:t xml:space="preserve">, </w:t>
      </w:r>
      <w:r>
        <w:t>CCPR/C/79/Add.89</w:t>
      </w:r>
      <w:r w:rsidRPr="00A46B17">
        <w:rPr>
          <w:szCs w:val="18"/>
        </w:rPr>
        <w:t xml:space="preserve"> </w:t>
      </w:r>
      <w:r>
        <w:rPr>
          <w:szCs w:val="18"/>
        </w:rPr>
        <w:t>(</w:t>
      </w:r>
      <w:r w:rsidRPr="00A46B17">
        <w:rPr>
          <w:szCs w:val="18"/>
        </w:rPr>
        <w:t>1998</w:t>
      </w:r>
      <w:r>
        <w:rPr>
          <w:szCs w:val="18"/>
        </w:rPr>
        <w:t>)</w:t>
      </w:r>
      <w:r w:rsidRPr="00A46B17">
        <w:rPr>
          <w:szCs w:val="18"/>
        </w:rPr>
        <w:t xml:space="preserve">, para. </w:t>
      </w:r>
      <w:proofErr w:type="gramStart"/>
      <w:r>
        <w:rPr>
          <w:szCs w:val="18"/>
        </w:rPr>
        <w:t>17</w:t>
      </w:r>
      <w:r>
        <w:rPr>
          <w:szCs w:val="18"/>
          <w:lang w:val="es-ES"/>
        </w:rPr>
        <w:t xml:space="preserve">; Concluding Observations on </w:t>
      </w:r>
      <w:r w:rsidRPr="00A46B17">
        <w:rPr>
          <w:szCs w:val="18"/>
          <w:lang w:val="es-ES"/>
        </w:rPr>
        <w:t>Uzbekistan</w:t>
      </w:r>
      <w:r>
        <w:rPr>
          <w:szCs w:val="18"/>
          <w:lang w:val="es-ES"/>
        </w:rPr>
        <w:t xml:space="preserve">, </w:t>
      </w:r>
      <w:r w:rsidRPr="003E72B9">
        <w:rPr>
          <w:szCs w:val="18"/>
          <w:lang w:val="es-ES"/>
        </w:rPr>
        <w:t xml:space="preserve">CCPR/CO/71/UZB </w:t>
      </w:r>
      <w:r>
        <w:rPr>
          <w:szCs w:val="18"/>
          <w:lang w:val="es-ES"/>
        </w:rPr>
        <w:t>(</w:t>
      </w:r>
      <w:r w:rsidRPr="00A46B17">
        <w:rPr>
          <w:szCs w:val="18"/>
          <w:lang w:val="es-ES"/>
        </w:rPr>
        <w:t>2001</w:t>
      </w:r>
      <w:r>
        <w:rPr>
          <w:szCs w:val="18"/>
          <w:lang w:val="es-ES"/>
        </w:rPr>
        <w:t>)</w:t>
      </w:r>
      <w:r w:rsidRPr="00A46B17">
        <w:rPr>
          <w:szCs w:val="18"/>
          <w:lang w:val="es-ES"/>
        </w:rPr>
        <w:t>, para.</w:t>
      </w:r>
      <w:proofErr w:type="gramEnd"/>
      <w:r w:rsidRPr="00A46B17">
        <w:rPr>
          <w:szCs w:val="18"/>
          <w:lang w:val="es-ES"/>
        </w:rPr>
        <w:t xml:space="preserve"> 11</w:t>
      </w:r>
      <w:r>
        <w:rPr>
          <w:szCs w:val="18"/>
          <w:lang w:val="es-ES"/>
        </w:rPr>
        <w:t>; Concluding Observations on</w:t>
      </w:r>
      <w:r w:rsidRPr="00A46B17">
        <w:rPr>
          <w:szCs w:val="18"/>
          <w:lang w:val="es-ES"/>
        </w:rPr>
        <w:t xml:space="preserve"> Hungary</w:t>
      </w:r>
      <w:r>
        <w:rPr>
          <w:szCs w:val="18"/>
          <w:lang w:val="es-ES"/>
        </w:rPr>
        <w:t xml:space="preserve">, </w:t>
      </w:r>
      <w:r w:rsidRPr="003E72B9">
        <w:rPr>
          <w:szCs w:val="18"/>
          <w:lang w:val="es-ES"/>
        </w:rPr>
        <w:t>CCPR/CO/74/HUN</w:t>
      </w:r>
      <w:r w:rsidRPr="00A46B17">
        <w:rPr>
          <w:szCs w:val="18"/>
          <w:lang w:val="es-ES"/>
        </w:rPr>
        <w:t xml:space="preserve"> </w:t>
      </w:r>
      <w:r>
        <w:rPr>
          <w:szCs w:val="18"/>
          <w:lang w:val="es-ES"/>
        </w:rPr>
        <w:t>(</w:t>
      </w:r>
      <w:r w:rsidRPr="00A46B17">
        <w:rPr>
          <w:szCs w:val="18"/>
        </w:rPr>
        <w:t>2002</w:t>
      </w:r>
      <w:r>
        <w:rPr>
          <w:szCs w:val="18"/>
        </w:rPr>
        <w:t>)</w:t>
      </w:r>
      <w:r w:rsidRPr="00A46B17">
        <w:rPr>
          <w:szCs w:val="18"/>
          <w:lang w:val="es-ES"/>
        </w:rPr>
        <w:t>, para. 8.</w:t>
      </w:r>
    </w:p>
  </w:footnote>
  <w:footnote w:id="67">
    <w:p w:rsidR="002D4244" w:rsidRPr="00A46B17" w:rsidRDefault="002D4244" w:rsidP="000027DC">
      <w:pPr>
        <w:pStyle w:val="FootnoteText"/>
        <w:tabs>
          <w:tab w:val="clear" w:pos="1021"/>
          <w:tab w:val="right" w:pos="0"/>
        </w:tabs>
        <w:spacing w:line="240" w:lineRule="auto"/>
        <w:ind w:left="0" w:right="0" w:firstLine="0"/>
        <w:rPr>
          <w:szCs w:val="18"/>
          <w:lang w:val="es-ES"/>
        </w:rPr>
      </w:pPr>
      <w:r w:rsidRPr="00A46B17">
        <w:rPr>
          <w:rStyle w:val="FootnoteReference"/>
          <w:szCs w:val="18"/>
        </w:rPr>
        <w:footnoteRef/>
      </w:r>
      <w:r w:rsidRPr="00A46B17">
        <w:rPr>
          <w:szCs w:val="18"/>
          <w:lang w:val="es-ES"/>
        </w:rPr>
        <w:t xml:space="preserve"> See General Comment No. 32, paras. 32, 34, 38; Concluding </w:t>
      </w:r>
      <w:r>
        <w:rPr>
          <w:szCs w:val="18"/>
          <w:lang w:val="es-ES"/>
        </w:rPr>
        <w:t>O</w:t>
      </w:r>
      <w:r w:rsidRPr="00A46B17">
        <w:rPr>
          <w:szCs w:val="18"/>
          <w:lang w:val="es-ES"/>
        </w:rPr>
        <w:t>bservations</w:t>
      </w:r>
      <w:r>
        <w:rPr>
          <w:szCs w:val="18"/>
          <w:lang w:val="es-ES"/>
        </w:rPr>
        <w:t xml:space="preserve"> on</w:t>
      </w:r>
      <w:r w:rsidRPr="00A46B17">
        <w:rPr>
          <w:szCs w:val="18"/>
          <w:lang w:val="es-ES"/>
        </w:rPr>
        <w:t xml:space="preserve"> Algeria</w:t>
      </w:r>
      <w:r>
        <w:rPr>
          <w:szCs w:val="18"/>
          <w:lang w:val="es-ES"/>
        </w:rPr>
        <w:t xml:space="preserve">, </w:t>
      </w:r>
      <w:r w:rsidRPr="003E72B9">
        <w:rPr>
          <w:szCs w:val="18"/>
          <w:lang w:val="es-ES"/>
        </w:rPr>
        <w:t>CCPR/C/79/Add.95</w:t>
      </w:r>
      <w:r w:rsidRPr="00A46B17">
        <w:rPr>
          <w:szCs w:val="18"/>
          <w:lang w:val="es-ES"/>
        </w:rPr>
        <w:t xml:space="preserve"> </w:t>
      </w:r>
      <w:r>
        <w:rPr>
          <w:szCs w:val="18"/>
          <w:lang w:val="es-ES"/>
        </w:rPr>
        <w:t>(</w:t>
      </w:r>
      <w:r w:rsidRPr="00A46B17">
        <w:rPr>
          <w:szCs w:val="18"/>
          <w:lang w:val="es-ES"/>
        </w:rPr>
        <w:t>1998</w:t>
      </w:r>
      <w:r>
        <w:rPr>
          <w:szCs w:val="18"/>
          <w:lang w:val="es-ES"/>
        </w:rPr>
        <w:t>)</w:t>
      </w:r>
      <w:r w:rsidRPr="00A46B17">
        <w:rPr>
          <w:szCs w:val="18"/>
          <w:lang w:val="es-ES"/>
        </w:rPr>
        <w:t xml:space="preserve">, para. </w:t>
      </w:r>
      <w:r>
        <w:rPr>
          <w:szCs w:val="18"/>
          <w:lang w:val="es-ES"/>
        </w:rPr>
        <w:t>12</w:t>
      </w:r>
      <w:r w:rsidRPr="00A46B17">
        <w:rPr>
          <w:szCs w:val="18"/>
          <w:lang w:val="es-ES"/>
        </w:rPr>
        <w:t xml:space="preserve">; </w:t>
      </w:r>
      <w:r>
        <w:rPr>
          <w:szCs w:val="18"/>
          <w:lang w:val="es-ES"/>
        </w:rPr>
        <w:t xml:space="preserve">Concluding Observations on </w:t>
      </w:r>
      <w:r w:rsidRPr="00A46B17">
        <w:rPr>
          <w:szCs w:val="18"/>
          <w:lang w:val="es-ES"/>
        </w:rPr>
        <w:t>Togo</w:t>
      </w:r>
      <w:r>
        <w:rPr>
          <w:szCs w:val="18"/>
          <w:lang w:val="es-ES"/>
        </w:rPr>
        <w:t>,CCPR/C/TGO/CO/4</w:t>
      </w:r>
      <w:r w:rsidRPr="00A46B17">
        <w:rPr>
          <w:szCs w:val="18"/>
          <w:lang w:val="es-ES"/>
        </w:rPr>
        <w:t xml:space="preserve"> </w:t>
      </w:r>
      <w:r>
        <w:rPr>
          <w:szCs w:val="18"/>
          <w:lang w:val="es-ES"/>
        </w:rPr>
        <w:t>(</w:t>
      </w:r>
      <w:r w:rsidRPr="00A46B17">
        <w:rPr>
          <w:szCs w:val="18"/>
          <w:lang w:val="es-ES"/>
        </w:rPr>
        <w:t>2011</w:t>
      </w:r>
      <w:r>
        <w:rPr>
          <w:szCs w:val="18"/>
          <w:lang w:val="es-ES"/>
        </w:rPr>
        <w:t>)</w:t>
      </w:r>
      <w:r w:rsidRPr="00A46B17">
        <w:rPr>
          <w:szCs w:val="18"/>
          <w:lang w:val="es-ES"/>
        </w:rPr>
        <w:t>, para. 19; paragraph 58 infra.</w:t>
      </w:r>
    </w:p>
  </w:footnote>
  <w:footnote w:id="68">
    <w:p w:rsidR="002D4244" w:rsidRPr="00A46B17" w:rsidRDefault="002D4244" w:rsidP="000027DC">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w:t>
      </w:r>
      <w:r w:rsidRPr="00A46B17">
        <w:rPr>
          <w:szCs w:val="18"/>
          <w:lang w:val="en-US"/>
        </w:rPr>
        <w:t xml:space="preserve">This </w:t>
      </w:r>
      <w:r w:rsidRPr="00A46B17">
        <w:rPr>
          <w:szCs w:val="18"/>
        </w:rPr>
        <w:t>could</w:t>
      </w:r>
      <w:r w:rsidRPr="00A46B17">
        <w:rPr>
          <w:szCs w:val="18"/>
          <w:lang w:val="en-US"/>
        </w:rPr>
        <w:t xml:space="preserve"> be done in either of the above paragraphs, or in a separate section concerning safeguards (as to which see above, paragraphs</w:t>
      </w:r>
      <w:r>
        <w:rPr>
          <w:szCs w:val="18"/>
          <w:lang w:val="en-US"/>
        </w:rPr>
        <w:t xml:space="preserve"> 10-18)</w:t>
      </w:r>
      <w:r w:rsidRPr="00A46B17">
        <w:rPr>
          <w:szCs w:val="18"/>
          <w:lang w:val="en-US"/>
        </w:rPr>
        <w:t>.</w:t>
      </w:r>
    </w:p>
  </w:footnote>
  <w:footnote w:id="69">
    <w:p w:rsidR="002D4244" w:rsidRPr="00A46B17" w:rsidRDefault="002D4244" w:rsidP="00E554B2">
      <w:pPr>
        <w:pStyle w:val="FootnoteText"/>
        <w:spacing w:line="240" w:lineRule="auto"/>
        <w:ind w:right="0"/>
        <w:rPr>
          <w:szCs w:val="18"/>
        </w:rPr>
      </w:pPr>
      <w:r w:rsidRPr="00A46B17">
        <w:rPr>
          <w:rStyle w:val="FootnoteReference"/>
          <w:szCs w:val="18"/>
        </w:rPr>
        <w:footnoteRef/>
      </w:r>
      <w:r w:rsidRPr="00A46B17">
        <w:rPr>
          <w:szCs w:val="18"/>
        </w:rPr>
        <w:t xml:space="preserve"> </w:t>
      </w:r>
      <w:proofErr w:type="gramStart"/>
      <w:r w:rsidRPr="003E72B9">
        <w:rPr>
          <w:szCs w:val="18"/>
        </w:rPr>
        <w:t>United Nations Principles and Guidelines on Access to Legal Aid in Criminal Justice Systems</w:t>
      </w:r>
      <w:r>
        <w:rPr>
          <w:szCs w:val="18"/>
        </w:rPr>
        <w:t xml:space="preserve">, </w:t>
      </w:r>
      <w:r w:rsidRPr="003E72B9">
        <w:rPr>
          <w:i/>
          <w:szCs w:val="18"/>
        </w:rPr>
        <w:t>supra</w:t>
      </w:r>
      <w:r>
        <w:rPr>
          <w:i/>
          <w:szCs w:val="18"/>
        </w:rPr>
        <w:t xml:space="preserve"> </w:t>
      </w:r>
      <w:r>
        <w:rPr>
          <w:szCs w:val="18"/>
        </w:rPr>
        <w:t>n. 16</w:t>
      </w:r>
      <w:r w:rsidR="00E554B2">
        <w:rPr>
          <w:szCs w:val="18"/>
        </w:rPr>
        <w:t>.</w:t>
      </w:r>
      <w:proofErr w:type="gramEnd"/>
    </w:p>
  </w:footnote>
  <w:footnote w:id="70">
    <w:p w:rsidR="002D4244" w:rsidRPr="00A46B17" w:rsidRDefault="002D4244" w:rsidP="000027DC">
      <w:pPr>
        <w:pStyle w:val="FootnoteText"/>
        <w:spacing w:line="240" w:lineRule="auto"/>
        <w:ind w:right="0"/>
        <w:rPr>
          <w:szCs w:val="18"/>
        </w:rPr>
      </w:pPr>
      <w:r w:rsidRPr="00A46B17">
        <w:rPr>
          <w:rStyle w:val="FootnoteReference"/>
          <w:szCs w:val="18"/>
        </w:rPr>
        <w:footnoteRef/>
      </w:r>
      <w:r w:rsidRPr="00A46B17">
        <w:rPr>
          <w:szCs w:val="18"/>
        </w:rPr>
        <w:t xml:space="preserve"> </w:t>
      </w:r>
      <w:proofErr w:type="gramStart"/>
      <w:r w:rsidRPr="00720827">
        <w:rPr>
          <w:i/>
          <w:szCs w:val="18"/>
        </w:rPr>
        <w:t>Ibid</w:t>
      </w:r>
      <w:r>
        <w:rPr>
          <w:szCs w:val="18"/>
        </w:rPr>
        <w:t xml:space="preserve">, </w:t>
      </w:r>
      <w:r w:rsidRPr="00A46B17">
        <w:rPr>
          <w:szCs w:val="18"/>
        </w:rPr>
        <w:t>Gui</w:t>
      </w:r>
      <w:r>
        <w:rPr>
          <w:szCs w:val="18"/>
        </w:rPr>
        <w:t>d</w:t>
      </w:r>
      <w:r w:rsidRPr="00A46B17">
        <w:rPr>
          <w:szCs w:val="18"/>
        </w:rPr>
        <w:t>elines 3 and 4.</w:t>
      </w:r>
      <w:proofErr w:type="gramEnd"/>
    </w:p>
  </w:footnote>
  <w:footnote w:id="71">
    <w:p w:rsidR="002D4244" w:rsidRPr="00A46B17" w:rsidRDefault="002D4244" w:rsidP="003F0CBB">
      <w:pPr>
        <w:pStyle w:val="FootnoteText"/>
        <w:spacing w:line="240" w:lineRule="auto"/>
        <w:rPr>
          <w:szCs w:val="18"/>
        </w:rPr>
      </w:pPr>
      <w:r w:rsidRPr="00A46B17">
        <w:rPr>
          <w:rStyle w:val="FootnoteReference"/>
          <w:szCs w:val="18"/>
        </w:rPr>
        <w:footnoteRef/>
      </w:r>
      <w:r w:rsidRPr="00A46B17">
        <w:rPr>
          <w:szCs w:val="18"/>
        </w:rPr>
        <w:t xml:space="preserve"> </w:t>
      </w:r>
      <w:r>
        <w:rPr>
          <w:i/>
          <w:szCs w:val="18"/>
        </w:rPr>
        <w:t xml:space="preserve">Ibid, </w:t>
      </w:r>
      <w:r w:rsidRPr="00A46B17">
        <w:rPr>
          <w:szCs w:val="18"/>
        </w:rPr>
        <w:t>Guide</w:t>
      </w:r>
      <w:r>
        <w:rPr>
          <w:szCs w:val="18"/>
        </w:rPr>
        <w:t>l</w:t>
      </w:r>
      <w:r w:rsidRPr="00A46B17">
        <w:rPr>
          <w:szCs w:val="18"/>
        </w:rPr>
        <w:t xml:space="preserve">ine 4, para. </w:t>
      </w:r>
      <w:proofErr w:type="gramStart"/>
      <w:r w:rsidRPr="00A46B17">
        <w:rPr>
          <w:szCs w:val="18"/>
        </w:rPr>
        <w:t>44(b).</w:t>
      </w:r>
      <w:proofErr w:type="gramEnd"/>
    </w:p>
  </w:footnote>
  <w:footnote w:id="72">
    <w:p w:rsidR="002D4244" w:rsidRPr="00D8726E" w:rsidRDefault="002D4244" w:rsidP="003F0CBB">
      <w:pPr>
        <w:pStyle w:val="SingleTxtG"/>
        <w:spacing w:after="0" w:line="240" w:lineRule="auto"/>
        <w:ind w:left="0"/>
        <w:jc w:val="left"/>
        <w:rPr>
          <w:sz w:val="18"/>
          <w:szCs w:val="18"/>
          <w:lang w:val="en-US"/>
        </w:rPr>
      </w:pPr>
      <w:r w:rsidRPr="00A46B17">
        <w:rPr>
          <w:rStyle w:val="FootnoteReference"/>
          <w:szCs w:val="18"/>
        </w:rPr>
        <w:footnoteRef/>
      </w:r>
      <w:r w:rsidRPr="00D8726E">
        <w:rPr>
          <w:sz w:val="18"/>
          <w:szCs w:val="18"/>
          <w:lang w:val="en-US"/>
        </w:rPr>
        <w:t xml:space="preserve"> </w:t>
      </w:r>
      <w:proofErr w:type="gramStart"/>
      <w:r w:rsidRPr="00D8726E">
        <w:rPr>
          <w:i/>
          <w:sz w:val="18"/>
          <w:szCs w:val="18"/>
          <w:lang w:val="en-US"/>
        </w:rPr>
        <w:t>Ibid</w:t>
      </w:r>
      <w:r w:rsidRPr="00D8726E">
        <w:rPr>
          <w:sz w:val="18"/>
          <w:szCs w:val="18"/>
          <w:lang w:val="en-US"/>
        </w:rPr>
        <w:t>, Guideline 3, para.</w:t>
      </w:r>
      <w:proofErr w:type="gramEnd"/>
      <w:r w:rsidRPr="00D8726E">
        <w:rPr>
          <w:sz w:val="18"/>
          <w:szCs w:val="18"/>
          <w:lang w:val="en-US"/>
        </w:rPr>
        <w:t xml:space="preserve"> </w:t>
      </w:r>
      <w:proofErr w:type="gramStart"/>
      <w:r w:rsidRPr="00D8726E">
        <w:rPr>
          <w:sz w:val="18"/>
          <w:szCs w:val="18"/>
          <w:lang w:val="en-US"/>
        </w:rPr>
        <w:t>43(b).</w:t>
      </w:r>
      <w:proofErr w:type="gramEnd"/>
    </w:p>
  </w:footnote>
  <w:footnote w:id="73">
    <w:p w:rsidR="002D4244" w:rsidRPr="00A46B17" w:rsidRDefault="002D4244" w:rsidP="003F0CBB">
      <w:pPr>
        <w:pStyle w:val="FootnoteText"/>
        <w:spacing w:line="240" w:lineRule="auto"/>
        <w:rPr>
          <w:szCs w:val="18"/>
          <w:lang w:val="fr-FR"/>
        </w:rPr>
      </w:pPr>
      <w:r w:rsidRPr="00A46B17">
        <w:rPr>
          <w:rStyle w:val="FootnoteReference"/>
          <w:szCs w:val="18"/>
        </w:rPr>
        <w:footnoteRef/>
      </w:r>
      <w:r>
        <w:rPr>
          <w:szCs w:val="18"/>
          <w:lang w:val="fr-FR"/>
        </w:rPr>
        <w:t xml:space="preserve"> </w:t>
      </w:r>
      <w:proofErr w:type="spellStart"/>
      <w:r>
        <w:rPr>
          <w:i/>
          <w:szCs w:val="18"/>
          <w:lang w:val="fr-FR"/>
        </w:rPr>
        <w:t>Ibid</w:t>
      </w:r>
      <w:proofErr w:type="spellEnd"/>
      <w:r>
        <w:rPr>
          <w:szCs w:val="18"/>
          <w:lang w:val="fr-FR"/>
        </w:rPr>
        <w:t>,</w:t>
      </w:r>
      <w:r w:rsidRPr="00A46B17">
        <w:rPr>
          <w:szCs w:val="18"/>
          <w:lang w:val="fr-FR"/>
        </w:rPr>
        <w:t xml:space="preserve"> </w:t>
      </w:r>
      <w:proofErr w:type="spellStart"/>
      <w:r w:rsidRPr="00A46B17">
        <w:rPr>
          <w:szCs w:val="18"/>
          <w:lang w:val="fr-FR"/>
        </w:rPr>
        <w:t>Principle</w:t>
      </w:r>
      <w:proofErr w:type="spellEnd"/>
      <w:r w:rsidRPr="00A46B17">
        <w:rPr>
          <w:szCs w:val="18"/>
          <w:lang w:val="fr-FR"/>
        </w:rPr>
        <w:t xml:space="preserve"> 3, para. 20.</w:t>
      </w:r>
    </w:p>
  </w:footnote>
  <w:footnote w:id="74">
    <w:p w:rsidR="002D4244" w:rsidRPr="00720827" w:rsidRDefault="002D4244" w:rsidP="003F0CBB">
      <w:pPr>
        <w:pStyle w:val="FootnoteText"/>
        <w:spacing w:line="240" w:lineRule="auto"/>
        <w:rPr>
          <w:szCs w:val="18"/>
          <w:lang w:val="en-US"/>
        </w:rPr>
      </w:pPr>
      <w:r w:rsidRPr="00A46B17">
        <w:rPr>
          <w:rStyle w:val="FootnoteReference"/>
          <w:szCs w:val="18"/>
        </w:rPr>
        <w:footnoteRef/>
      </w:r>
      <w:r w:rsidRPr="00720827">
        <w:rPr>
          <w:szCs w:val="18"/>
          <w:lang w:val="en-US"/>
        </w:rPr>
        <w:t xml:space="preserve"> </w:t>
      </w:r>
      <w:proofErr w:type="gramStart"/>
      <w:r w:rsidRPr="00720827">
        <w:rPr>
          <w:i/>
          <w:szCs w:val="18"/>
          <w:lang w:val="en-US"/>
        </w:rPr>
        <w:t>Ibid</w:t>
      </w:r>
      <w:r w:rsidRPr="00720827">
        <w:rPr>
          <w:szCs w:val="18"/>
          <w:lang w:val="en-US"/>
        </w:rPr>
        <w:t>, Principle 3.</w:t>
      </w:r>
      <w:proofErr w:type="gramEnd"/>
    </w:p>
  </w:footnote>
  <w:footnote w:id="75">
    <w:p w:rsidR="002D4244" w:rsidRPr="00A46B17" w:rsidRDefault="002D4244" w:rsidP="003F0CBB">
      <w:pPr>
        <w:pStyle w:val="FootnoteText"/>
        <w:spacing w:line="240" w:lineRule="auto"/>
        <w:rPr>
          <w:szCs w:val="18"/>
          <w:lang w:val="fr-FR"/>
        </w:rPr>
      </w:pPr>
      <w:r w:rsidRPr="00A46B17">
        <w:rPr>
          <w:rStyle w:val="FootnoteReference"/>
          <w:szCs w:val="18"/>
        </w:rPr>
        <w:footnoteRef/>
      </w:r>
      <w:r w:rsidRPr="00720827">
        <w:rPr>
          <w:szCs w:val="18"/>
          <w:lang w:val="en-US"/>
        </w:rPr>
        <w:t xml:space="preserve"> </w:t>
      </w:r>
      <w:proofErr w:type="gramStart"/>
      <w:r w:rsidRPr="00720827">
        <w:rPr>
          <w:i/>
          <w:szCs w:val="18"/>
          <w:lang w:val="en-US"/>
        </w:rPr>
        <w:t>Ibid</w:t>
      </w:r>
      <w:r w:rsidRPr="00720827">
        <w:rPr>
          <w:szCs w:val="18"/>
          <w:lang w:val="en-US"/>
        </w:rPr>
        <w:t>,</w:t>
      </w:r>
      <w:r w:rsidRPr="00720827">
        <w:rPr>
          <w:i/>
          <w:szCs w:val="18"/>
          <w:lang w:val="en-US"/>
        </w:rPr>
        <w:t xml:space="preserve"> </w:t>
      </w:r>
      <w:r w:rsidRPr="00720827">
        <w:rPr>
          <w:szCs w:val="18"/>
          <w:lang w:val="en-US"/>
        </w:rPr>
        <w:t>Guideline, para.</w:t>
      </w:r>
      <w:proofErr w:type="gramEnd"/>
      <w:r w:rsidRPr="00720827">
        <w:rPr>
          <w:szCs w:val="18"/>
          <w:lang w:val="en-US"/>
        </w:rPr>
        <w:t xml:space="preserve"> </w:t>
      </w:r>
      <w:r w:rsidRPr="00A46B17">
        <w:rPr>
          <w:szCs w:val="18"/>
          <w:lang w:val="fr-FR"/>
        </w:rPr>
        <w:t>43(h).</w:t>
      </w:r>
    </w:p>
  </w:footnote>
  <w:footnote w:id="76">
    <w:p w:rsidR="002D4244" w:rsidRPr="00720827" w:rsidRDefault="002D4244" w:rsidP="003F0CBB">
      <w:pPr>
        <w:pStyle w:val="FootnoteText"/>
        <w:spacing w:line="240" w:lineRule="auto"/>
        <w:rPr>
          <w:szCs w:val="18"/>
          <w:lang w:val="en-US"/>
        </w:rPr>
      </w:pPr>
      <w:r w:rsidRPr="00A46B17">
        <w:rPr>
          <w:rStyle w:val="FootnoteReference"/>
          <w:szCs w:val="18"/>
        </w:rPr>
        <w:footnoteRef/>
      </w:r>
      <w:r w:rsidRPr="00720827">
        <w:rPr>
          <w:szCs w:val="18"/>
          <w:lang w:val="en-US"/>
        </w:rPr>
        <w:t xml:space="preserve"> </w:t>
      </w:r>
      <w:proofErr w:type="gramStart"/>
      <w:r w:rsidRPr="0000083B">
        <w:rPr>
          <w:i/>
          <w:szCs w:val="18"/>
          <w:lang w:val="en-US"/>
        </w:rPr>
        <w:t>Ibid</w:t>
      </w:r>
      <w:r w:rsidRPr="0000083B">
        <w:rPr>
          <w:szCs w:val="18"/>
          <w:lang w:val="en-US"/>
        </w:rPr>
        <w:t>,</w:t>
      </w:r>
      <w:r w:rsidRPr="0000083B">
        <w:rPr>
          <w:i/>
          <w:szCs w:val="18"/>
          <w:lang w:val="en-US"/>
        </w:rPr>
        <w:t xml:space="preserve"> </w:t>
      </w:r>
      <w:r w:rsidRPr="00720827">
        <w:rPr>
          <w:szCs w:val="18"/>
          <w:lang w:val="en-US"/>
        </w:rPr>
        <w:t>Principle 8.</w:t>
      </w:r>
      <w:proofErr w:type="gramEnd"/>
    </w:p>
  </w:footnote>
  <w:footnote w:id="77">
    <w:p w:rsidR="002D4244" w:rsidRPr="00D8726E" w:rsidRDefault="002D4244" w:rsidP="003F0CBB">
      <w:pPr>
        <w:pStyle w:val="FootnoteText"/>
        <w:spacing w:line="240" w:lineRule="auto"/>
        <w:rPr>
          <w:szCs w:val="18"/>
          <w:lang w:val="en-US"/>
        </w:rPr>
      </w:pPr>
      <w:r w:rsidRPr="00A46B17">
        <w:rPr>
          <w:rStyle w:val="FootnoteReference"/>
          <w:szCs w:val="18"/>
        </w:rPr>
        <w:footnoteRef/>
      </w:r>
      <w:r w:rsidRPr="00720827">
        <w:rPr>
          <w:szCs w:val="18"/>
          <w:lang w:val="en-US"/>
        </w:rPr>
        <w:t xml:space="preserve"> </w:t>
      </w:r>
      <w:proofErr w:type="gramStart"/>
      <w:r w:rsidRPr="0000083B">
        <w:rPr>
          <w:i/>
          <w:szCs w:val="18"/>
          <w:lang w:val="en-US"/>
        </w:rPr>
        <w:t>Ibid</w:t>
      </w:r>
      <w:r w:rsidRPr="0000083B">
        <w:rPr>
          <w:szCs w:val="18"/>
          <w:lang w:val="en-US"/>
        </w:rPr>
        <w:t>,</w:t>
      </w:r>
      <w:r w:rsidRPr="0000083B">
        <w:rPr>
          <w:i/>
          <w:szCs w:val="18"/>
          <w:lang w:val="en-US"/>
        </w:rPr>
        <w:t xml:space="preserve"> </w:t>
      </w:r>
      <w:r w:rsidRPr="00720827">
        <w:rPr>
          <w:szCs w:val="18"/>
          <w:lang w:val="en-US"/>
        </w:rPr>
        <w:t>Guideline 1, para.</w:t>
      </w:r>
      <w:proofErr w:type="gramEnd"/>
      <w:r w:rsidRPr="00720827">
        <w:rPr>
          <w:szCs w:val="18"/>
          <w:lang w:val="en-US"/>
        </w:rPr>
        <w:t xml:space="preserve"> </w:t>
      </w:r>
      <w:proofErr w:type="gramStart"/>
      <w:r w:rsidRPr="00D8726E">
        <w:rPr>
          <w:szCs w:val="18"/>
          <w:lang w:val="en-US"/>
        </w:rPr>
        <w:t>41 (c).</w:t>
      </w:r>
      <w:proofErr w:type="gramEnd"/>
    </w:p>
  </w:footnote>
  <w:footnote w:id="78">
    <w:p w:rsidR="002D4244" w:rsidRPr="00D8726E" w:rsidRDefault="002D4244" w:rsidP="003F0CBB">
      <w:pPr>
        <w:pStyle w:val="FootnoteText"/>
        <w:spacing w:line="240" w:lineRule="auto"/>
        <w:rPr>
          <w:szCs w:val="18"/>
          <w:lang w:val="en-US"/>
        </w:rPr>
      </w:pPr>
      <w:r w:rsidRPr="00A46B17">
        <w:rPr>
          <w:rStyle w:val="FootnoteReference"/>
          <w:szCs w:val="18"/>
        </w:rPr>
        <w:footnoteRef/>
      </w:r>
      <w:r w:rsidRPr="00D8726E">
        <w:rPr>
          <w:szCs w:val="18"/>
          <w:lang w:val="en-US"/>
        </w:rPr>
        <w:t xml:space="preserve"> </w:t>
      </w:r>
      <w:proofErr w:type="gramStart"/>
      <w:r w:rsidRPr="0000083B">
        <w:rPr>
          <w:i/>
          <w:szCs w:val="18"/>
          <w:lang w:val="en-US"/>
        </w:rPr>
        <w:t>Ibid</w:t>
      </w:r>
      <w:r w:rsidRPr="0000083B">
        <w:rPr>
          <w:szCs w:val="18"/>
          <w:lang w:val="en-US"/>
        </w:rPr>
        <w:t>,</w:t>
      </w:r>
      <w:r w:rsidRPr="0000083B">
        <w:rPr>
          <w:i/>
          <w:szCs w:val="18"/>
          <w:lang w:val="en-US"/>
        </w:rPr>
        <w:t xml:space="preserve"> </w:t>
      </w:r>
      <w:r w:rsidRPr="00D8726E">
        <w:rPr>
          <w:szCs w:val="18"/>
          <w:lang w:val="en-US"/>
        </w:rPr>
        <w:t>Principle 7, para.</w:t>
      </w:r>
      <w:proofErr w:type="gramEnd"/>
      <w:r w:rsidRPr="00D8726E">
        <w:rPr>
          <w:szCs w:val="18"/>
          <w:lang w:val="en-US"/>
        </w:rPr>
        <w:t xml:space="preserve"> 28.</w:t>
      </w:r>
    </w:p>
  </w:footnote>
  <w:footnote w:id="79">
    <w:p w:rsidR="002D4244" w:rsidRDefault="002D4244" w:rsidP="00675260">
      <w:pPr>
        <w:pStyle w:val="FootnoteText"/>
        <w:rPr>
          <w:szCs w:val="18"/>
        </w:rPr>
      </w:pPr>
      <w:r w:rsidRPr="00A46B17">
        <w:rPr>
          <w:rStyle w:val="FootnoteReference"/>
          <w:szCs w:val="18"/>
        </w:rPr>
        <w:footnoteRef/>
      </w:r>
      <w:r w:rsidRPr="00720827">
        <w:rPr>
          <w:szCs w:val="18"/>
          <w:lang w:val="en-US"/>
        </w:rPr>
        <w:t xml:space="preserve"> UN </w:t>
      </w:r>
      <w:r w:rsidRPr="00A46B17">
        <w:rPr>
          <w:szCs w:val="18"/>
        </w:rPr>
        <w:t>Convention against Torture and other Cruel, In</w:t>
      </w:r>
      <w:r>
        <w:rPr>
          <w:szCs w:val="18"/>
        </w:rPr>
        <w:t>human or Degrading Treatment or</w:t>
      </w:r>
    </w:p>
    <w:p w:rsidR="002D4244" w:rsidRPr="00720827" w:rsidRDefault="002D4244" w:rsidP="00675260">
      <w:pPr>
        <w:pStyle w:val="FootnoteText"/>
        <w:rPr>
          <w:szCs w:val="18"/>
          <w:lang w:val="en-US"/>
        </w:rPr>
      </w:pPr>
      <w:proofErr w:type="gramStart"/>
      <w:r w:rsidRPr="00A46B17">
        <w:rPr>
          <w:szCs w:val="18"/>
        </w:rPr>
        <w:t>Punishment</w:t>
      </w:r>
      <w:r>
        <w:rPr>
          <w:szCs w:val="18"/>
        </w:rPr>
        <w:t>, adopted by resolution A/RES/39/46 (1984)</w:t>
      </w:r>
      <w:r w:rsidRPr="00720827">
        <w:rPr>
          <w:szCs w:val="18"/>
          <w:lang w:val="en-US"/>
        </w:rPr>
        <w:t>, Article 15.</w:t>
      </w:r>
      <w:proofErr w:type="gramEnd"/>
      <w:r w:rsidRPr="00720827">
        <w:rPr>
          <w:szCs w:val="18"/>
          <w:lang w:val="en-US"/>
        </w:rPr>
        <w:t xml:space="preserve"> </w:t>
      </w:r>
    </w:p>
  </w:footnote>
  <w:footnote w:id="80">
    <w:p w:rsidR="002D4244" w:rsidRPr="003E72B9" w:rsidRDefault="002D4244" w:rsidP="00C913CC">
      <w:pPr>
        <w:pStyle w:val="FootnoteText"/>
        <w:rPr>
          <w:szCs w:val="18"/>
          <w:lang w:val="en-US"/>
        </w:rPr>
      </w:pPr>
      <w:r w:rsidRPr="00A46B17">
        <w:rPr>
          <w:rStyle w:val="FootnoteReference"/>
          <w:szCs w:val="18"/>
        </w:rPr>
        <w:footnoteRef/>
      </w:r>
      <w:r w:rsidRPr="00A46B17">
        <w:rPr>
          <w:szCs w:val="18"/>
          <w:lang w:val="en-US"/>
        </w:rPr>
        <w:t xml:space="preserve"> </w:t>
      </w:r>
      <w:proofErr w:type="spellStart"/>
      <w:proofErr w:type="gramStart"/>
      <w:r w:rsidRPr="00A46B17">
        <w:rPr>
          <w:i/>
          <w:szCs w:val="18"/>
          <w:lang w:val="en-US"/>
        </w:rPr>
        <w:t>Kovsh</w:t>
      </w:r>
      <w:proofErr w:type="spellEnd"/>
      <w:r w:rsidRPr="00A46B17">
        <w:rPr>
          <w:i/>
          <w:szCs w:val="18"/>
          <w:lang w:val="en-US"/>
        </w:rPr>
        <w:t xml:space="preserve"> v. Belarus</w:t>
      </w:r>
      <w:r w:rsidRPr="00A46B17">
        <w:rPr>
          <w:szCs w:val="18"/>
          <w:lang w:val="en-US"/>
        </w:rPr>
        <w:t xml:space="preserve">, </w:t>
      </w:r>
      <w:r>
        <w:rPr>
          <w:szCs w:val="18"/>
          <w:lang w:val="en-US"/>
        </w:rPr>
        <w:t>Comm</w:t>
      </w:r>
      <w:r w:rsidR="00C913CC">
        <w:rPr>
          <w:szCs w:val="18"/>
          <w:lang w:val="en-US"/>
        </w:rPr>
        <w:t xml:space="preserve">. </w:t>
      </w:r>
      <w:r w:rsidRPr="00A46B17">
        <w:rPr>
          <w:szCs w:val="18"/>
          <w:lang w:val="en-US"/>
        </w:rPr>
        <w:t>No. 1787/2008,</w:t>
      </w:r>
      <w:r>
        <w:rPr>
          <w:szCs w:val="18"/>
          <w:lang w:val="en-US"/>
        </w:rPr>
        <w:t xml:space="preserve"> </w:t>
      </w:r>
      <w:r w:rsidRPr="00A46B17">
        <w:rPr>
          <w:szCs w:val="18"/>
          <w:lang w:val="en-US"/>
        </w:rPr>
        <w:t>para.</w:t>
      </w:r>
      <w:proofErr w:type="gramEnd"/>
      <w:r w:rsidRPr="00A46B17">
        <w:rPr>
          <w:szCs w:val="18"/>
          <w:lang w:val="en-US"/>
        </w:rPr>
        <w:t xml:space="preserve"> </w:t>
      </w:r>
      <w:r w:rsidRPr="003E72B9">
        <w:rPr>
          <w:lang w:val="en-US"/>
        </w:rPr>
        <w:t xml:space="preserve">7.4. </w:t>
      </w:r>
    </w:p>
  </w:footnote>
  <w:footnote w:id="81">
    <w:p w:rsidR="002D4244" w:rsidRPr="00F15C98" w:rsidRDefault="002D4244" w:rsidP="00C913CC">
      <w:pPr>
        <w:pStyle w:val="FootnoteText"/>
        <w:ind w:right="0"/>
        <w:rPr>
          <w:szCs w:val="18"/>
          <w:lang w:val="en-US"/>
        </w:rPr>
      </w:pPr>
      <w:r w:rsidRPr="00A46B17">
        <w:rPr>
          <w:rStyle w:val="FootnoteReference"/>
          <w:szCs w:val="18"/>
        </w:rPr>
        <w:footnoteRef/>
      </w:r>
      <w:r w:rsidRPr="00720827">
        <w:rPr>
          <w:lang w:val="en-US"/>
        </w:rPr>
        <w:t xml:space="preserve"> Algeria Code of Criminal Procedure (2007), </w:t>
      </w:r>
      <w:hyperlink r:id="rId7" w:history="1">
        <w:r w:rsidRPr="00F87E7E">
          <w:rPr>
            <w:rStyle w:val="Hyperlink"/>
            <w:szCs w:val="18"/>
            <w:lang w:val="en-US"/>
          </w:rPr>
          <w:t>http://www.joradp.dz/TRV/FPPenal.pdf</w:t>
        </w:r>
      </w:hyperlink>
      <w:r w:rsidRPr="00A46B17">
        <w:rPr>
          <w:szCs w:val="18"/>
          <w:lang w:val="en-US"/>
        </w:rPr>
        <w:t xml:space="preserve">. </w:t>
      </w:r>
    </w:p>
  </w:footnote>
  <w:footnote w:id="82">
    <w:p w:rsidR="002D4244" w:rsidRPr="00F15C98" w:rsidRDefault="002D4244" w:rsidP="00D8726E">
      <w:pPr>
        <w:pStyle w:val="FootnoteText"/>
        <w:ind w:right="0"/>
      </w:pPr>
      <w:r>
        <w:rPr>
          <w:rStyle w:val="FootnoteReference"/>
        </w:rPr>
        <w:footnoteRef/>
      </w:r>
      <w:r>
        <w:t xml:space="preserve"> </w:t>
      </w:r>
      <w:r w:rsidRPr="00A46B17">
        <w:rPr>
          <w:szCs w:val="18"/>
          <w:lang w:val="en-US"/>
        </w:rPr>
        <w:t xml:space="preserve">REDRESS, </w:t>
      </w:r>
      <w:r>
        <w:rPr>
          <w:szCs w:val="18"/>
          <w:lang w:val="en-US"/>
        </w:rPr>
        <w:t>‘</w:t>
      </w:r>
      <w:r w:rsidRPr="00720827">
        <w:rPr>
          <w:szCs w:val="18"/>
          <w:lang w:val="en-US"/>
        </w:rPr>
        <w:t>Extraordinary</w:t>
      </w:r>
      <w:r w:rsidR="00C913CC">
        <w:rPr>
          <w:szCs w:val="18"/>
          <w:lang w:val="en-US"/>
        </w:rPr>
        <w:t xml:space="preserve"> </w:t>
      </w:r>
      <w:r w:rsidRPr="00720827">
        <w:rPr>
          <w:szCs w:val="18"/>
          <w:lang w:val="en-US"/>
        </w:rPr>
        <w:t>Measures, Predictable Consequences</w:t>
      </w:r>
      <w:r>
        <w:rPr>
          <w:szCs w:val="18"/>
          <w:lang w:val="en-US"/>
        </w:rPr>
        <w:t xml:space="preserve">, </w:t>
      </w:r>
      <w:r>
        <w:rPr>
          <w:i/>
          <w:szCs w:val="18"/>
          <w:lang w:val="en-US"/>
        </w:rPr>
        <w:t xml:space="preserve">supra </w:t>
      </w:r>
      <w:r w:rsidR="00FA0F18">
        <w:rPr>
          <w:szCs w:val="18"/>
          <w:lang w:val="en-US"/>
        </w:rPr>
        <w:t>n. 14</w:t>
      </w:r>
      <w:r>
        <w:rPr>
          <w:szCs w:val="18"/>
          <w:lang w:val="en-US"/>
        </w:rPr>
        <w:t xml:space="preserve">. </w:t>
      </w:r>
    </w:p>
  </w:footnote>
  <w:footnote w:id="83">
    <w:p w:rsidR="002D4244" w:rsidRPr="00A46B17" w:rsidRDefault="002D4244" w:rsidP="00EB76AD">
      <w:pPr>
        <w:pStyle w:val="Heading1"/>
        <w:spacing w:before="0"/>
        <w:rPr>
          <w:rFonts w:ascii="Times New Roman" w:hAnsi="Times New Roman" w:cs="Times New Roman"/>
          <w:sz w:val="18"/>
          <w:szCs w:val="18"/>
          <w:lang w:val="en-US"/>
        </w:rPr>
      </w:pPr>
      <w:r w:rsidRPr="00A46B17">
        <w:rPr>
          <w:rStyle w:val="FootnoteReference"/>
          <w:rFonts w:cs="Times New Roman"/>
          <w:color w:val="auto"/>
          <w:szCs w:val="18"/>
        </w:rPr>
        <w:footnoteRef/>
      </w:r>
      <w:r w:rsidRPr="00A46B17">
        <w:rPr>
          <w:rFonts w:ascii="Times New Roman" w:hAnsi="Times New Roman" w:cs="Times New Roman"/>
          <w:b w:val="0"/>
          <w:color w:val="auto"/>
          <w:sz w:val="18"/>
          <w:szCs w:val="18"/>
          <w:lang w:val="en-US"/>
        </w:rPr>
        <w:t xml:space="preserve"> UN Treaty Body Webcast, Human Rights Committee 109th Session: Draft General Comment on Article 9 http://www.treatybodywebcast.org/hrctte-109-session-draft-general-comment-on-article-9/</w:t>
      </w:r>
      <w:r w:rsidR="00C913CC">
        <w:rPr>
          <w:rFonts w:ascii="Times New Roman" w:hAnsi="Times New Roman" w:cs="Times New Roman"/>
          <w:b w:val="0"/>
          <w:color w:val="auto"/>
          <w:sz w:val="18"/>
          <w:szCs w:val="18"/>
          <w:lang w:val="en-US"/>
        </w:rPr>
        <w:t>.</w:t>
      </w:r>
    </w:p>
  </w:footnote>
  <w:footnote w:id="84">
    <w:p w:rsidR="002D4244" w:rsidRPr="00A46B17" w:rsidRDefault="002D4244" w:rsidP="00EB76AD">
      <w:pPr>
        <w:rPr>
          <w:rFonts w:ascii="Times New Roman" w:eastAsia="Times New Roman" w:hAnsi="Times New Roman" w:cs="Times New Roman"/>
          <w:sz w:val="18"/>
          <w:szCs w:val="18"/>
          <w:lang w:val="en-US"/>
        </w:rPr>
      </w:pPr>
      <w:r w:rsidRPr="00A46B17">
        <w:rPr>
          <w:rStyle w:val="FootnoteReference"/>
          <w:rFonts w:cs="Times New Roman"/>
          <w:szCs w:val="18"/>
        </w:rPr>
        <w:footnoteRef/>
      </w:r>
      <w:r w:rsidRPr="00A46B17">
        <w:rPr>
          <w:rFonts w:ascii="Times New Roman" w:hAnsi="Times New Roman" w:cs="Times New Roman"/>
          <w:sz w:val="18"/>
          <w:szCs w:val="18"/>
          <w:lang w:val="en-US"/>
        </w:rPr>
        <w:t xml:space="preserve"> </w:t>
      </w:r>
      <w:r w:rsidRPr="00A46B17">
        <w:rPr>
          <w:rFonts w:ascii="Times New Roman" w:eastAsia="Times New Roman" w:hAnsi="Times New Roman" w:cs="Times New Roman"/>
          <w:sz w:val="18"/>
          <w:szCs w:val="18"/>
          <w:lang w:val="en-US"/>
        </w:rPr>
        <w:t xml:space="preserve">See Concluding Observations </w:t>
      </w:r>
      <w:r>
        <w:rPr>
          <w:rFonts w:ascii="Times New Roman" w:eastAsia="Times New Roman" w:hAnsi="Times New Roman" w:cs="Times New Roman"/>
          <w:sz w:val="18"/>
          <w:szCs w:val="18"/>
          <w:lang w:val="en-US"/>
        </w:rPr>
        <w:t xml:space="preserve">on </w:t>
      </w:r>
      <w:r w:rsidRPr="00A46B17">
        <w:rPr>
          <w:rFonts w:ascii="Times New Roman" w:eastAsia="Times New Roman" w:hAnsi="Times New Roman" w:cs="Times New Roman"/>
          <w:sz w:val="18"/>
          <w:szCs w:val="18"/>
          <w:lang w:val="en-US"/>
        </w:rPr>
        <w:t>Uganda</w:t>
      </w:r>
      <w:r w:rsidR="00C913CC">
        <w:rPr>
          <w:rFonts w:ascii="Times New Roman" w:eastAsia="Times New Roman" w:hAnsi="Times New Roman" w:cs="Times New Roman"/>
          <w:sz w:val="18"/>
          <w:szCs w:val="18"/>
          <w:lang w:val="en-US"/>
        </w:rPr>
        <w:t>,</w:t>
      </w:r>
      <w:r w:rsidRPr="00A46B17">
        <w:rPr>
          <w:rFonts w:ascii="Times New Roman" w:eastAsia="Times New Roman" w:hAnsi="Times New Roman" w:cs="Times New Roman"/>
          <w:sz w:val="18"/>
          <w:szCs w:val="18"/>
          <w:lang w:val="en-US"/>
        </w:rPr>
        <w:t xml:space="preserve"> CCPR/CO/80/UGA</w:t>
      </w:r>
      <w:r>
        <w:rPr>
          <w:rFonts w:ascii="Times New Roman" w:eastAsia="Times New Roman" w:hAnsi="Times New Roman" w:cs="Times New Roman"/>
          <w:sz w:val="18"/>
          <w:szCs w:val="18"/>
          <w:lang w:val="en-US"/>
        </w:rPr>
        <w:t xml:space="preserve"> (2004)</w:t>
      </w:r>
      <w:r w:rsidRPr="00A46B17">
        <w:rPr>
          <w:rFonts w:ascii="Times New Roman" w:eastAsia="Times New Roman" w:hAnsi="Times New Roman" w:cs="Times New Roman"/>
          <w:sz w:val="18"/>
          <w:szCs w:val="18"/>
          <w:lang w:val="en-US"/>
        </w:rPr>
        <w:t xml:space="preserve">, para. </w:t>
      </w:r>
      <w:proofErr w:type="gramStart"/>
      <w:r w:rsidRPr="00A46B17">
        <w:rPr>
          <w:rFonts w:ascii="Times New Roman" w:eastAsia="Times New Roman" w:hAnsi="Times New Roman" w:cs="Times New Roman"/>
          <w:sz w:val="18"/>
          <w:szCs w:val="18"/>
          <w:lang w:val="en-US"/>
        </w:rPr>
        <w:t xml:space="preserve">17; </w:t>
      </w:r>
      <w:r>
        <w:rPr>
          <w:rFonts w:ascii="Times New Roman" w:eastAsia="Times New Roman" w:hAnsi="Times New Roman" w:cs="Times New Roman"/>
          <w:sz w:val="18"/>
          <w:szCs w:val="18"/>
          <w:lang w:val="en-US"/>
        </w:rPr>
        <w:t xml:space="preserve">Concluding Observations on </w:t>
      </w:r>
      <w:r w:rsidRPr="00A46B17">
        <w:rPr>
          <w:rFonts w:ascii="Times New Roman" w:eastAsia="Times New Roman" w:hAnsi="Times New Roman" w:cs="Times New Roman"/>
          <w:sz w:val="18"/>
          <w:szCs w:val="18"/>
          <w:lang w:val="en-US"/>
        </w:rPr>
        <w:t>Yemen</w:t>
      </w:r>
      <w:r>
        <w:rPr>
          <w:rFonts w:ascii="Times New Roman" w:eastAsia="Times New Roman" w:hAnsi="Times New Roman" w:cs="Times New Roman"/>
          <w:sz w:val="18"/>
          <w:szCs w:val="18"/>
          <w:lang w:val="en-US"/>
        </w:rPr>
        <w:t>,</w:t>
      </w:r>
      <w:r w:rsidRPr="00A46B17">
        <w:rPr>
          <w:rFonts w:ascii="Times New Roman" w:eastAsia="Times New Roman" w:hAnsi="Times New Roman" w:cs="Times New Roman"/>
          <w:sz w:val="18"/>
          <w:szCs w:val="18"/>
          <w:lang w:val="en-US"/>
        </w:rPr>
        <w:t xml:space="preserve"> CCPR/C/YEM/CO/5</w:t>
      </w:r>
      <w:r>
        <w:rPr>
          <w:rFonts w:ascii="Times New Roman" w:eastAsia="Times New Roman" w:hAnsi="Times New Roman" w:cs="Times New Roman"/>
          <w:sz w:val="18"/>
          <w:szCs w:val="18"/>
          <w:lang w:val="en-US"/>
        </w:rPr>
        <w:t xml:space="preserve"> (2012)</w:t>
      </w:r>
      <w:r w:rsidRPr="00A46B17">
        <w:rPr>
          <w:rFonts w:ascii="Times New Roman" w:eastAsia="Times New Roman" w:hAnsi="Times New Roman" w:cs="Times New Roman"/>
          <w:sz w:val="18"/>
          <w:szCs w:val="18"/>
          <w:lang w:val="en-US"/>
        </w:rPr>
        <w:t xml:space="preserve">, para.15; </w:t>
      </w:r>
      <w:r>
        <w:rPr>
          <w:rFonts w:ascii="Times New Roman" w:eastAsia="Times New Roman" w:hAnsi="Times New Roman" w:cs="Times New Roman"/>
          <w:sz w:val="18"/>
          <w:szCs w:val="18"/>
          <w:lang w:val="en-US"/>
        </w:rPr>
        <w:t xml:space="preserve">Concluding Observations on </w:t>
      </w:r>
      <w:r w:rsidRPr="00A46B17">
        <w:rPr>
          <w:rFonts w:ascii="Times New Roman" w:eastAsia="Times New Roman" w:hAnsi="Times New Roman" w:cs="Times New Roman"/>
          <w:sz w:val="18"/>
          <w:szCs w:val="18"/>
          <w:lang w:val="en-US"/>
        </w:rPr>
        <w:t>Colombia</w:t>
      </w:r>
      <w:r>
        <w:rPr>
          <w:rFonts w:ascii="Times New Roman" w:eastAsia="Times New Roman" w:hAnsi="Times New Roman" w:cs="Times New Roman"/>
          <w:sz w:val="18"/>
          <w:szCs w:val="18"/>
          <w:lang w:val="en-US"/>
        </w:rPr>
        <w:t xml:space="preserve">, </w:t>
      </w:r>
      <w:r w:rsidRPr="00A46B17">
        <w:rPr>
          <w:rFonts w:ascii="Times New Roman" w:eastAsia="Times New Roman" w:hAnsi="Times New Roman" w:cs="Times New Roman"/>
          <w:sz w:val="18"/>
          <w:szCs w:val="18"/>
          <w:lang w:val="en-US"/>
        </w:rPr>
        <w:t>CCPR/CO/80/COL</w:t>
      </w:r>
      <w:r>
        <w:rPr>
          <w:rFonts w:ascii="Times New Roman" w:eastAsia="Times New Roman" w:hAnsi="Times New Roman" w:cs="Times New Roman"/>
          <w:sz w:val="18"/>
          <w:szCs w:val="18"/>
          <w:lang w:val="en-US"/>
        </w:rPr>
        <w:t xml:space="preserve"> (2004)</w:t>
      </w:r>
      <w:r w:rsidRPr="00A46B17">
        <w:rPr>
          <w:rFonts w:ascii="Times New Roman" w:eastAsia="Times New Roman" w:hAnsi="Times New Roman" w:cs="Times New Roman"/>
          <w:sz w:val="18"/>
          <w:szCs w:val="18"/>
          <w:lang w:val="en-US"/>
        </w:rPr>
        <w:t>, para.</w:t>
      </w:r>
      <w:proofErr w:type="gramEnd"/>
      <w:r w:rsidRPr="00A46B17">
        <w:rPr>
          <w:rFonts w:ascii="Times New Roman" w:eastAsia="Times New Roman" w:hAnsi="Times New Roman" w:cs="Times New Roman"/>
          <w:sz w:val="18"/>
          <w:szCs w:val="18"/>
          <w:lang w:val="en-US"/>
        </w:rPr>
        <w:t xml:space="preserve"> </w:t>
      </w:r>
      <w:proofErr w:type="gramStart"/>
      <w:r w:rsidRPr="00A46B17">
        <w:rPr>
          <w:rFonts w:ascii="Times New Roman" w:eastAsia="Times New Roman" w:hAnsi="Times New Roman" w:cs="Times New Roman"/>
          <w:sz w:val="18"/>
          <w:szCs w:val="18"/>
          <w:lang w:val="en-US"/>
        </w:rPr>
        <w:t>67(11)</w:t>
      </w:r>
      <w:r>
        <w:rPr>
          <w:rFonts w:ascii="Times New Roman" w:eastAsia="Times New Roman" w:hAnsi="Times New Roman" w:cs="Times New Roman"/>
          <w:sz w:val="18"/>
          <w:szCs w:val="18"/>
          <w:lang w:val="en-US"/>
        </w:rPr>
        <w:t>.</w:t>
      </w:r>
      <w:proofErr w:type="gramEnd"/>
    </w:p>
  </w:footnote>
  <w:footnote w:id="85">
    <w:p w:rsidR="002D4244" w:rsidRPr="00A46B17" w:rsidRDefault="002D4244" w:rsidP="00EB76AD">
      <w:pPr>
        <w:rPr>
          <w:rFonts w:ascii="Times New Roman" w:hAnsi="Times New Roman" w:cs="Times New Roman"/>
          <w:sz w:val="18"/>
          <w:szCs w:val="18"/>
          <w:lang w:val="en-US"/>
        </w:rPr>
      </w:pPr>
      <w:r w:rsidRPr="00A46B17">
        <w:rPr>
          <w:rStyle w:val="FootnoteReference"/>
          <w:rFonts w:cs="Times New Roman"/>
          <w:szCs w:val="18"/>
        </w:rPr>
        <w:footnoteRef/>
      </w:r>
      <w:r w:rsidRPr="00A46B17">
        <w:rPr>
          <w:rFonts w:ascii="Times New Roman" w:hAnsi="Times New Roman" w:cs="Times New Roman"/>
          <w:sz w:val="18"/>
          <w:szCs w:val="18"/>
          <w:lang w:val="en-US"/>
        </w:rPr>
        <w:t xml:space="preserve"> </w:t>
      </w:r>
      <w:r w:rsidRPr="00A46B17">
        <w:rPr>
          <w:rFonts w:ascii="Times New Roman" w:eastAsia="Times New Roman" w:hAnsi="Times New Roman" w:cs="Times New Roman"/>
          <w:sz w:val="18"/>
          <w:szCs w:val="18"/>
          <w:lang w:val="en-US"/>
        </w:rPr>
        <w:t xml:space="preserve">See Concluding Observations </w:t>
      </w:r>
      <w:r>
        <w:rPr>
          <w:rFonts w:ascii="Times New Roman" w:eastAsia="Times New Roman" w:hAnsi="Times New Roman" w:cs="Times New Roman"/>
          <w:sz w:val="18"/>
          <w:szCs w:val="18"/>
          <w:lang w:val="en-US"/>
        </w:rPr>
        <w:t xml:space="preserve">on </w:t>
      </w:r>
      <w:r w:rsidRPr="00A46B17">
        <w:rPr>
          <w:rFonts w:ascii="Times New Roman" w:eastAsia="Times New Roman" w:hAnsi="Times New Roman" w:cs="Times New Roman"/>
          <w:sz w:val="18"/>
          <w:szCs w:val="18"/>
          <w:lang w:val="en-US"/>
        </w:rPr>
        <w:t>USA, CCPR/C/USA/CO/3 (2006)</w:t>
      </w:r>
      <w:r>
        <w:rPr>
          <w:rFonts w:ascii="Times New Roman" w:eastAsia="Times New Roman" w:hAnsi="Times New Roman" w:cs="Times New Roman"/>
          <w:sz w:val="18"/>
          <w:szCs w:val="18"/>
          <w:lang w:val="en-US"/>
        </w:rPr>
        <w:t>,</w:t>
      </w:r>
      <w:r w:rsidRPr="00A46B17">
        <w:rPr>
          <w:rFonts w:ascii="Times New Roman" w:eastAsia="Times New Roman" w:hAnsi="Times New Roman" w:cs="Times New Roman"/>
          <w:sz w:val="18"/>
          <w:szCs w:val="18"/>
          <w:lang w:val="en-US"/>
        </w:rPr>
        <w:t xml:space="preserve"> para.19</w:t>
      </w:r>
    </w:p>
  </w:footnote>
  <w:footnote w:id="86">
    <w:p w:rsidR="002D4244" w:rsidRPr="00A46B17" w:rsidRDefault="002D4244" w:rsidP="00EB76AD">
      <w:pPr>
        <w:rPr>
          <w:rFonts w:ascii="Times New Roman" w:hAnsi="Times New Roman" w:cs="Times New Roman"/>
          <w:sz w:val="18"/>
          <w:szCs w:val="18"/>
          <w:lang w:val="en-US"/>
        </w:rPr>
      </w:pPr>
      <w:r w:rsidRPr="00A46B17">
        <w:rPr>
          <w:rStyle w:val="FootnoteReference"/>
          <w:rFonts w:cs="Times New Roman"/>
          <w:szCs w:val="18"/>
        </w:rPr>
        <w:footnoteRef/>
      </w:r>
      <w:r w:rsidRPr="00A46B17">
        <w:rPr>
          <w:rFonts w:ascii="Times New Roman" w:hAnsi="Times New Roman" w:cs="Times New Roman"/>
          <w:sz w:val="18"/>
          <w:szCs w:val="18"/>
          <w:lang w:val="en-US"/>
        </w:rPr>
        <w:t xml:space="preserve"> </w:t>
      </w:r>
      <w:r w:rsidRPr="00A46B17">
        <w:rPr>
          <w:rFonts w:ascii="Times New Roman" w:eastAsia="Times New Roman" w:hAnsi="Times New Roman" w:cs="Times New Roman"/>
          <w:sz w:val="18"/>
          <w:szCs w:val="18"/>
          <w:lang w:val="en-US"/>
        </w:rPr>
        <w:t xml:space="preserve">See Concluding Observations </w:t>
      </w:r>
      <w:r>
        <w:rPr>
          <w:rFonts w:ascii="Times New Roman" w:eastAsia="Times New Roman" w:hAnsi="Times New Roman" w:cs="Times New Roman"/>
          <w:sz w:val="18"/>
          <w:szCs w:val="18"/>
          <w:lang w:val="en-US"/>
        </w:rPr>
        <w:t xml:space="preserve">on </w:t>
      </w:r>
      <w:proofErr w:type="spellStart"/>
      <w:r w:rsidRPr="00A46B17">
        <w:rPr>
          <w:rFonts w:ascii="Times New Roman" w:eastAsia="Times New Roman" w:hAnsi="Times New Roman" w:cs="Times New Roman"/>
          <w:sz w:val="18"/>
          <w:szCs w:val="18"/>
          <w:lang w:val="en-US"/>
        </w:rPr>
        <w:t>Lybia</w:t>
      </w:r>
      <w:proofErr w:type="spellEnd"/>
      <w:r>
        <w:rPr>
          <w:rFonts w:ascii="Times New Roman" w:eastAsia="Times New Roman" w:hAnsi="Times New Roman" w:cs="Times New Roman"/>
          <w:sz w:val="18"/>
          <w:szCs w:val="18"/>
          <w:lang w:val="en-US"/>
        </w:rPr>
        <w:t xml:space="preserve">, </w:t>
      </w:r>
      <w:r w:rsidRPr="00A46B17">
        <w:rPr>
          <w:rFonts w:ascii="Times New Roman" w:hAnsi="Times New Roman" w:cs="Times New Roman"/>
          <w:sz w:val="18"/>
          <w:szCs w:val="18"/>
          <w:lang w:val="en-US"/>
        </w:rPr>
        <w:t>CCPR/C/LBY/CO/4</w:t>
      </w:r>
      <w:r w:rsidRPr="00A46B17">
        <w:rPr>
          <w:rFonts w:ascii="Times New Roman" w:eastAsia="Times New Roman" w:hAnsi="Times New Roman" w:cs="Times New Roman"/>
          <w:sz w:val="18"/>
          <w:szCs w:val="18"/>
          <w:lang w:val="en-US"/>
        </w:rPr>
        <w:t xml:space="preserve"> </w:t>
      </w:r>
      <w:r>
        <w:rPr>
          <w:rFonts w:ascii="Times New Roman" w:eastAsia="Times New Roman" w:hAnsi="Times New Roman" w:cs="Times New Roman"/>
          <w:sz w:val="18"/>
          <w:szCs w:val="18"/>
          <w:lang w:val="en-US"/>
        </w:rPr>
        <w:t xml:space="preserve">(2007), </w:t>
      </w:r>
      <w:r w:rsidRPr="00A46B17">
        <w:rPr>
          <w:rFonts w:ascii="Times New Roman" w:eastAsia="Times New Roman" w:hAnsi="Times New Roman" w:cs="Times New Roman"/>
          <w:sz w:val="18"/>
          <w:szCs w:val="18"/>
          <w:lang w:val="en-US"/>
        </w:rPr>
        <w:t xml:space="preserve">para.14; </w:t>
      </w:r>
      <w:r>
        <w:rPr>
          <w:rFonts w:ascii="Times New Roman" w:eastAsia="Times New Roman" w:hAnsi="Times New Roman" w:cs="Times New Roman"/>
          <w:sz w:val="18"/>
          <w:szCs w:val="18"/>
          <w:lang w:val="en-US"/>
        </w:rPr>
        <w:t xml:space="preserve">Concluding Observations on </w:t>
      </w:r>
      <w:r w:rsidRPr="00A46B17">
        <w:rPr>
          <w:rFonts w:ascii="Times New Roman" w:eastAsia="Times New Roman" w:hAnsi="Times New Roman" w:cs="Times New Roman"/>
          <w:sz w:val="18"/>
          <w:szCs w:val="18"/>
          <w:lang w:val="en-US"/>
        </w:rPr>
        <w:t>Turkey</w:t>
      </w:r>
      <w:r>
        <w:rPr>
          <w:rFonts w:ascii="Times New Roman" w:eastAsia="Times New Roman" w:hAnsi="Times New Roman" w:cs="Times New Roman"/>
          <w:sz w:val="18"/>
          <w:szCs w:val="18"/>
          <w:lang w:val="en-US"/>
        </w:rPr>
        <w:t>,</w:t>
      </w:r>
      <w:r w:rsidRPr="00A46B17">
        <w:rPr>
          <w:rFonts w:ascii="Times New Roman" w:eastAsia="Times New Roman" w:hAnsi="Times New Roman" w:cs="Times New Roman"/>
          <w:sz w:val="18"/>
          <w:szCs w:val="18"/>
          <w:lang w:val="en-US"/>
        </w:rPr>
        <w:t xml:space="preserve"> CCPR/C/TUR/CO/1</w:t>
      </w:r>
      <w:r>
        <w:rPr>
          <w:rFonts w:ascii="Times New Roman" w:eastAsia="Times New Roman" w:hAnsi="Times New Roman" w:cs="Times New Roman"/>
          <w:sz w:val="18"/>
          <w:szCs w:val="18"/>
          <w:lang w:val="en-US"/>
        </w:rPr>
        <w:t xml:space="preserve"> (2012)</w:t>
      </w:r>
      <w:r w:rsidRPr="00A46B17">
        <w:rPr>
          <w:rFonts w:ascii="Times New Roman" w:eastAsia="Times New Roman" w:hAnsi="Times New Roman" w:cs="Times New Roman"/>
          <w:sz w:val="18"/>
          <w:szCs w:val="18"/>
          <w:lang w:val="en-US"/>
        </w:rPr>
        <w:t xml:space="preserve">, para. </w:t>
      </w:r>
      <w:proofErr w:type="gramStart"/>
      <w:r w:rsidRPr="00A46B17">
        <w:rPr>
          <w:rFonts w:ascii="Times New Roman" w:eastAsia="Times New Roman" w:hAnsi="Times New Roman" w:cs="Times New Roman"/>
          <w:sz w:val="18"/>
          <w:szCs w:val="18"/>
          <w:lang w:val="en-US"/>
        </w:rPr>
        <w:t xml:space="preserve">11; </w:t>
      </w:r>
      <w:proofErr w:type="spellStart"/>
      <w:r w:rsidRPr="00720827">
        <w:rPr>
          <w:rFonts w:ascii="Times New Roman" w:eastAsia="Times New Roman" w:hAnsi="Times New Roman" w:cs="Times New Roman"/>
          <w:i/>
          <w:sz w:val="18"/>
          <w:szCs w:val="18"/>
          <w:lang w:val="en-US"/>
        </w:rPr>
        <w:t>Quinteros</w:t>
      </w:r>
      <w:proofErr w:type="spellEnd"/>
      <w:r w:rsidRPr="00720827">
        <w:rPr>
          <w:rFonts w:ascii="Times New Roman" w:eastAsia="Times New Roman" w:hAnsi="Times New Roman" w:cs="Times New Roman"/>
          <w:i/>
          <w:sz w:val="18"/>
          <w:szCs w:val="18"/>
          <w:lang w:val="en-US"/>
        </w:rPr>
        <w:t xml:space="preserve"> v. Uruguay</w:t>
      </w:r>
      <w:r w:rsidRPr="00A46B17">
        <w:rPr>
          <w:rFonts w:ascii="Times New Roman" w:eastAsia="Times New Roman" w:hAnsi="Times New Roman" w:cs="Times New Roman"/>
          <w:sz w:val="18"/>
          <w:szCs w:val="18"/>
          <w:lang w:val="en-US"/>
        </w:rPr>
        <w:t>,</w:t>
      </w:r>
      <w:r>
        <w:rPr>
          <w:rFonts w:ascii="Times New Roman" w:eastAsia="Times New Roman" w:hAnsi="Times New Roman" w:cs="Times New Roman"/>
          <w:sz w:val="18"/>
          <w:szCs w:val="18"/>
          <w:lang w:val="en-US"/>
        </w:rPr>
        <w:t xml:space="preserve"> Comm. No. </w:t>
      </w:r>
      <w:r w:rsidRPr="00A46B17">
        <w:rPr>
          <w:rFonts w:ascii="Times New Roman" w:eastAsia="Times New Roman" w:hAnsi="Times New Roman" w:cs="Times New Roman"/>
          <w:sz w:val="18"/>
          <w:szCs w:val="18"/>
          <w:lang w:val="en-US"/>
        </w:rPr>
        <w:t>107/1981, para</w:t>
      </w:r>
      <w:r w:rsidR="00156728">
        <w:rPr>
          <w:rFonts w:ascii="Times New Roman" w:eastAsia="Times New Roman" w:hAnsi="Times New Roman" w:cs="Times New Roman"/>
          <w:sz w:val="18"/>
          <w:szCs w:val="18"/>
          <w:lang w:val="en-US"/>
        </w:rPr>
        <w:t>.</w:t>
      </w:r>
      <w:proofErr w:type="gramEnd"/>
      <w:r w:rsidRPr="00A46B17">
        <w:rPr>
          <w:rFonts w:ascii="Times New Roman" w:eastAsia="Times New Roman" w:hAnsi="Times New Roman" w:cs="Times New Roman"/>
          <w:sz w:val="18"/>
          <w:szCs w:val="18"/>
          <w:lang w:val="en-US"/>
        </w:rPr>
        <w:t xml:space="preserve"> 15</w:t>
      </w:r>
      <w:r w:rsidRPr="00A46B17">
        <w:rPr>
          <w:rFonts w:ascii="Times New Roman" w:hAnsi="Times New Roman" w:cs="Times New Roman"/>
          <w:sz w:val="18"/>
          <w:szCs w:val="18"/>
          <w:lang w:val="en-US"/>
        </w:rPr>
        <w:t>.</w:t>
      </w:r>
    </w:p>
  </w:footnote>
  <w:footnote w:id="87">
    <w:p w:rsidR="002D4244" w:rsidRPr="00A46B17" w:rsidRDefault="002D4244" w:rsidP="00DB7E48">
      <w:pPr>
        <w:pStyle w:val="FootnoteText"/>
        <w:tabs>
          <w:tab w:val="clear" w:pos="1021"/>
        </w:tabs>
        <w:ind w:left="0" w:right="0" w:firstLine="0"/>
        <w:rPr>
          <w:szCs w:val="18"/>
          <w:lang w:val="en-US"/>
        </w:rPr>
      </w:pPr>
      <w:r w:rsidRPr="00A46B17">
        <w:rPr>
          <w:rStyle w:val="FootnoteReference"/>
          <w:szCs w:val="18"/>
        </w:rPr>
        <w:footnoteRef/>
      </w:r>
      <w:r w:rsidRPr="00A46B17">
        <w:rPr>
          <w:szCs w:val="18"/>
          <w:lang w:val="en-US"/>
        </w:rPr>
        <w:t xml:space="preserve"> Paragraph 17 of </w:t>
      </w:r>
      <w:r>
        <w:rPr>
          <w:szCs w:val="18"/>
          <w:lang w:val="en-US"/>
        </w:rPr>
        <w:t>Draft General Comment No. 35</w:t>
      </w:r>
      <w:r w:rsidRPr="00A46B17">
        <w:rPr>
          <w:szCs w:val="18"/>
          <w:lang w:val="en-US"/>
        </w:rPr>
        <w:t xml:space="preserve"> recognizes that enforced disappearances constitute a particularly aggravated form of arbitrary detention under </w:t>
      </w:r>
      <w:r w:rsidR="00E554B2">
        <w:rPr>
          <w:szCs w:val="18"/>
          <w:lang w:val="en-US"/>
        </w:rPr>
        <w:t>A</w:t>
      </w:r>
      <w:r w:rsidRPr="00A46B17">
        <w:rPr>
          <w:szCs w:val="18"/>
          <w:lang w:val="en-US"/>
        </w:rPr>
        <w:t>rticle 9</w:t>
      </w:r>
      <w:r>
        <w:rPr>
          <w:szCs w:val="18"/>
          <w:lang w:val="en-US"/>
        </w:rPr>
        <w:t>.</w:t>
      </w:r>
    </w:p>
  </w:footnote>
  <w:footnote w:id="88">
    <w:p w:rsidR="002D4244" w:rsidRPr="00A46B17" w:rsidRDefault="002D4244" w:rsidP="00DB7E48">
      <w:pPr>
        <w:pStyle w:val="FootnoteText"/>
        <w:tabs>
          <w:tab w:val="clear" w:pos="1021"/>
        </w:tabs>
        <w:ind w:left="0" w:right="0" w:firstLine="0"/>
        <w:rPr>
          <w:szCs w:val="18"/>
          <w:lang w:val="en-US"/>
        </w:rPr>
      </w:pPr>
      <w:r w:rsidRPr="00A46B17">
        <w:rPr>
          <w:rStyle w:val="FootnoteReference"/>
          <w:szCs w:val="18"/>
        </w:rPr>
        <w:footnoteRef/>
      </w:r>
      <w:r w:rsidRPr="00A46B17">
        <w:rPr>
          <w:szCs w:val="18"/>
          <w:lang w:val="en-US"/>
        </w:rPr>
        <w:t xml:space="preserve"> Paragraph</w:t>
      </w:r>
      <w:r w:rsidR="00C913CC">
        <w:rPr>
          <w:szCs w:val="18"/>
          <w:lang w:val="en-US"/>
        </w:rPr>
        <w:t>s</w:t>
      </w:r>
      <w:r w:rsidRPr="00A46B17">
        <w:rPr>
          <w:szCs w:val="18"/>
          <w:lang w:val="en-US"/>
        </w:rPr>
        <w:t xml:space="preserve"> 35 and 56 of </w:t>
      </w:r>
      <w:r>
        <w:rPr>
          <w:szCs w:val="18"/>
          <w:lang w:val="en-US"/>
        </w:rPr>
        <w:t>Draft General Comment No. 35</w:t>
      </w:r>
      <w:r w:rsidRPr="00A46B17">
        <w:rPr>
          <w:szCs w:val="18"/>
          <w:lang w:val="en-US"/>
        </w:rPr>
        <w:t xml:space="preserve"> states that </w:t>
      </w:r>
      <w:proofErr w:type="gramStart"/>
      <w:r w:rsidRPr="00A46B17">
        <w:rPr>
          <w:szCs w:val="18"/>
          <w:lang w:val="en-US"/>
        </w:rPr>
        <w:t>incommunicado</w:t>
      </w:r>
      <w:proofErr w:type="gramEnd"/>
      <w:r w:rsidRPr="00A46B17">
        <w:rPr>
          <w:szCs w:val="18"/>
          <w:lang w:val="en-US"/>
        </w:rPr>
        <w:t xml:space="preserve"> detention or incommunicado detention that prevents prompt presen</w:t>
      </w:r>
      <w:r w:rsidR="00DB7E48">
        <w:rPr>
          <w:szCs w:val="18"/>
          <w:lang w:val="en-US"/>
        </w:rPr>
        <w:t>tation before a judge violates A</w:t>
      </w:r>
      <w:r w:rsidRPr="00A46B17">
        <w:rPr>
          <w:szCs w:val="18"/>
          <w:lang w:val="en-US"/>
        </w:rPr>
        <w:t>rticle 9</w:t>
      </w:r>
      <w:r>
        <w:rPr>
          <w:szCs w:val="18"/>
          <w:lang w:val="en-US"/>
        </w:rPr>
        <w:t>.</w:t>
      </w:r>
    </w:p>
  </w:footnote>
  <w:footnote w:id="89">
    <w:p w:rsidR="002D4244" w:rsidRPr="00A46B17" w:rsidRDefault="002D4244" w:rsidP="00DB7E48">
      <w:pPr>
        <w:pStyle w:val="FootnoteText"/>
        <w:tabs>
          <w:tab w:val="clear" w:pos="1021"/>
        </w:tabs>
        <w:ind w:left="0" w:right="0" w:firstLine="0"/>
        <w:rPr>
          <w:szCs w:val="18"/>
          <w:lang w:val="en-US"/>
        </w:rPr>
      </w:pPr>
      <w:r w:rsidRPr="00A46B17">
        <w:rPr>
          <w:rStyle w:val="FootnoteReference"/>
          <w:szCs w:val="18"/>
        </w:rPr>
        <w:footnoteRef/>
      </w:r>
      <w:r w:rsidRPr="00A46B17">
        <w:rPr>
          <w:szCs w:val="18"/>
          <w:lang w:val="en-US"/>
        </w:rPr>
        <w:t xml:space="preserve"> Paragraph 11 of </w:t>
      </w:r>
      <w:r w:rsidRPr="003E72B9">
        <w:rPr>
          <w:szCs w:val="18"/>
          <w:lang w:val="en-US"/>
        </w:rPr>
        <w:t>Draft General Comment No. 35</w:t>
      </w:r>
      <w:r w:rsidRPr="00A46B17">
        <w:rPr>
          <w:szCs w:val="18"/>
          <w:lang w:val="en-US"/>
        </w:rPr>
        <w:t xml:space="preserve"> states that “u</w:t>
      </w:r>
      <w:proofErr w:type="spellStart"/>
      <w:r w:rsidR="00DB7E48">
        <w:rPr>
          <w:szCs w:val="18"/>
          <w:lang w:val="en-CA"/>
        </w:rPr>
        <w:t>nauthorized</w:t>
      </w:r>
      <w:proofErr w:type="spellEnd"/>
      <w:r w:rsidR="00DB7E48">
        <w:rPr>
          <w:szCs w:val="18"/>
          <w:lang w:val="en-CA"/>
        </w:rPr>
        <w:t xml:space="preserve"> confinement of </w:t>
      </w:r>
      <w:r w:rsidRPr="00A46B17">
        <w:rPr>
          <w:szCs w:val="18"/>
          <w:lang w:val="en-CA"/>
        </w:rPr>
        <w:t>prisoners beyond the length of their sentences is arbitrary as well as unlawful; the same is true for unauthorized extension of other forms of detention. Continued confinement of detainees in defiance of a judicial order for their release is arbitrary as well as unlawful.”</w:t>
      </w:r>
    </w:p>
  </w:footnote>
  <w:footnote w:id="90">
    <w:p w:rsidR="002D4244" w:rsidRPr="00A46B17" w:rsidRDefault="00DB7E48" w:rsidP="00DB7E48">
      <w:pPr>
        <w:pStyle w:val="FootnoteText"/>
        <w:ind w:left="0" w:right="0"/>
        <w:rPr>
          <w:szCs w:val="18"/>
          <w:lang w:val="en-US"/>
        </w:rPr>
      </w:pPr>
      <w:r>
        <w:rPr>
          <w:szCs w:val="18"/>
          <w:lang w:val="en-US"/>
        </w:rPr>
        <w:tab/>
      </w:r>
      <w:r w:rsidR="002D4244" w:rsidRPr="00A46B17">
        <w:rPr>
          <w:rStyle w:val="FootnoteReference"/>
          <w:szCs w:val="18"/>
        </w:rPr>
        <w:footnoteRef/>
      </w:r>
      <w:r w:rsidR="002D4244" w:rsidRPr="00A46B17">
        <w:rPr>
          <w:szCs w:val="18"/>
          <w:lang w:val="en-US"/>
        </w:rPr>
        <w:t xml:space="preserve"> See </w:t>
      </w:r>
      <w:r w:rsidR="00FA0F18">
        <w:rPr>
          <w:szCs w:val="18"/>
          <w:lang w:val="en-US"/>
        </w:rPr>
        <w:t>Committee a</w:t>
      </w:r>
      <w:r w:rsidR="002D4244">
        <w:rPr>
          <w:szCs w:val="18"/>
          <w:lang w:val="en-US"/>
        </w:rPr>
        <w:t xml:space="preserve">gainst Torture, </w:t>
      </w:r>
      <w:r w:rsidR="002D4244" w:rsidRPr="00A46B17">
        <w:rPr>
          <w:szCs w:val="18"/>
          <w:lang w:val="en-US"/>
        </w:rPr>
        <w:t>General Comment No.</w:t>
      </w:r>
      <w:r w:rsidR="002D4244">
        <w:rPr>
          <w:szCs w:val="18"/>
          <w:lang w:val="en-US"/>
        </w:rPr>
        <w:t xml:space="preserve"> </w:t>
      </w:r>
      <w:r w:rsidR="002D4244" w:rsidRPr="00A46B17">
        <w:rPr>
          <w:szCs w:val="18"/>
          <w:lang w:val="en-US"/>
        </w:rPr>
        <w:t>3</w:t>
      </w:r>
      <w:r w:rsidR="002D4244">
        <w:rPr>
          <w:szCs w:val="18"/>
          <w:lang w:val="en-US"/>
        </w:rPr>
        <w:t>, CAT/C/GC/3 (2012)</w:t>
      </w:r>
      <w:r w:rsidR="002D4244" w:rsidRPr="00A46B17">
        <w:rPr>
          <w:szCs w:val="18"/>
          <w:lang w:val="en-US"/>
        </w:rPr>
        <w:t>, para 9.</w:t>
      </w:r>
    </w:p>
  </w:footnote>
  <w:footnote w:id="91">
    <w:p w:rsidR="002D4244" w:rsidRPr="007D28DE" w:rsidRDefault="00DB7E48" w:rsidP="00DB7E48">
      <w:pPr>
        <w:pStyle w:val="FootnoteText"/>
        <w:ind w:left="0" w:right="0"/>
      </w:pPr>
      <w:r>
        <w:tab/>
      </w:r>
      <w:r w:rsidR="002D4244">
        <w:rPr>
          <w:rStyle w:val="FootnoteReference"/>
        </w:rPr>
        <w:footnoteRef/>
      </w:r>
      <w:r w:rsidR="002D4244">
        <w:t xml:space="preserve"> </w:t>
      </w:r>
      <w:proofErr w:type="gramStart"/>
      <w:r w:rsidR="002D4244">
        <w:rPr>
          <w:i/>
          <w:szCs w:val="18"/>
          <w:lang w:val="en-US"/>
        </w:rPr>
        <w:t>Ibid</w:t>
      </w:r>
      <w:r w:rsidR="002D4244" w:rsidRPr="00230733">
        <w:rPr>
          <w:rFonts w:asciiTheme="minorHAnsi" w:hAnsiTheme="minorHAnsi"/>
          <w:sz w:val="20"/>
        </w:rPr>
        <w:t>.</w:t>
      </w:r>
      <w:r w:rsidR="002D4244" w:rsidRPr="00720827">
        <w:rPr>
          <w:sz w:val="20"/>
        </w:rPr>
        <w:t xml:space="preserve"> </w:t>
      </w:r>
      <w:r w:rsidR="002D4244" w:rsidRPr="00720827">
        <w:rPr>
          <w:szCs w:val="18"/>
        </w:rPr>
        <w:t>paras</w:t>
      </w:r>
      <w:r w:rsidR="00E554B2">
        <w:rPr>
          <w:szCs w:val="18"/>
        </w:rPr>
        <w:t>.</w:t>
      </w:r>
      <w:proofErr w:type="gramEnd"/>
      <w:r w:rsidR="002D4244" w:rsidRPr="00720827">
        <w:rPr>
          <w:szCs w:val="18"/>
        </w:rPr>
        <w:t xml:space="preserve"> 11-15</w:t>
      </w:r>
      <w:r w:rsidR="002D4244">
        <w:rPr>
          <w:szCs w:val="18"/>
        </w:rPr>
        <w:t xml:space="preserve">. </w:t>
      </w:r>
    </w:p>
  </w:footnote>
  <w:footnote w:id="92">
    <w:p w:rsidR="002D4244" w:rsidRPr="00A46B17" w:rsidRDefault="002D4244" w:rsidP="00DB7E48">
      <w:pPr>
        <w:pStyle w:val="FootnoteText"/>
        <w:tabs>
          <w:tab w:val="clear" w:pos="1021"/>
        </w:tabs>
        <w:spacing w:line="240" w:lineRule="auto"/>
        <w:ind w:left="0" w:right="0" w:firstLine="0"/>
        <w:rPr>
          <w:szCs w:val="18"/>
          <w:lang w:val="en-US"/>
        </w:rPr>
      </w:pPr>
      <w:r w:rsidRPr="00A46B17">
        <w:rPr>
          <w:rStyle w:val="FootnoteReference"/>
          <w:szCs w:val="18"/>
        </w:rPr>
        <w:footnoteRef/>
      </w:r>
      <w:r w:rsidRPr="00A46B17">
        <w:rPr>
          <w:szCs w:val="18"/>
          <w:lang w:val="en-US"/>
        </w:rPr>
        <w:t xml:space="preserve"> See </w:t>
      </w:r>
      <w:r>
        <w:rPr>
          <w:i/>
          <w:szCs w:val="18"/>
          <w:lang w:val="en-US"/>
        </w:rPr>
        <w:t xml:space="preserve">ibid; </w:t>
      </w:r>
      <w:r w:rsidRPr="00A46B17">
        <w:rPr>
          <w:szCs w:val="18"/>
          <w:lang w:val="en-US"/>
        </w:rPr>
        <w:t>General Comment No.</w:t>
      </w:r>
      <w:r>
        <w:rPr>
          <w:szCs w:val="18"/>
          <w:lang w:val="en-US"/>
        </w:rPr>
        <w:t xml:space="preserve"> </w:t>
      </w:r>
      <w:r w:rsidRPr="00A46B17">
        <w:rPr>
          <w:szCs w:val="18"/>
          <w:lang w:val="en-US"/>
        </w:rPr>
        <w:t>31</w:t>
      </w:r>
      <w:r>
        <w:rPr>
          <w:szCs w:val="18"/>
          <w:lang w:val="en-US"/>
        </w:rPr>
        <w:t xml:space="preserve">, </w:t>
      </w:r>
      <w:r>
        <w:rPr>
          <w:i/>
          <w:szCs w:val="18"/>
          <w:lang w:val="en-US"/>
        </w:rPr>
        <w:t xml:space="preserve">supra </w:t>
      </w:r>
      <w:r w:rsidR="00FA0F18">
        <w:rPr>
          <w:szCs w:val="18"/>
          <w:lang w:val="en-US"/>
        </w:rPr>
        <w:t>n. 1</w:t>
      </w:r>
      <w:r w:rsidRPr="00A46B17">
        <w:rPr>
          <w:szCs w:val="18"/>
          <w:lang w:val="en-US"/>
        </w:rPr>
        <w:t xml:space="preserve">; Basic Principles and Guidelines on the Right to a Remedy and Reparation for Victims of Gross Violations of International Human Rights Law and Serious Violations of International Humanitarian Law adopted by </w:t>
      </w:r>
      <w:r>
        <w:rPr>
          <w:szCs w:val="18"/>
          <w:lang w:val="en-US"/>
        </w:rPr>
        <w:t xml:space="preserve">resolution </w:t>
      </w:r>
      <w:r w:rsidRPr="003E72B9">
        <w:rPr>
          <w:szCs w:val="18"/>
          <w:lang w:val="en-US"/>
        </w:rPr>
        <w:t>60/147</w:t>
      </w:r>
      <w:r>
        <w:rPr>
          <w:szCs w:val="18"/>
          <w:lang w:val="en-US"/>
        </w:rPr>
        <w:t xml:space="preserve"> </w:t>
      </w:r>
      <w:r w:rsidRPr="00A46B17">
        <w:rPr>
          <w:szCs w:val="18"/>
          <w:lang w:val="en-US"/>
        </w:rPr>
        <w:t xml:space="preserve">in 2005. </w:t>
      </w:r>
    </w:p>
  </w:footnote>
  <w:footnote w:id="93">
    <w:p w:rsidR="002D4244" w:rsidRPr="00A46B17" w:rsidRDefault="002D4244" w:rsidP="00DB7E48">
      <w:pPr>
        <w:pStyle w:val="FootnoteText"/>
        <w:tabs>
          <w:tab w:val="clear" w:pos="1021"/>
        </w:tabs>
        <w:spacing w:line="240" w:lineRule="auto"/>
        <w:ind w:left="0" w:right="0" w:firstLine="0"/>
        <w:rPr>
          <w:szCs w:val="18"/>
          <w:lang w:val="en-US"/>
        </w:rPr>
      </w:pPr>
      <w:r w:rsidRPr="00A46B17">
        <w:rPr>
          <w:rStyle w:val="FootnoteReference"/>
          <w:szCs w:val="18"/>
        </w:rPr>
        <w:footnoteRef/>
      </w:r>
      <w:r w:rsidRPr="00A46B17">
        <w:rPr>
          <w:szCs w:val="18"/>
          <w:lang w:val="en-US"/>
        </w:rPr>
        <w:t xml:space="preserve"> </w:t>
      </w:r>
      <w:proofErr w:type="gramStart"/>
      <w:r>
        <w:rPr>
          <w:szCs w:val="18"/>
        </w:rPr>
        <w:t xml:space="preserve">HRC General Comment 31, </w:t>
      </w:r>
      <w:r w:rsidRPr="00A24381">
        <w:rPr>
          <w:i/>
          <w:szCs w:val="18"/>
        </w:rPr>
        <w:t xml:space="preserve">supra </w:t>
      </w:r>
      <w:r>
        <w:rPr>
          <w:szCs w:val="18"/>
        </w:rPr>
        <w:t>n. 1</w:t>
      </w:r>
      <w:r w:rsidRPr="00A46B17">
        <w:rPr>
          <w:szCs w:val="18"/>
          <w:lang w:val="en-US"/>
        </w:rPr>
        <w:t>, para.</w:t>
      </w:r>
      <w:proofErr w:type="gramEnd"/>
      <w:r w:rsidRPr="00A46B17">
        <w:rPr>
          <w:szCs w:val="18"/>
          <w:lang w:val="en-US"/>
        </w:rPr>
        <w:t xml:space="preserve"> 8.</w:t>
      </w:r>
    </w:p>
  </w:footnote>
  <w:footnote w:id="94">
    <w:p w:rsidR="002D4244" w:rsidRPr="00A46B17" w:rsidRDefault="002D4244" w:rsidP="00DB7E48">
      <w:pPr>
        <w:pStyle w:val="FootnoteText"/>
        <w:tabs>
          <w:tab w:val="clear" w:pos="1021"/>
        </w:tabs>
        <w:spacing w:line="240" w:lineRule="auto"/>
        <w:ind w:left="0" w:right="0" w:firstLine="0"/>
        <w:rPr>
          <w:szCs w:val="18"/>
          <w:lang w:val="es-ES"/>
        </w:rPr>
      </w:pPr>
      <w:r w:rsidRPr="00A46B17">
        <w:rPr>
          <w:rStyle w:val="FootnoteReference"/>
          <w:szCs w:val="18"/>
        </w:rPr>
        <w:footnoteRef/>
      </w:r>
      <w:r w:rsidRPr="00A46B17">
        <w:rPr>
          <w:szCs w:val="18"/>
          <w:lang w:val="en-US"/>
        </w:rPr>
        <w:t xml:space="preserve"> See Concluding </w:t>
      </w:r>
      <w:r>
        <w:rPr>
          <w:szCs w:val="18"/>
          <w:lang w:val="en-US"/>
        </w:rPr>
        <w:t>O</w:t>
      </w:r>
      <w:r w:rsidRPr="00A46B17">
        <w:rPr>
          <w:szCs w:val="18"/>
          <w:lang w:val="en-US"/>
        </w:rPr>
        <w:t xml:space="preserve">bservations </w:t>
      </w:r>
      <w:r>
        <w:rPr>
          <w:szCs w:val="18"/>
          <w:lang w:val="en-US"/>
        </w:rPr>
        <w:t xml:space="preserve">on </w:t>
      </w:r>
      <w:r w:rsidRPr="00A46B17">
        <w:rPr>
          <w:szCs w:val="18"/>
          <w:lang w:val="en-US"/>
        </w:rPr>
        <w:t>Guyana</w:t>
      </w:r>
      <w:r>
        <w:rPr>
          <w:szCs w:val="18"/>
          <w:lang w:val="en-US"/>
        </w:rPr>
        <w:t xml:space="preserve">, </w:t>
      </w:r>
      <w:r w:rsidRPr="003E72B9">
        <w:rPr>
          <w:szCs w:val="18"/>
          <w:lang w:val="en-US"/>
        </w:rPr>
        <w:t>CCPR/C/79/Add.121</w:t>
      </w:r>
      <w:r w:rsidRPr="00A46B17">
        <w:rPr>
          <w:szCs w:val="18"/>
          <w:lang w:val="en-US"/>
        </w:rPr>
        <w:t xml:space="preserve"> </w:t>
      </w:r>
      <w:r>
        <w:rPr>
          <w:szCs w:val="18"/>
          <w:lang w:val="en-US"/>
        </w:rPr>
        <w:t>(</w:t>
      </w:r>
      <w:r w:rsidRPr="00A46B17">
        <w:rPr>
          <w:szCs w:val="18"/>
          <w:lang w:val="en-US"/>
        </w:rPr>
        <w:t>2000</w:t>
      </w:r>
      <w:r>
        <w:rPr>
          <w:szCs w:val="18"/>
          <w:lang w:val="en-US"/>
        </w:rPr>
        <w:t>)</w:t>
      </w:r>
      <w:r w:rsidRPr="00A46B17">
        <w:rPr>
          <w:szCs w:val="18"/>
          <w:lang w:val="en-US"/>
        </w:rPr>
        <w:t xml:space="preserve">, para. </w:t>
      </w:r>
      <w:r w:rsidRPr="00A46B17">
        <w:rPr>
          <w:szCs w:val="18"/>
          <w:lang w:val="es-ES"/>
        </w:rPr>
        <w:t xml:space="preserve">367; </w:t>
      </w:r>
      <w:r>
        <w:rPr>
          <w:szCs w:val="18"/>
          <w:lang w:val="es-ES"/>
        </w:rPr>
        <w:t xml:space="preserve">Concluding Observations on </w:t>
      </w:r>
      <w:r w:rsidRPr="00A46B17">
        <w:rPr>
          <w:szCs w:val="18"/>
          <w:lang w:val="es-ES"/>
        </w:rPr>
        <w:t>Cameroon</w:t>
      </w:r>
      <w:r>
        <w:rPr>
          <w:szCs w:val="18"/>
          <w:lang w:val="es-ES"/>
        </w:rPr>
        <w:t xml:space="preserve">, </w:t>
      </w:r>
      <w:r w:rsidRPr="003E72B9">
        <w:rPr>
          <w:szCs w:val="18"/>
          <w:lang w:val="es-ES"/>
        </w:rPr>
        <w:t>CAT/C/CMR/CO/4</w:t>
      </w:r>
      <w:r w:rsidRPr="00A46B17">
        <w:rPr>
          <w:szCs w:val="18"/>
          <w:lang w:val="es-ES"/>
        </w:rPr>
        <w:t xml:space="preserve"> </w:t>
      </w:r>
      <w:r>
        <w:rPr>
          <w:szCs w:val="18"/>
          <w:lang w:val="es-ES"/>
        </w:rPr>
        <w:t>(</w:t>
      </w:r>
      <w:r w:rsidRPr="00A46B17">
        <w:rPr>
          <w:szCs w:val="18"/>
          <w:lang w:val="es-ES"/>
        </w:rPr>
        <w:t>2010</w:t>
      </w:r>
      <w:r>
        <w:rPr>
          <w:szCs w:val="18"/>
          <w:lang w:val="es-ES"/>
        </w:rPr>
        <w:t>)</w:t>
      </w:r>
      <w:r w:rsidRPr="00A46B17">
        <w:rPr>
          <w:szCs w:val="18"/>
          <w:lang w:val="es-ES"/>
        </w:rPr>
        <w:t>, para. 19.</w:t>
      </w:r>
    </w:p>
  </w:footnote>
  <w:footnote w:id="95">
    <w:p w:rsidR="002D4244" w:rsidRPr="00D8726E" w:rsidRDefault="002D4244" w:rsidP="00DB7E48">
      <w:pPr>
        <w:pStyle w:val="FootnoteText"/>
        <w:tabs>
          <w:tab w:val="clear" w:pos="1021"/>
        </w:tabs>
        <w:spacing w:line="240" w:lineRule="auto"/>
        <w:ind w:left="0" w:right="0" w:firstLine="0"/>
        <w:rPr>
          <w:szCs w:val="18"/>
          <w:lang w:val="en-US"/>
        </w:rPr>
      </w:pPr>
      <w:r w:rsidRPr="00A46B17">
        <w:rPr>
          <w:rStyle w:val="FootnoteReference"/>
          <w:szCs w:val="18"/>
        </w:rPr>
        <w:footnoteRef/>
      </w:r>
      <w:r w:rsidRPr="00A46B17">
        <w:rPr>
          <w:szCs w:val="18"/>
          <w:lang w:val="es-ES"/>
        </w:rPr>
        <w:t xml:space="preserve"> See Concluding </w:t>
      </w:r>
      <w:r>
        <w:rPr>
          <w:szCs w:val="18"/>
          <w:lang w:val="es-ES"/>
        </w:rPr>
        <w:t>O</w:t>
      </w:r>
      <w:r w:rsidRPr="00A46B17">
        <w:rPr>
          <w:szCs w:val="18"/>
          <w:lang w:val="es-ES"/>
        </w:rPr>
        <w:t>bservations</w:t>
      </w:r>
      <w:r>
        <w:rPr>
          <w:szCs w:val="18"/>
          <w:lang w:val="es-ES"/>
        </w:rPr>
        <w:t xml:space="preserve"> on</w:t>
      </w:r>
      <w:r w:rsidRPr="00A46B17">
        <w:rPr>
          <w:szCs w:val="18"/>
          <w:lang w:val="es-ES"/>
        </w:rPr>
        <w:t xml:space="preserve"> Argentina</w:t>
      </w:r>
      <w:r>
        <w:rPr>
          <w:szCs w:val="18"/>
          <w:lang w:val="es-ES"/>
        </w:rPr>
        <w:t>, A/50/40</w:t>
      </w:r>
      <w:r w:rsidRPr="00A46B17">
        <w:rPr>
          <w:szCs w:val="18"/>
          <w:lang w:val="es-ES"/>
        </w:rPr>
        <w:t xml:space="preserve"> </w:t>
      </w:r>
      <w:r>
        <w:rPr>
          <w:szCs w:val="18"/>
          <w:lang w:val="es-ES"/>
        </w:rPr>
        <w:t>(</w:t>
      </w:r>
      <w:r w:rsidRPr="00A46B17">
        <w:rPr>
          <w:szCs w:val="18"/>
          <w:lang w:val="es-ES"/>
        </w:rPr>
        <w:t>1995</w:t>
      </w:r>
      <w:r>
        <w:rPr>
          <w:szCs w:val="18"/>
          <w:lang w:val="es-ES"/>
        </w:rPr>
        <w:t>)</w:t>
      </w:r>
      <w:r w:rsidRPr="00A46B17">
        <w:rPr>
          <w:szCs w:val="18"/>
          <w:lang w:val="es-ES"/>
        </w:rPr>
        <w:t xml:space="preserve">, para. 153; </w:t>
      </w:r>
      <w:r w:rsidRPr="00720827">
        <w:rPr>
          <w:i/>
          <w:szCs w:val="18"/>
          <w:lang w:val="es-ES"/>
        </w:rPr>
        <w:t>Gunaratna v. Sri Lanka</w:t>
      </w:r>
      <w:r w:rsidRPr="00A46B17">
        <w:rPr>
          <w:szCs w:val="18"/>
          <w:lang w:val="es-ES"/>
        </w:rPr>
        <w:t>,</w:t>
      </w:r>
      <w:r>
        <w:rPr>
          <w:szCs w:val="18"/>
          <w:lang w:val="es-ES"/>
        </w:rPr>
        <w:t xml:space="preserve"> Comm. No. </w:t>
      </w:r>
      <w:r w:rsidRPr="00A46B17">
        <w:rPr>
          <w:szCs w:val="18"/>
          <w:lang w:val="es-ES"/>
        </w:rPr>
        <w:t xml:space="preserve">1432/2005, para. </w:t>
      </w:r>
      <w:r w:rsidRPr="00D8726E">
        <w:rPr>
          <w:szCs w:val="18"/>
          <w:lang w:val="en-US"/>
        </w:rPr>
        <w:t>7.4.</w:t>
      </w:r>
    </w:p>
  </w:footnote>
  <w:footnote w:id="96">
    <w:p w:rsidR="002D4244" w:rsidRPr="00B45B04" w:rsidRDefault="002D4244" w:rsidP="00DB7E48">
      <w:pPr>
        <w:pStyle w:val="FootnoteText"/>
        <w:tabs>
          <w:tab w:val="clear" w:pos="1021"/>
        </w:tabs>
        <w:spacing w:line="240" w:lineRule="auto"/>
        <w:ind w:left="0" w:right="0" w:firstLine="0"/>
      </w:pPr>
      <w:r w:rsidRPr="00B45B04">
        <w:rPr>
          <w:rStyle w:val="FootnoteReference"/>
        </w:rPr>
        <w:footnoteRef/>
      </w:r>
      <w:r w:rsidRPr="00B45B04">
        <w:t xml:space="preserve"> </w:t>
      </w:r>
      <w:proofErr w:type="spellStart"/>
      <w:proofErr w:type="gramStart"/>
      <w:r w:rsidRPr="00720827">
        <w:rPr>
          <w:i/>
          <w:color w:val="000000"/>
          <w:szCs w:val="22"/>
          <w:shd w:val="clear" w:color="auto" w:fill="FFFFFF"/>
        </w:rPr>
        <w:t>Corinna</w:t>
      </w:r>
      <w:proofErr w:type="spellEnd"/>
      <w:r w:rsidRPr="00720827">
        <w:rPr>
          <w:i/>
          <w:color w:val="000000"/>
          <w:szCs w:val="22"/>
          <w:shd w:val="clear" w:color="auto" w:fill="FFFFFF"/>
        </w:rPr>
        <w:t xml:space="preserve"> Horvath v. Australia</w:t>
      </w:r>
      <w:r>
        <w:rPr>
          <w:color w:val="000000"/>
          <w:szCs w:val="22"/>
          <w:shd w:val="clear" w:color="auto" w:fill="FFFFFF"/>
        </w:rPr>
        <w:t xml:space="preserve">, </w:t>
      </w:r>
      <w:r w:rsidRPr="00B45B04">
        <w:rPr>
          <w:color w:val="000000"/>
          <w:szCs w:val="22"/>
          <w:shd w:val="clear" w:color="auto" w:fill="FFFFFF"/>
        </w:rPr>
        <w:t>Comm</w:t>
      </w:r>
      <w:r>
        <w:rPr>
          <w:color w:val="000000"/>
          <w:szCs w:val="22"/>
          <w:shd w:val="clear" w:color="auto" w:fill="FFFFFF"/>
        </w:rPr>
        <w:t>. No. 1885/2009, paras.</w:t>
      </w:r>
      <w:proofErr w:type="gramEnd"/>
      <w:r>
        <w:rPr>
          <w:color w:val="000000"/>
          <w:szCs w:val="22"/>
          <w:shd w:val="clear" w:color="auto" w:fill="FFFFFF"/>
        </w:rPr>
        <w:t xml:space="preserve"> 8.4-8.8.</w:t>
      </w:r>
    </w:p>
  </w:footnote>
  <w:footnote w:id="97">
    <w:p w:rsidR="002D4244" w:rsidRPr="00A46B17" w:rsidRDefault="002D4244" w:rsidP="00DB7E48">
      <w:pPr>
        <w:pStyle w:val="FootnoteText"/>
        <w:tabs>
          <w:tab w:val="clear" w:pos="1021"/>
        </w:tabs>
        <w:spacing w:line="240" w:lineRule="auto"/>
        <w:ind w:left="0" w:right="0" w:firstLine="0"/>
        <w:rPr>
          <w:szCs w:val="18"/>
        </w:rPr>
      </w:pPr>
      <w:r w:rsidRPr="00A46B17">
        <w:rPr>
          <w:rStyle w:val="FootnoteReference"/>
          <w:szCs w:val="18"/>
        </w:rPr>
        <w:footnoteRef/>
      </w:r>
      <w:r w:rsidRPr="00A46B17">
        <w:rPr>
          <w:szCs w:val="18"/>
          <w:lang w:val="en-US"/>
        </w:rPr>
        <w:t xml:space="preserve"> </w:t>
      </w:r>
      <w:proofErr w:type="gramStart"/>
      <w:r>
        <w:rPr>
          <w:szCs w:val="18"/>
        </w:rPr>
        <w:t xml:space="preserve">HRC General Comment 31, </w:t>
      </w:r>
      <w:r>
        <w:rPr>
          <w:i/>
          <w:szCs w:val="18"/>
        </w:rPr>
        <w:t xml:space="preserve">supra </w:t>
      </w:r>
      <w:r w:rsidRPr="00720827">
        <w:rPr>
          <w:szCs w:val="18"/>
        </w:rPr>
        <w:t>n. 1</w:t>
      </w:r>
      <w:r w:rsidRPr="00A46B17">
        <w:rPr>
          <w:szCs w:val="18"/>
          <w:lang w:val="en-US"/>
        </w:rPr>
        <w:t>, para.</w:t>
      </w:r>
      <w:proofErr w:type="gramEnd"/>
      <w:r w:rsidRPr="00A46B17">
        <w:rPr>
          <w:szCs w:val="18"/>
          <w:lang w:val="en-US"/>
        </w:rPr>
        <w:t xml:space="preserve"> 16.</w:t>
      </w:r>
    </w:p>
  </w:footnote>
  <w:footnote w:id="98">
    <w:p w:rsidR="002D4244" w:rsidRPr="00A46B17" w:rsidRDefault="002D4244" w:rsidP="00DB7E48">
      <w:pPr>
        <w:pStyle w:val="FootnoteText"/>
        <w:tabs>
          <w:tab w:val="clear" w:pos="1021"/>
        </w:tabs>
        <w:spacing w:line="240" w:lineRule="auto"/>
        <w:ind w:left="0" w:right="0" w:firstLine="0"/>
        <w:rPr>
          <w:szCs w:val="18"/>
        </w:rPr>
      </w:pPr>
      <w:r w:rsidRPr="00A46B17">
        <w:rPr>
          <w:rStyle w:val="FootnoteReference"/>
          <w:szCs w:val="18"/>
        </w:rPr>
        <w:footnoteRef/>
      </w:r>
      <w:r w:rsidRPr="00A46B17">
        <w:rPr>
          <w:szCs w:val="18"/>
          <w:lang w:val="en-US"/>
        </w:rPr>
        <w:t xml:space="preserve"> </w:t>
      </w:r>
      <w:r w:rsidR="00FA0F18">
        <w:rPr>
          <w:szCs w:val="18"/>
        </w:rPr>
        <w:t>See Committee a</w:t>
      </w:r>
      <w:r w:rsidRPr="00A46B17">
        <w:rPr>
          <w:szCs w:val="18"/>
        </w:rPr>
        <w:t>gainst Torture</w:t>
      </w:r>
      <w:r>
        <w:rPr>
          <w:szCs w:val="18"/>
        </w:rPr>
        <w:t>, C</w:t>
      </w:r>
      <w:proofErr w:type="spellStart"/>
      <w:r w:rsidRPr="00A46B17">
        <w:rPr>
          <w:szCs w:val="18"/>
          <w:lang w:val="en-US"/>
        </w:rPr>
        <w:t>oncluding</w:t>
      </w:r>
      <w:proofErr w:type="spellEnd"/>
      <w:r w:rsidRPr="00A46B17">
        <w:rPr>
          <w:szCs w:val="18"/>
          <w:lang w:val="en-US"/>
        </w:rPr>
        <w:t xml:space="preserve"> </w:t>
      </w:r>
      <w:r>
        <w:rPr>
          <w:szCs w:val="18"/>
          <w:lang w:val="en-US"/>
        </w:rPr>
        <w:t>O</w:t>
      </w:r>
      <w:r w:rsidRPr="00A46B17">
        <w:rPr>
          <w:szCs w:val="18"/>
          <w:lang w:val="en-US"/>
        </w:rPr>
        <w:t xml:space="preserve">bservations </w:t>
      </w:r>
      <w:r>
        <w:rPr>
          <w:szCs w:val="18"/>
          <w:lang w:val="en-US"/>
        </w:rPr>
        <w:t>o</w:t>
      </w:r>
      <w:r w:rsidRPr="00A46B17">
        <w:rPr>
          <w:szCs w:val="18"/>
          <w:lang w:val="en-US"/>
        </w:rPr>
        <w:t>n Paraguay</w:t>
      </w:r>
      <w:r>
        <w:rPr>
          <w:szCs w:val="18"/>
          <w:lang w:val="en-US"/>
        </w:rPr>
        <w:t xml:space="preserve">, </w:t>
      </w:r>
      <w:r w:rsidRPr="00A46B17">
        <w:rPr>
          <w:szCs w:val="18"/>
          <w:lang w:val="en-US"/>
        </w:rPr>
        <w:t xml:space="preserve">A/52/44 (1997), </w:t>
      </w:r>
      <w:proofErr w:type="gramStart"/>
      <w:r w:rsidRPr="00A46B17">
        <w:rPr>
          <w:szCs w:val="18"/>
          <w:lang w:val="en-US"/>
        </w:rPr>
        <w:t>paras</w:t>
      </w:r>
      <w:proofErr w:type="gramEnd"/>
      <w:r w:rsidRPr="00A46B17">
        <w:rPr>
          <w:szCs w:val="18"/>
          <w:lang w:val="en-US"/>
        </w:rPr>
        <w:t>. 189-213.</w:t>
      </w:r>
    </w:p>
  </w:footnote>
  <w:footnote w:id="99">
    <w:p w:rsidR="002D4244" w:rsidRPr="00A46B17" w:rsidRDefault="002D4244" w:rsidP="00DB7E48">
      <w:pPr>
        <w:pStyle w:val="FootnoteText"/>
        <w:tabs>
          <w:tab w:val="clear" w:pos="1021"/>
        </w:tabs>
        <w:spacing w:line="240" w:lineRule="auto"/>
        <w:ind w:left="0" w:right="0" w:firstLine="0"/>
        <w:rPr>
          <w:szCs w:val="18"/>
          <w:lang w:val="en-US"/>
        </w:rPr>
      </w:pPr>
      <w:r w:rsidRPr="00A46B17">
        <w:rPr>
          <w:rStyle w:val="FootnoteReference"/>
          <w:szCs w:val="18"/>
        </w:rPr>
        <w:footnoteRef/>
      </w:r>
      <w:r w:rsidRPr="00A46B17">
        <w:rPr>
          <w:szCs w:val="18"/>
          <w:lang w:val="en-US"/>
        </w:rPr>
        <w:t xml:space="preserve"> </w:t>
      </w:r>
      <w:proofErr w:type="gramStart"/>
      <w:r w:rsidRPr="00A46B17">
        <w:rPr>
          <w:szCs w:val="18"/>
          <w:lang w:val="en-US"/>
        </w:rPr>
        <w:t>See Basic Principles and Guidelines on the Right to a Remedy and Reparation</w:t>
      </w:r>
      <w:r>
        <w:rPr>
          <w:szCs w:val="18"/>
          <w:lang w:val="en-US"/>
        </w:rPr>
        <w:t xml:space="preserve">, </w:t>
      </w:r>
      <w:r>
        <w:rPr>
          <w:i/>
          <w:szCs w:val="18"/>
          <w:lang w:val="en-US"/>
        </w:rPr>
        <w:t xml:space="preserve">supra </w:t>
      </w:r>
      <w:r w:rsidR="00FA0F18">
        <w:rPr>
          <w:szCs w:val="18"/>
          <w:lang w:val="en-US"/>
        </w:rPr>
        <w:t>n. 91</w:t>
      </w:r>
      <w:r>
        <w:rPr>
          <w:szCs w:val="18"/>
          <w:lang w:val="en-US"/>
        </w:rPr>
        <w:t>,</w:t>
      </w:r>
      <w:r w:rsidRPr="00A46B17">
        <w:rPr>
          <w:szCs w:val="18"/>
          <w:lang w:val="en-US"/>
        </w:rPr>
        <w:t xml:space="preserve"> para.</w:t>
      </w:r>
      <w:proofErr w:type="gramEnd"/>
      <w:r w:rsidRPr="00A46B17">
        <w:rPr>
          <w:szCs w:val="18"/>
          <w:lang w:val="en-US"/>
        </w:rPr>
        <w:t xml:space="preserve"> 11</w:t>
      </w:r>
      <w:r>
        <w:rPr>
          <w:szCs w:val="18"/>
          <w:lang w:val="en-US"/>
        </w:rPr>
        <w:t>.</w:t>
      </w:r>
    </w:p>
  </w:footnote>
  <w:footnote w:id="100">
    <w:p w:rsidR="002D4244" w:rsidRPr="00C15AC6" w:rsidRDefault="00DB7E48" w:rsidP="00DB7E48">
      <w:pPr>
        <w:pStyle w:val="FootnoteText"/>
        <w:spacing w:line="240" w:lineRule="auto"/>
        <w:ind w:left="0" w:right="0"/>
      </w:pPr>
      <w:r>
        <w:tab/>
      </w:r>
      <w:r w:rsidR="002D4244">
        <w:rPr>
          <w:rStyle w:val="FootnoteReference"/>
        </w:rPr>
        <w:footnoteRef/>
      </w:r>
      <w:r w:rsidR="002D4244">
        <w:t xml:space="preserve"> </w:t>
      </w:r>
      <w:proofErr w:type="gramStart"/>
      <w:r w:rsidR="002D4244">
        <w:rPr>
          <w:lang w:val="en-US"/>
        </w:rPr>
        <w:t>CAT, General Comme</w:t>
      </w:r>
      <w:r w:rsidR="002D4244" w:rsidRPr="00434B0F">
        <w:rPr>
          <w:lang w:val="en-US"/>
        </w:rPr>
        <w:t>n</w:t>
      </w:r>
      <w:r w:rsidR="002D4244">
        <w:rPr>
          <w:lang w:val="en-US"/>
        </w:rPr>
        <w:t>t No.</w:t>
      </w:r>
      <w:r w:rsidR="002D4244" w:rsidRPr="00434B0F">
        <w:rPr>
          <w:lang w:val="en-US"/>
        </w:rPr>
        <w:t xml:space="preserve"> 3</w:t>
      </w:r>
      <w:r w:rsidR="002D4244">
        <w:rPr>
          <w:lang w:val="en-US"/>
        </w:rPr>
        <w:t xml:space="preserve">, </w:t>
      </w:r>
      <w:r w:rsidR="002D4244" w:rsidRPr="00720827">
        <w:rPr>
          <w:i/>
          <w:lang w:val="en-US"/>
        </w:rPr>
        <w:t>supra</w:t>
      </w:r>
      <w:r w:rsidR="00FA0F18">
        <w:rPr>
          <w:lang w:val="en-US"/>
        </w:rPr>
        <w:t xml:space="preserve"> n. 89</w:t>
      </w:r>
      <w:r w:rsidR="002D4244">
        <w:rPr>
          <w:lang w:val="en-US"/>
        </w:rPr>
        <w:t>,</w:t>
      </w:r>
      <w:r w:rsidR="002D4244" w:rsidRPr="00434B0F">
        <w:rPr>
          <w:lang w:val="en-US"/>
        </w:rPr>
        <w:t xml:space="preserve"> par</w:t>
      </w:r>
      <w:r w:rsidR="002D4244">
        <w:rPr>
          <w:lang w:val="en-US"/>
        </w:rPr>
        <w:t>a</w:t>
      </w:r>
      <w:r w:rsidR="002D4244" w:rsidRPr="00434B0F">
        <w:rPr>
          <w:lang w:val="en-US"/>
        </w:rPr>
        <w:t>.</w:t>
      </w:r>
      <w:proofErr w:type="gramEnd"/>
      <w:r w:rsidR="002D4244" w:rsidRPr="00434B0F">
        <w:rPr>
          <w:lang w:val="en-US"/>
        </w:rPr>
        <w:t xml:space="preserve"> 26</w:t>
      </w:r>
      <w:r w:rsidR="002D4244">
        <w:rPr>
          <w:lang w:val="en-US"/>
        </w:rPr>
        <w:t>.</w:t>
      </w:r>
    </w:p>
  </w:footnote>
  <w:footnote w:id="101">
    <w:p w:rsidR="002D4244" w:rsidRPr="00A46B17" w:rsidRDefault="002D4244" w:rsidP="00DB7E48">
      <w:pPr>
        <w:pStyle w:val="FootnoteText"/>
        <w:tabs>
          <w:tab w:val="clear" w:pos="1021"/>
        </w:tabs>
        <w:spacing w:line="240" w:lineRule="auto"/>
        <w:ind w:left="0" w:right="0" w:firstLine="0"/>
        <w:rPr>
          <w:szCs w:val="18"/>
          <w:lang w:val="en-US"/>
        </w:rPr>
      </w:pPr>
      <w:r w:rsidRPr="00A46B17">
        <w:rPr>
          <w:rStyle w:val="FootnoteReference"/>
          <w:szCs w:val="18"/>
        </w:rPr>
        <w:footnoteRef/>
      </w:r>
      <w:r w:rsidRPr="00A46B17">
        <w:rPr>
          <w:szCs w:val="18"/>
          <w:lang w:val="en-US"/>
        </w:rPr>
        <w:t xml:space="preserve"> </w:t>
      </w:r>
      <w:proofErr w:type="gramStart"/>
      <w:r w:rsidRPr="00A46B17">
        <w:rPr>
          <w:szCs w:val="18"/>
          <w:lang w:val="en-US"/>
        </w:rPr>
        <w:t>See Basic Principles and Guidelines on the Right to a Remedy and Reparation</w:t>
      </w:r>
      <w:r>
        <w:rPr>
          <w:szCs w:val="18"/>
          <w:lang w:val="en-US"/>
        </w:rPr>
        <w:t xml:space="preserve">, </w:t>
      </w:r>
      <w:r>
        <w:rPr>
          <w:i/>
          <w:szCs w:val="18"/>
          <w:lang w:val="en-US"/>
        </w:rPr>
        <w:t xml:space="preserve">supra </w:t>
      </w:r>
      <w:r w:rsidR="00FA0F18">
        <w:rPr>
          <w:szCs w:val="18"/>
          <w:lang w:val="en-US"/>
        </w:rPr>
        <w:t>n. 91</w:t>
      </w:r>
      <w:r>
        <w:rPr>
          <w:szCs w:val="18"/>
          <w:lang w:val="en-US"/>
        </w:rPr>
        <w:t>,</w:t>
      </w:r>
      <w:r w:rsidRPr="00A46B17">
        <w:rPr>
          <w:szCs w:val="18"/>
          <w:lang w:val="en-US"/>
        </w:rPr>
        <w:t xml:space="preserve"> para.</w:t>
      </w:r>
      <w:proofErr w:type="gramEnd"/>
      <w:r w:rsidRPr="00A46B17">
        <w:rPr>
          <w:szCs w:val="18"/>
          <w:lang w:val="en-US"/>
        </w:rPr>
        <w:t xml:space="preserve"> 11</w:t>
      </w:r>
    </w:p>
  </w:footnote>
  <w:footnote w:id="102">
    <w:p w:rsidR="002D4244" w:rsidRPr="00A46B17" w:rsidRDefault="002D4244" w:rsidP="00DB7E48">
      <w:pPr>
        <w:pStyle w:val="FootnoteText"/>
        <w:tabs>
          <w:tab w:val="clear" w:pos="1021"/>
        </w:tabs>
        <w:spacing w:line="240" w:lineRule="auto"/>
        <w:ind w:left="0" w:right="0" w:firstLine="0"/>
        <w:rPr>
          <w:szCs w:val="18"/>
          <w:lang w:val="en-US"/>
        </w:rPr>
      </w:pPr>
      <w:r w:rsidRPr="00A46B17">
        <w:rPr>
          <w:rStyle w:val="FootnoteReference"/>
          <w:szCs w:val="18"/>
        </w:rPr>
        <w:footnoteRef/>
      </w:r>
      <w:r w:rsidRPr="00A46B17">
        <w:rPr>
          <w:szCs w:val="18"/>
          <w:lang w:val="en-US"/>
        </w:rPr>
        <w:t xml:space="preserve"> See </w:t>
      </w:r>
      <w:r>
        <w:rPr>
          <w:szCs w:val="18"/>
          <w:lang w:val="en-US"/>
        </w:rPr>
        <w:t xml:space="preserve">HRC </w:t>
      </w:r>
      <w:r w:rsidRPr="00A46B17">
        <w:rPr>
          <w:szCs w:val="18"/>
          <w:lang w:val="en-US"/>
        </w:rPr>
        <w:t>General Comment 31,</w:t>
      </w:r>
      <w:r>
        <w:rPr>
          <w:szCs w:val="18"/>
          <w:lang w:val="en-US"/>
        </w:rPr>
        <w:t xml:space="preserve"> </w:t>
      </w:r>
      <w:r>
        <w:rPr>
          <w:i/>
          <w:szCs w:val="18"/>
          <w:lang w:val="en-US"/>
        </w:rPr>
        <w:t xml:space="preserve">supra </w:t>
      </w:r>
      <w:r>
        <w:rPr>
          <w:szCs w:val="18"/>
          <w:lang w:val="en-US"/>
        </w:rPr>
        <w:t>n. 1,</w:t>
      </w:r>
      <w:r w:rsidRPr="00A46B17">
        <w:rPr>
          <w:szCs w:val="18"/>
          <w:lang w:val="en-US"/>
        </w:rPr>
        <w:t xml:space="preserve"> para</w:t>
      </w:r>
      <w:r w:rsidR="00156728">
        <w:rPr>
          <w:szCs w:val="18"/>
          <w:lang w:val="en-US"/>
        </w:rPr>
        <w:t>.</w:t>
      </w:r>
      <w:r w:rsidRPr="00A46B17">
        <w:rPr>
          <w:szCs w:val="18"/>
          <w:lang w:val="en-US"/>
        </w:rPr>
        <w:t xml:space="preserve"> 15</w:t>
      </w:r>
      <w:r w:rsidR="00C913CC">
        <w:rPr>
          <w:szCs w:val="18"/>
          <w:lang w:val="en-US"/>
        </w:rPr>
        <w:t>.</w:t>
      </w:r>
    </w:p>
  </w:footnote>
  <w:footnote w:id="103">
    <w:p w:rsidR="002D4244" w:rsidRPr="00A46B17" w:rsidRDefault="002D4244" w:rsidP="00DB7E48">
      <w:pPr>
        <w:pStyle w:val="FootnoteText"/>
        <w:tabs>
          <w:tab w:val="clear" w:pos="1021"/>
        </w:tabs>
        <w:spacing w:line="240" w:lineRule="auto"/>
        <w:ind w:left="0" w:right="0" w:firstLine="0"/>
        <w:rPr>
          <w:szCs w:val="18"/>
          <w:lang w:val="en-US"/>
        </w:rPr>
      </w:pPr>
      <w:r w:rsidRPr="00A46B17">
        <w:rPr>
          <w:rStyle w:val="FootnoteReference"/>
          <w:szCs w:val="18"/>
        </w:rPr>
        <w:footnoteRef/>
      </w:r>
      <w:r w:rsidRPr="00A46B17">
        <w:rPr>
          <w:szCs w:val="18"/>
          <w:lang w:val="en-US"/>
        </w:rPr>
        <w:t xml:space="preserve"> Paragraph 17 of </w:t>
      </w:r>
      <w:r>
        <w:rPr>
          <w:szCs w:val="18"/>
          <w:lang w:val="en-US"/>
        </w:rPr>
        <w:t>D</w:t>
      </w:r>
      <w:r w:rsidRPr="00A46B17">
        <w:rPr>
          <w:szCs w:val="18"/>
          <w:lang w:val="en-US"/>
        </w:rPr>
        <w:t xml:space="preserve">raft </w:t>
      </w:r>
      <w:r>
        <w:rPr>
          <w:szCs w:val="18"/>
          <w:lang w:val="en-US"/>
        </w:rPr>
        <w:t xml:space="preserve">General Comment No. 35 </w:t>
      </w:r>
      <w:r w:rsidRPr="00A46B17">
        <w:rPr>
          <w:szCs w:val="18"/>
          <w:lang w:val="en-US"/>
        </w:rPr>
        <w:t>recognizes that enforced disappearances constitute a particularly aggravated for</w:t>
      </w:r>
      <w:r>
        <w:rPr>
          <w:szCs w:val="18"/>
          <w:lang w:val="en-US"/>
        </w:rPr>
        <w:t>m of arbitrary detention under A</w:t>
      </w:r>
      <w:r w:rsidRPr="00A46B17">
        <w:rPr>
          <w:szCs w:val="18"/>
          <w:lang w:val="en-US"/>
        </w:rPr>
        <w:t>rticle 9</w:t>
      </w:r>
      <w:r w:rsidR="00C913CC">
        <w:rPr>
          <w:szCs w:val="18"/>
          <w:lang w:val="en-US"/>
        </w:rPr>
        <w:t>.</w:t>
      </w:r>
    </w:p>
  </w:footnote>
  <w:footnote w:id="104">
    <w:p w:rsidR="002D4244" w:rsidRPr="00A46B17" w:rsidRDefault="002D4244" w:rsidP="00DB7E48">
      <w:pPr>
        <w:pStyle w:val="FootnoteText"/>
        <w:tabs>
          <w:tab w:val="clear" w:pos="1021"/>
        </w:tabs>
        <w:spacing w:line="240" w:lineRule="auto"/>
        <w:ind w:left="0" w:right="0" w:firstLine="0"/>
        <w:rPr>
          <w:szCs w:val="18"/>
          <w:lang w:val="en-US"/>
        </w:rPr>
      </w:pPr>
      <w:r w:rsidRPr="00A46B17">
        <w:rPr>
          <w:rStyle w:val="FootnoteReference"/>
          <w:szCs w:val="18"/>
        </w:rPr>
        <w:footnoteRef/>
      </w:r>
      <w:r w:rsidRPr="00A46B17">
        <w:rPr>
          <w:szCs w:val="18"/>
          <w:lang w:val="en-US"/>
        </w:rPr>
        <w:t xml:space="preserve"> Paragraph 35 and 56 of </w:t>
      </w:r>
      <w:r>
        <w:rPr>
          <w:szCs w:val="18"/>
          <w:lang w:val="en-US"/>
        </w:rPr>
        <w:t>Dr</w:t>
      </w:r>
      <w:r w:rsidRPr="00A46B17">
        <w:rPr>
          <w:szCs w:val="18"/>
          <w:lang w:val="en-US"/>
        </w:rPr>
        <w:t xml:space="preserve">aft </w:t>
      </w:r>
      <w:r>
        <w:rPr>
          <w:szCs w:val="18"/>
          <w:lang w:val="en-US"/>
        </w:rPr>
        <w:t xml:space="preserve">General Comment No. 35 </w:t>
      </w:r>
      <w:r w:rsidRPr="00A46B17">
        <w:rPr>
          <w:szCs w:val="18"/>
          <w:lang w:val="en-US"/>
        </w:rPr>
        <w:t xml:space="preserve">states that </w:t>
      </w:r>
      <w:proofErr w:type="gramStart"/>
      <w:r w:rsidRPr="00A46B17">
        <w:rPr>
          <w:szCs w:val="18"/>
          <w:lang w:val="en-US"/>
        </w:rPr>
        <w:t>incommunicado</w:t>
      </w:r>
      <w:proofErr w:type="gramEnd"/>
      <w:r w:rsidRPr="00A46B17">
        <w:rPr>
          <w:szCs w:val="18"/>
          <w:lang w:val="en-US"/>
        </w:rPr>
        <w:t xml:space="preserve"> detention or incommunicado detention that prevents prompt presen</w:t>
      </w:r>
      <w:r>
        <w:rPr>
          <w:szCs w:val="18"/>
          <w:lang w:val="en-US"/>
        </w:rPr>
        <w:t>tation before a judge violates A</w:t>
      </w:r>
      <w:r w:rsidRPr="00A46B17">
        <w:rPr>
          <w:szCs w:val="18"/>
          <w:lang w:val="en-US"/>
        </w:rPr>
        <w:t>rticle 9</w:t>
      </w:r>
      <w:r w:rsidR="00C913CC">
        <w:rPr>
          <w:szCs w:val="18"/>
          <w:lang w:val="en-US"/>
        </w:rPr>
        <w:t>.</w:t>
      </w:r>
    </w:p>
  </w:footnote>
  <w:footnote w:id="105">
    <w:p w:rsidR="002D4244" w:rsidRPr="00A46B17" w:rsidRDefault="002D4244" w:rsidP="00DB7E48">
      <w:pPr>
        <w:pStyle w:val="FootnoteText"/>
        <w:tabs>
          <w:tab w:val="clear" w:pos="1021"/>
        </w:tabs>
        <w:spacing w:line="240" w:lineRule="auto"/>
        <w:ind w:left="0" w:right="0" w:firstLine="0"/>
        <w:rPr>
          <w:szCs w:val="18"/>
          <w:lang w:val="en-US"/>
        </w:rPr>
      </w:pPr>
      <w:r w:rsidRPr="00A46B17">
        <w:rPr>
          <w:rStyle w:val="FootnoteReference"/>
          <w:szCs w:val="18"/>
        </w:rPr>
        <w:footnoteRef/>
      </w:r>
      <w:r w:rsidRPr="00A46B17">
        <w:rPr>
          <w:szCs w:val="18"/>
          <w:lang w:val="en-US"/>
        </w:rPr>
        <w:t xml:space="preserve"> Paragraph 11 of </w:t>
      </w:r>
      <w:r>
        <w:rPr>
          <w:szCs w:val="18"/>
          <w:lang w:val="en-US"/>
        </w:rPr>
        <w:t>D</w:t>
      </w:r>
      <w:r w:rsidRPr="00A46B17">
        <w:rPr>
          <w:szCs w:val="18"/>
          <w:lang w:val="en-US"/>
        </w:rPr>
        <w:t xml:space="preserve">raft </w:t>
      </w:r>
      <w:r>
        <w:rPr>
          <w:szCs w:val="18"/>
          <w:lang w:val="en-US"/>
        </w:rPr>
        <w:t xml:space="preserve">General Comment No. 35 </w:t>
      </w:r>
      <w:r w:rsidRPr="00A46B17">
        <w:rPr>
          <w:szCs w:val="18"/>
          <w:lang w:val="en-US"/>
        </w:rPr>
        <w:t>states that “u</w:t>
      </w:r>
      <w:proofErr w:type="spellStart"/>
      <w:r w:rsidRPr="00A46B17">
        <w:rPr>
          <w:szCs w:val="18"/>
          <w:lang w:val="en-CA"/>
        </w:rPr>
        <w:t>nauthorized</w:t>
      </w:r>
      <w:proofErr w:type="spellEnd"/>
      <w:r w:rsidRPr="00A46B17">
        <w:rPr>
          <w:szCs w:val="18"/>
          <w:lang w:val="en-CA"/>
        </w:rPr>
        <w:t xml:space="preserve"> confinement of prisoners beyond the length of their sentences is arbitrary as well as unlawful; the same is true for unauthorized extension of other forms of detention. Continued confinement of detainees in defiance of a judicial order for their release is arbitrary as well as unlawful.”</w:t>
      </w:r>
    </w:p>
  </w:footnote>
  <w:footnote w:id="106">
    <w:p w:rsidR="002D4244" w:rsidRPr="00A46B17" w:rsidRDefault="00DB7E48" w:rsidP="00DB7E48">
      <w:pPr>
        <w:pStyle w:val="FootnoteText"/>
        <w:spacing w:line="240" w:lineRule="auto"/>
        <w:ind w:left="0" w:right="0"/>
        <w:rPr>
          <w:szCs w:val="18"/>
          <w:lang w:val="en-US"/>
        </w:rPr>
      </w:pPr>
      <w:r>
        <w:rPr>
          <w:szCs w:val="18"/>
          <w:lang w:val="en-US"/>
        </w:rPr>
        <w:tab/>
      </w:r>
      <w:r w:rsidR="002D4244" w:rsidRPr="00A46B17">
        <w:rPr>
          <w:rStyle w:val="FootnoteReference"/>
          <w:szCs w:val="18"/>
        </w:rPr>
        <w:footnoteRef/>
      </w:r>
      <w:r w:rsidR="002D4244" w:rsidRPr="00A46B17">
        <w:rPr>
          <w:szCs w:val="18"/>
          <w:lang w:val="en-US"/>
        </w:rPr>
        <w:t xml:space="preserve"> See </w:t>
      </w:r>
      <w:r w:rsidR="002D4244">
        <w:rPr>
          <w:szCs w:val="18"/>
          <w:lang w:val="en-US"/>
        </w:rPr>
        <w:t xml:space="preserve">CAT, </w:t>
      </w:r>
      <w:r w:rsidR="002D4244" w:rsidRPr="00A46B17">
        <w:rPr>
          <w:szCs w:val="18"/>
          <w:lang w:val="en-US"/>
        </w:rPr>
        <w:t>General Comment No.</w:t>
      </w:r>
      <w:r w:rsidR="002D4244">
        <w:rPr>
          <w:szCs w:val="18"/>
          <w:lang w:val="en-US"/>
        </w:rPr>
        <w:t xml:space="preserve"> </w:t>
      </w:r>
      <w:r w:rsidR="002D4244" w:rsidRPr="00A46B17">
        <w:rPr>
          <w:szCs w:val="18"/>
          <w:lang w:val="en-US"/>
        </w:rPr>
        <w:t>3</w:t>
      </w:r>
      <w:r w:rsidR="002D4244">
        <w:rPr>
          <w:szCs w:val="18"/>
          <w:lang w:val="en-US"/>
        </w:rPr>
        <w:t xml:space="preserve">, </w:t>
      </w:r>
      <w:r w:rsidR="002D4244">
        <w:rPr>
          <w:i/>
          <w:szCs w:val="18"/>
          <w:lang w:val="en-US"/>
        </w:rPr>
        <w:t xml:space="preserve">supra </w:t>
      </w:r>
      <w:r w:rsidR="002D4244">
        <w:rPr>
          <w:szCs w:val="18"/>
          <w:lang w:val="en-US"/>
        </w:rPr>
        <w:t>n. 8</w:t>
      </w:r>
      <w:r w:rsidR="00FA0F18">
        <w:rPr>
          <w:szCs w:val="18"/>
          <w:lang w:val="en-US"/>
        </w:rPr>
        <w:t>9</w:t>
      </w:r>
      <w:r w:rsidR="002D4244" w:rsidRPr="00A46B17">
        <w:rPr>
          <w:szCs w:val="18"/>
          <w:lang w:val="en-US"/>
        </w:rPr>
        <w:t>, para 9.</w:t>
      </w:r>
    </w:p>
  </w:footnote>
  <w:footnote w:id="107">
    <w:p w:rsidR="002D4244" w:rsidRPr="00A46B17" w:rsidRDefault="00DB7E48" w:rsidP="00DB7E48">
      <w:pPr>
        <w:pStyle w:val="FootnoteText"/>
        <w:spacing w:line="240" w:lineRule="auto"/>
        <w:ind w:left="0" w:right="0"/>
        <w:rPr>
          <w:szCs w:val="18"/>
          <w:lang w:val="en-US"/>
        </w:rPr>
      </w:pPr>
      <w:r>
        <w:rPr>
          <w:szCs w:val="18"/>
          <w:lang w:val="en-US"/>
        </w:rPr>
        <w:tab/>
      </w:r>
      <w:r w:rsidR="002D4244" w:rsidRPr="00A46B17">
        <w:rPr>
          <w:rStyle w:val="FootnoteReference"/>
          <w:szCs w:val="18"/>
        </w:rPr>
        <w:footnoteRef/>
      </w:r>
      <w:r w:rsidR="002D4244" w:rsidRPr="00A46B17">
        <w:rPr>
          <w:szCs w:val="18"/>
          <w:lang w:val="en-US"/>
        </w:rPr>
        <w:tab/>
        <w:t xml:space="preserve"> </w:t>
      </w:r>
      <w:proofErr w:type="gramStart"/>
      <w:r w:rsidR="002D4244" w:rsidRPr="00A46B17">
        <w:rPr>
          <w:szCs w:val="18"/>
          <w:lang w:val="en-US"/>
        </w:rPr>
        <w:t xml:space="preserve">General Comment No. 20, </w:t>
      </w:r>
      <w:r w:rsidR="002D4244" w:rsidRPr="00720827">
        <w:rPr>
          <w:i/>
          <w:szCs w:val="18"/>
          <w:lang w:val="en-US"/>
        </w:rPr>
        <w:t>supra</w:t>
      </w:r>
      <w:r w:rsidR="002D4244">
        <w:rPr>
          <w:szCs w:val="18"/>
          <w:lang w:val="en-US"/>
        </w:rPr>
        <w:t xml:space="preserve"> n. 35, </w:t>
      </w:r>
      <w:r w:rsidR="002D4244" w:rsidRPr="00A46B17">
        <w:rPr>
          <w:szCs w:val="18"/>
          <w:lang w:val="en-US"/>
        </w:rPr>
        <w:t>para.</w:t>
      </w:r>
      <w:proofErr w:type="gramEnd"/>
      <w:r w:rsidR="002D4244" w:rsidRPr="00A46B17">
        <w:rPr>
          <w:szCs w:val="18"/>
          <w:lang w:val="en-US"/>
        </w:rPr>
        <w:t xml:space="preserve"> 2.</w:t>
      </w:r>
    </w:p>
  </w:footnote>
  <w:footnote w:id="108">
    <w:p w:rsidR="002D4244" w:rsidRPr="00A46B17" w:rsidRDefault="002D4244" w:rsidP="00E236BB">
      <w:pPr>
        <w:pStyle w:val="FootnoteText"/>
        <w:spacing w:line="240" w:lineRule="auto"/>
        <w:ind w:left="0" w:right="0"/>
        <w:rPr>
          <w:szCs w:val="18"/>
        </w:rPr>
      </w:pPr>
      <w:r w:rsidRPr="00A46B17">
        <w:rPr>
          <w:szCs w:val="18"/>
          <w:lang w:val="es-ES"/>
        </w:rPr>
        <w:tab/>
      </w:r>
      <w:r w:rsidRPr="00A46B17">
        <w:rPr>
          <w:rStyle w:val="FootnoteReference"/>
          <w:szCs w:val="18"/>
        </w:rPr>
        <w:footnoteRef/>
      </w:r>
      <w:r w:rsidRPr="00A46B17">
        <w:rPr>
          <w:szCs w:val="18"/>
          <w:lang w:val="es-ES"/>
        </w:rPr>
        <w:tab/>
        <w:t xml:space="preserve"> </w:t>
      </w:r>
      <w:r w:rsidRPr="00720827">
        <w:rPr>
          <w:i/>
          <w:szCs w:val="18"/>
          <w:lang w:val="es-ES"/>
        </w:rPr>
        <w:t>Aboufaied v. Libya</w:t>
      </w:r>
      <w:r w:rsidRPr="00A46B17">
        <w:rPr>
          <w:szCs w:val="18"/>
          <w:lang w:val="es-ES"/>
        </w:rPr>
        <w:t>,</w:t>
      </w:r>
      <w:r>
        <w:rPr>
          <w:szCs w:val="18"/>
          <w:lang w:val="es-ES"/>
        </w:rPr>
        <w:t xml:space="preserve"> Comm. No. </w:t>
      </w:r>
      <w:r w:rsidRPr="00A46B17">
        <w:rPr>
          <w:szCs w:val="18"/>
          <w:lang w:val="es-ES"/>
        </w:rPr>
        <w:t xml:space="preserve">1782/2008, paras. 7.4, 7.6; </w:t>
      </w:r>
      <w:r w:rsidRPr="00720827">
        <w:rPr>
          <w:i/>
          <w:szCs w:val="18"/>
          <w:lang w:val="es-ES"/>
        </w:rPr>
        <w:t>El-Megreisi v. Libyan Arab Jamahiriya</w:t>
      </w:r>
      <w:r w:rsidRPr="00A46B17">
        <w:rPr>
          <w:szCs w:val="18"/>
          <w:lang w:val="es-ES"/>
        </w:rPr>
        <w:t xml:space="preserve">, </w:t>
      </w:r>
      <w:r>
        <w:rPr>
          <w:szCs w:val="18"/>
          <w:lang w:val="es-ES"/>
        </w:rPr>
        <w:t xml:space="preserve">Comm. No. </w:t>
      </w:r>
      <w:r w:rsidRPr="00A46B17">
        <w:rPr>
          <w:szCs w:val="18"/>
          <w:lang w:val="es-ES"/>
        </w:rPr>
        <w:t>440/1990,</w:t>
      </w:r>
      <w:r>
        <w:rPr>
          <w:szCs w:val="18"/>
          <w:lang w:val="es-ES"/>
        </w:rPr>
        <w:t xml:space="preserve"> </w:t>
      </w:r>
      <w:r w:rsidRPr="00A46B17">
        <w:rPr>
          <w:szCs w:val="18"/>
          <w:lang w:val="es-ES"/>
        </w:rPr>
        <w:t xml:space="preserve">para. </w:t>
      </w:r>
      <w:r w:rsidRPr="00A46B17">
        <w:rPr>
          <w:szCs w:val="18"/>
        </w:rPr>
        <w:t>5.4.</w:t>
      </w:r>
    </w:p>
  </w:footnote>
  <w:footnote w:id="109">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See further </w:t>
      </w:r>
      <w:r w:rsidRPr="00A46B17">
        <w:rPr>
          <w:bCs/>
          <w:szCs w:val="18"/>
          <w:lang w:val="en-US"/>
        </w:rPr>
        <w:t xml:space="preserve">Interim report of the </w:t>
      </w:r>
      <w:proofErr w:type="spellStart"/>
      <w:r w:rsidRPr="00A46B17">
        <w:rPr>
          <w:szCs w:val="18"/>
          <w:lang w:val="es-ES"/>
        </w:rPr>
        <w:t>Special</w:t>
      </w:r>
      <w:proofErr w:type="spellEnd"/>
      <w:r w:rsidRPr="00A46B17">
        <w:rPr>
          <w:bCs/>
          <w:szCs w:val="18"/>
          <w:lang w:val="en-US"/>
        </w:rPr>
        <w:t xml:space="preserve"> Rapporteur of the Human Rights Council on torture and other cruel, inhuman or degrading treatment or punishment, A/66/268</w:t>
      </w:r>
      <w:r>
        <w:rPr>
          <w:bCs/>
          <w:szCs w:val="18"/>
          <w:lang w:val="en-US"/>
        </w:rPr>
        <w:t xml:space="preserve"> (</w:t>
      </w:r>
      <w:r w:rsidRPr="00A46B17">
        <w:rPr>
          <w:bCs/>
          <w:szCs w:val="18"/>
          <w:lang w:val="en-US"/>
        </w:rPr>
        <w:t>2011</w:t>
      </w:r>
      <w:r>
        <w:rPr>
          <w:bCs/>
          <w:szCs w:val="18"/>
          <w:lang w:val="en-US"/>
        </w:rPr>
        <w:t>)</w:t>
      </w:r>
      <w:r w:rsidRPr="00A46B17">
        <w:rPr>
          <w:bCs/>
          <w:szCs w:val="18"/>
          <w:lang w:val="en-US"/>
        </w:rPr>
        <w:t>, para. 25.</w:t>
      </w:r>
    </w:p>
  </w:footnote>
  <w:footnote w:id="110">
    <w:p w:rsidR="002D4244" w:rsidRPr="00A46B17" w:rsidRDefault="002D4244" w:rsidP="00E236BB">
      <w:pPr>
        <w:pStyle w:val="FootnoteText"/>
        <w:rPr>
          <w:szCs w:val="18"/>
        </w:rPr>
      </w:pPr>
      <w:r w:rsidRPr="00A46B17">
        <w:rPr>
          <w:rStyle w:val="FootnoteReference"/>
          <w:szCs w:val="18"/>
        </w:rPr>
        <w:footnoteRef/>
      </w:r>
      <w:r w:rsidRPr="00A46B17">
        <w:rPr>
          <w:szCs w:val="18"/>
        </w:rPr>
        <w:t xml:space="preserve"> </w:t>
      </w:r>
      <w:r w:rsidRPr="00A46B17">
        <w:rPr>
          <w:i/>
          <w:szCs w:val="18"/>
        </w:rPr>
        <w:t>Ibid</w:t>
      </w:r>
      <w:r w:rsidRPr="00A46B17">
        <w:rPr>
          <w:szCs w:val="18"/>
        </w:rPr>
        <w:t>.</w:t>
      </w:r>
    </w:p>
  </w:footnote>
  <w:footnote w:id="111">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w:t>
      </w:r>
      <w:proofErr w:type="gramStart"/>
      <w:r w:rsidRPr="00A46B17">
        <w:rPr>
          <w:bCs/>
          <w:szCs w:val="18"/>
          <w:lang w:val="en-US"/>
        </w:rPr>
        <w:t>General</w:t>
      </w:r>
      <w:r w:rsidRPr="00A46B17">
        <w:rPr>
          <w:szCs w:val="18"/>
        </w:rPr>
        <w:t xml:space="preserve"> Comment No. 20</w:t>
      </w:r>
      <w:r>
        <w:rPr>
          <w:szCs w:val="18"/>
        </w:rPr>
        <w:t xml:space="preserve">, </w:t>
      </w:r>
      <w:r>
        <w:rPr>
          <w:i/>
          <w:szCs w:val="18"/>
        </w:rPr>
        <w:t xml:space="preserve">supra </w:t>
      </w:r>
      <w:r>
        <w:rPr>
          <w:szCs w:val="18"/>
        </w:rPr>
        <w:t>n. 35</w:t>
      </w:r>
      <w:r w:rsidRPr="00A46B17">
        <w:rPr>
          <w:szCs w:val="18"/>
        </w:rPr>
        <w:t>, para.</w:t>
      </w:r>
      <w:proofErr w:type="gramEnd"/>
      <w:r w:rsidRPr="00A46B17">
        <w:rPr>
          <w:szCs w:val="18"/>
        </w:rPr>
        <w:t xml:space="preserve"> 6.</w:t>
      </w:r>
    </w:p>
  </w:footnote>
  <w:footnote w:id="112">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w:t>
      </w:r>
      <w:r w:rsidRPr="00A46B17">
        <w:rPr>
          <w:bCs/>
          <w:szCs w:val="18"/>
          <w:lang w:val="en-US"/>
        </w:rPr>
        <w:t xml:space="preserve">Interim report of the </w:t>
      </w:r>
      <w:proofErr w:type="spellStart"/>
      <w:r w:rsidRPr="00A46B17">
        <w:rPr>
          <w:szCs w:val="18"/>
          <w:lang w:val="es-ES"/>
        </w:rPr>
        <w:t>Special</w:t>
      </w:r>
      <w:proofErr w:type="spellEnd"/>
      <w:r w:rsidRPr="00A46B17">
        <w:rPr>
          <w:bCs/>
          <w:szCs w:val="18"/>
          <w:lang w:val="en-US"/>
        </w:rPr>
        <w:t xml:space="preserve"> Rapporteur of the Human Rights Council on torture and other cruel, inhuman or degrading treatment or punishment, </w:t>
      </w:r>
      <w:r>
        <w:rPr>
          <w:bCs/>
          <w:i/>
          <w:szCs w:val="18"/>
          <w:lang w:val="en-US"/>
        </w:rPr>
        <w:t xml:space="preserve">supra </w:t>
      </w:r>
      <w:r w:rsidR="00FA0F18">
        <w:rPr>
          <w:bCs/>
          <w:szCs w:val="18"/>
          <w:lang w:val="en-US"/>
        </w:rPr>
        <w:t>n. 108</w:t>
      </w:r>
      <w:r w:rsidRPr="00A46B17">
        <w:rPr>
          <w:bCs/>
          <w:szCs w:val="18"/>
          <w:lang w:val="en-US"/>
        </w:rPr>
        <w:t>, para. 26.</w:t>
      </w:r>
    </w:p>
  </w:footnote>
  <w:footnote w:id="113">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720827">
        <w:rPr>
          <w:szCs w:val="18"/>
          <w:lang w:val="en-US"/>
        </w:rPr>
        <w:t xml:space="preserve"> </w:t>
      </w:r>
      <w:r w:rsidRPr="00720827">
        <w:rPr>
          <w:rStyle w:val="FootnoteReference"/>
          <w:szCs w:val="18"/>
          <w:vertAlign w:val="baseline"/>
          <w:lang w:val="en-US"/>
        </w:rPr>
        <w:t>Concluding</w:t>
      </w:r>
      <w:r w:rsidRPr="00720827">
        <w:rPr>
          <w:szCs w:val="18"/>
          <w:lang w:val="en-US"/>
        </w:rPr>
        <w:t xml:space="preserve"> </w:t>
      </w:r>
      <w:proofErr w:type="gramStart"/>
      <w:r w:rsidRPr="00720827">
        <w:rPr>
          <w:szCs w:val="18"/>
          <w:lang w:val="en-US"/>
        </w:rPr>
        <w:t xml:space="preserve">Observations on Norway, </w:t>
      </w:r>
      <w:r w:rsidRPr="00A46B17">
        <w:rPr>
          <w:szCs w:val="18"/>
        </w:rPr>
        <w:t>CCPR/C/NOR/CO/6</w:t>
      </w:r>
      <w:r>
        <w:rPr>
          <w:szCs w:val="18"/>
        </w:rPr>
        <w:t xml:space="preserve"> (2011)</w:t>
      </w:r>
      <w:r w:rsidRPr="00A46B17">
        <w:rPr>
          <w:szCs w:val="18"/>
        </w:rPr>
        <w:t>, para.</w:t>
      </w:r>
      <w:proofErr w:type="gramEnd"/>
      <w:r w:rsidRPr="00A46B17">
        <w:rPr>
          <w:szCs w:val="18"/>
        </w:rPr>
        <w:t xml:space="preserve"> </w:t>
      </w:r>
      <w:proofErr w:type="gramStart"/>
      <w:r w:rsidRPr="00A46B17">
        <w:rPr>
          <w:szCs w:val="18"/>
        </w:rPr>
        <w:t>11; Concluding Observations</w:t>
      </w:r>
      <w:r>
        <w:rPr>
          <w:szCs w:val="18"/>
        </w:rPr>
        <w:t xml:space="preserve"> on</w:t>
      </w:r>
      <w:r w:rsidRPr="00A46B17">
        <w:rPr>
          <w:szCs w:val="18"/>
        </w:rPr>
        <w:t xml:space="preserve"> Denmark</w:t>
      </w:r>
      <w:r>
        <w:rPr>
          <w:szCs w:val="18"/>
        </w:rPr>
        <w:t>,</w:t>
      </w:r>
      <w:r w:rsidR="00D8726E">
        <w:rPr>
          <w:szCs w:val="18"/>
        </w:rPr>
        <w:t xml:space="preserve"> </w:t>
      </w:r>
      <w:r w:rsidR="00C913CC">
        <w:rPr>
          <w:szCs w:val="18"/>
        </w:rPr>
        <w:t xml:space="preserve">CCPR/C/DNK/CO/5 </w:t>
      </w:r>
      <w:r w:rsidRPr="00C913CC">
        <w:rPr>
          <w:szCs w:val="18"/>
        </w:rPr>
        <w:t>(2</w:t>
      </w:r>
      <w:r w:rsidRPr="00A46B17">
        <w:rPr>
          <w:szCs w:val="18"/>
        </w:rPr>
        <w:t>008), para.</w:t>
      </w:r>
      <w:proofErr w:type="gramEnd"/>
      <w:r w:rsidRPr="00A46B17">
        <w:rPr>
          <w:szCs w:val="18"/>
        </w:rPr>
        <w:t xml:space="preserve"> </w:t>
      </w:r>
      <w:proofErr w:type="gramStart"/>
      <w:r w:rsidRPr="00A46B17">
        <w:rPr>
          <w:szCs w:val="18"/>
        </w:rPr>
        <w:t>11; Concluding Observations</w:t>
      </w:r>
      <w:r>
        <w:rPr>
          <w:szCs w:val="18"/>
        </w:rPr>
        <w:t xml:space="preserve"> on</w:t>
      </w:r>
      <w:r w:rsidRPr="00A46B17">
        <w:rPr>
          <w:szCs w:val="18"/>
        </w:rPr>
        <w:t xml:space="preserve"> Japan,</w:t>
      </w:r>
      <w:r w:rsidR="00C913CC">
        <w:rPr>
          <w:szCs w:val="18"/>
        </w:rPr>
        <w:t xml:space="preserve"> CCPR/C/JPN/CO/5</w:t>
      </w:r>
      <w:r>
        <w:rPr>
          <w:szCs w:val="18"/>
        </w:rPr>
        <w:t xml:space="preserve"> (2008)</w:t>
      </w:r>
      <w:r w:rsidRPr="00A46B17">
        <w:rPr>
          <w:szCs w:val="18"/>
        </w:rPr>
        <w:t>, para.</w:t>
      </w:r>
      <w:proofErr w:type="gramEnd"/>
      <w:r w:rsidRPr="00A46B17">
        <w:rPr>
          <w:szCs w:val="18"/>
        </w:rPr>
        <w:t xml:space="preserve"> 16.  </w:t>
      </w:r>
    </w:p>
  </w:footnote>
  <w:footnote w:id="114">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w:t>
      </w:r>
      <w:proofErr w:type="gramStart"/>
      <w:r w:rsidRPr="00A46B17">
        <w:rPr>
          <w:szCs w:val="18"/>
        </w:rPr>
        <w:t>Concluding Observations</w:t>
      </w:r>
      <w:r>
        <w:rPr>
          <w:szCs w:val="18"/>
        </w:rPr>
        <w:t xml:space="preserve"> on</w:t>
      </w:r>
      <w:r w:rsidRPr="00A46B17">
        <w:rPr>
          <w:szCs w:val="18"/>
        </w:rPr>
        <w:t xml:space="preserve"> Denmark</w:t>
      </w:r>
      <w:r>
        <w:rPr>
          <w:szCs w:val="18"/>
        </w:rPr>
        <w:t xml:space="preserve">, </w:t>
      </w:r>
      <w:r w:rsidRPr="00A46B17">
        <w:rPr>
          <w:szCs w:val="18"/>
        </w:rPr>
        <w:t>CCPR/CO/70/DNK</w:t>
      </w:r>
      <w:r>
        <w:rPr>
          <w:szCs w:val="18"/>
        </w:rPr>
        <w:t xml:space="preserve"> (2000)</w:t>
      </w:r>
      <w:r w:rsidRPr="00A46B17">
        <w:rPr>
          <w:szCs w:val="18"/>
        </w:rPr>
        <w:t>, para.</w:t>
      </w:r>
      <w:proofErr w:type="gramEnd"/>
      <w:r w:rsidRPr="00A46B17">
        <w:rPr>
          <w:szCs w:val="18"/>
        </w:rPr>
        <w:t xml:space="preserve"> 12. </w:t>
      </w:r>
    </w:p>
  </w:footnote>
  <w:footnote w:id="115">
    <w:p w:rsidR="002D4244" w:rsidRPr="00A46B17" w:rsidRDefault="002D4244" w:rsidP="00C913CC">
      <w:pPr>
        <w:pStyle w:val="FootnoteText"/>
        <w:rPr>
          <w:szCs w:val="18"/>
        </w:rPr>
      </w:pPr>
      <w:r w:rsidRPr="00A46B17">
        <w:rPr>
          <w:rStyle w:val="FootnoteReference"/>
          <w:szCs w:val="18"/>
        </w:rPr>
        <w:footnoteRef/>
      </w:r>
      <w:r w:rsidRPr="00A46B17">
        <w:rPr>
          <w:szCs w:val="18"/>
        </w:rPr>
        <w:t xml:space="preserve"> </w:t>
      </w:r>
      <w:proofErr w:type="gramStart"/>
      <w:r w:rsidRPr="00A46B17">
        <w:rPr>
          <w:szCs w:val="18"/>
        </w:rPr>
        <w:t>Concluding Observations</w:t>
      </w:r>
      <w:r>
        <w:rPr>
          <w:szCs w:val="18"/>
        </w:rPr>
        <w:t xml:space="preserve"> on</w:t>
      </w:r>
      <w:r w:rsidRPr="00A46B17">
        <w:rPr>
          <w:szCs w:val="18"/>
        </w:rPr>
        <w:t xml:space="preserve"> Portugal</w:t>
      </w:r>
      <w:r>
        <w:rPr>
          <w:szCs w:val="18"/>
        </w:rPr>
        <w:t xml:space="preserve">, </w:t>
      </w:r>
      <w:r w:rsidRPr="00A46B17">
        <w:rPr>
          <w:szCs w:val="18"/>
        </w:rPr>
        <w:t>CCPR/CO/78/PRT</w:t>
      </w:r>
      <w:r>
        <w:rPr>
          <w:szCs w:val="18"/>
        </w:rPr>
        <w:t xml:space="preserve"> (2004)</w:t>
      </w:r>
      <w:r w:rsidRPr="00A46B17">
        <w:rPr>
          <w:szCs w:val="18"/>
        </w:rPr>
        <w:t>, para.</w:t>
      </w:r>
      <w:proofErr w:type="gramEnd"/>
      <w:r w:rsidR="00C913CC">
        <w:rPr>
          <w:szCs w:val="18"/>
        </w:rPr>
        <w:t xml:space="preserve"> </w:t>
      </w:r>
      <w:r w:rsidRPr="00A46B17">
        <w:rPr>
          <w:szCs w:val="18"/>
        </w:rPr>
        <w:t xml:space="preserve">16. </w:t>
      </w:r>
    </w:p>
  </w:footnote>
  <w:footnote w:id="116">
    <w:p w:rsidR="002D4244" w:rsidRPr="00A46B17" w:rsidRDefault="002D4244" w:rsidP="00C913CC">
      <w:pPr>
        <w:pStyle w:val="FootnoteText"/>
        <w:rPr>
          <w:szCs w:val="18"/>
        </w:rPr>
      </w:pPr>
      <w:r w:rsidRPr="00A46B17">
        <w:rPr>
          <w:rStyle w:val="FootnoteReference"/>
          <w:szCs w:val="18"/>
        </w:rPr>
        <w:footnoteRef/>
      </w:r>
      <w:r w:rsidRPr="00A46B17">
        <w:rPr>
          <w:szCs w:val="18"/>
        </w:rPr>
        <w:t xml:space="preserve"> </w:t>
      </w:r>
      <w:proofErr w:type="gramStart"/>
      <w:r w:rsidRPr="00A46B17">
        <w:rPr>
          <w:szCs w:val="18"/>
        </w:rPr>
        <w:t>Concluding Observations</w:t>
      </w:r>
      <w:r>
        <w:rPr>
          <w:szCs w:val="18"/>
        </w:rPr>
        <w:t xml:space="preserve"> on</w:t>
      </w:r>
      <w:r w:rsidRPr="00A46B17">
        <w:rPr>
          <w:szCs w:val="18"/>
        </w:rPr>
        <w:t xml:space="preserve"> Rwanda</w:t>
      </w:r>
      <w:r>
        <w:rPr>
          <w:szCs w:val="18"/>
        </w:rPr>
        <w:t xml:space="preserve">, </w:t>
      </w:r>
      <w:r w:rsidRPr="00A46B17">
        <w:rPr>
          <w:szCs w:val="18"/>
        </w:rPr>
        <w:t>CCPR/C/RWA/CO/3</w:t>
      </w:r>
      <w:r>
        <w:rPr>
          <w:szCs w:val="18"/>
        </w:rPr>
        <w:t xml:space="preserve"> (2009)</w:t>
      </w:r>
      <w:r w:rsidRPr="00A46B17">
        <w:rPr>
          <w:szCs w:val="18"/>
        </w:rPr>
        <w:t>,</w:t>
      </w:r>
      <w:r w:rsidR="00C913CC">
        <w:rPr>
          <w:szCs w:val="18"/>
        </w:rPr>
        <w:t xml:space="preserve"> </w:t>
      </w:r>
      <w:r w:rsidRPr="00A46B17">
        <w:rPr>
          <w:szCs w:val="18"/>
        </w:rPr>
        <w:t>para.</w:t>
      </w:r>
      <w:proofErr w:type="gramEnd"/>
      <w:r w:rsidRPr="00A46B17">
        <w:rPr>
          <w:szCs w:val="18"/>
        </w:rPr>
        <w:t xml:space="preserve"> 14. </w:t>
      </w:r>
    </w:p>
  </w:footnote>
  <w:footnote w:id="117">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w:t>
      </w:r>
      <w:proofErr w:type="gramStart"/>
      <w:r w:rsidRPr="00A46B17">
        <w:rPr>
          <w:szCs w:val="18"/>
        </w:rPr>
        <w:t>Report of the visit of the Subcommittee on Prevention of Torture and Other Cruel, Inhuman or Degrading Treatment or Punishment to the Republic of Paraguay</w:t>
      </w:r>
      <w:r>
        <w:rPr>
          <w:szCs w:val="18"/>
        </w:rPr>
        <w:t>, CAT/OP/PRY/1</w:t>
      </w:r>
      <w:r w:rsidRPr="00A46B17">
        <w:rPr>
          <w:szCs w:val="18"/>
        </w:rPr>
        <w:t xml:space="preserve"> (2010)</w:t>
      </w:r>
      <w:r>
        <w:rPr>
          <w:szCs w:val="18"/>
        </w:rPr>
        <w:t>.</w:t>
      </w:r>
      <w:proofErr w:type="gramEnd"/>
      <w:r>
        <w:rPr>
          <w:szCs w:val="18"/>
        </w:rPr>
        <w:t xml:space="preserve"> </w:t>
      </w:r>
    </w:p>
  </w:footnote>
  <w:footnote w:id="118">
    <w:p w:rsidR="002D4244" w:rsidRPr="00FA0F18" w:rsidRDefault="002D4244" w:rsidP="00E236BB">
      <w:pPr>
        <w:pStyle w:val="FootnoteText"/>
        <w:spacing w:line="240" w:lineRule="auto"/>
        <w:ind w:left="0" w:right="0"/>
        <w:rPr>
          <w:szCs w:val="18"/>
          <w:lang w:val="en-US"/>
        </w:rPr>
      </w:pPr>
      <w:r w:rsidRPr="00A46B17">
        <w:rPr>
          <w:szCs w:val="18"/>
        </w:rPr>
        <w:tab/>
      </w:r>
      <w:r w:rsidRPr="00A46B17">
        <w:rPr>
          <w:rStyle w:val="FootnoteReference"/>
          <w:szCs w:val="18"/>
        </w:rPr>
        <w:footnoteRef/>
      </w:r>
      <w:r w:rsidRPr="00A46B17">
        <w:rPr>
          <w:szCs w:val="18"/>
        </w:rPr>
        <w:t xml:space="preserve"> Interim Report of the Special Rapporteur of the Human Rights Council on torture and other cruel, inhuman or degrading treatment or punishment, </w:t>
      </w:r>
      <w:r>
        <w:rPr>
          <w:i/>
          <w:szCs w:val="18"/>
        </w:rPr>
        <w:t xml:space="preserve">supra </w:t>
      </w:r>
      <w:r w:rsidR="00FA0F18">
        <w:rPr>
          <w:szCs w:val="18"/>
        </w:rPr>
        <w:t>n. 108</w:t>
      </w:r>
      <w:r w:rsidRPr="00A46B17">
        <w:rPr>
          <w:szCs w:val="18"/>
        </w:rPr>
        <w:t xml:space="preserve">, paras. </w:t>
      </w:r>
      <w:r w:rsidRPr="00FA0F18">
        <w:rPr>
          <w:szCs w:val="18"/>
          <w:lang w:val="en-US"/>
        </w:rPr>
        <w:t xml:space="preserve">31-32. </w:t>
      </w:r>
    </w:p>
  </w:footnote>
  <w:footnote w:id="119">
    <w:p w:rsidR="002D4244" w:rsidRPr="00A46B17" w:rsidRDefault="002D4244" w:rsidP="00E236BB">
      <w:pPr>
        <w:pStyle w:val="FootnoteText"/>
        <w:spacing w:line="240" w:lineRule="auto"/>
        <w:ind w:left="0" w:right="0"/>
        <w:rPr>
          <w:szCs w:val="18"/>
        </w:rPr>
      </w:pPr>
      <w:r w:rsidRPr="00FA0F18">
        <w:rPr>
          <w:szCs w:val="18"/>
          <w:lang w:val="en-US"/>
        </w:rPr>
        <w:tab/>
      </w:r>
      <w:r w:rsidRPr="00A46B17">
        <w:rPr>
          <w:rStyle w:val="FootnoteReference"/>
          <w:szCs w:val="18"/>
        </w:rPr>
        <w:footnoteRef/>
      </w:r>
      <w:r w:rsidRPr="00720827">
        <w:rPr>
          <w:szCs w:val="18"/>
          <w:lang w:val="en-US"/>
        </w:rPr>
        <w:t xml:space="preserve"> </w:t>
      </w:r>
      <w:proofErr w:type="gramStart"/>
      <w:r w:rsidRPr="00720827">
        <w:rPr>
          <w:szCs w:val="18"/>
          <w:lang w:val="en-US"/>
        </w:rPr>
        <w:t xml:space="preserve">CAT, </w:t>
      </w:r>
      <w:r w:rsidRPr="00720827">
        <w:rPr>
          <w:rStyle w:val="FootnoteReference"/>
          <w:szCs w:val="18"/>
          <w:vertAlign w:val="baseline"/>
          <w:lang w:val="en-US"/>
        </w:rPr>
        <w:t>Concluding</w:t>
      </w:r>
      <w:r w:rsidRPr="00720827">
        <w:rPr>
          <w:szCs w:val="18"/>
          <w:lang w:val="en-US"/>
        </w:rPr>
        <w:t xml:space="preserve"> Observations on Japan, CAT/C/JPN/CO/2 (2013), para.</w:t>
      </w:r>
      <w:proofErr w:type="gramEnd"/>
      <w:r w:rsidRPr="00720827">
        <w:rPr>
          <w:szCs w:val="18"/>
          <w:lang w:val="en-US"/>
        </w:rPr>
        <w:t xml:space="preserve"> </w:t>
      </w:r>
      <w:proofErr w:type="gramStart"/>
      <w:r w:rsidRPr="00A46B17">
        <w:rPr>
          <w:szCs w:val="18"/>
          <w:lang w:val="en-US"/>
        </w:rPr>
        <w:t>14; CAT, Concluding Observations</w:t>
      </w:r>
      <w:r>
        <w:rPr>
          <w:szCs w:val="18"/>
          <w:lang w:val="en-US"/>
        </w:rPr>
        <w:t xml:space="preserve"> on</w:t>
      </w:r>
      <w:r w:rsidR="00C913CC">
        <w:rPr>
          <w:szCs w:val="18"/>
          <w:lang w:val="en-US"/>
        </w:rPr>
        <w:t xml:space="preserve"> </w:t>
      </w:r>
      <w:r w:rsidRPr="00A46B17">
        <w:rPr>
          <w:szCs w:val="18"/>
          <w:lang w:val="en-US"/>
        </w:rPr>
        <w:t>Peru</w:t>
      </w:r>
      <w:r>
        <w:rPr>
          <w:szCs w:val="18"/>
          <w:lang w:val="en-US"/>
        </w:rPr>
        <w:t xml:space="preserve">, </w:t>
      </w:r>
      <w:r>
        <w:rPr>
          <w:i/>
          <w:szCs w:val="18"/>
          <w:lang w:val="en-US"/>
        </w:rPr>
        <w:t xml:space="preserve">supra </w:t>
      </w:r>
      <w:r>
        <w:rPr>
          <w:szCs w:val="18"/>
          <w:lang w:val="en-US"/>
        </w:rPr>
        <w:t>n. 26</w:t>
      </w:r>
      <w:r w:rsidRPr="00A46B17">
        <w:rPr>
          <w:szCs w:val="18"/>
        </w:rPr>
        <w:t>, para.</w:t>
      </w:r>
      <w:proofErr w:type="gramEnd"/>
      <w:r w:rsidRPr="00A46B17">
        <w:rPr>
          <w:szCs w:val="18"/>
        </w:rPr>
        <w:t xml:space="preserve"> </w:t>
      </w:r>
      <w:proofErr w:type="gramStart"/>
      <w:r w:rsidRPr="00A46B17">
        <w:rPr>
          <w:szCs w:val="18"/>
        </w:rPr>
        <w:t>10; CAT, Concluding Observations</w:t>
      </w:r>
      <w:r>
        <w:rPr>
          <w:szCs w:val="18"/>
        </w:rPr>
        <w:t xml:space="preserve"> on the </w:t>
      </w:r>
      <w:r w:rsidRPr="00A46B17">
        <w:rPr>
          <w:szCs w:val="18"/>
        </w:rPr>
        <w:t>Netherlands</w:t>
      </w:r>
      <w:r>
        <w:rPr>
          <w:szCs w:val="18"/>
        </w:rPr>
        <w:t xml:space="preserve">, </w:t>
      </w:r>
      <w:r w:rsidRPr="00A46B17">
        <w:rPr>
          <w:szCs w:val="18"/>
        </w:rPr>
        <w:t>CAT/C/NLD/CO/5-6 (2013), para.</w:t>
      </w:r>
      <w:proofErr w:type="gramEnd"/>
      <w:r w:rsidRPr="00A46B17">
        <w:rPr>
          <w:szCs w:val="18"/>
        </w:rPr>
        <w:t xml:space="preserve"> 21. </w:t>
      </w:r>
    </w:p>
  </w:footnote>
  <w:footnote w:id="120">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Interim Report of </w:t>
      </w:r>
      <w:r w:rsidRPr="00A46B17">
        <w:rPr>
          <w:rStyle w:val="FootnoteReference"/>
          <w:szCs w:val="18"/>
          <w:vertAlign w:val="baseline"/>
        </w:rPr>
        <w:t>the</w:t>
      </w:r>
      <w:r w:rsidRPr="00A46B17">
        <w:rPr>
          <w:szCs w:val="18"/>
        </w:rPr>
        <w:t xml:space="preserve"> Special Rapporteur of the Human Rights Council on torture and other cruel, inhuman or degrading treatment or punishment, </w:t>
      </w:r>
      <w:r>
        <w:rPr>
          <w:i/>
          <w:szCs w:val="18"/>
        </w:rPr>
        <w:t xml:space="preserve">supra </w:t>
      </w:r>
      <w:r w:rsidR="00FA0F18">
        <w:rPr>
          <w:szCs w:val="18"/>
        </w:rPr>
        <w:t>n. 108</w:t>
      </w:r>
      <w:r w:rsidRPr="00A46B17">
        <w:rPr>
          <w:szCs w:val="18"/>
        </w:rPr>
        <w:t>, para</w:t>
      </w:r>
      <w:r>
        <w:rPr>
          <w:szCs w:val="18"/>
        </w:rPr>
        <w:t>s</w:t>
      </w:r>
      <w:r w:rsidRPr="00A46B17">
        <w:rPr>
          <w:szCs w:val="18"/>
        </w:rPr>
        <w:t xml:space="preserve">. </w:t>
      </w:r>
      <w:r>
        <w:rPr>
          <w:szCs w:val="18"/>
        </w:rPr>
        <w:t xml:space="preserve">72; </w:t>
      </w:r>
      <w:r w:rsidRPr="00A46B17">
        <w:rPr>
          <w:szCs w:val="18"/>
        </w:rPr>
        <w:t xml:space="preserve">85-86. </w:t>
      </w:r>
    </w:p>
  </w:footnote>
  <w:footnote w:id="121">
    <w:p w:rsidR="002D4244" w:rsidRPr="00A46B17" w:rsidRDefault="002D4244" w:rsidP="00E236BB">
      <w:pPr>
        <w:pStyle w:val="FootnoteText"/>
        <w:rPr>
          <w:szCs w:val="18"/>
        </w:rPr>
      </w:pPr>
      <w:r w:rsidRPr="00A46B17">
        <w:rPr>
          <w:rStyle w:val="FootnoteReference"/>
          <w:szCs w:val="18"/>
        </w:rPr>
        <w:footnoteRef/>
      </w:r>
      <w:r w:rsidRPr="00A46B17">
        <w:rPr>
          <w:szCs w:val="18"/>
        </w:rPr>
        <w:t xml:space="preserve"> </w:t>
      </w:r>
      <w:proofErr w:type="gramStart"/>
      <w:r w:rsidRPr="00720827">
        <w:rPr>
          <w:i/>
          <w:szCs w:val="18"/>
        </w:rPr>
        <w:t>Ibid</w:t>
      </w:r>
      <w:r w:rsidRPr="00A46B17">
        <w:rPr>
          <w:szCs w:val="18"/>
        </w:rPr>
        <w:t>, para.</w:t>
      </w:r>
      <w:proofErr w:type="gramEnd"/>
      <w:r w:rsidRPr="00A46B17">
        <w:rPr>
          <w:szCs w:val="18"/>
        </w:rPr>
        <w:t xml:space="preserve"> 87. </w:t>
      </w:r>
    </w:p>
  </w:footnote>
  <w:footnote w:id="122">
    <w:p w:rsidR="002D4244" w:rsidRPr="00434B0F" w:rsidRDefault="002D4244">
      <w:pPr>
        <w:pStyle w:val="FootnoteText"/>
      </w:pPr>
      <w:r>
        <w:rPr>
          <w:rStyle w:val="FootnoteReference"/>
        </w:rPr>
        <w:footnoteRef/>
      </w:r>
      <w:r>
        <w:t xml:space="preserve"> </w:t>
      </w:r>
      <w:proofErr w:type="gramStart"/>
      <w:r w:rsidRPr="00720827">
        <w:rPr>
          <w:i/>
        </w:rPr>
        <w:t>Ibid</w:t>
      </w:r>
      <w:r>
        <w:t>, para.</w:t>
      </w:r>
      <w:proofErr w:type="gramEnd"/>
      <w:r>
        <w:t xml:space="preserve"> 74. </w:t>
      </w:r>
    </w:p>
  </w:footnote>
  <w:footnote w:id="123">
    <w:p w:rsidR="00D8726E" w:rsidRDefault="002D4244" w:rsidP="00C913CC">
      <w:pPr>
        <w:pStyle w:val="FootnoteText"/>
        <w:rPr>
          <w:szCs w:val="18"/>
        </w:rPr>
      </w:pPr>
      <w:r w:rsidRPr="00A46B17">
        <w:rPr>
          <w:rStyle w:val="FootnoteReference"/>
          <w:szCs w:val="18"/>
        </w:rPr>
        <w:footnoteRef/>
      </w:r>
      <w:r w:rsidRPr="00A46B17">
        <w:rPr>
          <w:szCs w:val="18"/>
        </w:rPr>
        <w:t xml:space="preserve"> Istanbul Statement on the Use and Effects of Solitary Confinement</w:t>
      </w:r>
      <w:r>
        <w:rPr>
          <w:szCs w:val="18"/>
        </w:rPr>
        <w:t>, adopted by 24 international</w:t>
      </w:r>
    </w:p>
    <w:p w:rsidR="002D4244" w:rsidRPr="00A46B17" w:rsidRDefault="002D4244" w:rsidP="00C913CC">
      <w:pPr>
        <w:pStyle w:val="FootnoteText"/>
        <w:rPr>
          <w:szCs w:val="18"/>
        </w:rPr>
      </w:pPr>
      <w:proofErr w:type="gramStart"/>
      <w:r>
        <w:rPr>
          <w:szCs w:val="18"/>
        </w:rPr>
        <w:t>experts</w:t>
      </w:r>
      <w:proofErr w:type="gramEnd"/>
      <w:r>
        <w:rPr>
          <w:szCs w:val="18"/>
        </w:rPr>
        <w:t xml:space="preserve"> in</w:t>
      </w:r>
      <w:r w:rsidRPr="00A46B17">
        <w:rPr>
          <w:szCs w:val="18"/>
        </w:rPr>
        <w:t xml:space="preserve"> 2007</w:t>
      </w:r>
      <w:r>
        <w:rPr>
          <w:szCs w:val="18"/>
        </w:rPr>
        <w:t xml:space="preserve">, </w:t>
      </w:r>
      <w:r w:rsidRPr="003E72B9">
        <w:rPr>
          <w:szCs w:val="18"/>
        </w:rPr>
        <w:t>http://www.solitaryconfinement.org/Istanbul</w:t>
      </w:r>
      <w:r w:rsidRPr="00A46B17">
        <w:rPr>
          <w:szCs w:val="18"/>
        </w:rPr>
        <w:t xml:space="preserve">. </w:t>
      </w:r>
    </w:p>
  </w:footnote>
  <w:footnote w:id="124">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Concluding Observations</w:t>
      </w:r>
      <w:r>
        <w:rPr>
          <w:szCs w:val="18"/>
        </w:rPr>
        <w:t xml:space="preserve"> on </w:t>
      </w:r>
      <w:r w:rsidRPr="00A46B17">
        <w:rPr>
          <w:szCs w:val="18"/>
        </w:rPr>
        <w:t xml:space="preserve">Norway, </w:t>
      </w:r>
      <w:r w:rsidR="00C913CC">
        <w:rPr>
          <w:i/>
          <w:szCs w:val="18"/>
        </w:rPr>
        <w:t>supra</w:t>
      </w:r>
      <w:r w:rsidR="00C913CC">
        <w:rPr>
          <w:szCs w:val="18"/>
        </w:rPr>
        <w:t xml:space="preserve"> n. 112,</w:t>
      </w:r>
      <w:r w:rsidR="00D8726E">
        <w:rPr>
          <w:szCs w:val="18"/>
        </w:rPr>
        <w:t xml:space="preserve"> para. </w:t>
      </w:r>
      <w:proofErr w:type="gramStart"/>
      <w:r w:rsidR="00D8726E">
        <w:rPr>
          <w:szCs w:val="18"/>
        </w:rPr>
        <w:t>11;</w:t>
      </w:r>
      <w:r w:rsidRPr="00A46B17">
        <w:rPr>
          <w:szCs w:val="18"/>
        </w:rPr>
        <w:t xml:space="preserve"> Concluding Observations</w:t>
      </w:r>
      <w:r>
        <w:rPr>
          <w:szCs w:val="18"/>
        </w:rPr>
        <w:t xml:space="preserve"> on</w:t>
      </w:r>
      <w:r w:rsidRPr="00A46B17">
        <w:rPr>
          <w:szCs w:val="18"/>
        </w:rPr>
        <w:t xml:space="preserve"> Denmark</w:t>
      </w:r>
      <w:r>
        <w:rPr>
          <w:szCs w:val="18"/>
        </w:rPr>
        <w:t>,</w:t>
      </w:r>
      <w:r w:rsidRPr="00A46B17">
        <w:rPr>
          <w:szCs w:val="18"/>
        </w:rPr>
        <w:t xml:space="preserve"> </w:t>
      </w:r>
      <w:r w:rsidR="00C913CC">
        <w:rPr>
          <w:i/>
        </w:rPr>
        <w:t xml:space="preserve">supra </w:t>
      </w:r>
      <w:r w:rsidR="00C913CC" w:rsidRPr="00D8726E">
        <w:t>n. 112</w:t>
      </w:r>
      <w:r w:rsidRPr="00C913CC">
        <w:rPr>
          <w:szCs w:val="18"/>
        </w:rPr>
        <w:t>,</w:t>
      </w:r>
      <w:r w:rsidRPr="00A46B17">
        <w:rPr>
          <w:szCs w:val="18"/>
        </w:rPr>
        <w:t xml:space="preserve"> para.</w:t>
      </w:r>
      <w:proofErr w:type="gramEnd"/>
      <w:r w:rsidRPr="00A46B17">
        <w:rPr>
          <w:szCs w:val="18"/>
        </w:rPr>
        <w:t xml:space="preserve"> </w:t>
      </w:r>
      <w:proofErr w:type="gramStart"/>
      <w:r w:rsidRPr="00A46B17">
        <w:rPr>
          <w:szCs w:val="18"/>
        </w:rPr>
        <w:t>11; Concluding Observations</w:t>
      </w:r>
      <w:r>
        <w:rPr>
          <w:szCs w:val="18"/>
        </w:rPr>
        <w:t xml:space="preserve"> on</w:t>
      </w:r>
      <w:r w:rsidRPr="00A46B17">
        <w:rPr>
          <w:szCs w:val="18"/>
        </w:rPr>
        <w:t xml:space="preserve"> Japan, </w:t>
      </w:r>
      <w:r w:rsidR="00C913CC">
        <w:rPr>
          <w:i/>
          <w:szCs w:val="18"/>
        </w:rPr>
        <w:t>supra</w:t>
      </w:r>
      <w:r w:rsidR="00C913CC">
        <w:rPr>
          <w:szCs w:val="18"/>
        </w:rPr>
        <w:t xml:space="preserve"> n. 112,</w:t>
      </w:r>
      <w:r w:rsidRPr="00A46B17">
        <w:rPr>
          <w:szCs w:val="18"/>
        </w:rPr>
        <w:t xml:space="preserve"> para.</w:t>
      </w:r>
      <w:proofErr w:type="gramEnd"/>
      <w:r w:rsidRPr="00A46B17">
        <w:rPr>
          <w:szCs w:val="18"/>
        </w:rPr>
        <w:t xml:space="preserve"> </w:t>
      </w:r>
      <w:proofErr w:type="gramStart"/>
      <w:r w:rsidRPr="00A46B17">
        <w:rPr>
          <w:szCs w:val="18"/>
        </w:rPr>
        <w:t>16; Concluding Observations</w:t>
      </w:r>
      <w:r>
        <w:rPr>
          <w:szCs w:val="18"/>
        </w:rPr>
        <w:t xml:space="preserve"> on</w:t>
      </w:r>
      <w:r w:rsidRPr="00A46B17">
        <w:rPr>
          <w:szCs w:val="18"/>
        </w:rPr>
        <w:t xml:space="preserve"> Denmark</w:t>
      </w:r>
      <w:r>
        <w:rPr>
          <w:szCs w:val="18"/>
        </w:rPr>
        <w:t xml:space="preserve">, </w:t>
      </w:r>
      <w:r w:rsidR="00C913CC">
        <w:rPr>
          <w:i/>
          <w:szCs w:val="18"/>
        </w:rPr>
        <w:t xml:space="preserve">supra </w:t>
      </w:r>
      <w:r w:rsidR="00C913CC">
        <w:rPr>
          <w:szCs w:val="18"/>
        </w:rPr>
        <w:t>n. 113</w:t>
      </w:r>
      <w:r w:rsidRPr="00A46B17">
        <w:rPr>
          <w:szCs w:val="18"/>
        </w:rPr>
        <w:t>, para.</w:t>
      </w:r>
      <w:proofErr w:type="gramEnd"/>
      <w:r w:rsidRPr="00A46B17">
        <w:rPr>
          <w:szCs w:val="18"/>
        </w:rPr>
        <w:t xml:space="preserve"> </w:t>
      </w:r>
      <w:proofErr w:type="gramStart"/>
      <w:r w:rsidRPr="00A46B17">
        <w:rPr>
          <w:szCs w:val="18"/>
        </w:rPr>
        <w:t>12; Concluding Observations</w:t>
      </w:r>
      <w:r>
        <w:rPr>
          <w:szCs w:val="18"/>
        </w:rPr>
        <w:t xml:space="preserve"> on</w:t>
      </w:r>
      <w:r w:rsidRPr="00A46B17">
        <w:rPr>
          <w:szCs w:val="18"/>
        </w:rPr>
        <w:t xml:space="preserve"> Rwanda</w:t>
      </w:r>
      <w:r>
        <w:rPr>
          <w:szCs w:val="18"/>
        </w:rPr>
        <w:t>,</w:t>
      </w:r>
      <w:r w:rsidR="00C913CC">
        <w:rPr>
          <w:szCs w:val="18"/>
        </w:rPr>
        <w:t xml:space="preserve"> </w:t>
      </w:r>
      <w:r w:rsidR="00C913CC">
        <w:rPr>
          <w:i/>
          <w:szCs w:val="18"/>
        </w:rPr>
        <w:t>supra</w:t>
      </w:r>
      <w:r>
        <w:rPr>
          <w:szCs w:val="18"/>
        </w:rPr>
        <w:t xml:space="preserve"> </w:t>
      </w:r>
      <w:r w:rsidR="00C913CC">
        <w:rPr>
          <w:szCs w:val="18"/>
        </w:rPr>
        <w:t>n. 115,</w:t>
      </w:r>
      <w:r w:rsidRPr="00A46B17">
        <w:rPr>
          <w:szCs w:val="18"/>
        </w:rPr>
        <w:t xml:space="preserve"> para.</w:t>
      </w:r>
      <w:proofErr w:type="gramEnd"/>
      <w:r w:rsidRPr="00A46B17">
        <w:rPr>
          <w:szCs w:val="18"/>
        </w:rPr>
        <w:t xml:space="preserve"> 14.</w:t>
      </w:r>
    </w:p>
  </w:footnote>
  <w:footnote w:id="125">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Interim Report of the Special Rapporteur of the Human Rights Council on torture and other cruel, inhuman or degrading treatment or punishment, </w:t>
      </w:r>
      <w:r w:rsidR="00FA0F18">
        <w:rPr>
          <w:i/>
          <w:szCs w:val="18"/>
        </w:rPr>
        <w:t>supra</w:t>
      </w:r>
      <w:r w:rsidR="00FA0F18" w:rsidRPr="00FA0F18">
        <w:rPr>
          <w:szCs w:val="18"/>
        </w:rPr>
        <w:t xml:space="preserve"> n. 108</w:t>
      </w:r>
      <w:r w:rsidRPr="00A46B17">
        <w:rPr>
          <w:szCs w:val="18"/>
        </w:rPr>
        <w:t xml:space="preserve">, para. </w:t>
      </w:r>
      <w:proofErr w:type="gramStart"/>
      <w:r w:rsidRPr="00A46B17">
        <w:rPr>
          <w:szCs w:val="18"/>
        </w:rPr>
        <w:t>100; CAT, Concluding Observations</w:t>
      </w:r>
      <w:r>
        <w:rPr>
          <w:szCs w:val="18"/>
        </w:rPr>
        <w:t xml:space="preserve"> on </w:t>
      </w:r>
      <w:r w:rsidRPr="00A46B17">
        <w:rPr>
          <w:szCs w:val="18"/>
        </w:rPr>
        <w:t>Japan</w:t>
      </w:r>
      <w:r>
        <w:rPr>
          <w:szCs w:val="18"/>
        </w:rPr>
        <w:t xml:space="preserve">, </w:t>
      </w:r>
      <w:r w:rsidRPr="00A46B17">
        <w:rPr>
          <w:szCs w:val="18"/>
        </w:rPr>
        <w:t>CAT/C/JPN/CO/2 (2013),</w:t>
      </w:r>
      <w:r>
        <w:rPr>
          <w:szCs w:val="18"/>
        </w:rPr>
        <w:t xml:space="preserve"> </w:t>
      </w:r>
      <w:r w:rsidRPr="00A46B17">
        <w:rPr>
          <w:szCs w:val="18"/>
        </w:rPr>
        <w:t>para.</w:t>
      </w:r>
      <w:proofErr w:type="gramEnd"/>
      <w:r w:rsidRPr="00A46B17">
        <w:rPr>
          <w:szCs w:val="18"/>
        </w:rPr>
        <w:t xml:space="preserve"> </w:t>
      </w:r>
      <w:proofErr w:type="gramStart"/>
      <w:r w:rsidRPr="00A46B17">
        <w:rPr>
          <w:szCs w:val="18"/>
        </w:rPr>
        <w:t>14; CAT, Concluding Observations</w:t>
      </w:r>
      <w:r>
        <w:rPr>
          <w:szCs w:val="18"/>
        </w:rPr>
        <w:t xml:space="preserve"> on</w:t>
      </w:r>
      <w:r w:rsidRPr="00A46B17">
        <w:rPr>
          <w:szCs w:val="18"/>
        </w:rPr>
        <w:t xml:space="preserve"> Peru</w:t>
      </w:r>
      <w:r>
        <w:rPr>
          <w:szCs w:val="18"/>
        </w:rPr>
        <w:t xml:space="preserve">, </w:t>
      </w:r>
      <w:r w:rsidRPr="00A46B17">
        <w:rPr>
          <w:szCs w:val="18"/>
        </w:rPr>
        <w:t>CAT/C/PER/CO/5-6 (2013), para.</w:t>
      </w:r>
      <w:proofErr w:type="gramEnd"/>
      <w:r w:rsidRPr="00A46B17">
        <w:rPr>
          <w:szCs w:val="18"/>
        </w:rPr>
        <w:t xml:space="preserve"> </w:t>
      </w:r>
      <w:proofErr w:type="gramStart"/>
      <w:r w:rsidRPr="00A46B17">
        <w:rPr>
          <w:szCs w:val="18"/>
        </w:rPr>
        <w:t>10; CAT, Concluding Observations</w:t>
      </w:r>
      <w:r>
        <w:rPr>
          <w:szCs w:val="18"/>
        </w:rPr>
        <w:t xml:space="preserve"> on the</w:t>
      </w:r>
      <w:r w:rsidRPr="00A46B17">
        <w:rPr>
          <w:szCs w:val="18"/>
        </w:rPr>
        <w:t xml:space="preserve"> Netherlands</w:t>
      </w:r>
      <w:r>
        <w:rPr>
          <w:szCs w:val="18"/>
        </w:rPr>
        <w:t xml:space="preserve">, </w:t>
      </w:r>
      <w:r w:rsidRPr="00A46B17">
        <w:rPr>
          <w:szCs w:val="18"/>
        </w:rPr>
        <w:t>CAT/C/NLD/CO/5-6 (2013), para.</w:t>
      </w:r>
      <w:proofErr w:type="gramEnd"/>
      <w:r w:rsidRPr="00A46B17">
        <w:rPr>
          <w:szCs w:val="18"/>
        </w:rPr>
        <w:t xml:space="preserve"> 21.</w:t>
      </w:r>
    </w:p>
  </w:footnote>
  <w:footnote w:id="126">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w:t>
      </w:r>
      <w:r w:rsidRPr="00A46B17">
        <w:rPr>
          <w:rStyle w:val="FootnoteReference"/>
          <w:szCs w:val="18"/>
          <w:vertAlign w:val="baseline"/>
        </w:rPr>
        <w:t>Interim</w:t>
      </w:r>
      <w:r w:rsidRPr="00A46B17">
        <w:rPr>
          <w:szCs w:val="18"/>
        </w:rPr>
        <w:t xml:space="preserve"> </w:t>
      </w:r>
      <w:proofErr w:type="gramStart"/>
      <w:r w:rsidRPr="00A46B17">
        <w:rPr>
          <w:szCs w:val="18"/>
        </w:rPr>
        <w:t xml:space="preserve">Report of the Special Rapporteur of the Human Rights Council on torture and other cruel, inhuman or degrading treatment or punishment, </w:t>
      </w:r>
      <w:r>
        <w:rPr>
          <w:i/>
          <w:szCs w:val="18"/>
        </w:rPr>
        <w:t xml:space="preserve">supra </w:t>
      </w:r>
      <w:r w:rsidR="00FA0F18">
        <w:rPr>
          <w:szCs w:val="18"/>
        </w:rPr>
        <w:t>n. 108</w:t>
      </w:r>
      <w:r w:rsidRPr="00A46B17">
        <w:rPr>
          <w:szCs w:val="18"/>
        </w:rPr>
        <w:t>, paras.</w:t>
      </w:r>
      <w:proofErr w:type="gramEnd"/>
      <w:r w:rsidRPr="00A46B17">
        <w:rPr>
          <w:szCs w:val="18"/>
        </w:rPr>
        <w:t xml:space="preserve"> 31-32.</w:t>
      </w:r>
    </w:p>
  </w:footnote>
  <w:footnote w:id="127">
    <w:p w:rsidR="002D4244" w:rsidRPr="00A46B17" w:rsidRDefault="002D4244" w:rsidP="00E236BB">
      <w:pPr>
        <w:pStyle w:val="FootnoteText"/>
        <w:rPr>
          <w:szCs w:val="18"/>
        </w:rPr>
      </w:pPr>
      <w:r w:rsidRPr="00A46B17">
        <w:rPr>
          <w:rStyle w:val="FootnoteReference"/>
          <w:szCs w:val="18"/>
        </w:rPr>
        <w:footnoteRef/>
      </w:r>
      <w:r w:rsidRPr="00A46B17">
        <w:rPr>
          <w:szCs w:val="18"/>
        </w:rPr>
        <w:t xml:space="preserve"> </w:t>
      </w:r>
      <w:proofErr w:type="gramStart"/>
      <w:r w:rsidRPr="00A46B17">
        <w:rPr>
          <w:szCs w:val="18"/>
        </w:rPr>
        <w:t>Concluding Observations</w:t>
      </w:r>
      <w:r>
        <w:rPr>
          <w:szCs w:val="18"/>
        </w:rPr>
        <w:t xml:space="preserve"> on</w:t>
      </w:r>
      <w:r w:rsidRPr="00A46B17">
        <w:rPr>
          <w:szCs w:val="18"/>
        </w:rPr>
        <w:t xml:space="preserve"> Thailand</w:t>
      </w:r>
      <w:r>
        <w:rPr>
          <w:szCs w:val="18"/>
        </w:rPr>
        <w:t xml:space="preserve">, </w:t>
      </w:r>
      <w:r w:rsidRPr="00A46B17">
        <w:rPr>
          <w:szCs w:val="18"/>
        </w:rPr>
        <w:t>CCPR/CO/84/THA (2005), para.</w:t>
      </w:r>
      <w:proofErr w:type="gramEnd"/>
      <w:r w:rsidRPr="00A46B17">
        <w:rPr>
          <w:szCs w:val="18"/>
        </w:rPr>
        <w:t xml:space="preserve"> 16.</w:t>
      </w:r>
    </w:p>
  </w:footnote>
  <w:footnote w:id="128">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w:t>
      </w:r>
      <w:r w:rsidRPr="00A46B17">
        <w:rPr>
          <w:i/>
          <w:szCs w:val="18"/>
        </w:rPr>
        <w:t>F.K.A.G. et al. v Australia</w:t>
      </w:r>
      <w:r w:rsidRPr="00A46B17">
        <w:rPr>
          <w:szCs w:val="18"/>
        </w:rPr>
        <w:t>, Comm. No. 2094/</w:t>
      </w:r>
      <w:r w:rsidRPr="00A46B17">
        <w:rPr>
          <w:szCs w:val="18"/>
          <w:lang w:val="es-ES"/>
        </w:rPr>
        <w:t>2011</w:t>
      </w:r>
      <w:r w:rsidRPr="00A46B17">
        <w:rPr>
          <w:szCs w:val="18"/>
        </w:rPr>
        <w:t xml:space="preserve">; </w:t>
      </w:r>
      <w:r w:rsidRPr="00A46B17">
        <w:rPr>
          <w:i/>
          <w:szCs w:val="18"/>
        </w:rPr>
        <w:t>M.M.M. et al. v Australia</w:t>
      </w:r>
      <w:r w:rsidRPr="00A46B17">
        <w:rPr>
          <w:szCs w:val="18"/>
        </w:rPr>
        <w:t>, Comm. No. 2136/2012.</w:t>
      </w:r>
    </w:p>
  </w:footnote>
  <w:footnote w:id="129">
    <w:p w:rsidR="002D4244" w:rsidRPr="00A46B17" w:rsidRDefault="002D4244" w:rsidP="00E236BB">
      <w:pPr>
        <w:pStyle w:val="FootnoteText"/>
        <w:spacing w:line="240" w:lineRule="auto"/>
        <w:rPr>
          <w:szCs w:val="18"/>
        </w:rPr>
      </w:pPr>
      <w:r w:rsidRPr="00A46B17">
        <w:rPr>
          <w:rStyle w:val="FootnoteReference"/>
          <w:szCs w:val="18"/>
        </w:rPr>
        <w:footnoteRef/>
      </w:r>
      <w:r w:rsidRPr="00A46B17">
        <w:rPr>
          <w:szCs w:val="18"/>
        </w:rPr>
        <w:t xml:space="preserve"> </w:t>
      </w:r>
      <w:proofErr w:type="gramStart"/>
      <w:r w:rsidRPr="00720827">
        <w:rPr>
          <w:i/>
          <w:szCs w:val="18"/>
        </w:rPr>
        <w:t>Ibid</w:t>
      </w:r>
      <w:r w:rsidRPr="00A46B17">
        <w:rPr>
          <w:szCs w:val="18"/>
        </w:rPr>
        <w:t>.,</w:t>
      </w:r>
      <w:proofErr w:type="gramEnd"/>
      <w:r w:rsidRPr="00A46B17">
        <w:rPr>
          <w:szCs w:val="18"/>
        </w:rPr>
        <w:t xml:space="preserve"> para</w:t>
      </w:r>
      <w:r>
        <w:rPr>
          <w:szCs w:val="18"/>
        </w:rPr>
        <w:t>s</w:t>
      </w:r>
      <w:r w:rsidRPr="00A46B17">
        <w:rPr>
          <w:szCs w:val="18"/>
        </w:rPr>
        <w:t xml:space="preserve">. 9.8 </w:t>
      </w:r>
      <w:proofErr w:type="gramStart"/>
      <w:r w:rsidRPr="00A46B17">
        <w:rPr>
          <w:szCs w:val="18"/>
        </w:rPr>
        <w:t>and</w:t>
      </w:r>
      <w:proofErr w:type="gramEnd"/>
      <w:r w:rsidRPr="00A46B17">
        <w:rPr>
          <w:szCs w:val="18"/>
        </w:rPr>
        <w:t xml:space="preserve"> 10.7 respectively.</w:t>
      </w:r>
    </w:p>
  </w:footnote>
  <w:footnote w:id="130">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Report of the Chairperson of the Working Group on Arbitrary Detention, Ms. Leila </w:t>
      </w:r>
      <w:proofErr w:type="spellStart"/>
      <w:r w:rsidRPr="00A46B17">
        <w:rPr>
          <w:szCs w:val="18"/>
        </w:rPr>
        <w:t>Zerrougui</w:t>
      </w:r>
      <w:proofErr w:type="spellEnd"/>
      <w:r>
        <w:rPr>
          <w:szCs w:val="18"/>
        </w:rPr>
        <w:t>,</w:t>
      </w:r>
      <w:r w:rsidRPr="00A46B17">
        <w:rPr>
          <w:szCs w:val="18"/>
        </w:rPr>
        <w:t xml:space="preserve"> the Special Rapporteur on the independence of judges and lawyers, Mr. Leandro </w:t>
      </w:r>
      <w:proofErr w:type="spellStart"/>
      <w:r w:rsidRPr="00A46B17">
        <w:rPr>
          <w:szCs w:val="18"/>
        </w:rPr>
        <w:t>Despouy</w:t>
      </w:r>
      <w:proofErr w:type="spellEnd"/>
      <w:r w:rsidRPr="00A46B17">
        <w:rPr>
          <w:szCs w:val="18"/>
        </w:rPr>
        <w:t xml:space="preserve">; the Special Rapporteur on torture and other cruel, inhuman or degrading treatment or punishment, Mr. Manfred Nowak; the Special Rapporteur on freedom of religion or belief, Ms. </w:t>
      </w:r>
      <w:proofErr w:type="spellStart"/>
      <w:r w:rsidRPr="00A46B17">
        <w:rPr>
          <w:szCs w:val="18"/>
        </w:rPr>
        <w:t>Asma</w:t>
      </w:r>
      <w:proofErr w:type="spellEnd"/>
      <w:r w:rsidRPr="00A46B17">
        <w:rPr>
          <w:szCs w:val="18"/>
        </w:rPr>
        <w:t xml:space="preserve"> Jahangir and the Special Rapporteur on the right of everyone to the enjoyment of the highest attainable standard of physical and mental health, Mr. Paul Hunt., </w:t>
      </w:r>
      <w:r w:rsidRPr="00A46B17">
        <w:rPr>
          <w:color w:val="000000"/>
          <w:szCs w:val="18"/>
          <w:lang w:val="en-US"/>
        </w:rPr>
        <w:t>E/CN.4/2006/120 (2006),</w:t>
      </w:r>
      <w:r w:rsidRPr="00A46B17">
        <w:rPr>
          <w:szCs w:val="18"/>
        </w:rPr>
        <w:t xml:space="preserve"> para. 87.</w:t>
      </w:r>
    </w:p>
  </w:footnote>
  <w:footnote w:id="131">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C</w:t>
      </w:r>
      <w:r>
        <w:rPr>
          <w:szCs w:val="18"/>
        </w:rPr>
        <w:t>AT</w:t>
      </w:r>
      <w:r w:rsidRPr="00A46B17">
        <w:rPr>
          <w:szCs w:val="18"/>
        </w:rPr>
        <w:t xml:space="preserve"> Concluding Observations on USA, C</w:t>
      </w:r>
      <w:r w:rsidRPr="00A46B17">
        <w:rPr>
          <w:szCs w:val="18"/>
          <w:lang w:val="en-US"/>
        </w:rPr>
        <w:t>AT/C/USA/CO/2</w:t>
      </w:r>
      <w:r w:rsidRPr="00A46B17">
        <w:rPr>
          <w:szCs w:val="18"/>
        </w:rPr>
        <w:t xml:space="preserve"> (2006), para. 22.</w:t>
      </w:r>
    </w:p>
  </w:footnote>
  <w:footnote w:id="132">
    <w:p w:rsidR="002D4244" w:rsidRPr="00A46B17" w:rsidRDefault="002D4244" w:rsidP="00E236BB">
      <w:pPr>
        <w:pStyle w:val="FootnoteText"/>
        <w:spacing w:line="240" w:lineRule="auto"/>
        <w:ind w:left="0" w:right="0"/>
        <w:rPr>
          <w:szCs w:val="18"/>
        </w:rPr>
      </w:pPr>
      <w:r w:rsidRPr="00A46B17">
        <w:rPr>
          <w:szCs w:val="18"/>
        </w:rPr>
        <w:tab/>
      </w:r>
      <w:r w:rsidRPr="00A46B17">
        <w:rPr>
          <w:rStyle w:val="FootnoteReference"/>
          <w:szCs w:val="18"/>
        </w:rPr>
        <w:footnoteRef/>
      </w:r>
      <w:r w:rsidRPr="00A46B17">
        <w:rPr>
          <w:szCs w:val="18"/>
        </w:rPr>
        <w:t xml:space="preserve"> See, </w:t>
      </w:r>
      <w:proofErr w:type="spellStart"/>
      <w:r w:rsidRPr="00A46B17">
        <w:rPr>
          <w:szCs w:val="18"/>
        </w:rPr>
        <w:t>e.g.</w:t>
      </w:r>
      <w:proofErr w:type="gramStart"/>
      <w:r w:rsidRPr="00A46B17">
        <w:rPr>
          <w:szCs w:val="18"/>
        </w:rPr>
        <w:t>,Coffey</w:t>
      </w:r>
      <w:proofErr w:type="spellEnd"/>
      <w:proofErr w:type="gramEnd"/>
      <w:r w:rsidRPr="00A46B17">
        <w:rPr>
          <w:szCs w:val="18"/>
        </w:rPr>
        <w:t xml:space="preserve"> et al. (2010), ‘The Meaning and Mental Health Consequences of Long-Term Immigration Detention for People Seeking Asylum’, 70 </w:t>
      </w:r>
      <w:r w:rsidRPr="00A46B17">
        <w:rPr>
          <w:i/>
          <w:szCs w:val="18"/>
        </w:rPr>
        <w:t xml:space="preserve">Social Science &amp; Medicine </w:t>
      </w:r>
      <w:r w:rsidRPr="00A46B17">
        <w:rPr>
          <w:szCs w:val="18"/>
        </w:rPr>
        <w:t>2070-2079. See also Newman, Dudley and Steel (2008), ‘Asylum, Detention and Mental Health in Australia’, 27(3) Refugee Survey Quarterly 110-127.</w:t>
      </w:r>
    </w:p>
  </w:footnote>
  <w:footnote w:id="133">
    <w:p w:rsidR="002D4244" w:rsidRPr="00A46B17" w:rsidRDefault="002D4244" w:rsidP="00E236BB">
      <w:pPr>
        <w:widowControl w:val="0"/>
        <w:autoSpaceDE w:val="0"/>
        <w:autoSpaceDN w:val="0"/>
        <w:adjustRightInd w:val="0"/>
        <w:rPr>
          <w:rFonts w:ascii="Times New Roman" w:hAnsi="Times New Roman" w:cs="Times New Roman"/>
          <w:sz w:val="18"/>
          <w:szCs w:val="18"/>
          <w:lang w:val="en-US"/>
        </w:rPr>
      </w:pPr>
      <w:r w:rsidRPr="00A46B17">
        <w:rPr>
          <w:rStyle w:val="FootnoteReference"/>
          <w:rFonts w:cs="Times New Roman"/>
          <w:szCs w:val="18"/>
        </w:rPr>
        <w:footnoteRef/>
      </w:r>
      <w:r w:rsidRPr="00A46B17">
        <w:rPr>
          <w:rFonts w:ascii="Times New Roman" w:hAnsi="Times New Roman" w:cs="Times New Roman"/>
          <w:sz w:val="18"/>
          <w:szCs w:val="18"/>
        </w:rPr>
        <w:t xml:space="preserve"> Zachary Steel and Derrick M </w:t>
      </w:r>
      <w:proofErr w:type="spellStart"/>
      <w:r w:rsidRPr="00A46B17">
        <w:rPr>
          <w:rFonts w:ascii="Times New Roman" w:hAnsi="Times New Roman" w:cs="Times New Roman"/>
          <w:sz w:val="18"/>
          <w:szCs w:val="18"/>
        </w:rPr>
        <w:t>Silove</w:t>
      </w:r>
      <w:proofErr w:type="spellEnd"/>
      <w:r w:rsidRPr="00A46B17">
        <w:rPr>
          <w:rFonts w:ascii="Times New Roman" w:hAnsi="Times New Roman" w:cs="Times New Roman"/>
          <w:sz w:val="18"/>
          <w:szCs w:val="18"/>
        </w:rPr>
        <w:t xml:space="preserve"> (2001), ‘The mental health implications of detaining asylum seekers’, (2001) MJA 2001 175: 596-599 (footnotes omitted), </w:t>
      </w:r>
      <w:hyperlink r:id="rId8" w:history="1">
        <w:r w:rsidRPr="00A46B17">
          <w:rPr>
            <w:rStyle w:val="Hyperlink"/>
            <w:rFonts w:ascii="Times New Roman" w:hAnsi="Times New Roman" w:cs="Times New Roman"/>
            <w:sz w:val="18"/>
            <w:szCs w:val="18"/>
          </w:rPr>
          <w:t>http://www.mja.com.au/public/issues/175_12_171201/steel/steel.html</w:t>
        </w:r>
      </w:hyperlink>
      <w:r w:rsidRPr="00A46B17">
        <w:rPr>
          <w:rFonts w:ascii="Times New Roman" w:hAnsi="Times New Roman" w:cs="Times New Roman"/>
          <w:sz w:val="18"/>
          <w:szCs w:val="18"/>
        </w:rPr>
        <w:t xml:space="preserve">. </w:t>
      </w:r>
    </w:p>
  </w:footnote>
  <w:footnote w:id="134">
    <w:p w:rsidR="002D4244" w:rsidRPr="00D8726E" w:rsidRDefault="002D4244" w:rsidP="00D8726E">
      <w:pPr>
        <w:pStyle w:val="FootnoteText"/>
        <w:tabs>
          <w:tab w:val="clear" w:pos="1021"/>
        </w:tabs>
        <w:ind w:left="0" w:firstLine="0"/>
        <w:jc w:val="both"/>
        <w:rPr>
          <w:szCs w:val="18"/>
        </w:rPr>
      </w:pPr>
      <w:r w:rsidRPr="00A46B17">
        <w:rPr>
          <w:rStyle w:val="FootnoteReference"/>
          <w:szCs w:val="18"/>
        </w:rPr>
        <w:footnoteRef/>
      </w:r>
      <w:r w:rsidRPr="00A46B17">
        <w:rPr>
          <w:szCs w:val="18"/>
        </w:rPr>
        <w:t xml:space="preserve"> Report of the Special Rapporteur on </w:t>
      </w:r>
      <w:r>
        <w:rPr>
          <w:szCs w:val="18"/>
        </w:rPr>
        <w:t xml:space="preserve">the Human Rights of </w:t>
      </w:r>
      <w:r w:rsidRPr="00A46B17">
        <w:rPr>
          <w:szCs w:val="18"/>
        </w:rPr>
        <w:t>Migrants: Detention of Migrants in</w:t>
      </w:r>
      <w:r w:rsidR="00DB4BD3">
        <w:rPr>
          <w:szCs w:val="18"/>
        </w:rPr>
        <w:t xml:space="preserve"> </w:t>
      </w:r>
      <w:r w:rsidRPr="00A46B17">
        <w:rPr>
          <w:szCs w:val="18"/>
        </w:rPr>
        <w:t>an</w:t>
      </w:r>
      <w:r w:rsidR="00DB4BD3">
        <w:rPr>
          <w:szCs w:val="18"/>
        </w:rPr>
        <w:t xml:space="preserve"> </w:t>
      </w:r>
      <w:r w:rsidRPr="00A46B17">
        <w:rPr>
          <w:szCs w:val="18"/>
        </w:rPr>
        <w:t>Irregular Situation</w:t>
      </w:r>
      <w:r>
        <w:rPr>
          <w:szCs w:val="18"/>
        </w:rPr>
        <w:t xml:space="preserve">, </w:t>
      </w:r>
      <w:r w:rsidRPr="00DB4BD3">
        <w:rPr>
          <w:i/>
          <w:szCs w:val="18"/>
        </w:rPr>
        <w:t>supra</w:t>
      </w:r>
      <w:r>
        <w:rPr>
          <w:szCs w:val="18"/>
        </w:rPr>
        <w:t xml:space="preserve"> n. 23, </w:t>
      </w:r>
      <w:r w:rsidRPr="00A46B17">
        <w:rPr>
          <w:szCs w:val="18"/>
        </w:rPr>
        <w:t>para. 43.</w:t>
      </w:r>
    </w:p>
  </w:footnote>
  <w:footnote w:id="135">
    <w:p w:rsidR="002D4244" w:rsidRPr="00A46B17" w:rsidRDefault="002D4244" w:rsidP="00E236BB">
      <w:pPr>
        <w:pStyle w:val="FootnoteText"/>
        <w:spacing w:line="240" w:lineRule="auto"/>
        <w:ind w:left="0" w:right="0"/>
        <w:rPr>
          <w:szCs w:val="18"/>
          <w:lang w:val="en-US"/>
        </w:rPr>
      </w:pPr>
      <w:r w:rsidRPr="00A46B17">
        <w:rPr>
          <w:szCs w:val="18"/>
        </w:rPr>
        <w:tab/>
      </w:r>
      <w:r w:rsidRPr="00A46B17">
        <w:rPr>
          <w:rStyle w:val="FootnoteReference"/>
          <w:szCs w:val="18"/>
        </w:rPr>
        <w:footnoteRef/>
      </w:r>
      <w:r w:rsidRPr="00A46B17">
        <w:rPr>
          <w:szCs w:val="18"/>
        </w:rPr>
        <w:t xml:space="preserve"> </w:t>
      </w:r>
      <w:r w:rsidRPr="00A46B17">
        <w:rPr>
          <w:szCs w:val="18"/>
          <w:lang w:val="en-US"/>
        </w:rPr>
        <w:t xml:space="preserve">For example, in the United Kingdom, government policy is that people in immigration detention must be screened to identify those for whom there is evidence of torture, and that such </w:t>
      </w:r>
      <w:r w:rsidRPr="00720827">
        <w:t>people</w:t>
      </w:r>
      <w:r w:rsidRPr="00720827">
        <w:rPr>
          <w:szCs w:val="18"/>
        </w:rPr>
        <w:t xml:space="preserve"> </w:t>
      </w:r>
      <w:r w:rsidRPr="00A46B17">
        <w:rPr>
          <w:szCs w:val="18"/>
          <w:lang w:val="en-US"/>
        </w:rPr>
        <w:t>should be detained only “</w:t>
      </w:r>
      <w:r w:rsidRPr="00A46B17">
        <w:rPr>
          <w:i/>
          <w:szCs w:val="18"/>
          <w:lang w:val="en-US"/>
        </w:rPr>
        <w:t>in very exceptional circumstances</w:t>
      </w:r>
      <w:r w:rsidRPr="00A46B17">
        <w:rPr>
          <w:szCs w:val="18"/>
          <w:lang w:val="en-US"/>
        </w:rPr>
        <w:t>”. The policy towards the detention of persons who claim to have been victims of torture is covered by a number of over-lapping policy and instruction documents: Chapter 55 of the Enforcement Instructions and Guidance (EIG), Detention Centre Rules 2001, Detention Services Order 03/2008, Asylum Process Instruction (Rule 35).</w:t>
      </w:r>
    </w:p>
  </w:footnote>
  <w:footnote w:id="136">
    <w:p w:rsidR="002D4244" w:rsidRPr="00A46B17" w:rsidRDefault="002D4244" w:rsidP="00E23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lang w:val="en-US"/>
        </w:rPr>
      </w:pPr>
      <w:r w:rsidRPr="00A46B17">
        <w:rPr>
          <w:rStyle w:val="FootnoteReference"/>
          <w:rFonts w:cs="Times New Roman"/>
          <w:szCs w:val="18"/>
        </w:rPr>
        <w:footnoteRef/>
      </w:r>
      <w:r w:rsidRPr="00A46B17">
        <w:rPr>
          <w:rFonts w:ascii="Times New Roman" w:hAnsi="Times New Roman" w:cs="Times New Roman"/>
          <w:sz w:val="18"/>
          <w:szCs w:val="18"/>
        </w:rPr>
        <w:t xml:space="preserve"> </w:t>
      </w:r>
      <w:proofErr w:type="spellStart"/>
      <w:r w:rsidRPr="00A46B17">
        <w:rPr>
          <w:rFonts w:ascii="Times New Roman" w:hAnsi="Times New Roman" w:cs="Times New Roman"/>
          <w:sz w:val="18"/>
          <w:szCs w:val="18"/>
        </w:rPr>
        <w:t>IACtHR</w:t>
      </w:r>
      <w:proofErr w:type="spellEnd"/>
      <w:r w:rsidRPr="00A46B17">
        <w:rPr>
          <w:rFonts w:ascii="Times New Roman" w:hAnsi="Times New Roman" w:cs="Times New Roman"/>
          <w:sz w:val="18"/>
          <w:szCs w:val="18"/>
        </w:rPr>
        <w:t xml:space="preserve">, Advisory Opinion on the Juridical Condition and Rights of Undocumented Migrants, OC-18, 17 September 2003, Ser. </w:t>
      </w:r>
      <w:proofErr w:type="gramStart"/>
      <w:r w:rsidRPr="00A46B17">
        <w:rPr>
          <w:rFonts w:ascii="Times New Roman" w:hAnsi="Times New Roman" w:cs="Times New Roman"/>
          <w:sz w:val="18"/>
          <w:szCs w:val="18"/>
        </w:rPr>
        <w:t>A No. 18/03, para.</w:t>
      </w:r>
      <w:proofErr w:type="gramEnd"/>
      <w:r w:rsidRPr="00A46B17">
        <w:rPr>
          <w:rFonts w:ascii="Times New Roman" w:hAnsi="Times New Roman" w:cs="Times New Roman"/>
          <w:sz w:val="18"/>
          <w:szCs w:val="18"/>
        </w:rPr>
        <w:t xml:space="preserve"> 121.</w:t>
      </w:r>
      <w:r w:rsidRPr="00A46B17">
        <w:rPr>
          <w:rFonts w:ascii="Times New Roman" w:hAnsi="Times New Roman" w:cs="Times New Roman"/>
          <w:sz w:val="18"/>
          <w:szCs w:val="18"/>
          <w:lang w:val="en-US"/>
        </w:rPr>
        <w:t xml:space="preserve"> </w:t>
      </w:r>
    </w:p>
  </w:footnote>
  <w:footnote w:id="137">
    <w:p w:rsidR="002D4244" w:rsidRPr="00A46B17" w:rsidRDefault="002D4244" w:rsidP="00E23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18"/>
          <w:szCs w:val="18"/>
        </w:rPr>
      </w:pPr>
      <w:r w:rsidRPr="00A46B17">
        <w:rPr>
          <w:rFonts w:ascii="Times New Roman" w:hAnsi="Times New Roman" w:cs="Times New Roman"/>
          <w:sz w:val="18"/>
          <w:szCs w:val="18"/>
          <w:vertAlign w:val="superscript"/>
          <w:lang w:val="en-US"/>
        </w:rPr>
        <w:footnoteRef/>
      </w:r>
      <w:r w:rsidRPr="00A46B17">
        <w:rPr>
          <w:rFonts w:ascii="Times New Roman" w:hAnsi="Times New Roman" w:cs="Times New Roman"/>
          <w:sz w:val="18"/>
          <w:szCs w:val="18"/>
          <w:lang w:val="en-US"/>
        </w:rPr>
        <w:t xml:space="preserve"> Office of the United Nations High Commissioner for Refugees, UNHCR’s </w:t>
      </w:r>
      <w:r>
        <w:rPr>
          <w:rFonts w:ascii="Times New Roman" w:hAnsi="Times New Roman" w:cs="Times New Roman"/>
          <w:sz w:val="18"/>
          <w:szCs w:val="18"/>
          <w:lang w:val="en-US"/>
        </w:rPr>
        <w:t>G</w:t>
      </w:r>
      <w:r w:rsidRPr="00A46B17">
        <w:rPr>
          <w:rFonts w:ascii="Times New Roman" w:hAnsi="Times New Roman" w:cs="Times New Roman"/>
          <w:sz w:val="18"/>
          <w:szCs w:val="18"/>
          <w:lang w:val="en-US"/>
        </w:rPr>
        <w:t xml:space="preserve">uidelines on the </w:t>
      </w:r>
      <w:r>
        <w:rPr>
          <w:rFonts w:ascii="Times New Roman" w:hAnsi="Times New Roman" w:cs="Times New Roman"/>
          <w:sz w:val="18"/>
          <w:szCs w:val="18"/>
          <w:lang w:val="en-US"/>
        </w:rPr>
        <w:t>A</w:t>
      </w:r>
      <w:r w:rsidRPr="00A46B17">
        <w:rPr>
          <w:rFonts w:ascii="Times New Roman" w:hAnsi="Times New Roman" w:cs="Times New Roman"/>
          <w:sz w:val="18"/>
          <w:szCs w:val="18"/>
          <w:lang w:val="en-US"/>
        </w:rPr>
        <w:t xml:space="preserve">pplicable </w:t>
      </w:r>
      <w:r>
        <w:rPr>
          <w:rFonts w:ascii="Times New Roman" w:hAnsi="Times New Roman" w:cs="Times New Roman"/>
          <w:sz w:val="18"/>
          <w:szCs w:val="18"/>
          <w:lang w:val="en-US"/>
        </w:rPr>
        <w:t>C</w:t>
      </w:r>
      <w:r w:rsidRPr="00A46B17">
        <w:rPr>
          <w:rFonts w:ascii="Times New Roman" w:hAnsi="Times New Roman" w:cs="Times New Roman"/>
          <w:sz w:val="18"/>
          <w:szCs w:val="18"/>
          <w:lang w:val="en-US"/>
        </w:rPr>
        <w:t xml:space="preserve">riteria and </w:t>
      </w:r>
      <w:r>
        <w:rPr>
          <w:rFonts w:ascii="Times New Roman" w:hAnsi="Times New Roman" w:cs="Times New Roman"/>
          <w:sz w:val="18"/>
          <w:szCs w:val="18"/>
          <w:lang w:val="en-US"/>
        </w:rPr>
        <w:t>S</w:t>
      </w:r>
      <w:r w:rsidRPr="00A46B17">
        <w:rPr>
          <w:rFonts w:ascii="Times New Roman" w:hAnsi="Times New Roman" w:cs="Times New Roman"/>
          <w:sz w:val="18"/>
          <w:szCs w:val="18"/>
          <w:lang w:val="en-US"/>
        </w:rPr>
        <w:t xml:space="preserve">tandards </w:t>
      </w:r>
      <w:r>
        <w:rPr>
          <w:rFonts w:ascii="Times New Roman" w:hAnsi="Times New Roman" w:cs="Times New Roman"/>
          <w:sz w:val="18"/>
          <w:szCs w:val="18"/>
          <w:lang w:val="en-US"/>
        </w:rPr>
        <w:t>R</w:t>
      </w:r>
      <w:r w:rsidRPr="00A46B17">
        <w:rPr>
          <w:rFonts w:ascii="Times New Roman" w:hAnsi="Times New Roman" w:cs="Times New Roman"/>
          <w:sz w:val="18"/>
          <w:szCs w:val="18"/>
          <w:lang w:val="en-US"/>
        </w:rPr>
        <w:t xml:space="preserve">elating to the </w:t>
      </w:r>
      <w:r>
        <w:rPr>
          <w:rFonts w:ascii="Times New Roman" w:hAnsi="Times New Roman" w:cs="Times New Roman"/>
          <w:sz w:val="18"/>
          <w:szCs w:val="18"/>
          <w:lang w:val="en-US"/>
        </w:rPr>
        <w:t>D</w:t>
      </w:r>
      <w:r w:rsidRPr="00A46B17">
        <w:rPr>
          <w:rFonts w:ascii="Times New Roman" w:hAnsi="Times New Roman" w:cs="Times New Roman"/>
          <w:sz w:val="18"/>
          <w:szCs w:val="18"/>
          <w:lang w:val="en-US"/>
        </w:rPr>
        <w:t xml:space="preserve">etention of </w:t>
      </w:r>
      <w:r>
        <w:rPr>
          <w:rFonts w:ascii="Times New Roman" w:hAnsi="Times New Roman" w:cs="Times New Roman"/>
          <w:sz w:val="18"/>
          <w:szCs w:val="18"/>
          <w:lang w:val="en-US"/>
        </w:rPr>
        <w:t>A</w:t>
      </w:r>
      <w:r w:rsidRPr="00A46B17">
        <w:rPr>
          <w:rFonts w:ascii="Times New Roman" w:hAnsi="Times New Roman" w:cs="Times New Roman"/>
          <w:sz w:val="18"/>
          <w:szCs w:val="18"/>
          <w:lang w:val="en-US"/>
        </w:rPr>
        <w:t xml:space="preserve">sylum-seekers and </w:t>
      </w:r>
      <w:r>
        <w:rPr>
          <w:rFonts w:ascii="Times New Roman" w:hAnsi="Times New Roman" w:cs="Times New Roman"/>
          <w:sz w:val="18"/>
          <w:szCs w:val="18"/>
          <w:lang w:val="en-US"/>
        </w:rPr>
        <w:t>A</w:t>
      </w:r>
      <w:r w:rsidRPr="00A46B17">
        <w:rPr>
          <w:rFonts w:ascii="Times New Roman" w:hAnsi="Times New Roman" w:cs="Times New Roman"/>
          <w:sz w:val="18"/>
          <w:szCs w:val="18"/>
          <w:lang w:val="en-US"/>
        </w:rPr>
        <w:t xml:space="preserve">lternatives to </w:t>
      </w:r>
      <w:r>
        <w:rPr>
          <w:rFonts w:ascii="Times New Roman" w:hAnsi="Times New Roman" w:cs="Times New Roman"/>
          <w:sz w:val="18"/>
          <w:szCs w:val="18"/>
          <w:lang w:val="en-US"/>
        </w:rPr>
        <w:t>D</w:t>
      </w:r>
      <w:r w:rsidRPr="00A46B17">
        <w:rPr>
          <w:rFonts w:ascii="Times New Roman" w:hAnsi="Times New Roman" w:cs="Times New Roman"/>
          <w:sz w:val="18"/>
          <w:szCs w:val="18"/>
          <w:lang w:val="en-US"/>
        </w:rPr>
        <w:t xml:space="preserve">etention (2012), </w:t>
      </w:r>
      <w:hyperlink r:id="rId9" w:history="1">
        <w:r w:rsidRPr="00A46B17">
          <w:rPr>
            <w:rStyle w:val="Hyperlink"/>
            <w:rFonts w:ascii="Times New Roman" w:hAnsi="Times New Roman" w:cs="Times New Roman"/>
            <w:sz w:val="18"/>
            <w:szCs w:val="18"/>
            <w:lang w:val="en-US"/>
          </w:rPr>
          <w:t>http://www.unhcr.org/505b10ee9.html</w:t>
        </w:r>
      </w:hyperlink>
      <w:r w:rsidRPr="00A46B17">
        <w:rPr>
          <w:rFonts w:ascii="Times New Roman" w:hAnsi="Times New Roman" w:cs="Times New Roman"/>
          <w:sz w:val="18"/>
          <w:szCs w:val="18"/>
          <w:lang w:val="en-US"/>
        </w:rPr>
        <w:t xml:space="preserve">. </w:t>
      </w:r>
    </w:p>
  </w:footnote>
  <w:footnote w:id="138">
    <w:p w:rsidR="002D4244" w:rsidRPr="00A46B17" w:rsidRDefault="002D4244" w:rsidP="00E23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lang w:val="en-US"/>
        </w:rPr>
      </w:pPr>
      <w:r w:rsidRPr="00A46B17">
        <w:rPr>
          <w:rStyle w:val="FootnoteReference"/>
          <w:rFonts w:cs="Times New Roman"/>
          <w:szCs w:val="18"/>
        </w:rPr>
        <w:footnoteRef/>
      </w:r>
      <w:r w:rsidRPr="00A46B17">
        <w:rPr>
          <w:rFonts w:ascii="Times New Roman" w:hAnsi="Times New Roman" w:cs="Times New Roman"/>
          <w:sz w:val="18"/>
          <w:szCs w:val="18"/>
        </w:rPr>
        <w:t xml:space="preserve"> </w:t>
      </w:r>
      <w:proofErr w:type="gramStart"/>
      <w:r>
        <w:rPr>
          <w:rFonts w:ascii="Times New Roman" w:hAnsi="Times New Roman" w:cs="Times New Roman"/>
          <w:sz w:val="18"/>
          <w:szCs w:val="18"/>
          <w:lang w:val="en-US"/>
        </w:rPr>
        <w:t>CAT,</w:t>
      </w:r>
      <w:r w:rsidRPr="00A46B17">
        <w:rPr>
          <w:rFonts w:ascii="Times New Roman" w:hAnsi="Times New Roman" w:cs="Times New Roman"/>
          <w:sz w:val="18"/>
          <w:szCs w:val="18"/>
          <w:lang w:val="en-US"/>
        </w:rPr>
        <w:t xml:space="preserve"> </w:t>
      </w:r>
      <w:r w:rsidRPr="00A46B17">
        <w:rPr>
          <w:rFonts w:ascii="Times New Roman" w:hAnsi="Times New Roman" w:cs="Times New Roman"/>
          <w:i/>
          <w:sz w:val="18"/>
          <w:szCs w:val="18"/>
          <w:lang w:val="en-US"/>
        </w:rPr>
        <w:t>A v</w:t>
      </w:r>
      <w:r w:rsidR="00DB4BD3">
        <w:rPr>
          <w:rFonts w:ascii="Times New Roman" w:hAnsi="Times New Roman" w:cs="Times New Roman"/>
          <w:i/>
          <w:sz w:val="18"/>
          <w:szCs w:val="18"/>
          <w:lang w:val="en-US"/>
        </w:rPr>
        <w:t>.</w:t>
      </w:r>
      <w:proofErr w:type="gramEnd"/>
      <w:r w:rsidRPr="00A46B17">
        <w:rPr>
          <w:rFonts w:ascii="Times New Roman" w:hAnsi="Times New Roman" w:cs="Times New Roman"/>
          <w:i/>
          <w:sz w:val="18"/>
          <w:szCs w:val="18"/>
          <w:lang w:val="en-US"/>
        </w:rPr>
        <w:t xml:space="preserve"> </w:t>
      </w:r>
      <w:proofErr w:type="gramStart"/>
      <w:r w:rsidRPr="00A46B17">
        <w:rPr>
          <w:rFonts w:ascii="Times New Roman" w:hAnsi="Times New Roman" w:cs="Times New Roman"/>
          <w:i/>
          <w:sz w:val="18"/>
          <w:szCs w:val="18"/>
          <w:lang w:val="en-US"/>
        </w:rPr>
        <w:t>The Netherlands</w:t>
      </w:r>
      <w:r w:rsidRPr="00A46B17">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Comm. No. </w:t>
      </w:r>
      <w:r w:rsidRPr="00A46B17">
        <w:rPr>
          <w:rFonts w:ascii="Times New Roman" w:hAnsi="Times New Roman" w:cs="Times New Roman"/>
          <w:sz w:val="18"/>
          <w:szCs w:val="18"/>
          <w:lang w:val="en-US"/>
        </w:rPr>
        <w:t>124/1998, in particular paras 6.3 and 9.</w:t>
      </w:r>
      <w:proofErr w:type="gramEnd"/>
      <w:r w:rsidRPr="00A46B17">
        <w:rPr>
          <w:rFonts w:ascii="Times New Roman" w:hAnsi="Times New Roman" w:cs="Times New Roman"/>
          <w:sz w:val="18"/>
          <w:szCs w:val="18"/>
          <w:lang w:val="en-US"/>
        </w:rPr>
        <w:t xml:space="preserve"> See also an analogous interpretation of the European Court of Human Rights in </w:t>
      </w:r>
      <w:r w:rsidRPr="00A46B17">
        <w:rPr>
          <w:rFonts w:ascii="Times New Roman" w:hAnsi="Times New Roman" w:cs="Times New Roman"/>
          <w:i/>
          <w:sz w:val="18"/>
          <w:szCs w:val="18"/>
          <w:lang w:val="en-US"/>
        </w:rPr>
        <w:t>Price v United Kingdom</w:t>
      </w:r>
      <w:r w:rsidRPr="00A46B17">
        <w:rPr>
          <w:rFonts w:ascii="Times New Roman" w:hAnsi="Times New Roman" w:cs="Times New Roman"/>
          <w:sz w:val="18"/>
          <w:szCs w:val="18"/>
          <w:lang w:val="en-US"/>
        </w:rPr>
        <w:t xml:space="preserve"> (2002)</w:t>
      </w:r>
      <w:r>
        <w:rPr>
          <w:rFonts w:ascii="Times New Roman" w:hAnsi="Times New Roman" w:cs="Times New Roman"/>
          <w:sz w:val="18"/>
          <w:szCs w:val="18"/>
          <w:lang w:val="en-US"/>
        </w:rPr>
        <w:t>,</w:t>
      </w:r>
      <w:r w:rsidRPr="00A46B17">
        <w:rPr>
          <w:rFonts w:ascii="Times New Roman" w:hAnsi="Times New Roman" w:cs="Times New Roman"/>
          <w:sz w:val="18"/>
          <w:szCs w:val="18"/>
          <w:lang w:val="en-US"/>
        </w:rPr>
        <w:t xml:space="preserve"> Application N</w:t>
      </w:r>
      <w:r>
        <w:rPr>
          <w:rFonts w:ascii="Times New Roman" w:hAnsi="Times New Roman" w:cs="Times New Roman"/>
          <w:sz w:val="18"/>
          <w:szCs w:val="18"/>
          <w:lang w:val="en-US"/>
        </w:rPr>
        <w:t xml:space="preserve">o. </w:t>
      </w:r>
      <w:r w:rsidRPr="00A46B17">
        <w:rPr>
          <w:rFonts w:ascii="Times New Roman" w:hAnsi="Times New Roman" w:cs="Times New Roman"/>
          <w:sz w:val="18"/>
          <w:szCs w:val="18"/>
          <w:lang w:val="en-US"/>
        </w:rPr>
        <w:t>33394/96</w:t>
      </w:r>
      <w:r>
        <w:rPr>
          <w:rFonts w:ascii="Times New Roman" w:hAnsi="Times New Roman" w:cs="Times New Roman"/>
          <w:sz w:val="18"/>
          <w:szCs w:val="18"/>
          <w:lang w:val="en-US"/>
        </w:rPr>
        <w:t xml:space="preserve"> (</w:t>
      </w:r>
      <w:r w:rsidRPr="00A46B17">
        <w:rPr>
          <w:rFonts w:ascii="Times New Roman" w:hAnsi="Times New Roman" w:cs="Times New Roman"/>
          <w:sz w:val="18"/>
          <w:szCs w:val="18"/>
          <w:lang w:val="en-US"/>
        </w:rPr>
        <w:t>2001</w:t>
      </w:r>
      <w:r>
        <w:rPr>
          <w:rFonts w:ascii="Times New Roman" w:hAnsi="Times New Roman" w:cs="Times New Roman"/>
          <w:sz w:val="18"/>
          <w:szCs w:val="18"/>
          <w:lang w:val="en-US"/>
        </w:rPr>
        <w:t>)</w:t>
      </w:r>
      <w:r w:rsidRPr="00A46B17">
        <w:rPr>
          <w:rFonts w:ascii="Times New Roman" w:hAnsi="Times New Roman" w:cs="Times New Roman"/>
          <w:sz w:val="18"/>
          <w:szCs w:val="18"/>
          <w:lang w:val="en-US"/>
        </w:rPr>
        <w:t xml:space="preserve">, paras. </w:t>
      </w:r>
      <w:proofErr w:type="gramStart"/>
      <w:r w:rsidRPr="00A46B17">
        <w:rPr>
          <w:rFonts w:ascii="Times New Roman" w:hAnsi="Times New Roman" w:cs="Times New Roman"/>
          <w:sz w:val="18"/>
          <w:szCs w:val="18"/>
          <w:lang w:val="en-US"/>
        </w:rPr>
        <w:t>29-30 (in relation to the detention of a person with physical disabilities).</w:t>
      </w:r>
      <w:proofErr w:type="gramEnd"/>
      <w:r w:rsidRPr="00A46B17">
        <w:rPr>
          <w:rFonts w:ascii="Times New Roman" w:hAnsi="Times New Roman" w:cs="Times New Roman"/>
          <w:sz w:val="18"/>
          <w:szCs w:val="18"/>
          <w:lang w:val="en-US"/>
        </w:rPr>
        <w:t xml:space="preserve"> </w:t>
      </w:r>
    </w:p>
  </w:footnote>
  <w:footnote w:id="139">
    <w:p w:rsidR="002D4244" w:rsidRPr="00A46B17" w:rsidRDefault="002D4244" w:rsidP="00E236BB">
      <w:pPr>
        <w:pStyle w:val="FootnoteText"/>
        <w:tabs>
          <w:tab w:val="clear" w:pos="1021"/>
          <w:tab w:val="right" w:pos="0"/>
        </w:tabs>
        <w:spacing w:line="240" w:lineRule="auto"/>
        <w:ind w:left="0" w:right="0" w:firstLine="0"/>
        <w:rPr>
          <w:szCs w:val="18"/>
        </w:rPr>
      </w:pPr>
      <w:r w:rsidRPr="00A46B17">
        <w:rPr>
          <w:rStyle w:val="FootnoteReference"/>
          <w:szCs w:val="18"/>
        </w:rPr>
        <w:footnoteRef/>
      </w:r>
      <w:r w:rsidRPr="00A46B17">
        <w:rPr>
          <w:szCs w:val="18"/>
        </w:rPr>
        <w:t xml:space="preserve"> Report of the Special Rapporteur on Migrants: Detention of Migrants in an Irregular Situation</w:t>
      </w:r>
      <w:r>
        <w:rPr>
          <w:szCs w:val="18"/>
        </w:rPr>
        <w:t xml:space="preserve">, </w:t>
      </w:r>
      <w:r>
        <w:rPr>
          <w:i/>
          <w:szCs w:val="18"/>
        </w:rPr>
        <w:t xml:space="preserve">supra </w:t>
      </w:r>
      <w:r w:rsidR="00FA0F18">
        <w:rPr>
          <w:szCs w:val="18"/>
        </w:rPr>
        <w:t>n. 23</w:t>
      </w:r>
      <w:r w:rsidRPr="00A46B17">
        <w:rPr>
          <w:szCs w:val="18"/>
        </w:rPr>
        <w:t>, para. 44.</w:t>
      </w:r>
    </w:p>
  </w:footnote>
  <w:footnote w:id="140">
    <w:p w:rsidR="002D4244" w:rsidRPr="00A46B17" w:rsidRDefault="002D4244" w:rsidP="00E236BB">
      <w:pPr>
        <w:pStyle w:val="FootnoteText"/>
        <w:spacing w:line="240" w:lineRule="auto"/>
        <w:rPr>
          <w:szCs w:val="18"/>
        </w:rPr>
      </w:pPr>
      <w:r w:rsidRPr="00A46B17">
        <w:rPr>
          <w:rStyle w:val="FootnoteReference"/>
          <w:szCs w:val="18"/>
        </w:rPr>
        <w:footnoteRef/>
      </w:r>
      <w:r w:rsidRPr="00A46B17">
        <w:rPr>
          <w:szCs w:val="18"/>
        </w:rPr>
        <w:t xml:space="preserve"> </w:t>
      </w:r>
      <w:proofErr w:type="gramStart"/>
      <w:r w:rsidRPr="00A46B17">
        <w:rPr>
          <w:i/>
          <w:szCs w:val="18"/>
        </w:rPr>
        <w:t>Ibid</w:t>
      </w:r>
      <w:r w:rsidR="00DB4BD3">
        <w:rPr>
          <w:szCs w:val="18"/>
        </w:rPr>
        <w:t>.</w:t>
      </w:r>
      <w:r w:rsidRPr="00A46B17">
        <w:rPr>
          <w:szCs w:val="18"/>
        </w:rPr>
        <w:t xml:space="preserve"> para.</w:t>
      </w:r>
      <w:proofErr w:type="gramEnd"/>
      <w:r w:rsidRPr="00A46B17">
        <w:rPr>
          <w:szCs w:val="18"/>
        </w:rPr>
        <w:t xml:space="preserve"> 46.</w:t>
      </w:r>
    </w:p>
  </w:footnote>
  <w:footnote w:id="141">
    <w:p w:rsidR="002D4244" w:rsidRPr="00A46B17" w:rsidRDefault="002D4244" w:rsidP="00E23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A46B17">
        <w:rPr>
          <w:rStyle w:val="FootnoteReference"/>
          <w:rFonts w:cs="Times New Roman"/>
          <w:szCs w:val="18"/>
        </w:rPr>
        <w:footnoteRef/>
      </w:r>
      <w:r w:rsidRPr="00A46B17">
        <w:rPr>
          <w:rFonts w:ascii="Times New Roman" w:hAnsi="Times New Roman" w:cs="Times New Roman"/>
          <w:sz w:val="18"/>
          <w:szCs w:val="18"/>
        </w:rPr>
        <w:t xml:space="preserve"> </w:t>
      </w:r>
      <w:proofErr w:type="spellStart"/>
      <w:proofErr w:type="gramStart"/>
      <w:r w:rsidR="00DB4BD3">
        <w:rPr>
          <w:rFonts w:ascii="Times New Roman" w:hAnsi="Times New Roman" w:cs="Times New Roman"/>
          <w:sz w:val="18"/>
          <w:szCs w:val="18"/>
        </w:rPr>
        <w:t>ECtHR</w:t>
      </w:r>
      <w:proofErr w:type="spellEnd"/>
      <w:r w:rsidR="00DB4BD3">
        <w:rPr>
          <w:rFonts w:ascii="Times New Roman" w:hAnsi="Times New Roman" w:cs="Times New Roman"/>
          <w:sz w:val="18"/>
          <w:szCs w:val="18"/>
        </w:rPr>
        <w:t xml:space="preserve">, </w:t>
      </w:r>
      <w:proofErr w:type="spellStart"/>
      <w:r w:rsidRPr="00A46B17">
        <w:rPr>
          <w:rFonts w:ascii="Times New Roman" w:hAnsi="Times New Roman" w:cs="Times New Roman"/>
          <w:i/>
          <w:sz w:val="18"/>
          <w:szCs w:val="18"/>
        </w:rPr>
        <w:t>Vinter</w:t>
      </w:r>
      <w:proofErr w:type="spellEnd"/>
      <w:r w:rsidRPr="00A46B17">
        <w:rPr>
          <w:rFonts w:ascii="Times New Roman" w:hAnsi="Times New Roman" w:cs="Times New Roman"/>
          <w:i/>
          <w:sz w:val="18"/>
          <w:szCs w:val="18"/>
        </w:rPr>
        <w:t xml:space="preserve"> &amp; </w:t>
      </w:r>
      <w:proofErr w:type="spellStart"/>
      <w:r w:rsidRPr="00A46B17">
        <w:rPr>
          <w:rFonts w:ascii="Times New Roman" w:hAnsi="Times New Roman" w:cs="Times New Roman"/>
          <w:i/>
          <w:sz w:val="18"/>
          <w:szCs w:val="18"/>
        </w:rPr>
        <w:t>Ors</w:t>
      </w:r>
      <w:proofErr w:type="spellEnd"/>
      <w:r w:rsidRPr="00A46B17">
        <w:rPr>
          <w:rFonts w:ascii="Times New Roman" w:hAnsi="Times New Roman" w:cs="Times New Roman"/>
          <w:i/>
          <w:sz w:val="18"/>
          <w:szCs w:val="18"/>
        </w:rPr>
        <w:t xml:space="preserve"> v United Kingdom</w:t>
      </w:r>
      <w:r>
        <w:rPr>
          <w:rFonts w:ascii="Times New Roman" w:hAnsi="Times New Roman" w:cs="Times New Roman"/>
          <w:sz w:val="18"/>
          <w:szCs w:val="18"/>
        </w:rPr>
        <w:t xml:space="preserve">, </w:t>
      </w:r>
      <w:r w:rsidRPr="00A46B17">
        <w:rPr>
          <w:rFonts w:ascii="Times New Roman" w:hAnsi="Times New Roman" w:cs="Times New Roman"/>
          <w:sz w:val="18"/>
          <w:szCs w:val="18"/>
        </w:rPr>
        <w:t>App</w:t>
      </w:r>
      <w:r>
        <w:rPr>
          <w:rFonts w:ascii="Times New Roman" w:hAnsi="Times New Roman" w:cs="Times New Roman"/>
          <w:sz w:val="18"/>
          <w:szCs w:val="18"/>
        </w:rPr>
        <w:t>l</w:t>
      </w:r>
      <w:r w:rsidR="00DB4BD3">
        <w:rPr>
          <w:rFonts w:ascii="Times New Roman" w:hAnsi="Times New Roman" w:cs="Times New Roman"/>
          <w:sz w:val="18"/>
          <w:szCs w:val="18"/>
        </w:rPr>
        <w:t>.</w:t>
      </w:r>
      <w:r w:rsidRPr="00A46B17">
        <w:rPr>
          <w:rFonts w:ascii="Times New Roman" w:hAnsi="Times New Roman" w:cs="Times New Roman"/>
          <w:sz w:val="18"/>
          <w:szCs w:val="18"/>
        </w:rPr>
        <w:t xml:space="preserve"> Nos. 66069/09, 3896/10 and 130/10 </w:t>
      </w:r>
      <w:r w:rsidR="00DB4BD3">
        <w:rPr>
          <w:rFonts w:ascii="Times New Roman" w:hAnsi="Times New Roman" w:cs="Times New Roman"/>
          <w:sz w:val="18"/>
          <w:szCs w:val="18"/>
        </w:rPr>
        <w:t>(</w:t>
      </w:r>
      <w:r w:rsidRPr="00A46B17">
        <w:rPr>
          <w:rFonts w:ascii="Times New Roman" w:hAnsi="Times New Roman" w:cs="Times New Roman"/>
          <w:sz w:val="18"/>
          <w:szCs w:val="18"/>
        </w:rPr>
        <w:t>2013</w:t>
      </w:r>
      <w:r w:rsidR="00DB4BD3">
        <w:rPr>
          <w:rFonts w:ascii="Times New Roman" w:hAnsi="Times New Roman" w:cs="Times New Roman"/>
          <w:sz w:val="18"/>
          <w:szCs w:val="18"/>
        </w:rPr>
        <w:t>)</w:t>
      </w:r>
      <w:r w:rsidRPr="00A46B17">
        <w:rPr>
          <w:rFonts w:ascii="Times New Roman" w:hAnsi="Times New Roman" w:cs="Times New Roman"/>
          <w:sz w:val="18"/>
          <w:szCs w:val="18"/>
        </w:rPr>
        <w:t>.</w:t>
      </w:r>
      <w:proofErr w:type="gramEnd"/>
    </w:p>
  </w:footnote>
  <w:footnote w:id="142">
    <w:p w:rsidR="002D4244" w:rsidRPr="00A46B17" w:rsidRDefault="002D4244" w:rsidP="00E23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A46B17">
        <w:rPr>
          <w:rStyle w:val="FootnoteReference"/>
          <w:rFonts w:cs="Times New Roman"/>
          <w:szCs w:val="18"/>
        </w:rPr>
        <w:footnoteRef/>
      </w:r>
      <w:r w:rsidRPr="00A46B17">
        <w:rPr>
          <w:rFonts w:ascii="Times New Roman" w:hAnsi="Times New Roman" w:cs="Times New Roman"/>
          <w:sz w:val="18"/>
          <w:szCs w:val="18"/>
        </w:rPr>
        <w:t xml:space="preserve"> </w:t>
      </w:r>
      <w:r w:rsidRPr="00A46B17">
        <w:rPr>
          <w:rFonts w:ascii="Times New Roman" w:hAnsi="Times New Roman" w:cs="Times New Roman"/>
          <w:bCs/>
          <w:sz w:val="18"/>
          <w:szCs w:val="18"/>
          <w:lang w:val="en-US"/>
        </w:rPr>
        <w:t>Interim report of the Special Rapporteur on torture and other cruel, inhuman or degrading treatment or punishment, A/67/279, 9 August 2012, para. 42.</w:t>
      </w:r>
    </w:p>
  </w:footnote>
  <w:footnote w:id="143">
    <w:p w:rsidR="002D4244" w:rsidRPr="00A46B17" w:rsidRDefault="002D4244" w:rsidP="00E236BB">
      <w:pPr>
        <w:pStyle w:val="FootnoteText"/>
        <w:rPr>
          <w:szCs w:val="18"/>
        </w:rPr>
      </w:pPr>
      <w:r w:rsidRPr="00A46B17">
        <w:rPr>
          <w:rStyle w:val="FootnoteReference"/>
          <w:szCs w:val="18"/>
        </w:rPr>
        <w:footnoteRef/>
      </w:r>
      <w:r w:rsidRPr="00A46B17">
        <w:rPr>
          <w:szCs w:val="18"/>
        </w:rPr>
        <w:t xml:space="preserve"> </w:t>
      </w:r>
      <w:r w:rsidRPr="00A46B17">
        <w:rPr>
          <w:i/>
          <w:iCs/>
          <w:color w:val="000000"/>
          <w:szCs w:val="18"/>
          <w:lang w:val="en-US"/>
        </w:rPr>
        <w:t>Kindler v. Canada</w:t>
      </w:r>
      <w:r w:rsidRPr="00A46B17">
        <w:rPr>
          <w:color w:val="000000"/>
          <w:szCs w:val="18"/>
          <w:lang w:val="en-US"/>
        </w:rPr>
        <w:t>, Comm. No. 470/1991, paras. 15.2-15.3.</w:t>
      </w:r>
    </w:p>
  </w:footnote>
  <w:footnote w:id="144">
    <w:p w:rsidR="002D4244" w:rsidRPr="00A46B17" w:rsidRDefault="002D4244" w:rsidP="00E23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A46B17">
        <w:rPr>
          <w:rStyle w:val="FootnoteReference"/>
          <w:rFonts w:cs="Times New Roman"/>
          <w:szCs w:val="18"/>
        </w:rPr>
        <w:footnoteRef/>
      </w:r>
      <w:r w:rsidRPr="00A46B17">
        <w:rPr>
          <w:rFonts w:ascii="Times New Roman" w:hAnsi="Times New Roman" w:cs="Times New Roman"/>
          <w:sz w:val="18"/>
          <w:szCs w:val="18"/>
        </w:rPr>
        <w:t xml:space="preserve"> See, </w:t>
      </w:r>
      <w:proofErr w:type="spellStart"/>
      <w:r w:rsidRPr="00A46B17">
        <w:rPr>
          <w:rFonts w:ascii="Times New Roman" w:hAnsi="Times New Roman" w:cs="Times New Roman"/>
          <w:sz w:val="18"/>
          <w:szCs w:val="18"/>
        </w:rPr>
        <w:t>eg</w:t>
      </w:r>
      <w:proofErr w:type="spellEnd"/>
      <w:r w:rsidRPr="00A46B17">
        <w:rPr>
          <w:rFonts w:ascii="Times New Roman" w:hAnsi="Times New Roman" w:cs="Times New Roman"/>
          <w:sz w:val="18"/>
          <w:szCs w:val="18"/>
        </w:rPr>
        <w:t xml:space="preserve">. </w:t>
      </w:r>
      <w:r w:rsidRPr="00A46B17">
        <w:rPr>
          <w:rFonts w:ascii="Times New Roman" w:hAnsi="Times New Roman" w:cs="Times New Roman"/>
          <w:color w:val="000000"/>
          <w:sz w:val="18"/>
          <w:szCs w:val="18"/>
          <w:lang w:val="en-US"/>
        </w:rPr>
        <w:t>Concluding</w:t>
      </w:r>
      <w:r w:rsidRPr="00A46B17">
        <w:rPr>
          <w:rFonts w:ascii="Times New Roman" w:hAnsi="Times New Roman" w:cs="Times New Roman"/>
          <w:sz w:val="18"/>
          <w:szCs w:val="18"/>
        </w:rPr>
        <w:t xml:space="preserve"> observations on Japan</w:t>
      </w:r>
      <w:r w:rsidR="00DB4BD3">
        <w:rPr>
          <w:rFonts w:ascii="Times New Roman" w:hAnsi="Times New Roman" w:cs="Times New Roman"/>
          <w:sz w:val="18"/>
          <w:szCs w:val="18"/>
        </w:rPr>
        <w:t xml:space="preserve">, </w:t>
      </w:r>
      <w:r w:rsidR="00DB4BD3">
        <w:rPr>
          <w:rFonts w:ascii="Times New Roman" w:hAnsi="Times New Roman" w:cs="Times New Roman"/>
          <w:i/>
          <w:sz w:val="18"/>
          <w:szCs w:val="18"/>
        </w:rPr>
        <w:t>supra</w:t>
      </w:r>
      <w:r w:rsidR="00DB4BD3">
        <w:rPr>
          <w:rFonts w:ascii="Times New Roman" w:hAnsi="Times New Roman" w:cs="Times New Roman"/>
          <w:sz w:val="18"/>
          <w:szCs w:val="18"/>
        </w:rPr>
        <w:t xml:space="preserve"> n. 112</w:t>
      </w:r>
      <w:r>
        <w:rPr>
          <w:rFonts w:ascii="Times New Roman" w:hAnsi="Times New Roman" w:cs="Times New Roman"/>
          <w:sz w:val="18"/>
          <w:szCs w:val="18"/>
        </w:rPr>
        <w:t>; Concluding Observations on</w:t>
      </w:r>
      <w:r w:rsidRPr="00A46B17">
        <w:rPr>
          <w:rFonts w:ascii="Times New Roman" w:hAnsi="Times New Roman" w:cs="Times New Roman"/>
          <w:sz w:val="18"/>
          <w:szCs w:val="18"/>
        </w:rPr>
        <w:t xml:space="preserve"> Thailand, CCPR/CO/84/THA (2005)</w:t>
      </w:r>
      <w:r>
        <w:rPr>
          <w:rFonts w:ascii="Times New Roman" w:hAnsi="Times New Roman" w:cs="Times New Roman"/>
          <w:sz w:val="18"/>
          <w:szCs w:val="18"/>
        </w:rPr>
        <w:t>; Concluding Observations on</w:t>
      </w:r>
      <w:r w:rsidRPr="00A46B17">
        <w:rPr>
          <w:rFonts w:ascii="Times New Roman" w:hAnsi="Times New Roman" w:cs="Times New Roman"/>
          <w:sz w:val="18"/>
          <w:szCs w:val="18"/>
        </w:rPr>
        <w:t xml:space="preserve"> Uzbekistan, CCPR/CO/71/UZB (2001)</w:t>
      </w:r>
      <w:r>
        <w:rPr>
          <w:rFonts w:ascii="Times New Roman" w:hAnsi="Times New Roman" w:cs="Times New Roman"/>
          <w:sz w:val="18"/>
          <w:szCs w:val="18"/>
        </w:rPr>
        <w:t>; Concluding Observations on</w:t>
      </w:r>
      <w:r w:rsidRPr="00A46B17">
        <w:rPr>
          <w:rFonts w:ascii="Times New Roman" w:hAnsi="Times New Roman" w:cs="Times New Roman"/>
          <w:sz w:val="18"/>
          <w:szCs w:val="18"/>
        </w:rPr>
        <w:t xml:space="preserve"> Tanzania, CCPR/C/TZA/CO/4 (2009).</w:t>
      </w:r>
    </w:p>
  </w:footnote>
  <w:footnote w:id="145">
    <w:p w:rsidR="002D4244" w:rsidRPr="00A46B17" w:rsidRDefault="002D4244" w:rsidP="00E23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A46B17">
        <w:rPr>
          <w:rStyle w:val="FootnoteReference"/>
          <w:rFonts w:cs="Times New Roman"/>
          <w:szCs w:val="18"/>
        </w:rPr>
        <w:footnoteRef/>
      </w:r>
      <w:r w:rsidRPr="00A46B17">
        <w:rPr>
          <w:rFonts w:ascii="Times New Roman" w:hAnsi="Times New Roman" w:cs="Times New Roman"/>
          <w:sz w:val="18"/>
          <w:szCs w:val="18"/>
        </w:rPr>
        <w:t xml:space="preserve"> See, </w:t>
      </w:r>
      <w:proofErr w:type="spellStart"/>
      <w:r w:rsidRPr="00A46B17">
        <w:rPr>
          <w:rFonts w:ascii="Times New Roman" w:hAnsi="Times New Roman" w:cs="Times New Roman"/>
          <w:sz w:val="18"/>
          <w:szCs w:val="18"/>
        </w:rPr>
        <w:t>eg</w:t>
      </w:r>
      <w:proofErr w:type="spellEnd"/>
      <w:r w:rsidRPr="00A46B17">
        <w:rPr>
          <w:rFonts w:ascii="Times New Roman" w:hAnsi="Times New Roman" w:cs="Times New Roman"/>
          <w:sz w:val="18"/>
          <w:szCs w:val="18"/>
        </w:rPr>
        <w:t xml:space="preserve">. </w:t>
      </w:r>
      <w:proofErr w:type="spellStart"/>
      <w:r w:rsidR="00DB4BD3">
        <w:rPr>
          <w:rFonts w:ascii="Times New Roman" w:hAnsi="Times New Roman" w:cs="Times New Roman"/>
          <w:sz w:val="18"/>
          <w:szCs w:val="18"/>
        </w:rPr>
        <w:t>ECtHR</w:t>
      </w:r>
      <w:proofErr w:type="spellEnd"/>
      <w:r w:rsidRPr="00A46B17">
        <w:rPr>
          <w:rFonts w:ascii="Times New Roman" w:hAnsi="Times New Roman" w:cs="Times New Roman"/>
          <w:sz w:val="18"/>
          <w:szCs w:val="18"/>
        </w:rPr>
        <w:t xml:space="preserve">, </w:t>
      </w:r>
      <w:proofErr w:type="spellStart"/>
      <w:r w:rsidRPr="00A46B17">
        <w:rPr>
          <w:rFonts w:ascii="Times New Roman" w:hAnsi="Times New Roman" w:cs="Times New Roman"/>
          <w:i/>
          <w:iCs/>
          <w:color w:val="000000"/>
          <w:sz w:val="18"/>
          <w:szCs w:val="18"/>
          <w:lang w:val="en-US"/>
        </w:rPr>
        <w:t>Soering</w:t>
      </w:r>
      <w:proofErr w:type="spellEnd"/>
      <w:r w:rsidRPr="00A46B17">
        <w:rPr>
          <w:rFonts w:ascii="Times New Roman" w:hAnsi="Times New Roman" w:cs="Times New Roman"/>
          <w:i/>
          <w:iCs/>
          <w:color w:val="000000"/>
          <w:sz w:val="18"/>
          <w:szCs w:val="18"/>
          <w:lang w:val="en-US"/>
        </w:rPr>
        <w:t xml:space="preserve"> v. United Kingdom </w:t>
      </w:r>
      <w:r w:rsidRPr="00A46B17">
        <w:rPr>
          <w:rFonts w:ascii="Times New Roman" w:hAnsi="Times New Roman" w:cs="Times New Roman"/>
          <w:color w:val="000000"/>
          <w:sz w:val="18"/>
          <w:szCs w:val="18"/>
          <w:lang w:val="en-US"/>
        </w:rPr>
        <w:t>App</w:t>
      </w:r>
      <w:r w:rsidR="00DB4BD3">
        <w:rPr>
          <w:rFonts w:ascii="Times New Roman" w:hAnsi="Times New Roman" w:cs="Times New Roman"/>
          <w:color w:val="000000"/>
          <w:sz w:val="18"/>
          <w:szCs w:val="18"/>
          <w:lang w:val="en-US"/>
        </w:rPr>
        <w:t>l</w:t>
      </w:r>
      <w:r w:rsidRPr="00A46B17">
        <w:rPr>
          <w:rFonts w:ascii="Times New Roman" w:hAnsi="Times New Roman" w:cs="Times New Roman"/>
          <w:color w:val="000000"/>
          <w:sz w:val="18"/>
          <w:szCs w:val="18"/>
          <w:lang w:val="en-US"/>
        </w:rPr>
        <w:t>. No. 14038/88</w:t>
      </w:r>
      <w:r w:rsidR="00DB4BD3">
        <w:rPr>
          <w:rFonts w:ascii="Times New Roman" w:hAnsi="Times New Roman" w:cs="Times New Roman"/>
          <w:color w:val="000000"/>
          <w:sz w:val="18"/>
          <w:szCs w:val="18"/>
          <w:lang w:val="en-US"/>
        </w:rPr>
        <w:t xml:space="preserve"> (1989), </w:t>
      </w:r>
      <w:r w:rsidRPr="00A46B17">
        <w:rPr>
          <w:rFonts w:ascii="Times New Roman" w:hAnsi="Times New Roman" w:cs="Times New Roman"/>
          <w:color w:val="000000"/>
          <w:sz w:val="18"/>
          <w:szCs w:val="18"/>
          <w:lang w:val="en-US"/>
        </w:rPr>
        <w:t>para. 111; I</w:t>
      </w:r>
      <w:r>
        <w:rPr>
          <w:rFonts w:ascii="Times New Roman" w:hAnsi="Times New Roman" w:cs="Times New Roman"/>
          <w:color w:val="000000"/>
          <w:sz w:val="18"/>
          <w:szCs w:val="18"/>
          <w:lang w:val="en-US"/>
        </w:rPr>
        <w:t>nter-American Court on Human Rights</w:t>
      </w:r>
      <w:r w:rsidRPr="00A46B17">
        <w:rPr>
          <w:rFonts w:ascii="Times New Roman" w:hAnsi="Times New Roman" w:cs="Times New Roman"/>
          <w:color w:val="000000"/>
          <w:sz w:val="18"/>
          <w:szCs w:val="18"/>
          <w:lang w:val="en-US"/>
        </w:rPr>
        <w:t xml:space="preserve">, </w:t>
      </w:r>
      <w:proofErr w:type="spellStart"/>
      <w:r w:rsidRPr="00A46B17">
        <w:rPr>
          <w:rFonts w:ascii="Times New Roman" w:hAnsi="Times New Roman" w:cs="Times New Roman"/>
          <w:i/>
          <w:iCs/>
          <w:color w:val="000000"/>
          <w:sz w:val="18"/>
          <w:szCs w:val="18"/>
          <w:lang w:val="en-US"/>
        </w:rPr>
        <w:t>Hilaire</w:t>
      </w:r>
      <w:proofErr w:type="spellEnd"/>
      <w:r w:rsidRPr="00A46B17">
        <w:rPr>
          <w:rFonts w:ascii="Times New Roman" w:hAnsi="Times New Roman" w:cs="Times New Roman"/>
          <w:i/>
          <w:iCs/>
          <w:color w:val="000000"/>
          <w:sz w:val="18"/>
          <w:szCs w:val="18"/>
          <w:lang w:val="en-US"/>
        </w:rPr>
        <w:t xml:space="preserve">, Constantine and Benjamin et al. v. Trinidad and Tobago </w:t>
      </w:r>
      <w:r w:rsidRPr="00A46B17">
        <w:rPr>
          <w:rFonts w:ascii="Times New Roman" w:hAnsi="Times New Roman" w:cs="Times New Roman"/>
          <w:color w:val="000000"/>
          <w:sz w:val="18"/>
          <w:szCs w:val="18"/>
          <w:lang w:val="en-US"/>
        </w:rPr>
        <w:t>(</w:t>
      </w:r>
      <w:r w:rsidRPr="00A46B17">
        <w:rPr>
          <w:rFonts w:ascii="Times New Roman" w:hAnsi="Times New Roman" w:cs="Times New Roman"/>
          <w:sz w:val="18"/>
          <w:szCs w:val="18"/>
          <w:lang w:val="en-US"/>
        </w:rPr>
        <w:t>2002</w:t>
      </w:r>
      <w:r w:rsidRPr="00A46B17">
        <w:rPr>
          <w:rFonts w:ascii="Times New Roman" w:hAnsi="Times New Roman" w:cs="Times New Roman"/>
          <w:color w:val="000000"/>
          <w:sz w:val="18"/>
          <w:szCs w:val="18"/>
          <w:lang w:val="en-US"/>
        </w:rPr>
        <w:t>), Judgment of 21 June 2002, paras. 167 and 168; I</w:t>
      </w:r>
      <w:r>
        <w:rPr>
          <w:rFonts w:ascii="Times New Roman" w:hAnsi="Times New Roman" w:cs="Times New Roman"/>
          <w:color w:val="000000"/>
          <w:sz w:val="18"/>
          <w:szCs w:val="18"/>
          <w:lang w:val="en-US"/>
        </w:rPr>
        <w:t>nter-American Commission on Human Rights</w:t>
      </w:r>
      <w:r w:rsidRPr="00A46B17">
        <w:rPr>
          <w:rFonts w:ascii="Times New Roman" w:hAnsi="Times New Roman" w:cs="Times New Roman"/>
          <w:color w:val="000000"/>
          <w:sz w:val="18"/>
          <w:szCs w:val="18"/>
          <w:lang w:val="en-US"/>
        </w:rPr>
        <w:t xml:space="preserve">, </w:t>
      </w:r>
      <w:r w:rsidRPr="00A46B17">
        <w:rPr>
          <w:rFonts w:ascii="Times New Roman" w:hAnsi="Times New Roman" w:cs="Times New Roman"/>
          <w:i/>
          <w:iCs/>
          <w:color w:val="000000"/>
          <w:sz w:val="18"/>
          <w:szCs w:val="18"/>
          <w:lang w:val="en-US"/>
        </w:rPr>
        <w:t>The Death Penalty in the Inter-American Human Rights System: From Restrictions to Abolition</w:t>
      </w:r>
      <w:r w:rsidRPr="00A46B17">
        <w:rPr>
          <w:rFonts w:ascii="Times New Roman" w:hAnsi="Times New Roman" w:cs="Times New Roman"/>
          <w:color w:val="000000"/>
          <w:sz w:val="18"/>
          <w:szCs w:val="18"/>
          <w:lang w:val="en-US"/>
        </w:rPr>
        <w:t>, OEA/</w:t>
      </w:r>
      <w:proofErr w:type="spellStart"/>
      <w:r w:rsidRPr="00A46B17">
        <w:rPr>
          <w:rFonts w:ascii="Times New Roman" w:hAnsi="Times New Roman" w:cs="Times New Roman"/>
          <w:color w:val="000000"/>
          <w:sz w:val="18"/>
          <w:szCs w:val="18"/>
          <w:lang w:val="en-US"/>
        </w:rPr>
        <w:t>Ser.L</w:t>
      </w:r>
      <w:proofErr w:type="spellEnd"/>
      <w:r w:rsidRPr="00A46B17">
        <w:rPr>
          <w:rFonts w:ascii="Times New Roman" w:hAnsi="Times New Roman" w:cs="Times New Roman"/>
          <w:color w:val="000000"/>
          <w:sz w:val="18"/>
          <w:szCs w:val="18"/>
          <w:lang w:val="en-US"/>
        </w:rPr>
        <w:t xml:space="preserve">/V/II, Doc. 68 (31 December 2011); Privy Council in </w:t>
      </w:r>
      <w:r w:rsidRPr="00A46B17">
        <w:rPr>
          <w:rFonts w:ascii="Times New Roman" w:hAnsi="Times New Roman" w:cs="Times New Roman"/>
          <w:i/>
          <w:iCs/>
          <w:color w:val="000000"/>
          <w:sz w:val="18"/>
          <w:szCs w:val="18"/>
          <w:lang w:val="en-US"/>
        </w:rPr>
        <w:t>Pratt v. Attorney General for Jamaica</w:t>
      </w:r>
      <w:r w:rsidRPr="00A46B17">
        <w:rPr>
          <w:rFonts w:ascii="Times New Roman" w:hAnsi="Times New Roman" w:cs="Times New Roman"/>
          <w:color w:val="000000"/>
          <w:sz w:val="18"/>
          <w:szCs w:val="18"/>
          <w:lang w:val="en-US"/>
        </w:rPr>
        <w:t xml:space="preserve">, Appeal No. 10.22 (1993); Supreme Court of Canada in </w:t>
      </w:r>
      <w:r w:rsidRPr="00A46B17">
        <w:rPr>
          <w:rFonts w:ascii="Times New Roman" w:hAnsi="Times New Roman" w:cs="Times New Roman"/>
          <w:i/>
          <w:iCs/>
          <w:color w:val="000000"/>
          <w:sz w:val="18"/>
          <w:szCs w:val="18"/>
          <w:lang w:val="en-US"/>
        </w:rPr>
        <w:t>Kindler v. Canada (Minister of Justice)</w:t>
      </w:r>
      <w:r w:rsidRPr="00A46B17">
        <w:rPr>
          <w:rFonts w:ascii="Times New Roman" w:hAnsi="Times New Roman" w:cs="Times New Roman"/>
          <w:color w:val="000000"/>
          <w:sz w:val="18"/>
          <w:szCs w:val="18"/>
          <w:lang w:val="en-US"/>
        </w:rPr>
        <w:t xml:space="preserve">, 2 S.C.R. 779 (1991); Supreme Court of Zimbabwe of 24 June 1993 in </w:t>
      </w:r>
      <w:r w:rsidRPr="00A46B17">
        <w:rPr>
          <w:rFonts w:ascii="Times New Roman" w:hAnsi="Times New Roman" w:cs="Times New Roman"/>
          <w:i/>
          <w:iCs/>
          <w:color w:val="000000"/>
          <w:sz w:val="18"/>
          <w:szCs w:val="18"/>
          <w:lang w:val="en-US"/>
        </w:rPr>
        <w:t xml:space="preserve">Catholic Commissioner for Justice and Peace in Zimbabwe v. Attorney General </w:t>
      </w:r>
      <w:r w:rsidRPr="00A46B17">
        <w:rPr>
          <w:rFonts w:ascii="Times New Roman" w:hAnsi="Times New Roman" w:cs="Times New Roman"/>
          <w:color w:val="000000"/>
          <w:sz w:val="18"/>
          <w:szCs w:val="18"/>
          <w:lang w:val="en-US"/>
        </w:rPr>
        <w:t>(4) SA 239 (ZS).</w:t>
      </w:r>
    </w:p>
  </w:footnote>
  <w:footnote w:id="146">
    <w:p w:rsidR="002D4244" w:rsidRPr="00A46B17" w:rsidRDefault="002D4244" w:rsidP="00E236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A46B17">
        <w:rPr>
          <w:rStyle w:val="FootnoteReference"/>
          <w:rFonts w:cs="Times New Roman"/>
          <w:szCs w:val="18"/>
        </w:rPr>
        <w:footnoteRef/>
      </w:r>
      <w:r w:rsidRPr="00A46B17">
        <w:rPr>
          <w:rFonts w:ascii="Times New Roman" w:hAnsi="Times New Roman" w:cs="Times New Roman"/>
          <w:sz w:val="18"/>
          <w:szCs w:val="18"/>
        </w:rPr>
        <w:t xml:space="preserve"> </w:t>
      </w:r>
      <w:proofErr w:type="gramStart"/>
      <w:r w:rsidRPr="00A46B17">
        <w:rPr>
          <w:rFonts w:ascii="Times New Roman" w:hAnsi="Times New Roman" w:cs="Times New Roman"/>
          <w:bCs/>
          <w:sz w:val="18"/>
          <w:szCs w:val="18"/>
          <w:lang w:val="en-US"/>
        </w:rPr>
        <w:t xml:space="preserve">Interim report of the Special Rapporteur on torture and other cruel, inhuman or degrading treatment or </w:t>
      </w:r>
      <w:r w:rsidRPr="00A46B17">
        <w:rPr>
          <w:rFonts w:ascii="Times New Roman" w:hAnsi="Times New Roman" w:cs="Times New Roman"/>
          <w:color w:val="000000"/>
          <w:sz w:val="18"/>
          <w:szCs w:val="18"/>
          <w:lang w:val="en-US"/>
        </w:rPr>
        <w:t>punishment</w:t>
      </w:r>
      <w:r w:rsidRPr="00A46B17">
        <w:rPr>
          <w:rFonts w:ascii="Times New Roman" w:hAnsi="Times New Roman" w:cs="Times New Roman"/>
          <w:bCs/>
          <w:sz w:val="18"/>
          <w:szCs w:val="18"/>
          <w:lang w:val="en-US"/>
        </w:rPr>
        <w:t xml:space="preserve">, </w:t>
      </w:r>
      <w:r>
        <w:rPr>
          <w:rFonts w:ascii="Times New Roman" w:hAnsi="Times New Roman" w:cs="Times New Roman"/>
          <w:bCs/>
          <w:i/>
          <w:sz w:val="18"/>
          <w:szCs w:val="18"/>
          <w:lang w:val="en-US"/>
        </w:rPr>
        <w:t xml:space="preserve">supra </w:t>
      </w:r>
      <w:r w:rsidR="00FA0F18">
        <w:rPr>
          <w:rFonts w:ascii="Times New Roman" w:hAnsi="Times New Roman" w:cs="Times New Roman"/>
          <w:bCs/>
          <w:sz w:val="18"/>
          <w:szCs w:val="18"/>
          <w:lang w:val="en-US"/>
        </w:rPr>
        <w:t>n. 141</w:t>
      </w:r>
      <w:r w:rsidRPr="00A46B17">
        <w:rPr>
          <w:rFonts w:ascii="Times New Roman" w:hAnsi="Times New Roman" w:cs="Times New Roman"/>
          <w:bCs/>
          <w:sz w:val="18"/>
          <w:szCs w:val="18"/>
          <w:lang w:val="en-US"/>
        </w:rPr>
        <w:t>, para.</w:t>
      </w:r>
      <w:proofErr w:type="gramEnd"/>
      <w:r w:rsidRPr="00A46B17">
        <w:rPr>
          <w:rFonts w:ascii="Times New Roman" w:hAnsi="Times New Roman" w:cs="Times New Roman"/>
          <w:bCs/>
          <w:sz w:val="18"/>
          <w:szCs w:val="18"/>
          <w:lang w:val="en-US"/>
        </w:rPr>
        <w:t xml:space="preserve"> 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3083BE"/>
    <w:lvl w:ilvl="0">
      <w:start w:val="1"/>
      <w:numFmt w:val="decimal"/>
      <w:lvlText w:val="%1."/>
      <w:lvlJc w:val="left"/>
      <w:pPr>
        <w:tabs>
          <w:tab w:val="num" w:pos="1492"/>
        </w:tabs>
        <w:ind w:left="1492" w:hanging="360"/>
      </w:pPr>
    </w:lvl>
  </w:abstractNum>
  <w:abstractNum w:abstractNumId="1">
    <w:nsid w:val="FFFFFF7D"/>
    <w:multiLevelType w:val="singleLevel"/>
    <w:tmpl w:val="4C282940"/>
    <w:lvl w:ilvl="0">
      <w:start w:val="1"/>
      <w:numFmt w:val="decimal"/>
      <w:lvlText w:val="%1."/>
      <w:lvlJc w:val="left"/>
      <w:pPr>
        <w:tabs>
          <w:tab w:val="num" w:pos="1209"/>
        </w:tabs>
        <w:ind w:left="1209" w:hanging="360"/>
      </w:pPr>
    </w:lvl>
  </w:abstractNum>
  <w:abstractNum w:abstractNumId="2">
    <w:nsid w:val="FFFFFF7E"/>
    <w:multiLevelType w:val="singleLevel"/>
    <w:tmpl w:val="B2669004"/>
    <w:lvl w:ilvl="0">
      <w:start w:val="1"/>
      <w:numFmt w:val="decimal"/>
      <w:lvlText w:val="%1."/>
      <w:lvlJc w:val="left"/>
      <w:pPr>
        <w:tabs>
          <w:tab w:val="num" w:pos="926"/>
        </w:tabs>
        <w:ind w:left="926" w:hanging="360"/>
      </w:pPr>
    </w:lvl>
  </w:abstractNum>
  <w:abstractNum w:abstractNumId="3">
    <w:nsid w:val="FFFFFF7F"/>
    <w:multiLevelType w:val="singleLevel"/>
    <w:tmpl w:val="7ABAD772"/>
    <w:lvl w:ilvl="0">
      <w:start w:val="1"/>
      <w:numFmt w:val="decimal"/>
      <w:lvlText w:val="%1."/>
      <w:lvlJc w:val="left"/>
      <w:pPr>
        <w:tabs>
          <w:tab w:val="num" w:pos="643"/>
        </w:tabs>
        <w:ind w:left="643" w:hanging="360"/>
      </w:pPr>
    </w:lvl>
  </w:abstractNum>
  <w:abstractNum w:abstractNumId="4">
    <w:nsid w:val="FFFFFF80"/>
    <w:multiLevelType w:val="singleLevel"/>
    <w:tmpl w:val="FEA490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15404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529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B48A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8C30D4"/>
    <w:lvl w:ilvl="0">
      <w:start w:val="1"/>
      <w:numFmt w:val="decimal"/>
      <w:lvlText w:val="%1."/>
      <w:lvlJc w:val="left"/>
      <w:pPr>
        <w:tabs>
          <w:tab w:val="num" w:pos="360"/>
        </w:tabs>
        <w:ind w:left="360" w:hanging="360"/>
      </w:pPr>
    </w:lvl>
  </w:abstractNum>
  <w:abstractNum w:abstractNumId="9">
    <w:nsid w:val="FFFFFF89"/>
    <w:multiLevelType w:val="singleLevel"/>
    <w:tmpl w:val="DE24BC0C"/>
    <w:lvl w:ilvl="0">
      <w:start w:val="1"/>
      <w:numFmt w:val="bullet"/>
      <w:lvlText w:val=""/>
      <w:lvlJc w:val="left"/>
      <w:pPr>
        <w:tabs>
          <w:tab w:val="num" w:pos="360"/>
        </w:tabs>
        <w:ind w:left="360" w:hanging="360"/>
      </w:pPr>
      <w:rPr>
        <w:rFonts w:ascii="Symbol" w:hAnsi="Symbol" w:hint="default"/>
      </w:rPr>
    </w:lvl>
  </w:abstractNum>
  <w:abstractNum w:abstractNumId="10">
    <w:nsid w:val="034B06BC"/>
    <w:multiLevelType w:val="hybridMultilevel"/>
    <w:tmpl w:val="819CAC1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9D0129C"/>
    <w:multiLevelType w:val="multilevel"/>
    <w:tmpl w:val="2278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9D5CC7"/>
    <w:multiLevelType w:val="hybridMultilevel"/>
    <w:tmpl w:val="329E591A"/>
    <w:lvl w:ilvl="0" w:tplc="C0504FD0">
      <w:start w:val="1"/>
      <w:numFmt w:val="lowerRoman"/>
      <w:lvlText w:val="(%1)"/>
      <w:lvlJc w:val="left"/>
      <w:pPr>
        <w:ind w:left="1015" w:hanging="720"/>
      </w:pPr>
      <w:rPr>
        <w:rFonts w:hint="default"/>
      </w:rPr>
    </w:lvl>
    <w:lvl w:ilvl="1" w:tplc="04090019" w:tentative="1">
      <w:start w:val="1"/>
      <w:numFmt w:val="lowerLetter"/>
      <w:lvlText w:val="%2."/>
      <w:lvlJc w:val="left"/>
      <w:pPr>
        <w:ind w:left="1375" w:hanging="360"/>
      </w:pPr>
    </w:lvl>
    <w:lvl w:ilvl="2" w:tplc="0409001B" w:tentative="1">
      <w:start w:val="1"/>
      <w:numFmt w:val="lowerRoman"/>
      <w:lvlText w:val="%3."/>
      <w:lvlJc w:val="right"/>
      <w:pPr>
        <w:ind w:left="2095" w:hanging="180"/>
      </w:pPr>
    </w:lvl>
    <w:lvl w:ilvl="3" w:tplc="0409000F" w:tentative="1">
      <w:start w:val="1"/>
      <w:numFmt w:val="decimal"/>
      <w:lvlText w:val="%4."/>
      <w:lvlJc w:val="left"/>
      <w:pPr>
        <w:ind w:left="2815" w:hanging="360"/>
      </w:pPr>
    </w:lvl>
    <w:lvl w:ilvl="4" w:tplc="04090019" w:tentative="1">
      <w:start w:val="1"/>
      <w:numFmt w:val="lowerLetter"/>
      <w:lvlText w:val="%5."/>
      <w:lvlJc w:val="left"/>
      <w:pPr>
        <w:ind w:left="3535" w:hanging="360"/>
      </w:pPr>
    </w:lvl>
    <w:lvl w:ilvl="5" w:tplc="0409001B" w:tentative="1">
      <w:start w:val="1"/>
      <w:numFmt w:val="lowerRoman"/>
      <w:lvlText w:val="%6."/>
      <w:lvlJc w:val="right"/>
      <w:pPr>
        <w:ind w:left="4255" w:hanging="180"/>
      </w:pPr>
    </w:lvl>
    <w:lvl w:ilvl="6" w:tplc="0409000F" w:tentative="1">
      <w:start w:val="1"/>
      <w:numFmt w:val="decimal"/>
      <w:lvlText w:val="%7."/>
      <w:lvlJc w:val="left"/>
      <w:pPr>
        <w:ind w:left="4975" w:hanging="360"/>
      </w:pPr>
    </w:lvl>
    <w:lvl w:ilvl="7" w:tplc="04090019" w:tentative="1">
      <w:start w:val="1"/>
      <w:numFmt w:val="lowerLetter"/>
      <w:lvlText w:val="%8."/>
      <w:lvlJc w:val="left"/>
      <w:pPr>
        <w:ind w:left="5695" w:hanging="360"/>
      </w:pPr>
    </w:lvl>
    <w:lvl w:ilvl="8" w:tplc="0409001B" w:tentative="1">
      <w:start w:val="1"/>
      <w:numFmt w:val="lowerRoman"/>
      <w:lvlText w:val="%9."/>
      <w:lvlJc w:val="right"/>
      <w:pPr>
        <w:ind w:left="6415" w:hanging="180"/>
      </w:pPr>
    </w:lvl>
  </w:abstractNum>
  <w:abstractNum w:abstractNumId="13">
    <w:nsid w:val="0D151EFC"/>
    <w:multiLevelType w:val="hybridMultilevel"/>
    <w:tmpl w:val="A242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C627DA"/>
    <w:multiLevelType w:val="hybridMultilevel"/>
    <w:tmpl w:val="F08E3A2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0E230487"/>
    <w:multiLevelType w:val="hybridMultilevel"/>
    <w:tmpl w:val="D660C99A"/>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0E980D2E"/>
    <w:multiLevelType w:val="multilevel"/>
    <w:tmpl w:val="AC0A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851E9C"/>
    <w:multiLevelType w:val="multilevel"/>
    <w:tmpl w:val="EA9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CD5CD6"/>
    <w:multiLevelType w:val="multilevel"/>
    <w:tmpl w:val="9C54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277064"/>
    <w:multiLevelType w:val="multilevel"/>
    <w:tmpl w:val="1B22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252189"/>
    <w:multiLevelType w:val="hybridMultilevel"/>
    <w:tmpl w:val="735E7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232299"/>
    <w:multiLevelType w:val="hybridMultilevel"/>
    <w:tmpl w:val="ED4E7D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22357E14"/>
    <w:multiLevelType w:val="hybridMultilevel"/>
    <w:tmpl w:val="867A89C0"/>
    <w:lvl w:ilvl="0" w:tplc="040C0003">
      <w:start w:val="1"/>
      <w:numFmt w:val="bullet"/>
      <w:lvlText w:val="o"/>
      <w:lvlJc w:val="left"/>
      <w:pPr>
        <w:ind w:left="765" w:hanging="360"/>
      </w:pPr>
      <w:rPr>
        <w:rFonts w:ascii="Courier New" w:hAnsi="Courier New" w:cs="Arial" w:hint="default"/>
      </w:rPr>
    </w:lvl>
    <w:lvl w:ilvl="1" w:tplc="040C0003" w:tentative="1">
      <w:start w:val="1"/>
      <w:numFmt w:val="bullet"/>
      <w:lvlText w:val="o"/>
      <w:lvlJc w:val="left"/>
      <w:pPr>
        <w:ind w:left="1485" w:hanging="360"/>
      </w:pPr>
      <w:rPr>
        <w:rFonts w:ascii="Courier New" w:hAnsi="Courier New" w:cs="Arial"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Arial"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Arial" w:hint="default"/>
      </w:rPr>
    </w:lvl>
    <w:lvl w:ilvl="8" w:tplc="040C0005" w:tentative="1">
      <w:start w:val="1"/>
      <w:numFmt w:val="bullet"/>
      <w:lvlText w:val=""/>
      <w:lvlJc w:val="left"/>
      <w:pPr>
        <w:ind w:left="6525" w:hanging="360"/>
      </w:pPr>
      <w:rPr>
        <w:rFonts w:ascii="Wingdings" w:hAnsi="Wingdings" w:hint="default"/>
      </w:rPr>
    </w:lvl>
  </w:abstractNum>
  <w:abstractNum w:abstractNumId="23">
    <w:nsid w:val="26B65E93"/>
    <w:multiLevelType w:val="hybridMultilevel"/>
    <w:tmpl w:val="971C8AC2"/>
    <w:lvl w:ilvl="0" w:tplc="04060001">
      <w:start w:val="1"/>
      <w:numFmt w:val="bullet"/>
      <w:lvlText w:val=""/>
      <w:lvlJc w:val="left"/>
      <w:pPr>
        <w:ind w:left="720" w:hanging="360"/>
      </w:pPr>
      <w:rPr>
        <w:rFonts w:ascii="Symbol" w:hAnsi="Symbol" w:hint="default"/>
      </w:rPr>
    </w:lvl>
    <w:lvl w:ilvl="1" w:tplc="B41037BC">
      <w:start w:val="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1C227C9"/>
    <w:multiLevelType w:val="multilevel"/>
    <w:tmpl w:val="0436E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AB4C24"/>
    <w:multiLevelType w:val="hybridMultilevel"/>
    <w:tmpl w:val="4994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C210582"/>
    <w:multiLevelType w:val="multilevel"/>
    <w:tmpl w:val="077C8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FC2388"/>
    <w:multiLevelType w:val="hybridMultilevel"/>
    <w:tmpl w:val="A5DA1BB2"/>
    <w:lvl w:ilvl="0" w:tplc="BF722192">
      <w:start w:val="1"/>
      <w:numFmt w:val="decimal"/>
      <w:lvlText w:val="%1."/>
      <w:lvlJc w:val="left"/>
      <w:pPr>
        <w:ind w:left="360" w:hanging="360"/>
      </w:pPr>
      <w:rPr>
        <w:i w:val="0"/>
      </w:rPr>
    </w:lvl>
    <w:lvl w:ilvl="1" w:tplc="04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nsid w:val="3FE3243C"/>
    <w:multiLevelType w:val="hybridMultilevel"/>
    <w:tmpl w:val="0B32E156"/>
    <w:lvl w:ilvl="0" w:tplc="3F0AEA4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39B4684"/>
    <w:multiLevelType w:val="hybridMultilevel"/>
    <w:tmpl w:val="FF644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4385065"/>
    <w:multiLevelType w:val="multilevel"/>
    <w:tmpl w:val="DB44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C87A33"/>
    <w:multiLevelType w:val="hybridMultilevel"/>
    <w:tmpl w:val="D6A89F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5381406"/>
    <w:multiLevelType w:val="multilevel"/>
    <w:tmpl w:val="9F62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3D495B"/>
    <w:multiLevelType w:val="multilevel"/>
    <w:tmpl w:val="D59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666AB9"/>
    <w:multiLevelType w:val="hybridMultilevel"/>
    <w:tmpl w:val="EA92864C"/>
    <w:lvl w:ilvl="0" w:tplc="85C431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DF2C37"/>
    <w:multiLevelType w:val="multilevel"/>
    <w:tmpl w:val="1056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8B5F99"/>
    <w:multiLevelType w:val="multilevel"/>
    <w:tmpl w:val="96DC1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2E48D4"/>
    <w:multiLevelType w:val="hybridMultilevel"/>
    <w:tmpl w:val="008E969E"/>
    <w:lvl w:ilvl="0" w:tplc="8982D91E">
      <w:start w:val="1"/>
      <w:numFmt w:val="upperRoman"/>
      <w:lvlText w:val="%1."/>
      <w:lvlJc w:val="left"/>
      <w:pPr>
        <w:ind w:left="1080" w:hanging="720"/>
      </w:pPr>
      <w:rPr>
        <w:rFonts w:asciiTheme="minorHAnsi" w:hAnsi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84319"/>
    <w:multiLevelType w:val="multilevel"/>
    <w:tmpl w:val="9432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BE2E98"/>
    <w:multiLevelType w:val="hybridMultilevel"/>
    <w:tmpl w:val="7CDECC3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nsid w:val="6FEF0101"/>
    <w:multiLevelType w:val="hybridMultilevel"/>
    <w:tmpl w:val="58CC00F2"/>
    <w:lvl w:ilvl="0" w:tplc="269C9E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6E6721"/>
    <w:multiLevelType w:val="hybridMultilevel"/>
    <w:tmpl w:val="A6F82A3E"/>
    <w:lvl w:ilvl="0" w:tplc="04060015">
      <w:start w:val="4"/>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33F1AA7"/>
    <w:multiLevelType w:val="hybridMultilevel"/>
    <w:tmpl w:val="BF5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E36CC8"/>
    <w:multiLevelType w:val="hybridMultilevel"/>
    <w:tmpl w:val="E2602A3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Symbol"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Symbol"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Symbol" w:hint="default"/>
      </w:rPr>
    </w:lvl>
    <w:lvl w:ilvl="8" w:tplc="04060005" w:tentative="1">
      <w:start w:val="1"/>
      <w:numFmt w:val="bullet"/>
      <w:lvlText w:val=""/>
      <w:lvlJc w:val="left"/>
      <w:pPr>
        <w:ind w:left="6840" w:hanging="360"/>
      </w:pPr>
      <w:rPr>
        <w:rFonts w:ascii="Wingdings" w:hAnsi="Wingdings" w:hint="default"/>
      </w:rPr>
    </w:lvl>
  </w:abstractNum>
  <w:abstractNum w:abstractNumId="44">
    <w:nsid w:val="78B74A1C"/>
    <w:multiLevelType w:val="multilevel"/>
    <w:tmpl w:val="A7C2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334373"/>
    <w:multiLevelType w:val="hybridMultilevel"/>
    <w:tmpl w:val="955EC5F0"/>
    <w:lvl w:ilvl="0" w:tplc="A198B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82C68"/>
    <w:multiLevelType w:val="multilevel"/>
    <w:tmpl w:val="9154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2"/>
  </w:num>
  <w:num w:numId="3">
    <w:abstractNumId w:val="21"/>
  </w:num>
  <w:num w:numId="4">
    <w:abstractNumId w:val="19"/>
  </w:num>
  <w:num w:numId="5">
    <w:abstractNumId w:val="44"/>
  </w:num>
  <w:num w:numId="6">
    <w:abstractNumId w:val="26"/>
  </w:num>
  <w:num w:numId="7">
    <w:abstractNumId w:val="38"/>
  </w:num>
  <w:num w:numId="8">
    <w:abstractNumId w:val="18"/>
  </w:num>
  <w:num w:numId="9">
    <w:abstractNumId w:val="32"/>
  </w:num>
  <w:num w:numId="10">
    <w:abstractNumId w:val="30"/>
  </w:num>
  <w:num w:numId="11">
    <w:abstractNumId w:val="24"/>
  </w:num>
  <w:num w:numId="12">
    <w:abstractNumId w:val="11"/>
  </w:num>
  <w:num w:numId="13">
    <w:abstractNumId w:val="36"/>
  </w:num>
  <w:num w:numId="14">
    <w:abstractNumId w:val="17"/>
  </w:num>
  <w:num w:numId="15">
    <w:abstractNumId w:val="46"/>
  </w:num>
  <w:num w:numId="16">
    <w:abstractNumId w:val="16"/>
  </w:num>
  <w:num w:numId="17">
    <w:abstractNumId w:val="35"/>
  </w:num>
  <w:num w:numId="18">
    <w:abstractNumId w:val="33"/>
  </w:num>
  <w:num w:numId="19">
    <w:abstractNumId w:val="29"/>
  </w:num>
  <w:num w:numId="20">
    <w:abstractNumId w:val="42"/>
  </w:num>
  <w:num w:numId="21">
    <w:abstractNumId w:val="40"/>
  </w:num>
  <w:num w:numId="22">
    <w:abstractNumId w:val="28"/>
  </w:num>
  <w:num w:numId="23">
    <w:abstractNumId w:val="25"/>
  </w:num>
  <w:num w:numId="24">
    <w:abstractNumId w:val="13"/>
  </w:num>
  <w:num w:numId="25">
    <w:abstractNumId w:val="12"/>
  </w:num>
  <w:num w:numId="26">
    <w:abstractNumId w:val="20"/>
  </w:num>
  <w:num w:numId="27">
    <w:abstractNumId w:val="39"/>
  </w:num>
  <w:num w:numId="28">
    <w:abstractNumId w:val="45"/>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27"/>
  </w:num>
  <w:num w:numId="32">
    <w:abstractNumId w:val="31"/>
  </w:num>
  <w:num w:numId="33">
    <w:abstractNumId w:val="15"/>
  </w:num>
  <w:num w:numId="34">
    <w:abstractNumId w:val="10"/>
  </w:num>
  <w:num w:numId="35">
    <w:abstractNumId w:val="37"/>
  </w:num>
  <w:num w:numId="36">
    <w:abstractNumId w:val="22"/>
  </w:num>
  <w:num w:numId="37">
    <w:abstractNumId w:val="34"/>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14"/>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B4"/>
    <w:rsid w:val="000011E3"/>
    <w:rsid w:val="000027DC"/>
    <w:rsid w:val="00004F14"/>
    <w:rsid w:val="0001616B"/>
    <w:rsid w:val="000203AF"/>
    <w:rsid w:val="00044790"/>
    <w:rsid w:val="000700FA"/>
    <w:rsid w:val="00077677"/>
    <w:rsid w:val="00087960"/>
    <w:rsid w:val="000A065E"/>
    <w:rsid w:val="000A188A"/>
    <w:rsid w:val="000E1B75"/>
    <w:rsid w:val="000F0C3B"/>
    <w:rsid w:val="0010182F"/>
    <w:rsid w:val="00103A9D"/>
    <w:rsid w:val="00105235"/>
    <w:rsid w:val="0011407A"/>
    <w:rsid w:val="00116FBF"/>
    <w:rsid w:val="00127BF3"/>
    <w:rsid w:val="001306A5"/>
    <w:rsid w:val="00154240"/>
    <w:rsid w:val="00156728"/>
    <w:rsid w:val="00157169"/>
    <w:rsid w:val="0016469D"/>
    <w:rsid w:val="00191435"/>
    <w:rsid w:val="00192683"/>
    <w:rsid w:val="001B6EF3"/>
    <w:rsid w:val="001B7A6A"/>
    <w:rsid w:val="001C221C"/>
    <w:rsid w:val="001C451C"/>
    <w:rsid w:val="001C7A35"/>
    <w:rsid w:val="001D39B4"/>
    <w:rsid w:val="001D5668"/>
    <w:rsid w:val="001E17E0"/>
    <w:rsid w:val="001F39F7"/>
    <w:rsid w:val="0020224F"/>
    <w:rsid w:val="00212BCC"/>
    <w:rsid w:val="00213B15"/>
    <w:rsid w:val="0021599C"/>
    <w:rsid w:val="00230733"/>
    <w:rsid w:val="00237279"/>
    <w:rsid w:val="0024020C"/>
    <w:rsid w:val="002504AD"/>
    <w:rsid w:val="00251C96"/>
    <w:rsid w:val="00257D20"/>
    <w:rsid w:val="00261322"/>
    <w:rsid w:val="002617AA"/>
    <w:rsid w:val="002821C8"/>
    <w:rsid w:val="002B44CC"/>
    <w:rsid w:val="002B62FB"/>
    <w:rsid w:val="002D0B69"/>
    <w:rsid w:val="002D4244"/>
    <w:rsid w:val="002E4915"/>
    <w:rsid w:val="0030774B"/>
    <w:rsid w:val="0031055B"/>
    <w:rsid w:val="00315184"/>
    <w:rsid w:val="00316381"/>
    <w:rsid w:val="00337E8D"/>
    <w:rsid w:val="0036591E"/>
    <w:rsid w:val="003810D2"/>
    <w:rsid w:val="003819A5"/>
    <w:rsid w:val="003900A9"/>
    <w:rsid w:val="003B3718"/>
    <w:rsid w:val="003B61F7"/>
    <w:rsid w:val="003D40FB"/>
    <w:rsid w:val="003E72B9"/>
    <w:rsid w:val="003F0CBB"/>
    <w:rsid w:val="00415004"/>
    <w:rsid w:val="0042785B"/>
    <w:rsid w:val="00434B0F"/>
    <w:rsid w:val="00436ED6"/>
    <w:rsid w:val="00467777"/>
    <w:rsid w:val="00476B59"/>
    <w:rsid w:val="004977E2"/>
    <w:rsid w:val="004C5050"/>
    <w:rsid w:val="004C61F2"/>
    <w:rsid w:val="004C73EB"/>
    <w:rsid w:val="004E0424"/>
    <w:rsid w:val="004E575F"/>
    <w:rsid w:val="004F3693"/>
    <w:rsid w:val="004F5913"/>
    <w:rsid w:val="00510E11"/>
    <w:rsid w:val="0057221F"/>
    <w:rsid w:val="00580CEA"/>
    <w:rsid w:val="005A1CD2"/>
    <w:rsid w:val="005A30F1"/>
    <w:rsid w:val="005A4748"/>
    <w:rsid w:val="005B44D8"/>
    <w:rsid w:val="005C5307"/>
    <w:rsid w:val="005D2710"/>
    <w:rsid w:val="005D2E41"/>
    <w:rsid w:val="005D47A4"/>
    <w:rsid w:val="0060165E"/>
    <w:rsid w:val="00606255"/>
    <w:rsid w:val="00606E64"/>
    <w:rsid w:val="00612314"/>
    <w:rsid w:val="0061636E"/>
    <w:rsid w:val="00623BE9"/>
    <w:rsid w:val="00640097"/>
    <w:rsid w:val="00654241"/>
    <w:rsid w:val="0066425A"/>
    <w:rsid w:val="00675260"/>
    <w:rsid w:val="00681C01"/>
    <w:rsid w:val="00687562"/>
    <w:rsid w:val="00693E1B"/>
    <w:rsid w:val="006B5785"/>
    <w:rsid w:val="006B7F9F"/>
    <w:rsid w:val="006D499A"/>
    <w:rsid w:val="006D5029"/>
    <w:rsid w:val="006F4685"/>
    <w:rsid w:val="00702C75"/>
    <w:rsid w:val="007077E1"/>
    <w:rsid w:val="00720827"/>
    <w:rsid w:val="0074343F"/>
    <w:rsid w:val="007827BA"/>
    <w:rsid w:val="00783B1F"/>
    <w:rsid w:val="00785DEC"/>
    <w:rsid w:val="00791952"/>
    <w:rsid w:val="007925FF"/>
    <w:rsid w:val="00795AB6"/>
    <w:rsid w:val="007A08C3"/>
    <w:rsid w:val="007A41B0"/>
    <w:rsid w:val="007B43F7"/>
    <w:rsid w:val="007C0448"/>
    <w:rsid w:val="007C5426"/>
    <w:rsid w:val="007D28DE"/>
    <w:rsid w:val="007E0489"/>
    <w:rsid w:val="007E2135"/>
    <w:rsid w:val="007E494B"/>
    <w:rsid w:val="007F4D3E"/>
    <w:rsid w:val="007F74FD"/>
    <w:rsid w:val="008013E6"/>
    <w:rsid w:val="00807A95"/>
    <w:rsid w:val="00811783"/>
    <w:rsid w:val="008139B3"/>
    <w:rsid w:val="00826E36"/>
    <w:rsid w:val="0085028D"/>
    <w:rsid w:val="0085562F"/>
    <w:rsid w:val="00864832"/>
    <w:rsid w:val="0086591E"/>
    <w:rsid w:val="0088030C"/>
    <w:rsid w:val="00887A4F"/>
    <w:rsid w:val="008A37F8"/>
    <w:rsid w:val="008B1B17"/>
    <w:rsid w:val="008B77ED"/>
    <w:rsid w:val="008C178B"/>
    <w:rsid w:val="008C4D0B"/>
    <w:rsid w:val="008D62ED"/>
    <w:rsid w:val="008E2C35"/>
    <w:rsid w:val="0092321A"/>
    <w:rsid w:val="00934C26"/>
    <w:rsid w:val="00935C63"/>
    <w:rsid w:val="009361AB"/>
    <w:rsid w:val="00943964"/>
    <w:rsid w:val="00945DDD"/>
    <w:rsid w:val="00950B44"/>
    <w:rsid w:val="00956F5C"/>
    <w:rsid w:val="009575BA"/>
    <w:rsid w:val="0096099E"/>
    <w:rsid w:val="00972A78"/>
    <w:rsid w:val="009757FE"/>
    <w:rsid w:val="0098648B"/>
    <w:rsid w:val="009902CD"/>
    <w:rsid w:val="00995B4F"/>
    <w:rsid w:val="009A2AD6"/>
    <w:rsid w:val="009C1D14"/>
    <w:rsid w:val="009D58B8"/>
    <w:rsid w:val="009E1414"/>
    <w:rsid w:val="009F5A5E"/>
    <w:rsid w:val="009F653D"/>
    <w:rsid w:val="00A023D9"/>
    <w:rsid w:val="00A24381"/>
    <w:rsid w:val="00A274A0"/>
    <w:rsid w:val="00A31202"/>
    <w:rsid w:val="00A35252"/>
    <w:rsid w:val="00A42767"/>
    <w:rsid w:val="00A46B17"/>
    <w:rsid w:val="00A50288"/>
    <w:rsid w:val="00A508C7"/>
    <w:rsid w:val="00A62772"/>
    <w:rsid w:val="00A6400E"/>
    <w:rsid w:val="00A65BB3"/>
    <w:rsid w:val="00A766E0"/>
    <w:rsid w:val="00A95781"/>
    <w:rsid w:val="00AB6869"/>
    <w:rsid w:val="00AC3656"/>
    <w:rsid w:val="00AC4F17"/>
    <w:rsid w:val="00AC5ABC"/>
    <w:rsid w:val="00AD1B49"/>
    <w:rsid w:val="00AD207E"/>
    <w:rsid w:val="00AE1C0B"/>
    <w:rsid w:val="00AE31C1"/>
    <w:rsid w:val="00AE63C2"/>
    <w:rsid w:val="00AE6CE0"/>
    <w:rsid w:val="00B0235F"/>
    <w:rsid w:val="00B062C1"/>
    <w:rsid w:val="00B16457"/>
    <w:rsid w:val="00B434C5"/>
    <w:rsid w:val="00B63AD3"/>
    <w:rsid w:val="00B73ECF"/>
    <w:rsid w:val="00B740CD"/>
    <w:rsid w:val="00B776BE"/>
    <w:rsid w:val="00B82628"/>
    <w:rsid w:val="00B903F0"/>
    <w:rsid w:val="00B935C8"/>
    <w:rsid w:val="00BB1D42"/>
    <w:rsid w:val="00BB2912"/>
    <w:rsid w:val="00BB6188"/>
    <w:rsid w:val="00BB6A32"/>
    <w:rsid w:val="00BC0AF1"/>
    <w:rsid w:val="00BD4638"/>
    <w:rsid w:val="00BE0310"/>
    <w:rsid w:val="00C04356"/>
    <w:rsid w:val="00C1266C"/>
    <w:rsid w:val="00C158BA"/>
    <w:rsid w:val="00C15AC6"/>
    <w:rsid w:val="00C20708"/>
    <w:rsid w:val="00C30AA4"/>
    <w:rsid w:val="00C35497"/>
    <w:rsid w:val="00C55E97"/>
    <w:rsid w:val="00C56410"/>
    <w:rsid w:val="00C62815"/>
    <w:rsid w:val="00C7651F"/>
    <w:rsid w:val="00C83FE6"/>
    <w:rsid w:val="00C86618"/>
    <w:rsid w:val="00C876C4"/>
    <w:rsid w:val="00C90D52"/>
    <w:rsid w:val="00C90E7E"/>
    <w:rsid w:val="00C913CC"/>
    <w:rsid w:val="00C962D1"/>
    <w:rsid w:val="00CB75C6"/>
    <w:rsid w:val="00CC1D36"/>
    <w:rsid w:val="00CC6AC6"/>
    <w:rsid w:val="00CD5418"/>
    <w:rsid w:val="00CE041D"/>
    <w:rsid w:val="00CE0538"/>
    <w:rsid w:val="00CF2EF4"/>
    <w:rsid w:val="00D0774D"/>
    <w:rsid w:val="00D11225"/>
    <w:rsid w:val="00D2186A"/>
    <w:rsid w:val="00D23B4A"/>
    <w:rsid w:val="00D25E9F"/>
    <w:rsid w:val="00D26F3E"/>
    <w:rsid w:val="00D3761D"/>
    <w:rsid w:val="00D70119"/>
    <w:rsid w:val="00D76D85"/>
    <w:rsid w:val="00D8450E"/>
    <w:rsid w:val="00D8726E"/>
    <w:rsid w:val="00D92BAA"/>
    <w:rsid w:val="00D93857"/>
    <w:rsid w:val="00DA4AF8"/>
    <w:rsid w:val="00DA62F7"/>
    <w:rsid w:val="00DB4BD3"/>
    <w:rsid w:val="00DB7E48"/>
    <w:rsid w:val="00DD15B8"/>
    <w:rsid w:val="00DE6E6E"/>
    <w:rsid w:val="00DF31BF"/>
    <w:rsid w:val="00DF71CF"/>
    <w:rsid w:val="00E00D80"/>
    <w:rsid w:val="00E12FED"/>
    <w:rsid w:val="00E170F6"/>
    <w:rsid w:val="00E236BB"/>
    <w:rsid w:val="00E24B95"/>
    <w:rsid w:val="00E47624"/>
    <w:rsid w:val="00E554B2"/>
    <w:rsid w:val="00E65F2F"/>
    <w:rsid w:val="00E660C7"/>
    <w:rsid w:val="00E706BD"/>
    <w:rsid w:val="00E858A0"/>
    <w:rsid w:val="00E94772"/>
    <w:rsid w:val="00E94E67"/>
    <w:rsid w:val="00EB463D"/>
    <w:rsid w:val="00EB68B9"/>
    <w:rsid w:val="00EB76AD"/>
    <w:rsid w:val="00EC5282"/>
    <w:rsid w:val="00EC645C"/>
    <w:rsid w:val="00ED7F49"/>
    <w:rsid w:val="00EE486F"/>
    <w:rsid w:val="00EF1955"/>
    <w:rsid w:val="00F15C98"/>
    <w:rsid w:val="00F27AAD"/>
    <w:rsid w:val="00F40998"/>
    <w:rsid w:val="00F533B8"/>
    <w:rsid w:val="00F6288D"/>
    <w:rsid w:val="00F62C49"/>
    <w:rsid w:val="00F71864"/>
    <w:rsid w:val="00F76A70"/>
    <w:rsid w:val="00F86D6D"/>
    <w:rsid w:val="00F86E9E"/>
    <w:rsid w:val="00F87E7E"/>
    <w:rsid w:val="00FA0F18"/>
    <w:rsid w:val="00FB6F85"/>
    <w:rsid w:val="00FF7A2C"/>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note reference" w:uiPriority="99"/>
    <w:lsdException w:name="Hyperlink" w:uiPriority="99"/>
  </w:latentStyles>
  <w:style w:type="paragraph" w:default="1" w:styleId="Normal">
    <w:name w:val="Normal"/>
    <w:qFormat/>
    <w:rsid w:val="003356F4"/>
    <w:rPr>
      <w:lang w:val="en-GB"/>
    </w:rPr>
  </w:style>
  <w:style w:type="paragraph" w:styleId="Heading1">
    <w:name w:val="heading 1"/>
    <w:basedOn w:val="Normal"/>
    <w:next w:val="Normal"/>
    <w:link w:val="Heading1Char"/>
    <w:rsid w:val="00EB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D218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D20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A4A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39B4"/>
    <w:rPr>
      <w:rFonts w:ascii="Lucida Grande" w:hAnsi="Lucida Grande"/>
      <w:sz w:val="18"/>
      <w:szCs w:val="18"/>
    </w:rPr>
  </w:style>
  <w:style w:type="character" w:customStyle="1" w:styleId="SprechblasentextZeichen">
    <w:name w:val="Sprechblasentext Zeichen"/>
    <w:basedOn w:val="DefaultParagraphFont"/>
    <w:uiPriority w:val="99"/>
    <w:semiHidden/>
    <w:rsid w:val="008A0E9B"/>
    <w:rPr>
      <w:rFonts w:ascii="Lucida Grande" w:hAnsi="Lucida Grande"/>
      <w:sz w:val="18"/>
      <w:szCs w:val="18"/>
    </w:rPr>
  </w:style>
  <w:style w:type="character" w:customStyle="1" w:styleId="BalloonTextChar">
    <w:name w:val="Balloon Text Char"/>
    <w:basedOn w:val="DefaultParagraphFont"/>
    <w:uiPriority w:val="99"/>
    <w:semiHidden/>
    <w:rsid w:val="00F63626"/>
    <w:rPr>
      <w:rFonts w:ascii="Lucida Grande" w:hAnsi="Lucida Grande"/>
      <w:sz w:val="18"/>
      <w:szCs w:val="18"/>
    </w:rPr>
  </w:style>
  <w:style w:type="character" w:customStyle="1" w:styleId="BalloonTextChar0">
    <w:name w:val="Balloon Text Char"/>
    <w:basedOn w:val="DefaultParagraphFont"/>
    <w:uiPriority w:val="99"/>
    <w:semiHidden/>
    <w:rsid w:val="008157F1"/>
    <w:rPr>
      <w:rFonts w:ascii="Lucida Grande" w:hAnsi="Lucida Grande"/>
      <w:sz w:val="18"/>
      <w:szCs w:val="18"/>
    </w:rPr>
  </w:style>
  <w:style w:type="character" w:customStyle="1" w:styleId="BalloonTextChar2">
    <w:name w:val="Balloon Text Char"/>
    <w:basedOn w:val="DefaultParagraphFont"/>
    <w:uiPriority w:val="99"/>
    <w:semiHidden/>
    <w:rsid w:val="00433506"/>
    <w:rPr>
      <w:rFonts w:ascii="Lucida Grande" w:hAnsi="Lucida Grande"/>
      <w:sz w:val="18"/>
      <w:szCs w:val="18"/>
    </w:rPr>
  </w:style>
  <w:style w:type="character" w:customStyle="1" w:styleId="BalloonTextChar3">
    <w:name w:val="Balloon Text Char"/>
    <w:basedOn w:val="DefaultParagraphFont"/>
    <w:uiPriority w:val="99"/>
    <w:semiHidden/>
    <w:rsid w:val="00DF29B9"/>
    <w:rPr>
      <w:rFonts w:ascii="Lucida Grande" w:hAnsi="Lucida Grande"/>
      <w:sz w:val="18"/>
      <w:szCs w:val="18"/>
    </w:rPr>
  </w:style>
  <w:style w:type="paragraph" w:styleId="ListParagraph">
    <w:name w:val="List Paragraph"/>
    <w:basedOn w:val="Normal"/>
    <w:uiPriority w:val="34"/>
    <w:qFormat/>
    <w:rsid w:val="001D39B4"/>
    <w:pPr>
      <w:ind w:left="720"/>
    </w:pPr>
    <w:rPr>
      <w:rFonts w:ascii="Times New Roman" w:hAnsi="Times New Roman" w:cs="Times New Roman"/>
      <w:lang w:val="da-DK" w:eastAsia="da-DK"/>
    </w:rPr>
  </w:style>
  <w:style w:type="character" w:styleId="CommentReference">
    <w:name w:val="annotation reference"/>
    <w:basedOn w:val="DefaultParagraphFont"/>
    <w:uiPriority w:val="99"/>
    <w:semiHidden/>
    <w:unhideWhenUsed/>
    <w:rsid w:val="001D39B4"/>
    <w:rPr>
      <w:sz w:val="16"/>
      <w:szCs w:val="16"/>
    </w:rPr>
  </w:style>
  <w:style w:type="paragraph" w:styleId="CommentText">
    <w:name w:val="annotation text"/>
    <w:basedOn w:val="Normal"/>
    <w:link w:val="CommentTextChar"/>
    <w:uiPriority w:val="99"/>
    <w:unhideWhenUsed/>
    <w:rsid w:val="001D39B4"/>
    <w:pPr>
      <w:spacing w:after="200"/>
    </w:pPr>
    <w:rPr>
      <w:sz w:val="20"/>
      <w:szCs w:val="20"/>
      <w:lang w:val="da-DK"/>
    </w:rPr>
  </w:style>
  <w:style w:type="character" w:customStyle="1" w:styleId="CommentTextChar">
    <w:name w:val="Comment Text Char"/>
    <w:basedOn w:val="DefaultParagraphFont"/>
    <w:link w:val="CommentText"/>
    <w:uiPriority w:val="99"/>
    <w:rsid w:val="001D39B4"/>
    <w:rPr>
      <w:sz w:val="20"/>
      <w:szCs w:val="20"/>
      <w:lang w:val="da-DK"/>
    </w:rPr>
  </w:style>
  <w:style w:type="character" w:customStyle="1" w:styleId="BalloonTextChar1">
    <w:name w:val="Balloon Text Char1"/>
    <w:basedOn w:val="DefaultParagraphFont"/>
    <w:link w:val="BalloonText"/>
    <w:uiPriority w:val="99"/>
    <w:semiHidden/>
    <w:rsid w:val="001D39B4"/>
    <w:rPr>
      <w:rFonts w:ascii="Lucida Grande" w:hAnsi="Lucida Grande"/>
      <w:sz w:val="18"/>
      <w:szCs w:val="18"/>
      <w:lang w:val="en-GB"/>
    </w:rPr>
  </w:style>
  <w:style w:type="paragraph" w:customStyle="1" w:styleId="SingleTxtG">
    <w:name w:val="_ Single Txt_G"/>
    <w:basedOn w:val="Normal"/>
    <w:link w:val="SingleTxtGChar"/>
    <w:rsid w:val="001D39B4"/>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noteText">
    <w:name w:val="footnote text"/>
    <w:aliases w:val="5_G,Footnote Text Char Char Char Char Char,Footnote Text Char Char Char Char,Footnote reference,FA Fu,Footnote Text Char Char Char, Char,Footnote Reference1,Footnote Text Cha,FA Fußnotentext,FA Fuﬂnotentext,Texto nota pie Car,fn"/>
    <w:basedOn w:val="Normal"/>
    <w:link w:val="FootnoteTextChar"/>
    <w:uiPriority w:val="99"/>
    <w:rsid w:val="001D39B4"/>
    <w:pPr>
      <w:tabs>
        <w:tab w:val="right" w:pos="1021"/>
      </w:tabs>
      <w:suppressAutoHyphens/>
      <w:spacing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ootnote Text Cha Char,fn Char"/>
    <w:basedOn w:val="DefaultParagraphFont"/>
    <w:link w:val="FootnoteText"/>
    <w:uiPriority w:val="99"/>
    <w:rsid w:val="001D39B4"/>
    <w:rPr>
      <w:rFonts w:ascii="Times New Roman" w:eastAsia="Times New Roman" w:hAnsi="Times New Roman" w:cs="Times New Roman"/>
      <w:sz w:val="18"/>
      <w:szCs w:val="20"/>
    </w:rPr>
  </w:style>
  <w:style w:type="character" w:styleId="FootnoteReference">
    <w:name w:val="footnote reference"/>
    <w:aliases w:val="4_G,Footnote number,Footnotes refss,Texto de nota al pie,referencia nota al pie,BVI fnr,Appel note de bas de page,Footnote symbol,Footnote,f,Ref. de nota al pie.,Footnote Refernece"/>
    <w:uiPriority w:val="99"/>
    <w:rsid w:val="001D39B4"/>
    <w:rPr>
      <w:rFonts w:ascii="Times New Roman" w:hAnsi="Times New Roman"/>
      <w:sz w:val="18"/>
      <w:vertAlign w:val="superscript"/>
    </w:rPr>
  </w:style>
  <w:style w:type="character" w:customStyle="1" w:styleId="SingleTxtGChar">
    <w:name w:val="_ Single Txt_G Char"/>
    <w:link w:val="SingleTxtG"/>
    <w:rsid w:val="001D39B4"/>
    <w:rPr>
      <w:rFonts w:ascii="Times New Roman" w:eastAsia="Times New Roman" w:hAnsi="Times New Roman" w:cs="Times New Roman"/>
      <w:sz w:val="20"/>
      <w:szCs w:val="20"/>
    </w:rPr>
  </w:style>
  <w:style w:type="character" w:customStyle="1" w:styleId="highlight">
    <w:name w:val="highlight"/>
    <w:basedOn w:val="DefaultParagraphFont"/>
    <w:rsid w:val="001D39B4"/>
  </w:style>
  <w:style w:type="character" w:styleId="Hyperlink">
    <w:name w:val="Hyperlink"/>
    <w:basedOn w:val="DefaultParagraphFont"/>
    <w:uiPriority w:val="99"/>
    <w:rsid w:val="0092321A"/>
    <w:rPr>
      <w:color w:val="0000FF"/>
      <w:u w:val="single"/>
    </w:rPr>
  </w:style>
  <w:style w:type="paragraph" w:styleId="NormalWeb">
    <w:name w:val="Normal (Web)"/>
    <w:basedOn w:val="Normal"/>
    <w:uiPriority w:val="99"/>
    <w:rsid w:val="0092321A"/>
    <w:pPr>
      <w:spacing w:beforeLines="1" w:afterLines="1"/>
    </w:pPr>
    <w:rPr>
      <w:rFonts w:ascii="Times" w:hAnsi="Times" w:cs="Times New Roman"/>
      <w:sz w:val="20"/>
      <w:szCs w:val="20"/>
    </w:rPr>
  </w:style>
  <w:style w:type="paragraph" w:styleId="PlainText">
    <w:name w:val="Plain Text"/>
    <w:basedOn w:val="Normal"/>
    <w:link w:val="PlainTextChar"/>
    <w:uiPriority w:val="99"/>
    <w:rsid w:val="00E706BD"/>
    <w:rPr>
      <w:rFonts w:ascii="Calibri" w:hAnsi="Calibri" w:cs="Consolas"/>
      <w:sz w:val="22"/>
      <w:szCs w:val="22"/>
      <w:lang w:val="da-DK"/>
    </w:rPr>
  </w:style>
  <w:style w:type="character" w:customStyle="1" w:styleId="PlainTextChar">
    <w:name w:val="Plain Text Char"/>
    <w:basedOn w:val="DefaultParagraphFont"/>
    <w:link w:val="PlainText"/>
    <w:uiPriority w:val="99"/>
    <w:rsid w:val="00E706BD"/>
    <w:rPr>
      <w:rFonts w:ascii="Calibri" w:hAnsi="Calibri" w:cs="Consolas"/>
      <w:sz w:val="22"/>
      <w:szCs w:val="22"/>
      <w:lang w:val="da-DK"/>
    </w:rPr>
  </w:style>
  <w:style w:type="paragraph" w:styleId="CommentSubject">
    <w:name w:val="annotation subject"/>
    <w:basedOn w:val="CommentText"/>
    <w:next w:val="CommentText"/>
    <w:link w:val="CommentSubjectChar"/>
    <w:rsid w:val="007C0448"/>
    <w:pPr>
      <w:spacing w:after="0"/>
    </w:pPr>
    <w:rPr>
      <w:b/>
      <w:bCs/>
      <w:lang w:val="en-GB"/>
    </w:rPr>
  </w:style>
  <w:style w:type="character" w:customStyle="1" w:styleId="CommentSubjectChar">
    <w:name w:val="Comment Subject Char"/>
    <w:basedOn w:val="CommentTextChar"/>
    <w:link w:val="CommentSubject"/>
    <w:rsid w:val="007C0448"/>
    <w:rPr>
      <w:b/>
      <w:bCs/>
      <w:sz w:val="20"/>
      <w:szCs w:val="20"/>
      <w:lang w:val="en-GB"/>
    </w:rPr>
  </w:style>
  <w:style w:type="character" w:customStyle="1" w:styleId="Heading2Char">
    <w:name w:val="Heading 2 Char"/>
    <w:basedOn w:val="DefaultParagraphFont"/>
    <w:link w:val="Heading2"/>
    <w:uiPriority w:val="9"/>
    <w:rsid w:val="00D2186A"/>
    <w:rPr>
      <w:rFonts w:asciiTheme="majorHAnsi" w:eastAsiaTheme="majorEastAsia" w:hAnsiTheme="majorHAnsi" w:cstheme="majorBidi"/>
      <w:b/>
      <w:bCs/>
      <w:color w:val="4F81BD" w:themeColor="accent1"/>
      <w:sz w:val="26"/>
      <w:szCs w:val="26"/>
      <w:lang w:val="en-GB"/>
    </w:rPr>
  </w:style>
  <w:style w:type="character" w:customStyle="1" w:styleId="heading">
    <w:name w:val="heading"/>
    <w:basedOn w:val="DefaultParagraphFont"/>
    <w:rsid w:val="00B434C5"/>
  </w:style>
  <w:style w:type="paragraph" w:styleId="Footer">
    <w:name w:val="footer"/>
    <w:basedOn w:val="Normal"/>
    <w:link w:val="FooterChar"/>
    <w:uiPriority w:val="99"/>
    <w:rsid w:val="005C5307"/>
    <w:pPr>
      <w:tabs>
        <w:tab w:val="center" w:pos="4320"/>
        <w:tab w:val="right" w:pos="8640"/>
      </w:tabs>
    </w:pPr>
  </w:style>
  <w:style w:type="character" w:customStyle="1" w:styleId="FooterChar">
    <w:name w:val="Footer Char"/>
    <w:basedOn w:val="DefaultParagraphFont"/>
    <w:link w:val="Footer"/>
    <w:uiPriority w:val="99"/>
    <w:rsid w:val="005C5307"/>
    <w:rPr>
      <w:lang w:val="en-GB"/>
    </w:rPr>
  </w:style>
  <w:style w:type="character" w:styleId="PageNumber">
    <w:name w:val="page number"/>
    <w:basedOn w:val="DefaultParagraphFont"/>
    <w:rsid w:val="005C5307"/>
  </w:style>
  <w:style w:type="character" w:styleId="FollowedHyperlink">
    <w:name w:val="FollowedHyperlink"/>
    <w:basedOn w:val="DefaultParagraphFont"/>
    <w:rsid w:val="002B62FB"/>
    <w:rPr>
      <w:color w:val="800080" w:themeColor="followedHyperlink"/>
      <w:u w:val="single"/>
    </w:rPr>
  </w:style>
  <w:style w:type="character" w:customStyle="1" w:styleId="Heading4Char">
    <w:name w:val="Heading 4 Char"/>
    <w:basedOn w:val="DefaultParagraphFont"/>
    <w:link w:val="Heading4"/>
    <w:rsid w:val="00DA4AF8"/>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rsid w:val="00EB76AD"/>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rsid w:val="000027DC"/>
    <w:pPr>
      <w:tabs>
        <w:tab w:val="center" w:pos="4819"/>
        <w:tab w:val="right" w:pos="9638"/>
      </w:tabs>
    </w:pPr>
  </w:style>
  <w:style w:type="character" w:customStyle="1" w:styleId="HeaderChar">
    <w:name w:val="Header Char"/>
    <w:basedOn w:val="DefaultParagraphFont"/>
    <w:link w:val="Header"/>
    <w:rsid w:val="000027DC"/>
    <w:rPr>
      <w:lang w:val="en-GB"/>
    </w:rPr>
  </w:style>
  <w:style w:type="character" w:customStyle="1" w:styleId="Heading3Char">
    <w:name w:val="Heading 3 Char"/>
    <w:basedOn w:val="DefaultParagraphFont"/>
    <w:link w:val="Heading3"/>
    <w:rsid w:val="00AD207E"/>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9902CD"/>
    <w:pPr>
      <w:spacing w:line="276" w:lineRule="auto"/>
      <w:outlineLvl w:val="9"/>
    </w:pPr>
    <w:rPr>
      <w:lang w:val="en-US" w:eastAsia="ja-JP"/>
    </w:rPr>
  </w:style>
  <w:style w:type="paragraph" w:styleId="TOC1">
    <w:name w:val="toc 1"/>
    <w:basedOn w:val="Normal"/>
    <w:next w:val="Normal"/>
    <w:autoRedefine/>
    <w:uiPriority w:val="39"/>
    <w:rsid w:val="009902CD"/>
    <w:pPr>
      <w:spacing w:after="100"/>
    </w:pPr>
  </w:style>
  <w:style w:type="paragraph" w:styleId="TOC2">
    <w:name w:val="toc 2"/>
    <w:basedOn w:val="Normal"/>
    <w:next w:val="Normal"/>
    <w:autoRedefine/>
    <w:uiPriority w:val="39"/>
    <w:rsid w:val="009902CD"/>
    <w:pPr>
      <w:spacing w:after="100"/>
      <w:ind w:left="240"/>
    </w:pPr>
  </w:style>
  <w:style w:type="paragraph" w:styleId="TOC3">
    <w:name w:val="toc 3"/>
    <w:basedOn w:val="Normal"/>
    <w:next w:val="Normal"/>
    <w:autoRedefine/>
    <w:uiPriority w:val="39"/>
    <w:rsid w:val="009902CD"/>
    <w:pPr>
      <w:spacing w:after="100"/>
      <w:ind w:left="480"/>
    </w:pPr>
  </w:style>
  <w:style w:type="paragraph" w:customStyle="1" w:styleId="Default">
    <w:name w:val="Default"/>
    <w:rsid w:val="004F5913"/>
    <w:pPr>
      <w:autoSpaceDE w:val="0"/>
      <w:autoSpaceDN w:val="0"/>
      <w:adjustRightInd w:val="0"/>
    </w:pPr>
    <w:rPr>
      <w:rFonts w:ascii="Times New Roman" w:hAnsi="Times New Roman" w:cs="Times New Roman"/>
      <w:color w:val="000000"/>
      <w:lang w:val="fr-CH"/>
    </w:rPr>
  </w:style>
  <w:style w:type="paragraph" w:styleId="DocumentMap">
    <w:name w:val="Document Map"/>
    <w:basedOn w:val="Normal"/>
    <w:link w:val="DocumentMapChar"/>
    <w:rsid w:val="00CC1D36"/>
    <w:rPr>
      <w:rFonts w:ascii="Lucida Grande" w:hAnsi="Lucida Grande" w:cs="Lucida Grande"/>
    </w:rPr>
  </w:style>
  <w:style w:type="character" w:customStyle="1" w:styleId="DocumentMapChar">
    <w:name w:val="Document Map Char"/>
    <w:basedOn w:val="DefaultParagraphFont"/>
    <w:link w:val="DocumentMap"/>
    <w:rsid w:val="00CC1D36"/>
    <w:rPr>
      <w:rFonts w:ascii="Lucida Grande" w:hAnsi="Lucida Grande" w:cs="Lucida Grande"/>
      <w:lang w:val="en-GB"/>
    </w:rPr>
  </w:style>
  <w:style w:type="paragraph" w:styleId="Revision">
    <w:name w:val="Revision"/>
    <w:hidden/>
    <w:rsid w:val="00CC1D3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footnote reference" w:uiPriority="99"/>
    <w:lsdException w:name="Hyperlink" w:uiPriority="99"/>
  </w:latentStyles>
  <w:style w:type="paragraph" w:default="1" w:styleId="Normal">
    <w:name w:val="Normal"/>
    <w:qFormat/>
    <w:rsid w:val="003356F4"/>
    <w:rPr>
      <w:lang w:val="en-GB"/>
    </w:rPr>
  </w:style>
  <w:style w:type="paragraph" w:styleId="Heading1">
    <w:name w:val="heading 1"/>
    <w:basedOn w:val="Normal"/>
    <w:next w:val="Normal"/>
    <w:link w:val="Heading1Char"/>
    <w:rsid w:val="00EB7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rsid w:val="00D218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AD20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DA4A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D39B4"/>
    <w:rPr>
      <w:rFonts w:ascii="Lucida Grande" w:hAnsi="Lucida Grande"/>
      <w:sz w:val="18"/>
      <w:szCs w:val="18"/>
    </w:rPr>
  </w:style>
  <w:style w:type="character" w:customStyle="1" w:styleId="SprechblasentextZeichen">
    <w:name w:val="Sprechblasentext Zeichen"/>
    <w:basedOn w:val="DefaultParagraphFont"/>
    <w:uiPriority w:val="99"/>
    <w:semiHidden/>
    <w:rsid w:val="008A0E9B"/>
    <w:rPr>
      <w:rFonts w:ascii="Lucida Grande" w:hAnsi="Lucida Grande"/>
      <w:sz w:val="18"/>
      <w:szCs w:val="18"/>
    </w:rPr>
  </w:style>
  <w:style w:type="character" w:customStyle="1" w:styleId="BalloonTextChar">
    <w:name w:val="Balloon Text Char"/>
    <w:basedOn w:val="DefaultParagraphFont"/>
    <w:uiPriority w:val="99"/>
    <w:semiHidden/>
    <w:rsid w:val="00F63626"/>
    <w:rPr>
      <w:rFonts w:ascii="Lucida Grande" w:hAnsi="Lucida Grande"/>
      <w:sz w:val="18"/>
      <w:szCs w:val="18"/>
    </w:rPr>
  </w:style>
  <w:style w:type="character" w:customStyle="1" w:styleId="BalloonTextChar0">
    <w:name w:val="Balloon Text Char"/>
    <w:basedOn w:val="DefaultParagraphFont"/>
    <w:uiPriority w:val="99"/>
    <w:semiHidden/>
    <w:rsid w:val="008157F1"/>
    <w:rPr>
      <w:rFonts w:ascii="Lucida Grande" w:hAnsi="Lucida Grande"/>
      <w:sz w:val="18"/>
      <w:szCs w:val="18"/>
    </w:rPr>
  </w:style>
  <w:style w:type="character" w:customStyle="1" w:styleId="BalloonTextChar2">
    <w:name w:val="Balloon Text Char"/>
    <w:basedOn w:val="DefaultParagraphFont"/>
    <w:uiPriority w:val="99"/>
    <w:semiHidden/>
    <w:rsid w:val="00433506"/>
    <w:rPr>
      <w:rFonts w:ascii="Lucida Grande" w:hAnsi="Lucida Grande"/>
      <w:sz w:val="18"/>
      <w:szCs w:val="18"/>
    </w:rPr>
  </w:style>
  <w:style w:type="character" w:customStyle="1" w:styleId="BalloonTextChar3">
    <w:name w:val="Balloon Text Char"/>
    <w:basedOn w:val="DefaultParagraphFont"/>
    <w:uiPriority w:val="99"/>
    <w:semiHidden/>
    <w:rsid w:val="00DF29B9"/>
    <w:rPr>
      <w:rFonts w:ascii="Lucida Grande" w:hAnsi="Lucida Grande"/>
      <w:sz w:val="18"/>
      <w:szCs w:val="18"/>
    </w:rPr>
  </w:style>
  <w:style w:type="paragraph" w:styleId="ListParagraph">
    <w:name w:val="List Paragraph"/>
    <w:basedOn w:val="Normal"/>
    <w:uiPriority w:val="34"/>
    <w:qFormat/>
    <w:rsid w:val="001D39B4"/>
    <w:pPr>
      <w:ind w:left="720"/>
    </w:pPr>
    <w:rPr>
      <w:rFonts w:ascii="Times New Roman" w:hAnsi="Times New Roman" w:cs="Times New Roman"/>
      <w:lang w:val="da-DK" w:eastAsia="da-DK"/>
    </w:rPr>
  </w:style>
  <w:style w:type="character" w:styleId="CommentReference">
    <w:name w:val="annotation reference"/>
    <w:basedOn w:val="DefaultParagraphFont"/>
    <w:uiPriority w:val="99"/>
    <w:semiHidden/>
    <w:unhideWhenUsed/>
    <w:rsid w:val="001D39B4"/>
    <w:rPr>
      <w:sz w:val="16"/>
      <w:szCs w:val="16"/>
    </w:rPr>
  </w:style>
  <w:style w:type="paragraph" w:styleId="CommentText">
    <w:name w:val="annotation text"/>
    <w:basedOn w:val="Normal"/>
    <w:link w:val="CommentTextChar"/>
    <w:uiPriority w:val="99"/>
    <w:unhideWhenUsed/>
    <w:rsid w:val="001D39B4"/>
    <w:pPr>
      <w:spacing w:after="200"/>
    </w:pPr>
    <w:rPr>
      <w:sz w:val="20"/>
      <w:szCs w:val="20"/>
      <w:lang w:val="da-DK"/>
    </w:rPr>
  </w:style>
  <w:style w:type="character" w:customStyle="1" w:styleId="CommentTextChar">
    <w:name w:val="Comment Text Char"/>
    <w:basedOn w:val="DefaultParagraphFont"/>
    <w:link w:val="CommentText"/>
    <w:uiPriority w:val="99"/>
    <w:rsid w:val="001D39B4"/>
    <w:rPr>
      <w:sz w:val="20"/>
      <w:szCs w:val="20"/>
      <w:lang w:val="da-DK"/>
    </w:rPr>
  </w:style>
  <w:style w:type="character" w:customStyle="1" w:styleId="BalloonTextChar1">
    <w:name w:val="Balloon Text Char1"/>
    <w:basedOn w:val="DefaultParagraphFont"/>
    <w:link w:val="BalloonText"/>
    <w:uiPriority w:val="99"/>
    <w:semiHidden/>
    <w:rsid w:val="001D39B4"/>
    <w:rPr>
      <w:rFonts w:ascii="Lucida Grande" w:hAnsi="Lucida Grande"/>
      <w:sz w:val="18"/>
      <w:szCs w:val="18"/>
      <w:lang w:val="en-GB"/>
    </w:rPr>
  </w:style>
  <w:style w:type="paragraph" w:customStyle="1" w:styleId="SingleTxtG">
    <w:name w:val="_ Single Txt_G"/>
    <w:basedOn w:val="Normal"/>
    <w:link w:val="SingleTxtGChar"/>
    <w:rsid w:val="001D39B4"/>
    <w:pPr>
      <w:suppressAutoHyphens/>
      <w:spacing w:after="120" w:line="240" w:lineRule="atLeast"/>
      <w:ind w:left="1134" w:right="1134"/>
      <w:jc w:val="both"/>
    </w:pPr>
    <w:rPr>
      <w:rFonts w:ascii="Times New Roman" w:eastAsia="Times New Roman" w:hAnsi="Times New Roman" w:cs="Times New Roman"/>
      <w:sz w:val="20"/>
      <w:szCs w:val="20"/>
    </w:rPr>
  </w:style>
  <w:style w:type="paragraph" w:styleId="FootnoteText">
    <w:name w:val="footnote text"/>
    <w:aliases w:val="5_G,Footnote Text Char Char Char Char Char,Footnote Text Char Char Char Char,Footnote reference,FA Fu,Footnote Text Char Char Char, Char,Footnote Reference1,Footnote Text Cha,FA Fußnotentext,FA Fuﬂnotentext,Texto nota pie Car,fn"/>
    <w:basedOn w:val="Normal"/>
    <w:link w:val="FootnoteTextChar"/>
    <w:uiPriority w:val="99"/>
    <w:rsid w:val="001D39B4"/>
    <w:pPr>
      <w:tabs>
        <w:tab w:val="right" w:pos="1021"/>
      </w:tabs>
      <w:suppressAutoHyphens/>
      <w:spacing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ootnote Text Cha Char,fn Char"/>
    <w:basedOn w:val="DefaultParagraphFont"/>
    <w:link w:val="FootnoteText"/>
    <w:uiPriority w:val="99"/>
    <w:rsid w:val="001D39B4"/>
    <w:rPr>
      <w:rFonts w:ascii="Times New Roman" w:eastAsia="Times New Roman" w:hAnsi="Times New Roman" w:cs="Times New Roman"/>
      <w:sz w:val="18"/>
      <w:szCs w:val="20"/>
    </w:rPr>
  </w:style>
  <w:style w:type="character" w:styleId="FootnoteReference">
    <w:name w:val="footnote reference"/>
    <w:aliases w:val="4_G,Footnote number,Footnotes refss,Texto de nota al pie,referencia nota al pie,BVI fnr,Appel note de bas de page,Footnote symbol,Footnote,f,Ref. de nota al pie.,Footnote Refernece"/>
    <w:uiPriority w:val="99"/>
    <w:rsid w:val="001D39B4"/>
    <w:rPr>
      <w:rFonts w:ascii="Times New Roman" w:hAnsi="Times New Roman"/>
      <w:sz w:val="18"/>
      <w:vertAlign w:val="superscript"/>
    </w:rPr>
  </w:style>
  <w:style w:type="character" w:customStyle="1" w:styleId="SingleTxtGChar">
    <w:name w:val="_ Single Txt_G Char"/>
    <w:link w:val="SingleTxtG"/>
    <w:rsid w:val="001D39B4"/>
    <w:rPr>
      <w:rFonts w:ascii="Times New Roman" w:eastAsia="Times New Roman" w:hAnsi="Times New Roman" w:cs="Times New Roman"/>
      <w:sz w:val="20"/>
      <w:szCs w:val="20"/>
    </w:rPr>
  </w:style>
  <w:style w:type="character" w:customStyle="1" w:styleId="highlight">
    <w:name w:val="highlight"/>
    <w:basedOn w:val="DefaultParagraphFont"/>
    <w:rsid w:val="001D39B4"/>
  </w:style>
  <w:style w:type="character" w:styleId="Hyperlink">
    <w:name w:val="Hyperlink"/>
    <w:basedOn w:val="DefaultParagraphFont"/>
    <w:uiPriority w:val="99"/>
    <w:rsid w:val="0092321A"/>
    <w:rPr>
      <w:color w:val="0000FF"/>
      <w:u w:val="single"/>
    </w:rPr>
  </w:style>
  <w:style w:type="paragraph" w:styleId="NormalWeb">
    <w:name w:val="Normal (Web)"/>
    <w:basedOn w:val="Normal"/>
    <w:uiPriority w:val="99"/>
    <w:rsid w:val="0092321A"/>
    <w:pPr>
      <w:spacing w:beforeLines="1" w:afterLines="1"/>
    </w:pPr>
    <w:rPr>
      <w:rFonts w:ascii="Times" w:hAnsi="Times" w:cs="Times New Roman"/>
      <w:sz w:val="20"/>
      <w:szCs w:val="20"/>
    </w:rPr>
  </w:style>
  <w:style w:type="paragraph" w:styleId="PlainText">
    <w:name w:val="Plain Text"/>
    <w:basedOn w:val="Normal"/>
    <w:link w:val="PlainTextChar"/>
    <w:uiPriority w:val="99"/>
    <w:rsid w:val="00E706BD"/>
    <w:rPr>
      <w:rFonts w:ascii="Calibri" w:hAnsi="Calibri" w:cs="Consolas"/>
      <w:sz w:val="22"/>
      <w:szCs w:val="22"/>
      <w:lang w:val="da-DK"/>
    </w:rPr>
  </w:style>
  <w:style w:type="character" w:customStyle="1" w:styleId="PlainTextChar">
    <w:name w:val="Plain Text Char"/>
    <w:basedOn w:val="DefaultParagraphFont"/>
    <w:link w:val="PlainText"/>
    <w:uiPriority w:val="99"/>
    <w:rsid w:val="00E706BD"/>
    <w:rPr>
      <w:rFonts w:ascii="Calibri" w:hAnsi="Calibri" w:cs="Consolas"/>
      <w:sz w:val="22"/>
      <w:szCs w:val="22"/>
      <w:lang w:val="da-DK"/>
    </w:rPr>
  </w:style>
  <w:style w:type="paragraph" w:styleId="CommentSubject">
    <w:name w:val="annotation subject"/>
    <w:basedOn w:val="CommentText"/>
    <w:next w:val="CommentText"/>
    <w:link w:val="CommentSubjectChar"/>
    <w:rsid w:val="007C0448"/>
    <w:pPr>
      <w:spacing w:after="0"/>
    </w:pPr>
    <w:rPr>
      <w:b/>
      <w:bCs/>
      <w:lang w:val="en-GB"/>
    </w:rPr>
  </w:style>
  <w:style w:type="character" w:customStyle="1" w:styleId="CommentSubjectChar">
    <w:name w:val="Comment Subject Char"/>
    <w:basedOn w:val="CommentTextChar"/>
    <w:link w:val="CommentSubject"/>
    <w:rsid w:val="007C0448"/>
    <w:rPr>
      <w:b/>
      <w:bCs/>
      <w:sz w:val="20"/>
      <w:szCs w:val="20"/>
      <w:lang w:val="en-GB"/>
    </w:rPr>
  </w:style>
  <w:style w:type="character" w:customStyle="1" w:styleId="Heading2Char">
    <w:name w:val="Heading 2 Char"/>
    <w:basedOn w:val="DefaultParagraphFont"/>
    <w:link w:val="Heading2"/>
    <w:uiPriority w:val="9"/>
    <w:rsid w:val="00D2186A"/>
    <w:rPr>
      <w:rFonts w:asciiTheme="majorHAnsi" w:eastAsiaTheme="majorEastAsia" w:hAnsiTheme="majorHAnsi" w:cstheme="majorBidi"/>
      <w:b/>
      <w:bCs/>
      <w:color w:val="4F81BD" w:themeColor="accent1"/>
      <w:sz w:val="26"/>
      <w:szCs w:val="26"/>
      <w:lang w:val="en-GB"/>
    </w:rPr>
  </w:style>
  <w:style w:type="character" w:customStyle="1" w:styleId="heading">
    <w:name w:val="heading"/>
    <w:basedOn w:val="DefaultParagraphFont"/>
    <w:rsid w:val="00B434C5"/>
  </w:style>
  <w:style w:type="paragraph" w:styleId="Footer">
    <w:name w:val="footer"/>
    <w:basedOn w:val="Normal"/>
    <w:link w:val="FooterChar"/>
    <w:uiPriority w:val="99"/>
    <w:rsid w:val="005C5307"/>
    <w:pPr>
      <w:tabs>
        <w:tab w:val="center" w:pos="4320"/>
        <w:tab w:val="right" w:pos="8640"/>
      </w:tabs>
    </w:pPr>
  </w:style>
  <w:style w:type="character" w:customStyle="1" w:styleId="FooterChar">
    <w:name w:val="Footer Char"/>
    <w:basedOn w:val="DefaultParagraphFont"/>
    <w:link w:val="Footer"/>
    <w:uiPriority w:val="99"/>
    <w:rsid w:val="005C5307"/>
    <w:rPr>
      <w:lang w:val="en-GB"/>
    </w:rPr>
  </w:style>
  <w:style w:type="character" w:styleId="PageNumber">
    <w:name w:val="page number"/>
    <w:basedOn w:val="DefaultParagraphFont"/>
    <w:rsid w:val="005C5307"/>
  </w:style>
  <w:style w:type="character" w:styleId="FollowedHyperlink">
    <w:name w:val="FollowedHyperlink"/>
    <w:basedOn w:val="DefaultParagraphFont"/>
    <w:rsid w:val="002B62FB"/>
    <w:rPr>
      <w:color w:val="800080" w:themeColor="followedHyperlink"/>
      <w:u w:val="single"/>
    </w:rPr>
  </w:style>
  <w:style w:type="character" w:customStyle="1" w:styleId="Heading4Char">
    <w:name w:val="Heading 4 Char"/>
    <w:basedOn w:val="DefaultParagraphFont"/>
    <w:link w:val="Heading4"/>
    <w:rsid w:val="00DA4AF8"/>
    <w:rPr>
      <w:rFonts w:asciiTheme="majorHAnsi" w:eastAsiaTheme="majorEastAsia" w:hAnsiTheme="majorHAnsi" w:cstheme="majorBidi"/>
      <w:b/>
      <w:bCs/>
      <w:i/>
      <w:iCs/>
      <w:color w:val="4F81BD" w:themeColor="accent1"/>
      <w:lang w:val="en-GB"/>
    </w:rPr>
  </w:style>
  <w:style w:type="character" w:customStyle="1" w:styleId="Heading1Char">
    <w:name w:val="Heading 1 Char"/>
    <w:basedOn w:val="DefaultParagraphFont"/>
    <w:link w:val="Heading1"/>
    <w:rsid w:val="00EB76AD"/>
    <w:rPr>
      <w:rFonts w:asciiTheme="majorHAnsi" w:eastAsiaTheme="majorEastAsia" w:hAnsiTheme="majorHAnsi" w:cstheme="majorBidi"/>
      <w:b/>
      <w:bCs/>
      <w:color w:val="365F91" w:themeColor="accent1" w:themeShade="BF"/>
      <w:sz w:val="28"/>
      <w:szCs w:val="28"/>
      <w:lang w:val="en-GB"/>
    </w:rPr>
  </w:style>
  <w:style w:type="paragraph" w:styleId="Header">
    <w:name w:val="header"/>
    <w:basedOn w:val="Normal"/>
    <w:link w:val="HeaderChar"/>
    <w:rsid w:val="000027DC"/>
    <w:pPr>
      <w:tabs>
        <w:tab w:val="center" w:pos="4819"/>
        <w:tab w:val="right" w:pos="9638"/>
      </w:tabs>
    </w:pPr>
  </w:style>
  <w:style w:type="character" w:customStyle="1" w:styleId="HeaderChar">
    <w:name w:val="Header Char"/>
    <w:basedOn w:val="DefaultParagraphFont"/>
    <w:link w:val="Header"/>
    <w:rsid w:val="000027DC"/>
    <w:rPr>
      <w:lang w:val="en-GB"/>
    </w:rPr>
  </w:style>
  <w:style w:type="character" w:customStyle="1" w:styleId="Heading3Char">
    <w:name w:val="Heading 3 Char"/>
    <w:basedOn w:val="DefaultParagraphFont"/>
    <w:link w:val="Heading3"/>
    <w:rsid w:val="00AD207E"/>
    <w:rPr>
      <w:rFonts w:asciiTheme="majorHAnsi" w:eastAsiaTheme="majorEastAsia" w:hAnsiTheme="majorHAnsi" w:cstheme="majorBidi"/>
      <w:b/>
      <w:bCs/>
      <w:color w:val="4F81BD" w:themeColor="accent1"/>
      <w:lang w:val="en-GB"/>
    </w:rPr>
  </w:style>
  <w:style w:type="paragraph" w:styleId="TOCHeading">
    <w:name w:val="TOC Heading"/>
    <w:basedOn w:val="Heading1"/>
    <w:next w:val="Normal"/>
    <w:uiPriority w:val="39"/>
    <w:unhideWhenUsed/>
    <w:qFormat/>
    <w:rsid w:val="009902CD"/>
    <w:pPr>
      <w:spacing w:line="276" w:lineRule="auto"/>
      <w:outlineLvl w:val="9"/>
    </w:pPr>
    <w:rPr>
      <w:lang w:val="en-US" w:eastAsia="ja-JP"/>
    </w:rPr>
  </w:style>
  <w:style w:type="paragraph" w:styleId="TOC1">
    <w:name w:val="toc 1"/>
    <w:basedOn w:val="Normal"/>
    <w:next w:val="Normal"/>
    <w:autoRedefine/>
    <w:uiPriority w:val="39"/>
    <w:rsid w:val="009902CD"/>
    <w:pPr>
      <w:spacing w:after="100"/>
    </w:pPr>
  </w:style>
  <w:style w:type="paragraph" w:styleId="TOC2">
    <w:name w:val="toc 2"/>
    <w:basedOn w:val="Normal"/>
    <w:next w:val="Normal"/>
    <w:autoRedefine/>
    <w:uiPriority w:val="39"/>
    <w:rsid w:val="009902CD"/>
    <w:pPr>
      <w:spacing w:after="100"/>
      <w:ind w:left="240"/>
    </w:pPr>
  </w:style>
  <w:style w:type="paragraph" w:styleId="TOC3">
    <w:name w:val="toc 3"/>
    <w:basedOn w:val="Normal"/>
    <w:next w:val="Normal"/>
    <w:autoRedefine/>
    <w:uiPriority w:val="39"/>
    <w:rsid w:val="009902CD"/>
    <w:pPr>
      <w:spacing w:after="100"/>
      <w:ind w:left="480"/>
    </w:pPr>
  </w:style>
  <w:style w:type="paragraph" w:customStyle="1" w:styleId="Default">
    <w:name w:val="Default"/>
    <w:rsid w:val="004F5913"/>
    <w:pPr>
      <w:autoSpaceDE w:val="0"/>
      <w:autoSpaceDN w:val="0"/>
      <w:adjustRightInd w:val="0"/>
    </w:pPr>
    <w:rPr>
      <w:rFonts w:ascii="Times New Roman" w:hAnsi="Times New Roman" w:cs="Times New Roman"/>
      <w:color w:val="000000"/>
      <w:lang w:val="fr-CH"/>
    </w:rPr>
  </w:style>
  <w:style w:type="paragraph" w:styleId="DocumentMap">
    <w:name w:val="Document Map"/>
    <w:basedOn w:val="Normal"/>
    <w:link w:val="DocumentMapChar"/>
    <w:rsid w:val="00CC1D36"/>
    <w:rPr>
      <w:rFonts w:ascii="Lucida Grande" w:hAnsi="Lucida Grande" w:cs="Lucida Grande"/>
    </w:rPr>
  </w:style>
  <w:style w:type="character" w:customStyle="1" w:styleId="DocumentMapChar">
    <w:name w:val="Document Map Char"/>
    <w:basedOn w:val="DefaultParagraphFont"/>
    <w:link w:val="DocumentMap"/>
    <w:rsid w:val="00CC1D36"/>
    <w:rPr>
      <w:rFonts w:ascii="Lucida Grande" w:hAnsi="Lucida Grande" w:cs="Lucida Grande"/>
      <w:lang w:val="en-GB"/>
    </w:rPr>
  </w:style>
  <w:style w:type="paragraph" w:styleId="Revision">
    <w:name w:val="Revision"/>
    <w:hidden/>
    <w:rsid w:val="00CC1D3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6520">
      <w:bodyDiv w:val="1"/>
      <w:marLeft w:val="0"/>
      <w:marRight w:val="0"/>
      <w:marTop w:val="0"/>
      <w:marBottom w:val="0"/>
      <w:divBdr>
        <w:top w:val="none" w:sz="0" w:space="0" w:color="auto"/>
        <w:left w:val="none" w:sz="0" w:space="0" w:color="auto"/>
        <w:bottom w:val="none" w:sz="0" w:space="0" w:color="auto"/>
        <w:right w:val="none" w:sz="0" w:space="0" w:color="auto"/>
      </w:divBdr>
    </w:div>
    <w:div w:id="121769839">
      <w:bodyDiv w:val="1"/>
      <w:marLeft w:val="0"/>
      <w:marRight w:val="0"/>
      <w:marTop w:val="0"/>
      <w:marBottom w:val="0"/>
      <w:divBdr>
        <w:top w:val="none" w:sz="0" w:space="0" w:color="auto"/>
        <w:left w:val="none" w:sz="0" w:space="0" w:color="auto"/>
        <w:bottom w:val="none" w:sz="0" w:space="0" w:color="auto"/>
        <w:right w:val="none" w:sz="0" w:space="0" w:color="auto"/>
      </w:divBdr>
    </w:div>
    <w:div w:id="142888616">
      <w:bodyDiv w:val="1"/>
      <w:marLeft w:val="0"/>
      <w:marRight w:val="0"/>
      <w:marTop w:val="0"/>
      <w:marBottom w:val="0"/>
      <w:divBdr>
        <w:top w:val="none" w:sz="0" w:space="0" w:color="auto"/>
        <w:left w:val="none" w:sz="0" w:space="0" w:color="auto"/>
        <w:bottom w:val="none" w:sz="0" w:space="0" w:color="auto"/>
        <w:right w:val="none" w:sz="0" w:space="0" w:color="auto"/>
      </w:divBdr>
    </w:div>
    <w:div w:id="272252037">
      <w:bodyDiv w:val="1"/>
      <w:marLeft w:val="0"/>
      <w:marRight w:val="0"/>
      <w:marTop w:val="0"/>
      <w:marBottom w:val="0"/>
      <w:divBdr>
        <w:top w:val="none" w:sz="0" w:space="0" w:color="auto"/>
        <w:left w:val="none" w:sz="0" w:space="0" w:color="auto"/>
        <w:bottom w:val="none" w:sz="0" w:space="0" w:color="auto"/>
        <w:right w:val="none" w:sz="0" w:space="0" w:color="auto"/>
      </w:divBdr>
    </w:div>
    <w:div w:id="304824139">
      <w:bodyDiv w:val="1"/>
      <w:marLeft w:val="0"/>
      <w:marRight w:val="0"/>
      <w:marTop w:val="0"/>
      <w:marBottom w:val="0"/>
      <w:divBdr>
        <w:top w:val="none" w:sz="0" w:space="0" w:color="auto"/>
        <w:left w:val="none" w:sz="0" w:space="0" w:color="auto"/>
        <w:bottom w:val="none" w:sz="0" w:space="0" w:color="auto"/>
        <w:right w:val="none" w:sz="0" w:space="0" w:color="auto"/>
      </w:divBdr>
    </w:div>
    <w:div w:id="310403933">
      <w:bodyDiv w:val="1"/>
      <w:marLeft w:val="0"/>
      <w:marRight w:val="0"/>
      <w:marTop w:val="0"/>
      <w:marBottom w:val="0"/>
      <w:divBdr>
        <w:top w:val="none" w:sz="0" w:space="0" w:color="auto"/>
        <w:left w:val="none" w:sz="0" w:space="0" w:color="auto"/>
        <w:bottom w:val="none" w:sz="0" w:space="0" w:color="auto"/>
        <w:right w:val="none" w:sz="0" w:space="0" w:color="auto"/>
      </w:divBdr>
    </w:div>
    <w:div w:id="316881608">
      <w:bodyDiv w:val="1"/>
      <w:marLeft w:val="0"/>
      <w:marRight w:val="0"/>
      <w:marTop w:val="0"/>
      <w:marBottom w:val="0"/>
      <w:divBdr>
        <w:top w:val="none" w:sz="0" w:space="0" w:color="auto"/>
        <w:left w:val="none" w:sz="0" w:space="0" w:color="auto"/>
        <w:bottom w:val="none" w:sz="0" w:space="0" w:color="auto"/>
        <w:right w:val="none" w:sz="0" w:space="0" w:color="auto"/>
      </w:divBdr>
    </w:div>
    <w:div w:id="385952292">
      <w:bodyDiv w:val="1"/>
      <w:marLeft w:val="0"/>
      <w:marRight w:val="0"/>
      <w:marTop w:val="0"/>
      <w:marBottom w:val="0"/>
      <w:divBdr>
        <w:top w:val="none" w:sz="0" w:space="0" w:color="auto"/>
        <w:left w:val="none" w:sz="0" w:space="0" w:color="auto"/>
        <w:bottom w:val="none" w:sz="0" w:space="0" w:color="auto"/>
        <w:right w:val="none" w:sz="0" w:space="0" w:color="auto"/>
      </w:divBdr>
    </w:div>
    <w:div w:id="426731159">
      <w:bodyDiv w:val="1"/>
      <w:marLeft w:val="0"/>
      <w:marRight w:val="0"/>
      <w:marTop w:val="0"/>
      <w:marBottom w:val="0"/>
      <w:divBdr>
        <w:top w:val="none" w:sz="0" w:space="0" w:color="auto"/>
        <w:left w:val="none" w:sz="0" w:space="0" w:color="auto"/>
        <w:bottom w:val="none" w:sz="0" w:space="0" w:color="auto"/>
        <w:right w:val="none" w:sz="0" w:space="0" w:color="auto"/>
      </w:divBdr>
    </w:div>
    <w:div w:id="458761070">
      <w:bodyDiv w:val="1"/>
      <w:marLeft w:val="0"/>
      <w:marRight w:val="0"/>
      <w:marTop w:val="0"/>
      <w:marBottom w:val="0"/>
      <w:divBdr>
        <w:top w:val="none" w:sz="0" w:space="0" w:color="auto"/>
        <w:left w:val="none" w:sz="0" w:space="0" w:color="auto"/>
        <w:bottom w:val="none" w:sz="0" w:space="0" w:color="auto"/>
        <w:right w:val="none" w:sz="0" w:space="0" w:color="auto"/>
      </w:divBdr>
    </w:div>
    <w:div w:id="460539675">
      <w:bodyDiv w:val="1"/>
      <w:marLeft w:val="0"/>
      <w:marRight w:val="0"/>
      <w:marTop w:val="0"/>
      <w:marBottom w:val="0"/>
      <w:divBdr>
        <w:top w:val="none" w:sz="0" w:space="0" w:color="auto"/>
        <w:left w:val="none" w:sz="0" w:space="0" w:color="auto"/>
        <w:bottom w:val="none" w:sz="0" w:space="0" w:color="auto"/>
        <w:right w:val="none" w:sz="0" w:space="0" w:color="auto"/>
      </w:divBdr>
    </w:div>
    <w:div w:id="507524252">
      <w:bodyDiv w:val="1"/>
      <w:marLeft w:val="0"/>
      <w:marRight w:val="0"/>
      <w:marTop w:val="0"/>
      <w:marBottom w:val="0"/>
      <w:divBdr>
        <w:top w:val="none" w:sz="0" w:space="0" w:color="auto"/>
        <w:left w:val="none" w:sz="0" w:space="0" w:color="auto"/>
        <w:bottom w:val="none" w:sz="0" w:space="0" w:color="auto"/>
        <w:right w:val="none" w:sz="0" w:space="0" w:color="auto"/>
      </w:divBdr>
    </w:div>
    <w:div w:id="530608202">
      <w:bodyDiv w:val="1"/>
      <w:marLeft w:val="0"/>
      <w:marRight w:val="0"/>
      <w:marTop w:val="0"/>
      <w:marBottom w:val="0"/>
      <w:divBdr>
        <w:top w:val="none" w:sz="0" w:space="0" w:color="auto"/>
        <w:left w:val="none" w:sz="0" w:space="0" w:color="auto"/>
        <w:bottom w:val="none" w:sz="0" w:space="0" w:color="auto"/>
        <w:right w:val="none" w:sz="0" w:space="0" w:color="auto"/>
      </w:divBdr>
    </w:div>
    <w:div w:id="547641746">
      <w:bodyDiv w:val="1"/>
      <w:marLeft w:val="0"/>
      <w:marRight w:val="0"/>
      <w:marTop w:val="0"/>
      <w:marBottom w:val="0"/>
      <w:divBdr>
        <w:top w:val="none" w:sz="0" w:space="0" w:color="auto"/>
        <w:left w:val="none" w:sz="0" w:space="0" w:color="auto"/>
        <w:bottom w:val="none" w:sz="0" w:space="0" w:color="auto"/>
        <w:right w:val="none" w:sz="0" w:space="0" w:color="auto"/>
      </w:divBdr>
    </w:div>
    <w:div w:id="785003873">
      <w:bodyDiv w:val="1"/>
      <w:marLeft w:val="0"/>
      <w:marRight w:val="0"/>
      <w:marTop w:val="0"/>
      <w:marBottom w:val="0"/>
      <w:divBdr>
        <w:top w:val="none" w:sz="0" w:space="0" w:color="auto"/>
        <w:left w:val="none" w:sz="0" w:space="0" w:color="auto"/>
        <w:bottom w:val="none" w:sz="0" w:space="0" w:color="auto"/>
        <w:right w:val="none" w:sz="0" w:space="0" w:color="auto"/>
      </w:divBdr>
    </w:div>
    <w:div w:id="786853258">
      <w:bodyDiv w:val="1"/>
      <w:marLeft w:val="0"/>
      <w:marRight w:val="0"/>
      <w:marTop w:val="0"/>
      <w:marBottom w:val="0"/>
      <w:divBdr>
        <w:top w:val="none" w:sz="0" w:space="0" w:color="auto"/>
        <w:left w:val="none" w:sz="0" w:space="0" w:color="auto"/>
        <w:bottom w:val="none" w:sz="0" w:space="0" w:color="auto"/>
        <w:right w:val="none" w:sz="0" w:space="0" w:color="auto"/>
      </w:divBdr>
    </w:div>
    <w:div w:id="796603402">
      <w:bodyDiv w:val="1"/>
      <w:marLeft w:val="0"/>
      <w:marRight w:val="0"/>
      <w:marTop w:val="0"/>
      <w:marBottom w:val="0"/>
      <w:divBdr>
        <w:top w:val="none" w:sz="0" w:space="0" w:color="auto"/>
        <w:left w:val="none" w:sz="0" w:space="0" w:color="auto"/>
        <w:bottom w:val="none" w:sz="0" w:space="0" w:color="auto"/>
        <w:right w:val="none" w:sz="0" w:space="0" w:color="auto"/>
      </w:divBdr>
    </w:div>
    <w:div w:id="828594909">
      <w:bodyDiv w:val="1"/>
      <w:marLeft w:val="0"/>
      <w:marRight w:val="0"/>
      <w:marTop w:val="0"/>
      <w:marBottom w:val="0"/>
      <w:divBdr>
        <w:top w:val="none" w:sz="0" w:space="0" w:color="auto"/>
        <w:left w:val="none" w:sz="0" w:space="0" w:color="auto"/>
        <w:bottom w:val="none" w:sz="0" w:space="0" w:color="auto"/>
        <w:right w:val="none" w:sz="0" w:space="0" w:color="auto"/>
      </w:divBdr>
    </w:div>
    <w:div w:id="856967119">
      <w:bodyDiv w:val="1"/>
      <w:marLeft w:val="0"/>
      <w:marRight w:val="0"/>
      <w:marTop w:val="0"/>
      <w:marBottom w:val="0"/>
      <w:divBdr>
        <w:top w:val="none" w:sz="0" w:space="0" w:color="auto"/>
        <w:left w:val="none" w:sz="0" w:space="0" w:color="auto"/>
        <w:bottom w:val="none" w:sz="0" w:space="0" w:color="auto"/>
        <w:right w:val="none" w:sz="0" w:space="0" w:color="auto"/>
      </w:divBdr>
    </w:div>
    <w:div w:id="862288151">
      <w:bodyDiv w:val="1"/>
      <w:marLeft w:val="0"/>
      <w:marRight w:val="0"/>
      <w:marTop w:val="0"/>
      <w:marBottom w:val="0"/>
      <w:divBdr>
        <w:top w:val="none" w:sz="0" w:space="0" w:color="auto"/>
        <w:left w:val="none" w:sz="0" w:space="0" w:color="auto"/>
        <w:bottom w:val="none" w:sz="0" w:space="0" w:color="auto"/>
        <w:right w:val="none" w:sz="0" w:space="0" w:color="auto"/>
      </w:divBdr>
    </w:div>
    <w:div w:id="1023634517">
      <w:bodyDiv w:val="1"/>
      <w:marLeft w:val="0"/>
      <w:marRight w:val="0"/>
      <w:marTop w:val="0"/>
      <w:marBottom w:val="0"/>
      <w:divBdr>
        <w:top w:val="none" w:sz="0" w:space="0" w:color="auto"/>
        <w:left w:val="none" w:sz="0" w:space="0" w:color="auto"/>
        <w:bottom w:val="none" w:sz="0" w:space="0" w:color="auto"/>
        <w:right w:val="none" w:sz="0" w:space="0" w:color="auto"/>
      </w:divBdr>
    </w:div>
    <w:div w:id="1040326336">
      <w:bodyDiv w:val="1"/>
      <w:marLeft w:val="0"/>
      <w:marRight w:val="0"/>
      <w:marTop w:val="0"/>
      <w:marBottom w:val="0"/>
      <w:divBdr>
        <w:top w:val="none" w:sz="0" w:space="0" w:color="auto"/>
        <w:left w:val="none" w:sz="0" w:space="0" w:color="auto"/>
        <w:bottom w:val="none" w:sz="0" w:space="0" w:color="auto"/>
        <w:right w:val="none" w:sz="0" w:space="0" w:color="auto"/>
      </w:divBdr>
    </w:div>
    <w:div w:id="1054503335">
      <w:bodyDiv w:val="1"/>
      <w:marLeft w:val="0"/>
      <w:marRight w:val="0"/>
      <w:marTop w:val="0"/>
      <w:marBottom w:val="0"/>
      <w:divBdr>
        <w:top w:val="none" w:sz="0" w:space="0" w:color="auto"/>
        <w:left w:val="none" w:sz="0" w:space="0" w:color="auto"/>
        <w:bottom w:val="none" w:sz="0" w:space="0" w:color="auto"/>
        <w:right w:val="none" w:sz="0" w:space="0" w:color="auto"/>
      </w:divBdr>
    </w:div>
    <w:div w:id="1094396644">
      <w:bodyDiv w:val="1"/>
      <w:marLeft w:val="0"/>
      <w:marRight w:val="0"/>
      <w:marTop w:val="0"/>
      <w:marBottom w:val="0"/>
      <w:divBdr>
        <w:top w:val="none" w:sz="0" w:space="0" w:color="auto"/>
        <w:left w:val="none" w:sz="0" w:space="0" w:color="auto"/>
        <w:bottom w:val="none" w:sz="0" w:space="0" w:color="auto"/>
        <w:right w:val="none" w:sz="0" w:space="0" w:color="auto"/>
      </w:divBdr>
    </w:div>
    <w:div w:id="1100641770">
      <w:bodyDiv w:val="1"/>
      <w:marLeft w:val="0"/>
      <w:marRight w:val="0"/>
      <w:marTop w:val="0"/>
      <w:marBottom w:val="0"/>
      <w:divBdr>
        <w:top w:val="none" w:sz="0" w:space="0" w:color="auto"/>
        <w:left w:val="none" w:sz="0" w:space="0" w:color="auto"/>
        <w:bottom w:val="none" w:sz="0" w:space="0" w:color="auto"/>
        <w:right w:val="none" w:sz="0" w:space="0" w:color="auto"/>
      </w:divBdr>
    </w:div>
    <w:div w:id="1127241346">
      <w:bodyDiv w:val="1"/>
      <w:marLeft w:val="0"/>
      <w:marRight w:val="0"/>
      <w:marTop w:val="0"/>
      <w:marBottom w:val="0"/>
      <w:divBdr>
        <w:top w:val="none" w:sz="0" w:space="0" w:color="auto"/>
        <w:left w:val="none" w:sz="0" w:space="0" w:color="auto"/>
        <w:bottom w:val="none" w:sz="0" w:space="0" w:color="auto"/>
        <w:right w:val="none" w:sz="0" w:space="0" w:color="auto"/>
      </w:divBdr>
    </w:div>
    <w:div w:id="1128165409">
      <w:bodyDiv w:val="1"/>
      <w:marLeft w:val="0"/>
      <w:marRight w:val="0"/>
      <w:marTop w:val="0"/>
      <w:marBottom w:val="0"/>
      <w:divBdr>
        <w:top w:val="none" w:sz="0" w:space="0" w:color="auto"/>
        <w:left w:val="none" w:sz="0" w:space="0" w:color="auto"/>
        <w:bottom w:val="none" w:sz="0" w:space="0" w:color="auto"/>
        <w:right w:val="none" w:sz="0" w:space="0" w:color="auto"/>
      </w:divBdr>
    </w:div>
    <w:div w:id="1180388896">
      <w:bodyDiv w:val="1"/>
      <w:marLeft w:val="0"/>
      <w:marRight w:val="0"/>
      <w:marTop w:val="0"/>
      <w:marBottom w:val="0"/>
      <w:divBdr>
        <w:top w:val="none" w:sz="0" w:space="0" w:color="auto"/>
        <w:left w:val="none" w:sz="0" w:space="0" w:color="auto"/>
        <w:bottom w:val="none" w:sz="0" w:space="0" w:color="auto"/>
        <w:right w:val="none" w:sz="0" w:space="0" w:color="auto"/>
      </w:divBdr>
    </w:div>
    <w:div w:id="1225139090">
      <w:bodyDiv w:val="1"/>
      <w:marLeft w:val="0"/>
      <w:marRight w:val="0"/>
      <w:marTop w:val="0"/>
      <w:marBottom w:val="0"/>
      <w:divBdr>
        <w:top w:val="none" w:sz="0" w:space="0" w:color="auto"/>
        <w:left w:val="none" w:sz="0" w:space="0" w:color="auto"/>
        <w:bottom w:val="none" w:sz="0" w:space="0" w:color="auto"/>
        <w:right w:val="none" w:sz="0" w:space="0" w:color="auto"/>
      </w:divBdr>
    </w:div>
    <w:div w:id="1288700724">
      <w:bodyDiv w:val="1"/>
      <w:marLeft w:val="0"/>
      <w:marRight w:val="0"/>
      <w:marTop w:val="0"/>
      <w:marBottom w:val="0"/>
      <w:divBdr>
        <w:top w:val="none" w:sz="0" w:space="0" w:color="auto"/>
        <w:left w:val="none" w:sz="0" w:space="0" w:color="auto"/>
        <w:bottom w:val="none" w:sz="0" w:space="0" w:color="auto"/>
        <w:right w:val="none" w:sz="0" w:space="0" w:color="auto"/>
      </w:divBdr>
    </w:div>
    <w:div w:id="1484081554">
      <w:bodyDiv w:val="1"/>
      <w:marLeft w:val="0"/>
      <w:marRight w:val="0"/>
      <w:marTop w:val="0"/>
      <w:marBottom w:val="0"/>
      <w:divBdr>
        <w:top w:val="none" w:sz="0" w:space="0" w:color="auto"/>
        <w:left w:val="none" w:sz="0" w:space="0" w:color="auto"/>
        <w:bottom w:val="none" w:sz="0" w:space="0" w:color="auto"/>
        <w:right w:val="none" w:sz="0" w:space="0" w:color="auto"/>
      </w:divBdr>
    </w:div>
    <w:div w:id="1536624748">
      <w:bodyDiv w:val="1"/>
      <w:marLeft w:val="0"/>
      <w:marRight w:val="0"/>
      <w:marTop w:val="0"/>
      <w:marBottom w:val="0"/>
      <w:divBdr>
        <w:top w:val="none" w:sz="0" w:space="0" w:color="auto"/>
        <w:left w:val="none" w:sz="0" w:space="0" w:color="auto"/>
        <w:bottom w:val="none" w:sz="0" w:space="0" w:color="auto"/>
        <w:right w:val="none" w:sz="0" w:space="0" w:color="auto"/>
      </w:divBdr>
    </w:div>
    <w:div w:id="1537540999">
      <w:bodyDiv w:val="1"/>
      <w:marLeft w:val="0"/>
      <w:marRight w:val="0"/>
      <w:marTop w:val="0"/>
      <w:marBottom w:val="0"/>
      <w:divBdr>
        <w:top w:val="none" w:sz="0" w:space="0" w:color="auto"/>
        <w:left w:val="none" w:sz="0" w:space="0" w:color="auto"/>
        <w:bottom w:val="none" w:sz="0" w:space="0" w:color="auto"/>
        <w:right w:val="none" w:sz="0" w:space="0" w:color="auto"/>
      </w:divBdr>
    </w:div>
    <w:div w:id="1600523709">
      <w:bodyDiv w:val="1"/>
      <w:marLeft w:val="0"/>
      <w:marRight w:val="0"/>
      <w:marTop w:val="0"/>
      <w:marBottom w:val="0"/>
      <w:divBdr>
        <w:top w:val="none" w:sz="0" w:space="0" w:color="auto"/>
        <w:left w:val="none" w:sz="0" w:space="0" w:color="auto"/>
        <w:bottom w:val="none" w:sz="0" w:space="0" w:color="auto"/>
        <w:right w:val="none" w:sz="0" w:space="0" w:color="auto"/>
      </w:divBdr>
    </w:div>
    <w:div w:id="1619990323">
      <w:bodyDiv w:val="1"/>
      <w:marLeft w:val="0"/>
      <w:marRight w:val="0"/>
      <w:marTop w:val="0"/>
      <w:marBottom w:val="0"/>
      <w:divBdr>
        <w:top w:val="none" w:sz="0" w:space="0" w:color="auto"/>
        <w:left w:val="none" w:sz="0" w:space="0" w:color="auto"/>
        <w:bottom w:val="none" w:sz="0" w:space="0" w:color="auto"/>
        <w:right w:val="none" w:sz="0" w:space="0" w:color="auto"/>
      </w:divBdr>
    </w:div>
    <w:div w:id="1632438492">
      <w:bodyDiv w:val="1"/>
      <w:marLeft w:val="0"/>
      <w:marRight w:val="0"/>
      <w:marTop w:val="0"/>
      <w:marBottom w:val="0"/>
      <w:divBdr>
        <w:top w:val="none" w:sz="0" w:space="0" w:color="auto"/>
        <w:left w:val="none" w:sz="0" w:space="0" w:color="auto"/>
        <w:bottom w:val="none" w:sz="0" w:space="0" w:color="auto"/>
        <w:right w:val="none" w:sz="0" w:space="0" w:color="auto"/>
      </w:divBdr>
    </w:div>
    <w:div w:id="1666782998">
      <w:bodyDiv w:val="1"/>
      <w:marLeft w:val="0"/>
      <w:marRight w:val="0"/>
      <w:marTop w:val="0"/>
      <w:marBottom w:val="0"/>
      <w:divBdr>
        <w:top w:val="none" w:sz="0" w:space="0" w:color="auto"/>
        <w:left w:val="none" w:sz="0" w:space="0" w:color="auto"/>
        <w:bottom w:val="none" w:sz="0" w:space="0" w:color="auto"/>
        <w:right w:val="none" w:sz="0" w:space="0" w:color="auto"/>
      </w:divBdr>
    </w:div>
    <w:div w:id="1697459212">
      <w:bodyDiv w:val="1"/>
      <w:marLeft w:val="0"/>
      <w:marRight w:val="0"/>
      <w:marTop w:val="0"/>
      <w:marBottom w:val="0"/>
      <w:divBdr>
        <w:top w:val="none" w:sz="0" w:space="0" w:color="auto"/>
        <w:left w:val="none" w:sz="0" w:space="0" w:color="auto"/>
        <w:bottom w:val="none" w:sz="0" w:space="0" w:color="auto"/>
        <w:right w:val="none" w:sz="0" w:space="0" w:color="auto"/>
      </w:divBdr>
    </w:div>
    <w:div w:id="1706712850">
      <w:bodyDiv w:val="1"/>
      <w:marLeft w:val="0"/>
      <w:marRight w:val="0"/>
      <w:marTop w:val="0"/>
      <w:marBottom w:val="0"/>
      <w:divBdr>
        <w:top w:val="none" w:sz="0" w:space="0" w:color="auto"/>
        <w:left w:val="none" w:sz="0" w:space="0" w:color="auto"/>
        <w:bottom w:val="none" w:sz="0" w:space="0" w:color="auto"/>
        <w:right w:val="none" w:sz="0" w:space="0" w:color="auto"/>
      </w:divBdr>
      <w:divsChild>
        <w:div w:id="63190746">
          <w:marLeft w:val="0"/>
          <w:marRight w:val="0"/>
          <w:marTop w:val="0"/>
          <w:marBottom w:val="0"/>
          <w:divBdr>
            <w:top w:val="none" w:sz="0" w:space="0" w:color="auto"/>
            <w:left w:val="none" w:sz="0" w:space="0" w:color="auto"/>
            <w:bottom w:val="none" w:sz="0" w:space="0" w:color="auto"/>
            <w:right w:val="none" w:sz="0" w:space="0" w:color="auto"/>
          </w:divBdr>
          <w:divsChild>
            <w:div w:id="314334488">
              <w:marLeft w:val="0"/>
              <w:marRight w:val="0"/>
              <w:marTop w:val="0"/>
              <w:marBottom w:val="0"/>
              <w:divBdr>
                <w:top w:val="none" w:sz="0" w:space="0" w:color="auto"/>
                <w:left w:val="none" w:sz="0" w:space="0" w:color="auto"/>
                <w:bottom w:val="none" w:sz="0" w:space="0" w:color="auto"/>
                <w:right w:val="none" w:sz="0" w:space="0" w:color="auto"/>
              </w:divBdr>
              <w:divsChild>
                <w:div w:id="8865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34104">
      <w:bodyDiv w:val="1"/>
      <w:marLeft w:val="0"/>
      <w:marRight w:val="0"/>
      <w:marTop w:val="0"/>
      <w:marBottom w:val="0"/>
      <w:divBdr>
        <w:top w:val="none" w:sz="0" w:space="0" w:color="auto"/>
        <w:left w:val="none" w:sz="0" w:space="0" w:color="auto"/>
        <w:bottom w:val="none" w:sz="0" w:space="0" w:color="auto"/>
        <w:right w:val="none" w:sz="0" w:space="0" w:color="auto"/>
      </w:divBdr>
    </w:div>
    <w:div w:id="1772362132">
      <w:bodyDiv w:val="1"/>
      <w:marLeft w:val="0"/>
      <w:marRight w:val="0"/>
      <w:marTop w:val="0"/>
      <w:marBottom w:val="0"/>
      <w:divBdr>
        <w:top w:val="none" w:sz="0" w:space="0" w:color="auto"/>
        <w:left w:val="none" w:sz="0" w:space="0" w:color="auto"/>
        <w:bottom w:val="none" w:sz="0" w:space="0" w:color="auto"/>
        <w:right w:val="none" w:sz="0" w:space="0" w:color="auto"/>
      </w:divBdr>
    </w:div>
    <w:div w:id="1825470636">
      <w:bodyDiv w:val="1"/>
      <w:marLeft w:val="0"/>
      <w:marRight w:val="0"/>
      <w:marTop w:val="0"/>
      <w:marBottom w:val="0"/>
      <w:divBdr>
        <w:top w:val="none" w:sz="0" w:space="0" w:color="auto"/>
        <w:left w:val="none" w:sz="0" w:space="0" w:color="auto"/>
        <w:bottom w:val="none" w:sz="0" w:space="0" w:color="auto"/>
        <w:right w:val="none" w:sz="0" w:space="0" w:color="auto"/>
      </w:divBdr>
    </w:div>
    <w:div w:id="1839150937">
      <w:bodyDiv w:val="1"/>
      <w:marLeft w:val="0"/>
      <w:marRight w:val="0"/>
      <w:marTop w:val="0"/>
      <w:marBottom w:val="0"/>
      <w:divBdr>
        <w:top w:val="none" w:sz="0" w:space="0" w:color="auto"/>
        <w:left w:val="none" w:sz="0" w:space="0" w:color="auto"/>
        <w:bottom w:val="none" w:sz="0" w:space="0" w:color="auto"/>
        <w:right w:val="none" w:sz="0" w:space="0" w:color="auto"/>
      </w:divBdr>
    </w:div>
    <w:div w:id="1851144882">
      <w:bodyDiv w:val="1"/>
      <w:marLeft w:val="0"/>
      <w:marRight w:val="0"/>
      <w:marTop w:val="0"/>
      <w:marBottom w:val="0"/>
      <w:divBdr>
        <w:top w:val="none" w:sz="0" w:space="0" w:color="auto"/>
        <w:left w:val="none" w:sz="0" w:space="0" w:color="auto"/>
        <w:bottom w:val="none" w:sz="0" w:space="0" w:color="auto"/>
        <w:right w:val="none" w:sz="0" w:space="0" w:color="auto"/>
      </w:divBdr>
    </w:div>
    <w:div w:id="1873565236">
      <w:bodyDiv w:val="1"/>
      <w:marLeft w:val="0"/>
      <w:marRight w:val="0"/>
      <w:marTop w:val="0"/>
      <w:marBottom w:val="0"/>
      <w:divBdr>
        <w:top w:val="none" w:sz="0" w:space="0" w:color="auto"/>
        <w:left w:val="none" w:sz="0" w:space="0" w:color="auto"/>
        <w:bottom w:val="none" w:sz="0" w:space="0" w:color="auto"/>
        <w:right w:val="none" w:sz="0" w:space="0" w:color="auto"/>
      </w:divBdr>
    </w:div>
    <w:div w:id="1954435623">
      <w:bodyDiv w:val="1"/>
      <w:marLeft w:val="0"/>
      <w:marRight w:val="0"/>
      <w:marTop w:val="0"/>
      <w:marBottom w:val="0"/>
      <w:divBdr>
        <w:top w:val="none" w:sz="0" w:space="0" w:color="auto"/>
        <w:left w:val="none" w:sz="0" w:space="0" w:color="auto"/>
        <w:bottom w:val="none" w:sz="0" w:space="0" w:color="auto"/>
        <w:right w:val="none" w:sz="0" w:space="0" w:color="auto"/>
      </w:divBdr>
    </w:div>
    <w:div w:id="1966035763">
      <w:bodyDiv w:val="1"/>
      <w:marLeft w:val="0"/>
      <w:marRight w:val="0"/>
      <w:marTop w:val="0"/>
      <w:marBottom w:val="0"/>
      <w:divBdr>
        <w:top w:val="none" w:sz="0" w:space="0" w:color="auto"/>
        <w:left w:val="none" w:sz="0" w:space="0" w:color="auto"/>
        <w:bottom w:val="none" w:sz="0" w:space="0" w:color="auto"/>
        <w:right w:val="none" w:sz="0" w:space="0" w:color="auto"/>
      </w:divBdr>
    </w:div>
    <w:div w:id="1986624007">
      <w:bodyDiv w:val="1"/>
      <w:marLeft w:val="0"/>
      <w:marRight w:val="0"/>
      <w:marTop w:val="0"/>
      <w:marBottom w:val="0"/>
      <w:divBdr>
        <w:top w:val="none" w:sz="0" w:space="0" w:color="auto"/>
        <w:left w:val="none" w:sz="0" w:space="0" w:color="auto"/>
        <w:bottom w:val="none" w:sz="0" w:space="0" w:color="auto"/>
        <w:right w:val="none" w:sz="0" w:space="0" w:color="auto"/>
      </w:divBdr>
    </w:div>
    <w:div w:id="20770477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www.mja.com.au/public/issues/175_12_171201/steel/steel.html" TargetMode="External"/><Relationship Id="rId3" Type="http://schemas.openxmlformats.org/officeDocument/2006/relationships/hyperlink" Target="http://www1.umn.edu/humanrts/iachr/A/OC-16ingles-sinfirmas.html" TargetMode="External"/><Relationship Id="rId7" Type="http://schemas.openxmlformats.org/officeDocument/2006/relationships/hyperlink" Target="http://www.joradp.dz/TRV/FPPenal.pdf" TargetMode="External"/><Relationship Id="rId2" Type="http://schemas.openxmlformats.org/officeDocument/2006/relationships/hyperlink" Target="http://uhri.ohchr.org/document/index/165f98f0-551e-491d-a573-2a7b55a22953" TargetMode="External"/><Relationship Id="rId1" Type="http://schemas.openxmlformats.org/officeDocument/2006/relationships/hyperlink" Target="http://www.redress.org/downloads/publications/1209security_report.pdf" TargetMode="External"/><Relationship Id="rId6" Type="http://schemas.openxmlformats.org/officeDocument/2006/relationships/hyperlink" Target="http://uhri.ohchr.org/document/index/165f98f0-551e-491d-a573-2a7b55a22953" TargetMode="External"/><Relationship Id="rId5" Type="http://schemas.openxmlformats.org/officeDocument/2006/relationships/hyperlink" Target="http://uhri.ohchr.org/document/index/165f98f0-551e-491d-a573-2a7b55a22953" TargetMode="External"/><Relationship Id="rId4" Type="http://schemas.openxmlformats.org/officeDocument/2006/relationships/hyperlink" Target="http://www.cidh.org/Basicos/English/Basic21.a.Principles%20and%20Best%20Practices%20PDL.htm" TargetMode="External"/><Relationship Id="rId9" Type="http://schemas.openxmlformats.org/officeDocument/2006/relationships/hyperlink" Target="http://www.unhcr.org/505b10ee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7AC83-428B-4D0C-9C41-738E9E8EED2D}"/>
</file>

<file path=customXml/itemProps2.xml><?xml version="1.0" encoding="utf-8"?>
<ds:datastoreItem xmlns:ds="http://schemas.openxmlformats.org/officeDocument/2006/customXml" ds:itemID="{2B38DF06-25C0-41D3-8F17-C91ED3C4C1A4}"/>
</file>

<file path=customXml/itemProps3.xml><?xml version="1.0" encoding="utf-8"?>
<ds:datastoreItem xmlns:ds="http://schemas.openxmlformats.org/officeDocument/2006/customXml" ds:itemID="{66058098-D74B-4265-9880-C722D06BFDF2}"/>
</file>

<file path=customXml/itemProps4.xml><?xml version="1.0" encoding="utf-8"?>
<ds:datastoreItem xmlns:ds="http://schemas.openxmlformats.org/officeDocument/2006/customXml" ds:itemID="{6127A278-DE1A-4707-8EC0-C8D820E8B699}"/>
</file>

<file path=docProps/app.xml><?xml version="1.0" encoding="utf-8"?>
<Properties xmlns="http://schemas.openxmlformats.org/officeDocument/2006/extended-properties" xmlns:vt="http://schemas.openxmlformats.org/officeDocument/2006/docPropsVTypes">
  <Template>Normal</Template>
  <TotalTime>251</TotalTime>
  <Pages>27</Pages>
  <Words>10200</Words>
  <Characters>62227</Characters>
  <Application>Microsoft Office Word</Application>
  <DocSecurity>0</DocSecurity>
  <Lines>518</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Fulton</dc:creator>
  <cp:lastModifiedBy>Jo-Anne Prud’Homme du Hancourt</cp:lastModifiedBy>
  <cp:revision>7</cp:revision>
  <cp:lastPrinted>2014-05-30T07:53:00Z</cp:lastPrinted>
  <dcterms:created xsi:type="dcterms:W3CDTF">2014-05-30T07:58:00Z</dcterms:created>
  <dcterms:modified xsi:type="dcterms:W3CDTF">2014-05-31T09:50:00Z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2398200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