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9B" w:rsidRPr="00847A7B" w:rsidRDefault="00773B9B" w:rsidP="00773B9B">
      <w:pPr>
        <w:pStyle w:val="Title"/>
      </w:pPr>
      <w:bookmarkStart w:id="0" w:name="_GoBack"/>
      <w:bookmarkEnd w:id="0"/>
      <w:r w:rsidRPr="00847A7B">
        <w:t xml:space="preserve">Observations of the United States of America </w:t>
      </w:r>
    </w:p>
    <w:p w:rsidR="00773B9B" w:rsidRPr="00847A7B" w:rsidRDefault="00773B9B" w:rsidP="00773B9B">
      <w:pPr>
        <w:pStyle w:val="Title"/>
      </w:pPr>
      <w:proofErr w:type="gramStart"/>
      <w:r w:rsidRPr="00847A7B">
        <w:t>on</w:t>
      </w:r>
      <w:proofErr w:type="gramEnd"/>
      <w:r w:rsidRPr="00847A7B">
        <w:t xml:space="preserve"> the Human Rights Committee’s Draft</w:t>
      </w:r>
    </w:p>
    <w:p w:rsidR="00773B9B" w:rsidRPr="00847A7B" w:rsidRDefault="00773B9B" w:rsidP="00773B9B">
      <w:pPr>
        <w:jc w:val="center"/>
        <w:rPr>
          <w:b/>
          <w:bCs/>
        </w:rPr>
      </w:pPr>
      <w:r w:rsidRPr="00847A7B">
        <w:rPr>
          <w:b/>
          <w:bCs/>
        </w:rPr>
        <w:t>General Comment 35: Article 9</w:t>
      </w:r>
    </w:p>
    <w:p w:rsidR="00773B9B" w:rsidRPr="00847A7B" w:rsidRDefault="00DE74B1" w:rsidP="00773B9B">
      <w:pPr>
        <w:jc w:val="center"/>
        <w:rPr>
          <w:iCs/>
        </w:rPr>
      </w:pPr>
      <w:r>
        <w:rPr>
          <w:iCs/>
        </w:rPr>
        <w:t>June</w:t>
      </w:r>
      <w:r w:rsidR="00773B9B" w:rsidRPr="00847A7B">
        <w:rPr>
          <w:iCs/>
        </w:rPr>
        <w:t xml:space="preserve"> </w:t>
      </w:r>
      <w:r w:rsidR="00FE23CC" w:rsidRPr="0004542A">
        <w:rPr>
          <w:iCs/>
        </w:rPr>
        <w:t>10</w:t>
      </w:r>
      <w:r w:rsidR="00773B9B" w:rsidRPr="00847A7B">
        <w:rPr>
          <w:iCs/>
        </w:rPr>
        <w:t>, 2014</w:t>
      </w:r>
      <w:bookmarkStart w:id="1" w:name="_Ref388735745"/>
    </w:p>
    <w:p w:rsidR="00773B9B" w:rsidRDefault="00773B9B" w:rsidP="00773B9B">
      <w:pPr>
        <w:rPr>
          <w:iCs/>
        </w:rPr>
      </w:pPr>
    </w:p>
    <w:p w:rsidR="00BE159F" w:rsidRPr="00847A7B" w:rsidRDefault="00BE159F" w:rsidP="00773B9B">
      <w:pPr>
        <w:rPr>
          <w:iCs/>
        </w:rPr>
      </w:pPr>
    </w:p>
    <w:p w:rsidR="00C850BF" w:rsidRPr="00847A7B" w:rsidRDefault="00773B9B" w:rsidP="00773B9B">
      <w:pPr>
        <w:numPr>
          <w:ilvl w:val="0"/>
          <w:numId w:val="5"/>
        </w:numPr>
        <w:snapToGrid w:val="0"/>
      </w:pPr>
      <w:r w:rsidRPr="00847A7B">
        <w:t>The United States Government appreciates the opportunity to respond to draft General Comment 35 regarding Article 9 of the International Covenant on Civil and Political Rights</w:t>
      </w:r>
      <w:r w:rsidR="003F2DED">
        <w:t xml:space="preserve"> (“the Covenant”)</w:t>
      </w:r>
      <w:r w:rsidR="00AF47ED">
        <w:t xml:space="preserve">, and thanks the Committee for </w:t>
      </w:r>
      <w:r w:rsidR="00FE23CC">
        <w:t>its</w:t>
      </w:r>
      <w:r w:rsidR="00AF47ED">
        <w:t xml:space="preserve"> significant contributions to this project</w:t>
      </w:r>
      <w:r w:rsidRPr="00847A7B">
        <w:t>.</w:t>
      </w:r>
      <w:r w:rsidRPr="00847A7B">
        <w:rPr>
          <w:rStyle w:val="FootnoteReference"/>
        </w:rPr>
        <w:footnoteReference w:id="1"/>
      </w:r>
      <w:r w:rsidRPr="00847A7B">
        <w:t xml:space="preserve">  The United States </w:t>
      </w:r>
      <w:r w:rsidR="008E6B38">
        <w:t>is firmly committed to carrying out</w:t>
      </w:r>
      <w:r w:rsidRPr="00847A7B">
        <w:t xml:space="preserve"> its obligations under the Covenant and under other human rights treaties to which it is Party, and </w:t>
      </w:r>
      <w:r w:rsidR="00CB4FD7">
        <w:t xml:space="preserve">agrees with the Committee that </w:t>
      </w:r>
      <w:r w:rsidRPr="00847A7B">
        <w:t>the obligations of States Parties to respect and ensure the right to liberty and security of persons, as set forth in Article 9</w:t>
      </w:r>
      <w:r w:rsidR="00CB4FD7">
        <w:t xml:space="preserve">, provide important protections for </w:t>
      </w:r>
      <w:r w:rsidR="00C31887">
        <w:t>persons</w:t>
      </w:r>
      <w:r w:rsidR="00CB4FD7">
        <w:t xml:space="preserve"> around the world</w:t>
      </w:r>
      <w:r w:rsidRPr="00847A7B">
        <w:t>.  It therefore has a strong interest in the Committee’s draft</w:t>
      </w:r>
      <w:r w:rsidR="00AF47ED">
        <w:t xml:space="preserve"> and believes</w:t>
      </w:r>
      <w:r w:rsidRPr="00847A7B">
        <w:t xml:space="preserve"> that much of the Committee’s guidance </w:t>
      </w:r>
      <w:r w:rsidR="00AF47ED">
        <w:t xml:space="preserve">will </w:t>
      </w:r>
      <w:r w:rsidR="008E6B38">
        <w:t xml:space="preserve">help </w:t>
      </w:r>
      <w:r w:rsidRPr="00847A7B">
        <w:t>States Parties enhance protections for the lib</w:t>
      </w:r>
      <w:r w:rsidR="00A55C03">
        <w:t>erty and security of persons.</w:t>
      </w:r>
    </w:p>
    <w:p w:rsidR="00C850BF" w:rsidRPr="00847A7B" w:rsidRDefault="00C850BF" w:rsidP="00C850BF">
      <w:pPr>
        <w:snapToGrid w:val="0"/>
        <w:ind w:left="360"/>
      </w:pPr>
    </w:p>
    <w:p w:rsidR="00773B9B" w:rsidRPr="00847A7B" w:rsidRDefault="00773B9B" w:rsidP="00773B9B">
      <w:pPr>
        <w:numPr>
          <w:ilvl w:val="0"/>
          <w:numId w:val="5"/>
        </w:numPr>
        <w:snapToGrid w:val="0"/>
      </w:pPr>
      <w:r w:rsidRPr="00847A7B">
        <w:t xml:space="preserve">The observations </w:t>
      </w:r>
      <w:r w:rsidR="00AF47ED">
        <w:t xml:space="preserve">of the United States focus </w:t>
      </w:r>
      <w:r w:rsidRPr="00847A7B">
        <w:t xml:space="preserve">on a few key </w:t>
      </w:r>
      <w:r w:rsidR="00CE0E44">
        <w:t>statements in</w:t>
      </w:r>
      <w:r w:rsidRPr="00847A7B">
        <w:t xml:space="preserve"> the draft General Comment that</w:t>
      </w:r>
      <w:r w:rsidR="00CE0E44">
        <w:t>, in the view of the United States,</w:t>
      </w:r>
      <w:r w:rsidRPr="00847A7B">
        <w:t xml:space="preserve"> </w:t>
      </w:r>
      <w:r w:rsidR="00AF47ED">
        <w:t xml:space="preserve">should be </w:t>
      </w:r>
      <w:r w:rsidR="00CB4FD7">
        <w:t>revis</w:t>
      </w:r>
      <w:r w:rsidR="00AF47ED">
        <w:t>ed</w:t>
      </w:r>
      <w:r w:rsidR="00CB4FD7">
        <w:t xml:space="preserve"> or</w:t>
      </w:r>
      <w:r w:rsidR="00CE0E44">
        <w:t>, in some cases,</w:t>
      </w:r>
      <w:r w:rsidR="00CB4FD7">
        <w:t xml:space="preserve"> </w:t>
      </w:r>
      <w:r w:rsidR="00CE0E44">
        <w:t>deleted</w:t>
      </w:r>
      <w:r w:rsidR="00FE0660">
        <w:t>,</w:t>
      </w:r>
      <w:r w:rsidRPr="00847A7B">
        <w:t xml:space="preserve"> from the final text. </w:t>
      </w:r>
      <w:r w:rsidR="00C9761C">
        <w:t xml:space="preserve"> </w:t>
      </w:r>
      <w:r w:rsidRPr="00847A7B">
        <w:t xml:space="preserve">These include: the </w:t>
      </w:r>
      <w:r w:rsidRPr="00CE243F">
        <w:t>scope of the right to security of person under Article 9</w:t>
      </w:r>
      <w:r w:rsidR="00C31887">
        <w:t>;</w:t>
      </w:r>
      <w:r w:rsidRPr="00847A7B">
        <w:t xml:space="preserve"> the obligations of States Parties with respect to </w:t>
      </w:r>
      <w:r w:rsidR="00C31887">
        <w:t>the conduct of non-state actors;</w:t>
      </w:r>
      <w:r w:rsidRPr="00847A7B">
        <w:t xml:space="preserve"> the relevance of international humanitarian law to </w:t>
      </w:r>
      <w:r w:rsidR="00C31887">
        <w:t>the application of the Covenant;</w:t>
      </w:r>
      <w:r w:rsidRPr="00847A7B">
        <w:t xml:space="preserve"> </w:t>
      </w:r>
      <w:r w:rsidR="0091679D">
        <w:t xml:space="preserve">and limitations on a State Party’s </w:t>
      </w:r>
      <w:r w:rsidRPr="00847A7B">
        <w:t>derogat</w:t>
      </w:r>
      <w:r w:rsidR="00972C7C" w:rsidRPr="00847A7B">
        <w:t>ion</w:t>
      </w:r>
      <w:r w:rsidRPr="00847A7B">
        <w:t xml:space="preserve"> </w:t>
      </w:r>
      <w:r w:rsidR="0091679D">
        <w:t xml:space="preserve">authority </w:t>
      </w:r>
      <w:r w:rsidRPr="00847A7B">
        <w:t>in times of public emergency</w:t>
      </w:r>
      <w:r w:rsidR="0091679D">
        <w:t xml:space="preserve"> under Article 4</w:t>
      </w:r>
      <w:r w:rsidR="00892A57">
        <w:t>.</w:t>
      </w:r>
      <w:bookmarkEnd w:id="1"/>
      <w:r w:rsidR="00AF47ED">
        <w:t xml:space="preserve"> </w:t>
      </w:r>
      <w:r w:rsidR="009A0E3D">
        <w:t xml:space="preserve"> Af</w:t>
      </w:r>
      <w:r w:rsidR="008B4842">
        <w:t>ter addressing these key topics, these</w:t>
      </w:r>
      <w:r w:rsidR="00945E45">
        <w:t xml:space="preserve"> </w:t>
      </w:r>
      <w:r w:rsidRPr="00847A7B">
        <w:t xml:space="preserve">observations </w:t>
      </w:r>
      <w:r w:rsidR="003D0EBF">
        <w:t xml:space="preserve">make a number of specific points, </w:t>
      </w:r>
      <w:r w:rsidR="0017105A">
        <w:t xml:space="preserve">which </w:t>
      </w:r>
      <w:r w:rsidRPr="00847A7B">
        <w:t xml:space="preserve">are illustrative of </w:t>
      </w:r>
      <w:r w:rsidR="00370C36" w:rsidRPr="00847A7B">
        <w:t xml:space="preserve">U.S. </w:t>
      </w:r>
      <w:r w:rsidRPr="00847A7B">
        <w:t xml:space="preserve">concerns rather than </w:t>
      </w:r>
      <w:r w:rsidR="00370C36" w:rsidRPr="00847A7B">
        <w:t xml:space="preserve">a </w:t>
      </w:r>
      <w:r w:rsidRPr="00847A7B">
        <w:t xml:space="preserve">comprehensive </w:t>
      </w:r>
      <w:r w:rsidR="00370C36" w:rsidRPr="00847A7B">
        <w:t xml:space="preserve">catalogue of </w:t>
      </w:r>
      <w:r w:rsidRPr="00847A7B">
        <w:t xml:space="preserve">all </w:t>
      </w:r>
      <w:r w:rsidR="00892A57">
        <w:t>points</w:t>
      </w:r>
      <w:r w:rsidRPr="00847A7B">
        <w:t xml:space="preserve"> </w:t>
      </w:r>
      <w:r w:rsidR="00370C36" w:rsidRPr="00847A7B">
        <w:t xml:space="preserve">on </w:t>
      </w:r>
      <w:r w:rsidRPr="00847A7B">
        <w:t>which</w:t>
      </w:r>
      <w:r w:rsidR="00370C36" w:rsidRPr="00847A7B">
        <w:t xml:space="preserve"> the United States </w:t>
      </w:r>
      <w:r w:rsidRPr="00847A7B">
        <w:t xml:space="preserve">may disagree.  The United States hopes its views will be </w:t>
      </w:r>
      <w:r w:rsidR="00892A57">
        <w:t xml:space="preserve">useful to </w:t>
      </w:r>
      <w:r w:rsidRPr="00847A7B">
        <w:t xml:space="preserve">the Committee </w:t>
      </w:r>
      <w:r w:rsidR="00892A57">
        <w:t xml:space="preserve">as it </w:t>
      </w:r>
      <w:r w:rsidRPr="00847A7B">
        <w:t>finalizes it</w:t>
      </w:r>
      <w:r w:rsidR="0059120F">
        <w:t>s General Comment on Article 9.</w:t>
      </w:r>
    </w:p>
    <w:p w:rsidR="00773B9B" w:rsidRDefault="00773B9B" w:rsidP="00773B9B">
      <w:pPr>
        <w:ind w:left="360"/>
      </w:pPr>
    </w:p>
    <w:p w:rsidR="003D0EBF" w:rsidRPr="003D0EBF" w:rsidRDefault="00100353" w:rsidP="005C7D48">
      <w:pPr>
        <w:rPr>
          <w:b/>
          <w:u w:val="single"/>
        </w:rPr>
      </w:pPr>
      <w:r>
        <w:rPr>
          <w:b/>
          <w:u w:val="single"/>
        </w:rPr>
        <w:t xml:space="preserve">I.   </w:t>
      </w:r>
      <w:r w:rsidR="003D0EBF" w:rsidRPr="003D0EBF">
        <w:rPr>
          <w:b/>
          <w:u w:val="single"/>
        </w:rPr>
        <w:t>Preliminary Ob</w:t>
      </w:r>
      <w:r w:rsidR="009A0E3D">
        <w:rPr>
          <w:b/>
          <w:u w:val="single"/>
        </w:rPr>
        <w:t>s</w:t>
      </w:r>
      <w:r w:rsidR="003D0EBF" w:rsidRPr="003D0EBF">
        <w:rPr>
          <w:b/>
          <w:u w:val="single"/>
        </w:rPr>
        <w:t>ervations</w:t>
      </w:r>
    </w:p>
    <w:p w:rsidR="003D0EBF" w:rsidRPr="00847A7B" w:rsidRDefault="003D0EBF" w:rsidP="00773B9B">
      <w:pPr>
        <w:ind w:left="360"/>
      </w:pPr>
    </w:p>
    <w:p w:rsidR="00773B9B" w:rsidRDefault="00773B9B" w:rsidP="00773B9B">
      <w:pPr>
        <w:numPr>
          <w:ilvl w:val="0"/>
          <w:numId w:val="5"/>
        </w:numPr>
        <w:snapToGrid w:val="0"/>
      </w:pPr>
      <w:r w:rsidRPr="00847A7B">
        <w:t xml:space="preserve">The United States </w:t>
      </w:r>
      <w:r w:rsidR="008E6B38">
        <w:t>agrees</w:t>
      </w:r>
      <w:r w:rsidRPr="00847A7B">
        <w:t xml:space="preserve"> with the Committee’s assessment of the profound importance of Article 9 for both individuals and society as a whole, and with its recognition in paragraph 2 of the draft General Comment that “[l]iberty and security of person are precious for their own sake, and also because deprivation of liberty and security of person have historically been principal means for impairing the enjoyment of other rights.”  It is perhaps because of the historical underpinnings of these rights, grounded in the </w:t>
      </w:r>
      <w:r w:rsidRPr="00C9761C">
        <w:rPr>
          <w:i/>
        </w:rPr>
        <w:t>Magna Carta Libertatum</w:t>
      </w:r>
      <w:r w:rsidRPr="00847A7B">
        <w:t xml:space="preserve"> in 1215 and the constitutions and bills of rights of so many nations, that these natural and inherent rights were </w:t>
      </w:r>
      <w:r w:rsidR="00FE23CC">
        <w:t>proclaimed</w:t>
      </w:r>
      <w:r w:rsidR="00FE23CC" w:rsidRPr="00847A7B">
        <w:t xml:space="preserve"> </w:t>
      </w:r>
      <w:r w:rsidRPr="00847A7B">
        <w:t xml:space="preserve">with relative ease in Articles 3 and 9 of the Universal Declaration of Human Rights (UDHR) and later, with </w:t>
      </w:r>
      <w:r w:rsidR="000B2B0A">
        <w:t xml:space="preserve">minimal </w:t>
      </w:r>
      <w:r w:rsidRPr="00847A7B">
        <w:t xml:space="preserve">debate, in Article 9 of the Covenant.  Indeed, for the United States, the right of </w:t>
      </w:r>
      <w:r w:rsidRPr="00847A7B">
        <w:rPr>
          <w:i/>
        </w:rPr>
        <w:t>habeas corpus</w:t>
      </w:r>
      <w:r w:rsidRPr="00847A7B">
        <w:t xml:space="preserve"> is so fundamental to American common law jurisprudence that it was </w:t>
      </w:r>
      <w:r w:rsidR="00892A57">
        <w:t>included</w:t>
      </w:r>
      <w:r w:rsidRPr="00847A7B">
        <w:t xml:space="preserve"> in the </w:t>
      </w:r>
      <w:r w:rsidR="00892A57">
        <w:t xml:space="preserve">original </w:t>
      </w:r>
      <w:r w:rsidR="00FE0660" w:rsidRPr="00847A7B">
        <w:t>U</w:t>
      </w:r>
      <w:r w:rsidR="00FE0660">
        <w:t>.</w:t>
      </w:r>
      <w:r w:rsidR="00FE0660" w:rsidRPr="00847A7B">
        <w:t xml:space="preserve"> </w:t>
      </w:r>
      <w:r w:rsidRPr="00847A7B">
        <w:t>S</w:t>
      </w:r>
      <w:r w:rsidR="00FE0660">
        <w:t>.</w:t>
      </w:r>
      <w:r w:rsidRPr="00847A7B">
        <w:t xml:space="preserve"> Constitution</w:t>
      </w:r>
      <w:r w:rsidR="0017105A">
        <w:t>.</w:t>
      </w:r>
      <w:r w:rsidR="003D0EBF">
        <w:t xml:space="preserve"> </w:t>
      </w:r>
      <w:r w:rsidRPr="00847A7B">
        <w:t xml:space="preserve"> Among the essential rights included in the </w:t>
      </w:r>
      <w:r w:rsidR="00892A57">
        <w:t xml:space="preserve">1791 </w:t>
      </w:r>
      <w:r w:rsidR="00FE0660">
        <w:t xml:space="preserve">U.S. </w:t>
      </w:r>
      <w:r w:rsidRPr="00847A7B">
        <w:t xml:space="preserve">Bill of Rights -- the first ten amendments to the </w:t>
      </w:r>
      <w:r w:rsidR="00FE0660">
        <w:t xml:space="preserve">U.S. </w:t>
      </w:r>
      <w:r w:rsidRPr="00847A7B">
        <w:lastRenderedPageBreak/>
        <w:t xml:space="preserve">Constitution -- were the right to be secure in one’s person against unreasonable search and seizure (including seizure of one’s person), the right not to be deprived of life or liberty without due process of law or to be held to answer criminal charges </w:t>
      </w:r>
      <w:r w:rsidRPr="008A6A81">
        <w:t>without presentment and indictment before a Grand Jury</w:t>
      </w:r>
      <w:r w:rsidR="008A6A81">
        <w:t>,</w:t>
      </w:r>
      <w:r w:rsidRPr="008A6A81">
        <w:t xml:space="preserve"> the right to be informed of the nature and cause of accusations brought against one</w:t>
      </w:r>
      <w:r w:rsidR="00FE0660" w:rsidRPr="008A6A81">
        <w:t>,</w:t>
      </w:r>
      <w:r w:rsidRPr="008A6A81">
        <w:t xml:space="preserve"> and </w:t>
      </w:r>
      <w:r w:rsidR="00FE0660" w:rsidRPr="008A6A81">
        <w:t xml:space="preserve">the </w:t>
      </w:r>
      <w:r w:rsidRPr="008A6A81">
        <w:t xml:space="preserve">guarantee of speedy and public trials by an impartial jury in criminal cases. </w:t>
      </w:r>
      <w:r w:rsidR="00C9761C">
        <w:t xml:space="preserve"> </w:t>
      </w:r>
      <w:r w:rsidRPr="008A6A81">
        <w:t xml:space="preserve">These rights were later made applicable to </w:t>
      </w:r>
      <w:r w:rsidR="00FE0660" w:rsidRPr="008A6A81">
        <w:t xml:space="preserve">U.S. </w:t>
      </w:r>
      <w:r w:rsidRPr="008A6A81">
        <w:t>states under</w:t>
      </w:r>
      <w:r w:rsidRPr="00847A7B">
        <w:t xml:space="preserve"> the </w:t>
      </w:r>
      <w:r w:rsidR="00083A26">
        <w:t>D</w:t>
      </w:r>
      <w:r w:rsidRPr="00847A7B">
        <w:t xml:space="preserve">ue </w:t>
      </w:r>
      <w:r w:rsidR="00083A26">
        <w:t>P</w:t>
      </w:r>
      <w:r w:rsidRPr="00847A7B">
        <w:t xml:space="preserve">rocess </w:t>
      </w:r>
      <w:r w:rsidR="00083A26">
        <w:t>C</w:t>
      </w:r>
      <w:r w:rsidRPr="00847A7B">
        <w:t>lause of the Fourteenth Amendment</w:t>
      </w:r>
      <w:r w:rsidR="00224A31">
        <w:t xml:space="preserve"> (with the exception of the right to indictment by Grand Jury)</w:t>
      </w:r>
      <w:r w:rsidRPr="00847A7B">
        <w:t xml:space="preserve">.  The United States has long maintained robust protections against governmental interference with any of these rights, </w:t>
      </w:r>
      <w:r w:rsidR="00C31887">
        <w:t>which is</w:t>
      </w:r>
      <w:r w:rsidRPr="00847A7B">
        <w:t xml:space="preserve"> </w:t>
      </w:r>
      <w:r w:rsidR="004E6910">
        <w:t xml:space="preserve">consistent with </w:t>
      </w:r>
      <w:r w:rsidR="00A91AB2">
        <w:t>Article 9 of the Covenant.</w:t>
      </w:r>
    </w:p>
    <w:p w:rsidR="003D0EBF" w:rsidRDefault="003D0EBF" w:rsidP="003D0EBF">
      <w:pPr>
        <w:snapToGrid w:val="0"/>
        <w:ind w:left="360"/>
      </w:pPr>
    </w:p>
    <w:p w:rsidR="00500732" w:rsidRPr="00847A7B" w:rsidRDefault="00500732" w:rsidP="00500732">
      <w:pPr>
        <w:numPr>
          <w:ilvl w:val="0"/>
          <w:numId w:val="1"/>
        </w:numPr>
        <w:snapToGrid w:val="0"/>
      </w:pPr>
      <w:r>
        <w:t>The United States believes</w:t>
      </w:r>
      <w:r w:rsidRPr="00500732">
        <w:t xml:space="preserve"> </w:t>
      </w:r>
      <w:r w:rsidRPr="00847A7B">
        <w:t>the views of the Committee should be carefully considered by the States Parties</w:t>
      </w:r>
      <w:r>
        <w:t>.  Nevertheless</w:t>
      </w:r>
      <w:r w:rsidRPr="00847A7B">
        <w:t xml:space="preserve">, they are neither primary nor authoritative sources of law and the impression should not be given that they are being cited as such.  </w:t>
      </w:r>
      <w:r>
        <w:t xml:space="preserve">Thus, </w:t>
      </w:r>
      <w:r w:rsidR="0017105A">
        <w:t xml:space="preserve">the </w:t>
      </w:r>
      <w:r w:rsidRPr="00847A7B">
        <w:t>United States encourage</w:t>
      </w:r>
      <w:r>
        <w:t>s</w:t>
      </w:r>
      <w:r w:rsidRPr="00847A7B">
        <w:t xml:space="preserve"> the Committee in its final text to refrain from categorical statements regarding State Party obligations unless grounded in</w:t>
      </w:r>
      <w:r w:rsidR="008842D6">
        <w:t xml:space="preserve"> and referring to</w:t>
      </w:r>
      <w:r w:rsidRPr="00847A7B">
        <w:t xml:space="preserve"> the </w:t>
      </w:r>
      <w:r w:rsidR="00B56A05">
        <w:t xml:space="preserve">specific </w:t>
      </w:r>
      <w:r w:rsidRPr="00847A7B">
        <w:t xml:space="preserve">text of </w:t>
      </w:r>
      <w:r w:rsidR="00745EC4">
        <w:t xml:space="preserve">the </w:t>
      </w:r>
      <w:r w:rsidRPr="00847A7B">
        <w:t>Covenant</w:t>
      </w:r>
      <w:r>
        <w:t xml:space="preserve"> or other sources of treaty interpretation,</w:t>
      </w:r>
      <w:r w:rsidRPr="00847A7B">
        <w:t xml:space="preserve"> rather than </w:t>
      </w:r>
      <w:r w:rsidR="00C31887">
        <w:t>being based only on</w:t>
      </w:r>
      <w:r w:rsidRPr="00847A7B">
        <w:t xml:space="preserve"> observations and comments of the Committee.  The United States has address</w:t>
      </w:r>
      <w:r w:rsidR="00745EC4">
        <w:t>ed</w:t>
      </w:r>
      <w:r w:rsidRPr="00847A7B">
        <w:t xml:space="preserve"> the functions and authorities of the Committee as established in Article 40 of the Covenant and refers the Committee to the </w:t>
      </w:r>
      <w:r w:rsidR="00732C33">
        <w:t xml:space="preserve">U.S. </w:t>
      </w:r>
      <w:r w:rsidRPr="00847A7B">
        <w:t xml:space="preserve">Observations on General Comment 33, transmitted to the Chairman of the Committee on December </w:t>
      </w:r>
      <w:r>
        <w:t>23</w:t>
      </w:r>
      <w:r w:rsidRPr="00847A7B">
        <w:t>, 2008</w:t>
      </w:r>
      <w:r w:rsidR="00F91A06">
        <w:t>,</w:t>
      </w:r>
      <w:r w:rsidRPr="00847A7B">
        <w:t xml:space="preserve"> and </w:t>
      </w:r>
      <w:r>
        <w:t xml:space="preserve">to </w:t>
      </w:r>
      <w:r w:rsidRPr="00847A7B">
        <w:t xml:space="preserve">the </w:t>
      </w:r>
      <w:r w:rsidR="00732C33">
        <w:t xml:space="preserve">U.S. </w:t>
      </w:r>
      <w:r w:rsidRPr="00847A7B">
        <w:t xml:space="preserve">Observations on General Comment 24, transmitted by the United States to the Chairman of the Committee on March 28, </w:t>
      </w:r>
      <w:r w:rsidR="00EA0ED7" w:rsidRPr="00847A7B">
        <w:t>1995</w:t>
      </w:r>
      <w:r w:rsidR="00F85C55">
        <w:t>.</w:t>
      </w:r>
    </w:p>
    <w:p w:rsidR="00500732" w:rsidRPr="00847A7B" w:rsidRDefault="00500732" w:rsidP="00500732">
      <w:pPr>
        <w:tabs>
          <w:tab w:val="left" w:pos="360"/>
        </w:tabs>
        <w:snapToGrid w:val="0"/>
        <w:ind w:left="360"/>
      </w:pPr>
    </w:p>
    <w:p w:rsidR="00500732" w:rsidRPr="00847A7B" w:rsidRDefault="00500732" w:rsidP="00500732">
      <w:pPr>
        <w:numPr>
          <w:ilvl w:val="0"/>
          <w:numId w:val="1"/>
        </w:numPr>
        <w:snapToGrid w:val="0"/>
      </w:pPr>
      <w:r w:rsidRPr="00847A7B">
        <w:t>Throughout the draft General Comment, references are made to the application of the Covenant</w:t>
      </w:r>
      <w:r>
        <w:t>,</w:t>
      </w:r>
      <w:r w:rsidRPr="00847A7B">
        <w:t xml:space="preserve"> and Article 9 in particular</w:t>
      </w:r>
      <w:r>
        <w:t>,</w:t>
      </w:r>
      <w:r w:rsidRPr="00847A7B">
        <w:t xml:space="preserve"> to actions outside the territory of a State Party.  The </w:t>
      </w:r>
      <w:r w:rsidR="00EA0ED7">
        <w:t xml:space="preserve">United States has made the </w:t>
      </w:r>
      <w:r w:rsidRPr="00847A7B">
        <w:t xml:space="preserve">Committee aware of </w:t>
      </w:r>
      <w:r w:rsidR="005C735D">
        <w:t>its</w:t>
      </w:r>
      <w:r w:rsidRPr="00847A7B">
        <w:t xml:space="preserve"> position concerning the territorial scope of a State Party’s legal obligations under the Covenant</w:t>
      </w:r>
      <w:r w:rsidR="00EA0ED7">
        <w:t>:</w:t>
      </w:r>
      <w:r w:rsidR="00EA0ED7" w:rsidRPr="00847A7B">
        <w:t xml:space="preserve"> </w:t>
      </w:r>
      <w:r w:rsidRPr="00847A7B">
        <w:t xml:space="preserve">that the Covenant applies only to individuals that are both within the territory of a State Party and </w:t>
      </w:r>
      <w:r w:rsidR="00745EC4">
        <w:t>subject to</w:t>
      </w:r>
      <w:r w:rsidRPr="00847A7B">
        <w:t xml:space="preserve"> its jurisdiction.  </w:t>
      </w:r>
      <w:r w:rsidR="00745EC4">
        <w:t>In the U.S. view, t</w:t>
      </w:r>
      <w:r w:rsidRPr="00847A7B">
        <w:t>his position is the most consistent with the Covenant’s language and negotiating history</w:t>
      </w:r>
      <w:r w:rsidR="005C735D">
        <w:t>,</w:t>
      </w:r>
      <w:r w:rsidRPr="00847A7B">
        <w:t xml:space="preserve"> and </w:t>
      </w:r>
      <w:r w:rsidR="005C735D">
        <w:t xml:space="preserve">it is in </w:t>
      </w:r>
      <w:r w:rsidRPr="00847A7B">
        <w:t xml:space="preserve">accord with longstanding international legal principles of treaty interpretation.  The United States has explained the legal basis for this position on a number of occasions and in considerable detail, including in response to the Committee’s General Comment 31 and during dialogues with the Committee in </w:t>
      </w:r>
      <w:r>
        <w:t xml:space="preserve">March </w:t>
      </w:r>
      <w:r w:rsidRPr="00847A7B">
        <w:t xml:space="preserve">1995, </w:t>
      </w:r>
      <w:r>
        <w:t xml:space="preserve">July </w:t>
      </w:r>
      <w:r w:rsidRPr="00847A7B">
        <w:t>2006</w:t>
      </w:r>
      <w:r w:rsidR="005C735D">
        <w:t>,</w:t>
      </w:r>
      <w:r w:rsidRPr="00847A7B">
        <w:t xml:space="preserve"> and </w:t>
      </w:r>
      <w:r w:rsidR="005F5486">
        <w:t xml:space="preserve">March </w:t>
      </w:r>
      <w:r w:rsidRPr="00847A7B">
        <w:t xml:space="preserve">2014. </w:t>
      </w:r>
      <w:r>
        <w:t xml:space="preserve"> The United States </w:t>
      </w:r>
      <w:r w:rsidRPr="00847A7B">
        <w:t xml:space="preserve">refers the Committee to the </w:t>
      </w:r>
      <w:r w:rsidR="00732C33">
        <w:t xml:space="preserve">U.S. </w:t>
      </w:r>
      <w:r w:rsidR="00F4007F" w:rsidRPr="00847A7B">
        <w:t>Observations on General Comment 31,</w:t>
      </w:r>
      <w:r w:rsidRPr="00847A7B">
        <w:t xml:space="preserve"> </w:t>
      </w:r>
      <w:r w:rsidR="00433E2E" w:rsidRPr="00847A7B">
        <w:t>transmitted to the Chairman of the Committee on December 27, 2007</w:t>
      </w:r>
      <w:r w:rsidR="00433E2E">
        <w:t xml:space="preserve">, </w:t>
      </w:r>
      <w:r w:rsidRPr="00847A7B">
        <w:t xml:space="preserve">and to these prior dialogues </w:t>
      </w:r>
      <w:r>
        <w:t xml:space="preserve">for further information </w:t>
      </w:r>
      <w:r w:rsidRPr="00847A7B">
        <w:t xml:space="preserve">on this point. </w:t>
      </w:r>
    </w:p>
    <w:p w:rsidR="00773B9B" w:rsidRDefault="00773B9B" w:rsidP="00773B9B">
      <w:pPr>
        <w:rPr>
          <w:b/>
          <w:u w:val="single"/>
        </w:rPr>
      </w:pPr>
    </w:p>
    <w:p w:rsidR="00773B9B" w:rsidRPr="00847A7B" w:rsidRDefault="00773B9B" w:rsidP="00773B9B">
      <w:pPr>
        <w:rPr>
          <w:b/>
          <w:u w:val="single"/>
        </w:rPr>
      </w:pPr>
      <w:r w:rsidRPr="00847A7B">
        <w:rPr>
          <w:b/>
          <w:u w:val="single"/>
        </w:rPr>
        <w:t>I</w:t>
      </w:r>
      <w:r w:rsidR="00100353">
        <w:rPr>
          <w:b/>
          <w:u w:val="single"/>
        </w:rPr>
        <w:t>I</w:t>
      </w:r>
      <w:proofErr w:type="gramStart"/>
      <w:r w:rsidRPr="00847A7B">
        <w:rPr>
          <w:b/>
          <w:u w:val="single"/>
        </w:rPr>
        <w:t>.  The</w:t>
      </w:r>
      <w:proofErr w:type="gramEnd"/>
      <w:r w:rsidRPr="00847A7B">
        <w:rPr>
          <w:b/>
          <w:u w:val="single"/>
        </w:rPr>
        <w:t xml:space="preserve"> Relationship </w:t>
      </w:r>
      <w:r w:rsidR="008842D6">
        <w:rPr>
          <w:b/>
          <w:u w:val="single"/>
        </w:rPr>
        <w:t>between</w:t>
      </w:r>
      <w:r w:rsidR="008842D6" w:rsidRPr="00847A7B">
        <w:rPr>
          <w:b/>
          <w:u w:val="single"/>
        </w:rPr>
        <w:t xml:space="preserve"> </w:t>
      </w:r>
      <w:r w:rsidRPr="00847A7B">
        <w:rPr>
          <w:b/>
          <w:u w:val="single"/>
        </w:rPr>
        <w:t xml:space="preserve">Liberty and Security of Person </w:t>
      </w:r>
    </w:p>
    <w:p w:rsidR="00773B9B" w:rsidRPr="00847A7B" w:rsidRDefault="00773B9B" w:rsidP="00773B9B">
      <w:pPr>
        <w:rPr>
          <w:b/>
          <w:u w:val="single"/>
        </w:rPr>
      </w:pPr>
    </w:p>
    <w:p w:rsidR="00773B9B" w:rsidRPr="00C31887" w:rsidRDefault="007F4586" w:rsidP="00773B9B">
      <w:pPr>
        <w:numPr>
          <w:ilvl w:val="0"/>
          <w:numId w:val="5"/>
        </w:numPr>
        <w:snapToGrid w:val="0"/>
        <w:rPr>
          <w:b/>
          <w:u w:val="single"/>
        </w:rPr>
      </w:pPr>
      <w:r>
        <w:t xml:space="preserve">The United States </w:t>
      </w:r>
      <w:r w:rsidR="00F91A06">
        <w:t xml:space="preserve">generally </w:t>
      </w:r>
      <w:r w:rsidR="008D3972">
        <w:t>agrees</w:t>
      </w:r>
      <w:r>
        <w:t xml:space="preserve"> with the </w:t>
      </w:r>
      <w:r w:rsidR="00773B9B" w:rsidRPr="00847A7B">
        <w:t xml:space="preserve">Committee’s </w:t>
      </w:r>
      <w:r>
        <w:t xml:space="preserve">view in </w:t>
      </w:r>
      <w:r w:rsidR="008D3972">
        <w:t>p</w:t>
      </w:r>
      <w:r>
        <w:t xml:space="preserve">aragraph 7 of the </w:t>
      </w:r>
      <w:r w:rsidR="00773B9B" w:rsidRPr="00847A7B">
        <w:t>draft General Comment that</w:t>
      </w:r>
      <w:r w:rsidR="00305BB4">
        <w:t>, within its scope of application,</w:t>
      </w:r>
      <w:r w:rsidR="00305BB4">
        <w:rPr>
          <w:rStyle w:val="FootnoteReference"/>
        </w:rPr>
        <w:footnoteReference w:id="2"/>
      </w:r>
      <w:r w:rsidR="00305BB4">
        <w:t xml:space="preserve"> </w:t>
      </w:r>
      <w:r w:rsidR="00773B9B" w:rsidRPr="00847A7B">
        <w:t xml:space="preserve">security of person under Article 9 would be jeopardized when a </w:t>
      </w:r>
      <w:r w:rsidR="005C735D">
        <w:t>S</w:t>
      </w:r>
      <w:r w:rsidR="00773B9B" w:rsidRPr="00847A7B">
        <w:t xml:space="preserve">tate authority intentionally and unjustifiably inflicts bodily or </w:t>
      </w:r>
      <w:r w:rsidR="00773B9B" w:rsidRPr="00847A7B">
        <w:lastRenderedPageBreak/>
        <w:t>mental injury on an individual</w:t>
      </w:r>
      <w:r w:rsidR="00CE1FA4" w:rsidRPr="008A6A81">
        <w:t>.</w:t>
      </w:r>
      <w:r w:rsidR="00773B9B" w:rsidRPr="008A6A81">
        <w:t xml:space="preserve">  </w:t>
      </w:r>
      <w:r w:rsidR="00C31887">
        <w:t>However, the extent of a State Part</w:t>
      </w:r>
      <w:r w:rsidR="0004542A">
        <w:t>y’</w:t>
      </w:r>
      <w:r w:rsidR="00C31887">
        <w:t xml:space="preserve">s obligation </w:t>
      </w:r>
      <w:r w:rsidR="00984A7D">
        <w:t xml:space="preserve">pursuant to the Covenant </w:t>
      </w:r>
      <w:r w:rsidR="00C31887">
        <w:t xml:space="preserve">to protect security of persons </w:t>
      </w:r>
      <w:r w:rsidR="00984A7D">
        <w:t>outside</w:t>
      </w:r>
      <w:r w:rsidR="00C31887">
        <w:t xml:space="preserve"> the context of depr</w:t>
      </w:r>
      <w:r w:rsidR="00A36C2A">
        <w:t>ivation of liberty is unclear.</w:t>
      </w:r>
    </w:p>
    <w:p w:rsidR="00C31887" w:rsidRPr="00C31887" w:rsidRDefault="00C31887" w:rsidP="00C31887">
      <w:pPr>
        <w:snapToGrid w:val="0"/>
        <w:ind w:left="360"/>
        <w:rPr>
          <w:b/>
          <w:u w:val="single"/>
        </w:rPr>
      </w:pPr>
    </w:p>
    <w:p w:rsidR="00773B9B" w:rsidRPr="00833820" w:rsidRDefault="00C31887" w:rsidP="00833820">
      <w:pPr>
        <w:numPr>
          <w:ilvl w:val="0"/>
          <w:numId w:val="5"/>
        </w:numPr>
        <w:snapToGrid w:val="0"/>
        <w:rPr>
          <w:b/>
          <w:u w:val="single"/>
        </w:rPr>
      </w:pPr>
      <w:r>
        <w:t>T</w:t>
      </w:r>
      <w:r w:rsidR="00180549">
        <w:t xml:space="preserve">he ordinary meaning and context of the language in </w:t>
      </w:r>
      <w:r w:rsidR="00773B9B" w:rsidRPr="00847A7B">
        <w:t xml:space="preserve">Article 9 </w:t>
      </w:r>
      <w:r>
        <w:t>supports</w:t>
      </w:r>
      <w:r w:rsidR="005C735D">
        <w:t xml:space="preserve"> </w:t>
      </w:r>
      <w:r w:rsidR="00180549">
        <w:t xml:space="preserve">the conclusion that </w:t>
      </w:r>
      <w:r w:rsidR="00773B9B" w:rsidRPr="00847A7B">
        <w:t>the right to liberty and security of person</w:t>
      </w:r>
      <w:r w:rsidR="005C735D">
        <w:t>, for purposes of Article 9,</w:t>
      </w:r>
      <w:r w:rsidR="00773B9B" w:rsidRPr="00847A7B">
        <w:t xml:space="preserve"> pertain</w:t>
      </w:r>
      <w:r w:rsidR="00B62DB4">
        <w:t>s</w:t>
      </w:r>
      <w:r w:rsidR="00773B9B" w:rsidRPr="00847A7B">
        <w:t xml:space="preserve"> to situations involving deprivation of liberty</w:t>
      </w:r>
      <w:r w:rsidR="00833820">
        <w:t>.</w:t>
      </w:r>
      <w:r w:rsidR="007F4586" w:rsidRPr="00847A7B">
        <w:rPr>
          <w:rStyle w:val="FootnoteReference"/>
        </w:rPr>
        <w:footnoteReference w:id="3"/>
      </w:r>
      <w:r w:rsidR="007F4586" w:rsidRPr="00847A7B">
        <w:t xml:space="preserve"> </w:t>
      </w:r>
      <w:r w:rsidR="00773B9B" w:rsidRPr="00847A7B">
        <w:t xml:space="preserve"> </w:t>
      </w:r>
      <w:r w:rsidR="007532E8">
        <w:t xml:space="preserve">The first sentence of paragraph 1 </w:t>
      </w:r>
      <w:r w:rsidR="005C735D">
        <w:t>proclai</w:t>
      </w:r>
      <w:r w:rsidR="003B4A27">
        <w:t>m</w:t>
      </w:r>
      <w:r w:rsidR="005C735D">
        <w:t>s</w:t>
      </w:r>
      <w:r w:rsidR="007532E8">
        <w:t xml:space="preserve"> the general </w:t>
      </w:r>
      <w:r w:rsidR="005C735D">
        <w:t xml:space="preserve">principle </w:t>
      </w:r>
      <w:r w:rsidR="007532E8">
        <w:t>that everyone has the right to liberty and security of person.  T</w:t>
      </w:r>
      <w:r w:rsidR="00773B9B" w:rsidRPr="00847A7B">
        <w:t xml:space="preserve">he second and third sentences </w:t>
      </w:r>
      <w:r w:rsidR="007532E8">
        <w:t xml:space="preserve">specify that </w:t>
      </w:r>
      <w:r w:rsidR="00773B9B" w:rsidRPr="00847A7B">
        <w:t xml:space="preserve">a State Party violates the right to liberty and security of person when it arbitrarily </w:t>
      </w:r>
      <w:r w:rsidR="007532E8">
        <w:t xml:space="preserve">arrests or detains an individual </w:t>
      </w:r>
      <w:r w:rsidR="00773B9B" w:rsidRPr="00847A7B">
        <w:t xml:space="preserve">or unlawfully deprives a person of liberty.  </w:t>
      </w:r>
      <w:r w:rsidR="007532E8">
        <w:t>T</w:t>
      </w:r>
      <w:r w:rsidR="00773B9B" w:rsidRPr="00847A7B">
        <w:t xml:space="preserve">he </w:t>
      </w:r>
      <w:r w:rsidR="00F94597">
        <w:t xml:space="preserve">additional paragraphs </w:t>
      </w:r>
      <w:r w:rsidR="00773B9B" w:rsidRPr="00847A7B">
        <w:t xml:space="preserve">of Article 9 </w:t>
      </w:r>
      <w:r w:rsidR="00F94597">
        <w:t xml:space="preserve">set forth in further detail </w:t>
      </w:r>
      <w:r w:rsidR="00773B9B" w:rsidRPr="00847A7B">
        <w:t xml:space="preserve">the procedural protections and remedies that States Parties are obligated to provide to ensure the right to liberty and security is respected in </w:t>
      </w:r>
      <w:r w:rsidR="000B63A1">
        <w:t>these</w:t>
      </w:r>
      <w:r w:rsidR="0010641C">
        <w:t xml:space="preserve"> </w:t>
      </w:r>
      <w:r w:rsidR="00D36C04">
        <w:t>circumstances</w:t>
      </w:r>
      <w:r w:rsidR="00773B9B" w:rsidRPr="00847A7B">
        <w:t xml:space="preserve">. </w:t>
      </w:r>
      <w:r w:rsidR="009A44AC">
        <w:t xml:space="preserve"> </w:t>
      </w:r>
      <w:r w:rsidR="007532E8">
        <w:t xml:space="preserve">It is </w:t>
      </w:r>
      <w:r w:rsidR="000F41B7">
        <w:t>thus apparent</w:t>
      </w:r>
      <w:r w:rsidR="007532E8">
        <w:t xml:space="preserve"> from the plain language</w:t>
      </w:r>
      <w:r w:rsidR="006362DE">
        <w:t xml:space="preserve"> of Article 9</w:t>
      </w:r>
      <w:r w:rsidR="007532E8">
        <w:t xml:space="preserve"> that </w:t>
      </w:r>
      <w:r w:rsidR="006362DE">
        <w:t>“</w:t>
      </w:r>
      <w:r w:rsidR="007532E8">
        <w:t>security of person</w:t>
      </w:r>
      <w:r w:rsidR="000F41B7">
        <w:t>”</w:t>
      </w:r>
      <w:r w:rsidR="007532E8">
        <w:t xml:space="preserve"> </w:t>
      </w:r>
      <w:r w:rsidR="006362DE">
        <w:t xml:space="preserve">in Article 9(1) </w:t>
      </w:r>
      <w:r w:rsidR="000F41B7">
        <w:t xml:space="preserve">was thought of </w:t>
      </w:r>
      <w:r w:rsidR="007532E8">
        <w:t xml:space="preserve">in relation to </w:t>
      </w:r>
      <w:r w:rsidR="000F41B7">
        <w:t>a deprivation of liberty</w:t>
      </w:r>
      <w:r w:rsidR="007532E8">
        <w:t>.</w:t>
      </w:r>
      <w:r w:rsidR="009A44AC">
        <w:rPr>
          <w:rStyle w:val="FootnoteReference"/>
        </w:rPr>
        <w:footnoteReference w:id="4"/>
      </w:r>
      <w:r w:rsidR="009A44AC" w:rsidRPr="00847A7B">
        <w:t xml:space="preserve"> </w:t>
      </w:r>
      <w:r w:rsidR="007532E8">
        <w:t xml:space="preserve"> </w:t>
      </w:r>
    </w:p>
    <w:p w:rsidR="00773B9B" w:rsidRPr="00847A7B" w:rsidRDefault="00773B9B" w:rsidP="00773B9B">
      <w:pPr>
        <w:pStyle w:val="ListParagraph"/>
      </w:pPr>
    </w:p>
    <w:p w:rsidR="00773B9B" w:rsidRPr="009A44AC" w:rsidRDefault="009A44AC" w:rsidP="009A44AC">
      <w:pPr>
        <w:numPr>
          <w:ilvl w:val="0"/>
          <w:numId w:val="5"/>
        </w:numPr>
        <w:snapToGrid w:val="0"/>
        <w:rPr>
          <w:b/>
          <w:u w:val="single"/>
        </w:rPr>
      </w:pPr>
      <w:r w:rsidRPr="00847A7B">
        <w:t xml:space="preserve">The standards </w:t>
      </w:r>
      <w:r w:rsidR="007538E8">
        <w:t xml:space="preserve">used in </w:t>
      </w:r>
      <w:r w:rsidR="00B50F20">
        <w:t xml:space="preserve">the text of </w:t>
      </w:r>
      <w:r w:rsidRPr="00847A7B">
        <w:t xml:space="preserve">Article 9 -- arbitrary and unlawful -- are </w:t>
      </w:r>
      <w:r w:rsidR="00EF40F4">
        <w:t>set forth</w:t>
      </w:r>
      <w:r w:rsidR="00A71B56">
        <w:t xml:space="preserve"> only </w:t>
      </w:r>
      <w:r w:rsidR="00EF40F4">
        <w:t xml:space="preserve">in relation to </w:t>
      </w:r>
      <w:r w:rsidRPr="00847A7B">
        <w:t>arrest, detention</w:t>
      </w:r>
      <w:r w:rsidR="00CD38E4">
        <w:t>,</w:t>
      </w:r>
      <w:r w:rsidRPr="00847A7B">
        <w:t xml:space="preserve"> and deprivation of liberty</w:t>
      </w:r>
      <w:r w:rsidR="00C20423">
        <w:t xml:space="preserve">.  </w:t>
      </w:r>
      <w:r w:rsidR="00246DFB">
        <w:t>Other articles of the Covenant</w:t>
      </w:r>
      <w:r w:rsidR="00A41819">
        <w:t xml:space="preserve"> </w:t>
      </w:r>
      <w:r w:rsidR="00246DFB">
        <w:t>that provide for security of persons</w:t>
      </w:r>
      <w:r w:rsidR="00D772AE">
        <w:t xml:space="preserve"> more broadly</w:t>
      </w:r>
      <w:r w:rsidR="00246DFB">
        <w:t xml:space="preserve"> adopt specific </w:t>
      </w:r>
      <w:r>
        <w:t xml:space="preserve">relevant </w:t>
      </w:r>
      <w:r w:rsidR="00773B9B" w:rsidRPr="00847A7B">
        <w:t>standards</w:t>
      </w:r>
      <w:r w:rsidR="00246DFB">
        <w:t xml:space="preserve">, e.g., </w:t>
      </w:r>
      <w:r w:rsidR="00773B9B" w:rsidRPr="00847A7B">
        <w:t xml:space="preserve">Article 6 </w:t>
      </w:r>
      <w:r w:rsidR="005E0CBC">
        <w:t xml:space="preserve">provides that </w:t>
      </w:r>
      <w:r w:rsidR="00773B9B" w:rsidRPr="00847A7B">
        <w:t xml:space="preserve"> “</w:t>
      </w:r>
      <w:r w:rsidR="005E0CBC">
        <w:t xml:space="preserve">no one shall be </w:t>
      </w:r>
      <w:r w:rsidR="00773B9B" w:rsidRPr="00847A7B">
        <w:t>arbitrar</w:t>
      </w:r>
      <w:r w:rsidR="00984A7D">
        <w:t>il</w:t>
      </w:r>
      <w:r w:rsidR="00773B9B" w:rsidRPr="00847A7B">
        <w:t xml:space="preserve">y </w:t>
      </w:r>
      <w:r w:rsidR="005E0CBC">
        <w:t xml:space="preserve">deprived </w:t>
      </w:r>
      <w:r w:rsidR="00773B9B" w:rsidRPr="00847A7B">
        <w:t>of</w:t>
      </w:r>
      <w:r w:rsidR="005E0CBC">
        <w:t xml:space="preserve">  his</w:t>
      </w:r>
      <w:r w:rsidR="00773B9B" w:rsidRPr="00847A7B">
        <w:t xml:space="preserve"> life” </w:t>
      </w:r>
      <w:r w:rsidR="00FA291E">
        <w:t>and</w:t>
      </w:r>
      <w:r w:rsidR="00773B9B" w:rsidRPr="00847A7B">
        <w:t xml:space="preserve"> Article 7 creat</w:t>
      </w:r>
      <w:r w:rsidR="00D772AE">
        <w:t>es</w:t>
      </w:r>
      <w:r w:rsidR="00773B9B" w:rsidRPr="00847A7B">
        <w:t xml:space="preserve"> a threshold of “cruel, inhuman or degrading treatment.” </w:t>
      </w:r>
      <w:r w:rsidR="00246DFB">
        <w:t xml:space="preserve"> </w:t>
      </w:r>
      <w:r w:rsidR="009B77C2">
        <w:t xml:space="preserve">There is nothing comparable in </w:t>
      </w:r>
      <w:r w:rsidR="004100C8">
        <w:t>Article 9 to address</w:t>
      </w:r>
      <w:r w:rsidR="009B77C2">
        <w:t xml:space="preserve"> justifiable actions </w:t>
      </w:r>
      <w:r w:rsidR="008B0FDF">
        <w:t xml:space="preserve">that may infringe on </w:t>
      </w:r>
      <w:r w:rsidR="009B77C2">
        <w:t>the security of a person</w:t>
      </w:r>
      <w:r w:rsidR="006D3F03">
        <w:t xml:space="preserve"> (</w:t>
      </w:r>
      <w:r w:rsidR="009B77C2">
        <w:t xml:space="preserve">such as </w:t>
      </w:r>
      <w:r w:rsidR="004100C8">
        <w:t xml:space="preserve">self-defense or </w:t>
      </w:r>
      <w:r w:rsidR="008B0FDF">
        <w:t xml:space="preserve">other action in the face of </w:t>
      </w:r>
      <w:r w:rsidR="004100C8">
        <w:t>imminent threat to others</w:t>
      </w:r>
      <w:r w:rsidR="006D3F03">
        <w:t>)</w:t>
      </w:r>
      <w:r w:rsidR="009B77C2">
        <w:t xml:space="preserve"> beyond the context of deprivation of liberty</w:t>
      </w:r>
      <w:r w:rsidR="004100C8">
        <w:t>.</w:t>
      </w:r>
    </w:p>
    <w:p w:rsidR="00773B9B" w:rsidRPr="00847A7B" w:rsidRDefault="00773B9B" w:rsidP="00773B9B">
      <w:pPr>
        <w:pStyle w:val="ListParagraph"/>
        <w:ind w:left="0"/>
        <w:rPr>
          <w:b/>
          <w:u w:val="single"/>
        </w:rPr>
      </w:pPr>
    </w:p>
    <w:p w:rsidR="00773B9B" w:rsidRPr="00847A7B" w:rsidRDefault="00C31887" w:rsidP="00773B9B">
      <w:pPr>
        <w:numPr>
          <w:ilvl w:val="0"/>
          <w:numId w:val="5"/>
        </w:numPr>
        <w:snapToGrid w:val="0"/>
      </w:pPr>
      <w:r>
        <w:lastRenderedPageBreak/>
        <w:t>Thus, i</w:t>
      </w:r>
      <w:r w:rsidR="00773B9B" w:rsidRPr="00847A7B">
        <w:t>n finalizing the text</w:t>
      </w:r>
      <w:r w:rsidR="0004542A">
        <w:t xml:space="preserve"> of</w:t>
      </w:r>
      <w:r w:rsidR="00773B9B" w:rsidRPr="00847A7B">
        <w:t xml:space="preserve"> the draft </w:t>
      </w:r>
      <w:r>
        <w:t xml:space="preserve">General Comment </w:t>
      </w:r>
      <w:r w:rsidR="00773B9B" w:rsidRPr="00847A7B">
        <w:t xml:space="preserve">(and related paragraphs throughout), the United States </w:t>
      </w:r>
      <w:r w:rsidR="00480402">
        <w:t xml:space="preserve">recommends that </w:t>
      </w:r>
      <w:r w:rsidR="0004542A">
        <w:t xml:space="preserve">the </w:t>
      </w:r>
      <w:r w:rsidR="00773B9B" w:rsidRPr="00847A7B">
        <w:t xml:space="preserve">Committee </w:t>
      </w:r>
      <w:r w:rsidR="00246DFB">
        <w:t xml:space="preserve">focus on the right to </w:t>
      </w:r>
      <w:r w:rsidR="00773B9B" w:rsidRPr="00847A7B">
        <w:t xml:space="preserve">security in the context of arrest or detention, such as instances of excessive use of force by law enforcement personnel in stopping, seizing, arresting and ultimately detaining individuals (as noted in draft paragraph 7) or extreme forms of arbitrary detention that are themselves </w:t>
      </w:r>
      <w:r w:rsidR="009B77C2" w:rsidRPr="00847A7B">
        <w:t>life</w:t>
      </w:r>
      <w:r w:rsidR="009B77C2">
        <w:t>-</w:t>
      </w:r>
      <w:r w:rsidR="00773B9B" w:rsidRPr="00847A7B">
        <w:t xml:space="preserve">threatening (as noted in draft paragraph 55). </w:t>
      </w:r>
    </w:p>
    <w:p w:rsidR="00773B9B" w:rsidRPr="00847A7B" w:rsidRDefault="00773B9B" w:rsidP="00773B9B">
      <w:pPr>
        <w:pStyle w:val="ListParagraph"/>
      </w:pPr>
    </w:p>
    <w:p w:rsidR="00773B9B" w:rsidRPr="00847A7B" w:rsidRDefault="00773B9B" w:rsidP="00773B9B">
      <w:pPr>
        <w:rPr>
          <w:b/>
          <w:u w:val="single"/>
        </w:rPr>
      </w:pPr>
      <w:r w:rsidRPr="00847A7B">
        <w:rPr>
          <w:b/>
          <w:u w:val="single"/>
        </w:rPr>
        <w:t>II</w:t>
      </w:r>
      <w:r w:rsidR="00100353">
        <w:rPr>
          <w:b/>
          <w:u w:val="single"/>
        </w:rPr>
        <w:t>I</w:t>
      </w:r>
      <w:r w:rsidRPr="00847A7B">
        <w:rPr>
          <w:b/>
          <w:u w:val="single"/>
        </w:rPr>
        <w:t>. Regulating Conduct of Non</w:t>
      </w:r>
      <w:r w:rsidR="006D3F03">
        <w:rPr>
          <w:b/>
          <w:u w:val="single"/>
        </w:rPr>
        <w:t>-</w:t>
      </w:r>
      <w:r w:rsidRPr="00847A7B">
        <w:rPr>
          <w:b/>
          <w:u w:val="single"/>
        </w:rPr>
        <w:t>State Actors</w:t>
      </w:r>
    </w:p>
    <w:p w:rsidR="00773B9B" w:rsidRPr="00847A7B" w:rsidRDefault="00773B9B" w:rsidP="00773B9B"/>
    <w:p w:rsidR="00773B9B" w:rsidRPr="00B85DE8" w:rsidRDefault="00773B9B" w:rsidP="00773B9B">
      <w:pPr>
        <w:numPr>
          <w:ilvl w:val="0"/>
          <w:numId w:val="5"/>
        </w:numPr>
        <w:snapToGrid w:val="0"/>
        <w:rPr>
          <w:bCs/>
          <w:iCs/>
        </w:rPr>
      </w:pPr>
      <w:r w:rsidRPr="00B85DE8">
        <w:rPr>
          <w:bCs/>
          <w:iCs/>
        </w:rPr>
        <w:t xml:space="preserve">The United States agrees with </w:t>
      </w:r>
      <w:r w:rsidR="008D6864" w:rsidRPr="00B85DE8">
        <w:rPr>
          <w:bCs/>
          <w:iCs/>
        </w:rPr>
        <w:t>paragraph</w:t>
      </w:r>
      <w:r w:rsidR="008D6864">
        <w:rPr>
          <w:bCs/>
          <w:iCs/>
        </w:rPr>
        <w:t xml:space="preserve"> </w:t>
      </w:r>
      <w:r w:rsidR="008D6864" w:rsidRPr="00B85DE8">
        <w:rPr>
          <w:bCs/>
          <w:iCs/>
        </w:rPr>
        <w:t>9</w:t>
      </w:r>
      <w:r w:rsidRPr="00B85DE8">
        <w:rPr>
          <w:bCs/>
          <w:iCs/>
        </w:rPr>
        <w:t xml:space="preserve"> of the draft General Comment that a State Party is required under the Covenant to exercise responsibility for the conduct of </w:t>
      </w:r>
      <w:r w:rsidRPr="00B85DE8">
        <w:rPr>
          <w:lang w:val="en-CA"/>
        </w:rPr>
        <w:t xml:space="preserve">private individuals or entities </w:t>
      </w:r>
      <w:r w:rsidR="0065389B">
        <w:rPr>
          <w:lang w:val="en-CA"/>
        </w:rPr>
        <w:t xml:space="preserve">in situations where the State Party </w:t>
      </w:r>
      <w:r w:rsidRPr="00B85DE8">
        <w:rPr>
          <w:lang w:val="en-CA"/>
        </w:rPr>
        <w:t xml:space="preserve">authorizes </w:t>
      </w:r>
      <w:r w:rsidR="0065389B">
        <w:rPr>
          <w:lang w:val="en-CA"/>
        </w:rPr>
        <w:t xml:space="preserve">private individuals or entities </w:t>
      </w:r>
      <w:r w:rsidRPr="00B85DE8">
        <w:rPr>
          <w:lang w:val="en-CA"/>
        </w:rPr>
        <w:t>to exercise governmental powers of arrest or detention.</w:t>
      </w:r>
      <w:r w:rsidR="00997502">
        <w:rPr>
          <w:lang w:val="en-CA"/>
        </w:rPr>
        <w:t xml:space="preserve"> </w:t>
      </w:r>
      <w:r w:rsidRPr="00B85DE8">
        <w:rPr>
          <w:lang w:val="en-CA"/>
        </w:rPr>
        <w:t xml:space="preserve"> This would include responsibility to ensure that appropriate steps are taken to prevent violations and provide for effective remedial measures contemplated by both Articles 2 and 9 whenever </w:t>
      </w:r>
      <w:r w:rsidR="000674FF" w:rsidRPr="00B85DE8">
        <w:rPr>
          <w:lang w:val="en-CA"/>
        </w:rPr>
        <w:t xml:space="preserve">a </w:t>
      </w:r>
      <w:r w:rsidR="000674FF" w:rsidRPr="00B85DE8">
        <w:t xml:space="preserve">private individual or entity is </w:t>
      </w:r>
      <w:r w:rsidR="00027A0A">
        <w:t xml:space="preserve">authorized to exercise such powers </w:t>
      </w:r>
      <w:r w:rsidR="000674FF" w:rsidRPr="00B85DE8">
        <w:t xml:space="preserve">and </w:t>
      </w:r>
      <w:r w:rsidRPr="00B85DE8">
        <w:rPr>
          <w:lang w:val="en-CA"/>
        </w:rPr>
        <w:t xml:space="preserve">the circumstances in the particular case warrant.  </w:t>
      </w:r>
      <w:r w:rsidRPr="00B85DE8">
        <w:rPr>
          <w:bCs/>
          <w:iCs/>
        </w:rPr>
        <w:t xml:space="preserve">The United States disagrees, however, with the Committee’s </w:t>
      </w:r>
      <w:r w:rsidR="00B46386">
        <w:rPr>
          <w:bCs/>
          <w:iCs/>
        </w:rPr>
        <w:t xml:space="preserve">imputing </w:t>
      </w:r>
      <w:r w:rsidRPr="00B85DE8">
        <w:rPr>
          <w:bCs/>
          <w:iCs/>
        </w:rPr>
        <w:t xml:space="preserve">affirmative obligations </w:t>
      </w:r>
      <w:r w:rsidR="00B46386">
        <w:rPr>
          <w:bCs/>
          <w:iCs/>
        </w:rPr>
        <w:t xml:space="preserve">to States Parties </w:t>
      </w:r>
      <w:r w:rsidRPr="00B85DE8">
        <w:rPr>
          <w:bCs/>
          <w:iCs/>
        </w:rPr>
        <w:t>to prevent, regulate</w:t>
      </w:r>
      <w:r w:rsidR="00F81873">
        <w:rPr>
          <w:bCs/>
          <w:iCs/>
        </w:rPr>
        <w:t>,</w:t>
      </w:r>
      <w:r w:rsidRPr="00B85DE8">
        <w:rPr>
          <w:bCs/>
          <w:iCs/>
        </w:rPr>
        <w:t xml:space="preserve"> or punish the </w:t>
      </w:r>
      <w:r w:rsidR="00AA7683">
        <w:rPr>
          <w:bCs/>
          <w:iCs/>
        </w:rPr>
        <w:t xml:space="preserve">non-governmental </w:t>
      </w:r>
      <w:r w:rsidRPr="00B85DE8">
        <w:rPr>
          <w:bCs/>
          <w:iCs/>
        </w:rPr>
        <w:t>conduct of private actors</w:t>
      </w:r>
      <w:r w:rsidR="0004542A">
        <w:rPr>
          <w:bCs/>
          <w:iCs/>
        </w:rPr>
        <w:t xml:space="preserve">.  </w:t>
      </w:r>
      <w:r w:rsidR="0099331B">
        <w:rPr>
          <w:bCs/>
          <w:iCs/>
        </w:rPr>
        <w:t>T</w:t>
      </w:r>
      <w:r w:rsidR="00C33AC9">
        <w:rPr>
          <w:bCs/>
          <w:iCs/>
        </w:rPr>
        <w:t xml:space="preserve">he ordinary meaning of the text of the Covenant does not support </w:t>
      </w:r>
      <w:r w:rsidR="006D3F03">
        <w:rPr>
          <w:bCs/>
          <w:iCs/>
        </w:rPr>
        <w:t>such a</w:t>
      </w:r>
      <w:r w:rsidR="00C33AC9">
        <w:rPr>
          <w:bCs/>
          <w:iCs/>
        </w:rPr>
        <w:t xml:space="preserve"> reading</w:t>
      </w:r>
      <w:r w:rsidR="00FF5107">
        <w:rPr>
          <w:bCs/>
          <w:iCs/>
        </w:rPr>
        <w:t>,</w:t>
      </w:r>
      <w:r w:rsidR="00C33AC9">
        <w:rPr>
          <w:bCs/>
          <w:iCs/>
        </w:rPr>
        <w:t xml:space="preserve"> </w:t>
      </w:r>
      <w:r w:rsidR="00BD6AEF">
        <w:rPr>
          <w:bCs/>
          <w:iCs/>
        </w:rPr>
        <w:t>and there is no indication in the negotiating history of any</w:t>
      </w:r>
      <w:r w:rsidR="00E32018">
        <w:rPr>
          <w:bCs/>
          <w:iCs/>
        </w:rPr>
        <w:t xml:space="preserve"> agreement</w:t>
      </w:r>
      <w:r w:rsidR="00BD6AEF">
        <w:rPr>
          <w:bCs/>
          <w:iCs/>
        </w:rPr>
        <w:t xml:space="preserve"> to</w:t>
      </w:r>
      <w:r w:rsidR="00C33AC9">
        <w:rPr>
          <w:bCs/>
          <w:iCs/>
        </w:rPr>
        <w:t xml:space="preserve"> impose </w:t>
      </w:r>
      <w:r w:rsidR="00BD6AEF">
        <w:rPr>
          <w:bCs/>
          <w:iCs/>
        </w:rPr>
        <w:t xml:space="preserve">obligations </w:t>
      </w:r>
      <w:r w:rsidR="00C33AC9">
        <w:rPr>
          <w:bCs/>
          <w:iCs/>
        </w:rPr>
        <w:t>to prevent</w:t>
      </w:r>
      <w:r w:rsidR="00066E19">
        <w:rPr>
          <w:bCs/>
          <w:iCs/>
        </w:rPr>
        <w:t xml:space="preserve"> security threats or</w:t>
      </w:r>
      <w:r w:rsidR="00C33AC9">
        <w:rPr>
          <w:bCs/>
          <w:iCs/>
        </w:rPr>
        <w:t xml:space="preserve"> arbitrary and unlawful arrest and detention </w:t>
      </w:r>
      <w:r w:rsidR="00BD6AEF">
        <w:rPr>
          <w:bCs/>
          <w:iCs/>
        </w:rPr>
        <w:t xml:space="preserve">other than under </w:t>
      </w:r>
      <w:r w:rsidR="00C33AC9">
        <w:rPr>
          <w:bCs/>
          <w:iCs/>
        </w:rPr>
        <w:t>governmental authority.</w:t>
      </w:r>
      <w:r w:rsidRPr="00B85DE8">
        <w:rPr>
          <w:bCs/>
          <w:iCs/>
        </w:rPr>
        <w:t xml:space="preserve">  </w:t>
      </w:r>
    </w:p>
    <w:p w:rsidR="00DC001E" w:rsidRPr="00847A7B" w:rsidRDefault="00DC001E" w:rsidP="00DC001E">
      <w:pPr>
        <w:pStyle w:val="CommentText"/>
        <w:rPr>
          <w:sz w:val="24"/>
          <w:szCs w:val="24"/>
        </w:rPr>
      </w:pPr>
    </w:p>
    <w:p w:rsidR="00773B9B" w:rsidRPr="00847A7B" w:rsidRDefault="00D610FF" w:rsidP="00773B9B">
      <w:pPr>
        <w:numPr>
          <w:ilvl w:val="0"/>
          <w:numId w:val="5"/>
        </w:numPr>
        <w:autoSpaceDE w:val="0"/>
        <w:autoSpaceDN w:val="0"/>
        <w:adjustRightInd w:val="0"/>
        <w:snapToGrid w:val="0"/>
      </w:pPr>
      <w:r>
        <w:t>A</w:t>
      </w:r>
      <w:r w:rsidR="00DC001E" w:rsidRPr="00847A7B">
        <w:t xml:space="preserve"> human right</w:t>
      </w:r>
      <w:r w:rsidR="00C50AD6">
        <w:t>s</w:t>
      </w:r>
      <w:r w:rsidR="00DC001E" w:rsidRPr="00847A7B">
        <w:t xml:space="preserve"> violation </w:t>
      </w:r>
      <w:r>
        <w:t xml:space="preserve">generally </w:t>
      </w:r>
      <w:r w:rsidR="00DC001E" w:rsidRPr="00847A7B">
        <w:t>entails state action</w:t>
      </w:r>
      <w:r w:rsidR="00FF5107">
        <w:t>,</w:t>
      </w:r>
      <w:r w:rsidR="00DC001E" w:rsidRPr="00847A7B">
        <w:t xml:space="preserve"> and therefore the Article 2 obligation </w:t>
      </w:r>
      <w:r w:rsidR="00DC001E" w:rsidRPr="00FF5107">
        <w:rPr>
          <w:shd w:val="clear" w:color="auto" w:fill="FFFFFF"/>
        </w:rPr>
        <w:t>to take the necessary steps to give effect to such a right is primarily in relation to governmental acts.</w:t>
      </w:r>
      <w:r w:rsidR="00DC001E" w:rsidRPr="00847A7B">
        <w:t xml:space="preserve"> </w:t>
      </w:r>
      <w:r w:rsidR="0065389B">
        <w:t xml:space="preserve"> </w:t>
      </w:r>
      <w:r w:rsidR="00BA1E78">
        <w:t>Thus, absent any provision that clearly and specifically imposes an obligation on States Parties to prevent or regulate particular kinds of misconduct by private parties or non-state actors (such as the obligation under Article 8 to prohibit slavery), Article 2 creates no general obligation to do so.  Article 2 contains no language stating that Covenant obligations extend generally to private, non-governmental acts, and no suc</w:t>
      </w:r>
      <w:r w:rsidR="00997502">
        <w:t xml:space="preserve">h obligation can be inferred.  </w:t>
      </w:r>
      <w:r w:rsidR="00BA1E78">
        <w:rPr>
          <w:i/>
        </w:rPr>
        <w:t>See</w:t>
      </w:r>
      <w:r w:rsidR="00BA1E78">
        <w:t xml:space="preserve"> U.S. Observations on General Comment 31.  Nor does Article 9 contain any language specifically requiring States Parties to regulate the non-governmental conduct of non-state actors in relation to the liberty and security of persons.</w:t>
      </w:r>
    </w:p>
    <w:p w:rsidR="00FF5107" w:rsidRPr="00FF5107" w:rsidRDefault="00FF5107" w:rsidP="00FF5107">
      <w:pPr>
        <w:autoSpaceDE w:val="0"/>
        <w:autoSpaceDN w:val="0"/>
        <w:adjustRightInd w:val="0"/>
        <w:snapToGrid w:val="0"/>
        <w:ind w:left="360"/>
      </w:pPr>
    </w:p>
    <w:p w:rsidR="00773B9B" w:rsidRPr="004100C8" w:rsidRDefault="00773B9B" w:rsidP="00773B9B">
      <w:pPr>
        <w:numPr>
          <w:ilvl w:val="0"/>
          <w:numId w:val="5"/>
        </w:numPr>
        <w:autoSpaceDE w:val="0"/>
        <w:autoSpaceDN w:val="0"/>
        <w:adjustRightInd w:val="0"/>
        <w:snapToGrid w:val="0"/>
      </w:pPr>
      <w:r w:rsidRPr="004100C8">
        <w:rPr>
          <w:lang w:val="en-CA"/>
        </w:rPr>
        <w:t>The draft General Comment offers no legal basis for the assertions in paragraphs 7-8 and elsewhere throughout the draft that States Parties have Covenant obligations to take measures to deal with threats of death or injury by private actors, whether in situations involving an individual victim or patterns of violence directed at categories of victims</w:t>
      </w:r>
      <w:r w:rsidR="003723D5">
        <w:rPr>
          <w:lang w:val="en-CA"/>
        </w:rPr>
        <w:t>, including violence against women and children</w:t>
      </w:r>
      <w:r w:rsidRPr="004100C8">
        <w:rPr>
          <w:lang w:val="en-CA"/>
        </w:rPr>
        <w:t>.  Nor does any text</w:t>
      </w:r>
      <w:r w:rsidR="00FF5107">
        <w:rPr>
          <w:lang w:val="en-CA"/>
        </w:rPr>
        <w:t>ual</w:t>
      </w:r>
      <w:r w:rsidRPr="004100C8">
        <w:rPr>
          <w:lang w:val="en-CA"/>
        </w:rPr>
        <w:t xml:space="preserve"> or other support exist for asserting obligations under Article 9 (or the Covenant more generally) to protect individuals </w:t>
      </w:r>
      <w:r w:rsidR="00CA38C7">
        <w:rPr>
          <w:lang w:val="en-CA"/>
        </w:rPr>
        <w:t>“against</w:t>
      </w:r>
      <w:r w:rsidR="00CA38C7" w:rsidRPr="004100C8">
        <w:rPr>
          <w:lang w:val="en-CA"/>
        </w:rPr>
        <w:t xml:space="preserve"> </w:t>
      </w:r>
      <w:r w:rsidRPr="004100C8">
        <w:rPr>
          <w:lang w:val="en-CA"/>
        </w:rPr>
        <w:t xml:space="preserve">abduction or </w:t>
      </w:r>
      <w:r w:rsidR="00CA38C7">
        <w:rPr>
          <w:lang w:val="en-CA"/>
        </w:rPr>
        <w:t>detention</w:t>
      </w:r>
      <w:r w:rsidRPr="004100C8">
        <w:rPr>
          <w:lang w:val="en-CA"/>
        </w:rPr>
        <w:t xml:space="preserve"> by </w:t>
      </w:r>
      <w:r w:rsidR="00CA38C7">
        <w:rPr>
          <w:lang w:val="en-CA"/>
        </w:rPr>
        <w:t xml:space="preserve">individual </w:t>
      </w:r>
      <w:r w:rsidRPr="004100C8">
        <w:rPr>
          <w:lang w:val="en-CA"/>
        </w:rPr>
        <w:t xml:space="preserve">criminals or </w:t>
      </w:r>
      <w:r w:rsidR="00CA38C7">
        <w:rPr>
          <w:lang w:val="en-CA"/>
        </w:rPr>
        <w:t xml:space="preserve">irregular </w:t>
      </w:r>
      <w:r w:rsidR="00433E2E">
        <w:rPr>
          <w:lang w:val="en-CA"/>
        </w:rPr>
        <w:t xml:space="preserve"> groups, including</w:t>
      </w:r>
      <w:r w:rsidRPr="004100C8">
        <w:rPr>
          <w:lang w:val="en-CA"/>
        </w:rPr>
        <w:t xml:space="preserve">  </w:t>
      </w:r>
      <w:r w:rsidR="00CA38C7">
        <w:rPr>
          <w:lang w:val="en-CA"/>
        </w:rPr>
        <w:t xml:space="preserve">armed </w:t>
      </w:r>
      <w:r w:rsidRPr="004100C8">
        <w:rPr>
          <w:lang w:val="en-CA"/>
        </w:rPr>
        <w:t>or terrorist groups</w:t>
      </w:r>
      <w:r w:rsidR="003723D5">
        <w:rPr>
          <w:lang w:val="en-CA"/>
        </w:rPr>
        <w:t>,</w:t>
      </w:r>
      <w:r w:rsidR="00CA38C7">
        <w:rPr>
          <w:lang w:val="en-CA"/>
        </w:rPr>
        <w:t xml:space="preserve"> operating within their territory</w:t>
      </w:r>
      <w:r w:rsidR="00FF5107">
        <w:rPr>
          <w:lang w:val="en-CA"/>
        </w:rPr>
        <w:t>,</w:t>
      </w:r>
      <w:r w:rsidR="00CA38C7">
        <w:rPr>
          <w:lang w:val="en-CA"/>
        </w:rPr>
        <w:t>”</w:t>
      </w:r>
      <w:r w:rsidRPr="004100C8">
        <w:rPr>
          <w:lang w:val="en-CA"/>
        </w:rPr>
        <w:t xml:space="preserve"> or </w:t>
      </w:r>
      <w:r w:rsidR="00CA38C7">
        <w:rPr>
          <w:lang w:val="en-CA"/>
        </w:rPr>
        <w:t>against</w:t>
      </w:r>
      <w:r w:rsidRPr="004100C8">
        <w:rPr>
          <w:lang w:val="en-CA"/>
        </w:rPr>
        <w:t xml:space="preserve"> </w:t>
      </w:r>
      <w:r w:rsidR="00CA38C7">
        <w:rPr>
          <w:lang w:val="en-CA"/>
        </w:rPr>
        <w:t xml:space="preserve">wrongful deprivation of liberty </w:t>
      </w:r>
      <w:r w:rsidRPr="004100C8">
        <w:rPr>
          <w:lang w:val="en-CA"/>
        </w:rPr>
        <w:t>by lawful private organizations (be they private employers, schools</w:t>
      </w:r>
      <w:r w:rsidR="0004542A">
        <w:rPr>
          <w:lang w:val="en-CA"/>
        </w:rPr>
        <w:t>,</w:t>
      </w:r>
      <w:r w:rsidRPr="004100C8">
        <w:rPr>
          <w:lang w:val="en-CA"/>
        </w:rPr>
        <w:t xml:space="preserve"> or hospitals) -- unless such organizations are operated by governmental authorities or their conduct can otherwise be imputed to the government.  The draft refers </w:t>
      </w:r>
      <w:r w:rsidR="00FF5107">
        <w:rPr>
          <w:lang w:val="en-CA"/>
        </w:rPr>
        <w:t>exclusively</w:t>
      </w:r>
      <w:r w:rsidRPr="004100C8">
        <w:rPr>
          <w:lang w:val="en-CA"/>
        </w:rPr>
        <w:t xml:space="preserve"> to previous concluding observations and opinions of the Human Rights Committee as support for these assertions.</w:t>
      </w:r>
    </w:p>
    <w:p w:rsidR="00773B9B" w:rsidRPr="00847A7B" w:rsidRDefault="00773B9B" w:rsidP="00773B9B">
      <w:pPr>
        <w:pStyle w:val="ListParagraph"/>
        <w:rPr>
          <w:lang w:val="en-CA"/>
        </w:rPr>
      </w:pPr>
    </w:p>
    <w:p w:rsidR="00773B9B" w:rsidRPr="00847A7B" w:rsidRDefault="00773B9B" w:rsidP="00773B9B">
      <w:pPr>
        <w:numPr>
          <w:ilvl w:val="0"/>
          <w:numId w:val="5"/>
        </w:numPr>
        <w:autoSpaceDE w:val="0"/>
        <w:autoSpaceDN w:val="0"/>
        <w:adjustRightInd w:val="0"/>
        <w:snapToGrid w:val="0"/>
      </w:pPr>
      <w:r w:rsidRPr="00847A7B">
        <w:rPr>
          <w:lang w:val="en-CA"/>
        </w:rPr>
        <w:t xml:space="preserve">If the Committee is inferring such obligations solely from the restatement in Article 9 of the inherent right to liberty and security of persons set out in UDHR Article 3, the United States would note that the Third Committee of the General Assembly rejected an amendment </w:t>
      </w:r>
      <w:r w:rsidR="00433E2E">
        <w:rPr>
          <w:lang w:val="en-CA"/>
        </w:rPr>
        <w:t xml:space="preserve">to the UDHR </w:t>
      </w:r>
      <w:r w:rsidRPr="00847A7B">
        <w:rPr>
          <w:lang w:val="en-CA"/>
        </w:rPr>
        <w:t xml:space="preserve">that would have added to that Article the following: “The State should ensure the protection of each individual against criminal attempts on his person.” </w:t>
      </w:r>
      <w:r w:rsidR="001D57C8">
        <w:rPr>
          <w:lang w:val="en-CA"/>
        </w:rPr>
        <w:t xml:space="preserve"> </w:t>
      </w:r>
      <w:r w:rsidRPr="00847A7B">
        <w:rPr>
          <w:lang w:val="en-CA"/>
        </w:rPr>
        <w:t xml:space="preserve">This proposal was presented and rejected immediately prior to </w:t>
      </w:r>
      <w:r w:rsidR="00FF5107">
        <w:rPr>
          <w:lang w:val="en-CA"/>
        </w:rPr>
        <w:t>the</w:t>
      </w:r>
      <w:r w:rsidRPr="00847A7B">
        <w:rPr>
          <w:lang w:val="en-CA"/>
        </w:rPr>
        <w:t xml:space="preserve"> final vote on Article </w:t>
      </w:r>
      <w:r w:rsidR="000A2BA9">
        <w:rPr>
          <w:lang w:val="en-CA"/>
        </w:rPr>
        <w:t>3</w:t>
      </w:r>
      <w:r w:rsidR="00725D16">
        <w:rPr>
          <w:lang w:val="en-CA"/>
        </w:rPr>
        <w:t xml:space="preserve"> in</w:t>
      </w:r>
      <w:r w:rsidR="000A2BA9" w:rsidRPr="00847A7B">
        <w:rPr>
          <w:lang w:val="en-CA"/>
        </w:rPr>
        <w:t xml:space="preserve"> </w:t>
      </w:r>
      <w:r w:rsidR="00725D16">
        <w:rPr>
          <w:lang w:val="en-CA"/>
        </w:rPr>
        <w:t xml:space="preserve">the Third Committee of the General Assembly </w:t>
      </w:r>
      <w:r w:rsidRPr="00847A7B">
        <w:rPr>
          <w:lang w:val="en-CA"/>
        </w:rPr>
        <w:t xml:space="preserve">in </w:t>
      </w:r>
      <w:r w:rsidR="000A2BA9" w:rsidRPr="00847A7B">
        <w:rPr>
          <w:lang w:val="en-CA"/>
        </w:rPr>
        <w:t>19</w:t>
      </w:r>
      <w:r w:rsidR="000A2BA9">
        <w:rPr>
          <w:lang w:val="en-CA"/>
        </w:rPr>
        <w:t>4</w:t>
      </w:r>
      <w:r w:rsidR="000A2BA9" w:rsidRPr="00847A7B">
        <w:rPr>
          <w:lang w:val="en-CA"/>
        </w:rPr>
        <w:t>8</w:t>
      </w:r>
      <w:r w:rsidR="003723D5" w:rsidRPr="00847A7B">
        <w:rPr>
          <w:rStyle w:val="FootnoteReference"/>
          <w:lang w:val="en-CA"/>
        </w:rPr>
        <w:footnoteReference w:id="5"/>
      </w:r>
      <w:r w:rsidR="00D96D7F">
        <w:rPr>
          <w:lang w:val="en-CA"/>
        </w:rPr>
        <w:t xml:space="preserve"> and nothing comparable was </w:t>
      </w:r>
      <w:r w:rsidR="00C96A83">
        <w:rPr>
          <w:lang w:val="en-CA"/>
        </w:rPr>
        <w:t>pursued</w:t>
      </w:r>
      <w:r w:rsidR="00D96D7F">
        <w:rPr>
          <w:lang w:val="en-CA"/>
        </w:rPr>
        <w:t xml:space="preserve"> during negotiation of the Covenant</w:t>
      </w:r>
      <w:r w:rsidRPr="00847A7B">
        <w:rPr>
          <w:lang w:val="en-CA"/>
        </w:rPr>
        <w:t>.</w:t>
      </w:r>
      <w:r w:rsidR="003723D5" w:rsidRPr="00847A7B">
        <w:t xml:space="preserve"> </w:t>
      </w:r>
    </w:p>
    <w:p w:rsidR="00773B9B" w:rsidRPr="00847A7B" w:rsidRDefault="00773B9B" w:rsidP="00773B9B">
      <w:pPr>
        <w:pStyle w:val="ListParagraph"/>
      </w:pPr>
    </w:p>
    <w:p w:rsidR="00773B9B" w:rsidRPr="00847A7B" w:rsidRDefault="00773B9B" w:rsidP="00773B9B">
      <w:pPr>
        <w:numPr>
          <w:ilvl w:val="0"/>
          <w:numId w:val="5"/>
        </w:numPr>
        <w:autoSpaceDE w:val="0"/>
        <w:autoSpaceDN w:val="0"/>
        <w:adjustRightInd w:val="0"/>
        <w:snapToGrid w:val="0"/>
      </w:pPr>
      <w:r w:rsidRPr="00847A7B">
        <w:t>The absence of language in the Covenant imposing a duty or obligation on the part of the State Party to prevent crimes or other conduct by non-</w:t>
      </w:r>
      <w:r w:rsidR="0065389B">
        <w:t>s</w:t>
      </w:r>
      <w:r w:rsidRPr="00847A7B">
        <w:t xml:space="preserve">tate actors is </w:t>
      </w:r>
      <w:r w:rsidR="00514FFB">
        <w:t xml:space="preserve">significant </w:t>
      </w:r>
      <w:r w:rsidRPr="00847A7B">
        <w:t xml:space="preserve">when contrasted with </w:t>
      </w:r>
      <w:r w:rsidR="00D610FF">
        <w:t xml:space="preserve">the text of </w:t>
      </w:r>
      <w:r w:rsidRPr="00847A7B">
        <w:t xml:space="preserve">other international conventions </w:t>
      </w:r>
      <w:r w:rsidR="00B25082">
        <w:t>that</w:t>
      </w:r>
      <w:r w:rsidR="00B25082" w:rsidRPr="00847A7B">
        <w:t xml:space="preserve"> </w:t>
      </w:r>
      <w:r w:rsidRPr="00847A7B">
        <w:t>specifically impose such obligations upon States Parties to prevent certain types of misconduct by non-</w:t>
      </w:r>
      <w:r w:rsidR="0065389B">
        <w:t>s</w:t>
      </w:r>
      <w:r w:rsidRPr="00847A7B">
        <w:t xml:space="preserve">tate actors in limited circumstances.  For instance, as noted in the U.S. Observations on General Comment 31, both the International Convention on the Elimination of </w:t>
      </w:r>
      <w:r w:rsidR="00B25082">
        <w:t>A</w:t>
      </w:r>
      <w:r w:rsidRPr="00847A7B">
        <w:t>ll Forms of Racial Discrimination (CERD)</w:t>
      </w:r>
      <w:r w:rsidRPr="00847A7B">
        <w:rPr>
          <w:rStyle w:val="FootnoteReference"/>
        </w:rPr>
        <w:footnoteReference w:id="6"/>
      </w:r>
      <w:r w:rsidRPr="00847A7B">
        <w:t xml:space="preserve"> and the Convention on the Elimination of All Forms of Discrimination against Women (CEDAW) contain provisions </w:t>
      </w:r>
      <w:r w:rsidR="00B25082">
        <w:t xml:space="preserve">that </w:t>
      </w:r>
      <w:r w:rsidRPr="00847A7B">
        <w:t xml:space="preserve">impose obligations upon States Parties </w:t>
      </w:r>
      <w:r w:rsidR="00D610FF">
        <w:t xml:space="preserve">to </w:t>
      </w:r>
      <w:r w:rsidRPr="00847A7B">
        <w:t>prevent discrimination “by any persons, group or organization”</w:t>
      </w:r>
      <w:r w:rsidRPr="00847A7B">
        <w:rPr>
          <w:vertAlign w:val="superscript"/>
        </w:rPr>
        <w:footnoteReference w:id="7"/>
      </w:r>
      <w:r w:rsidRPr="00847A7B">
        <w:t xml:space="preserve"> and “by any person, organization or enterprise.”</w:t>
      </w:r>
      <w:r w:rsidRPr="00847A7B">
        <w:rPr>
          <w:vertAlign w:val="superscript"/>
        </w:rPr>
        <w:footnoteReference w:id="8"/>
      </w:r>
      <w:r w:rsidRPr="00847A7B">
        <w:t xml:space="preserve"> </w:t>
      </w:r>
      <w:r w:rsidR="001D57C8">
        <w:t xml:space="preserve"> </w:t>
      </w:r>
      <w:r w:rsidRPr="00847A7B">
        <w:t xml:space="preserve">Similarly, </w:t>
      </w:r>
      <w:r w:rsidR="00D610FF">
        <w:t>under Article 4(1</w:t>
      </w:r>
      <w:proofErr w:type="gramStart"/>
      <w:r w:rsidR="00D610FF">
        <w:t>)</w:t>
      </w:r>
      <w:r w:rsidR="00B25082">
        <w:t>(</w:t>
      </w:r>
      <w:proofErr w:type="gramEnd"/>
      <w:r w:rsidR="00B25082">
        <w:t>e)</w:t>
      </w:r>
      <w:r w:rsidR="00D610FF">
        <w:t xml:space="preserve"> of </w:t>
      </w:r>
      <w:r w:rsidRPr="00847A7B">
        <w:t xml:space="preserve"> the </w:t>
      </w:r>
      <w:r w:rsidRPr="00847A7B">
        <w:rPr>
          <w:bCs/>
        </w:rPr>
        <w:t>Convention on the Rights of Persons with Disabilities (CRPD)</w:t>
      </w:r>
      <w:r w:rsidRPr="00847A7B">
        <w:t xml:space="preserve">, States Parties undertake “to take </w:t>
      </w:r>
      <w:r w:rsidR="00B25082">
        <w:t xml:space="preserve">all </w:t>
      </w:r>
      <w:r w:rsidRPr="00847A7B">
        <w:t>appropriate measures to eliminate discrimination on the basis of disability</w:t>
      </w:r>
      <w:r w:rsidR="009A536A">
        <w:t xml:space="preserve"> </w:t>
      </w:r>
      <w:r w:rsidR="00631AF7">
        <w:t>by any person, organization or private enterprise</w:t>
      </w:r>
      <w:r w:rsidR="00BE55EE">
        <w:t>.</w:t>
      </w:r>
      <w:r w:rsidR="0004542A">
        <w:t>”</w:t>
      </w:r>
    </w:p>
    <w:p w:rsidR="00773B9B" w:rsidRPr="00847A7B" w:rsidRDefault="00773B9B" w:rsidP="00773B9B">
      <w:pPr>
        <w:snapToGrid w:val="0"/>
        <w:ind w:left="360"/>
      </w:pPr>
    </w:p>
    <w:p w:rsidR="00773B9B" w:rsidRPr="00847A7B" w:rsidRDefault="00773B9B" w:rsidP="00773B9B">
      <w:pPr>
        <w:numPr>
          <w:ilvl w:val="0"/>
          <w:numId w:val="5"/>
        </w:numPr>
        <w:snapToGrid w:val="0"/>
        <w:rPr>
          <w:bCs/>
          <w:iCs/>
        </w:rPr>
      </w:pPr>
      <w:r w:rsidRPr="00847A7B">
        <w:t>Some States have chosen to assume affirmative</w:t>
      </w:r>
      <w:r w:rsidR="00101430">
        <w:t xml:space="preserve"> treaty</w:t>
      </w:r>
      <w:r w:rsidRPr="00847A7B">
        <w:t xml:space="preserve"> obligations </w:t>
      </w:r>
      <w:r w:rsidR="00F81873">
        <w:t>regarding</w:t>
      </w:r>
      <w:r w:rsidRPr="00847A7B">
        <w:t xml:space="preserve"> non-state actors in th</w:t>
      </w:r>
      <w:r w:rsidR="00433E2E">
        <w:t>ose States’</w:t>
      </w:r>
      <w:r w:rsidRPr="00847A7B">
        <w:t xml:space="preserve"> efforts to prevent, punish and eradicate violence against women</w:t>
      </w:r>
      <w:r w:rsidR="00433E2E">
        <w:t xml:space="preserve"> by becoming parties to such</w:t>
      </w:r>
      <w:r w:rsidRPr="00847A7B">
        <w:t xml:space="preserve"> regional conventions as the Inter-American Convention on the Prevention, Punishment and Eradication of Violence Against Women (</w:t>
      </w:r>
      <w:r w:rsidR="00631AF7">
        <w:t>“</w:t>
      </w:r>
      <w:r w:rsidRPr="00847A7B">
        <w:t>Convention of Belem do Para</w:t>
      </w:r>
      <w:r w:rsidR="00631AF7">
        <w:t>”</w:t>
      </w:r>
      <w:r w:rsidRPr="00847A7B">
        <w:t xml:space="preserve">) and the </w:t>
      </w:r>
      <w:r w:rsidRPr="00847A7B">
        <w:rPr>
          <w:bCs/>
        </w:rPr>
        <w:t xml:space="preserve">Council of Europe Convention on </w:t>
      </w:r>
      <w:r w:rsidR="00272519">
        <w:rPr>
          <w:bCs/>
        </w:rPr>
        <w:t>p</w:t>
      </w:r>
      <w:r w:rsidRPr="00847A7B">
        <w:rPr>
          <w:bCs/>
        </w:rPr>
        <w:t xml:space="preserve">reventing and </w:t>
      </w:r>
      <w:r w:rsidR="00272519">
        <w:rPr>
          <w:bCs/>
        </w:rPr>
        <w:t>c</w:t>
      </w:r>
      <w:r w:rsidRPr="00847A7B">
        <w:rPr>
          <w:bCs/>
        </w:rPr>
        <w:t xml:space="preserve">ombating </w:t>
      </w:r>
      <w:r w:rsidR="00272519">
        <w:rPr>
          <w:bCs/>
        </w:rPr>
        <w:t>v</w:t>
      </w:r>
      <w:r w:rsidRPr="00847A7B">
        <w:rPr>
          <w:bCs/>
        </w:rPr>
        <w:t xml:space="preserve">iolence against </w:t>
      </w:r>
      <w:r w:rsidR="00272519">
        <w:rPr>
          <w:bCs/>
        </w:rPr>
        <w:t>w</w:t>
      </w:r>
      <w:r w:rsidRPr="00847A7B">
        <w:rPr>
          <w:bCs/>
        </w:rPr>
        <w:t xml:space="preserve">omen and </w:t>
      </w:r>
      <w:r w:rsidR="00272519">
        <w:rPr>
          <w:bCs/>
        </w:rPr>
        <w:t>d</w:t>
      </w:r>
      <w:r w:rsidRPr="00847A7B">
        <w:rPr>
          <w:bCs/>
        </w:rPr>
        <w:t xml:space="preserve">omestic </w:t>
      </w:r>
      <w:r w:rsidR="00272519">
        <w:rPr>
          <w:bCs/>
        </w:rPr>
        <w:t>v</w:t>
      </w:r>
      <w:r w:rsidRPr="00847A7B">
        <w:rPr>
          <w:bCs/>
        </w:rPr>
        <w:t>iolence</w:t>
      </w:r>
      <w:r w:rsidR="00631AF7">
        <w:rPr>
          <w:bCs/>
        </w:rPr>
        <w:t xml:space="preserve"> (“COE Convention”)</w:t>
      </w:r>
      <w:r w:rsidRPr="00847A7B">
        <w:t xml:space="preserve">.  Both require States Parties to take a number of </w:t>
      </w:r>
      <w:r w:rsidRPr="00847A7B">
        <w:lastRenderedPageBreak/>
        <w:t>affirmative steps to prevent, investigate, punish and remedy acts of violence against women, including a “due diligence” obligation in each w</w:t>
      </w:r>
      <w:r w:rsidR="00BD6A32">
        <w:t>ith respect to private conduct.</w:t>
      </w:r>
      <w:r w:rsidRPr="00847A7B">
        <w:rPr>
          <w:vertAlign w:val="superscript"/>
        </w:rPr>
        <w:footnoteReference w:id="9"/>
      </w:r>
    </w:p>
    <w:p w:rsidR="00773B9B" w:rsidRPr="00847A7B" w:rsidRDefault="00773B9B" w:rsidP="00773B9B">
      <w:pPr>
        <w:pStyle w:val="ListParagraph"/>
      </w:pPr>
    </w:p>
    <w:p w:rsidR="00773B9B" w:rsidRPr="00847A7B" w:rsidRDefault="00514FFB" w:rsidP="00773B9B">
      <w:pPr>
        <w:numPr>
          <w:ilvl w:val="0"/>
          <w:numId w:val="5"/>
        </w:numPr>
        <w:snapToGrid w:val="0"/>
      </w:pPr>
      <w:r>
        <w:t xml:space="preserve">In addition, many States have taken on obligations with respect to </w:t>
      </w:r>
      <w:r w:rsidR="00793DB2">
        <w:t xml:space="preserve">conduct of </w:t>
      </w:r>
      <w:r>
        <w:t xml:space="preserve">private parties in the counter-terrorism context.  </w:t>
      </w:r>
      <w:r>
        <w:rPr>
          <w:color w:val="000000"/>
        </w:rPr>
        <w:t>T</w:t>
      </w:r>
      <w:r w:rsidR="00773B9B" w:rsidRPr="00847A7B">
        <w:rPr>
          <w:color w:val="000000"/>
        </w:rPr>
        <w:t>he international community has elaborated 14 universal legal instruments and four amendments since 1963 to prevent various kinds of terrorist acts.</w:t>
      </w:r>
      <w:r w:rsidR="00631AF7">
        <w:rPr>
          <w:rStyle w:val="FootnoteReference"/>
          <w:color w:val="000000"/>
        </w:rPr>
        <w:footnoteReference w:id="10"/>
      </w:r>
      <w:r w:rsidR="00773B9B" w:rsidRPr="00847A7B">
        <w:rPr>
          <w:color w:val="000000"/>
        </w:rPr>
        <w:t xml:space="preserve">  Under these </w:t>
      </w:r>
      <w:r w:rsidR="00100353">
        <w:rPr>
          <w:color w:val="000000"/>
        </w:rPr>
        <w:t>treaties</w:t>
      </w:r>
      <w:r w:rsidR="00C65310">
        <w:rPr>
          <w:color w:val="000000"/>
        </w:rPr>
        <w:t>,</w:t>
      </w:r>
      <w:r w:rsidR="00100353" w:rsidRPr="00847A7B">
        <w:rPr>
          <w:color w:val="000000"/>
        </w:rPr>
        <w:t xml:space="preserve"> </w:t>
      </w:r>
      <w:r w:rsidR="00773B9B" w:rsidRPr="00847A7B">
        <w:rPr>
          <w:color w:val="000000"/>
        </w:rPr>
        <w:t>States Parties assume comprehensive obligations to criminalize, prevent</w:t>
      </w:r>
      <w:r w:rsidR="00F81873">
        <w:rPr>
          <w:color w:val="000000"/>
        </w:rPr>
        <w:t>,</w:t>
      </w:r>
      <w:r w:rsidR="00773B9B" w:rsidRPr="00847A7B">
        <w:rPr>
          <w:color w:val="000000"/>
        </w:rPr>
        <w:t xml:space="preserve"> and prosecute or extradite crimes that directly threaten the liberty and/or security of persons in specific transnational contexts.  These various counter-terrorism obligations require the suppression of unlawful acts of violence against aircrafts, airports, </w:t>
      </w:r>
      <w:r w:rsidR="00F81873">
        <w:rPr>
          <w:color w:val="000000"/>
        </w:rPr>
        <w:t xml:space="preserve">and </w:t>
      </w:r>
      <w:r w:rsidR="00773B9B" w:rsidRPr="00847A7B">
        <w:rPr>
          <w:color w:val="000000"/>
        </w:rPr>
        <w:t xml:space="preserve">maritime safety, </w:t>
      </w:r>
      <w:r w:rsidR="00F81873">
        <w:rPr>
          <w:color w:val="000000"/>
        </w:rPr>
        <w:t xml:space="preserve">and suppression of </w:t>
      </w:r>
      <w:r w:rsidR="00773B9B" w:rsidRPr="00847A7B">
        <w:rPr>
          <w:color w:val="000000"/>
        </w:rPr>
        <w:t>hijacking, hostage-taking</w:t>
      </w:r>
      <w:r w:rsidR="00F81873">
        <w:rPr>
          <w:color w:val="000000"/>
        </w:rPr>
        <w:t>,</w:t>
      </w:r>
      <w:r w:rsidR="00773B9B" w:rsidRPr="00847A7B">
        <w:rPr>
          <w:color w:val="000000"/>
        </w:rPr>
        <w:t xml:space="preserve"> and crimes against internationally protected persons.  More recently, crime control initiatives </w:t>
      </w:r>
      <w:r w:rsidR="00773B9B" w:rsidRPr="00847A7B">
        <w:t xml:space="preserve">under the 2000 </w:t>
      </w:r>
      <w:r w:rsidR="00773B9B" w:rsidRPr="00847A7B">
        <w:rPr>
          <w:snapToGrid w:val="0"/>
        </w:rPr>
        <w:t xml:space="preserve">United Nations Convention </w:t>
      </w:r>
      <w:r w:rsidR="00C65310">
        <w:rPr>
          <w:snapToGrid w:val="0"/>
        </w:rPr>
        <w:t xml:space="preserve">against </w:t>
      </w:r>
      <w:r w:rsidR="00773B9B" w:rsidRPr="00847A7B">
        <w:rPr>
          <w:snapToGrid w:val="0"/>
        </w:rPr>
        <w:t>Transnational Organized Crime</w:t>
      </w:r>
      <w:r w:rsidR="00773B9B" w:rsidRPr="00847A7B">
        <w:rPr>
          <w:color w:val="000000"/>
        </w:rPr>
        <w:t xml:space="preserve"> have included protocols to </w:t>
      </w:r>
      <w:r w:rsidR="00773B9B" w:rsidRPr="00847A7B">
        <w:t>combat human trafficking, the smuggling of migrants</w:t>
      </w:r>
      <w:r w:rsidR="00F81873">
        <w:t>,</w:t>
      </w:r>
      <w:r w:rsidR="00773B9B" w:rsidRPr="00847A7B">
        <w:t xml:space="preserve"> and illicit manufacturing of and trafficking in firearms</w:t>
      </w:r>
      <w:r w:rsidR="00773B9B" w:rsidRPr="00847A7B">
        <w:rPr>
          <w:snapToGrid w:val="0"/>
        </w:rPr>
        <w:t>.</w:t>
      </w:r>
      <w:r w:rsidR="00C65310">
        <w:rPr>
          <w:rStyle w:val="FootnoteReference"/>
        </w:rPr>
        <w:footnoteReference w:id="11"/>
      </w:r>
      <w:r w:rsidR="00773B9B" w:rsidRPr="00847A7B">
        <w:rPr>
          <w:snapToGrid w:val="0"/>
        </w:rPr>
        <w:t xml:space="preserve">  </w:t>
      </w:r>
    </w:p>
    <w:p w:rsidR="00773B9B" w:rsidRPr="00847A7B" w:rsidRDefault="00773B9B" w:rsidP="00773B9B">
      <w:pPr>
        <w:snapToGrid w:val="0"/>
      </w:pPr>
    </w:p>
    <w:p w:rsidR="00773B9B" w:rsidRPr="00847A7B" w:rsidRDefault="00773B9B" w:rsidP="00773B9B">
      <w:pPr>
        <w:numPr>
          <w:ilvl w:val="0"/>
          <w:numId w:val="5"/>
        </w:numPr>
        <w:snapToGrid w:val="0"/>
        <w:spacing w:after="100" w:afterAutospacing="1"/>
      </w:pPr>
      <w:r w:rsidRPr="00847A7B">
        <w:t xml:space="preserve">That the CERD, CEDAW, CRPD, Convention of Belem do Para, COE Convention and other conventions include provisions </w:t>
      </w:r>
      <w:r w:rsidR="00B95C20">
        <w:t xml:space="preserve">explicitly </w:t>
      </w:r>
      <w:r w:rsidRPr="00847A7B">
        <w:t xml:space="preserve">creating </w:t>
      </w:r>
      <w:r w:rsidR="00F81873">
        <w:t>S</w:t>
      </w:r>
      <w:r w:rsidR="00F81873" w:rsidRPr="00847A7B">
        <w:t xml:space="preserve">tate </w:t>
      </w:r>
      <w:r w:rsidRPr="00847A7B">
        <w:t xml:space="preserve">obligations requiring the regulation of conduct by private actors </w:t>
      </w:r>
      <w:r w:rsidR="00741BD3">
        <w:t xml:space="preserve">demonstrates </w:t>
      </w:r>
      <w:r w:rsidRPr="00847A7B">
        <w:t xml:space="preserve">that </w:t>
      </w:r>
      <w:r w:rsidR="00741BD3">
        <w:t xml:space="preserve">when treaty </w:t>
      </w:r>
      <w:r w:rsidRPr="00847A7B">
        <w:t xml:space="preserve">drafters </w:t>
      </w:r>
      <w:r w:rsidR="00741BD3">
        <w:t xml:space="preserve">intend for </w:t>
      </w:r>
      <w:r w:rsidR="00793DB2">
        <w:t xml:space="preserve">state obligations </w:t>
      </w:r>
      <w:r w:rsidR="00741BD3">
        <w:t xml:space="preserve">to </w:t>
      </w:r>
      <w:r w:rsidR="00793DB2">
        <w:t>include the regulation of private conduct</w:t>
      </w:r>
      <w:r w:rsidR="00B95C20">
        <w:t>,</w:t>
      </w:r>
      <w:r w:rsidR="00793DB2">
        <w:t xml:space="preserve"> </w:t>
      </w:r>
      <w:r w:rsidR="00741BD3">
        <w:t xml:space="preserve">they </w:t>
      </w:r>
      <w:r w:rsidR="00B95C20">
        <w:t>explicitly</w:t>
      </w:r>
      <w:r w:rsidR="00741BD3">
        <w:t xml:space="preserve"> </w:t>
      </w:r>
      <w:r w:rsidR="00B95C20">
        <w:t>impose such obligation</w:t>
      </w:r>
      <w:r w:rsidR="00272519">
        <w:t>s</w:t>
      </w:r>
      <w:r w:rsidR="00741BD3">
        <w:t xml:space="preserve">, allowing </w:t>
      </w:r>
      <w:r w:rsidRPr="00847A7B">
        <w:t>States to decide whether or not to undertake international obligations on these subjects.  The absence of any language to this effect in Article 9 or Article 2 of the Covenant reflects a decision by the</w:t>
      </w:r>
      <w:r w:rsidR="008D3972">
        <w:t xml:space="preserve"> drafters</w:t>
      </w:r>
      <w:r w:rsidRPr="00847A7B">
        <w:t xml:space="preserve"> not to</w:t>
      </w:r>
      <w:r w:rsidR="00354BF2">
        <w:t xml:space="preserve"> reach such conduct.</w:t>
      </w:r>
    </w:p>
    <w:p w:rsidR="00773B9B" w:rsidRPr="00741BD3" w:rsidRDefault="00F81873" w:rsidP="00773B9B">
      <w:pPr>
        <w:numPr>
          <w:ilvl w:val="0"/>
          <w:numId w:val="5"/>
        </w:numPr>
        <w:snapToGrid w:val="0"/>
        <w:spacing w:before="240"/>
        <w:rPr>
          <w:bCs/>
          <w:iCs/>
        </w:rPr>
      </w:pPr>
      <w:r>
        <w:t>Although</w:t>
      </w:r>
      <w:r w:rsidRPr="00847A7B">
        <w:t xml:space="preserve"> </w:t>
      </w:r>
      <w:r w:rsidR="00773B9B" w:rsidRPr="00847A7B">
        <w:t xml:space="preserve">the United States appreciates that several of these recommendations are already framed as such (“should”), it strongly encourages the Committee to refrain from assertions  that States Parties are “obliged” or “must” take measures against private conduct or threats when there is no legal basis </w:t>
      </w:r>
      <w:r w:rsidR="00B95C20">
        <w:t xml:space="preserve">in the Covenant </w:t>
      </w:r>
      <w:r w:rsidR="00272519">
        <w:t>f</w:t>
      </w:r>
      <w:r w:rsidR="00773B9B" w:rsidRPr="00847A7B">
        <w:t>or such interpretations.</w:t>
      </w:r>
    </w:p>
    <w:p w:rsidR="00B95C20" w:rsidRPr="00847A7B" w:rsidRDefault="00B95C20" w:rsidP="007E537E">
      <w:pPr>
        <w:snapToGrid w:val="0"/>
        <w:ind w:left="360"/>
        <w:rPr>
          <w:bCs/>
          <w:iCs/>
        </w:rPr>
      </w:pPr>
    </w:p>
    <w:p w:rsidR="00BE6E45" w:rsidRPr="00847A7B" w:rsidRDefault="00773B9B" w:rsidP="00BE6E45">
      <w:pPr>
        <w:rPr>
          <w:b/>
          <w:bCs/>
          <w:u w:val="single"/>
        </w:rPr>
      </w:pPr>
      <w:r w:rsidRPr="00847A7B">
        <w:rPr>
          <w:b/>
          <w:bCs/>
          <w:u w:val="single"/>
        </w:rPr>
        <w:t>I</w:t>
      </w:r>
      <w:r w:rsidR="00100353">
        <w:rPr>
          <w:b/>
          <w:bCs/>
          <w:u w:val="single"/>
        </w:rPr>
        <w:t>V</w:t>
      </w:r>
      <w:proofErr w:type="gramStart"/>
      <w:r w:rsidRPr="00847A7B">
        <w:rPr>
          <w:b/>
          <w:bCs/>
          <w:u w:val="single"/>
        </w:rPr>
        <w:t xml:space="preserve">.  </w:t>
      </w:r>
      <w:r w:rsidR="00BE6E45" w:rsidRPr="00847A7B">
        <w:rPr>
          <w:b/>
          <w:bCs/>
          <w:u w:val="single"/>
        </w:rPr>
        <w:t>The</w:t>
      </w:r>
      <w:proofErr w:type="gramEnd"/>
      <w:r w:rsidR="00BE6E45" w:rsidRPr="00847A7B">
        <w:rPr>
          <w:b/>
          <w:bCs/>
          <w:u w:val="single"/>
        </w:rPr>
        <w:t xml:space="preserve"> Law of Armed Conflict </w:t>
      </w:r>
    </w:p>
    <w:p w:rsidR="00BE6E45" w:rsidRPr="00847A7B" w:rsidRDefault="00BE6E45" w:rsidP="00BE6E45">
      <w:pPr>
        <w:rPr>
          <w:b/>
          <w:bCs/>
          <w:u w:val="single"/>
        </w:rPr>
      </w:pPr>
    </w:p>
    <w:p w:rsidR="00B20BA0" w:rsidRDefault="00BE6E45" w:rsidP="00BE6E45">
      <w:pPr>
        <w:pStyle w:val="ListParagraph"/>
        <w:numPr>
          <w:ilvl w:val="0"/>
          <w:numId w:val="1"/>
        </w:numPr>
      </w:pPr>
      <w:r w:rsidRPr="00847A7B">
        <w:t xml:space="preserve">In all situations of armed conflict, the United States is deeply committed to complying with its obligations under the law of armed conflict (also referred to as international humanitarian law or the law of war).  </w:t>
      </w:r>
      <w:r w:rsidR="00B20BA0">
        <w:t xml:space="preserve">However, the United States does not agree with the analysis or conclusions set forth in </w:t>
      </w:r>
      <w:r w:rsidR="00526D53">
        <w:t>several</w:t>
      </w:r>
      <w:r w:rsidR="00B66B23">
        <w:t xml:space="preserve"> paragraphs of the draft General Comment</w:t>
      </w:r>
      <w:r w:rsidR="00B20BA0">
        <w:t xml:space="preserve"> regarding the </w:t>
      </w:r>
      <w:r w:rsidR="006A6DF0">
        <w:t xml:space="preserve">applicability </w:t>
      </w:r>
      <w:r w:rsidR="00B20BA0">
        <w:t xml:space="preserve">of </w:t>
      </w:r>
      <w:r w:rsidR="009839C7">
        <w:t>A</w:t>
      </w:r>
      <w:r w:rsidR="00B20BA0">
        <w:t>rticle 9 in situations of armed conflict.</w:t>
      </w:r>
    </w:p>
    <w:p w:rsidR="00B20BA0" w:rsidRDefault="00B20BA0" w:rsidP="008D00FD">
      <w:pPr>
        <w:pStyle w:val="ListParagraph"/>
        <w:ind w:left="360"/>
      </w:pPr>
    </w:p>
    <w:p w:rsidR="00103806" w:rsidRDefault="00B20BA0">
      <w:pPr>
        <w:pStyle w:val="ListParagraph"/>
        <w:numPr>
          <w:ilvl w:val="0"/>
          <w:numId w:val="1"/>
        </w:numPr>
      </w:pPr>
      <w:r>
        <w:t>As an initial matter, the</w:t>
      </w:r>
      <w:r w:rsidR="00BE6E45" w:rsidRPr="00847A7B">
        <w:t xml:space="preserve"> statement </w:t>
      </w:r>
      <w:r w:rsidR="00856ABD">
        <w:t xml:space="preserve">in paragraph 63 </w:t>
      </w:r>
      <w:r w:rsidR="00BE6E45" w:rsidRPr="00847A7B">
        <w:t>that “</w:t>
      </w:r>
      <w:r w:rsidR="009839C7">
        <w:t>A</w:t>
      </w:r>
      <w:r w:rsidR="00BE6E45" w:rsidRPr="00847A7B">
        <w:t xml:space="preserve">rticle 9 applies . . . in situations of armed conflict to which the rules of international humanitarian law are applicable” is </w:t>
      </w:r>
      <w:r w:rsidR="005F6F23">
        <w:t>overly broad</w:t>
      </w:r>
      <w:r w:rsidR="00BE6E45" w:rsidRPr="00847A7B">
        <w:t>.  As explained in the U.S. Observations on General Comment 31</w:t>
      </w:r>
      <w:r w:rsidR="00B95C20">
        <w:t>:</w:t>
      </w:r>
      <w:r w:rsidR="00BE6E45" w:rsidRPr="00847A7B">
        <w:t xml:space="preserve"> “While the United States agrees with the Committee that as a general matter armed conflict does not suspend or </w:t>
      </w:r>
      <w:r w:rsidR="00BE6E45" w:rsidRPr="00847A7B">
        <w:lastRenderedPageBreak/>
        <w:t xml:space="preserve">terminate a State’s obligations under the Covenant within its scope of application, its assertion that the Covenant invariably applies in situations of armed conflict to which the rules of international humanitarian law are applicable sweeps too broadly.”  </w:t>
      </w:r>
      <w:r w:rsidR="00B506FA">
        <w:t>W</w:t>
      </w:r>
      <w:r>
        <w:t xml:space="preserve">hile the United States acknowledges that difficult questions arise regarding the applicability of international human rights law in situations of armed conflict, </w:t>
      </w:r>
      <w:r w:rsidR="00BE6E45" w:rsidRPr="00847A7B">
        <w:t xml:space="preserve">the draft </w:t>
      </w:r>
      <w:r w:rsidR="00F10866">
        <w:t xml:space="preserve">does not </w:t>
      </w:r>
      <w:r w:rsidR="00AC788E">
        <w:t xml:space="preserve">accord </w:t>
      </w:r>
      <w:r w:rsidR="00F10866">
        <w:t>sufficient weight to</w:t>
      </w:r>
      <w:r w:rsidR="00BE6E45" w:rsidRPr="00847A7B">
        <w:t xml:space="preserve"> the well-established principle that international humanitarian law, as the </w:t>
      </w:r>
      <w:r w:rsidR="00BE6E45" w:rsidRPr="00BF509A">
        <w:rPr>
          <w:i/>
        </w:rPr>
        <w:t>lex specialis</w:t>
      </w:r>
      <w:r w:rsidR="00BE6E45" w:rsidRPr="008D00FD">
        <w:t xml:space="preserve"> </w:t>
      </w:r>
      <w:r w:rsidR="00BE6E45" w:rsidRPr="00847A7B">
        <w:t>of armed conflict, is the controlling body of law with regard to the conduct of hostilities and the protection of war victims.</w:t>
      </w:r>
    </w:p>
    <w:p w:rsidR="00BF509A" w:rsidRDefault="00BF509A" w:rsidP="008D00FD">
      <w:pPr>
        <w:pStyle w:val="ListParagraph"/>
        <w:ind w:left="360"/>
      </w:pPr>
    </w:p>
    <w:p w:rsidR="00B20BA0" w:rsidRDefault="005B1DE4" w:rsidP="008D00FD">
      <w:pPr>
        <w:numPr>
          <w:ilvl w:val="0"/>
          <w:numId w:val="1"/>
        </w:numPr>
        <w:snapToGrid w:val="0"/>
      </w:pPr>
      <w:r>
        <w:t xml:space="preserve">In </w:t>
      </w:r>
      <w:r w:rsidR="00630626">
        <w:t>particular</w:t>
      </w:r>
      <w:r>
        <w:t xml:space="preserve">, </w:t>
      </w:r>
      <w:r w:rsidR="00345D93">
        <w:t xml:space="preserve">several paragraphs </w:t>
      </w:r>
      <w:r w:rsidR="00B20BA0">
        <w:t xml:space="preserve">incorrectly </w:t>
      </w:r>
      <w:r w:rsidR="00345D93">
        <w:t xml:space="preserve">imply </w:t>
      </w:r>
      <w:r w:rsidR="00B20BA0">
        <w:t xml:space="preserve">that international humanitarian law does not provide the </w:t>
      </w:r>
      <w:r w:rsidR="00B20BA0" w:rsidRPr="00E12E75">
        <w:rPr>
          <w:i/>
        </w:rPr>
        <w:t>lex specialis</w:t>
      </w:r>
      <w:r w:rsidR="00B20BA0" w:rsidRPr="008D00FD">
        <w:t xml:space="preserve"> </w:t>
      </w:r>
      <w:r w:rsidR="00B20BA0">
        <w:t xml:space="preserve">in non-international armed conflicts.  </w:t>
      </w:r>
      <w:r w:rsidR="00B07DF1">
        <w:t xml:space="preserve">For example, after acknowledging that international humanitarian law applies in the context of an international armed conflict, paragraphs 15 and 65 appear to rule out the applicability of international humanitarian law in non-international armed conflicts.  </w:t>
      </w:r>
      <w:r w:rsidR="00B20BA0">
        <w:t>Although identifying the international law rules that apply to particular government action in the context of an armed conflict is a highly fact-specific inquiry, international humanitarian law is the</w:t>
      </w:r>
      <w:r w:rsidR="00B20BA0" w:rsidRPr="00103806">
        <w:t xml:space="preserve"> </w:t>
      </w:r>
      <w:r w:rsidR="00B20BA0" w:rsidRPr="00E12E75">
        <w:rPr>
          <w:i/>
        </w:rPr>
        <w:t>lex specialis</w:t>
      </w:r>
      <w:r w:rsidR="00B20BA0" w:rsidRPr="008D00FD">
        <w:t xml:space="preserve"> </w:t>
      </w:r>
      <w:r w:rsidR="00B20BA0">
        <w:t>in both international and non-international armed conflicts</w:t>
      </w:r>
      <w:r w:rsidR="00B20BA0" w:rsidRPr="00847A7B">
        <w:t xml:space="preserve">, including with respect to detention </w:t>
      </w:r>
      <w:r w:rsidR="00B20BA0">
        <w:t xml:space="preserve">of </w:t>
      </w:r>
      <w:r w:rsidR="00C451ED">
        <w:t xml:space="preserve">enemy </w:t>
      </w:r>
      <w:r w:rsidR="00B20BA0">
        <w:t xml:space="preserve">combatants in the context of the armed conflict.  </w:t>
      </w:r>
      <w:r w:rsidR="00B20BA0" w:rsidRPr="00856ABD">
        <w:t>Deleting the word “international” before “armed conflict” in paragraph</w:t>
      </w:r>
      <w:r>
        <w:t>s 15 and</w:t>
      </w:r>
      <w:r w:rsidR="00B20BA0" w:rsidRPr="00856ABD">
        <w:t xml:space="preserve"> 65 would </w:t>
      </w:r>
      <w:r w:rsidR="00B20BA0">
        <w:t>effectively</w:t>
      </w:r>
      <w:r w:rsidR="00B20BA0" w:rsidRPr="00856ABD">
        <w:t xml:space="preserve"> address this issue.</w:t>
      </w:r>
    </w:p>
    <w:p w:rsidR="00B20BA0" w:rsidRDefault="00B20BA0">
      <w:pPr>
        <w:pStyle w:val="ListParagraph"/>
        <w:ind w:left="360"/>
      </w:pPr>
    </w:p>
    <w:p w:rsidR="000F31E2" w:rsidRDefault="00BF509A" w:rsidP="00CB5C6E">
      <w:pPr>
        <w:numPr>
          <w:ilvl w:val="0"/>
          <w:numId w:val="1"/>
        </w:numPr>
        <w:snapToGrid w:val="0"/>
      </w:pPr>
      <w:r w:rsidRPr="00847A7B">
        <w:t xml:space="preserve">Given that </w:t>
      </w:r>
      <w:r>
        <w:t xml:space="preserve">international humanitarian law </w:t>
      </w:r>
      <w:r w:rsidRPr="00847A7B">
        <w:t xml:space="preserve">is the controlling body of law </w:t>
      </w:r>
      <w:r>
        <w:t>in armed conflict</w:t>
      </w:r>
      <w:r w:rsidR="00467637">
        <w:t xml:space="preserve"> with regard to the conduct of hostilities and the protection of war victims</w:t>
      </w:r>
      <w:r>
        <w:t xml:space="preserve">, </w:t>
      </w:r>
      <w:r w:rsidR="00E30C28">
        <w:t xml:space="preserve">the United States </w:t>
      </w:r>
      <w:r w:rsidRPr="00847A7B">
        <w:t>do</w:t>
      </w:r>
      <w:r w:rsidR="00E30C28">
        <w:t>es</w:t>
      </w:r>
      <w:r w:rsidRPr="00847A7B">
        <w:t xml:space="preserve"> not interpret reference</w:t>
      </w:r>
      <w:r w:rsidR="001809E2">
        <w:t>s</w:t>
      </w:r>
      <w:r w:rsidRPr="00847A7B">
        <w:t xml:space="preserve"> to “detainees” </w:t>
      </w:r>
      <w:r w:rsidR="0053665A">
        <w:t xml:space="preserve">and “detention” </w:t>
      </w:r>
      <w:r>
        <w:t xml:space="preserve">in several </w:t>
      </w:r>
      <w:r w:rsidRPr="00847A7B">
        <w:t>paragraphs</w:t>
      </w:r>
      <w:r>
        <w:t xml:space="preserve"> </w:t>
      </w:r>
      <w:r w:rsidRPr="00847A7B">
        <w:t>to refer to government action in the context of</w:t>
      </w:r>
      <w:r>
        <w:t xml:space="preserve"> and associated with</w:t>
      </w:r>
      <w:r w:rsidRPr="00847A7B">
        <w:t xml:space="preserve"> an armed conflict</w:t>
      </w:r>
      <w:r>
        <w:t xml:space="preserve">.  For example, </w:t>
      </w:r>
      <w:r w:rsidR="00264180" w:rsidRPr="00856ABD">
        <w:t xml:space="preserve">paragraph 15 incorrectly </w:t>
      </w:r>
      <w:r w:rsidR="00264180">
        <w:t>implies</w:t>
      </w:r>
      <w:r w:rsidR="00264180" w:rsidRPr="00856ABD">
        <w:t xml:space="preserve"> </w:t>
      </w:r>
      <w:r w:rsidRPr="00856ABD">
        <w:t xml:space="preserve">that the detention of </w:t>
      </w:r>
      <w:r w:rsidR="00C451ED">
        <w:t xml:space="preserve">enemy </w:t>
      </w:r>
      <w:r w:rsidRPr="00856ABD">
        <w:t xml:space="preserve">combatants in the context of a non-international armed conflict “would normally amount to arbitrary detention as other effective measures addressing the threat, including the criminal justice system, would be available.”  </w:t>
      </w:r>
      <w:r w:rsidR="00B95C20">
        <w:t>On the contrary</w:t>
      </w:r>
      <w:r>
        <w:t>, i</w:t>
      </w:r>
      <w:r w:rsidRPr="00856ABD">
        <w:t xml:space="preserve">n both international and non-international armed conflicts, a State may detain enemy combatants </w:t>
      </w:r>
      <w:r>
        <w:t>consistent with the law of armed conflict until the end of hostilities</w:t>
      </w:r>
      <w:r w:rsidRPr="00856ABD">
        <w:t>.</w:t>
      </w:r>
      <w:r w:rsidR="00B95C20">
        <w:t xml:space="preserve"> </w:t>
      </w:r>
      <w:r w:rsidR="004C62DA">
        <w:t xml:space="preserve"> </w:t>
      </w:r>
      <w:r w:rsidR="00B95C20">
        <w:t>Similarly,</w:t>
      </w:r>
      <w:r w:rsidRPr="0030640B">
        <w:t xml:space="preserve"> </w:t>
      </w:r>
      <w:r w:rsidR="00B95C20">
        <w:t>t</w:t>
      </w:r>
      <w:r w:rsidRPr="00C7688C">
        <w:t>o the extent paragraph</w:t>
      </w:r>
      <w:r w:rsidR="00264180">
        <w:t>s 15 and</w:t>
      </w:r>
      <w:r w:rsidRPr="00C7688C">
        <w:t xml:space="preserve"> 66 </w:t>
      </w:r>
      <w:r w:rsidR="00264180">
        <w:t>are</w:t>
      </w:r>
      <w:r w:rsidRPr="00C7688C">
        <w:t xml:space="preserve"> intended to address </w:t>
      </w:r>
      <w:r w:rsidR="004C2707">
        <w:t>law-of-</w:t>
      </w:r>
      <w:r>
        <w:t xml:space="preserve">war detention in situations </w:t>
      </w:r>
      <w:r w:rsidRPr="00C7688C">
        <w:t xml:space="preserve">of armed conflict, it would be </w:t>
      </w:r>
      <w:r w:rsidR="004C2707">
        <w:t>in</w:t>
      </w:r>
      <w:r w:rsidRPr="00C7688C">
        <w:t xml:space="preserve">correct to state that </w:t>
      </w:r>
      <w:r>
        <w:t>there is a “right to take proceedings before a court to enable the court to decide without delay on the lawfulness of detention” in all cases</w:t>
      </w:r>
      <w:r w:rsidRPr="00C7688C">
        <w:t>.</w:t>
      </w:r>
      <w:r>
        <w:t xml:space="preserve">  </w:t>
      </w:r>
      <w:r w:rsidR="000F31E2">
        <w:t xml:space="preserve">In addition, </w:t>
      </w:r>
      <w:r>
        <w:t>t</w:t>
      </w:r>
      <w:r w:rsidRPr="00856ABD">
        <w:t xml:space="preserve">o the extent the discussion of an individual right to compensation under </w:t>
      </w:r>
      <w:r w:rsidR="009839C7">
        <w:t>A</w:t>
      </w:r>
      <w:r w:rsidRPr="00856ABD">
        <w:t xml:space="preserve">rticle 9 </w:t>
      </w:r>
      <w:r w:rsidR="000F31E2">
        <w:t xml:space="preserve">in paragraphs 49-52 </w:t>
      </w:r>
      <w:r w:rsidRPr="00856ABD">
        <w:t>is intended to extend to individuals detained in the context of an armed conflict,</w:t>
      </w:r>
      <w:r w:rsidR="00AE5182">
        <w:t xml:space="preserve"> as a matter of international law, the</w:t>
      </w:r>
      <w:r w:rsidRPr="00856ABD">
        <w:t xml:space="preserve"> </w:t>
      </w:r>
      <w:r w:rsidR="006705CB">
        <w:t>r</w:t>
      </w:r>
      <w:r w:rsidRPr="00856ABD">
        <w:t>ules governing available remedies for unlawful detention in the context of an armed conflict would be drawn from international humanitarian law.</w:t>
      </w:r>
      <w:r w:rsidR="00CB5C6E">
        <w:t xml:space="preserve">  </w:t>
      </w:r>
      <w:r w:rsidR="000F31E2">
        <w:t xml:space="preserve">Relatedly, </w:t>
      </w:r>
      <w:r w:rsidR="000F31E2" w:rsidRPr="00693D3E">
        <w:t xml:space="preserve">paragraph 31 and accompanying footnote 11, in references to “military prosecutions” and “military courts,” do not distinguish between different types of military prosecutions.  For example, there may be a distinction between </w:t>
      </w:r>
      <w:r w:rsidR="0053678E">
        <w:t>military tribunal proceedings</w:t>
      </w:r>
      <w:r w:rsidR="000F31E2" w:rsidRPr="00693D3E">
        <w:t xml:space="preserve"> </w:t>
      </w:r>
      <w:r w:rsidR="0053678E">
        <w:t xml:space="preserve">under the law of war </w:t>
      </w:r>
      <w:r w:rsidR="000F31E2" w:rsidRPr="00693D3E">
        <w:t xml:space="preserve">and courts-martial proceedings against service members, given that international humanitarian law is the </w:t>
      </w:r>
      <w:r w:rsidR="000F31E2" w:rsidRPr="00CB5C6E">
        <w:rPr>
          <w:i/>
        </w:rPr>
        <w:t>lex specialis</w:t>
      </w:r>
      <w:r w:rsidR="000F31E2" w:rsidRPr="00693D3E">
        <w:t xml:space="preserve"> in situations of armed conflict.</w:t>
      </w:r>
    </w:p>
    <w:p w:rsidR="00172289" w:rsidRDefault="00172289" w:rsidP="00172289">
      <w:pPr>
        <w:snapToGrid w:val="0"/>
        <w:ind w:left="360"/>
      </w:pPr>
    </w:p>
    <w:p w:rsidR="00172289" w:rsidRDefault="00CF1855">
      <w:pPr>
        <w:numPr>
          <w:ilvl w:val="0"/>
          <w:numId w:val="1"/>
        </w:numPr>
        <w:snapToGrid w:val="0"/>
      </w:pPr>
      <w:r>
        <w:t xml:space="preserve">Those portions </w:t>
      </w:r>
      <w:r w:rsidR="00172289">
        <w:t>of paragraphs 63-67 and other paragraphs throughout the General Comment that address the applicability of Article 9 in situations of armed conflict</w:t>
      </w:r>
      <w:r w:rsidR="00D623A0">
        <w:t xml:space="preserve"> </w:t>
      </w:r>
      <w:r w:rsidR="00375DCE">
        <w:t xml:space="preserve">should be revised </w:t>
      </w:r>
      <w:r w:rsidR="00375DCE">
        <w:lastRenderedPageBreak/>
        <w:t xml:space="preserve">substantially </w:t>
      </w:r>
      <w:r w:rsidR="00D623A0">
        <w:t xml:space="preserve">to </w:t>
      </w:r>
      <w:r w:rsidR="00172289">
        <w:t>reflect</w:t>
      </w:r>
      <w:r w:rsidR="00375DCE">
        <w:t xml:space="preserve"> appropriately</w:t>
      </w:r>
      <w:r w:rsidR="00172289">
        <w:t xml:space="preserve"> the principle of </w:t>
      </w:r>
      <w:r w:rsidR="00172289" w:rsidRPr="008D00FD">
        <w:rPr>
          <w:i/>
        </w:rPr>
        <w:t>lex specialis</w:t>
      </w:r>
      <w:r w:rsidR="00375DCE">
        <w:t>, or should be eliminated from the draft</w:t>
      </w:r>
      <w:r w:rsidR="00172289">
        <w:t>.</w:t>
      </w:r>
    </w:p>
    <w:p w:rsidR="00F168FB" w:rsidRDefault="00F168FB" w:rsidP="00F168FB">
      <w:pPr>
        <w:pStyle w:val="ListParagraph"/>
      </w:pPr>
    </w:p>
    <w:p w:rsidR="00F168FB" w:rsidRPr="0051439A" w:rsidRDefault="00F168FB" w:rsidP="00F168FB">
      <w:pPr>
        <w:rPr>
          <w:b/>
          <w:u w:val="single"/>
        </w:rPr>
      </w:pPr>
      <w:r>
        <w:rPr>
          <w:b/>
          <w:u w:val="single"/>
        </w:rPr>
        <w:t xml:space="preserve">V.   </w:t>
      </w:r>
      <w:r w:rsidRPr="0051439A">
        <w:rPr>
          <w:b/>
          <w:u w:val="single"/>
        </w:rPr>
        <w:t>Derogation under Article 4</w:t>
      </w:r>
    </w:p>
    <w:p w:rsidR="00F168FB" w:rsidRDefault="00F168FB" w:rsidP="00F168FB">
      <w:pPr>
        <w:snapToGrid w:val="0"/>
        <w:ind w:left="360"/>
      </w:pPr>
    </w:p>
    <w:p w:rsidR="00F168FB" w:rsidRDefault="00AE5698" w:rsidP="00F168FB">
      <w:pPr>
        <w:numPr>
          <w:ilvl w:val="0"/>
          <w:numId w:val="1"/>
        </w:numPr>
        <w:snapToGrid w:val="0"/>
      </w:pPr>
      <w:r w:rsidRPr="00847A7B">
        <w:t xml:space="preserve">The </w:t>
      </w:r>
      <w:r>
        <w:t xml:space="preserve">United States also has concerns </w:t>
      </w:r>
      <w:r w:rsidR="00FE7BAF">
        <w:t>regarding</w:t>
      </w:r>
      <w:r>
        <w:t xml:space="preserve"> the draft</w:t>
      </w:r>
      <w:r w:rsidR="00A73558">
        <w:t xml:space="preserve"> General Comment</w:t>
      </w:r>
      <w:r>
        <w:t xml:space="preserve">’s treatment of derogation from </w:t>
      </w:r>
      <w:r w:rsidR="009839C7">
        <w:t>A</w:t>
      </w:r>
      <w:r>
        <w:t>rticle 9</w:t>
      </w:r>
      <w:r w:rsidRPr="00847A7B">
        <w:t xml:space="preserve">.  </w:t>
      </w:r>
      <w:r w:rsidR="00FC5131">
        <w:t xml:space="preserve">As the Committee notes, </w:t>
      </w:r>
      <w:r w:rsidR="00B95C20">
        <w:t xml:space="preserve">Article </w:t>
      </w:r>
      <w:r w:rsidR="00FC5131">
        <w:t>9</w:t>
      </w:r>
      <w:r w:rsidR="004B68E3">
        <w:t xml:space="preserve"> </w:t>
      </w:r>
      <w:r w:rsidR="00FC5131">
        <w:t xml:space="preserve">is not included in the list of non-derogable rights in Article 4(2), but Article 4(1) requires </w:t>
      </w:r>
      <w:r w:rsidR="00943F3A">
        <w:t>that any derogation must be “strictly required by the exigencies of the situation” and must not</w:t>
      </w:r>
      <w:r w:rsidR="00F6771B">
        <w:t xml:space="preserve"> </w:t>
      </w:r>
      <w:r w:rsidR="00D413EE">
        <w:t xml:space="preserve">be </w:t>
      </w:r>
      <w:r w:rsidR="00DF1A9B">
        <w:t xml:space="preserve">inconsistent with </w:t>
      </w:r>
      <w:r w:rsidR="00B708B3">
        <w:t>a State</w:t>
      </w:r>
      <w:r w:rsidR="00943F3A">
        <w:t>’s</w:t>
      </w:r>
      <w:r w:rsidR="00984A87">
        <w:t xml:space="preserve"> </w:t>
      </w:r>
      <w:r w:rsidR="00DF1A9B">
        <w:t>other obligations under international law</w:t>
      </w:r>
      <w:r>
        <w:t>.</w:t>
      </w:r>
      <w:r w:rsidR="00D413EE">
        <w:t xml:space="preserve"> </w:t>
      </w:r>
      <w:r w:rsidR="00CA2E1D">
        <w:t xml:space="preserve"> </w:t>
      </w:r>
      <w:r w:rsidR="00B66721" w:rsidRPr="00F85C55">
        <w:t>The United States agrees</w:t>
      </w:r>
      <w:r w:rsidR="00BA1E78">
        <w:t xml:space="preserve"> with the Committee’s statement in General Comment 29 (paragraph </w:t>
      </w:r>
      <w:r w:rsidR="00B47B2E">
        <w:t>1</w:t>
      </w:r>
      <w:r w:rsidR="00BA1E78">
        <w:t>1)</w:t>
      </w:r>
      <w:r w:rsidR="00B66721" w:rsidRPr="00F85C55">
        <w:t xml:space="preserve"> that this limitation</w:t>
      </w:r>
      <w:r w:rsidR="00D54982" w:rsidRPr="00F85C55">
        <w:t xml:space="preserve"> in Article 4(1)</w:t>
      </w:r>
      <w:r w:rsidR="00B66721" w:rsidRPr="00F85C55">
        <w:t xml:space="preserve"> </w:t>
      </w:r>
      <w:r w:rsidR="00AD7FF5">
        <w:t>means that “[s]tates parties may in no circumstances invoke Article 4 of the Covenant as justification for acting in violation of humanitarian law or p</w:t>
      </w:r>
      <w:r w:rsidR="00943F3A">
        <w:t>er</w:t>
      </w:r>
      <w:r w:rsidR="00AD7FF5">
        <w:t>emptory norms of international law</w:t>
      </w:r>
      <w:r w:rsidR="00D54982">
        <w:t>.</w:t>
      </w:r>
      <w:r w:rsidR="00AD7FF5">
        <w:t>”</w:t>
      </w:r>
      <w:r w:rsidR="00CA2E1D">
        <w:t xml:space="preserve">  But </w:t>
      </w:r>
      <w:r w:rsidR="00DF1A9B">
        <w:t xml:space="preserve">the United States </w:t>
      </w:r>
      <w:r w:rsidR="00CE4ABF">
        <w:t>does not agree with</w:t>
      </w:r>
      <w:r w:rsidR="00B85DE8">
        <w:t xml:space="preserve"> the Committee’s </w:t>
      </w:r>
      <w:r w:rsidR="00D413EE">
        <w:t>statement</w:t>
      </w:r>
      <w:r w:rsidR="00356A04">
        <w:t xml:space="preserve"> </w:t>
      </w:r>
      <w:r w:rsidR="008B7605">
        <w:t>in paragraph 65</w:t>
      </w:r>
      <w:r w:rsidR="0051439A">
        <w:t xml:space="preserve"> that “</w:t>
      </w:r>
      <w:r w:rsidR="00D8737E">
        <w:t xml:space="preserve">the fundamental guarantee against arbitrary detention </w:t>
      </w:r>
      <w:r w:rsidR="00984A87">
        <w:t>would be</w:t>
      </w:r>
      <w:r w:rsidR="00D8737E">
        <w:t xml:space="preserve"> non-derogable</w:t>
      </w:r>
      <w:r w:rsidR="0051439A">
        <w:t>”</w:t>
      </w:r>
      <w:r w:rsidR="00984A87">
        <w:t xml:space="preserve"> on this basis.</w:t>
      </w:r>
      <w:r w:rsidR="00B708B3">
        <w:t xml:space="preserve"> </w:t>
      </w:r>
      <w:r w:rsidR="006825B4">
        <w:t xml:space="preserve"> </w:t>
      </w:r>
      <w:r w:rsidR="0051439A">
        <w:t xml:space="preserve">The </w:t>
      </w:r>
      <w:r w:rsidR="00D8737E">
        <w:t xml:space="preserve">only </w:t>
      </w:r>
      <w:r w:rsidR="00D54982">
        <w:t>cited</w:t>
      </w:r>
      <w:r w:rsidR="0051439A">
        <w:t xml:space="preserve"> </w:t>
      </w:r>
      <w:r w:rsidR="001160D4">
        <w:t xml:space="preserve">authority </w:t>
      </w:r>
      <w:r w:rsidR="0051439A">
        <w:t xml:space="preserve">for this </w:t>
      </w:r>
      <w:r w:rsidR="00C25ACF">
        <w:t xml:space="preserve">sweeping </w:t>
      </w:r>
      <w:r w:rsidR="00D8737E">
        <w:t>statement</w:t>
      </w:r>
      <w:r w:rsidR="0051439A">
        <w:t xml:space="preserve"> is a</w:t>
      </w:r>
      <w:r w:rsidR="00480402">
        <w:t xml:space="preserve"> footnote</w:t>
      </w:r>
      <w:r w:rsidR="008B7605">
        <w:t xml:space="preserve"> reference to paragraph 11</w:t>
      </w:r>
      <w:r w:rsidR="00CF0694">
        <w:t xml:space="preserve"> </w:t>
      </w:r>
      <w:r w:rsidR="008B7605">
        <w:t>of General Comment 29</w:t>
      </w:r>
      <w:r w:rsidR="00984A87">
        <w:t xml:space="preserve"> which</w:t>
      </w:r>
      <w:r w:rsidR="00A4473F">
        <w:t xml:space="preserve"> r</w:t>
      </w:r>
      <w:r w:rsidR="00F77B34">
        <w:t>efers to “arbitrary deprivation</w:t>
      </w:r>
      <w:r w:rsidR="00A4473F">
        <w:t xml:space="preserve"> of liberty” as </w:t>
      </w:r>
      <w:proofErr w:type="gramStart"/>
      <w:r w:rsidR="00F77B34">
        <w:t xml:space="preserve">either </w:t>
      </w:r>
      <w:r w:rsidR="00D5630F">
        <w:t>a</w:t>
      </w:r>
      <w:proofErr w:type="gramEnd"/>
      <w:r w:rsidR="00D5630F">
        <w:t xml:space="preserve"> </w:t>
      </w:r>
      <w:r w:rsidR="00A4473F">
        <w:t>peremptory norm, violation of international humanitarian law, or both,</w:t>
      </w:r>
      <w:r w:rsidR="00F47809">
        <w:t xml:space="preserve"> </w:t>
      </w:r>
      <w:r w:rsidR="00D54982">
        <w:t>without any elaboration or authority</w:t>
      </w:r>
      <w:r w:rsidR="00A4473F">
        <w:t>.</w:t>
      </w:r>
      <w:r w:rsidR="00D54982">
        <w:t xml:space="preserve"> </w:t>
      </w:r>
      <w:r w:rsidR="00984A87">
        <w:t xml:space="preserve">  </w:t>
      </w:r>
      <w:r w:rsidR="00B20003">
        <w:t xml:space="preserve">The United States </w:t>
      </w:r>
      <w:r w:rsidR="00F77B34">
        <w:t xml:space="preserve">does not </w:t>
      </w:r>
      <w:r w:rsidR="008437C7">
        <w:t xml:space="preserve">believe that </w:t>
      </w:r>
      <w:r w:rsidR="006825B4">
        <w:t xml:space="preserve">a </w:t>
      </w:r>
      <w:r w:rsidR="00F77B34">
        <w:t>“fundamental guarantee</w:t>
      </w:r>
      <w:r w:rsidR="00B20003">
        <w:t xml:space="preserve"> against arbitrary detention” </w:t>
      </w:r>
      <w:r w:rsidR="008437C7">
        <w:t xml:space="preserve">is </w:t>
      </w:r>
      <w:r w:rsidR="00E7431D">
        <w:t>considered</w:t>
      </w:r>
      <w:r w:rsidR="00F77B34">
        <w:t xml:space="preserve"> </w:t>
      </w:r>
      <w:r w:rsidR="00B20003">
        <w:t xml:space="preserve">a </w:t>
      </w:r>
      <w:r w:rsidR="00E7431D">
        <w:t>peremptory norm</w:t>
      </w:r>
      <w:r w:rsidR="00C25ACF">
        <w:t>.</w:t>
      </w:r>
      <w:r w:rsidR="00F77B34">
        <w:t xml:space="preserve">  </w:t>
      </w:r>
      <w:r w:rsidR="00F168FB">
        <w:t xml:space="preserve">The United States also notes that, as discussed in </w:t>
      </w:r>
      <w:r w:rsidR="00F168FB" w:rsidRPr="006825B4">
        <w:t>paragraph 21</w:t>
      </w:r>
      <w:r w:rsidR="00F168FB">
        <w:t>, international humanitarian law provides the lex specialis in non-in</w:t>
      </w:r>
      <w:r w:rsidR="00BA1E78">
        <w:t>t</w:t>
      </w:r>
      <w:r w:rsidR="00F168FB">
        <w:t>ernational armed conflicts as well as international armed conflicts</w:t>
      </w:r>
      <w:r w:rsidR="00BA1E78">
        <w:t>, and that</w:t>
      </w:r>
      <w:r w:rsidR="003E2CFC">
        <w:t xml:space="preserve"> as a general matter</w:t>
      </w:r>
      <w:r w:rsidR="00BA1E78">
        <w:t xml:space="preserve"> </w:t>
      </w:r>
      <w:r w:rsidR="003E2CFC">
        <w:t xml:space="preserve">derogation would only be relevant </w:t>
      </w:r>
      <w:r w:rsidR="001C33A8">
        <w:t>as to action within the Covenant's scope of application.</w:t>
      </w:r>
    </w:p>
    <w:p w:rsidR="00F168FB" w:rsidRDefault="00F168FB" w:rsidP="00F168FB">
      <w:pPr>
        <w:pStyle w:val="ListParagraph"/>
        <w:snapToGrid w:val="0"/>
        <w:ind w:left="360"/>
      </w:pPr>
    </w:p>
    <w:p w:rsidR="00440445" w:rsidRDefault="00D921CD" w:rsidP="00F168FB">
      <w:pPr>
        <w:pStyle w:val="ListParagraph"/>
        <w:numPr>
          <w:ilvl w:val="0"/>
          <w:numId w:val="1"/>
        </w:numPr>
        <w:snapToGrid w:val="0"/>
      </w:pPr>
      <w:r>
        <w:t xml:space="preserve">Nor can the United States support the </w:t>
      </w:r>
      <w:r w:rsidR="00D413EE">
        <w:t xml:space="preserve">sweeping statement </w:t>
      </w:r>
      <w:r w:rsidR="004D4D39">
        <w:t xml:space="preserve">in paragraph 64 that </w:t>
      </w:r>
      <w:r w:rsidR="00D413EE">
        <w:t>“</w:t>
      </w:r>
      <w:r w:rsidR="004D4D39">
        <w:t xml:space="preserve">prohibitions against taking of </w:t>
      </w:r>
      <w:r w:rsidR="00335D2E">
        <w:t>hostages</w:t>
      </w:r>
      <w:r w:rsidR="004D4D39">
        <w:t xml:space="preserve">, </w:t>
      </w:r>
      <w:r w:rsidR="00335D2E">
        <w:t>abductions</w:t>
      </w:r>
      <w:r w:rsidR="004D4D39">
        <w:t xml:space="preserve"> or unacknowledged detention</w:t>
      </w:r>
      <w:r w:rsidR="001E5F34">
        <w:t xml:space="preserve"> </w:t>
      </w:r>
      <w:r w:rsidR="00D413EE">
        <w:t xml:space="preserve">are </w:t>
      </w:r>
      <w:r w:rsidR="00B41141">
        <w:t>. . .</w:t>
      </w:r>
      <w:r w:rsidR="00D413EE">
        <w:t xml:space="preserve"> not subject to derogation” </w:t>
      </w:r>
      <w:r w:rsidR="00B41141">
        <w:t xml:space="preserve">because they would </w:t>
      </w:r>
      <w:r w:rsidR="00D56006">
        <w:t xml:space="preserve">necessarily </w:t>
      </w:r>
      <w:r w:rsidR="00B41141">
        <w:t xml:space="preserve">violate international law. </w:t>
      </w:r>
      <w:r w:rsidR="00D413EE">
        <w:t xml:space="preserve"> The only cited </w:t>
      </w:r>
      <w:r w:rsidR="00563338">
        <w:t>support</w:t>
      </w:r>
      <w:r w:rsidR="00D413EE">
        <w:t xml:space="preserve"> for this statement is </w:t>
      </w:r>
      <w:r w:rsidR="00D118FB">
        <w:t>a prior statement by the Committee.</w:t>
      </w:r>
      <w:r w:rsidR="00F168FB">
        <w:t xml:space="preserve">  </w:t>
      </w:r>
      <w:r w:rsidR="00D82121">
        <w:t xml:space="preserve">The United States </w:t>
      </w:r>
      <w:r w:rsidR="008E4E31">
        <w:t>believes that the authority under Article 4 to derogate from the specific prohibitions contained in Article 9 – which does not use the terms “hostages, abductions or unacknowledged detention” – is not</w:t>
      </w:r>
      <w:r w:rsidR="00D118FB">
        <w:t>,</w:t>
      </w:r>
      <w:r w:rsidR="008E4E31">
        <w:t xml:space="preserve"> </w:t>
      </w:r>
      <w:r w:rsidR="00D118FB">
        <w:t xml:space="preserve">as a strictly legal matter, </w:t>
      </w:r>
      <w:r w:rsidR="008E4E31">
        <w:t xml:space="preserve">constrained in this manner, but </w:t>
      </w:r>
      <w:r w:rsidR="00D82121">
        <w:t xml:space="preserve">agrees that </w:t>
      </w:r>
      <w:r w:rsidR="008E4E31">
        <w:t xml:space="preserve">once a State Party has </w:t>
      </w:r>
      <w:r w:rsidR="00D82121">
        <w:t>derogat</w:t>
      </w:r>
      <w:r w:rsidR="008E4E31">
        <w:t>ed,</w:t>
      </w:r>
      <w:r w:rsidR="00D82121">
        <w:t xml:space="preserve"> measures </w:t>
      </w:r>
      <w:r w:rsidR="008E4E31">
        <w:t xml:space="preserve">taken </w:t>
      </w:r>
      <w:r w:rsidR="00D82121">
        <w:t xml:space="preserve">must be consistent with </w:t>
      </w:r>
      <w:r w:rsidR="008E4E31">
        <w:t xml:space="preserve">the </w:t>
      </w:r>
      <w:r w:rsidR="00D82121">
        <w:t xml:space="preserve">State Party’s other obligations under international law, </w:t>
      </w:r>
      <w:r w:rsidR="008E4E31">
        <w:t xml:space="preserve">to include </w:t>
      </w:r>
      <w:r w:rsidR="002277AD">
        <w:t xml:space="preserve">specific </w:t>
      </w:r>
      <w:r w:rsidR="00FF4B7E">
        <w:t xml:space="preserve">treaty </w:t>
      </w:r>
      <w:r w:rsidR="002277AD">
        <w:t>obligation</w:t>
      </w:r>
      <w:r w:rsidR="00093E6E">
        <w:t>s</w:t>
      </w:r>
      <w:r w:rsidR="00FF4B7E">
        <w:t xml:space="preserve">, customary international law </w:t>
      </w:r>
      <w:r w:rsidR="00093E6E">
        <w:t xml:space="preserve">and </w:t>
      </w:r>
      <w:r w:rsidR="00FF4B7E">
        <w:t>peremptory norm</w:t>
      </w:r>
      <w:r w:rsidR="008E4E31">
        <w:t>s</w:t>
      </w:r>
      <w:r w:rsidR="00FF4B7E">
        <w:t>.</w:t>
      </w:r>
    </w:p>
    <w:p w:rsidR="00AF11BC" w:rsidRDefault="00AF11BC" w:rsidP="00AF11BC">
      <w:pPr>
        <w:pStyle w:val="ListParagraph"/>
      </w:pPr>
    </w:p>
    <w:p w:rsidR="00FB17CF" w:rsidRPr="00AF11BC" w:rsidRDefault="00FB17CF" w:rsidP="001139D1">
      <w:pPr>
        <w:pStyle w:val="ListParagraph"/>
        <w:numPr>
          <w:ilvl w:val="0"/>
          <w:numId w:val="1"/>
        </w:numPr>
        <w:snapToGrid w:val="0"/>
      </w:pPr>
      <w:r w:rsidRPr="00AF11BC">
        <w:t xml:space="preserve">In addition, the United States </w:t>
      </w:r>
      <w:r w:rsidR="0048736F" w:rsidRPr="00AF11BC">
        <w:t>agree</w:t>
      </w:r>
      <w:r w:rsidR="00951431" w:rsidRPr="00AF11BC">
        <w:t>s</w:t>
      </w:r>
      <w:r w:rsidR="0048736F" w:rsidRPr="00AF11BC">
        <w:t xml:space="preserve"> that the duration of any derogating measure must be</w:t>
      </w:r>
      <w:r w:rsidR="00D56006" w:rsidRPr="00AF11BC">
        <w:t xml:space="preserve"> strictly </w:t>
      </w:r>
      <w:r w:rsidR="0048736F" w:rsidRPr="00AF11BC">
        <w:t xml:space="preserve">constrained </w:t>
      </w:r>
      <w:r w:rsidR="00D56006" w:rsidRPr="00AF11BC">
        <w:t>by the exigencies of the situation</w:t>
      </w:r>
      <w:r w:rsidR="002504FF">
        <w:t xml:space="preserve">.  But </w:t>
      </w:r>
      <w:r w:rsidR="00D56006" w:rsidRPr="00AF11BC">
        <w:t xml:space="preserve">it </w:t>
      </w:r>
      <w:r w:rsidRPr="00AF11BC">
        <w:t xml:space="preserve">cannot </w:t>
      </w:r>
      <w:r w:rsidR="00D56006" w:rsidRPr="00AF11BC">
        <w:t>accept</w:t>
      </w:r>
      <w:r w:rsidR="0048736F" w:rsidRPr="00AF11BC">
        <w:t xml:space="preserve"> the view expressed in paragraph 65 that in determining that a derogating measure is </w:t>
      </w:r>
      <w:r w:rsidR="00D56006" w:rsidRPr="00AF11BC">
        <w:t>“</w:t>
      </w:r>
      <w:r w:rsidR="0048736F" w:rsidRPr="00AF11BC">
        <w:t>strictly required by the exigencies of the situation</w:t>
      </w:r>
      <w:r w:rsidR="00D56006" w:rsidRPr="00AF11BC">
        <w:t>” within the meaning of Article 4(1),</w:t>
      </w:r>
      <w:r w:rsidR="0048736F" w:rsidRPr="00AF11BC">
        <w:t xml:space="preserve"> the derogating State Party </w:t>
      </w:r>
      <w:r w:rsidR="00951431" w:rsidRPr="00AF11BC">
        <w:t xml:space="preserve"> </w:t>
      </w:r>
      <w:r w:rsidR="00E711CB">
        <w:t xml:space="preserve">is constrained by </w:t>
      </w:r>
      <w:r w:rsidR="00951431" w:rsidRPr="00AF11BC">
        <w:t>a</w:t>
      </w:r>
      <w:r w:rsidR="00D56006" w:rsidRPr="00AF11BC">
        <w:t xml:space="preserve"> </w:t>
      </w:r>
      <w:r w:rsidR="00E711CB">
        <w:t xml:space="preserve">requirement of </w:t>
      </w:r>
      <w:r w:rsidR="0048736F" w:rsidRPr="00AF11BC">
        <w:t xml:space="preserve">“strict necessity or proportionality” </w:t>
      </w:r>
      <w:r w:rsidR="00183E65" w:rsidRPr="00AF11BC">
        <w:t>for any derogating measures involving security detention</w:t>
      </w:r>
      <w:r w:rsidR="002504FF">
        <w:t xml:space="preserve">. </w:t>
      </w:r>
      <w:r w:rsidR="0048736F" w:rsidRPr="00AF11BC">
        <w:t xml:space="preserve"> </w:t>
      </w:r>
      <w:r w:rsidR="002504FF">
        <w:t>N</w:t>
      </w:r>
      <w:r w:rsidR="0048736F" w:rsidRPr="00AF11BC">
        <w:t xml:space="preserve">or </w:t>
      </w:r>
      <w:r w:rsidR="002504FF">
        <w:t xml:space="preserve">can it accept the view </w:t>
      </w:r>
      <w:r w:rsidR="0048736F" w:rsidRPr="00AF11BC">
        <w:t xml:space="preserve">that </w:t>
      </w:r>
      <w:r w:rsidR="00D63D28" w:rsidRPr="00AF11BC">
        <w:t xml:space="preserve">any </w:t>
      </w:r>
      <w:r w:rsidR="0048736F" w:rsidRPr="00AF11BC">
        <w:t>such measure</w:t>
      </w:r>
      <w:r w:rsidR="00183E65" w:rsidRPr="00AF11BC">
        <w:t>s</w:t>
      </w:r>
      <w:r w:rsidR="0048736F" w:rsidRPr="00AF11BC">
        <w:t xml:space="preserve"> must be accompanied by procedures </w:t>
      </w:r>
      <w:r w:rsidR="00D63D28" w:rsidRPr="00AF11BC">
        <w:t xml:space="preserve">that the Committee considers necessary </w:t>
      </w:r>
      <w:r w:rsidR="0048736F" w:rsidRPr="00AF11BC">
        <w:t>to prevent arbitrary</w:t>
      </w:r>
      <w:r w:rsidR="00D63D28" w:rsidRPr="00AF11BC">
        <w:t xml:space="preserve"> </w:t>
      </w:r>
      <w:r w:rsidR="0048736F" w:rsidRPr="00AF11BC">
        <w:t>application</w:t>
      </w:r>
      <w:r w:rsidR="009E089A" w:rsidRPr="00AF11BC">
        <w:t xml:space="preserve"> of measures involving security detentions</w:t>
      </w:r>
      <w:r w:rsidR="0048736F" w:rsidRPr="00AF11BC">
        <w:t xml:space="preserve">, </w:t>
      </w:r>
      <w:r w:rsidR="00D63D28" w:rsidRPr="00AF11BC">
        <w:t>such as “</w:t>
      </w:r>
      <w:r w:rsidR="00D56006" w:rsidRPr="00AF11BC">
        <w:t>review by a court or an equivalent independent and impartial tribunal</w:t>
      </w:r>
      <w:r w:rsidR="00AF75F0" w:rsidRPr="00AF11BC">
        <w:t>.</w:t>
      </w:r>
      <w:r w:rsidR="00D56006" w:rsidRPr="00AF11BC">
        <w:t xml:space="preserve">” </w:t>
      </w:r>
      <w:r w:rsidR="003A0B70" w:rsidRPr="00AF11BC">
        <w:t xml:space="preserve"> </w:t>
      </w:r>
      <w:r w:rsidR="00951431" w:rsidRPr="00AF11BC">
        <w:t xml:space="preserve">First, the United States does not recognize that “strict necessity or proportionality” </w:t>
      </w:r>
      <w:r w:rsidR="00F85341" w:rsidRPr="00AF11BC">
        <w:t>is</w:t>
      </w:r>
      <w:r w:rsidR="00951431" w:rsidRPr="00AF11BC">
        <w:t xml:space="preserve"> the correct standard </w:t>
      </w:r>
      <w:r w:rsidR="00D63D28" w:rsidRPr="00AF11BC">
        <w:t xml:space="preserve">or that such </w:t>
      </w:r>
      <w:r w:rsidR="00D63D28" w:rsidRPr="00AF11BC">
        <w:lastRenderedPageBreak/>
        <w:t>procedures</w:t>
      </w:r>
      <w:r w:rsidR="009E089A" w:rsidRPr="00AF11BC">
        <w:t xml:space="preserve"> </w:t>
      </w:r>
      <w:r w:rsidR="00D63D28" w:rsidRPr="00AF11BC">
        <w:t xml:space="preserve">are </w:t>
      </w:r>
      <w:r w:rsidR="00356A04" w:rsidRPr="00AF11BC">
        <w:t xml:space="preserve">necessarily </w:t>
      </w:r>
      <w:r w:rsidR="00D63D28" w:rsidRPr="00AF11BC">
        <w:t xml:space="preserve">required </w:t>
      </w:r>
      <w:r w:rsidR="00183E65" w:rsidRPr="00AF11BC">
        <w:t>to prevent arbitrary detention under Article 9</w:t>
      </w:r>
      <w:r w:rsidR="00B7226F" w:rsidRPr="00AF11BC">
        <w:t>,</w:t>
      </w:r>
      <w:r w:rsidR="00951431" w:rsidRPr="00AF11BC">
        <w:t xml:space="preserve"> even in the absence of derogation (see para</w:t>
      </w:r>
      <w:r w:rsidR="00A5687A">
        <w:t>graph</w:t>
      </w:r>
      <w:r w:rsidR="00951431" w:rsidRPr="00AF11BC">
        <w:t xml:space="preserve"> </w:t>
      </w:r>
      <w:r w:rsidR="00557919" w:rsidRPr="00A5687A">
        <w:t>31</w:t>
      </w:r>
      <w:r w:rsidR="00547E21" w:rsidRPr="00AF11BC">
        <w:t xml:space="preserve"> </w:t>
      </w:r>
      <w:r w:rsidR="00951431" w:rsidRPr="00AF11BC">
        <w:t>below)</w:t>
      </w:r>
      <w:r w:rsidR="00356A04" w:rsidRPr="00AF11BC">
        <w:t xml:space="preserve">. </w:t>
      </w:r>
      <w:r w:rsidR="00951431" w:rsidRPr="00AF11BC">
        <w:t xml:space="preserve"> </w:t>
      </w:r>
      <w:r w:rsidR="00AC481A" w:rsidRPr="00AF11BC">
        <w:t xml:space="preserve">Additionally, </w:t>
      </w:r>
      <w:r w:rsidR="00951431" w:rsidRPr="00AF11BC">
        <w:t xml:space="preserve">if the Covenant negotiators had intended </w:t>
      </w:r>
      <w:r w:rsidR="00AC481A" w:rsidRPr="00AF11BC">
        <w:t xml:space="preserve">for </w:t>
      </w:r>
      <w:r w:rsidR="001139D1" w:rsidRPr="00AF11BC">
        <w:t xml:space="preserve">such </w:t>
      </w:r>
      <w:r w:rsidR="00AC481A" w:rsidRPr="00AF11BC">
        <w:t>requirements to apply</w:t>
      </w:r>
      <w:r w:rsidR="001139D1" w:rsidRPr="00AF11BC">
        <w:t xml:space="preserve">, </w:t>
      </w:r>
      <w:r w:rsidR="00B7226F" w:rsidRPr="00AF11BC">
        <w:t xml:space="preserve">they </w:t>
      </w:r>
      <w:r w:rsidR="00951431" w:rsidRPr="00AF11BC">
        <w:t xml:space="preserve">would have </w:t>
      </w:r>
      <w:r w:rsidR="00B7226F" w:rsidRPr="00AF11BC">
        <w:t xml:space="preserve">added specific language </w:t>
      </w:r>
      <w:r w:rsidR="00E711CB">
        <w:t xml:space="preserve">so </w:t>
      </w:r>
      <w:r w:rsidR="00AC481A" w:rsidRPr="00AF11BC">
        <w:t xml:space="preserve">providing </w:t>
      </w:r>
      <w:r w:rsidR="00951431" w:rsidRPr="00AF11BC">
        <w:t>in the text of either Article 4(1) or (2).</w:t>
      </w:r>
    </w:p>
    <w:p w:rsidR="00440445" w:rsidRDefault="00440445" w:rsidP="00440445">
      <w:pPr>
        <w:pStyle w:val="ListParagraph"/>
        <w:snapToGrid w:val="0"/>
        <w:ind w:left="360"/>
      </w:pPr>
    </w:p>
    <w:p w:rsidR="00B85DE8" w:rsidRDefault="001E5F34" w:rsidP="00B85DE8">
      <w:pPr>
        <w:pStyle w:val="ListParagraph"/>
        <w:numPr>
          <w:ilvl w:val="0"/>
          <w:numId w:val="1"/>
        </w:numPr>
        <w:snapToGrid w:val="0"/>
      </w:pPr>
      <w:r>
        <w:t xml:space="preserve">Furthermore, the assertion in paragraph 66 </w:t>
      </w:r>
      <w:r w:rsidR="001D4EBD">
        <w:t>(</w:t>
      </w:r>
      <w:r w:rsidR="00563338">
        <w:t xml:space="preserve">citing </w:t>
      </w:r>
      <w:r w:rsidR="001D4EBD">
        <w:t xml:space="preserve">paragraph </w:t>
      </w:r>
      <w:r w:rsidR="00826CC3">
        <w:t xml:space="preserve">6 </w:t>
      </w:r>
      <w:r w:rsidR="001D4EBD">
        <w:t xml:space="preserve">of General Comment </w:t>
      </w:r>
      <w:r w:rsidR="00826CC3">
        <w:t>32</w:t>
      </w:r>
      <w:r w:rsidR="001D4EBD">
        <w:t xml:space="preserve">) </w:t>
      </w:r>
      <w:r>
        <w:t xml:space="preserve">that </w:t>
      </w:r>
      <w:r w:rsidR="001D4EBD">
        <w:t>“</w:t>
      </w:r>
      <w:r>
        <w:t>[t</w:t>
      </w:r>
      <w:r w:rsidR="009C7745">
        <w:t>]</w:t>
      </w:r>
      <w:r>
        <w:t xml:space="preserve">he procedural guarantees protecting liberty of person may never be made subject to measures of derogation that would circumvent the protection of non-derogable rights” </w:t>
      </w:r>
      <w:r w:rsidR="00F85341">
        <w:t xml:space="preserve">is not </w:t>
      </w:r>
      <w:r w:rsidR="009C7745">
        <w:t xml:space="preserve">supported by the </w:t>
      </w:r>
      <w:r w:rsidR="008A0C57">
        <w:t xml:space="preserve">ordinary meaning of the </w:t>
      </w:r>
      <w:r w:rsidR="009C7745">
        <w:t xml:space="preserve">text of Article 4.  </w:t>
      </w:r>
      <w:r w:rsidR="00CF567C">
        <w:t>T</w:t>
      </w:r>
      <w:r w:rsidR="009C7745">
        <w:t xml:space="preserve">he United States agrees that a derogating State Party would need to </w:t>
      </w:r>
      <w:r w:rsidR="001D4EBD">
        <w:t>ensure compliance with all other international</w:t>
      </w:r>
      <w:r w:rsidR="009C7745">
        <w:t xml:space="preserve"> </w:t>
      </w:r>
      <w:r w:rsidR="001D4EBD">
        <w:t>obligations</w:t>
      </w:r>
      <w:r w:rsidR="00821D86">
        <w:t xml:space="preserve">, including the provisions of the Covenant not subject to derogation </w:t>
      </w:r>
      <w:r w:rsidR="001D4EBD">
        <w:t>and</w:t>
      </w:r>
      <w:r w:rsidR="00CF567C">
        <w:t>,</w:t>
      </w:r>
      <w:r w:rsidR="001D4EBD">
        <w:t xml:space="preserve"> in </w:t>
      </w:r>
      <w:r w:rsidR="00563338">
        <w:t xml:space="preserve">so </w:t>
      </w:r>
      <w:r w:rsidR="001D4EBD">
        <w:t>doing</w:t>
      </w:r>
      <w:r w:rsidR="00CF567C">
        <w:t>,</w:t>
      </w:r>
      <w:r w:rsidR="00440445">
        <w:t xml:space="preserve"> </w:t>
      </w:r>
      <w:r w:rsidR="009C7745">
        <w:t xml:space="preserve">carefully </w:t>
      </w:r>
      <w:r w:rsidR="001D4EBD">
        <w:t xml:space="preserve">weigh </w:t>
      </w:r>
      <w:r w:rsidR="009C7745">
        <w:t xml:space="preserve">the impact of any derogating measure on its ability to </w:t>
      </w:r>
      <w:r w:rsidR="00CF567C">
        <w:t>do so</w:t>
      </w:r>
      <w:r w:rsidR="00484938">
        <w:t>.</w:t>
      </w:r>
      <w:r w:rsidR="00CF567C">
        <w:t xml:space="preserve">  But</w:t>
      </w:r>
      <w:r w:rsidR="009C7745">
        <w:t xml:space="preserve"> Article 4(2) </w:t>
      </w:r>
      <w:r w:rsidR="001D4EBD">
        <w:t>clearly defines</w:t>
      </w:r>
      <w:r w:rsidR="009C7745">
        <w:t xml:space="preserve"> w</w:t>
      </w:r>
      <w:r w:rsidR="00484938">
        <w:t>hich articles are non-derogable.  All other articles are thus derogable</w:t>
      </w:r>
      <w:r w:rsidR="00E715C7">
        <w:t>,</w:t>
      </w:r>
      <w:r w:rsidR="00484938">
        <w:t xml:space="preserve"> to the extent </w:t>
      </w:r>
      <w:r w:rsidR="00E715C7">
        <w:t>authorized</w:t>
      </w:r>
      <w:r w:rsidR="00484938">
        <w:t xml:space="preserve"> by Article 4</w:t>
      </w:r>
      <w:r w:rsidR="00E715C7">
        <w:t>.</w:t>
      </w:r>
      <w:r w:rsidR="00364A4B">
        <w:t xml:space="preserve">  </w:t>
      </w:r>
      <w:r w:rsidR="00A378D2">
        <w:t>The Committe</w:t>
      </w:r>
      <w:r w:rsidR="004B68E3">
        <w:t>e</w:t>
      </w:r>
      <w:r w:rsidR="00A378D2">
        <w:t xml:space="preserve"> has not identified a general “non-circumvention obligation” either in the Covenant or elsewhere, nor does it indicate what would constitute circumvention.</w:t>
      </w:r>
      <w:r w:rsidR="00484938">
        <w:t xml:space="preserve"> </w:t>
      </w:r>
      <w:r w:rsidR="00356A04">
        <w:t xml:space="preserve"> </w:t>
      </w:r>
      <w:r w:rsidR="00E715C7">
        <w:t>I</w:t>
      </w:r>
      <w:r w:rsidR="00484938">
        <w:t>t</w:t>
      </w:r>
      <w:r w:rsidR="009C7745">
        <w:t xml:space="preserve"> is </w:t>
      </w:r>
      <w:r w:rsidR="00E715C7">
        <w:t xml:space="preserve">therefore </w:t>
      </w:r>
      <w:r w:rsidR="009C7745">
        <w:t xml:space="preserve">within the discretion of </w:t>
      </w:r>
      <w:r w:rsidR="001D4EBD">
        <w:t>a</w:t>
      </w:r>
      <w:r w:rsidR="009C7745">
        <w:t xml:space="preserve"> derogating State Party to determine</w:t>
      </w:r>
      <w:r w:rsidR="00484938">
        <w:t xml:space="preserve"> how best to meet any related obligations without reliance on derogated measures.</w:t>
      </w:r>
    </w:p>
    <w:p w:rsidR="00484938" w:rsidRDefault="00484938" w:rsidP="00484938">
      <w:pPr>
        <w:pStyle w:val="ListParagraph"/>
        <w:snapToGrid w:val="0"/>
        <w:ind w:left="360"/>
      </w:pPr>
    </w:p>
    <w:p w:rsidR="00364A4B" w:rsidRDefault="00CF567C" w:rsidP="00364A4B">
      <w:pPr>
        <w:numPr>
          <w:ilvl w:val="0"/>
          <w:numId w:val="1"/>
        </w:numPr>
        <w:snapToGrid w:val="0"/>
      </w:pPr>
      <w:r>
        <w:t>A</w:t>
      </w:r>
      <w:r w:rsidR="0091732A" w:rsidRPr="00847A7B">
        <w:t xml:space="preserve">s a practical matter, the United States has never </w:t>
      </w:r>
      <w:r w:rsidR="00222B31" w:rsidRPr="00847A7B">
        <w:t>declared a pub</w:t>
      </w:r>
      <w:r w:rsidR="00271B84">
        <w:t>l</w:t>
      </w:r>
      <w:r w:rsidR="00222B31" w:rsidRPr="00847A7B">
        <w:t xml:space="preserve">ic emergency within the meaning of Article 4 or availed itself of the right of derogation under its terms.  It is </w:t>
      </w:r>
      <w:r w:rsidR="007C3923" w:rsidRPr="00847A7B">
        <w:t xml:space="preserve">in fact </w:t>
      </w:r>
      <w:r>
        <w:t>highly unlikely</w:t>
      </w:r>
      <w:r w:rsidR="00222B31" w:rsidRPr="00847A7B">
        <w:t xml:space="preserve"> that the United States would ever do so.  There is no authority under the U.S. Constitution to suspend any of the Constitutional rights that parallel Covenant right</w:t>
      </w:r>
      <w:r w:rsidR="007C3923" w:rsidRPr="00847A7B">
        <w:t>s</w:t>
      </w:r>
      <w:r w:rsidR="00222B31" w:rsidRPr="00847A7B">
        <w:t xml:space="preserve">, with the sole exception of the authority under Article </w:t>
      </w:r>
      <w:r w:rsidR="007C3923" w:rsidRPr="00847A7B">
        <w:t>I, Section 9</w:t>
      </w:r>
      <w:r w:rsidR="00397B78">
        <w:t>,</w:t>
      </w:r>
      <w:r w:rsidR="007C3923" w:rsidRPr="00847A7B">
        <w:t xml:space="preserve"> to suspend</w:t>
      </w:r>
      <w:r w:rsidR="00087496" w:rsidRPr="00847A7B">
        <w:t xml:space="preserve"> </w:t>
      </w:r>
      <w:r w:rsidR="007C3923" w:rsidRPr="00847A7B">
        <w:t>the Writ o</w:t>
      </w:r>
      <w:r w:rsidR="008A4D68">
        <w:t>f</w:t>
      </w:r>
      <w:r w:rsidR="007C3923" w:rsidRPr="00847A7B">
        <w:t xml:space="preserve"> </w:t>
      </w:r>
      <w:r w:rsidR="007C3923" w:rsidRPr="00984A7D">
        <w:rPr>
          <w:i/>
        </w:rPr>
        <w:t>Habeas Corpus</w:t>
      </w:r>
      <w:r w:rsidR="007C3923" w:rsidRPr="00847A7B">
        <w:t xml:space="preserve"> “when in Cases of Rebellion or Invasion the public Safety may require it.”  The United States shares the </w:t>
      </w:r>
      <w:r w:rsidR="00087496" w:rsidRPr="00847A7B">
        <w:t>C</w:t>
      </w:r>
      <w:r w:rsidR="007C3923" w:rsidRPr="00847A7B">
        <w:t>ommittee’s</w:t>
      </w:r>
      <w:r w:rsidR="00087496" w:rsidRPr="00847A7B">
        <w:t xml:space="preserve"> laudable</w:t>
      </w:r>
      <w:r w:rsidR="007C3923" w:rsidRPr="00847A7B">
        <w:t xml:space="preserve"> </w:t>
      </w:r>
      <w:r w:rsidR="00087496" w:rsidRPr="00847A7B">
        <w:t xml:space="preserve">objective of discouraging derogation of Covenant rights and freedoms to the extent possible.  But it </w:t>
      </w:r>
      <w:r w:rsidR="00A378D2">
        <w:t xml:space="preserve">believes the text of Article 4 is sufficient for this purpose and </w:t>
      </w:r>
      <w:r w:rsidR="007C3923" w:rsidRPr="00847A7B">
        <w:t>that</w:t>
      </w:r>
      <w:r w:rsidR="007F6C70">
        <w:t xml:space="preserve"> in defining State</w:t>
      </w:r>
      <w:r w:rsidR="000770FE">
        <w:t>s</w:t>
      </w:r>
      <w:r w:rsidR="007F6C70">
        <w:t xml:space="preserve"> Parties’ obligations under the </w:t>
      </w:r>
      <w:r w:rsidR="00356A04">
        <w:t>Covenant</w:t>
      </w:r>
      <w:r w:rsidR="00A378D2">
        <w:t>,</w:t>
      </w:r>
      <w:r w:rsidR="007C3923" w:rsidRPr="00847A7B">
        <w:t xml:space="preserve"> the draft General Comment </w:t>
      </w:r>
      <w:r w:rsidR="00A63A04">
        <w:t xml:space="preserve">needs to </w:t>
      </w:r>
      <w:r w:rsidR="007C3923" w:rsidRPr="00847A7B">
        <w:t xml:space="preserve">remain true to </w:t>
      </w:r>
      <w:r w:rsidR="00A378D2" w:rsidRPr="00847A7B">
        <w:t>th</w:t>
      </w:r>
      <w:r w:rsidR="00A378D2">
        <w:t>at</w:t>
      </w:r>
      <w:r w:rsidR="00A378D2" w:rsidRPr="00847A7B">
        <w:t xml:space="preserve"> </w:t>
      </w:r>
      <w:r w:rsidR="007C3923" w:rsidRPr="00847A7B">
        <w:t>text.</w:t>
      </w:r>
    </w:p>
    <w:p w:rsidR="00773B9B" w:rsidRDefault="00364A4B" w:rsidP="00364A4B">
      <w:pPr>
        <w:snapToGrid w:val="0"/>
      </w:pPr>
      <w:r>
        <w:t xml:space="preserve"> </w:t>
      </w:r>
    </w:p>
    <w:p w:rsidR="00773B9B" w:rsidRPr="00847A7B" w:rsidRDefault="00773B9B" w:rsidP="00773B9B">
      <w:pPr>
        <w:rPr>
          <w:b/>
          <w:u w:val="single"/>
        </w:rPr>
      </w:pPr>
      <w:r w:rsidRPr="00847A7B">
        <w:rPr>
          <w:b/>
          <w:u w:val="single"/>
        </w:rPr>
        <w:t>V</w:t>
      </w:r>
      <w:r w:rsidR="00A72135">
        <w:rPr>
          <w:b/>
          <w:u w:val="single"/>
        </w:rPr>
        <w:t>I</w:t>
      </w:r>
      <w:r w:rsidRPr="00847A7B">
        <w:rPr>
          <w:b/>
          <w:u w:val="single"/>
        </w:rPr>
        <w:t xml:space="preserve">. Additional </w:t>
      </w:r>
      <w:r w:rsidR="0055323D">
        <w:rPr>
          <w:b/>
          <w:u w:val="single"/>
        </w:rPr>
        <w:t xml:space="preserve">Observations </w:t>
      </w:r>
    </w:p>
    <w:p w:rsidR="00773B9B" w:rsidRPr="00847A7B" w:rsidRDefault="00773B9B" w:rsidP="00773B9B">
      <w:pPr>
        <w:ind w:left="360"/>
      </w:pPr>
    </w:p>
    <w:p w:rsidR="00773B9B" w:rsidRDefault="00773B9B" w:rsidP="00164A17">
      <w:pPr>
        <w:numPr>
          <w:ilvl w:val="0"/>
          <w:numId w:val="1"/>
        </w:numPr>
        <w:snapToGrid w:val="0"/>
      </w:pPr>
      <w:r w:rsidRPr="00847A7B">
        <w:t xml:space="preserve">The draft General Comment highlights in paragraph 5 </w:t>
      </w:r>
      <w:r w:rsidR="00A378D2" w:rsidRPr="00847A7B">
        <w:t xml:space="preserve">examples </w:t>
      </w:r>
      <w:r w:rsidRPr="00847A7B">
        <w:t>of what the Committee considers to be deprivation of liberty.  The United States</w:t>
      </w:r>
      <w:r w:rsidR="00FB5004" w:rsidRPr="00FB5004">
        <w:t xml:space="preserve"> </w:t>
      </w:r>
      <w:r w:rsidR="00FB5004" w:rsidRPr="00847A7B">
        <w:t>generally agrees with these examples</w:t>
      </w:r>
      <w:r w:rsidRPr="00847A7B">
        <w:t>,</w:t>
      </w:r>
      <w:r w:rsidR="007366C8">
        <w:t xml:space="preserve"> whenever such deprivation of liberty involves </w:t>
      </w:r>
      <w:r w:rsidRPr="00847A7B">
        <w:t xml:space="preserve">governmental or judicial </w:t>
      </w:r>
      <w:r w:rsidR="007366C8">
        <w:t>action</w:t>
      </w:r>
      <w:r w:rsidR="005D70BC">
        <w:t>,</w:t>
      </w:r>
      <w:r w:rsidRPr="00847A7B">
        <w:t xml:space="preserve"> as distinguished from private actions by non-state actors</w:t>
      </w:r>
      <w:r w:rsidR="003A20DB">
        <w:t xml:space="preserve"> </w:t>
      </w:r>
      <w:r w:rsidRPr="00847A7B">
        <w:t>(</w:t>
      </w:r>
      <w:r w:rsidR="005D70BC">
        <w:t>as</w:t>
      </w:r>
      <w:r w:rsidRPr="00847A7B">
        <w:t xml:space="preserve"> explained in Part II</w:t>
      </w:r>
      <w:r w:rsidR="000B3A4F">
        <w:t>I</w:t>
      </w:r>
      <w:r w:rsidRPr="00847A7B">
        <w:t xml:space="preserve"> above</w:t>
      </w:r>
      <w:r w:rsidR="005D70BC">
        <w:t>),</w:t>
      </w:r>
      <w:r w:rsidR="003A20DB" w:rsidRPr="003A20DB">
        <w:t xml:space="preserve"> </w:t>
      </w:r>
      <w:r w:rsidR="003A20DB">
        <w:t>and is undertaken within the Covenant’s scope of application</w:t>
      </w:r>
      <w:r w:rsidRPr="00847A7B">
        <w:t>.</w:t>
      </w:r>
      <w:r w:rsidR="003251AC">
        <w:t xml:space="preserve"> </w:t>
      </w:r>
      <w:r w:rsidR="00265875">
        <w:t xml:space="preserve"> </w:t>
      </w:r>
      <w:r w:rsidR="00B63842">
        <w:t xml:space="preserve">The United States </w:t>
      </w:r>
      <w:r w:rsidR="002512A6">
        <w:t>notes</w:t>
      </w:r>
      <w:r w:rsidR="00B63842">
        <w:t xml:space="preserve">, however, </w:t>
      </w:r>
      <w:r w:rsidR="001065E6">
        <w:t xml:space="preserve">that there are  </w:t>
      </w:r>
      <w:r w:rsidR="005707E2">
        <w:t xml:space="preserve">inevitable </w:t>
      </w:r>
      <w:r w:rsidR="001065E6">
        <w:t>differences</w:t>
      </w:r>
      <w:r w:rsidR="002512A6">
        <w:t xml:space="preserve"> in domestic legal frameworks</w:t>
      </w:r>
      <w:r w:rsidR="001065E6">
        <w:t xml:space="preserve"> and</w:t>
      </w:r>
      <w:r w:rsidR="002512A6">
        <w:t xml:space="preserve"> </w:t>
      </w:r>
      <w:r w:rsidR="00B63842">
        <w:t>State</w:t>
      </w:r>
      <w:r w:rsidR="000770FE">
        <w:t>s</w:t>
      </w:r>
      <w:r w:rsidR="00B63842">
        <w:t xml:space="preserve"> Parties</w:t>
      </w:r>
      <w:r w:rsidR="002512A6">
        <w:t xml:space="preserve"> </w:t>
      </w:r>
      <w:r w:rsidR="00B63842">
        <w:t>may regulate</w:t>
      </w:r>
      <w:r w:rsidR="002512A6">
        <w:t xml:space="preserve"> measures </w:t>
      </w:r>
      <w:r w:rsidR="00B63842">
        <w:t xml:space="preserve">such as </w:t>
      </w:r>
      <w:r w:rsidR="00B63842" w:rsidRPr="00847A7B">
        <w:t>solitary confinement and the use of restraint devices</w:t>
      </w:r>
      <w:r w:rsidR="002512A6">
        <w:t xml:space="preserve"> differently</w:t>
      </w:r>
      <w:r w:rsidR="00B63842">
        <w:t xml:space="preserve">, </w:t>
      </w:r>
      <w:r w:rsidR="005707E2">
        <w:t xml:space="preserve">e.g., </w:t>
      </w:r>
      <w:r w:rsidR="002512A6">
        <w:t xml:space="preserve">as conditions of detention distinct from the decision to detain, </w:t>
      </w:r>
      <w:r w:rsidR="00B63842" w:rsidRPr="00516446">
        <w:t>or the use of monitor</w:t>
      </w:r>
      <w:r w:rsidR="00B63842">
        <w:t>ing</w:t>
      </w:r>
      <w:r w:rsidR="00B63842" w:rsidRPr="00516446">
        <w:t xml:space="preserve"> devi</w:t>
      </w:r>
      <w:r w:rsidR="00B63842">
        <w:t>c</w:t>
      </w:r>
      <w:r w:rsidR="00B63842" w:rsidRPr="00516446">
        <w:t>es as alternatives to custody</w:t>
      </w:r>
      <w:r w:rsidR="005707E2">
        <w:t>, as contemplated, for example</w:t>
      </w:r>
      <w:r w:rsidR="00864129">
        <w:t>,</w:t>
      </w:r>
      <w:r w:rsidR="005707E2">
        <w:t xml:space="preserve"> under Arti</w:t>
      </w:r>
      <w:r w:rsidR="007F6C70">
        <w:t>c</w:t>
      </w:r>
      <w:r w:rsidR="005707E2">
        <w:t>le 9(3)</w:t>
      </w:r>
      <w:r w:rsidR="00B63842">
        <w:t>.</w:t>
      </w:r>
      <w:r w:rsidR="00B63842">
        <w:rPr>
          <w:rStyle w:val="FootnoteReference"/>
        </w:rPr>
        <w:footnoteReference w:id="12"/>
      </w:r>
      <w:r w:rsidR="00B63842" w:rsidRPr="00847A7B">
        <w:t xml:space="preserve">  </w:t>
      </w:r>
      <w:r w:rsidR="001065E6">
        <w:t xml:space="preserve">The </w:t>
      </w:r>
      <w:r w:rsidR="001065E6">
        <w:lastRenderedPageBreak/>
        <w:t>United States, therefore, recommends that the General Comment be less categorical in characterizing such restrictions on the same footing as deprivation of liberty.</w:t>
      </w:r>
      <w:r w:rsidR="00AF11BC">
        <w:rPr>
          <w:rStyle w:val="FootnoteReference"/>
        </w:rPr>
        <w:footnoteReference w:id="13"/>
      </w:r>
      <w:r w:rsidR="00FA3CDD">
        <w:t xml:space="preserve"> </w:t>
      </w:r>
      <w:r w:rsidR="001065E6">
        <w:t xml:space="preserve"> </w:t>
      </w:r>
    </w:p>
    <w:p w:rsidR="009B63E7" w:rsidRDefault="009B63E7" w:rsidP="009B63E7">
      <w:pPr>
        <w:snapToGrid w:val="0"/>
        <w:ind w:left="360"/>
      </w:pPr>
    </w:p>
    <w:p w:rsidR="009B63E7" w:rsidRPr="009B63E7" w:rsidRDefault="009B63E7" w:rsidP="00164A17">
      <w:pPr>
        <w:numPr>
          <w:ilvl w:val="0"/>
          <w:numId w:val="1"/>
        </w:numPr>
        <w:snapToGrid w:val="0"/>
      </w:pPr>
      <w:r w:rsidRPr="009B63E7">
        <w:t>The United States notes some imprecision with respect to references to deprivation of liberty in relation to education in school.  For example, while paragraph 5 of the draft General Comment correctly describes “institutional custody of children” as a form of deprivation of liberty and paragraph 8 makes reference to “wrongful deprivation of liberty by . . . schools</w:t>
      </w:r>
      <w:r w:rsidR="00AF11BC">
        <w:t>,</w:t>
      </w:r>
      <w:r w:rsidRPr="009B63E7">
        <w:t xml:space="preserve">” paragraph 40 refers to the right of </w:t>
      </w:r>
      <w:r w:rsidRPr="000770FE">
        <w:rPr>
          <w:i/>
        </w:rPr>
        <w:t>habeas corpus</w:t>
      </w:r>
      <w:r w:rsidRPr="009B63E7">
        <w:t xml:space="preserve"> applying to “detention of children for educational purposes.”  It would be helpful if the General Comment were to clarify, as it has, for example, with respect to military service at the end of paragraph 5, that </w:t>
      </w:r>
      <w:r w:rsidR="00D5402C">
        <w:rPr>
          <w:lang w:val="en-CA"/>
        </w:rPr>
        <w:t xml:space="preserve">in the </w:t>
      </w:r>
      <w:r w:rsidR="00251083">
        <w:rPr>
          <w:lang w:val="en-CA"/>
        </w:rPr>
        <w:t>context of compulsory education</w:t>
      </w:r>
      <w:r w:rsidR="00D5402C">
        <w:rPr>
          <w:lang w:val="en-CA"/>
        </w:rPr>
        <w:t xml:space="preserve"> restrictions on a student may not amount to deprivations of liberty if they do not exceed the </w:t>
      </w:r>
      <w:r w:rsidR="00AF11BC">
        <w:rPr>
          <w:lang w:val="en-CA"/>
        </w:rPr>
        <w:t xml:space="preserve">requirements </w:t>
      </w:r>
      <w:r w:rsidR="00D5402C">
        <w:rPr>
          <w:lang w:val="en-CA"/>
        </w:rPr>
        <w:t xml:space="preserve">of normal compulsory education or deviate from the normal experiences of children within the schools of the State </w:t>
      </w:r>
      <w:r w:rsidR="00A5687A">
        <w:rPr>
          <w:lang w:val="en-CA"/>
        </w:rPr>
        <w:t xml:space="preserve">Party </w:t>
      </w:r>
      <w:r w:rsidR="00D5402C">
        <w:rPr>
          <w:lang w:val="en-CA"/>
        </w:rPr>
        <w:t>concerned.</w:t>
      </w:r>
      <w:r w:rsidR="0051764A">
        <w:t xml:space="preserve">  </w:t>
      </w:r>
    </w:p>
    <w:p w:rsidR="009B63E7" w:rsidRPr="009B63E7" w:rsidRDefault="009B63E7" w:rsidP="00773B9B">
      <w:pPr>
        <w:tabs>
          <w:tab w:val="left" w:pos="360"/>
        </w:tabs>
        <w:snapToGrid w:val="0"/>
        <w:ind w:left="360"/>
      </w:pPr>
    </w:p>
    <w:p w:rsidR="00D73300" w:rsidRDefault="00773B9B" w:rsidP="00D73300">
      <w:pPr>
        <w:numPr>
          <w:ilvl w:val="0"/>
          <w:numId w:val="1"/>
        </w:numPr>
        <w:snapToGrid w:val="0"/>
      </w:pPr>
      <w:r w:rsidRPr="009B63E7">
        <w:t>As</w:t>
      </w:r>
      <w:r w:rsidRPr="00847A7B">
        <w:t xml:space="preserve"> to the Committee’s views in </w:t>
      </w:r>
      <w:r w:rsidR="008A471F" w:rsidRPr="00847A7B">
        <w:t>paragraph</w:t>
      </w:r>
      <w:r w:rsidR="00157118">
        <w:t>s</w:t>
      </w:r>
      <w:r w:rsidR="008A471F" w:rsidRPr="00847A7B">
        <w:t xml:space="preserve"> 12</w:t>
      </w:r>
      <w:r w:rsidR="00157118">
        <w:t xml:space="preserve"> </w:t>
      </w:r>
      <w:r w:rsidRPr="00847A7B">
        <w:t>on the meaning of “arbitrary” under Article 9(1)</w:t>
      </w:r>
      <w:r w:rsidR="00400143">
        <w:t xml:space="preserve"> (and</w:t>
      </w:r>
      <w:r w:rsidR="008F0E31">
        <w:t xml:space="preserve"> elements drawn from </w:t>
      </w:r>
      <w:r w:rsidR="003D1D34">
        <w:t>those views</w:t>
      </w:r>
      <w:r w:rsidR="00B47B2E">
        <w:t xml:space="preserve"> </w:t>
      </w:r>
      <w:r w:rsidR="00400143">
        <w:t>in paragraphs 15, 18, 19</w:t>
      </w:r>
      <w:r w:rsidR="008F0E31">
        <w:t>, 21</w:t>
      </w:r>
      <w:r w:rsidR="00870760">
        <w:t>,</w:t>
      </w:r>
      <w:r w:rsidR="00A5687A">
        <w:t xml:space="preserve"> 65 and 66</w:t>
      </w:r>
      <w:r w:rsidR="008F0E31">
        <w:t>, in particular)</w:t>
      </w:r>
      <w:r w:rsidRPr="00847A7B">
        <w:t xml:space="preserve">, the United States </w:t>
      </w:r>
      <w:r w:rsidR="002B3F5E" w:rsidRPr="00847A7B">
        <w:t>agrees that there may be circumstances in which a lawful detention could be arbitrary, particularly</w:t>
      </w:r>
      <w:r w:rsidR="0099361F">
        <w:t xml:space="preserve"> where the law itself is unjust</w:t>
      </w:r>
      <w:r w:rsidR="002B3F5E" w:rsidRPr="00847A7B">
        <w:t>.  It also</w:t>
      </w:r>
      <w:r w:rsidRPr="00847A7B">
        <w:t xml:space="preserve"> shares the </w:t>
      </w:r>
      <w:r w:rsidR="004C7437">
        <w:t xml:space="preserve">Committee’s </w:t>
      </w:r>
      <w:r w:rsidRPr="00847A7B">
        <w:t xml:space="preserve">objective that any detention decision be reasonable and appropriate, while also recognizing that such decisions are </w:t>
      </w:r>
      <w:r w:rsidR="00762ED5">
        <w:t xml:space="preserve">normally </w:t>
      </w:r>
      <w:r w:rsidRPr="00847A7B">
        <w:t xml:space="preserve">discretionary, whether entrusted to a judicial </w:t>
      </w:r>
      <w:r w:rsidR="002B3F5E">
        <w:t xml:space="preserve">authority </w:t>
      </w:r>
      <w:r w:rsidRPr="00847A7B">
        <w:t xml:space="preserve">or </w:t>
      </w:r>
      <w:r w:rsidR="002B3F5E">
        <w:t xml:space="preserve">to an </w:t>
      </w:r>
      <w:r w:rsidRPr="00847A7B">
        <w:t>administrative authority</w:t>
      </w:r>
      <w:r w:rsidR="006C272B">
        <w:t xml:space="preserve"> within the domestic legal framework of a State Party</w:t>
      </w:r>
      <w:r w:rsidRPr="00847A7B">
        <w:t xml:space="preserve">.  </w:t>
      </w:r>
      <w:r w:rsidR="008F0E31">
        <w:t>The United States</w:t>
      </w:r>
      <w:r w:rsidR="008F0E31" w:rsidRPr="00D258C3">
        <w:t xml:space="preserve"> </w:t>
      </w:r>
      <w:r w:rsidR="00D258C3" w:rsidRPr="00D258C3">
        <w:t>disagree</w:t>
      </w:r>
      <w:r w:rsidR="008F0E31">
        <w:t>s</w:t>
      </w:r>
      <w:r w:rsidR="0059574F">
        <w:t>, however,</w:t>
      </w:r>
      <w:r w:rsidR="00D258C3" w:rsidRPr="00D258C3">
        <w:t xml:space="preserve"> that “arbitrary” somehow </w:t>
      </w:r>
      <w:r w:rsidR="002B3F5E">
        <w:t>encompasses the concepts of</w:t>
      </w:r>
      <w:r w:rsidR="00D258C3" w:rsidRPr="00D258C3">
        <w:t xml:space="preserve"> </w:t>
      </w:r>
      <w:r w:rsidR="002B3F5E">
        <w:t>“necessity” or</w:t>
      </w:r>
      <w:r w:rsidR="002B3F5E" w:rsidRPr="00D258C3">
        <w:t xml:space="preserve"> </w:t>
      </w:r>
      <w:r w:rsidR="002B3F5E">
        <w:t>“</w:t>
      </w:r>
      <w:r w:rsidR="002B3F5E" w:rsidRPr="00D258C3">
        <w:t>proportiona</w:t>
      </w:r>
      <w:r w:rsidR="002B3F5E">
        <w:t>lity</w:t>
      </w:r>
      <w:r w:rsidR="002B3F5E" w:rsidRPr="00D258C3">
        <w:t>.</w:t>
      </w:r>
      <w:r w:rsidR="002B3F5E">
        <w:t xml:space="preserve">” </w:t>
      </w:r>
      <w:r w:rsidR="00A5687A">
        <w:t xml:space="preserve"> </w:t>
      </w:r>
      <w:r w:rsidR="00D258C3" w:rsidRPr="00F826B6">
        <w:t xml:space="preserve">Neither the text nor travaux for Article </w:t>
      </w:r>
      <w:r w:rsidR="00EC5CA0">
        <w:t xml:space="preserve">9 </w:t>
      </w:r>
      <w:r w:rsidR="00D258C3" w:rsidRPr="00F826B6">
        <w:t xml:space="preserve">of the </w:t>
      </w:r>
      <w:r w:rsidR="008D00FD">
        <w:t xml:space="preserve">Covenant </w:t>
      </w:r>
      <w:r w:rsidR="00480402">
        <w:t>indicate</w:t>
      </w:r>
      <w:r w:rsidR="00A5687A">
        <w:t>s</w:t>
      </w:r>
      <w:r w:rsidR="00FB7D0A">
        <w:t xml:space="preserve"> that detention</w:t>
      </w:r>
      <w:r w:rsidR="00D258C3" w:rsidRPr="00F826B6">
        <w:t xml:space="preserve"> has to be strictly necessary to achieve a legitimate aim or somehow proportionate to the aim </w:t>
      </w:r>
      <w:r w:rsidR="006C272B">
        <w:t xml:space="preserve">to satisfy </w:t>
      </w:r>
      <w:r w:rsidR="000F57F3">
        <w:t xml:space="preserve">this </w:t>
      </w:r>
      <w:r w:rsidR="006C272B">
        <w:t>criterion.</w:t>
      </w:r>
      <w:r w:rsidR="00D258C3" w:rsidRPr="00F826B6">
        <w:t xml:space="preserve"> </w:t>
      </w:r>
      <w:r w:rsidR="002B3F5E">
        <w:t xml:space="preserve"> The prohibition on arbitrariness </w:t>
      </w:r>
      <w:r w:rsidR="002B3F5E" w:rsidRPr="00F826B6">
        <w:t xml:space="preserve">is not the same as </w:t>
      </w:r>
      <w:r w:rsidR="002B3F5E">
        <w:t xml:space="preserve">a requirement that a measure be </w:t>
      </w:r>
      <w:r w:rsidR="002B3F5E" w:rsidRPr="00F826B6">
        <w:rPr>
          <w:i/>
        </w:rPr>
        <w:t>necessary</w:t>
      </w:r>
      <w:r w:rsidR="002B3F5E" w:rsidRPr="00F826B6">
        <w:t xml:space="preserve"> to achieve a </w:t>
      </w:r>
      <w:r w:rsidR="002B3F5E">
        <w:t>particular government</w:t>
      </w:r>
      <w:r w:rsidR="002B3F5E" w:rsidRPr="00F826B6">
        <w:t xml:space="preserve"> aim</w:t>
      </w:r>
      <w:r w:rsidR="002B3F5E">
        <w:t xml:space="preserve"> and does no</w:t>
      </w:r>
      <w:r w:rsidR="009F1FB6">
        <w:t>t impose a requirement to choose</w:t>
      </w:r>
      <w:r w:rsidR="002B3F5E">
        <w:t xml:space="preserve"> a less restrictive alternative measure whenever available to address a given threat or purpose.  </w:t>
      </w:r>
      <w:r w:rsidR="0065446B">
        <w:t>Nor is there any suggestion in</w:t>
      </w:r>
      <w:r w:rsidR="00D505E2">
        <w:t xml:space="preserve"> </w:t>
      </w:r>
      <w:r w:rsidR="0065446B">
        <w:t xml:space="preserve">the </w:t>
      </w:r>
      <w:r w:rsidR="00D505E2">
        <w:t xml:space="preserve">text or the </w:t>
      </w:r>
      <w:r w:rsidR="0065446B">
        <w:t xml:space="preserve">negotiating history that </w:t>
      </w:r>
      <w:r w:rsidR="00D505E2" w:rsidRPr="00D505E2">
        <w:t>by prohibiting arbitrar</w:t>
      </w:r>
      <w:r w:rsidR="008F0E31">
        <w:t>y detention</w:t>
      </w:r>
      <w:r w:rsidR="00D505E2" w:rsidRPr="00D505E2">
        <w:t xml:space="preserve"> the</w:t>
      </w:r>
      <w:r w:rsidR="00D505E2">
        <w:t xml:space="preserve"> </w:t>
      </w:r>
      <w:r w:rsidR="008F0E31">
        <w:t xml:space="preserve">intent was </w:t>
      </w:r>
      <w:r w:rsidR="0065446B">
        <w:t xml:space="preserve">to prescribe additional procedural requirements </w:t>
      </w:r>
      <w:r w:rsidR="008D42A3">
        <w:t>(</w:t>
      </w:r>
      <w:r w:rsidR="007071A0">
        <w:t>comparable to</w:t>
      </w:r>
      <w:r w:rsidR="008D42A3">
        <w:t xml:space="preserve"> those required for persons charged with crimes) </w:t>
      </w:r>
      <w:r w:rsidR="0065446B">
        <w:t xml:space="preserve">or judicial, administrative or independent review beyond those established by law within the domestic legal framework of the State Party. </w:t>
      </w:r>
      <w:r w:rsidR="0065446B">
        <w:rPr>
          <w:rStyle w:val="FootnoteReference"/>
        </w:rPr>
        <w:footnoteReference w:id="14"/>
      </w:r>
      <w:r w:rsidR="0065446B" w:rsidRPr="00F826B6">
        <w:t xml:space="preserve"> </w:t>
      </w:r>
      <w:r w:rsidR="00DD2F2C">
        <w:t xml:space="preserve"> </w:t>
      </w:r>
      <w:r w:rsidR="008C1985">
        <w:t xml:space="preserve">The </w:t>
      </w:r>
      <w:r w:rsidR="008C1985" w:rsidRPr="00847A7B">
        <w:t xml:space="preserve">United </w:t>
      </w:r>
      <w:r w:rsidR="008C1985" w:rsidRPr="00847A7B">
        <w:lastRenderedPageBreak/>
        <w:t xml:space="preserve">States </w:t>
      </w:r>
      <w:r w:rsidR="00480402">
        <w:t xml:space="preserve">also </w:t>
      </w:r>
      <w:r w:rsidR="008C1985">
        <w:t xml:space="preserve">does not </w:t>
      </w:r>
      <w:r w:rsidR="008C1985" w:rsidRPr="00847A7B">
        <w:t xml:space="preserve">agree with the categorical assertion that any decision to keep a person in detention would necessarily be arbitrary “if it is not subject to periodic reevaluation of the justification for continuing the detention.”  </w:t>
      </w:r>
      <w:r w:rsidR="00115A2C" w:rsidRPr="00847A7B">
        <w:t>The</w:t>
      </w:r>
      <w:r w:rsidRPr="00847A7B">
        <w:t xml:space="preserve"> need for periodic review of a decision to exercise legal authority to detain would largely depend </w:t>
      </w:r>
      <w:r w:rsidR="00164A17">
        <w:t>o</w:t>
      </w:r>
      <w:r w:rsidRPr="00847A7B">
        <w:t>n the nature and purpose of the detention and</w:t>
      </w:r>
      <w:r w:rsidR="00334105">
        <w:t xml:space="preserve"> the</w:t>
      </w:r>
      <w:r w:rsidRPr="00847A7B">
        <w:t xml:space="preserve"> likelihood that </w:t>
      </w:r>
      <w:r w:rsidR="00334105">
        <w:t xml:space="preserve">the relevant </w:t>
      </w:r>
      <w:r w:rsidRPr="00847A7B">
        <w:t xml:space="preserve">circumstances </w:t>
      </w:r>
      <w:r w:rsidR="00DD2F2C">
        <w:t>c</w:t>
      </w:r>
      <w:r w:rsidRPr="00847A7B">
        <w:t>ould change.</w:t>
      </w:r>
      <w:r w:rsidR="000F57F3" w:rsidRPr="000F57F3">
        <w:t xml:space="preserve"> </w:t>
      </w:r>
      <w:r w:rsidR="000F57F3" w:rsidRPr="00847A7B">
        <w:t>Of course</w:t>
      </w:r>
      <w:r w:rsidR="000F57F3">
        <w:t>,</w:t>
      </w:r>
      <w:r w:rsidR="000F57F3" w:rsidRPr="00847A7B">
        <w:t xml:space="preserve"> the legal justification of any detention would</w:t>
      </w:r>
      <w:r w:rsidR="00F36670">
        <w:t xml:space="preserve"> need to</w:t>
      </w:r>
      <w:r w:rsidR="000F57F3" w:rsidRPr="00847A7B">
        <w:t xml:space="preserve"> be subject to review through a </w:t>
      </w:r>
      <w:r w:rsidR="000F57F3" w:rsidRPr="00D73300">
        <w:rPr>
          <w:i/>
        </w:rPr>
        <w:t>habeas</w:t>
      </w:r>
      <w:r w:rsidR="000F57F3">
        <w:rPr>
          <w:i/>
        </w:rPr>
        <w:t xml:space="preserve"> </w:t>
      </w:r>
      <w:r w:rsidR="000F57F3" w:rsidRPr="000F57F3">
        <w:t>or other legal</w:t>
      </w:r>
      <w:r w:rsidR="000F57F3" w:rsidRPr="00847A7B">
        <w:t xml:space="preserve"> challenge</w:t>
      </w:r>
      <w:r w:rsidR="002E7A43">
        <w:t>,</w:t>
      </w:r>
      <w:r w:rsidR="000F57F3">
        <w:t xml:space="preserve"> as required under Article 9(4)</w:t>
      </w:r>
      <w:r w:rsidR="000F57F3" w:rsidRPr="00847A7B">
        <w:t>.</w:t>
      </w:r>
    </w:p>
    <w:p w:rsidR="00D73300" w:rsidRDefault="00D73300" w:rsidP="00D73300">
      <w:pPr>
        <w:snapToGrid w:val="0"/>
        <w:ind w:left="360"/>
      </w:pPr>
    </w:p>
    <w:p w:rsidR="00773B9B" w:rsidRPr="00847A7B" w:rsidRDefault="00DD7337" w:rsidP="00164A17">
      <w:pPr>
        <w:numPr>
          <w:ilvl w:val="0"/>
          <w:numId w:val="1"/>
        </w:numPr>
        <w:snapToGrid w:val="0"/>
      </w:pPr>
      <w:r>
        <w:t>The United States has some concerns with the Committee’s conclusions in paragraphs 14 and 15 of the draft General Comment.  First, i</w:t>
      </w:r>
      <w:r w:rsidR="00773B9B" w:rsidRPr="00847A7B">
        <w:t xml:space="preserve">t is unclear what the following sentence </w:t>
      </w:r>
      <w:r w:rsidR="00EA0E74" w:rsidRPr="00847A7B">
        <w:t xml:space="preserve">in paragraph 14 </w:t>
      </w:r>
      <w:r w:rsidR="00773B9B" w:rsidRPr="00847A7B">
        <w:t xml:space="preserve">is </w:t>
      </w:r>
      <w:r w:rsidR="000029EC" w:rsidRPr="00847A7B">
        <w:t>meant</w:t>
      </w:r>
      <w:r w:rsidR="00773B9B" w:rsidRPr="00847A7B">
        <w:t xml:space="preserve"> to address: </w:t>
      </w:r>
      <w:r w:rsidR="00773B9B" w:rsidRPr="00847A7B">
        <w:rPr>
          <w:lang w:val="en-CA"/>
        </w:rPr>
        <w:t>“</w:t>
      </w:r>
      <w:r w:rsidR="00773B9B" w:rsidRPr="00847A7B">
        <w:t xml:space="preserve">The </w:t>
      </w:r>
      <w:r w:rsidR="00334105">
        <w:t xml:space="preserve">[non-criminal] </w:t>
      </w:r>
      <w:r w:rsidR="00773B9B" w:rsidRPr="00847A7B">
        <w:t xml:space="preserve">regime must not amount to an evasion of the limits on the criminal justice system by providing the equivalent of criminal punishment without the applicable protections.”  </w:t>
      </w:r>
      <w:r>
        <w:t>In addition, t</w:t>
      </w:r>
      <w:r w:rsidR="00773B9B" w:rsidRPr="00847A7B">
        <w:t>he</w:t>
      </w:r>
      <w:r>
        <w:t>re is no basis for the</w:t>
      </w:r>
      <w:r w:rsidR="00773B9B" w:rsidRPr="00847A7B">
        <w:t xml:space="preserve"> </w:t>
      </w:r>
      <w:r>
        <w:t xml:space="preserve">categorical statement </w:t>
      </w:r>
      <w:r w:rsidR="00773B9B" w:rsidRPr="00847A7B">
        <w:t xml:space="preserve">in </w:t>
      </w:r>
      <w:r w:rsidR="00F60BBC" w:rsidRPr="00847A7B">
        <w:t>paragraph 15</w:t>
      </w:r>
      <w:r w:rsidR="00637D15">
        <w:t xml:space="preserve"> </w:t>
      </w:r>
      <w:r w:rsidR="00773B9B" w:rsidRPr="00847A7B">
        <w:t xml:space="preserve">that </w:t>
      </w:r>
      <w:r w:rsidR="00F60BBC">
        <w:t xml:space="preserve">security or </w:t>
      </w:r>
      <w:r w:rsidR="00773B9B" w:rsidRPr="00847A7B">
        <w:t xml:space="preserve">administrative detention would “normally” be </w:t>
      </w:r>
      <w:r w:rsidR="00F60BBC">
        <w:t xml:space="preserve">considered </w:t>
      </w:r>
      <w:r w:rsidR="00773B9B" w:rsidRPr="00847A7B">
        <w:t xml:space="preserve">arbitrary if other effective measures </w:t>
      </w:r>
      <w:r w:rsidR="00503516">
        <w:t xml:space="preserve">such as criminal prosecution </w:t>
      </w:r>
      <w:r w:rsidR="00773B9B" w:rsidRPr="00847A7B">
        <w:t>are available</w:t>
      </w:r>
      <w:r w:rsidR="00503516">
        <w:t xml:space="preserve"> </w:t>
      </w:r>
      <w:r w:rsidR="00773B9B" w:rsidRPr="00847A7B">
        <w:t>to deal with a threat</w:t>
      </w:r>
      <w:r w:rsidR="00334105">
        <w:t xml:space="preserve">. </w:t>
      </w:r>
      <w:r w:rsidR="00773B9B" w:rsidRPr="00847A7B">
        <w:t xml:space="preserve"> If a lawful basis for detaining an individual exists that is unrelated to criminal prosecution, the United States would not regard the exercise of such detention authority to be either an evasion of criminal process or arbitrary, simply because </w:t>
      </w:r>
      <w:r w:rsidR="00A17036">
        <w:t xml:space="preserve">there might also be </w:t>
      </w:r>
      <w:r w:rsidR="00773B9B" w:rsidRPr="00847A7B">
        <w:t xml:space="preserve">grounds to pursue </w:t>
      </w:r>
      <w:r w:rsidR="00372E40">
        <w:t xml:space="preserve">a </w:t>
      </w:r>
      <w:r w:rsidR="00773B9B" w:rsidRPr="00847A7B">
        <w:t>criminal prosecution</w:t>
      </w:r>
      <w:r w:rsidR="009C46AD">
        <w:t xml:space="preserve"> instead</w:t>
      </w:r>
      <w:r w:rsidR="00773B9B" w:rsidRPr="00847A7B">
        <w:t xml:space="preserve">.  There is no requirement </w:t>
      </w:r>
      <w:r w:rsidR="00334105">
        <w:t>-</w:t>
      </w:r>
      <w:r w:rsidR="00773B9B" w:rsidRPr="00847A7B">
        <w:t xml:space="preserve"> and it is not feasible </w:t>
      </w:r>
      <w:r w:rsidR="00334105">
        <w:t xml:space="preserve">- </w:t>
      </w:r>
      <w:r w:rsidR="00773B9B" w:rsidRPr="00847A7B">
        <w:t xml:space="preserve">to prosecute every criminal offense for which there </w:t>
      </w:r>
      <w:r w:rsidR="00447067">
        <w:t xml:space="preserve">is </w:t>
      </w:r>
      <w:r w:rsidR="00773B9B" w:rsidRPr="00847A7B">
        <w:t>legal ground.  The exercise of prosecutorial discretion is essential to rationalize resources and priorities</w:t>
      </w:r>
      <w:r w:rsidR="00E3164F">
        <w:t xml:space="preserve">.  Moreover, even where there may be a legal basis to prosecute, the interests of justice, legitimate government objectives, and even the interests of the individual, may be better served through </w:t>
      </w:r>
      <w:r w:rsidR="00447067">
        <w:t>use of ot</w:t>
      </w:r>
      <w:r w:rsidR="00E3164F">
        <w:t>her lawful authorities</w:t>
      </w:r>
      <w:r w:rsidR="00773B9B" w:rsidRPr="00847A7B">
        <w:t>.</w:t>
      </w:r>
    </w:p>
    <w:p w:rsidR="00773B9B" w:rsidRPr="00847A7B" w:rsidRDefault="00773B9B" w:rsidP="00773B9B">
      <w:pPr>
        <w:tabs>
          <w:tab w:val="left" w:pos="360"/>
        </w:tabs>
        <w:snapToGrid w:val="0"/>
      </w:pPr>
    </w:p>
    <w:p w:rsidR="001C0ECB" w:rsidRPr="00847A7B" w:rsidRDefault="00F60BBC" w:rsidP="001C0ECB">
      <w:pPr>
        <w:numPr>
          <w:ilvl w:val="0"/>
          <w:numId w:val="1"/>
        </w:numPr>
        <w:snapToGrid w:val="0"/>
      </w:pPr>
      <w:r>
        <w:t>Further i</w:t>
      </w:r>
      <w:r w:rsidR="00773B9B" w:rsidRPr="00847A7B">
        <w:t xml:space="preserve">n </w:t>
      </w:r>
      <w:r w:rsidR="000029EC" w:rsidRPr="00847A7B">
        <w:t>the</w:t>
      </w:r>
      <w:r w:rsidR="00773B9B" w:rsidRPr="00847A7B">
        <w:t xml:space="preserve"> discussion of security detention under </w:t>
      </w:r>
      <w:r w:rsidRPr="00847A7B">
        <w:t>paragraph 15</w:t>
      </w:r>
      <w:r w:rsidR="00773B9B" w:rsidRPr="00847A7B">
        <w:t xml:space="preserve">, </w:t>
      </w:r>
      <w:r>
        <w:t xml:space="preserve">and again bearing in mind the Covenant’s scope of application, </w:t>
      </w:r>
      <w:r w:rsidR="00773B9B" w:rsidRPr="00847A7B">
        <w:t>the draft General Comment refers to the need to fully respect the guarantees provided for by Article 9 in all cases.  The Committee should make clear that this only refers to the relevant guarantees provided in paragraphs 1, 2, 4 and 5 of Article 9 or</w:t>
      </w:r>
      <w:r w:rsidR="000029EC" w:rsidRPr="00847A7B">
        <w:t xml:space="preserve"> simply</w:t>
      </w:r>
      <w:r w:rsidR="00773B9B" w:rsidRPr="00847A7B">
        <w:t xml:space="preserve"> refer to relevant or applicable guarantees, given that paragraph 3 is only applicable to persons criminally charged.  </w:t>
      </w:r>
      <w:r w:rsidR="00164A17">
        <w:t>T</w:t>
      </w:r>
      <w:r w:rsidR="00773B9B" w:rsidRPr="00847A7B">
        <w:t xml:space="preserve">he Committee’s recommendations on appropriate guarantees </w:t>
      </w:r>
      <w:r w:rsidR="000029EC" w:rsidRPr="00847A7B">
        <w:t>concerning</w:t>
      </w:r>
      <w:r w:rsidR="00773B9B" w:rsidRPr="00847A7B">
        <w:t xml:space="preserve"> duration, prompt and regular review by a court or other independent </w:t>
      </w:r>
      <w:r w:rsidR="00773B9B" w:rsidRPr="00847A7B">
        <w:lastRenderedPageBreak/>
        <w:t>and impartial tribunal, access to legal counsel of choice</w:t>
      </w:r>
      <w:r w:rsidR="00637D15">
        <w:t>,</w:t>
      </w:r>
      <w:r w:rsidR="00773B9B" w:rsidRPr="00847A7B">
        <w:t xml:space="preserve"> and disclosure of evidence are all reasonable and useful for States Parties to consider, </w:t>
      </w:r>
      <w:r w:rsidR="000029EC" w:rsidRPr="00847A7B">
        <w:t>although not strictly required</w:t>
      </w:r>
      <w:r w:rsidR="00063CDC">
        <w:t xml:space="preserve"> by the Covenant</w:t>
      </w:r>
      <w:r w:rsidR="00773B9B" w:rsidRPr="00847A7B">
        <w:t xml:space="preserve"> in the absence of criminal charges.  </w:t>
      </w:r>
      <w:r w:rsidR="004E6ED7">
        <w:t xml:space="preserve">The standard for the length of detention, </w:t>
      </w:r>
      <w:r w:rsidR="00AA76DB">
        <w:t>(</w:t>
      </w:r>
      <w:r w:rsidR="00AA76DB" w:rsidRPr="00847A7B">
        <w:t>“absolutely necessary”</w:t>
      </w:r>
      <w:r w:rsidR="00AA76DB">
        <w:t>)</w:t>
      </w:r>
      <w:r w:rsidR="00AA76DB" w:rsidRPr="00847A7B">
        <w:t xml:space="preserve"> seems overly restrictive</w:t>
      </w:r>
      <w:r w:rsidR="00AA76DB">
        <w:t xml:space="preserve">, </w:t>
      </w:r>
      <w:r w:rsidR="004E6ED7">
        <w:t xml:space="preserve">however, </w:t>
      </w:r>
      <w:r w:rsidR="00AA76DB">
        <w:t xml:space="preserve">and </w:t>
      </w:r>
      <w:r w:rsidR="004E6ED7">
        <w:t>might more appropriately be “reasonably necessary” or simply “necessary.”</w:t>
      </w:r>
      <w:r w:rsidR="00AA76DB">
        <w:t xml:space="preserve"> </w:t>
      </w:r>
      <w:r w:rsidR="004E6ED7">
        <w:t xml:space="preserve">Moreover, </w:t>
      </w:r>
      <w:r w:rsidR="00DD7337">
        <w:t xml:space="preserve">there is no </w:t>
      </w:r>
      <w:r w:rsidR="002E7A43">
        <w:t xml:space="preserve">textual </w:t>
      </w:r>
      <w:r w:rsidR="00DD7337">
        <w:t xml:space="preserve">support for the </w:t>
      </w:r>
      <w:r w:rsidR="00F41B3A">
        <w:t>suggest</w:t>
      </w:r>
      <w:r w:rsidR="00DD7337">
        <w:t xml:space="preserve">ion in paragraph 15 </w:t>
      </w:r>
      <w:r w:rsidR="004E6ED7">
        <w:t>that Article 9 would allow administrative detention only in circumstances in which an individual poses a “present, direct and imperative threat</w:t>
      </w:r>
      <w:r w:rsidR="00DD7337">
        <w:t>.</w:t>
      </w:r>
      <w:r w:rsidR="004E6ED7">
        <w:t xml:space="preserve">” </w:t>
      </w:r>
      <w:r w:rsidR="00DD7337">
        <w:t xml:space="preserve"> </w:t>
      </w:r>
      <w:r w:rsidR="0041004F">
        <w:t xml:space="preserve">Rather, Article 9 leaves to </w:t>
      </w:r>
      <w:r w:rsidR="004E6ED7">
        <w:t xml:space="preserve">States Parties </w:t>
      </w:r>
      <w:r w:rsidR="0041004F">
        <w:t>the ability t</w:t>
      </w:r>
      <w:r w:rsidR="004E6ED7">
        <w:t>o develop standards for such detention consistent with Article 9 and their domestic legal frameworks.  Further, the requirement that the burden of proof on States Parties “increases with the length of the detention” does not appear to be grounded in the text of Article 9</w:t>
      </w:r>
      <w:r w:rsidR="009C46AD">
        <w:t xml:space="preserve"> </w:t>
      </w:r>
      <w:r w:rsidR="000D69D4">
        <w:t>(</w:t>
      </w:r>
      <w:r w:rsidR="009C46AD">
        <w:t xml:space="preserve">for the reasons </w:t>
      </w:r>
      <w:r w:rsidR="000D69D4">
        <w:t>stated in p</w:t>
      </w:r>
      <w:r w:rsidR="00FB7D0A">
        <w:t>aragraph</w:t>
      </w:r>
      <w:r w:rsidR="0041004F">
        <w:t xml:space="preserve">s </w:t>
      </w:r>
      <w:r w:rsidR="00E22F7C" w:rsidRPr="00896C9F">
        <w:t>31</w:t>
      </w:r>
      <w:r w:rsidR="000D69D4">
        <w:t xml:space="preserve"> above)</w:t>
      </w:r>
      <w:r w:rsidR="00FB7D0A">
        <w:t>.</w:t>
      </w:r>
    </w:p>
    <w:p w:rsidR="00773B9B" w:rsidRDefault="00773B9B" w:rsidP="00773B9B">
      <w:pPr>
        <w:tabs>
          <w:tab w:val="left" w:pos="360"/>
        </w:tabs>
        <w:snapToGrid w:val="0"/>
        <w:ind w:left="360"/>
      </w:pPr>
    </w:p>
    <w:p w:rsidR="00651655" w:rsidRDefault="00651655" w:rsidP="00651655">
      <w:pPr>
        <w:numPr>
          <w:ilvl w:val="0"/>
          <w:numId w:val="1"/>
        </w:numPr>
        <w:snapToGrid w:val="0"/>
      </w:pPr>
      <w:r w:rsidRPr="00651655">
        <w:t xml:space="preserve"> </w:t>
      </w:r>
      <w:r w:rsidR="00896C9F">
        <w:t>Also a</w:t>
      </w:r>
      <w:r>
        <w:t xml:space="preserve">s noted in paragraph </w:t>
      </w:r>
      <w:r w:rsidRPr="00896C9F">
        <w:t>31</w:t>
      </w:r>
      <w:r>
        <w:t xml:space="preserve"> above, t</w:t>
      </w:r>
      <w:r w:rsidRPr="00FA48F9">
        <w:t xml:space="preserve">he United States </w:t>
      </w:r>
      <w:r>
        <w:t xml:space="preserve">does not </w:t>
      </w:r>
      <w:r w:rsidRPr="00FA48F9">
        <w:t xml:space="preserve">agree </w:t>
      </w:r>
      <w:r>
        <w:t xml:space="preserve">with the view </w:t>
      </w:r>
      <w:r w:rsidR="00896C9F">
        <w:t xml:space="preserve">restated in </w:t>
      </w:r>
      <w:r>
        <w:t>paragraph 18</w:t>
      </w:r>
      <w:r w:rsidRPr="00FA48F9">
        <w:t xml:space="preserve"> </w:t>
      </w:r>
      <w:r>
        <w:t xml:space="preserve">that </w:t>
      </w:r>
      <w:r w:rsidRPr="00FA48F9">
        <w:t>Article 9 requires individualized or periodic review for every type of deprivation of liberty</w:t>
      </w:r>
      <w:r>
        <w:t>, including immigration detention</w:t>
      </w:r>
      <w:r w:rsidRPr="00FA48F9">
        <w:t>.  Rather</w:t>
      </w:r>
      <w:r>
        <w:t>,</w:t>
      </w:r>
      <w:r w:rsidRPr="00FA48F9">
        <w:t xml:space="preserve"> the </w:t>
      </w:r>
      <w:r>
        <w:t xml:space="preserve">text leaves </w:t>
      </w:r>
      <w:r w:rsidRPr="00FA48F9">
        <w:t xml:space="preserve">to individual </w:t>
      </w:r>
      <w:r>
        <w:t xml:space="preserve">States Parties to decide the </w:t>
      </w:r>
      <w:r w:rsidRPr="00FA48F9">
        <w:t>appropriate legal framework within their own constitution</w:t>
      </w:r>
      <w:r>
        <w:t>s</w:t>
      </w:r>
      <w:r w:rsidRPr="00FA48F9">
        <w:t xml:space="preserve"> and </w:t>
      </w:r>
      <w:r>
        <w:t>laws</w:t>
      </w:r>
      <w:r w:rsidRPr="00FA48F9">
        <w:t xml:space="preserve"> to give effect </w:t>
      </w:r>
      <w:r>
        <w:t xml:space="preserve">to </w:t>
      </w:r>
      <w:r w:rsidRPr="00FA48F9">
        <w:t>and implement these rights.</w:t>
      </w:r>
      <w:r>
        <w:rPr>
          <w:rStyle w:val="FootnoteReference"/>
        </w:rPr>
        <w:footnoteReference w:id="15"/>
      </w:r>
      <w:r w:rsidRPr="00FA48F9">
        <w:t xml:space="preserve">  </w:t>
      </w:r>
      <w:r>
        <w:t xml:space="preserve">This is not to say that </w:t>
      </w:r>
      <w:r w:rsidRPr="00847A7B">
        <w:t>duration</w:t>
      </w:r>
      <w:r w:rsidRPr="00F0232D">
        <w:t xml:space="preserve"> </w:t>
      </w:r>
      <w:r>
        <w:t>limitations</w:t>
      </w:r>
      <w:r w:rsidRPr="00847A7B">
        <w:t>, individualized determinations</w:t>
      </w:r>
      <w:r>
        <w:t>,</w:t>
      </w:r>
      <w:r w:rsidRPr="00847A7B">
        <w:t xml:space="preserve"> and reassessments over time </w:t>
      </w:r>
      <w:r>
        <w:t>would not be</w:t>
      </w:r>
      <w:r w:rsidRPr="00847A7B">
        <w:t xml:space="preserve"> reasonable and appropriate recommendations for States Parties to consider</w:t>
      </w:r>
      <w:r>
        <w:t xml:space="preserve">, </w:t>
      </w:r>
      <w:r w:rsidRPr="00847A7B">
        <w:t xml:space="preserve">to the extent they are </w:t>
      </w:r>
      <w:r>
        <w:t xml:space="preserve">legally </w:t>
      </w:r>
      <w:r w:rsidRPr="00847A7B">
        <w:t>available and appropria</w:t>
      </w:r>
      <w:r>
        <w:t>te in individual circumstances.  B</w:t>
      </w:r>
      <w:r w:rsidRPr="00847A7B">
        <w:t xml:space="preserve">ut, these would be better cast as </w:t>
      </w:r>
      <w:r>
        <w:t>recommended best practices</w:t>
      </w:r>
      <w:r w:rsidRPr="00847A7B">
        <w:t xml:space="preserve"> rather than </w:t>
      </w:r>
      <w:r>
        <w:t>as requirements under Article 9</w:t>
      </w:r>
      <w:r w:rsidRPr="00847A7B">
        <w:t>.</w:t>
      </w:r>
    </w:p>
    <w:p w:rsidR="00651655" w:rsidRPr="00847A7B" w:rsidRDefault="00651655" w:rsidP="00773B9B">
      <w:pPr>
        <w:tabs>
          <w:tab w:val="left" w:pos="360"/>
        </w:tabs>
        <w:snapToGrid w:val="0"/>
        <w:ind w:left="360"/>
      </w:pPr>
    </w:p>
    <w:p w:rsidR="00115A2C" w:rsidRDefault="00115A2C" w:rsidP="00AA76DB">
      <w:pPr>
        <w:numPr>
          <w:ilvl w:val="0"/>
          <w:numId w:val="1"/>
        </w:numPr>
        <w:snapToGrid w:val="0"/>
      </w:pPr>
      <w:r w:rsidRPr="00847A7B">
        <w:t xml:space="preserve"> </w:t>
      </w:r>
      <w:r w:rsidR="008A1ED8" w:rsidRPr="00847A7B">
        <w:t xml:space="preserve">The United States </w:t>
      </w:r>
      <w:r w:rsidR="008A1ED8">
        <w:t xml:space="preserve">is similarly </w:t>
      </w:r>
      <w:r w:rsidR="008A1ED8" w:rsidRPr="00847A7B">
        <w:t>concern</w:t>
      </w:r>
      <w:r w:rsidR="008A1ED8">
        <w:t>ed</w:t>
      </w:r>
      <w:r w:rsidR="008A1ED8" w:rsidRPr="00847A7B">
        <w:t xml:space="preserve"> with </w:t>
      </w:r>
      <w:r w:rsidR="002E7A43">
        <w:t xml:space="preserve">the </w:t>
      </w:r>
      <w:r w:rsidR="008A1ED8">
        <w:t xml:space="preserve">Committee’s reliance on a “necessary and proportionate” requirement in </w:t>
      </w:r>
      <w:r w:rsidR="008A1ED8" w:rsidRPr="00847A7B">
        <w:t>paragraph 19</w:t>
      </w:r>
      <w:r w:rsidR="008A1ED8">
        <w:t xml:space="preserve"> in relation to</w:t>
      </w:r>
      <w:r w:rsidR="008A1ED8" w:rsidRPr="00847A7B">
        <w:t xml:space="preserve"> the commitment and care of the mentally ill</w:t>
      </w:r>
      <w:r w:rsidR="008A1ED8">
        <w:t>.  This is not the correct standard for judging arbitrariness under Article 9</w:t>
      </w:r>
      <w:r w:rsidR="008A1ED8" w:rsidRPr="008A1ED8">
        <w:t xml:space="preserve"> </w:t>
      </w:r>
      <w:r w:rsidR="008A1ED8">
        <w:t xml:space="preserve">for the reasons stated in paragraph </w:t>
      </w:r>
      <w:r w:rsidR="00CD34B7" w:rsidRPr="00AB2804">
        <w:t>31</w:t>
      </w:r>
      <w:r w:rsidR="008A1ED8">
        <w:t xml:space="preserve"> above. </w:t>
      </w:r>
      <w:r w:rsidR="004B68E3">
        <w:t xml:space="preserve"> T</w:t>
      </w:r>
      <w:r w:rsidR="008A1ED8" w:rsidRPr="00847A7B">
        <w:t>he U.S. Supreme Court has repeatedly recognized that “civil commitment for any purpose constitutes a significant deprivation of liberty that requires due process protections</w:t>
      </w:r>
      <w:r w:rsidR="00AB2804">
        <w:t>.</w:t>
      </w:r>
      <w:r w:rsidR="008A1ED8" w:rsidRPr="00847A7B">
        <w:t>”</w:t>
      </w:r>
      <w:r w:rsidR="00806F70">
        <w:rPr>
          <w:rStyle w:val="FootnoteReference"/>
        </w:rPr>
        <w:footnoteReference w:id="16"/>
      </w:r>
      <w:r w:rsidR="00806F70">
        <w:t xml:space="preserve">  </w:t>
      </w:r>
      <w:r w:rsidR="008A1ED8" w:rsidRPr="00847A7B">
        <w:t xml:space="preserve"> </w:t>
      </w:r>
      <w:r w:rsidR="004B68E3">
        <w:t>There</w:t>
      </w:r>
      <w:r w:rsidR="008A1ED8" w:rsidRPr="00847A7B">
        <w:t xml:space="preserve"> are ample opportunities in the United States for those involuntarily committed to challenge the lawfulness of a commitment order through </w:t>
      </w:r>
      <w:r w:rsidR="008A1ED8" w:rsidRPr="00AB2804">
        <w:rPr>
          <w:i/>
        </w:rPr>
        <w:t xml:space="preserve">habeas </w:t>
      </w:r>
      <w:r w:rsidR="00AB2804" w:rsidRPr="00AB2804">
        <w:rPr>
          <w:i/>
        </w:rPr>
        <w:t>corpus</w:t>
      </w:r>
      <w:r w:rsidR="00AB2804">
        <w:t xml:space="preserve"> </w:t>
      </w:r>
      <w:r w:rsidR="008A1ED8" w:rsidRPr="00847A7B">
        <w:t xml:space="preserve">proceedings and </w:t>
      </w:r>
      <w:r w:rsidR="008A1ED8">
        <w:t xml:space="preserve">to challenge </w:t>
      </w:r>
      <w:r w:rsidR="008A1ED8" w:rsidRPr="00847A7B">
        <w:t>the conditions of confinement through either injunctive or civil damage suits.</w:t>
      </w:r>
      <w:r w:rsidR="00AA76DB" w:rsidRPr="00AA76DB">
        <w:t xml:space="preserve"> </w:t>
      </w:r>
      <w:r w:rsidR="001C4C50">
        <w:t xml:space="preserve"> </w:t>
      </w:r>
      <w:r w:rsidR="00AA76DB">
        <w:t>Nothing in the Covenant suggests that the standard in such cases is required to be “necessary and proportionate.”</w:t>
      </w:r>
    </w:p>
    <w:p w:rsidR="00115A2C" w:rsidRDefault="00115A2C" w:rsidP="00115A2C">
      <w:pPr>
        <w:pStyle w:val="ListParagraph"/>
      </w:pPr>
    </w:p>
    <w:p w:rsidR="007F52BB" w:rsidRPr="00A44FDA" w:rsidRDefault="00A551AB" w:rsidP="00A44FDA">
      <w:pPr>
        <w:numPr>
          <w:ilvl w:val="0"/>
          <w:numId w:val="1"/>
        </w:numPr>
        <w:snapToGrid w:val="0"/>
      </w:pPr>
      <w:r w:rsidRPr="00847A7B">
        <w:lastRenderedPageBreak/>
        <w:t>It is</w:t>
      </w:r>
      <w:r w:rsidR="00262295" w:rsidRPr="00847A7B">
        <w:t xml:space="preserve"> </w:t>
      </w:r>
      <w:r w:rsidR="00A44FDA">
        <w:t xml:space="preserve">also </w:t>
      </w:r>
      <w:r w:rsidR="00262295" w:rsidRPr="00847A7B">
        <w:t xml:space="preserve">not clear what </w:t>
      </w:r>
      <w:r w:rsidRPr="00847A7B">
        <w:t>the Committee means in paragraph 21</w:t>
      </w:r>
      <w:r w:rsidR="00E61B7F">
        <w:t xml:space="preserve"> </w:t>
      </w:r>
      <w:r w:rsidRPr="00847A7B">
        <w:t xml:space="preserve">by </w:t>
      </w:r>
      <w:r w:rsidR="00262295" w:rsidRPr="00847A7B">
        <w:t xml:space="preserve">“civil preventive </w:t>
      </w:r>
      <w:r w:rsidRPr="00847A7B">
        <w:t xml:space="preserve">detention” after serving a criminal sentence and whether it includes civil commitment proceedings for mental illness or </w:t>
      </w:r>
      <w:r w:rsidR="00846759">
        <w:t xml:space="preserve">also </w:t>
      </w:r>
      <w:r w:rsidRPr="00847A7B">
        <w:t>immigration detention pending removal.</w:t>
      </w:r>
      <w:r w:rsidR="004C3C7B">
        <w:t xml:space="preserve">  For example,</w:t>
      </w:r>
      <w:r w:rsidR="00846759">
        <w:t xml:space="preserve"> t</w:t>
      </w:r>
      <w:r w:rsidR="00773B9B" w:rsidRPr="00847A7B">
        <w:t xml:space="preserve">he United States Government </w:t>
      </w:r>
      <w:r w:rsidRPr="00847A7B">
        <w:t>may</w:t>
      </w:r>
      <w:r w:rsidR="00773B9B" w:rsidRPr="00847A7B">
        <w:t xml:space="preserve"> detain individuals </w:t>
      </w:r>
      <w:r w:rsidRPr="00847A7B">
        <w:t>either</w:t>
      </w:r>
      <w:r w:rsidR="00773B9B" w:rsidRPr="00847A7B">
        <w:t xml:space="preserve"> in lieu of a criminal sentence (if not guilty by reason of insanity) or post-sentence </w:t>
      </w:r>
      <w:r w:rsidR="00D3051C">
        <w:t xml:space="preserve">in the case of a person </w:t>
      </w:r>
      <w:r w:rsidR="00773B9B" w:rsidRPr="00847A7B">
        <w:t>found to be dangerous or a sexual predator</w:t>
      </w:r>
      <w:r w:rsidR="0009507C">
        <w:t xml:space="preserve"> as a result of a mental illness or defect</w:t>
      </w:r>
      <w:r w:rsidR="00773B9B" w:rsidRPr="00847A7B">
        <w:t xml:space="preserve">. </w:t>
      </w:r>
      <w:r w:rsidR="00773B9B" w:rsidRPr="00A44FDA">
        <w:rPr>
          <w:i/>
        </w:rPr>
        <w:t>See</w:t>
      </w:r>
      <w:r w:rsidR="00773B9B" w:rsidRPr="00847A7B">
        <w:t xml:space="preserve"> 18 U</w:t>
      </w:r>
      <w:r w:rsidR="00C72FF1">
        <w:t>.</w:t>
      </w:r>
      <w:r w:rsidR="00773B9B" w:rsidRPr="00847A7B">
        <w:t>S</w:t>
      </w:r>
      <w:r w:rsidR="00C72FF1">
        <w:t>.</w:t>
      </w:r>
      <w:r w:rsidR="00773B9B" w:rsidRPr="00847A7B">
        <w:t>C</w:t>
      </w:r>
      <w:r w:rsidR="00C72FF1">
        <w:t>.</w:t>
      </w:r>
      <w:r w:rsidR="00773B9B" w:rsidRPr="00847A7B">
        <w:t xml:space="preserve"> §§ 4241-4247.  Although each commitment requires a hearing before a Federal court, and </w:t>
      </w:r>
      <w:r w:rsidR="006C26AB">
        <w:t xml:space="preserve">is </w:t>
      </w:r>
      <w:r w:rsidR="00AA76DB" w:rsidRPr="00847A7B">
        <w:t>subject to further review if there is a change in mental health status</w:t>
      </w:r>
      <w:r w:rsidR="00773B9B" w:rsidRPr="00847A7B">
        <w:t xml:space="preserve">, there </w:t>
      </w:r>
      <w:r w:rsidR="00A44FDA">
        <w:t xml:space="preserve">are </w:t>
      </w:r>
      <w:r w:rsidR="00773B9B" w:rsidRPr="00847A7B">
        <w:t xml:space="preserve">no </w:t>
      </w:r>
      <w:r w:rsidR="00C72FF1">
        <w:t>“</w:t>
      </w:r>
      <w:r w:rsidR="00773B9B" w:rsidRPr="00847A7B">
        <w:t>regular periodic r</w:t>
      </w:r>
      <w:r w:rsidR="007F52BB" w:rsidRPr="00847A7B">
        <w:t>eview</w:t>
      </w:r>
      <w:r w:rsidR="00A44FDA">
        <w:t>s</w:t>
      </w:r>
      <w:r w:rsidR="007F52BB" w:rsidRPr="00847A7B">
        <w:t xml:space="preserve"> by an independent </w:t>
      </w:r>
      <w:r w:rsidR="00DF5E32" w:rsidRPr="00847A7B">
        <w:t>body,” as</w:t>
      </w:r>
      <w:r w:rsidR="00773B9B" w:rsidRPr="00847A7B">
        <w:t xml:space="preserve"> the</w:t>
      </w:r>
      <w:r w:rsidR="000921A7">
        <w:t xml:space="preserve"> </w:t>
      </w:r>
      <w:r w:rsidR="00D3051C">
        <w:t>draft General Comment says is required</w:t>
      </w:r>
      <w:r w:rsidR="00773B9B" w:rsidRPr="00847A7B">
        <w:t>.</w:t>
      </w:r>
      <w:r w:rsidR="0015423A">
        <w:t xml:space="preserve"> </w:t>
      </w:r>
      <w:r w:rsidR="00773B9B" w:rsidRPr="00847A7B">
        <w:t xml:space="preserve"> </w:t>
      </w:r>
      <w:r w:rsidR="007F52BB" w:rsidRPr="00847A7B">
        <w:t xml:space="preserve">Individual </w:t>
      </w:r>
      <w:r w:rsidR="00A44FDA">
        <w:t xml:space="preserve">U.S. </w:t>
      </w:r>
      <w:r w:rsidR="007F52BB" w:rsidRPr="00847A7B">
        <w:t>states</w:t>
      </w:r>
      <w:r w:rsidR="00773B9B" w:rsidRPr="00847A7B">
        <w:t xml:space="preserve"> have analogous provisions</w:t>
      </w:r>
      <w:r w:rsidR="007F52BB" w:rsidRPr="00847A7B">
        <w:t xml:space="preserve"> </w:t>
      </w:r>
      <w:r w:rsidR="00AA76DB">
        <w:t>and</w:t>
      </w:r>
      <w:r w:rsidR="00773B9B" w:rsidRPr="00847A7B">
        <w:t xml:space="preserve"> procedures.</w:t>
      </w:r>
      <w:r w:rsidR="007F52BB" w:rsidRPr="00847A7B">
        <w:t xml:space="preserve">  Although U.S. practice comports with some of the</w:t>
      </w:r>
      <w:r w:rsidRPr="00847A7B">
        <w:t xml:space="preserve"> </w:t>
      </w:r>
      <w:r w:rsidR="00DF5E32">
        <w:t xml:space="preserve">measures that </w:t>
      </w:r>
      <w:r w:rsidR="008B2BC0">
        <w:t xml:space="preserve">the </w:t>
      </w:r>
      <w:r w:rsidRPr="00847A7B">
        <w:t>Committee</w:t>
      </w:r>
      <w:r w:rsidR="00DF5E32">
        <w:t xml:space="preserve"> considers to be required</w:t>
      </w:r>
      <w:r w:rsidR="007F52BB" w:rsidRPr="00847A7B">
        <w:t>, the</w:t>
      </w:r>
      <w:r w:rsidR="00DF5E32">
        <w:t xml:space="preserve"> Committee’s views</w:t>
      </w:r>
      <w:r w:rsidR="007F52BB" w:rsidRPr="00847A7B">
        <w:t xml:space="preserve"> </w:t>
      </w:r>
      <w:r w:rsidR="00DD7337">
        <w:t>should</w:t>
      </w:r>
      <w:r w:rsidRPr="00847A7B">
        <w:t xml:space="preserve"> be </w:t>
      </w:r>
      <w:r w:rsidR="00DF5E32">
        <w:t>framed</w:t>
      </w:r>
      <w:r w:rsidRPr="00847A7B">
        <w:t xml:space="preserve"> as </w:t>
      </w:r>
      <w:r w:rsidR="00DF5E32">
        <w:t>recommended practices</w:t>
      </w:r>
      <w:r w:rsidRPr="00847A7B">
        <w:t xml:space="preserve"> rather than </w:t>
      </w:r>
      <w:r w:rsidR="007F52BB" w:rsidRPr="00847A7B">
        <w:t>in obligatory terms</w:t>
      </w:r>
      <w:r w:rsidRPr="00847A7B">
        <w:t xml:space="preserve">, since </w:t>
      </w:r>
      <w:r w:rsidR="007F52BB" w:rsidRPr="00847A7B">
        <w:t xml:space="preserve">they are </w:t>
      </w:r>
      <w:r w:rsidRPr="00847A7B">
        <w:t xml:space="preserve">not grounded in any of the </w:t>
      </w:r>
      <w:r w:rsidR="007F52BB" w:rsidRPr="00847A7B">
        <w:t xml:space="preserve">textual </w:t>
      </w:r>
      <w:r w:rsidRPr="00847A7B">
        <w:t>requirements under Article 9</w:t>
      </w:r>
      <w:r w:rsidR="00DF5E32">
        <w:t>, and</w:t>
      </w:r>
      <w:r w:rsidR="008B2BC0">
        <w:t xml:space="preserve"> it should be left </w:t>
      </w:r>
      <w:r w:rsidR="00A44FDA">
        <w:t>to States Parties to decide how best to pursue such recommendations within their domestic legal frameworks</w:t>
      </w:r>
      <w:r w:rsidR="00846759">
        <w:t xml:space="preserve"> and within the circumstances of a given case</w:t>
      </w:r>
      <w:r w:rsidR="00A44FDA">
        <w:t>.</w:t>
      </w:r>
      <w:r w:rsidR="00846759" w:rsidRPr="00846759">
        <w:rPr>
          <w:rStyle w:val="FootnoteReference"/>
        </w:rPr>
        <w:t xml:space="preserve"> </w:t>
      </w:r>
      <w:r w:rsidR="00846759">
        <w:rPr>
          <w:rStyle w:val="FootnoteReference"/>
        </w:rPr>
        <w:footnoteReference w:id="17"/>
      </w:r>
      <w:r w:rsidR="00846759">
        <w:t xml:space="preserve"> </w:t>
      </w:r>
      <w:r w:rsidR="00E61B7F" w:rsidRPr="00E61B7F">
        <w:rPr>
          <w:rStyle w:val="FootnoteReference"/>
        </w:rPr>
        <w:t xml:space="preserve"> </w:t>
      </w:r>
    </w:p>
    <w:p w:rsidR="007F52BB" w:rsidRPr="00847A7B" w:rsidRDefault="007F52BB" w:rsidP="007F52BB">
      <w:pPr>
        <w:pStyle w:val="ListParagraph"/>
      </w:pPr>
    </w:p>
    <w:p w:rsidR="00852E7D" w:rsidRPr="00846759" w:rsidRDefault="00B850FC" w:rsidP="00164A17">
      <w:pPr>
        <w:numPr>
          <w:ilvl w:val="0"/>
          <w:numId w:val="1"/>
        </w:numPr>
        <w:snapToGrid w:val="0"/>
        <w:rPr>
          <w:snapToGrid w:val="0"/>
        </w:rPr>
      </w:pPr>
      <w:r>
        <w:t>The United States agrees with the princip</w:t>
      </w:r>
      <w:r w:rsidR="004B68E3">
        <w:t>al</w:t>
      </w:r>
      <w:r>
        <w:t xml:space="preserve"> conclusions in </w:t>
      </w:r>
      <w:r w:rsidR="00972CEF" w:rsidRPr="00847A7B">
        <w:t xml:space="preserve">paragraph 23 that any deprivation of liberty </w:t>
      </w:r>
      <w:r>
        <w:t xml:space="preserve">must </w:t>
      </w:r>
      <w:r w:rsidR="00972CEF" w:rsidRPr="00847A7B">
        <w:t>be on grounds established by law and in accordance with procedures established by law</w:t>
      </w:r>
      <w:r>
        <w:t xml:space="preserve">; </w:t>
      </w:r>
      <w:r w:rsidR="00DF4375" w:rsidRPr="00847A7B">
        <w:t xml:space="preserve">that this requires </w:t>
      </w:r>
      <w:r w:rsidR="009761D8">
        <w:t xml:space="preserve">the existence of </w:t>
      </w:r>
      <w:r w:rsidR="00DF4375" w:rsidRPr="00847A7B">
        <w:t xml:space="preserve">laws and procedure in order to establish lawfulness for both </w:t>
      </w:r>
      <w:r w:rsidR="00DF4375" w:rsidRPr="00984A7D">
        <w:rPr>
          <w:i/>
        </w:rPr>
        <w:t>habeas</w:t>
      </w:r>
      <w:r w:rsidR="00DF4375" w:rsidRPr="00847A7B">
        <w:t xml:space="preserve"> </w:t>
      </w:r>
      <w:r w:rsidR="00DF4375" w:rsidRPr="00984A7D">
        <w:rPr>
          <w:i/>
        </w:rPr>
        <w:t>corpus</w:t>
      </w:r>
      <w:r w:rsidR="00DF4375" w:rsidRPr="00847A7B">
        <w:t xml:space="preserve"> and compensation purposes; </w:t>
      </w:r>
      <w:r>
        <w:t xml:space="preserve">and </w:t>
      </w:r>
      <w:r w:rsidR="00DF4375" w:rsidRPr="00847A7B">
        <w:t xml:space="preserve">that any person arrested, regardless of the filing of charges, </w:t>
      </w:r>
      <w:r>
        <w:t xml:space="preserve">must </w:t>
      </w:r>
      <w:r w:rsidR="00DF4375" w:rsidRPr="00847A7B">
        <w:t xml:space="preserve">be informed of the reasons at the time </w:t>
      </w:r>
      <w:r w:rsidR="00846759">
        <w:t xml:space="preserve">of </w:t>
      </w:r>
      <w:r w:rsidR="00DF4375" w:rsidRPr="00847A7B">
        <w:t>a</w:t>
      </w:r>
      <w:r w:rsidR="0015423A">
        <w:t>rr</w:t>
      </w:r>
      <w:r w:rsidR="00846759">
        <w:t>est</w:t>
      </w:r>
      <w:r w:rsidR="00A46D13">
        <w:t xml:space="preserve"> and promptly thereafter of any charges</w:t>
      </w:r>
      <w:r w:rsidR="00DF4375" w:rsidRPr="00847A7B">
        <w:t xml:space="preserve">.  The remaining </w:t>
      </w:r>
      <w:r w:rsidR="00C72FF1">
        <w:t xml:space="preserve">categories of </w:t>
      </w:r>
      <w:r w:rsidR="00A46D13">
        <w:t>information specified</w:t>
      </w:r>
      <w:r w:rsidR="00A46D13" w:rsidRPr="00847A7B">
        <w:t xml:space="preserve"> </w:t>
      </w:r>
      <w:r w:rsidR="00852E7D" w:rsidRPr="00847A7B">
        <w:t xml:space="preserve">in this </w:t>
      </w:r>
      <w:r w:rsidR="00A46D13">
        <w:t>and subsequent paragraphs as required to be provided</w:t>
      </w:r>
      <w:r w:rsidR="00846759">
        <w:t>, however,</w:t>
      </w:r>
      <w:r w:rsidR="00852E7D" w:rsidRPr="00847A7B">
        <w:t xml:space="preserve"> represent desirable best practices for States Parties to consider, </w:t>
      </w:r>
      <w:r w:rsidR="00A46D13">
        <w:t xml:space="preserve">but </w:t>
      </w:r>
      <w:r w:rsidR="006C26AB">
        <w:t xml:space="preserve">are </w:t>
      </w:r>
      <w:r w:rsidR="00DF4375" w:rsidRPr="00847A7B">
        <w:t xml:space="preserve">not explicitly required </w:t>
      </w:r>
      <w:r w:rsidR="00852E7D" w:rsidRPr="00847A7B">
        <w:t xml:space="preserve">by </w:t>
      </w:r>
      <w:r w:rsidR="006C26AB">
        <w:t xml:space="preserve">the terms of </w:t>
      </w:r>
      <w:r w:rsidR="00852E7D" w:rsidRPr="00847A7B">
        <w:t xml:space="preserve">Article 9. </w:t>
      </w:r>
      <w:r w:rsidR="00846759">
        <w:t xml:space="preserve"> </w:t>
      </w:r>
      <w:r w:rsidR="00A46D13">
        <w:t>These</w:t>
      </w:r>
      <w:r w:rsidR="00C36F3F" w:rsidRPr="00847A7B">
        <w:t xml:space="preserve"> should be modified to reflect their adv</w:t>
      </w:r>
      <w:r w:rsidR="0015423A">
        <w:t>isory nature</w:t>
      </w:r>
      <w:r w:rsidR="00847A7B" w:rsidRPr="00847A7B">
        <w:t>.</w:t>
      </w:r>
    </w:p>
    <w:p w:rsidR="00847A7B" w:rsidRPr="00847A7B" w:rsidRDefault="00847A7B" w:rsidP="00847A7B">
      <w:pPr>
        <w:pStyle w:val="ListParagraph"/>
        <w:rPr>
          <w:snapToGrid w:val="0"/>
        </w:rPr>
      </w:pPr>
    </w:p>
    <w:p w:rsidR="00B850FC" w:rsidRDefault="005C410D" w:rsidP="007376B2">
      <w:pPr>
        <w:numPr>
          <w:ilvl w:val="0"/>
          <w:numId w:val="1"/>
        </w:numPr>
        <w:snapToGrid w:val="0"/>
      </w:pPr>
      <w:r w:rsidRPr="006A45C1">
        <w:t xml:space="preserve">With respect to paragraphs 32 and 33, the United States generally agrees that </w:t>
      </w:r>
      <w:r w:rsidR="00E87D00" w:rsidRPr="006A45C1">
        <w:t>48</w:t>
      </w:r>
      <w:r w:rsidRPr="006A45C1">
        <w:t xml:space="preserve"> hours would</w:t>
      </w:r>
      <w:r w:rsidR="00935FC0" w:rsidRPr="006A45C1">
        <w:t xml:space="preserve"> ordinarily</w:t>
      </w:r>
      <w:r w:rsidRPr="006A45C1">
        <w:t xml:space="preserve"> be a reasonable standard for assessing promptness in bringing an arrested person before a court or judicial authority for purposes of Article </w:t>
      </w:r>
      <w:r w:rsidR="00ED67FA" w:rsidRPr="006A45C1">
        <w:t>9</w:t>
      </w:r>
      <w:r w:rsidRPr="006A45C1">
        <w:t xml:space="preserve">(3), </w:t>
      </w:r>
      <w:r w:rsidR="00D3051C" w:rsidRPr="006A45C1">
        <w:t>recognizing that this requirement applies solely to detention based on criminal charges</w:t>
      </w:r>
      <w:r w:rsidR="00E87D00" w:rsidRPr="006A45C1">
        <w:t>.</w:t>
      </w:r>
      <w:r w:rsidR="00E87D00">
        <w:t xml:space="preserve"> </w:t>
      </w:r>
      <w:r w:rsidR="00B850FC">
        <w:t xml:space="preserve"> </w:t>
      </w:r>
      <w:r w:rsidR="008B2BC0">
        <w:t>H</w:t>
      </w:r>
      <w:r w:rsidR="00E627CC">
        <w:t xml:space="preserve">owever, </w:t>
      </w:r>
      <w:r w:rsidR="00E87D00">
        <w:t xml:space="preserve">Article 9(3) </w:t>
      </w:r>
      <w:r>
        <w:t>refrain</w:t>
      </w:r>
      <w:r w:rsidR="00D51634">
        <w:t xml:space="preserve">s </w:t>
      </w:r>
      <w:r>
        <w:t xml:space="preserve">from setting </w:t>
      </w:r>
      <w:r w:rsidR="00935FC0">
        <w:t xml:space="preserve">any </w:t>
      </w:r>
      <w:r>
        <w:t>strict time-limits</w:t>
      </w:r>
      <w:r w:rsidR="00D51634">
        <w:t xml:space="preserve"> beyond “promptly</w:t>
      </w:r>
      <w:r w:rsidR="00F20C3B">
        <w:t>.</w:t>
      </w:r>
      <w:r w:rsidR="00D51634">
        <w:t xml:space="preserve">” </w:t>
      </w:r>
      <w:r w:rsidR="003F557E">
        <w:t xml:space="preserve"> </w:t>
      </w:r>
      <w:r w:rsidR="00F20C3B">
        <w:t>Therefore</w:t>
      </w:r>
      <w:r w:rsidR="003F557E">
        <w:t>,</w:t>
      </w:r>
      <w:r w:rsidR="00F20C3B">
        <w:t xml:space="preserve"> </w:t>
      </w:r>
      <w:r w:rsidR="00B850FC">
        <w:t>t</w:t>
      </w:r>
      <w:r w:rsidR="00E627CC">
        <w:t xml:space="preserve">he United States </w:t>
      </w:r>
      <w:r w:rsidR="005F711C">
        <w:t xml:space="preserve">would urge the Committee </w:t>
      </w:r>
      <w:r w:rsidR="0036566C">
        <w:t xml:space="preserve">not to be categorical in </w:t>
      </w:r>
      <w:r w:rsidR="00D51634">
        <w:t>imposing a 48</w:t>
      </w:r>
      <w:r w:rsidR="008B2BC0">
        <w:t>-</w:t>
      </w:r>
      <w:r w:rsidR="00D51634">
        <w:t>hour limit, even allowing for exceptional circumstances.  This would be better framed as a recommended best practice rather than a firm rule.</w:t>
      </w:r>
      <w:r w:rsidR="00D51634">
        <w:rPr>
          <w:rStyle w:val="FootnoteReference"/>
        </w:rPr>
        <w:footnoteReference w:id="18"/>
      </w:r>
    </w:p>
    <w:p w:rsidR="00ED67FA" w:rsidRDefault="00ED67FA" w:rsidP="005C410D">
      <w:pPr>
        <w:snapToGrid w:val="0"/>
        <w:ind w:left="360"/>
      </w:pPr>
    </w:p>
    <w:p w:rsidR="00547E21" w:rsidRDefault="005C410D" w:rsidP="007376B2">
      <w:pPr>
        <w:numPr>
          <w:ilvl w:val="0"/>
          <w:numId w:val="1"/>
        </w:numPr>
        <w:snapToGrid w:val="0"/>
      </w:pPr>
      <w:r>
        <w:t xml:space="preserve">The United States believes </w:t>
      </w:r>
      <w:r w:rsidR="00B850FC">
        <w:t xml:space="preserve">the Committee’s views in </w:t>
      </w:r>
      <w:r>
        <w:t xml:space="preserve">paragraph 34 </w:t>
      </w:r>
      <w:r w:rsidR="00B850FC">
        <w:t>are not grounded</w:t>
      </w:r>
      <w:r>
        <w:t xml:space="preserve"> </w:t>
      </w:r>
      <w:r w:rsidR="00B850FC">
        <w:t>in</w:t>
      </w:r>
      <w:r w:rsidR="0036566C">
        <w:t xml:space="preserve"> the text of the Covenant </w:t>
      </w:r>
      <w:r>
        <w:t>in</w:t>
      </w:r>
      <w:r w:rsidR="00B850FC">
        <w:t>sofar as they</w:t>
      </w:r>
      <w:r>
        <w:t xml:space="preserve"> </w:t>
      </w:r>
      <w:r w:rsidR="00B850FC">
        <w:t xml:space="preserve">mandate that </w:t>
      </w:r>
      <w:r>
        <w:t xml:space="preserve">an individual be brought </w:t>
      </w:r>
      <w:r w:rsidR="008E759A">
        <w:t xml:space="preserve">physically </w:t>
      </w:r>
      <w:r>
        <w:t xml:space="preserve">before </w:t>
      </w:r>
      <w:r w:rsidR="00B850FC">
        <w:t>a</w:t>
      </w:r>
      <w:r>
        <w:t xml:space="preserve"> judge or authorized judicial officer</w:t>
      </w:r>
      <w:r w:rsidR="00253F3F">
        <w:t xml:space="preserve">. </w:t>
      </w:r>
      <w:r w:rsidR="008E759A">
        <w:t xml:space="preserve"> </w:t>
      </w:r>
      <w:r w:rsidR="00E627CC">
        <w:t>It is not clear whether this pa</w:t>
      </w:r>
      <w:r w:rsidR="00E72A87">
        <w:t>ragraph is addressing Article 9</w:t>
      </w:r>
      <w:r w:rsidR="00E627CC">
        <w:t xml:space="preserve">(3) or 9(4), but neither paragraph contains such an explicit requirement.  </w:t>
      </w:r>
      <w:r w:rsidR="00253F3F">
        <w:t xml:space="preserve">With </w:t>
      </w:r>
      <w:r w:rsidR="00253F3F">
        <w:lastRenderedPageBreak/>
        <w:t>respect to Article 9(3),</w:t>
      </w:r>
      <w:r w:rsidR="00E627CC">
        <w:t xml:space="preserve"> for example, the United States </w:t>
      </w:r>
      <w:r w:rsidR="00E72A87">
        <w:t>guarantees</w:t>
      </w:r>
      <w:r w:rsidR="00E627CC">
        <w:t xml:space="preserve"> a Constitutional right to appear, which generally may be waived</w:t>
      </w:r>
      <w:r w:rsidR="00253F3F">
        <w:t xml:space="preserve">.  In the course of </w:t>
      </w:r>
      <w:r w:rsidR="00253F3F" w:rsidRPr="00984A7D">
        <w:rPr>
          <w:i/>
        </w:rPr>
        <w:t>habeas</w:t>
      </w:r>
      <w:r w:rsidR="00253F3F">
        <w:t xml:space="preserve"> proceedings, however, </w:t>
      </w:r>
      <w:r w:rsidR="00E627CC">
        <w:t xml:space="preserve">a </w:t>
      </w:r>
      <w:r w:rsidR="00253F3F">
        <w:t>court</w:t>
      </w:r>
      <w:r w:rsidR="00E627CC">
        <w:t xml:space="preserve"> </w:t>
      </w:r>
      <w:r w:rsidR="00253F3F">
        <w:t xml:space="preserve">in the United States </w:t>
      </w:r>
      <w:r w:rsidR="00E627CC">
        <w:t xml:space="preserve">may order the presence of </w:t>
      </w:r>
      <w:r w:rsidR="00253F3F">
        <w:t>the</w:t>
      </w:r>
      <w:r w:rsidR="00E627CC">
        <w:t xml:space="preserve"> individual</w:t>
      </w:r>
      <w:r w:rsidR="00253F3F">
        <w:t xml:space="preserve">. </w:t>
      </w:r>
      <w:r w:rsidR="0036566C">
        <w:t xml:space="preserve"> </w:t>
      </w:r>
      <w:r w:rsidR="00B850FC">
        <w:t>T</w:t>
      </w:r>
      <w:r w:rsidR="0036566C">
        <w:t>he United States</w:t>
      </w:r>
      <w:r w:rsidR="00B850FC">
        <w:t>, therefore,</w:t>
      </w:r>
      <w:r w:rsidR="0036566C">
        <w:t xml:space="preserve"> </w:t>
      </w:r>
      <w:r w:rsidR="00B850FC">
        <w:t xml:space="preserve">recommends that paragraph 34 be framed as a recommendation rather than a legal requirement. </w:t>
      </w:r>
    </w:p>
    <w:p w:rsidR="00547E21" w:rsidRDefault="00547E21">
      <w:pPr>
        <w:snapToGrid w:val="0"/>
      </w:pPr>
    </w:p>
    <w:p w:rsidR="005C410D" w:rsidRDefault="005C410D" w:rsidP="00164A17">
      <w:pPr>
        <w:numPr>
          <w:ilvl w:val="0"/>
          <w:numId w:val="1"/>
        </w:numPr>
        <w:snapToGrid w:val="0"/>
      </w:pPr>
      <w:r>
        <w:t>The United States disagrees with statement</w:t>
      </w:r>
      <w:r w:rsidR="007F3CCD">
        <w:t>s</w:t>
      </w:r>
      <w:r>
        <w:t xml:space="preserve"> in paragraph 38 that “[t]</w:t>
      </w:r>
      <w:r w:rsidR="00ED67FA">
        <w:t>he</w:t>
      </w:r>
      <w:r>
        <w:t xml:space="preserve"> second sentence of Paragraph 3 requires that detention in custody of persons awaiting trial shall be the exception rather than the rule” </w:t>
      </w:r>
      <w:r w:rsidR="007F3CCD">
        <w:t xml:space="preserve">and that “[c]ourts must examine whether alternatives to pretrial detention, such as </w:t>
      </w:r>
      <w:r w:rsidR="00E72A87">
        <w:t xml:space="preserve">bail, electronic bracelets, or other conditions, </w:t>
      </w:r>
      <w:r w:rsidR="007F3CCD">
        <w:t xml:space="preserve">would render detention unnecessary in the particular case.” </w:t>
      </w:r>
      <w:r>
        <w:t xml:space="preserve"> </w:t>
      </w:r>
      <w:r w:rsidR="00E72A87">
        <w:t>Paragraph 3</w:t>
      </w:r>
      <w:r>
        <w:t xml:space="preserve"> </w:t>
      </w:r>
      <w:r w:rsidR="00E72A87">
        <w:t>i</w:t>
      </w:r>
      <w:r w:rsidR="007F3CCD">
        <w:t>s</w:t>
      </w:r>
      <w:r>
        <w:t xml:space="preserve"> carefully drafted to be neutral</w:t>
      </w:r>
      <w:r w:rsidR="00984A37">
        <w:t xml:space="preserve"> on this</w:t>
      </w:r>
      <w:r w:rsidR="007F3CCD">
        <w:t xml:space="preserve"> issue,</w:t>
      </w:r>
      <w:r>
        <w:t xml:space="preserve"> </w:t>
      </w:r>
      <w:r w:rsidR="003D0593">
        <w:t>both by</w:t>
      </w:r>
      <w:r>
        <w:t xml:space="preserve"> removing any presumption in favor of </w:t>
      </w:r>
      <w:r w:rsidR="00ED67FA">
        <w:t xml:space="preserve">detention in </w:t>
      </w:r>
      <w:r>
        <w:t xml:space="preserve">custody and in authorizing </w:t>
      </w:r>
      <w:r w:rsidR="003D0593">
        <w:t xml:space="preserve">(but not requiring) </w:t>
      </w:r>
      <w:r>
        <w:t xml:space="preserve">the consideration of alternatives </w:t>
      </w:r>
      <w:r w:rsidR="003D0593">
        <w:t xml:space="preserve">so as to </w:t>
      </w:r>
      <w:r>
        <w:t>permit conditional release in appropriate cases</w:t>
      </w:r>
      <w:r w:rsidR="003D0593">
        <w:t>.</w:t>
      </w:r>
      <w:r w:rsidR="00E72A87">
        <w:rPr>
          <w:rStyle w:val="FootnoteReference"/>
        </w:rPr>
        <w:footnoteReference w:id="19"/>
      </w:r>
      <w:r>
        <w:t xml:space="preserve">  As with other provisions of </w:t>
      </w:r>
      <w:r w:rsidR="003D0593">
        <w:t>Article 9,</w:t>
      </w:r>
      <w:r>
        <w:t xml:space="preserve"> these are matters left to the discretion of the competent judicial authority under the domestic legal regime</w:t>
      </w:r>
      <w:r w:rsidR="00FC4001">
        <w:t>s</w:t>
      </w:r>
      <w:r>
        <w:t xml:space="preserve"> of individual States.  </w:t>
      </w:r>
      <w:r w:rsidR="00E52721">
        <w:t>T</w:t>
      </w:r>
      <w:r w:rsidR="003D0593">
        <w:t>he United States also disagree</w:t>
      </w:r>
      <w:r w:rsidR="003803CF">
        <w:t>s</w:t>
      </w:r>
      <w:r w:rsidR="003D0593">
        <w:t xml:space="preserve"> with the categorical statement </w:t>
      </w:r>
      <w:r w:rsidR="00FC4001">
        <w:t xml:space="preserve">in paragraph 38 </w:t>
      </w:r>
      <w:r w:rsidR="003D0593">
        <w:t xml:space="preserve">that </w:t>
      </w:r>
      <w:r w:rsidR="001D69EE">
        <w:t xml:space="preserve">“a similar requirement results from the prohibition of arbitrary detention in paragraph 1” </w:t>
      </w:r>
      <w:r w:rsidR="008B2BC0">
        <w:t>(</w:t>
      </w:r>
      <w:r w:rsidR="001D69EE">
        <w:t>in other words, in all cases of detention other than for criminal prosecution</w:t>
      </w:r>
      <w:r w:rsidR="008B2BC0">
        <w:t>)</w:t>
      </w:r>
      <w:r w:rsidR="001D69EE">
        <w:t xml:space="preserve">.  Such a requirement cannot reasonably be read into </w:t>
      </w:r>
      <w:r w:rsidR="004C2EB3">
        <w:t xml:space="preserve">the Covenant’s </w:t>
      </w:r>
      <w:r w:rsidR="008C0103">
        <w:t>text</w:t>
      </w:r>
      <w:r w:rsidR="00B850FC">
        <w:t>, which</w:t>
      </w:r>
      <w:r w:rsidR="008C0103">
        <w:t xml:space="preserve"> </w:t>
      </w:r>
      <w:r w:rsidR="004C2EB3">
        <w:t xml:space="preserve">simply </w:t>
      </w:r>
      <w:r w:rsidR="001D69EE">
        <w:t>prohibit</w:t>
      </w:r>
      <w:r w:rsidR="008C0103">
        <w:t>s</w:t>
      </w:r>
      <w:r w:rsidR="001D69EE">
        <w:t xml:space="preserve"> arbitrary arrest </w:t>
      </w:r>
      <w:r w:rsidR="00AE5A32">
        <w:t xml:space="preserve">and </w:t>
      </w:r>
      <w:r w:rsidR="001D69EE">
        <w:t>detention</w:t>
      </w:r>
      <w:r w:rsidR="007F3CCD">
        <w:t xml:space="preserve"> (</w:t>
      </w:r>
      <w:r w:rsidR="001D69EE" w:rsidRPr="00933A79">
        <w:t xml:space="preserve">as </w:t>
      </w:r>
      <w:r w:rsidR="00933A79">
        <w:t>discuss</w:t>
      </w:r>
      <w:r w:rsidR="008B2BC0">
        <w:t>ed</w:t>
      </w:r>
      <w:r w:rsidR="001D69EE" w:rsidRPr="00933A79">
        <w:t xml:space="preserve"> in para</w:t>
      </w:r>
      <w:r w:rsidR="00933A79">
        <w:t>graph</w:t>
      </w:r>
      <w:r w:rsidR="001D69EE" w:rsidRPr="00933A79">
        <w:t xml:space="preserve"> </w:t>
      </w:r>
      <w:r w:rsidR="00AE5A32" w:rsidRPr="008E759A">
        <w:t>31</w:t>
      </w:r>
      <w:r w:rsidR="001D69EE" w:rsidRPr="00933A79">
        <w:t xml:space="preserve"> above)</w:t>
      </w:r>
      <w:r w:rsidR="004C2EB3">
        <w:t xml:space="preserve">. </w:t>
      </w:r>
      <w:r w:rsidR="00B850FC">
        <w:t xml:space="preserve"> </w:t>
      </w:r>
      <w:r w:rsidR="004C2EB3">
        <w:t>C</w:t>
      </w:r>
      <w:r w:rsidR="001D69EE">
        <w:t>onditional release alternative</w:t>
      </w:r>
      <w:r w:rsidR="007F3CCD">
        <w:t>s</w:t>
      </w:r>
      <w:r w:rsidR="001D69EE">
        <w:t xml:space="preserve"> may not even be appropriate to all detention </w:t>
      </w:r>
      <w:r w:rsidR="007F3CCD">
        <w:t>categories</w:t>
      </w:r>
      <w:r w:rsidR="001D69EE">
        <w:t xml:space="preserve">.  </w:t>
      </w:r>
      <w:r w:rsidR="00260BB9">
        <w:t>Moreover</w:t>
      </w:r>
      <w:r w:rsidR="00933A79">
        <w:t>,</w:t>
      </w:r>
      <w:r w:rsidR="00260BB9">
        <w:t xml:space="preserve"> t</w:t>
      </w:r>
      <w:r w:rsidR="001D69EE">
        <w:t xml:space="preserve">he negotiators </w:t>
      </w:r>
      <w:r w:rsidR="00FB066A">
        <w:t>clearly</w:t>
      </w:r>
      <w:r w:rsidR="001D69EE">
        <w:t xml:space="preserve"> drafted paragraph 3 </w:t>
      </w:r>
      <w:r w:rsidR="007A0D6C">
        <w:t>to apply</w:t>
      </w:r>
      <w:r w:rsidR="004C2EB3">
        <w:t xml:space="preserve"> </w:t>
      </w:r>
      <w:r w:rsidR="001D69EE">
        <w:t>only to pretrial detention pending trial</w:t>
      </w:r>
      <w:r w:rsidR="00850449">
        <w:t xml:space="preserve">; this specific </w:t>
      </w:r>
      <w:r w:rsidR="007A0D6C">
        <w:t>framework cannot</w:t>
      </w:r>
      <w:r w:rsidR="00260BB9">
        <w:t xml:space="preserve"> be undone by reference to “arbitrary” in paragraph 1.</w:t>
      </w:r>
      <w:r w:rsidR="001D69EE">
        <w:t xml:space="preserve">  </w:t>
      </w:r>
      <w:r>
        <w:t xml:space="preserve">The paragraph should </w:t>
      </w:r>
      <w:r w:rsidR="007F3CCD">
        <w:t xml:space="preserve">accordingly </w:t>
      </w:r>
      <w:r>
        <w:t>be re</w:t>
      </w:r>
      <w:r w:rsidR="007F3CCD">
        <w:t>framed</w:t>
      </w:r>
      <w:r>
        <w:t xml:space="preserve"> as a recommendation in a manner that would conform to the </w:t>
      </w:r>
      <w:r w:rsidR="00260BB9">
        <w:t xml:space="preserve">Covenant </w:t>
      </w:r>
      <w:r>
        <w:t>text.</w:t>
      </w:r>
    </w:p>
    <w:p w:rsidR="005C410D" w:rsidRDefault="005C410D" w:rsidP="005C410D">
      <w:pPr>
        <w:pStyle w:val="ListParagraph"/>
      </w:pPr>
    </w:p>
    <w:p w:rsidR="00796155" w:rsidRDefault="005C410D" w:rsidP="00164A17">
      <w:pPr>
        <w:numPr>
          <w:ilvl w:val="0"/>
          <w:numId w:val="1"/>
        </w:numPr>
        <w:snapToGrid w:val="0"/>
      </w:pPr>
      <w:r>
        <w:t xml:space="preserve"> With respect to paragraph 40 of the draft General Comment, the United States generally agrees that the right under Article 9(4) to challenge the legality of detention before a court through </w:t>
      </w:r>
      <w:r w:rsidRPr="00984A7D">
        <w:rPr>
          <w:i/>
        </w:rPr>
        <w:t>habeas corpus</w:t>
      </w:r>
      <w:r>
        <w:t xml:space="preserve"> proceedings or other means</w:t>
      </w:r>
      <w:r w:rsidR="00933A79">
        <w:t xml:space="preserve"> </w:t>
      </w:r>
      <w:r w:rsidRPr="00FB066A">
        <w:t xml:space="preserve">applies to any form of detention </w:t>
      </w:r>
      <w:r w:rsidR="00260BB9" w:rsidRPr="00FB066A">
        <w:t>“</w:t>
      </w:r>
      <w:r w:rsidRPr="00FB066A">
        <w:t>by official action or pursuant to official authorization</w:t>
      </w:r>
      <w:r w:rsidR="00260BB9" w:rsidRPr="00FB066A">
        <w:t xml:space="preserve">” with the proviso that any such </w:t>
      </w:r>
      <w:r w:rsidRPr="00FB066A">
        <w:t xml:space="preserve">detention occurs within the scope of </w:t>
      </w:r>
      <w:r w:rsidR="00933A79">
        <w:t xml:space="preserve">application of </w:t>
      </w:r>
      <w:r w:rsidRPr="00FB066A">
        <w:t>the Covenant</w:t>
      </w:r>
      <w:r w:rsidR="008B0FDF">
        <w:t>.</w:t>
      </w:r>
      <w:r>
        <w:t xml:space="preserve">  </w:t>
      </w:r>
      <w:r w:rsidR="007A0D6C">
        <w:t xml:space="preserve">The United States recommends, however, for the reasons explained in </w:t>
      </w:r>
      <w:r w:rsidR="00E22F7C" w:rsidRPr="00802E08">
        <w:t xml:space="preserve">paragraph </w:t>
      </w:r>
      <w:r w:rsidR="00E22F7C" w:rsidRPr="008E759A">
        <w:t>29</w:t>
      </w:r>
      <w:r w:rsidR="007A0D6C">
        <w:t xml:space="preserve"> above, that the General Comment be less categorical with respect to conditions of detention, such as </w:t>
      </w:r>
      <w:r w:rsidR="007A0D6C" w:rsidRPr="00847A7B">
        <w:t>solitary confinement and the use of restraint devices</w:t>
      </w:r>
      <w:r w:rsidR="007A0D6C">
        <w:t>.</w:t>
      </w:r>
      <w:r w:rsidR="00FB066A">
        <w:t xml:space="preserve"> </w:t>
      </w:r>
    </w:p>
    <w:p w:rsidR="00410A96" w:rsidRDefault="00410A96" w:rsidP="00410A96">
      <w:pPr>
        <w:snapToGrid w:val="0"/>
      </w:pPr>
    </w:p>
    <w:p w:rsidR="00815814" w:rsidRDefault="00B96123" w:rsidP="00D73300">
      <w:pPr>
        <w:numPr>
          <w:ilvl w:val="0"/>
          <w:numId w:val="1"/>
        </w:numPr>
        <w:snapToGrid w:val="0"/>
      </w:pPr>
      <w:r>
        <w:t xml:space="preserve">The </w:t>
      </w:r>
      <w:r w:rsidR="00490DC2">
        <w:t xml:space="preserve">issue </w:t>
      </w:r>
      <w:r w:rsidR="00815814">
        <w:t xml:space="preserve">addressed in paragraph </w:t>
      </w:r>
      <w:r w:rsidR="00E52721">
        <w:t xml:space="preserve">43 </w:t>
      </w:r>
      <w:r w:rsidR="00815814">
        <w:t>regarding</w:t>
      </w:r>
      <w:r w:rsidR="00490DC2">
        <w:t xml:space="preserve"> entitlement to pursue a succession of </w:t>
      </w:r>
      <w:r w:rsidR="00490DC2" w:rsidRPr="00984A7D">
        <w:rPr>
          <w:i/>
        </w:rPr>
        <w:t>habeas</w:t>
      </w:r>
      <w:r w:rsidR="00490DC2">
        <w:t xml:space="preserve"> proceedings after “an appropriate period of time</w:t>
      </w:r>
      <w:r w:rsidR="001A7F24">
        <w:t>”</w:t>
      </w:r>
      <w:r w:rsidR="00490DC2">
        <w:t xml:space="preserve"> fin</w:t>
      </w:r>
      <w:r>
        <w:t>d</w:t>
      </w:r>
      <w:r w:rsidR="00490DC2">
        <w:t xml:space="preserve">s no support in the text of Article 9(4) and </w:t>
      </w:r>
      <w:r w:rsidR="009C3D33">
        <w:t xml:space="preserve">would </w:t>
      </w:r>
      <w:r w:rsidR="00815814">
        <w:t xml:space="preserve">at best </w:t>
      </w:r>
      <w:r w:rsidR="009C3D33">
        <w:t>be a recommendation</w:t>
      </w:r>
      <w:r w:rsidR="00490DC2">
        <w:t xml:space="preserve"> </w:t>
      </w:r>
      <w:r w:rsidR="00815814">
        <w:t xml:space="preserve">better </w:t>
      </w:r>
      <w:r w:rsidR="00490DC2">
        <w:t xml:space="preserve">left </w:t>
      </w:r>
      <w:r w:rsidR="005F5E62">
        <w:t>for domestic legal processes to address.  This may not be the practice in many countries</w:t>
      </w:r>
      <w:r w:rsidR="00410A96">
        <w:t>.</w:t>
      </w:r>
      <w:r w:rsidR="005F5E62">
        <w:t xml:space="preserve">  Passage of time alon</w:t>
      </w:r>
      <w:r w:rsidR="00782723">
        <w:t>e</w:t>
      </w:r>
      <w:r w:rsidR="005F5E62">
        <w:t xml:space="preserve"> </w:t>
      </w:r>
      <w:r w:rsidR="009C3D33">
        <w:t xml:space="preserve">without any </w:t>
      </w:r>
      <w:r w:rsidR="005F5E62">
        <w:t xml:space="preserve">change in circumstances would not in itself justify re-litigation of the legal basis for detention. </w:t>
      </w:r>
    </w:p>
    <w:p w:rsidR="00D73300" w:rsidRDefault="00D73300" w:rsidP="00D73300">
      <w:pPr>
        <w:snapToGrid w:val="0"/>
        <w:ind w:left="360"/>
      </w:pPr>
    </w:p>
    <w:p w:rsidR="00253F3F" w:rsidRPr="00F36670" w:rsidRDefault="001B7714" w:rsidP="00C7688C">
      <w:pPr>
        <w:numPr>
          <w:ilvl w:val="0"/>
          <w:numId w:val="1"/>
        </w:numPr>
        <w:snapToGrid w:val="0"/>
      </w:pPr>
      <w:r w:rsidRPr="00F36670">
        <w:t>For the reasons detailed in the U.S. Observations on General Comment 31, t</w:t>
      </w:r>
      <w:r w:rsidR="00253F3F" w:rsidRPr="00F36670">
        <w:rPr>
          <w:iCs/>
        </w:rPr>
        <w:t>he United States disagrees with the assertion in paragraph 57 that</w:t>
      </w:r>
      <w:r w:rsidRPr="00F36670">
        <w:rPr>
          <w:iCs/>
        </w:rPr>
        <w:t>: “R</w:t>
      </w:r>
      <w:r w:rsidR="00253F3F" w:rsidRPr="00F36670">
        <w:rPr>
          <w:iCs/>
        </w:rPr>
        <w:t xml:space="preserve">eturning an individual to a country where </w:t>
      </w:r>
      <w:r w:rsidR="00253F3F" w:rsidRPr="00F36670">
        <w:rPr>
          <w:iCs/>
        </w:rPr>
        <w:lastRenderedPageBreak/>
        <w:t>a real risk of a severe violation of liberty or security of person such as prolonged arbitrary detention exists may amount to inhuman treatment prohibited by article 7 of the Covenant</w:t>
      </w:r>
      <w:r w:rsidRPr="00F36670">
        <w:rPr>
          <w:iCs/>
        </w:rPr>
        <w:t>.</w:t>
      </w:r>
      <w:r w:rsidR="00253F3F" w:rsidRPr="00F36670">
        <w:t xml:space="preserve">” </w:t>
      </w:r>
    </w:p>
    <w:p w:rsidR="00F36670" w:rsidRPr="00F36670" w:rsidRDefault="00F36670" w:rsidP="00F36670">
      <w:pPr>
        <w:pStyle w:val="ListParagraph"/>
      </w:pPr>
    </w:p>
    <w:p w:rsidR="00773B9B" w:rsidRPr="007228A4" w:rsidRDefault="00F36670" w:rsidP="007228A4">
      <w:pPr>
        <w:numPr>
          <w:ilvl w:val="0"/>
          <w:numId w:val="1"/>
        </w:numPr>
        <w:snapToGrid w:val="0"/>
        <w:sectPr w:rsidR="00773B9B" w:rsidRPr="007228A4" w:rsidSect="00287E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pPr>
      <w:r w:rsidRPr="00F36670">
        <w:t xml:space="preserve">The United States Government concludes these Observations with a statement of its appreciation for the work of the Human Rights Committee.  </w:t>
      </w:r>
      <w:r w:rsidR="00AC59BA">
        <w:t xml:space="preserve">The United States </w:t>
      </w:r>
      <w:r w:rsidRPr="00F36670">
        <w:t>fully appreciates the Committee’s continuing efforts to advise States Parties on issues related to their implementation of the treaty</w:t>
      </w:r>
      <w:r w:rsidR="00AC59BA">
        <w:t xml:space="preserve"> an</w:t>
      </w:r>
      <w:r w:rsidR="00285EC3">
        <w:t>d</w:t>
      </w:r>
      <w:r w:rsidRPr="00F36670">
        <w:t xml:space="preserve"> looks forward to its continuing dialogue wit</w:t>
      </w:r>
      <w:r w:rsidR="007228A4">
        <w:t>h the Committee on these issues.</w:t>
      </w:r>
    </w:p>
    <w:p w:rsidR="003A3906" w:rsidRDefault="003A3906" w:rsidP="007228A4"/>
    <w:sectPr w:rsidR="003A3906" w:rsidSect="00055838">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AB" w:rsidRDefault="00F40EAB">
      <w:r>
        <w:separator/>
      </w:r>
    </w:p>
  </w:endnote>
  <w:endnote w:type="continuationSeparator" w:id="0">
    <w:p w:rsidR="00F40EAB" w:rsidRDefault="00F4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31" w:rsidRDefault="00F24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31" w:rsidRDefault="00F24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31" w:rsidRDefault="00F246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D3" w:rsidRDefault="003946A9">
    <w:pPr>
      <w:pStyle w:val="Footer"/>
      <w:jc w:val="center"/>
    </w:pPr>
    <w:r>
      <w:fldChar w:fldCharType="begin"/>
    </w:r>
    <w:r w:rsidR="00F168FB">
      <w:instrText xml:space="preserve"> PAGE   \* MERGEFORMAT </w:instrText>
    </w:r>
    <w:r>
      <w:fldChar w:fldCharType="separate"/>
    </w:r>
    <w:r w:rsidR="007005D4">
      <w:rPr>
        <w:noProof/>
      </w:rPr>
      <w:t>16</w:t>
    </w:r>
    <w:r>
      <w:rPr>
        <w:noProof/>
      </w:rPr>
      <w:fldChar w:fldCharType="end"/>
    </w:r>
  </w:p>
  <w:p w:rsidR="00E435D3" w:rsidRDefault="00E435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AB" w:rsidRDefault="00F40EAB">
      <w:r>
        <w:separator/>
      </w:r>
    </w:p>
  </w:footnote>
  <w:footnote w:type="continuationSeparator" w:id="0">
    <w:p w:rsidR="00F40EAB" w:rsidRDefault="00F40EAB">
      <w:r>
        <w:continuationSeparator/>
      </w:r>
    </w:p>
  </w:footnote>
  <w:footnote w:id="1">
    <w:p w:rsidR="00E435D3" w:rsidRDefault="00E435D3" w:rsidP="00773B9B">
      <w:pPr>
        <w:pStyle w:val="FootnoteText"/>
      </w:pPr>
      <w:r>
        <w:rPr>
          <w:rStyle w:val="FootnoteReference"/>
        </w:rPr>
        <w:footnoteRef/>
      </w:r>
      <w:r>
        <w:t xml:space="preserve"> </w:t>
      </w:r>
      <w:r>
        <w:rPr>
          <w:i/>
        </w:rPr>
        <w:t>Draft General Comment No. 35: Article 9</w:t>
      </w:r>
      <w:r>
        <w:t xml:space="preserve">, Human Rights Committee, hundred and tenth session, Geneva, March 29, 2010. Available at: </w:t>
      </w:r>
      <w:hyperlink r:id="rId1" w:history="1">
        <w:r w:rsidRPr="00CE0E44">
          <w:rPr>
            <w:rStyle w:val="Hyperlink"/>
          </w:rPr>
          <w:t>http://www.ohchr.org/Documents/HRBodies/CCPR/GConArticle9/CallComments/DGC_Article9_RighttoLiberty.doc</w:t>
        </w:r>
      </w:hyperlink>
      <w:r>
        <w:rPr>
          <w:rFonts w:ascii="Bookman Old Style" w:hAnsi="Bookman Old Style"/>
          <w:color w:val="1F497D"/>
          <w:sz w:val="22"/>
          <w:szCs w:val="22"/>
        </w:rPr>
        <w:t xml:space="preserve"> </w:t>
      </w:r>
    </w:p>
  </w:footnote>
  <w:footnote w:id="2">
    <w:p w:rsidR="00E435D3" w:rsidRDefault="00E435D3" w:rsidP="00305BB4">
      <w:pPr>
        <w:pStyle w:val="FootnoteText"/>
      </w:pPr>
      <w:r>
        <w:rPr>
          <w:rStyle w:val="FootnoteReference"/>
        </w:rPr>
        <w:footnoteRef/>
      </w:r>
      <w:r>
        <w:t xml:space="preserve"> </w:t>
      </w:r>
      <w:r w:rsidR="00DD03AB">
        <w:t xml:space="preserve"> </w:t>
      </w:r>
      <w:r w:rsidR="00DD03AB" w:rsidRPr="00A36C2A">
        <w:t>“Within its scope of application” is used throughout to mean</w:t>
      </w:r>
      <w:r w:rsidR="0004542A">
        <w:t xml:space="preserve"> </w:t>
      </w:r>
      <w:r w:rsidR="00A36C2A">
        <w:t xml:space="preserve">both </w:t>
      </w:r>
      <w:r w:rsidRPr="00A36C2A">
        <w:t xml:space="preserve">within the territory of a State Party and subject to its jurisdiction (see paragraph 5 above) and in situations not involving the conduct of hostilities or the protection of war victims in which the law of armed conflict, as the </w:t>
      </w:r>
      <w:r w:rsidRPr="00A36C2A">
        <w:rPr>
          <w:i/>
        </w:rPr>
        <w:t>lex specialis</w:t>
      </w:r>
      <w:r w:rsidRPr="00A36C2A">
        <w:t>, would be the controlling body of law (see Part IV below).</w:t>
      </w:r>
    </w:p>
  </w:footnote>
  <w:footnote w:id="3">
    <w:p w:rsidR="00E435D3" w:rsidRPr="001C1EC2" w:rsidRDefault="00E435D3" w:rsidP="001C1EC2">
      <w:pPr>
        <w:autoSpaceDE w:val="0"/>
        <w:autoSpaceDN w:val="0"/>
        <w:adjustRightInd w:val="0"/>
        <w:rPr>
          <w:b/>
          <w:sz w:val="20"/>
          <w:szCs w:val="20"/>
          <w:u w:val="single"/>
        </w:rPr>
      </w:pPr>
      <w:r w:rsidRPr="00E136DF">
        <w:rPr>
          <w:rStyle w:val="FootnoteReference"/>
          <w:sz w:val="20"/>
          <w:szCs w:val="20"/>
        </w:rPr>
        <w:footnoteRef/>
      </w:r>
      <w:r w:rsidRPr="00E136DF">
        <w:rPr>
          <w:sz w:val="20"/>
          <w:szCs w:val="20"/>
        </w:rPr>
        <w:t xml:space="preserve"> Given the ordinary meaning and context of the terms of Article 9, there </w:t>
      </w:r>
      <w:r>
        <w:rPr>
          <w:sz w:val="20"/>
          <w:szCs w:val="20"/>
        </w:rPr>
        <w:t xml:space="preserve">is </w:t>
      </w:r>
      <w:r w:rsidRPr="00E136DF">
        <w:rPr>
          <w:sz w:val="20"/>
          <w:szCs w:val="20"/>
        </w:rPr>
        <w:t xml:space="preserve">no need to look to supplementary means of interpretation, including the preparatory work of the treaty and the circumstances of its conclusion; however examination of that preparatory work </w:t>
      </w:r>
      <w:r>
        <w:rPr>
          <w:sz w:val="20"/>
          <w:szCs w:val="20"/>
        </w:rPr>
        <w:t xml:space="preserve">also </w:t>
      </w:r>
      <w:r w:rsidRPr="00E136DF">
        <w:rPr>
          <w:sz w:val="20"/>
          <w:szCs w:val="20"/>
        </w:rPr>
        <w:t xml:space="preserve">reveals an absence of evidence to support a broader scope.  </w:t>
      </w:r>
      <w:r w:rsidRPr="00DD03AB">
        <w:rPr>
          <w:sz w:val="20"/>
          <w:szCs w:val="20"/>
        </w:rPr>
        <w:t>The original text of the article considered by the Human Rights Commission pertained solely to detention (</w:t>
      </w:r>
      <w:r w:rsidRPr="00DD03AB">
        <w:rPr>
          <w:i/>
          <w:sz w:val="20"/>
          <w:szCs w:val="20"/>
        </w:rPr>
        <w:t>See</w:t>
      </w:r>
      <w:r w:rsidRPr="00DD03AB">
        <w:rPr>
          <w:sz w:val="20"/>
          <w:szCs w:val="20"/>
        </w:rPr>
        <w:t xml:space="preserve"> Report of the Commission on Human Rights, Second Session, E/600, Annex B, December 17, 1947). It was not until the 8</w:t>
      </w:r>
      <w:r w:rsidRPr="00DD03AB">
        <w:rPr>
          <w:sz w:val="20"/>
          <w:szCs w:val="20"/>
          <w:vertAlign w:val="superscript"/>
        </w:rPr>
        <w:t>th</w:t>
      </w:r>
      <w:r w:rsidRPr="00DD03AB">
        <w:rPr>
          <w:sz w:val="20"/>
          <w:szCs w:val="20"/>
        </w:rPr>
        <w:t xml:space="preserve"> session of the Human Rights Commission in 1952, five years into the negotiation of the provision, that the United Kingdom first proposed adding the first sentence to Article 9(1): “Everyone has the right to liberty and security of person” (E/CN.4/L.137), and Poland included it later in the Session </w:t>
      </w:r>
      <w:r w:rsidR="00B25DF9" w:rsidRPr="00DD03AB">
        <w:rPr>
          <w:sz w:val="20"/>
          <w:szCs w:val="20"/>
        </w:rPr>
        <w:t>(E/CN.4/L.183)</w:t>
      </w:r>
      <w:r w:rsidR="00B25DF9">
        <w:rPr>
          <w:sz w:val="20"/>
          <w:szCs w:val="20"/>
        </w:rPr>
        <w:t xml:space="preserve">, </w:t>
      </w:r>
      <w:r w:rsidRPr="00DD03AB">
        <w:rPr>
          <w:sz w:val="20"/>
          <w:szCs w:val="20"/>
        </w:rPr>
        <w:t xml:space="preserve">the form </w:t>
      </w:r>
      <w:r w:rsidR="00B25DF9">
        <w:rPr>
          <w:sz w:val="20"/>
          <w:szCs w:val="20"/>
        </w:rPr>
        <w:t xml:space="preserve">in which </w:t>
      </w:r>
      <w:proofErr w:type="gramStart"/>
      <w:r w:rsidR="00B25DF9">
        <w:rPr>
          <w:sz w:val="20"/>
          <w:szCs w:val="20"/>
        </w:rPr>
        <w:t xml:space="preserve">it </w:t>
      </w:r>
      <w:r w:rsidRPr="00DD03AB">
        <w:rPr>
          <w:sz w:val="20"/>
          <w:szCs w:val="20"/>
        </w:rPr>
        <w:t xml:space="preserve"> was</w:t>
      </w:r>
      <w:proofErr w:type="gramEnd"/>
      <w:r w:rsidRPr="00DD03AB">
        <w:rPr>
          <w:sz w:val="20"/>
          <w:szCs w:val="20"/>
        </w:rPr>
        <w:t xml:space="preserve"> adopted</w:t>
      </w:r>
      <w:r w:rsidR="00B25DF9">
        <w:rPr>
          <w:sz w:val="20"/>
          <w:szCs w:val="20"/>
        </w:rPr>
        <w:t xml:space="preserve"> by the Commission</w:t>
      </w:r>
      <w:r w:rsidRPr="00DD03AB">
        <w:rPr>
          <w:sz w:val="20"/>
          <w:szCs w:val="20"/>
        </w:rPr>
        <w:t>. (</w:t>
      </w:r>
      <w:r w:rsidRPr="00DD03AB">
        <w:rPr>
          <w:i/>
          <w:sz w:val="20"/>
          <w:szCs w:val="20"/>
        </w:rPr>
        <w:t>See</w:t>
      </w:r>
      <w:r w:rsidRPr="00DD03AB">
        <w:rPr>
          <w:sz w:val="20"/>
          <w:szCs w:val="20"/>
        </w:rPr>
        <w:t xml:space="preserve"> E/CN.4/SR/ 314.)  Debate on Article 9</w:t>
      </w:r>
      <w:r w:rsidR="005A7CCF">
        <w:rPr>
          <w:sz w:val="20"/>
          <w:szCs w:val="20"/>
        </w:rPr>
        <w:t xml:space="preserve"> </w:t>
      </w:r>
      <w:r w:rsidRPr="00DD03AB">
        <w:rPr>
          <w:sz w:val="20"/>
          <w:szCs w:val="20"/>
        </w:rPr>
        <w:t>thereafter continued to focus on how the article would apply in different situations of arrest and detention and the substantive and procedural obligations that would give effect and meaning to the right to liberty and security of persons during arrest or detention. (</w:t>
      </w:r>
      <w:r w:rsidRPr="00DD03AB">
        <w:rPr>
          <w:i/>
          <w:sz w:val="20"/>
          <w:szCs w:val="20"/>
        </w:rPr>
        <w:t xml:space="preserve">See generally </w:t>
      </w:r>
      <w:r w:rsidRPr="00DD03AB">
        <w:rPr>
          <w:sz w:val="20"/>
          <w:szCs w:val="20"/>
        </w:rPr>
        <w:t>A/4045, Report of the Third Committee in adopting Article 9 among other articles, pp. 11-22 (9 December 1958) and related summary records, A/C.3/SR.861-866 (23-29 October 1958); s</w:t>
      </w:r>
      <w:r w:rsidRPr="00DD03AB">
        <w:rPr>
          <w:i/>
          <w:sz w:val="20"/>
          <w:szCs w:val="20"/>
        </w:rPr>
        <w:t xml:space="preserve">ee also </w:t>
      </w:r>
      <w:r w:rsidRPr="00DD03AB">
        <w:rPr>
          <w:sz w:val="20"/>
          <w:szCs w:val="20"/>
        </w:rPr>
        <w:t>A/2929, Draft International Covenants on Human Rights, Annotation prepared by the Secretary-General, pages 98-103 (1 July 1955) and related summary records E/CN.4/SR 313-314 (10-11 June 1952).)</w:t>
      </w:r>
      <w:r w:rsidRPr="00DD03AB" w:rsidDel="001C1FAA">
        <w:rPr>
          <w:sz w:val="20"/>
          <w:szCs w:val="20"/>
        </w:rPr>
        <w:t xml:space="preserve"> </w:t>
      </w:r>
      <w:r w:rsidRPr="00DD03AB">
        <w:rPr>
          <w:sz w:val="20"/>
          <w:szCs w:val="20"/>
        </w:rPr>
        <w:t>Thus the re-articulation of the UDHR right did not alter the focus of the article text, other than to combine a guarantee and considerations of security</w:t>
      </w:r>
      <w:r w:rsidR="00360FB4">
        <w:rPr>
          <w:sz w:val="20"/>
          <w:szCs w:val="20"/>
        </w:rPr>
        <w:t xml:space="preserve"> </w:t>
      </w:r>
      <w:r w:rsidRPr="00DD03AB">
        <w:rPr>
          <w:sz w:val="20"/>
          <w:szCs w:val="20"/>
        </w:rPr>
        <w:t>with the substantive and procedural guarantees required to ensure that an arrest or detention is neither arbitrary nor unlawful.</w:t>
      </w:r>
      <w:r w:rsidRPr="001C1EC2">
        <w:rPr>
          <w:sz w:val="20"/>
          <w:szCs w:val="20"/>
        </w:rPr>
        <w:t xml:space="preserve">  </w:t>
      </w:r>
    </w:p>
    <w:p w:rsidR="00E435D3" w:rsidRPr="001C1EC2" w:rsidRDefault="00E435D3" w:rsidP="007F4586">
      <w:pPr>
        <w:pStyle w:val="FootnoteText"/>
      </w:pPr>
    </w:p>
  </w:footnote>
  <w:footnote w:id="4">
    <w:p w:rsidR="00E435D3" w:rsidRDefault="00E435D3" w:rsidP="009A44AC">
      <w:pPr>
        <w:pStyle w:val="FootnoteText"/>
      </w:pPr>
      <w:r>
        <w:rPr>
          <w:rStyle w:val="FootnoteReference"/>
        </w:rPr>
        <w:footnoteRef/>
      </w:r>
      <w:r>
        <w:t xml:space="preserve">  </w:t>
      </w:r>
      <w:r w:rsidRPr="00DD03AB">
        <w:t>A broader right to security of person is guaranteed in related articles of the Covenant; there is thus no need to read this right more broadly into Article 9, when the text of that article does not provide any further elaboration of that right.  As discussed in paragraphs 53-61 of the draft General Comment, the procedural and substantive guarantees of Article 9 overlap and interact with other articles of the Covenant that further guarantee the security of person, notably Articles 6-10 and perhaps indirectly Article 14.  Indeed</w:t>
      </w:r>
      <w:r w:rsidR="0004542A">
        <w:t>,</w:t>
      </w:r>
      <w:r w:rsidRPr="00DD03AB">
        <w:t xml:space="preserve"> Article 10 was clearly intended to complement Article 9 in setting forth the procedural and substantive requirements with particular attention to both accused and convicted persons to ensure that “[a]ll persons deprived of their liberty shall be treated with humanity and with respect for the inherent dignity of the human person.”</w:t>
      </w:r>
      <w:r>
        <w:t xml:space="preserve">  </w:t>
      </w:r>
    </w:p>
  </w:footnote>
  <w:footnote w:id="5">
    <w:p w:rsidR="00E435D3" w:rsidRDefault="00E435D3" w:rsidP="003723D5">
      <w:pPr>
        <w:autoSpaceDE w:val="0"/>
        <w:autoSpaceDN w:val="0"/>
        <w:adjustRightInd w:val="0"/>
        <w:rPr>
          <w:sz w:val="20"/>
          <w:szCs w:val="20"/>
          <w:lang w:val="en-CA"/>
        </w:rPr>
      </w:pPr>
      <w:r>
        <w:rPr>
          <w:rStyle w:val="FootnoteReference"/>
        </w:rPr>
        <w:footnoteRef/>
      </w:r>
      <w:r>
        <w:t xml:space="preserve"> </w:t>
      </w:r>
      <w:r>
        <w:rPr>
          <w:sz w:val="20"/>
          <w:szCs w:val="20"/>
        </w:rPr>
        <w:t>A/C.3/SR.107 (19 October 1948)</w:t>
      </w:r>
      <w:r w:rsidRPr="00206E9C">
        <w:rPr>
          <w:sz w:val="20"/>
          <w:szCs w:val="20"/>
        </w:rPr>
        <w:t xml:space="preserve">.  The USSR presented this amendment </w:t>
      </w:r>
      <w:r>
        <w:rPr>
          <w:sz w:val="20"/>
          <w:szCs w:val="20"/>
        </w:rPr>
        <w:t xml:space="preserve">to UDHR Article 3 </w:t>
      </w:r>
      <w:r w:rsidRPr="00206E9C">
        <w:rPr>
          <w:sz w:val="20"/>
          <w:szCs w:val="20"/>
        </w:rPr>
        <w:t xml:space="preserve">citing a pattern of racial lynching in the American </w:t>
      </w:r>
      <w:r w:rsidR="00272519">
        <w:rPr>
          <w:sz w:val="20"/>
          <w:szCs w:val="20"/>
        </w:rPr>
        <w:t>S</w:t>
      </w:r>
      <w:r w:rsidRPr="00206E9C">
        <w:rPr>
          <w:sz w:val="20"/>
          <w:szCs w:val="20"/>
        </w:rPr>
        <w:t xml:space="preserve">outh at that time. Although </w:t>
      </w:r>
      <w:r>
        <w:rPr>
          <w:sz w:val="20"/>
          <w:szCs w:val="20"/>
        </w:rPr>
        <w:t xml:space="preserve">it was </w:t>
      </w:r>
      <w:r w:rsidRPr="00206E9C">
        <w:rPr>
          <w:sz w:val="20"/>
          <w:szCs w:val="20"/>
        </w:rPr>
        <w:t>originally introduce</w:t>
      </w:r>
      <w:r>
        <w:rPr>
          <w:sz w:val="20"/>
          <w:szCs w:val="20"/>
        </w:rPr>
        <w:t>d</w:t>
      </w:r>
      <w:r w:rsidRPr="00206E9C">
        <w:rPr>
          <w:sz w:val="20"/>
          <w:szCs w:val="20"/>
        </w:rPr>
        <w:t xml:space="preserve"> in reference to the right to life, </w:t>
      </w:r>
      <w:r>
        <w:rPr>
          <w:sz w:val="20"/>
          <w:szCs w:val="20"/>
        </w:rPr>
        <w:t>t</w:t>
      </w:r>
      <w:r w:rsidRPr="00206E9C">
        <w:rPr>
          <w:sz w:val="20"/>
          <w:szCs w:val="20"/>
        </w:rPr>
        <w:t xml:space="preserve">he </w:t>
      </w:r>
      <w:r>
        <w:rPr>
          <w:sz w:val="20"/>
          <w:szCs w:val="20"/>
        </w:rPr>
        <w:t>representative of the USSR clarified</w:t>
      </w:r>
      <w:r w:rsidRPr="00206E9C">
        <w:rPr>
          <w:sz w:val="20"/>
          <w:szCs w:val="20"/>
        </w:rPr>
        <w:t xml:space="preserve"> during the debate that it </w:t>
      </w:r>
      <w:r>
        <w:rPr>
          <w:sz w:val="20"/>
          <w:szCs w:val="20"/>
        </w:rPr>
        <w:t xml:space="preserve">would </w:t>
      </w:r>
      <w:r w:rsidRPr="00206E9C">
        <w:rPr>
          <w:sz w:val="20"/>
          <w:szCs w:val="20"/>
        </w:rPr>
        <w:t>modify all three rights contained in Article 3.  The sentence was rejected 26</w:t>
      </w:r>
      <w:r>
        <w:rPr>
          <w:sz w:val="20"/>
          <w:szCs w:val="20"/>
        </w:rPr>
        <w:t>:</w:t>
      </w:r>
      <w:r w:rsidRPr="00206E9C">
        <w:rPr>
          <w:sz w:val="20"/>
          <w:szCs w:val="20"/>
        </w:rPr>
        <w:t>10 with 9 abstentions.</w:t>
      </w:r>
    </w:p>
    <w:p w:rsidR="00E435D3" w:rsidRPr="00206E9C" w:rsidRDefault="00E435D3" w:rsidP="003723D5">
      <w:pPr>
        <w:autoSpaceDE w:val="0"/>
        <w:autoSpaceDN w:val="0"/>
        <w:adjustRightInd w:val="0"/>
        <w:rPr>
          <w:sz w:val="20"/>
          <w:szCs w:val="20"/>
        </w:rPr>
      </w:pPr>
    </w:p>
  </w:footnote>
  <w:footnote w:id="6">
    <w:p w:rsidR="00E435D3" w:rsidRDefault="00E435D3" w:rsidP="00773B9B">
      <w:pPr>
        <w:pStyle w:val="FootnoteText"/>
      </w:pPr>
      <w:r>
        <w:rPr>
          <w:rStyle w:val="FootnoteReference"/>
        </w:rPr>
        <w:footnoteRef/>
      </w:r>
      <w:r>
        <w:t xml:space="preserve"> The United States ratified the CERD with a reservation that it did not accept any obligation to enact legislation or take other measures with respect to private conduct except as mandated by the Constitution and laws of the United States.  </w:t>
      </w:r>
    </w:p>
    <w:p w:rsidR="00E435D3" w:rsidRDefault="00E435D3" w:rsidP="00773B9B">
      <w:pPr>
        <w:pStyle w:val="FootnoteText"/>
      </w:pPr>
    </w:p>
  </w:footnote>
  <w:footnote w:id="7">
    <w:p w:rsidR="00E435D3" w:rsidRDefault="00E435D3" w:rsidP="00773B9B">
      <w:pPr>
        <w:pStyle w:val="FootnoteText"/>
      </w:pPr>
      <w:r>
        <w:rPr>
          <w:rStyle w:val="FootnoteReference"/>
        </w:rPr>
        <w:footnoteRef/>
      </w:r>
      <w:r>
        <w:t xml:space="preserve"> CERD, Article 2(1</w:t>
      </w:r>
      <w:proofErr w:type="gramStart"/>
      <w:r>
        <w:t>)(</w:t>
      </w:r>
      <w:proofErr w:type="gramEnd"/>
      <w:r>
        <w:t>d), providing that States Parties undertake to “prohibit and bring to an end, by all appropriate means, including legislation as required by circumstances, racial discrimination by any persons, group or organization.”</w:t>
      </w:r>
    </w:p>
    <w:p w:rsidR="00E435D3" w:rsidRDefault="00E435D3" w:rsidP="00773B9B">
      <w:pPr>
        <w:pStyle w:val="FootnoteText"/>
      </w:pPr>
    </w:p>
  </w:footnote>
  <w:footnote w:id="8">
    <w:p w:rsidR="00E435D3" w:rsidRDefault="00E435D3" w:rsidP="00773B9B">
      <w:pPr>
        <w:pStyle w:val="FootnoteText"/>
      </w:pPr>
      <w:r>
        <w:rPr>
          <w:rStyle w:val="FootnoteReference"/>
        </w:rPr>
        <w:footnoteRef/>
      </w:r>
      <w:r>
        <w:t xml:space="preserve"> CEDAW,</w:t>
      </w:r>
      <w:r>
        <w:rPr>
          <w:i/>
        </w:rPr>
        <w:t xml:space="preserve"> </w:t>
      </w:r>
      <w:r>
        <w:t>Article 2(e), providing that States Parties undertake “[t]o take all appropriate measures to eliminate discrimination against women by any person, organization or enterprise.”</w:t>
      </w:r>
    </w:p>
    <w:p w:rsidR="00E435D3" w:rsidRDefault="00E435D3" w:rsidP="00773B9B">
      <w:pPr>
        <w:pStyle w:val="FootnoteText"/>
      </w:pPr>
    </w:p>
  </w:footnote>
  <w:footnote w:id="9">
    <w:p w:rsidR="00E435D3" w:rsidRPr="00632EAF" w:rsidRDefault="00E435D3" w:rsidP="00C65310">
      <w:pPr>
        <w:tabs>
          <w:tab w:val="left" w:pos="0"/>
        </w:tabs>
        <w:rPr>
          <w:sz w:val="20"/>
          <w:szCs w:val="20"/>
        </w:rPr>
      </w:pPr>
      <w:r w:rsidRPr="00632EAF">
        <w:rPr>
          <w:rStyle w:val="FootnoteReference"/>
          <w:sz w:val="20"/>
          <w:szCs w:val="20"/>
        </w:rPr>
        <w:footnoteRef/>
      </w:r>
      <w:r w:rsidRPr="00632EAF">
        <w:rPr>
          <w:sz w:val="20"/>
          <w:szCs w:val="20"/>
        </w:rPr>
        <w:t xml:space="preserve"> Convention of Belem do Para, Article 7(b)</w:t>
      </w:r>
      <w:r w:rsidR="00354BF2" w:rsidRPr="00632EAF">
        <w:rPr>
          <w:sz w:val="20"/>
          <w:szCs w:val="20"/>
        </w:rPr>
        <w:t xml:space="preserve"> and (g)</w:t>
      </w:r>
      <w:r w:rsidRPr="00632EAF">
        <w:rPr>
          <w:sz w:val="20"/>
          <w:szCs w:val="20"/>
        </w:rPr>
        <w:t xml:space="preserve">; </w:t>
      </w:r>
      <w:r w:rsidR="000B1153" w:rsidRPr="00632EAF">
        <w:rPr>
          <w:sz w:val="20"/>
          <w:szCs w:val="20"/>
        </w:rPr>
        <w:t xml:space="preserve">COE </w:t>
      </w:r>
      <w:r w:rsidRPr="00632EAF">
        <w:rPr>
          <w:sz w:val="20"/>
          <w:szCs w:val="20"/>
        </w:rPr>
        <w:t>Convention, Article 5(2).</w:t>
      </w:r>
    </w:p>
    <w:p w:rsidR="00E435D3" w:rsidRPr="00632EAF" w:rsidRDefault="00E435D3" w:rsidP="00C65310">
      <w:pPr>
        <w:tabs>
          <w:tab w:val="left" w:pos="0"/>
        </w:tabs>
        <w:rPr>
          <w:sz w:val="20"/>
          <w:szCs w:val="20"/>
        </w:rPr>
      </w:pPr>
    </w:p>
  </w:footnote>
  <w:footnote w:id="10">
    <w:p w:rsidR="00E435D3" w:rsidRPr="00632EAF" w:rsidRDefault="00E435D3">
      <w:pPr>
        <w:pStyle w:val="FootnoteText"/>
      </w:pPr>
      <w:r w:rsidRPr="00632EAF">
        <w:rPr>
          <w:rStyle w:val="FootnoteReference"/>
        </w:rPr>
        <w:footnoteRef/>
      </w:r>
      <w:r w:rsidRPr="00632EAF">
        <w:t xml:space="preserve"> </w:t>
      </w:r>
      <w:hyperlink r:id="rId2" w:history="1">
        <w:r w:rsidRPr="00632EAF">
          <w:rPr>
            <w:rStyle w:val="Hyperlink"/>
            <w:snapToGrid/>
          </w:rPr>
          <w:t>http://www.un.org/en/terrorism/instruments.shtml</w:t>
        </w:r>
      </w:hyperlink>
    </w:p>
    <w:p w:rsidR="00E435D3" w:rsidRDefault="00E435D3">
      <w:pPr>
        <w:pStyle w:val="FootnoteText"/>
      </w:pPr>
    </w:p>
  </w:footnote>
  <w:footnote w:id="11">
    <w:p w:rsidR="00E435D3" w:rsidRDefault="00E435D3">
      <w:pPr>
        <w:pStyle w:val="FootnoteText"/>
      </w:pPr>
      <w:r>
        <w:rPr>
          <w:rStyle w:val="FootnoteReference"/>
        </w:rPr>
        <w:footnoteRef/>
      </w:r>
      <w:r>
        <w:t xml:space="preserve"> </w:t>
      </w:r>
      <w:hyperlink r:id="rId3" w:history="1">
        <w:r>
          <w:rPr>
            <w:rStyle w:val="Hyperlink"/>
          </w:rPr>
          <w:t>http://www.unodc.org/unodc/en/treaties/index.html?ref=menuside</w:t>
        </w:r>
      </w:hyperlink>
    </w:p>
  </w:footnote>
  <w:footnote w:id="12">
    <w:p w:rsidR="00E435D3" w:rsidRDefault="00E435D3" w:rsidP="00B63842">
      <w:pPr>
        <w:pStyle w:val="FootnoteText"/>
      </w:pPr>
      <w:r>
        <w:rPr>
          <w:rStyle w:val="FootnoteReference"/>
        </w:rPr>
        <w:footnoteRef/>
      </w:r>
      <w:r>
        <w:t xml:space="preserve"> </w:t>
      </w:r>
      <w:r w:rsidRPr="00847A7B">
        <w:t>Th</w:t>
      </w:r>
      <w:r>
        <w:t>ere</w:t>
      </w:r>
      <w:r w:rsidRPr="00847A7B">
        <w:t xml:space="preserve"> is an important distinction under U.S. jurisprudence</w:t>
      </w:r>
      <w:r>
        <w:t xml:space="preserve"> between imposition/length of sentence and conditions of confinement</w:t>
      </w:r>
      <w:r w:rsidRPr="00847A7B">
        <w:t>.  For example, f</w:t>
      </w:r>
      <w:r>
        <w:t xml:space="preserve">ederal </w:t>
      </w:r>
      <w:r w:rsidRPr="000770FE">
        <w:rPr>
          <w:i/>
        </w:rPr>
        <w:t xml:space="preserve">habeas corpus </w:t>
      </w:r>
      <w:r>
        <w:t>litigation</w:t>
      </w:r>
      <w:r w:rsidRPr="00847A7B">
        <w:t xml:space="preserve"> mainly considers challenges to the imposition or length of the sentence, as opposed to conditions of confinement.  While some courts may consider conditions of confinement claims under</w:t>
      </w:r>
      <w:r>
        <w:t xml:space="preserve"> federal </w:t>
      </w:r>
      <w:r w:rsidRPr="000770FE">
        <w:rPr>
          <w:i/>
        </w:rPr>
        <w:t>habeas</w:t>
      </w:r>
      <w:r>
        <w:t xml:space="preserve"> law</w:t>
      </w:r>
      <w:r w:rsidRPr="00847A7B">
        <w:t xml:space="preserve">, it is more common that inmates challenging placement in restricted housing or use of restraints would do so by </w:t>
      </w:r>
      <w:r w:rsidR="00E1380B">
        <w:t xml:space="preserve">pursuing other litigation </w:t>
      </w:r>
      <w:r w:rsidRPr="00847A7B">
        <w:t xml:space="preserve">seeking injunctive relief or monetary damages on </w:t>
      </w:r>
      <w:r w:rsidR="00112E5A">
        <w:t>c</w:t>
      </w:r>
      <w:r w:rsidR="00C72FF1" w:rsidRPr="00847A7B">
        <w:t xml:space="preserve">onstitutional </w:t>
      </w:r>
      <w:r w:rsidRPr="00847A7B">
        <w:t>grounds, basing the actions on alleged violations of the Due Process Clause or the Eight</w:t>
      </w:r>
      <w:r>
        <w:t>h</w:t>
      </w:r>
      <w:r w:rsidRPr="00847A7B">
        <w:t xml:space="preserve"> Amendment. </w:t>
      </w:r>
    </w:p>
    <w:p w:rsidR="00E435D3" w:rsidRDefault="00E435D3" w:rsidP="00B63842">
      <w:pPr>
        <w:pStyle w:val="FootnoteText"/>
      </w:pPr>
    </w:p>
  </w:footnote>
  <w:footnote w:id="13">
    <w:p w:rsidR="00AF11BC" w:rsidRDefault="00AF11BC">
      <w:pPr>
        <w:pStyle w:val="FootnoteText"/>
      </w:pPr>
      <w:r>
        <w:rPr>
          <w:rStyle w:val="FootnoteReference"/>
        </w:rPr>
        <w:footnoteRef/>
      </w:r>
      <w:r>
        <w:t xml:space="preserve"> It is further recalled that most of the </w:t>
      </w:r>
      <w:r w:rsidRPr="00E61A63">
        <w:t xml:space="preserve">examples </w:t>
      </w:r>
      <w:r>
        <w:t>of deprivation of liberty enumerated by the Committee</w:t>
      </w:r>
      <w:r w:rsidR="002024F1">
        <w:t xml:space="preserve"> (but not the conditions of detention identified in paragraph 5)</w:t>
      </w:r>
      <w:r>
        <w:t xml:space="preserve"> </w:t>
      </w:r>
      <w:r w:rsidRPr="00E61A63">
        <w:t xml:space="preserve">generally conform to various listings considered by the Covenant negotiators </w:t>
      </w:r>
      <w:r>
        <w:t>during</w:t>
      </w:r>
      <w:r w:rsidRPr="00E61A63">
        <w:t xml:space="preserve"> the negotiation of Article 9(1), </w:t>
      </w:r>
      <w:r>
        <w:t>but the negotiators</w:t>
      </w:r>
      <w:r w:rsidRPr="00E61A63">
        <w:t xml:space="preserve"> ultimately chose not to try to enumerate specific </w:t>
      </w:r>
      <w:r>
        <w:t>forms of detention</w:t>
      </w:r>
      <w:r w:rsidRPr="00E61A63">
        <w:t>, either as exception to the general prohibition or example</w:t>
      </w:r>
      <w:r>
        <w:t>s</w:t>
      </w:r>
      <w:r w:rsidRPr="00E61A63">
        <w:t xml:space="preserve"> of permissible detention, out of doubt that any such enumeration could be complete or acceptable to all countries.</w:t>
      </w:r>
      <w:r w:rsidR="002024F1">
        <w:t xml:space="preserve"> </w:t>
      </w:r>
      <w:r>
        <w:t xml:space="preserve"> (</w:t>
      </w:r>
      <w:r w:rsidRPr="00E61A63">
        <w:rPr>
          <w:i/>
        </w:rPr>
        <w:t>See</w:t>
      </w:r>
      <w:r w:rsidR="00C72FF1">
        <w:rPr>
          <w:i/>
        </w:rPr>
        <w:t>, e.g.,</w:t>
      </w:r>
      <w:r w:rsidRPr="00E61A63">
        <w:t xml:space="preserve"> A/4045, Report of the Third Committee in adopting Article 9 (among other articles), para</w:t>
      </w:r>
      <w:r w:rsidR="002024F1">
        <w:t>.</w:t>
      </w:r>
      <w:r w:rsidRPr="00E61A63">
        <w:t xml:space="preserve"> 43 (9 December 1958) and related summary records, A/C.3/SR.861-866 (23-29 October 1958); </w:t>
      </w:r>
      <w:r>
        <w:rPr>
          <w:i/>
        </w:rPr>
        <w:t>s</w:t>
      </w:r>
      <w:r w:rsidRPr="00E61A63">
        <w:rPr>
          <w:i/>
        </w:rPr>
        <w:t xml:space="preserve">ee also </w:t>
      </w:r>
      <w:r w:rsidRPr="00E61A63">
        <w:t>A/2929, Annotation prepared by the Secretary-General of text of the draft Covenant articles, as adopted by the Human Rights Commission, page 99, para</w:t>
      </w:r>
      <w:r w:rsidR="00341D7D">
        <w:t>,</w:t>
      </w:r>
      <w:r w:rsidRPr="00E61A63">
        <w:t xml:space="preserve"> 28 (1</w:t>
      </w:r>
      <w:r w:rsidR="002024F1">
        <w:t xml:space="preserve"> </w:t>
      </w:r>
      <w:r w:rsidRPr="00E61A63">
        <w:t>July 1955) and related summary records E/CN.4/SR 313-314 (10-11 June 1952)</w:t>
      </w:r>
      <w:r>
        <w:t>.)</w:t>
      </w:r>
    </w:p>
  </w:footnote>
  <w:footnote w:id="14">
    <w:p w:rsidR="00632EAF" w:rsidRDefault="00632EAF" w:rsidP="0065446B">
      <w:pPr>
        <w:pStyle w:val="FootnoteText"/>
      </w:pPr>
    </w:p>
    <w:p w:rsidR="00E435D3" w:rsidRDefault="00E435D3" w:rsidP="0065446B">
      <w:pPr>
        <w:pStyle w:val="FootnoteText"/>
      </w:pPr>
      <w:r>
        <w:rPr>
          <w:rStyle w:val="FootnoteReference"/>
        </w:rPr>
        <w:footnoteRef/>
      </w:r>
      <w:r>
        <w:t xml:space="preserve"> Inclusion of the criterion “arbitrary” was the most contentious issue throughout the decade-long negotiation of Article 9. The consensus of members of the Third Committee at the time of its adoption in 1958 was that Article 9 needed to be drafted “with precision while taking into account the diversity of national laws and procedures.”  Thus specific provisions were made for judicial review of the lawfulness of any deprivation of liberty and for the exercise of judicial power and discretion specifically in cases of arrest and detention on a criminal charge, but the substantive grounds and procedures to be followed for all other forms of detention in non-criminal cases were left to be established by the laws of each State Party, so long as such laws are not themselves arbitrary</w:t>
      </w:r>
      <w:r w:rsidR="00F36670">
        <w:t xml:space="preserve">.  </w:t>
      </w:r>
      <w:r>
        <w:t>As explained by the Report of the Third Committee</w:t>
      </w:r>
      <w:r w:rsidR="005F2D5F">
        <w:t xml:space="preserve"> upon its adoption in 1958</w:t>
      </w:r>
      <w:r>
        <w:t xml:space="preserve">, “[t]he reason for introducing the criterion of arbitrariness in the second sentence was that legal grounds and procedures or the criterion of legality set out in the third sentence </w:t>
      </w:r>
      <w:r w:rsidR="005F2D5F">
        <w:t xml:space="preserve">[of Article 9(1)] </w:t>
      </w:r>
      <w:r>
        <w:t>might themselves be open to question on the grounds of arbitrariness” and that the Committee “should not reject a term which was legally valid and commonly used in many Countries and their courts.” Those who opposed the criterion</w:t>
      </w:r>
      <w:r w:rsidR="005F2D5F">
        <w:t xml:space="preserve"> of arbitrariness</w:t>
      </w:r>
      <w:r>
        <w:t xml:space="preserve"> felt it redundant of the first and third sentences of paragraph (1), meaning only “without legal grounds” or “contrary to the law.” </w:t>
      </w:r>
      <w:r w:rsidR="005F2D5F">
        <w:t xml:space="preserve"> </w:t>
      </w:r>
      <w:r>
        <w:t xml:space="preserve">Others, however, “considered that ‘arbitrary’ meant not only ‘illegal’ but also ‘unjust,’ and incompatible with the principles of justice or with the dignity of the human person.”  It was regarded as “a safeguard against the injustices of States.”  In the view of the Third Committee: “[a]n arbitrary act was any act which violated justice, reason or legislation, or was done according to some one’s will or discretion, or which was capricious, despotic, imperious, tyrannical or uncontrolled.” </w:t>
      </w:r>
      <w:proofErr w:type="gramStart"/>
      <w:r w:rsidR="00C46B21">
        <w:t>(</w:t>
      </w:r>
      <w:r w:rsidRPr="0065446B">
        <w:rPr>
          <w:i/>
        </w:rPr>
        <w:t>See</w:t>
      </w:r>
      <w:r>
        <w:t xml:space="preserve"> A/4045 (9 December 1958), at paras.</w:t>
      </w:r>
      <w:proofErr w:type="gramEnd"/>
      <w:r>
        <w:t xml:space="preserve"> 46-49.</w:t>
      </w:r>
      <w:r w:rsidR="00C46B21">
        <w:t>)</w:t>
      </w:r>
    </w:p>
    <w:p w:rsidR="00E435D3" w:rsidRDefault="00E435D3" w:rsidP="0065446B">
      <w:pPr>
        <w:pStyle w:val="FootnoteText"/>
      </w:pPr>
    </w:p>
  </w:footnote>
  <w:footnote w:id="15">
    <w:p w:rsidR="00E435D3" w:rsidRPr="00D73300" w:rsidRDefault="00E435D3" w:rsidP="00651655">
      <w:pPr>
        <w:snapToGrid w:val="0"/>
        <w:rPr>
          <w:sz w:val="20"/>
          <w:szCs w:val="20"/>
        </w:rPr>
      </w:pPr>
      <w:r w:rsidRPr="00D73300">
        <w:rPr>
          <w:rStyle w:val="FootnoteReference"/>
          <w:sz w:val="20"/>
          <w:szCs w:val="20"/>
        </w:rPr>
        <w:footnoteRef/>
      </w:r>
      <w:r w:rsidRPr="00D73300">
        <w:rPr>
          <w:sz w:val="20"/>
          <w:szCs w:val="20"/>
        </w:rPr>
        <w:t xml:space="preserve"> For, example, </w:t>
      </w:r>
      <w:r w:rsidRPr="00D73300">
        <w:rPr>
          <w:rFonts w:eastAsiaTheme="minorHAnsi"/>
          <w:sz w:val="20"/>
          <w:szCs w:val="20"/>
        </w:rPr>
        <w:t>a non-U.S. citizen subject to mandatory detention pending immigration removal under 8 U.S.C. 1226(c) for having committed certain criminal offenses can challenge whether he or she is properly subject to mandatory detention, but if an Immigration Judge decides that 1226(c) applies, that individual will not receive periodic re-evaluation of the justification for continuing detention. The constitutionality of such provisions on due process or other grounds may always be reviewed by the courts (in fact, there is currently active litigation in several U.S. courts with respect to 8 U.S.C. 1226(c)).  It is through such process that a State Party’s obligations under Article 9 are met.</w:t>
      </w:r>
    </w:p>
    <w:p w:rsidR="00E435D3" w:rsidRDefault="00E435D3" w:rsidP="00651655">
      <w:pPr>
        <w:pStyle w:val="FootnoteText"/>
      </w:pPr>
    </w:p>
  </w:footnote>
  <w:footnote w:id="16">
    <w:p w:rsidR="00E435D3" w:rsidRDefault="00E435D3" w:rsidP="00806F70">
      <w:pPr>
        <w:pStyle w:val="FootnoteText"/>
      </w:pPr>
      <w:r>
        <w:rPr>
          <w:rStyle w:val="FootnoteReference"/>
        </w:rPr>
        <w:footnoteRef/>
      </w:r>
      <w:r>
        <w:t xml:space="preserve"> While d</w:t>
      </w:r>
      <w:r w:rsidRPr="00847A7B">
        <w:t xml:space="preserve">ue process protections for civil commitment hearings </w:t>
      </w:r>
      <w:r>
        <w:t>may</w:t>
      </w:r>
      <w:r w:rsidRPr="00847A7B">
        <w:t xml:space="preserve"> vary from state to state</w:t>
      </w:r>
      <w:r>
        <w:t xml:space="preserve"> in the United States</w:t>
      </w:r>
      <w:r w:rsidRPr="00847A7B">
        <w:t xml:space="preserve">, landmark U.S. Supreme Court cases have clarified due process protections that must be afforded to persons facing potential civil commitment.  The Supreme Court has repeatedly recognized that “civil commitment for any purpose constitutes a significant deprivation of liberty that requires due process protection.” </w:t>
      </w:r>
      <w:proofErr w:type="gramStart"/>
      <w:r w:rsidRPr="00847A7B">
        <w:rPr>
          <w:u w:val="single"/>
        </w:rPr>
        <w:t>Addington v. Texas</w:t>
      </w:r>
      <w:r w:rsidRPr="00847A7B">
        <w:t>, 441 U.S. 418, 425 (1979).</w:t>
      </w:r>
      <w:proofErr w:type="gramEnd"/>
      <w:r w:rsidRPr="00847A7B">
        <w:t xml:space="preserve">  State laws generally have adopted heightened due process protections for persons with </w:t>
      </w:r>
      <w:r>
        <w:t xml:space="preserve">such </w:t>
      </w:r>
      <w:r w:rsidRPr="00847A7B">
        <w:t>disabilities facing deprivations of their liberty, although differences remain.</w:t>
      </w:r>
      <w:r>
        <w:t xml:space="preserve">  </w:t>
      </w:r>
    </w:p>
    <w:p w:rsidR="00E435D3" w:rsidRDefault="00E435D3">
      <w:pPr>
        <w:pStyle w:val="FootnoteText"/>
      </w:pPr>
    </w:p>
  </w:footnote>
  <w:footnote w:id="17">
    <w:p w:rsidR="00E435D3" w:rsidRDefault="00E435D3" w:rsidP="00846759">
      <w:pPr>
        <w:pStyle w:val="FootnoteText"/>
      </w:pPr>
      <w:r>
        <w:rPr>
          <w:rStyle w:val="FootnoteReference"/>
        </w:rPr>
        <w:footnoteRef/>
      </w:r>
      <w:r>
        <w:t xml:space="preserve"> For example, to the extent that the Committee intends its guidance to pertain to immigration detention pending removal, the Committee’s view requiring detention conditions “aimed at rehabilitation a</w:t>
      </w:r>
      <w:r w:rsidR="00C757DC">
        <w:t xml:space="preserve">nd reintegration into society” do not </w:t>
      </w:r>
      <w:r>
        <w:t xml:space="preserve">seem appropriate to the circumstances or purpose of detention. </w:t>
      </w:r>
    </w:p>
    <w:p w:rsidR="00E435D3" w:rsidRDefault="00E435D3" w:rsidP="00846759">
      <w:pPr>
        <w:pStyle w:val="FootnoteText"/>
      </w:pPr>
    </w:p>
  </w:footnote>
  <w:footnote w:id="18">
    <w:p w:rsidR="00E435D3" w:rsidRDefault="00E435D3" w:rsidP="00D51634">
      <w:pPr>
        <w:pStyle w:val="FootnoteText"/>
      </w:pPr>
      <w:r>
        <w:rPr>
          <w:rStyle w:val="FootnoteReference"/>
        </w:rPr>
        <w:footnoteRef/>
      </w:r>
      <w:r>
        <w:t xml:space="preserve"> For example, although the U.S. federal rules set a standard of “without unnecessary delay,” the U.S. Supreme Court</w:t>
      </w:r>
      <w:r w:rsidRPr="00F704B5">
        <w:t xml:space="preserve"> </w:t>
      </w:r>
      <w:r>
        <w:t>has held that it generally cannot be more than 48 hours</w:t>
      </w:r>
      <w:r w:rsidRPr="00164A17">
        <w:rPr>
          <w:i/>
        </w:rPr>
        <w:t>, see</w:t>
      </w:r>
      <w:r w:rsidRPr="001A18D1">
        <w:rPr>
          <w:i/>
        </w:rPr>
        <w:t xml:space="preserve"> County of Riverside v. McLaughlin</w:t>
      </w:r>
      <w:r>
        <w:t xml:space="preserve">, 500 U.S. 44 (1991), and that would apply at both the federal and state level.  Indeed some U.S. states may apply more stringent statutory or </w:t>
      </w:r>
      <w:r w:rsidR="00262361">
        <w:t>c</w:t>
      </w:r>
      <w:r>
        <w:t xml:space="preserve">onstitutional requirements to bar detention for even that length of time.  </w:t>
      </w:r>
    </w:p>
  </w:footnote>
  <w:footnote w:id="19">
    <w:p w:rsidR="00E435D3" w:rsidRDefault="00E435D3">
      <w:pPr>
        <w:pStyle w:val="FootnoteText"/>
      </w:pPr>
      <w:r>
        <w:rPr>
          <w:rStyle w:val="FootnoteReference"/>
        </w:rPr>
        <w:footnoteRef/>
      </w:r>
      <w:r>
        <w:t xml:space="preserve"> The Report of the Third Committee upon its adoption in 1958 states: “The second sentence of the existing text should be maintained because it did not regulate the system of provisional release but simply indicated that it should not be the general rule to hold an accused person in custody.”</w:t>
      </w:r>
      <w:r w:rsidR="00632EAF">
        <w:t xml:space="preserve"> </w:t>
      </w:r>
      <w:proofErr w:type="gramStart"/>
      <w:r w:rsidR="00632EAF">
        <w:t>(</w:t>
      </w:r>
      <w:r w:rsidR="008E759A" w:rsidRPr="008E759A">
        <w:rPr>
          <w:i/>
        </w:rPr>
        <w:t>See</w:t>
      </w:r>
      <w:r w:rsidR="008E759A">
        <w:t xml:space="preserve"> </w:t>
      </w:r>
      <w:r>
        <w:t>A/4045, para. 57 (9 December 1958).</w:t>
      </w:r>
      <w:r w:rsidR="00632EAF">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31" w:rsidRDefault="00F24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60020"/>
      <w:docPartObj>
        <w:docPartGallery w:val="Page Numbers (Top of Page)"/>
        <w:docPartUnique/>
      </w:docPartObj>
    </w:sdtPr>
    <w:sdtEndPr/>
    <w:sdtContent>
      <w:p w:rsidR="00E435D3" w:rsidRDefault="003946A9">
        <w:pPr>
          <w:pStyle w:val="Header"/>
          <w:jc w:val="center"/>
        </w:pPr>
        <w:r>
          <w:fldChar w:fldCharType="begin"/>
        </w:r>
        <w:r w:rsidR="00F168FB">
          <w:instrText xml:space="preserve"> PAGE   \* MERGEFORMAT </w:instrText>
        </w:r>
        <w:r>
          <w:fldChar w:fldCharType="separate"/>
        </w:r>
        <w:r w:rsidR="007005D4">
          <w:rPr>
            <w:noProof/>
          </w:rPr>
          <w:t>3</w:t>
        </w:r>
        <w:r>
          <w:rPr>
            <w:noProof/>
          </w:rPr>
          <w:fldChar w:fldCharType="end"/>
        </w:r>
      </w:p>
    </w:sdtContent>
  </w:sdt>
  <w:p w:rsidR="00E435D3" w:rsidRDefault="00E43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31" w:rsidRDefault="00F246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D3" w:rsidRDefault="00E435D3">
    <w:pPr>
      <w:pStyle w:val="Header"/>
      <w:jc w:val="center"/>
      <w:rPr>
        <w:b/>
      </w:rPr>
    </w:pPr>
  </w:p>
  <w:p w:rsidR="00E435D3" w:rsidRDefault="00E435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AF6"/>
    <w:multiLevelType w:val="hybridMultilevel"/>
    <w:tmpl w:val="EB20C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A51A68"/>
    <w:multiLevelType w:val="hybridMultilevel"/>
    <w:tmpl w:val="2E3C1E86"/>
    <w:lvl w:ilvl="0" w:tplc="0409000F">
      <w:start w:val="1"/>
      <w:numFmt w:val="decimal"/>
      <w:lvlText w:val="%1."/>
      <w:lvlJc w:val="left"/>
      <w:pPr>
        <w:tabs>
          <w:tab w:val="num" w:pos="360"/>
        </w:tabs>
        <w:ind w:left="360" w:hanging="360"/>
      </w:pPr>
      <w:rPr>
        <w:rFonts w:hint="default"/>
        <w:b w:val="0"/>
        <w:i w:val="0"/>
        <w:caps w:val="0"/>
        <w:smallCaps w:val="0"/>
        <w:strike w:val="0"/>
        <w:dstrike w:val="0"/>
        <w:snapToGrid w:val="0"/>
        <w:color w:val="000000"/>
      </w:rPr>
    </w:lvl>
    <w:lvl w:ilvl="1" w:tplc="04090019">
      <w:start w:val="1"/>
      <w:numFmt w:val="lowerLetter"/>
      <w:lvlText w:val="%2."/>
      <w:lvlJc w:val="left"/>
      <w:pPr>
        <w:tabs>
          <w:tab w:val="num" w:pos="1080"/>
        </w:tabs>
        <w:ind w:left="1080" w:hanging="360"/>
      </w:pPr>
      <w:rPr>
        <w:rFonts w:ascii="Times New Roman" w:hAnsi="Times New Roman" w:cs="Times New Roman"/>
        <w:b w:val="0"/>
        <w:i w:val="0"/>
        <w:caps w:val="0"/>
        <w:smallCaps w:val="0"/>
        <w:strike w:val="0"/>
        <w:dstrike w:val="0"/>
        <w:snapToGrid w:val="0"/>
        <w:color w:val="000000"/>
      </w:rPr>
    </w:lvl>
    <w:lvl w:ilvl="2" w:tplc="0409001B">
      <w:start w:val="1"/>
      <w:numFmt w:val="lowerRoman"/>
      <w:lvlText w:val="%3."/>
      <w:lvlJc w:val="right"/>
      <w:pPr>
        <w:tabs>
          <w:tab w:val="num" w:pos="1800"/>
        </w:tabs>
        <w:ind w:left="1800" w:hanging="180"/>
      </w:pPr>
      <w:rPr>
        <w:rFonts w:ascii="Times New Roman" w:hAnsi="Times New Roman" w:cs="Times New Roman"/>
        <w:b w:val="0"/>
        <w:i w:val="0"/>
        <w:caps w:val="0"/>
        <w:smallCaps w:val="0"/>
        <w:strike w:val="0"/>
        <w:dstrike w:val="0"/>
        <w:snapToGrid w:val="0"/>
        <w:color w:val="000000"/>
      </w:rPr>
    </w:lvl>
    <w:lvl w:ilvl="3" w:tplc="0409000F">
      <w:start w:val="1"/>
      <w:numFmt w:val="decimal"/>
      <w:lvlText w:val="%4."/>
      <w:lvlJc w:val="left"/>
      <w:pPr>
        <w:tabs>
          <w:tab w:val="num" w:pos="2520"/>
        </w:tabs>
        <w:ind w:left="2520" w:hanging="360"/>
      </w:pPr>
      <w:rPr>
        <w:rFonts w:ascii="Times New Roman" w:hAnsi="Times New Roman" w:cs="Times New Roman"/>
        <w:b w:val="0"/>
        <w:i w:val="0"/>
        <w:caps w:val="0"/>
        <w:smallCaps w:val="0"/>
        <w:strike w:val="0"/>
        <w:dstrike w:val="0"/>
        <w:snapToGrid w:val="0"/>
        <w:color w:val="000000"/>
      </w:rPr>
    </w:lvl>
    <w:lvl w:ilvl="4" w:tplc="04090019">
      <w:start w:val="1"/>
      <w:numFmt w:val="lowerLetter"/>
      <w:lvlText w:val="%5."/>
      <w:lvlJc w:val="left"/>
      <w:pPr>
        <w:tabs>
          <w:tab w:val="num" w:pos="3240"/>
        </w:tabs>
        <w:ind w:left="3240" w:hanging="360"/>
      </w:pPr>
      <w:rPr>
        <w:rFonts w:ascii="Times New Roman" w:hAnsi="Times New Roman" w:cs="Times New Roman"/>
        <w:b w:val="0"/>
        <w:i w:val="0"/>
        <w:caps w:val="0"/>
        <w:smallCaps w:val="0"/>
        <w:strike w:val="0"/>
        <w:dstrike w:val="0"/>
        <w:snapToGrid w:val="0"/>
        <w:color w:val="000000"/>
      </w:rPr>
    </w:lvl>
    <w:lvl w:ilvl="5" w:tplc="0409001B">
      <w:start w:val="1"/>
      <w:numFmt w:val="lowerRoman"/>
      <w:lvlText w:val="%6."/>
      <w:lvlJc w:val="right"/>
      <w:pPr>
        <w:tabs>
          <w:tab w:val="num" w:pos="3960"/>
        </w:tabs>
        <w:ind w:left="3960" w:hanging="180"/>
      </w:pPr>
      <w:rPr>
        <w:rFonts w:ascii="Times New Roman" w:hAnsi="Times New Roman" w:cs="Times New Roman"/>
        <w:b w:val="0"/>
        <w:i w:val="0"/>
        <w:caps w:val="0"/>
        <w:smallCaps w:val="0"/>
        <w:strike w:val="0"/>
        <w:dstrike w:val="0"/>
        <w:snapToGrid w:val="0"/>
        <w:color w:val="000000"/>
      </w:rPr>
    </w:lvl>
    <w:lvl w:ilvl="6" w:tplc="0409000F">
      <w:start w:val="1"/>
      <w:numFmt w:val="decimal"/>
      <w:lvlText w:val="%7."/>
      <w:lvlJc w:val="left"/>
      <w:pPr>
        <w:tabs>
          <w:tab w:val="num" w:pos="4680"/>
        </w:tabs>
        <w:ind w:left="4680" w:hanging="360"/>
      </w:pPr>
      <w:rPr>
        <w:rFonts w:ascii="Times New Roman" w:hAnsi="Times New Roman" w:cs="Times New Roman"/>
        <w:b w:val="0"/>
        <w:i w:val="0"/>
        <w:caps w:val="0"/>
        <w:smallCaps w:val="0"/>
        <w:strike w:val="0"/>
        <w:dstrike w:val="0"/>
        <w:snapToGrid w:val="0"/>
        <w:color w:val="000000"/>
      </w:rPr>
    </w:lvl>
    <w:lvl w:ilvl="7" w:tplc="04090019">
      <w:start w:val="1"/>
      <w:numFmt w:val="lowerLetter"/>
      <w:lvlText w:val="%8."/>
      <w:lvlJc w:val="left"/>
      <w:pPr>
        <w:tabs>
          <w:tab w:val="num" w:pos="5400"/>
        </w:tabs>
        <w:ind w:left="5400" w:hanging="360"/>
      </w:pPr>
      <w:rPr>
        <w:rFonts w:ascii="Times New Roman" w:hAnsi="Times New Roman" w:cs="Times New Roman"/>
        <w:b w:val="0"/>
        <w:i w:val="0"/>
        <w:caps w:val="0"/>
        <w:smallCaps w:val="0"/>
        <w:strike w:val="0"/>
        <w:dstrike w:val="0"/>
        <w:snapToGrid w:val="0"/>
        <w:color w:val="000000"/>
      </w:rPr>
    </w:lvl>
    <w:lvl w:ilvl="8" w:tplc="0409001B">
      <w:start w:val="1"/>
      <w:numFmt w:val="lowerRoman"/>
      <w:lvlText w:val="%9."/>
      <w:lvlJc w:val="right"/>
      <w:pPr>
        <w:tabs>
          <w:tab w:val="num" w:pos="6120"/>
        </w:tabs>
        <w:ind w:left="6120" w:hanging="180"/>
      </w:pPr>
      <w:rPr>
        <w:rFonts w:ascii="Times New Roman" w:hAnsi="Times New Roman" w:cs="Times New Roman"/>
        <w:b w:val="0"/>
        <w:i w:val="0"/>
        <w:caps w:val="0"/>
        <w:smallCaps w:val="0"/>
        <w:strike w:val="0"/>
        <w:dstrike w:val="0"/>
        <w:snapToGrid w:val="0"/>
        <w:color w:val="000000"/>
      </w:rPr>
    </w:lvl>
  </w:abstractNum>
  <w:abstractNum w:abstractNumId="2">
    <w:nsid w:val="37155B24"/>
    <w:multiLevelType w:val="hybridMultilevel"/>
    <w:tmpl w:val="9D86A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DE25FC"/>
    <w:multiLevelType w:val="hybridMultilevel"/>
    <w:tmpl w:val="4CAE3C2E"/>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B2"/>
    <w:rsid w:val="0000031C"/>
    <w:rsid w:val="00001EAA"/>
    <w:rsid w:val="000029EC"/>
    <w:rsid w:val="000034E8"/>
    <w:rsid w:val="0000352B"/>
    <w:rsid w:val="000035D1"/>
    <w:rsid w:val="00004483"/>
    <w:rsid w:val="000058D2"/>
    <w:rsid w:val="00005ACD"/>
    <w:rsid w:val="00007C74"/>
    <w:rsid w:val="00011B22"/>
    <w:rsid w:val="00016D58"/>
    <w:rsid w:val="0002239E"/>
    <w:rsid w:val="000252DE"/>
    <w:rsid w:val="00026F0F"/>
    <w:rsid w:val="00027A0A"/>
    <w:rsid w:val="0003104E"/>
    <w:rsid w:val="00033722"/>
    <w:rsid w:val="00035559"/>
    <w:rsid w:val="00035A26"/>
    <w:rsid w:val="000371D6"/>
    <w:rsid w:val="0003750D"/>
    <w:rsid w:val="00041374"/>
    <w:rsid w:val="00044839"/>
    <w:rsid w:val="0004542A"/>
    <w:rsid w:val="00050186"/>
    <w:rsid w:val="00054B0D"/>
    <w:rsid w:val="00055838"/>
    <w:rsid w:val="00063CDC"/>
    <w:rsid w:val="00063D51"/>
    <w:rsid w:val="0006536F"/>
    <w:rsid w:val="0006681B"/>
    <w:rsid w:val="00066E19"/>
    <w:rsid w:val="000674FF"/>
    <w:rsid w:val="00071454"/>
    <w:rsid w:val="00071D33"/>
    <w:rsid w:val="00073551"/>
    <w:rsid w:val="00075BF8"/>
    <w:rsid w:val="000770FE"/>
    <w:rsid w:val="000773CE"/>
    <w:rsid w:val="000825D8"/>
    <w:rsid w:val="0008294D"/>
    <w:rsid w:val="00083A26"/>
    <w:rsid w:val="00085560"/>
    <w:rsid w:val="000859F9"/>
    <w:rsid w:val="000861C1"/>
    <w:rsid w:val="00087496"/>
    <w:rsid w:val="000902C1"/>
    <w:rsid w:val="00091A05"/>
    <w:rsid w:val="000921A7"/>
    <w:rsid w:val="00093E6E"/>
    <w:rsid w:val="0009507C"/>
    <w:rsid w:val="00096156"/>
    <w:rsid w:val="000972F9"/>
    <w:rsid w:val="000A0B5B"/>
    <w:rsid w:val="000A1896"/>
    <w:rsid w:val="000A29BD"/>
    <w:rsid w:val="000A2BA9"/>
    <w:rsid w:val="000A3A93"/>
    <w:rsid w:val="000A40FF"/>
    <w:rsid w:val="000A4837"/>
    <w:rsid w:val="000A4D8C"/>
    <w:rsid w:val="000A5271"/>
    <w:rsid w:val="000A53B2"/>
    <w:rsid w:val="000B1153"/>
    <w:rsid w:val="000B2B0A"/>
    <w:rsid w:val="000B3A4F"/>
    <w:rsid w:val="000B63A1"/>
    <w:rsid w:val="000B7B11"/>
    <w:rsid w:val="000C02C5"/>
    <w:rsid w:val="000C2ABB"/>
    <w:rsid w:val="000C567D"/>
    <w:rsid w:val="000C6A70"/>
    <w:rsid w:val="000D06AD"/>
    <w:rsid w:val="000D355D"/>
    <w:rsid w:val="000D3DE7"/>
    <w:rsid w:val="000D495E"/>
    <w:rsid w:val="000D5306"/>
    <w:rsid w:val="000D69D4"/>
    <w:rsid w:val="000E2CAC"/>
    <w:rsid w:val="000E423E"/>
    <w:rsid w:val="000E43C6"/>
    <w:rsid w:val="000E5228"/>
    <w:rsid w:val="000E54AA"/>
    <w:rsid w:val="000E6208"/>
    <w:rsid w:val="000E6E23"/>
    <w:rsid w:val="000E771F"/>
    <w:rsid w:val="000F2128"/>
    <w:rsid w:val="000F31E2"/>
    <w:rsid w:val="000F41B7"/>
    <w:rsid w:val="000F44A9"/>
    <w:rsid w:val="000F57F3"/>
    <w:rsid w:val="000F5A86"/>
    <w:rsid w:val="000F6072"/>
    <w:rsid w:val="00100353"/>
    <w:rsid w:val="00101430"/>
    <w:rsid w:val="00103806"/>
    <w:rsid w:val="00105602"/>
    <w:rsid w:val="0010641C"/>
    <w:rsid w:val="001065E6"/>
    <w:rsid w:val="00106DC2"/>
    <w:rsid w:val="001075CF"/>
    <w:rsid w:val="00107C5B"/>
    <w:rsid w:val="00110000"/>
    <w:rsid w:val="0011193E"/>
    <w:rsid w:val="00112E5A"/>
    <w:rsid w:val="001139D1"/>
    <w:rsid w:val="00113DEB"/>
    <w:rsid w:val="001143BF"/>
    <w:rsid w:val="00115A2C"/>
    <w:rsid w:val="001160D4"/>
    <w:rsid w:val="001173D4"/>
    <w:rsid w:val="0012087C"/>
    <w:rsid w:val="00124E82"/>
    <w:rsid w:val="00126508"/>
    <w:rsid w:val="00127640"/>
    <w:rsid w:val="0013123E"/>
    <w:rsid w:val="00135BF3"/>
    <w:rsid w:val="00137B02"/>
    <w:rsid w:val="001411E4"/>
    <w:rsid w:val="00147562"/>
    <w:rsid w:val="001538B7"/>
    <w:rsid w:val="0015409D"/>
    <w:rsid w:val="001540C0"/>
    <w:rsid w:val="0015423A"/>
    <w:rsid w:val="00156589"/>
    <w:rsid w:val="00156B06"/>
    <w:rsid w:val="00157118"/>
    <w:rsid w:val="00160FCA"/>
    <w:rsid w:val="00164A17"/>
    <w:rsid w:val="00164F5A"/>
    <w:rsid w:val="001663B2"/>
    <w:rsid w:val="00166C68"/>
    <w:rsid w:val="00170432"/>
    <w:rsid w:val="00170481"/>
    <w:rsid w:val="0017105A"/>
    <w:rsid w:val="00171ECB"/>
    <w:rsid w:val="00172289"/>
    <w:rsid w:val="00177301"/>
    <w:rsid w:val="00180549"/>
    <w:rsid w:val="001809E2"/>
    <w:rsid w:val="00181326"/>
    <w:rsid w:val="00181B64"/>
    <w:rsid w:val="00183E65"/>
    <w:rsid w:val="00185CCF"/>
    <w:rsid w:val="00190A5D"/>
    <w:rsid w:val="001923EA"/>
    <w:rsid w:val="001944B9"/>
    <w:rsid w:val="001963EF"/>
    <w:rsid w:val="00197F2A"/>
    <w:rsid w:val="001A0560"/>
    <w:rsid w:val="001A17C1"/>
    <w:rsid w:val="001A18D1"/>
    <w:rsid w:val="001A26B9"/>
    <w:rsid w:val="001A4CBA"/>
    <w:rsid w:val="001A62B9"/>
    <w:rsid w:val="001A7F24"/>
    <w:rsid w:val="001B2AD6"/>
    <w:rsid w:val="001B5F34"/>
    <w:rsid w:val="001B67A1"/>
    <w:rsid w:val="001B7714"/>
    <w:rsid w:val="001C0A64"/>
    <w:rsid w:val="001C0A7E"/>
    <w:rsid w:val="001C0ECB"/>
    <w:rsid w:val="001C0FE0"/>
    <w:rsid w:val="001C1E5B"/>
    <w:rsid w:val="001C1EC2"/>
    <w:rsid w:val="001C1FAA"/>
    <w:rsid w:val="001C33A8"/>
    <w:rsid w:val="001C3716"/>
    <w:rsid w:val="001C4C50"/>
    <w:rsid w:val="001C53E8"/>
    <w:rsid w:val="001C5FC4"/>
    <w:rsid w:val="001C757B"/>
    <w:rsid w:val="001D1AA2"/>
    <w:rsid w:val="001D2034"/>
    <w:rsid w:val="001D4EBD"/>
    <w:rsid w:val="001D57C8"/>
    <w:rsid w:val="001D5926"/>
    <w:rsid w:val="001D69EE"/>
    <w:rsid w:val="001E2379"/>
    <w:rsid w:val="001E31BA"/>
    <w:rsid w:val="001E5F34"/>
    <w:rsid w:val="001E71D1"/>
    <w:rsid w:val="001F0DA1"/>
    <w:rsid w:val="001F0EFF"/>
    <w:rsid w:val="001F39DA"/>
    <w:rsid w:val="001F579A"/>
    <w:rsid w:val="001F7DEA"/>
    <w:rsid w:val="002024F1"/>
    <w:rsid w:val="00206015"/>
    <w:rsid w:val="00206E9C"/>
    <w:rsid w:val="002109DF"/>
    <w:rsid w:val="00214B05"/>
    <w:rsid w:val="00222B31"/>
    <w:rsid w:val="00222BED"/>
    <w:rsid w:val="002231A5"/>
    <w:rsid w:val="002239CE"/>
    <w:rsid w:val="00224036"/>
    <w:rsid w:val="00224A31"/>
    <w:rsid w:val="00226102"/>
    <w:rsid w:val="002277AD"/>
    <w:rsid w:val="00232F19"/>
    <w:rsid w:val="00234CCB"/>
    <w:rsid w:val="00235221"/>
    <w:rsid w:val="00240325"/>
    <w:rsid w:val="0024123E"/>
    <w:rsid w:val="0024426C"/>
    <w:rsid w:val="00244616"/>
    <w:rsid w:val="00246DFB"/>
    <w:rsid w:val="002504FF"/>
    <w:rsid w:val="002505C0"/>
    <w:rsid w:val="00251083"/>
    <w:rsid w:val="002512A6"/>
    <w:rsid w:val="002530C2"/>
    <w:rsid w:val="002531FC"/>
    <w:rsid w:val="00253561"/>
    <w:rsid w:val="00253F3F"/>
    <w:rsid w:val="0025407E"/>
    <w:rsid w:val="00255B8F"/>
    <w:rsid w:val="0025607F"/>
    <w:rsid w:val="002605D4"/>
    <w:rsid w:val="00260BB9"/>
    <w:rsid w:val="00261962"/>
    <w:rsid w:val="00261F17"/>
    <w:rsid w:val="00261F62"/>
    <w:rsid w:val="00262295"/>
    <w:rsid w:val="00262361"/>
    <w:rsid w:val="00264180"/>
    <w:rsid w:val="0026436A"/>
    <w:rsid w:val="00265875"/>
    <w:rsid w:val="00267563"/>
    <w:rsid w:val="00270BD9"/>
    <w:rsid w:val="00271B84"/>
    <w:rsid w:val="00272269"/>
    <w:rsid w:val="00272519"/>
    <w:rsid w:val="00272E80"/>
    <w:rsid w:val="002745B8"/>
    <w:rsid w:val="00275280"/>
    <w:rsid w:val="0027688D"/>
    <w:rsid w:val="00277A32"/>
    <w:rsid w:val="00277BA5"/>
    <w:rsid w:val="00280162"/>
    <w:rsid w:val="00281162"/>
    <w:rsid w:val="00284202"/>
    <w:rsid w:val="0028485E"/>
    <w:rsid w:val="00285EC3"/>
    <w:rsid w:val="00287EB8"/>
    <w:rsid w:val="00290135"/>
    <w:rsid w:val="00292F9C"/>
    <w:rsid w:val="00293C5B"/>
    <w:rsid w:val="00294837"/>
    <w:rsid w:val="00295FF1"/>
    <w:rsid w:val="00296832"/>
    <w:rsid w:val="002A038A"/>
    <w:rsid w:val="002A07D0"/>
    <w:rsid w:val="002A26CE"/>
    <w:rsid w:val="002A37A1"/>
    <w:rsid w:val="002A6469"/>
    <w:rsid w:val="002A6C14"/>
    <w:rsid w:val="002A6D9F"/>
    <w:rsid w:val="002A7F5E"/>
    <w:rsid w:val="002B0101"/>
    <w:rsid w:val="002B01E9"/>
    <w:rsid w:val="002B0EF3"/>
    <w:rsid w:val="002B1AF3"/>
    <w:rsid w:val="002B3F5E"/>
    <w:rsid w:val="002B4C1E"/>
    <w:rsid w:val="002B5E76"/>
    <w:rsid w:val="002B6611"/>
    <w:rsid w:val="002B7CB8"/>
    <w:rsid w:val="002C0338"/>
    <w:rsid w:val="002C5597"/>
    <w:rsid w:val="002C70CD"/>
    <w:rsid w:val="002C73BE"/>
    <w:rsid w:val="002D02A4"/>
    <w:rsid w:val="002D3F1D"/>
    <w:rsid w:val="002D694A"/>
    <w:rsid w:val="002E3526"/>
    <w:rsid w:val="002E5954"/>
    <w:rsid w:val="002E6B7D"/>
    <w:rsid w:val="002E6C97"/>
    <w:rsid w:val="002E7A43"/>
    <w:rsid w:val="002F2EE4"/>
    <w:rsid w:val="002F5E16"/>
    <w:rsid w:val="002F66B1"/>
    <w:rsid w:val="002F74D1"/>
    <w:rsid w:val="00303289"/>
    <w:rsid w:val="003058FD"/>
    <w:rsid w:val="00305B27"/>
    <w:rsid w:val="00305BB4"/>
    <w:rsid w:val="0030640B"/>
    <w:rsid w:val="0031128C"/>
    <w:rsid w:val="00312211"/>
    <w:rsid w:val="00314666"/>
    <w:rsid w:val="00316A5D"/>
    <w:rsid w:val="00320ADF"/>
    <w:rsid w:val="00321D60"/>
    <w:rsid w:val="00323467"/>
    <w:rsid w:val="003251AC"/>
    <w:rsid w:val="003267B4"/>
    <w:rsid w:val="00327712"/>
    <w:rsid w:val="003304DC"/>
    <w:rsid w:val="00330FE4"/>
    <w:rsid w:val="00333CDB"/>
    <w:rsid w:val="00333F01"/>
    <w:rsid w:val="00334105"/>
    <w:rsid w:val="00334F66"/>
    <w:rsid w:val="00335B08"/>
    <w:rsid w:val="00335D2E"/>
    <w:rsid w:val="003373AA"/>
    <w:rsid w:val="00341870"/>
    <w:rsid w:val="00341D7D"/>
    <w:rsid w:val="003457F3"/>
    <w:rsid w:val="00345D93"/>
    <w:rsid w:val="00345F43"/>
    <w:rsid w:val="00347056"/>
    <w:rsid w:val="00347828"/>
    <w:rsid w:val="00351C2C"/>
    <w:rsid w:val="003525F3"/>
    <w:rsid w:val="0035353D"/>
    <w:rsid w:val="00353F3D"/>
    <w:rsid w:val="003548EF"/>
    <w:rsid w:val="00354BF2"/>
    <w:rsid w:val="00355EAA"/>
    <w:rsid w:val="003564A4"/>
    <w:rsid w:val="00356A04"/>
    <w:rsid w:val="003574A6"/>
    <w:rsid w:val="00360BB0"/>
    <w:rsid w:val="00360FB4"/>
    <w:rsid w:val="00363FDC"/>
    <w:rsid w:val="00364A4B"/>
    <w:rsid w:val="0036566C"/>
    <w:rsid w:val="00366AE1"/>
    <w:rsid w:val="00367D1F"/>
    <w:rsid w:val="00370C36"/>
    <w:rsid w:val="003723D5"/>
    <w:rsid w:val="00372A67"/>
    <w:rsid w:val="00372E40"/>
    <w:rsid w:val="00373A11"/>
    <w:rsid w:val="00373AE9"/>
    <w:rsid w:val="00374ED8"/>
    <w:rsid w:val="00375DCE"/>
    <w:rsid w:val="003803CF"/>
    <w:rsid w:val="00384F4F"/>
    <w:rsid w:val="00385D6E"/>
    <w:rsid w:val="00386361"/>
    <w:rsid w:val="00387D22"/>
    <w:rsid w:val="0039377C"/>
    <w:rsid w:val="00393BB8"/>
    <w:rsid w:val="003946A9"/>
    <w:rsid w:val="00397A76"/>
    <w:rsid w:val="00397B78"/>
    <w:rsid w:val="003A0B70"/>
    <w:rsid w:val="003A1A75"/>
    <w:rsid w:val="003A20DB"/>
    <w:rsid w:val="003A2266"/>
    <w:rsid w:val="003A3906"/>
    <w:rsid w:val="003A7880"/>
    <w:rsid w:val="003A7E60"/>
    <w:rsid w:val="003B41D1"/>
    <w:rsid w:val="003B4A27"/>
    <w:rsid w:val="003B66E7"/>
    <w:rsid w:val="003C0FF2"/>
    <w:rsid w:val="003C13F2"/>
    <w:rsid w:val="003D0593"/>
    <w:rsid w:val="003D0EBF"/>
    <w:rsid w:val="003D1D34"/>
    <w:rsid w:val="003D6291"/>
    <w:rsid w:val="003D753B"/>
    <w:rsid w:val="003E0CE4"/>
    <w:rsid w:val="003E26FE"/>
    <w:rsid w:val="003E2CFC"/>
    <w:rsid w:val="003E69A8"/>
    <w:rsid w:val="003E7663"/>
    <w:rsid w:val="003E7839"/>
    <w:rsid w:val="003F2DED"/>
    <w:rsid w:val="003F4962"/>
    <w:rsid w:val="003F557E"/>
    <w:rsid w:val="003F5E7C"/>
    <w:rsid w:val="003F6040"/>
    <w:rsid w:val="00400143"/>
    <w:rsid w:val="00400EEA"/>
    <w:rsid w:val="004022E8"/>
    <w:rsid w:val="00403D6E"/>
    <w:rsid w:val="00406FD8"/>
    <w:rsid w:val="0041004F"/>
    <w:rsid w:val="004100C8"/>
    <w:rsid w:val="004102F2"/>
    <w:rsid w:val="00410A96"/>
    <w:rsid w:val="00411016"/>
    <w:rsid w:val="00412CB5"/>
    <w:rsid w:val="0041472F"/>
    <w:rsid w:val="00414FD6"/>
    <w:rsid w:val="004152C3"/>
    <w:rsid w:val="00415BCC"/>
    <w:rsid w:val="00415D05"/>
    <w:rsid w:val="004241D2"/>
    <w:rsid w:val="00425F74"/>
    <w:rsid w:val="00425FA9"/>
    <w:rsid w:val="00430984"/>
    <w:rsid w:val="00433E2E"/>
    <w:rsid w:val="0043465B"/>
    <w:rsid w:val="00436C9A"/>
    <w:rsid w:val="00440445"/>
    <w:rsid w:val="0044058C"/>
    <w:rsid w:val="00441FF5"/>
    <w:rsid w:val="0044258F"/>
    <w:rsid w:val="004454DC"/>
    <w:rsid w:val="004456E9"/>
    <w:rsid w:val="00445E60"/>
    <w:rsid w:val="00446B69"/>
    <w:rsid w:val="00447067"/>
    <w:rsid w:val="0045337B"/>
    <w:rsid w:val="004550FE"/>
    <w:rsid w:val="00460623"/>
    <w:rsid w:val="00461B8A"/>
    <w:rsid w:val="00461E56"/>
    <w:rsid w:val="00462A6B"/>
    <w:rsid w:val="00466A9C"/>
    <w:rsid w:val="00467504"/>
    <w:rsid w:val="00467637"/>
    <w:rsid w:val="00470E44"/>
    <w:rsid w:val="00471261"/>
    <w:rsid w:val="00474DAB"/>
    <w:rsid w:val="00477451"/>
    <w:rsid w:val="00480402"/>
    <w:rsid w:val="00482607"/>
    <w:rsid w:val="00482D2F"/>
    <w:rsid w:val="00483739"/>
    <w:rsid w:val="00483926"/>
    <w:rsid w:val="00484938"/>
    <w:rsid w:val="004855C2"/>
    <w:rsid w:val="00485B41"/>
    <w:rsid w:val="0048736F"/>
    <w:rsid w:val="00490DC2"/>
    <w:rsid w:val="00492CD5"/>
    <w:rsid w:val="004A04A0"/>
    <w:rsid w:val="004A0878"/>
    <w:rsid w:val="004A316A"/>
    <w:rsid w:val="004A351E"/>
    <w:rsid w:val="004A5DE4"/>
    <w:rsid w:val="004A7022"/>
    <w:rsid w:val="004B036F"/>
    <w:rsid w:val="004B1E8F"/>
    <w:rsid w:val="004B1F6E"/>
    <w:rsid w:val="004B2DEE"/>
    <w:rsid w:val="004B359F"/>
    <w:rsid w:val="004B68E3"/>
    <w:rsid w:val="004C2707"/>
    <w:rsid w:val="004C2EB3"/>
    <w:rsid w:val="004C3463"/>
    <w:rsid w:val="004C3C7B"/>
    <w:rsid w:val="004C4410"/>
    <w:rsid w:val="004C62DA"/>
    <w:rsid w:val="004C7437"/>
    <w:rsid w:val="004D0EA9"/>
    <w:rsid w:val="004D30D6"/>
    <w:rsid w:val="004D4D39"/>
    <w:rsid w:val="004D5921"/>
    <w:rsid w:val="004D7EA2"/>
    <w:rsid w:val="004E48D5"/>
    <w:rsid w:val="004E54AF"/>
    <w:rsid w:val="004E6910"/>
    <w:rsid w:val="004E6ED7"/>
    <w:rsid w:val="004E7351"/>
    <w:rsid w:val="004F40A8"/>
    <w:rsid w:val="004F42D3"/>
    <w:rsid w:val="004F4D70"/>
    <w:rsid w:val="004F5BD5"/>
    <w:rsid w:val="00500732"/>
    <w:rsid w:val="00502F63"/>
    <w:rsid w:val="00503516"/>
    <w:rsid w:val="0050356A"/>
    <w:rsid w:val="00504F2A"/>
    <w:rsid w:val="005053E1"/>
    <w:rsid w:val="0050601C"/>
    <w:rsid w:val="00506D3E"/>
    <w:rsid w:val="00507FA8"/>
    <w:rsid w:val="00511AEC"/>
    <w:rsid w:val="00512398"/>
    <w:rsid w:val="00512DDD"/>
    <w:rsid w:val="0051439A"/>
    <w:rsid w:val="00514FFB"/>
    <w:rsid w:val="005152CD"/>
    <w:rsid w:val="00516446"/>
    <w:rsid w:val="00516710"/>
    <w:rsid w:val="0051764A"/>
    <w:rsid w:val="0051782F"/>
    <w:rsid w:val="00517BD5"/>
    <w:rsid w:val="005219E6"/>
    <w:rsid w:val="0052296B"/>
    <w:rsid w:val="00522E71"/>
    <w:rsid w:val="005234C5"/>
    <w:rsid w:val="00523A1D"/>
    <w:rsid w:val="00523C65"/>
    <w:rsid w:val="00526D53"/>
    <w:rsid w:val="0052758F"/>
    <w:rsid w:val="00531BD2"/>
    <w:rsid w:val="00532C5A"/>
    <w:rsid w:val="00533A02"/>
    <w:rsid w:val="00535633"/>
    <w:rsid w:val="0053665A"/>
    <w:rsid w:val="0053678E"/>
    <w:rsid w:val="00541682"/>
    <w:rsid w:val="00547E21"/>
    <w:rsid w:val="005501B7"/>
    <w:rsid w:val="0055077F"/>
    <w:rsid w:val="005508EC"/>
    <w:rsid w:val="00550BA9"/>
    <w:rsid w:val="0055323D"/>
    <w:rsid w:val="0055487B"/>
    <w:rsid w:val="005561BF"/>
    <w:rsid w:val="00557919"/>
    <w:rsid w:val="00557CE3"/>
    <w:rsid w:val="00563338"/>
    <w:rsid w:val="00566B15"/>
    <w:rsid w:val="00567E7B"/>
    <w:rsid w:val="005707E2"/>
    <w:rsid w:val="00572D8D"/>
    <w:rsid w:val="00573C26"/>
    <w:rsid w:val="00575DCD"/>
    <w:rsid w:val="005843EF"/>
    <w:rsid w:val="005846F5"/>
    <w:rsid w:val="0059120F"/>
    <w:rsid w:val="005920E1"/>
    <w:rsid w:val="005927A3"/>
    <w:rsid w:val="00592D92"/>
    <w:rsid w:val="00594BA4"/>
    <w:rsid w:val="0059574F"/>
    <w:rsid w:val="00596C20"/>
    <w:rsid w:val="005A0E14"/>
    <w:rsid w:val="005A56F3"/>
    <w:rsid w:val="005A648D"/>
    <w:rsid w:val="005A7CCF"/>
    <w:rsid w:val="005B1DE4"/>
    <w:rsid w:val="005B3B31"/>
    <w:rsid w:val="005B4D39"/>
    <w:rsid w:val="005B75EA"/>
    <w:rsid w:val="005B79F6"/>
    <w:rsid w:val="005C0A54"/>
    <w:rsid w:val="005C0F1B"/>
    <w:rsid w:val="005C1926"/>
    <w:rsid w:val="005C29CC"/>
    <w:rsid w:val="005C34E9"/>
    <w:rsid w:val="005C410D"/>
    <w:rsid w:val="005C6C35"/>
    <w:rsid w:val="005C735D"/>
    <w:rsid w:val="005C7D48"/>
    <w:rsid w:val="005C7FC8"/>
    <w:rsid w:val="005D1914"/>
    <w:rsid w:val="005D2550"/>
    <w:rsid w:val="005D277F"/>
    <w:rsid w:val="005D35DF"/>
    <w:rsid w:val="005D634A"/>
    <w:rsid w:val="005D6850"/>
    <w:rsid w:val="005D70BC"/>
    <w:rsid w:val="005E0940"/>
    <w:rsid w:val="005E0CBC"/>
    <w:rsid w:val="005E16E3"/>
    <w:rsid w:val="005E29FE"/>
    <w:rsid w:val="005F0734"/>
    <w:rsid w:val="005F0847"/>
    <w:rsid w:val="005F0A20"/>
    <w:rsid w:val="005F2D5F"/>
    <w:rsid w:val="005F394D"/>
    <w:rsid w:val="005F3FD8"/>
    <w:rsid w:val="005F4C64"/>
    <w:rsid w:val="005F5486"/>
    <w:rsid w:val="005F58B7"/>
    <w:rsid w:val="005F5E62"/>
    <w:rsid w:val="005F6F23"/>
    <w:rsid w:val="005F711C"/>
    <w:rsid w:val="006012D0"/>
    <w:rsid w:val="00605E03"/>
    <w:rsid w:val="006079D7"/>
    <w:rsid w:val="00611EF8"/>
    <w:rsid w:val="00612D14"/>
    <w:rsid w:val="00612FA3"/>
    <w:rsid w:val="00615F47"/>
    <w:rsid w:val="00616567"/>
    <w:rsid w:val="0062094C"/>
    <w:rsid w:val="00621C03"/>
    <w:rsid w:val="0062482F"/>
    <w:rsid w:val="00630626"/>
    <w:rsid w:val="00631AF7"/>
    <w:rsid w:val="00632EAF"/>
    <w:rsid w:val="006362DE"/>
    <w:rsid w:val="00637D15"/>
    <w:rsid w:val="006406E8"/>
    <w:rsid w:val="006425FC"/>
    <w:rsid w:val="0064268E"/>
    <w:rsid w:val="00650310"/>
    <w:rsid w:val="00651655"/>
    <w:rsid w:val="00651A2D"/>
    <w:rsid w:val="0065389B"/>
    <w:rsid w:val="0065446B"/>
    <w:rsid w:val="00656E57"/>
    <w:rsid w:val="0065784F"/>
    <w:rsid w:val="006637A1"/>
    <w:rsid w:val="0066627A"/>
    <w:rsid w:val="006665AF"/>
    <w:rsid w:val="006705CB"/>
    <w:rsid w:val="0067242C"/>
    <w:rsid w:val="006726AE"/>
    <w:rsid w:val="00674860"/>
    <w:rsid w:val="00675A8A"/>
    <w:rsid w:val="0067791D"/>
    <w:rsid w:val="006825B4"/>
    <w:rsid w:val="00683533"/>
    <w:rsid w:val="00685156"/>
    <w:rsid w:val="00687703"/>
    <w:rsid w:val="00693A14"/>
    <w:rsid w:val="00693D3E"/>
    <w:rsid w:val="006A0F5B"/>
    <w:rsid w:val="006A2468"/>
    <w:rsid w:val="006A3D22"/>
    <w:rsid w:val="006A45C1"/>
    <w:rsid w:val="006A4B9E"/>
    <w:rsid w:val="006A4DFD"/>
    <w:rsid w:val="006A5775"/>
    <w:rsid w:val="006A628A"/>
    <w:rsid w:val="006A6DF0"/>
    <w:rsid w:val="006B0188"/>
    <w:rsid w:val="006B1AC9"/>
    <w:rsid w:val="006B2361"/>
    <w:rsid w:val="006B3AC1"/>
    <w:rsid w:val="006B3E24"/>
    <w:rsid w:val="006B5925"/>
    <w:rsid w:val="006B6D0E"/>
    <w:rsid w:val="006B703F"/>
    <w:rsid w:val="006C26AB"/>
    <w:rsid w:val="006C272B"/>
    <w:rsid w:val="006C61F3"/>
    <w:rsid w:val="006C6276"/>
    <w:rsid w:val="006C6F16"/>
    <w:rsid w:val="006D1AC3"/>
    <w:rsid w:val="006D3F03"/>
    <w:rsid w:val="006D5721"/>
    <w:rsid w:val="006E0ED2"/>
    <w:rsid w:val="006E427A"/>
    <w:rsid w:val="006F077E"/>
    <w:rsid w:val="006F120A"/>
    <w:rsid w:val="006F2965"/>
    <w:rsid w:val="006F4DF7"/>
    <w:rsid w:val="006F4F89"/>
    <w:rsid w:val="006F56B2"/>
    <w:rsid w:val="006F5BCF"/>
    <w:rsid w:val="006F7177"/>
    <w:rsid w:val="007005D4"/>
    <w:rsid w:val="00702ED4"/>
    <w:rsid w:val="007037E6"/>
    <w:rsid w:val="007043A4"/>
    <w:rsid w:val="00706BBC"/>
    <w:rsid w:val="007071A0"/>
    <w:rsid w:val="00716C65"/>
    <w:rsid w:val="007170BD"/>
    <w:rsid w:val="00717288"/>
    <w:rsid w:val="00720316"/>
    <w:rsid w:val="0072162C"/>
    <w:rsid w:val="007228A4"/>
    <w:rsid w:val="007228D3"/>
    <w:rsid w:val="0072474D"/>
    <w:rsid w:val="00725D16"/>
    <w:rsid w:val="00725F8A"/>
    <w:rsid w:val="0072729D"/>
    <w:rsid w:val="00727D01"/>
    <w:rsid w:val="00732C33"/>
    <w:rsid w:val="0073568C"/>
    <w:rsid w:val="007366C8"/>
    <w:rsid w:val="007376B2"/>
    <w:rsid w:val="00740843"/>
    <w:rsid w:val="00741BD3"/>
    <w:rsid w:val="0074274B"/>
    <w:rsid w:val="00745EC4"/>
    <w:rsid w:val="007532E8"/>
    <w:rsid w:val="007538E8"/>
    <w:rsid w:val="007577E0"/>
    <w:rsid w:val="00761C76"/>
    <w:rsid w:val="00762ED5"/>
    <w:rsid w:val="0076320E"/>
    <w:rsid w:val="0076498C"/>
    <w:rsid w:val="00767517"/>
    <w:rsid w:val="00767A7E"/>
    <w:rsid w:val="0077008C"/>
    <w:rsid w:val="007709DA"/>
    <w:rsid w:val="00773B9B"/>
    <w:rsid w:val="00775214"/>
    <w:rsid w:val="00775A3E"/>
    <w:rsid w:val="007771A2"/>
    <w:rsid w:val="007771F9"/>
    <w:rsid w:val="00781D93"/>
    <w:rsid w:val="00782723"/>
    <w:rsid w:val="007847B4"/>
    <w:rsid w:val="00785CBE"/>
    <w:rsid w:val="00787C0D"/>
    <w:rsid w:val="0079087D"/>
    <w:rsid w:val="00793440"/>
    <w:rsid w:val="00793DB2"/>
    <w:rsid w:val="0079539C"/>
    <w:rsid w:val="00796155"/>
    <w:rsid w:val="007A01A0"/>
    <w:rsid w:val="007A0790"/>
    <w:rsid w:val="007A0D6C"/>
    <w:rsid w:val="007A20BD"/>
    <w:rsid w:val="007A27E2"/>
    <w:rsid w:val="007A2E83"/>
    <w:rsid w:val="007A38DF"/>
    <w:rsid w:val="007A5DD7"/>
    <w:rsid w:val="007A7ECC"/>
    <w:rsid w:val="007B0A91"/>
    <w:rsid w:val="007B2710"/>
    <w:rsid w:val="007B3279"/>
    <w:rsid w:val="007B5099"/>
    <w:rsid w:val="007B58DB"/>
    <w:rsid w:val="007B5F51"/>
    <w:rsid w:val="007C0BA3"/>
    <w:rsid w:val="007C212A"/>
    <w:rsid w:val="007C3923"/>
    <w:rsid w:val="007C461E"/>
    <w:rsid w:val="007C5607"/>
    <w:rsid w:val="007C5746"/>
    <w:rsid w:val="007C653A"/>
    <w:rsid w:val="007D31FC"/>
    <w:rsid w:val="007D6433"/>
    <w:rsid w:val="007E2E35"/>
    <w:rsid w:val="007E3C62"/>
    <w:rsid w:val="007E4185"/>
    <w:rsid w:val="007E537E"/>
    <w:rsid w:val="007E53DE"/>
    <w:rsid w:val="007E6A30"/>
    <w:rsid w:val="007F2BBA"/>
    <w:rsid w:val="007F3CCD"/>
    <w:rsid w:val="007F4586"/>
    <w:rsid w:val="007F52BB"/>
    <w:rsid w:val="007F6C70"/>
    <w:rsid w:val="00800F4C"/>
    <w:rsid w:val="00802B67"/>
    <w:rsid w:val="00802E08"/>
    <w:rsid w:val="00803994"/>
    <w:rsid w:val="00803CF8"/>
    <w:rsid w:val="00804048"/>
    <w:rsid w:val="00804186"/>
    <w:rsid w:val="00804544"/>
    <w:rsid w:val="008046F4"/>
    <w:rsid w:val="0080681E"/>
    <w:rsid w:val="00806F70"/>
    <w:rsid w:val="008120FB"/>
    <w:rsid w:val="00812330"/>
    <w:rsid w:val="00814121"/>
    <w:rsid w:val="00815814"/>
    <w:rsid w:val="008179F5"/>
    <w:rsid w:val="00821D86"/>
    <w:rsid w:val="008231CF"/>
    <w:rsid w:val="00823EC8"/>
    <w:rsid w:val="00826CC3"/>
    <w:rsid w:val="00830870"/>
    <w:rsid w:val="00830A31"/>
    <w:rsid w:val="00833811"/>
    <w:rsid w:val="00833820"/>
    <w:rsid w:val="008340B6"/>
    <w:rsid w:val="008375D0"/>
    <w:rsid w:val="00840078"/>
    <w:rsid w:val="008419BD"/>
    <w:rsid w:val="008437C7"/>
    <w:rsid w:val="008451BF"/>
    <w:rsid w:val="008451FD"/>
    <w:rsid w:val="008459E1"/>
    <w:rsid w:val="00846759"/>
    <w:rsid w:val="008471D9"/>
    <w:rsid w:val="00847A7B"/>
    <w:rsid w:val="00850449"/>
    <w:rsid w:val="00850701"/>
    <w:rsid w:val="008507E5"/>
    <w:rsid w:val="00852E7D"/>
    <w:rsid w:val="00853F27"/>
    <w:rsid w:val="0085587D"/>
    <w:rsid w:val="00856767"/>
    <w:rsid w:val="00856ABD"/>
    <w:rsid w:val="00860D94"/>
    <w:rsid w:val="008611BC"/>
    <w:rsid w:val="00864129"/>
    <w:rsid w:val="00865A20"/>
    <w:rsid w:val="00865D60"/>
    <w:rsid w:val="00865FA9"/>
    <w:rsid w:val="00866555"/>
    <w:rsid w:val="00867D67"/>
    <w:rsid w:val="00870760"/>
    <w:rsid w:val="00875167"/>
    <w:rsid w:val="00875FC7"/>
    <w:rsid w:val="0087686B"/>
    <w:rsid w:val="00876CC5"/>
    <w:rsid w:val="00877125"/>
    <w:rsid w:val="00877484"/>
    <w:rsid w:val="008779C0"/>
    <w:rsid w:val="00877B32"/>
    <w:rsid w:val="00880720"/>
    <w:rsid w:val="008815EC"/>
    <w:rsid w:val="008827C6"/>
    <w:rsid w:val="00883415"/>
    <w:rsid w:val="008842D6"/>
    <w:rsid w:val="00884984"/>
    <w:rsid w:val="0088561D"/>
    <w:rsid w:val="00891BEB"/>
    <w:rsid w:val="0089294B"/>
    <w:rsid w:val="00892A57"/>
    <w:rsid w:val="00893BBB"/>
    <w:rsid w:val="008941A7"/>
    <w:rsid w:val="00894A2C"/>
    <w:rsid w:val="00895921"/>
    <w:rsid w:val="00895E02"/>
    <w:rsid w:val="00896C9F"/>
    <w:rsid w:val="008A071D"/>
    <w:rsid w:val="008A0C57"/>
    <w:rsid w:val="008A1ED8"/>
    <w:rsid w:val="008A3F1C"/>
    <w:rsid w:val="008A418E"/>
    <w:rsid w:val="008A471F"/>
    <w:rsid w:val="008A4D68"/>
    <w:rsid w:val="008A52B1"/>
    <w:rsid w:val="008A5805"/>
    <w:rsid w:val="008A6A81"/>
    <w:rsid w:val="008A707C"/>
    <w:rsid w:val="008B0FDF"/>
    <w:rsid w:val="008B2BC0"/>
    <w:rsid w:val="008B3417"/>
    <w:rsid w:val="008B350E"/>
    <w:rsid w:val="008B3E59"/>
    <w:rsid w:val="008B3EB3"/>
    <w:rsid w:val="008B4842"/>
    <w:rsid w:val="008B7605"/>
    <w:rsid w:val="008C0103"/>
    <w:rsid w:val="008C1985"/>
    <w:rsid w:val="008C71E6"/>
    <w:rsid w:val="008D0075"/>
    <w:rsid w:val="008D00FD"/>
    <w:rsid w:val="008D3972"/>
    <w:rsid w:val="008D42A3"/>
    <w:rsid w:val="008D5017"/>
    <w:rsid w:val="008D5BFC"/>
    <w:rsid w:val="008D6864"/>
    <w:rsid w:val="008D7260"/>
    <w:rsid w:val="008E031F"/>
    <w:rsid w:val="008E4733"/>
    <w:rsid w:val="008E4E31"/>
    <w:rsid w:val="008E6B38"/>
    <w:rsid w:val="008E759A"/>
    <w:rsid w:val="008F0E31"/>
    <w:rsid w:val="008F1D91"/>
    <w:rsid w:val="008F2779"/>
    <w:rsid w:val="00901031"/>
    <w:rsid w:val="009040E2"/>
    <w:rsid w:val="009044EB"/>
    <w:rsid w:val="00913AC8"/>
    <w:rsid w:val="0091679D"/>
    <w:rsid w:val="0091732A"/>
    <w:rsid w:val="0092028B"/>
    <w:rsid w:val="00920606"/>
    <w:rsid w:val="00921A47"/>
    <w:rsid w:val="00922F01"/>
    <w:rsid w:val="00922FB0"/>
    <w:rsid w:val="009324BF"/>
    <w:rsid w:val="009328F0"/>
    <w:rsid w:val="00933A79"/>
    <w:rsid w:val="00934ED6"/>
    <w:rsid w:val="00935FC0"/>
    <w:rsid w:val="00942068"/>
    <w:rsid w:val="00943F3A"/>
    <w:rsid w:val="0094599F"/>
    <w:rsid w:val="00945C91"/>
    <w:rsid w:val="00945E45"/>
    <w:rsid w:val="009466C9"/>
    <w:rsid w:val="00947B5D"/>
    <w:rsid w:val="00951014"/>
    <w:rsid w:val="00951431"/>
    <w:rsid w:val="009553E1"/>
    <w:rsid w:val="00957FFD"/>
    <w:rsid w:val="009605AB"/>
    <w:rsid w:val="0096206B"/>
    <w:rsid w:val="0096295B"/>
    <w:rsid w:val="00963BBC"/>
    <w:rsid w:val="00964168"/>
    <w:rsid w:val="00964809"/>
    <w:rsid w:val="00965096"/>
    <w:rsid w:val="009658B6"/>
    <w:rsid w:val="0096602E"/>
    <w:rsid w:val="00972C7C"/>
    <w:rsid w:val="00972CEF"/>
    <w:rsid w:val="0097326C"/>
    <w:rsid w:val="009743A1"/>
    <w:rsid w:val="009761D8"/>
    <w:rsid w:val="009765F1"/>
    <w:rsid w:val="00976F42"/>
    <w:rsid w:val="0098319F"/>
    <w:rsid w:val="00983359"/>
    <w:rsid w:val="009839C7"/>
    <w:rsid w:val="0098481F"/>
    <w:rsid w:val="00984A37"/>
    <w:rsid w:val="00984A7D"/>
    <w:rsid w:val="00984A87"/>
    <w:rsid w:val="00985945"/>
    <w:rsid w:val="00985F4D"/>
    <w:rsid w:val="00987067"/>
    <w:rsid w:val="009920FA"/>
    <w:rsid w:val="00992C4E"/>
    <w:rsid w:val="00992F0C"/>
    <w:rsid w:val="0099331B"/>
    <w:rsid w:val="0099361F"/>
    <w:rsid w:val="009946C0"/>
    <w:rsid w:val="00994D03"/>
    <w:rsid w:val="00994D2E"/>
    <w:rsid w:val="00997502"/>
    <w:rsid w:val="009A0E3D"/>
    <w:rsid w:val="009A201D"/>
    <w:rsid w:val="009A37BF"/>
    <w:rsid w:val="009A3E22"/>
    <w:rsid w:val="009A44AC"/>
    <w:rsid w:val="009A536A"/>
    <w:rsid w:val="009A5ABF"/>
    <w:rsid w:val="009B03DC"/>
    <w:rsid w:val="009B63E7"/>
    <w:rsid w:val="009B77C2"/>
    <w:rsid w:val="009C05F0"/>
    <w:rsid w:val="009C1364"/>
    <w:rsid w:val="009C2319"/>
    <w:rsid w:val="009C38AB"/>
    <w:rsid w:val="009C3D33"/>
    <w:rsid w:val="009C46AD"/>
    <w:rsid w:val="009C7745"/>
    <w:rsid w:val="009C78FD"/>
    <w:rsid w:val="009C7F7B"/>
    <w:rsid w:val="009D4BF9"/>
    <w:rsid w:val="009D60FC"/>
    <w:rsid w:val="009E089A"/>
    <w:rsid w:val="009E0D4F"/>
    <w:rsid w:val="009E74DE"/>
    <w:rsid w:val="009E7CB2"/>
    <w:rsid w:val="009F0611"/>
    <w:rsid w:val="009F06FE"/>
    <w:rsid w:val="009F1FB6"/>
    <w:rsid w:val="009F3F27"/>
    <w:rsid w:val="009F3FF9"/>
    <w:rsid w:val="009F482B"/>
    <w:rsid w:val="009F4DD3"/>
    <w:rsid w:val="009F5102"/>
    <w:rsid w:val="009F5108"/>
    <w:rsid w:val="009F6E29"/>
    <w:rsid w:val="00A0007C"/>
    <w:rsid w:val="00A00937"/>
    <w:rsid w:val="00A04D29"/>
    <w:rsid w:val="00A12F66"/>
    <w:rsid w:val="00A1329F"/>
    <w:rsid w:val="00A13618"/>
    <w:rsid w:val="00A17036"/>
    <w:rsid w:val="00A22A92"/>
    <w:rsid w:val="00A22BDA"/>
    <w:rsid w:val="00A22CFD"/>
    <w:rsid w:val="00A23AE2"/>
    <w:rsid w:val="00A24DCB"/>
    <w:rsid w:val="00A27E94"/>
    <w:rsid w:val="00A313AB"/>
    <w:rsid w:val="00A3352B"/>
    <w:rsid w:val="00A3370E"/>
    <w:rsid w:val="00A33BED"/>
    <w:rsid w:val="00A35061"/>
    <w:rsid w:val="00A36C2A"/>
    <w:rsid w:val="00A378D2"/>
    <w:rsid w:val="00A40EFE"/>
    <w:rsid w:val="00A41819"/>
    <w:rsid w:val="00A431E6"/>
    <w:rsid w:val="00A4473F"/>
    <w:rsid w:val="00A44FDA"/>
    <w:rsid w:val="00A46D13"/>
    <w:rsid w:val="00A51BBD"/>
    <w:rsid w:val="00A538F7"/>
    <w:rsid w:val="00A542DC"/>
    <w:rsid w:val="00A54D0F"/>
    <w:rsid w:val="00A551AB"/>
    <w:rsid w:val="00A55C03"/>
    <w:rsid w:val="00A5687A"/>
    <w:rsid w:val="00A57E94"/>
    <w:rsid w:val="00A63A04"/>
    <w:rsid w:val="00A668C9"/>
    <w:rsid w:val="00A66DFD"/>
    <w:rsid w:val="00A713E7"/>
    <w:rsid w:val="00A71AE1"/>
    <w:rsid w:val="00A71B56"/>
    <w:rsid w:val="00A72135"/>
    <w:rsid w:val="00A72AC0"/>
    <w:rsid w:val="00A73558"/>
    <w:rsid w:val="00A758CB"/>
    <w:rsid w:val="00A75F70"/>
    <w:rsid w:val="00A80B64"/>
    <w:rsid w:val="00A8458A"/>
    <w:rsid w:val="00A91AB2"/>
    <w:rsid w:val="00A9363B"/>
    <w:rsid w:val="00A95AC7"/>
    <w:rsid w:val="00AA0D33"/>
    <w:rsid w:val="00AA0E5B"/>
    <w:rsid w:val="00AA1357"/>
    <w:rsid w:val="00AA7683"/>
    <w:rsid w:val="00AA76DB"/>
    <w:rsid w:val="00AB051E"/>
    <w:rsid w:val="00AB0E4C"/>
    <w:rsid w:val="00AB2701"/>
    <w:rsid w:val="00AB2804"/>
    <w:rsid w:val="00AB3DCF"/>
    <w:rsid w:val="00AB4135"/>
    <w:rsid w:val="00AB6203"/>
    <w:rsid w:val="00AC1568"/>
    <w:rsid w:val="00AC406B"/>
    <w:rsid w:val="00AC481A"/>
    <w:rsid w:val="00AC59BA"/>
    <w:rsid w:val="00AC788E"/>
    <w:rsid w:val="00AD0B1D"/>
    <w:rsid w:val="00AD19E9"/>
    <w:rsid w:val="00AD1F01"/>
    <w:rsid w:val="00AD3CBC"/>
    <w:rsid w:val="00AD5762"/>
    <w:rsid w:val="00AD7FF5"/>
    <w:rsid w:val="00AE3A06"/>
    <w:rsid w:val="00AE5182"/>
    <w:rsid w:val="00AE5255"/>
    <w:rsid w:val="00AE5698"/>
    <w:rsid w:val="00AE5A32"/>
    <w:rsid w:val="00AE7C1B"/>
    <w:rsid w:val="00AF11BC"/>
    <w:rsid w:val="00AF47ED"/>
    <w:rsid w:val="00AF51D6"/>
    <w:rsid w:val="00AF5F59"/>
    <w:rsid w:val="00AF75F0"/>
    <w:rsid w:val="00AF78A9"/>
    <w:rsid w:val="00AF7E8A"/>
    <w:rsid w:val="00B07DF1"/>
    <w:rsid w:val="00B16FCF"/>
    <w:rsid w:val="00B171B5"/>
    <w:rsid w:val="00B20003"/>
    <w:rsid w:val="00B20BA0"/>
    <w:rsid w:val="00B225C2"/>
    <w:rsid w:val="00B23642"/>
    <w:rsid w:val="00B244DC"/>
    <w:rsid w:val="00B25082"/>
    <w:rsid w:val="00B25DF9"/>
    <w:rsid w:val="00B275CB"/>
    <w:rsid w:val="00B33F0B"/>
    <w:rsid w:val="00B410F6"/>
    <w:rsid w:val="00B41141"/>
    <w:rsid w:val="00B437B2"/>
    <w:rsid w:val="00B451D9"/>
    <w:rsid w:val="00B45664"/>
    <w:rsid w:val="00B46386"/>
    <w:rsid w:val="00B47B2E"/>
    <w:rsid w:val="00B506FA"/>
    <w:rsid w:val="00B50F20"/>
    <w:rsid w:val="00B52808"/>
    <w:rsid w:val="00B56A05"/>
    <w:rsid w:val="00B57BBD"/>
    <w:rsid w:val="00B618AF"/>
    <w:rsid w:val="00B62DB4"/>
    <w:rsid w:val="00B63028"/>
    <w:rsid w:val="00B630E7"/>
    <w:rsid w:val="00B63842"/>
    <w:rsid w:val="00B65E11"/>
    <w:rsid w:val="00B66721"/>
    <w:rsid w:val="00B66B23"/>
    <w:rsid w:val="00B671FF"/>
    <w:rsid w:val="00B70240"/>
    <w:rsid w:val="00B70881"/>
    <w:rsid w:val="00B708B3"/>
    <w:rsid w:val="00B7226F"/>
    <w:rsid w:val="00B727AC"/>
    <w:rsid w:val="00B732C2"/>
    <w:rsid w:val="00B75CD0"/>
    <w:rsid w:val="00B80B67"/>
    <w:rsid w:val="00B84F21"/>
    <w:rsid w:val="00B850FC"/>
    <w:rsid w:val="00B85DE8"/>
    <w:rsid w:val="00B863DF"/>
    <w:rsid w:val="00B929B9"/>
    <w:rsid w:val="00B933F6"/>
    <w:rsid w:val="00B94679"/>
    <w:rsid w:val="00B94F48"/>
    <w:rsid w:val="00B95C20"/>
    <w:rsid w:val="00B96123"/>
    <w:rsid w:val="00B97BEA"/>
    <w:rsid w:val="00BA1E78"/>
    <w:rsid w:val="00BA329A"/>
    <w:rsid w:val="00BA452F"/>
    <w:rsid w:val="00BA4C99"/>
    <w:rsid w:val="00BA7401"/>
    <w:rsid w:val="00BB0EC9"/>
    <w:rsid w:val="00BB2C59"/>
    <w:rsid w:val="00BB2EC8"/>
    <w:rsid w:val="00BB33C2"/>
    <w:rsid w:val="00BB6427"/>
    <w:rsid w:val="00BB7DBC"/>
    <w:rsid w:val="00BC1741"/>
    <w:rsid w:val="00BC2E9C"/>
    <w:rsid w:val="00BC4409"/>
    <w:rsid w:val="00BC49F4"/>
    <w:rsid w:val="00BC596F"/>
    <w:rsid w:val="00BD0A6E"/>
    <w:rsid w:val="00BD17E5"/>
    <w:rsid w:val="00BD5768"/>
    <w:rsid w:val="00BD6A32"/>
    <w:rsid w:val="00BD6AEF"/>
    <w:rsid w:val="00BD7CD7"/>
    <w:rsid w:val="00BE0205"/>
    <w:rsid w:val="00BE159F"/>
    <w:rsid w:val="00BE4F93"/>
    <w:rsid w:val="00BE55EE"/>
    <w:rsid w:val="00BE6E45"/>
    <w:rsid w:val="00BE702B"/>
    <w:rsid w:val="00BF0BCA"/>
    <w:rsid w:val="00BF0E22"/>
    <w:rsid w:val="00BF2108"/>
    <w:rsid w:val="00BF44A4"/>
    <w:rsid w:val="00BF45C6"/>
    <w:rsid w:val="00BF509A"/>
    <w:rsid w:val="00BF569E"/>
    <w:rsid w:val="00BF5C8A"/>
    <w:rsid w:val="00BF6807"/>
    <w:rsid w:val="00C02686"/>
    <w:rsid w:val="00C028C4"/>
    <w:rsid w:val="00C04A29"/>
    <w:rsid w:val="00C06949"/>
    <w:rsid w:val="00C06F84"/>
    <w:rsid w:val="00C14491"/>
    <w:rsid w:val="00C15152"/>
    <w:rsid w:val="00C17713"/>
    <w:rsid w:val="00C20423"/>
    <w:rsid w:val="00C21D12"/>
    <w:rsid w:val="00C22231"/>
    <w:rsid w:val="00C25ACF"/>
    <w:rsid w:val="00C30135"/>
    <w:rsid w:val="00C31887"/>
    <w:rsid w:val="00C31ECD"/>
    <w:rsid w:val="00C33AC9"/>
    <w:rsid w:val="00C33CAE"/>
    <w:rsid w:val="00C36360"/>
    <w:rsid w:val="00C36F3F"/>
    <w:rsid w:val="00C42B1B"/>
    <w:rsid w:val="00C44C3D"/>
    <w:rsid w:val="00C451ED"/>
    <w:rsid w:val="00C46B21"/>
    <w:rsid w:val="00C47A89"/>
    <w:rsid w:val="00C50AD6"/>
    <w:rsid w:val="00C51308"/>
    <w:rsid w:val="00C54CE9"/>
    <w:rsid w:val="00C55E9D"/>
    <w:rsid w:val="00C6039B"/>
    <w:rsid w:val="00C60DF9"/>
    <w:rsid w:val="00C649E6"/>
    <w:rsid w:val="00C65310"/>
    <w:rsid w:val="00C66E09"/>
    <w:rsid w:val="00C72FF1"/>
    <w:rsid w:val="00C73D6A"/>
    <w:rsid w:val="00C757DC"/>
    <w:rsid w:val="00C7688C"/>
    <w:rsid w:val="00C82212"/>
    <w:rsid w:val="00C850BF"/>
    <w:rsid w:val="00C852E5"/>
    <w:rsid w:val="00C85A91"/>
    <w:rsid w:val="00C93048"/>
    <w:rsid w:val="00C9336D"/>
    <w:rsid w:val="00C94D1F"/>
    <w:rsid w:val="00C95E38"/>
    <w:rsid w:val="00C96A83"/>
    <w:rsid w:val="00C9761C"/>
    <w:rsid w:val="00C97EBB"/>
    <w:rsid w:val="00CA0BDD"/>
    <w:rsid w:val="00CA133C"/>
    <w:rsid w:val="00CA258F"/>
    <w:rsid w:val="00CA2E1D"/>
    <w:rsid w:val="00CA3188"/>
    <w:rsid w:val="00CA38C7"/>
    <w:rsid w:val="00CA489A"/>
    <w:rsid w:val="00CB044F"/>
    <w:rsid w:val="00CB0B1A"/>
    <w:rsid w:val="00CB1860"/>
    <w:rsid w:val="00CB22ED"/>
    <w:rsid w:val="00CB342F"/>
    <w:rsid w:val="00CB4FD7"/>
    <w:rsid w:val="00CB5BBB"/>
    <w:rsid w:val="00CB5C6E"/>
    <w:rsid w:val="00CC0003"/>
    <w:rsid w:val="00CC128F"/>
    <w:rsid w:val="00CC446F"/>
    <w:rsid w:val="00CC4FEE"/>
    <w:rsid w:val="00CD0C62"/>
    <w:rsid w:val="00CD0D27"/>
    <w:rsid w:val="00CD27A1"/>
    <w:rsid w:val="00CD3174"/>
    <w:rsid w:val="00CD31C4"/>
    <w:rsid w:val="00CD34B7"/>
    <w:rsid w:val="00CD38E4"/>
    <w:rsid w:val="00CD5771"/>
    <w:rsid w:val="00CD6898"/>
    <w:rsid w:val="00CD7B2B"/>
    <w:rsid w:val="00CE0E44"/>
    <w:rsid w:val="00CE161B"/>
    <w:rsid w:val="00CE1B52"/>
    <w:rsid w:val="00CE1FA4"/>
    <w:rsid w:val="00CE243F"/>
    <w:rsid w:val="00CE2A95"/>
    <w:rsid w:val="00CE3FCA"/>
    <w:rsid w:val="00CE4974"/>
    <w:rsid w:val="00CE4ABF"/>
    <w:rsid w:val="00CE4D90"/>
    <w:rsid w:val="00CF0694"/>
    <w:rsid w:val="00CF1855"/>
    <w:rsid w:val="00CF27B4"/>
    <w:rsid w:val="00CF4EF3"/>
    <w:rsid w:val="00CF567C"/>
    <w:rsid w:val="00D000C3"/>
    <w:rsid w:val="00D02CC1"/>
    <w:rsid w:val="00D03362"/>
    <w:rsid w:val="00D07811"/>
    <w:rsid w:val="00D10E30"/>
    <w:rsid w:val="00D10ECA"/>
    <w:rsid w:val="00D118FB"/>
    <w:rsid w:val="00D127F1"/>
    <w:rsid w:val="00D131F4"/>
    <w:rsid w:val="00D14455"/>
    <w:rsid w:val="00D166BD"/>
    <w:rsid w:val="00D2141C"/>
    <w:rsid w:val="00D22324"/>
    <w:rsid w:val="00D23E80"/>
    <w:rsid w:val="00D258C3"/>
    <w:rsid w:val="00D26AB9"/>
    <w:rsid w:val="00D26F66"/>
    <w:rsid w:val="00D3051C"/>
    <w:rsid w:val="00D31B01"/>
    <w:rsid w:val="00D3240F"/>
    <w:rsid w:val="00D324B7"/>
    <w:rsid w:val="00D334E1"/>
    <w:rsid w:val="00D36332"/>
    <w:rsid w:val="00D36C04"/>
    <w:rsid w:val="00D413EE"/>
    <w:rsid w:val="00D41FFD"/>
    <w:rsid w:val="00D438AD"/>
    <w:rsid w:val="00D505E2"/>
    <w:rsid w:val="00D51634"/>
    <w:rsid w:val="00D52212"/>
    <w:rsid w:val="00D528A7"/>
    <w:rsid w:val="00D5402C"/>
    <w:rsid w:val="00D54982"/>
    <w:rsid w:val="00D55802"/>
    <w:rsid w:val="00D56006"/>
    <w:rsid w:val="00D562FB"/>
    <w:rsid w:val="00D5630F"/>
    <w:rsid w:val="00D56780"/>
    <w:rsid w:val="00D57C93"/>
    <w:rsid w:val="00D610FF"/>
    <w:rsid w:val="00D623A0"/>
    <w:rsid w:val="00D62E92"/>
    <w:rsid w:val="00D637C1"/>
    <w:rsid w:val="00D63D28"/>
    <w:rsid w:val="00D70873"/>
    <w:rsid w:val="00D72072"/>
    <w:rsid w:val="00D72887"/>
    <w:rsid w:val="00D73300"/>
    <w:rsid w:val="00D74BE7"/>
    <w:rsid w:val="00D75B36"/>
    <w:rsid w:val="00D772AE"/>
    <w:rsid w:val="00D77348"/>
    <w:rsid w:val="00D77A3A"/>
    <w:rsid w:val="00D77DAE"/>
    <w:rsid w:val="00D81108"/>
    <w:rsid w:val="00D81AF0"/>
    <w:rsid w:val="00D82121"/>
    <w:rsid w:val="00D83666"/>
    <w:rsid w:val="00D83BAA"/>
    <w:rsid w:val="00D84336"/>
    <w:rsid w:val="00D8737E"/>
    <w:rsid w:val="00D91C0F"/>
    <w:rsid w:val="00D921CD"/>
    <w:rsid w:val="00D92E8F"/>
    <w:rsid w:val="00D93552"/>
    <w:rsid w:val="00D96D7F"/>
    <w:rsid w:val="00D96E78"/>
    <w:rsid w:val="00D97A72"/>
    <w:rsid w:val="00DA7168"/>
    <w:rsid w:val="00DA7980"/>
    <w:rsid w:val="00DA7FE4"/>
    <w:rsid w:val="00DB06E4"/>
    <w:rsid w:val="00DB4B1B"/>
    <w:rsid w:val="00DC001E"/>
    <w:rsid w:val="00DC063C"/>
    <w:rsid w:val="00DC0723"/>
    <w:rsid w:val="00DC386F"/>
    <w:rsid w:val="00DC4FD6"/>
    <w:rsid w:val="00DC5F3A"/>
    <w:rsid w:val="00DC6061"/>
    <w:rsid w:val="00DD03AB"/>
    <w:rsid w:val="00DD1C82"/>
    <w:rsid w:val="00DD2695"/>
    <w:rsid w:val="00DD2F2C"/>
    <w:rsid w:val="00DD3598"/>
    <w:rsid w:val="00DD43E5"/>
    <w:rsid w:val="00DD7337"/>
    <w:rsid w:val="00DD7631"/>
    <w:rsid w:val="00DE01AF"/>
    <w:rsid w:val="00DE02B7"/>
    <w:rsid w:val="00DE4101"/>
    <w:rsid w:val="00DE6E51"/>
    <w:rsid w:val="00DE6E6A"/>
    <w:rsid w:val="00DE72CE"/>
    <w:rsid w:val="00DE74B1"/>
    <w:rsid w:val="00DE7AA7"/>
    <w:rsid w:val="00DF1A9B"/>
    <w:rsid w:val="00DF3648"/>
    <w:rsid w:val="00DF4375"/>
    <w:rsid w:val="00DF4C37"/>
    <w:rsid w:val="00DF5012"/>
    <w:rsid w:val="00DF5E32"/>
    <w:rsid w:val="00E03FFD"/>
    <w:rsid w:val="00E07767"/>
    <w:rsid w:val="00E07F9B"/>
    <w:rsid w:val="00E1185A"/>
    <w:rsid w:val="00E12E75"/>
    <w:rsid w:val="00E136DF"/>
    <w:rsid w:val="00E1380B"/>
    <w:rsid w:val="00E165D5"/>
    <w:rsid w:val="00E20C14"/>
    <w:rsid w:val="00E2142E"/>
    <w:rsid w:val="00E21A21"/>
    <w:rsid w:val="00E22F7C"/>
    <w:rsid w:val="00E23427"/>
    <w:rsid w:val="00E24D88"/>
    <w:rsid w:val="00E2578A"/>
    <w:rsid w:val="00E25AFB"/>
    <w:rsid w:val="00E2676E"/>
    <w:rsid w:val="00E30BEF"/>
    <w:rsid w:val="00E30C28"/>
    <w:rsid w:val="00E3164F"/>
    <w:rsid w:val="00E32018"/>
    <w:rsid w:val="00E33A33"/>
    <w:rsid w:val="00E37659"/>
    <w:rsid w:val="00E41454"/>
    <w:rsid w:val="00E435D3"/>
    <w:rsid w:val="00E444CA"/>
    <w:rsid w:val="00E44554"/>
    <w:rsid w:val="00E4589C"/>
    <w:rsid w:val="00E45AB1"/>
    <w:rsid w:val="00E463EA"/>
    <w:rsid w:val="00E464C9"/>
    <w:rsid w:val="00E473BD"/>
    <w:rsid w:val="00E47B01"/>
    <w:rsid w:val="00E51073"/>
    <w:rsid w:val="00E5271A"/>
    <w:rsid w:val="00E52721"/>
    <w:rsid w:val="00E61541"/>
    <w:rsid w:val="00E6179B"/>
    <w:rsid w:val="00E61A63"/>
    <w:rsid w:val="00E61B7F"/>
    <w:rsid w:val="00E627CC"/>
    <w:rsid w:val="00E65BA3"/>
    <w:rsid w:val="00E66F34"/>
    <w:rsid w:val="00E674D4"/>
    <w:rsid w:val="00E711CB"/>
    <w:rsid w:val="00E715C7"/>
    <w:rsid w:val="00E72A87"/>
    <w:rsid w:val="00E7431D"/>
    <w:rsid w:val="00E751AD"/>
    <w:rsid w:val="00E81350"/>
    <w:rsid w:val="00E82C48"/>
    <w:rsid w:val="00E848B8"/>
    <w:rsid w:val="00E85717"/>
    <w:rsid w:val="00E86681"/>
    <w:rsid w:val="00E8729E"/>
    <w:rsid w:val="00E87D00"/>
    <w:rsid w:val="00E901FB"/>
    <w:rsid w:val="00E90A3D"/>
    <w:rsid w:val="00E915A9"/>
    <w:rsid w:val="00E95903"/>
    <w:rsid w:val="00EA0826"/>
    <w:rsid w:val="00EA0E74"/>
    <w:rsid w:val="00EA0ED7"/>
    <w:rsid w:val="00EA584C"/>
    <w:rsid w:val="00EB110A"/>
    <w:rsid w:val="00EB1506"/>
    <w:rsid w:val="00EB227C"/>
    <w:rsid w:val="00EB65FB"/>
    <w:rsid w:val="00EB670E"/>
    <w:rsid w:val="00EC1EAA"/>
    <w:rsid w:val="00EC5CA0"/>
    <w:rsid w:val="00EC5D92"/>
    <w:rsid w:val="00EC60F8"/>
    <w:rsid w:val="00EC7B2F"/>
    <w:rsid w:val="00ED1415"/>
    <w:rsid w:val="00ED5D6F"/>
    <w:rsid w:val="00ED6199"/>
    <w:rsid w:val="00ED65C2"/>
    <w:rsid w:val="00ED67FA"/>
    <w:rsid w:val="00ED7BDB"/>
    <w:rsid w:val="00EE3310"/>
    <w:rsid w:val="00EE5623"/>
    <w:rsid w:val="00EE6D6E"/>
    <w:rsid w:val="00EE7E83"/>
    <w:rsid w:val="00EF151B"/>
    <w:rsid w:val="00EF40F4"/>
    <w:rsid w:val="00EF4E89"/>
    <w:rsid w:val="00EF4FC9"/>
    <w:rsid w:val="00EF59E3"/>
    <w:rsid w:val="00F003B6"/>
    <w:rsid w:val="00F01793"/>
    <w:rsid w:val="00F0232D"/>
    <w:rsid w:val="00F03119"/>
    <w:rsid w:val="00F034D8"/>
    <w:rsid w:val="00F06138"/>
    <w:rsid w:val="00F06547"/>
    <w:rsid w:val="00F07230"/>
    <w:rsid w:val="00F10866"/>
    <w:rsid w:val="00F14446"/>
    <w:rsid w:val="00F15B56"/>
    <w:rsid w:val="00F1609E"/>
    <w:rsid w:val="00F168FB"/>
    <w:rsid w:val="00F20C3B"/>
    <w:rsid w:val="00F21000"/>
    <w:rsid w:val="00F24631"/>
    <w:rsid w:val="00F25C5A"/>
    <w:rsid w:val="00F26E13"/>
    <w:rsid w:val="00F312F3"/>
    <w:rsid w:val="00F31321"/>
    <w:rsid w:val="00F31A74"/>
    <w:rsid w:val="00F31AD6"/>
    <w:rsid w:val="00F32905"/>
    <w:rsid w:val="00F32D17"/>
    <w:rsid w:val="00F34D29"/>
    <w:rsid w:val="00F35BD8"/>
    <w:rsid w:val="00F36670"/>
    <w:rsid w:val="00F379D8"/>
    <w:rsid w:val="00F379E7"/>
    <w:rsid w:val="00F37CA0"/>
    <w:rsid w:val="00F4007F"/>
    <w:rsid w:val="00F40EAB"/>
    <w:rsid w:val="00F41B3A"/>
    <w:rsid w:val="00F469CF"/>
    <w:rsid w:val="00F47809"/>
    <w:rsid w:val="00F50BCE"/>
    <w:rsid w:val="00F52F98"/>
    <w:rsid w:val="00F538F0"/>
    <w:rsid w:val="00F53DC2"/>
    <w:rsid w:val="00F5445D"/>
    <w:rsid w:val="00F54A64"/>
    <w:rsid w:val="00F552D8"/>
    <w:rsid w:val="00F55B9C"/>
    <w:rsid w:val="00F5607B"/>
    <w:rsid w:val="00F57845"/>
    <w:rsid w:val="00F603A1"/>
    <w:rsid w:val="00F60BBC"/>
    <w:rsid w:val="00F64BDF"/>
    <w:rsid w:val="00F6771B"/>
    <w:rsid w:val="00F716EE"/>
    <w:rsid w:val="00F746C5"/>
    <w:rsid w:val="00F74BCD"/>
    <w:rsid w:val="00F77850"/>
    <w:rsid w:val="00F77A83"/>
    <w:rsid w:val="00F77B34"/>
    <w:rsid w:val="00F77E9F"/>
    <w:rsid w:val="00F80D4F"/>
    <w:rsid w:val="00F81708"/>
    <w:rsid w:val="00F81873"/>
    <w:rsid w:val="00F82077"/>
    <w:rsid w:val="00F82470"/>
    <w:rsid w:val="00F8266A"/>
    <w:rsid w:val="00F826B6"/>
    <w:rsid w:val="00F83B83"/>
    <w:rsid w:val="00F844DB"/>
    <w:rsid w:val="00F85341"/>
    <w:rsid w:val="00F85C55"/>
    <w:rsid w:val="00F90052"/>
    <w:rsid w:val="00F908E8"/>
    <w:rsid w:val="00F913F2"/>
    <w:rsid w:val="00F91A06"/>
    <w:rsid w:val="00F942E7"/>
    <w:rsid w:val="00F94597"/>
    <w:rsid w:val="00F962A5"/>
    <w:rsid w:val="00F97ED3"/>
    <w:rsid w:val="00FA04FC"/>
    <w:rsid w:val="00FA165F"/>
    <w:rsid w:val="00FA291E"/>
    <w:rsid w:val="00FA2D6F"/>
    <w:rsid w:val="00FA3CDD"/>
    <w:rsid w:val="00FA48F9"/>
    <w:rsid w:val="00FA7328"/>
    <w:rsid w:val="00FB066A"/>
    <w:rsid w:val="00FB17CF"/>
    <w:rsid w:val="00FB243F"/>
    <w:rsid w:val="00FB4A2D"/>
    <w:rsid w:val="00FB5004"/>
    <w:rsid w:val="00FB67FE"/>
    <w:rsid w:val="00FB7D0A"/>
    <w:rsid w:val="00FC1600"/>
    <w:rsid w:val="00FC370B"/>
    <w:rsid w:val="00FC4001"/>
    <w:rsid w:val="00FC505E"/>
    <w:rsid w:val="00FC5131"/>
    <w:rsid w:val="00FC6A28"/>
    <w:rsid w:val="00FD0876"/>
    <w:rsid w:val="00FD0984"/>
    <w:rsid w:val="00FD2662"/>
    <w:rsid w:val="00FD4FD0"/>
    <w:rsid w:val="00FD55DC"/>
    <w:rsid w:val="00FD5960"/>
    <w:rsid w:val="00FD6511"/>
    <w:rsid w:val="00FD77A2"/>
    <w:rsid w:val="00FE01E2"/>
    <w:rsid w:val="00FE023E"/>
    <w:rsid w:val="00FE0660"/>
    <w:rsid w:val="00FE0D39"/>
    <w:rsid w:val="00FE23CC"/>
    <w:rsid w:val="00FE3A4E"/>
    <w:rsid w:val="00FE52C1"/>
    <w:rsid w:val="00FE6C73"/>
    <w:rsid w:val="00FE7BAF"/>
    <w:rsid w:val="00FF152B"/>
    <w:rsid w:val="00FF298D"/>
    <w:rsid w:val="00FF3BFC"/>
    <w:rsid w:val="00FF4B7E"/>
    <w:rsid w:val="00FF5107"/>
    <w:rsid w:val="00F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Char,Footnote Reference1,Char"/>
    <w:basedOn w:val="Normal"/>
    <w:link w:val="FootnoteTextChar"/>
    <w:uiPriority w:val="99"/>
    <w:rsid w:val="00055838"/>
    <w:rPr>
      <w:sz w:val="20"/>
      <w:szCs w:val="20"/>
    </w:rPr>
  </w:style>
  <w:style w:type="character" w:styleId="FootnoteReference">
    <w:name w:val="footnote reference"/>
    <w:aliases w:val="4_G,Footnote number"/>
    <w:basedOn w:val="DefaultParagraphFont"/>
    <w:uiPriority w:val="99"/>
    <w:rsid w:val="00055838"/>
    <w:rPr>
      <w:rFonts w:ascii="Times New Roman" w:hAnsi="Times New Roman" w:cs="Times New Roman"/>
      <w:snapToGrid w:val="0"/>
      <w:vertAlign w:val="superscript"/>
    </w:rPr>
  </w:style>
  <w:style w:type="character" w:styleId="Hyperlink">
    <w:name w:val="Hyperlink"/>
    <w:basedOn w:val="DefaultParagraphFont"/>
    <w:rsid w:val="00055838"/>
    <w:rPr>
      <w:rFonts w:ascii="Times New Roman" w:hAnsi="Times New Roman" w:cs="Times New Roman"/>
      <w:snapToGrid w:val="0"/>
      <w:color w:val="0000FF"/>
      <w:u w:val="single"/>
    </w:rPr>
  </w:style>
  <w:style w:type="paragraph" w:styleId="Footer">
    <w:name w:val="footer"/>
    <w:basedOn w:val="Normal"/>
    <w:link w:val="FooterChar"/>
    <w:rsid w:val="00055838"/>
    <w:pPr>
      <w:tabs>
        <w:tab w:val="center" w:pos="4320"/>
        <w:tab w:val="right" w:pos="8640"/>
      </w:tabs>
    </w:pPr>
  </w:style>
  <w:style w:type="paragraph" w:styleId="Header">
    <w:name w:val="header"/>
    <w:basedOn w:val="Normal"/>
    <w:link w:val="HeaderChar"/>
    <w:uiPriority w:val="99"/>
    <w:rsid w:val="00055838"/>
    <w:pPr>
      <w:tabs>
        <w:tab w:val="center" w:pos="4320"/>
        <w:tab w:val="right" w:pos="8640"/>
      </w:tabs>
    </w:p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A"/>
    <w:basedOn w:val="Normal"/>
    <w:link w:val="ListParagraphChar"/>
    <w:uiPriority w:val="34"/>
    <w:qFormat/>
    <w:rsid w:val="00055838"/>
    <w:pPr>
      <w:ind w:left="720"/>
    </w:pPr>
  </w:style>
  <w:style w:type="paragraph" w:styleId="Title">
    <w:name w:val="Title"/>
    <w:basedOn w:val="Normal"/>
    <w:link w:val="TitleChar"/>
    <w:uiPriority w:val="99"/>
    <w:qFormat/>
    <w:rsid w:val="00055838"/>
    <w:pPr>
      <w:jc w:val="center"/>
    </w:pPr>
    <w:rPr>
      <w:b/>
      <w:bCs/>
    </w:rPr>
  </w:style>
  <w:style w:type="character" w:styleId="FollowedHyperlink">
    <w:name w:val="FollowedHyperlink"/>
    <w:basedOn w:val="DefaultParagraphFont"/>
    <w:rsid w:val="009C7F7B"/>
    <w:rPr>
      <w:color w:val="800080"/>
      <w:u w:val="single"/>
    </w:rPr>
  </w:style>
  <w:style w:type="paragraph" w:customStyle="1" w:styleId="Default">
    <w:name w:val="Default"/>
    <w:rsid w:val="0072162C"/>
    <w:pPr>
      <w:autoSpaceDE w:val="0"/>
      <w:autoSpaceDN w:val="0"/>
      <w:adjustRightInd w:val="0"/>
    </w:pPr>
    <w:rPr>
      <w:color w:val="000000"/>
      <w:sz w:val="24"/>
      <w:szCs w:val="24"/>
    </w:rPr>
  </w:style>
  <w:style w:type="paragraph" w:styleId="BalloonText">
    <w:name w:val="Balloon Text"/>
    <w:basedOn w:val="Normal"/>
    <w:link w:val="BalloonTextChar"/>
    <w:rsid w:val="00CC4FEE"/>
    <w:rPr>
      <w:rFonts w:ascii="Tahoma" w:hAnsi="Tahoma" w:cs="Tahoma"/>
      <w:sz w:val="16"/>
      <w:szCs w:val="16"/>
    </w:rPr>
  </w:style>
  <w:style w:type="character" w:customStyle="1" w:styleId="BalloonTextChar">
    <w:name w:val="Balloon Text Char"/>
    <w:basedOn w:val="DefaultParagraphFont"/>
    <w:link w:val="BalloonText"/>
    <w:rsid w:val="00CC4FEE"/>
    <w:rPr>
      <w:rFonts w:ascii="Tahoma" w:hAnsi="Tahoma" w:cs="Tahoma"/>
      <w:sz w:val="16"/>
      <w:szCs w:val="16"/>
    </w:rPr>
  </w:style>
  <w:style w:type="character" w:styleId="CommentReference">
    <w:name w:val="annotation reference"/>
    <w:basedOn w:val="DefaultParagraphFont"/>
    <w:rsid w:val="00531BD2"/>
    <w:rPr>
      <w:sz w:val="16"/>
      <w:szCs w:val="16"/>
    </w:rPr>
  </w:style>
  <w:style w:type="paragraph" w:styleId="CommentText">
    <w:name w:val="annotation text"/>
    <w:basedOn w:val="Normal"/>
    <w:link w:val="CommentTextChar"/>
    <w:rsid w:val="00531BD2"/>
    <w:pPr>
      <w:suppressAutoHyphens/>
      <w:spacing w:line="240" w:lineRule="atLeast"/>
    </w:pPr>
    <w:rPr>
      <w:sz w:val="20"/>
      <w:szCs w:val="20"/>
      <w:lang w:val="en-GB"/>
    </w:rPr>
  </w:style>
  <w:style w:type="character" w:customStyle="1" w:styleId="CommentTextChar">
    <w:name w:val="Comment Text Char"/>
    <w:basedOn w:val="DefaultParagraphFont"/>
    <w:link w:val="CommentText"/>
    <w:rsid w:val="00531BD2"/>
    <w:rPr>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
    <w:basedOn w:val="DefaultParagraphFont"/>
    <w:link w:val="FootnoteText"/>
    <w:uiPriority w:val="99"/>
    <w:rsid w:val="009C1364"/>
  </w:style>
  <w:style w:type="character" w:styleId="Strong">
    <w:name w:val="Strong"/>
    <w:basedOn w:val="DefaultParagraphFont"/>
    <w:qFormat/>
    <w:rsid w:val="009328F0"/>
    <w:rPr>
      <w:b/>
      <w:bCs/>
    </w:rPr>
  </w:style>
  <w:style w:type="paragraph" w:customStyle="1" w:styleId="SingleTxtG">
    <w:name w:val="_ Single Txt_G"/>
    <w:basedOn w:val="Normal"/>
    <w:rsid w:val="00367D1F"/>
    <w:pPr>
      <w:suppressAutoHyphens/>
      <w:spacing w:after="120" w:line="240" w:lineRule="atLeast"/>
      <w:ind w:left="1134" w:right="1134"/>
      <w:jc w:val="both"/>
    </w:pPr>
    <w:rPr>
      <w:sz w:val="20"/>
      <w:szCs w:val="20"/>
      <w:lang w:val="en-GB"/>
    </w:rPr>
  </w:style>
  <w:style w:type="paragraph" w:styleId="CommentSubject">
    <w:name w:val="annotation subject"/>
    <w:basedOn w:val="CommentText"/>
    <w:next w:val="CommentText"/>
    <w:link w:val="CommentSubjectChar"/>
    <w:rsid w:val="00883415"/>
    <w:pPr>
      <w:suppressAutoHyphens w:val="0"/>
      <w:spacing w:line="240" w:lineRule="auto"/>
    </w:pPr>
    <w:rPr>
      <w:b/>
      <w:bCs/>
      <w:lang w:val="en-US"/>
    </w:rPr>
  </w:style>
  <w:style w:type="character" w:customStyle="1" w:styleId="CommentSubjectChar">
    <w:name w:val="Comment Subject Char"/>
    <w:basedOn w:val="CommentTextChar"/>
    <w:link w:val="CommentSubject"/>
    <w:rsid w:val="00883415"/>
    <w:rPr>
      <w:b/>
      <w:bCs/>
      <w:lang w:val="en-GB"/>
    </w:rPr>
  </w:style>
  <w:style w:type="paragraph" w:styleId="EndnoteText">
    <w:name w:val="endnote text"/>
    <w:basedOn w:val="Normal"/>
    <w:link w:val="EndnoteTextChar"/>
    <w:uiPriority w:val="99"/>
    <w:unhideWhenUsed/>
    <w:rsid w:val="00BA4C99"/>
    <w:rPr>
      <w:rFonts w:eastAsia="Calibri"/>
      <w:sz w:val="20"/>
      <w:szCs w:val="20"/>
    </w:rPr>
  </w:style>
  <w:style w:type="character" w:customStyle="1" w:styleId="EndnoteTextChar">
    <w:name w:val="Endnote Text Char"/>
    <w:basedOn w:val="DefaultParagraphFont"/>
    <w:link w:val="EndnoteText"/>
    <w:uiPriority w:val="99"/>
    <w:rsid w:val="00BA4C99"/>
    <w:rPr>
      <w:rFonts w:eastAsia="Calibri"/>
    </w:rPr>
  </w:style>
  <w:style w:type="character" w:styleId="EndnoteReference">
    <w:name w:val="endnote reference"/>
    <w:basedOn w:val="DefaultParagraphFont"/>
    <w:uiPriority w:val="99"/>
    <w:unhideWhenUsed/>
    <w:rsid w:val="00BA4C99"/>
    <w:rPr>
      <w:vertAlign w:val="superscript"/>
    </w:rPr>
  </w:style>
  <w:style w:type="character" w:customStyle="1" w:styleId="HeaderChar">
    <w:name w:val="Header Char"/>
    <w:basedOn w:val="DefaultParagraphFont"/>
    <w:link w:val="Header"/>
    <w:uiPriority w:val="99"/>
    <w:rsid w:val="00AD3CBC"/>
    <w:rPr>
      <w:sz w:val="24"/>
      <w:szCs w:val="24"/>
    </w:rPr>
  </w:style>
  <w:style w:type="character" w:customStyle="1" w:styleId="FooterChar">
    <w:name w:val="Footer Char"/>
    <w:basedOn w:val="DefaultParagraphFont"/>
    <w:link w:val="Footer"/>
    <w:rsid w:val="009E7CB2"/>
    <w:rPr>
      <w:sz w:val="24"/>
      <w:szCs w:val="24"/>
    </w:rPr>
  </w:style>
  <w:style w:type="character" w:customStyle="1" w:styleId="TitleChar">
    <w:name w:val="Title Char"/>
    <w:basedOn w:val="DefaultParagraphFont"/>
    <w:link w:val="Title"/>
    <w:uiPriority w:val="99"/>
    <w:rsid w:val="009E7CB2"/>
    <w:rPr>
      <w:b/>
      <w:bCs/>
      <w:sz w:val="24"/>
      <w:szCs w:val="24"/>
    </w:rPr>
  </w:style>
  <w:style w:type="paragraph" w:styleId="NormalWeb">
    <w:name w:val="Normal (Web)"/>
    <w:basedOn w:val="Normal"/>
    <w:unhideWhenUsed/>
    <w:rsid w:val="00CD0D27"/>
    <w:pPr>
      <w:spacing w:before="100" w:beforeAutospacing="1" w:after="100" w:afterAutospacing="1"/>
    </w:pPr>
    <w:rPr>
      <w:rFonts w:eastAsiaTheme="minorHAnsi"/>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BE6E45"/>
    <w:rPr>
      <w:sz w:val="24"/>
      <w:szCs w:val="24"/>
    </w:rPr>
  </w:style>
  <w:style w:type="paragraph" w:styleId="PlainText">
    <w:name w:val="Plain Text"/>
    <w:basedOn w:val="Normal"/>
    <w:link w:val="PlainTextChar"/>
    <w:uiPriority w:val="99"/>
    <w:unhideWhenUsed/>
    <w:rsid w:val="00FE52C1"/>
    <w:rPr>
      <w:rFonts w:ascii="Calibri" w:eastAsiaTheme="minorHAnsi" w:hAnsi="Calibri"/>
      <w:sz w:val="22"/>
      <w:szCs w:val="22"/>
    </w:rPr>
  </w:style>
  <w:style w:type="character" w:customStyle="1" w:styleId="PlainTextChar">
    <w:name w:val="Plain Text Char"/>
    <w:basedOn w:val="DefaultParagraphFont"/>
    <w:link w:val="PlainText"/>
    <w:uiPriority w:val="99"/>
    <w:rsid w:val="00FE52C1"/>
    <w:rPr>
      <w:rFonts w:ascii="Calibri" w:eastAsiaTheme="minorHAnsi" w:hAnsi="Calibri"/>
      <w:sz w:val="22"/>
      <w:szCs w:val="22"/>
    </w:rPr>
  </w:style>
  <w:style w:type="paragraph" w:styleId="Revision">
    <w:name w:val="Revision"/>
    <w:hidden/>
    <w:uiPriority w:val="99"/>
    <w:semiHidden/>
    <w:rsid w:val="00FE52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Char,Footnote Reference1,Char"/>
    <w:basedOn w:val="Normal"/>
    <w:link w:val="FootnoteTextChar"/>
    <w:uiPriority w:val="99"/>
    <w:rsid w:val="00055838"/>
    <w:rPr>
      <w:sz w:val="20"/>
      <w:szCs w:val="20"/>
    </w:rPr>
  </w:style>
  <w:style w:type="character" w:styleId="FootnoteReference">
    <w:name w:val="footnote reference"/>
    <w:aliases w:val="4_G,Footnote number"/>
    <w:basedOn w:val="DefaultParagraphFont"/>
    <w:uiPriority w:val="99"/>
    <w:rsid w:val="00055838"/>
    <w:rPr>
      <w:rFonts w:ascii="Times New Roman" w:hAnsi="Times New Roman" w:cs="Times New Roman"/>
      <w:snapToGrid w:val="0"/>
      <w:vertAlign w:val="superscript"/>
    </w:rPr>
  </w:style>
  <w:style w:type="character" w:styleId="Hyperlink">
    <w:name w:val="Hyperlink"/>
    <w:basedOn w:val="DefaultParagraphFont"/>
    <w:rsid w:val="00055838"/>
    <w:rPr>
      <w:rFonts w:ascii="Times New Roman" w:hAnsi="Times New Roman" w:cs="Times New Roman"/>
      <w:snapToGrid w:val="0"/>
      <w:color w:val="0000FF"/>
      <w:u w:val="single"/>
    </w:rPr>
  </w:style>
  <w:style w:type="paragraph" w:styleId="Footer">
    <w:name w:val="footer"/>
    <w:basedOn w:val="Normal"/>
    <w:link w:val="FooterChar"/>
    <w:rsid w:val="00055838"/>
    <w:pPr>
      <w:tabs>
        <w:tab w:val="center" w:pos="4320"/>
        <w:tab w:val="right" w:pos="8640"/>
      </w:tabs>
    </w:pPr>
  </w:style>
  <w:style w:type="paragraph" w:styleId="Header">
    <w:name w:val="header"/>
    <w:basedOn w:val="Normal"/>
    <w:link w:val="HeaderChar"/>
    <w:uiPriority w:val="99"/>
    <w:rsid w:val="00055838"/>
    <w:pPr>
      <w:tabs>
        <w:tab w:val="center" w:pos="4320"/>
        <w:tab w:val="right" w:pos="8640"/>
      </w:tabs>
    </w:p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Heading A"/>
    <w:basedOn w:val="Normal"/>
    <w:link w:val="ListParagraphChar"/>
    <w:uiPriority w:val="34"/>
    <w:qFormat/>
    <w:rsid w:val="00055838"/>
    <w:pPr>
      <w:ind w:left="720"/>
    </w:pPr>
  </w:style>
  <w:style w:type="paragraph" w:styleId="Title">
    <w:name w:val="Title"/>
    <w:basedOn w:val="Normal"/>
    <w:link w:val="TitleChar"/>
    <w:uiPriority w:val="99"/>
    <w:qFormat/>
    <w:rsid w:val="00055838"/>
    <w:pPr>
      <w:jc w:val="center"/>
    </w:pPr>
    <w:rPr>
      <w:b/>
      <w:bCs/>
    </w:rPr>
  </w:style>
  <w:style w:type="character" w:styleId="FollowedHyperlink">
    <w:name w:val="FollowedHyperlink"/>
    <w:basedOn w:val="DefaultParagraphFont"/>
    <w:rsid w:val="009C7F7B"/>
    <w:rPr>
      <w:color w:val="800080"/>
      <w:u w:val="single"/>
    </w:rPr>
  </w:style>
  <w:style w:type="paragraph" w:customStyle="1" w:styleId="Default">
    <w:name w:val="Default"/>
    <w:rsid w:val="0072162C"/>
    <w:pPr>
      <w:autoSpaceDE w:val="0"/>
      <w:autoSpaceDN w:val="0"/>
      <w:adjustRightInd w:val="0"/>
    </w:pPr>
    <w:rPr>
      <w:color w:val="000000"/>
      <w:sz w:val="24"/>
      <w:szCs w:val="24"/>
    </w:rPr>
  </w:style>
  <w:style w:type="paragraph" w:styleId="BalloonText">
    <w:name w:val="Balloon Text"/>
    <w:basedOn w:val="Normal"/>
    <w:link w:val="BalloonTextChar"/>
    <w:rsid w:val="00CC4FEE"/>
    <w:rPr>
      <w:rFonts w:ascii="Tahoma" w:hAnsi="Tahoma" w:cs="Tahoma"/>
      <w:sz w:val="16"/>
      <w:szCs w:val="16"/>
    </w:rPr>
  </w:style>
  <w:style w:type="character" w:customStyle="1" w:styleId="BalloonTextChar">
    <w:name w:val="Balloon Text Char"/>
    <w:basedOn w:val="DefaultParagraphFont"/>
    <w:link w:val="BalloonText"/>
    <w:rsid w:val="00CC4FEE"/>
    <w:rPr>
      <w:rFonts w:ascii="Tahoma" w:hAnsi="Tahoma" w:cs="Tahoma"/>
      <w:sz w:val="16"/>
      <w:szCs w:val="16"/>
    </w:rPr>
  </w:style>
  <w:style w:type="character" w:styleId="CommentReference">
    <w:name w:val="annotation reference"/>
    <w:basedOn w:val="DefaultParagraphFont"/>
    <w:rsid w:val="00531BD2"/>
    <w:rPr>
      <w:sz w:val="16"/>
      <w:szCs w:val="16"/>
    </w:rPr>
  </w:style>
  <w:style w:type="paragraph" w:styleId="CommentText">
    <w:name w:val="annotation text"/>
    <w:basedOn w:val="Normal"/>
    <w:link w:val="CommentTextChar"/>
    <w:rsid w:val="00531BD2"/>
    <w:pPr>
      <w:suppressAutoHyphens/>
      <w:spacing w:line="240" w:lineRule="atLeast"/>
    </w:pPr>
    <w:rPr>
      <w:sz w:val="20"/>
      <w:szCs w:val="20"/>
      <w:lang w:val="en-GB"/>
    </w:rPr>
  </w:style>
  <w:style w:type="character" w:customStyle="1" w:styleId="CommentTextChar">
    <w:name w:val="Comment Text Char"/>
    <w:basedOn w:val="DefaultParagraphFont"/>
    <w:link w:val="CommentText"/>
    <w:rsid w:val="00531BD2"/>
    <w:rPr>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
    <w:basedOn w:val="DefaultParagraphFont"/>
    <w:link w:val="FootnoteText"/>
    <w:uiPriority w:val="99"/>
    <w:rsid w:val="009C1364"/>
  </w:style>
  <w:style w:type="character" w:styleId="Strong">
    <w:name w:val="Strong"/>
    <w:basedOn w:val="DefaultParagraphFont"/>
    <w:qFormat/>
    <w:rsid w:val="009328F0"/>
    <w:rPr>
      <w:b/>
      <w:bCs/>
    </w:rPr>
  </w:style>
  <w:style w:type="paragraph" w:customStyle="1" w:styleId="SingleTxtG">
    <w:name w:val="_ Single Txt_G"/>
    <w:basedOn w:val="Normal"/>
    <w:rsid w:val="00367D1F"/>
    <w:pPr>
      <w:suppressAutoHyphens/>
      <w:spacing w:after="120" w:line="240" w:lineRule="atLeast"/>
      <w:ind w:left="1134" w:right="1134"/>
      <w:jc w:val="both"/>
    </w:pPr>
    <w:rPr>
      <w:sz w:val="20"/>
      <w:szCs w:val="20"/>
      <w:lang w:val="en-GB"/>
    </w:rPr>
  </w:style>
  <w:style w:type="paragraph" w:styleId="CommentSubject">
    <w:name w:val="annotation subject"/>
    <w:basedOn w:val="CommentText"/>
    <w:next w:val="CommentText"/>
    <w:link w:val="CommentSubjectChar"/>
    <w:rsid w:val="00883415"/>
    <w:pPr>
      <w:suppressAutoHyphens w:val="0"/>
      <w:spacing w:line="240" w:lineRule="auto"/>
    </w:pPr>
    <w:rPr>
      <w:b/>
      <w:bCs/>
      <w:lang w:val="en-US"/>
    </w:rPr>
  </w:style>
  <w:style w:type="character" w:customStyle="1" w:styleId="CommentSubjectChar">
    <w:name w:val="Comment Subject Char"/>
    <w:basedOn w:val="CommentTextChar"/>
    <w:link w:val="CommentSubject"/>
    <w:rsid w:val="00883415"/>
    <w:rPr>
      <w:b/>
      <w:bCs/>
      <w:lang w:val="en-GB"/>
    </w:rPr>
  </w:style>
  <w:style w:type="paragraph" w:styleId="EndnoteText">
    <w:name w:val="endnote text"/>
    <w:basedOn w:val="Normal"/>
    <w:link w:val="EndnoteTextChar"/>
    <w:uiPriority w:val="99"/>
    <w:unhideWhenUsed/>
    <w:rsid w:val="00BA4C99"/>
    <w:rPr>
      <w:rFonts w:eastAsia="Calibri"/>
      <w:sz w:val="20"/>
      <w:szCs w:val="20"/>
    </w:rPr>
  </w:style>
  <w:style w:type="character" w:customStyle="1" w:styleId="EndnoteTextChar">
    <w:name w:val="Endnote Text Char"/>
    <w:basedOn w:val="DefaultParagraphFont"/>
    <w:link w:val="EndnoteText"/>
    <w:uiPriority w:val="99"/>
    <w:rsid w:val="00BA4C99"/>
    <w:rPr>
      <w:rFonts w:eastAsia="Calibri"/>
    </w:rPr>
  </w:style>
  <w:style w:type="character" w:styleId="EndnoteReference">
    <w:name w:val="endnote reference"/>
    <w:basedOn w:val="DefaultParagraphFont"/>
    <w:uiPriority w:val="99"/>
    <w:unhideWhenUsed/>
    <w:rsid w:val="00BA4C99"/>
    <w:rPr>
      <w:vertAlign w:val="superscript"/>
    </w:rPr>
  </w:style>
  <w:style w:type="character" w:customStyle="1" w:styleId="HeaderChar">
    <w:name w:val="Header Char"/>
    <w:basedOn w:val="DefaultParagraphFont"/>
    <w:link w:val="Header"/>
    <w:uiPriority w:val="99"/>
    <w:rsid w:val="00AD3CBC"/>
    <w:rPr>
      <w:sz w:val="24"/>
      <w:szCs w:val="24"/>
    </w:rPr>
  </w:style>
  <w:style w:type="character" w:customStyle="1" w:styleId="FooterChar">
    <w:name w:val="Footer Char"/>
    <w:basedOn w:val="DefaultParagraphFont"/>
    <w:link w:val="Footer"/>
    <w:rsid w:val="009E7CB2"/>
    <w:rPr>
      <w:sz w:val="24"/>
      <w:szCs w:val="24"/>
    </w:rPr>
  </w:style>
  <w:style w:type="character" w:customStyle="1" w:styleId="TitleChar">
    <w:name w:val="Title Char"/>
    <w:basedOn w:val="DefaultParagraphFont"/>
    <w:link w:val="Title"/>
    <w:uiPriority w:val="99"/>
    <w:rsid w:val="009E7CB2"/>
    <w:rPr>
      <w:b/>
      <w:bCs/>
      <w:sz w:val="24"/>
      <w:szCs w:val="24"/>
    </w:rPr>
  </w:style>
  <w:style w:type="paragraph" w:styleId="NormalWeb">
    <w:name w:val="Normal (Web)"/>
    <w:basedOn w:val="Normal"/>
    <w:unhideWhenUsed/>
    <w:rsid w:val="00CD0D27"/>
    <w:pPr>
      <w:spacing w:before="100" w:beforeAutospacing="1" w:after="100" w:afterAutospacing="1"/>
    </w:pPr>
    <w:rPr>
      <w:rFonts w:eastAsiaTheme="minorHAnsi"/>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BE6E45"/>
    <w:rPr>
      <w:sz w:val="24"/>
      <w:szCs w:val="24"/>
    </w:rPr>
  </w:style>
  <w:style w:type="paragraph" w:styleId="PlainText">
    <w:name w:val="Plain Text"/>
    <w:basedOn w:val="Normal"/>
    <w:link w:val="PlainTextChar"/>
    <w:uiPriority w:val="99"/>
    <w:unhideWhenUsed/>
    <w:rsid w:val="00FE52C1"/>
    <w:rPr>
      <w:rFonts w:ascii="Calibri" w:eastAsiaTheme="minorHAnsi" w:hAnsi="Calibri"/>
      <w:sz w:val="22"/>
      <w:szCs w:val="22"/>
    </w:rPr>
  </w:style>
  <w:style w:type="character" w:customStyle="1" w:styleId="PlainTextChar">
    <w:name w:val="Plain Text Char"/>
    <w:basedOn w:val="DefaultParagraphFont"/>
    <w:link w:val="PlainText"/>
    <w:uiPriority w:val="99"/>
    <w:rsid w:val="00FE52C1"/>
    <w:rPr>
      <w:rFonts w:ascii="Calibri" w:eastAsiaTheme="minorHAnsi" w:hAnsi="Calibri"/>
      <w:sz w:val="22"/>
      <w:szCs w:val="22"/>
    </w:rPr>
  </w:style>
  <w:style w:type="paragraph" w:styleId="Revision">
    <w:name w:val="Revision"/>
    <w:hidden/>
    <w:uiPriority w:val="99"/>
    <w:semiHidden/>
    <w:rsid w:val="00FE5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6550">
      <w:bodyDiv w:val="1"/>
      <w:marLeft w:val="0"/>
      <w:marRight w:val="0"/>
      <w:marTop w:val="0"/>
      <w:marBottom w:val="0"/>
      <w:divBdr>
        <w:top w:val="none" w:sz="0" w:space="0" w:color="auto"/>
        <w:left w:val="none" w:sz="0" w:space="0" w:color="auto"/>
        <w:bottom w:val="none" w:sz="0" w:space="0" w:color="auto"/>
        <w:right w:val="none" w:sz="0" w:space="0" w:color="auto"/>
      </w:divBdr>
    </w:div>
    <w:div w:id="387535086">
      <w:bodyDiv w:val="1"/>
      <w:marLeft w:val="0"/>
      <w:marRight w:val="0"/>
      <w:marTop w:val="0"/>
      <w:marBottom w:val="0"/>
      <w:divBdr>
        <w:top w:val="none" w:sz="0" w:space="0" w:color="auto"/>
        <w:left w:val="none" w:sz="0" w:space="0" w:color="auto"/>
        <w:bottom w:val="none" w:sz="0" w:space="0" w:color="auto"/>
        <w:right w:val="none" w:sz="0" w:space="0" w:color="auto"/>
      </w:divBdr>
    </w:div>
    <w:div w:id="648823923">
      <w:bodyDiv w:val="1"/>
      <w:marLeft w:val="0"/>
      <w:marRight w:val="0"/>
      <w:marTop w:val="0"/>
      <w:marBottom w:val="0"/>
      <w:divBdr>
        <w:top w:val="none" w:sz="0" w:space="0" w:color="auto"/>
        <w:left w:val="none" w:sz="0" w:space="0" w:color="auto"/>
        <w:bottom w:val="none" w:sz="0" w:space="0" w:color="auto"/>
        <w:right w:val="none" w:sz="0" w:space="0" w:color="auto"/>
      </w:divBdr>
    </w:div>
    <w:div w:id="653409659">
      <w:bodyDiv w:val="1"/>
      <w:marLeft w:val="0"/>
      <w:marRight w:val="0"/>
      <w:marTop w:val="0"/>
      <w:marBottom w:val="0"/>
      <w:divBdr>
        <w:top w:val="none" w:sz="0" w:space="0" w:color="auto"/>
        <w:left w:val="none" w:sz="0" w:space="0" w:color="auto"/>
        <w:bottom w:val="none" w:sz="0" w:space="0" w:color="auto"/>
        <w:right w:val="none" w:sz="0" w:space="0" w:color="auto"/>
      </w:divBdr>
    </w:div>
    <w:div w:id="853879609">
      <w:bodyDiv w:val="1"/>
      <w:marLeft w:val="0"/>
      <w:marRight w:val="0"/>
      <w:marTop w:val="0"/>
      <w:marBottom w:val="0"/>
      <w:divBdr>
        <w:top w:val="none" w:sz="0" w:space="0" w:color="auto"/>
        <w:left w:val="none" w:sz="0" w:space="0" w:color="auto"/>
        <w:bottom w:val="none" w:sz="0" w:space="0" w:color="auto"/>
        <w:right w:val="none" w:sz="0" w:space="0" w:color="auto"/>
      </w:divBdr>
      <w:divsChild>
        <w:div w:id="331300649">
          <w:marLeft w:val="0"/>
          <w:marRight w:val="0"/>
          <w:marTop w:val="0"/>
          <w:marBottom w:val="0"/>
          <w:divBdr>
            <w:top w:val="none" w:sz="0" w:space="0" w:color="auto"/>
            <w:left w:val="none" w:sz="0" w:space="0" w:color="auto"/>
            <w:bottom w:val="none" w:sz="0" w:space="0" w:color="auto"/>
            <w:right w:val="none" w:sz="0" w:space="0" w:color="auto"/>
          </w:divBdr>
          <w:divsChild>
            <w:div w:id="1117408078">
              <w:marLeft w:val="0"/>
              <w:marRight w:val="0"/>
              <w:marTop w:val="100"/>
              <w:marBottom w:val="100"/>
              <w:divBdr>
                <w:top w:val="none" w:sz="0" w:space="0" w:color="auto"/>
                <w:left w:val="none" w:sz="0" w:space="0" w:color="auto"/>
                <w:bottom w:val="none" w:sz="0" w:space="0" w:color="auto"/>
                <w:right w:val="none" w:sz="0" w:space="0" w:color="auto"/>
              </w:divBdr>
              <w:divsChild>
                <w:div w:id="1826388919">
                  <w:marLeft w:val="0"/>
                  <w:marRight w:val="0"/>
                  <w:marTop w:val="0"/>
                  <w:marBottom w:val="0"/>
                  <w:divBdr>
                    <w:top w:val="none" w:sz="0" w:space="0" w:color="auto"/>
                    <w:left w:val="none" w:sz="0" w:space="0" w:color="auto"/>
                    <w:bottom w:val="none" w:sz="0" w:space="0" w:color="auto"/>
                    <w:right w:val="none" w:sz="0" w:space="0" w:color="auto"/>
                  </w:divBdr>
                  <w:divsChild>
                    <w:div w:id="16973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6955">
      <w:bodyDiv w:val="1"/>
      <w:marLeft w:val="0"/>
      <w:marRight w:val="0"/>
      <w:marTop w:val="0"/>
      <w:marBottom w:val="0"/>
      <w:divBdr>
        <w:top w:val="none" w:sz="0" w:space="0" w:color="auto"/>
        <w:left w:val="none" w:sz="0" w:space="0" w:color="auto"/>
        <w:bottom w:val="none" w:sz="0" w:space="0" w:color="auto"/>
        <w:right w:val="none" w:sz="0" w:space="0" w:color="auto"/>
      </w:divBdr>
    </w:div>
    <w:div w:id="1158499660">
      <w:bodyDiv w:val="1"/>
      <w:marLeft w:val="0"/>
      <w:marRight w:val="0"/>
      <w:marTop w:val="0"/>
      <w:marBottom w:val="0"/>
      <w:divBdr>
        <w:top w:val="none" w:sz="0" w:space="0" w:color="auto"/>
        <w:left w:val="none" w:sz="0" w:space="0" w:color="auto"/>
        <w:bottom w:val="none" w:sz="0" w:space="0" w:color="auto"/>
        <w:right w:val="none" w:sz="0" w:space="0" w:color="auto"/>
      </w:divBdr>
    </w:div>
    <w:div w:id="1199973771">
      <w:bodyDiv w:val="1"/>
      <w:marLeft w:val="0"/>
      <w:marRight w:val="0"/>
      <w:marTop w:val="0"/>
      <w:marBottom w:val="0"/>
      <w:divBdr>
        <w:top w:val="none" w:sz="0" w:space="0" w:color="auto"/>
        <w:left w:val="none" w:sz="0" w:space="0" w:color="auto"/>
        <w:bottom w:val="none" w:sz="0" w:space="0" w:color="auto"/>
        <w:right w:val="none" w:sz="0" w:space="0" w:color="auto"/>
      </w:divBdr>
    </w:div>
    <w:div w:id="1232042168">
      <w:bodyDiv w:val="1"/>
      <w:marLeft w:val="0"/>
      <w:marRight w:val="0"/>
      <w:marTop w:val="0"/>
      <w:marBottom w:val="0"/>
      <w:divBdr>
        <w:top w:val="none" w:sz="0" w:space="0" w:color="auto"/>
        <w:left w:val="none" w:sz="0" w:space="0" w:color="auto"/>
        <w:bottom w:val="none" w:sz="0" w:space="0" w:color="auto"/>
        <w:right w:val="none" w:sz="0" w:space="0" w:color="auto"/>
      </w:divBdr>
    </w:div>
    <w:div w:id="1293823964">
      <w:bodyDiv w:val="1"/>
      <w:marLeft w:val="0"/>
      <w:marRight w:val="0"/>
      <w:marTop w:val="0"/>
      <w:marBottom w:val="0"/>
      <w:divBdr>
        <w:top w:val="none" w:sz="0" w:space="0" w:color="auto"/>
        <w:left w:val="none" w:sz="0" w:space="0" w:color="auto"/>
        <w:bottom w:val="none" w:sz="0" w:space="0" w:color="auto"/>
        <w:right w:val="none" w:sz="0" w:space="0" w:color="auto"/>
      </w:divBdr>
    </w:div>
    <w:div w:id="1303928009">
      <w:bodyDiv w:val="1"/>
      <w:marLeft w:val="0"/>
      <w:marRight w:val="0"/>
      <w:marTop w:val="0"/>
      <w:marBottom w:val="0"/>
      <w:divBdr>
        <w:top w:val="none" w:sz="0" w:space="0" w:color="auto"/>
        <w:left w:val="none" w:sz="0" w:space="0" w:color="auto"/>
        <w:bottom w:val="none" w:sz="0" w:space="0" w:color="auto"/>
        <w:right w:val="none" w:sz="0" w:space="0" w:color="auto"/>
      </w:divBdr>
    </w:div>
    <w:div w:id="1310552423">
      <w:bodyDiv w:val="1"/>
      <w:marLeft w:val="0"/>
      <w:marRight w:val="0"/>
      <w:marTop w:val="0"/>
      <w:marBottom w:val="0"/>
      <w:divBdr>
        <w:top w:val="none" w:sz="0" w:space="0" w:color="auto"/>
        <w:left w:val="none" w:sz="0" w:space="0" w:color="auto"/>
        <w:bottom w:val="none" w:sz="0" w:space="0" w:color="auto"/>
        <w:right w:val="none" w:sz="0" w:space="0" w:color="auto"/>
      </w:divBdr>
    </w:div>
    <w:div w:id="1357384345">
      <w:bodyDiv w:val="1"/>
      <w:marLeft w:val="0"/>
      <w:marRight w:val="0"/>
      <w:marTop w:val="0"/>
      <w:marBottom w:val="0"/>
      <w:divBdr>
        <w:top w:val="none" w:sz="0" w:space="0" w:color="auto"/>
        <w:left w:val="none" w:sz="0" w:space="0" w:color="auto"/>
        <w:bottom w:val="none" w:sz="0" w:space="0" w:color="auto"/>
        <w:right w:val="none" w:sz="0" w:space="0" w:color="auto"/>
      </w:divBdr>
    </w:div>
    <w:div w:id="1407726725">
      <w:bodyDiv w:val="1"/>
      <w:marLeft w:val="0"/>
      <w:marRight w:val="0"/>
      <w:marTop w:val="0"/>
      <w:marBottom w:val="0"/>
      <w:divBdr>
        <w:top w:val="none" w:sz="0" w:space="0" w:color="auto"/>
        <w:left w:val="none" w:sz="0" w:space="0" w:color="auto"/>
        <w:bottom w:val="none" w:sz="0" w:space="0" w:color="auto"/>
        <w:right w:val="none" w:sz="0" w:space="0" w:color="auto"/>
      </w:divBdr>
    </w:div>
    <w:div w:id="1426804492">
      <w:bodyDiv w:val="1"/>
      <w:marLeft w:val="0"/>
      <w:marRight w:val="0"/>
      <w:marTop w:val="0"/>
      <w:marBottom w:val="0"/>
      <w:divBdr>
        <w:top w:val="none" w:sz="0" w:space="0" w:color="auto"/>
        <w:left w:val="none" w:sz="0" w:space="0" w:color="auto"/>
        <w:bottom w:val="none" w:sz="0" w:space="0" w:color="auto"/>
        <w:right w:val="none" w:sz="0" w:space="0" w:color="auto"/>
      </w:divBdr>
    </w:div>
    <w:div w:id="1432120338">
      <w:bodyDiv w:val="1"/>
      <w:marLeft w:val="0"/>
      <w:marRight w:val="0"/>
      <w:marTop w:val="0"/>
      <w:marBottom w:val="0"/>
      <w:divBdr>
        <w:top w:val="none" w:sz="0" w:space="0" w:color="auto"/>
        <w:left w:val="none" w:sz="0" w:space="0" w:color="auto"/>
        <w:bottom w:val="none" w:sz="0" w:space="0" w:color="auto"/>
        <w:right w:val="none" w:sz="0" w:space="0" w:color="auto"/>
      </w:divBdr>
    </w:div>
    <w:div w:id="1434276543">
      <w:bodyDiv w:val="1"/>
      <w:marLeft w:val="0"/>
      <w:marRight w:val="0"/>
      <w:marTop w:val="0"/>
      <w:marBottom w:val="0"/>
      <w:divBdr>
        <w:top w:val="none" w:sz="0" w:space="0" w:color="auto"/>
        <w:left w:val="none" w:sz="0" w:space="0" w:color="auto"/>
        <w:bottom w:val="none" w:sz="0" w:space="0" w:color="auto"/>
        <w:right w:val="none" w:sz="0" w:space="0" w:color="auto"/>
      </w:divBdr>
    </w:div>
    <w:div w:id="1681544990">
      <w:bodyDiv w:val="1"/>
      <w:marLeft w:val="0"/>
      <w:marRight w:val="0"/>
      <w:marTop w:val="0"/>
      <w:marBottom w:val="0"/>
      <w:divBdr>
        <w:top w:val="none" w:sz="0" w:space="0" w:color="auto"/>
        <w:left w:val="none" w:sz="0" w:space="0" w:color="auto"/>
        <w:bottom w:val="none" w:sz="0" w:space="0" w:color="auto"/>
        <w:right w:val="none" w:sz="0" w:space="0" w:color="auto"/>
      </w:divBdr>
    </w:div>
    <w:div w:id="1801535583">
      <w:bodyDiv w:val="1"/>
      <w:marLeft w:val="0"/>
      <w:marRight w:val="0"/>
      <w:marTop w:val="0"/>
      <w:marBottom w:val="0"/>
      <w:divBdr>
        <w:top w:val="none" w:sz="0" w:space="0" w:color="auto"/>
        <w:left w:val="none" w:sz="0" w:space="0" w:color="auto"/>
        <w:bottom w:val="none" w:sz="0" w:space="0" w:color="auto"/>
        <w:right w:val="none" w:sz="0" w:space="0" w:color="auto"/>
      </w:divBdr>
    </w:div>
    <w:div w:id="1865442305">
      <w:bodyDiv w:val="1"/>
      <w:marLeft w:val="0"/>
      <w:marRight w:val="0"/>
      <w:marTop w:val="0"/>
      <w:marBottom w:val="0"/>
      <w:divBdr>
        <w:top w:val="none" w:sz="0" w:space="0" w:color="auto"/>
        <w:left w:val="none" w:sz="0" w:space="0" w:color="auto"/>
        <w:bottom w:val="none" w:sz="0" w:space="0" w:color="auto"/>
        <w:right w:val="none" w:sz="0" w:space="0" w:color="auto"/>
      </w:divBdr>
    </w:div>
    <w:div w:id="1942493588">
      <w:bodyDiv w:val="1"/>
      <w:marLeft w:val="0"/>
      <w:marRight w:val="0"/>
      <w:marTop w:val="0"/>
      <w:marBottom w:val="0"/>
      <w:divBdr>
        <w:top w:val="none" w:sz="0" w:space="0" w:color="auto"/>
        <w:left w:val="none" w:sz="0" w:space="0" w:color="auto"/>
        <w:bottom w:val="none" w:sz="0" w:space="0" w:color="auto"/>
        <w:right w:val="none" w:sz="0" w:space="0" w:color="auto"/>
      </w:divBdr>
    </w:div>
    <w:div w:id="1968002308">
      <w:bodyDiv w:val="1"/>
      <w:marLeft w:val="0"/>
      <w:marRight w:val="0"/>
      <w:marTop w:val="0"/>
      <w:marBottom w:val="0"/>
      <w:divBdr>
        <w:top w:val="none" w:sz="0" w:space="0" w:color="auto"/>
        <w:left w:val="none" w:sz="0" w:space="0" w:color="auto"/>
        <w:bottom w:val="none" w:sz="0" w:space="0" w:color="auto"/>
        <w:right w:val="none" w:sz="0" w:space="0" w:color="auto"/>
      </w:divBdr>
    </w:div>
    <w:div w:id="1971127470">
      <w:bodyDiv w:val="1"/>
      <w:marLeft w:val="0"/>
      <w:marRight w:val="0"/>
      <w:marTop w:val="0"/>
      <w:marBottom w:val="0"/>
      <w:divBdr>
        <w:top w:val="none" w:sz="0" w:space="0" w:color="auto"/>
        <w:left w:val="none" w:sz="0" w:space="0" w:color="auto"/>
        <w:bottom w:val="none" w:sz="0" w:space="0" w:color="auto"/>
        <w:right w:val="none" w:sz="0" w:space="0" w:color="auto"/>
      </w:divBdr>
    </w:div>
    <w:div w:id="1991710777">
      <w:bodyDiv w:val="1"/>
      <w:marLeft w:val="0"/>
      <w:marRight w:val="0"/>
      <w:marTop w:val="0"/>
      <w:marBottom w:val="0"/>
      <w:divBdr>
        <w:top w:val="none" w:sz="0" w:space="0" w:color="auto"/>
        <w:left w:val="none" w:sz="0" w:space="0" w:color="auto"/>
        <w:bottom w:val="none" w:sz="0" w:space="0" w:color="auto"/>
        <w:right w:val="none" w:sz="0" w:space="0" w:color="auto"/>
      </w:divBdr>
    </w:div>
    <w:div w:id="2099018139">
      <w:bodyDiv w:val="1"/>
      <w:marLeft w:val="0"/>
      <w:marRight w:val="0"/>
      <w:marTop w:val="0"/>
      <w:marBottom w:val="0"/>
      <w:divBdr>
        <w:top w:val="none" w:sz="0" w:space="0" w:color="auto"/>
        <w:left w:val="none" w:sz="0" w:space="0" w:color="auto"/>
        <w:bottom w:val="none" w:sz="0" w:space="0" w:color="auto"/>
        <w:right w:val="none" w:sz="0" w:space="0" w:color="auto"/>
      </w:divBdr>
    </w:div>
    <w:div w:id="2102675837">
      <w:bodyDiv w:val="1"/>
      <w:marLeft w:val="0"/>
      <w:marRight w:val="0"/>
      <w:marTop w:val="0"/>
      <w:marBottom w:val="0"/>
      <w:divBdr>
        <w:top w:val="none" w:sz="0" w:space="0" w:color="auto"/>
        <w:left w:val="none" w:sz="0" w:space="0" w:color="auto"/>
        <w:bottom w:val="none" w:sz="0" w:space="0" w:color="auto"/>
        <w:right w:val="none" w:sz="0" w:space="0" w:color="auto"/>
      </w:divBdr>
    </w:div>
    <w:div w:id="2104036296">
      <w:bodyDiv w:val="1"/>
      <w:marLeft w:val="0"/>
      <w:marRight w:val="0"/>
      <w:marTop w:val="0"/>
      <w:marBottom w:val="0"/>
      <w:divBdr>
        <w:top w:val="none" w:sz="0" w:space="0" w:color="auto"/>
        <w:left w:val="none" w:sz="0" w:space="0" w:color="auto"/>
        <w:bottom w:val="none" w:sz="0" w:space="0" w:color="auto"/>
        <w:right w:val="none" w:sz="0" w:space="0" w:color="auto"/>
      </w:divBdr>
    </w:div>
    <w:div w:id="21237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odc.org/unodc/en/treaties/index.html?ref=menuside" TargetMode="External"/><Relationship Id="rId2" Type="http://schemas.openxmlformats.org/officeDocument/2006/relationships/hyperlink" Target="http://www.un.org/en/terrorism/instruments.shtml" TargetMode="External"/><Relationship Id="rId1" Type="http://schemas.openxmlformats.org/officeDocument/2006/relationships/hyperlink" Target="http://www.ohchr.org/Documents/HRBodies/CCPR/GConArticle9/CallComments/DGC_Article9_RighttoLibert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267391-1060-4881-8882-12051F1D55E2}"/>
</file>

<file path=customXml/itemProps2.xml><?xml version="1.0" encoding="utf-8"?>
<ds:datastoreItem xmlns:ds="http://schemas.openxmlformats.org/officeDocument/2006/customXml" ds:itemID="{4B9A9092-4772-4F79-856A-127F91AB206D}"/>
</file>

<file path=customXml/itemProps3.xml><?xml version="1.0" encoding="utf-8"?>
<ds:datastoreItem xmlns:ds="http://schemas.openxmlformats.org/officeDocument/2006/customXml" ds:itemID="{133497EE-EC8D-43D8-8072-73CBDF7432DB}"/>
</file>

<file path=customXml/itemProps4.xml><?xml version="1.0" encoding="utf-8"?>
<ds:datastoreItem xmlns:ds="http://schemas.openxmlformats.org/officeDocument/2006/customXml" ds:itemID="{EFD092B7-2C47-4D2F-B97A-F7D20133AD51}"/>
</file>

<file path=docProps/app.xml><?xml version="1.0" encoding="utf-8"?>
<Properties xmlns="http://schemas.openxmlformats.org/officeDocument/2006/extended-properties" xmlns:vt="http://schemas.openxmlformats.org/officeDocument/2006/docPropsVTypes">
  <Template>Normal</Template>
  <TotalTime>0</TotalTime>
  <Pages>16</Pages>
  <Words>6601</Words>
  <Characters>36127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42643</CharactersWithSpaces>
  <SharedDoc>false</SharedDoc>
  <HLinks>
    <vt:vector size="12" baseType="variant">
      <vt:variant>
        <vt:i4>2359364</vt:i4>
      </vt:variant>
      <vt:variant>
        <vt:i4>3</vt:i4>
      </vt:variant>
      <vt:variant>
        <vt:i4>0</vt:i4>
      </vt:variant>
      <vt:variant>
        <vt:i4>5</vt:i4>
      </vt:variant>
      <vt:variant>
        <vt:lpwstr>http://www.state.gov/www/global/human_rights/cerd_report/cerd_report.pdf</vt:lpwstr>
      </vt:variant>
      <vt:variant>
        <vt:lpwstr/>
      </vt:variant>
      <vt:variant>
        <vt:i4>1245279</vt:i4>
      </vt:variant>
      <vt:variant>
        <vt:i4>0</vt:i4>
      </vt:variant>
      <vt:variant>
        <vt:i4>0</vt:i4>
      </vt:variant>
      <vt:variant>
        <vt:i4>5</vt:i4>
      </vt:variant>
      <vt:variant>
        <vt:lpwstr>http://www2.ohchr.org/english/bodies/hrc/comments.htm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2014-06-10T11:50:00Z</dcterms:created>
  <dcterms:modified xsi:type="dcterms:W3CDTF">2014-06-10T11:50:00Z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2412400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