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3" w:rsidRPr="00036A5B" w:rsidRDefault="000E1AD3" w:rsidP="00312055">
      <w:pPr>
        <w:pStyle w:val="H1G"/>
        <w:shd w:val="clear" w:color="auto" w:fill="000000" w:themeFill="text1"/>
        <w:spacing w:before="0" w:after="0" w:line="240" w:lineRule="auto"/>
        <w:ind w:left="0" w:right="-86" w:firstLine="0"/>
        <w:rPr>
          <w:rFonts w:ascii="Tw Cen MT Condensed" w:hAnsi="Tw Cen MT Condensed"/>
          <w:i/>
          <w:sz w:val="30"/>
          <w:szCs w:val="30"/>
          <w:lang w:val="es-PY"/>
        </w:rPr>
      </w:pPr>
      <w:r w:rsidRPr="00036A5B">
        <w:rPr>
          <w:rFonts w:ascii="Tw Cen MT Condensed" w:hAnsi="Tw Cen MT Condensed"/>
          <w:sz w:val="30"/>
          <w:szCs w:val="30"/>
          <w:lang w:val="es-PY"/>
        </w:rPr>
        <w:t>TANIA MARÍA ABDO ROCHOLL</w:t>
      </w:r>
    </w:p>
    <w:p w:rsidR="00D364AF" w:rsidRPr="00036A5B" w:rsidRDefault="00D364AF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b/>
          <w:bCs/>
          <w:sz w:val="26"/>
          <w:szCs w:val="26"/>
          <w:lang w:val="es-PY"/>
        </w:rPr>
      </w:pPr>
    </w:p>
    <w:p w:rsidR="00865AF8" w:rsidRDefault="00FC5EDD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bCs/>
          <w:sz w:val="26"/>
          <w:szCs w:val="26"/>
          <w:lang w:val="es-PY"/>
        </w:rPr>
        <w:t>LUGAR DE NACIMIENTO</w:t>
      </w:r>
      <w:r w:rsidR="000E1AD3" w:rsidRPr="00036A5B">
        <w:rPr>
          <w:rFonts w:ascii="Tw Cen MT Condensed" w:hAnsi="Tw Cen MT Condensed"/>
          <w:b/>
          <w:bCs/>
          <w:sz w:val="26"/>
          <w:szCs w:val="26"/>
          <w:lang w:val="es-PY"/>
        </w:rPr>
        <w:t xml:space="preserve">: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Asunción, Paraguay </w:t>
      </w:r>
    </w:p>
    <w:p w:rsidR="00D364AF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CARGO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S O FUNCIONES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ACTUAL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ES</w:t>
      </w:r>
    </w:p>
    <w:p w:rsidR="00D4175A" w:rsidRDefault="00D4175A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Vicepresidenta del Comité de Derechos Humanos de las Naciones Unidas (CCPR).</w:t>
      </w:r>
    </w:p>
    <w:p w:rsidR="0060300D" w:rsidRPr="00036A5B" w:rsidRDefault="0060300D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>
        <w:rPr>
          <w:rFonts w:ascii="Tw Cen MT Condensed" w:hAnsi="Tw Cen MT Condensed"/>
          <w:sz w:val="26"/>
          <w:szCs w:val="26"/>
          <w:lang w:val="es-PY"/>
        </w:rPr>
        <w:t>Punto Focal del Comité de Derechos Humanos para el Sistema Interamericano de Derechos Humanos.</w:t>
      </w:r>
    </w:p>
    <w:p w:rsidR="00D364AF" w:rsidRPr="00036A5B" w:rsidRDefault="00D364AF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Docente del Instituto de Políticas Públicas en Derechos Humanos del MERCOSUR (IPPDH). </w:t>
      </w:r>
    </w:p>
    <w:p w:rsidR="00CE043B" w:rsidRPr="00036A5B" w:rsidRDefault="00CE043B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Docente</w:t>
      </w:r>
      <w:r w:rsidR="0060300D">
        <w:rPr>
          <w:rFonts w:ascii="Tw Cen MT Condensed" w:hAnsi="Tw Cen MT Condensed"/>
          <w:sz w:val="26"/>
          <w:szCs w:val="26"/>
          <w:lang w:val="es-PY"/>
        </w:rPr>
        <w:t xml:space="preserve"> de la Cátedra de Derechos Humanos </w:t>
      </w:r>
      <w:r w:rsidRPr="00036A5B">
        <w:rPr>
          <w:rFonts w:ascii="Tw Cen MT Condensed" w:hAnsi="Tw Cen MT Condensed"/>
          <w:sz w:val="26"/>
          <w:szCs w:val="26"/>
          <w:lang w:val="es-PY"/>
        </w:rPr>
        <w:t>del Instituto Técnico Superior Legislativo (ITSL) de la Honorable Cámara de Diputados</w:t>
      </w:r>
      <w:r w:rsidR="00036A5B">
        <w:rPr>
          <w:rFonts w:ascii="Tw Cen MT Condensed" w:hAnsi="Tw Cen MT Condensed"/>
          <w:sz w:val="26"/>
          <w:szCs w:val="26"/>
          <w:lang w:val="es-PY"/>
        </w:rPr>
        <w:t xml:space="preserve"> del Paraguay</w:t>
      </w:r>
      <w:r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:rsidR="00865AF8" w:rsidRDefault="00774DD0" w:rsidP="00865AF8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Directora General Académica </w:t>
      </w:r>
      <w:r w:rsidR="0060300D">
        <w:rPr>
          <w:rFonts w:ascii="Tw Cen MT Condensed" w:hAnsi="Tw Cen MT Condensed"/>
          <w:sz w:val="26"/>
          <w:szCs w:val="26"/>
          <w:lang w:val="es-PY"/>
        </w:rPr>
        <w:t xml:space="preserve">del Centro de Formación de la </w:t>
      </w:r>
      <w:bookmarkStart w:id="0" w:name="_GoBack"/>
      <w:bookmarkEnd w:id="0"/>
      <w:r w:rsidR="00036A5B">
        <w:rPr>
          <w:rFonts w:ascii="Tw Cen MT Condensed" w:hAnsi="Tw Cen MT Condensed"/>
          <w:sz w:val="26"/>
          <w:szCs w:val="26"/>
          <w:lang w:val="es-PY"/>
        </w:rPr>
        <w:t xml:space="preserve"> Defensoría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 Públ</w:t>
      </w:r>
      <w:r w:rsidR="00CE043B" w:rsidRPr="00036A5B">
        <w:rPr>
          <w:rFonts w:ascii="Tw Cen MT Condensed" w:hAnsi="Tw Cen MT Condensed"/>
          <w:sz w:val="26"/>
          <w:szCs w:val="26"/>
          <w:lang w:val="es-PY"/>
        </w:rPr>
        <w:t>ica</w:t>
      </w:r>
      <w:r w:rsidR="00036A5B">
        <w:rPr>
          <w:rFonts w:ascii="Tw Cen MT Condensed" w:hAnsi="Tw Cen MT Condensed"/>
          <w:sz w:val="26"/>
          <w:szCs w:val="26"/>
          <w:lang w:val="es-PY"/>
        </w:rPr>
        <w:t xml:space="preserve"> del Paraguay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865AF8" w:rsidRPr="00865AF8">
        <w:rPr>
          <w:rFonts w:ascii="Tw Cen MT Condensed" w:hAnsi="Tw Cen MT Condensed"/>
          <w:sz w:val="26"/>
          <w:szCs w:val="26"/>
          <w:lang w:val="es-PY"/>
        </w:rPr>
        <w:t xml:space="preserve"> </w:t>
      </w:r>
    </w:p>
    <w:p w:rsidR="00865AF8" w:rsidRPr="00036A5B" w:rsidRDefault="00865AF8" w:rsidP="00865AF8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Miembro de la Comisión de Derecho Humanitario de la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Italian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Diplomatic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Academy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/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Accademia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Italiana per la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Formazione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e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gli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Alti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Studi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Internazionali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(IDA).</w:t>
      </w:r>
    </w:p>
    <w:p w:rsidR="00D364AF" w:rsidRPr="00036A5B" w:rsidRDefault="00D364AF" w:rsidP="00865AF8">
      <w:pPr>
        <w:pStyle w:val="SingleTxtG"/>
        <w:spacing w:after="0" w:line="240" w:lineRule="auto"/>
        <w:ind w:left="284" w:right="0"/>
        <w:rPr>
          <w:rFonts w:ascii="Tw Cen MT Condensed" w:hAnsi="Tw Cen MT Condensed"/>
          <w:sz w:val="26"/>
          <w:szCs w:val="26"/>
          <w:lang w:val="es-PY"/>
        </w:rPr>
      </w:pPr>
    </w:p>
    <w:p w:rsidR="00D364AF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:rsidR="00774DD0" w:rsidRPr="00036A5B" w:rsidRDefault="00774DD0" w:rsidP="00774DD0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TÍTULOS ACADÉMICOS</w:t>
      </w:r>
    </w:p>
    <w:p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Máster en Derecho de Familia: Posgrado en Derecho Civil: Nulidad, Separación y Divorcio; Posgrado en Infancia, Protección de la Persona y Adopción Facultad de Derecho,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Universitat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de Barcelona, España. </w:t>
      </w:r>
    </w:p>
    <w:p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Máster Internacional en Derecho, Economía y Gestión: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Université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de Limoges, Francia. </w:t>
      </w:r>
    </w:p>
    <w:p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Diplomado Internacional de Especialización en Derechos Económicos, Sociales y Culturales, Seguridad Alimentaria y Políticas Públicas contra el Hambre: Instituto Internacional y Fundación Henry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Dunant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>, Francia y Chile / FAO.</w:t>
      </w:r>
    </w:p>
    <w:p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Diplomados en “Administración Pública y Comunicación” y en “Planificación, Administración y Presupuesto Público”: Asunción, Paraguay.</w:t>
      </w:r>
    </w:p>
    <w:p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Abogada: Facultad de Derecho y Ciencias Sociales, Universidad Nacional de Asunción, Paraguay.</w:t>
      </w:r>
    </w:p>
    <w:p w:rsidR="00774DD0" w:rsidRPr="00036A5B" w:rsidRDefault="00774DD0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</w:p>
    <w:p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PRINCIPALES ACTIVIDADES PROFESIONALES</w:t>
      </w:r>
    </w:p>
    <w:p w:rsidR="000E1AD3" w:rsidRPr="00036A5B" w:rsidRDefault="00774DD0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Consultora de la Organización Internacional del Trabajo (OIT, 2017 – 2018).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Docente y Coordinadora del Centro de Investigación Parlamentaria (CIP, 2017).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Asesora Jurídica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de la</w:t>
      </w:r>
      <w:r w:rsidR="00865AF8">
        <w:rPr>
          <w:rFonts w:ascii="Tw Cen MT Condensed" w:hAnsi="Tw Cen MT Condensed"/>
          <w:sz w:val="26"/>
          <w:szCs w:val="26"/>
          <w:lang w:val="es-PY"/>
        </w:rPr>
        <w:t xml:space="preserve"> Comisión de Derechos Humanos de la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 Honorable Cámara de Diputados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(HCD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, 2014 – 2016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).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D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irectora General de Derechos Humanos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del Ministerio de Justicia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(MJ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, 2010 – 2014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). Secretaria Ejecutiva de la Red de Derechos Humanos del Poder Ejecutivo. Miembro del Consejo Asesor de la Comisión Interinstitucional para el cumplimiento de Sentencias y Recomend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aciones Internacionales (CICSI)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Miembro del Consejo Nacional de l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a Niñez y la Adolescencia,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de la Comisión N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acional de Refugiados (CONARE)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y de la Comisión para la Erradicación del Trabajo Infantil (CONAETI)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Integrante de </w:t>
      </w:r>
      <w:r w:rsidR="00865AF8">
        <w:rPr>
          <w:rFonts w:ascii="Tw Cen MT Condensed" w:hAnsi="Tw Cen MT Condensed"/>
          <w:sz w:val="26"/>
          <w:szCs w:val="26"/>
          <w:lang w:val="es-PY"/>
        </w:rPr>
        <w:t xml:space="preserve">numerosos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equipos de redacción de informes nacionales y delegaciones paraguayas ante órganos del sistema de Naciones Unidas e interamericano de Derechos Humanos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Funcionaria judicial en organismos del ámbito Penal, de la Niñez y la Adolescencia, Civil y Comercial (1999 – 2006).</w:t>
      </w:r>
    </w:p>
    <w:p w:rsidR="00D364AF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OTRAS ACTIVIDADES</w:t>
      </w:r>
    </w:p>
    <w:p w:rsidR="002E71D8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2E71D8" w:rsidRPr="00036A5B">
        <w:rPr>
          <w:rFonts w:ascii="Tw Cen MT Condensed" w:hAnsi="Tw Cen MT Condensed"/>
          <w:b/>
          <w:sz w:val="26"/>
          <w:szCs w:val="26"/>
          <w:lang w:val="es-PY"/>
        </w:rPr>
        <w:t>Diseño e implementación de políticas públicas: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Miembro del Equipo de Diseño, Construcción e Implementación del “Sistema de Monitoreo de Recomendaciones Internacionales de Derechos Humanos al Paraguay” (SIMORE). 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Miembro del Equipo de Proyecto de conformación del Órgano Selector de Comisionados para el Mecanismo Nacional de Prevención de la Tortura (MNP). 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Integrante del Comité Coordinador y de los Equipos de Redacción y de Edición del Primer Plan Nacional de Derechos Humanos para la República del Paraguay, así como del Sistema de Indicadores en Derechos Humanos: Derecho a la Educación y Derecho a la Salud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:rsidR="000E1AD3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0E1AD3" w:rsidRPr="00036A5B">
        <w:rPr>
          <w:rFonts w:ascii="Tw Cen MT Condensed" w:hAnsi="Tw Cen MT Condensed"/>
          <w:b/>
          <w:sz w:val="26"/>
          <w:szCs w:val="26"/>
          <w:lang w:val="es-PY"/>
        </w:rPr>
        <w:t>Coordinación de equipos, implementación y reglamentación: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 Programa “Género en Prisión” para madres e hijos; Proyecto de audiencias por videoconferencias para personas privadas de libertad; Modernización de hogares de abrigo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:rsidR="002E71D8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2E71D8" w:rsidRPr="00036A5B">
        <w:rPr>
          <w:rFonts w:ascii="Tw Cen MT Condensed" w:hAnsi="Tw Cen MT Condensed"/>
          <w:b/>
          <w:sz w:val="26"/>
          <w:szCs w:val="26"/>
          <w:lang w:val="es-PY"/>
        </w:rPr>
        <w:t>Elaboración de reglamentos: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Tratamiento de huelga de hambre; Pasantías universitarias en hogares de abrigo y centros de privación de libertad; De acceso a la justicia para niños y adolescentes en contexto de encierro.</w:t>
      </w:r>
    </w:p>
    <w:p w:rsidR="000E1AD3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0E1AD3"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Elaboración de proyectos de ley: </w:t>
      </w:r>
      <w:r w:rsidR="00E70CDA" w:rsidRPr="00036A5B">
        <w:rPr>
          <w:rFonts w:ascii="Tw Cen MT Condensed" w:hAnsi="Tw Cen MT Condensed"/>
          <w:sz w:val="26"/>
          <w:szCs w:val="26"/>
          <w:lang w:val="es-PY"/>
        </w:rPr>
        <w:t xml:space="preserve">“De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protección a niñas, niños y adolescentes contra el castigo físico y otros tratos crueles inhumanos o degradantes”, modificación de la Ley sobre Trata de Personas, con introducción del concepto de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lastRenderedPageBreak/>
        <w:t>“criadazgo” (niños y adolescentes), “</w:t>
      </w:r>
      <w:r w:rsidR="00E70CDA" w:rsidRPr="00036A5B">
        <w:rPr>
          <w:rFonts w:ascii="Tw Cen MT Condensed" w:hAnsi="Tw Cen MT Condensed"/>
          <w:sz w:val="26"/>
          <w:szCs w:val="26"/>
          <w:lang w:val="es-PY"/>
        </w:rPr>
        <w:t>Sobre Libertad de Expresión, Protección a Periodistas, Trabajadores de Prensa y Defensores de Derechos Humanos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” o la Ley: “De Promoción, Protección de la Maternidad y Apoyo a la Lactancia Materna”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:rsidR="00CE043B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:rsidR="00FC5EDD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PUBLICACIONES MÁS RECIENTES</w:t>
      </w:r>
    </w:p>
    <w:p w:rsidR="00FB13EE" w:rsidRPr="00036A5B" w:rsidRDefault="00FC5EDD" w:rsidP="00D364AF">
      <w:pPr>
        <w:spacing w:line="240" w:lineRule="auto"/>
        <w:ind w:right="-2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“Código del Trabajo de la República del Paraguay. Rubricado y concordado con normas internacionales del trabajo y otros instrumentos internacionales” (Coautoría. OIT, 2018).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“Guía Tripartita e Interinstitucional de intervención en c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asos de trabajo forzoso” (OIT, 2017).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“Formalización de la economía informal”; “Sistema de intermediación laboral”; “Sistema de capacitación laboral”; “Entorno favorable para la reactivación de la economía y la producción” (Coautoría. FEPRINCO y ACT/EMP – OIT, 2015)</w:t>
      </w:r>
      <w:r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 “Género en Prisión: Madres en contexto de encierro”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(2013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). “Políticas públicas con enfoque de derechos humanos. Avances del Paraguay” (2012). </w:t>
      </w:r>
    </w:p>
    <w:p w:rsidR="002E71D8" w:rsidRPr="00036A5B" w:rsidRDefault="002E71D8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</w:p>
    <w:p w:rsidR="00FC5EDD" w:rsidRPr="00036A5B" w:rsidRDefault="00146707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ÚLTIMAS DISERTACIONES</w:t>
      </w:r>
    </w:p>
    <w:p w:rsidR="004A37A1" w:rsidRPr="004A37A1" w:rsidRDefault="004A37A1" w:rsidP="004A37A1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>
        <w:rPr>
          <w:rFonts w:ascii="Tw Cen MT Condensed" w:hAnsi="Tw Cen MT Condensed"/>
          <w:sz w:val="26"/>
          <w:szCs w:val="26"/>
          <w:lang w:val="es-PY"/>
        </w:rPr>
        <w:t>“</w:t>
      </w:r>
      <w:r w:rsidRPr="004A37A1">
        <w:rPr>
          <w:rFonts w:ascii="Tw Cen MT Condensed" w:hAnsi="Tw Cen MT Condensed"/>
          <w:sz w:val="26"/>
          <w:szCs w:val="26"/>
          <w:lang w:val="es-PY"/>
        </w:rPr>
        <w:t>Curso de Alto Nivel e</w:t>
      </w:r>
      <w:r>
        <w:rPr>
          <w:rFonts w:ascii="Tw Cen MT Condensed" w:hAnsi="Tw Cen MT Condensed"/>
          <w:sz w:val="26"/>
          <w:szCs w:val="26"/>
          <w:lang w:val="es-PY"/>
        </w:rPr>
        <w:t xml:space="preserve">n Derechos Humanos, con énfasis </w:t>
      </w:r>
      <w:r w:rsidRPr="004A37A1">
        <w:rPr>
          <w:rFonts w:ascii="Tw Cen MT Condensed" w:hAnsi="Tw Cen MT Condensed"/>
          <w:sz w:val="26"/>
          <w:szCs w:val="26"/>
          <w:lang w:val="es-PY"/>
        </w:rPr>
        <w:t>en el Seguimiento a</w:t>
      </w:r>
      <w:r>
        <w:rPr>
          <w:rFonts w:ascii="Tw Cen MT Condensed" w:hAnsi="Tw Cen MT Condensed"/>
          <w:sz w:val="26"/>
          <w:szCs w:val="26"/>
          <w:lang w:val="es-PY"/>
        </w:rPr>
        <w:t xml:space="preserve"> las Recomendaciones formuladas </w:t>
      </w:r>
      <w:r w:rsidRPr="004A37A1">
        <w:rPr>
          <w:rFonts w:ascii="Tw Cen MT Condensed" w:hAnsi="Tw Cen MT Condensed"/>
          <w:sz w:val="26"/>
          <w:szCs w:val="26"/>
          <w:lang w:val="es-PY"/>
        </w:rPr>
        <w:t xml:space="preserve">por el Sistema Internacional de Derechos Humanos”– Módulo II: “Derechos Civiles y Políticos”. </w:t>
      </w:r>
      <w:r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</w:t>
      </w:r>
      <w:r>
        <w:rPr>
          <w:rFonts w:ascii="Tw Cen MT Condensed" w:hAnsi="Tw Cen MT Condensed"/>
          <w:sz w:val="26"/>
          <w:szCs w:val="26"/>
          <w:lang w:val="es-PY"/>
        </w:rPr>
        <w:t xml:space="preserve"> / Ministerio de Relaciones Exteriores / Ministerio de Justicia – Asunción, Paraguay</w:t>
      </w:r>
    </w:p>
    <w:p w:rsidR="00F736D6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Foro: “Tendencias Regionales so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bre Legislación Antiterrorista”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“Abordaje del Terrorismo en el Sistema Universal de Protección de los Derechos Humanos”.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INDH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de Chile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ACNUDH, </w:t>
      </w:r>
      <w:r w:rsidRPr="00036A5B">
        <w:rPr>
          <w:rFonts w:ascii="Tw Cen MT Condensed" w:hAnsi="Tw Cen MT Condensed"/>
          <w:sz w:val="26"/>
          <w:szCs w:val="26"/>
          <w:lang w:val="es-PY"/>
        </w:rPr>
        <w:t>Oficina Regional para América del Sur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– Temuco, Chile</w:t>
      </w:r>
    </w:p>
    <w:p w:rsidR="00F736D6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3ª Edición del Curso Internacional de Polític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as Públicas en Derechos Humanos – T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ema: “Políticas Públicas en Derechos Humanos en la región: Actualidad y Desafíos”.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OEA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CIDH / IPPDH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Buenos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Aires, Argentina</w:t>
      </w:r>
    </w:p>
    <w:p w:rsidR="00F736D6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Jornada Internacional: “La protección de los derechos humanos en el sistema de justicia interno y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universal: Impactos y Desafíos”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“La vigencia de los valores de Derechos Humanos a 70 años de la Declaración Universal de los Derechos Humanos”.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CEJ y Fiscalía General </w:t>
      </w:r>
      <w:r w:rsidRPr="00036A5B">
        <w:rPr>
          <w:rFonts w:ascii="Tw Cen MT Condensed" w:hAnsi="Tw Cen MT Condensed"/>
          <w:sz w:val="26"/>
          <w:szCs w:val="26"/>
          <w:lang w:val="es-PY"/>
        </w:rPr>
        <w:t>del Uruguay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ACNUDH, Oficina Regional para América del Sur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Mont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evideo, Uruguay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Jornada: “Derecho a la Información –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Democracia: Avances y Desafíos”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“Derechos Humanos, Derecho a la Información y a la Privacidad. Aspectos teóricos y prácticos”. Facultad de Derecho y Ciencias Sociales, Universidad Nacional de Asunción – Asu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“Encuentro Regional sobre Mecanismos de Seguimiento e Implementación de las Recom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endaciones de Derechos Humanos”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“70º Aniversario de la Declaración Universal de Der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echos Humanos. Relevancia de su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seguimiento e implementación”.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MRE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del Uruguay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 – Montevideo, Uruguay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Seminario: “Experiencias Significativas en el desafío del Holocausto, el pasado reciente y las dis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criminaciones en nuestros días”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“Memoria y Derechos Humanos: Perspectivas Actuales”. International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Holocaus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t</w:t>
      </w:r>
      <w:proofErr w:type="spellEnd"/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proofErr w:type="spellStart"/>
      <w:r w:rsidR="00F736D6" w:rsidRPr="00036A5B">
        <w:rPr>
          <w:rFonts w:ascii="Tw Cen MT Condensed" w:hAnsi="Tw Cen MT Condensed"/>
          <w:sz w:val="26"/>
          <w:szCs w:val="26"/>
          <w:lang w:val="es-PY"/>
        </w:rPr>
        <w:t>Remembrance</w:t>
      </w:r>
      <w:proofErr w:type="spellEnd"/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Alliance (IHRA) / IPPDH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OEI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MEC del Paraguay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Instituto Democracia y Sociedad (IDESO) –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Asunción,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Jornada de Acceso a la Información y el Sistem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 Universal de Derechos Humanos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“El acceso a la información como derecho humano”. Facultad de Derecho y Ciencias Sociales, Universidad Nacional de Asunción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Seminario: “Situación y Perspectivas de la Participación Política y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las Elecciones en el Cono Sur”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“Agenda Internacional de Derechos Humanos y Política. Recomendaciones Internacionales y Acciones Estatales”. Tribunal Superior de Justicia Electoral (TSJE) /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IDESO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Asu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Primer Curso Especializado para funcionarios del Estado del Paraguay sobre la utilización del Sistema Interamericano de Protección de Derechos Humanos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“Acceso a la Justicia de Grupos e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n Situación de Vulnerabilidad”. IIDH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Ministerio Público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Corte Suprema de Justicia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del Paraguay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Primer Seminario sobre “Defensoras y Defensores de Derechos Humanos”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“Los Estados y la Defensa de los Derechos H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umanos”. Universidad Columbia / CODEHUPY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Tierra Viva / Amnistía Internacional / Naciones Unidas Derechos Humanos Parag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uay – Asunción, Paraguay</w:t>
      </w:r>
    </w:p>
    <w:p w:rsidR="009B4099" w:rsidRPr="00036A5B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Primer Curso de Formación para </w:t>
      </w:r>
      <w:proofErr w:type="spellStart"/>
      <w:r w:rsidRPr="00036A5B">
        <w:rPr>
          <w:rFonts w:ascii="Tw Cen MT Condensed" w:hAnsi="Tw Cen MT Condensed"/>
          <w:sz w:val="26"/>
          <w:szCs w:val="26"/>
          <w:lang w:val="es-PY"/>
        </w:rPr>
        <w:t>Guardiacárceles</w:t>
      </w:r>
      <w:proofErr w:type="spellEnd"/>
      <w:r w:rsidRPr="00036A5B">
        <w:rPr>
          <w:rFonts w:ascii="Tw Cen MT Condensed" w:hAnsi="Tw Cen MT Condensed"/>
          <w:sz w:val="26"/>
          <w:szCs w:val="26"/>
          <w:lang w:val="es-PY"/>
        </w:rPr>
        <w:t xml:space="preserve"> de la Escuela Penitenciaria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Tema</w:t>
      </w:r>
      <w:r w:rsidRPr="00036A5B">
        <w:rPr>
          <w:rFonts w:ascii="Tw Cen MT Condensed" w:hAnsi="Tw Cen MT Condensed"/>
          <w:sz w:val="26"/>
          <w:szCs w:val="26"/>
          <w:lang w:val="es-PY"/>
        </w:rPr>
        <w:t>: “Derechos Humanos. Introducción y conceptos básicos”. Ministerio de Justicia – 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:rsidR="009B4099" w:rsidRDefault="00FC5EDD" w:rsidP="00F736D6">
      <w:pPr>
        <w:pStyle w:val="Prrafodelista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Intercambio de buenas prácticas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en materia de Derechos Humanos – T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ema: “La reorganización del Ministerio de Justicia y Trabajo del Paraguay: El rol del nuevo Vice Ministerio de Justicia y Derechos Humanos”.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 – Lima, Perú</w:t>
      </w:r>
    </w:p>
    <w:p w:rsidR="00865AF8" w:rsidRDefault="00865AF8" w:rsidP="00865AF8">
      <w:pPr>
        <w:pStyle w:val="SingleTxtG"/>
        <w:spacing w:after="0" w:line="240" w:lineRule="auto"/>
        <w:ind w:left="720" w:right="-2"/>
        <w:rPr>
          <w:rFonts w:ascii="Tw Cen MT Condensed" w:hAnsi="Tw Cen MT Condensed"/>
          <w:b/>
          <w:sz w:val="26"/>
          <w:szCs w:val="26"/>
          <w:lang w:val="es-PY"/>
        </w:rPr>
      </w:pPr>
    </w:p>
    <w:p w:rsidR="00865AF8" w:rsidRPr="00036A5B" w:rsidRDefault="00865AF8" w:rsidP="00865AF8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lastRenderedPageBreak/>
        <w:t>IDIOMAS DE TRABAJO: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español e inglés</w:t>
      </w:r>
    </w:p>
    <w:p w:rsidR="00865AF8" w:rsidRPr="00036A5B" w:rsidRDefault="00865AF8" w:rsidP="00865AF8">
      <w:pPr>
        <w:pStyle w:val="Prrafodelista"/>
        <w:spacing w:line="240" w:lineRule="auto"/>
        <w:ind w:left="284" w:right="-2"/>
        <w:jc w:val="both"/>
        <w:rPr>
          <w:rFonts w:ascii="Tw Cen MT Condensed" w:hAnsi="Tw Cen MT Condensed"/>
          <w:sz w:val="26"/>
          <w:szCs w:val="26"/>
          <w:lang w:val="es-PY"/>
        </w:rPr>
      </w:pPr>
    </w:p>
    <w:sectPr w:rsidR="00865AF8" w:rsidRPr="00036A5B" w:rsidSect="00D4175A">
      <w:headerReference w:type="default" r:id="rId7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A5" w:rsidRDefault="00FB07A5" w:rsidP="009B4099">
      <w:pPr>
        <w:spacing w:line="240" w:lineRule="auto"/>
      </w:pPr>
      <w:r>
        <w:separator/>
      </w:r>
    </w:p>
  </w:endnote>
  <w:endnote w:type="continuationSeparator" w:id="0">
    <w:p w:rsidR="00FB07A5" w:rsidRDefault="00FB07A5" w:rsidP="009B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A5" w:rsidRDefault="00FB07A5" w:rsidP="009B4099">
      <w:pPr>
        <w:spacing w:line="240" w:lineRule="auto"/>
      </w:pPr>
      <w:r>
        <w:separator/>
      </w:r>
    </w:p>
  </w:footnote>
  <w:footnote w:type="continuationSeparator" w:id="0">
    <w:p w:rsidR="00FB07A5" w:rsidRDefault="00FB07A5" w:rsidP="009B4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382910"/>
      <w:docPartObj>
        <w:docPartGallery w:val="Page Numbers (Margins)"/>
        <w:docPartUnique/>
      </w:docPartObj>
    </w:sdtPr>
    <w:sdtEndPr/>
    <w:sdtContent>
      <w:p w:rsidR="009B4099" w:rsidRDefault="009B4099">
        <w:pPr>
          <w:pStyle w:val="Encabezado"/>
        </w:pPr>
        <w:r>
          <w:rPr>
            <w:noProof/>
            <w:lang w:val="es-PY" w:eastAsia="es-PY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8D6CA" wp14:editId="6714E95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591185" cy="433705"/>
                  <wp:effectExtent l="0" t="0" r="0" b="3810"/>
                  <wp:wrapTopAndBottom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118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099" w:rsidRPr="009B4099" w:rsidRDefault="009B4099" w:rsidP="009B409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shd w:val="clear" w:color="auto" w:fill="000000" w:themeFill="text1"/>
                                <w:jc w:val="center"/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</w:pP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  <w:lang w:val="es-ES"/>
                                </w:rPr>
                                <w:t xml:space="preserve">Página | </w: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0300D" w:rsidRPr="0060300D">
                                <w:rPr>
                                  <w:rFonts w:ascii="Tw Cen MT Condensed" w:hAnsi="Tw Cen MT Condensed"/>
                                  <w:noProof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B8D6CA" id="Rectángulo 3" o:spid="_x0000_s1026" style="position:absolute;margin-left:-4.65pt;margin-top:0;width:46.55pt;height:34.1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" o:allowincell="f" stroked="f">
                  <v:textbox style="mso-fit-shape-to-text:t" inset="0,,0">
                    <w:txbxContent>
                      <w:p w:rsidR="009B4099" w:rsidRPr="009B4099" w:rsidRDefault="009B4099" w:rsidP="009B4099">
                        <w:pPr>
                          <w:pBdr>
                            <w:top w:val="single" w:sz="4" w:space="1" w:color="D8D8D8" w:themeColor="background1" w:themeShade="D8"/>
                          </w:pBdr>
                          <w:shd w:val="clear" w:color="auto" w:fill="000000" w:themeFill="text1"/>
                          <w:jc w:val="center"/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</w:pP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  <w:lang w:val="es-ES"/>
                          </w:rPr>
                          <w:t xml:space="preserve">Página | </w: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begin"/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separate"/>
                        </w:r>
                        <w:r w:rsidR="0060300D" w:rsidRPr="0060300D">
                          <w:rPr>
                            <w:rFonts w:ascii="Tw Cen MT Condensed" w:hAnsi="Tw Cen MT Condensed"/>
                            <w:noProof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type="topAndBottom"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21E"/>
    <w:multiLevelType w:val="hybridMultilevel"/>
    <w:tmpl w:val="6CA2041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680"/>
    <w:multiLevelType w:val="hybridMultilevel"/>
    <w:tmpl w:val="5F7691C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5101"/>
    <w:multiLevelType w:val="hybridMultilevel"/>
    <w:tmpl w:val="99246F3C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3"/>
    <w:rsid w:val="00036A5B"/>
    <w:rsid w:val="000E1AD3"/>
    <w:rsid w:val="00146707"/>
    <w:rsid w:val="00262525"/>
    <w:rsid w:val="002E71D8"/>
    <w:rsid w:val="00312055"/>
    <w:rsid w:val="00481FA1"/>
    <w:rsid w:val="004A37A1"/>
    <w:rsid w:val="00555F17"/>
    <w:rsid w:val="0060300D"/>
    <w:rsid w:val="006A186F"/>
    <w:rsid w:val="00774DD0"/>
    <w:rsid w:val="00780D76"/>
    <w:rsid w:val="00865AF8"/>
    <w:rsid w:val="009B4099"/>
    <w:rsid w:val="00AC03CE"/>
    <w:rsid w:val="00BA0973"/>
    <w:rsid w:val="00C302A5"/>
    <w:rsid w:val="00C80AD5"/>
    <w:rsid w:val="00CE043B"/>
    <w:rsid w:val="00CF0BCF"/>
    <w:rsid w:val="00CF195F"/>
    <w:rsid w:val="00D364AF"/>
    <w:rsid w:val="00D4175A"/>
    <w:rsid w:val="00D41FB5"/>
    <w:rsid w:val="00E70CDA"/>
    <w:rsid w:val="00E8121F"/>
    <w:rsid w:val="00F014A8"/>
    <w:rsid w:val="00F736D6"/>
    <w:rsid w:val="00FB07A5"/>
    <w:rsid w:val="00FC5ED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11AE63-8B57-42FC-B5ED-33FCF08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qFormat/>
    <w:rsid w:val="000E1A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E1A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link w:val="SingleTxtGChar"/>
    <w:qFormat/>
    <w:rsid w:val="000E1AD3"/>
    <w:pPr>
      <w:spacing w:after="120"/>
      <w:ind w:left="1134" w:right="1134"/>
      <w:jc w:val="both"/>
    </w:pPr>
    <w:rPr>
      <w:rFonts w:eastAsia="SimSun"/>
      <w:lang w:eastAsia="zh-CN"/>
    </w:rPr>
  </w:style>
  <w:style w:type="character" w:customStyle="1" w:styleId="SingleTxtGChar">
    <w:name w:val="_ Single Txt_G Char"/>
    <w:link w:val="SingleTxtG"/>
    <w:rsid w:val="000E1AD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Prrafodelista">
    <w:name w:val="List Paragraph"/>
    <w:basedOn w:val="Normal"/>
    <w:uiPriority w:val="34"/>
    <w:qFormat/>
    <w:rsid w:val="00F736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4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EEBA7-21ED-4BE4-823F-B82D6AB974CF}"/>
</file>

<file path=customXml/itemProps2.xml><?xml version="1.0" encoding="utf-8"?>
<ds:datastoreItem xmlns:ds="http://schemas.openxmlformats.org/officeDocument/2006/customXml" ds:itemID="{5D029063-8A6B-4489-829C-21EAF96ACDC8}"/>
</file>

<file path=customXml/itemProps3.xml><?xml version="1.0" encoding="utf-8"?>
<ds:datastoreItem xmlns:ds="http://schemas.openxmlformats.org/officeDocument/2006/customXml" ds:itemID="{00751C4E-9AC3-4F91-BE60-2EB62816E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Abdo</dc:creator>
  <cp:lastModifiedBy>TANIA</cp:lastModifiedBy>
  <cp:revision>3</cp:revision>
  <cp:lastPrinted>2019-06-18T12:52:00Z</cp:lastPrinted>
  <dcterms:created xsi:type="dcterms:W3CDTF">2019-11-06T10:55:00Z</dcterms:created>
  <dcterms:modified xsi:type="dcterms:W3CDTF">2019-11-06T11:27:00Z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