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859421B" w14:textId="77777777" w:rsidR="00D3644F" w:rsidRPr="00DE05C9" w:rsidRDefault="006F2481" w:rsidP="00DE05C9">
      <w:pPr>
        <w:pStyle w:val="BodyA"/>
        <w:spacing w:line="240" w:lineRule="auto"/>
        <w:jc w:val="both"/>
        <w:rPr>
          <w:rFonts w:cs="Times New Roman"/>
          <w:color w:val="000000" w:themeColor="text1"/>
          <w:sz w:val="24"/>
          <w:szCs w:val="24"/>
        </w:rPr>
      </w:pPr>
      <w:r w:rsidRPr="00DE05C9">
        <w:rPr>
          <w:rFonts w:cs="Times New Roman"/>
          <w:color w:val="000000" w:themeColor="text1"/>
          <w:sz w:val="24"/>
          <w:szCs w:val="24"/>
        </w:rPr>
        <w:t>CEDAW Secretariat</w:t>
      </w:r>
    </w:p>
    <w:p w14:paraId="4349F827" w14:textId="77777777" w:rsidR="00D3644F" w:rsidRPr="00DE05C9" w:rsidRDefault="006F2481" w:rsidP="00DE05C9">
      <w:pPr>
        <w:pStyle w:val="BodyA"/>
        <w:spacing w:line="240" w:lineRule="auto"/>
        <w:rPr>
          <w:rFonts w:cs="Times New Roman"/>
          <w:color w:val="000000" w:themeColor="text1"/>
          <w:sz w:val="24"/>
          <w:szCs w:val="24"/>
          <w:lang w:val="de-DE"/>
        </w:rPr>
      </w:pPr>
      <w:r w:rsidRPr="00DE05C9">
        <w:rPr>
          <w:rFonts w:cs="Times New Roman"/>
          <w:color w:val="000000" w:themeColor="text1"/>
          <w:sz w:val="24"/>
          <w:szCs w:val="24"/>
          <w:lang w:val="de-DE"/>
        </w:rPr>
        <w:t>OHCHR - Palais Wilson 52,</w:t>
      </w:r>
    </w:p>
    <w:p w14:paraId="07C1C1B2" w14:textId="77777777" w:rsidR="00D3644F" w:rsidRPr="00DE05C9" w:rsidRDefault="006F2481" w:rsidP="00DE05C9">
      <w:pPr>
        <w:pStyle w:val="BodyA"/>
        <w:spacing w:line="240" w:lineRule="auto"/>
        <w:rPr>
          <w:rFonts w:cs="Times New Roman"/>
          <w:color w:val="000000" w:themeColor="text1"/>
          <w:sz w:val="24"/>
          <w:szCs w:val="24"/>
          <w:lang w:val="fr-FR"/>
        </w:rPr>
      </w:pPr>
      <w:r w:rsidRPr="00DE05C9">
        <w:rPr>
          <w:rFonts w:cs="Times New Roman"/>
          <w:color w:val="000000" w:themeColor="text1"/>
          <w:sz w:val="24"/>
          <w:szCs w:val="24"/>
          <w:lang w:val="fr-FR"/>
        </w:rPr>
        <w:t>Rue des Paquis</w:t>
      </w:r>
    </w:p>
    <w:p w14:paraId="2F306EC1" w14:textId="77777777" w:rsidR="00D3644F" w:rsidRPr="00DE05C9" w:rsidRDefault="006F2481" w:rsidP="00DE05C9">
      <w:pPr>
        <w:pStyle w:val="BodyA"/>
        <w:spacing w:line="240" w:lineRule="auto"/>
        <w:rPr>
          <w:rFonts w:cs="Times New Roman"/>
          <w:color w:val="000000" w:themeColor="text1"/>
          <w:sz w:val="24"/>
          <w:szCs w:val="24"/>
        </w:rPr>
      </w:pPr>
      <w:r w:rsidRPr="00DE05C9">
        <w:rPr>
          <w:rFonts w:cs="Times New Roman"/>
          <w:color w:val="000000" w:themeColor="text1"/>
          <w:sz w:val="24"/>
          <w:szCs w:val="24"/>
        </w:rPr>
        <w:t>CH-1201 Geneva</w:t>
      </w:r>
    </w:p>
    <w:p w14:paraId="7015B894" w14:textId="77777777" w:rsidR="00D3644F" w:rsidRPr="00DE05C9" w:rsidRDefault="006F2481" w:rsidP="00DE05C9">
      <w:pPr>
        <w:pStyle w:val="BodyA"/>
        <w:spacing w:line="240" w:lineRule="auto"/>
        <w:rPr>
          <w:rFonts w:cs="Times New Roman"/>
          <w:color w:val="000000" w:themeColor="text1"/>
          <w:sz w:val="24"/>
          <w:szCs w:val="24"/>
          <w:lang w:val="de-DE"/>
        </w:rPr>
      </w:pPr>
      <w:r w:rsidRPr="00DE05C9">
        <w:rPr>
          <w:rFonts w:cs="Times New Roman"/>
          <w:color w:val="000000" w:themeColor="text1"/>
          <w:sz w:val="24"/>
          <w:szCs w:val="24"/>
          <w:lang w:val="de-DE"/>
        </w:rPr>
        <w:t>10 Switzerland</w:t>
      </w:r>
    </w:p>
    <w:p w14:paraId="7F53A672" w14:textId="5BE73682" w:rsidR="00D3644F" w:rsidRPr="00DE05C9" w:rsidRDefault="006F2481" w:rsidP="00DE05C9">
      <w:pPr>
        <w:pStyle w:val="BodyA"/>
        <w:spacing w:line="240" w:lineRule="auto"/>
        <w:rPr>
          <w:rStyle w:val="None"/>
          <w:rFonts w:cs="Times New Roman"/>
          <w:i/>
          <w:iCs/>
          <w:color w:val="000000" w:themeColor="text1"/>
          <w:sz w:val="24"/>
          <w:szCs w:val="24"/>
        </w:rPr>
      </w:pPr>
      <w:r w:rsidRPr="00DE05C9">
        <w:rPr>
          <w:rFonts w:cs="Times New Roman"/>
          <w:i/>
          <w:iCs/>
          <w:color w:val="000000" w:themeColor="text1"/>
          <w:sz w:val="24"/>
          <w:szCs w:val="24"/>
          <w:lang w:val="pt-PT"/>
        </w:rPr>
        <w:t xml:space="preserve">Via email to: </w:t>
      </w:r>
      <w:r w:rsidRPr="00DE05C9">
        <w:rPr>
          <w:rStyle w:val="Hyperlink0"/>
          <w:rFonts w:eastAsia="Arial Unicode MS"/>
          <w:color w:val="000000" w:themeColor="text1"/>
          <w:sz w:val="24"/>
          <w:szCs w:val="24"/>
          <w:u w:val="none"/>
        </w:rPr>
        <w:t>dbuchmann@ohchr.org</w:t>
      </w:r>
    </w:p>
    <w:p w14:paraId="47254E1D" w14:textId="1334FD8D" w:rsidR="00D3644F" w:rsidRPr="00DE05C9" w:rsidRDefault="00E47313" w:rsidP="00DE05C9">
      <w:pPr>
        <w:pStyle w:val="BodyA"/>
        <w:spacing w:line="240" w:lineRule="auto"/>
        <w:rPr>
          <w:rFonts w:cs="Times New Roman"/>
          <w:color w:val="000000" w:themeColor="text1"/>
          <w:sz w:val="24"/>
          <w:szCs w:val="24"/>
        </w:rPr>
      </w:pPr>
      <w:r w:rsidRPr="00DE05C9">
        <w:rPr>
          <w:rFonts w:cs="Times New Roman"/>
          <w:color w:val="000000" w:themeColor="text1"/>
          <w:sz w:val="24"/>
          <w:szCs w:val="24"/>
        </w:rPr>
        <w:t xml:space="preserve">19 </w:t>
      </w:r>
      <w:r w:rsidR="006F2481" w:rsidRPr="00DE05C9">
        <w:rPr>
          <w:rFonts w:cs="Times New Roman"/>
          <w:color w:val="000000" w:themeColor="text1"/>
          <w:sz w:val="24"/>
          <w:szCs w:val="24"/>
        </w:rPr>
        <w:t>February 2019</w:t>
      </w:r>
    </w:p>
    <w:p w14:paraId="72EFB8E6" w14:textId="77777777" w:rsidR="00DE05C9" w:rsidRPr="00DE05C9" w:rsidRDefault="00DE05C9" w:rsidP="00DE05C9">
      <w:pPr>
        <w:pStyle w:val="BodyA"/>
        <w:spacing w:line="240" w:lineRule="auto"/>
        <w:rPr>
          <w:rFonts w:cs="Times New Roman"/>
          <w:color w:val="000000" w:themeColor="text1"/>
          <w:sz w:val="24"/>
          <w:szCs w:val="24"/>
        </w:rPr>
      </w:pPr>
    </w:p>
    <w:p w14:paraId="7D327B2F" w14:textId="4C8E01DA" w:rsidR="00D3644F" w:rsidRPr="00DE05C9" w:rsidRDefault="00DE05C9" w:rsidP="00DE05C9">
      <w:pPr>
        <w:pStyle w:val="BodyA"/>
        <w:spacing w:line="240" w:lineRule="auto"/>
        <w:ind w:left="1440" w:hanging="720"/>
        <w:rPr>
          <w:rFonts w:cs="Times New Roman"/>
          <w:b/>
          <w:color w:val="000000" w:themeColor="text1"/>
          <w:sz w:val="24"/>
          <w:szCs w:val="24"/>
        </w:rPr>
      </w:pPr>
      <w:r w:rsidRPr="00DE05C9">
        <w:rPr>
          <w:rFonts w:cs="Times New Roman"/>
          <w:b/>
          <w:color w:val="000000" w:themeColor="text1"/>
          <w:sz w:val="24"/>
          <w:szCs w:val="24"/>
        </w:rPr>
        <w:t>Re</w:t>
      </w:r>
      <w:r w:rsidR="006F2481" w:rsidRPr="00DE05C9">
        <w:rPr>
          <w:rFonts w:cs="Times New Roman"/>
          <w:b/>
          <w:color w:val="000000" w:themeColor="text1"/>
          <w:sz w:val="24"/>
          <w:szCs w:val="24"/>
        </w:rPr>
        <w:t xml:space="preserve">: </w:t>
      </w:r>
      <w:r w:rsidR="006F2481" w:rsidRPr="00DE05C9">
        <w:rPr>
          <w:rFonts w:cs="Times New Roman"/>
          <w:b/>
          <w:color w:val="000000" w:themeColor="text1"/>
          <w:sz w:val="24"/>
          <w:szCs w:val="24"/>
        </w:rPr>
        <w:tab/>
        <w:t xml:space="preserve">Draft General Recommendation on Trafficking of Women and Girls </w:t>
      </w:r>
      <w:r w:rsidR="00E47313" w:rsidRPr="00DE05C9">
        <w:rPr>
          <w:rFonts w:cs="Times New Roman"/>
          <w:b/>
          <w:color w:val="000000" w:themeColor="text1"/>
          <w:sz w:val="24"/>
          <w:szCs w:val="24"/>
        </w:rPr>
        <w:br/>
      </w:r>
      <w:r w:rsidR="006F2481" w:rsidRPr="00DE05C9">
        <w:rPr>
          <w:rFonts w:cs="Times New Roman"/>
          <w:b/>
          <w:color w:val="000000" w:themeColor="text1"/>
          <w:sz w:val="24"/>
          <w:szCs w:val="24"/>
        </w:rPr>
        <w:t>in the Context of Global Migration</w:t>
      </w:r>
    </w:p>
    <w:p w14:paraId="7EE9D96A" w14:textId="77777777" w:rsidR="00DE05C9" w:rsidRPr="00DE05C9" w:rsidRDefault="00DE05C9" w:rsidP="00DE05C9">
      <w:pPr>
        <w:pStyle w:val="BodyA"/>
        <w:spacing w:line="240" w:lineRule="auto"/>
        <w:ind w:left="1440" w:hanging="720"/>
        <w:rPr>
          <w:rFonts w:cs="Times New Roman"/>
          <w:b/>
          <w:color w:val="000000" w:themeColor="text1"/>
          <w:sz w:val="24"/>
          <w:szCs w:val="24"/>
        </w:rPr>
      </w:pPr>
    </w:p>
    <w:p w14:paraId="14ACB350" w14:textId="5CDC9A23" w:rsidR="00D3644F" w:rsidRPr="00DE05C9" w:rsidRDefault="006F2481" w:rsidP="00DE05C9">
      <w:pPr>
        <w:pStyle w:val="BodyA"/>
        <w:spacing w:line="240" w:lineRule="auto"/>
        <w:rPr>
          <w:rFonts w:cs="Times New Roman"/>
          <w:color w:val="000000" w:themeColor="text1"/>
          <w:sz w:val="24"/>
          <w:szCs w:val="24"/>
        </w:rPr>
      </w:pPr>
      <w:r w:rsidRPr="00DE05C9">
        <w:rPr>
          <w:rFonts w:cs="Times New Roman"/>
          <w:color w:val="000000" w:themeColor="text1"/>
          <w:sz w:val="24"/>
          <w:szCs w:val="24"/>
        </w:rPr>
        <w:t>Dear Distinguished Committee Members:</w:t>
      </w:r>
    </w:p>
    <w:p w14:paraId="16121FE9" w14:textId="77777777" w:rsidR="00DE05C9" w:rsidRPr="00DE05C9" w:rsidRDefault="00DE05C9" w:rsidP="00DE05C9">
      <w:pPr>
        <w:pStyle w:val="BodyA"/>
        <w:spacing w:line="240" w:lineRule="auto"/>
        <w:rPr>
          <w:rFonts w:cs="Times New Roman"/>
          <w:color w:val="000000" w:themeColor="text1"/>
          <w:sz w:val="24"/>
          <w:szCs w:val="24"/>
        </w:rPr>
      </w:pPr>
    </w:p>
    <w:p w14:paraId="4067B3A4" w14:textId="28AC8092" w:rsidR="00D3644F" w:rsidRPr="00DE05C9" w:rsidRDefault="006F2481" w:rsidP="00DE05C9">
      <w:pPr>
        <w:pStyle w:val="BodyA"/>
        <w:spacing w:line="240" w:lineRule="auto"/>
        <w:jc w:val="both"/>
        <w:rPr>
          <w:rFonts w:cs="Times New Roman"/>
          <w:color w:val="000000" w:themeColor="text1"/>
          <w:sz w:val="24"/>
          <w:szCs w:val="24"/>
        </w:rPr>
      </w:pPr>
      <w:r w:rsidRPr="00DE05C9">
        <w:rPr>
          <w:rFonts w:cs="Times New Roman"/>
          <w:color w:val="000000" w:themeColor="text1"/>
          <w:sz w:val="24"/>
          <w:szCs w:val="24"/>
        </w:rPr>
        <w:t>We respectfully submit this statement to the Committee on the Elimination of Discrimination against Women (“the Committee”) for consideration during its 72nd session (18 February - 8 March 2019), as part of the general discussion to prepare the elaboration by the Committee of a General Recommendation on trafficking in women and girls in the context of global migration. This joint submission of the Chicago Alliance Against Sexual Exploitation (CAASE) and the Center for International Human Rights (CIHR) of Northwestern Pritzker School of Law focuses specifically on the exploitation of women and girls through the mechanism of sex trafficking, from the perspective of the United States as a destination country for trafficked women and girls. This submission may be published on the CEDAW website for this General Recommendation.</w:t>
      </w:r>
    </w:p>
    <w:p w14:paraId="7CCD1BDB" w14:textId="77777777" w:rsidR="00DE05C9" w:rsidRPr="00DE05C9" w:rsidRDefault="00DE05C9" w:rsidP="00DE05C9">
      <w:pPr>
        <w:pStyle w:val="BodyA"/>
        <w:spacing w:line="240" w:lineRule="auto"/>
        <w:jc w:val="both"/>
        <w:rPr>
          <w:rFonts w:cs="Times New Roman"/>
          <w:color w:val="000000" w:themeColor="text1"/>
          <w:sz w:val="24"/>
          <w:szCs w:val="24"/>
        </w:rPr>
      </w:pPr>
    </w:p>
    <w:p w14:paraId="65638187" w14:textId="0EEEF339" w:rsidR="00D3644F" w:rsidRPr="00DE05C9" w:rsidRDefault="00817F9C" w:rsidP="00DE05C9">
      <w:pPr>
        <w:pStyle w:val="BodyA"/>
        <w:spacing w:line="240" w:lineRule="auto"/>
        <w:rPr>
          <w:rFonts w:cs="Times New Roman"/>
          <w:color w:val="000000" w:themeColor="text1"/>
          <w:sz w:val="24"/>
          <w:szCs w:val="24"/>
        </w:rPr>
      </w:pPr>
      <w:r w:rsidRPr="00DE05C9">
        <w:rPr>
          <w:rStyle w:val="None"/>
          <w:rFonts w:cs="Times New Roman"/>
          <w:b/>
          <w:bCs/>
          <w:noProof/>
          <w:color w:val="000000" w:themeColor="text1"/>
          <w:sz w:val="24"/>
          <w:szCs w:val="24"/>
          <w:lang w:val="en-GB" w:eastAsia="en-GB"/>
        </w:rPr>
        <w:drawing>
          <wp:anchor distT="57150" distB="57150" distL="57150" distR="57150" simplePos="0" relativeHeight="251660288" behindDoc="0" locked="0" layoutInCell="1" allowOverlap="1" wp14:anchorId="67FBBFF6" wp14:editId="7132CB5F">
            <wp:simplePos x="0" y="0"/>
            <wp:positionH relativeFrom="column">
              <wp:posOffset>4646930</wp:posOffset>
            </wp:positionH>
            <wp:positionV relativeFrom="line">
              <wp:posOffset>7620</wp:posOffset>
            </wp:positionV>
            <wp:extent cx="1296035" cy="1188085"/>
            <wp:effectExtent l="0" t="0" r="0" b="0"/>
            <wp:wrapSquare wrapText="bothSides" distT="57150" distB="57150" distL="57150" distR="57150"/>
            <wp:docPr id="1073741825" name="officeArt object" descr="CAASE_logo_300.jpg"/>
            <wp:cNvGraphicFramePr/>
            <a:graphic xmlns:a="http://schemas.openxmlformats.org/drawingml/2006/main">
              <a:graphicData uri="http://schemas.openxmlformats.org/drawingml/2006/picture">
                <pic:pic xmlns:pic="http://schemas.openxmlformats.org/drawingml/2006/picture">
                  <pic:nvPicPr>
                    <pic:cNvPr id="1073741825" name="CAASE_logo_300.jpg" descr="CAASE_logo_300.jpg"/>
                    <pic:cNvPicPr>
                      <a:picLocks noChangeAspect="1"/>
                    </pic:cNvPicPr>
                  </pic:nvPicPr>
                  <pic:blipFill>
                    <a:blip r:embed="rId7">
                      <a:extLst/>
                    </a:blip>
                    <a:stretch>
                      <a:fillRect/>
                    </a:stretch>
                  </pic:blipFill>
                  <pic:spPr>
                    <a:xfrm>
                      <a:off x="0" y="0"/>
                      <a:ext cx="1296035" cy="1188085"/>
                    </a:xfrm>
                    <a:prstGeom prst="rect">
                      <a:avLst/>
                    </a:prstGeom>
                    <a:ln w="12700" cap="flat">
                      <a:noFill/>
                      <a:miter lim="400000"/>
                    </a:ln>
                    <a:effectLst/>
                  </pic:spPr>
                </pic:pic>
              </a:graphicData>
            </a:graphic>
          </wp:anchor>
        </w:drawing>
      </w:r>
      <w:r w:rsidR="006F2481" w:rsidRPr="00DE05C9">
        <w:rPr>
          <w:rStyle w:val="None"/>
          <w:rFonts w:cs="Times New Roman"/>
          <w:b/>
          <w:bCs/>
          <w:noProof/>
          <w:color w:val="000000" w:themeColor="text1"/>
          <w:sz w:val="24"/>
          <w:szCs w:val="24"/>
          <w:lang w:val="en-GB" w:eastAsia="en-GB"/>
        </w:rPr>
        <w:drawing>
          <wp:anchor distT="57150" distB="57150" distL="57150" distR="57150" simplePos="0" relativeHeight="251659264" behindDoc="0" locked="0" layoutInCell="1" allowOverlap="1" wp14:anchorId="6266ED7B" wp14:editId="21B16A24">
            <wp:simplePos x="0" y="0"/>
            <wp:positionH relativeFrom="column">
              <wp:posOffset>4062561</wp:posOffset>
            </wp:positionH>
            <wp:positionV relativeFrom="line">
              <wp:posOffset>1799107</wp:posOffset>
            </wp:positionV>
            <wp:extent cx="1906270" cy="643890"/>
            <wp:effectExtent l="0" t="0" r="0" b="0"/>
            <wp:wrapSquare wrapText="bothSides" distT="57150" distB="57150" distL="57150" distR="57150"/>
            <wp:docPr id="1073741826" name="officeArt object" descr="Picture 5"/>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8">
                      <a:extLst/>
                    </a:blip>
                    <a:stretch>
                      <a:fillRect/>
                    </a:stretch>
                  </pic:blipFill>
                  <pic:spPr>
                    <a:xfrm>
                      <a:off x="0" y="0"/>
                      <a:ext cx="1906270" cy="643890"/>
                    </a:xfrm>
                    <a:prstGeom prst="rect">
                      <a:avLst/>
                    </a:prstGeom>
                    <a:ln w="12700" cap="flat">
                      <a:noFill/>
                      <a:miter lim="400000"/>
                    </a:ln>
                    <a:effectLst/>
                  </pic:spPr>
                </pic:pic>
              </a:graphicData>
            </a:graphic>
          </wp:anchor>
        </w:drawing>
      </w:r>
      <w:r w:rsidR="006F2481" w:rsidRPr="00DE05C9">
        <w:rPr>
          <w:rStyle w:val="None"/>
          <w:rFonts w:cs="Times New Roman"/>
          <w:b/>
          <w:bCs/>
          <w:color w:val="000000" w:themeColor="text1"/>
          <w:sz w:val="24"/>
          <w:szCs w:val="24"/>
        </w:rPr>
        <w:t xml:space="preserve">The Chicago Alliance Against Sexual Exploitation (CAASE) </w:t>
      </w:r>
      <w:r w:rsidR="006F2481" w:rsidRPr="00DE05C9">
        <w:rPr>
          <w:rFonts w:cs="Times New Roman"/>
          <w:color w:val="000000" w:themeColor="text1"/>
          <w:sz w:val="24"/>
          <w:szCs w:val="24"/>
        </w:rPr>
        <w:t xml:space="preserve">is a non-governmental, non-profit organization that opposes sexual harm and exploitation by directly addressing the culture, institutions, and individuals that perpetrate, profit from, or support such harms. CAASE addresses sexual violation through prevention education, community engagement, policy reform, and direct legal services to survivors of sexual exploitation and assault including victims of trafficking. </w:t>
      </w:r>
      <w:r w:rsidR="006F2481" w:rsidRPr="00DE05C9">
        <w:rPr>
          <w:rStyle w:val="None"/>
          <w:rFonts w:cs="Times New Roman"/>
          <w:color w:val="000000" w:themeColor="text1"/>
          <w:sz w:val="24"/>
          <w:szCs w:val="24"/>
        </w:rPr>
        <w:br/>
      </w:r>
      <w:r w:rsidR="006F2481" w:rsidRPr="00DE05C9">
        <w:rPr>
          <w:rStyle w:val="None"/>
          <w:rFonts w:cs="Times New Roman"/>
          <w:color w:val="000000" w:themeColor="text1"/>
          <w:sz w:val="24"/>
          <w:szCs w:val="24"/>
        </w:rPr>
        <w:br/>
      </w:r>
      <w:r w:rsidR="006F2481" w:rsidRPr="00DE05C9">
        <w:rPr>
          <w:rStyle w:val="None"/>
          <w:rFonts w:cs="Times New Roman"/>
          <w:b/>
          <w:bCs/>
          <w:color w:val="000000" w:themeColor="text1"/>
          <w:sz w:val="24"/>
          <w:szCs w:val="24"/>
        </w:rPr>
        <w:t xml:space="preserve">The Center for International Human Rights (CIHR) of Northwestern Pritzker School of Law </w:t>
      </w:r>
      <w:r w:rsidR="006F2481" w:rsidRPr="00DE05C9">
        <w:rPr>
          <w:rFonts w:cs="Times New Roman"/>
          <w:color w:val="000000" w:themeColor="text1"/>
          <w:sz w:val="24"/>
          <w:szCs w:val="24"/>
        </w:rPr>
        <w:t xml:space="preserve">is a non-governmental, non-profit organization located in Chicago, Illinois, United States. CIHR is dedicated to human rights education and to legal and policy-focused human rights advocacy within the United States and worldwide.  CIHR conducts legal research, compiles reports, and represents individuals and NGOs in cases and projects addressing violations of human rights.  CIHR is in special consultative status with the United Nations Economic and Social Council (ECOSOC). </w:t>
      </w:r>
    </w:p>
    <w:p w14:paraId="7FF58C39" w14:textId="77777777" w:rsidR="00DE05C9" w:rsidRPr="00DE05C9" w:rsidRDefault="00DE05C9" w:rsidP="00DE05C9">
      <w:pPr>
        <w:pStyle w:val="BodyA"/>
        <w:spacing w:line="240" w:lineRule="auto"/>
        <w:rPr>
          <w:rFonts w:cs="Times New Roman"/>
          <w:color w:val="000000" w:themeColor="text1"/>
          <w:sz w:val="24"/>
          <w:szCs w:val="24"/>
        </w:rPr>
      </w:pPr>
    </w:p>
    <w:p w14:paraId="0E09158A" w14:textId="4809F296" w:rsidR="006D408A" w:rsidRPr="00DE05C9" w:rsidRDefault="006F2481" w:rsidP="00DE05C9">
      <w:pPr>
        <w:pStyle w:val="BodyA"/>
        <w:spacing w:line="240" w:lineRule="auto"/>
        <w:jc w:val="both"/>
        <w:rPr>
          <w:rFonts w:cs="Times New Roman"/>
          <w:color w:val="000000" w:themeColor="text1"/>
          <w:sz w:val="24"/>
          <w:szCs w:val="24"/>
        </w:rPr>
      </w:pPr>
      <w:r w:rsidRPr="00DE05C9">
        <w:rPr>
          <w:rFonts w:cs="Times New Roman"/>
          <w:color w:val="000000" w:themeColor="text1"/>
          <w:sz w:val="24"/>
          <w:szCs w:val="24"/>
        </w:rPr>
        <w:t xml:space="preserve">The Committee has requested stakeholder input on a number of issues, including “[t]he provision of appropriate assistance and services to victims of trafficking, including both short term as well as comprehensive, survivor-centered, long term services” and “[c]larifying the intersections of States’ parties legal obligations on combatting trafficking and </w:t>
      </w:r>
      <w:r w:rsidRPr="00DE05C9">
        <w:rPr>
          <w:rFonts w:cs="Times New Roman"/>
          <w:color w:val="000000" w:themeColor="text1"/>
          <w:sz w:val="24"/>
          <w:szCs w:val="24"/>
        </w:rPr>
        <w:lastRenderedPageBreak/>
        <w:t>promoting safe, regular, and orderly migration.”</w:t>
      </w:r>
      <w:r w:rsidR="004B20D4" w:rsidRPr="00DE05C9">
        <w:rPr>
          <w:rStyle w:val="FootnoteReference"/>
          <w:rFonts w:cs="Times New Roman"/>
          <w:color w:val="000000" w:themeColor="text1"/>
          <w:sz w:val="24"/>
          <w:szCs w:val="24"/>
        </w:rPr>
        <w:footnoteReference w:id="2"/>
      </w:r>
      <w:r w:rsidRPr="00DE05C9">
        <w:rPr>
          <w:rFonts w:cs="Times New Roman"/>
          <w:color w:val="000000" w:themeColor="text1"/>
          <w:sz w:val="24"/>
          <w:szCs w:val="24"/>
        </w:rPr>
        <w:t xml:space="preserve"> This submission seeks to provide input on these two issues from the perspective of the United States, as a destination country both for trafficked women and girls and for women and girls seeking asylum and refugee status due to persecution in their home countries.</w:t>
      </w:r>
    </w:p>
    <w:p w14:paraId="40AC33B1" w14:textId="45DBE8DE" w:rsidR="00DE05C9" w:rsidRPr="00DE05C9" w:rsidRDefault="00DE05C9" w:rsidP="00DE05C9">
      <w:pPr>
        <w:pStyle w:val="BodyA"/>
        <w:spacing w:line="240" w:lineRule="auto"/>
        <w:jc w:val="both"/>
        <w:rPr>
          <w:rFonts w:cs="Times New Roman"/>
          <w:color w:val="000000" w:themeColor="text1"/>
          <w:sz w:val="24"/>
          <w:szCs w:val="24"/>
        </w:rPr>
      </w:pPr>
    </w:p>
    <w:p w14:paraId="208166B7" w14:textId="77777777" w:rsidR="00DE05C9" w:rsidRPr="00DE05C9" w:rsidRDefault="00DE05C9" w:rsidP="00DE05C9">
      <w:pPr>
        <w:pStyle w:val="BodyA"/>
        <w:spacing w:line="240" w:lineRule="auto"/>
        <w:jc w:val="both"/>
        <w:rPr>
          <w:rFonts w:cs="Times New Roman"/>
          <w:color w:val="000000" w:themeColor="text1"/>
          <w:sz w:val="24"/>
          <w:szCs w:val="24"/>
        </w:rPr>
      </w:pPr>
    </w:p>
    <w:p w14:paraId="32D556C1" w14:textId="6AA6FB3E" w:rsidR="00D3644F" w:rsidRPr="00DE05C9" w:rsidRDefault="00031AB4" w:rsidP="00DE05C9">
      <w:pPr>
        <w:pStyle w:val="BodyA"/>
        <w:spacing w:line="240" w:lineRule="auto"/>
        <w:ind w:left="180" w:hanging="180"/>
        <w:jc w:val="both"/>
        <w:rPr>
          <w:rFonts w:cs="Times New Roman"/>
          <w:b/>
          <w:color w:val="000000" w:themeColor="text1"/>
          <w:sz w:val="24"/>
          <w:szCs w:val="24"/>
        </w:rPr>
      </w:pPr>
      <w:r w:rsidRPr="00DE05C9">
        <w:rPr>
          <w:rFonts w:cs="Times New Roman"/>
          <w:b/>
          <w:color w:val="000000" w:themeColor="text1"/>
          <w:sz w:val="24"/>
          <w:szCs w:val="24"/>
        </w:rPr>
        <w:t xml:space="preserve">I. </w:t>
      </w:r>
      <w:r w:rsidR="006F2481" w:rsidRPr="00DE05C9">
        <w:rPr>
          <w:rFonts w:cs="Times New Roman"/>
          <w:b/>
          <w:color w:val="000000" w:themeColor="text1"/>
          <w:sz w:val="24"/>
          <w:szCs w:val="24"/>
        </w:rPr>
        <w:t>States Parties Must End Criminalization of Victims of Sex Trafficking, Provide Access t</w:t>
      </w:r>
      <w:r w:rsidRPr="00DE05C9">
        <w:rPr>
          <w:rFonts w:cs="Times New Roman"/>
          <w:b/>
          <w:color w:val="000000" w:themeColor="text1"/>
          <w:sz w:val="24"/>
          <w:szCs w:val="24"/>
        </w:rPr>
        <w:t>o</w:t>
      </w:r>
      <w:r w:rsidR="0023321C" w:rsidRPr="00DE05C9">
        <w:rPr>
          <w:rFonts w:cs="Times New Roman"/>
          <w:b/>
          <w:color w:val="000000" w:themeColor="text1"/>
          <w:sz w:val="24"/>
          <w:szCs w:val="24"/>
        </w:rPr>
        <w:t xml:space="preserve"> </w:t>
      </w:r>
      <w:r w:rsidR="0023321C" w:rsidRPr="00DE05C9">
        <w:rPr>
          <w:rFonts w:cs="Times New Roman"/>
          <w:b/>
          <w:color w:val="000000" w:themeColor="text1"/>
          <w:sz w:val="24"/>
          <w:szCs w:val="24"/>
        </w:rPr>
        <w:br/>
      </w:r>
      <w:r w:rsidR="006F2481" w:rsidRPr="00DE05C9">
        <w:rPr>
          <w:rFonts w:cs="Times New Roman"/>
          <w:b/>
          <w:color w:val="000000" w:themeColor="text1"/>
          <w:sz w:val="24"/>
          <w:szCs w:val="24"/>
        </w:rPr>
        <w:t xml:space="preserve">Comprehensive Legal Options to Remedy Previous Criminalization, and Identify </w:t>
      </w:r>
      <w:r w:rsidR="009C12F1" w:rsidRPr="00DE05C9">
        <w:rPr>
          <w:rFonts w:cs="Times New Roman"/>
          <w:b/>
          <w:color w:val="000000" w:themeColor="text1"/>
          <w:sz w:val="24"/>
          <w:szCs w:val="24"/>
        </w:rPr>
        <w:t xml:space="preserve">  </w:t>
      </w:r>
      <w:r w:rsidR="006F2481" w:rsidRPr="00DE05C9">
        <w:rPr>
          <w:rFonts w:cs="Times New Roman"/>
          <w:b/>
          <w:color w:val="000000" w:themeColor="text1"/>
          <w:sz w:val="24"/>
          <w:szCs w:val="24"/>
        </w:rPr>
        <w:t>Trafficked Women and Girls within Criminal Systems</w:t>
      </w:r>
    </w:p>
    <w:p w14:paraId="266D5390" w14:textId="77777777" w:rsidR="00DE05C9" w:rsidRPr="00DE05C9" w:rsidRDefault="00DE05C9" w:rsidP="00DE05C9">
      <w:pPr>
        <w:pStyle w:val="BodyA"/>
        <w:spacing w:line="240" w:lineRule="auto"/>
        <w:ind w:left="180" w:hanging="180"/>
        <w:jc w:val="both"/>
        <w:rPr>
          <w:rFonts w:cs="Times New Roman"/>
          <w:b/>
          <w:color w:val="000000" w:themeColor="text1"/>
          <w:sz w:val="24"/>
          <w:szCs w:val="24"/>
        </w:rPr>
      </w:pPr>
    </w:p>
    <w:p w14:paraId="16F897FB" w14:textId="1308F370" w:rsidR="00DE05C9" w:rsidRPr="00DE05C9" w:rsidRDefault="006F2481" w:rsidP="00DE05C9">
      <w:pPr>
        <w:pStyle w:val="BodyA"/>
        <w:spacing w:line="240" w:lineRule="auto"/>
        <w:jc w:val="both"/>
        <w:rPr>
          <w:rFonts w:cs="Times New Roman"/>
          <w:color w:val="000000" w:themeColor="text1"/>
          <w:sz w:val="24"/>
          <w:szCs w:val="24"/>
        </w:rPr>
      </w:pPr>
      <w:r w:rsidRPr="00DE05C9">
        <w:rPr>
          <w:rFonts w:cs="Times New Roman"/>
          <w:color w:val="000000" w:themeColor="text1"/>
          <w:sz w:val="24"/>
          <w:szCs w:val="24"/>
        </w:rPr>
        <w:t>States, including the</w:t>
      </w:r>
      <w:r w:rsidR="00CB57B8" w:rsidRPr="00DE05C9">
        <w:rPr>
          <w:rFonts w:cs="Times New Roman"/>
          <w:color w:val="000000" w:themeColor="text1"/>
          <w:sz w:val="24"/>
          <w:szCs w:val="24"/>
        </w:rPr>
        <w:t xml:space="preserve"> United States</w:t>
      </w:r>
      <w:r w:rsidRPr="00DE05C9">
        <w:rPr>
          <w:rFonts w:cs="Times New Roman"/>
          <w:color w:val="000000" w:themeColor="text1"/>
          <w:sz w:val="24"/>
          <w:szCs w:val="24"/>
        </w:rPr>
        <w:t>, regularly prosecute and criminalize the victims of sex trafficking for crimes they commit due to force or other coercion imposed by the trafficker and as a direct result of the trafficking suffered.</w:t>
      </w:r>
      <w:r w:rsidRPr="00DE05C9">
        <w:rPr>
          <w:rStyle w:val="FootnoteReference"/>
          <w:rFonts w:cs="Times New Roman"/>
          <w:color w:val="000000" w:themeColor="text1"/>
          <w:sz w:val="24"/>
          <w:szCs w:val="24"/>
        </w:rPr>
        <w:footnoteReference w:id="3"/>
      </w:r>
      <w:r w:rsidRPr="00DE05C9">
        <w:rPr>
          <w:rFonts w:cs="Times New Roman"/>
          <w:color w:val="000000" w:themeColor="text1"/>
          <w:sz w:val="24"/>
          <w:szCs w:val="24"/>
        </w:rPr>
        <w:t xml:space="preserve"> This focused criminalization of victims allows perpetrators to continue operating unfettered, while perpetuating the continued victimization and/or revictimization of survivors. States must focus on providing adequate access to the legal justice system and services to survivors, while focusing their criminal prosecutions on the traffickers, the true perpetrators of trafficking crimes.</w:t>
      </w:r>
    </w:p>
    <w:p w14:paraId="7E1E98B1" w14:textId="77777777" w:rsidR="00DE05C9" w:rsidRPr="00DE05C9" w:rsidRDefault="00DE05C9" w:rsidP="00DE05C9">
      <w:pPr>
        <w:pStyle w:val="BodyA"/>
        <w:spacing w:line="240" w:lineRule="auto"/>
        <w:jc w:val="both"/>
        <w:rPr>
          <w:rFonts w:cs="Times New Roman"/>
          <w:color w:val="000000" w:themeColor="text1"/>
          <w:sz w:val="24"/>
          <w:szCs w:val="24"/>
        </w:rPr>
      </w:pPr>
    </w:p>
    <w:p w14:paraId="3D30A0A1" w14:textId="44BDFB68" w:rsidR="00D3644F" w:rsidRPr="00DE05C9" w:rsidRDefault="00A32ECB" w:rsidP="00DE05C9">
      <w:pPr>
        <w:pStyle w:val="BodyA"/>
        <w:spacing w:line="240" w:lineRule="auto"/>
        <w:jc w:val="both"/>
        <w:rPr>
          <w:rFonts w:cs="Times New Roman"/>
          <w:b/>
          <w:color w:val="000000" w:themeColor="text1"/>
          <w:sz w:val="24"/>
          <w:szCs w:val="24"/>
        </w:rPr>
      </w:pPr>
      <w:r w:rsidRPr="00DE05C9">
        <w:rPr>
          <w:rFonts w:cs="Times New Roman"/>
          <w:b/>
          <w:color w:val="000000" w:themeColor="text1"/>
          <w:sz w:val="24"/>
          <w:szCs w:val="24"/>
        </w:rPr>
        <w:lastRenderedPageBreak/>
        <w:t xml:space="preserve">A. </w:t>
      </w:r>
      <w:r w:rsidR="006F2481" w:rsidRPr="00DE05C9">
        <w:rPr>
          <w:rFonts w:cs="Times New Roman"/>
          <w:b/>
          <w:color w:val="000000" w:themeColor="text1"/>
          <w:sz w:val="24"/>
          <w:szCs w:val="24"/>
        </w:rPr>
        <w:t>Criminalization of Victims of Sex Trafficking</w:t>
      </w:r>
    </w:p>
    <w:p w14:paraId="47629E8C" w14:textId="77777777" w:rsidR="00DE05C9" w:rsidRPr="00DE05C9" w:rsidRDefault="00DE05C9" w:rsidP="00DE05C9">
      <w:pPr>
        <w:pStyle w:val="BodyA"/>
        <w:spacing w:line="240" w:lineRule="auto"/>
        <w:jc w:val="both"/>
        <w:rPr>
          <w:rFonts w:cs="Times New Roman"/>
          <w:b/>
          <w:color w:val="000000" w:themeColor="text1"/>
          <w:sz w:val="24"/>
          <w:szCs w:val="24"/>
        </w:rPr>
      </w:pPr>
    </w:p>
    <w:p w14:paraId="0D8F0CB2" w14:textId="77777777" w:rsidR="00D3644F" w:rsidRPr="00DE05C9" w:rsidRDefault="006F2481" w:rsidP="00DE05C9">
      <w:pPr>
        <w:pStyle w:val="BodyA"/>
        <w:spacing w:line="240" w:lineRule="auto"/>
        <w:jc w:val="both"/>
        <w:rPr>
          <w:rFonts w:cs="Times New Roman"/>
          <w:color w:val="000000" w:themeColor="text1"/>
          <w:sz w:val="24"/>
          <w:szCs w:val="24"/>
        </w:rPr>
      </w:pPr>
      <w:r w:rsidRPr="00DE05C9">
        <w:rPr>
          <w:rStyle w:val="None"/>
          <w:rFonts w:cs="Times New Roman"/>
          <w:color w:val="000000" w:themeColor="text1"/>
          <w:sz w:val="24"/>
          <w:szCs w:val="24"/>
        </w:rPr>
        <w:t>In its Concept Note, the Committee recognizes that “some survivors may be prosecuted for migration offences such as unauthorized departure or other offences resulting from being trafficked, including irregular entry into a country and overstay of visas …” and specifically calls out “the link between women’s limited access to justice and the high levels of impunity enjoyed by perpetrators of trafficking.”</w:t>
      </w:r>
      <w:r w:rsidRPr="00DE05C9">
        <w:rPr>
          <w:rStyle w:val="None"/>
          <w:rFonts w:cs="Times New Roman"/>
          <w:color w:val="000000" w:themeColor="text1"/>
          <w:sz w:val="24"/>
          <w:szCs w:val="24"/>
          <w:vertAlign w:val="superscript"/>
        </w:rPr>
        <w:footnoteReference w:id="4"/>
      </w:r>
      <w:r w:rsidRPr="00DE05C9">
        <w:rPr>
          <w:rStyle w:val="None"/>
          <w:rFonts w:cs="Times New Roman"/>
          <w:color w:val="000000" w:themeColor="text1"/>
          <w:sz w:val="24"/>
          <w:szCs w:val="24"/>
        </w:rPr>
        <w:t xml:space="preserve"> Human traffickers use force, threats, or coercion to manipulate the women and girls they sexually traffic into carrying out acts that, on their own, constitute crimes in many countries. In fact, the mere participation in selling sex constitutes a crime in most parts of the United States and many other countries. As a result, trafficked women and girls regularly face prosecution for prostitution and related crimes.</w:t>
      </w:r>
      <w:r w:rsidRPr="00DE05C9">
        <w:rPr>
          <w:rStyle w:val="None"/>
          <w:rFonts w:cs="Times New Roman"/>
          <w:color w:val="000000" w:themeColor="text1"/>
          <w:sz w:val="24"/>
          <w:szCs w:val="24"/>
          <w:vertAlign w:val="superscript"/>
        </w:rPr>
        <w:footnoteReference w:id="5"/>
      </w:r>
      <w:r w:rsidRPr="00DE05C9">
        <w:rPr>
          <w:rStyle w:val="None"/>
          <w:rFonts w:cs="Times New Roman"/>
          <w:color w:val="000000" w:themeColor="text1"/>
          <w:sz w:val="24"/>
          <w:szCs w:val="24"/>
        </w:rPr>
        <w:t xml:space="preserve">  Uncertain immigration status or lack of proper immigration documentation compounds this issue, as the threat of prosecution for immigration-related offenses and ultimately deportation also hangs over undocumented women and girls.  This direct prosecution of victims perpetuates continued victimization and/or </w:t>
      </w:r>
      <w:r w:rsidRPr="00DE05C9">
        <w:rPr>
          <w:rStyle w:val="None"/>
          <w:rFonts w:cs="Times New Roman"/>
          <w:color w:val="000000" w:themeColor="text1"/>
          <w:sz w:val="24"/>
          <w:szCs w:val="24"/>
        </w:rPr>
        <w:lastRenderedPageBreak/>
        <w:t>revictimization and impedes victims’ access to remedies — as they fear exposing their own “</w:t>
      </w:r>
      <w:r w:rsidRPr="00DE05C9">
        <w:rPr>
          <w:rStyle w:val="None"/>
          <w:rFonts w:cs="Times New Roman"/>
          <w:color w:val="000000" w:themeColor="text1"/>
          <w:sz w:val="24"/>
          <w:szCs w:val="24"/>
          <w:lang w:val="pt-PT"/>
        </w:rPr>
        <w:t>crimes</w:t>
      </w:r>
      <w:r w:rsidRPr="00DE05C9">
        <w:rPr>
          <w:rStyle w:val="None"/>
          <w:rFonts w:cs="Times New Roman"/>
          <w:color w:val="000000" w:themeColor="text1"/>
          <w:sz w:val="24"/>
          <w:szCs w:val="24"/>
        </w:rPr>
        <w:t>” if they come forward for assistance — while allowing perpetrators to continue operating with impunity.</w:t>
      </w:r>
    </w:p>
    <w:p w14:paraId="43E6B1BA" w14:textId="353F328E" w:rsidR="00D3644F" w:rsidRPr="00DE05C9" w:rsidRDefault="006F2481" w:rsidP="00DE05C9">
      <w:pPr>
        <w:pStyle w:val="BodyA"/>
        <w:spacing w:line="240" w:lineRule="auto"/>
        <w:jc w:val="both"/>
        <w:rPr>
          <w:rFonts w:cs="Times New Roman"/>
          <w:color w:val="000000" w:themeColor="text1"/>
          <w:sz w:val="24"/>
          <w:szCs w:val="24"/>
        </w:rPr>
      </w:pPr>
      <w:r w:rsidRPr="00DE05C9">
        <w:rPr>
          <w:rFonts w:cs="Times New Roman"/>
          <w:color w:val="000000" w:themeColor="text1"/>
          <w:sz w:val="24"/>
          <w:szCs w:val="24"/>
        </w:rPr>
        <w:t>In the U</w:t>
      </w:r>
      <w:r w:rsidR="00C448D6" w:rsidRPr="00DE05C9">
        <w:rPr>
          <w:rFonts w:cs="Times New Roman"/>
          <w:color w:val="000000" w:themeColor="text1"/>
          <w:sz w:val="24"/>
          <w:szCs w:val="24"/>
        </w:rPr>
        <w:t>nited States</w:t>
      </w:r>
      <w:r w:rsidRPr="00DE05C9">
        <w:rPr>
          <w:rFonts w:cs="Times New Roman"/>
          <w:color w:val="000000" w:themeColor="text1"/>
          <w:sz w:val="24"/>
          <w:szCs w:val="24"/>
        </w:rPr>
        <w:t xml:space="preserve">, when women or girls are arrested for these offenses, their traffickers often pay for their bail bond and legal representation in court, which furthers the trafficker’s control over their victims and their ability to coerce these women. Because these women now have a criminal charge on their record, they become further tied to their trafficker, since these criminal charges limit their ability to be self-sufficient. They cannot find housing, employment, or other opportunities due to their criminal history. Women and girls who are trafficked across borders face not only these limitations on self-sufficiency by the criminalization of their forced actions, but also fear criminalization of their status as undocumented migrants, facing prosecution for immigration-related offenses and ultimately deportation. The prosecution of women who are sexually trafficked does nothing but perpetuate their victimization. </w:t>
      </w:r>
    </w:p>
    <w:p w14:paraId="5483383E" w14:textId="77777777" w:rsidR="00DE05C9" w:rsidRPr="00DE05C9" w:rsidRDefault="00DE05C9" w:rsidP="00DE05C9">
      <w:pPr>
        <w:pStyle w:val="BodyA"/>
        <w:spacing w:line="240" w:lineRule="auto"/>
        <w:jc w:val="both"/>
        <w:rPr>
          <w:rFonts w:cs="Times New Roman"/>
          <w:color w:val="000000" w:themeColor="text1"/>
          <w:sz w:val="24"/>
          <w:szCs w:val="24"/>
        </w:rPr>
      </w:pPr>
    </w:p>
    <w:p w14:paraId="043CF4BB" w14:textId="7FD9B098" w:rsidR="00D3644F" w:rsidRPr="00DE05C9" w:rsidRDefault="007B3DD5" w:rsidP="00DE05C9">
      <w:pPr>
        <w:pStyle w:val="BodyA"/>
        <w:spacing w:line="240" w:lineRule="auto"/>
        <w:ind w:left="360" w:hanging="360"/>
        <w:jc w:val="both"/>
        <w:rPr>
          <w:rFonts w:cs="Times New Roman"/>
          <w:b/>
          <w:color w:val="000000" w:themeColor="text1"/>
          <w:sz w:val="24"/>
          <w:szCs w:val="24"/>
        </w:rPr>
      </w:pPr>
      <w:r w:rsidRPr="00DE05C9">
        <w:rPr>
          <w:rFonts w:cs="Times New Roman"/>
          <w:b/>
          <w:color w:val="000000" w:themeColor="text1"/>
          <w:sz w:val="24"/>
          <w:szCs w:val="24"/>
        </w:rPr>
        <w:t xml:space="preserve">B. </w:t>
      </w:r>
      <w:r w:rsidR="006F2481" w:rsidRPr="00DE05C9">
        <w:rPr>
          <w:rFonts w:cs="Times New Roman"/>
          <w:b/>
          <w:color w:val="000000" w:themeColor="text1"/>
          <w:sz w:val="24"/>
          <w:szCs w:val="24"/>
        </w:rPr>
        <w:t>Recent Developments in the U</w:t>
      </w:r>
      <w:r w:rsidR="0068462A" w:rsidRPr="00DE05C9">
        <w:rPr>
          <w:rFonts w:cs="Times New Roman"/>
          <w:b/>
          <w:color w:val="000000" w:themeColor="text1"/>
          <w:sz w:val="24"/>
          <w:szCs w:val="24"/>
        </w:rPr>
        <w:t>nited States</w:t>
      </w:r>
      <w:r w:rsidR="006F2481" w:rsidRPr="00DE05C9">
        <w:rPr>
          <w:rFonts w:cs="Times New Roman"/>
          <w:b/>
          <w:color w:val="000000" w:themeColor="text1"/>
          <w:sz w:val="24"/>
          <w:szCs w:val="24"/>
        </w:rPr>
        <w:t>, Illinois, and Chicago to Address</w:t>
      </w:r>
      <w:r w:rsidRPr="00DE05C9">
        <w:rPr>
          <w:rFonts w:cs="Times New Roman"/>
          <w:b/>
          <w:color w:val="000000" w:themeColor="text1"/>
          <w:sz w:val="24"/>
          <w:szCs w:val="24"/>
        </w:rPr>
        <w:t xml:space="preserve"> </w:t>
      </w:r>
      <w:r w:rsidRPr="00DE05C9">
        <w:rPr>
          <w:rFonts w:cs="Times New Roman"/>
          <w:b/>
          <w:color w:val="000000" w:themeColor="text1"/>
          <w:sz w:val="24"/>
          <w:szCs w:val="24"/>
        </w:rPr>
        <w:br/>
        <w:t xml:space="preserve"> </w:t>
      </w:r>
      <w:r w:rsidR="00DE05C9" w:rsidRPr="00DE05C9">
        <w:rPr>
          <w:rFonts w:cs="Times New Roman"/>
          <w:b/>
          <w:color w:val="000000" w:themeColor="text1"/>
          <w:sz w:val="24"/>
          <w:szCs w:val="24"/>
        </w:rPr>
        <w:t>Criminalization of Victims</w:t>
      </w:r>
    </w:p>
    <w:p w14:paraId="5D58C0DC" w14:textId="77777777" w:rsidR="00DE05C9" w:rsidRPr="00DE05C9" w:rsidRDefault="00DE05C9" w:rsidP="00DE05C9">
      <w:pPr>
        <w:pStyle w:val="BodyA"/>
        <w:spacing w:line="240" w:lineRule="auto"/>
        <w:ind w:left="360" w:hanging="360"/>
        <w:jc w:val="both"/>
        <w:rPr>
          <w:rFonts w:cs="Times New Roman"/>
          <w:b/>
          <w:color w:val="000000" w:themeColor="text1"/>
          <w:sz w:val="24"/>
          <w:szCs w:val="24"/>
        </w:rPr>
      </w:pPr>
    </w:p>
    <w:p w14:paraId="31855A57" w14:textId="7BEB1EAF" w:rsidR="00D3644F" w:rsidRPr="00DE05C9" w:rsidRDefault="006F2481" w:rsidP="00DE05C9">
      <w:pPr>
        <w:pStyle w:val="BodyA"/>
        <w:spacing w:line="240" w:lineRule="auto"/>
        <w:jc w:val="both"/>
        <w:rPr>
          <w:rFonts w:cs="Times New Roman"/>
          <w:color w:val="000000" w:themeColor="text1"/>
          <w:sz w:val="24"/>
          <w:szCs w:val="24"/>
        </w:rPr>
      </w:pPr>
      <w:r w:rsidRPr="00DE05C9">
        <w:rPr>
          <w:rFonts w:cs="Times New Roman"/>
          <w:color w:val="000000" w:themeColor="text1"/>
          <w:sz w:val="24"/>
          <w:szCs w:val="24"/>
        </w:rPr>
        <w:t xml:space="preserve">As organizations focused on the provision of legal services and law-related policy, CAASE and CIHR have chosen to focus this section on the need for assistance and services to victims of sex trafficking within the legal system, particularly the criminal justice system. States’ provision of comprehensive, survivor-centered services must include both short-term and long-term supports in their legal systems to trafficking survivors in </w:t>
      </w:r>
      <w:r w:rsidRPr="00DE05C9">
        <w:rPr>
          <w:rFonts w:cs="Times New Roman"/>
          <w:color w:val="000000" w:themeColor="text1"/>
          <w:sz w:val="24"/>
          <w:szCs w:val="24"/>
        </w:rPr>
        <w:lastRenderedPageBreak/>
        <w:t xml:space="preserve">order to keep women and girls from remaining in a cycle of trafficking. This legal system assistance must include: recognition of juvenile victims as inherent victims of trafficking; provision of alternative programs within the criminal justice system for women victims; and remedies and relief for victims saddled with criminal records for “crimes” they committed as a direct result of their trafficking. </w:t>
      </w:r>
    </w:p>
    <w:p w14:paraId="060516B7" w14:textId="77777777" w:rsidR="00DE05C9" w:rsidRPr="00DE05C9" w:rsidRDefault="00DE05C9" w:rsidP="00DE05C9">
      <w:pPr>
        <w:pStyle w:val="BodyA"/>
        <w:spacing w:line="240" w:lineRule="auto"/>
        <w:jc w:val="both"/>
        <w:rPr>
          <w:rFonts w:cs="Times New Roman"/>
          <w:color w:val="000000" w:themeColor="text1"/>
          <w:sz w:val="24"/>
          <w:szCs w:val="24"/>
        </w:rPr>
      </w:pPr>
    </w:p>
    <w:p w14:paraId="63E77C1E" w14:textId="4BB67EFF" w:rsidR="00D3644F" w:rsidRPr="00DE05C9" w:rsidRDefault="00F4756F" w:rsidP="00DE05C9">
      <w:pPr>
        <w:pStyle w:val="BodyA"/>
        <w:spacing w:line="240" w:lineRule="auto"/>
        <w:jc w:val="both"/>
        <w:rPr>
          <w:rFonts w:cs="Times New Roman"/>
          <w:b/>
          <w:color w:val="000000" w:themeColor="text1"/>
          <w:sz w:val="24"/>
          <w:szCs w:val="24"/>
        </w:rPr>
      </w:pPr>
      <w:r w:rsidRPr="00DE05C9">
        <w:rPr>
          <w:rFonts w:cs="Times New Roman"/>
          <w:b/>
          <w:color w:val="000000" w:themeColor="text1"/>
          <w:sz w:val="24"/>
          <w:szCs w:val="24"/>
        </w:rPr>
        <w:t xml:space="preserve">1. </w:t>
      </w:r>
      <w:r w:rsidR="006F2481" w:rsidRPr="00DE05C9">
        <w:rPr>
          <w:rFonts w:cs="Times New Roman"/>
          <w:b/>
          <w:color w:val="000000" w:themeColor="text1"/>
          <w:sz w:val="24"/>
          <w:szCs w:val="24"/>
        </w:rPr>
        <w:t>Ending Criminalization of Juvenile Victims</w:t>
      </w:r>
    </w:p>
    <w:p w14:paraId="3332E1F1" w14:textId="77777777" w:rsidR="00DE05C9" w:rsidRPr="00DE05C9" w:rsidRDefault="00DE05C9" w:rsidP="00DE05C9">
      <w:pPr>
        <w:pStyle w:val="BodyA"/>
        <w:spacing w:line="240" w:lineRule="auto"/>
        <w:jc w:val="both"/>
        <w:rPr>
          <w:rFonts w:cs="Times New Roman"/>
          <w:b/>
          <w:color w:val="000000" w:themeColor="text1"/>
          <w:sz w:val="24"/>
          <w:szCs w:val="24"/>
        </w:rPr>
      </w:pPr>
    </w:p>
    <w:p w14:paraId="429173CC" w14:textId="77777777" w:rsidR="00D3644F" w:rsidRPr="00DE05C9" w:rsidRDefault="006F2481" w:rsidP="00DE05C9">
      <w:pPr>
        <w:pStyle w:val="BodyA"/>
        <w:spacing w:line="240" w:lineRule="auto"/>
        <w:jc w:val="both"/>
        <w:rPr>
          <w:rFonts w:cs="Times New Roman"/>
          <w:color w:val="000000" w:themeColor="text1"/>
          <w:sz w:val="24"/>
          <w:szCs w:val="24"/>
        </w:rPr>
      </w:pPr>
      <w:r w:rsidRPr="00DE05C9">
        <w:rPr>
          <w:rStyle w:val="None"/>
          <w:rFonts w:cs="Times New Roman"/>
          <w:color w:val="000000" w:themeColor="text1"/>
          <w:sz w:val="24"/>
          <w:szCs w:val="24"/>
        </w:rPr>
        <w:t>In the United States, thirty-four states have “safe harbor” laws in place to avoid prosecuting juvenile trafficking victims — those under the age of 18 — for prostitution offenses.</w:t>
      </w:r>
      <w:r w:rsidRPr="00DE05C9">
        <w:rPr>
          <w:rStyle w:val="None"/>
          <w:rFonts w:cs="Times New Roman"/>
          <w:color w:val="000000" w:themeColor="text1"/>
          <w:sz w:val="24"/>
          <w:szCs w:val="24"/>
          <w:vertAlign w:val="superscript"/>
        </w:rPr>
        <w:footnoteReference w:id="6"/>
      </w:r>
      <w:r w:rsidRPr="00DE05C9">
        <w:rPr>
          <w:rStyle w:val="None"/>
          <w:rFonts w:cs="Times New Roman"/>
          <w:color w:val="000000" w:themeColor="text1"/>
          <w:sz w:val="24"/>
          <w:szCs w:val="24"/>
        </w:rPr>
        <w:t xml:space="preserve"> These safe harbor laws generally contain three components: (1) decriminalization of juvenile victims found to be participating in prostitution; (2) diversion from the official criminal justice system; and (3) provision of</w:t>
      </w:r>
      <w:r w:rsidRPr="00DE05C9">
        <w:rPr>
          <w:rStyle w:val="None"/>
          <w:rFonts w:cs="Times New Roman"/>
          <w:color w:val="000000" w:themeColor="text1"/>
          <w:sz w:val="24"/>
          <w:szCs w:val="24"/>
          <w:lang w:val="pt-PT"/>
        </w:rPr>
        <w:t xml:space="preserve"> social services. </w:t>
      </w:r>
    </w:p>
    <w:p w14:paraId="61143E56" w14:textId="77777777" w:rsidR="00D3644F" w:rsidRPr="00DE05C9" w:rsidRDefault="00D3644F" w:rsidP="00DE05C9">
      <w:pPr>
        <w:pStyle w:val="BodyA"/>
        <w:spacing w:line="240" w:lineRule="auto"/>
        <w:jc w:val="both"/>
        <w:rPr>
          <w:rFonts w:cs="Times New Roman"/>
          <w:color w:val="000000" w:themeColor="text1"/>
          <w:sz w:val="24"/>
          <w:szCs w:val="24"/>
        </w:rPr>
      </w:pPr>
    </w:p>
    <w:p w14:paraId="60A8524A" w14:textId="733ED90B" w:rsidR="00D3644F" w:rsidRPr="00DE05C9" w:rsidRDefault="006F2481" w:rsidP="00DE05C9">
      <w:pPr>
        <w:pStyle w:val="BodyA"/>
        <w:spacing w:line="240" w:lineRule="auto"/>
        <w:jc w:val="both"/>
        <w:rPr>
          <w:rFonts w:cs="Times New Roman"/>
          <w:color w:val="000000" w:themeColor="text1"/>
          <w:sz w:val="24"/>
          <w:szCs w:val="24"/>
        </w:rPr>
      </w:pPr>
      <w:r w:rsidRPr="00DE05C9">
        <w:rPr>
          <w:rStyle w:val="None"/>
          <w:rFonts w:cs="Times New Roman"/>
          <w:color w:val="000000" w:themeColor="text1"/>
          <w:sz w:val="24"/>
          <w:szCs w:val="24"/>
        </w:rPr>
        <w:t>The Illinois Safe Children Act</w:t>
      </w:r>
      <w:r w:rsidRPr="00DE05C9">
        <w:rPr>
          <w:rStyle w:val="None"/>
          <w:rFonts w:cs="Times New Roman"/>
          <w:color w:val="000000" w:themeColor="text1"/>
          <w:sz w:val="24"/>
          <w:szCs w:val="24"/>
          <w:vertAlign w:val="superscript"/>
        </w:rPr>
        <w:footnoteReference w:id="7"/>
      </w:r>
      <w:r w:rsidRPr="00DE05C9">
        <w:rPr>
          <w:rStyle w:val="None"/>
          <w:rFonts w:cs="Times New Roman"/>
          <w:color w:val="000000" w:themeColor="text1"/>
          <w:sz w:val="24"/>
          <w:szCs w:val="24"/>
        </w:rPr>
        <w:t xml:space="preserve"> provides immunity from criminal charges and prosecution for juveniles found to be engaging in prostitution. The law recognizes that children </w:t>
      </w:r>
      <w:r w:rsidRPr="00DE05C9">
        <w:rPr>
          <w:rStyle w:val="None"/>
          <w:rFonts w:cs="Times New Roman"/>
          <w:color w:val="000000" w:themeColor="text1"/>
          <w:sz w:val="24"/>
          <w:szCs w:val="24"/>
        </w:rPr>
        <w:lastRenderedPageBreak/>
        <w:t>cannot be classified as criminals engaging in prostitution but rather must be seen as victims of sexual exploitation, as defined under U</w:t>
      </w:r>
      <w:r w:rsidR="0068462A" w:rsidRPr="00DE05C9">
        <w:rPr>
          <w:rStyle w:val="None"/>
          <w:rFonts w:cs="Times New Roman"/>
          <w:color w:val="000000" w:themeColor="text1"/>
          <w:sz w:val="24"/>
          <w:szCs w:val="24"/>
        </w:rPr>
        <w:t>nited States</w:t>
      </w:r>
      <w:r w:rsidRPr="00DE05C9">
        <w:rPr>
          <w:rStyle w:val="None"/>
          <w:rFonts w:cs="Times New Roman"/>
          <w:color w:val="000000" w:themeColor="text1"/>
          <w:sz w:val="24"/>
          <w:szCs w:val="24"/>
        </w:rPr>
        <w:t xml:space="preserve"> federal law.</w:t>
      </w:r>
      <w:r w:rsidRPr="00DE05C9">
        <w:rPr>
          <w:rStyle w:val="None"/>
          <w:rFonts w:cs="Times New Roman"/>
          <w:color w:val="000000" w:themeColor="text1"/>
          <w:sz w:val="24"/>
          <w:szCs w:val="24"/>
          <w:vertAlign w:val="superscript"/>
        </w:rPr>
        <w:footnoteReference w:id="8"/>
      </w:r>
      <w:r w:rsidRPr="00DE05C9">
        <w:rPr>
          <w:rStyle w:val="None"/>
          <w:rFonts w:cs="Times New Roman"/>
          <w:color w:val="000000" w:themeColor="text1"/>
          <w:sz w:val="24"/>
          <w:szCs w:val="24"/>
        </w:rPr>
        <w:t xml:space="preserve"> Under the Safe Children Act, law enforcement officers must refer children found to be engaging in prostitution to the state’s child welfare agency — the </w:t>
      </w:r>
      <w:r w:rsidR="00AE2791" w:rsidRPr="00DE05C9">
        <w:rPr>
          <w:rStyle w:val="None"/>
          <w:rFonts w:cs="Times New Roman"/>
          <w:color w:val="000000" w:themeColor="text1"/>
          <w:sz w:val="24"/>
          <w:szCs w:val="24"/>
        </w:rPr>
        <w:t xml:space="preserve">Illinois </w:t>
      </w:r>
      <w:r w:rsidRPr="00DE05C9">
        <w:rPr>
          <w:rStyle w:val="None"/>
          <w:rFonts w:cs="Times New Roman"/>
          <w:color w:val="000000" w:themeColor="text1"/>
          <w:sz w:val="24"/>
          <w:szCs w:val="24"/>
        </w:rPr>
        <w:t>Department of Children and Family Services (DCFS) — so that these children may be treated as sex trafficking victims, rather than criminals, and provided appropriate social services. Acknowledging a girl’s status as a victim rather than a juvenile delinquent moves the focus of her care by the State away from punishment and discipline to rehabilitation and recovery from the trauma brought on by trafficking and her lack of control over these actions. This decriminalization of juvenile victims also helps to enforce laws against traffickers because these perpetrators are automatically identified as the only culpable parties in these</w:t>
      </w:r>
      <w:r w:rsidRPr="000871D4">
        <w:rPr>
          <w:rStyle w:val="None"/>
          <w:rFonts w:cs="Times New Roman"/>
          <w:color w:val="000000" w:themeColor="text1"/>
          <w:sz w:val="24"/>
          <w:szCs w:val="24"/>
          <w:lang w:val="en-GB"/>
        </w:rPr>
        <w:t xml:space="preserve"> situation</w:t>
      </w:r>
      <w:r w:rsidRPr="00DE05C9">
        <w:rPr>
          <w:rStyle w:val="None"/>
          <w:rFonts w:cs="Times New Roman"/>
          <w:color w:val="000000" w:themeColor="text1"/>
          <w:sz w:val="24"/>
          <w:szCs w:val="24"/>
        </w:rPr>
        <w:t xml:space="preserve">s. </w:t>
      </w:r>
    </w:p>
    <w:p w14:paraId="3469D40C" w14:textId="77777777" w:rsidR="00D3644F" w:rsidRPr="00DE05C9" w:rsidRDefault="00D3644F" w:rsidP="00DE05C9">
      <w:pPr>
        <w:pStyle w:val="BodyA"/>
        <w:spacing w:line="240" w:lineRule="auto"/>
        <w:jc w:val="both"/>
        <w:rPr>
          <w:rFonts w:cs="Times New Roman"/>
          <w:color w:val="000000" w:themeColor="text1"/>
          <w:sz w:val="24"/>
          <w:szCs w:val="24"/>
        </w:rPr>
      </w:pPr>
    </w:p>
    <w:p w14:paraId="68A2AE1D" w14:textId="77777777" w:rsidR="00D23F21" w:rsidRPr="00DE05C9" w:rsidRDefault="006F2481" w:rsidP="00DE05C9">
      <w:pPr>
        <w:pStyle w:val="BodyA"/>
        <w:spacing w:line="240" w:lineRule="auto"/>
        <w:jc w:val="both"/>
        <w:rPr>
          <w:rFonts w:cs="Times New Roman"/>
          <w:b/>
          <w:color w:val="000000" w:themeColor="text1"/>
          <w:sz w:val="24"/>
          <w:szCs w:val="24"/>
        </w:rPr>
      </w:pPr>
      <w:r w:rsidRPr="00DE05C9">
        <w:rPr>
          <w:rFonts w:cs="Times New Roman"/>
          <w:b/>
          <w:color w:val="000000" w:themeColor="text1"/>
          <w:sz w:val="24"/>
          <w:szCs w:val="24"/>
        </w:rPr>
        <w:t>2.</w:t>
      </w:r>
      <w:r w:rsidR="00D80B6F" w:rsidRPr="00DE05C9">
        <w:rPr>
          <w:rFonts w:cs="Times New Roman"/>
          <w:b/>
          <w:color w:val="000000" w:themeColor="text1"/>
          <w:sz w:val="24"/>
          <w:szCs w:val="24"/>
        </w:rPr>
        <w:t xml:space="preserve"> </w:t>
      </w:r>
      <w:r w:rsidRPr="00DE05C9">
        <w:rPr>
          <w:rFonts w:cs="Times New Roman"/>
          <w:b/>
          <w:color w:val="000000" w:themeColor="text1"/>
          <w:sz w:val="24"/>
          <w:szCs w:val="24"/>
        </w:rPr>
        <w:t xml:space="preserve">Creating Alternative Programs within the Criminal Justice System to Better Identify and </w:t>
      </w:r>
    </w:p>
    <w:p w14:paraId="171E6F50" w14:textId="2A71BE6A" w:rsidR="00B756EE" w:rsidRPr="00DE05C9" w:rsidRDefault="006F2481" w:rsidP="00DE05C9">
      <w:pPr>
        <w:pStyle w:val="BodyA"/>
        <w:spacing w:line="240" w:lineRule="auto"/>
        <w:ind w:left="270"/>
        <w:jc w:val="both"/>
        <w:rPr>
          <w:rFonts w:cs="Times New Roman"/>
          <w:b/>
          <w:color w:val="000000" w:themeColor="text1"/>
          <w:sz w:val="24"/>
          <w:szCs w:val="24"/>
        </w:rPr>
      </w:pPr>
      <w:r w:rsidRPr="00DE05C9">
        <w:rPr>
          <w:rFonts w:cs="Times New Roman"/>
          <w:b/>
          <w:color w:val="000000" w:themeColor="text1"/>
          <w:sz w:val="24"/>
          <w:szCs w:val="24"/>
        </w:rPr>
        <w:t>Assist Women Trafficking Victims</w:t>
      </w:r>
    </w:p>
    <w:p w14:paraId="5AF8B12A" w14:textId="05A11AFF" w:rsidR="00D3644F" w:rsidRPr="00DE05C9" w:rsidRDefault="00D3644F" w:rsidP="00DE05C9">
      <w:pPr>
        <w:pStyle w:val="BodyA"/>
        <w:spacing w:line="240" w:lineRule="auto"/>
        <w:jc w:val="both"/>
        <w:rPr>
          <w:rFonts w:cs="Times New Roman"/>
          <w:b/>
          <w:color w:val="000000" w:themeColor="text1"/>
          <w:sz w:val="24"/>
          <w:szCs w:val="24"/>
        </w:rPr>
      </w:pPr>
    </w:p>
    <w:p w14:paraId="11B18C2D" w14:textId="77777777" w:rsidR="00D3644F" w:rsidRPr="00DE05C9" w:rsidRDefault="006F2481" w:rsidP="00DE05C9">
      <w:pPr>
        <w:pStyle w:val="BodyA"/>
        <w:spacing w:line="240" w:lineRule="auto"/>
        <w:jc w:val="both"/>
        <w:rPr>
          <w:rFonts w:cs="Times New Roman"/>
          <w:color w:val="000000" w:themeColor="text1"/>
          <w:sz w:val="24"/>
          <w:szCs w:val="24"/>
        </w:rPr>
      </w:pPr>
      <w:r w:rsidRPr="00DE05C9">
        <w:rPr>
          <w:rFonts w:cs="Times New Roman"/>
          <w:color w:val="000000" w:themeColor="text1"/>
          <w:sz w:val="24"/>
          <w:szCs w:val="24"/>
        </w:rPr>
        <w:t>While it remains preferable for victims of trafficking to be identified before they suffer criminal consequences, oftentimes victims remain unknown to the legal system until they are arrested and charged with a crime directly related to the consequences of their traf</w:t>
      </w:r>
      <w:r w:rsidRPr="00DE05C9">
        <w:rPr>
          <w:rFonts w:cs="Times New Roman"/>
          <w:color w:val="000000" w:themeColor="text1"/>
          <w:sz w:val="24"/>
          <w:szCs w:val="24"/>
        </w:rPr>
        <w:lastRenderedPageBreak/>
        <w:t xml:space="preserve">ficking. When this situation occurs, States must provide alternatives to the standard criminal justice system to assist in the identification of victims and ensure they are diverted from criminal consequences to social service assistance. </w:t>
      </w:r>
    </w:p>
    <w:p w14:paraId="635B4DBF" w14:textId="77777777" w:rsidR="00D3644F" w:rsidRPr="00DE05C9" w:rsidRDefault="00D3644F" w:rsidP="00DE05C9">
      <w:pPr>
        <w:pStyle w:val="BodyA"/>
        <w:spacing w:line="240" w:lineRule="auto"/>
        <w:jc w:val="both"/>
        <w:rPr>
          <w:rFonts w:cs="Times New Roman"/>
          <w:color w:val="000000" w:themeColor="text1"/>
          <w:sz w:val="24"/>
          <w:szCs w:val="24"/>
        </w:rPr>
      </w:pPr>
    </w:p>
    <w:p w14:paraId="40C28974" w14:textId="77777777" w:rsidR="00D3644F" w:rsidRPr="00DE05C9" w:rsidRDefault="006F2481" w:rsidP="00DE05C9">
      <w:pPr>
        <w:pStyle w:val="BodyA"/>
        <w:spacing w:line="240" w:lineRule="auto"/>
        <w:jc w:val="both"/>
        <w:rPr>
          <w:rFonts w:cs="Times New Roman"/>
          <w:color w:val="000000" w:themeColor="text1"/>
          <w:sz w:val="24"/>
          <w:szCs w:val="24"/>
        </w:rPr>
      </w:pPr>
      <w:r w:rsidRPr="00DE05C9">
        <w:rPr>
          <w:rFonts w:cs="Times New Roman"/>
          <w:color w:val="000000" w:themeColor="text1"/>
          <w:sz w:val="24"/>
          <w:szCs w:val="24"/>
        </w:rPr>
        <w:t xml:space="preserve">In Chicago, two innovations within the criminal justice system assist officials in identifying sex trafficking victims after they have been charged as criminals: (1) the Chicago Prostitution and Trafficking Intervention Court (CPTI) program and (2) an affirmative defense of trafficking to prostitution charges. </w:t>
      </w:r>
    </w:p>
    <w:p w14:paraId="022004A8" w14:textId="77777777" w:rsidR="00D3644F" w:rsidRPr="00DE05C9" w:rsidRDefault="00D3644F" w:rsidP="00DE05C9">
      <w:pPr>
        <w:pStyle w:val="BodyA"/>
        <w:spacing w:line="240" w:lineRule="auto"/>
        <w:jc w:val="both"/>
        <w:rPr>
          <w:rFonts w:cs="Times New Roman"/>
          <w:color w:val="000000" w:themeColor="text1"/>
          <w:sz w:val="24"/>
          <w:szCs w:val="24"/>
        </w:rPr>
      </w:pPr>
    </w:p>
    <w:p w14:paraId="215F4885" w14:textId="77777777" w:rsidR="00D3644F" w:rsidRPr="00DE05C9" w:rsidRDefault="006F2481" w:rsidP="00DE05C9">
      <w:pPr>
        <w:pStyle w:val="BodyA"/>
        <w:spacing w:line="240" w:lineRule="auto"/>
        <w:jc w:val="both"/>
        <w:rPr>
          <w:rFonts w:cs="Times New Roman"/>
          <w:color w:val="000000" w:themeColor="text1"/>
          <w:sz w:val="24"/>
          <w:szCs w:val="24"/>
        </w:rPr>
      </w:pPr>
      <w:r w:rsidRPr="00DE05C9">
        <w:rPr>
          <w:rFonts w:cs="Times New Roman"/>
          <w:color w:val="000000" w:themeColor="text1"/>
          <w:sz w:val="24"/>
          <w:szCs w:val="24"/>
        </w:rPr>
        <w:t>The CPTI program was created to address misdemeanor prostitution cases; defendants charged with either engaging in prostitution or soliciting a ride or business as a pedestrian qualify for participation in this program.</w:t>
      </w:r>
      <w:r w:rsidRPr="00DE05C9">
        <w:rPr>
          <w:rStyle w:val="FootnoteReference"/>
          <w:rFonts w:eastAsia="Times New Roman" w:cs="Times New Roman"/>
          <w:color w:val="000000" w:themeColor="text1"/>
          <w:sz w:val="24"/>
          <w:szCs w:val="24"/>
        </w:rPr>
        <w:footnoteReference w:id="9"/>
      </w:r>
      <w:r w:rsidRPr="00DE05C9">
        <w:rPr>
          <w:rFonts w:cs="Times New Roman"/>
          <w:color w:val="000000" w:themeColor="text1"/>
          <w:sz w:val="24"/>
          <w:szCs w:val="24"/>
        </w:rPr>
        <w:t xml:space="preserve"> The purpose of CPTI is to provide defendants an opportunity to engage in social services designed to divert them from further participation in prostitution, in exchange for the State dropping criminal charges. Often a defendant merely has to make an attempt to engage in services — such as making an appointment with a social worker — in order to avoid conviction in these cases. While there continue to be a number of issues remaining with the CPTI program (including the lack of trauma-informed social workers to cover all defendants in the system), officials in the program remain hopeful that requiring defendants to engage with social service programs </w:t>
      </w:r>
      <w:r w:rsidRPr="00DE05C9">
        <w:rPr>
          <w:rFonts w:cs="Times New Roman"/>
          <w:color w:val="000000" w:themeColor="text1"/>
          <w:sz w:val="24"/>
          <w:szCs w:val="24"/>
        </w:rPr>
        <w:lastRenderedPageBreak/>
        <w:t>will allow them to self-identify as trafficking victims in need of more comprehensive and holistic assistance to escape the trafficking situation.</w:t>
      </w:r>
    </w:p>
    <w:p w14:paraId="5F6DE597" w14:textId="77777777" w:rsidR="00D3644F" w:rsidRPr="00DE05C9" w:rsidRDefault="00D3644F" w:rsidP="00DE05C9">
      <w:pPr>
        <w:pStyle w:val="BodyA"/>
        <w:spacing w:line="240" w:lineRule="auto"/>
        <w:jc w:val="both"/>
        <w:rPr>
          <w:rFonts w:cs="Times New Roman"/>
          <w:color w:val="000000" w:themeColor="text1"/>
          <w:sz w:val="24"/>
          <w:szCs w:val="24"/>
        </w:rPr>
      </w:pPr>
    </w:p>
    <w:p w14:paraId="160DC972" w14:textId="77777777" w:rsidR="00D3644F" w:rsidRPr="00DE05C9" w:rsidRDefault="006F2481" w:rsidP="00DE05C9">
      <w:pPr>
        <w:pStyle w:val="BodyA"/>
        <w:spacing w:line="240" w:lineRule="auto"/>
        <w:jc w:val="both"/>
        <w:rPr>
          <w:rFonts w:cs="Times New Roman"/>
          <w:color w:val="000000" w:themeColor="text1"/>
          <w:sz w:val="24"/>
          <w:szCs w:val="24"/>
        </w:rPr>
      </w:pPr>
      <w:r w:rsidRPr="00DE05C9">
        <w:rPr>
          <w:rFonts w:cs="Times New Roman"/>
          <w:color w:val="000000" w:themeColor="text1"/>
          <w:sz w:val="24"/>
          <w:szCs w:val="24"/>
        </w:rPr>
        <w:t>In 2015, Illinois passed a law instituting an affirmative defense for persons charged with prostitution, allowing them to show that they engaged in prostitution as a result of human trafficking as defined by state law.</w:t>
      </w:r>
      <w:r w:rsidRPr="00DE05C9">
        <w:rPr>
          <w:rStyle w:val="FootnoteReference"/>
          <w:rFonts w:eastAsia="Times New Roman" w:cs="Times New Roman"/>
          <w:color w:val="000000" w:themeColor="text1"/>
          <w:sz w:val="24"/>
          <w:szCs w:val="24"/>
        </w:rPr>
        <w:footnoteReference w:id="10"/>
      </w:r>
      <w:r w:rsidRPr="00DE05C9">
        <w:rPr>
          <w:rFonts w:cs="Times New Roman"/>
          <w:color w:val="000000" w:themeColor="text1"/>
          <w:sz w:val="24"/>
          <w:szCs w:val="24"/>
        </w:rPr>
        <w:t xml:space="preserve"> This law also creates a procedure for courts to follow if the defendant is concerned about the safety of raising the affirmative defense in open court, where their trafficker or associates may be observing the proceedings. This procedure allows defendants to identify as a trafficking victim directly to the court and prior to being required to engage with social services, also providing more control over how they will proceed in removing themselves from trafficking situations.</w:t>
      </w:r>
    </w:p>
    <w:p w14:paraId="29F5C9FF" w14:textId="679C202E" w:rsidR="00D3644F" w:rsidRPr="00DE05C9" w:rsidRDefault="00D3644F" w:rsidP="00DE05C9">
      <w:pPr>
        <w:pStyle w:val="BodyA"/>
        <w:spacing w:line="240" w:lineRule="auto"/>
        <w:jc w:val="both"/>
        <w:rPr>
          <w:rFonts w:cs="Times New Roman"/>
          <w:color w:val="000000" w:themeColor="text1"/>
          <w:sz w:val="24"/>
          <w:szCs w:val="24"/>
        </w:rPr>
      </w:pPr>
    </w:p>
    <w:p w14:paraId="6B8B7540" w14:textId="77777777" w:rsidR="00DE05C9" w:rsidRPr="00DE05C9" w:rsidRDefault="00DE05C9" w:rsidP="00DE05C9">
      <w:pPr>
        <w:pStyle w:val="BodyA"/>
        <w:spacing w:line="240" w:lineRule="auto"/>
        <w:jc w:val="both"/>
        <w:rPr>
          <w:rFonts w:cs="Times New Roman"/>
          <w:color w:val="000000" w:themeColor="text1"/>
          <w:sz w:val="24"/>
          <w:szCs w:val="24"/>
        </w:rPr>
      </w:pPr>
    </w:p>
    <w:p w14:paraId="5552FC39" w14:textId="428E0BA1" w:rsidR="00D3644F" w:rsidRPr="00DE05C9" w:rsidRDefault="006F2481" w:rsidP="00DE05C9">
      <w:pPr>
        <w:pStyle w:val="BodyA"/>
        <w:spacing w:line="240" w:lineRule="auto"/>
        <w:jc w:val="both"/>
        <w:rPr>
          <w:rFonts w:cs="Times New Roman"/>
          <w:b/>
          <w:color w:val="000000" w:themeColor="text1"/>
          <w:sz w:val="24"/>
          <w:szCs w:val="24"/>
        </w:rPr>
      </w:pPr>
      <w:r w:rsidRPr="00DE05C9">
        <w:rPr>
          <w:rFonts w:cs="Times New Roman"/>
          <w:b/>
          <w:color w:val="000000" w:themeColor="text1"/>
          <w:sz w:val="24"/>
          <w:szCs w:val="24"/>
        </w:rPr>
        <w:t>3.</w:t>
      </w:r>
      <w:r w:rsidR="00D80B6F" w:rsidRPr="00DE05C9">
        <w:rPr>
          <w:rFonts w:cs="Times New Roman"/>
          <w:b/>
          <w:color w:val="000000" w:themeColor="text1"/>
          <w:sz w:val="24"/>
          <w:szCs w:val="24"/>
        </w:rPr>
        <w:t xml:space="preserve"> </w:t>
      </w:r>
      <w:r w:rsidRPr="00DE05C9">
        <w:rPr>
          <w:rFonts w:cs="Times New Roman"/>
          <w:b/>
          <w:color w:val="000000" w:themeColor="text1"/>
          <w:sz w:val="24"/>
          <w:szCs w:val="24"/>
        </w:rPr>
        <w:t>Providing comprehensive relief and remedies for criminal record expungement</w:t>
      </w:r>
    </w:p>
    <w:p w14:paraId="6BA30693" w14:textId="77777777" w:rsidR="00D3644F" w:rsidRPr="00DE05C9" w:rsidRDefault="00D3644F" w:rsidP="00DE05C9">
      <w:pPr>
        <w:pStyle w:val="BodyA"/>
        <w:spacing w:line="240" w:lineRule="auto"/>
        <w:ind w:left="720"/>
        <w:jc w:val="both"/>
        <w:rPr>
          <w:rFonts w:cs="Times New Roman"/>
          <w:color w:val="000000" w:themeColor="text1"/>
          <w:sz w:val="24"/>
          <w:szCs w:val="24"/>
        </w:rPr>
      </w:pPr>
    </w:p>
    <w:p w14:paraId="68401682" w14:textId="69B8A603" w:rsidR="00D3644F" w:rsidRPr="00DE05C9" w:rsidRDefault="006F2481" w:rsidP="00DE05C9">
      <w:pPr>
        <w:pStyle w:val="BodyA"/>
        <w:spacing w:line="240" w:lineRule="auto"/>
        <w:jc w:val="both"/>
        <w:rPr>
          <w:rFonts w:cs="Times New Roman"/>
          <w:color w:val="000000" w:themeColor="text1"/>
          <w:sz w:val="24"/>
          <w:szCs w:val="24"/>
        </w:rPr>
      </w:pPr>
      <w:r w:rsidRPr="00DE05C9">
        <w:rPr>
          <w:rStyle w:val="None"/>
          <w:rFonts w:cs="Times New Roman"/>
          <w:color w:val="000000" w:themeColor="text1"/>
          <w:sz w:val="24"/>
          <w:szCs w:val="24"/>
        </w:rPr>
        <w:t>Due to the long-term failure of the U</w:t>
      </w:r>
      <w:r w:rsidR="00565047" w:rsidRPr="00DE05C9">
        <w:rPr>
          <w:rStyle w:val="None"/>
          <w:rFonts w:cs="Times New Roman"/>
          <w:color w:val="000000" w:themeColor="text1"/>
          <w:sz w:val="24"/>
          <w:szCs w:val="24"/>
        </w:rPr>
        <w:t xml:space="preserve">nited States </w:t>
      </w:r>
      <w:r w:rsidRPr="00DE05C9">
        <w:rPr>
          <w:rStyle w:val="None"/>
          <w:rFonts w:cs="Times New Roman"/>
          <w:color w:val="000000" w:themeColor="text1"/>
          <w:sz w:val="24"/>
          <w:szCs w:val="24"/>
        </w:rPr>
        <w:t>to recognize trafficked women and girls as victims rather than criminals, many of these victims are followed by criminal records that impede their ability to access social services and to achieve self-sufficiency</w:t>
      </w:r>
      <w:r w:rsidR="007C4594">
        <w:rPr>
          <w:rStyle w:val="None"/>
          <w:rFonts w:cs="Times New Roman"/>
          <w:color w:val="000000" w:themeColor="text1"/>
          <w:sz w:val="24"/>
          <w:szCs w:val="24"/>
        </w:rPr>
        <w:t xml:space="preserve">. Long-term legal assistance is </w:t>
      </w:r>
      <w:r w:rsidRPr="00DE05C9">
        <w:rPr>
          <w:rStyle w:val="None"/>
          <w:rFonts w:cs="Times New Roman"/>
          <w:color w:val="000000" w:themeColor="text1"/>
          <w:sz w:val="24"/>
          <w:szCs w:val="24"/>
        </w:rPr>
        <w:t xml:space="preserve">needed so victims of trafficking are able to distance themselves from their trafficker, move forward without a criminal record, have access to housing </w:t>
      </w:r>
      <w:r w:rsidRPr="00DE05C9">
        <w:rPr>
          <w:rStyle w:val="None"/>
          <w:rFonts w:cs="Times New Roman"/>
          <w:color w:val="000000" w:themeColor="text1"/>
          <w:sz w:val="24"/>
          <w:szCs w:val="24"/>
        </w:rPr>
        <w:lastRenderedPageBreak/>
        <w:t>and job opportunities, and put aside fear of deportation. Laws that allow for the vacatur, e</w:t>
      </w:r>
      <w:r w:rsidRPr="00DE05C9">
        <w:rPr>
          <w:rStyle w:val="None"/>
          <w:rFonts w:cs="Times New Roman"/>
          <w:color w:val="000000" w:themeColor="text1"/>
          <w:sz w:val="24"/>
          <w:szCs w:val="24"/>
          <w:lang w:val="de-DE"/>
        </w:rPr>
        <w:t>xpungement</w:t>
      </w:r>
      <w:r w:rsidRPr="00DE05C9">
        <w:rPr>
          <w:rStyle w:val="None"/>
          <w:rFonts w:cs="Times New Roman"/>
          <w:color w:val="000000" w:themeColor="text1"/>
          <w:sz w:val="24"/>
          <w:szCs w:val="24"/>
        </w:rPr>
        <w:t>, and sealing of criminal records can accomplish this goal.</w:t>
      </w:r>
    </w:p>
    <w:p w14:paraId="7DAC62A6" w14:textId="77777777" w:rsidR="00D3644F" w:rsidRPr="00DE05C9" w:rsidRDefault="00D3644F" w:rsidP="00DE05C9">
      <w:pPr>
        <w:pStyle w:val="BodyA"/>
        <w:spacing w:line="240" w:lineRule="auto"/>
        <w:jc w:val="both"/>
        <w:rPr>
          <w:rFonts w:cs="Times New Roman"/>
          <w:color w:val="000000" w:themeColor="text1"/>
          <w:sz w:val="24"/>
          <w:szCs w:val="24"/>
        </w:rPr>
      </w:pPr>
    </w:p>
    <w:p w14:paraId="595169F2" w14:textId="1789EA05" w:rsidR="00D3644F" w:rsidRPr="00DE05C9" w:rsidRDefault="006F2481" w:rsidP="00DE05C9">
      <w:pPr>
        <w:pStyle w:val="BodyA"/>
        <w:spacing w:line="240" w:lineRule="auto"/>
        <w:jc w:val="both"/>
        <w:rPr>
          <w:rFonts w:cs="Times New Roman"/>
          <w:color w:val="000000" w:themeColor="text1"/>
          <w:sz w:val="24"/>
          <w:szCs w:val="24"/>
        </w:rPr>
      </w:pPr>
      <w:r w:rsidRPr="00DE05C9">
        <w:rPr>
          <w:rFonts w:cs="Times New Roman"/>
          <w:color w:val="000000" w:themeColor="text1"/>
          <w:sz w:val="24"/>
          <w:szCs w:val="24"/>
        </w:rPr>
        <w:t>In Illinois, women who have been victims of sex trafficking have access to post-trial motions to vacate prostitution offenses</w:t>
      </w:r>
      <w:r w:rsidRPr="00DE05C9">
        <w:rPr>
          <w:rStyle w:val="FootnoteReference"/>
          <w:rFonts w:eastAsia="Times New Roman" w:cs="Times New Roman"/>
          <w:color w:val="000000" w:themeColor="text1"/>
          <w:sz w:val="24"/>
          <w:szCs w:val="24"/>
        </w:rPr>
        <w:footnoteReference w:id="11"/>
      </w:r>
      <w:r w:rsidR="00CC5F2E" w:rsidRPr="00DE05C9">
        <w:rPr>
          <w:rFonts w:cs="Times New Roman"/>
          <w:color w:val="000000" w:themeColor="text1"/>
          <w:sz w:val="24"/>
          <w:szCs w:val="24"/>
        </w:rPr>
        <w:t xml:space="preserve"> </w:t>
      </w:r>
      <w:r w:rsidRPr="00DE05C9">
        <w:rPr>
          <w:rFonts w:cs="Times New Roman"/>
          <w:color w:val="000000" w:themeColor="text1"/>
          <w:sz w:val="24"/>
          <w:szCs w:val="24"/>
        </w:rPr>
        <w:t>and to expunge underlying arrests and other related convictions.</w:t>
      </w:r>
      <w:r w:rsidRPr="00DE05C9">
        <w:rPr>
          <w:rStyle w:val="FootnoteReference"/>
          <w:rFonts w:eastAsia="Times New Roman" w:cs="Times New Roman"/>
          <w:color w:val="000000" w:themeColor="text1"/>
          <w:sz w:val="24"/>
          <w:szCs w:val="24"/>
        </w:rPr>
        <w:footnoteReference w:id="12"/>
      </w:r>
      <w:r w:rsidRPr="00DE05C9">
        <w:rPr>
          <w:rFonts w:cs="Times New Roman"/>
          <w:color w:val="000000" w:themeColor="text1"/>
          <w:sz w:val="24"/>
          <w:szCs w:val="24"/>
        </w:rPr>
        <w:t xml:space="preserve"> Additionally, in 2018, the Illinois law on sealing of criminal records was expanded to include the sealing of </w:t>
      </w:r>
      <w:r w:rsidR="00F9541D" w:rsidRPr="00DE05C9">
        <w:rPr>
          <w:rFonts w:cs="Times New Roman"/>
          <w:color w:val="000000" w:themeColor="text1"/>
          <w:sz w:val="24"/>
          <w:szCs w:val="24"/>
        </w:rPr>
        <w:t xml:space="preserve">records of </w:t>
      </w:r>
      <w:r w:rsidRPr="00DE05C9">
        <w:rPr>
          <w:rFonts w:cs="Times New Roman"/>
          <w:color w:val="000000" w:themeColor="text1"/>
          <w:sz w:val="24"/>
          <w:szCs w:val="24"/>
        </w:rPr>
        <w:t>arrests and convictions</w:t>
      </w:r>
      <w:r w:rsidR="00F9541D" w:rsidRPr="00DE05C9">
        <w:rPr>
          <w:rFonts w:cs="Times New Roman"/>
          <w:color w:val="000000" w:themeColor="text1"/>
          <w:sz w:val="24"/>
          <w:szCs w:val="24"/>
        </w:rPr>
        <w:t xml:space="preserve"> for many crimes</w:t>
      </w:r>
      <w:r w:rsidRPr="00DE05C9">
        <w:rPr>
          <w:rFonts w:cs="Times New Roman"/>
          <w:color w:val="000000" w:themeColor="text1"/>
          <w:sz w:val="24"/>
          <w:szCs w:val="24"/>
        </w:rPr>
        <w:t xml:space="preserve"> if the requestor can show the crimes were committed as a result of any form of human trafficking.</w:t>
      </w:r>
      <w:r w:rsidRPr="00DE05C9">
        <w:rPr>
          <w:rStyle w:val="FootnoteReference"/>
          <w:rFonts w:eastAsia="Times New Roman" w:cs="Times New Roman"/>
          <w:color w:val="000000" w:themeColor="text1"/>
          <w:sz w:val="24"/>
          <w:szCs w:val="24"/>
        </w:rPr>
        <w:footnoteReference w:id="13"/>
      </w:r>
      <w:r w:rsidRPr="00DE05C9">
        <w:rPr>
          <w:rFonts w:cs="Times New Roman"/>
          <w:color w:val="000000" w:themeColor="text1"/>
          <w:sz w:val="24"/>
          <w:szCs w:val="24"/>
        </w:rPr>
        <w:t xml:space="preserve"> These laws help to ensure that previous criminal records do not follow a trafficking victim for the rest of her life, allowing her to recover and move closer to self-sufficiency.</w:t>
      </w:r>
    </w:p>
    <w:p w14:paraId="235A5BA2" w14:textId="77777777" w:rsidR="00D3644F" w:rsidRPr="00DE05C9" w:rsidRDefault="00D3644F" w:rsidP="00DE05C9">
      <w:pPr>
        <w:pStyle w:val="BodyA"/>
        <w:spacing w:line="240" w:lineRule="auto"/>
        <w:jc w:val="both"/>
        <w:rPr>
          <w:rFonts w:cs="Times New Roman"/>
          <w:color w:val="000000" w:themeColor="text1"/>
          <w:sz w:val="24"/>
          <w:szCs w:val="24"/>
        </w:rPr>
      </w:pPr>
    </w:p>
    <w:p w14:paraId="5C7A0CD9" w14:textId="77777777" w:rsidR="00D3644F" w:rsidRPr="00DE05C9" w:rsidRDefault="006F2481" w:rsidP="00DE05C9">
      <w:pPr>
        <w:pStyle w:val="BodyA"/>
        <w:spacing w:line="240" w:lineRule="auto"/>
        <w:jc w:val="both"/>
        <w:rPr>
          <w:rFonts w:cs="Times New Roman"/>
          <w:color w:val="000000" w:themeColor="text1"/>
          <w:sz w:val="24"/>
          <w:szCs w:val="24"/>
        </w:rPr>
      </w:pPr>
      <w:r w:rsidRPr="00DE05C9">
        <w:rPr>
          <w:rFonts w:cs="Times New Roman"/>
          <w:color w:val="000000" w:themeColor="text1"/>
          <w:sz w:val="24"/>
          <w:szCs w:val="24"/>
        </w:rPr>
        <w:t>While these laws are a good start to reducing the ongoing criminalization of trafficking victims, a number of arrests and convictions fall through the cracks merely due to how victims were charged. Other States seeking to emulate these innovations should assess the many ways victims are criminalized and ensure that similar expungement and vacatur procedures cover many of the collateral crimes with which a victim may be charged due to her status as a trafficking victim.</w:t>
      </w:r>
    </w:p>
    <w:p w14:paraId="514BC71C" w14:textId="77777777" w:rsidR="00D3644F" w:rsidRPr="00DE05C9" w:rsidRDefault="00D3644F" w:rsidP="00DE05C9">
      <w:pPr>
        <w:pStyle w:val="BodyA"/>
        <w:spacing w:line="240" w:lineRule="auto"/>
        <w:jc w:val="both"/>
        <w:rPr>
          <w:rFonts w:cs="Times New Roman"/>
          <w:color w:val="000000" w:themeColor="text1"/>
          <w:sz w:val="24"/>
          <w:szCs w:val="24"/>
        </w:rPr>
      </w:pPr>
    </w:p>
    <w:p w14:paraId="632254B0" w14:textId="625E82B7" w:rsidR="00D3644F" w:rsidRPr="00DE05C9" w:rsidRDefault="006F2481" w:rsidP="00DE05C9">
      <w:pPr>
        <w:pStyle w:val="BodyA"/>
        <w:spacing w:line="240" w:lineRule="auto"/>
        <w:ind w:left="270" w:hanging="270"/>
        <w:jc w:val="both"/>
        <w:rPr>
          <w:rFonts w:cs="Times New Roman"/>
          <w:b/>
          <w:color w:val="000000" w:themeColor="text1"/>
          <w:sz w:val="24"/>
          <w:szCs w:val="24"/>
        </w:rPr>
      </w:pPr>
      <w:r w:rsidRPr="00DE05C9">
        <w:rPr>
          <w:rFonts w:cs="Times New Roman"/>
          <w:b/>
          <w:color w:val="000000" w:themeColor="text1"/>
          <w:sz w:val="24"/>
          <w:szCs w:val="24"/>
        </w:rPr>
        <w:t>4.</w:t>
      </w:r>
      <w:r w:rsidR="00D80B6F" w:rsidRPr="00DE05C9">
        <w:rPr>
          <w:rFonts w:cs="Times New Roman"/>
          <w:b/>
          <w:color w:val="000000" w:themeColor="text1"/>
          <w:sz w:val="24"/>
          <w:szCs w:val="24"/>
        </w:rPr>
        <w:t xml:space="preserve"> </w:t>
      </w:r>
      <w:r w:rsidRPr="00DE05C9">
        <w:rPr>
          <w:rFonts w:cs="Times New Roman"/>
          <w:b/>
          <w:color w:val="000000" w:themeColor="text1"/>
          <w:sz w:val="24"/>
          <w:szCs w:val="24"/>
        </w:rPr>
        <w:t>Providing Immigrant Women Security and Safety in the Legal and Immigration Systems to Encourage Assistance in Identifying and Prosecuting Traffickers</w:t>
      </w:r>
    </w:p>
    <w:p w14:paraId="3717C3C6" w14:textId="77777777" w:rsidR="00D3644F" w:rsidRPr="00DE05C9" w:rsidRDefault="00D3644F" w:rsidP="00DE05C9">
      <w:pPr>
        <w:pStyle w:val="BodyA"/>
        <w:spacing w:line="240" w:lineRule="auto"/>
        <w:jc w:val="both"/>
        <w:rPr>
          <w:rFonts w:cs="Times New Roman"/>
          <w:color w:val="000000" w:themeColor="text1"/>
          <w:sz w:val="24"/>
          <w:szCs w:val="24"/>
        </w:rPr>
      </w:pPr>
    </w:p>
    <w:p w14:paraId="25BE429F" w14:textId="77777777" w:rsidR="00D3644F" w:rsidRPr="00DE05C9" w:rsidRDefault="006F2481" w:rsidP="00DE05C9">
      <w:pPr>
        <w:pStyle w:val="BodyA"/>
        <w:spacing w:line="240" w:lineRule="auto"/>
        <w:jc w:val="both"/>
        <w:rPr>
          <w:rFonts w:cs="Times New Roman"/>
          <w:color w:val="000000" w:themeColor="text1"/>
          <w:sz w:val="24"/>
          <w:szCs w:val="24"/>
        </w:rPr>
      </w:pPr>
      <w:r w:rsidRPr="00DE05C9">
        <w:rPr>
          <w:rFonts w:cs="Times New Roman"/>
          <w:color w:val="000000" w:themeColor="text1"/>
          <w:sz w:val="24"/>
          <w:szCs w:val="24"/>
        </w:rPr>
        <w:t>Women and girls who are trafficked across borders for commercial sexual exploitation often exist in a climate of fear that encompasses the possibility of criminalization not only due to their unwilling participation in prostitution, but also due to their uncertain immigration status. This possible two-level criminalization inhibits and chills victims’ willingness to self-identify as trafficking victims and to seek justice against their perpetrators. Traffickers often use this fear to maintain control over their victims, threatening to report them to immigration authorities, such as the U.S. Immigration and Customs Enforcement (ICE), if they fail to follow the traffickers’ orders. Additionally, recent external circumstances compound victims’ fears of coming forward, such as the current wave of fear among immigrant women and girls in abusive situations of being arrested at the courthouse while seeking protection against their abusers.</w:t>
      </w:r>
    </w:p>
    <w:p w14:paraId="0F0E9060" w14:textId="77777777" w:rsidR="00D3644F" w:rsidRPr="00DE05C9" w:rsidRDefault="00D3644F" w:rsidP="00DE05C9">
      <w:pPr>
        <w:pStyle w:val="BodyA"/>
        <w:spacing w:line="240" w:lineRule="auto"/>
        <w:jc w:val="both"/>
        <w:rPr>
          <w:rFonts w:cs="Times New Roman"/>
          <w:color w:val="000000" w:themeColor="text1"/>
          <w:sz w:val="24"/>
          <w:szCs w:val="24"/>
        </w:rPr>
      </w:pPr>
    </w:p>
    <w:p w14:paraId="3CC578B5" w14:textId="15B66EFD" w:rsidR="00D3644F" w:rsidRPr="00DE05C9" w:rsidRDefault="006F2481" w:rsidP="00DE05C9">
      <w:pPr>
        <w:pStyle w:val="BodyA"/>
        <w:spacing w:line="240" w:lineRule="auto"/>
        <w:jc w:val="both"/>
        <w:rPr>
          <w:rFonts w:cs="Times New Roman"/>
          <w:color w:val="000000" w:themeColor="text1"/>
          <w:sz w:val="24"/>
          <w:szCs w:val="24"/>
        </w:rPr>
      </w:pPr>
      <w:r w:rsidRPr="00DE05C9">
        <w:rPr>
          <w:rFonts w:cs="Times New Roman"/>
          <w:color w:val="000000" w:themeColor="text1"/>
          <w:sz w:val="24"/>
          <w:szCs w:val="24"/>
        </w:rPr>
        <w:t xml:space="preserve">Recognizing the vulnerability of undocumented migrant women and girls to trafficking requires providing special protection in these situations to encourage more victims of trafficking to come forward against their traffickers. For example, the Illinois TRUST Act, enacted in 2017, protects undocumented immigrants from being arrested for their immigration status at a courthouse unless a “valid, enforceable federal warrant” exists </w:t>
      </w:r>
      <w:r w:rsidRPr="00DE05C9">
        <w:rPr>
          <w:rFonts w:cs="Times New Roman"/>
          <w:color w:val="000000" w:themeColor="text1"/>
          <w:sz w:val="24"/>
          <w:szCs w:val="24"/>
        </w:rPr>
        <w:lastRenderedPageBreak/>
        <w:t>for their arrest.</w:t>
      </w:r>
      <w:r w:rsidRPr="00DE05C9">
        <w:rPr>
          <w:rStyle w:val="FootnoteReference"/>
          <w:rFonts w:eastAsia="Times New Roman" w:cs="Times New Roman"/>
          <w:color w:val="000000" w:themeColor="text1"/>
          <w:sz w:val="24"/>
          <w:szCs w:val="24"/>
        </w:rPr>
        <w:footnoteReference w:id="14"/>
      </w:r>
      <w:r w:rsidRPr="00DE05C9">
        <w:rPr>
          <w:rFonts w:cs="Times New Roman"/>
          <w:color w:val="000000" w:themeColor="text1"/>
          <w:sz w:val="24"/>
          <w:szCs w:val="24"/>
        </w:rPr>
        <w:t xml:space="preserve"> Similar laws can be used by States parties to positively impact the lives of immigrants who are victims of trafficking because </w:t>
      </w:r>
      <w:r w:rsidR="009A3862" w:rsidRPr="00DE05C9">
        <w:rPr>
          <w:rFonts w:cs="Times New Roman"/>
          <w:color w:val="000000" w:themeColor="text1"/>
          <w:sz w:val="24"/>
          <w:szCs w:val="24"/>
        </w:rPr>
        <w:t>they</w:t>
      </w:r>
      <w:r w:rsidRPr="00DE05C9">
        <w:rPr>
          <w:rFonts w:cs="Times New Roman"/>
          <w:color w:val="000000" w:themeColor="text1"/>
          <w:sz w:val="24"/>
          <w:szCs w:val="24"/>
        </w:rPr>
        <w:t xml:space="preserve"> protect the</w:t>
      </w:r>
      <w:r w:rsidR="009A3862" w:rsidRPr="00DE05C9">
        <w:rPr>
          <w:rFonts w:cs="Times New Roman"/>
          <w:color w:val="000000" w:themeColor="text1"/>
          <w:sz w:val="24"/>
          <w:szCs w:val="24"/>
        </w:rPr>
        <w:t>se victims’</w:t>
      </w:r>
      <w:r w:rsidRPr="00DE05C9">
        <w:rPr>
          <w:rFonts w:cs="Times New Roman"/>
          <w:color w:val="000000" w:themeColor="text1"/>
          <w:sz w:val="24"/>
          <w:szCs w:val="24"/>
        </w:rPr>
        <w:t xml:space="preserve"> right to justice and encourage law enforcement and the justice system to prosecute perpetrators rather than the victims.</w:t>
      </w:r>
    </w:p>
    <w:p w14:paraId="7EB49CAE" w14:textId="77777777" w:rsidR="00D3644F" w:rsidRPr="00DE05C9" w:rsidRDefault="006F2481" w:rsidP="00DE05C9">
      <w:pPr>
        <w:pStyle w:val="BodyA"/>
        <w:spacing w:line="240" w:lineRule="auto"/>
        <w:jc w:val="both"/>
        <w:rPr>
          <w:rFonts w:cs="Times New Roman"/>
          <w:color w:val="000000" w:themeColor="text1"/>
          <w:sz w:val="24"/>
          <w:szCs w:val="24"/>
        </w:rPr>
      </w:pPr>
      <w:r w:rsidRPr="00DE05C9">
        <w:rPr>
          <w:rFonts w:cs="Times New Roman"/>
          <w:color w:val="000000" w:themeColor="text1"/>
          <w:sz w:val="24"/>
          <w:szCs w:val="24"/>
        </w:rPr>
        <w:t xml:space="preserve"> </w:t>
      </w:r>
    </w:p>
    <w:p w14:paraId="71EBB2BF" w14:textId="7F7B511F" w:rsidR="00D3644F" w:rsidRPr="00DE05C9" w:rsidRDefault="006F2481" w:rsidP="00DE05C9">
      <w:pPr>
        <w:pStyle w:val="BodyA"/>
        <w:spacing w:line="240" w:lineRule="auto"/>
        <w:jc w:val="both"/>
        <w:rPr>
          <w:rFonts w:cs="Times New Roman"/>
          <w:color w:val="000000" w:themeColor="text1"/>
          <w:sz w:val="24"/>
          <w:szCs w:val="24"/>
        </w:rPr>
      </w:pPr>
      <w:r w:rsidRPr="00DE05C9">
        <w:rPr>
          <w:rFonts w:cs="Times New Roman"/>
          <w:color w:val="000000" w:themeColor="text1"/>
          <w:sz w:val="24"/>
          <w:szCs w:val="24"/>
        </w:rPr>
        <w:t>Moreover, offering special and protected immigration statuses can ensure immigrant trafficking victims feel protected and safe while participating in the prosecution of their traffickers. The United States offers three different types of visas to immigrant women and girls who have been trafficked: T visas, U visas, and VAWA visas. In varying ways, these visas encourage women and girls who have been trafficked to assist law enforcement in prosecuting their traffickers by allowing them to remain securely in the U</w:t>
      </w:r>
      <w:r w:rsidR="00DC73CC" w:rsidRPr="00DE05C9">
        <w:rPr>
          <w:rFonts w:cs="Times New Roman"/>
          <w:color w:val="000000" w:themeColor="text1"/>
          <w:sz w:val="24"/>
          <w:szCs w:val="24"/>
        </w:rPr>
        <w:t>nited States</w:t>
      </w:r>
      <w:r w:rsidRPr="00DE05C9">
        <w:rPr>
          <w:rFonts w:cs="Times New Roman"/>
          <w:color w:val="000000" w:themeColor="text1"/>
          <w:sz w:val="24"/>
          <w:szCs w:val="24"/>
        </w:rPr>
        <w:t>.</w:t>
      </w:r>
    </w:p>
    <w:p w14:paraId="7A354D2F" w14:textId="77777777" w:rsidR="00D3644F" w:rsidRPr="00DE05C9" w:rsidRDefault="006F2481" w:rsidP="00DE05C9">
      <w:pPr>
        <w:pStyle w:val="BodyA"/>
        <w:spacing w:line="240" w:lineRule="auto"/>
        <w:jc w:val="both"/>
        <w:rPr>
          <w:rFonts w:cs="Times New Roman"/>
          <w:color w:val="000000" w:themeColor="text1"/>
          <w:sz w:val="24"/>
          <w:szCs w:val="24"/>
        </w:rPr>
      </w:pPr>
      <w:r w:rsidRPr="00DE05C9">
        <w:rPr>
          <w:rFonts w:cs="Times New Roman"/>
          <w:color w:val="000000" w:themeColor="text1"/>
          <w:sz w:val="24"/>
          <w:szCs w:val="24"/>
        </w:rPr>
        <w:t xml:space="preserve"> </w:t>
      </w:r>
    </w:p>
    <w:p w14:paraId="69DEF164" w14:textId="7EF54C48" w:rsidR="00D3644F" w:rsidRPr="00DE05C9" w:rsidRDefault="006F2481" w:rsidP="00DE05C9">
      <w:pPr>
        <w:pStyle w:val="BodyA"/>
        <w:spacing w:line="240" w:lineRule="auto"/>
        <w:jc w:val="both"/>
        <w:rPr>
          <w:rFonts w:cs="Times New Roman"/>
          <w:color w:val="000000" w:themeColor="text1"/>
          <w:sz w:val="24"/>
          <w:szCs w:val="24"/>
        </w:rPr>
      </w:pPr>
      <w:r w:rsidRPr="00DE05C9">
        <w:rPr>
          <w:rStyle w:val="None"/>
          <w:rFonts w:cs="Times New Roman"/>
          <w:color w:val="000000" w:themeColor="text1"/>
          <w:sz w:val="24"/>
          <w:szCs w:val="24"/>
        </w:rPr>
        <w:t>The T visa was created in response to the dual need for victim assistance and the prosecution of the perpetrators of trafficking. The 2000 Trafficking Victims Protection Act (TVPA)</w:t>
      </w:r>
      <w:r w:rsidRPr="00DE05C9">
        <w:rPr>
          <w:rStyle w:val="None"/>
          <w:rFonts w:cs="Times New Roman"/>
          <w:color w:val="000000" w:themeColor="text1"/>
          <w:sz w:val="24"/>
          <w:szCs w:val="24"/>
          <w:vertAlign w:val="superscript"/>
        </w:rPr>
        <w:footnoteReference w:id="15"/>
      </w:r>
      <w:r w:rsidRPr="00DE05C9">
        <w:rPr>
          <w:rStyle w:val="None"/>
          <w:rFonts w:cs="Times New Roman"/>
          <w:color w:val="000000" w:themeColor="text1"/>
          <w:sz w:val="24"/>
          <w:szCs w:val="24"/>
        </w:rPr>
        <w:t xml:space="preserve"> created the “</w:t>
      </w:r>
      <w:r w:rsidRPr="00DE05C9">
        <w:rPr>
          <w:rStyle w:val="None"/>
          <w:rFonts w:cs="Times New Roman"/>
          <w:color w:val="000000" w:themeColor="text1"/>
          <w:sz w:val="24"/>
          <w:szCs w:val="24"/>
          <w:lang w:val="sv-SE"/>
        </w:rPr>
        <w:t>T visa,</w:t>
      </w:r>
      <w:r w:rsidRPr="00DE05C9">
        <w:rPr>
          <w:rStyle w:val="None"/>
          <w:rFonts w:cs="Times New Roman"/>
          <w:color w:val="000000" w:themeColor="text1"/>
          <w:sz w:val="24"/>
          <w:szCs w:val="24"/>
        </w:rPr>
        <w:t xml:space="preserve">” which allows victims to stay in the United States if they </w:t>
      </w:r>
      <w:r w:rsidRPr="00DE05C9">
        <w:rPr>
          <w:rStyle w:val="None"/>
          <w:rFonts w:cs="Times New Roman"/>
          <w:color w:val="000000" w:themeColor="text1"/>
          <w:sz w:val="24"/>
          <w:szCs w:val="24"/>
        </w:rPr>
        <w:lastRenderedPageBreak/>
        <w:t>cooperate in the criminal investigation or prosecution of their trafficker.</w:t>
      </w:r>
      <w:r w:rsidRPr="00DE05C9">
        <w:rPr>
          <w:rStyle w:val="None"/>
          <w:rFonts w:cs="Times New Roman"/>
          <w:color w:val="000000" w:themeColor="text1"/>
          <w:sz w:val="24"/>
          <w:szCs w:val="24"/>
          <w:vertAlign w:val="superscript"/>
        </w:rPr>
        <w:footnoteReference w:id="16"/>
      </w:r>
      <w:r w:rsidRPr="00DE05C9">
        <w:rPr>
          <w:rStyle w:val="None"/>
          <w:rFonts w:cs="Times New Roman"/>
          <w:color w:val="000000" w:themeColor="text1"/>
          <w:sz w:val="24"/>
          <w:szCs w:val="24"/>
        </w:rPr>
        <w:t xml:space="preserve"> T visa recipients can remain in the U</w:t>
      </w:r>
      <w:r w:rsidR="00323816" w:rsidRPr="00DE05C9">
        <w:rPr>
          <w:rStyle w:val="None"/>
          <w:rFonts w:cs="Times New Roman"/>
          <w:color w:val="000000" w:themeColor="text1"/>
          <w:sz w:val="24"/>
          <w:szCs w:val="24"/>
        </w:rPr>
        <w:t>nited States</w:t>
      </w:r>
      <w:r w:rsidRPr="00DE05C9">
        <w:rPr>
          <w:rStyle w:val="None"/>
          <w:rFonts w:cs="Times New Roman"/>
          <w:color w:val="000000" w:themeColor="text1"/>
          <w:sz w:val="24"/>
          <w:szCs w:val="24"/>
        </w:rPr>
        <w:t xml:space="preserve"> for up to four years and receive work authorization.</w:t>
      </w:r>
      <w:r w:rsidRPr="00DE05C9">
        <w:rPr>
          <w:rStyle w:val="None"/>
          <w:rFonts w:cs="Times New Roman"/>
          <w:color w:val="000000" w:themeColor="text1"/>
          <w:sz w:val="24"/>
          <w:szCs w:val="24"/>
          <w:vertAlign w:val="superscript"/>
        </w:rPr>
        <w:footnoteReference w:id="17"/>
      </w:r>
      <w:r w:rsidRPr="00DE05C9">
        <w:rPr>
          <w:rStyle w:val="None"/>
          <w:rFonts w:cs="Times New Roman"/>
          <w:color w:val="000000" w:themeColor="text1"/>
          <w:sz w:val="24"/>
          <w:szCs w:val="24"/>
        </w:rPr>
        <w:t xml:space="preserve"> T visa recipients can then apply for adjustment to legal permanent resident status either when the government has closed the criminal case (investigation or prosecution) against their trafficker or after three years, whichever happens sooner.</w:t>
      </w:r>
      <w:r w:rsidRPr="00DE05C9">
        <w:rPr>
          <w:rStyle w:val="None"/>
          <w:rFonts w:cs="Times New Roman"/>
          <w:color w:val="000000" w:themeColor="text1"/>
          <w:sz w:val="24"/>
          <w:szCs w:val="24"/>
          <w:vertAlign w:val="superscript"/>
        </w:rPr>
        <w:footnoteReference w:id="18"/>
      </w:r>
    </w:p>
    <w:p w14:paraId="28DF8A22" w14:textId="77777777" w:rsidR="00D3644F" w:rsidRPr="00DE05C9" w:rsidRDefault="00D3644F" w:rsidP="00DE05C9">
      <w:pPr>
        <w:pStyle w:val="BodyA"/>
        <w:spacing w:line="240" w:lineRule="auto"/>
        <w:jc w:val="both"/>
        <w:rPr>
          <w:rFonts w:cs="Times New Roman"/>
          <w:color w:val="000000" w:themeColor="text1"/>
          <w:sz w:val="24"/>
          <w:szCs w:val="24"/>
        </w:rPr>
      </w:pPr>
    </w:p>
    <w:p w14:paraId="22C2F70C" w14:textId="579B6381" w:rsidR="00D3644F" w:rsidRPr="00DE05C9" w:rsidRDefault="006F2481" w:rsidP="00DE05C9">
      <w:pPr>
        <w:pStyle w:val="BodyA"/>
        <w:spacing w:line="240" w:lineRule="auto"/>
        <w:jc w:val="both"/>
        <w:rPr>
          <w:rFonts w:cs="Times New Roman"/>
          <w:color w:val="000000" w:themeColor="text1"/>
          <w:sz w:val="24"/>
          <w:szCs w:val="24"/>
        </w:rPr>
      </w:pPr>
      <w:r w:rsidRPr="00DE05C9">
        <w:rPr>
          <w:rStyle w:val="None"/>
          <w:rFonts w:cs="Times New Roman"/>
          <w:color w:val="000000" w:themeColor="text1"/>
          <w:sz w:val="24"/>
          <w:szCs w:val="24"/>
        </w:rPr>
        <w:t xml:space="preserve">The TVPA also created </w:t>
      </w:r>
      <w:r w:rsidR="008E05CD" w:rsidRPr="00DE05C9">
        <w:rPr>
          <w:rStyle w:val="None"/>
          <w:rFonts w:cs="Times New Roman"/>
          <w:color w:val="000000" w:themeColor="text1"/>
          <w:sz w:val="24"/>
          <w:szCs w:val="24"/>
        </w:rPr>
        <w:t>the</w:t>
      </w:r>
      <w:r w:rsidRPr="00DE05C9">
        <w:rPr>
          <w:rStyle w:val="None"/>
          <w:rFonts w:cs="Times New Roman"/>
          <w:color w:val="000000" w:themeColor="text1"/>
          <w:sz w:val="24"/>
          <w:szCs w:val="24"/>
        </w:rPr>
        <w:t xml:space="preserve"> “</w:t>
      </w:r>
      <w:r w:rsidRPr="00DE05C9">
        <w:rPr>
          <w:rStyle w:val="None"/>
          <w:rFonts w:cs="Times New Roman"/>
          <w:color w:val="000000" w:themeColor="text1"/>
          <w:sz w:val="24"/>
          <w:szCs w:val="24"/>
          <w:lang w:val="sv-SE"/>
        </w:rPr>
        <w:t>U visa,</w:t>
      </w:r>
      <w:r w:rsidRPr="00DE05C9">
        <w:rPr>
          <w:rStyle w:val="None"/>
          <w:rFonts w:cs="Times New Roman"/>
          <w:color w:val="000000" w:themeColor="text1"/>
          <w:sz w:val="24"/>
          <w:szCs w:val="24"/>
        </w:rPr>
        <w:t>” which similarly requires a victim’s willingness to participate in the investigation or prosecution of a criminal case.</w:t>
      </w:r>
      <w:r w:rsidRPr="00DE05C9">
        <w:rPr>
          <w:rStyle w:val="None"/>
          <w:rFonts w:cs="Times New Roman"/>
          <w:color w:val="000000" w:themeColor="text1"/>
          <w:sz w:val="24"/>
          <w:szCs w:val="24"/>
          <w:vertAlign w:val="superscript"/>
        </w:rPr>
        <w:footnoteReference w:id="19"/>
      </w:r>
      <w:r w:rsidRPr="00DE05C9">
        <w:rPr>
          <w:rStyle w:val="None"/>
          <w:rFonts w:cs="Times New Roman"/>
          <w:color w:val="000000" w:themeColor="text1"/>
          <w:sz w:val="24"/>
          <w:szCs w:val="24"/>
        </w:rPr>
        <w:t xml:space="preserve"> The U visa, which is broad</w:t>
      </w:r>
      <w:r w:rsidR="00F72E1F" w:rsidRPr="00DE05C9">
        <w:rPr>
          <w:rStyle w:val="None"/>
          <w:rFonts w:cs="Times New Roman"/>
          <w:color w:val="000000" w:themeColor="text1"/>
          <w:sz w:val="24"/>
          <w:szCs w:val="24"/>
        </w:rPr>
        <w:t>er</w:t>
      </w:r>
      <w:r w:rsidRPr="00DE05C9">
        <w:rPr>
          <w:rStyle w:val="None"/>
          <w:rFonts w:cs="Times New Roman"/>
          <w:color w:val="000000" w:themeColor="text1"/>
          <w:sz w:val="24"/>
          <w:szCs w:val="24"/>
        </w:rPr>
        <w:t xml:space="preserve"> than the T visa, includes other crimes in addition to trafficking, such as sexual assault.</w:t>
      </w:r>
      <w:r w:rsidRPr="00DE05C9">
        <w:rPr>
          <w:rStyle w:val="None"/>
          <w:rFonts w:cs="Times New Roman"/>
          <w:color w:val="000000" w:themeColor="text1"/>
          <w:sz w:val="24"/>
          <w:szCs w:val="24"/>
          <w:vertAlign w:val="superscript"/>
        </w:rPr>
        <w:footnoteReference w:id="20"/>
      </w:r>
      <w:r w:rsidRPr="00DE05C9">
        <w:rPr>
          <w:rStyle w:val="None"/>
          <w:rFonts w:cs="Times New Roman"/>
          <w:color w:val="000000" w:themeColor="text1"/>
          <w:sz w:val="24"/>
          <w:szCs w:val="24"/>
        </w:rPr>
        <w:t xml:space="preserve"> While immigration practitioners generally prefer to have trafficking victims apply for a T visa, the U visa has been beneficial in cases where women have histories of trafficking victimization but do not have enough information about their traffickers to sufficiently assist in the case for a T visa. </w:t>
      </w:r>
    </w:p>
    <w:p w14:paraId="2C8C3FC8" w14:textId="77777777" w:rsidR="00D3644F" w:rsidRPr="00DE05C9" w:rsidRDefault="00D3644F" w:rsidP="00DE05C9">
      <w:pPr>
        <w:pStyle w:val="BodyA"/>
        <w:spacing w:line="240" w:lineRule="auto"/>
        <w:jc w:val="both"/>
        <w:rPr>
          <w:rFonts w:cs="Times New Roman"/>
          <w:color w:val="000000" w:themeColor="text1"/>
          <w:sz w:val="24"/>
          <w:szCs w:val="24"/>
        </w:rPr>
      </w:pPr>
    </w:p>
    <w:p w14:paraId="1B77ACE2" w14:textId="72C07D57" w:rsidR="00D3644F" w:rsidRPr="00DE05C9" w:rsidRDefault="006F2481" w:rsidP="00DE05C9">
      <w:pPr>
        <w:pStyle w:val="BodyA"/>
        <w:spacing w:line="240" w:lineRule="auto"/>
        <w:jc w:val="both"/>
        <w:rPr>
          <w:rFonts w:cs="Times New Roman"/>
          <w:color w:val="000000" w:themeColor="text1"/>
          <w:sz w:val="24"/>
          <w:szCs w:val="24"/>
        </w:rPr>
      </w:pPr>
      <w:r w:rsidRPr="00DE05C9">
        <w:rPr>
          <w:rFonts w:cs="Times New Roman"/>
          <w:color w:val="000000" w:themeColor="text1"/>
          <w:sz w:val="24"/>
          <w:szCs w:val="24"/>
        </w:rPr>
        <w:t>The Violence Against Women Act “VAWA” visa is another option for trafficking survivors if their trafficker is a spouse or other family member.</w:t>
      </w:r>
      <w:r w:rsidRPr="00DE05C9">
        <w:rPr>
          <w:rStyle w:val="FootnoteReference"/>
          <w:rFonts w:eastAsia="Times New Roman" w:cs="Times New Roman"/>
          <w:color w:val="000000" w:themeColor="text1"/>
          <w:sz w:val="24"/>
          <w:szCs w:val="24"/>
        </w:rPr>
        <w:footnoteReference w:id="21"/>
      </w:r>
      <w:r w:rsidRPr="00DE05C9">
        <w:rPr>
          <w:rFonts w:cs="Times New Roman"/>
          <w:color w:val="000000" w:themeColor="text1"/>
          <w:sz w:val="24"/>
          <w:szCs w:val="24"/>
        </w:rPr>
        <w:t xml:space="preserve"> This allows women to seek legal residency without the sponsorship of this abusive relative and can encourage women to leave a dangerous trafficking situation.</w:t>
      </w:r>
    </w:p>
    <w:p w14:paraId="593009AE" w14:textId="77777777" w:rsidR="00D3644F" w:rsidRPr="00DE05C9" w:rsidRDefault="00D3644F" w:rsidP="00DE05C9">
      <w:pPr>
        <w:pStyle w:val="BodyA"/>
        <w:spacing w:line="240" w:lineRule="auto"/>
        <w:jc w:val="both"/>
        <w:rPr>
          <w:rFonts w:cs="Times New Roman"/>
          <w:color w:val="000000" w:themeColor="text1"/>
          <w:sz w:val="24"/>
          <w:szCs w:val="24"/>
        </w:rPr>
      </w:pPr>
    </w:p>
    <w:p w14:paraId="22F03F2A" w14:textId="1769054D" w:rsidR="00D3644F" w:rsidRPr="00DE05C9" w:rsidRDefault="007D4868" w:rsidP="00DE05C9">
      <w:pPr>
        <w:pStyle w:val="BodyA"/>
        <w:spacing w:line="240" w:lineRule="auto"/>
        <w:jc w:val="both"/>
        <w:rPr>
          <w:rFonts w:cs="Times New Roman"/>
          <w:color w:val="000000" w:themeColor="text1"/>
          <w:sz w:val="24"/>
          <w:szCs w:val="24"/>
        </w:rPr>
      </w:pPr>
      <w:r w:rsidRPr="00DE05C9">
        <w:rPr>
          <w:rFonts w:cs="Times New Roman"/>
          <w:color w:val="000000" w:themeColor="text1"/>
          <w:sz w:val="24"/>
          <w:szCs w:val="24"/>
        </w:rPr>
        <w:t>These visa programs provide a potential path to citizenship for trafficking victims who meet the applicable requirements.</w:t>
      </w:r>
      <w:r w:rsidR="006F2481" w:rsidRPr="00DE05C9">
        <w:rPr>
          <w:rFonts w:cs="Times New Roman"/>
          <w:color w:val="000000" w:themeColor="text1"/>
          <w:sz w:val="24"/>
          <w:szCs w:val="24"/>
        </w:rPr>
        <w:t xml:space="preserve"> </w:t>
      </w:r>
      <w:r w:rsidR="00360076" w:rsidRPr="00DE05C9">
        <w:rPr>
          <w:rFonts w:cs="Times New Roman"/>
          <w:color w:val="000000" w:themeColor="text1"/>
          <w:sz w:val="24"/>
          <w:szCs w:val="24"/>
        </w:rPr>
        <w:t>By</w:t>
      </w:r>
      <w:r w:rsidR="006F2481" w:rsidRPr="00DE05C9">
        <w:rPr>
          <w:rFonts w:cs="Times New Roman"/>
          <w:color w:val="000000" w:themeColor="text1"/>
          <w:sz w:val="24"/>
          <w:szCs w:val="24"/>
        </w:rPr>
        <w:t xml:space="preserve"> allowing trafficked individuals to remain in the United States, these visa programs limit further disruption to a woman’s life and better encourage recovery. These visas encourage women who have been trafficked to seek help from authorities and identify perpetrators.</w:t>
      </w:r>
    </w:p>
    <w:p w14:paraId="75B3F7C2" w14:textId="77777777" w:rsidR="00D3644F" w:rsidRPr="00DE05C9" w:rsidRDefault="00D3644F" w:rsidP="00DE05C9">
      <w:pPr>
        <w:pStyle w:val="BodyA"/>
        <w:spacing w:line="240" w:lineRule="auto"/>
        <w:jc w:val="both"/>
        <w:rPr>
          <w:rFonts w:cs="Times New Roman"/>
          <w:color w:val="000000" w:themeColor="text1"/>
          <w:sz w:val="24"/>
          <w:szCs w:val="24"/>
        </w:rPr>
      </w:pPr>
    </w:p>
    <w:p w14:paraId="1434D4F3" w14:textId="4A22BAA2" w:rsidR="00D3644F" w:rsidRPr="00DE05C9" w:rsidRDefault="006F2481" w:rsidP="00DE05C9">
      <w:pPr>
        <w:pStyle w:val="BodyA"/>
        <w:spacing w:line="240" w:lineRule="auto"/>
        <w:jc w:val="both"/>
        <w:rPr>
          <w:rFonts w:cs="Times New Roman"/>
          <w:color w:val="000000" w:themeColor="text1"/>
          <w:sz w:val="24"/>
          <w:szCs w:val="24"/>
        </w:rPr>
      </w:pPr>
      <w:r w:rsidRPr="00DE05C9">
        <w:rPr>
          <w:rFonts w:cs="Times New Roman"/>
          <w:color w:val="000000" w:themeColor="text1"/>
          <w:sz w:val="24"/>
          <w:szCs w:val="24"/>
        </w:rPr>
        <w:t>Unfortunately, though, th</w:t>
      </w:r>
      <w:r w:rsidR="00B129A7" w:rsidRPr="00DE05C9">
        <w:rPr>
          <w:rFonts w:cs="Times New Roman"/>
          <w:color w:val="000000" w:themeColor="text1"/>
          <w:sz w:val="24"/>
          <w:szCs w:val="24"/>
        </w:rPr>
        <w:t>ese</w:t>
      </w:r>
      <w:r w:rsidRPr="00DE05C9">
        <w:rPr>
          <w:rFonts w:cs="Times New Roman"/>
          <w:color w:val="000000" w:themeColor="text1"/>
          <w:sz w:val="24"/>
          <w:szCs w:val="24"/>
        </w:rPr>
        <w:t xml:space="preserve"> visa program</w:t>
      </w:r>
      <w:r w:rsidR="00B129A7" w:rsidRPr="00DE05C9">
        <w:rPr>
          <w:rFonts w:cs="Times New Roman"/>
          <w:color w:val="000000" w:themeColor="text1"/>
          <w:sz w:val="24"/>
          <w:szCs w:val="24"/>
        </w:rPr>
        <w:t>s</w:t>
      </w:r>
      <w:r w:rsidRPr="00DE05C9">
        <w:rPr>
          <w:rFonts w:cs="Times New Roman"/>
          <w:color w:val="000000" w:themeColor="text1"/>
          <w:sz w:val="24"/>
          <w:szCs w:val="24"/>
        </w:rPr>
        <w:t xml:space="preserve"> ha</w:t>
      </w:r>
      <w:r w:rsidR="00B129A7" w:rsidRPr="00DE05C9">
        <w:rPr>
          <w:rFonts w:cs="Times New Roman"/>
          <w:color w:val="000000" w:themeColor="text1"/>
          <w:sz w:val="24"/>
          <w:szCs w:val="24"/>
        </w:rPr>
        <w:t>ve</w:t>
      </w:r>
      <w:r w:rsidRPr="00DE05C9">
        <w:rPr>
          <w:rFonts w:cs="Times New Roman"/>
          <w:color w:val="000000" w:themeColor="text1"/>
          <w:sz w:val="24"/>
          <w:szCs w:val="24"/>
        </w:rPr>
        <w:t xml:space="preserve"> not assisted as many individuals </w:t>
      </w:r>
      <w:r w:rsidR="007278DF" w:rsidRPr="00DE05C9">
        <w:rPr>
          <w:rFonts w:cs="Times New Roman"/>
          <w:color w:val="000000" w:themeColor="text1"/>
          <w:sz w:val="24"/>
          <w:szCs w:val="24"/>
        </w:rPr>
        <w:t xml:space="preserve">as they should </w:t>
      </w:r>
      <w:r w:rsidRPr="00DE05C9">
        <w:rPr>
          <w:rFonts w:cs="Times New Roman"/>
          <w:color w:val="000000" w:themeColor="text1"/>
          <w:sz w:val="24"/>
          <w:szCs w:val="24"/>
        </w:rPr>
        <w:t>due to barriers in the application process. For instance, undocumented victims are often afraid to go to the authorities due to fear of deportation, and the application process is very involved and difficult without a lawyer. Th</w:t>
      </w:r>
      <w:r w:rsidR="006A6FCB" w:rsidRPr="00DE05C9">
        <w:rPr>
          <w:rFonts w:cs="Times New Roman"/>
          <w:color w:val="000000" w:themeColor="text1"/>
          <w:sz w:val="24"/>
          <w:szCs w:val="24"/>
        </w:rPr>
        <w:t>ese</w:t>
      </w:r>
      <w:r w:rsidRPr="00DE05C9">
        <w:rPr>
          <w:rFonts w:cs="Times New Roman"/>
          <w:color w:val="000000" w:themeColor="text1"/>
          <w:sz w:val="24"/>
          <w:szCs w:val="24"/>
        </w:rPr>
        <w:t xml:space="preserve"> issue</w:t>
      </w:r>
      <w:r w:rsidR="006A6FCB" w:rsidRPr="00DE05C9">
        <w:rPr>
          <w:rFonts w:cs="Times New Roman"/>
          <w:color w:val="000000" w:themeColor="text1"/>
          <w:sz w:val="24"/>
          <w:szCs w:val="24"/>
        </w:rPr>
        <w:t>s</w:t>
      </w:r>
      <w:r w:rsidRPr="00DE05C9">
        <w:rPr>
          <w:rFonts w:cs="Times New Roman"/>
          <w:color w:val="000000" w:themeColor="text1"/>
          <w:sz w:val="24"/>
          <w:szCs w:val="24"/>
        </w:rPr>
        <w:t xml:space="preserve"> </w:t>
      </w:r>
      <w:r w:rsidR="006A6FCB" w:rsidRPr="00DE05C9">
        <w:rPr>
          <w:rFonts w:cs="Times New Roman"/>
          <w:color w:val="000000" w:themeColor="text1"/>
          <w:sz w:val="24"/>
          <w:szCs w:val="24"/>
        </w:rPr>
        <w:t>are</w:t>
      </w:r>
      <w:r w:rsidRPr="00DE05C9">
        <w:rPr>
          <w:rFonts w:cs="Times New Roman"/>
          <w:color w:val="000000" w:themeColor="text1"/>
          <w:sz w:val="24"/>
          <w:szCs w:val="24"/>
        </w:rPr>
        <w:t xml:space="preserve"> compounded by a general lack of information among the public and</w:t>
      </w:r>
      <w:r w:rsidR="0018136B" w:rsidRPr="00DE05C9">
        <w:rPr>
          <w:rFonts w:cs="Times New Roman"/>
          <w:color w:val="000000" w:themeColor="text1"/>
          <w:sz w:val="24"/>
          <w:szCs w:val="24"/>
        </w:rPr>
        <w:t xml:space="preserve"> even among</w:t>
      </w:r>
      <w:r w:rsidRPr="00DE05C9">
        <w:rPr>
          <w:rFonts w:cs="Times New Roman"/>
          <w:color w:val="000000" w:themeColor="text1"/>
          <w:sz w:val="24"/>
          <w:szCs w:val="24"/>
        </w:rPr>
        <w:t xml:space="preserve"> immigration law practitioners. As a result of these issues, the government grants far fewer visas than </w:t>
      </w:r>
      <w:r w:rsidR="00E202DF" w:rsidRPr="00DE05C9">
        <w:rPr>
          <w:rFonts w:cs="Times New Roman"/>
          <w:color w:val="000000" w:themeColor="text1"/>
          <w:sz w:val="24"/>
          <w:szCs w:val="24"/>
        </w:rPr>
        <w:t>it should</w:t>
      </w:r>
      <w:r w:rsidRPr="00DE05C9">
        <w:rPr>
          <w:rFonts w:cs="Times New Roman"/>
          <w:color w:val="000000" w:themeColor="text1"/>
          <w:sz w:val="24"/>
          <w:szCs w:val="24"/>
        </w:rPr>
        <w:t xml:space="preserve">. In spite of these barriers within the application and granting process, the creation of these visa programs provides necessary options for women and girls who have been trafficked </w:t>
      </w:r>
      <w:r w:rsidRPr="00DE05C9">
        <w:rPr>
          <w:rFonts w:cs="Times New Roman"/>
          <w:color w:val="000000" w:themeColor="text1"/>
          <w:sz w:val="24"/>
          <w:szCs w:val="24"/>
        </w:rPr>
        <w:lastRenderedPageBreak/>
        <w:t>to gain legal status</w:t>
      </w:r>
      <w:r w:rsidR="00497565" w:rsidRPr="00DE05C9">
        <w:rPr>
          <w:rFonts w:cs="Times New Roman"/>
          <w:color w:val="000000" w:themeColor="text1"/>
          <w:sz w:val="24"/>
          <w:szCs w:val="24"/>
        </w:rPr>
        <w:t>. Other</w:t>
      </w:r>
      <w:r w:rsidRPr="00DE05C9">
        <w:rPr>
          <w:rFonts w:cs="Times New Roman"/>
          <w:color w:val="000000" w:themeColor="text1"/>
          <w:sz w:val="24"/>
          <w:szCs w:val="24"/>
        </w:rPr>
        <w:t xml:space="preserve"> States wishing to emulate these programs can improve on this system by ensuring proper and complete information is widely communicated in a variety of languages and venues where trafficking victims may encounter it.</w:t>
      </w:r>
    </w:p>
    <w:p w14:paraId="49DA3157" w14:textId="77777777" w:rsidR="00D3644F" w:rsidRPr="00DE05C9" w:rsidRDefault="00D3644F" w:rsidP="00DE05C9">
      <w:pPr>
        <w:pStyle w:val="BodyA"/>
        <w:spacing w:line="240" w:lineRule="auto"/>
        <w:jc w:val="both"/>
        <w:rPr>
          <w:rFonts w:cs="Times New Roman"/>
          <w:color w:val="000000" w:themeColor="text1"/>
          <w:sz w:val="24"/>
          <w:szCs w:val="24"/>
        </w:rPr>
      </w:pPr>
    </w:p>
    <w:p w14:paraId="6D6C5C47" w14:textId="77777777" w:rsidR="006903ED" w:rsidRPr="00DE05C9" w:rsidRDefault="006F2481" w:rsidP="00DE05C9">
      <w:pPr>
        <w:pStyle w:val="BodyA"/>
        <w:spacing w:line="240" w:lineRule="auto"/>
        <w:jc w:val="both"/>
        <w:rPr>
          <w:rFonts w:cs="Times New Roman"/>
          <w:b/>
          <w:color w:val="000000" w:themeColor="text1"/>
          <w:sz w:val="24"/>
          <w:szCs w:val="24"/>
        </w:rPr>
      </w:pPr>
      <w:r w:rsidRPr="00DE05C9">
        <w:rPr>
          <w:rFonts w:cs="Times New Roman"/>
          <w:b/>
          <w:color w:val="000000" w:themeColor="text1"/>
          <w:sz w:val="24"/>
          <w:szCs w:val="24"/>
        </w:rPr>
        <w:t>C.</w:t>
      </w:r>
      <w:r w:rsidR="00417B06" w:rsidRPr="00DE05C9">
        <w:rPr>
          <w:rFonts w:cs="Times New Roman"/>
          <w:b/>
          <w:color w:val="000000" w:themeColor="text1"/>
          <w:sz w:val="24"/>
          <w:szCs w:val="24"/>
        </w:rPr>
        <w:t xml:space="preserve"> </w:t>
      </w:r>
      <w:r w:rsidRPr="00DE05C9">
        <w:rPr>
          <w:rFonts w:cs="Times New Roman"/>
          <w:b/>
          <w:color w:val="000000" w:themeColor="text1"/>
          <w:sz w:val="24"/>
          <w:szCs w:val="24"/>
        </w:rPr>
        <w:t xml:space="preserve">Recommendations on Ending Criminalization of Trafficked Women and Girls and </w:t>
      </w:r>
    </w:p>
    <w:p w14:paraId="52A39FE2" w14:textId="220D25B5" w:rsidR="00D3644F" w:rsidRPr="00DE05C9" w:rsidRDefault="006F2481" w:rsidP="00DE05C9">
      <w:pPr>
        <w:pStyle w:val="BodyA"/>
        <w:spacing w:line="240" w:lineRule="auto"/>
        <w:ind w:left="270"/>
        <w:jc w:val="both"/>
        <w:rPr>
          <w:rFonts w:cs="Times New Roman"/>
          <w:b/>
          <w:color w:val="000000" w:themeColor="text1"/>
          <w:sz w:val="24"/>
          <w:szCs w:val="24"/>
        </w:rPr>
      </w:pPr>
      <w:r w:rsidRPr="00DE05C9">
        <w:rPr>
          <w:rFonts w:cs="Times New Roman"/>
          <w:b/>
          <w:color w:val="000000" w:themeColor="text1"/>
          <w:sz w:val="24"/>
          <w:szCs w:val="24"/>
        </w:rPr>
        <w:t>Providing</w:t>
      </w:r>
      <w:r w:rsidR="00417B06" w:rsidRPr="00DE05C9">
        <w:rPr>
          <w:rFonts w:cs="Times New Roman"/>
          <w:b/>
          <w:color w:val="000000" w:themeColor="text1"/>
          <w:sz w:val="24"/>
          <w:szCs w:val="24"/>
        </w:rPr>
        <w:t xml:space="preserve"> </w:t>
      </w:r>
      <w:r w:rsidRPr="00DE05C9">
        <w:rPr>
          <w:rFonts w:cs="Times New Roman"/>
          <w:b/>
          <w:color w:val="000000" w:themeColor="text1"/>
          <w:sz w:val="24"/>
          <w:szCs w:val="24"/>
        </w:rPr>
        <w:t>Appropriate Legal Assistance</w:t>
      </w:r>
    </w:p>
    <w:p w14:paraId="6A3993AA" w14:textId="77777777" w:rsidR="00D3644F" w:rsidRPr="00DE05C9" w:rsidRDefault="00D3644F" w:rsidP="00DE05C9">
      <w:pPr>
        <w:pStyle w:val="BodyA"/>
        <w:spacing w:line="240" w:lineRule="auto"/>
        <w:jc w:val="both"/>
        <w:rPr>
          <w:rFonts w:cs="Times New Roman"/>
          <w:color w:val="000000" w:themeColor="text1"/>
          <w:sz w:val="24"/>
          <w:szCs w:val="24"/>
        </w:rPr>
      </w:pPr>
    </w:p>
    <w:p w14:paraId="3DE2D68C" w14:textId="67742497" w:rsidR="00D3644F" w:rsidRPr="00DE05C9" w:rsidRDefault="006F2481" w:rsidP="00DE05C9">
      <w:pPr>
        <w:pStyle w:val="BodyA"/>
        <w:spacing w:line="240" w:lineRule="auto"/>
        <w:jc w:val="both"/>
        <w:rPr>
          <w:rFonts w:cs="Times New Roman"/>
          <w:color w:val="000000" w:themeColor="text1"/>
          <w:sz w:val="24"/>
          <w:szCs w:val="24"/>
        </w:rPr>
      </w:pPr>
      <w:r w:rsidRPr="00DE05C9">
        <w:rPr>
          <w:rFonts w:cs="Times New Roman"/>
          <w:color w:val="000000" w:themeColor="text1"/>
          <w:sz w:val="24"/>
          <w:szCs w:val="24"/>
        </w:rPr>
        <w:t>While not completely devoid of problems, the laws and policies implemented in the U</w:t>
      </w:r>
      <w:r w:rsidR="00DC72D3" w:rsidRPr="00DE05C9">
        <w:rPr>
          <w:rFonts w:cs="Times New Roman"/>
          <w:color w:val="000000" w:themeColor="text1"/>
          <w:sz w:val="24"/>
          <w:szCs w:val="24"/>
        </w:rPr>
        <w:t>nited States</w:t>
      </w:r>
      <w:r w:rsidRPr="00DE05C9">
        <w:rPr>
          <w:rFonts w:cs="Times New Roman"/>
          <w:color w:val="000000" w:themeColor="text1"/>
          <w:sz w:val="24"/>
          <w:szCs w:val="24"/>
        </w:rPr>
        <w:t xml:space="preserve">, specifically in Illinois and Chicago, that are </w:t>
      </w:r>
      <w:r w:rsidR="00840885" w:rsidRPr="00DE05C9">
        <w:rPr>
          <w:rFonts w:cs="Times New Roman"/>
          <w:color w:val="000000" w:themeColor="text1"/>
          <w:sz w:val="24"/>
          <w:szCs w:val="24"/>
        </w:rPr>
        <w:t>described above</w:t>
      </w:r>
      <w:r w:rsidRPr="00DE05C9">
        <w:rPr>
          <w:rFonts w:cs="Times New Roman"/>
          <w:color w:val="000000" w:themeColor="text1"/>
          <w:sz w:val="24"/>
          <w:szCs w:val="24"/>
        </w:rPr>
        <w:t xml:space="preserve"> provide important insights to guide States parties’ in providing appropriate legal assistance and services to trafficked women and girls. Based on these policies and the experiences of the organizations providing this submission, we respectfully recommend the Committee include the following points in its General Recommendation on the trafficking of women and girls in the context of global migration:</w:t>
      </w:r>
      <w:r w:rsidRPr="00DE05C9">
        <w:rPr>
          <w:rStyle w:val="None"/>
          <w:rFonts w:cs="Times New Roman"/>
          <w:color w:val="000000" w:themeColor="text1"/>
          <w:sz w:val="24"/>
          <w:szCs w:val="24"/>
        </w:rPr>
        <w:br/>
      </w:r>
    </w:p>
    <w:p w14:paraId="424D8104" w14:textId="01F0788B" w:rsidR="00D3644F" w:rsidRPr="00DE05C9" w:rsidRDefault="006F2481" w:rsidP="00DE05C9">
      <w:pPr>
        <w:pStyle w:val="BodyA"/>
        <w:spacing w:line="240" w:lineRule="auto"/>
        <w:jc w:val="both"/>
        <w:rPr>
          <w:rStyle w:val="None"/>
          <w:rFonts w:cs="Times New Roman"/>
          <w:b/>
          <w:bCs/>
          <w:i/>
          <w:iCs/>
          <w:color w:val="000000" w:themeColor="text1"/>
          <w:sz w:val="24"/>
          <w:szCs w:val="24"/>
        </w:rPr>
      </w:pPr>
      <w:r w:rsidRPr="00DE05C9">
        <w:rPr>
          <w:rStyle w:val="None"/>
          <w:rFonts w:cs="Times New Roman"/>
          <w:b/>
          <w:bCs/>
          <w:i/>
          <w:iCs/>
          <w:color w:val="000000" w:themeColor="text1"/>
          <w:sz w:val="24"/>
          <w:szCs w:val="24"/>
        </w:rPr>
        <w:t>Recommendation: States Parties must create and implement laws and policies targeted toward ending the criminalization of trafficked women and girls, specifically:</w:t>
      </w:r>
    </w:p>
    <w:p w14:paraId="014D0E71" w14:textId="77777777" w:rsidR="00DE05C9" w:rsidRPr="00DE05C9" w:rsidRDefault="00DE05C9" w:rsidP="00DE05C9">
      <w:pPr>
        <w:pStyle w:val="BodyA"/>
        <w:spacing w:line="240" w:lineRule="auto"/>
        <w:jc w:val="both"/>
        <w:rPr>
          <w:rStyle w:val="None"/>
          <w:rFonts w:cs="Times New Roman"/>
          <w:b/>
          <w:bCs/>
          <w:i/>
          <w:iCs/>
          <w:color w:val="000000" w:themeColor="text1"/>
          <w:sz w:val="24"/>
          <w:szCs w:val="24"/>
        </w:rPr>
      </w:pPr>
    </w:p>
    <w:p w14:paraId="325B4D39" w14:textId="61E670BD" w:rsidR="00D3644F" w:rsidRPr="00DE05C9" w:rsidRDefault="006F2481" w:rsidP="00DE05C9">
      <w:pPr>
        <w:pStyle w:val="BodyA"/>
        <w:numPr>
          <w:ilvl w:val="1"/>
          <w:numId w:val="2"/>
        </w:numPr>
        <w:spacing w:line="240" w:lineRule="auto"/>
        <w:jc w:val="both"/>
        <w:rPr>
          <w:rFonts w:cs="Times New Roman"/>
          <w:b/>
          <w:bCs/>
          <w:i/>
          <w:iCs/>
          <w:color w:val="000000" w:themeColor="text1"/>
          <w:sz w:val="24"/>
          <w:szCs w:val="24"/>
        </w:rPr>
      </w:pPr>
      <w:r w:rsidRPr="00DE05C9">
        <w:rPr>
          <w:rFonts w:cs="Times New Roman"/>
          <w:b/>
          <w:bCs/>
          <w:i/>
          <w:iCs/>
          <w:color w:val="000000" w:themeColor="text1"/>
          <w:sz w:val="24"/>
          <w:szCs w:val="24"/>
        </w:rPr>
        <w:t xml:space="preserve">Fully institute laws to ensure juveniles under the age of 18 who are engaged in prostitution are identified as victims of </w:t>
      </w:r>
      <w:r w:rsidR="00EC2AC6" w:rsidRPr="00DE05C9">
        <w:rPr>
          <w:rFonts w:cs="Times New Roman"/>
          <w:b/>
          <w:bCs/>
          <w:i/>
          <w:iCs/>
          <w:color w:val="000000" w:themeColor="text1"/>
          <w:sz w:val="24"/>
          <w:szCs w:val="24"/>
        </w:rPr>
        <w:t xml:space="preserve">trafficking </w:t>
      </w:r>
      <w:r w:rsidRPr="00DE05C9">
        <w:rPr>
          <w:rFonts w:cs="Times New Roman"/>
          <w:b/>
          <w:bCs/>
          <w:i/>
          <w:iCs/>
          <w:color w:val="000000" w:themeColor="text1"/>
          <w:sz w:val="24"/>
          <w:szCs w:val="24"/>
        </w:rPr>
        <w:t>and offered age-appropriate, trauma-informed, and survivor-centered services;</w:t>
      </w:r>
    </w:p>
    <w:p w14:paraId="607FEDA8" w14:textId="77777777" w:rsidR="00DE05C9" w:rsidRPr="00DE05C9" w:rsidRDefault="00DE05C9" w:rsidP="00DE05C9">
      <w:pPr>
        <w:pStyle w:val="BodyA"/>
        <w:spacing w:line="240" w:lineRule="auto"/>
        <w:ind w:left="1440"/>
        <w:jc w:val="both"/>
        <w:rPr>
          <w:rFonts w:cs="Times New Roman"/>
          <w:b/>
          <w:bCs/>
          <w:i/>
          <w:iCs/>
          <w:color w:val="000000" w:themeColor="text1"/>
          <w:sz w:val="24"/>
          <w:szCs w:val="24"/>
        </w:rPr>
      </w:pPr>
    </w:p>
    <w:p w14:paraId="73AE4438" w14:textId="04574C10" w:rsidR="00D3644F" w:rsidRPr="00DE05C9" w:rsidRDefault="006F2481" w:rsidP="00DE05C9">
      <w:pPr>
        <w:pStyle w:val="BodyA"/>
        <w:numPr>
          <w:ilvl w:val="1"/>
          <w:numId w:val="2"/>
        </w:numPr>
        <w:spacing w:line="240" w:lineRule="auto"/>
        <w:jc w:val="both"/>
        <w:rPr>
          <w:rFonts w:cs="Times New Roman"/>
          <w:b/>
          <w:bCs/>
          <w:i/>
          <w:iCs/>
          <w:color w:val="000000" w:themeColor="text1"/>
          <w:sz w:val="24"/>
          <w:szCs w:val="24"/>
        </w:rPr>
      </w:pPr>
      <w:r w:rsidRPr="00DE05C9">
        <w:rPr>
          <w:rFonts w:cs="Times New Roman"/>
          <w:b/>
          <w:bCs/>
          <w:i/>
          <w:iCs/>
          <w:color w:val="000000" w:themeColor="text1"/>
          <w:sz w:val="24"/>
          <w:szCs w:val="24"/>
        </w:rPr>
        <w:lastRenderedPageBreak/>
        <w:t>Create programs that operate as alternatives to the traditional criminal justice system to address crimes with which trafficked women and girls are regularly charged, including prostitution and collateral offenses, as well as immigration-related offenses;</w:t>
      </w:r>
    </w:p>
    <w:p w14:paraId="240DA5DB" w14:textId="77777777" w:rsidR="00DE05C9" w:rsidRPr="00DE05C9" w:rsidRDefault="00DE05C9" w:rsidP="00DE05C9">
      <w:pPr>
        <w:pStyle w:val="BodyA"/>
        <w:spacing w:line="240" w:lineRule="auto"/>
        <w:ind w:left="1440"/>
        <w:jc w:val="both"/>
        <w:rPr>
          <w:rFonts w:cs="Times New Roman"/>
          <w:b/>
          <w:bCs/>
          <w:i/>
          <w:iCs/>
          <w:color w:val="000000" w:themeColor="text1"/>
          <w:sz w:val="24"/>
          <w:szCs w:val="24"/>
        </w:rPr>
      </w:pPr>
    </w:p>
    <w:p w14:paraId="7F7C013D" w14:textId="22194425" w:rsidR="00D3644F" w:rsidRPr="00DE05C9" w:rsidRDefault="006F2481" w:rsidP="00DE05C9">
      <w:pPr>
        <w:pStyle w:val="BodyA"/>
        <w:numPr>
          <w:ilvl w:val="1"/>
          <w:numId w:val="2"/>
        </w:numPr>
        <w:spacing w:line="240" w:lineRule="auto"/>
        <w:jc w:val="both"/>
        <w:rPr>
          <w:rFonts w:cs="Times New Roman"/>
          <w:b/>
          <w:bCs/>
          <w:i/>
          <w:iCs/>
          <w:color w:val="000000" w:themeColor="text1"/>
          <w:sz w:val="24"/>
          <w:szCs w:val="24"/>
        </w:rPr>
      </w:pPr>
      <w:r w:rsidRPr="00DE05C9">
        <w:rPr>
          <w:rFonts w:cs="Times New Roman"/>
          <w:b/>
          <w:bCs/>
          <w:i/>
          <w:iCs/>
          <w:color w:val="000000" w:themeColor="text1"/>
          <w:sz w:val="24"/>
          <w:szCs w:val="24"/>
        </w:rPr>
        <w:t>Address past criminalization of trafficked women and girls by providing comprehensive remedies to clear criminal records that cover the myriad crimes with which victims have been charged; and</w:t>
      </w:r>
    </w:p>
    <w:p w14:paraId="3E580B0B" w14:textId="77777777" w:rsidR="00DE05C9" w:rsidRPr="00DE05C9" w:rsidRDefault="00DE05C9" w:rsidP="00DE05C9">
      <w:pPr>
        <w:pStyle w:val="BodyA"/>
        <w:spacing w:line="240" w:lineRule="auto"/>
        <w:ind w:left="1440"/>
        <w:jc w:val="both"/>
        <w:rPr>
          <w:rFonts w:cs="Times New Roman"/>
          <w:b/>
          <w:bCs/>
          <w:i/>
          <w:iCs/>
          <w:color w:val="000000" w:themeColor="text1"/>
          <w:sz w:val="24"/>
          <w:szCs w:val="24"/>
        </w:rPr>
      </w:pPr>
    </w:p>
    <w:p w14:paraId="214C8AE0" w14:textId="6C06D0D1" w:rsidR="00D3644F" w:rsidRPr="00DB0322" w:rsidRDefault="006F2481" w:rsidP="00265BF1">
      <w:pPr>
        <w:pStyle w:val="BodyA"/>
        <w:numPr>
          <w:ilvl w:val="1"/>
          <w:numId w:val="2"/>
        </w:numPr>
        <w:spacing w:line="240" w:lineRule="auto"/>
        <w:jc w:val="both"/>
        <w:rPr>
          <w:rFonts w:cs="Times New Roman"/>
          <w:b/>
          <w:bCs/>
          <w:i/>
          <w:iCs/>
          <w:color w:val="auto"/>
          <w:sz w:val="24"/>
          <w:szCs w:val="24"/>
        </w:rPr>
      </w:pPr>
      <w:r w:rsidRPr="00DB0322">
        <w:rPr>
          <w:rFonts w:cs="Times New Roman"/>
          <w:b/>
          <w:bCs/>
          <w:i/>
          <w:iCs/>
          <w:color w:val="000000" w:themeColor="text1"/>
          <w:sz w:val="24"/>
          <w:szCs w:val="24"/>
        </w:rPr>
        <w:t>Provide trafficked women and girls with various legal immigration options that not only offer safety and security for their immigration status but also encourage engagement and participation in the prosecution of traffickers.</w:t>
      </w:r>
    </w:p>
    <w:p w14:paraId="44DED5E3" w14:textId="77777777" w:rsidR="00DB0322" w:rsidRDefault="00DB0322" w:rsidP="00DE05C9">
      <w:pPr>
        <w:pStyle w:val="Heading4"/>
        <w:keepNext w:val="0"/>
        <w:keepLines w:val="0"/>
        <w:spacing w:before="0" w:after="0" w:line="240" w:lineRule="auto"/>
        <w:jc w:val="both"/>
        <w:rPr>
          <w:rStyle w:val="None"/>
          <w:rFonts w:cs="Times New Roman"/>
          <w:b/>
          <w:color w:val="auto"/>
          <w:u w:color="000000"/>
        </w:rPr>
      </w:pPr>
    </w:p>
    <w:p w14:paraId="00EF562C" w14:textId="5C74D015" w:rsidR="003A1EFF" w:rsidRPr="00DE05C9" w:rsidRDefault="006F2481" w:rsidP="00DE05C9">
      <w:pPr>
        <w:pStyle w:val="Heading4"/>
        <w:keepNext w:val="0"/>
        <w:keepLines w:val="0"/>
        <w:spacing w:before="0" w:after="0" w:line="240" w:lineRule="auto"/>
        <w:jc w:val="both"/>
        <w:rPr>
          <w:rFonts w:cs="Times New Roman"/>
          <w:b/>
          <w:color w:val="auto"/>
        </w:rPr>
      </w:pPr>
      <w:r w:rsidRPr="00DE05C9">
        <w:rPr>
          <w:rStyle w:val="None"/>
          <w:rFonts w:cs="Times New Roman"/>
          <w:b/>
          <w:color w:val="auto"/>
          <w:u w:color="000000"/>
        </w:rPr>
        <w:t>II.</w:t>
      </w:r>
      <w:r w:rsidR="00213E1D" w:rsidRPr="00DE05C9">
        <w:rPr>
          <w:rStyle w:val="None"/>
          <w:rFonts w:cs="Times New Roman"/>
          <w:b/>
          <w:color w:val="auto"/>
          <w:u w:color="000000"/>
        </w:rPr>
        <w:t xml:space="preserve"> </w:t>
      </w:r>
      <w:r w:rsidR="003A1EFF" w:rsidRPr="00DE05C9">
        <w:rPr>
          <w:rFonts w:cs="Times New Roman"/>
          <w:b/>
          <w:color w:val="auto"/>
        </w:rPr>
        <w:t xml:space="preserve">States parties must revoke border entry policies that increase migrants’ vulnerability to </w:t>
      </w:r>
    </w:p>
    <w:p w14:paraId="3B08E401" w14:textId="2ACFCCC4" w:rsidR="003A1EFF" w:rsidRPr="00DE05C9" w:rsidRDefault="003A1EFF" w:rsidP="00DE05C9">
      <w:pPr>
        <w:pStyle w:val="Heading4"/>
        <w:keepNext w:val="0"/>
        <w:keepLines w:val="0"/>
        <w:spacing w:before="0" w:after="0" w:line="240" w:lineRule="auto"/>
        <w:ind w:left="270"/>
        <w:jc w:val="both"/>
        <w:rPr>
          <w:rFonts w:cs="Times New Roman"/>
          <w:b/>
          <w:color w:val="auto"/>
          <w:u w:color="000000"/>
        </w:rPr>
      </w:pPr>
      <w:r w:rsidRPr="00DE05C9">
        <w:rPr>
          <w:rFonts w:cs="Times New Roman"/>
          <w:b/>
          <w:color w:val="auto"/>
        </w:rPr>
        <w:t>trafficking by preventing asylum-seekers from crossing a border in a timely manner</w:t>
      </w:r>
    </w:p>
    <w:p w14:paraId="7EB70F24" w14:textId="77777777" w:rsidR="00440414" w:rsidRPr="00DE05C9" w:rsidRDefault="00440414" w:rsidP="00DE05C9">
      <w:pPr>
        <w:ind w:left="720" w:hanging="720"/>
        <w:jc w:val="both"/>
      </w:pPr>
    </w:p>
    <w:p w14:paraId="4FCCD249" w14:textId="77777777" w:rsidR="00440414" w:rsidRPr="00DE05C9" w:rsidRDefault="00440414" w:rsidP="00DE05C9">
      <w:pPr>
        <w:pStyle w:val="BodyA"/>
        <w:spacing w:line="240" w:lineRule="auto"/>
        <w:jc w:val="both"/>
        <w:rPr>
          <w:rStyle w:val="None"/>
          <w:rFonts w:cs="Times New Roman"/>
          <w:sz w:val="24"/>
          <w:szCs w:val="24"/>
        </w:rPr>
      </w:pPr>
      <w:r w:rsidRPr="00DE05C9">
        <w:rPr>
          <w:rStyle w:val="None"/>
          <w:rFonts w:cs="Times New Roman"/>
          <w:sz w:val="24"/>
          <w:szCs w:val="24"/>
        </w:rPr>
        <w:t xml:space="preserve">State policies that have the purpose or effect of impeding access to the asylum application process increase the vulnerability of migrants, particularly women and girls, to trafficking. Migrants fleeing persecution have the right to apply for asylum in the countries in which they seek refuge.  State policies that impede their ability to do so are incompatible with the right to asylum. These policies are particularly dangerous when they lead to </w:t>
      </w:r>
      <w:r w:rsidRPr="00DE05C9">
        <w:rPr>
          <w:rStyle w:val="None"/>
          <w:rFonts w:cs="Times New Roman"/>
          <w:sz w:val="24"/>
          <w:szCs w:val="24"/>
        </w:rPr>
        <w:lastRenderedPageBreak/>
        <w:t>situations where hundreds or thousands of migrants are encamped at a border, unable to enter the country of refuge to apply for asylum.  Women and girls trapped in such encampments face a heightened risk of becoming victims of traffickers.</w:t>
      </w:r>
    </w:p>
    <w:p w14:paraId="7FAC1E3F" w14:textId="77777777" w:rsidR="00440414" w:rsidRPr="00DE05C9" w:rsidRDefault="00440414" w:rsidP="00DE05C9">
      <w:pPr>
        <w:pStyle w:val="BodyA"/>
        <w:spacing w:line="240" w:lineRule="auto"/>
        <w:jc w:val="both"/>
        <w:rPr>
          <w:rStyle w:val="None"/>
          <w:rFonts w:cs="Times New Roman"/>
          <w:sz w:val="24"/>
          <w:szCs w:val="24"/>
        </w:rPr>
      </w:pPr>
    </w:p>
    <w:p w14:paraId="09114E07" w14:textId="150C8520" w:rsidR="00440414" w:rsidRPr="00DE05C9" w:rsidRDefault="00440414" w:rsidP="00DE05C9">
      <w:pPr>
        <w:pStyle w:val="BodyA"/>
        <w:spacing w:line="240" w:lineRule="auto"/>
        <w:jc w:val="both"/>
        <w:rPr>
          <w:rStyle w:val="None"/>
          <w:rFonts w:cs="Times New Roman"/>
          <w:sz w:val="24"/>
          <w:szCs w:val="24"/>
        </w:rPr>
      </w:pPr>
      <w:r w:rsidRPr="00DE05C9">
        <w:rPr>
          <w:rStyle w:val="None"/>
          <w:rFonts w:cs="Times New Roman"/>
          <w:sz w:val="24"/>
          <w:szCs w:val="24"/>
        </w:rPr>
        <w:t>The current situation at the U</w:t>
      </w:r>
      <w:r w:rsidR="00C83F84" w:rsidRPr="00DE05C9">
        <w:rPr>
          <w:rStyle w:val="None"/>
          <w:rFonts w:cs="Times New Roman"/>
          <w:sz w:val="24"/>
          <w:szCs w:val="24"/>
        </w:rPr>
        <w:t>nited States</w:t>
      </w:r>
      <w:r w:rsidRPr="00DE05C9">
        <w:rPr>
          <w:rStyle w:val="None"/>
          <w:rFonts w:cs="Times New Roman"/>
          <w:sz w:val="24"/>
          <w:szCs w:val="24"/>
        </w:rPr>
        <w:t xml:space="preserve">-Mexico border has created increased vulnerability to trafficking for the migrants attempting to enter the United States. Fleeing extreme violence in their home countries – notably Honduras, El Salvador and Guatemala, but other countries as well – thousands of migrants have traveled to the </w:t>
      </w:r>
      <w:r w:rsidR="00C83F84" w:rsidRPr="00DE05C9">
        <w:rPr>
          <w:rStyle w:val="None"/>
          <w:rFonts w:cs="Times New Roman"/>
          <w:sz w:val="24"/>
          <w:szCs w:val="24"/>
        </w:rPr>
        <w:t>United States</w:t>
      </w:r>
      <w:r w:rsidRPr="00DE05C9">
        <w:rPr>
          <w:rStyle w:val="None"/>
          <w:rFonts w:cs="Times New Roman"/>
          <w:sz w:val="24"/>
          <w:szCs w:val="24"/>
        </w:rPr>
        <w:t>-Mexico border in order to apply for asylum in the United States.</w:t>
      </w:r>
      <w:r w:rsidRPr="00DE05C9">
        <w:rPr>
          <w:rStyle w:val="None"/>
          <w:rFonts w:cs="Times New Roman"/>
          <w:sz w:val="24"/>
          <w:szCs w:val="24"/>
          <w:vertAlign w:val="superscript"/>
        </w:rPr>
        <w:footnoteReference w:id="22"/>
      </w:r>
      <w:r w:rsidRPr="00DE05C9">
        <w:rPr>
          <w:rStyle w:val="None"/>
          <w:rFonts w:cs="Times New Roman"/>
          <w:sz w:val="24"/>
          <w:szCs w:val="24"/>
        </w:rPr>
        <w:t xml:space="preserve">  In contrast to earlier waves of migration, the people fleeing violence in these three Central American countries include a large percentage of women and girls. The journey from their home countries to the U.S. border is an arduous and dangerous one, and so in order to reduce the dangers they encounter along the way, many migrants in this current wave of migration have chosen to travel in groups, termed “caravans.”</w:t>
      </w:r>
      <w:r w:rsidRPr="00DE05C9">
        <w:rPr>
          <w:rStyle w:val="None"/>
          <w:rFonts w:cs="Times New Roman"/>
          <w:sz w:val="24"/>
          <w:szCs w:val="24"/>
          <w:vertAlign w:val="superscript"/>
        </w:rPr>
        <w:footnoteReference w:id="23"/>
      </w:r>
      <w:r w:rsidRPr="00DE05C9">
        <w:rPr>
          <w:rStyle w:val="None"/>
          <w:rFonts w:cs="Times New Roman"/>
          <w:sz w:val="24"/>
          <w:szCs w:val="24"/>
        </w:rPr>
        <w:t xml:space="preserve">  </w:t>
      </w:r>
    </w:p>
    <w:p w14:paraId="77EB0ED3" w14:textId="77777777" w:rsidR="00440414" w:rsidRPr="00DE05C9" w:rsidRDefault="00440414" w:rsidP="00DE05C9">
      <w:pPr>
        <w:pStyle w:val="BodyA"/>
        <w:spacing w:line="240" w:lineRule="auto"/>
        <w:jc w:val="both"/>
        <w:rPr>
          <w:rFonts w:cs="Times New Roman"/>
          <w:sz w:val="24"/>
          <w:szCs w:val="24"/>
        </w:rPr>
      </w:pPr>
    </w:p>
    <w:p w14:paraId="0FA49BE8" w14:textId="77777777" w:rsidR="00440414" w:rsidRPr="00DE05C9" w:rsidRDefault="00440414" w:rsidP="00DE05C9">
      <w:pPr>
        <w:pStyle w:val="BodyA"/>
        <w:spacing w:line="240" w:lineRule="auto"/>
        <w:jc w:val="both"/>
        <w:rPr>
          <w:rStyle w:val="None"/>
          <w:rFonts w:cs="Times New Roman"/>
          <w:sz w:val="24"/>
          <w:szCs w:val="24"/>
        </w:rPr>
      </w:pPr>
      <w:r w:rsidRPr="00DE05C9">
        <w:rPr>
          <w:rStyle w:val="None"/>
          <w:rFonts w:cs="Times New Roman"/>
          <w:sz w:val="24"/>
          <w:szCs w:val="24"/>
        </w:rPr>
        <w:lastRenderedPageBreak/>
        <w:t>In response to this development, the United States has adopted practices to impede the ability of these migrants to exercise their right to apply for asylum in the United States. First, the Government has put in place a new policy of “metering” at the border. Under this policy, an artificial limit has been placed on the number of migrants who are allowed on any particular day to enter the country and apply for asylum at official border crossings. Although thousands of migrants are waiting to enter, observers report that the number allowed in daily is less than 100 on an average day, and often in the range of only 40 to 60.</w:t>
      </w:r>
      <w:r w:rsidRPr="00DE05C9">
        <w:rPr>
          <w:rStyle w:val="FootnoteReference"/>
          <w:rFonts w:cs="Times New Roman"/>
          <w:sz w:val="24"/>
          <w:szCs w:val="24"/>
        </w:rPr>
        <w:footnoteReference w:id="24"/>
      </w:r>
    </w:p>
    <w:p w14:paraId="38FDD272" w14:textId="77777777" w:rsidR="00440414" w:rsidRPr="00DE05C9" w:rsidRDefault="00440414" w:rsidP="00DE05C9">
      <w:pPr>
        <w:pStyle w:val="BodyA"/>
        <w:spacing w:line="240" w:lineRule="auto"/>
        <w:jc w:val="both"/>
        <w:rPr>
          <w:rStyle w:val="None"/>
          <w:rFonts w:cs="Times New Roman"/>
          <w:sz w:val="24"/>
          <w:szCs w:val="24"/>
        </w:rPr>
      </w:pPr>
    </w:p>
    <w:p w14:paraId="7C7F3DF8" w14:textId="786D2EC5" w:rsidR="00440414" w:rsidRPr="00DE05C9" w:rsidRDefault="00440414" w:rsidP="00DE05C9">
      <w:pPr>
        <w:pStyle w:val="BodyA"/>
        <w:spacing w:line="240" w:lineRule="auto"/>
        <w:jc w:val="both"/>
        <w:rPr>
          <w:rStyle w:val="None"/>
          <w:rFonts w:cs="Times New Roman"/>
          <w:sz w:val="24"/>
          <w:szCs w:val="24"/>
        </w:rPr>
      </w:pPr>
      <w:r w:rsidRPr="00DE05C9">
        <w:rPr>
          <w:rStyle w:val="None"/>
          <w:rFonts w:cs="Times New Roman"/>
          <w:sz w:val="24"/>
          <w:szCs w:val="24"/>
        </w:rPr>
        <w:t>This past November, President Trump issued a proclamation under which migrants would be barred from applying for asylum if they entered the country illegally instead of at an official border crossing.</w:t>
      </w:r>
      <w:r w:rsidRPr="00DE05C9">
        <w:rPr>
          <w:rStyle w:val="FootnoteReference"/>
          <w:rFonts w:cs="Times New Roman"/>
          <w:sz w:val="24"/>
          <w:szCs w:val="24"/>
        </w:rPr>
        <w:footnoteReference w:id="25"/>
      </w:r>
      <w:r w:rsidRPr="00DE05C9">
        <w:rPr>
          <w:rStyle w:val="None"/>
          <w:rFonts w:cs="Times New Roman"/>
          <w:sz w:val="24"/>
          <w:szCs w:val="24"/>
        </w:rPr>
        <w:t xml:space="preserve"> This policy was challenged in court, and for now, the policy has been enjoined;</w:t>
      </w:r>
      <w:r w:rsidRPr="00DE05C9">
        <w:rPr>
          <w:rStyle w:val="FootnoteReference"/>
          <w:rFonts w:cs="Times New Roman"/>
          <w:sz w:val="24"/>
          <w:szCs w:val="24"/>
        </w:rPr>
        <w:footnoteReference w:id="26"/>
      </w:r>
      <w:r w:rsidRPr="00DE05C9">
        <w:rPr>
          <w:rStyle w:val="None"/>
          <w:rFonts w:cs="Times New Roman"/>
          <w:sz w:val="24"/>
          <w:szCs w:val="24"/>
        </w:rPr>
        <w:t xml:space="preserve"> it is possible, though, that this injunction will be lifted on appeal. If so, this policy will combine with the metering policy to create an even worse bottleneck of migrants trying to enter the country to apply for asylum.</w:t>
      </w:r>
    </w:p>
    <w:p w14:paraId="0FA827B1" w14:textId="77777777" w:rsidR="00D56BD8" w:rsidRPr="00DE05C9" w:rsidRDefault="00D56BD8" w:rsidP="00DE05C9">
      <w:pPr>
        <w:pStyle w:val="BodyA"/>
        <w:spacing w:line="240" w:lineRule="auto"/>
        <w:jc w:val="both"/>
        <w:rPr>
          <w:rStyle w:val="None"/>
          <w:rFonts w:cs="Times New Roman"/>
          <w:sz w:val="24"/>
          <w:szCs w:val="24"/>
        </w:rPr>
      </w:pPr>
    </w:p>
    <w:p w14:paraId="38795C23" w14:textId="3C33092D" w:rsidR="00440414" w:rsidRPr="00DE05C9" w:rsidRDefault="00440414" w:rsidP="00DE05C9">
      <w:pPr>
        <w:pStyle w:val="BodyA"/>
        <w:spacing w:line="240" w:lineRule="auto"/>
        <w:jc w:val="both"/>
        <w:rPr>
          <w:rStyle w:val="None"/>
          <w:rFonts w:cs="Times New Roman"/>
          <w:sz w:val="24"/>
          <w:szCs w:val="24"/>
        </w:rPr>
      </w:pPr>
      <w:r w:rsidRPr="00DE05C9">
        <w:rPr>
          <w:rStyle w:val="None"/>
          <w:rFonts w:cs="Times New Roman"/>
          <w:sz w:val="24"/>
          <w:szCs w:val="24"/>
        </w:rPr>
        <w:t>These practices have resulted in thousands of people languishing at the border under deplorable conditions, desperate for any way out of their situation. The Mexican Government has set up an open-air encampment at a sporting stadium to house many of the people waiting to enter the United States; other people have been sent to over-crowded shelters and warehouses where conditions are intolerable.</w:t>
      </w:r>
      <w:r w:rsidRPr="00DE05C9">
        <w:rPr>
          <w:rStyle w:val="None"/>
          <w:rFonts w:cs="Times New Roman"/>
          <w:sz w:val="24"/>
          <w:szCs w:val="24"/>
          <w:vertAlign w:val="superscript"/>
        </w:rPr>
        <w:footnoteReference w:id="27"/>
      </w:r>
      <w:r w:rsidRPr="00DE05C9">
        <w:rPr>
          <w:rStyle w:val="None"/>
          <w:rFonts w:cs="Times New Roman"/>
          <w:sz w:val="24"/>
          <w:szCs w:val="24"/>
        </w:rPr>
        <w:t xml:space="preserve"> For these migrants, Mexico has been turned into “a giant waiting room,” where people exist in “a pressure cooker.”</w:t>
      </w:r>
      <w:r w:rsidRPr="00DE05C9">
        <w:rPr>
          <w:rStyle w:val="None"/>
          <w:rFonts w:cs="Times New Roman"/>
          <w:sz w:val="24"/>
          <w:szCs w:val="24"/>
          <w:vertAlign w:val="superscript"/>
        </w:rPr>
        <w:footnoteReference w:id="28"/>
      </w:r>
      <w:r w:rsidRPr="00DE05C9">
        <w:rPr>
          <w:rStyle w:val="None"/>
          <w:rFonts w:cs="Times New Roman"/>
          <w:sz w:val="24"/>
          <w:szCs w:val="24"/>
        </w:rPr>
        <w:t xml:space="preserve"> This creates the perfect circumstances for traffickers to prey on these migrants.</w:t>
      </w:r>
    </w:p>
    <w:p w14:paraId="22D08D19" w14:textId="77777777" w:rsidR="00440414" w:rsidRPr="00DE05C9" w:rsidRDefault="00440414" w:rsidP="00DE05C9">
      <w:pPr>
        <w:pStyle w:val="BodyA"/>
        <w:spacing w:line="240" w:lineRule="auto"/>
        <w:jc w:val="both"/>
        <w:rPr>
          <w:rFonts w:cs="Times New Roman"/>
          <w:sz w:val="24"/>
          <w:szCs w:val="24"/>
        </w:rPr>
      </w:pPr>
    </w:p>
    <w:p w14:paraId="35C1BE84" w14:textId="7C6ACF63" w:rsidR="00440414" w:rsidRPr="00DE05C9" w:rsidRDefault="00440414" w:rsidP="00DE05C9">
      <w:pPr>
        <w:pStyle w:val="BodyA"/>
        <w:spacing w:line="240" w:lineRule="auto"/>
        <w:jc w:val="both"/>
        <w:rPr>
          <w:rStyle w:val="None"/>
          <w:rFonts w:cs="Times New Roman"/>
          <w:sz w:val="24"/>
          <w:szCs w:val="24"/>
        </w:rPr>
      </w:pPr>
      <w:r w:rsidRPr="00DE05C9">
        <w:rPr>
          <w:rStyle w:val="None"/>
          <w:rFonts w:cs="Times New Roman"/>
          <w:sz w:val="24"/>
          <w:szCs w:val="24"/>
        </w:rPr>
        <w:t>As there is no system for monitoring or identifying the flow of persons coming in and out of these shelters, warehouses and open air encampments, women and girls become easy targets for traffickers.</w:t>
      </w:r>
      <w:r w:rsidRPr="00DE05C9">
        <w:rPr>
          <w:rStyle w:val="None"/>
          <w:rFonts w:cs="Times New Roman"/>
          <w:sz w:val="24"/>
          <w:szCs w:val="24"/>
          <w:vertAlign w:val="superscript"/>
        </w:rPr>
        <w:footnoteReference w:id="29"/>
      </w:r>
      <w:r w:rsidRPr="00DE05C9">
        <w:rPr>
          <w:rStyle w:val="None"/>
          <w:rFonts w:cs="Times New Roman"/>
          <w:sz w:val="24"/>
          <w:szCs w:val="24"/>
        </w:rPr>
        <w:t xml:space="preserve"> In the case of refugees seeking asylum, the lengthy waiting time before they are allowed to enter the United State</w:t>
      </w:r>
      <w:r w:rsidR="00212D96" w:rsidRPr="00DE05C9">
        <w:rPr>
          <w:rStyle w:val="None"/>
          <w:rFonts w:cs="Times New Roman"/>
          <w:sz w:val="24"/>
          <w:szCs w:val="24"/>
        </w:rPr>
        <w:t>s</w:t>
      </w:r>
      <w:r w:rsidRPr="00DE05C9">
        <w:rPr>
          <w:rStyle w:val="None"/>
          <w:rFonts w:cs="Times New Roman"/>
          <w:sz w:val="24"/>
          <w:szCs w:val="24"/>
        </w:rPr>
        <w:t xml:space="preserve"> and apply for asylum increases their exposure to being trafficked.</w:t>
      </w:r>
      <w:r w:rsidRPr="00DE05C9">
        <w:rPr>
          <w:rStyle w:val="None"/>
          <w:rFonts w:cs="Times New Roman"/>
          <w:sz w:val="24"/>
          <w:szCs w:val="24"/>
          <w:vertAlign w:val="superscript"/>
        </w:rPr>
        <w:footnoteReference w:id="30"/>
      </w:r>
      <w:r w:rsidRPr="00DE05C9">
        <w:rPr>
          <w:rStyle w:val="None"/>
          <w:rFonts w:cs="Times New Roman"/>
          <w:sz w:val="24"/>
          <w:szCs w:val="24"/>
        </w:rPr>
        <w:t xml:space="preserve">  Indeed, advocates who have worked with recent </w:t>
      </w:r>
      <w:r w:rsidRPr="00DE05C9">
        <w:rPr>
          <w:rStyle w:val="None"/>
          <w:rFonts w:cs="Times New Roman"/>
          <w:sz w:val="24"/>
          <w:szCs w:val="24"/>
        </w:rPr>
        <w:lastRenderedPageBreak/>
        <w:t>migrants along the U.S.-Mexico border have reported that lack of food and water, long wait times, and the threat of organized crime have contributed to increased vulnerability to trafficking. There are multiple reports of men coming to the camps and luring away women and children by offering them a warm place to sleep with a roof over their head.</w:t>
      </w:r>
      <w:r w:rsidRPr="00DE05C9">
        <w:rPr>
          <w:rStyle w:val="None"/>
          <w:rFonts w:cs="Times New Roman"/>
          <w:sz w:val="24"/>
          <w:szCs w:val="24"/>
          <w:vertAlign w:val="superscript"/>
        </w:rPr>
        <w:footnoteReference w:id="31"/>
      </w:r>
      <w:r w:rsidRPr="00DE05C9">
        <w:rPr>
          <w:rStyle w:val="None"/>
          <w:rFonts w:cs="Times New Roman"/>
          <w:sz w:val="24"/>
          <w:szCs w:val="24"/>
        </w:rPr>
        <w:t xml:space="preserve"> These men are often involved with organized crime and are believed to have</w:t>
      </w:r>
      <w:r w:rsidRPr="00DE05C9">
        <w:rPr>
          <w:rStyle w:val="None"/>
          <w:rFonts w:cs="Times New Roman"/>
          <w:sz w:val="24"/>
          <w:szCs w:val="24"/>
          <w:lang w:val="nl-NL"/>
        </w:rPr>
        <w:t xml:space="preserve"> beg</w:t>
      </w:r>
      <w:r w:rsidRPr="00DE05C9">
        <w:rPr>
          <w:rStyle w:val="None"/>
          <w:rFonts w:cs="Times New Roman"/>
          <w:sz w:val="24"/>
          <w:szCs w:val="24"/>
        </w:rPr>
        <w:t>un trafficking the women and children.</w:t>
      </w:r>
      <w:r w:rsidRPr="00DE05C9">
        <w:rPr>
          <w:rStyle w:val="None"/>
          <w:rFonts w:cs="Times New Roman"/>
          <w:sz w:val="24"/>
          <w:szCs w:val="24"/>
          <w:vertAlign w:val="superscript"/>
        </w:rPr>
        <w:footnoteReference w:id="32"/>
      </w:r>
      <w:r w:rsidRPr="00DE05C9">
        <w:rPr>
          <w:rStyle w:val="None"/>
          <w:rFonts w:cs="Times New Roman"/>
          <w:sz w:val="24"/>
          <w:szCs w:val="24"/>
        </w:rPr>
        <w:t xml:space="preserve"> </w:t>
      </w:r>
    </w:p>
    <w:p w14:paraId="64B69DE6" w14:textId="77777777" w:rsidR="00440414" w:rsidRPr="00DE05C9" w:rsidRDefault="00440414" w:rsidP="00DE05C9">
      <w:pPr>
        <w:pStyle w:val="BodyA"/>
        <w:spacing w:line="240" w:lineRule="auto"/>
        <w:jc w:val="both"/>
        <w:rPr>
          <w:rFonts w:cs="Times New Roman"/>
          <w:sz w:val="24"/>
          <w:szCs w:val="24"/>
        </w:rPr>
      </w:pPr>
    </w:p>
    <w:p w14:paraId="4CD4797D" w14:textId="77777777" w:rsidR="00440414" w:rsidRPr="00DE05C9" w:rsidRDefault="00440414" w:rsidP="00DE05C9">
      <w:pPr>
        <w:pStyle w:val="BodyA"/>
        <w:spacing w:line="240" w:lineRule="auto"/>
        <w:jc w:val="both"/>
        <w:rPr>
          <w:rStyle w:val="None"/>
          <w:rFonts w:cs="Times New Roman"/>
          <w:sz w:val="24"/>
          <w:szCs w:val="24"/>
        </w:rPr>
      </w:pPr>
      <w:r w:rsidRPr="00DE05C9">
        <w:rPr>
          <w:rStyle w:val="None"/>
          <w:rFonts w:cs="Times New Roman"/>
          <w:sz w:val="24"/>
          <w:szCs w:val="24"/>
        </w:rPr>
        <w:t xml:space="preserve">The United States is not the only place where States, by their actions and omissions, have impeded migrants fleeing persecution from exercising their right to apply for asylum in a timely manner. In order to eliminate vulnerabilities to trafficking, States must implement policies that avoid creating massive buildups of refugees at ports of entry. </w:t>
      </w:r>
    </w:p>
    <w:p w14:paraId="0E4590B2" w14:textId="77777777" w:rsidR="00440414" w:rsidRPr="00DE05C9" w:rsidRDefault="00440414" w:rsidP="00DE05C9">
      <w:pPr>
        <w:pStyle w:val="BodyA"/>
        <w:spacing w:line="240" w:lineRule="auto"/>
        <w:jc w:val="both"/>
        <w:rPr>
          <w:rStyle w:val="None"/>
          <w:rFonts w:cs="Times New Roman"/>
          <w:sz w:val="24"/>
          <w:szCs w:val="24"/>
        </w:rPr>
      </w:pPr>
    </w:p>
    <w:p w14:paraId="6CDF6089" w14:textId="0C748A87" w:rsidR="00317F76" w:rsidRPr="00DE05C9" w:rsidRDefault="00317F76" w:rsidP="00DE05C9">
      <w:pPr>
        <w:pStyle w:val="BodyA"/>
        <w:spacing w:line="240" w:lineRule="auto"/>
        <w:jc w:val="both"/>
        <w:rPr>
          <w:rStyle w:val="None"/>
          <w:rFonts w:cs="Times New Roman"/>
          <w:b/>
          <w:i/>
          <w:sz w:val="24"/>
          <w:szCs w:val="24"/>
        </w:rPr>
      </w:pPr>
      <w:r w:rsidRPr="00DE05C9">
        <w:rPr>
          <w:rStyle w:val="None"/>
          <w:rFonts w:cs="Times New Roman"/>
          <w:b/>
          <w:i/>
          <w:sz w:val="24"/>
          <w:szCs w:val="24"/>
        </w:rPr>
        <w:t>Recommendation: States parties must implement policies that allow asylum seekers to enter the country to seek asylum without delay, specifically:</w:t>
      </w:r>
    </w:p>
    <w:p w14:paraId="6DF30BB9" w14:textId="77777777" w:rsidR="00DE05C9" w:rsidRPr="00DE05C9" w:rsidRDefault="00DE05C9" w:rsidP="00DE05C9">
      <w:pPr>
        <w:pStyle w:val="BodyA"/>
        <w:spacing w:line="240" w:lineRule="auto"/>
        <w:jc w:val="both"/>
        <w:rPr>
          <w:rStyle w:val="None"/>
          <w:rFonts w:cs="Times New Roman"/>
          <w:b/>
          <w:i/>
          <w:sz w:val="24"/>
          <w:szCs w:val="24"/>
        </w:rPr>
      </w:pPr>
    </w:p>
    <w:p w14:paraId="50875504" w14:textId="08661781" w:rsidR="00317F76" w:rsidRPr="00DE05C9" w:rsidRDefault="00317F76" w:rsidP="00DE05C9">
      <w:pPr>
        <w:pStyle w:val="BodyA"/>
        <w:numPr>
          <w:ilvl w:val="0"/>
          <w:numId w:val="5"/>
        </w:numPr>
        <w:spacing w:line="240" w:lineRule="auto"/>
        <w:jc w:val="both"/>
        <w:rPr>
          <w:rStyle w:val="None"/>
          <w:rFonts w:cs="Times New Roman"/>
          <w:b/>
          <w:bCs/>
          <w:i/>
          <w:iCs/>
          <w:color w:val="222222"/>
          <w:sz w:val="24"/>
          <w:szCs w:val="24"/>
        </w:rPr>
      </w:pPr>
      <w:r w:rsidRPr="00DE05C9">
        <w:rPr>
          <w:rStyle w:val="None"/>
          <w:rFonts w:cs="Times New Roman"/>
          <w:b/>
          <w:bCs/>
          <w:i/>
          <w:iCs/>
          <w:sz w:val="24"/>
          <w:szCs w:val="24"/>
        </w:rPr>
        <w:t>Implement policies and provide sufficient staffing at borders to enable asylum seekers to enter without delay, in order to avoid situations where large numbers of migrants languish at the border in conditions that foster human trafficking scenarios; </w:t>
      </w:r>
    </w:p>
    <w:p w14:paraId="4FA0715A" w14:textId="77777777" w:rsidR="00DE05C9" w:rsidRPr="00DE05C9" w:rsidRDefault="00DE05C9" w:rsidP="00DE05C9">
      <w:pPr>
        <w:pStyle w:val="BodyA"/>
        <w:spacing w:line="240" w:lineRule="auto"/>
        <w:ind w:left="1440"/>
        <w:jc w:val="both"/>
        <w:rPr>
          <w:rStyle w:val="None"/>
          <w:rFonts w:cs="Times New Roman"/>
          <w:b/>
          <w:bCs/>
          <w:i/>
          <w:iCs/>
          <w:color w:val="222222"/>
          <w:sz w:val="24"/>
          <w:szCs w:val="24"/>
        </w:rPr>
      </w:pPr>
    </w:p>
    <w:p w14:paraId="72D54DFF" w14:textId="36623D42" w:rsidR="00317F76" w:rsidRPr="00DE05C9" w:rsidRDefault="00317F76" w:rsidP="00DE05C9">
      <w:pPr>
        <w:pStyle w:val="BodyA"/>
        <w:numPr>
          <w:ilvl w:val="0"/>
          <w:numId w:val="5"/>
        </w:numPr>
        <w:spacing w:line="240" w:lineRule="auto"/>
        <w:jc w:val="both"/>
        <w:rPr>
          <w:rStyle w:val="None"/>
          <w:rFonts w:cs="Times New Roman"/>
          <w:b/>
          <w:bCs/>
          <w:i/>
          <w:iCs/>
          <w:color w:val="222222"/>
          <w:sz w:val="24"/>
          <w:szCs w:val="24"/>
        </w:rPr>
      </w:pPr>
      <w:r w:rsidRPr="00DE05C9">
        <w:rPr>
          <w:rStyle w:val="None"/>
          <w:rFonts w:cs="Times New Roman"/>
          <w:b/>
          <w:bCs/>
          <w:i/>
          <w:iCs/>
          <w:sz w:val="24"/>
          <w:szCs w:val="24"/>
        </w:rPr>
        <w:lastRenderedPageBreak/>
        <w:t>End policies such as “metering” that block refugees from entering a country to apply for asylum;</w:t>
      </w:r>
      <w:r w:rsidR="00DE05C9">
        <w:rPr>
          <w:rStyle w:val="None"/>
          <w:rFonts w:cs="Times New Roman"/>
          <w:b/>
          <w:bCs/>
          <w:i/>
          <w:iCs/>
          <w:sz w:val="24"/>
          <w:szCs w:val="24"/>
        </w:rPr>
        <w:t xml:space="preserve"> and</w:t>
      </w:r>
    </w:p>
    <w:p w14:paraId="05136E31" w14:textId="77777777" w:rsidR="00DE05C9" w:rsidRPr="00DE05C9" w:rsidRDefault="00DE05C9" w:rsidP="00DE05C9">
      <w:pPr>
        <w:pStyle w:val="BodyA"/>
        <w:spacing w:line="240" w:lineRule="auto"/>
        <w:ind w:left="1440"/>
        <w:jc w:val="both"/>
        <w:rPr>
          <w:rFonts w:cs="Times New Roman"/>
          <w:b/>
          <w:bCs/>
          <w:i/>
          <w:iCs/>
          <w:color w:val="222222"/>
          <w:sz w:val="24"/>
          <w:szCs w:val="24"/>
        </w:rPr>
      </w:pPr>
    </w:p>
    <w:p w14:paraId="3D2CF5A6" w14:textId="3F1E3CBD" w:rsidR="00440414" w:rsidRPr="00DE05C9" w:rsidRDefault="00317F76" w:rsidP="00C75DE2">
      <w:pPr>
        <w:pStyle w:val="BodyA"/>
        <w:numPr>
          <w:ilvl w:val="0"/>
          <w:numId w:val="5"/>
        </w:numPr>
        <w:spacing w:line="240" w:lineRule="auto"/>
        <w:jc w:val="both"/>
        <w:rPr>
          <w:rStyle w:val="Link"/>
          <w:rFonts w:cs="Times New Roman"/>
          <w:sz w:val="24"/>
          <w:szCs w:val="24"/>
        </w:rPr>
      </w:pPr>
      <w:r w:rsidRPr="00DE05C9">
        <w:rPr>
          <w:rStyle w:val="None"/>
          <w:rFonts w:cs="Times New Roman"/>
          <w:b/>
          <w:bCs/>
          <w:i/>
          <w:iCs/>
          <w:sz w:val="24"/>
          <w:szCs w:val="24"/>
        </w:rPr>
        <w:t>Educate asylum officers and other border control personnel to the various signs of human trafficking in order to intervene to protect individuals who are being exploited.  </w:t>
      </w:r>
    </w:p>
    <w:p w14:paraId="00D8C5F0" w14:textId="46AC523A" w:rsidR="00440414" w:rsidRPr="00DE05C9" w:rsidRDefault="00054F75" w:rsidP="00DE05C9">
      <w:pPr>
        <w:jc w:val="both"/>
        <w:rPr>
          <w:rStyle w:val="None"/>
          <w:rFonts w:eastAsia="Times New Roman"/>
          <w:color w:val="000000"/>
          <w:u w:color="000000"/>
        </w:rPr>
      </w:pPr>
      <w:r w:rsidRPr="00DE05C9">
        <w:rPr>
          <w:rStyle w:val="None"/>
          <w:color w:val="000000"/>
          <w:u w:color="000000"/>
        </w:rPr>
        <w:br/>
      </w:r>
      <w:r w:rsidRPr="00DE05C9">
        <w:rPr>
          <w:rStyle w:val="None"/>
          <w:color w:val="000000"/>
          <w:u w:color="000000"/>
        </w:rPr>
        <w:br/>
      </w:r>
      <w:r w:rsidR="00440414" w:rsidRPr="00DE05C9">
        <w:rPr>
          <w:rStyle w:val="None"/>
          <w:color w:val="000000"/>
          <w:u w:color="000000"/>
        </w:rPr>
        <w:t xml:space="preserve">CAASE and CIHR thank the CEDAW Committee for this opportunity to provide our observations and recommendations on trafficking in women and girls in the context of global migration and to contribute towards the Committee’s guidance. </w:t>
      </w:r>
    </w:p>
    <w:p w14:paraId="47292AAD" w14:textId="77777777" w:rsidR="00D3644F" w:rsidRPr="00DE05C9" w:rsidRDefault="006F2481" w:rsidP="00DE05C9">
      <w:pPr>
        <w:jc w:val="both"/>
        <w:rPr>
          <w:rStyle w:val="None"/>
          <w:rFonts w:eastAsia="Times New Roman"/>
          <w:color w:val="000000" w:themeColor="text1"/>
          <w:u w:color="000000"/>
        </w:rPr>
      </w:pPr>
      <w:r w:rsidRPr="00DE05C9">
        <w:rPr>
          <w:rStyle w:val="None"/>
          <w:color w:val="000000" w:themeColor="text1"/>
          <w:u w:color="000000"/>
        </w:rPr>
        <w:br/>
        <w:t>Sincerely,</w:t>
      </w:r>
    </w:p>
    <w:p w14:paraId="2A217206" w14:textId="77777777" w:rsidR="00D3644F" w:rsidRPr="00DE05C9" w:rsidRDefault="00D3644F" w:rsidP="00DE05C9">
      <w:pPr>
        <w:rPr>
          <w:rStyle w:val="None"/>
          <w:rFonts w:eastAsia="Times New Roman"/>
          <w:color w:val="000000" w:themeColor="text1"/>
          <w:u w:color="000000"/>
        </w:rPr>
      </w:pPr>
    </w:p>
    <w:p w14:paraId="1064A91A" w14:textId="3DF68E58" w:rsidR="00904FA3" w:rsidRPr="00DE05C9" w:rsidRDefault="00904FA3" w:rsidP="00DE05C9">
      <w:pPr>
        <w:rPr>
          <w:rStyle w:val="None"/>
          <w:color w:val="000000" w:themeColor="text1"/>
          <w:u w:color="000000"/>
        </w:rPr>
      </w:pPr>
      <w:r w:rsidRPr="00DE05C9">
        <w:rPr>
          <w:noProof/>
          <w:color w:val="000000" w:themeColor="text1"/>
          <w:u w:color="000000"/>
          <w:lang w:val="en-GB" w:eastAsia="en-GB"/>
        </w:rPr>
        <w:drawing>
          <wp:inline distT="0" distB="0" distL="0" distR="0" wp14:anchorId="36BF9A57" wp14:editId="179F33D8">
            <wp:extent cx="1858126" cy="447856"/>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E signature (1).png"/>
                    <pic:cNvPicPr/>
                  </pic:nvPicPr>
                  <pic:blipFill>
                    <a:blip r:embed="rId9">
                      <a:extLst>
                        <a:ext uri="{28A0092B-C50C-407E-A947-70E740481C1C}">
                          <a14:useLocalDpi xmlns:a14="http://schemas.microsoft.com/office/drawing/2010/main" val="0"/>
                        </a:ext>
                      </a:extLst>
                    </a:blip>
                    <a:stretch>
                      <a:fillRect/>
                    </a:stretch>
                  </pic:blipFill>
                  <pic:spPr>
                    <a:xfrm>
                      <a:off x="0" y="0"/>
                      <a:ext cx="1858126" cy="447856"/>
                    </a:xfrm>
                    <a:prstGeom prst="rect">
                      <a:avLst/>
                    </a:prstGeom>
                  </pic:spPr>
                </pic:pic>
              </a:graphicData>
            </a:graphic>
          </wp:inline>
        </w:drawing>
      </w:r>
    </w:p>
    <w:p w14:paraId="60201C74" w14:textId="5DC2AC9B" w:rsidR="00D3644F" w:rsidRPr="00DE05C9" w:rsidRDefault="006F2481" w:rsidP="00DE05C9">
      <w:pPr>
        <w:rPr>
          <w:rStyle w:val="None"/>
          <w:rFonts w:eastAsia="Times New Roman"/>
          <w:color w:val="000000" w:themeColor="text1"/>
          <w:u w:color="000000"/>
        </w:rPr>
      </w:pPr>
      <w:r w:rsidRPr="00DE05C9">
        <w:rPr>
          <w:rStyle w:val="None"/>
          <w:color w:val="000000" w:themeColor="text1"/>
          <w:u w:color="000000"/>
        </w:rPr>
        <w:t>Christine Evans</w:t>
      </w:r>
    </w:p>
    <w:p w14:paraId="4AF08AE5" w14:textId="77777777" w:rsidR="00D3644F" w:rsidRPr="00DE05C9" w:rsidRDefault="006F2481" w:rsidP="00DE05C9">
      <w:pPr>
        <w:rPr>
          <w:rStyle w:val="None"/>
          <w:rFonts w:eastAsia="Times New Roman"/>
          <w:color w:val="000000" w:themeColor="text1"/>
          <w:u w:color="000000"/>
        </w:rPr>
      </w:pPr>
      <w:r w:rsidRPr="00DE05C9">
        <w:rPr>
          <w:rStyle w:val="None"/>
          <w:color w:val="000000" w:themeColor="text1"/>
          <w:u w:color="000000"/>
        </w:rPr>
        <w:t>Senior Director of Programs</w:t>
      </w:r>
    </w:p>
    <w:p w14:paraId="090D5D98" w14:textId="77777777" w:rsidR="00D3644F" w:rsidRPr="00DE05C9" w:rsidRDefault="006F2481" w:rsidP="00DE05C9">
      <w:pPr>
        <w:rPr>
          <w:rStyle w:val="None"/>
          <w:rFonts w:eastAsia="Times New Roman"/>
          <w:color w:val="000000" w:themeColor="text1"/>
          <w:u w:color="000000"/>
        </w:rPr>
      </w:pPr>
      <w:r w:rsidRPr="00DE05C9">
        <w:rPr>
          <w:rStyle w:val="None"/>
          <w:color w:val="000000" w:themeColor="text1"/>
          <w:u w:color="000000"/>
        </w:rPr>
        <w:t>Chicago Alliance Against Sexual Exploitation</w:t>
      </w:r>
    </w:p>
    <w:p w14:paraId="60CC40FF" w14:textId="1E0C7109" w:rsidR="00D3644F" w:rsidRPr="00DE05C9" w:rsidRDefault="006F2481" w:rsidP="00DE05C9">
      <w:pPr>
        <w:rPr>
          <w:rStyle w:val="None"/>
          <w:rFonts w:eastAsia="Times New Roman"/>
          <w:color w:val="000000" w:themeColor="text1"/>
          <w:u w:color="000000"/>
        </w:rPr>
      </w:pPr>
      <w:r w:rsidRPr="00DE05C9">
        <w:rPr>
          <w:rStyle w:val="None"/>
          <w:color w:val="000000" w:themeColor="text1"/>
          <w:u w:color="000000"/>
        </w:rPr>
        <w:t>cme@caase.org</w:t>
      </w:r>
    </w:p>
    <w:p w14:paraId="16E659FF" w14:textId="6152B2A3" w:rsidR="00D3644F" w:rsidRPr="00DE05C9" w:rsidRDefault="00904FA3" w:rsidP="00DE05C9">
      <w:pPr>
        <w:rPr>
          <w:rStyle w:val="None"/>
          <w:rFonts w:eastAsia="Times New Roman"/>
          <w:color w:val="000000" w:themeColor="text1"/>
          <w:u w:color="000000"/>
        </w:rPr>
      </w:pPr>
      <w:r w:rsidRPr="00DE05C9">
        <w:rPr>
          <w:noProof/>
          <w:lang w:val="en-GB" w:eastAsia="en-GB"/>
        </w:rPr>
        <w:drawing>
          <wp:anchor distT="0" distB="0" distL="114300" distR="114300" simplePos="0" relativeHeight="251662336" behindDoc="1" locked="0" layoutInCell="1" allowOverlap="1" wp14:anchorId="51BAB775" wp14:editId="7339E7E0">
            <wp:simplePos x="0" y="0"/>
            <wp:positionH relativeFrom="margin">
              <wp:align>left</wp:align>
            </wp:positionH>
            <wp:positionV relativeFrom="paragraph">
              <wp:posOffset>73660</wp:posOffset>
            </wp:positionV>
            <wp:extent cx="2354626" cy="473075"/>
            <wp:effectExtent l="0" t="0" r="762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imond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4626" cy="473075"/>
                    </a:xfrm>
                    <a:prstGeom prst="rect">
                      <a:avLst/>
                    </a:prstGeom>
                  </pic:spPr>
                </pic:pic>
              </a:graphicData>
            </a:graphic>
            <wp14:sizeRelH relativeFrom="margin">
              <wp14:pctWidth>0</wp14:pctWidth>
            </wp14:sizeRelH>
            <wp14:sizeRelV relativeFrom="margin">
              <wp14:pctHeight>0</wp14:pctHeight>
            </wp14:sizeRelV>
          </wp:anchor>
        </w:drawing>
      </w:r>
    </w:p>
    <w:p w14:paraId="1E173992" w14:textId="73FA3867" w:rsidR="00D3644F" w:rsidRPr="00DE05C9" w:rsidRDefault="00D3644F" w:rsidP="00DE05C9">
      <w:pPr>
        <w:rPr>
          <w:rStyle w:val="None"/>
          <w:rFonts w:eastAsia="Times New Roman"/>
          <w:color w:val="000000" w:themeColor="text1"/>
          <w:u w:color="000000"/>
        </w:rPr>
      </w:pPr>
    </w:p>
    <w:p w14:paraId="7C0856C6" w14:textId="2F40513E" w:rsidR="00D3644F" w:rsidRPr="00DE05C9" w:rsidRDefault="00D3644F" w:rsidP="00DE05C9">
      <w:pPr>
        <w:rPr>
          <w:rStyle w:val="None"/>
          <w:rFonts w:eastAsia="Times New Roman"/>
          <w:color w:val="000000" w:themeColor="text1"/>
          <w:u w:color="000000"/>
        </w:rPr>
      </w:pPr>
    </w:p>
    <w:p w14:paraId="66F5E7BB" w14:textId="0BB98797" w:rsidR="00D3644F" w:rsidRPr="00DE05C9" w:rsidRDefault="006F2481" w:rsidP="00DE05C9">
      <w:pPr>
        <w:rPr>
          <w:rStyle w:val="None"/>
          <w:rFonts w:eastAsia="Times New Roman"/>
          <w:color w:val="000000" w:themeColor="text1"/>
          <w:u w:color="000000"/>
        </w:rPr>
      </w:pPr>
      <w:r w:rsidRPr="00DE05C9">
        <w:rPr>
          <w:rStyle w:val="None"/>
          <w:color w:val="000000" w:themeColor="text1"/>
          <w:u w:color="000000"/>
        </w:rPr>
        <w:t>Bridget Arimond</w:t>
      </w:r>
    </w:p>
    <w:p w14:paraId="02C7F03E" w14:textId="77777777" w:rsidR="00D3644F" w:rsidRPr="00DE05C9" w:rsidRDefault="006F2481" w:rsidP="00DE05C9">
      <w:pPr>
        <w:rPr>
          <w:rStyle w:val="None"/>
          <w:rFonts w:eastAsia="Times New Roman"/>
          <w:color w:val="000000" w:themeColor="text1"/>
          <w:u w:color="000000"/>
        </w:rPr>
      </w:pPr>
      <w:r w:rsidRPr="00DE05C9">
        <w:rPr>
          <w:rStyle w:val="None"/>
          <w:color w:val="000000" w:themeColor="text1"/>
          <w:u w:color="000000"/>
        </w:rPr>
        <w:lastRenderedPageBreak/>
        <w:t>Clinical Professor of Law</w:t>
      </w:r>
    </w:p>
    <w:p w14:paraId="4B581EF0" w14:textId="77777777" w:rsidR="00D3644F" w:rsidRPr="00DE05C9" w:rsidRDefault="006F2481" w:rsidP="00DE05C9">
      <w:pPr>
        <w:rPr>
          <w:rStyle w:val="None"/>
          <w:rFonts w:eastAsia="Times New Roman"/>
          <w:color w:val="000000" w:themeColor="text1"/>
          <w:u w:color="000000"/>
        </w:rPr>
      </w:pPr>
      <w:r w:rsidRPr="00DE05C9">
        <w:rPr>
          <w:rStyle w:val="None"/>
          <w:color w:val="000000" w:themeColor="text1"/>
          <w:u w:color="000000"/>
        </w:rPr>
        <w:t>Director, LLM Program in International Human Rights</w:t>
      </w:r>
    </w:p>
    <w:p w14:paraId="0EA7C1AC" w14:textId="77777777" w:rsidR="00D3644F" w:rsidRPr="00DE05C9" w:rsidRDefault="006F2481" w:rsidP="00DE05C9">
      <w:pPr>
        <w:rPr>
          <w:rStyle w:val="None"/>
          <w:rFonts w:eastAsia="Times New Roman"/>
          <w:color w:val="000000" w:themeColor="text1"/>
          <w:u w:color="000000"/>
        </w:rPr>
      </w:pPr>
      <w:r w:rsidRPr="00DE05C9">
        <w:rPr>
          <w:rStyle w:val="None"/>
          <w:color w:val="000000" w:themeColor="text1"/>
          <w:u w:color="000000"/>
        </w:rPr>
        <w:t xml:space="preserve">Bluhm Legal Clinic - </w:t>
      </w:r>
      <w:bookmarkStart w:id="0" w:name="_GoBack"/>
      <w:r w:rsidRPr="00DE05C9">
        <w:rPr>
          <w:rStyle w:val="None"/>
          <w:color w:val="000000" w:themeColor="text1"/>
          <w:u w:color="000000"/>
        </w:rPr>
        <w:t>Center for International Human Rights</w:t>
      </w:r>
      <w:bookmarkEnd w:id="0"/>
    </w:p>
    <w:p w14:paraId="54BD9DDA" w14:textId="77777777" w:rsidR="00D3644F" w:rsidRPr="00DE05C9" w:rsidRDefault="006F2481" w:rsidP="00DE05C9">
      <w:pPr>
        <w:rPr>
          <w:rStyle w:val="None"/>
          <w:rFonts w:eastAsia="Times New Roman"/>
          <w:color w:val="000000" w:themeColor="text1"/>
          <w:u w:color="000000"/>
        </w:rPr>
      </w:pPr>
      <w:r w:rsidRPr="00DE05C9">
        <w:rPr>
          <w:rStyle w:val="None"/>
          <w:color w:val="000000" w:themeColor="text1"/>
          <w:u w:color="000000"/>
        </w:rPr>
        <w:t>Northwestern Pritzker School of Law</w:t>
      </w:r>
    </w:p>
    <w:p w14:paraId="095DA125" w14:textId="0A40AD1F" w:rsidR="00D3644F" w:rsidRPr="00DE05C9" w:rsidRDefault="000871D4" w:rsidP="00DE05C9">
      <w:pPr>
        <w:rPr>
          <w:rStyle w:val="None"/>
          <w:color w:val="000000" w:themeColor="text1"/>
          <w:u w:color="000000"/>
        </w:rPr>
      </w:pPr>
      <w:hyperlink r:id="rId11" w:history="1">
        <w:r w:rsidR="005D7787" w:rsidRPr="00DE05C9">
          <w:rPr>
            <w:rStyle w:val="Hyperlink"/>
            <w:color w:val="000000" w:themeColor="text1"/>
            <w:u w:val="none"/>
          </w:rPr>
          <w:t>barimond@law.northwestern.edu</w:t>
        </w:r>
      </w:hyperlink>
    </w:p>
    <w:p w14:paraId="36FFBD53" w14:textId="6E3E45BE" w:rsidR="005D7787" w:rsidRPr="00DE05C9" w:rsidRDefault="005D7787" w:rsidP="00DE05C9">
      <w:pPr>
        <w:rPr>
          <w:color w:val="000000" w:themeColor="text1"/>
        </w:rPr>
      </w:pPr>
    </w:p>
    <w:p w14:paraId="66066ECD" w14:textId="1FD59427" w:rsidR="005D7787" w:rsidRPr="00DE05C9" w:rsidRDefault="005D7787" w:rsidP="00DE05C9">
      <w:pPr>
        <w:rPr>
          <w:color w:val="000000" w:themeColor="text1"/>
        </w:rPr>
      </w:pPr>
    </w:p>
    <w:p w14:paraId="5C221783" w14:textId="036410B4" w:rsidR="00FF562B" w:rsidRPr="00DE05C9" w:rsidRDefault="00FF562B" w:rsidP="00DE05C9"/>
    <w:sectPr w:rsidR="00FF562B" w:rsidRPr="00DE05C9">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7446D" w14:textId="77777777" w:rsidR="004E2EFD" w:rsidRDefault="004E2EFD">
      <w:r>
        <w:separator/>
      </w:r>
    </w:p>
  </w:endnote>
  <w:endnote w:type="continuationSeparator" w:id="0">
    <w:p w14:paraId="70B937CF" w14:textId="77777777" w:rsidR="004E2EFD" w:rsidRDefault="004E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DA54F" w14:textId="3FD718A4" w:rsidR="00D3644F" w:rsidRDefault="006F2481">
    <w:pPr>
      <w:pStyle w:val="Footer"/>
      <w:tabs>
        <w:tab w:val="clear" w:pos="9360"/>
        <w:tab w:val="right" w:pos="9340"/>
      </w:tabs>
      <w:jc w:val="center"/>
    </w:pPr>
    <w:r>
      <w:fldChar w:fldCharType="begin"/>
    </w:r>
    <w:r>
      <w:instrText xml:space="preserve"> PAGE </w:instrText>
    </w:r>
    <w:r>
      <w:fldChar w:fldCharType="separate"/>
    </w:r>
    <w:r w:rsidR="000871D4">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2209F" w14:textId="77777777" w:rsidR="004E2EFD" w:rsidRDefault="004E2EFD">
      <w:r>
        <w:separator/>
      </w:r>
    </w:p>
  </w:footnote>
  <w:footnote w:type="continuationSeparator" w:id="0">
    <w:p w14:paraId="108DF782" w14:textId="77777777" w:rsidR="004E2EFD" w:rsidRDefault="004E2EFD">
      <w:r>
        <w:continuationSeparator/>
      </w:r>
    </w:p>
  </w:footnote>
  <w:footnote w:type="continuationNotice" w:id="1">
    <w:p w14:paraId="54F44AC2" w14:textId="77777777" w:rsidR="004E2EFD" w:rsidRDefault="004E2EFD"/>
  </w:footnote>
  <w:footnote w:id="2">
    <w:p w14:paraId="4848A1AB" w14:textId="50DB69A7" w:rsidR="004B20D4" w:rsidRPr="00672E14" w:rsidRDefault="004B20D4">
      <w:pPr>
        <w:pStyle w:val="FootnoteText"/>
        <w:rPr>
          <w:color w:val="000000" w:themeColor="text1"/>
        </w:rPr>
      </w:pPr>
      <w:r w:rsidRPr="00672E14">
        <w:rPr>
          <w:rStyle w:val="FootnoteReference"/>
          <w:color w:val="000000" w:themeColor="text1"/>
        </w:rPr>
        <w:footnoteRef/>
      </w:r>
      <w:r w:rsidRPr="00672E14">
        <w:rPr>
          <w:color w:val="000000" w:themeColor="text1"/>
        </w:rPr>
        <w:t xml:space="preserve"> </w:t>
      </w:r>
      <w:r w:rsidRPr="00672E14">
        <w:rPr>
          <w:rStyle w:val="None"/>
          <w:color w:val="000000" w:themeColor="text1"/>
          <w:lang w:val="pt-PT"/>
        </w:rPr>
        <w:t>Para. 34 of Concept Note.</w:t>
      </w:r>
    </w:p>
  </w:footnote>
  <w:footnote w:id="3">
    <w:p w14:paraId="093A87DD" w14:textId="5FD5F620" w:rsidR="00D3644F" w:rsidRPr="00672E14" w:rsidRDefault="006F2481">
      <w:pPr>
        <w:pStyle w:val="FootnoteText"/>
        <w:rPr>
          <w:color w:val="000000" w:themeColor="text1"/>
        </w:rPr>
      </w:pPr>
      <w:r w:rsidRPr="00672E14">
        <w:rPr>
          <w:rStyle w:val="FootnoteReference"/>
          <w:color w:val="000000" w:themeColor="text1"/>
        </w:rPr>
        <w:footnoteRef/>
      </w:r>
      <w:r w:rsidRPr="00672E14">
        <w:rPr>
          <w:rFonts w:eastAsia="Arial Unicode MS" w:cs="Arial Unicode MS"/>
          <w:color w:val="000000" w:themeColor="text1"/>
        </w:rPr>
        <w:t xml:space="preserve"> Unless otherwise noted, the information, facts, and statements provided in Section I are based on the knowledge and expertise</w:t>
      </w:r>
      <w:r w:rsidR="00014769" w:rsidRPr="00672E14">
        <w:rPr>
          <w:rFonts w:eastAsia="Arial Unicode MS" w:cs="Arial Unicode MS"/>
          <w:color w:val="000000" w:themeColor="text1"/>
        </w:rPr>
        <w:t xml:space="preserve"> </w:t>
      </w:r>
      <w:r w:rsidRPr="00672E14">
        <w:rPr>
          <w:rFonts w:eastAsia="Arial Unicode MS" w:cs="Arial Unicode MS"/>
          <w:color w:val="000000" w:themeColor="text1"/>
        </w:rPr>
        <w:t>of CAASE and other legal practitioners working directly and on behalf of survivors of sexual exploitation and/or human trafficking.</w:t>
      </w:r>
    </w:p>
  </w:footnote>
  <w:footnote w:id="4">
    <w:p w14:paraId="257ADD4A" w14:textId="0C6C8177" w:rsidR="00D3644F" w:rsidRPr="00672E14" w:rsidRDefault="006F2481">
      <w:pPr>
        <w:pStyle w:val="BodyA"/>
        <w:spacing w:line="240" w:lineRule="auto"/>
        <w:rPr>
          <w:color w:val="000000" w:themeColor="text1"/>
          <w:sz w:val="20"/>
          <w:szCs w:val="20"/>
        </w:rPr>
      </w:pPr>
      <w:r w:rsidRPr="00672E14">
        <w:rPr>
          <w:rStyle w:val="FootnoteReference"/>
          <w:color w:val="000000" w:themeColor="text1"/>
          <w:sz w:val="20"/>
          <w:szCs w:val="20"/>
          <w:lang w:val="pt-PT"/>
        </w:rPr>
        <w:footnoteRef/>
      </w:r>
      <w:r w:rsidRPr="00672E14">
        <w:rPr>
          <w:rStyle w:val="None"/>
          <w:color w:val="000000" w:themeColor="text1"/>
          <w:sz w:val="20"/>
          <w:szCs w:val="20"/>
          <w:lang w:val="pt-PT"/>
        </w:rPr>
        <w:t xml:space="preserve"> Para. 34 of Concept Note</w:t>
      </w:r>
      <w:r w:rsidR="009679AF" w:rsidRPr="00672E14">
        <w:rPr>
          <w:rStyle w:val="None"/>
          <w:color w:val="000000" w:themeColor="text1"/>
          <w:sz w:val="20"/>
          <w:szCs w:val="20"/>
          <w:lang w:val="pt-PT"/>
        </w:rPr>
        <w:t>.</w:t>
      </w:r>
    </w:p>
  </w:footnote>
  <w:footnote w:id="5">
    <w:p w14:paraId="7588159A" w14:textId="77777777" w:rsidR="00D3644F" w:rsidRPr="00672E14" w:rsidRDefault="006F2481">
      <w:pPr>
        <w:pStyle w:val="BodyA"/>
        <w:spacing w:line="240" w:lineRule="auto"/>
        <w:rPr>
          <w:color w:val="000000" w:themeColor="text1"/>
          <w:sz w:val="20"/>
          <w:szCs w:val="20"/>
        </w:rPr>
      </w:pPr>
      <w:r w:rsidRPr="00672E14">
        <w:rPr>
          <w:rStyle w:val="FootnoteReference"/>
          <w:color w:val="000000" w:themeColor="text1"/>
          <w:sz w:val="20"/>
          <w:szCs w:val="20"/>
        </w:rPr>
        <w:footnoteRef/>
      </w:r>
      <w:r w:rsidRPr="00672E14">
        <w:rPr>
          <w:rStyle w:val="None"/>
          <w:color w:val="000000" w:themeColor="text1"/>
          <w:sz w:val="20"/>
          <w:szCs w:val="20"/>
        </w:rPr>
        <w:t xml:space="preserve">  Legal service providers in Chicago, including CAASE, have represented trafficked women who have been charged and convicted of prostitution crimes, as well as a variety of collateral crimes, including but not limited to, solicitation of a ride, indecent exposure, disturbing the peace, possession of illegal drugs, and driving without a license. Law enforcement officers in Chicago have acknowledged to CAASE that these collateral crimes are often charged, even if the underlying facts dictate the appropriate charge would be prostitution, because less evidence is required to prove these collateral charges and therefore require less investigation and evidence-gathering by law enforcement.</w:t>
      </w:r>
    </w:p>
  </w:footnote>
  <w:footnote w:id="6">
    <w:p w14:paraId="00B1BE38" w14:textId="48FA66E3" w:rsidR="00D3644F" w:rsidRPr="00672E14" w:rsidRDefault="006F2481">
      <w:pPr>
        <w:pStyle w:val="FootnoteText"/>
        <w:rPr>
          <w:color w:val="000000" w:themeColor="text1"/>
        </w:rPr>
      </w:pPr>
      <w:r w:rsidRPr="00672E14">
        <w:rPr>
          <w:rStyle w:val="FootnoteReference"/>
          <w:color w:val="000000" w:themeColor="text1"/>
        </w:rPr>
        <w:footnoteRef/>
      </w:r>
      <w:r w:rsidRPr="00672E14">
        <w:rPr>
          <w:rFonts w:eastAsia="Arial Unicode MS" w:cs="Arial Unicode MS"/>
          <w:color w:val="000000" w:themeColor="text1"/>
        </w:rPr>
        <w:t xml:space="preserve"> United States Department of State, </w:t>
      </w:r>
      <w:r w:rsidRPr="00672E14">
        <w:rPr>
          <w:rStyle w:val="None"/>
          <w:rFonts w:eastAsia="Arial Unicode MS" w:cs="Arial Unicode MS"/>
          <w:i/>
          <w:iCs/>
          <w:color w:val="000000" w:themeColor="text1"/>
        </w:rPr>
        <w:t>Trafficking in Persons Report June 2018</w:t>
      </w:r>
      <w:r w:rsidRPr="00672E14">
        <w:rPr>
          <w:rFonts w:eastAsia="Arial Unicode MS" w:cs="Arial Unicode MS"/>
          <w:color w:val="000000" w:themeColor="text1"/>
        </w:rPr>
        <w:t>, at 444, https://www.state.gov/j/tip/rls/tiprpt/2018/.</w:t>
      </w:r>
    </w:p>
  </w:footnote>
  <w:footnote w:id="7">
    <w:p w14:paraId="3DDB14D4" w14:textId="1C5BEC80" w:rsidR="00D3644F" w:rsidRPr="00672E14" w:rsidRDefault="006F2481">
      <w:pPr>
        <w:pStyle w:val="BodyA"/>
        <w:spacing w:line="240" w:lineRule="auto"/>
        <w:rPr>
          <w:color w:val="000000" w:themeColor="text1"/>
          <w:sz w:val="20"/>
          <w:szCs w:val="20"/>
        </w:rPr>
      </w:pPr>
      <w:r w:rsidRPr="00672E14">
        <w:rPr>
          <w:rStyle w:val="FootnoteReference"/>
          <w:color w:val="000000" w:themeColor="text1"/>
          <w:sz w:val="20"/>
          <w:szCs w:val="20"/>
        </w:rPr>
        <w:footnoteRef/>
      </w:r>
      <w:r w:rsidRPr="00672E14">
        <w:rPr>
          <w:rStyle w:val="None"/>
          <w:color w:val="000000" w:themeColor="text1"/>
          <w:sz w:val="20"/>
          <w:szCs w:val="20"/>
        </w:rPr>
        <w:t xml:space="preserve"> Illinois Safe Children</w:t>
      </w:r>
      <w:r w:rsidR="004D4AE6" w:rsidRPr="00672E14">
        <w:rPr>
          <w:rStyle w:val="None"/>
          <w:color w:val="000000" w:themeColor="text1"/>
          <w:sz w:val="20"/>
          <w:szCs w:val="20"/>
        </w:rPr>
        <w:t xml:space="preserve"> </w:t>
      </w:r>
      <w:r w:rsidRPr="00672E14">
        <w:rPr>
          <w:rStyle w:val="None"/>
          <w:color w:val="000000" w:themeColor="text1"/>
          <w:sz w:val="20"/>
          <w:szCs w:val="20"/>
        </w:rPr>
        <w:t>Act</w:t>
      </w:r>
      <w:r w:rsidR="004D4AE6" w:rsidRPr="00672E14">
        <w:rPr>
          <w:rStyle w:val="None"/>
          <w:color w:val="000000" w:themeColor="text1"/>
          <w:sz w:val="20"/>
          <w:szCs w:val="20"/>
        </w:rPr>
        <w:t xml:space="preserve">, </w:t>
      </w:r>
      <w:r w:rsidR="00BF571E" w:rsidRPr="00672E14">
        <w:rPr>
          <w:rStyle w:val="None"/>
          <w:color w:val="000000" w:themeColor="text1"/>
          <w:sz w:val="20"/>
          <w:szCs w:val="20"/>
        </w:rPr>
        <w:t xml:space="preserve">Ill. </w:t>
      </w:r>
      <w:r w:rsidR="004D4AE6" w:rsidRPr="00672E14">
        <w:rPr>
          <w:rStyle w:val="None"/>
          <w:color w:val="000000" w:themeColor="text1"/>
          <w:sz w:val="20"/>
          <w:szCs w:val="20"/>
        </w:rPr>
        <w:t>Pub</w:t>
      </w:r>
      <w:r w:rsidR="00BF571E" w:rsidRPr="00672E14">
        <w:rPr>
          <w:rStyle w:val="None"/>
          <w:color w:val="000000" w:themeColor="text1"/>
          <w:sz w:val="20"/>
          <w:szCs w:val="20"/>
        </w:rPr>
        <w:t>.</w:t>
      </w:r>
      <w:r w:rsidR="004D4AE6" w:rsidRPr="00672E14">
        <w:rPr>
          <w:rStyle w:val="None"/>
          <w:color w:val="000000" w:themeColor="text1"/>
          <w:sz w:val="20"/>
          <w:szCs w:val="20"/>
        </w:rPr>
        <w:t xml:space="preserve"> Act 96-1464</w:t>
      </w:r>
      <w:r w:rsidR="00CA6B80" w:rsidRPr="00672E14">
        <w:rPr>
          <w:rStyle w:val="None"/>
          <w:color w:val="000000" w:themeColor="text1"/>
          <w:sz w:val="20"/>
          <w:szCs w:val="20"/>
        </w:rPr>
        <w:t xml:space="preserve"> (201</w:t>
      </w:r>
      <w:r w:rsidR="00B96B49" w:rsidRPr="00672E14">
        <w:rPr>
          <w:rStyle w:val="None"/>
          <w:color w:val="000000" w:themeColor="text1"/>
          <w:sz w:val="20"/>
          <w:szCs w:val="20"/>
        </w:rPr>
        <w:t>0</w:t>
      </w:r>
      <w:r w:rsidR="00CA6B80" w:rsidRPr="00672E14">
        <w:rPr>
          <w:rStyle w:val="None"/>
          <w:color w:val="000000" w:themeColor="text1"/>
          <w:sz w:val="20"/>
          <w:szCs w:val="20"/>
        </w:rPr>
        <w:t>)</w:t>
      </w:r>
      <w:r w:rsidR="00C83F84">
        <w:rPr>
          <w:rStyle w:val="None"/>
          <w:color w:val="000000" w:themeColor="text1"/>
          <w:sz w:val="20"/>
          <w:szCs w:val="20"/>
        </w:rPr>
        <w:t>;</w:t>
      </w:r>
      <w:r w:rsidR="00CA6B80" w:rsidRPr="00672E14">
        <w:rPr>
          <w:rStyle w:val="None"/>
          <w:color w:val="000000" w:themeColor="text1"/>
          <w:sz w:val="20"/>
          <w:szCs w:val="20"/>
        </w:rPr>
        <w:t xml:space="preserve"> </w:t>
      </w:r>
      <w:r w:rsidRPr="00672E14">
        <w:rPr>
          <w:rStyle w:val="None"/>
          <w:color w:val="000000" w:themeColor="text1"/>
          <w:sz w:val="20"/>
          <w:szCs w:val="20"/>
        </w:rPr>
        <w:t xml:space="preserve">more information available at: End Demand Illinois, </w:t>
      </w:r>
      <w:hyperlink r:id="rId1" w:history="1">
        <w:r w:rsidRPr="00672E14">
          <w:rPr>
            <w:rStyle w:val="Hyperlink1"/>
            <w:color w:val="000000" w:themeColor="text1"/>
            <w:u w:val="none"/>
          </w:rPr>
          <w:t>http://media.virbcdn.com/files/cc/0a246ae6b272c82a-ILSafeChildrenActSummaryNov2010FINAL.pdf</w:t>
        </w:r>
      </w:hyperlink>
      <w:r w:rsidRPr="00672E14">
        <w:rPr>
          <w:rStyle w:val="None"/>
          <w:color w:val="000000" w:themeColor="text1"/>
          <w:sz w:val="20"/>
          <w:szCs w:val="20"/>
        </w:rPr>
        <w:t>.</w:t>
      </w:r>
    </w:p>
  </w:footnote>
  <w:footnote w:id="8">
    <w:p w14:paraId="18BAE27C" w14:textId="514CE1A9" w:rsidR="00D3644F" w:rsidRPr="00672E14" w:rsidRDefault="006F2481">
      <w:pPr>
        <w:pStyle w:val="FootnoteText"/>
        <w:rPr>
          <w:color w:val="000000" w:themeColor="text1"/>
        </w:rPr>
      </w:pPr>
      <w:r w:rsidRPr="00672E14">
        <w:rPr>
          <w:rStyle w:val="FootnoteReference"/>
          <w:color w:val="000000" w:themeColor="text1"/>
        </w:rPr>
        <w:footnoteRef/>
      </w:r>
      <w:r w:rsidRPr="00672E14">
        <w:rPr>
          <w:rFonts w:eastAsia="Arial Unicode MS" w:cs="Arial Unicode MS"/>
          <w:color w:val="000000" w:themeColor="text1"/>
        </w:rPr>
        <w:t xml:space="preserve"> </w:t>
      </w:r>
      <w:r w:rsidR="00F91331" w:rsidRPr="00672E14">
        <w:rPr>
          <w:color w:val="000000" w:themeColor="text1"/>
        </w:rPr>
        <w:t xml:space="preserve">Trafficking Victims Protection </w:t>
      </w:r>
      <w:r w:rsidR="008604AC" w:rsidRPr="00672E14">
        <w:rPr>
          <w:color w:val="000000" w:themeColor="text1"/>
        </w:rPr>
        <w:t xml:space="preserve">Reauthorization </w:t>
      </w:r>
      <w:r w:rsidR="00F91331" w:rsidRPr="00672E14">
        <w:rPr>
          <w:color w:val="000000" w:themeColor="text1"/>
        </w:rPr>
        <w:t>Act</w:t>
      </w:r>
      <w:r w:rsidR="0092580F" w:rsidRPr="00672E14">
        <w:rPr>
          <w:color w:val="000000" w:themeColor="text1"/>
        </w:rPr>
        <w:t>, 22 U.S.C. 78</w:t>
      </w:r>
      <w:r w:rsidR="008604AC" w:rsidRPr="00672E14">
        <w:rPr>
          <w:color w:val="000000" w:themeColor="text1"/>
        </w:rPr>
        <w:t xml:space="preserve"> (2013).</w:t>
      </w:r>
    </w:p>
    <w:p w14:paraId="4DB8E739" w14:textId="77777777" w:rsidR="00C57AC1" w:rsidRPr="00672E14" w:rsidRDefault="00C57AC1">
      <w:pPr>
        <w:pStyle w:val="FootnoteText"/>
        <w:rPr>
          <w:color w:val="000000" w:themeColor="text1"/>
        </w:rPr>
      </w:pPr>
    </w:p>
  </w:footnote>
  <w:footnote w:id="9">
    <w:p w14:paraId="548F6957" w14:textId="68707705" w:rsidR="00D3644F" w:rsidRPr="00672E14" w:rsidRDefault="006F2481">
      <w:pPr>
        <w:pStyle w:val="FootnoteText"/>
        <w:rPr>
          <w:color w:val="000000" w:themeColor="text1"/>
        </w:rPr>
      </w:pPr>
      <w:r w:rsidRPr="00672E14">
        <w:rPr>
          <w:rStyle w:val="FootnoteReference"/>
          <w:color w:val="000000" w:themeColor="text1"/>
        </w:rPr>
        <w:footnoteRef/>
      </w:r>
      <w:r w:rsidRPr="00672E14">
        <w:rPr>
          <w:rFonts w:eastAsia="Arial Unicode MS" w:cs="Arial Unicode MS"/>
          <w:color w:val="000000" w:themeColor="text1"/>
        </w:rPr>
        <w:t xml:space="preserve"> </w:t>
      </w:r>
      <w:r w:rsidRPr="00672E14">
        <w:rPr>
          <w:rStyle w:val="None"/>
          <w:rFonts w:eastAsia="Arial Unicode MS" w:cs="Arial Unicode MS"/>
          <w:i/>
          <w:iCs/>
          <w:color w:val="000000" w:themeColor="text1"/>
        </w:rPr>
        <w:t>Chicago Prostitution and Trafficking Intervention Court: A Coordinated Initiative</w:t>
      </w:r>
      <w:r w:rsidRPr="00672E14">
        <w:rPr>
          <w:rFonts w:eastAsia="Arial Unicode MS" w:cs="Arial Unicode MS"/>
          <w:color w:val="000000" w:themeColor="text1"/>
        </w:rPr>
        <w:t xml:space="preserve">, </w:t>
      </w:r>
      <w:r w:rsidR="00FE0A89" w:rsidRPr="00FE0A89">
        <w:rPr>
          <w:rFonts w:eastAsia="Arial Unicode MS" w:cs="Arial Unicode MS"/>
          <w:color w:val="000000" w:themeColor="text1"/>
        </w:rPr>
        <w:t>http://www.cookcountycourt.org/Portals/0/Chief%20Judge/Prostitution%20Court/prostitution%20court%20fact%20sheet.press.pdf</w:t>
      </w:r>
      <w:r w:rsidR="00FE0A89" w:rsidRPr="00FE0A89">
        <w:rPr>
          <w:rStyle w:val="Hyperlink2"/>
          <w:rFonts w:eastAsia="Arial Unicode MS" w:cs="Arial Unicode MS"/>
          <w:color w:val="000000" w:themeColor="text1"/>
        </w:rPr>
        <w:t xml:space="preserve"> </w:t>
      </w:r>
      <w:hyperlink r:id="rId2" w:history="1">
        <w:r w:rsidR="008604AC" w:rsidRPr="00672E14">
          <w:rPr>
            <w:rStyle w:val="Hyperlink2"/>
            <w:rFonts w:eastAsia="Arial Unicode MS" w:cs="Arial Unicode MS"/>
            <w:color w:val="000000" w:themeColor="text1"/>
          </w:rPr>
          <w:t>.</w:t>
        </w:r>
      </w:hyperlink>
      <w:r w:rsidR="008604AC" w:rsidRPr="00672E14">
        <w:rPr>
          <w:rStyle w:val="Hyperlink2"/>
          <w:rFonts w:eastAsia="Arial Unicode MS" w:cs="Arial Unicode MS"/>
          <w:color w:val="000000" w:themeColor="text1"/>
        </w:rPr>
        <w:t xml:space="preserve"> T</w:t>
      </w:r>
      <w:r w:rsidRPr="00672E14">
        <w:rPr>
          <w:rFonts w:eastAsia="Arial Unicode MS" w:cs="Arial Unicode MS"/>
          <w:color w:val="000000" w:themeColor="text1"/>
        </w:rPr>
        <w:t>he criminal charges that qualify for th</w:t>
      </w:r>
      <w:r w:rsidR="008604AC" w:rsidRPr="00672E14">
        <w:rPr>
          <w:rFonts w:eastAsia="Arial Unicode MS" w:cs="Arial Unicode MS"/>
          <w:color w:val="000000" w:themeColor="text1"/>
        </w:rPr>
        <w:t>is</w:t>
      </w:r>
      <w:r w:rsidRPr="00672E14">
        <w:rPr>
          <w:rFonts w:eastAsia="Arial Unicode MS" w:cs="Arial Unicode MS"/>
          <w:color w:val="000000" w:themeColor="text1"/>
        </w:rPr>
        <w:t xml:space="preserve"> court are codified at 720 ILCS 5/11-14 and 625 ILCS 5/11-1006 (a) and (b).</w:t>
      </w:r>
    </w:p>
  </w:footnote>
  <w:footnote w:id="10">
    <w:p w14:paraId="1CC91496" w14:textId="69C04C17" w:rsidR="00D3644F" w:rsidRPr="00672E14" w:rsidRDefault="006F2481">
      <w:pPr>
        <w:pStyle w:val="Body"/>
        <w:rPr>
          <w:color w:val="000000" w:themeColor="text1"/>
          <w:sz w:val="20"/>
          <w:szCs w:val="20"/>
        </w:rPr>
      </w:pPr>
      <w:r w:rsidRPr="00672E14">
        <w:rPr>
          <w:rStyle w:val="FootnoteReference"/>
          <w:color w:val="000000" w:themeColor="text1"/>
          <w:sz w:val="20"/>
          <w:szCs w:val="20"/>
        </w:rPr>
        <w:footnoteRef/>
      </w:r>
      <w:r w:rsidRPr="00672E14">
        <w:rPr>
          <w:rStyle w:val="Hyperlink10"/>
          <w:rFonts w:eastAsia="Arial Unicode MS" w:cs="Arial Unicode MS"/>
          <w:color w:val="000000" w:themeColor="text1"/>
        </w:rPr>
        <w:t xml:space="preserve"> </w:t>
      </w:r>
      <w:r w:rsidRPr="00672E14">
        <w:rPr>
          <w:rStyle w:val="None"/>
          <w:rFonts w:eastAsia="Arial Unicode MS" w:cs="Arial Unicode MS"/>
          <w:color w:val="000000" w:themeColor="text1"/>
          <w:sz w:val="20"/>
          <w:szCs w:val="20"/>
          <w:u w:color="222222"/>
          <w:shd w:val="clear" w:color="auto" w:fill="FFFFFF"/>
        </w:rPr>
        <w:t>Ill</w:t>
      </w:r>
      <w:r w:rsidR="00BA3B22" w:rsidRPr="00672E14">
        <w:rPr>
          <w:rStyle w:val="None"/>
          <w:rFonts w:eastAsia="Arial Unicode MS" w:cs="Arial Unicode MS"/>
          <w:color w:val="000000" w:themeColor="text1"/>
          <w:sz w:val="20"/>
          <w:szCs w:val="20"/>
          <w:u w:color="222222"/>
          <w:shd w:val="clear" w:color="auto" w:fill="FFFFFF"/>
        </w:rPr>
        <w:t>.</w:t>
      </w:r>
      <w:r w:rsidRPr="00672E14">
        <w:rPr>
          <w:rStyle w:val="None"/>
          <w:rFonts w:eastAsia="Arial Unicode MS" w:cs="Arial Unicode MS"/>
          <w:color w:val="000000" w:themeColor="text1"/>
          <w:sz w:val="20"/>
          <w:szCs w:val="20"/>
          <w:u w:color="222222"/>
          <w:shd w:val="clear" w:color="auto" w:fill="FFFFFF"/>
        </w:rPr>
        <w:t xml:space="preserve"> </w:t>
      </w:r>
      <w:r w:rsidR="00BA3B22" w:rsidRPr="00672E14">
        <w:rPr>
          <w:rStyle w:val="None"/>
          <w:rFonts w:eastAsia="Arial Unicode MS" w:cs="Arial Unicode MS"/>
          <w:color w:val="000000" w:themeColor="text1"/>
          <w:sz w:val="20"/>
          <w:szCs w:val="20"/>
          <w:u w:color="222222"/>
          <w:shd w:val="clear" w:color="auto" w:fill="FFFFFF"/>
        </w:rPr>
        <w:t xml:space="preserve">Pub. </w:t>
      </w:r>
      <w:r w:rsidRPr="00672E14">
        <w:rPr>
          <w:rStyle w:val="None"/>
          <w:rFonts w:eastAsia="Arial Unicode MS" w:cs="Arial Unicode MS"/>
          <w:color w:val="000000" w:themeColor="text1"/>
          <w:sz w:val="20"/>
          <w:szCs w:val="20"/>
          <w:u w:color="222222"/>
          <w:shd w:val="clear" w:color="auto" w:fill="FFFFFF"/>
        </w:rPr>
        <w:t>Act 99-0109, amending 720 ILCS 5/11-14 and 725 ILCS 5/115-6.1, effective July 22, 2015.</w:t>
      </w:r>
    </w:p>
  </w:footnote>
  <w:footnote w:id="11">
    <w:p w14:paraId="69277A22" w14:textId="5316FABD" w:rsidR="00D3644F" w:rsidRPr="00672E14" w:rsidRDefault="006F2481">
      <w:pPr>
        <w:pStyle w:val="FootnoteText"/>
        <w:rPr>
          <w:color w:val="000000" w:themeColor="text1"/>
        </w:rPr>
      </w:pPr>
      <w:r w:rsidRPr="00672E14">
        <w:rPr>
          <w:rStyle w:val="FootnoteReference"/>
          <w:color w:val="000000" w:themeColor="text1"/>
        </w:rPr>
        <w:footnoteRef/>
      </w:r>
      <w:r w:rsidRPr="00672E14">
        <w:rPr>
          <w:rFonts w:eastAsia="Arial Unicode MS" w:cs="Arial Unicode MS"/>
          <w:color w:val="000000" w:themeColor="text1"/>
        </w:rPr>
        <w:t xml:space="preserve"> </w:t>
      </w:r>
      <w:r w:rsidR="003D1523" w:rsidRPr="00672E14">
        <w:rPr>
          <w:rFonts w:eastAsia="Arial Unicode MS" w:cs="Arial Unicode MS"/>
          <w:color w:val="000000" w:themeColor="text1"/>
        </w:rPr>
        <w:t xml:space="preserve">Illinois </w:t>
      </w:r>
      <w:r w:rsidRPr="00672E14">
        <w:rPr>
          <w:rFonts w:eastAsia="Arial Unicode MS" w:cs="Arial Unicode MS"/>
          <w:color w:val="000000" w:themeColor="text1"/>
        </w:rPr>
        <w:t>Code of Criminal Procedure</w:t>
      </w:r>
      <w:r w:rsidR="00F419D4" w:rsidRPr="00672E14">
        <w:rPr>
          <w:rFonts w:eastAsia="Arial Unicode MS" w:cs="Arial Unicode MS"/>
          <w:color w:val="000000" w:themeColor="text1"/>
        </w:rPr>
        <w:t>,</w:t>
      </w:r>
      <w:r w:rsidRPr="00672E14">
        <w:rPr>
          <w:rFonts w:eastAsia="Arial Unicode MS" w:cs="Arial Unicode MS"/>
          <w:color w:val="000000" w:themeColor="text1"/>
        </w:rPr>
        <w:t xml:space="preserve"> 725 ILCS 5/</w:t>
      </w:r>
      <w:r w:rsidR="00450DEC" w:rsidRPr="00672E14">
        <w:rPr>
          <w:rFonts w:eastAsia="Arial Unicode MS" w:cs="Arial Unicode MS"/>
          <w:color w:val="000000" w:themeColor="text1"/>
        </w:rPr>
        <w:t>116-2.1</w:t>
      </w:r>
      <w:r w:rsidRPr="00672E14">
        <w:rPr>
          <w:rFonts w:eastAsia="Arial Unicode MS" w:cs="Arial Unicode MS"/>
          <w:color w:val="000000" w:themeColor="text1"/>
        </w:rPr>
        <w:t xml:space="preserve">, </w:t>
      </w:r>
      <w:r w:rsidR="00535AE4" w:rsidRPr="00535AE4">
        <w:rPr>
          <w:rStyle w:val="Hyperlink3"/>
          <w:rFonts w:eastAsia="Arial Unicode MS" w:cs="Arial Unicode MS"/>
          <w:color w:val="000000" w:themeColor="text1"/>
          <w:u w:val="none"/>
        </w:rPr>
        <w:t>http://www.ilga.gov/legislation/ilcs/ilcs4.asp?DocName=072500050HArt%2E+116&amp;ActID=1966&amp;ChapterID=54&amp;SeqStart=34300000&amp;SeqEnd=35000000</w:t>
      </w:r>
      <w:r w:rsidR="00C22E76" w:rsidRPr="00672E14">
        <w:rPr>
          <w:rStyle w:val="Hyperlink3"/>
          <w:rFonts w:eastAsia="Arial Unicode MS" w:cs="Arial Unicode MS"/>
          <w:color w:val="000000" w:themeColor="text1"/>
          <w:u w:val="none"/>
        </w:rPr>
        <w:t>.</w:t>
      </w:r>
    </w:p>
  </w:footnote>
  <w:footnote w:id="12">
    <w:p w14:paraId="2A855AAC" w14:textId="00242833" w:rsidR="00D3644F" w:rsidRPr="00672E14" w:rsidRDefault="006F2481">
      <w:pPr>
        <w:pStyle w:val="FootnoteText"/>
        <w:rPr>
          <w:color w:val="000000" w:themeColor="text1"/>
        </w:rPr>
      </w:pPr>
      <w:r w:rsidRPr="00672E14">
        <w:rPr>
          <w:rStyle w:val="FootnoteReference"/>
          <w:color w:val="000000" w:themeColor="text1"/>
        </w:rPr>
        <w:footnoteRef/>
      </w:r>
      <w:r w:rsidRPr="00672E14">
        <w:rPr>
          <w:rFonts w:eastAsia="Arial Unicode MS" w:cs="Arial Unicode MS"/>
          <w:color w:val="000000" w:themeColor="text1"/>
        </w:rPr>
        <w:t xml:space="preserve"> </w:t>
      </w:r>
      <w:r w:rsidRPr="00672E14">
        <w:rPr>
          <w:rStyle w:val="None"/>
          <w:rFonts w:eastAsia="Arial Unicode MS" w:cs="Arial Unicode MS"/>
          <w:iCs/>
          <w:color w:val="000000" w:themeColor="text1"/>
        </w:rPr>
        <w:t>Illinois Criminal Identification Act,</w:t>
      </w:r>
      <w:r w:rsidRPr="00672E14">
        <w:rPr>
          <w:rFonts w:eastAsia="Arial Unicode MS" w:cs="Arial Unicode MS"/>
          <w:color w:val="000000" w:themeColor="text1"/>
        </w:rPr>
        <w:t xml:space="preserve"> 20 ILCS 2630/5.2, as amended</w:t>
      </w:r>
      <w:r w:rsidR="00180B35" w:rsidRPr="00672E14">
        <w:rPr>
          <w:rFonts w:eastAsia="Arial Unicode MS" w:cs="Arial Unicode MS"/>
          <w:color w:val="000000" w:themeColor="text1"/>
        </w:rPr>
        <w:t xml:space="preserve"> (2018)</w:t>
      </w:r>
      <w:r w:rsidRPr="00672E14">
        <w:rPr>
          <w:rFonts w:eastAsia="Arial Unicode MS" w:cs="Arial Unicode MS"/>
          <w:color w:val="000000" w:themeColor="text1"/>
        </w:rPr>
        <w:t>.</w:t>
      </w:r>
    </w:p>
  </w:footnote>
  <w:footnote w:id="13">
    <w:p w14:paraId="58F436AC" w14:textId="77777777" w:rsidR="00D3644F" w:rsidRPr="00672E14" w:rsidRDefault="006F2481">
      <w:pPr>
        <w:pStyle w:val="FootnoteText"/>
        <w:rPr>
          <w:color w:val="000000" w:themeColor="text1"/>
        </w:rPr>
      </w:pPr>
      <w:r w:rsidRPr="00672E14">
        <w:rPr>
          <w:rStyle w:val="FootnoteReference"/>
          <w:color w:val="000000" w:themeColor="text1"/>
        </w:rPr>
        <w:footnoteRef/>
      </w:r>
      <w:r w:rsidRPr="00672E14">
        <w:rPr>
          <w:rFonts w:eastAsia="Arial Unicode MS" w:cs="Arial Unicode MS"/>
          <w:color w:val="000000" w:themeColor="text1"/>
        </w:rPr>
        <w:t xml:space="preserve"> </w:t>
      </w:r>
      <w:r w:rsidRPr="00672E14">
        <w:rPr>
          <w:rStyle w:val="None"/>
          <w:rFonts w:eastAsia="Arial Unicode MS" w:cs="Arial Unicode MS"/>
          <w:i/>
          <w:iCs/>
          <w:color w:val="000000" w:themeColor="text1"/>
        </w:rPr>
        <w:t xml:space="preserve">Id. </w:t>
      </w:r>
      <w:r w:rsidRPr="00672E14">
        <w:rPr>
          <w:rFonts w:eastAsia="Arial Unicode MS" w:cs="Arial Unicode MS"/>
          <w:color w:val="000000" w:themeColor="text1"/>
        </w:rPr>
        <w:t>at 5.2(h).</w:t>
      </w:r>
    </w:p>
  </w:footnote>
  <w:footnote w:id="14">
    <w:p w14:paraId="2BE25B8C" w14:textId="5E53092F" w:rsidR="00D3644F" w:rsidRPr="00672E14" w:rsidRDefault="006F2481">
      <w:pPr>
        <w:pStyle w:val="FootnoteText"/>
        <w:rPr>
          <w:color w:val="000000" w:themeColor="text1"/>
        </w:rPr>
      </w:pPr>
      <w:r w:rsidRPr="00672E14">
        <w:rPr>
          <w:rStyle w:val="FootnoteReference"/>
          <w:color w:val="000000" w:themeColor="text1"/>
        </w:rPr>
        <w:footnoteRef/>
      </w:r>
      <w:r w:rsidRPr="00672E14">
        <w:rPr>
          <w:rFonts w:eastAsia="Arial Unicode MS" w:cs="Arial Unicode MS"/>
          <w:color w:val="000000" w:themeColor="text1"/>
        </w:rPr>
        <w:t xml:space="preserve"> </w:t>
      </w:r>
      <w:r w:rsidR="007E4F3C" w:rsidRPr="007E1411">
        <w:rPr>
          <w:rFonts w:eastAsia="Arial Unicode MS" w:cs="Arial Unicode MS"/>
          <w:color w:val="000000" w:themeColor="text1"/>
        </w:rPr>
        <w:t>Illinois T</w:t>
      </w:r>
      <w:r w:rsidR="0092360C" w:rsidRPr="007E1411">
        <w:rPr>
          <w:rFonts w:eastAsia="Arial Unicode MS" w:cs="Arial Unicode MS"/>
          <w:color w:val="000000" w:themeColor="text1"/>
        </w:rPr>
        <w:t>RUST</w:t>
      </w:r>
      <w:r w:rsidR="007E4F3C" w:rsidRPr="007E1411">
        <w:rPr>
          <w:rFonts w:eastAsia="Arial Unicode MS" w:cs="Arial Unicode MS"/>
          <w:color w:val="000000" w:themeColor="text1"/>
        </w:rPr>
        <w:t xml:space="preserve"> Act</w:t>
      </w:r>
      <w:r w:rsidR="00491589" w:rsidRPr="007E1411">
        <w:rPr>
          <w:rFonts w:eastAsia="Arial Unicode MS" w:cs="Arial Unicode MS"/>
          <w:color w:val="000000" w:themeColor="text1"/>
        </w:rPr>
        <w:t xml:space="preserve">, </w:t>
      </w:r>
      <w:r w:rsidR="00491589" w:rsidRPr="00672E14">
        <w:rPr>
          <w:rFonts w:eastAsia="Arial Unicode MS" w:cs="Arial Unicode MS"/>
          <w:color w:val="000000" w:themeColor="text1"/>
        </w:rPr>
        <w:t>5 ILCS</w:t>
      </w:r>
      <w:r w:rsidR="00250983" w:rsidRPr="00672E14">
        <w:rPr>
          <w:rFonts w:eastAsia="Arial Unicode MS" w:cs="Arial Unicode MS"/>
          <w:color w:val="000000" w:themeColor="text1"/>
        </w:rPr>
        <w:t xml:space="preserve"> 805</w:t>
      </w:r>
      <w:r w:rsidR="0092360C" w:rsidRPr="00672E14">
        <w:rPr>
          <w:rFonts w:eastAsia="Arial Unicode MS" w:cs="Arial Unicode MS"/>
          <w:color w:val="000000" w:themeColor="text1"/>
        </w:rPr>
        <w:t>,</w:t>
      </w:r>
      <w:r w:rsidRPr="00672E14">
        <w:rPr>
          <w:rFonts w:eastAsia="Arial Unicode MS" w:cs="Arial Unicode MS"/>
          <w:color w:val="000000" w:themeColor="text1"/>
        </w:rPr>
        <w:t xml:space="preserve"> </w:t>
      </w:r>
      <w:r w:rsidR="00450DEC" w:rsidRPr="00672E14">
        <w:rPr>
          <w:rStyle w:val="Hyperlink3"/>
          <w:rFonts w:eastAsia="Arial Unicode MS" w:cs="Arial Unicode MS"/>
          <w:color w:val="000000" w:themeColor="text1"/>
          <w:u w:val="none"/>
        </w:rPr>
        <w:t>http://www.ilga.gov/legislation/publicacts/fulltext.asp?Name=100-0463</w:t>
      </w:r>
      <w:r w:rsidR="00C22E76" w:rsidRPr="00672E14">
        <w:rPr>
          <w:rStyle w:val="Hyperlink3"/>
          <w:rFonts w:eastAsia="Arial Unicode MS" w:cs="Arial Unicode MS"/>
          <w:color w:val="000000" w:themeColor="text1"/>
          <w:u w:val="none"/>
        </w:rPr>
        <w:t>.</w:t>
      </w:r>
    </w:p>
  </w:footnote>
  <w:footnote w:id="15">
    <w:p w14:paraId="25DED564" w14:textId="7CE3590B" w:rsidR="00D3644F" w:rsidRPr="00672E14" w:rsidRDefault="006F2481">
      <w:pPr>
        <w:pStyle w:val="FootnoteText"/>
        <w:rPr>
          <w:color w:val="000000" w:themeColor="text1"/>
        </w:rPr>
      </w:pPr>
      <w:r w:rsidRPr="00672E14">
        <w:rPr>
          <w:rStyle w:val="FootnoteReference"/>
          <w:color w:val="000000" w:themeColor="text1"/>
        </w:rPr>
        <w:footnoteRef/>
      </w:r>
      <w:r w:rsidRPr="00672E14">
        <w:rPr>
          <w:rFonts w:eastAsia="Arial Unicode MS" w:cs="Arial Unicode MS"/>
          <w:color w:val="000000" w:themeColor="text1"/>
        </w:rPr>
        <w:t xml:space="preserve"> </w:t>
      </w:r>
      <w:r w:rsidR="00CF4268" w:rsidRPr="00672E14">
        <w:rPr>
          <w:color w:val="000000" w:themeColor="text1"/>
        </w:rPr>
        <w:t>Trafficking Victims Protection Act, 22 U.S.C. 78 (2000).</w:t>
      </w:r>
    </w:p>
  </w:footnote>
  <w:footnote w:id="16">
    <w:p w14:paraId="70AD1466" w14:textId="04E4F14E" w:rsidR="00D3644F" w:rsidRPr="00672E14" w:rsidRDefault="006F2481">
      <w:pPr>
        <w:pStyle w:val="BodyA"/>
        <w:spacing w:line="240" w:lineRule="auto"/>
        <w:rPr>
          <w:color w:val="000000" w:themeColor="text1"/>
          <w:sz w:val="20"/>
          <w:szCs w:val="20"/>
        </w:rPr>
      </w:pPr>
      <w:r w:rsidRPr="00672E14">
        <w:rPr>
          <w:rStyle w:val="FootnoteReference"/>
          <w:color w:val="000000" w:themeColor="text1"/>
          <w:sz w:val="20"/>
          <w:szCs w:val="20"/>
        </w:rPr>
        <w:footnoteRef/>
      </w:r>
      <w:r w:rsidRPr="00672E14">
        <w:rPr>
          <w:rStyle w:val="None"/>
          <w:color w:val="000000" w:themeColor="text1"/>
          <w:sz w:val="20"/>
          <w:szCs w:val="20"/>
        </w:rPr>
        <w:t xml:space="preserve"> </w:t>
      </w:r>
      <w:r w:rsidRPr="00672E14">
        <w:rPr>
          <w:rStyle w:val="Link"/>
          <w:color w:val="000000" w:themeColor="text1"/>
          <w:sz w:val="20"/>
          <w:szCs w:val="20"/>
          <w:u w:val="none"/>
        </w:rPr>
        <w:t xml:space="preserve">United States Citizenship and Immigration Services, Victims of Human Trafficking: T Nonimmigrant Status, </w:t>
      </w:r>
      <w:r w:rsidR="001C1752" w:rsidRPr="001C1752">
        <w:rPr>
          <w:rStyle w:val="Link"/>
          <w:color w:val="000000" w:themeColor="text1"/>
          <w:sz w:val="20"/>
          <w:szCs w:val="20"/>
          <w:u w:val="none"/>
        </w:rPr>
        <w:t>https://www.uscis.gov/humanitarian/victims-human-trafficking-other-crimes/victims-human-trafficking-t-nonimmigrant-status</w:t>
      </w:r>
      <w:r w:rsidRPr="00672E14">
        <w:rPr>
          <w:rStyle w:val="Link"/>
          <w:color w:val="000000" w:themeColor="text1"/>
          <w:sz w:val="20"/>
          <w:szCs w:val="20"/>
          <w:u w:val="none"/>
        </w:rPr>
        <w:t>.</w:t>
      </w:r>
    </w:p>
  </w:footnote>
  <w:footnote w:id="17">
    <w:p w14:paraId="3AF47A4D" w14:textId="77777777" w:rsidR="00D3644F" w:rsidRPr="00672E14" w:rsidRDefault="006F2481">
      <w:pPr>
        <w:pStyle w:val="FootnoteText"/>
        <w:rPr>
          <w:color w:val="000000" w:themeColor="text1"/>
        </w:rPr>
      </w:pPr>
      <w:r w:rsidRPr="00672E14">
        <w:rPr>
          <w:rStyle w:val="FootnoteReference"/>
          <w:color w:val="000000" w:themeColor="text1"/>
        </w:rPr>
        <w:footnoteRef/>
      </w:r>
      <w:r w:rsidRPr="00672E14">
        <w:rPr>
          <w:rFonts w:eastAsia="Arial Unicode MS" w:cs="Arial Unicode MS"/>
          <w:color w:val="000000" w:themeColor="text1"/>
        </w:rPr>
        <w:t xml:space="preserve"> </w:t>
      </w:r>
      <w:r w:rsidRPr="00672E14">
        <w:rPr>
          <w:rStyle w:val="None"/>
          <w:rFonts w:eastAsia="Arial Unicode MS" w:cs="Arial Unicode MS"/>
          <w:i/>
          <w:iCs/>
          <w:color w:val="000000" w:themeColor="text1"/>
        </w:rPr>
        <w:t>Id</w:t>
      </w:r>
      <w:r w:rsidRPr="00672E14">
        <w:rPr>
          <w:rFonts w:eastAsia="Arial Unicode MS" w:cs="Arial Unicode MS"/>
          <w:color w:val="000000" w:themeColor="text1"/>
        </w:rPr>
        <w:t xml:space="preserve">. </w:t>
      </w:r>
    </w:p>
  </w:footnote>
  <w:footnote w:id="18">
    <w:p w14:paraId="5004AF84" w14:textId="77777777" w:rsidR="00D3644F" w:rsidRPr="00672E14" w:rsidRDefault="006F2481">
      <w:pPr>
        <w:pStyle w:val="FootnoteText"/>
        <w:rPr>
          <w:color w:val="000000" w:themeColor="text1"/>
        </w:rPr>
      </w:pPr>
      <w:r w:rsidRPr="00672E14">
        <w:rPr>
          <w:rStyle w:val="FootnoteReference"/>
          <w:color w:val="000000" w:themeColor="text1"/>
        </w:rPr>
        <w:footnoteRef/>
      </w:r>
      <w:r w:rsidRPr="00672E14">
        <w:rPr>
          <w:rFonts w:eastAsia="Arial Unicode MS" w:cs="Arial Unicode MS"/>
          <w:color w:val="000000" w:themeColor="text1"/>
        </w:rPr>
        <w:t xml:space="preserve"> </w:t>
      </w:r>
      <w:r w:rsidRPr="00672E14">
        <w:rPr>
          <w:rStyle w:val="None"/>
          <w:rFonts w:eastAsia="Arial Unicode MS" w:cs="Arial Unicode MS"/>
          <w:i/>
          <w:iCs/>
          <w:color w:val="000000" w:themeColor="text1"/>
        </w:rPr>
        <w:t>Id</w:t>
      </w:r>
      <w:r w:rsidRPr="00672E14">
        <w:rPr>
          <w:rFonts w:eastAsia="Arial Unicode MS" w:cs="Arial Unicode MS"/>
          <w:color w:val="000000" w:themeColor="text1"/>
        </w:rPr>
        <w:t>.</w:t>
      </w:r>
    </w:p>
  </w:footnote>
  <w:footnote w:id="19">
    <w:p w14:paraId="5ECE4919" w14:textId="38ECFAE5" w:rsidR="00D3644F" w:rsidRPr="00672E14" w:rsidRDefault="006F2481">
      <w:pPr>
        <w:pStyle w:val="FootnoteText"/>
        <w:rPr>
          <w:color w:val="000000" w:themeColor="text1"/>
        </w:rPr>
      </w:pPr>
      <w:r w:rsidRPr="00672E14">
        <w:rPr>
          <w:rStyle w:val="FootnoteReference"/>
          <w:color w:val="000000" w:themeColor="text1"/>
        </w:rPr>
        <w:footnoteRef/>
      </w:r>
      <w:r w:rsidRPr="00672E14">
        <w:rPr>
          <w:rStyle w:val="Link"/>
          <w:rFonts w:eastAsia="Arial Unicode MS" w:cs="Arial Unicode MS"/>
          <w:color w:val="000000" w:themeColor="text1"/>
          <w:u w:val="none" w:color="000000"/>
        </w:rPr>
        <w:t xml:space="preserve"> United States Citizenship and Immigration Services, Victims of Criminal Activity: U Nonimmigrant Status, </w:t>
      </w:r>
      <w:r w:rsidR="002345FA" w:rsidRPr="002345FA">
        <w:rPr>
          <w:rFonts w:eastAsia="Arial Unicode MS" w:cs="Arial Unicode MS"/>
          <w:color w:val="000000" w:themeColor="text1"/>
        </w:rPr>
        <w:t>https://www.uscis.gov/humanitarian/victims-human-trafficking-other-crimes/victims-criminal-activity-u-nonimmigrant-status/victims-criminal-activity-u-nonimmigrant-status</w:t>
      </w:r>
      <w:r w:rsidRPr="00672E14">
        <w:rPr>
          <w:rFonts w:eastAsia="Arial Unicode MS" w:cs="Arial Unicode MS"/>
          <w:color w:val="000000" w:themeColor="text1"/>
        </w:rPr>
        <w:t>.</w:t>
      </w:r>
    </w:p>
  </w:footnote>
  <w:footnote w:id="20">
    <w:p w14:paraId="2AD71E5F" w14:textId="77777777" w:rsidR="00D3644F" w:rsidRPr="00672E14" w:rsidRDefault="006F2481">
      <w:pPr>
        <w:pStyle w:val="FootnoteText"/>
        <w:rPr>
          <w:color w:val="000000" w:themeColor="text1"/>
        </w:rPr>
      </w:pPr>
      <w:r w:rsidRPr="00672E14">
        <w:rPr>
          <w:rStyle w:val="FootnoteReference"/>
          <w:color w:val="000000" w:themeColor="text1"/>
        </w:rPr>
        <w:footnoteRef/>
      </w:r>
      <w:r w:rsidRPr="00672E14">
        <w:rPr>
          <w:rFonts w:eastAsia="Arial Unicode MS" w:cs="Arial Unicode MS"/>
          <w:color w:val="000000" w:themeColor="text1"/>
        </w:rPr>
        <w:t xml:space="preserve"> </w:t>
      </w:r>
      <w:r w:rsidRPr="00672E14">
        <w:rPr>
          <w:rStyle w:val="None"/>
          <w:rFonts w:eastAsia="Arial Unicode MS" w:cs="Arial Unicode MS"/>
          <w:i/>
          <w:iCs/>
          <w:color w:val="000000" w:themeColor="text1"/>
        </w:rPr>
        <w:t>Id</w:t>
      </w:r>
      <w:r w:rsidRPr="00672E14">
        <w:rPr>
          <w:rFonts w:eastAsia="Arial Unicode MS" w:cs="Arial Unicode MS"/>
          <w:color w:val="000000" w:themeColor="text1"/>
        </w:rPr>
        <w:t>.</w:t>
      </w:r>
    </w:p>
  </w:footnote>
  <w:footnote w:id="21">
    <w:p w14:paraId="19B4F7A2" w14:textId="301237B3" w:rsidR="00D3644F" w:rsidRPr="00672E14" w:rsidRDefault="006F2481">
      <w:pPr>
        <w:pStyle w:val="FootnoteText"/>
        <w:rPr>
          <w:color w:val="000000" w:themeColor="text1"/>
        </w:rPr>
      </w:pPr>
      <w:r w:rsidRPr="00672E14">
        <w:rPr>
          <w:rStyle w:val="FootnoteReference"/>
          <w:color w:val="000000" w:themeColor="text1"/>
        </w:rPr>
        <w:footnoteRef/>
      </w:r>
      <w:r w:rsidRPr="00672E14">
        <w:rPr>
          <w:rFonts w:eastAsia="Arial Unicode MS" w:cs="Arial Unicode MS"/>
          <w:color w:val="000000" w:themeColor="text1"/>
        </w:rPr>
        <w:t xml:space="preserve"> </w:t>
      </w:r>
      <w:r w:rsidRPr="00672E14">
        <w:rPr>
          <w:rStyle w:val="Link"/>
          <w:rFonts w:eastAsia="Arial Unicode MS" w:cs="Arial Unicode MS"/>
          <w:color w:val="000000" w:themeColor="text1"/>
          <w:u w:val="none" w:color="000000"/>
        </w:rPr>
        <w:t>United States Citizenship and Immigration Services, Battered Spouse, Children, &amp; Parents</w:t>
      </w:r>
      <w:r w:rsidR="00FF4C52">
        <w:rPr>
          <w:rStyle w:val="Link"/>
          <w:rFonts w:eastAsia="Arial Unicode MS" w:cs="Arial Unicode MS"/>
          <w:color w:val="000000" w:themeColor="text1"/>
          <w:u w:val="none" w:color="000000"/>
        </w:rPr>
        <w:t xml:space="preserve">, </w:t>
      </w:r>
      <w:r w:rsidRPr="00672E14">
        <w:rPr>
          <w:rFonts w:eastAsia="Arial Unicode MS" w:cs="Arial Unicode MS"/>
          <w:color w:val="000000" w:themeColor="text1"/>
        </w:rPr>
        <w:t>https://www.uscis.gov/humanitarian/battered-spouse-children-parents.</w:t>
      </w:r>
    </w:p>
  </w:footnote>
  <w:footnote w:id="22">
    <w:p w14:paraId="172E397E" w14:textId="6E94CCF5" w:rsidR="00440414" w:rsidRPr="00672E14" w:rsidRDefault="00440414" w:rsidP="00672E14">
      <w:pPr>
        <w:pStyle w:val="Heading5"/>
        <w:keepNext w:val="0"/>
        <w:keepLines w:val="0"/>
        <w:spacing w:before="0" w:after="0" w:line="240" w:lineRule="auto"/>
        <w:rPr>
          <w:color w:val="000000" w:themeColor="text1"/>
          <w:sz w:val="20"/>
          <w:szCs w:val="20"/>
        </w:rPr>
      </w:pPr>
      <w:r w:rsidRPr="00672E14">
        <w:rPr>
          <w:rStyle w:val="None"/>
          <w:color w:val="000000" w:themeColor="text1"/>
          <w:sz w:val="20"/>
          <w:szCs w:val="20"/>
          <w:vertAlign w:val="superscript"/>
        </w:rPr>
        <w:footnoteRef/>
      </w:r>
      <w:r w:rsidRPr="00672E14">
        <w:rPr>
          <w:rStyle w:val="None"/>
          <w:color w:val="000000" w:themeColor="text1"/>
          <w:sz w:val="20"/>
          <w:szCs w:val="20"/>
          <w:u w:color="000000"/>
        </w:rPr>
        <w:t xml:space="preserve"> National Public Radio, </w:t>
      </w:r>
      <w:r w:rsidRPr="00672E14">
        <w:rPr>
          <w:rStyle w:val="None"/>
          <w:i/>
          <w:iCs/>
          <w:color w:val="000000" w:themeColor="text1"/>
          <w:sz w:val="20"/>
          <w:szCs w:val="20"/>
          <w:u w:color="000000"/>
        </w:rPr>
        <w:t>Fact Check: What's Happening On The U.S.-Mexico Border?</w:t>
      </w:r>
      <w:r w:rsidRPr="00672E14">
        <w:rPr>
          <w:rStyle w:val="None"/>
          <w:color w:val="000000" w:themeColor="text1"/>
          <w:sz w:val="20"/>
          <w:szCs w:val="20"/>
          <w:u w:color="000000"/>
        </w:rPr>
        <w:t xml:space="preserve">, </w:t>
      </w:r>
      <w:r w:rsidR="00154D81" w:rsidRPr="00154D81">
        <w:rPr>
          <w:rStyle w:val="None"/>
          <w:smallCaps/>
          <w:color w:val="000000" w:themeColor="text1"/>
          <w:sz w:val="20"/>
          <w:szCs w:val="20"/>
          <w:u w:color="000000"/>
        </w:rPr>
        <w:t>National Public Radio</w:t>
      </w:r>
      <w:r w:rsidR="00154D81">
        <w:rPr>
          <w:rStyle w:val="None"/>
          <w:color w:val="000000" w:themeColor="text1"/>
          <w:sz w:val="20"/>
          <w:szCs w:val="20"/>
          <w:u w:color="000000"/>
        </w:rPr>
        <w:t xml:space="preserve">, </w:t>
      </w:r>
      <w:r w:rsidRPr="00672E14">
        <w:rPr>
          <w:rStyle w:val="None"/>
          <w:color w:val="000000" w:themeColor="text1"/>
          <w:sz w:val="20"/>
          <w:szCs w:val="20"/>
          <w:u w:color="000000"/>
        </w:rPr>
        <w:t xml:space="preserve">27 Nov. 2018, </w:t>
      </w:r>
      <w:hyperlink r:id="rId3" w:history="1">
        <w:r w:rsidRPr="00672E14">
          <w:rPr>
            <w:rStyle w:val="Hyperlink4"/>
            <w:color w:val="000000" w:themeColor="text1"/>
          </w:rPr>
          <w:t>https://www.npr.org/2018/11/27/670807343/fact-check-whats-happening-on-the-u-s-mexico-border?t=1550427751360</w:t>
        </w:r>
      </w:hyperlink>
      <w:r w:rsidRPr="00672E14">
        <w:rPr>
          <w:rStyle w:val="None"/>
          <w:color w:val="000000" w:themeColor="text1"/>
          <w:sz w:val="20"/>
          <w:szCs w:val="20"/>
          <w:u w:color="000000"/>
        </w:rPr>
        <w:t>&lt;%22</w:t>
      </w:r>
      <w:r w:rsidRPr="00672E14">
        <w:rPr>
          <w:rStyle w:val="None"/>
          <w:color w:val="000000" w:themeColor="text1"/>
          <w:sz w:val="20"/>
          <w:szCs w:val="20"/>
        </w:rPr>
        <w:t>.</w:t>
      </w:r>
    </w:p>
  </w:footnote>
  <w:footnote w:id="23">
    <w:p w14:paraId="63605E2E" w14:textId="507C55D1" w:rsidR="00440414" w:rsidRPr="00B5089F" w:rsidRDefault="00440414" w:rsidP="00672E14">
      <w:pPr>
        <w:pStyle w:val="Heading5"/>
        <w:keepNext w:val="0"/>
        <w:keepLines w:val="0"/>
        <w:spacing w:before="0" w:after="0" w:line="240" w:lineRule="auto"/>
        <w:rPr>
          <w:color w:val="000000" w:themeColor="text1"/>
          <w:sz w:val="20"/>
          <w:szCs w:val="20"/>
        </w:rPr>
      </w:pPr>
      <w:r w:rsidRPr="00672E14">
        <w:rPr>
          <w:rStyle w:val="None"/>
          <w:color w:val="000000" w:themeColor="text1"/>
          <w:sz w:val="20"/>
          <w:szCs w:val="20"/>
          <w:vertAlign w:val="superscript"/>
        </w:rPr>
        <w:footnoteRef/>
      </w:r>
      <w:r w:rsidRPr="00672E14">
        <w:rPr>
          <w:rStyle w:val="Hyperlink4"/>
          <w:color w:val="000000" w:themeColor="text1"/>
        </w:rPr>
        <w:t xml:space="preserve"> </w:t>
      </w:r>
      <w:r w:rsidRPr="00672E14">
        <w:rPr>
          <w:rStyle w:val="None"/>
          <w:i/>
          <w:iCs/>
          <w:color w:val="000000" w:themeColor="text1"/>
          <w:sz w:val="20"/>
          <w:szCs w:val="20"/>
          <w:u w:color="000000"/>
        </w:rPr>
        <w:t>Id</w:t>
      </w:r>
      <w:r w:rsidRPr="00672E14">
        <w:rPr>
          <w:rStyle w:val="Hyperlink4"/>
          <w:color w:val="000000" w:themeColor="text1"/>
        </w:rPr>
        <w:t>. S</w:t>
      </w:r>
      <w:r w:rsidRPr="00672E14">
        <w:rPr>
          <w:rStyle w:val="None"/>
          <w:color w:val="000000" w:themeColor="text1"/>
          <w:sz w:val="20"/>
          <w:szCs w:val="20"/>
          <w:u w:color="000000"/>
        </w:rPr>
        <w:t>ince the most recent caravan began four months ago in Honduras, o</w:t>
      </w:r>
      <w:r w:rsidRPr="00672E14">
        <w:rPr>
          <w:rStyle w:val="Hyperlink4"/>
          <w:color w:val="000000" w:themeColor="text1"/>
        </w:rPr>
        <w:t>ver 5,000 people have arrived at the U</w:t>
      </w:r>
      <w:r w:rsidR="00DF60EB">
        <w:rPr>
          <w:rStyle w:val="Hyperlink4"/>
          <w:color w:val="000000" w:themeColor="text1"/>
        </w:rPr>
        <w:t>nited States-</w:t>
      </w:r>
      <w:r w:rsidRPr="00672E14">
        <w:rPr>
          <w:rStyle w:val="Hyperlink4"/>
          <w:color w:val="000000" w:themeColor="text1"/>
        </w:rPr>
        <w:t>Mexico border, many seeking to apply for asylum upon entering the U</w:t>
      </w:r>
      <w:r w:rsidR="001B33BE">
        <w:rPr>
          <w:rStyle w:val="Hyperlink4"/>
          <w:color w:val="000000" w:themeColor="text1"/>
        </w:rPr>
        <w:t>nited States.</w:t>
      </w:r>
      <w:r w:rsidR="00B5089F">
        <w:rPr>
          <w:rStyle w:val="Hyperlink4"/>
          <w:color w:val="000000" w:themeColor="text1"/>
        </w:rPr>
        <w:t xml:space="preserve"> </w:t>
      </w:r>
      <w:r w:rsidR="00B5089F">
        <w:rPr>
          <w:rStyle w:val="Hyperlink4"/>
          <w:i/>
          <w:color w:val="000000" w:themeColor="text1"/>
        </w:rPr>
        <w:t>Id</w:t>
      </w:r>
      <w:r w:rsidR="00B5089F">
        <w:rPr>
          <w:rStyle w:val="Hyperlink4"/>
          <w:color w:val="000000" w:themeColor="text1"/>
        </w:rPr>
        <w:t>.</w:t>
      </w:r>
    </w:p>
  </w:footnote>
  <w:footnote w:id="24">
    <w:p w14:paraId="0309F407" w14:textId="51058885" w:rsidR="00440414" w:rsidRPr="00672E14" w:rsidRDefault="00440414" w:rsidP="00672E14">
      <w:pPr>
        <w:pStyle w:val="FootnoteText"/>
        <w:rPr>
          <w:color w:val="000000" w:themeColor="text1"/>
        </w:rPr>
      </w:pPr>
      <w:r w:rsidRPr="00672E14">
        <w:rPr>
          <w:rStyle w:val="FootnoteReference"/>
          <w:color w:val="000000" w:themeColor="text1"/>
        </w:rPr>
        <w:footnoteRef/>
      </w:r>
      <w:r w:rsidRPr="00672E14">
        <w:rPr>
          <w:color w:val="000000" w:themeColor="text1"/>
        </w:rPr>
        <w:t xml:space="preserve"> </w:t>
      </w:r>
      <w:r w:rsidRPr="00672E14">
        <w:rPr>
          <w:rStyle w:val="Hyperlink4"/>
          <w:color w:val="000000" w:themeColor="text1"/>
        </w:rPr>
        <w:t xml:space="preserve">The Guardian, </w:t>
      </w:r>
      <w:r w:rsidRPr="00672E14">
        <w:rPr>
          <w:rStyle w:val="None"/>
          <w:i/>
          <w:iCs/>
          <w:color w:val="000000" w:themeColor="text1"/>
        </w:rPr>
        <w:t>'I don't Want to Go Back': What's Next for the Central American Migrant Caravan?</w:t>
      </w:r>
      <w:r w:rsidRPr="00672E14">
        <w:rPr>
          <w:rStyle w:val="Hyperlink4"/>
          <w:color w:val="000000" w:themeColor="text1"/>
        </w:rPr>
        <w:t xml:space="preserve">, </w:t>
      </w:r>
      <w:r w:rsidR="004E596C" w:rsidRPr="001C231E">
        <w:rPr>
          <w:rStyle w:val="Hyperlink4"/>
          <w:smallCaps/>
          <w:color w:val="000000" w:themeColor="text1"/>
        </w:rPr>
        <w:t>The Guardian</w:t>
      </w:r>
      <w:r w:rsidR="001C231E">
        <w:rPr>
          <w:rStyle w:val="Hyperlink4"/>
          <w:color w:val="000000" w:themeColor="text1"/>
        </w:rPr>
        <w:t xml:space="preserve">, </w:t>
      </w:r>
      <w:r w:rsidRPr="00672E14">
        <w:rPr>
          <w:rStyle w:val="Hyperlink4"/>
          <w:color w:val="000000" w:themeColor="text1"/>
        </w:rPr>
        <w:t xml:space="preserve">8 Dec. 2018, </w:t>
      </w:r>
      <w:r w:rsidRPr="009B2A47">
        <w:rPr>
          <w:rStyle w:val="Hyperlink"/>
          <w:rFonts w:eastAsia="Arial Unicode MS"/>
          <w:color w:val="000000" w:themeColor="text1"/>
          <w:u w:val="none"/>
        </w:rPr>
        <w:t>https://www.theguardian.com/world/2018/dec/08/central-american-migrant-caravan-tijuana</w:t>
      </w:r>
      <w:r w:rsidRPr="00672E14">
        <w:rPr>
          <w:rStyle w:val="Hyperlink4"/>
          <w:color w:val="000000" w:themeColor="text1"/>
        </w:rPr>
        <w:t>.</w:t>
      </w:r>
    </w:p>
  </w:footnote>
  <w:footnote w:id="25">
    <w:p w14:paraId="2FE35C27" w14:textId="0053EA39" w:rsidR="00440414" w:rsidRPr="00672E14" w:rsidRDefault="00440414" w:rsidP="00672E14">
      <w:pPr>
        <w:pStyle w:val="FootnoteText"/>
        <w:rPr>
          <w:color w:val="000000" w:themeColor="text1"/>
        </w:rPr>
      </w:pPr>
      <w:r w:rsidRPr="00672E14">
        <w:rPr>
          <w:rStyle w:val="FootnoteReference"/>
          <w:color w:val="000000" w:themeColor="text1"/>
        </w:rPr>
        <w:footnoteRef/>
      </w:r>
      <w:r w:rsidRPr="00672E14">
        <w:rPr>
          <w:color w:val="000000" w:themeColor="text1"/>
        </w:rPr>
        <w:t xml:space="preserve"> Miriam Jordan, </w:t>
      </w:r>
      <w:r w:rsidRPr="00672E14">
        <w:rPr>
          <w:bCs/>
          <w:i/>
          <w:iCs/>
          <w:color w:val="000000" w:themeColor="text1"/>
        </w:rPr>
        <w:t>Federal Judge Blocks Trump’s Proclamation Targeting Some Asylum Seekers</w:t>
      </w:r>
      <w:r w:rsidRPr="00672E14">
        <w:rPr>
          <w:bCs/>
          <w:iCs/>
          <w:color w:val="000000" w:themeColor="text1"/>
        </w:rPr>
        <w:t xml:space="preserve">, </w:t>
      </w:r>
      <w:r w:rsidRPr="00672E14">
        <w:rPr>
          <w:bCs/>
          <w:iCs/>
          <w:smallCaps/>
          <w:color w:val="000000" w:themeColor="text1"/>
        </w:rPr>
        <w:t xml:space="preserve">The New York Times, </w:t>
      </w:r>
      <w:r w:rsidRPr="00672E14">
        <w:rPr>
          <w:bCs/>
          <w:iCs/>
          <w:color w:val="000000" w:themeColor="text1"/>
        </w:rPr>
        <w:t xml:space="preserve">20 Nov. 2018, </w:t>
      </w:r>
      <w:r w:rsidRPr="009B2A47">
        <w:rPr>
          <w:rStyle w:val="Hyperlink"/>
          <w:rFonts w:eastAsia="Arial Unicode MS"/>
          <w:bCs/>
          <w:iCs/>
          <w:color w:val="000000" w:themeColor="text1"/>
          <w:u w:val="none"/>
        </w:rPr>
        <w:t>https://www.nytimes.com/2018/11/20/us/judge-denies-trump-asylum-policy.html</w:t>
      </w:r>
      <w:r w:rsidRPr="00672E14">
        <w:rPr>
          <w:bCs/>
          <w:iCs/>
          <w:color w:val="000000" w:themeColor="text1"/>
        </w:rPr>
        <w:t>.</w:t>
      </w:r>
    </w:p>
  </w:footnote>
  <w:footnote w:id="26">
    <w:p w14:paraId="40531312" w14:textId="77777777" w:rsidR="00440414" w:rsidRPr="00672E14" w:rsidRDefault="00440414" w:rsidP="00672E14">
      <w:pPr>
        <w:pStyle w:val="FootnoteText"/>
        <w:rPr>
          <w:i/>
          <w:color w:val="000000" w:themeColor="text1"/>
        </w:rPr>
      </w:pPr>
      <w:r w:rsidRPr="00672E14">
        <w:rPr>
          <w:rStyle w:val="FootnoteReference"/>
          <w:color w:val="000000" w:themeColor="text1"/>
        </w:rPr>
        <w:footnoteRef/>
      </w:r>
      <w:r w:rsidRPr="00672E14">
        <w:rPr>
          <w:color w:val="000000" w:themeColor="text1"/>
        </w:rPr>
        <w:t xml:space="preserve"> </w:t>
      </w:r>
      <w:r w:rsidRPr="00672E14">
        <w:rPr>
          <w:i/>
          <w:color w:val="000000" w:themeColor="text1"/>
        </w:rPr>
        <w:t>Id.</w:t>
      </w:r>
    </w:p>
  </w:footnote>
  <w:footnote w:id="27">
    <w:p w14:paraId="4E0F6E48" w14:textId="501C1305" w:rsidR="00440414" w:rsidRPr="00BC5DC3" w:rsidRDefault="00440414" w:rsidP="00672E14">
      <w:pPr>
        <w:pStyle w:val="BodyA"/>
        <w:spacing w:line="240" w:lineRule="auto"/>
        <w:rPr>
          <w:color w:val="000000" w:themeColor="text1"/>
          <w:sz w:val="20"/>
          <w:szCs w:val="20"/>
        </w:rPr>
      </w:pPr>
      <w:r w:rsidRPr="00672E14">
        <w:rPr>
          <w:rStyle w:val="None"/>
          <w:color w:val="000000" w:themeColor="text1"/>
          <w:sz w:val="20"/>
          <w:szCs w:val="20"/>
          <w:vertAlign w:val="superscript"/>
        </w:rPr>
        <w:footnoteRef/>
      </w:r>
      <w:r w:rsidRPr="00672E14">
        <w:rPr>
          <w:rStyle w:val="Hyperlink4"/>
          <w:rFonts w:eastAsia="Arial Unicode MS"/>
          <w:color w:val="000000" w:themeColor="text1"/>
        </w:rPr>
        <w:t xml:space="preserve"> </w:t>
      </w:r>
      <w:r w:rsidR="00BC5DC3">
        <w:rPr>
          <w:rStyle w:val="Hyperlink4"/>
          <w:rFonts w:eastAsia="Arial Unicode MS"/>
          <w:color w:val="000000" w:themeColor="text1"/>
        </w:rPr>
        <w:t>NGO advocates working with asylum seekers at the border have noted these conditions in interviews.</w:t>
      </w:r>
    </w:p>
  </w:footnote>
  <w:footnote w:id="28">
    <w:p w14:paraId="4106AAB4" w14:textId="77777777" w:rsidR="00440414" w:rsidRPr="00672E14" w:rsidRDefault="00440414" w:rsidP="00672E14">
      <w:pPr>
        <w:pStyle w:val="BodyA"/>
        <w:spacing w:line="240" w:lineRule="auto"/>
        <w:rPr>
          <w:color w:val="000000" w:themeColor="text1"/>
          <w:sz w:val="20"/>
          <w:szCs w:val="20"/>
        </w:rPr>
      </w:pPr>
      <w:r w:rsidRPr="00672E14">
        <w:rPr>
          <w:rStyle w:val="None"/>
          <w:color w:val="000000" w:themeColor="text1"/>
          <w:sz w:val="20"/>
          <w:szCs w:val="20"/>
          <w:vertAlign w:val="superscript"/>
          <w:lang w:val="it-IT"/>
        </w:rPr>
        <w:footnoteRef/>
      </w:r>
      <w:r w:rsidRPr="00672E14">
        <w:rPr>
          <w:rStyle w:val="None"/>
          <w:color w:val="000000" w:themeColor="text1"/>
          <w:sz w:val="20"/>
          <w:szCs w:val="20"/>
        </w:rPr>
        <w:t xml:space="preserve"> </w:t>
      </w:r>
      <w:r w:rsidRPr="00672E14">
        <w:rPr>
          <w:rStyle w:val="None"/>
          <w:i/>
          <w:iCs/>
          <w:color w:val="000000" w:themeColor="text1"/>
          <w:sz w:val="20"/>
          <w:szCs w:val="20"/>
        </w:rPr>
        <w:t>Id</w:t>
      </w:r>
      <w:r w:rsidRPr="00672E14">
        <w:rPr>
          <w:rStyle w:val="None"/>
          <w:color w:val="000000" w:themeColor="text1"/>
          <w:sz w:val="20"/>
          <w:szCs w:val="20"/>
        </w:rPr>
        <w:t>.</w:t>
      </w:r>
    </w:p>
  </w:footnote>
  <w:footnote w:id="29">
    <w:p w14:paraId="37CFA078" w14:textId="77777777" w:rsidR="00440414" w:rsidRPr="00672E14" w:rsidRDefault="00440414" w:rsidP="00672E14">
      <w:pPr>
        <w:pStyle w:val="BodyA"/>
        <w:spacing w:line="240" w:lineRule="auto"/>
        <w:rPr>
          <w:color w:val="000000" w:themeColor="text1"/>
          <w:sz w:val="20"/>
          <w:szCs w:val="20"/>
        </w:rPr>
      </w:pPr>
      <w:r w:rsidRPr="00672E14">
        <w:rPr>
          <w:rStyle w:val="None"/>
          <w:color w:val="000000" w:themeColor="text1"/>
          <w:sz w:val="20"/>
          <w:szCs w:val="20"/>
          <w:vertAlign w:val="superscript"/>
        </w:rPr>
        <w:footnoteRef/>
      </w:r>
      <w:r w:rsidRPr="00672E14">
        <w:rPr>
          <w:rStyle w:val="Hyperlink10"/>
          <w:color w:val="000000" w:themeColor="text1"/>
        </w:rPr>
        <w:t xml:space="preserve"> </w:t>
      </w:r>
      <w:r w:rsidRPr="00672E14">
        <w:rPr>
          <w:rStyle w:val="None"/>
          <w:i/>
          <w:iCs/>
          <w:color w:val="000000" w:themeColor="text1"/>
          <w:sz w:val="20"/>
          <w:szCs w:val="20"/>
        </w:rPr>
        <w:t>Id</w:t>
      </w:r>
      <w:r w:rsidRPr="00672E14">
        <w:rPr>
          <w:rStyle w:val="Hyperlink10"/>
          <w:color w:val="000000" w:themeColor="text1"/>
        </w:rPr>
        <w:t>.</w:t>
      </w:r>
    </w:p>
  </w:footnote>
  <w:footnote w:id="30">
    <w:p w14:paraId="334BF6B5" w14:textId="6C9E60C2" w:rsidR="00440414" w:rsidRPr="00672E14" w:rsidRDefault="00440414" w:rsidP="00672E14">
      <w:pPr>
        <w:pStyle w:val="BodyA"/>
        <w:spacing w:line="240" w:lineRule="auto"/>
        <w:rPr>
          <w:color w:val="000000" w:themeColor="text1"/>
          <w:sz w:val="20"/>
          <w:szCs w:val="20"/>
        </w:rPr>
      </w:pPr>
      <w:r w:rsidRPr="00672E14">
        <w:rPr>
          <w:rStyle w:val="None"/>
          <w:color w:val="000000" w:themeColor="text1"/>
          <w:sz w:val="20"/>
          <w:szCs w:val="20"/>
          <w:vertAlign w:val="superscript"/>
        </w:rPr>
        <w:footnoteRef/>
      </w:r>
      <w:r w:rsidRPr="00672E14">
        <w:rPr>
          <w:rStyle w:val="Hyperlink10"/>
          <w:color w:val="000000" w:themeColor="text1"/>
        </w:rPr>
        <w:t xml:space="preserve"> </w:t>
      </w:r>
      <w:r w:rsidRPr="00672E14">
        <w:rPr>
          <w:rStyle w:val="Hyperlink5"/>
          <w:color w:val="000000" w:themeColor="text1"/>
        </w:rPr>
        <w:t xml:space="preserve">Alfredo Corchado and Dianne Solis, </w:t>
      </w:r>
      <w:r w:rsidRPr="00672E14">
        <w:rPr>
          <w:rStyle w:val="None"/>
          <w:i/>
          <w:iCs/>
          <w:color w:val="000000" w:themeColor="text1"/>
          <w:sz w:val="20"/>
          <w:szCs w:val="20"/>
        </w:rPr>
        <w:t>Are Trump’s Policies Making Life More Dangerous for Immigrants on the Mexico Side of the Border?</w:t>
      </w:r>
      <w:r w:rsidR="00C92B6E">
        <w:rPr>
          <w:rStyle w:val="None"/>
          <w:iCs/>
          <w:color w:val="000000" w:themeColor="text1"/>
          <w:sz w:val="20"/>
          <w:szCs w:val="20"/>
        </w:rPr>
        <w:t xml:space="preserve">, </w:t>
      </w:r>
      <w:r w:rsidR="00C92B6E" w:rsidRPr="00C92B6E">
        <w:rPr>
          <w:rStyle w:val="None"/>
          <w:iCs/>
          <w:smallCaps/>
          <w:color w:val="000000" w:themeColor="text1"/>
          <w:sz w:val="20"/>
          <w:szCs w:val="20"/>
        </w:rPr>
        <w:t>Dallas News</w:t>
      </w:r>
      <w:r w:rsidR="00C92B6E">
        <w:rPr>
          <w:rStyle w:val="None"/>
          <w:iCs/>
          <w:color w:val="000000" w:themeColor="text1"/>
          <w:sz w:val="20"/>
          <w:szCs w:val="20"/>
        </w:rPr>
        <w:t>,</w:t>
      </w:r>
      <w:r w:rsidRPr="00672E14">
        <w:rPr>
          <w:rStyle w:val="Hyperlink5"/>
          <w:color w:val="000000" w:themeColor="text1"/>
        </w:rPr>
        <w:t xml:space="preserve"> 14 Dec. 2018, </w:t>
      </w:r>
      <w:r w:rsidR="00D32B24" w:rsidRPr="00D32B24">
        <w:rPr>
          <w:rStyle w:val="Hyperlink6"/>
          <w:color w:val="000000" w:themeColor="text1"/>
          <w:u w:val="none"/>
        </w:rPr>
        <w:t>https://www.dallasnews.com/news/immigration/2018/12/14/trumps-policies-making-life-dangerous-immigrants-mexico-side-border</w:t>
      </w:r>
      <w:r w:rsidRPr="00672E14">
        <w:rPr>
          <w:rStyle w:val="Hyperlink5"/>
          <w:color w:val="000000" w:themeColor="text1"/>
        </w:rPr>
        <w:t>.</w:t>
      </w:r>
    </w:p>
  </w:footnote>
  <w:footnote w:id="31">
    <w:p w14:paraId="044452CD" w14:textId="77777777" w:rsidR="00440414" w:rsidRPr="00672E14" w:rsidRDefault="00440414" w:rsidP="00672E14">
      <w:pPr>
        <w:pStyle w:val="BodyA"/>
        <w:spacing w:line="240" w:lineRule="auto"/>
        <w:rPr>
          <w:color w:val="000000" w:themeColor="text1"/>
          <w:sz w:val="20"/>
          <w:szCs w:val="20"/>
        </w:rPr>
      </w:pPr>
      <w:r w:rsidRPr="00672E14">
        <w:rPr>
          <w:rStyle w:val="None"/>
          <w:color w:val="000000" w:themeColor="text1"/>
          <w:sz w:val="20"/>
          <w:szCs w:val="20"/>
          <w:vertAlign w:val="superscript"/>
        </w:rPr>
        <w:footnoteRef/>
      </w:r>
      <w:r w:rsidRPr="00672E14">
        <w:rPr>
          <w:rStyle w:val="None"/>
          <w:color w:val="000000" w:themeColor="text1"/>
          <w:sz w:val="20"/>
          <w:szCs w:val="20"/>
          <w:lang w:val="es-ES_tradnl"/>
        </w:rPr>
        <w:t xml:space="preserve"> </w:t>
      </w:r>
      <w:r w:rsidRPr="00672E14">
        <w:rPr>
          <w:rStyle w:val="None"/>
          <w:color w:val="000000" w:themeColor="text1"/>
          <w:sz w:val="20"/>
          <w:szCs w:val="20"/>
        </w:rPr>
        <w:t>NGO advocates working with asylum seekers at the border have noted these conditions in interviews.</w:t>
      </w:r>
    </w:p>
  </w:footnote>
  <w:footnote w:id="32">
    <w:p w14:paraId="4C293C2B" w14:textId="77777777" w:rsidR="00440414" w:rsidRDefault="00440414" w:rsidP="00672E14">
      <w:pPr>
        <w:pStyle w:val="BodyA"/>
        <w:spacing w:line="240" w:lineRule="auto"/>
      </w:pPr>
      <w:r w:rsidRPr="00672E14">
        <w:rPr>
          <w:rStyle w:val="None"/>
          <w:color w:val="000000" w:themeColor="text1"/>
          <w:sz w:val="20"/>
          <w:szCs w:val="20"/>
          <w:vertAlign w:val="superscript"/>
        </w:rPr>
        <w:footnoteRef/>
      </w:r>
      <w:r w:rsidRPr="00672E14">
        <w:rPr>
          <w:rStyle w:val="Hyperlink10"/>
          <w:color w:val="000000" w:themeColor="text1"/>
        </w:rPr>
        <w:t xml:space="preserve"> </w:t>
      </w:r>
      <w:r w:rsidRPr="00672E14">
        <w:rPr>
          <w:rStyle w:val="None"/>
          <w:i/>
          <w:iCs/>
          <w:color w:val="000000" w:themeColor="text1"/>
          <w:sz w:val="20"/>
          <w:szCs w:val="20"/>
        </w:rPr>
        <w:t>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62A1C"/>
    <w:multiLevelType w:val="hybridMultilevel"/>
    <w:tmpl w:val="2636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00789"/>
    <w:multiLevelType w:val="hybridMultilevel"/>
    <w:tmpl w:val="019C2EDC"/>
    <w:lvl w:ilvl="0" w:tplc="AC50FB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114F9"/>
    <w:multiLevelType w:val="hybridMultilevel"/>
    <w:tmpl w:val="24F431CE"/>
    <w:numStyleLink w:val="ImportedStyle2"/>
  </w:abstractNum>
  <w:abstractNum w:abstractNumId="3">
    <w:nsid w:val="472E78C5"/>
    <w:multiLevelType w:val="hybridMultilevel"/>
    <w:tmpl w:val="EE20D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0D173C"/>
    <w:multiLevelType w:val="hybridMultilevel"/>
    <w:tmpl w:val="7DA461A2"/>
    <w:numStyleLink w:val="ImportedStyle6"/>
  </w:abstractNum>
  <w:abstractNum w:abstractNumId="5">
    <w:nsid w:val="564973FF"/>
    <w:multiLevelType w:val="hybridMultilevel"/>
    <w:tmpl w:val="7DA461A2"/>
    <w:styleLink w:val="ImportedStyle6"/>
    <w:lvl w:ilvl="0" w:tplc="F4A87ED6">
      <w:start w:val="1"/>
      <w:numFmt w:val="decimal"/>
      <w:lvlText w:val="%1."/>
      <w:lvlJc w:val="left"/>
      <w:pPr>
        <w:ind w:left="690" w:hanging="33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1" w:tplc="5422FF12">
      <w:start w:val="1"/>
      <w:numFmt w:val="lowerLetter"/>
      <w:lvlText w:val="%2."/>
      <w:lvlJc w:val="left"/>
      <w:pPr>
        <w:ind w:left="144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2" w:tplc="04CC441E">
      <w:start w:val="1"/>
      <w:numFmt w:val="lowerRoman"/>
      <w:lvlText w:val="%3."/>
      <w:lvlJc w:val="left"/>
      <w:pPr>
        <w:ind w:left="2160" w:hanging="482"/>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3" w:tplc="C50CD382">
      <w:start w:val="1"/>
      <w:numFmt w:val="decimal"/>
      <w:lvlText w:val="%4."/>
      <w:lvlJc w:val="left"/>
      <w:pPr>
        <w:ind w:left="288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4" w:tplc="B52850EC">
      <w:start w:val="1"/>
      <w:numFmt w:val="lowerLetter"/>
      <w:lvlText w:val="%5."/>
      <w:lvlJc w:val="left"/>
      <w:pPr>
        <w:ind w:left="360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5" w:tplc="DFE4BABC">
      <w:start w:val="1"/>
      <w:numFmt w:val="lowerRoman"/>
      <w:lvlText w:val="%6."/>
      <w:lvlJc w:val="left"/>
      <w:pPr>
        <w:ind w:left="4320" w:hanging="482"/>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6" w:tplc="4F3C2CBE">
      <w:start w:val="1"/>
      <w:numFmt w:val="decimal"/>
      <w:lvlText w:val="%7."/>
      <w:lvlJc w:val="left"/>
      <w:pPr>
        <w:ind w:left="504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7" w:tplc="EFB6B2B2">
      <w:start w:val="1"/>
      <w:numFmt w:val="lowerLetter"/>
      <w:lvlText w:val="%8."/>
      <w:lvlJc w:val="left"/>
      <w:pPr>
        <w:ind w:left="576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8" w:tplc="08723BBE">
      <w:start w:val="1"/>
      <w:numFmt w:val="lowerRoman"/>
      <w:lvlText w:val="%9."/>
      <w:lvlJc w:val="left"/>
      <w:pPr>
        <w:ind w:left="6480" w:hanging="482"/>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66A470AB"/>
    <w:multiLevelType w:val="hybridMultilevel"/>
    <w:tmpl w:val="24F431CE"/>
    <w:styleLink w:val="ImportedStyle2"/>
    <w:lvl w:ilvl="0" w:tplc="FA1A4034">
      <w:start w:val="1"/>
      <w:numFmt w:val="lowerLetter"/>
      <w:lvlText w:val="%1."/>
      <w:lvlJc w:val="left"/>
      <w:pPr>
        <w:ind w:left="720" w:hanging="72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 w:ilvl="1" w:tplc="5DC01FD0">
      <w:start w:val="1"/>
      <w:numFmt w:val="lowerLetter"/>
      <w:lvlText w:val="%2."/>
      <w:lvlJc w:val="left"/>
      <w:pPr>
        <w:ind w:left="720" w:hanging="72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 w:ilvl="2" w:tplc="EBD62360">
      <w:start w:val="1"/>
      <w:numFmt w:val="lowerRoman"/>
      <w:lvlText w:val="%3."/>
      <w:lvlJc w:val="left"/>
      <w:pPr>
        <w:ind w:left="1440" w:hanging="65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 w:ilvl="3" w:tplc="75E2BD1E">
      <w:start w:val="1"/>
      <w:numFmt w:val="decimal"/>
      <w:lvlText w:val="%4."/>
      <w:lvlJc w:val="left"/>
      <w:pPr>
        <w:ind w:left="2160" w:hanging="72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 w:ilvl="4" w:tplc="B8F4F1B8">
      <w:start w:val="1"/>
      <w:numFmt w:val="lowerLetter"/>
      <w:lvlText w:val="%5."/>
      <w:lvlJc w:val="left"/>
      <w:pPr>
        <w:ind w:left="2880" w:hanging="72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 w:ilvl="5" w:tplc="C5D8A604">
      <w:start w:val="1"/>
      <w:numFmt w:val="lowerRoman"/>
      <w:lvlText w:val="%6."/>
      <w:lvlJc w:val="left"/>
      <w:pPr>
        <w:ind w:left="3600" w:hanging="65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 w:ilvl="6" w:tplc="5A5E56EA">
      <w:start w:val="1"/>
      <w:numFmt w:val="decimal"/>
      <w:lvlText w:val="%7."/>
      <w:lvlJc w:val="left"/>
      <w:pPr>
        <w:ind w:left="4320" w:hanging="72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 w:ilvl="7" w:tplc="D92AAEAA">
      <w:start w:val="1"/>
      <w:numFmt w:val="lowerLetter"/>
      <w:lvlText w:val="%8."/>
      <w:lvlJc w:val="left"/>
      <w:pPr>
        <w:ind w:left="5040" w:hanging="72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 w:ilvl="8" w:tplc="33F0D566">
      <w:start w:val="1"/>
      <w:numFmt w:val="lowerRoman"/>
      <w:lvlText w:val="%9."/>
      <w:lvlJc w:val="left"/>
      <w:pPr>
        <w:ind w:left="5760" w:hanging="65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abstractNum>
  <w:num w:numId="1">
    <w:abstractNumId w:val="5"/>
  </w:num>
  <w:num w:numId="2">
    <w:abstractNumId w:val="4"/>
  </w:num>
  <w:num w:numId="3">
    <w:abstractNumId w:val="6"/>
  </w:num>
  <w:num w:numId="4">
    <w:abstractNumId w:val="2"/>
  </w:num>
  <w:num w:numId="5">
    <w:abstractNumId w:val="2"/>
    <w:lvlOverride w:ilvl="0">
      <w:lvl w:ilvl="0" w:tplc="92C05D34">
        <w:start w:val="1"/>
        <w:numFmt w:val="lowerLetter"/>
        <w:lvlText w:val="%1."/>
        <w:lvlJc w:val="left"/>
        <w:pPr>
          <w:ind w:left="1440" w:hanging="36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E9EEF76">
        <w:start w:val="1"/>
        <w:numFmt w:val="lowerLetter"/>
        <w:lvlText w:val="%2."/>
        <w:lvlJc w:val="left"/>
        <w:pPr>
          <w:ind w:left="2160" w:hanging="36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D1410A4">
        <w:start w:val="1"/>
        <w:numFmt w:val="lowerRoman"/>
        <w:lvlText w:val="%3."/>
        <w:lvlJc w:val="left"/>
        <w:pPr>
          <w:ind w:left="2880" w:hanging="29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AD0168E">
        <w:start w:val="1"/>
        <w:numFmt w:val="decimal"/>
        <w:lvlText w:val="%4."/>
        <w:lvlJc w:val="left"/>
        <w:pPr>
          <w:ind w:left="3600" w:hanging="36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8C20FFA">
        <w:start w:val="1"/>
        <w:numFmt w:val="lowerLetter"/>
        <w:lvlText w:val="%5."/>
        <w:lvlJc w:val="left"/>
        <w:pPr>
          <w:ind w:left="4320" w:hanging="36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FFE3508">
        <w:start w:val="1"/>
        <w:numFmt w:val="lowerRoman"/>
        <w:lvlText w:val="%6."/>
        <w:lvlJc w:val="left"/>
        <w:pPr>
          <w:ind w:left="5040" w:hanging="29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15C4606">
        <w:start w:val="1"/>
        <w:numFmt w:val="decimal"/>
        <w:lvlText w:val="%7."/>
        <w:lvlJc w:val="left"/>
        <w:pPr>
          <w:ind w:left="5760" w:hanging="36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E1EAE2E">
        <w:start w:val="1"/>
        <w:numFmt w:val="lowerLetter"/>
        <w:lvlText w:val="%8."/>
        <w:lvlJc w:val="left"/>
        <w:pPr>
          <w:ind w:left="6480" w:hanging="36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41E7E1C">
        <w:start w:val="1"/>
        <w:numFmt w:val="lowerRoman"/>
        <w:lvlText w:val="%9."/>
        <w:lvlJc w:val="left"/>
        <w:pPr>
          <w:ind w:left="7200" w:hanging="290"/>
        </w:pPr>
        <w:rPr>
          <w:rFonts w:ascii="Times New Roman" w:eastAsia="Times New Roman" w:hAnsi="Times New Roman" w:cs="Times New Roman"/>
          <w:b/>
          <w:bCs/>
          <w:i/>
          <w:iC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4F"/>
    <w:rsid w:val="000051F2"/>
    <w:rsid w:val="00014769"/>
    <w:rsid w:val="00026110"/>
    <w:rsid w:val="00030DF5"/>
    <w:rsid w:val="00031AB4"/>
    <w:rsid w:val="00054F75"/>
    <w:rsid w:val="00055D6F"/>
    <w:rsid w:val="000600AA"/>
    <w:rsid w:val="0006618E"/>
    <w:rsid w:val="000871D4"/>
    <w:rsid w:val="0009570A"/>
    <w:rsid w:val="000A1CD0"/>
    <w:rsid w:val="000B089E"/>
    <w:rsid w:val="000B5CB2"/>
    <w:rsid w:val="000C061D"/>
    <w:rsid w:val="000D6555"/>
    <w:rsid w:val="00105A8F"/>
    <w:rsid w:val="001205A4"/>
    <w:rsid w:val="00140810"/>
    <w:rsid w:val="00154D81"/>
    <w:rsid w:val="00161F18"/>
    <w:rsid w:val="00167DDE"/>
    <w:rsid w:val="00180B35"/>
    <w:rsid w:val="0018136B"/>
    <w:rsid w:val="001A1E72"/>
    <w:rsid w:val="001A371B"/>
    <w:rsid w:val="001B164C"/>
    <w:rsid w:val="001B33BE"/>
    <w:rsid w:val="001C1752"/>
    <w:rsid w:val="001C231E"/>
    <w:rsid w:val="001E07B8"/>
    <w:rsid w:val="002100B2"/>
    <w:rsid w:val="00212D21"/>
    <w:rsid w:val="00212D96"/>
    <w:rsid w:val="00213E1D"/>
    <w:rsid w:val="0023321C"/>
    <w:rsid w:val="002345FA"/>
    <w:rsid w:val="00247A12"/>
    <w:rsid w:val="00250983"/>
    <w:rsid w:val="00270087"/>
    <w:rsid w:val="00277CBD"/>
    <w:rsid w:val="002859F7"/>
    <w:rsid w:val="002868E3"/>
    <w:rsid w:val="002A46B1"/>
    <w:rsid w:val="002A7269"/>
    <w:rsid w:val="002B086B"/>
    <w:rsid w:val="002C14C1"/>
    <w:rsid w:val="002C2E41"/>
    <w:rsid w:val="002E2331"/>
    <w:rsid w:val="002E793A"/>
    <w:rsid w:val="002F2B8D"/>
    <w:rsid w:val="002F3C41"/>
    <w:rsid w:val="00317F76"/>
    <w:rsid w:val="00323816"/>
    <w:rsid w:val="00330935"/>
    <w:rsid w:val="00333D06"/>
    <w:rsid w:val="00360076"/>
    <w:rsid w:val="003635F5"/>
    <w:rsid w:val="00381FDF"/>
    <w:rsid w:val="00390354"/>
    <w:rsid w:val="003A1EFF"/>
    <w:rsid w:val="003D1523"/>
    <w:rsid w:val="003D36B9"/>
    <w:rsid w:val="003E17F4"/>
    <w:rsid w:val="003E7A66"/>
    <w:rsid w:val="00400730"/>
    <w:rsid w:val="00401A74"/>
    <w:rsid w:val="00417B06"/>
    <w:rsid w:val="00432754"/>
    <w:rsid w:val="00435321"/>
    <w:rsid w:val="00440414"/>
    <w:rsid w:val="00450DEC"/>
    <w:rsid w:val="00457B39"/>
    <w:rsid w:val="00491589"/>
    <w:rsid w:val="00497565"/>
    <w:rsid w:val="004B20D4"/>
    <w:rsid w:val="004B6FFC"/>
    <w:rsid w:val="004D4AE6"/>
    <w:rsid w:val="004E2EFD"/>
    <w:rsid w:val="004E596C"/>
    <w:rsid w:val="00522027"/>
    <w:rsid w:val="00524DC4"/>
    <w:rsid w:val="00532535"/>
    <w:rsid w:val="00535AE4"/>
    <w:rsid w:val="00535E96"/>
    <w:rsid w:val="005436B4"/>
    <w:rsid w:val="00565047"/>
    <w:rsid w:val="00582E88"/>
    <w:rsid w:val="005920C8"/>
    <w:rsid w:val="005D7212"/>
    <w:rsid w:val="005D7787"/>
    <w:rsid w:val="005E20D9"/>
    <w:rsid w:val="005F257A"/>
    <w:rsid w:val="005F5C2C"/>
    <w:rsid w:val="00602C97"/>
    <w:rsid w:val="0061574F"/>
    <w:rsid w:val="00641C95"/>
    <w:rsid w:val="00641F47"/>
    <w:rsid w:val="00672E14"/>
    <w:rsid w:val="0068462A"/>
    <w:rsid w:val="006903ED"/>
    <w:rsid w:val="006A6FCB"/>
    <w:rsid w:val="006D408A"/>
    <w:rsid w:val="006F0A9F"/>
    <w:rsid w:val="006F2481"/>
    <w:rsid w:val="0072012C"/>
    <w:rsid w:val="00727100"/>
    <w:rsid w:val="007278DF"/>
    <w:rsid w:val="007330D7"/>
    <w:rsid w:val="007403FC"/>
    <w:rsid w:val="0075052C"/>
    <w:rsid w:val="00794E21"/>
    <w:rsid w:val="007B3DD5"/>
    <w:rsid w:val="007C4594"/>
    <w:rsid w:val="007D02DE"/>
    <w:rsid w:val="007D4868"/>
    <w:rsid w:val="007E1411"/>
    <w:rsid w:val="007E2CF5"/>
    <w:rsid w:val="007E4F3C"/>
    <w:rsid w:val="00807E93"/>
    <w:rsid w:val="00807F17"/>
    <w:rsid w:val="00817F9C"/>
    <w:rsid w:val="00840885"/>
    <w:rsid w:val="00845B94"/>
    <w:rsid w:val="008604AC"/>
    <w:rsid w:val="0086271A"/>
    <w:rsid w:val="00877A9F"/>
    <w:rsid w:val="008A4E2D"/>
    <w:rsid w:val="008C572E"/>
    <w:rsid w:val="008E05CD"/>
    <w:rsid w:val="008E0CCC"/>
    <w:rsid w:val="00904FA3"/>
    <w:rsid w:val="0092360C"/>
    <w:rsid w:val="0092580F"/>
    <w:rsid w:val="00933A6A"/>
    <w:rsid w:val="00951C96"/>
    <w:rsid w:val="00954EB9"/>
    <w:rsid w:val="0095581F"/>
    <w:rsid w:val="009679AF"/>
    <w:rsid w:val="009753F7"/>
    <w:rsid w:val="00996BD4"/>
    <w:rsid w:val="009A3862"/>
    <w:rsid w:val="009B2A47"/>
    <w:rsid w:val="009B4D5E"/>
    <w:rsid w:val="009B5E22"/>
    <w:rsid w:val="009C12F1"/>
    <w:rsid w:val="009F2CD2"/>
    <w:rsid w:val="009F446E"/>
    <w:rsid w:val="00A26BAD"/>
    <w:rsid w:val="00A32ECB"/>
    <w:rsid w:val="00A353E1"/>
    <w:rsid w:val="00A866D5"/>
    <w:rsid w:val="00AC46F0"/>
    <w:rsid w:val="00AE2791"/>
    <w:rsid w:val="00AF1A3C"/>
    <w:rsid w:val="00B129A7"/>
    <w:rsid w:val="00B20A14"/>
    <w:rsid w:val="00B311D0"/>
    <w:rsid w:val="00B474B9"/>
    <w:rsid w:val="00B5089F"/>
    <w:rsid w:val="00B756EE"/>
    <w:rsid w:val="00B86EB1"/>
    <w:rsid w:val="00B87219"/>
    <w:rsid w:val="00B92731"/>
    <w:rsid w:val="00B96B49"/>
    <w:rsid w:val="00BA3B22"/>
    <w:rsid w:val="00BA3B5B"/>
    <w:rsid w:val="00BA7DFC"/>
    <w:rsid w:val="00BB7A2C"/>
    <w:rsid w:val="00BC5DC3"/>
    <w:rsid w:val="00BD2C51"/>
    <w:rsid w:val="00BF2E09"/>
    <w:rsid w:val="00BF469A"/>
    <w:rsid w:val="00BF571E"/>
    <w:rsid w:val="00C22E76"/>
    <w:rsid w:val="00C37519"/>
    <w:rsid w:val="00C379A9"/>
    <w:rsid w:val="00C448D6"/>
    <w:rsid w:val="00C57AC1"/>
    <w:rsid w:val="00C83F84"/>
    <w:rsid w:val="00C85D00"/>
    <w:rsid w:val="00C92B6E"/>
    <w:rsid w:val="00CA5076"/>
    <w:rsid w:val="00CA6400"/>
    <w:rsid w:val="00CA6B80"/>
    <w:rsid w:val="00CA7288"/>
    <w:rsid w:val="00CB2A1D"/>
    <w:rsid w:val="00CB3DDE"/>
    <w:rsid w:val="00CB57B8"/>
    <w:rsid w:val="00CC449D"/>
    <w:rsid w:val="00CC5BD1"/>
    <w:rsid w:val="00CC5F2E"/>
    <w:rsid w:val="00CD4057"/>
    <w:rsid w:val="00CE40D7"/>
    <w:rsid w:val="00CF4268"/>
    <w:rsid w:val="00D2214E"/>
    <w:rsid w:val="00D2289A"/>
    <w:rsid w:val="00D23F21"/>
    <w:rsid w:val="00D32B24"/>
    <w:rsid w:val="00D3644F"/>
    <w:rsid w:val="00D42D8D"/>
    <w:rsid w:val="00D45CA3"/>
    <w:rsid w:val="00D51AF5"/>
    <w:rsid w:val="00D53B72"/>
    <w:rsid w:val="00D56BD8"/>
    <w:rsid w:val="00D60AF0"/>
    <w:rsid w:val="00D663EF"/>
    <w:rsid w:val="00D7249F"/>
    <w:rsid w:val="00D80B6F"/>
    <w:rsid w:val="00DB0322"/>
    <w:rsid w:val="00DC72D3"/>
    <w:rsid w:val="00DC73CC"/>
    <w:rsid w:val="00DE05C9"/>
    <w:rsid w:val="00DF0A99"/>
    <w:rsid w:val="00DF60EB"/>
    <w:rsid w:val="00E020F8"/>
    <w:rsid w:val="00E11685"/>
    <w:rsid w:val="00E202DF"/>
    <w:rsid w:val="00E25759"/>
    <w:rsid w:val="00E335D7"/>
    <w:rsid w:val="00E455A7"/>
    <w:rsid w:val="00E47313"/>
    <w:rsid w:val="00E56B35"/>
    <w:rsid w:val="00E77AB0"/>
    <w:rsid w:val="00E87807"/>
    <w:rsid w:val="00E87F0D"/>
    <w:rsid w:val="00E91CB0"/>
    <w:rsid w:val="00EC2AC6"/>
    <w:rsid w:val="00EE15BB"/>
    <w:rsid w:val="00F0004E"/>
    <w:rsid w:val="00F21DBA"/>
    <w:rsid w:val="00F276B7"/>
    <w:rsid w:val="00F312BC"/>
    <w:rsid w:val="00F331B8"/>
    <w:rsid w:val="00F36786"/>
    <w:rsid w:val="00F419D4"/>
    <w:rsid w:val="00F4756F"/>
    <w:rsid w:val="00F53F0B"/>
    <w:rsid w:val="00F722A7"/>
    <w:rsid w:val="00F72E1F"/>
    <w:rsid w:val="00F77BED"/>
    <w:rsid w:val="00F91331"/>
    <w:rsid w:val="00F9541D"/>
    <w:rsid w:val="00FB49F2"/>
    <w:rsid w:val="00FB5E45"/>
    <w:rsid w:val="00FB6432"/>
    <w:rsid w:val="00FE0A89"/>
    <w:rsid w:val="00FF4C52"/>
    <w:rsid w:val="00FF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B3761"/>
  <w15:docId w15:val="{FAB54C0C-1D5D-4E9D-B1EB-599838DF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4">
    <w:name w:val="heading 4"/>
    <w:next w:val="BodyA"/>
    <w:pPr>
      <w:keepNext/>
      <w:keepLines/>
      <w:spacing w:before="280" w:after="80" w:line="276" w:lineRule="auto"/>
      <w:outlineLvl w:val="3"/>
    </w:pPr>
    <w:rPr>
      <w:rFonts w:cs="Arial Unicode MS"/>
      <w:color w:val="666666"/>
      <w:sz w:val="24"/>
      <w:szCs w:val="24"/>
      <w:u w:color="666666"/>
    </w:rPr>
  </w:style>
  <w:style w:type="paragraph" w:styleId="Heading5">
    <w:name w:val="heading 5"/>
    <w:next w:val="BodyA"/>
    <w:pPr>
      <w:keepNext/>
      <w:keepLines/>
      <w:spacing w:before="240" w:after="80" w:line="276" w:lineRule="auto"/>
      <w:outlineLvl w:val="4"/>
    </w:pPr>
    <w:rPr>
      <w:rFonts w:eastAsia="Times New Roman"/>
      <w:color w:val="666666"/>
      <w:sz w:val="22"/>
      <w:szCs w:val="22"/>
      <w:u w:color="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cs="Arial Unicode MS"/>
      <w:color w:val="000000"/>
      <w:sz w:val="22"/>
      <w:szCs w:val="22"/>
      <w:u w:color="000000"/>
    </w:rPr>
  </w:style>
  <w:style w:type="paragraph" w:styleId="Footer">
    <w:name w:val="footer"/>
    <w:pPr>
      <w:tabs>
        <w:tab w:val="center" w:pos="4680"/>
        <w:tab w:val="right" w:pos="9360"/>
      </w:tabs>
    </w:pPr>
    <w:rPr>
      <w:rFonts w:eastAsia="Times New Roman"/>
      <w:color w:val="000000"/>
      <w:sz w:val="22"/>
      <w:szCs w:val="22"/>
      <w:u w:color="000000"/>
    </w:rPr>
  </w:style>
  <w:style w:type="paragraph" w:customStyle="1" w:styleId="BodyA">
    <w:name w:val="Body A"/>
    <w:pPr>
      <w:spacing w:line="276" w:lineRule="auto"/>
    </w:pPr>
    <w:rPr>
      <w:rFonts w:cs="Arial Unicode MS"/>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i/>
      <w:iCs/>
      <w:color w:val="1155CC"/>
      <w:u w:val="single" w:color="1155CC"/>
      <w:lang w:val="de-DE"/>
    </w:rPr>
  </w:style>
  <w:style w:type="character" w:styleId="FootnoteReference">
    <w:name w:val="footnote reference"/>
    <w:rPr>
      <w:vertAlign w:val="superscript"/>
    </w:rPr>
  </w:style>
  <w:style w:type="paragraph" w:styleId="FootnoteText">
    <w:name w:val="footnote text"/>
    <w:link w:val="FootnoteTextChar"/>
    <w:rPr>
      <w:rFonts w:eastAsia="Times New Roman"/>
      <w:color w:val="000000"/>
      <w:u w:color="000000"/>
    </w:rPr>
  </w:style>
  <w:style w:type="character" w:customStyle="1" w:styleId="Link">
    <w:name w:val="Link"/>
    <w:rPr>
      <w:color w:val="0000FF"/>
      <w:u w:val="single" w:color="0000FF"/>
    </w:rPr>
  </w:style>
  <w:style w:type="character" w:customStyle="1" w:styleId="Hyperlink1">
    <w:name w:val="Hyperlink.1"/>
    <w:basedOn w:val="Link"/>
    <w:rPr>
      <w:color w:val="000000"/>
      <w:sz w:val="20"/>
      <w:szCs w:val="20"/>
      <w:u w:val="single" w:color="000000"/>
    </w:rPr>
  </w:style>
  <w:style w:type="character" w:customStyle="1" w:styleId="Hyperlink2">
    <w:name w:val="Hyperlink.2"/>
    <w:basedOn w:val="Link"/>
    <w:rPr>
      <w:color w:val="000000"/>
      <w:u w:val="none" w:color="000000"/>
    </w:rPr>
  </w:style>
  <w:style w:type="paragraph" w:customStyle="1" w:styleId="Body">
    <w:name w:val="Body"/>
    <w:rPr>
      <w:rFonts w:eastAsia="Times New Roman"/>
      <w:color w:val="000000"/>
      <w:sz w:val="24"/>
      <w:szCs w:val="24"/>
      <w:u w:color="000000"/>
    </w:rPr>
  </w:style>
  <w:style w:type="character" w:customStyle="1" w:styleId="Hyperlink10">
    <w:name w:val="Hyperlink.1.0"/>
    <w:rPr>
      <w:rFonts w:ascii="Times New Roman" w:hAnsi="Times New Roman"/>
      <w:sz w:val="20"/>
      <w:szCs w:val="20"/>
    </w:rPr>
  </w:style>
  <w:style w:type="character" w:customStyle="1" w:styleId="Hyperlink3">
    <w:name w:val="Hyperlink.3"/>
    <w:basedOn w:val="Link"/>
    <w:rPr>
      <w:color w:val="000000"/>
      <w:u w:val="single" w:color="000000"/>
    </w:rPr>
  </w:style>
  <w:style w:type="numbering" w:customStyle="1" w:styleId="ImportedStyle6">
    <w:name w:val="Imported Style 6"/>
    <w:pPr>
      <w:numPr>
        <w:numId w:val="1"/>
      </w:numPr>
    </w:pPr>
  </w:style>
  <w:style w:type="character" w:customStyle="1" w:styleId="Hyperlink4">
    <w:name w:val="Hyperlink.4"/>
    <w:basedOn w:val="None"/>
    <w:rPr>
      <w:rFonts w:ascii="Times New Roman" w:eastAsia="Times New Roman" w:hAnsi="Times New Roman" w:cs="Times New Roman"/>
      <w:color w:val="000000"/>
      <w:sz w:val="20"/>
      <w:szCs w:val="20"/>
      <w:u w:color="000000"/>
    </w:rPr>
  </w:style>
  <w:style w:type="character" w:customStyle="1" w:styleId="Hyperlink5">
    <w:name w:val="Hyperlink.5"/>
    <w:basedOn w:val="None"/>
    <w:rPr>
      <w:sz w:val="20"/>
      <w:szCs w:val="20"/>
    </w:rPr>
  </w:style>
  <w:style w:type="character" w:customStyle="1" w:styleId="Hyperlink6">
    <w:name w:val="Hyperlink.6"/>
    <w:basedOn w:val="None"/>
    <w:rPr>
      <w:color w:val="1155CC"/>
      <w:sz w:val="20"/>
      <w:szCs w:val="20"/>
      <w:u w:val="single" w:color="1155CC"/>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920C8"/>
    <w:pPr>
      <w:tabs>
        <w:tab w:val="center" w:pos="4680"/>
        <w:tab w:val="right" w:pos="9360"/>
      </w:tabs>
    </w:pPr>
  </w:style>
  <w:style w:type="character" w:customStyle="1" w:styleId="HeaderChar">
    <w:name w:val="Header Char"/>
    <w:basedOn w:val="DefaultParagraphFont"/>
    <w:link w:val="Header"/>
    <w:uiPriority w:val="99"/>
    <w:rsid w:val="005920C8"/>
    <w:rPr>
      <w:sz w:val="24"/>
      <w:szCs w:val="24"/>
    </w:rPr>
  </w:style>
  <w:style w:type="paragraph" w:styleId="BalloonText">
    <w:name w:val="Balloon Text"/>
    <w:basedOn w:val="Normal"/>
    <w:link w:val="BalloonTextChar"/>
    <w:uiPriority w:val="99"/>
    <w:semiHidden/>
    <w:unhideWhenUsed/>
    <w:rsid w:val="005920C8"/>
    <w:rPr>
      <w:sz w:val="18"/>
      <w:szCs w:val="18"/>
    </w:rPr>
  </w:style>
  <w:style w:type="character" w:customStyle="1" w:styleId="BalloonTextChar">
    <w:name w:val="Balloon Text Char"/>
    <w:basedOn w:val="DefaultParagraphFont"/>
    <w:link w:val="BalloonText"/>
    <w:uiPriority w:val="99"/>
    <w:semiHidden/>
    <w:rsid w:val="005920C8"/>
    <w:rPr>
      <w:sz w:val="18"/>
      <w:szCs w:val="18"/>
    </w:rPr>
  </w:style>
  <w:style w:type="paragraph" w:styleId="CommentSubject">
    <w:name w:val="annotation subject"/>
    <w:basedOn w:val="CommentText"/>
    <w:next w:val="CommentText"/>
    <w:link w:val="CommentSubjectChar"/>
    <w:uiPriority w:val="99"/>
    <w:semiHidden/>
    <w:unhideWhenUsed/>
    <w:rsid w:val="00D42D8D"/>
    <w:rPr>
      <w:b/>
      <w:bCs/>
    </w:rPr>
  </w:style>
  <w:style w:type="character" w:customStyle="1" w:styleId="CommentSubjectChar">
    <w:name w:val="Comment Subject Char"/>
    <w:basedOn w:val="CommentTextChar"/>
    <w:link w:val="CommentSubject"/>
    <w:uiPriority w:val="99"/>
    <w:semiHidden/>
    <w:rsid w:val="00D42D8D"/>
    <w:rPr>
      <w:b/>
      <w:bCs/>
    </w:rPr>
  </w:style>
  <w:style w:type="character" w:customStyle="1" w:styleId="UnresolvedMention">
    <w:name w:val="Unresolved Mention"/>
    <w:basedOn w:val="DefaultParagraphFont"/>
    <w:uiPriority w:val="99"/>
    <w:semiHidden/>
    <w:unhideWhenUsed/>
    <w:rsid w:val="005D7787"/>
    <w:rPr>
      <w:color w:val="605E5C"/>
      <w:shd w:val="clear" w:color="auto" w:fill="E1DFDD"/>
    </w:rPr>
  </w:style>
  <w:style w:type="character" w:customStyle="1" w:styleId="FootnoteTextChar">
    <w:name w:val="Footnote Text Char"/>
    <w:basedOn w:val="DefaultParagraphFont"/>
    <w:link w:val="FootnoteText"/>
    <w:rsid w:val="00440414"/>
    <w:rPr>
      <w:rFonts w:eastAsia="Times New Roman"/>
      <w:color w:val="000000"/>
      <w:u w:color="000000"/>
    </w:rPr>
  </w:style>
  <w:style w:type="character" w:styleId="FollowedHyperlink">
    <w:name w:val="FollowedHyperlink"/>
    <w:basedOn w:val="DefaultParagraphFont"/>
    <w:uiPriority w:val="99"/>
    <w:semiHidden/>
    <w:unhideWhenUsed/>
    <w:rsid w:val="009B2A4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imond@law.northwestern.edu"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pr.org/2018/11/27/670807343/fact-check-whats-happening-on-the-u-s-mexico-border?t=1550427751360" TargetMode="External"/><Relationship Id="rId2" Type="http://schemas.openxmlformats.org/officeDocument/2006/relationships/hyperlink" Target="http://www.cookcountycourt.org/Portals/0/Chief%2520Judge/Prostitution%2520Court/prostitution%2520court%2520fact%2520sheet.press.pdf" TargetMode="External"/><Relationship Id="rId1" Type="http://schemas.openxmlformats.org/officeDocument/2006/relationships/hyperlink" Target="http://media.virbcdn.com/files/cc/0a246ae6b272c82a-ILSafeChildrenActSummaryNov2010FINAL.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322D88-4907-4152-A6F4-37FF0B0A876D}"/>
</file>

<file path=customXml/itemProps2.xml><?xml version="1.0" encoding="utf-8"?>
<ds:datastoreItem xmlns:ds="http://schemas.openxmlformats.org/officeDocument/2006/customXml" ds:itemID="{6F3D8E1C-A353-4088-B6BB-DAF271956A4B}"/>
</file>

<file path=customXml/itemProps3.xml><?xml version="1.0" encoding="utf-8"?>
<ds:datastoreItem xmlns:ds="http://schemas.openxmlformats.org/officeDocument/2006/customXml" ds:itemID="{5C2DE6EF-C08D-42F2-988E-F1D69CE2BFCC}"/>
</file>

<file path=docProps/app.xml><?xml version="1.0" encoding="utf-8"?>
<Properties xmlns="http://schemas.openxmlformats.org/officeDocument/2006/extended-properties" xmlns:vt="http://schemas.openxmlformats.org/officeDocument/2006/docPropsVTypes">
  <Template>Normal.dotm</Template>
  <TotalTime>1</TotalTime>
  <Pages>10</Pages>
  <Words>3892</Words>
  <Characters>22190</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Arimond</dc:creator>
  <cp:lastModifiedBy>Daniela Buchmann</cp:lastModifiedBy>
  <cp:revision>2</cp:revision>
  <dcterms:created xsi:type="dcterms:W3CDTF">2019-02-20T08:59:00Z</dcterms:created>
  <dcterms:modified xsi:type="dcterms:W3CDTF">2019-02-20T08:59:00Z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