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9C7" w:rsidRPr="003342FC" w:rsidRDefault="00D129C7" w:rsidP="00242C4A">
      <w:pPr>
        <w:jc w:val="both"/>
      </w:pPr>
      <w:bookmarkStart w:id="0" w:name="_GoBack"/>
      <w:bookmarkEnd w:id="0"/>
      <w:r w:rsidRPr="003342FC">
        <w:rPr>
          <w:noProof/>
          <w:lang w:val="en-GB" w:eastAsia="en-GB"/>
        </w:rPr>
        <w:drawing>
          <wp:inline distT="0" distB="0" distL="0" distR="0">
            <wp:extent cx="1629551" cy="536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F&amp;HR 1707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629" cy="548925"/>
                    </a:xfrm>
                    <a:prstGeom prst="rect">
                      <a:avLst/>
                    </a:prstGeom>
                  </pic:spPr>
                </pic:pic>
              </a:graphicData>
            </a:graphic>
          </wp:inline>
        </w:drawing>
      </w:r>
    </w:p>
    <w:p w:rsidR="00D129C7" w:rsidRPr="003342FC" w:rsidRDefault="00D129C7" w:rsidP="00242C4A">
      <w:pPr>
        <w:jc w:val="both"/>
      </w:pPr>
    </w:p>
    <w:p w:rsidR="00FD7C8E" w:rsidRPr="003342FC" w:rsidRDefault="00FD7C8E" w:rsidP="00242C4A">
      <w:pPr>
        <w:jc w:val="both"/>
        <w:rPr>
          <w:rFonts w:eastAsia="Calibri"/>
        </w:rPr>
      </w:pPr>
      <w:r w:rsidRPr="003342FC">
        <w:rPr>
          <w:lang w:val="en-US"/>
        </w:rPr>
        <w:t>CEDAW Secretariat</w:t>
      </w:r>
    </w:p>
    <w:p w:rsidR="00FD7C8E" w:rsidRPr="003342FC" w:rsidRDefault="00FD7C8E" w:rsidP="00242C4A">
      <w:pPr>
        <w:jc w:val="both"/>
        <w:rPr>
          <w:rFonts w:eastAsia="Calibri"/>
        </w:rPr>
      </w:pPr>
      <w:r w:rsidRPr="003342FC">
        <w:rPr>
          <w:lang w:val="en-US"/>
        </w:rPr>
        <w:t>Office of the High Commissioner for Human Rights</w:t>
      </w:r>
    </w:p>
    <w:p w:rsidR="00FD7C8E" w:rsidRPr="003342FC" w:rsidRDefault="00FD7C8E" w:rsidP="00242C4A">
      <w:pPr>
        <w:jc w:val="both"/>
        <w:rPr>
          <w:rFonts w:eastAsia="Calibri"/>
          <w:lang w:val="fr-FR"/>
        </w:rPr>
      </w:pPr>
      <w:r w:rsidRPr="003342FC">
        <w:rPr>
          <w:lang w:val="fr-FR"/>
        </w:rPr>
        <w:t>Palais Wilson</w:t>
      </w:r>
    </w:p>
    <w:p w:rsidR="00FD7C8E" w:rsidRPr="003342FC" w:rsidRDefault="00FD7C8E" w:rsidP="00242C4A">
      <w:pPr>
        <w:jc w:val="both"/>
        <w:rPr>
          <w:rFonts w:eastAsia="Calibri"/>
          <w:lang w:val="fr-FR"/>
        </w:rPr>
      </w:pPr>
      <w:r w:rsidRPr="003342FC">
        <w:rPr>
          <w:lang w:val="fr-FR"/>
        </w:rPr>
        <w:t>52 rue des Pâquis</w:t>
      </w:r>
    </w:p>
    <w:p w:rsidR="00FD7C8E" w:rsidRPr="003342FC" w:rsidRDefault="00FD7C8E" w:rsidP="00242C4A">
      <w:pPr>
        <w:jc w:val="both"/>
        <w:rPr>
          <w:rFonts w:eastAsia="Calibri"/>
          <w:lang w:val="fr-FR"/>
        </w:rPr>
      </w:pPr>
      <w:r w:rsidRPr="003342FC">
        <w:rPr>
          <w:lang w:val="fr-FR"/>
        </w:rPr>
        <w:t>CH-1201 Geneva 10</w:t>
      </w:r>
    </w:p>
    <w:p w:rsidR="00FD7C8E" w:rsidRPr="003342FC" w:rsidRDefault="00FD7C8E" w:rsidP="00242C4A">
      <w:pPr>
        <w:jc w:val="both"/>
        <w:rPr>
          <w:rFonts w:eastAsia="Calibri"/>
        </w:rPr>
      </w:pPr>
      <w:r w:rsidRPr="003342FC">
        <w:rPr>
          <w:lang w:val="en-US"/>
        </w:rPr>
        <w:t xml:space="preserve">Switzerland </w:t>
      </w:r>
    </w:p>
    <w:p w:rsidR="00275CE9" w:rsidRPr="003342FC" w:rsidRDefault="00275CE9" w:rsidP="00242C4A">
      <w:pPr>
        <w:jc w:val="both"/>
      </w:pPr>
    </w:p>
    <w:p w:rsidR="00455A04" w:rsidRPr="003342FC" w:rsidRDefault="00455A04" w:rsidP="00242C4A">
      <w:pPr>
        <w:jc w:val="both"/>
      </w:pPr>
      <w:r w:rsidRPr="003342FC">
        <w:t>Stockholm, Sweden 18 February 201</w:t>
      </w:r>
      <w:r w:rsidR="007A4EF0">
        <w:t>9</w:t>
      </w:r>
    </w:p>
    <w:p w:rsidR="00D129C7" w:rsidRPr="003342FC" w:rsidRDefault="00D129C7" w:rsidP="00242C4A">
      <w:pPr>
        <w:jc w:val="both"/>
      </w:pPr>
    </w:p>
    <w:p w:rsidR="00C90FCF" w:rsidRPr="003342FC" w:rsidRDefault="008E0C0A" w:rsidP="00242C4A">
      <w:pPr>
        <w:pStyle w:val="Heading2"/>
        <w:spacing w:before="0" w:beforeAutospacing="0" w:after="0" w:afterAutospacing="0"/>
        <w:jc w:val="both"/>
        <w:rPr>
          <w:bCs w:val="0"/>
          <w:color w:val="000000" w:themeColor="text1"/>
          <w:sz w:val="24"/>
          <w:szCs w:val="24"/>
          <w:lang w:val="en-US"/>
        </w:rPr>
      </w:pPr>
      <w:r w:rsidRPr="003342FC">
        <w:rPr>
          <w:color w:val="000000" w:themeColor="text1"/>
          <w:sz w:val="24"/>
          <w:szCs w:val="24"/>
          <w:lang w:val="en-US"/>
        </w:rPr>
        <w:t>S</w:t>
      </w:r>
      <w:r w:rsidR="00D129C7" w:rsidRPr="003342FC">
        <w:rPr>
          <w:color w:val="000000" w:themeColor="text1"/>
          <w:sz w:val="24"/>
          <w:szCs w:val="24"/>
          <w:lang w:val="en-US"/>
        </w:rPr>
        <w:t xml:space="preserve">ubmission </w:t>
      </w:r>
      <w:r w:rsidRPr="003342FC">
        <w:rPr>
          <w:color w:val="000000" w:themeColor="text1"/>
          <w:sz w:val="24"/>
          <w:szCs w:val="24"/>
          <w:lang w:val="en-US"/>
        </w:rPr>
        <w:t xml:space="preserve">by the Institute for Feminism &amp; Human Rights </w:t>
      </w:r>
      <w:r w:rsidR="00D129C7" w:rsidRPr="003342FC">
        <w:rPr>
          <w:color w:val="000000" w:themeColor="text1"/>
          <w:sz w:val="24"/>
          <w:szCs w:val="24"/>
          <w:lang w:val="en-US"/>
        </w:rPr>
        <w:t>to the CEDAW Committee</w:t>
      </w:r>
      <w:r w:rsidR="00C90FCF" w:rsidRPr="003342FC">
        <w:rPr>
          <w:color w:val="000000" w:themeColor="text1"/>
          <w:sz w:val="24"/>
          <w:szCs w:val="24"/>
          <w:lang w:val="en-US"/>
        </w:rPr>
        <w:t>’s</w:t>
      </w:r>
      <w:r w:rsidR="005772E9" w:rsidRPr="003342FC">
        <w:rPr>
          <w:color w:val="000000" w:themeColor="text1"/>
          <w:sz w:val="24"/>
          <w:szCs w:val="24"/>
          <w:lang w:val="en-US"/>
        </w:rPr>
        <w:t xml:space="preserve"> </w:t>
      </w:r>
      <w:r w:rsidR="00C90FCF" w:rsidRPr="003342FC">
        <w:rPr>
          <w:bCs w:val="0"/>
          <w:color w:val="000000" w:themeColor="text1"/>
          <w:sz w:val="24"/>
          <w:szCs w:val="24"/>
          <w:lang w:val="en-US"/>
        </w:rPr>
        <w:t>Draft General Recommendation on Trafficking of Women and Girls in the Context of Global Migration.</w:t>
      </w:r>
    </w:p>
    <w:p w:rsidR="005772E9" w:rsidRPr="003342FC" w:rsidRDefault="005772E9" w:rsidP="00242C4A">
      <w:pPr>
        <w:pStyle w:val="Default"/>
        <w:jc w:val="both"/>
      </w:pPr>
    </w:p>
    <w:p w:rsidR="00A708B7" w:rsidRPr="003342FC" w:rsidRDefault="00A708B7" w:rsidP="00242C4A">
      <w:pPr>
        <w:pStyle w:val="NormalWeb"/>
        <w:spacing w:before="0" w:beforeAutospacing="0" w:after="0" w:afterAutospacing="0"/>
        <w:jc w:val="both"/>
        <w:textAlignment w:val="baseline"/>
        <w:rPr>
          <w:b/>
          <w:lang w:val="en-US"/>
        </w:rPr>
      </w:pPr>
      <w:r w:rsidRPr="003342FC">
        <w:rPr>
          <w:b/>
          <w:lang w:val="en-US"/>
        </w:rPr>
        <w:t>Introduction</w:t>
      </w:r>
    </w:p>
    <w:p w:rsidR="00FD0C27" w:rsidRPr="003342FC" w:rsidRDefault="00D129C7" w:rsidP="00242C4A">
      <w:pPr>
        <w:pStyle w:val="NormalWeb"/>
        <w:spacing w:before="0" w:beforeAutospacing="0" w:after="0" w:afterAutospacing="0"/>
        <w:jc w:val="both"/>
        <w:textAlignment w:val="baseline"/>
        <w:rPr>
          <w:color w:val="303030"/>
          <w:lang w:val="en-US"/>
        </w:rPr>
      </w:pPr>
      <w:r w:rsidRPr="003342FC">
        <w:rPr>
          <w:lang w:val="en-US"/>
        </w:rPr>
        <w:t xml:space="preserve">The </w:t>
      </w:r>
      <w:r w:rsidRPr="003342FC">
        <w:rPr>
          <w:b/>
          <w:lang w:val="en-US"/>
        </w:rPr>
        <w:t>Institute for Feminism &amp; Human Rights</w:t>
      </w:r>
      <w:r w:rsidRPr="003342FC">
        <w:rPr>
          <w:lang w:val="en-US"/>
        </w:rPr>
        <w:t xml:space="preserve"> </w:t>
      </w:r>
      <w:r w:rsidR="00FD0C27" w:rsidRPr="003342FC">
        <w:rPr>
          <w:color w:val="303030"/>
          <w:lang w:val="en-US"/>
        </w:rPr>
        <w:t>(IF&amp;HR)</w:t>
      </w:r>
      <w:r w:rsidR="00ED18A7" w:rsidRPr="003342FC">
        <w:rPr>
          <w:color w:val="303030"/>
          <w:lang w:val="en-US"/>
        </w:rPr>
        <w:t>, which was founded in 2009,</w:t>
      </w:r>
      <w:r w:rsidR="00FD0C27" w:rsidRPr="003342FC">
        <w:rPr>
          <w:color w:val="303030"/>
          <w:lang w:val="en-US"/>
        </w:rPr>
        <w:t xml:space="preserve"> is an international not-for-profit policy research institute based in Sweden with members in a number of countries in Europe and internationally.</w:t>
      </w:r>
    </w:p>
    <w:p w:rsidR="00ED18A7" w:rsidRPr="003342FC" w:rsidRDefault="00ED18A7" w:rsidP="00242C4A">
      <w:pPr>
        <w:jc w:val="both"/>
        <w:textAlignment w:val="baseline"/>
        <w:rPr>
          <w:rFonts w:eastAsia="Times New Roman"/>
          <w:color w:val="303030"/>
          <w:lang w:val="en-US"/>
        </w:rPr>
      </w:pPr>
    </w:p>
    <w:p w:rsidR="00FD0C27" w:rsidRPr="003342FC" w:rsidRDefault="00FD0C27" w:rsidP="00242C4A">
      <w:pPr>
        <w:jc w:val="both"/>
        <w:textAlignment w:val="baseline"/>
        <w:rPr>
          <w:rFonts w:eastAsia="Times New Roman"/>
          <w:color w:val="303030"/>
          <w:lang w:val="en-US"/>
        </w:rPr>
      </w:pPr>
      <w:r w:rsidRPr="003342FC">
        <w:rPr>
          <w:rFonts w:eastAsia="Times New Roman"/>
          <w:color w:val="303030"/>
          <w:lang w:val="en-US"/>
        </w:rPr>
        <w:lastRenderedPageBreak/>
        <w:t>The I</w:t>
      </w:r>
      <w:r w:rsidR="001A3CA5" w:rsidRPr="003342FC">
        <w:rPr>
          <w:rFonts w:eastAsia="Times New Roman"/>
          <w:color w:val="303030"/>
          <w:lang w:val="en-US"/>
        </w:rPr>
        <w:t xml:space="preserve">F&amp;HR </w:t>
      </w:r>
      <w:r w:rsidRPr="003342FC">
        <w:rPr>
          <w:rFonts w:eastAsia="Times New Roman"/>
          <w:color w:val="303030"/>
          <w:lang w:val="en-US"/>
        </w:rPr>
        <w:t>works to prevent and eliminate the socio-economic, legal and political discrimination of women and girls through the use of Feminist strategies and research methods, and the application of international, regional and national human rights instruments. IF&amp;HR uses the Convention on the Elimination of all Forms of Discrimination Against Women (CEDAW) as a point of departure in much of its advocacy work in Europe and internationally.</w:t>
      </w:r>
    </w:p>
    <w:p w:rsidR="00ED18A7" w:rsidRPr="003342FC" w:rsidRDefault="00ED18A7" w:rsidP="00242C4A">
      <w:pPr>
        <w:jc w:val="both"/>
        <w:textAlignment w:val="baseline"/>
        <w:rPr>
          <w:rFonts w:eastAsia="Times New Roman"/>
          <w:color w:val="303030"/>
          <w:lang w:val="en-US"/>
        </w:rPr>
      </w:pPr>
    </w:p>
    <w:p w:rsidR="001A3CA5" w:rsidRPr="003342FC" w:rsidRDefault="001A3CA5" w:rsidP="00242C4A">
      <w:pPr>
        <w:autoSpaceDE w:val="0"/>
        <w:autoSpaceDN w:val="0"/>
        <w:adjustRightInd w:val="0"/>
        <w:jc w:val="both"/>
        <w:rPr>
          <w:lang w:val="en-US"/>
        </w:rPr>
      </w:pPr>
      <w:r w:rsidRPr="003342FC">
        <w:rPr>
          <w:lang w:val="en-US"/>
        </w:rPr>
        <w:t>The IF&amp;HR monitors the work to protect the human rights of women and girls in national,</w:t>
      </w:r>
    </w:p>
    <w:p w:rsidR="001A3CA5" w:rsidRPr="003342FC" w:rsidRDefault="001A3CA5" w:rsidP="00242C4A">
      <w:pPr>
        <w:autoSpaceDE w:val="0"/>
        <w:autoSpaceDN w:val="0"/>
        <w:adjustRightInd w:val="0"/>
        <w:jc w:val="both"/>
        <w:rPr>
          <w:lang w:val="en-US"/>
        </w:rPr>
      </w:pPr>
      <w:r w:rsidRPr="003342FC">
        <w:rPr>
          <w:lang w:val="en-US"/>
        </w:rPr>
        <w:t>regional and international institutions and bodies such as the European Union, Council of</w:t>
      </w:r>
    </w:p>
    <w:p w:rsidR="001A3CA5" w:rsidRPr="003342FC" w:rsidRDefault="001A3CA5" w:rsidP="00242C4A">
      <w:pPr>
        <w:jc w:val="both"/>
        <w:textAlignment w:val="baseline"/>
        <w:rPr>
          <w:rFonts w:eastAsia="Times New Roman"/>
          <w:color w:val="303030"/>
          <w:lang w:val="en-US"/>
        </w:rPr>
      </w:pPr>
      <w:r w:rsidRPr="003342FC">
        <w:rPr>
          <w:lang w:val="en-US"/>
        </w:rPr>
        <w:t>Europe and the United Nations.</w:t>
      </w:r>
    </w:p>
    <w:p w:rsidR="001A3CA5" w:rsidRPr="003342FC" w:rsidRDefault="001A3CA5" w:rsidP="00242C4A">
      <w:pPr>
        <w:autoSpaceDE w:val="0"/>
        <w:autoSpaceDN w:val="0"/>
        <w:adjustRightInd w:val="0"/>
        <w:jc w:val="both"/>
        <w:rPr>
          <w:lang w:val="en-US"/>
        </w:rPr>
      </w:pPr>
    </w:p>
    <w:p w:rsidR="00871F63" w:rsidRPr="003342FC" w:rsidRDefault="00871F63" w:rsidP="00242C4A">
      <w:pPr>
        <w:autoSpaceDE w:val="0"/>
        <w:autoSpaceDN w:val="0"/>
        <w:adjustRightInd w:val="0"/>
        <w:jc w:val="both"/>
        <w:rPr>
          <w:lang w:val="en-US"/>
        </w:rPr>
      </w:pPr>
      <w:r w:rsidRPr="003342FC">
        <w:rPr>
          <w:lang w:val="en-US"/>
        </w:rPr>
        <w:t xml:space="preserve">The </w:t>
      </w:r>
      <w:r w:rsidR="001A3CA5" w:rsidRPr="003342FC">
        <w:rPr>
          <w:lang w:val="en-US"/>
        </w:rPr>
        <w:t>IF&amp;HR</w:t>
      </w:r>
      <w:r w:rsidRPr="003342FC">
        <w:rPr>
          <w:lang w:val="en-US"/>
        </w:rPr>
        <w:t xml:space="preserve"> produces reports and position papers, carries out research, advocacy activities and organizes thematic conferences and, specialized trainings nationally and internationally in six distinctive thematic areas, including violence against women and girls, sexual and reproductive rights, and women and political and economic power.</w:t>
      </w:r>
    </w:p>
    <w:p w:rsidR="00D129C7" w:rsidRPr="003342FC" w:rsidRDefault="00D129C7" w:rsidP="00242C4A">
      <w:pPr>
        <w:jc w:val="both"/>
      </w:pPr>
    </w:p>
    <w:p w:rsidR="00D129C7" w:rsidRPr="003342FC" w:rsidRDefault="00701CB5" w:rsidP="00242C4A">
      <w:pPr>
        <w:jc w:val="both"/>
      </w:pPr>
      <w:r w:rsidRPr="003342FC">
        <w:t xml:space="preserve">The Institute for Feminism &amp; Human Rights welcomes the opportunity to make a submission to the CEDAW Committee </w:t>
      </w:r>
      <w:r w:rsidR="00C929D2" w:rsidRPr="003342FC">
        <w:t>to further</w:t>
      </w:r>
      <w:r w:rsidRPr="003342FC">
        <w:t xml:space="preserve"> its </w:t>
      </w:r>
      <w:r w:rsidR="00C929D2" w:rsidRPr="003342FC">
        <w:lastRenderedPageBreak/>
        <w:t xml:space="preserve">objective to draft </w:t>
      </w:r>
      <w:r w:rsidRPr="003342FC">
        <w:t>a General Recommendation on Trafficking i</w:t>
      </w:r>
      <w:r w:rsidR="00A708B7" w:rsidRPr="003342FC">
        <w:t>n</w:t>
      </w:r>
      <w:r w:rsidRPr="003342FC">
        <w:t xml:space="preserve"> Women and Girls in the </w:t>
      </w:r>
      <w:r w:rsidR="00C929D2" w:rsidRPr="003342FC">
        <w:t>C</w:t>
      </w:r>
      <w:r w:rsidRPr="003342FC">
        <w:t xml:space="preserve">ontext of </w:t>
      </w:r>
      <w:r w:rsidR="00A708B7" w:rsidRPr="003342FC">
        <w:t xml:space="preserve">Global </w:t>
      </w:r>
      <w:r w:rsidRPr="003342FC">
        <w:t xml:space="preserve">Migration. </w:t>
      </w:r>
    </w:p>
    <w:p w:rsidR="0009624E" w:rsidRPr="003342FC" w:rsidRDefault="0009624E" w:rsidP="00242C4A">
      <w:pPr>
        <w:jc w:val="both"/>
        <w:rPr>
          <w:b/>
        </w:rPr>
      </w:pPr>
    </w:p>
    <w:p w:rsidR="00933339" w:rsidRPr="003342FC" w:rsidRDefault="00933339" w:rsidP="00242C4A">
      <w:pPr>
        <w:jc w:val="both"/>
        <w:rPr>
          <w:b/>
        </w:rPr>
      </w:pPr>
    </w:p>
    <w:p w:rsidR="00D129C7" w:rsidRPr="003342FC" w:rsidRDefault="00D129C7" w:rsidP="00242C4A">
      <w:pPr>
        <w:jc w:val="both"/>
        <w:rPr>
          <w:b/>
        </w:rPr>
      </w:pPr>
      <w:r w:rsidRPr="003342FC">
        <w:rPr>
          <w:b/>
        </w:rPr>
        <w:t>International legal framework on trafficking in human beings</w:t>
      </w:r>
    </w:p>
    <w:p w:rsidR="008E0C0A" w:rsidRPr="003342FC" w:rsidRDefault="0009624E" w:rsidP="00242C4A">
      <w:pPr>
        <w:autoSpaceDE w:val="0"/>
        <w:autoSpaceDN w:val="0"/>
        <w:adjustRightInd w:val="0"/>
        <w:jc w:val="both"/>
        <w:rPr>
          <w:lang w:val="en-US"/>
        </w:rPr>
      </w:pPr>
      <w:r w:rsidRPr="003342FC">
        <w:rPr>
          <w:lang w:val="en-US"/>
        </w:rPr>
        <w:t>1.</w:t>
      </w:r>
      <w:r w:rsidRPr="003342FC">
        <w:rPr>
          <w:lang w:val="en-US"/>
        </w:rPr>
        <w:tab/>
      </w:r>
      <w:r w:rsidR="008E0C0A" w:rsidRPr="003342FC">
        <w:rPr>
          <w:lang w:val="en-US"/>
        </w:rPr>
        <w:t xml:space="preserve">Since the </w:t>
      </w:r>
      <w:r w:rsidR="005772E9" w:rsidRPr="003342FC">
        <w:rPr>
          <w:lang w:val="en-US"/>
        </w:rPr>
        <w:t>19</w:t>
      </w:r>
      <w:r w:rsidR="005772E9" w:rsidRPr="003342FC">
        <w:rPr>
          <w:vertAlign w:val="superscript"/>
          <w:lang w:val="en-US"/>
        </w:rPr>
        <w:t>th</w:t>
      </w:r>
      <w:r w:rsidR="005772E9" w:rsidRPr="003342FC">
        <w:rPr>
          <w:lang w:val="en-US"/>
        </w:rPr>
        <w:t xml:space="preserve"> </w:t>
      </w:r>
      <w:r w:rsidR="008E0C0A" w:rsidRPr="003342FC">
        <w:rPr>
          <w:lang w:val="en-US"/>
        </w:rPr>
        <w:t>century, the international community has searched for</w:t>
      </w:r>
      <w:r w:rsidR="005772E9" w:rsidRPr="003342FC">
        <w:rPr>
          <w:lang w:val="en-US"/>
        </w:rPr>
        <w:t xml:space="preserve"> </w:t>
      </w:r>
      <w:r w:rsidR="008E0C0A" w:rsidRPr="003342FC">
        <w:rPr>
          <w:lang w:val="en-US"/>
        </w:rPr>
        <w:t>comprehensive solutions to prevent and tackle the trafficking in human beings of women and girls</w:t>
      </w:r>
      <w:r w:rsidR="005772E9" w:rsidRPr="003342FC">
        <w:rPr>
          <w:lang w:val="en-US"/>
        </w:rPr>
        <w:t xml:space="preserve"> for sexual and other purposes</w:t>
      </w:r>
      <w:r w:rsidR="008E0C0A" w:rsidRPr="003342FC">
        <w:rPr>
          <w:lang w:val="en-US"/>
        </w:rPr>
        <w:t>, violations that seriously affect the rights, opportunities, and lives of already oppressed, marginalized</w:t>
      </w:r>
      <w:r w:rsidR="005772E9" w:rsidRPr="003342FC">
        <w:rPr>
          <w:lang w:val="en-US"/>
        </w:rPr>
        <w:t>,</w:t>
      </w:r>
      <w:r w:rsidR="008E0C0A" w:rsidRPr="003342FC">
        <w:rPr>
          <w:lang w:val="en-US"/>
        </w:rPr>
        <w:t xml:space="preserve"> and often racialized women and girls around the world.</w:t>
      </w:r>
    </w:p>
    <w:p w:rsidR="0009624E" w:rsidRPr="003342FC" w:rsidRDefault="0009624E" w:rsidP="00242C4A">
      <w:pPr>
        <w:autoSpaceDE w:val="0"/>
        <w:autoSpaceDN w:val="0"/>
        <w:adjustRightInd w:val="0"/>
        <w:jc w:val="both"/>
        <w:rPr>
          <w:lang w:val="en-US"/>
        </w:rPr>
      </w:pPr>
    </w:p>
    <w:p w:rsidR="00193EB4" w:rsidRPr="003342FC" w:rsidRDefault="0009624E" w:rsidP="00242C4A">
      <w:pPr>
        <w:autoSpaceDE w:val="0"/>
        <w:autoSpaceDN w:val="0"/>
        <w:adjustRightInd w:val="0"/>
        <w:jc w:val="both"/>
        <w:rPr>
          <w:lang w:val="en-US"/>
        </w:rPr>
      </w:pPr>
      <w:r w:rsidRPr="003342FC">
        <w:rPr>
          <w:lang w:val="en-US"/>
        </w:rPr>
        <w:t>2.</w:t>
      </w:r>
      <w:r w:rsidRPr="003342FC">
        <w:rPr>
          <w:lang w:val="en-US"/>
        </w:rPr>
        <w:tab/>
        <w:t xml:space="preserve">Historically, as it is today, the development of sustainable laws, policies, strategies and actions to eliminate the discrimination of women, </w:t>
      </w:r>
      <w:r w:rsidR="00193EB4" w:rsidRPr="003342FC">
        <w:rPr>
          <w:lang w:val="en-US"/>
        </w:rPr>
        <w:t>and to proactively advance the rights, fundamental freedoms and opportunities of women and girls globally have been initiated, led and promoted by national and international grass roots women’s organizations.</w:t>
      </w:r>
    </w:p>
    <w:p w:rsidR="00A708B7" w:rsidRPr="003342FC" w:rsidRDefault="00A708B7" w:rsidP="00242C4A">
      <w:pPr>
        <w:autoSpaceDE w:val="0"/>
        <w:autoSpaceDN w:val="0"/>
        <w:adjustRightInd w:val="0"/>
        <w:jc w:val="both"/>
        <w:rPr>
          <w:lang w:val="en-US"/>
        </w:rPr>
      </w:pPr>
    </w:p>
    <w:p w:rsidR="00193EB4" w:rsidRPr="003342FC" w:rsidRDefault="00193EB4" w:rsidP="00242C4A">
      <w:pPr>
        <w:autoSpaceDE w:val="0"/>
        <w:autoSpaceDN w:val="0"/>
        <w:adjustRightInd w:val="0"/>
        <w:jc w:val="both"/>
        <w:rPr>
          <w:lang w:val="en-US"/>
        </w:rPr>
      </w:pPr>
      <w:r w:rsidRPr="003342FC">
        <w:rPr>
          <w:lang w:val="en-US"/>
        </w:rPr>
        <w:t>3.</w:t>
      </w:r>
      <w:r w:rsidRPr="003342FC">
        <w:rPr>
          <w:lang w:val="en-US"/>
        </w:rPr>
        <w:tab/>
        <w:t xml:space="preserve"> The promotion, development and acceptance of the Convention on the Elimination of All Forms of </w:t>
      </w:r>
      <w:r w:rsidR="0031410F" w:rsidRPr="003342FC">
        <w:rPr>
          <w:lang w:val="en-US"/>
        </w:rPr>
        <w:t>Discrimination</w:t>
      </w:r>
      <w:r w:rsidR="00981956" w:rsidRPr="003342FC">
        <w:rPr>
          <w:lang w:val="en-US"/>
        </w:rPr>
        <w:t xml:space="preserve"> of Women</w:t>
      </w:r>
      <w:r w:rsidR="0031410F" w:rsidRPr="003342FC">
        <w:rPr>
          <w:lang w:val="en-US"/>
        </w:rPr>
        <w:t xml:space="preserve"> (CEDAW)</w:t>
      </w:r>
      <w:r w:rsidR="00981956" w:rsidRPr="003342FC">
        <w:rPr>
          <w:lang w:val="en-US"/>
        </w:rPr>
        <w:t xml:space="preserve"> </w:t>
      </w:r>
      <w:r w:rsidR="0031410F" w:rsidRPr="003342FC">
        <w:rPr>
          <w:lang w:val="en-US"/>
        </w:rPr>
        <w:t>is</w:t>
      </w:r>
      <w:r w:rsidR="00981956" w:rsidRPr="003342FC">
        <w:rPr>
          <w:lang w:val="en-US"/>
        </w:rPr>
        <w:t xml:space="preserve"> </w:t>
      </w:r>
      <w:r w:rsidR="0031410F" w:rsidRPr="003342FC">
        <w:rPr>
          <w:lang w:val="en-US"/>
        </w:rPr>
        <w:t xml:space="preserve">the </w:t>
      </w:r>
      <w:r w:rsidRPr="003342FC">
        <w:rPr>
          <w:lang w:val="en-US"/>
        </w:rPr>
        <w:t>result of a</w:t>
      </w:r>
      <w:r w:rsidR="0075782D" w:rsidRPr="003342FC">
        <w:rPr>
          <w:lang w:val="en-US"/>
        </w:rPr>
        <w:t xml:space="preserve"> </w:t>
      </w:r>
      <w:r w:rsidR="0031410F" w:rsidRPr="003342FC">
        <w:rPr>
          <w:lang w:val="en-US"/>
        </w:rPr>
        <w:t xml:space="preserve">global </w:t>
      </w:r>
      <w:r w:rsidRPr="003342FC">
        <w:rPr>
          <w:lang w:val="en-US"/>
        </w:rPr>
        <w:t>women’s movement</w:t>
      </w:r>
      <w:r w:rsidR="00785924" w:rsidRPr="003342FC">
        <w:rPr>
          <w:lang w:val="en-US"/>
        </w:rPr>
        <w:t>,</w:t>
      </w:r>
      <w:r w:rsidRPr="003342FC">
        <w:rPr>
          <w:lang w:val="en-US"/>
        </w:rPr>
        <w:t xml:space="preserve"> </w:t>
      </w:r>
      <w:r w:rsidR="0031410F" w:rsidRPr="003342FC">
        <w:rPr>
          <w:lang w:val="en-US"/>
        </w:rPr>
        <w:t>that</w:t>
      </w:r>
      <w:r w:rsidR="007E032A" w:rsidRPr="003342FC">
        <w:rPr>
          <w:lang w:val="en-US"/>
        </w:rPr>
        <w:t xml:space="preserve"> </w:t>
      </w:r>
      <w:r w:rsidR="00785924" w:rsidRPr="003342FC">
        <w:rPr>
          <w:lang w:val="en-US"/>
        </w:rPr>
        <w:t>has</w:t>
      </w:r>
      <w:r w:rsidR="007E032A" w:rsidRPr="003342FC">
        <w:rPr>
          <w:lang w:val="en-US"/>
        </w:rPr>
        <w:t xml:space="preserve"> as its </w:t>
      </w:r>
      <w:r w:rsidR="0075782D" w:rsidRPr="003342FC">
        <w:rPr>
          <w:lang w:val="en-US"/>
        </w:rPr>
        <w:t xml:space="preserve">ultimate </w:t>
      </w:r>
      <w:r w:rsidR="007E032A" w:rsidRPr="003342FC">
        <w:rPr>
          <w:lang w:val="en-US"/>
        </w:rPr>
        <w:t>objective to ensure that</w:t>
      </w:r>
      <w:r w:rsidR="00785924" w:rsidRPr="003342FC">
        <w:rPr>
          <w:lang w:val="en-US"/>
        </w:rPr>
        <w:t xml:space="preserve"> </w:t>
      </w:r>
      <w:r w:rsidR="007E032A" w:rsidRPr="003342FC">
        <w:rPr>
          <w:lang w:val="en-US"/>
        </w:rPr>
        <w:t xml:space="preserve">all women and girls </w:t>
      </w:r>
      <w:r w:rsidR="0075782D" w:rsidRPr="003342FC">
        <w:rPr>
          <w:lang w:val="en-US"/>
        </w:rPr>
        <w:t xml:space="preserve">are able </w:t>
      </w:r>
      <w:r w:rsidR="007E032A" w:rsidRPr="003342FC">
        <w:rPr>
          <w:lang w:val="en-US"/>
        </w:rPr>
        <w:t xml:space="preserve">live lives </w:t>
      </w:r>
      <w:r w:rsidR="007E032A" w:rsidRPr="003342FC">
        <w:rPr>
          <w:lang w:val="en-US"/>
        </w:rPr>
        <w:lastRenderedPageBreak/>
        <w:t xml:space="preserve">free of </w:t>
      </w:r>
      <w:r w:rsidR="00785924" w:rsidRPr="003342FC">
        <w:rPr>
          <w:lang w:val="en-US"/>
        </w:rPr>
        <w:t xml:space="preserve">discrimination and </w:t>
      </w:r>
      <w:r w:rsidR="007E032A" w:rsidRPr="003342FC">
        <w:rPr>
          <w:lang w:val="en-US"/>
        </w:rPr>
        <w:t>violence</w:t>
      </w:r>
      <w:r w:rsidR="00785924" w:rsidRPr="003342FC">
        <w:rPr>
          <w:lang w:val="en-US"/>
        </w:rPr>
        <w:t xml:space="preserve">, while fighting </w:t>
      </w:r>
      <w:r w:rsidR="00E412D2" w:rsidRPr="003342FC">
        <w:rPr>
          <w:lang w:val="en-US"/>
        </w:rPr>
        <w:t xml:space="preserve">against </w:t>
      </w:r>
      <w:r w:rsidR="00BD781D" w:rsidRPr="003342FC">
        <w:rPr>
          <w:lang w:val="en-US"/>
        </w:rPr>
        <w:t xml:space="preserve">stereotypes, </w:t>
      </w:r>
      <w:r w:rsidR="00E412D2" w:rsidRPr="003342FC">
        <w:rPr>
          <w:lang w:val="en-US"/>
        </w:rPr>
        <w:t xml:space="preserve">customs and norms that reinforces their oppression and submission, and </w:t>
      </w:r>
      <w:r w:rsidR="00785924" w:rsidRPr="003342FC">
        <w:rPr>
          <w:lang w:val="en-US"/>
        </w:rPr>
        <w:t xml:space="preserve">for </w:t>
      </w:r>
      <w:r w:rsidR="00E412D2" w:rsidRPr="003342FC">
        <w:rPr>
          <w:lang w:val="en-US"/>
        </w:rPr>
        <w:t xml:space="preserve">the </w:t>
      </w:r>
      <w:r w:rsidR="00785924" w:rsidRPr="003342FC">
        <w:rPr>
          <w:lang w:val="en-US"/>
        </w:rPr>
        <w:t>equal treatment, and equal access to opportunities</w:t>
      </w:r>
      <w:r w:rsidR="0075782D" w:rsidRPr="003342FC">
        <w:rPr>
          <w:lang w:val="en-US"/>
        </w:rPr>
        <w:t xml:space="preserve"> for all women and girls no matter their backgrounds</w:t>
      </w:r>
      <w:r w:rsidR="00BD781D" w:rsidRPr="003342FC">
        <w:rPr>
          <w:lang w:val="en-US"/>
        </w:rPr>
        <w:t>, living conditions</w:t>
      </w:r>
      <w:r w:rsidR="0075782D" w:rsidRPr="003342FC">
        <w:rPr>
          <w:lang w:val="en-US"/>
        </w:rPr>
        <w:t xml:space="preserve"> and situations.</w:t>
      </w:r>
    </w:p>
    <w:p w:rsidR="00193EB4" w:rsidRPr="003342FC" w:rsidRDefault="00193EB4" w:rsidP="00242C4A">
      <w:pPr>
        <w:autoSpaceDE w:val="0"/>
        <w:autoSpaceDN w:val="0"/>
        <w:adjustRightInd w:val="0"/>
        <w:jc w:val="both"/>
        <w:rPr>
          <w:lang w:val="en-US"/>
        </w:rPr>
      </w:pPr>
    </w:p>
    <w:p w:rsidR="0009624E" w:rsidRPr="003342FC" w:rsidRDefault="0031410F" w:rsidP="00242C4A">
      <w:pPr>
        <w:pStyle w:val="NormalWeb"/>
        <w:spacing w:before="0" w:beforeAutospacing="0" w:after="0" w:afterAutospacing="0"/>
        <w:jc w:val="both"/>
        <w:rPr>
          <w:lang w:val="en-US"/>
        </w:rPr>
      </w:pPr>
      <w:r w:rsidRPr="003342FC">
        <w:rPr>
          <w:lang w:val="en-US"/>
        </w:rPr>
        <w:t>4.</w:t>
      </w:r>
      <w:r w:rsidRPr="003342FC">
        <w:rPr>
          <w:lang w:val="en-US"/>
        </w:rPr>
        <w:tab/>
      </w:r>
      <w:r w:rsidR="00785924" w:rsidRPr="003342FC">
        <w:rPr>
          <w:lang w:val="en-US"/>
        </w:rPr>
        <w:t>Article 6 of the CEDAW, which makes it an obligation for States</w:t>
      </w:r>
      <w:r w:rsidR="00D847B9" w:rsidRPr="003342FC">
        <w:rPr>
          <w:lang w:val="en-US"/>
        </w:rPr>
        <w:t xml:space="preserve"> Parties</w:t>
      </w:r>
      <w:r w:rsidR="00785924" w:rsidRPr="003342FC">
        <w:rPr>
          <w:lang w:val="en-US"/>
        </w:rPr>
        <w:t xml:space="preserve"> to</w:t>
      </w:r>
      <w:r w:rsidR="00D847B9" w:rsidRPr="003342FC">
        <w:rPr>
          <w:lang w:val="en-US"/>
        </w:rPr>
        <w:t xml:space="preserve"> </w:t>
      </w:r>
      <w:r w:rsidR="00785924" w:rsidRPr="003342FC">
        <w:rPr>
          <w:lang w:val="en-US"/>
        </w:rPr>
        <w:t>”</w:t>
      </w:r>
      <w:r w:rsidR="00D847B9" w:rsidRPr="003342FC">
        <w:rPr>
          <w:color w:val="000000"/>
          <w:lang w:val="en-US"/>
        </w:rPr>
        <w:t>take all appropriate measures, including legislation, to suppress all forms of traffic in women and exploitation of prostitution of women,” </w:t>
      </w:r>
      <w:r w:rsidR="00EE38A9" w:rsidRPr="003342FC">
        <w:rPr>
          <w:lang w:val="en-US"/>
        </w:rPr>
        <w:t xml:space="preserve">is a reflection of the dedicated work of the early global women’s movement to ensure the successful repeal of national laws that regulated </w:t>
      </w:r>
      <w:r w:rsidR="0075782D" w:rsidRPr="003342FC">
        <w:rPr>
          <w:lang w:val="en-US"/>
        </w:rPr>
        <w:t xml:space="preserve">prostitution activities and criminalized women and girls, who were </w:t>
      </w:r>
      <w:r w:rsidR="00904B4B" w:rsidRPr="003342FC">
        <w:rPr>
          <w:lang w:val="en-US"/>
        </w:rPr>
        <w:t xml:space="preserve">trafficked into and </w:t>
      </w:r>
      <w:r w:rsidR="0075782D" w:rsidRPr="003342FC">
        <w:rPr>
          <w:lang w:val="en-US"/>
        </w:rPr>
        <w:t>exploited in prostitution.</w:t>
      </w:r>
    </w:p>
    <w:p w:rsidR="00A708B7" w:rsidRPr="003342FC" w:rsidRDefault="00A708B7" w:rsidP="00242C4A">
      <w:pPr>
        <w:pStyle w:val="NormalWeb"/>
        <w:spacing w:before="0" w:beforeAutospacing="0" w:after="0" w:afterAutospacing="0"/>
        <w:jc w:val="both"/>
        <w:rPr>
          <w:color w:val="000000"/>
          <w:lang w:val="en-US"/>
        </w:rPr>
      </w:pPr>
    </w:p>
    <w:p w:rsidR="0075782D" w:rsidRPr="003342FC" w:rsidRDefault="00933339" w:rsidP="00242C4A">
      <w:pPr>
        <w:autoSpaceDE w:val="0"/>
        <w:autoSpaceDN w:val="0"/>
        <w:adjustRightInd w:val="0"/>
        <w:jc w:val="both"/>
        <w:rPr>
          <w:bCs/>
        </w:rPr>
      </w:pPr>
      <w:r w:rsidRPr="003342FC">
        <w:rPr>
          <w:lang w:val="en-US"/>
        </w:rPr>
        <w:t xml:space="preserve">5. </w:t>
      </w:r>
      <w:r w:rsidRPr="003342FC">
        <w:rPr>
          <w:lang w:val="en-US"/>
        </w:rPr>
        <w:tab/>
        <w:t xml:space="preserve">Article 6 of CEDAW fully incorporates the Feminist, human rights principles originating in the work of early women’s movement to abolish trafficking in women and girls for the purpose of prostitution, and </w:t>
      </w:r>
      <w:r w:rsidR="00B858A9" w:rsidRPr="003342FC">
        <w:rPr>
          <w:lang w:val="en-US"/>
        </w:rPr>
        <w:t xml:space="preserve">later </w:t>
      </w:r>
      <w:r w:rsidRPr="003342FC">
        <w:rPr>
          <w:lang w:val="en-US"/>
        </w:rPr>
        <w:t xml:space="preserve">formalized in the </w:t>
      </w:r>
      <w:r w:rsidRPr="003342FC">
        <w:rPr>
          <w:bCs/>
        </w:rPr>
        <w:t>United Nations Convention for the Suppression of Traffic in Persons and the Exploitation of Prostitution of Others in July 1951.</w:t>
      </w:r>
    </w:p>
    <w:p w:rsidR="001F3E29" w:rsidRPr="003342FC" w:rsidRDefault="001F3E29" w:rsidP="00242C4A">
      <w:pPr>
        <w:autoSpaceDE w:val="0"/>
        <w:autoSpaceDN w:val="0"/>
        <w:adjustRightInd w:val="0"/>
        <w:jc w:val="both"/>
        <w:rPr>
          <w:bCs/>
        </w:rPr>
      </w:pPr>
    </w:p>
    <w:p w:rsidR="00D129C7" w:rsidRPr="003342FC" w:rsidRDefault="001F3E29" w:rsidP="00242C4A">
      <w:pPr>
        <w:autoSpaceDE w:val="0"/>
        <w:autoSpaceDN w:val="0"/>
        <w:adjustRightInd w:val="0"/>
        <w:jc w:val="both"/>
        <w:rPr>
          <w:lang w:val="en-US"/>
        </w:rPr>
      </w:pPr>
      <w:r w:rsidRPr="003342FC">
        <w:rPr>
          <w:bCs/>
        </w:rPr>
        <w:t>6.</w:t>
      </w:r>
      <w:r w:rsidRPr="003342FC">
        <w:rPr>
          <w:bCs/>
        </w:rPr>
        <w:tab/>
      </w:r>
      <w:r w:rsidR="00933339" w:rsidRPr="003342FC">
        <w:rPr>
          <w:bCs/>
        </w:rPr>
        <w:t xml:space="preserve">United Nations </w:t>
      </w:r>
      <w:r w:rsidR="00933339" w:rsidRPr="003342FC">
        <w:rPr>
          <w:lang w:val="en-US"/>
        </w:rPr>
        <w:t xml:space="preserve">Member States agreed then to base their policies, laws, strategies and interventions against trafficking in women and </w:t>
      </w:r>
      <w:r w:rsidR="00933339" w:rsidRPr="003342FC">
        <w:rPr>
          <w:lang w:val="en-US"/>
        </w:rPr>
        <w:lastRenderedPageBreak/>
        <w:t>girls and prostitution on the understanding that these acts are ”incompatible with the dignity and worth of the human person.” Importantly, this Convention makes it clear that those, who are victims of human trafficking for sexual purposes and prostitution may not be criminalized or suffer other sanctions, and that Member States vigorously must pursue and prosecute all procurers and traffickers, who “[e]xploits the prostitution of another person, even with the consent of that person.</w:t>
      </w:r>
      <w:r w:rsidR="00CC42E3" w:rsidRPr="003342FC">
        <w:rPr>
          <w:lang w:val="en-US"/>
        </w:rPr>
        <w:t>”</w:t>
      </w:r>
      <w:r w:rsidR="00CC42E3" w:rsidRPr="003342FC">
        <w:rPr>
          <w:rStyle w:val="FootnoteReference"/>
          <w:lang w:val="en-US"/>
        </w:rPr>
        <w:footnoteReference w:id="1"/>
      </w:r>
    </w:p>
    <w:p w:rsidR="00083CBA" w:rsidRPr="003342FC" w:rsidRDefault="00083CBA" w:rsidP="00242C4A">
      <w:pPr>
        <w:pStyle w:val="NormalWeb"/>
        <w:spacing w:before="0" w:beforeAutospacing="0" w:after="0" w:afterAutospacing="0"/>
        <w:jc w:val="both"/>
        <w:rPr>
          <w:lang w:val="en-US"/>
        </w:rPr>
      </w:pPr>
    </w:p>
    <w:p w:rsidR="00CC42E3" w:rsidRPr="003342FC" w:rsidRDefault="006937EC" w:rsidP="00242C4A">
      <w:pPr>
        <w:pStyle w:val="NormalWeb"/>
        <w:spacing w:before="0" w:beforeAutospacing="0" w:after="0" w:afterAutospacing="0"/>
        <w:jc w:val="both"/>
        <w:rPr>
          <w:color w:val="000000"/>
          <w:lang w:val="en-US"/>
        </w:rPr>
      </w:pPr>
      <w:r w:rsidRPr="003342FC">
        <w:rPr>
          <w:lang w:val="en-US"/>
        </w:rPr>
        <w:t>7.</w:t>
      </w:r>
      <w:r w:rsidR="00CC42E3" w:rsidRPr="003342FC">
        <w:rPr>
          <w:lang w:val="en-US"/>
        </w:rPr>
        <w:t xml:space="preserve"> </w:t>
      </w:r>
      <w:r w:rsidR="00CC42E3" w:rsidRPr="003342FC">
        <w:rPr>
          <w:lang w:val="en-US"/>
        </w:rPr>
        <w:tab/>
        <w:t xml:space="preserve">According to the Vienna </w:t>
      </w:r>
      <w:r w:rsidR="00CF773D" w:rsidRPr="003342FC">
        <w:rPr>
          <w:lang w:val="en-US"/>
        </w:rPr>
        <w:t xml:space="preserve">Convention on the </w:t>
      </w:r>
      <w:r w:rsidR="00CC42E3" w:rsidRPr="003342FC">
        <w:rPr>
          <w:lang w:val="en-US"/>
        </w:rPr>
        <w:t xml:space="preserve">Law of Treaties, United Nations Member States that have </w:t>
      </w:r>
      <w:r w:rsidR="00083CBA" w:rsidRPr="003342FC">
        <w:rPr>
          <w:lang w:val="en-US"/>
        </w:rPr>
        <w:t xml:space="preserve">signed, </w:t>
      </w:r>
      <w:r w:rsidR="00CC42E3" w:rsidRPr="003342FC">
        <w:rPr>
          <w:lang w:val="en-US"/>
        </w:rPr>
        <w:t xml:space="preserve">ratified or acceded to </w:t>
      </w:r>
      <w:r w:rsidR="000A4698" w:rsidRPr="003342FC">
        <w:rPr>
          <w:lang w:val="en-US"/>
        </w:rPr>
        <w:t>international treaties</w:t>
      </w:r>
      <w:r w:rsidR="00CC42E3" w:rsidRPr="003342FC">
        <w:rPr>
          <w:lang w:val="en-US"/>
        </w:rPr>
        <w:t xml:space="preserve"> are legally bound to put </w:t>
      </w:r>
      <w:r w:rsidR="00083CBA" w:rsidRPr="003342FC">
        <w:rPr>
          <w:lang w:val="en-US"/>
        </w:rPr>
        <w:t>their</w:t>
      </w:r>
      <w:r w:rsidR="00CC42E3" w:rsidRPr="003342FC">
        <w:rPr>
          <w:lang w:val="en-US"/>
        </w:rPr>
        <w:t xml:space="preserve"> provision</w:t>
      </w:r>
      <w:r w:rsidR="00083CBA" w:rsidRPr="003342FC">
        <w:rPr>
          <w:lang w:val="en-US"/>
        </w:rPr>
        <w:t>s</w:t>
      </w:r>
      <w:r w:rsidR="00CC42E3" w:rsidRPr="003342FC">
        <w:rPr>
          <w:lang w:val="en-US"/>
        </w:rPr>
        <w:t xml:space="preserve"> into practice and, importantly, </w:t>
      </w:r>
      <w:r w:rsidR="00083CBA" w:rsidRPr="003342FC">
        <w:rPr>
          <w:lang w:val="en-US"/>
        </w:rPr>
        <w:t>“</w:t>
      </w:r>
      <w:r w:rsidR="00083CBA" w:rsidRPr="003342FC">
        <w:rPr>
          <w:color w:val="000000"/>
          <w:lang w:val="en-US"/>
        </w:rPr>
        <w:t>to refrain from acts which would defeat the object and purpose of [the] treaty.”</w:t>
      </w:r>
      <w:r w:rsidR="00CF773D" w:rsidRPr="003342FC">
        <w:rPr>
          <w:rStyle w:val="FootnoteReference"/>
        </w:rPr>
        <w:footnoteReference w:id="2"/>
      </w:r>
    </w:p>
    <w:p w:rsidR="00CC42E3" w:rsidRPr="003342FC" w:rsidRDefault="006937EC" w:rsidP="00242C4A">
      <w:pPr>
        <w:autoSpaceDE w:val="0"/>
        <w:autoSpaceDN w:val="0"/>
        <w:adjustRightInd w:val="0"/>
        <w:jc w:val="both"/>
        <w:rPr>
          <w:lang w:val="en-US"/>
        </w:rPr>
      </w:pPr>
      <w:r w:rsidRPr="003342FC">
        <w:rPr>
          <w:lang w:val="en-US"/>
        </w:rPr>
        <w:tab/>
      </w:r>
    </w:p>
    <w:p w:rsidR="006937EC" w:rsidRPr="003342FC" w:rsidRDefault="000A4698" w:rsidP="00242C4A">
      <w:pPr>
        <w:autoSpaceDE w:val="0"/>
        <w:autoSpaceDN w:val="0"/>
        <w:adjustRightInd w:val="0"/>
        <w:jc w:val="both"/>
        <w:rPr>
          <w:lang w:val="en-US"/>
        </w:rPr>
      </w:pPr>
      <w:r w:rsidRPr="003342FC">
        <w:rPr>
          <w:lang w:val="en-US"/>
        </w:rPr>
        <w:t>8.</w:t>
      </w:r>
      <w:r w:rsidRPr="003342FC">
        <w:rPr>
          <w:lang w:val="en-US"/>
        </w:rPr>
        <w:tab/>
      </w:r>
      <w:r w:rsidR="006937EC" w:rsidRPr="003342FC">
        <w:rPr>
          <w:lang w:val="en-US"/>
        </w:rPr>
        <w:t xml:space="preserve">Consequently, by ratifying CEDAW, State Parties have agreed that </w:t>
      </w:r>
      <w:r w:rsidR="00640415" w:rsidRPr="003342FC">
        <w:rPr>
          <w:lang w:val="en-US"/>
        </w:rPr>
        <w:t xml:space="preserve">trafficking in women and girls for sexual purposes, and the exploitation in prostitution </w:t>
      </w:r>
      <w:r w:rsidR="006937EC" w:rsidRPr="003342FC">
        <w:rPr>
          <w:lang w:val="en-US"/>
        </w:rPr>
        <w:t xml:space="preserve">are discriminatory </w:t>
      </w:r>
      <w:r w:rsidR="00640415" w:rsidRPr="003342FC">
        <w:rPr>
          <w:lang w:val="en-US"/>
        </w:rPr>
        <w:t xml:space="preserve">practices that are </w:t>
      </w:r>
      <w:r w:rsidR="006937EC" w:rsidRPr="003342FC">
        <w:rPr>
          <w:lang w:val="en-US"/>
        </w:rPr>
        <w:t>incompatible with the equal enjoyment of rights by women, and</w:t>
      </w:r>
      <w:r w:rsidR="00640415" w:rsidRPr="003342FC">
        <w:rPr>
          <w:lang w:val="en-US"/>
        </w:rPr>
        <w:t xml:space="preserve"> that State Parties must </w:t>
      </w:r>
      <w:r w:rsidR="006937EC" w:rsidRPr="003342FC">
        <w:rPr>
          <w:lang w:val="en-US"/>
        </w:rPr>
        <w:t xml:space="preserve">put in place comprehensive measures that aim to prevent and </w:t>
      </w:r>
      <w:r w:rsidR="00640415" w:rsidRPr="003342FC">
        <w:rPr>
          <w:lang w:val="en-US"/>
        </w:rPr>
        <w:t>eliminate</w:t>
      </w:r>
      <w:r w:rsidR="006937EC" w:rsidRPr="003342FC">
        <w:rPr>
          <w:lang w:val="en-US"/>
        </w:rPr>
        <w:t xml:space="preserve"> prostitution and</w:t>
      </w:r>
      <w:r w:rsidR="00640415" w:rsidRPr="003342FC">
        <w:rPr>
          <w:lang w:val="en-US"/>
        </w:rPr>
        <w:t xml:space="preserve"> </w:t>
      </w:r>
      <w:r w:rsidR="006937EC" w:rsidRPr="003342FC">
        <w:rPr>
          <w:lang w:val="en-US"/>
        </w:rPr>
        <w:t>trafficking in women and girls.</w:t>
      </w:r>
    </w:p>
    <w:p w:rsidR="00CC42E3" w:rsidRPr="003342FC" w:rsidRDefault="00CC42E3" w:rsidP="00242C4A">
      <w:pPr>
        <w:jc w:val="both"/>
        <w:rPr>
          <w:lang w:val="en-US"/>
        </w:rPr>
      </w:pPr>
    </w:p>
    <w:p w:rsidR="00933339" w:rsidRDefault="006A6776" w:rsidP="00242C4A">
      <w:pPr>
        <w:jc w:val="both"/>
        <w:rPr>
          <w:bCs/>
        </w:rPr>
      </w:pPr>
      <w:r w:rsidRPr="00EF4723">
        <w:t>9</w:t>
      </w:r>
      <w:r w:rsidR="002F21F9" w:rsidRPr="00EF4723">
        <w:t xml:space="preserve">. </w:t>
      </w:r>
      <w:r w:rsidR="002F21F9" w:rsidRPr="00EF4723">
        <w:tab/>
        <w:t xml:space="preserve">In </w:t>
      </w:r>
      <w:r w:rsidR="00EF4723">
        <w:t xml:space="preserve">December </w:t>
      </w:r>
      <w:r w:rsidR="002F21F9" w:rsidRPr="00EF4723">
        <w:t xml:space="preserve">2000, the </w:t>
      </w:r>
      <w:r w:rsidR="00EF4723" w:rsidRPr="00EF4723">
        <w:rPr>
          <w:bCs/>
        </w:rPr>
        <w:t xml:space="preserve">United Nations </w:t>
      </w:r>
      <w:r w:rsidR="00EF4723">
        <w:rPr>
          <w:bCs/>
        </w:rPr>
        <w:t xml:space="preserve">Convention against Transnational Organized Crimes and its </w:t>
      </w:r>
      <w:r w:rsidR="00EF4723" w:rsidRPr="00EF4723">
        <w:rPr>
          <w:bCs/>
        </w:rPr>
        <w:t>Protocol to Prevent, Suppress and Punish Trafficking in Persons, Especially Women and Children ("</w:t>
      </w:r>
      <w:r w:rsidR="00EF4723">
        <w:rPr>
          <w:bCs/>
        </w:rPr>
        <w:t xml:space="preserve">the </w:t>
      </w:r>
      <w:r w:rsidR="00EF4723" w:rsidRPr="00EF4723">
        <w:rPr>
          <w:bCs/>
        </w:rPr>
        <w:t>Palermo Protocol”)</w:t>
      </w:r>
      <w:r w:rsidR="00EF4723">
        <w:rPr>
          <w:bCs/>
        </w:rPr>
        <w:t xml:space="preserve"> was opened for signature after several years of intense negations.</w:t>
      </w:r>
    </w:p>
    <w:p w:rsidR="00412125" w:rsidRDefault="00412125" w:rsidP="00242C4A">
      <w:pPr>
        <w:jc w:val="both"/>
        <w:rPr>
          <w:bCs/>
        </w:rPr>
      </w:pPr>
    </w:p>
    <w:p w:rsidR="00412125" w:rsidRDefault="00412125" w:rsidP="00242C4A">
      <w:pPr>
        <w:jc w:val="both"/>
        <w:rPr>
          <w:bCs/>
        </w:rPr>
      </w:pPr>
      <w:r>
        <w:rPr>
          <w:bCs/>
        </w:rPr>
        <w:t xml:space="preserve">10. </w:t>
      </w:r>
      <w:r w:rsidR="00181E25">
        <w:rPr>
          <w:bCs/>
        </w:rPr>
        <w:tab/>
      </w:r>
      <w:r>
        <w:rPr>
          <w:bCs/>
        </w:rPr>
        <w:t xml:space="preserve">The Palermo Protocol recognizes </w:t>
      </w:r>
      <w:r w:rsidR="00181E25">
        <w:rPr>
          <w:bCs/>
        </w:rPr>
        <w:t xml:space="preserve">the need for a combined approach that integrates effective prevention of trafficking with the prosecution of traffickers and the protection of the human rights and assistance to victims. </w:t>
      </w:r>
    </w:p>
    <w:p w:rsidR="00EF4723" w:rsidRDefault="00EF4723" w:rsidP="00242C4A">
      <w:pPr>
        <w:jc w:val="both"/>
        <w:rPr>
          <w:bCs/>
        </w:rPr>
      </w:pPr>
    </w:p>
    <w:p w:rsidR="00EF4723" w:rsidRDefault="00EF4723" w:rsidP="00242C4A">
      <w:pPr>
        <w:jc w:val="both"/>
        <w:rPr>
          <w:bCs/>
        </w:rPr>
      </w:pPr>
      <w:r>
        <w:rPr>
          <w:bCs/>
        </w:rPr>
        <w:t>1</w:t>
      </w:r>
      <w:r w:rsidR="00181E25">
        <w:rPr>
          <w:bCs/>
        </w:rPr>
        <w:t>1</w:t>
      </w:r>
      <w:r>
        <w:rPr>
          <w:bCs/>
        </w:rPr>
        <w:t xml:space="preserve">. </w:t>
      </w:r>
      <w:r>
        <w:rPr>
          <w:bCs/>
        </w:rPr>
        <w:tab/>
        <w:t xml:space="preserve">The definition of trafficking in person in article 3 of the </w:t>
      </w:r>
      <w:r w:rsidR="00412125">
        <w:rPr>
          <w:bCs/>
        </w:rPr>
        <w:t>Palermo Protocol</w:t>
      </w:r>
      <w:r>
        <w:rPr>
          <w:bCs/>
        </w:rPr>
        <w:t xml:space="preserve"> was particularly contentious</w:t>
      </w:r>
      <w:r w:rsidR="00181E25">
        <w:rPr>
          <w:bCs/>
        </w:rPr>
        <w:t xml:space="preserve"> with some United Nations Member States arguing for a narrow definition that would give protection only to those victims that were trafficked under duress and through force.</w:t>
      </w:r>
    </w:p>
    <w:p w:rsidR="00EF4723" w:rsidRDefault="00EF4723" w:rsidP="00242C4A">
      <w:pPr>
        <w:jc w:val="both"/>
        <w:rPr>
          <w:bCs/>
        </w:rPr>
      </w:pPr>
    </w:p>
    <w:p w:rsidR="00933339" w:rsidRPr="00EF4723" w:rsidRDefault="00EF4723" w:rsidP="00242C4A">
      <w:pPr>
        <w:jc w:val="both"/>
        <w:rPr>
          <w:bCs/>
          <w:iCs/>
          <w:lang w:val="en-US"/>
        </w:rPr>
      </w:pPr>
      <w:r w:rsidRPr="00EF4723">
        <w:rPr>
          <w:bCs/>
        </w:rPr>
        <w:t>1</w:t>
      </w:r>
      <w:r w:rsidR="00181E25">
        <w:rPr>
          <w:bCs/>
        </w:rPr>
        <w:t>2</w:t>
      </w:r>
      <w:r w:rsidRPr="00EF4723">
        <w:rPr>
          <w:bCs/>
        </w:rPr>
        <w:t xml:space="preserve">. Eventually, a </w:t>
      </w:r>
      <w:r w:rsidR="00181E25">
        <w:rPr>
          <w:bCs/>
        </w:rPr>
        <w:t xml:space="preserve">wide </w:t>
      </w:r>
      <w:r w:rsidRPr="00EF4723">
        <w:rPr>
          <w:bCs/>
        </w:rPr>
        <w:t xml:space="preserve">definition that incorporates the human rights principles from the 1949 Convention and article 6 of the CEDAW </w:t>
      </w:r>
      <w:r w:rsidR="00181E25">
        <w:rPr>
          <w:bCs/>
        </w:rPr>
        <w:t xml:space="preserve">which also allows for the prosecution of traffickers that abuse their position of power or a victim’s vulnerability </w:t>
      </w:r>
      <w:r w:rsidRPr="00EF4723">
        <w:rPr>
          <w:bCs/>
        </w:rPr>
        <w:t xml:space="preserve">was accepted, </w:t>
      </w:r>
      <w:r w:rsidR="00181E25">
        <w:rPr>
          <w:bCs/>
        </w:rPr>
        <w:t>with</w:t>
      </w:r>
      <w:r w:rsidRPr="00EF4723">
        <w:rPr>
          <w:bCs/>
        </w:rPr>
        <w:t xml:space="preserve"> the recognition that t</w:t>
      </w:r>
      <w:r w:rsidRPr="00EF4723">
        <w:rPr>
          <w:bCs/>
          <w:iCs/>
          <w:lang w:val="en-US"/>
        </w:rPr>
        <w:t xml:space="preserve">he consent of a victim of trafficking in persons to the </w:t>
      </w:r>
      <w:r w:rsidRPr="00EF4723">
        <w:rPr>
          <w:bCs/>
          <w:iCs/>
          <w:lang w:val="en-US"/>
        </w:rPr>
        <w:lastRenderedPageBreak/>
        <w:t>intended exploitation is irrelevant, firmly placing the burden of proof on the intention actions of the trafficker,</w:t>
      </w:r>
    </w:p>
    <w:p w:rsidR="00EF4723" w:rsidRPr="003342FC" w:rsidRDefault="00EF4723" w:rsidP="00242C4A">
      <w:pPr>
        <w:jc w:val="both"/>
      </w:pPr>
    </w:p>
    <w:p w:rsidR="007E3030" w:rsidRDefault="00D7573E" w:rsidP="00242C4A">
      <w:pPr>
        <w:jc w:val="both"/>
      </w:pPr>
      <w:r>
        <w:t>1</w:t>
      </w:r>
      <w:r w:rsidR="00242C4A">
        <w:t>3</w:t>
      </w:r>
      <w:r>
        <w:t xml:space="preserve">. </w:t>
      </w:r>
      <w:r>
        <w:tab/>
      </w:r>
      <w:r w:rsidR="0031410F" w:rsidRPr="003342FC">
        <w:t>IF&amp;HR</w:t>
      </w:r>
      <w:r w:rsidR="004D2426" w:rsidRPr="003342FC">
        <w:t xml:space="preserve"> </w:t>
      </w:r>
      <w:r w:rsidR="002979C1" w:rsidRPr="003342FC">
        <w:rPr>
          <w:u w:val="single"/>
        </w:rPr>
        <w:t>urges</w:t>
      </w:r>
      <w:r w:rsidR="0031410F" w:rsidRPr="003342FC">
        <w:t xml:space="preserve"> the </w:t>
      </w:r>
      <w:r w:rsidR="00D129C7" w:rsidRPr="003342FC">
        <w:t>CEDAW Committee</w:t>
      </w:r>
      <w:r w:rsidR="00A708B7" w:rsidRPr="003342FC">
        <w:t>,</w:t>
      </w:r>
      <w:r w:rsidR="00D129C7" w:rsidRPr="003342FC">
        <w:t xml:space="preserve"> </w:t>
      </w:r>
      <w:r w:rsidR="007E3030" w:rsidRPr="003342FC">
        <w:t xml:space="preserve">in its work to draft a </w:t>
      </w:r>
      <w:r w:rsidR="002979C1" w:rsidRPr="003342FC">
        <w:t>General Recommendation</w:t>
      </w:r>
      <w:r w:rsidR="007E3030" w:rsidRPr="003342FC">
        <w:t xml:space="preserve"> on the Trafficking on Women and Girls in the Context of </w:t>
      </w:r>
      <w:r w:rsidR="00A708B7" w:rsidRPr="003342FC">
        <w:t xml:space="preserve">Global </w:t>
      </w:r>
      <w:r w:rsidR="007E3030" w:rsidRPr="003342FC">
        <w:t>Migration recognizes the following:</w:t>
      </w:r>
    </w:p>
    <w:p w:rsidR="00D7573E" w:rsidRPr="003342FC" w:rsidRDefault="00D7573E" w:rsidP="00242C4A">
      <w:pPr>
        <w:jc w:val="both"/>
      </w:pPr>
    </w:p>
    <w:p w:rsidR="007E3030" w:rsidRDefault="007E3030" w:rsidP="00242C4A">
      <w:pPr>
        <w:jc w:val="both"/>
      </w:pPr>
      <w:r w:rsidRPr="003342FC">
        <w:t xml:space="preserve">- that the General Recommendation incorporates internationally recognized </w:t>
      </w:r>
      <w:r w:rsidR="00A708B7" w:rsidRPr="003342FC">
        <w:t xml:space="preserve">Feminist and </w:t>
      </w:r>
      <w:r w:rsidRPr="003342FC">
        <w:t>human rights principles</w:t>
      </w:r>
      <w:r w:rsidR="008C4574">
        <w:t xml:space="preserve"> with the recognition that no woman and girl can consent to be trafficked for sexual purposes or to be exploited in prostitution</w:t>
      </w:r>
      <w:r w:rsidR="00A708B7" w:rsidRPr="003342FC">
        <w:t>;</w:t>
      </w:r>
      <w:r w:rsidR="0055036F">
        <w:t xml:space="preserve"> and</w:t>
      </w:r>
    </w:p>
    <w:p w:rsidR="00EF4723" w:rsidRPr="003342FC" w:rsidRDefault="00EF4723" w:rsidP="00242C4A">
      <w:pPr>
        <w:jc w:val="both"/>
      </w:pPr>
    </w:p>
    <w:p w:rsidR="0031410F" w:rsidRPr="003342FC" w:rsidRDefault="007E3030" w:rsidP="00242C4A">
      <w:pPr>
        <w:jc w:val="both"/>
      </w:pPr>
      <w:r w:rsidRPr="003342FC">
        <w:rPr>
          <w:lang w:val="en-US"/>
        </w:rPr>
        <w:t xml:space="preserve">- that States Parties, </w:t>
      </w:r>
      <w:r w:rsidR="002979C1" w:rsidRPr="003342FC">
        <w:rPr>
          <w:lang w:val="en-US"/>
        </w:rPr>
        <w:t>i</w:t>
      </w:r>
      <w:r w:rsidR="00B858A9" w:rsidRPr="003342FC">
        <w:rPr>
          <w:lang w:val="en-US"/>
        </w:rPr>
        <w:t>n order adequately to discharge their responsibilities</w:t>
      </w:r>
      <w:r w:rsidR="004D2426" w:rsidRPr="003342FC">
        <w:rPr>
          <w:lang w:val="en-US"/>
        </w:rPr>
        <w:t xml:space="preserve"> </w:t>
      </w:r>
      <w:r w:rsidR="00B858A9" w:rsidRPr="003342FC">
        <w:rPr>
          <w:lang w:val="en-US"/>
        </w:rPr>
        <w:t>must ensure</w:t>
      </w:r>
      <w:r w:rsidR="002979C1" w:rsidRPr="003342FC">
        <w:t xml:space="preserve"> </w:t>
      </w:r>
      <w:r w:rsidR="00B858A9" w:rsidRPr="003342FC">
        <w:rPr>
          <w:lang w:val="en-US"/>
        </w:rPr>
        <w:t xml:space="preserve">that measures are taken to implement penal sanctions against the </w:t>
      </w:r>
      <w:r w:rsidR="002979C1" w:rsidRPr="003342FC">
        <w:rPr>
          <w:lang w:val="en-US"/>
        </w:rPr>
        <w:t xml:space="preserve">chain of </w:t>
      </w:r>
      <w:r w:rsidR="00B858A9" w:rsidRPr="003342FC">
        <w:rPr>
          <w:lang w:val="en-US"/>
        </w:rPr>
        <w:t>perpetrators</w:t>
      </w:r>
      <w:r w:rsidR="002979C1" w:rsidRPr="003342FC">
        <w:rPr>
          <w:lang w:val="en-US"/>
        </w:rPr>
        <w:t>, including traffickers, procurers and prostitution users,</w:t>
      </w:r>
      <w:r w:rsidR="00B858A9" w:rsidRPr="003342FC">
        <w:rPr>
          <w:lang w:val="en-US"/>
        </w:rPr>
        <w:t xml:space="preserve"> fully and</w:t>
      </w:r>
      <w:r w:rsidR="002979C1" w:rsidRPr="003342FC">
        <w:rPr>
          <w:lang w:val="en-US"/>
        </w:rPr>
        <w:t xml:space="preserve"> </w:t>
      </w:r>
      <w:r w:rsidR="00B858A9" w:rsidRPr="003342FC">
        <w:rPr>
          <w:lang w:val="en-US"/>
        </w:rPr>
        <w:t>effectively</w:t>
      </w:r>
      <w:r w:rsidR="0094525C" w:rsidRPr="003342FC">
        <w:rPr>
          <w:lang w:val="en-US"/>
        </w:rPr>
        <w:t xml:space="preserve"> regardless of the consent of the victims</w:t>
      </w:r>
      <w:r w:rsidR="00B858A9" w:rsidRPr="003342FC">
        <w:rPr>
          <w:lang w:val="en-US"/>
        </w:rPr>
        <w:t>, while ensuring that those who are victims of these violations</w:t>
      </w:r>
      <w:r w:rsidR="0094525C" w:rsidRPr="003342FC">
        <w:rPr>
          <w:lang w:val="en-US"/>
        </w:rPr>
        <w:t xml:space="preserve"> </w:t>
      </w:r>
      <w:r w:rsidR="00B858A9" w:rsidRPr="003342FC">
        <w:rPr>
          <w:lang w:val="en-US"/>
        </w:rPr>
        <w:t>are not criminalized</w:t>
      </w:r>
      <w:r w:rsidR="002979C1" w:rsidRPr="003342FC">
        <w:t xml:space="preserve"> </w:t>
      </w:r>
      <w:r w:rsidR="00B858A9" w:rsidRPr="003342FC">
        <w:rPr>
          <w:lang w:val="en-US"/>
        </w:rPr>
        <w:t>or suffer any administrative punishments</w:t>
      </w:r>
      <w:r w:rsidR="0055036F">
        <w:rPr>
          <w:lang w:val="en-US"/>
        </w:rPr>
        <w:t>.</w:t>
      </w:r>
    </w:p>
    <w:p w:rsidR="00B858A9" w:rsidRPr="003342FC" w:rsidRDefault="00B858A9" w:rsidP="00242C4A">
      <w:pPr>
        <w:jc w:val="both"/>
        <w:rPr>
          <w:b/>
        </w:rPr>
      </w:pPr>
    </w:p>
    <w:p w:rsidR="007E3030" w:rsidRPr="003342FC" w:rsidRDefault="007E3030" w:rsidP="00242C4A">
      <w:pPr>
        <w:jc w:val="both"/>
        <w:rPr>
          <w:b/>
        </w:rPr>
      </w:pPr>
    </w:p>
    <w:p w:rsidR="00D129C7" w:rsidRPr="003342FC" w:rsidRDefault="00D129C7" w:rsidP="00242C4A">
      <w:pPr>
        <w:jc w:val="both"/>
        <w:rPr>
          <w:b/>
        </w:rPr>
      </w:pPr>
      <w:r w:rsidRPr="003342FC">
        <w:rPr>
          <w:b/>
        </w:rPr>
        <w:t>Pro-violation groups</w:t>
      </w:r>
    </w:p>
    <w:p w:rsidR="00302885" w:rsidRPr="003342FC" w:rsidRDefault="00EF4723" w:rsidP="00242C4A">
      <w:pPr>
        <w:jc w:val="both"/>
      </w:pPr>
      <w:r>
        <w:lastRenderedPageBreak/>
        <w:t>1</w:t>
      </w:r>
      <w:r w:rsidR="00242C4A">
        <w:t>4</w:t>
      </w:r>
      <w:r>
        <w:t>.</w:t>
      </w:r>
      <w:r>
        <w:tab/>
      </w:r>
      <w:r w:rsidR="00D129C7" w:rsidRPr="003342FC">
        <w:t>The last 20 years, the international human rights community has seen attempts by pro-violation advocacy group</w:t>
      </w:r>
      <w:r w:rsidR="00302885" w:rsidRPr="003342FC">
        <w:t>s</w:t>
      </w:r>
      <w:r w:rsidR="00116873" w:rsidRPr="003342FC">
        <w:t xml:space="preserve"> and </w:t>
      </w:r>
      <w:r w:rsidR="002E3056" w:rsidRPr="003342FC">
        <w:t>constituencies</w:t>
      </w:r>
      <w:r w:rsidR="00D129C7" w:rsidRPr="003342FC">
        <w:t>,</w:t>
      </w:r>
      <w:r w:rsidR="00A9351F" w:rsidRPr="003342FC">
        <w:rPr>
          <w:rStyle w:val="FootnoteReference"/>
        </w:rPr>
        <w:footnoteReference w:id="3"/>
      </w:r>
      <w:r w:rsidR="00D129C7" w:rsidRPr="003342FC">
        <w:t xml:space="preserve"> including</w:t>
      </w:r>
      <w:r w:rsidR="00302885" w:rsidRPr="003342FC">
        <w:t xml:space="preserve"> by </w:t>
      </w:r>
      <w:r w:rsidR="00D129C7" w:rsidRPr="003342FC">
        <w:t>otherwise respected international human rights organizations</w:t>
      </w:r>
      <w:r w:rsidR="00A85601" w:rsidRPr="003342FC">
        <w:t>,</w:t>
      </w:r>
      <w:r w:rsidR="00D129C7" w:rsidRPr="003342FC">
        <w:t xml:space="preserve"> to narrow down and reinterpret the meaning and concrete implementation of a robust human rights legal and policy framework in regard to the prevention and elimination of trafficking for human beings of women and girls for sexual purposes and of the prostitution of others</w:t>
      </w:r>
      <w:r w:rsidR="002E3056" w:rsidRPr="003342FC">
        <w:t>, including the attempted reframing of  the obligatory article 6 of the CEDAW.</w:t>
      </w:r>
    </w:p>
    <w:p w:rsidR="00A85601" w:rsidRPr="003342FC" w:rsidRDefault="00A85601" w:rsidP="00242C4A">
      <w:pPr>
        <w:jc w:val="both"/>
      </w:pPr>
    </w:p>
    <w:p w:rsidR="00A85601" w:rsidRPr="003342FC" w:rsidRDefault="00181E25" w:rsidP="00242C4A">
      <w:pPr>
        <w:autoSpaceDE w:val="0"/>
        <w:autoSpaceDN w:val="0"/>
        <w:adjustRightInd w:val="0"/>
        <w:jc w:val="both"/>
        <w:rPr>
          <w:lang w:val="en-US"/>
        </w:rPr>
      </w:pPr>
      <w:r>
        <w:rPr>
          <w:lang w:val="en-US"/>
        </w:rPr>
        <w:t>1</w:t>
      </w:r>
      <w:r w:rsidR="00400206">
        <w:rPr>
          <w:lang w:val="en-US"/>
        </w:rPr>
        <w:t>5</w:t>
      </w:r>
      <w:r>
        <w:rPr>
          <w:lang w:val="en-US"/>
        </w:rPr>
        <w:t>.</w:t>
      </w:r>
      <w:r>
        <w:rPr>
          <w:lang w:val="en-US"/>
        </w:rPr>
        <w:tab/>
      </w:r>
      <w:r w:rsidR="00A85601" w:rsidRPr="003342FC">
        <w:rPr>
          <w:lang w:val="en-US"/>
        </w:rPr>
        <w:t xml:space="preserve">Notably, such pro-violation </w:t>
      </w:r>
      <w:r w:rsidR="004B6BD3" w:rsidRPr="003342FC">
        <w:rPr>
          <w:lang w:val="en-US"/>
        </w:rPr>
        <w:t>groups</w:t>
      </w:r>
      <w:r w:rsidR="00A85601" w:rsidRPr="003342FC">
        <w:rPr>
          <w:lang w:val="en-US"/>
        </w:rPr>
        <w:t xml:space="preserve"> may be (but are not always) </w:t>
      </w:r>
      <w:r w:rsidR="004B6BD3" w:rsidRPr="003342FC">
        <w:rPr>
          <w:lang w:val="en-US"/>
        </w:rPr>
        <w:t xml:space="preserve">be </w:t>
      </w:r>
      <w:r w:rsidR="00A85601" w:rsidRPr="003342FC">
        <w:rPr>
          <w:lang w:val="en-US"/>
        </w:rPr>
        <w:t xml:space="preserve">composed of individuals and groups that directly or indirectly aim either to increase their exploitative access to, or to derive material benefit from the exploitation of those </w:t>
      </w:r>
      <w:r w:rsidR="004B6BD3" w:rsidRPr="003342FC">
        <w:rPr>
          <w:lang w:val="en-US"/>
        </w:rPr>
        <w:t>vulnerable</w:t>
      </w:r>
      <w:r w:rsidR="00A85601" w:rsidRPr="003342FC">
        <w:rPr>
          <w:lang w:val="en-US"/>
        </w:rPr>
        <w:t xml:space="preserve"> women and girls, who, as a result of systemic socio-economic</w:t>
      </w:r>
      <w:r w:rsidR="00815B07" w:rsidRPr="003342FC">
        <w:rPr>
          <w:lang w:val="en-US"/>
        </w:rPr>
        <w:t>, legal</w:t>
      </w:r>
      <w:r w:rsidR="00400206">
        <w:rPr>
          <w:lang w:val="en-US"/>
        </w:rPr>
        <w:t xml:space="preserve">, </w:t>
      </w:r>
      <w:r w:rsidR="00A85601" w:rsidRPr="003342FC">
        <w:rPr>
          <w:lang w:val="en-US"/>
        </w:rPr>
        <w:t xml:space="preserve">political </w:t>
      </w:r>
      <w:r w:rsidR="00400206">
        <w:rPr>
          <w:lang w:val="en-US"/>
        </w:rPr>
        <w:t xml:space="preserve">or other </w:t>
      </w:r>
      <w:r w:rsidR="00A85601" w:rsidRPr="003342FC">
        <w:rPr>
          <w:lang w:val="en-US"/>
        </w:rPr>
        <w:t>inequalities</w:t>
      </w:r>
      <w:r w:rsidR="00815B07" w:rsidRPr="003342FC">
        <w:rPr>
          <w:lang w:val="en-US"/>
        </w:rPr>
        <w:t xml:space="preserve"> </w:t>
      </w:r>
      <w:r w:rsidR="004B6BD3" w:rsidRPr="003342FC">
        <w:rPr>
          <w:lang w:val="en-US"/>
        </w:rPr>
        <w:t xml:space="preserve">directed towards women and girls </w:t>
      </w:r>
      <w:r w:rsidR="00815B07" w:rsidRPr="003342FC">
        <w:rPr>
          <w:lang w:val="en-US"/>
        </w:rPr>
        <w:t xml:space="preserve">and </w:t>
      </w:r>
      <w:r w:rsidR="004B6BD3" w:rsidRPr="003342FC">
        <w:rPr>
          <w:lang w:val="en-US"/>
        </w:rPr>
        <w:t xml:space="preserve">political </w:t>
      </w:r>
      <w:r w:rsidR="00815B07" w:rsidRPr="003342FC">
        <w:rPr>
          <w:lang w:val="en-US"/>
        </w:rPr>
        <w:t>instabilities</w:t>
      </w:r>
      <w:r w:rsidR="00A85601" w:rsidRPr="003342FC">
        <w:rPr>
          <w:lang w:val="en-US"/>
        </w:rPr>
        <w:t xml:space="preserve"> </w:t>
      </w:r>
      <w:r w:rsidR="004B6BD3" w:rsidRPr="003342FC">
        <w:rPr>
          <w:lang w:val="en-US"/>
        </w:rPr>
        <w:t xml:space="preserve">flee </w:t>
      </w:r>
      <w:r w:rsidR="00815B07" w:rsidRPr="003342FC">
        <w:rPr>
          <w:lang w:val="en-US"/>
        </w:rPr>
        <w:t>their home countries</w:t>
      </w:r>
      <w:r w:rsidR="004B6BD3" w:rsidRPr="003342FC">
        <w:rPr>
          <w:lang w:val="en-US"/>
        </w:rPr>
        <w:t>, to find themselves as victims of trafficking in human beings for the purpose of prostitution.</w:t>
      </w:r>
    </w:p>
    <w:p w:rsidR="00D129C7" w:rsidRPr="003342FC" w:rsidRDefault="00D129C7" w:rsidP="00242C4A">
      <w:pPr>
        <w:jc w:val="both"/>
      </w:pPr>
    </w:p>
    <w:p w:rsidR="0011280E" w:rsidRPr="003342FC" w:rsidRDefault="00181E25" w:rsidP="00242C4A">
      <w:pPr>
        <w:autoSpaceDE w:val="0"/>
        <w:autoSpaceDN w:val="0"/>
        <w:adjustRightInd w:val="0"/>
        <w:jc w:val="both"/>
        <w:rPr>
          <w:lang w:val="en-US"/>
        </w:rPr>
      </w:pPr>
      <w:r>
        <w:lastRenderedPageBreak/>
        <w:t>1</w:t>
      </w:r>
      <w:r w:rsidR="00400206">
        <w:t>6</w:t>
      </w:r>
      <w:r>
        <w:t>.</w:t>
      </w:r>
      <w:r>
        <w:tab/>
      </w:r>
      <w:r w:rsidR="0011280E" w:rsidRPr="003342FC">
        <w:t xml:space="preserve">IF&amp;HR </w:t>
      </w:r>
      <w:r w:rsidR="0011280E" w:rsidRPr="003342FC">
        <w:rPr>
          <w:u w:val="single"/>
        </w:rPr>
        <w:t>urges</w:t>
      </w:r>
      <w:r w:rsidR="0011280E" w:rsidRPr="003342FC">
        <w:t xml:space="preserve"> </w:t>
      </w:r>
      <w:r w:rsidR="0011280E" w:rsidRPr="003342FC">
        <w:rPr>
          <w:lang w:val="en-US"/>
        </w:rPr>
        <w:t xml:space="preserve">the </w:t>
      </w:r>
      <w:r w:rsidR="00490095" w:rsidRPr="003342FC">
        <w:rPr>
          <w:lang w:val="en-US"/>
        </w:rPr>
        <w:t xml:space="preserve">CEDAW </w:t>
      </w:r>
      <w:r w:rsidR="0011280E" w:rsidRPr="003342FC">
        <w:rPr>
          <w:lang w:val="en-US"/>
        </w:rPr>
        <w:t>Committee to resist the reframing of the intent of article 6 of CE</w:t>
      </w:r>
      <w:r w:rsidR="00E2791D" w:rsidRPr="003342FC">
        <w:rPr>
          <w:lang w:val="en-US"/>
        </w:rPr>
        <w:t>D</w:t>
      </w:r>
      <w:r w:rsidR="0011280E" w:rsidRPr="003342FC">
        <w:rPr>
          <w:lang w:val="en-US"/>
        </w:rPr>
        <w:t>AW, a</w:t>
      </w:r>
      <w:r w:rsidR="00E2791D" w:rsidRPr="003342FC">
        <w:rPr>
          <w:lang w:val="en-US"/>
        </w:rPr>
        <w:t>n</w:t>
      </w:r>
      <w:r w:rsidR="0011280E" w:rsidRPr="003342FC">
        <w:rPr>
          <w:lang w:val="en-US"/>
        </w:rPr>
        <w:t xml:space="preserve">d the dramatic promotion and resulting normalization of arguments put forward by pro-violation groups about prostitution as a woman’s individual choice, and </w:t>
      </w:r>
      <w:r w:rsidR="00E2791D" w:rsidRPr="003342FC">
        <w:rPr>
          <w:lang w:val="en-US"/>
        </w:rPr>
        <w:t xml:space="preserve">as </w:t>
      </w:r>
      <w:r w:rsidR="0011280E" w:rsidRPr="003342FC">
        <w:rPr>
          <w:lang w:val="en-US"/>
        </w:rPr>
        <w:t xml:space="preserve">legitimate and empowering work. </w:t>
      </w:r>
    </w:p>
    <w:p w:rsidR="0011280E" w:rsidRPr="003342FC" w:rsidRDefault="0011280E" w:rsidP="00242C4A">
      <w:pPr>
        <w:autoSpaceDE w:val="0"/>
        <w:autoSpaceDN w:val="0"/>
        <w:adjustRightInd w:val="0"/>
        <w:jc w:val="both"/>
        <w:rPr>
          <w:lang w:val="en-US"/>
        </w:rPr>
      </w:pPr>
    </w:p>
    <w:p w:rsidR="001F3E29" w:rsidRPr="003342FC" w:rsidRDefault="00181E25" w:rsidP="00242C4A">
      <w:pPr>
        <w:autoSpaceDE w:val="0"/>
        <w:autoSpaceDN w:val="0"/>
        <w:adjustRightInd w:val="0"/>
        <w:jc w:val="both"/>
        <w:rPr>
          <w:lang w:val="en-US"/>
        </w:rPr>
      </w:pPr>
      <w:r>
        <w:rPr>
          <w:lang w:val="en-US"/>
        </w:rPr>
        <w:t>1</w:t>
      </w:r>
      <w:r w:rsidR="00400206">
        <w:rPr>
          <w:lang w:val="en-US"/>
        </w:rPr>
        <w:t>7</w:t>
      </w:r>
      <w:r>
        <w:rPr>
          <w:lang w:val="en-US"/>
        </w:rPr>
        <w:t>.</w:t>
      </w:r>
      <w:r>
        <w:rPr>
          <w:lang w:val="en-US"/>
        </w:rPr>
        <w:tab/>
      </w:r>
      <w:r w:rsidR="001F3E29" w:rsidRPr="003342FC">
        <w:rPr>
          <w:lang w:val="en-US"/>
        </w:rPr>
        <w:t xml:space="preserve">IF&amp;HR </w:t>
      </w:r>
      <w:r w:rsidR="00490095" w:rsidRPr="003342FC">
        <w:rPr>
          <w:u w:val="single"/>
          <w:lang w:val="en-US"/>
        </w:rPr>
        <w:t>recommends</w:t>
      </w:r>
      <w:r w:rsidR="00490095" w:rsidRPr="003342FC">
        <w:rPr>
          <w:lang w:val="en-US"/>
        </w:rPr>
        <w:t xml:space="preserve"> that the CEDAW Committee </w:t>
      </w:r>
      <w:r w:rsidR="001F3E29" w:rsidRPr="003342FC">
        <w:rPr>
          <w:lang w:val="en-US"/>
        </w:rPr>
        <w:t xml:space="preserve">identify human trafficking </w:t>
      </w:r>
      <w:r w:rsidR="00490095" w:rsidRPr="003342FC">
        <w:rPr>
          <w:lang w:val="en-US"/>
        </w:rPr>
        <w:t xml:space="preserve">and prostitution </w:t>
      </w:r>
      <w:r w:rsidR="001F3E29" w:rsidRPr="003342FC">
        <w:rPr>
          <w:lang w:val="en-US"/>
        </w:rPr>
        <w:t>as intimately linked crimes, understand them as serious forms of violence, and as systemic human rights violations, often of the most marginalized</w:t>
      </w:r>
      <w:r w:rsidR="00400206">
        <w:rPr>
          <w:lang w:val="en-US"/>
        </w:rPr>
        <w:t>, racialized</w:t>
      </w:r>
      <w:r w:rsidR="001F3E29" w:rsidRPr="003342FC">
        <w:rPr>
          <w:lang w:val="en-US"/>
        </w:rPr>
        <w:t xml:space="preserve"> </w:t>
      </w:r>
      <w:r w:rsidR="00400206">
        <w:rPr>
          <w:lang w:val="en-US"/>
        </w:rPr>
        <w:t xml:space="preserve">and oppressed </w:t>
      </w:r>
      <w:r w:rsidR="001F3E29" w:rsidRPr="003342FC">
        <w:rPr>
          <w:lang w:val="en-US"/>
        </w:rPr>
        <w:t xml:space="preserve">women and girls. </w:t>
      </w:r>
    </w:p>
    <w:p w:rsidR="0011280E" w:rsidRPr="003342FC" w:rsidRDefault="0011280E" w:rsidP="00242C4A">
      <w:pPr>
        <w:jc w:val="both"/>
      </w:pPr>
    </w:p>
    <w:p w:rsidR="002E3056" w:rsidRPr="00181E25" w:rsidRDefault="00181E25" w:rsidP="00242C4A">
      <w:pPr>
        <w:jc w:val="both"/>
      </w:pPr>
      <w:r>
        <w:t>1</w:t>
      </w:r>
      <w:r w:rsidR="00400206">
        <w:t>8</w:t>
      </w:r>
      <w:r>
        <w:t>.</w:t>
      </w:r>
      <w:r>
        <w:tab/>
      </w:r>
      <w:r w:rsidR="0011280E" w:rsidRPr="003342FC">
        <w:t xml:space="preserve">In particular, </w:t>
      </w:r>
      <w:r w:rsidR="00D129C7" w:rsidRPr="003342FC">
        <w:t xml:space="preserve">IF&amp;HR strongly </w:t>
      </w:r>
      <w:r w:rsidR="00302885" w:rsidRPr="003342FC">
        <w:rPr>
          <w:u w:val="single"/>
        </w:rPr>
        <w:t>urges</w:t>
      </w:r>
      <w:r w:rsidR="00302885" w:rsidRPr="003342FC">
        <w:t xml:space="preserve"> </w:t>
      </w:r>
      <w:r w:rsidR="00D129C7" w:rsidRPr="003342FC">
        <w:t xml:space="preserve">the CEDAW Committee to </w:t>
      </w:r>
      <w:r w:rsidR="00A9351F" w:rsidRPr="003342FC">
        <w:t xml:space="preserve">ensure that the General Recommendation on </w:t>
      </w:r>
      <w:r w:rsidR="0027743A">
        <w:t>T</w:t>
      </w:r>
      <w:r>
        <w:t>rafficking of Women and Girls in the Context of Global Migration</w:t>
      </w:r>
      <w:r w:rsidR="00D129C7" w:rsidRPr="003342FC">
        <w:t xml:space="preserve"> </w:t>
      </w:r>
      <w:r w:rsidR="002E3056" w:rsidRPr="003342FC">
        <w:t>is informed by</w:t>
      </w:r>
      <w:r w:rsidR="00302885" w:rsidRPr="003342FC">
        <w:t xml:space="preserve"> </w:t>
      </w:r>
      <w:r w:rsidR="00D129C7" w:rsidRPr="003342FC">
        <w:t xml:space="preserve">a </w:t>
      </w:r>
      <w:r w:rsidR="00302885" w:rsidRPr="003342FC">
        <w:t>comprehensive Feminist</w:t>
      </w:r>
      <w:r w:rsidR="00D42D28" w:rsidRPr="003342FC">
        <w:t>,</w:t>
      </w:r>
      <w:r w:rsidR="00302885" w:rsidRPr="003342FC">
        <w:t xml:space="preserve"> human rights-based analysis of the phenomenon of trafficking in human beings of women and girls for sexual purposes</w:t>
      </w:r>
      <w:r w:rsidR="00A9351F" w:rsidRPr="003342FC">
        <w:t xml:space="preserve"> </w:t>
      </w:r>
      <w:r w:rsidR="00E2791D" w:rsidRPr="003342FC">
        <w:t xml:space="preserve">and prostitution </w:t>
      </w:r>
      <w:r w:rsidR="00A9351F" w:rsidRPr="003342FC">
        <w:t xml:space="preserve">as </w:t>
      </w:r>
      <w:r w:rsidR="002E3056" w:rsidRPr="003342FC">
        <w:t>discrimination</w:t>
      </w:r>
      <w:r w:rsidR="00A9351F" w:rsidRPr="003342FC">
        <w:t xml:space="preserve"> against women and girls</w:t>
      </w:r>
      <w:r w:rsidR="00E2791D" w:rsidRPr="003342FC">
        <w:t>, while taking into consideration the systemic impact on all women and girls and society at large.</w:t>
      </w:r>
    </w:p>
    <w:p w:rsidR="003D2053" w:rsidRPr="003342FC" w:rsidRDefault="003D2053" w:rsidP="00242C4A">
      <w:pPr>
        <w:jc w:val="both"/>
        <w:rPr>
          <w:b/>
        </w:rPr>
      </w:pPr>
    </w:p>
    <w:p w:rsidR="003D2053" w:rsidRPr="003342FC" w:rsidRDefault="003D2053" w:rsidP="00242C4A">
      <w:pPr>
        <w:jc w:val="both"/>
        <w:rPr>
          <w:b/>
        </w:rPr>
      </w:pPr>
    </w:p>
    <w:p w:rsidR="00933339" w:rsidRPr="003342FC" w:rsidRDefault="00D129C7" w:rsidP="00242C4A">
      <w:pPr>
        <w:jc w:val="both"/>
        <w:rPr>
          <w:b/>
        </w:rPr>
      </w:pPr>
      <w:r w:rsidRPr="003342FC">
        <w:rPr>
          <w:b/>
        </w:rPr>
        <w:t>Demand</w:t>
      </w:r>
      <w:r w:rsidR="00911FC3" w:rsidRPr="003342FC">
        <w:rPr>
          <w:b/>
        </w:rPr>
        <w:t xml:space="preserve"> </w:t>
      </w:r>
      <w:r w:rsidR="006B6206" w:rsidRPr="003342FC">
        <w:rPr>
          <w:b/>
        </w:rPr>
        <w:t>for women and girls</w:t>
      </w:r>
    </w:p>
    <w:p w:rsidR="003D2053" w:rsidRPr="003342FC" w:rsidRDefault="00400206" w:rsidP="00242C4A">
      <w:pPr>
        <w:jc w:val="both"/>
        <w:rPr>
          <w:lang w:val="en-US"/>
        </w:rPr>
      </w:pPr>
      <w:r>
        <w:rPr>
          <w:bCs/>
          <w:lang w:val="en-US"/>
        </w:rPr>
        <w:lastRenderedPageBreak/>
        <w:t>19.</w:t>
      </w:r>
      <w:r>
        <w:rPr>
          <w:bCs/>
          <w:lang w:val="en-US"/>
        </w:rPr>
        <w:tab/>
      </w:r>
      <w:r w:rsidR="003D2053" w:rsidRPr="003342FC">
        <w:rPr>
          <w:bCs/>
          <w:lang w:val="en-US"/>
        </w:rPr>
        <w:t xml:space="preserve">The </w:t>
      </w:r>
      <w:r w:rsidR="00E90BEC" w:rsidRPr="003342FC">
        <w:rPr>
          <w:bCs/>
          <w:lang w:val="en-US"/>
        </w:rPr>
        <w:t xml:space="preserve">2000 </w:t>
      </w:r>
      <w:r w:rsidR="003D2053" w:rsidRPr="003342FC">
        <w:rPr>
          <w:bCs/>
          <w:lang w:val="en-US"/>
        </w:rPr>
        <w:t xml:space="preserve">Palermo Protocol requires all State Parties to </w:t>
      </w:r>
      <w:r w:rsidR="003D2053" w:rsidRPr="003342FC">
        <w:rPr>
          <w:lang w:val="en-US"/>
        </w:rPr>
        <w:t>“</w:t>
      </w:r>
      <w:r w:rsidR="003D2053" w:rsidRPr="003D2053">
        <w:rPr>
          <w:lang w:val="en-US"/>
        </w:rPr>
        <w:t>adopt or strengthen legislative or other measures, such as educational, social or cultural measures, including through bilateral and multilateral cooperation, to discourage the demand that fosters all forms of exploitation of persons, especially women and children, that leads to trafficking.</w:t>
      </w:r>
      <w:r w:rsidR="003D2053" w:rsidRPr="003342FC">
        <w:rPr>
          <w:lang w:val="en-US"/>
        </w:rPr>
        <w:t>”</w:t>
      </w:r>
    </w:p>
    <w:p w:rsidR="003D2053" w:rsidRPr="003342FC" w:rsidRDefault="003D2053" w:rsidP="00242C4A">
      <w:pPr>
        <w:jc w:val="both"/>
        <w:rPr>
          <w:lang w:val="en-US"/>
        </w:rPr>
      </w:pPr>
    </w:p>
    <w:p w:rsidR="003D2053" w:rsidRPr="003D2053" w:rsidRDefault="00400206" w:rsidP="00242C4A">
      <w:pPr>
        <w:jc w:val="both"/>
        <w:rPr>
          <w:lang w:val="en-US"/>
        </w:rPr>
      </w:pPr>
      <w:r>
        <w:rPr>
          <w:lang w:val="en-US"/>
        </w:rPr>
        <w:t>20.</w:t>
      </w:r>
      <w:r>
        <w:rPr>
          <w:lang w:val="en-US"/>
        </w:rPr>
        <w:tab/>
      </w:r>
      <w:r w:rsidR="003D2053" w:rsidRPr="003342FC">
        <w:rPr>
          <w:lang w:val="en-US"/>
        </w:rPr>
        <w:t>Despite this obligation, few United Member States</w:t>
      </w:r>
      <w:r w:rsidR="00E90BEC" w:rsidRPr="003342FC">
        <w:rPr>
          <w:lang w:val="en-US"/>
        </w:rPr>
        <w:t xml:space="preserve"> that are parties to the </w:t>
      </w:r>
      <w:r>
        <w:rPr>
          <w:lang w:val="en-US"/>
        </w:rPr>
        <w:t xml:space="preserve">Palermo </w:t>
      </w:r>
      <w:r w:rsidR="00E90BEC" w:rsidRPr="003342FC">
        <w:rPr>
          <w:lang w:val="en-US"/>
        </w:rPr>
        <w:t>Protocol</w:t>
      </w:r>
      <w:r w:rsidR="003D2053" w:rsidRPr="003342FC">
        <w:rPr>
          <w:lang w:val="en-US"/>
        </w:rPr>
        <w:t xml:space="preserve"> have show</w:t>
      </w:r>
      <w:r w:rsidR="00E90BEC" w:rsidRPr="003342FC">
        <w:rPr>
          <w:lang w:val="en-US"/>
        </w:rPr>
        <w:t>n</w:t>
      </w:r>
      <w:r w:rsidR="003D2053" w:rsidRPr="003342FC">
        <w:rPr>
          <w:lang w:val="en-US"/>
        </w:rPr>
        <w:t xml:space="preserve"> </w:t>
      </w:r>
      <w:r w:rsidR="00E90BEC" w:rsidRPr="003342FC">
        <w:rPr>
          <w:lang w:val="en-US"/>
        </w:rPr>
        <w:t xml:space="preserve">the required </w:t>
      </w:r>
      <w:r w:rsidR="003D2053" w:rsidRPr="003342FC">
        <w:rPr>
          <w:lang w:val="en-US"/>
        </w:rPr>
        <w:t>due diligence</w:t>
      </w:r>
      <w:r w:rsidR="00E90BEC" w:rsidRPr="003342FC">
        <w:rPr>
          <w:lang w:val="en-US"/>
        </w:rPr>
        <w:t xml:space="preserve"> to put into place multiple measures, including legislation, that target the root cause of trafficking in women and girls for the purpose of exploitation in prostitution – the demand.</w:t>
      </w:r>
    </w:p>
    <w:p w:rsidR="00E90BEC" w:rsidRPr="003342FC" w:rsidRDefault="00E90BEC" w:rsidP="00242C4A">
      <w:pPr>
        <w:jc w:val="both"/>
        <w:rPr>
          <w:lang w:val="en-US"/>
        </w:rPr>
      </w:pPr>
    </w:p>
    <w:p w:rsidR="00911FC3" w:rsidRPr="003342FC" w:rsidRDefault="00400206" w:rsidP="00242C4A">
      <w:pPr>
        <w:jc w:val="both"/>
      </w:pPr>
      <w:r>
        <w:t>21.</w:t>
      </w:r>
      <w:r>
        <w:tab/>
      </w:r>
      <w:r w:rsidR="00911FC3" w:rsidRPr="003342FC">
        <w:t xml:space="preserve">On </w:t>
      </w:r>
      <w:r w:rsidR="00E90BEC" w:rsidRPr="003342FC">
        <w:t xml:space="preserve">1 </w:t>
      </w:r>
      <w:r w:rsidR="00911FC3" w:rsidRPr="003342FC">
        <w:t>January</w:t>
      </w:r>
      <w:r w:rsidR="00E90BEC" w:rsidRPr="003342FC">
        <w:t xml:space="preserve"> 1999, the legislation that prohibits the purchase of a sexual service came into force in Sweden.</w:t>
      </w:r>
    </w:p>
    <w:p w:rsidR="00E90BEC" w:rsidRPr="003342FC" w:rsidRDefault="00E90BEC" w:rsidP="00242C4A">
      <w:pPr>
        <w:jc w:val="both"/>
      </w:pPr>
    </w:p>
    <w:p w:rsidR="00E90BEC" w:rsidRPr="003342FC" w:rsidRDefault="00400206" w:rsidP="00242C4A">
      <w:pPr>
        <w:jc w:val="both"/>
      </w:pPr>
      <w:r>
        <w:t>22.</w:t>
      </w:r>
      <w:r>
        <w:tab/>
      </w:r>
      <w:r w:rsidR="00E90BEC" w:rsidRPr="003342FC">
        <w:t>The initiation, development and wide acceptance of the legislation was a collaborative effort between the Swedish women’s movement and the political parties in Sweden.</w:t>
      </w:r>
    </w:p>
    <w:p w:rsidR="00E90BEC" w:rsidRPr="003342FC" w:rsidRDefault="00E90BEC" w:rsidP="00242C4A">
      <w:pPr>
        <w:jc w:val="both"/>
      </w:pPr>
    </w:p>
    <w:p w:rsidR="00E90BEC" w:rsidRDefault="00400206" w:rsidP="00242C4A">
      <w:pPr>
        <w:jc w:val="both"/>
      </w:pPr>
      <w:r>
        <w:t>23.</w:t>
      </w:r>
      <w:r>
        <w:tab/>
      </w:r>
      <w:r w:rsidR="00E90BEC" w:rsidRPr="003342FC">
        <w:t xml:space="preserve">The legislation is informed by the obligations of Sweden under article 6 of the CEDAW, reflects the definition of violence against </w:t>
      </w:r>
      <w:r w:rsidR="00E90BEC" w:rsidRPr="003342FC">
        <w:lastRenderedPageBreak/>
        <w:t>women in the United Nations Declaration of the Elimination of Violence Against Women (1993), as well as articles 34 and 35 of the United Nations Convention on the Rights of the Child.</w:t>
      </w:r>
    </w:p>
    <w:p w:rsidR="004F4E3E" w:rsidRDefault="004F4E3E" w:rsidP="00242C4A">
      <w:pPr>
        <w:jc w:val="both"/>
      </w:pPr>
    </w:p>
    <w:p w:rsidR="004F4E3E" w:rsidRPr="00D36184" w:rsidRDefault="004F4E3E" w:rsidP="004F4E3E">
      <w:pPr>
        <w:pStyle w:val="BodyC"/>
        <w:spacing w:after="0" w:line="240" w:lineRule="auto"/>
        <w:rPr>
          <w:rStyle w:val="None"/>
          <w:rFonts w:ascii="Times New Roman" w:eastAsia="Times New Roman" w:hAnsi="Times New Roman" w:cs="Times New Roman"/>
          <w:sz w:val="24"/>
          <w:szCs w:val="24"/>
          <w:lang w:val="en-CA"/>
        </w:rPr>
      </w:pPr>
      <w:r>
        <w:rPr>
          <w:rStyle w:val="None"/>
          <w:rFonts w:ascii="Times New Roman" w:hAnsi="Times New Roman"/>
          <w:sz w:val="24"/>
          <w:szCs w:val="24"/>
          <w:lang w:val="en-CA"/>
        </w:rPr>
        <w:t xml:space="preserve">24. </w:t>
      </w:r>
      <w:r>
        <w:rPr>
          <w:rStyle w:val="None"/>
          <w:rFonts w:ascii="Times New Roman" w:hAnsi="Times New Roman"/>
          <w:sz w:val="24"/>
          <w:szCs w:val="24"/>
          <w:lang w:val="en-CA"/>
        </w:rPr>
        <w:tab/>
        <w:t xml:space="preserve">It is recognized that trafficking in human beings and prostitution </w:t>
      </w:r>
      <w:r w:rsidRPr="00D36184">
        <w:rPr>
          <w:rStyle w:val="None"/>
          <w:rFonts w:ascii="Times New Roman" w:hAnsi="Times New Roman"/>
          <w:sz w:val="24"/>
          <w:szCs w:val="24"/>
          <w:lang w:val="en-CA"/>
        </w:rPr>
        <w:t>are serious barriers to the participation of women and girls in society, to women’s and girls’ citizenship, and to the full advancement of women and girls in a democratic and non-discriminatory society.</w:t>
      </w:r>
    </w:p>
    <w:p w:rsidR="00400206" w:rsidRDefault="00400206" w:rsidP="00242C4A">
      <w:pPr>
        <w:jc w:val="both"/>
      </w:pPr>
    </w:p>
    <w:p w:rsidR="00400206" w:rsidRDefault="00400206" w:rsidP="00400206">
      <w:pPr>
        <w:pStyle w:val="BodyC"/>
        <w:spacing w:after="0" w:line="240" w:lineRule="auto"/>
        <w:rPr>
          <w:rStyle w:val="None"/>
          <w:rFonts w:ascii="Times New Roman" w:hAnsi="Times New Roman" w:cs="Times New Roman"/>
          <w:sz w:val="24"/>
          <w:szCs w:val="24"/>
          <w:lang w:val="en-CA"/>
        </w:rPr>
      </w:pPr>
      <w:r w:rsidRPr="00400206">
        <w:rPr>
          <w:rFonts w:ascii="Times New Roman" w:hAnsi="Times New Roman" w:cs="Times New Roman"/>
          <w:sz w:val="24"/>
          <w:szCs w:val="24"/>
          <w:lang w:val="en-CA"/>
        </w:rPr>
        <w:t>2</w:t>
      </w:r>
      <w:r w:rsidR="004F4E3E">
        <w:rPr>
          <w:rFonts w:ascii="Times New Roman" w:hAnsi="Times New Roman" w:cs="Times New Roman"/>
          <w:sz w:val="24"/>
          <w:szCs w:val="24"/>
          <w:lang w:val="en-CA"/>
        </w:rPr>
        <w:t>5</w:t>
      </w:r>
      <w:r w:rsidRPr="00400206">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sidRPr="00400206">
        <w:rPr>
          <w:rFonts w:ascii="Times New Roman" w:hAnsi="Times New Roman" w:cs="Times New Roman"/>
          <w:sz w:val="24"/>
          <w:szCs w:val="24"/>
          <w:lang w:val="en-CA"/>
        </w:rPr>
        <w:t xml:space="preserve">The Swedish approach to the prevention and elimination of prostitution and trafficking in human beings is based of a number of human rights principles, including the understanding that </w:t>
      </w:r>
      <w:r w:rsidRPr="00400206">
        <w:rPr>
          <w:rStyle w:val="None"/>
          <w:rFonts w:ascii="Times New Roman" w:hAnsi="Times New Roman" w:cs="Times New Roman"/>
          <w:sz w:val="24"/>
          <w:szCs w:val="24"/>
          <w:lang w:val="en-CA"/>
        </w:rPr>
        <w:t>trafficking in human beings and prostitution are serious barriers to gender equality, which are harmful to the prostituted woman or child, but also to society at large.</w:t>
      </w:r>
    </w:p>
    <w:p w:rsidR="00E90BEC" w:rsidRPr="003342FC" w:rsidRDefault="00E90BEC" w:rsidP="00242C4A">
      <w:pPr>
        <w:jc w:val="both"/>
      </w:pPr>
    </w:p>
    <w:p w:rsidR="00400206" w:rsidRDefault="00400206" w:rsidP="00400206">
      <w:pPr>
        <w:pStyle w:val="BodyC"/>
        <w:spacing w:after="0" w:line="240" w:lineRule="auto"/>
        <w:ind w:right="804"/>
        <w:jc w:val="both"/>
        <w:rPr>
          <w:rStyle w:val="None"/>
          <w:rFonts w:ascii="Times New Roman" w:eastAsia="Times New Roman" w:hAnsi="Times New Roman" w:cs="Times New Roman"/>
          <w:sz w:val="24"/>
          <w:szCs w:val="24"/>
          <w:lang w:val="en-CA"/>
        </w:rPr>
      </w:pPr>
      <w:r w:rsidRPr="00400206">
        <w:rPr>
          <w:rFonts w:ascii="Times New Roman" w:hAnsi="Times New Roman" w:cs="Times New Roman"/>
          <w:sz w:val="24"/>
          <w:szCs w:val="24"/>
        </w:rPr>
        <w:t>2</w:t>
      </w:r>
      <w:r w:rsidR="004F4E3E">
        <w:rPr>
          <w:rFonts w:ascii="Times New Roman" w:hAnsi="Times New Roman" w:cs="Times New Roman"/>
          <w:sz w:val="24"/>
          <w:szCs w:val="24"/>
        </w:rPr>
        <w:t>6</w:t>
      </w:r>
      <w:r w:rsidRPr="00400206">
        <w:rPr>
          <w:rFonts w:ascii="Times New Roman" w:hAnsi="Times New Roman" w:cs="Times New Roman"/>
          <w:sz w:val="24"/>
          <w:szCs w:val="24"/>
        </w:rPr>
        <w:t>.</w:t>
      </w:r>
      <w:r w:rsidRPr="00400206">
        <w:rPr>
          <w:rFonts w:ascii="Times New Roman" w:hAnsi="Times New Roman" w:cs="Times New Roman"/>
          <w:sz w:val="24"/>
          <w:szCs w:val="24"/>
        </w:rPr>
        <w:tab/>
      </w:r>
      <w:r w:rsidR="00E90BEC" w:rsidRPr="00400206">
        <w:rPr>
          <w:rFonts w:ascii="Times New Roman" w:hAnsi="Times New Roman" w:cs="Times New Roman"/>
          <w:sz w:val="24"/>
          <w:szCs w:val="24"/>
        </w:rPr>
        <w:t>The offence, which</w:t>
      </w:r>
      <w:r w:rsidRPr="00400206">
        <w:rPr>
          <w:rFonts w:ascii="Times New Roman" w:hAnsi="Times New Roman" w:cs="Times New Roman"/>
          <w:sz w:val="24"/>
          <w:szCs w:val="24"/>
        </w:rPr>
        <w:t xml:space="preserve"> states that “ [a] </w:t>
      </w:r>
      <w:r w:rsidRPr="00400206">
        <w:rPr>
          <w:rStyle w:val="None"/>
          <w:rFonts w:ascii="Times New Roman" w:hAnsi="Times New Roman" w:cs="Times New Roman"/>
          <w:sz w:val="24"/>
          <w:szCs w:val="24"/>
          <w:lang w:val="en-CA"/>
        </w:rPr>
        <w:t>person who obtains a casual sexual relation in exchange for payment shall be sentenced for the purchase of a sexual service to a fine or imprisonment for at the most one year.” This also applies “if the payment has been promised or made by someone else.</w:t>
      </w:r>
      <w:r w:rsidRPr="00400206">
        <w:rPr>
          <w:rStyle w:val="None"/>
          <w:rFonts w:ascii="Times New Roman" w:eastAsia="Times New Roman" w:hAnsi="Times New Roman" w:cs="Times New Roman"/>
          <w:sz w:val="24"/>
          <w:szCs w:val="24"/>
          <w:lang w:val="en-CA"/>
        </w:rPr>
        <w:t>”</w:t>
      </w:r>
      <w:r w:rsidRPr="00400206">
        <w:rPr>
          <w:rStyle w:val="FootnoteReference"/>
          <w:rFonts w:ascii="Times New Roman" w:eastAsia="Times New Roman" w:hAnsi="Times New Roman" w:cs="Times New Roman"/>
          <w:sz w:val="24"/>
          <w:szCs w:val="24"/>
          <w:lang w:val="en-CA"/>
        </w:rPr>
        <w:footnoteReference w:id="4"/>
      </w:r>
    </w:p>
    <w:p w:rsidR="00400206" w:rsidRDefault="00400206" w:rsidP="00400206">
      <w:pPr>
        <w:pStyle w:val="BodyC"/>
        <w:spacing w:after="0" w:line="240" w:lineRule="auto"/>
        <w:ind w:right="804"/>
        <w:jc w:val="both"/>
        <w:rPr>
          <w:rStyle w:val="None"/>
          <w:rFonts w:ascii="Times New Roman" w:eastAsia="Times New Roman" w:hAnsi="Times New Roman" w:cs="Times New Roman"/>
          <w:sz w:val="24"/>
          <w:szCs w:val="24"/>
          <w:lang w:val="en-CA"/>
        </w:rPr>
      </w:pPr>
    </w:p>
    <w:p w:rsidR="00400206" w:rsidRPr="00D36184" w:rsidRDefault="00400206" w:rsidP="00400206">
      <w:pPr>
        <w:pStyle w:val="BodyC"/>
        <w:spacing w:after="0" w:line="240" w:lineRule="auto"/>
        <w:rPr>
          <w:rStyle w:val="None"/>
          <w:rFonts w:ascii="Times New Roman" w:eastAsia="Times New Roman" w:hAnsi="Times New Roman" w:cs="Times New Roman"/>
          <w:sz w:val="24"/>
          <w:szCs w:val="24"/>
          <w:lang w:val="en-CA"/>
        </w:rPr>
      </w:pPr>
      <w:r>
        <w:rPr>
          <w:rStyle w:val="None"/>
          <w:rFonts w:ascii="Times New Roman" w:eastAsia="Times New Roman" w:hAnsi="Times New Roman" w:cs="Times New Roman"/>
          <w:sz w:val="24"/>
          <w:szCs w:val="24"/>
          <w:lang w:val="en-CA"/>
        </w:rPr>
        <w:t>2</w:t>
      </w:r>
      <w:r w:rsidR="004F4E3E">
        <w:rPr>
          <w:rStyle w:val="None"/>
          <w:rFonts w:ascii="Times New Roman" w:eastAsia="Times New Roman" w:hAnsi="Times New Roman" w:cs="Times New Roman"/>
          <w:sz w:val="24"/>
          <w:szCs w:val="24"/>
          <w:lang w:val="en-CA"/>
        </w:rPr>
        <w:t>7</w:t>
      </w:r>
      <w:r>
        <w:rPr>
          <w:rStyle w:val="None"/>
          <w:rFonts w:ascii="Times New Roman" w:eastAsia="Times New Roman" w:hAnsi="Times New Roman" w:cs="Times New Roman"/>
          <w:sz w:val="24"/>
          <w:szCs w:val="24"/>
          <w:lang w:val="en-CA"/>
        </w:rPr>
        <w:t>.</w:t>
      </w:r>
      <w:r>
        <w:rPr>
          <w:rStyle w:val="None"/>
          <w:rFonts w:ascii="Times New Roman" w:eastAsia="Times New Roman" w:hAnsi="Times New Roman" w:cs="Times New Roman"/>
          <w:sz w:val="24"/>
          <w:szCs w:val="24"/>
          <w:lang w:val="en-CA"/>
        </w:rPr>
        <w:tab/>
      </w:r>
      <w:r w:rsidRPr="00D36184">
        <w:rPr>
          <w:rStyle w:val="None"/>
          <w:rFonts w:ascii="Times New Roman" w:hAnsi="Times New Roman"/>
          <w:sz w:val="24"/>
          <w:szCs w:val="24"/>
          <w:lang w:val="en-CA"/>
        </w:rPr>
        <w:t xml:space="preserve">The offence applies to all forms of sexual services, whether they are purchased on the street, in apartment brothels, in a hotel or a massage parlour, in someone’s home, or in other similar circumstances. </w:t>
      </w:r>
      <w:r>
        <w:rPr>
          <w:rStyle w:val="None"/>
          <w:rFonts w:ascii="Times New Roman" w:hAnsi="Times New Roman"/>
          <w:sz w:val="24"/>
          <w:szCs w:val="24"/>
          <w:lang w:val="en-CA"/>
        </w:rPr>
        <w:t>Importantly, and in order to allow law enforcement to intervene before a woman is exploited, a</w:t>
      </w:r>
      <w:r w:rsidRPr="00D36184">
        <w:rPr>
          <w:rStyle w:val="None"/>
          <w:rFonts w:ascii="Times New Roman" w:hAnsi="Times New Roman"/>
          <w:sz w:val="24"/>
          <w:szCs w:val="24"/>
          <w:lang w:val="en-CA"/>
        </w:rPr>
        <w:t>ttempts to purchase a sexual service are punishable under the criminal law provision.</w:t>
      </w:r>
    </w:p>
    <w:p w:rsidR="00400206" w:rsidRDefault="00400206" w:rsidP="00400206">
      <w:pPr>
        <w:pStyle w:val="BodyC"/>
        <w:spacing w:after="0" w:line="240" w:lineRule="auto"/>
        <w:rPr>
          <w:rFonts w:ascii="Times New Roman" w:eastAsia="Times New Roman" w:hAnsi="Times New Roman" w:cs="Times New Roman"/>
          <w:sz w:val="24"/>
          <w:szCs w:val="24"/>
          <w:lang w:val="en-CA"/>
        </w:rPr>
      </w:pPr>
    </w:p>
    <w:p w:rsidR="00817FE4" w:rsidRDefault="00C857C5" w:rsidP="00400206">
      <w:pPr>
        <w:pStyle w:val="BodyC"/>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2</w:t>
      </w:r>
      <w:r w:rsidR="004F4E3E">
        <w:rPr>
          <w:rFonts w:ascii="Times New Roman" w:eastAsia="Times New Roman" w:hAnsi="Times New Roman" w:cs="Times New Roman"/>
          <w:sz w:val="24"/>
          <w:szCs w:val="24"/>
          <w:lang w:val="en-CA"/>
        </w:rPr>
        <w:t>8</w:t>
      </w:r>
      <w:r>
        <w:rPr>
          <w:rFonts w:ascii="Times New Roman" w:eastAsia="Times New Roman" w:hAnsi="Times New Roman" w:cs="Times New Roman"/>
          <w:sz w:val="24"/>
          <w:szCs w:val="24"/>
          <w:lang w:val="en-CA"/>
        </w:rPr>
        <w:t xml:space="preserve">. </w:t>
      </w:r>
      <w:r w:rsidR="00817FE4">
        <w:rPr>
          <w:rFonts w:ascii="Times New Roman" w:eastAsia="Times New Roman" w:hAnsi="Times New Roman" w:cs="Times New Roman"/>
          <w:sz w:val="24"/>
          <w:szCs w:val="24"/>
          <w:lang w:val="en-CA"/>
        </w:rPr>
        <w:tab/>
      </w:r>
      <w:r>
        <w:rPr>
          <w:rFonts w:ascii="Times New Roman" w:eastAsia="Times New Roman" w:hAnsi="Times New Roman" w:cs="Times New Roman"/>
          <w:sz w:val="24"/>
          <w:szCs w:val="24"/>
          <w:lang w:val="en-CA"/>
        </w:rPr>
        <w:t>Since the coming into force of the offence in January 1999, 8</w:t>
      </w:r>
      <w:r w:rsidR="00817FE4">
        <w:rPr>
          <w:rFonts w:ascii="Times New Roman" w:eastAsia="Times New Roman" w:hAnsi="Times New Roman" w:cs="Times New Roman"/>
          <w:sz w:val="24"/>
          <w:szCs w:val="24"/>
          <w:lang w:val="en-CA"/>
        </w:rPr>
        <w:t>642 offences under the prohibition of the purchase of a sexual service have been reported.</w:t>
      </w:r>
    </w:p>
    <w:p w:rsidR="00817FE4" w:rsidRDefault="00817FE4" w:rsidP="00400206">
      <w:pPr>
        <w:pStyle w:val="BodyC"/>
        <w:spacing w:after="0" w:line="240" w:lineRule="auto"/>
        <w:rPr>
          <w:rFonts w:ascii="Times New Roman" w:eastAsia="Times New Roman" w:hAnsi="Times New Roman" w:cs="Times New Roman"/>
          <w:sz w:val="24"/>
          <w:szCs w:val="24"/>
          <w:lang w:val="en-CA"/>
        </w:rPr>
      </w:pPr>
    </w:p>
    <w:p w:rsidR="00C857C5" w:rsidRDefault="00817FE4" w:rsidP="00400206">
      <w:pPr>
        <w:pStyle w:val="BodyC"/>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2</w:t>
      </w:r>
      <w:r w:rsidR="004F4E3E">
        <w:rPr>
          <w:rFonts w:ascii="Times New Roman" w:eastAsia="Times New Roman" w:hAnsi="Times New Roman" w:cs="Times New Roman"/>
          <w:sz w:val="24"/>
          <w:szCs w:val="24"/>
          <w:lang w:val="en-CA"/>
        </w:rPr>
        <w:t>9</w:t>
      </w:r>
      <w:r>
        <w:rPr>
          <w:rFonts w:ascii="Times New Roman" w:eastAsia="Times New Roman" w:hAnsi="Times New Roman" w:cs="Times New Roman"/>
          <w:sz w:val="24"/>
          <w:szCs w:val="24"/>
          <w:lang w:val="en-CA"/>
        </w:rPr>
        <w:t>.</w:t>
      </w:r>
      <w:r>
        <w:rPr>
          <w:rFonts w:ascii="Times New Roman" w:eastAsia="Times New Roman" w:hAnsi="Times New Roman" w:cs="Times New Roman"/>
          <w:sz w:val="24"/>
          <w:szCs w:val="24"/>
          <w:lang w:val="en-CA"/>
        </w:rPr>
        <w:tab/>
        <w:t>According to the data, all offenders have been men or boys, who have purchased and sexually exploited women, girls, men and boys, the majority being in a vulnerable situation due to their background, nationality, disability, ethnic group, economic situation or sexual orientation.</w:t>
      </w:r>
    </w:p>
    <w:p w:rsidR="004F4E3E" w:rsidRDefault="004F4E3E" w:rsidP="00400206">
      <w:pPr>
        <w:pStyle w:val="BodyC"/>
        <w:spacing w:after="0" w:line="240" w:lineRule="auto"/>
        <w:rPr>
          <w:rFonts w:ascii="Times New Roman" w:eastAsia="Times New Roman" w:hAnsi="Times New Roman" w:cs="Times New Roman"/>
          <w:sz w:val="24"/>
          <w:szCs w:val="24"/>
          <w:lang w:val="en-CA"/>
        </w:rPr>
      </w:pPr>
    </w:p>
    <w:p w:rsidR="004F4E3E" w:rsidRPr="00D36184" w:rsidRDefault="004F4E3E" w:rsidP="004F4E3E">
      <w:pPr>
        <w:pStyle w:val="BodyC"/>
        <w:spacing w:after="0" w:line="240" w:lineRule="auto"/>
        <w:rPr>
          <w:rStyle w:val="None"/>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30.</w:t>
      </w:r>
      <w:r>
        <w:rPr>
          <w:rFonts w:ascii="Times New Roman" w:eastAsia="Times New Roman" w:hAnsi="Times New Roman" w:cs="Times New Roman"/>
          <w:sz w:val="24"/>
          <w:szCs w:val="24"/>
          <w:lang w:val="en-CA"/>
        </w:rPr>
        <w:tab/>
      </w:r>
      <w:r w:rsidRPr="00D36184">
        <w:rPr>
          <w:rStyle w:val="None"/>
          <w:rFonts w:ascii="Times New Roman" w:hAnsi="Times New Roman"/>
          <w:sz w:val="24"/>
          <w:szCs w:val="24"/>
          <w:lang w:val="en-CA"/>
        </w:rPr>
        <w:t xml:space="preserve">Women and </w:t>
      </w:r>
      <w:r>
        <w:rPr>
          <w:rStyle w:val="None"/>
          <w:rFonts w:ascii="Times New Roman" w:hAnsi="Times New Roman"/>
          <w:sz w:val="24"/>
          <w:szCs w:val="24"/>
          <w:lang w:val="en-CA"/>
        </w:rPr>
        <w:t>girls, who are victims of trafficking in human beings and</w:t>
      </w:r>
      <w:r w:rsidRPr="00D36184">
        <w:rPr>
          <w:rStyle w:val="None"/>
          <w:rFonts w:ascii="Times New Roman" w:hAnsi="Times New Roman"/>
          <w:sz w:val="24"/>
          <w:szCs w:val="24"/>
          <w:lang w:val="en-CA"/>
        </w:rPr>
        <w:t xml:space="preserve"> in prostitution are not to be criminalized or subjected to any form of administrative punishments, and have a right to </w:t>
      </w:r>
      <w:r>
        <w:rPr>
          <w:rStyle w:val="None"/>
          <w:rFonts w:ascii="Times New Roman" w:hAnsi="Times New Roman"/>
          <w:sz w:val="24"/>
          <w:szCs w:val="24"/>
          <w:lang w:val="en-CA"/>
        </w:rPr>
        <w:t xml:space="preserve">exit programs in order to </w:t>
      </w:r>
      <w:r w:rsidRPr="00D36184">
        <w:rPr>
          <w:rStyle w:val="None"/>
          <w:rFonts w:ascii="Times New Roman" w:hAnsi="Times New Roman"/>
          <w:sz w:val="24"/>
          <w:szCs w:val="24"/>
          <w:lang w:val="en-CA"/>
        </w:rPr>
        <w:t>live lives without being subjected to violence through the harm of prostitution.</w:t>
      </w:r>
    </w:p>
    <w:p w:rsidR="00817FE4" w:rsidRDefault="00817FE4" w:rsidP="00400206">
      <w:pPr>
        <w:pStyle w:val="BodyC"/>
        <w:spacing w:after="0" w:line="240" w:lineRule="auto"/>
        <w:rPr>
          <w:rFonts w:ascii="Times New Roman" w:eastAsia="Times New Roman" w:hAnsi="Times New Roman" w:cs="Times New Roman"/>
          <w:sz w:val="24"/>
          <w:szCs w:val="24"/>
          <w:lang w:val="en-CA"/>
        </w:rPr>
      </w:pPr>
    </w:p>
    <w:p w:rsidR="00817FE4" w:rsidRPr="00D36184" w:rsidRDefault="004F4E3E" w:rsidP="00817FE4">
      <w:pPr>
        <w:pStyle w:val="BodyC"/>
        <w:spacing w:after="0" w:line="240" w:lineRule="auto"/>
        <w:rPr>
          <w:rStyle w:val="None"/>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31</w:t>
      </w:r>
      <w:r w:rsidR="00817FE4">
        <w:rPr>
          <w:rFonts w:ascii="Times New Roman" w:eastAsia="Times New Roman" w:hAnsi="Times New Roman" w:cs="Times New Roman"/>
          <w:sz w:val="24"/>
          <w:szCs w:val="24"/>
          <w:lang w:val="en-CA"/>
        </w:rPr>
        <w:t xml:space="preserve">. </w:t>
      </w:r>
      <w:r w:rsidR="00817FE4">
        <w:rPr>
          <w:rFonts w:ascii="Times New Roman" w:eastAsia="Times New Roman" w:hAnsi="Times New Roman" w:cs="Times New Roman"/>
          <w:sz w:val="24"/>
          <w:szCs w:val="24"/>
          <w:lang w:val="en-CA"/>
        </w:rPr>
        <w:tab/>
      </w:r>
      <w:r w:rsidR="00817FE4">
        <w:rPr>
          <w:rStyle w:val="None"/>
          <w:rFonts w:ascii="Times New Roman" w:hAnsi="Times New Roman"/>
          <w:sz w:val="24"/>
          <w:szCs w:val="24"/>
          <w:lang w:val="en-CA"/>
        </w:rPr>
        <w:t>A</w:t>
      </w:r>
      <w:r w:rsidR="00817FE4" w:rsidRPr="00D36184">
        <w:rPr>
          <w:rStyle w:val="None"/>
          <w:rFonts w:ascii="Times New Roman" w:hAnsi="Times New Roman"/>
          <w:sz w:val="24"/>
          <w:szCs w:val="24"/>
          <w:lang w:val="en-CA"/>
        </w:rPr>
        <w:t xml:space="preserve"> 2010 </w:t>
      </w:r>
      <w:r w:rsidR="0055036F">
        <w:rPr>
          <w:rStyle w:val="None"/>
          <w:rFonts w:ascii="Times New Roman" w:hAnsi="Times New Roman"/>
          <w:sz w:val="24"/>
          <w:szCs w:val="24"/>
          <w:lang w:val="en-CA"/>
        </w:rPr>
        <w:t xml:space="preserve">comprehensive </w:t>
      </w:r>
      <w:r w:rsidR="00817FE4" w:rsidRPr="00D36184">
        <w:rPr>
          <w:rStyle w:val="None"/>
          <w:rFonts w:ascii="Times New Roman" w:hAnsi="Times New Roman"/>
          <w:sz w:val="24"/>
          <w:szCs w:val="24"/>
          <w:lang w:val="en-CA"/>
        </w:rPr>
        <w:t xml:space="preserve">evaluation </w:t>
      </w:r>
      <w:r w:rsidR="00817FE4">
        <w:rPr>
          <w:rStyle w:val="None"/>
          <w:rFonts w:ascii="Times New Roman" w:hAnsi="Times New Roman"/>
          <w:sz w:val="24"/>
          <w:szCs w:val="24"/>
          <w:lang w:val="en-CA"/>
        </w:rPr>
        <w:t xml:space="preserve">of the effects of the offence </w:t>
      </w:r>
      <w:r w:rsidR="00817FE4" w:rsidRPr="00D36184">
        <w:rPr>
          <w:rStyle w:val="None"/>
          <w:rFonts w:ascii="Times New Roman" w:hAnsi="Times New Roman"/>
          <w:sz w:val="24"/>
          <w:szCs w:val="24"/>
          <w:lang w:val="en-CA"/>
        </w:rPr>
        <w:t>shows that the prohibition on the purchase of sexual services acts as a deterrent for prostitution users. Individuals with experience in prostitution, as well as the police and social workers conclude that these men now are more cautious, and that the demand has decreased considerably since the prohibition came into force in 1999.</w:t>
      </w:r>
    </w:p>
    <w:p w:rsidR="00400206" w:rsidRPr="00400206" w:rsidRDefault="00400206" w:rsidP="00400206">
      <w:pPr>
        <w:pStyle w:val="BodyC"/>
        <w:spacing w:after="0" w:line="240" w:lineRule="auto"/>
        <w:ind w:right="804"/>
        <w:jc w:val="both"/>
        <w:rPr>
          <w:rStyle w:val="None"/>
          <w:rFonts w:ascii="Times New Roman" w:eastAsia="Times New Roman" w:hAnsi="Times New Roman" w:cs="Times New Roman"/>
          <w:sz w:val="24"/>
          <w:szCs w:val="24"/>
          <w:lang w:val="en-CA"/>
        </w:rPr>
      </w:pPr>
    </w:p>
    <w:p w:rsidR="00E90BEC" w:rsidRPr="003342FC" w:rsidRDefault="00817FE4" w:rsidP="00242C4A">
      <w:pPr>
        <w:pStyle w:val="BodyC"/>
        <w:spacing w:after="0" w:line="240" w:lineRule="auto"/>
        <w:jc w:val="both"/>
        <w:rPr>
          <w:rStyle w:val="None"/>
          <w:rFonts w:ascii="Times New Roman" w:eastAsia="Times New Roman" w:hAnsi="Times New Roman" w:cs="Times New Roman"/>
          <w:sz w:val="24"/>
          <w:szCs w:val="24"/>
          <w:lang w:val="en-CA"/>
        </w:rPr>
      </w:pPr>
      <w:r>
        <w:rPr>
          <w:rFonts w:ascii="Times New Roman" w:eastAsia="Times New Roman" w:hAnsi="Times New Roman" w:cs="Times New Roman"/>
          <w:iCs/>
          <w:sz w:val="24"/>
          <w:szCs w:val="24"/>
          <w:lang w:val="en-CA"/>
        </w:rPr>
        <w:t>3</w:t>
      </w:r>
      <w:r w:rsidR="004F4E3E">
        <w:rPr>
          <w:rFonts w:ascii="Times New Roman" w:eastAsia="Times New Roman" w:hAnsi="Times New Roman" w:cs="Times New Roman"/>
          <w:iCs/>
          <w:sz w:val="24"/>
          <w:szCs w:val="24"/>
          <w:lang w:val="en-CA"/>
        </w:rPr>
        <w:t>2</w:t>
      </w:r>
      <w:r>
        <w:rPr>
          <w:rFonts w:ascii="Times New Roman" w:eastAsia="Times New Roman" w:hAnsi="Times New Roman" w:cs="Times New Roman"/>
          <w:iCs/>
          <w:sz w:val="24"/>
          <w:szCs w:val="24"/>
          <w:lang w:val="en-CA"/>
        </w:rPr>
        <w:t>.</w:t>
      </w:r>
      <w:r>
        <w:rPr>
          <w:rFonts w:ascii="Times New Roman" w:eastAsia="Times New Roman" w:hAnsi="Times New Roman" w:cs="Times New Roman"/>
          <w:iCs/>
          <w:sz w:val="24"/>
          <w:szCs w:val="24"/>
          <w:lang w:val="en-CA"/>
        </w:rPr>
        <w:tab/>
      </w:r>
      <w:r w:rsidR="00E90BEC" w:rsidRPr="003342FC">
        <w:rPr>
          <w:rFonts w:ascii="Times New Roman" w:hAnsi="Times New Roman" w:cs="Times New Roman"/>
          <w:sz w:val="24"/>
          <w:szCs w:val="24"/>
          <w:lang w:val="en-US"/>
        </w:rPr>
        <w:t>In addition to comprehensive legislation that targets the demand and the chain of perpetrators, the Swedish approach for the prevention and elimination of prostitution and trafficking in human beings also involves</w:t>
      </w:r>
      <w:r w:rsidR="00E90BEC" w:rsidRPr="003342FC">
        <w:rPr>
          <w:rStyle w:val="None"/>
          <w:rFonts w:ascii="Times New Roman" w:hAnsi="Times New Roman" w:cs="Times New Roman"/>
          <w:sz w:val="24"/>
          <w:szCs w:val="24"/>
          <w:lang w:val="en-CA"/>
        </w:rPr>
        <w:t xml:space="preserve"> the development and implementation of comprehensive policies and strategies across all policy areas in relation to prostitution and trafficking in human beings for sexual purposes, and makes the implementation a political priority. </w:t>
      </w:r>
    </w:p>
    <w:p w:rsidR="00911FC3" w:rsidRPr="003342FC" w:rsidRDefault="00911FC3" w:rsidP="00242C4A">
      <w:pPr>
        <w:jc w:val="both"/>
      </w:pPr>
    </w:p>
    <w:p w:rsidR="00035534" w:rsidRPr="003342FC" w:rsidRDefault="00817FE4" w:rsidP="00242C4A">
      <w:pPr>
        <w:pStyle w:val="BodyC"/>
        <w:spacing w:after="0" w:line="240" w:lineRule="auto"/>
        <w:jc w:val="both"/>
        <w:rPr>
          <w:rStyle w:val="None"/>
          <w:rFonts w:ascii="Times New Roman" w:eastAsia="Times New Roman" w:hAnsi="Times New Roman" w:cs="Times New Roman"/>
          <w:sz w:val="24"/>
          <w:szCs w:val="24"/>
          <w:lang w:val="en-CA"/>
        </w:rPr>
      </w:pPr>
      <w:r>
        <w:rPr>
          <w:rStyle w:val="None"/>
          <w:rFonts w:ascii="Times New Roman" w:hAnsi="Times New Roman" w:cs="Times New Roman"/>
          <w:sz w:val="24"/>
          <w:szCs w:val="24"/>
          <w:lang w:val="en-CA"/>
        </w:rPr>
        <w:t>3</w:t>
      </w:r>
      <w:r w:rsidR="004F4E3E">
        <w:rPr>
          <w:rStyle w:val="None"/>
          <w:rFonts w:ascii="Times New Roman" w:hAnsi="Times New Roman" w:cs="Times New Roman"/>
          <w:sz w:val="24"/>
          <w:szCs w:val="24"/>
          <w:lang w:val="en-CA"/>
        </w:rPr>
        <w:t>3</w:t>
      </w:r>
      <w:r>
        <w:rPr>
          <w:rStyle w:val="None"/>
          <w:rFonts w:ascii="Times New Roman" w:hAnsi="Times New Roman" w:cs="Times New Roman"/>
          <w:sz w:val="24"/>
          <w:szCs w:val="24"/>
          <w:lang w:val="en-CA"/>
        </w:rPr>
        <w:t>.</w:t>
      </w:r>
      <w:r>
        <w:rPr>
          <w:rStyle w:val="None"/>
          <w:rFonts w:ascii="Times New Roman" w:hAnsi="Times New Roman" w:cs="Times New Roman"/>
          <w:sz w:val="24"/>
          <w:szCs w:val="24"/>
          <w:lang w:val="en-CA"/>
        </w:rPr>
        <w:tab/>
      </w:r>
      <w:r w:rsidR="00035534" w:rsidRPr="003342FC">
        <w:rPr>
          <w:rStyle w:val="None"/>
          <w:rFonts w:ascii="Times New Roman" w:hAnsi="Times New Roman" w:cs="Times New Roman"/>
          <w:sz w:val="24"/>
          <w:szCs w:val="24"/>
          <w:lang w:val="en-CA"/>
        </w:rPr>
        <w:t>This</w:t>
      </w:r>
      <w:r w:rsidR="00F93208" w:rsidRPr="003342FC">
        <w:rPr>
          <w:rStyle w:val="None"/>
          <w:rFonts w:ascii="Times New Roman" w:hAnsi="Times New Roman" w:cs="Times New Roman"/>
          <w:sz w:val="24"/>
          <w:szCs w:val="24"/>
          <w:lang w:val="en-CA"/>
        </w:rPr>
        <w:t xml:space="preserve"> work is </w:t>
      </w:r>
      <w:r w:rsidR="00035534" w:rsidRPr="003342FC">
        <w:rPr>
          <w:rStyle w:val="None"/>
          <w:rFonts w:ascii="Times New Roman" w:hAnsi="Times New Roman" w:cs="Times New Roman"/>
          <w:sz w:val="24"/>
          <w:szCs w:val="24"/>
          <w:lang w:val="en-CA"/>
        </w:rPr>
        <w:t>incorporated into of the overall systemic, multiple efforts to ensure and mainstream, throughout all political areas, comprehensive and equal rights and opportunities of all women and girls, including to ensure their full access, without discrimination, to reproductive rights and services, education and employment, economic stability, and to political power and participation.</w:t>
      </w:r>
    </w:p>
    <w:p w:rsidR="00911FC3" w:rsidRPr="003342FC" w:rsidRDefault="00911FC3" w:rsidP="00242C4A">
      <w:pPr>
        <w:jc w:val="both"/>
      </w:pPr>
    </w:p>
    <w:p w:rsidR="00C47F75" w:rsidRDefault="00817FE4" w:rsidP="00242C4A">
      <w:pPr>
        <w:pStyle w:val="BodyC"/>
        <w:shd w:val="clear" w:color="auto" w:fill="FFFFFF"/>
        <w:spacing w:after="0" w:line="240" w:lineRule="auto"/>
        <w:jc w:val="both"/>
        <w:rPr>
          <w:rFonts w:ascii="Times New Roman" w:hAnsi="Times New Roman" w:cs="Times New Roman"/>
          <w:color w:val="222222"/>
          <w:sz w:val="24"/>
          <w:szCs w:val="24"/>
          <w:u w:color="222222"/>
          <w:lang w:val="en-CA"/>
        </w:rPr>
      </w:pPr>
      <w:r>
        <w:rPr>
          <w:rFonts w:ascii="Times New Roman" w:hAnsi="Times New Roman" w:cs="Times New Roman"/>
          <w:color w:val="222222"/>
          <w:sz w:val="24"/>
          <w:szCs w:val="24"/>
          <w:u w:color="222222"/>
          <w:lang w:val="en-CA"/>
        </w:rPr>
        <w:lastRenderedPageBreak/>
        <w:t>3</w:t>
      </w:r>
      <w:r w:rsidR="004F4E3E">
        <w:rPr>
          <w:rFonts w:ascii="Times New Roman" w:hAnsi="Times New Roman" w:cs="Times New Roman"/>
          <w:color w:val="222222"/>
          <w:sz w:val="24"/>
          <w:szCs w:val="24"/>
          <w:u w:color="222222"/>
          <w:lang w:val="en-CA"/>
        </w:rPr>
        <w:t>4</w:t>
      </w:r>
      <w:r>
        <w:rPr>
          <w:rFonts w:ascii="Times New Roman" w:hAnsi="Times New Roman" w:cs="Times New Roman"/>
          <w:color w:val="222222"/>
          <w:sz w:val="24"/>
          <w:szCs w:val="24"/>
          <w:u w:color="222222"/>
          <w:lang w:val="en-CA"/>
        </w:rPr>
        <w:t>.</w:t>
      </w:r>
      <w:r>
        <w:rPr>
          <w:rFonts w:ascii="Times New Roman" w:hAnsi="Times New Roman" w:cs="Times New Roman"/>
          <w:color w:val="222222"/>
          <w:sz w:val="24"/>
          <w:szCs w:val="24"/>
          <w:u w:color="222222"/>
          <w:lang w:val="en-CA"/>
        </w:rPr>
        <w:tab/>
      </w:r>
      <w:r w:rsidR="00C47F75" w:rsidRPr="003342FC">
        <w:rPr>
          <w:rFonts w:ascii="Times New Roman" w:hAnsi="Times New Roman" w:cs="Times New Roman"/>
          <w:color w:val="222222"/>
          <w:sz w:val="24"/>
          <w:szCs w:val="24"/>
          <w:u w:color="222222"/>
          <w:lang w:val="en-CA"/>
        </w:rPr>
        <w:t>International research shows that the overwhelming majority of prostitution users are male,</w:t>
      </w:r>
      <w:r w:rsidR="00C47F75" w:rsidRPr="003342FC">
        <w:rPr>
          <w:rFonts w:ascii="Times New Roman" w:eastAsia="Times New Roman" w:hAnsi="Times New Roman" w:cs="Times New Roman"/>
          <w:color w:val="222222"/>
          <w:sz w:val="24"/>
          <w:szCs w:val="24"/>
          <w:u w:color="222222"/>
          <w:vertAlign w:val="superscript"/>
          <w:lang w:val="en-CA"/>
        </w:rPr>
        <w:footnoteReference w:id="5"/>
      </w:r>
      <w:r w:rsidR="00C47F75" w:rsidRPr="003342FC">
        <w:rPr>
          <w:rFonts w:ascii="Times New Roman" w:hAnsi="Times New Roman" w:cs="Times New Roman"/>
          <w:color w:val="222222"/>
          <w:sz w:val="24"/>
          <w:szCs w:val="24"/>
          <w:u w:color="222222"/>
          <w:lang w:val="en-CA"/>
        </w:rPr>
        <w:t xml:space="preserve"> of all ages, </w:t>
      </w:r>
      <w:r w:rsidR="003B2E6C" w:rsidRPr="003342FC">
        <w:rPr>
          <w:rFonts w:ascii="Times New Roman" w:hAnsi="Times New Roman" w:cs="Times New Roman"/>
          <w:color w:val="222222"/>
          <w:sz w:val="24"/>
          <w:szCs w:val="24"/>
          <w:u w:color="222222"/>
          <w:lang w:val="en-CA"/>
        </w:rPr>
        <w:t xml:space="preserve">from all ethnic backgrounds, </w:t>
      </w:r>
      <w:r w:rsidR="00C47F75" w:rsidRPr="003342FC">
        <w:rPr>
          <w:rFonts w:ascii="Times New Roman" w:hAnsi="Times New Roman" w:cs="Times New Roman"/>
          <w:color w:val="222222"/>
          <w:sz w:val="24"/>
          <w:szCs w:val="24"/>
          <w:u w:color="222222"/>
          <w:lang w:val="en-CA"/>
        </w:rPr>
        <w:t>the majority being married or in a relationship, and have children, are often</w:t>
      </w:r>
      <w:r w:rsidR="003B2E6C" w:rsidRPr="003342FC">
        <w:rPr>
          <w:rFonts w:ascii="Times New Roman" w:hAnsi="Times New Roman" w:cs="Times New Roman"/>
          <w:color w:val="222222"/>
          <w:sz w:val="24"/>
          <w:szCs w:val="24"/>
          <w:u w:color="222222"/>
          <w:lang w:val="en-CA"/>
        </w:rPr>
        <w:t xml:space="preserve"> but not always</w:t>
      </w:r>
      <w:r w:rsidR="00C47F75" w:rsidRPr="003342FC">
        <w:rPr>
          <w:rFonts w:ascii="Times New Roman" w:hAnsi="Times New Roman" w:cs="Times New Roman"/>
          <w:color w:val="222222"/>
          <w:sz w:val="24"/>
          <w:szCs w:val="24"/>
          <w:u w:color="222222"/>
          <w:lang w:val="en-CA"/>
        </w:rPr>
        <w:t xml:space="preserve"> well-educated and earn a medium to high income.</w:t>
      </w:r>
      <w:r w:rsidR="00C47F75" w:rsidRPr="003342FC">
        <w:rPr>
          <w:rFonts w:ascii="Times New Roman" w:eastAsia="Times New Roman" w:hAnsi="Times New Roman" w:cs="Times New Roman"/>
          <w:color w:val="222222"/>
          <w:sz w:val="24"/>
          <w:szCs w:val="24"/>
          <w:u w:color="222222"/>
          <w:vertAlign w:val="superscript"/>
          <w:lang w:val="en-CA"/>
        </w:rPr>
        <w:footnoteReference w:id="6"/>
      </w:r>
      <w:r w:rsidR="00C47F75" w:rsidRPr="003342FC">
        <w:rPr>
          <w:rFonts w:ascii="Times New Roman" w:hAnsi="Times New Roman" w:cs="Times New Roman"/>
          <w:color w:val="222222"/>
          <w:sz w:val="24"/>
          <w:szCs w:val="24"/>
          <w:u w:color="222222"/>
          <w:lang w:val="en-CA"/>
        </w:rPr>
        <w:t xml:space="preserve"> Prostitution </w:t>
      </w:r>
      <w:r w:rsidR="003B2E6C" w:rsidRPr="003342FC">
        <w:rPr>
          <w:rFonts w:ascii="Times New Roman" w:hAnsi="Times New Roman" w:cs="Times New Roman"/>
          <w:color w:val="222222"/>
          <w:sz w:val="24"/>
          <w:szCs w:val="24"/>
          <w:u w:color="222222"/>
          <w:lang w:val="en-CA"/>
        </w:rPr>
        <w:t>using men</w:t>
      </w:r>
      <w:r w:rsidR="00C47F75" w:rsidRPr="003342FC">
        <w:rPr>
          <w:rFonts w:ascii="Times New Roman" w:hAnsi="Times New Roman" w:cs="Times New Roman"/>
          <w:color w:val="222222"/>
          <w:sz w:val="24"/>
          <w:szCs w:val="24"/>
          <w:u w:color="222222"/>
          <w:lang w:val="en-CA"/>
        </w:rPr>
        <w:t xml:space="preserve"> indicate that they like to read or discuss all aspects of prostitution-related activities in online forums tailored to individuals, who purchase sexual services.</w:t>
      </w:r>
      <w:r w:rsidR="00C47F75" w:rsidRPr="003342FC">
        <w:rPr>
          <w:rFonts w:ascii="Times New Roman" w:eastAsia="Times New Roman" w:hAnsi="Times New Roman" w:cs="Times New Roman"/>
          <w:color w:val="222222"/>
          <w:sz w:val="24"/>
          <w:szCs w:val="24"/>
          <w:u w:color="222222"/>
          <w:vertAlign w:val="superscript"/>
          <w:lang w:val="en-CA"/>
        </w:rPr>
        <w:footnoteReference w:id="7"/>
      </w:r>
      <w:r w:rsidR="00C47F75" w:rsidRPr="003342FC">
        <w:rPr>
          <w:rFonts w:ascii="Times New Roman" w:hAnsi="Times New Roman" w:cs="Times New Roman"/>
          <w:color w:val="222222"/>
          <w:sz w:val="24"/>
          <w:szCs w:val="24"/>
          <w:u w:color="222222"/>
          <w:lang w:val="en-CA"/>
        </w:rPr>
        <w:t xml:space="preserve"> When asked about what would make them refrain from purchasing a sexual service, men highlight two measures: public exposure </w:t>
      </w:r>
      <w:r w:rsidR="00706153">
        <w:rPr>
          <w:rFonts w:ascii="Times New Roman" w:hAnsi="Times New Roman" w:cs="Times New Roman"/>
          <w:color w:val="222222"/>
          <w:sz w:val="24"/>
          <w:szCs w:val="24"/>
          <w:u w:color="222222"/>
          <w:lang w:val="en-CA"/>
        </w:rPr>
        <w:t>and</w:t>
      </w:r>
      <w:r w:rsidR="00C47F75" w:rsidRPr="003342FC">
        <w:rPr>
          <w:rFonts w:ascii="Times New Roman" w:hAnsi="Times New Roman" w:cs="Times New Roman"/>
          <w:color w:val="222222"/>
          <w:sz w:val="24"/>
          <w:szCs w:val="24"/>
          <w:u w:color="222222"/>
          <w:lang w:val="en-CA"/>
        </w:rPr>
        <w:t xml:space="preserve"> a legal prohibition.</w:t>
      </w:r>
      <w:r w:rsidR="00C47F75" w:rsidRPr="003342FC">
        <w:rPr>
          <w:rFonts w:ascii="Times New Roman" w:eastAsia="Times New Roman" w:hAnsi="Times New Roman" w:cs="Times New Roman"/>
          <w:color w:val="222222"/>
          <w:sz w:val="24"/>
          <w:szCs w:val="24"/>
          <w:u w:color="222222"/>
          <w:vertAlign w:val="superscript"/>
          <w:lang w:val="en-CA"/>
        </w:rPr>
        <w:footnoteReference w:id="8"/>
      </w:r>
    </w:p>
    <w:p w:rsidR="004F4E3E" w:rsidRDefault="004F4E3E" w:rsidP="00242C4A">
      <w:pPr>
        <w:pStyle w:val="BodyC"/>
        <w:shd w:val="clear" w:color="auto" w:fill="FFFFFF"/>
        <w:spacing w:after="0" w:line="240" w:lineRule="auto"/>
        <w:jc w:val="both"/>
        <w:rPr>
          <w:rFonts w:ascii="Times New Roman" w:hAnsi="Times New Roman" w:cs="Times New Roman"/>
          <w:color w:val="222222"/>
          <w:sz w:val="24"/>
          <w:szCs w:val="24"/>
          <w:u w:color="222222"/>
          <w:lang w:val="en-CA"/>
        </w:rPr>
      </w:pPr>
    </w:p>
    <w:p w:rsidR="004F4E3E" w:rsidRDefault="004F4E3E" w:rsidP="00242C4A">
      <w:pPr>
        <w:pStyle w:val="BodyC"/>
        <w:shd w:val="clear" w:color="auto" w:fill="FFFFFF"/>
        <w:spacing w:after="0" w:line="240" w:lineRule="auto"/>
        <w:jc w:val="both"/>
        <w:rPr>
          <w:rFonts w:ascii="Times New Roman" w:hAnsi="Times New Roman" w:cs="Times New Roman"/>
          <w:color w:val="222222"/>
          <w:sz w:val="24"/>
          <w:szCs w:val="24"/>
          <w:u w:color="222222"/>
          <w:lang w:val="en-CA"/>
        </w:rPr>
      </w:pPr>
      <w:r>
        <w:rPr>
          <w:rFonts w:ascii="Times New Roman" w:hAnsi="Times New Roman" w:cs="Times New Roman"/>
          <w:color w:val="222222"/>
          <w:sz w:val="24"/>
          <w:szCs w:val="24"/>
          <w:u w:color="222222"/>
          <w:lang w:val="en-CA"/>
        </w:rPr>
        <w:t>35.</w:t>
      </w:r>
      <w:r>
        <w:rPr>
          <w:rFonts w:ascii="Times New Roman" w:hAnsi="Times New Roman" w:cs="Times New Roman"/>
          <w:color w:val="222222"/>
          <w:sz w:val="24"/>
          <w:szCs w:val="24"/>
          <w:u w:color="222222"/>
          <w:lang w:val="en-CA"/>
        </w:rPr>
        <w:tab/>
        <w:t xml:space="preserve">The Swedish National Rapporteur on Trafficking in Human Beings, an independent public function, who monitors and evaluate the situation of trafficking in human beings to, through and in Sweden, concludes that the Swedish approach, and in particular the offence that prohibits the purchase of a sexual service, functions as an effective barrier to the </w:t>
      </w:r>
      <w:r w:rsidR="0055036F">
        <w:rPr>
          <w:rFonts w:ascii="Times New Roman" w:hAnsi="Times New Roman" w:cs="Times New Roman"/>
          <w:color w:val="222222"/>
          <w:sz w:val="24"/>
          <w:szCs w:val="24"/>
          <w:u w:color="222222"/>
          <w:lang w:val="en-CA"/>
        </w:rPr>
        <w:t>establishment of traffickers and organized crime networks in Sweden.</w:t>
      </w:r>
    </w:p>
    <w:p w:rsidR="00706153" w:rsidRDefault="00706153" w:rsidP="00242C4A">
      <w:pPr>
        <w:pStyle w:val="BodyC"/>
        <w:shd w:val="clear" w:color="auto" w:fill="FFFFFF"/>
        <w:spacing w:after="0" w:line="240" w:lineRule="auto"/>
        <w:jc w:val="both"/>
        <w:rPr>
          <w:rFonts w:ascii="Times New Roman" w:hAnsi="Times New Roman" w:cs="Times New Roman"/>
          <w:color w:val="222222"/>
          <w:sz w:val="24"/>
          <w:szCs w:val="24"/>
          <w:u w:color="222222"/>
          <w:lang w:val="en-CA"/>
        </w:rPr>
      </w:pPr>
    </w:p>
    <w:p w:rsidR="00706153" w:rsidRDefault="00706153" w:rsidP="00242C4A">
      <w:pPr>
        <w:pStyle w:val="BodyC"/>
        <w:shd w:val="clear" w:color="auto" w:fill="FFFFFF"/>
        <w:spacing w:after="0" w:line="240" w:lineRule="auto"/>
        <w:jc w:val="both"/>
        <w:rPr>
          <w:rFonts w:ascii="Times New Roman" w:hAnsi="Times New Roman" w:cs="Times New Roman"/>
          <w:color w:val="222222"/>
          <w:sz w:val="24"/>
          <w:szCs w:val="24"/>
          <w:u w:color="222222"/>
          <w:lang w:val="en-CA"/>
        </w:rPr>
      </w:pPr>
      <w:r>
        <w:rPr>
          <w:rFonts w:ascii="Times New Roman" w:hAnsi="Times New Roman" w:cs="Times New Roman"/>
          <w:color w:val="222222"/>
          <w:sz w:val="24"/>
          <w:szCs w:val="24"/>
          <w:u w:color="222222"/>
          <w:lang w:val="en-CA"/>
        </w:rPr>
        <w:t>3</w:t>
      </w:r>
      <w:r w:rsidR="004F4E3E">
        <w:rPr>
          <w:rFonts w:ascii="Times New Roman" w:hAnsi="Times New Roman" w:cs="Times New Roman"/>
          <w:color w:val="222222"/>
          <w:sz w:val="24"/>
          <w:szCs w:val="24"/>
          <w:u w:color="222222"/>
          <w:lang w:val="en-CA"/>
        </w:rPr>
        <w:t>6</w:t>
      </w:r>
      <w:r>
        <w:rPr>
          <w:rFonts w:ascii="Times New Roman" w:hAnsi="Times New Roman" w:cs="Times New Roman"/>
          <w:color w:val="222222"/>
          <w:sz w:val="24"/>
          <w:szCs w:val="24"/>
          <w:u w:color="222222"/>
          <w:lang w:val="en-CA"/>
        </w:rPr>
        <w:t>.</w:t>
      </w:r>
      <w:r>
        <w:rPr>
          <w:rFonts w:ascii="Times New Roman" w:hAnsi="Times New Roman" w:cs="Times New Roman"/>
          <w:color w:val="222222"/>
          <w:sz w:val="24"/>
          <w:szCs w:val="24"/>
          <w:u w:color="222222"/>
          <w:lang w:val="en-CA"/>
        </w:rPr>
        <w:tab/>
        <w:t xml:space="preserve">IF&amp;HR </w:t>
      </w:r>
      <w:r w:rsidR="0055036F">
        <w:rPr>
          <w:rFonts w:ascii="Times New Roman" w:hAnsi="Times New Roman" w:cs="Times New Roman"/>
          <w:color w:val="222222"/>
          <w:sz w:val="24"/>
          <w:szCs w:val="24"/>
          <w:u w:color="222222"/>
          <w:lang w:val="en-CA"/>
        </w:rPr>
        <w:t xml:space="preserve">strongly </w:t>
      </w:r>
      <w:r w:rsidRPr="004F4E3E">
        <w:rPr>
          <w:rFonts w:ascii="Times New Roman" w:hAnsi="Times New Roman" w:cs="Times New Roman"/>
          <w:color w:val="222222"/>
          <w:sz w:val="24"/>
          <w:szCs w:val="24"/>
          <w:u w:val="single" w:color="222222"/>
          <w:lang w:val="en-CA"/>
        </w:rPr>
        <w:t>urges</w:t>
      </w:r>
      <w:r>
        <w:rPr>
          <w:rFonts w:ascii="Times New Roman" w:hAnsi="Times New Roman" w:cs="Times New Roman"/>
          <w:color w:val="222222"/>
          <w:sz w:val="24"/>
          <w:szCs w:val="24"/>
          <w:u w:color="222222"/>
          <w:lang w:val="en-CA"/>
        </w:rPr>
        <w:t xml:space="preserve"> the CEDAW Committee to ensure that article 9.5 of the Palermo Protocol, which requires Member States to implement measures, including legislation that discourage the demand is </w:t>
      </w:r>
      <w:r w:rsidR="004F4E3E">
        <w:rPr>
          <w:rFonts w:ascii="Times New Roman" w:hAnsi="Times New Roman" w:cs="Times New Roman"/>
          <w:color w:val="222222"/>
          <w:sz w:val="24"/>
          <w:szCs w:val="24"/>
          <w:u w:color="222222"/>
          <w:lang w:val="en-CA"/>
        </w:rPr>
        <w:t xml:space="preserve">firmly </w:t>
      </w:r>
      <w:r>
        <w:rPr>
          <w:rFonts w:ascii="Times New Roman" w:hAnsi="Times New Roman" w:cs="Times New Roman"/>
          <w:color w:val="222222"/>
          <w:sz w:val="24"/>
          <w:szCs w:val="24"/>
          <w:u w:color="222222"/>
          <w:lang w:val="en-CA"/>
        </w:rPr>
        <w:t>incorporated into the General Recommendation on the Trafficking in Women and Girls in the Context of Global Migration.</w:t>
      </w:r>
    </w:p>
    <w:p w:rsidR="00706153" w:rsidRDefault="00706153" w:rsidP="00242C4A">
      <w:pPr>
        <w:pStyle w:val="BodyC"/>
        <w:shd w:val="clear" w:color="auto" w:fill="FFFFFF"/>
        <w:spacing w:after="0" w:line="240" w:lineRule="auto"/>
        <w:jc w:val="both"/>
        <w:rPr>
          <w:rFonts w:ascii="Times New Roman" w:hAnsi="Times New Roman" w:cs="Times New Roman"/>
          <w:color w:val="222222"/>
          <w:sz w:val="24"/>
          <w:szCs w:val="24"/>
          <w:u w:color="222222"/>
          <w:lang w:val="en-CA"/>
        </w:rPr>
      </w:pPr>
    </w:p>
    <w:p w:rsidR="0055036F" w:rsidRPr="0055036F" w:rsidRDefault="00706153" w:rsidP="00242C4A">
      <w:pPr>
        <w:pStyle w:val="BodyC"/>
        <w:shd w:val="clear" w:color="auto" w:fill="FFFFFF"/>
        <w:spacing w:after="0" w:line="240" w:lineRule="auto"/>
        <w:jc w:val="both"/>
        <w:rPr>
          <w:rFonts w:ascii="Times New Roman" w:hAnsi="Times New Roman" w:cs="Times New Roman"/>
          <w:color w:val="222222"/>
          <w:sz w:val="24"/>
          <w:szCs w:val="24"/>
          <w:u w:color="222222"/>
          <w:lang w:val="en-CA"/>
        </w:rPr>
      </w:pPr>
      <w:r>
        <w:rPr>
          <w:rFonts w:ascii="Times New Roman" w:hAnsi="Times New Roman" w:cs="Times New Roman"/>
          <w:color w:val="222222"/>
          <w:sz w:val="24"/>
          <w:szCs w:val="24"/>
          <w:u w:color="222222"/>
          <w:lang w:val="en-CA"/>
        </w:rPr>
        <w:t>3</w:t>
      </w:r>
      <w:r w:rsidR="0055036F">
        <w:rPr>
          <w:rFonts w:ascii="Times New Roman" w:hAnsi="Times New Roman" w:cs="Times New Roman"/>
          <w:color w:val="222222"/>
          <w:sz w:val="24"/>
          <w:szCs w:val="24"/>
          <w:u w:color="222222"/>
          <w:lang w:val="en-CA"/>
        </w:rPr>
        <w:t>7</w:t>
      </w:r>
      <w:r>
        <w:rPr>
          <w:rFonts w:ascii="Times New Roman" w:hAnsi="Times New Roman" w:cs="Times New Roman"/>
          <w:color w:val="222222"/>
          <w:sz w:val="24"/>
          <w:szCs w:val="24"/>
          <w:u w:color="222222"/>
          <w:lang w:val="en-CA"/>
        </w:rPr>
        <w:t>.</w:t>
      </w:r>
      <w:r>
        <w:rPr>
          <w:rFonts w:ascii="Times New Roman" w:hAnsi="Times New Roman" w:cs="Times New Roman"/>
          <w:color w:val="222222"/>
          <w:sz w:val="24"/>
          <w:szCs w:val="24"/>
          <w:u w:color="222222"/>
          <w:lang w:val="en-CA"/>
        </w:rPr>
        <w:tab/>
        <w:t xml:space="preserve"> IF&amp;HR </w:t>
      </w:r>
      <w:r w:rsidR="004F4E3E" w:rsidRPr="0055036F">
        <w:rPr>
          <w:rFonts w:ascii="Times New Roman" w:hAnsi="Times New Roman" w:cs="Times New Roman"/>
          <w:color w:val="222222"/>
          <w:sz w:val="24"/>
          <w:szCs w:val="24"/>
          <w:u w:val="single" w:color="222222"/>
          <w:lang w:val="en-CA"/>
        </w:rPr>
        <w:t>underlines</w:t>
      </w:r>
      <w:r w:rsidR="004F4E3E">
        <w:rPr>
          <w:rFonts w:ascii="Times New Roman" w:hAnsi="Times New Roman" w:cs="Times New Roman"/>
          <w:color w:val="222222"/>
          <w:sz w:val="24"/>
          <w:szCs w:val="24"/>
          <w:u w:color="222222"/>
          <w:lang w:val="en-CA"/>
        </w:rPr>
        <w:t xml:space="preserve"> the importance of taking</w:t>
      </w:r>
      <w:r>
        <w:rPr>
          <w:rFonts w:ascii="Times New Roman" w:hAnsi="Times New Roman" w:cs="Times New Roman"/>
          <w:color w:val="222222"/>
          <w:sz w:val="24"/>
          <w:szCs w:val="24"/>
          <w:u w:color="222222"/>
          <w:lang w:val="en-CA"/>
        </w:rPr>
        <w:t xml:space="preserve"> into consideration and incorporate </w:t>
      </w:r>
      <w:r w:rsidR="004F4E3E">
        <w:rPr>
          <w:rFonts w:ascii="Times New Roman" w:hAnsi="Times New Roman" w:cs="Times New Roman"/>
          <w:color w:val="222222"/>
          <w:sz w:val="24"/>
          <w:szCs w:val="24"/>
          <w:u w:color="222222"/>
          <w:lang w:val="en-CA"/>
        </w:rPr>
        <w:t xml:space="preserve">fact-based information about the </w:t>
      </w:r>
      <w:r>
        <w:rPr>
          <w:rFonts w:ascii="Times New Roman" w:hAnsi="Times New Roman" w:cs="Times New Roman"/>
          <w:color w:val="222222"/>
          <w:sz w:val="24"/>
          <w:szCs w:val="24"/>
          <w:u w:color="222222"/>
          <w:lang w:val="en-CA"/>
        </w:rPr>
        <w:t>experiences of United Nations Members States that have developed and implemented legislation</w:t>
      </w:r>
      <w:r w:rsidR="004F4E3E">
        <w:rPr>
          <w:rFonts w:ascii="Times New Roman" w:hAnsi="Times New Roman" w:cs="Times New Roman"/>
          <w:color w:val="222222"/>
          <w:sz w:val="24"/>
          <w:szCs w:val="24"/>
          <w:u w:color="222222"/>
          <w:lang w:val="en-CA"/>
        </w:rPr>
        <w:t>, policies, strategies and actions</w:t>
      </w:r>
      <w:r>
        <w:rPr>
          <w:rFonts w:ascii="Times New Roman" w:hAnsi="Times New Roman" w:cs="Times New Roman"/>
          <w:color w:val="222222"/>
          <w:sz w:val="24"/>
          <w:szCs w:val="24"/>
          <w:u w:color="222222"/>
          <w:lang w:val="en-CA"/>
        </w:rPr>
        <w:t xml:space="preserve"> that </w:t>
      </w:r>
      <w:r w:rsidR="004F4E3E">
        <w:rPr>
          <w:rFonts w:ascii="Times New Roman" w:hAnsi="Times New Roman" w:cs="Times New Roman"/>
          <w:color w:val="222222"/>
          <w:sz w:val="24"/>
          <w:szCs w:val="24"/>
          <w:u w:color="222222"/>
          <w:lang w:val="en-CA"/>
        </w:rPr>
        <w:t xml:space="preserve">aim to </w:t>
      </w:r>
      <w:r>
        <w:rPr>
          <w:rFonts w:ascii="Times New Roman" w:hAnsi="Times New Roman" w:cs="Times New Roman"/>
          <w:color w:val="222222"/>
          <w:sz w:val="24"/>
          <w:szCs w:val="24"/>
          <w:u w:color="222222"/>
          <w:lang w:val="en-CA"/>
        </w:rPr>
        <w:t>discourage the demand</w:t>
      </w:r>
      <w:r w:rsidR="004F4E3E">
        <w:rPr>
          <w:rFonts w:ascii="Times New Roman" w:hAnsi="Times New Roman" w:cs="Times New Roman"/>
          <w:color w:val="222222"/>
          <w:sz w:val="24"/>
          <w:szCs w:val="24"/>
          <w:u w:color="222222"/>
          <w:lang w:val="en-CA"/>
        </w:rPr>
        <w:t>, including both individual and systemic effects on gender equality.</w:t>
      </w:r>
    </w:p>
    <w:p w:rsidR="00911FC3" w:rsidRPr="003342FC" w:rsidRDefault="00911FC3" w:rsidP="00242C4A">
      <w:pPr>
        <w:jc w:val="both"/>
      </w:pPr>
    </w:p>
    <w:p w:rsidR="00E90BEC" w:rsidRPr="003342FC" w:rsidRDefault="00E90BEC" w:rsidP="00242C4A">
      <w:pPr>
        <w:autoSpaceDE w:val="0"/>
        <w:autoSpaceDN w:val="0"/>
        <w:adjustRightInd w:val="0"/>
        <w:jc w:val="both"/>
        <w:rPr>
          <w:b/>
          <w:lang w:val="en-US"/>
        </w:rPr>
      </w:pPr>
      <w:r w:rsidRPr="003342FC">
        <w:rPr>
          <w:b/>
          <w:lang w:val="en-US"/>
        </w:rPr>
        <w:t>Prostitution markets</w:t>
      </w:r>
    </w:p>
    <w:p w:rsidR="00DA79C0" w:rsidRPr="003342FC" w:rsidRDefault="004F4E3E" w:rsidP="00242C4A">
      <w:pPr>
        <w:autoSpaceDE w:val="0"/>
        <w:autoSpaceDN w:val="0"/>
        <w:adjustRightInd w:val="0"/>
        <w:jc w:val="both"/>
        <w:rPr>
          <w:lang w:val="en-US"/>
        </w:rPr>
      </w:pPr>
      <w:r>
        <w:rPr>
          <w:lang w:val="en-US"/>
        </w:rPr>
        <w:lastRenderedPageBreak/>
        <w:t>3</w:t>
      </w:r>
      <w:r w:rsidR="0055036F">
        <w:rPr>
          <w:lang w:val="en-US"/>
        </w:rPr>
        <w:t>8</w:t>
      </w:r>
      <w:r>
        <w:rPr>
          <w:lang w:val="en-US"/>
        </w:rPr>
        <w:t>.</w:t>
      </w:r>
      <w:r>
        <w:rPr>
          <w:lang w:val="en-US"/>
        </w:rPr>
        <w:tab/>
      </w:r>
      <w:r w:rsidR="00DA79C0" w:rsidRPr="003342FC">
        <w:rPr>
          <w:lang w:val="en-US"/>
        </w:rPr>
        <w:t>In the beginning of the 20th century, it was recognized internationally, through the League of Nation, that the existence of legal brothels and other prostitution-related activities in a country functioned as attractive markets for those, who recruited, trafficked and profited off the exploitation of women and children for prostitution purposes. By closing these markets through legal means, not only the demand, but also the involvement of organized crime groups in the facilitation of such markets would go down to a minimum.</w:t>
      </w:r>
      <w:r w:rsidR="00DA79C0" w:rsidRPr="003342FC">
        <w:rPr>
          <w:rStyle w:val="FootnoteReference"/>
          <w:lang w:val="en-US"/>
        </w:rPr>
        <w:footnoteReference w:id="9"/>
      </w:r>
    </w:p>
    <w:p w:rsidR="00DA79C0" w:rsidRPr="003342FC" w:rsidRDefault="00DA79C0" w:rsidP="00242C4A">
      <w:pPr>
        <w:autoSpaceDE w:val="0"/>
        <w:autoSpaceDN w:val="0"/>
        <w:adjustRightInd w:val="0"/>
        <w:jc w:val="both"/>
        <w:rPr>
          <w:lang w:val="en-US"/>
        </w:rPr>
      </w:pPr>
    </w:p>
    <w:p w:rsidR="00DE1446" w:rsidRPr="003342FC" w:rsidRDefault="004F4E3E" w:rsidP="00242C4A">
      <w:pPr>
        <w:autoSpaceDE w:val="0"/>
        <w:autoSpaceDN w:val="0"/>
        <w:adjustRightInd w:val="0"/>
        <w:jc w:val="both"/>
        <w:rPr>
          <w:lang w:val="en-US"/>
        </w:rPr>
      </w:pPr>
      <w:r>
        <w:rPr>
          <w:lang w:val="en-US"/>
        </w:rPr>
        <w:t>3</w:t>
      </w:r>
      <w:r w:rsidR="0055036F">
        <w:rPr>
          <w:lang w:val="en-US"/>
        </w:rPr>
        <w:t>9</w:t>
      </w:r>
      <w:r>
        <w:rPr>
          <w:lang w:val="en-US"/>
        </w:rPr>
        <w:t>.</w:t>
      </w:r>
      <w:r>
        <w:rPr>
          <w:lang w:val="en-US"/>
        </w:rPr>
        <w:tab/>
      </w:r>
      <w:r w:rsidR="00DE1446" w:rsidRPr="003342FC">
        <w:rPr>
          <w:lang w:val="en-US"/>
        </w:rPr>
        <w:t>These observations are soundly confirmed in recent academic research, and in monitoring of trafficking reports which shows a direct link between the regulation or</w:t>
      </w:r>
    </w:p>
    <w:p w:rsidR="001F3E29" w:rsidRPr="003342FC" w:rsidRDefault="00DE1446" w:rsidP="00242C4A">
      <w:pPr>
        <w:autoSpaceDE w:val="0"/>
        <w:autoSpaceDN w:val="0"/>
        <w:adjustRightInd w:val="0"/>
        <w:jc w:val="both"/>
        <w:rPr>
          <w:lang w:val="en-US"/>
        </w:rPr>
      </w:pPr>
      <w:r w:rsidRPr="003342FC">
        <w:rPr>
          <w:lang w:val="en-US"/>
        </w:rPr>
        <w:t>legalization of prostitution-related activities through e.g. local licensing systems, and an increase in prostitution-related organized crime group involvement, including in the national and cross-border trafficking of mostly women and girls for the purpose of prostitution and sexual exploitation.</w:t>
      </w:r>
      <w:r w:rsidRPr="003342FC">
        <w:rPr>
          <w:rStyle w:val="FootnoteReference"/>
          <w:lang w:val="en-US"/>
        </w:rPr>
        <w:footnoteReference w:id="10"/>
      </w:r>
    </w:p>
    <w:p w:rsidR="00E90BEC" w:rsidRPr="003342FC" w:rsidRDefault="00E90BEC" w:rsidP="00242C4A">
      <w:pPr>
        <w:autoSpaceDE w:val="0"/>
        <w:autoSpaceDN w:val="0"/>
        <w:adjustRightInd w:val="0"/>
        <w:jc w:val="both"/>
        <w:rPr>
          <w:lang w:val="en-US"/>
        </w:rPr>
      </w:pPr>
    </w:p>
    <w:p w:rsidR="0055036F" w:rsidRPr="003342FC" w:rsidRDefault="0055036F" w:rsidP="0055036F">
      <w:pPr>
        <w:jc w:val="both"/>
        <w:rPr>
          <w:lang w:val="en-US"/>
        </w:rPr>
      </w:pPr>
      <w:r>
        <w:rPr>
          <w:lang w:val="en-US"/>
        </w:rPr>
        <w:t>40</w:t>
      </w:r>
      <w:r w:rsidR="004F4E3E">
        <w:rPr>
          <w:lang w:val="en-US"/>
        </w:rPr>
        <w:t>.</w:t>
      </w:r>
      <w:r w:rsidR="004F4E3E">
        <w:rPr>
          <w:lang w:val="en-US"/>
        </w:rPr>
        <w:tab/>
      </w:r>
      <w:r>
        <w:t xml:space="preserve">IF&amp;HR </w:t>
      </w:r>
      <w:r w:rsidRPr="0055036F">
        <w:rPr>
          <w:u w:val="single"/>
        </w:rPr>
        <w:t>urges</w:t>
      </w:r>
      <w:r>
        <w:t xml:space="preserve"> the CEDAW Committee to acknowledge in the General Recommendation on Trafficking in Women and Girls in the Context of Global Migration that</w:t>
      </w:r>
      <w:r w:rsidRPr="003342FC">
        <w:t xml:space="preserve"> </w:t>
      </w:r>
      <w:r w:rsidRPr="003342FC">
        <w:rPr>
          <w:lang w:val="en-US"/>
        </w:rPr>
        <w:t>States Parties that tolerate the existence of any form of legal, regulated or decriminalized prostitution activities, and other slave-like practices like human trafficking on their territory are in violation of their obligations under</w:t>
      </w:r>
      <w:r w:rsidRPr="003342FC">
        <w:t xml:space="preserve"> </w:t>
      </w:r>
      <w:r w:rsidRPr="003342FC">
        <w:rPr>
          <w:lang w:val="en-US"/>
        </w:rPr>
        <w:t>article 6.</w:t>
      </w:r>
    </w:p>
    <w:p w:rsidR="001F3E29" w:rsidRPr="003342FC" w:rsidRDefault="001F3E29" w:rsidP="00242C4A">
      <w:pPr>
        <w:autoSpaceDE w:val="0"/>
        <w:autoSpaceDN w:val="0"/>
        <w:adjustRightInd w:val="0"/>
        <w:jc w:val="both"/>
        <w:rPr>
          <w:lang w:val="en-US"/>
        </w:rPr>
      </w:pPr>
    </w:p>
    <w:p w:rsidR="001F3E29" w:rsidRPr="003342FC" w:rsidRDefault="001F3E29" w:rsidP="00242C4A">
      <w:pPr>
        <w:jc w:val="both"/>
      </w:pPr>
    </w:p>
    <w:p w:rsidR="001C01BA" w:rsidRDefault="001C01BA" w:rsidP="00242C4A">
      <w:pPr>
        <w:jc w:val="both"/>
        <w:rPr>
          <w:b/>
        </w:rPr>
      </w:pPr>
    </w:p>
    <w:p w:rsidR="0055036F" w:rsidRDefault="0055036F" w:rsidP="00242C4A">
      <w:pPr>
        <w:jc w:val="both"/>
        <w:rPr>
          <w:b/>
        </w:rPr>
      </w:pPr>
    </w:p>
    <w:p w:rsidR="0055036F" w:rsidRDefault="0055036F" w:rsidP="00242C4A">
      <w:pPr>
        <w:jc w:val="both"/>
        <w:rPr>
          <w:b/>
        </w:rPr>
      </w:pPr>
    </w:p>
    <w:p w:rsidR="0055036F" w:rsidRDefault="0055036F" w:rsidP="00242C4A">
      <w:pPr>
        <w:jc w:val="both"/>
        <w:rPr>
          <w:b/>
        </w:rPr>
      </w:pPr>
    </w:p>
    <w:p w:rsidR="00761B30" w:rsidRPr="001C01BA" w:rsidRDefault="00911FC3" w:rsidP="00242C4A">
      <w:pPr>
        <w:jc w:val="both"/>
        <w:rPr>
          <w:b/>
        </w:rPr>
      </w:pPr>
      <w:r w:rsidRPr="003342FC">
        <w:rPr>
          <w:b/>
        </w:rPr>
        <w:t>Women and girls in the migration stream</w:t>
      </w:r>
    </w:p>
    <w:p w:rsidR="00152DF6" w:rsidRPr="003342FC" w:rsidRDefault="0055036F" w:rsidP="00242C4A">
      <w:pPr>
        <w:jc w:val="both"/>
      </w:pPr>
      <w:r>
        <w:t>41.</w:t>
      </w:r>
      <w:r>
        <w:tab/>
      </w:r>
      <w:r w:rsidR="00152DF6" w:rsidRPr="003342FC">
        <w:t>In international law</w:t>
      </w:r>
      <w:r w:rsidR="003342FC">
        <w:t xml:space="preserve"> and policy</w:t>
      </w:r>
      <w:r w:rsidR="00152DF6" w:rsidRPr="003342FC">
        <w:t xml:space="preserve">, the </w:t>
      </w:r>
      <w:r w:rsidR="003342FC">
        <w:t xml:space="preserve">basic </w:t>
      </w:r>
      <w:r w:rsidR="00152DF6" w:rsidRPr="003342FC">
        <w:t xml:space="preserve">human rights of victims are to be at the forefront of any law, policy, strategy and action that aims at preventing and combating </w:t>
      </w:r>
      <w:r w:rsidR="003342FC">
        <w:t xml:space="preserve">crime, including crimes involving </w:t>
      </w:r>
      <w:r w:rsidR="00152DF6" w:rsidRPr="003342FC">
        <w:t>the trafficking in human beings</w:t>
      </w:r>
      <w:r w:rsidR="003342FC">
        <w:t xml:space="preserve"> and exploitation in prostitution</w:t>
      </w:r>
      <w:r w:rsidR="00152DF6" w:rsidRPr="003342FC">
        <w:t>.</w:t>
      </w:r>
      <w:r w:rsidR="003342FC">
        <w:rPr>
          <w:rStyle w:val="FootnoteReference"/>
        </w:rPr>
        <w:footnoteReference w:id="11"/>
      </w:r>
      <w:r w:rsidR="00152DF6" w:rsidRPr="003342FC">
        <w:t xml:space="preserve"> </w:t>
      </w:r>
    </w:p>
    <w:p w:rsidR="00152DF6" w:rsidRPr="003342FC" w:rsidRDefault="00152DF6" w:rsidP="00242C4A">
      <w:pPr>
        <w:pStyle w:val="BodyC"/>
        <w:shd w:val="clear" w:color="auto" w:fill="FFFFFF"/>
        <w:spacing w:after="0" w:line="240" w:lineRule="auto"/>
        <w:jc w:val="both"/>
        <w:rPr>
          <w:rFonts w:ascii="Times New Roman" w:hAnsi="Times New Roman" w:cs="Times New Roman"/>
          <w:color w:val="222222"/>
          <w:sz w:val="24"/>
          <w:szCs w:val="24"/>
          <w:u w:color="222222"/>
          <w:lang w:val="en-CA"/>
        </w:rPr>
      </w:pPr>
    </w:p>
    <w:p w:rsidR="003342FC" w:rsidRPr="003342FC" w:rsidRDefault="0055036F" w:rsidP="00242C4A">
      <w:pPr>
        <w:jc w:val="both"/>
        <w:rPr>
          <w:rFonts w:eastAsia="Times New Roman"/>
          <w:color w:val="auto"/>
        </w:rPr>
      </w:pPr>
      <w:r>
        <w:rPr>
          <w:lang w:val="en-US"/>
        </w:rPr>
        <w:t>42.</w:t>
      </w:r>
      <w:r>
        <w:rPr>
          <w:lang w:val="en-US"/>
        </w:rPr>
        <w:tab/>
      </w:r>
      <w:r w:rsidR="003342FC" w:rsidRPr="003342FC">
        <w:rPr>
          <w:lang w:val="en-US"/>
        </w:rPr>
        <w:t xml:space="preserve">In 1992, the CEDAW Committee concluded in its </w:t>
      </w:r>
      <w:r w:rsidR="003342FC" w:rsidRPr="003342FC">
        <w:rPr>
          <w:i/>
          <w:iCs/>
          <w:lang w:val="en-US"/>
        </w:rPr>
        <w:t>General Recommendation 19: Violence Against Women</w:t>
      </w:r>
      <w:r w:rsidR="003342FC" w:rsidRPr="003342FC">
        <w:rPr>
          <w:lang w:val="en-US"/>
        </w:rPr>
        <w:t>, that prostitution and trafficking in human beings are forms of violence against women</w:t>
      </w:r>
      <w:r w:rsidR="009F1C2F">
        <w:rPr>
          <w:lang w:val="en-US"/>
        </w:rPr>
        <w:t>.</w:t>
      </w:r>
    </w:p>
    <w:p w:rsidR="003342FC" w:rsidRPr="003342FC" w:rsidRDefault="003342FC" w:rsidP="00242C4A">
      <w:pPr>
        <w:pStyle w:val="BodyC"/>
        <w:shd w:val="clear" w:color="auto" w:fill="FFFFFF"/>
        <w:spacing w:after="0" w:line="240" w:lineRule="auto"/>
        <w:jc w:val="both"/>
        <w:rPr>
          <w:rFonts w:ascii="Times New Roman" w:hAnsi="Times New Roman" w:cs="Times New Roman"/>
          <w:color w:val="222222"/>
          <w:sz w:val="24"/>
          <w:szCs w:val="24"/>
          <w:u w:color="222222"/>
          <w:lang w:val="en-CA"/>
        </w:rPr>
      </w:pPr>
    </w:p>
    <w:p w:rsidR="00F10F66" w:rsidRPr="003342FC" w:rsidRDefault="0055036F" w:rsidP="00242C4A">
      <w:pPr>
        <w:pStyle w:val="BodyC"/>
        <w:shd w:val="clear" w:color="auto" w:fill="FFFFFF"/>
        <w:spacing w:after="0" w:line="240" w:lineRule="auto"/>
        <w:jc w:val="both"/>
        <w:rPr>
          <w:rFonts w:ascii="Times New Roman" w:eastAsia="Times New Roman" w:hAnsi="Times New Roman" w:cs="Times New Roman"/>
          <w:color w:val="222222"/>
          <w:sz w:val="24"/>
          <w:szCs w:val="24"/>
          <w:u w:color="222222"/>
          <w:lang w:val="en-CA"/>
        </w:rPr>
      </w:pPr>
      <w:r>
        <w:rPr>
          <w:rFonts w:ascii="Times New Roman" w:hAnsi="Times New Roman" w:cs="Times New Roman"/>
          <w:color w:val="222222"/>
          <w:sz w:val="24"/>
          <w:szCs w:val="24"/>
          <w:u w:color="222222"/>
          <w:lang w:val="en-CA"/>
        </w:rPr>
        <w:t>43.</w:t>
      </w:r>
      <w:r>
        <w:rPr>
          <w:rFonts w:ascii="Times New Roman" w:hAnsi="Times New Roman" w:cs="Times New Roman"/>
          <w:color w:val="222222"/>
          <w:sz w:val="24"/>
          <w:szCs w:val="24"/>
          <w:u w:color="222222"/>
          <w:lang w:val="en-CA"/>
        </w:rPr>
        <w:tab/>
      </w:r>
      <w:r w:rsidR="00F10F66" w:rsidRPr="003342FC">
        <w:rPr>
          <w:rFonts w:ascii="Times New Roman" w:hAnsi="Times New Roman" w:cs="Times New Roman"/>
          <w:color w:val="222222"/>
          <w:sz w:val="24"/>
          <w:szCs w:val="24"/>
          <w:u w:color="222222"/>
          <w:lang w:val="en-CA"/>
        </w:rPr>
        <w:t xml:space="preserve">It is widely </w:t>
      </w:r>
      <w:r>
        <w:rPr>
          <w:rFonts w:ascii="Times New Roman" w:hAnsi="Times New Roman" w:cs="Times New Roman"/>
          <w:color w:val="222222"/>
          <w:sz w:val="24"/>
          <w:szCs w:val="24"/>
          <w:u w:color="222222"/>
          <w:lang w:val="en-CA"/>
        </w:rPr>
        <w:t>documented</w:t>
      </w:r>
      <w:r w:rsidR="00F10F66" w:rsidRPr="003342FC">
        <w:rPr>
          <w:rFonts w:ascii="Times New Roman" w:hAnsi="Times New Roman" w:cs="Times New Roman"/>
          <w:color w:val="222222"/>
          <w:sz w:val="24"/>
          <w:szCs w:val="24"/>
          <w:u w:color="222222"/>
          <w:lang w:val="en-CA"/>
        </w:rPr>
        <w:t xml:space="preserve"> in a multitude of international studies that the long-term effects for women and girls that are victims of trafficking for the purpose of prostitution and sexual exploitation are devastating. In addition to serious, often long-term health, physical and psychological </w:t>
      </w:r>
      <w:r w:rsidR="003D2053" w:rsidRPr="003342FC">
        <w:rPr>
          <w:rFonts w:ascii="Times New Roman" w:hAnsi="Times New Roman" w:cs="Times New Roman"/>
          <w:color w:val="222222"/>
          <w:sz w:val="24"/>
          <w:szCs w:val="24"/>
          <w:u w:color="222222"/>
          <w:lang w:val="en-CA"/>
        </w:rPr>
        <w:t xml:space="preserve">and emotional </w:t>
      </w:r>
      <w:r w:rsidR="00F10F66" w:rsidRPr="003342FC">
        <w:rPr>
          <w:rFonts w:ascii="Times New Roman" w:hAnsi="Times New Roman" w:cs="Times New Roman"/>
          <w:color w:val="222222"/>
          <w:sz w:val="24"/>
          <w:szCs w:val="24"/>
          <w:u w:color="222222"/>
          <w:lang w:val="en-CA"/>
        </w:rPr>
        <w:t>consequences, victims experience financial precariousness, difficulty to access educational opportunities, and low employment rates.</w:t>
      </w:r>
    </w:p>
    <w:p w:rsidR="00761B30" w:rsidRPr="003342FC" w:rsidRDefault="00761B30" w:rsidP="00242C4A">
      <w:pPr>
        <w:jc w:val="both"/>
      </w:pPr>
    </w:p>
    <w:p w:rsidR="00115423" w:rsidRPr="003342FC" w:rsidRDefault="0055036F" w:rsidP="00242C4A">
      <w:pPr>
        <w:jc w:val="both"/>
      </w:pPr>
      <w:r>
        <w:t>44.</w:t>
      </w:r>
      <w:r>
        <w:tab/>
      </w:r>
      <w:r w:rsidR="00326A81">
        <w:t xml:space="preserve">A </w:t>
      </w:r>
      <w:r w:rsidR="00115423" w:rsidRPr="003342FC">
        <w:t xml:space="preserve">report published </w:t>
      </w:r>
      <w:r w:rsidR="00326A81">
        <w:t xml:space="preserve">in 2018 </w:t>
      </w:r>
      <w:r w:rsidR="00115423" w:rsidRPr="003342FC">
        <w:t xml:space="preserve">by the </w:t>
      </w:r>
      <w:r w:rsidR="00326A81">
        <w:t xml:space="preserve">Mixed Migration Centre of the </w:t>
      </w:r>
      <w:r w:rsidR="00115423" w:rsidRPr="003342FC">
        <w:t xml:space="preserve">Danish Refugee Council, </w:t>
      </w:r>
      <w:r w:rsidR="00326A81">
        <w:t xml:space="preserve">outlines in some detail the risks and hard </w:t>
      </w:r>
      <w:r w:rsidR="00115423" w:rsidRPr="003342FC">
        <w:t>conditions that women and girls, who flee national and regional emergencies are</w:t>
      </w:r>
      <w:r w:rsidR="001C01BA">
        <w:t xml:space="preserve"> </w:t>
      </w:r>
      <w:r w:rsidR="00326A81">
        <w:t>subjected to, with a focus on the serious human rights violations committed against trafficking victims by smugglers and traffickers.</w:t>
      </w:r>
      <w:r w:rsidR="00284117" w:rsidRPr="003342FC">
        <w:rPr>
          <w:rStyle w:val="FootnoteReference"/>
        </w:rPr>
        <w:footnoteReference w:id="12"/>
      </w:r>
      <w:r w:rsidR="00115423" w:rsidRPr="003342FC">
        <w:t xml:space="preserve"> </w:t>
      </w:r>
    </w:p>
    <w:p w:rsidR="00151414" w:rsidRPr="003342FC" w:rsidRDefault="00151414" w:rsidP="00242C4A">
      <w:pPr>
        <w:jc w:val="both"/>
      </w:pPr>
    </w:p>
    <w:p w:rsidR="002B5C59" w:rsidRPr="003342FC" w:rsidRDefault="0055036F" w:rsidP="00242C4A">
      <w:pPr>
        <w:jc w:val="both"/>
        <w:rPr>
          <w:rFonts w:eastAsia="Times New Roman"/>
          <w:color w:val="202020"/>
          <w:shd w:val="clear" w:color="auto" w:fill="FFFFFF"/>
          <w:lang w:val="en-US"/>
        </w:rPr>
      </w:pPr>
      <w:r>
        <w:t>45.</w:t>
      </w:r>
      <w:r>
        <w:tab/>
      </w:r>
      <w:r w:rsidR="003D2053" w:rsidRPr="003342FC">
        <w:t>I</w:t>
      </w:r>
      <w:r w:rsidR="002B5C59" w:rsidRPr="003342FC">
        <w:rPr>
          <w:rFonts w:eastAsia="Times New Roman"/>
          <w:color w:val="202020"/>
          <w:shd w:val="clear" w:color="auto" w:fill="FFFFFF"/>
          <w:lang w:val="en-US"/>
        </w:rPr>
        <w:t>t is recognized globally that women and girl migrants, who are survivors of trafficking in human beings increasingly face serious barriers to the protection, access to justice, safe accommodation and specialized victim support services as a result of hostile national and regional immigration policies.</w:t>
      </w:r>
    </w:p>
    <w:p w:rsidR="00F93208" w:rsidRPr="003342FC" w:rsidRDefault="00F93208" w:rsidP="00242C4A">
      <w:pPr>
        <w:jc w:val="both"/>
        <w:rPr>
          <w:rFonts w:eastAsia="Times New Roman"/>
          <w:color w:val="202020"/>
          <w:shd w:val="clear" w:color="auto" w:fill="FFFFFF"/>
          <w:lang w:val="en-US"/>
        </w:rPr>
      </w:pPr>
    </w:p>
    <w:p w:rsidR="00F93208" w:rsidRPr="00F93208" w:rsidRDefault="0055036F" w:rsidP="00242C4A">
      <w:pPr>
        <w:jc w:val="both"/>
        <w:rPr>
          <w:rFonts w:eastAsia="Times New Roman"/>
          <w:color w:val="222222"/>
          <w:lang w:val="en-US"/>
        </w:rPr>
      </w:pPr>
      <w:r>
        <w:rPr>
          <w:rFonts w:eastAsia="Times New Roman"/>
          <w:lang w:val="en-US"/>
        </w:rPr>
        <w:t>46.</w:t>
      </w:r>
      <w:r>
        <w:rPr>
          <w:rFonts w:eastAsia="Times New Roman"/>
          <w:lang w:val="en-US"/>
        </w:rPr>
        <w:tab/>
      </w:r>
      <w:r w:rsidR="00F93208" w:rsidRPr="00F93208">
        <w:rPr>
          <w:rFonts w:eastAsia="Times New Roman"/>
          <w:lang w:val="en-US"/>
        </w:rPr>
        <w:t xml:space="preserve">In 2013, </w:t>
      </w:r>
      <w:r w:rsidR="003342FC">
        <w:rPr>
          <w:rFonts w:eastAsia="Times New Roman"/>
          <w:lang w:val="en-US"/>
        </w:rPr>
        <w:t xml:space="preserve">and partly in </w:t>
      </w:r>
      <w:r w:rsidR="00F93208" w:rsidRPr="00F93208">
        <w:rPr>
          <w:rFonts w:eastAsia="Times New Roman"/>
          <w:lang w:val="en-US"/>
        </w:rPr>
        <w:t>recognition of a dramatic increase in the trafficking for sexual and other purposes of women and girls fleeing armed conflict, natural disasters and other national and regional emergencies, and who seek protection in Sweden, the Swedish Migration Agency </w:t>
      </w:r>
      <w:r w:rsidR="00F93208" w:rsidRPr="00F93208">
        <w:rPr>
          <w:rFonts w:eastAsia="Times New Roman"/>
        </w:rPr>
        <w:t>appointed a central coordinator against trafficking in human beings, supported by a number of regional coordinators.</w:t>
      </w:r>
    </w:p>
    <w:p w:rsidR="00F93208" w:rsidRPr="00F93208" w:rsidRDefault="00F93208" w:rsidP="00242C4A">
      <w:pPr>
        <w:jc w:val="both"/>
        <w:rPr>
          <w:rFonts w:eastAsia="Times New Roman"/>
          <w:lang w:val="en-US"/>
        </w:rPr>
      </w:pPr>
      <w:r w:rsidRPr="00F93208">
        <w:rPr>
          <w:rFonts w:eastAsia="Times New Roman"/>
        </w:rPr>
        <w:t> </w:t>
      </w:r>
    </w:p>
    <w:p w:rsidR="00F93208" w:rsidRPr="00F93208" w:rsidRDefault="0055036F" w:rsidP="00242C4A">
      <w:pPr>
        <w:jc w:val="both"/>
        <w:rPr>
          <w:rFonts w:eastAsia="Times New Roman"/>
          <w:lang w:val="en-US"/>
        </w:rPr>
      </w:pPr>
      <w:r>
        <w:rPr>
          <w:rFonts w:eastAsia="Times New Roman"/>
        </w:rPr>
        <w:t>47.</w:t>
      </w:r>
      <w:r>
        <w:rPr>
          <w:rFonts w:eastAsia="Times New Roman"/>
        </w:rPr>
        <w:tab/>
      </w:r>
      <w:r w:rsidR="00F93208" w:rsidRPr="00F93208">
        <w:rPr>
          <w:rFonts w:eastAsia="Times New Roman"/>
        </w:rPr>
        <w:t>The mandate of the central coordinator involves </w:t>
      </w:r>
      <w:r w:rsidR="00F93208" w:rsidRPr="00F93208">
        <w:rPr>
          <w:rFonts w:eastAsia="Times New Roman"/>
          <w:color w:val="222222"/>
        </w:rPr>
        <w:t>coordinating different measures including training of officers on how to identify victims, and other measures to prevent and eliminate trafficking in human beings within the work of the public agency, and to develop different wholistic measures for their protection and safety in</w:t>
      </w:r>
      <w:r w:rsidR="003342FC">
        <w:rPr>
          <w:rFonts w:eastAsia="Times New Roman"/>
          <w:color w:val="222222"/>
        </w:rPr>
        <w:t xml:space="preserve"> </w:t>
      </w:r>
      <w:r w:rsidR="00F93208" w:rsidRPr="00F93208">
        <w:rPr>
          <w:rFonts w:eastAsia="Times New Roman"/>
          <w:color w:val="222222"/>
        </w:rPr>
        <w:t>partnership with other public authorities and civil society organizations in Sweden, and at the Swedish embassies and consulates.</w:t>
      </w:r>
    </w:p>
    <w:p w:rsidR="00F93208" w:rsidRPr="00F93208" w:rsidRDefault="00F93208" w:rsidP="00242C4A">
      <w:pPr>
        <w:jc w:val="both"/>
        <w:rPr>
          <w:rFonts w:eastAsia="Times New Roman"/>
          <w:lang w:val="en-US"/>
        </w:rPr>
      </w:pPr>
      <w:r w:rsidRPr="00F93208">
        <w:rPr>
          <w:rFonts w:eastAsia="Times New Roman"/>
        </w:rPr>
        <w:t> </w:t>
      </w:r>
    </w:p>
    <w:p w:rsidR="00F93208" w:rsidRPr="00F93208" w:rsidRDefault="0055036F" w:rsidP="00242C4A">
      <w:pPr>
        <w:jc w:val="both"/>
        <w:rPr>
          <w:rFonts w:eastAsia="Times New Roman"/>
          <w:lang w:val="en-US"/>
        </w:rPr>
      </w:pPr>
      <w:r>
        <w:rPr>
          <w:rFonts w:eastAsia="Times New Roman"/>
        </w:rPr>
        <w:lastRenderedPageBreak/>
        <w:t>48.</w:t>
      </w:r>
      <w:r>
        <w:rPr>
          <w:rFonts w:eastAsia="Times New Roman"/>
        </w:rPr>
        <w:tab/>
      </w:r>
      <w:r w:rsidR="00F93208" w:rsidRPr="00F93208">
        <w:rPr>
          <w:rFonts w:eastAsia="Times New Roman"/>
        </w:rPr>
        <w:t>As a result, the number of reported cases of women and girls, who have been trafficked into prostitution during the migration process increased from 16 in 2012, to 216 in 2018, with a total number of reported cases with female victims of human trafficking, mainly for sexual purposes, between 2013 and 2018 being 996 – 837 women and 159 girls under 18 years of age</w:t>
      </w:r>
      <w:r w:rsidR="003342FC">
        <w:rPr>
          <w:rFonts w:eastAsia="Times New Roman"/>
        </w:rPr>
        <w:t>.</w:t>
      </w:r>
      <w:r w:rsidR="003342FC">
        <w:rPr>
          <w:rStyle w:val="FootnoteReference"/>
          <w:rFonts w:eastAsia="Times New Roman"/>
        </w:rPr>
        <w:footnoteReference w:id="13"/>
      </w:r>
    </w:p>
    <w:p w:rsidR="00F93208" w:rsidRPr="00F93208" w:rsidRDefault="00F93208" w:rsidP="00242C4A">
      <w:pPr>
        <w:jc w:val="both"/>
        <w:rPr>
          <w:rFonts w:eastAsia="Times New Roman"/>
          <w:lang w:val="en-US"/>
        </w:rPr>
      </w:pPr>
      <w:r w:rsidRPr="00F93208">
        <w:rPr>
          <w:rFonts w:eastAsia="Times New Roman"/>
        </w:rPr>
        <w:t> </w:t>
      </w:r>
    </w:p>
    <w:p w:rsidR="00F93208" w:rsidRPr="00F93208" w:rsidRDefault="0055036F" w:rsidP="00242C4A">
      <w:pPr>
        <w:jc w:val="both"/>
        <w:rPr>
          <w:rFonts w:eastAsia="Times New Roman"/>
          <w:lang w:val="en-US"/>
        </w:rPr>
      </w:pPr>
      <w:r>
        <w:rPr>
          <w:rFonts w:eastAsia="Times New Roman"/>
        </w:rPr>
        <w:t>49.</w:t>
      </w:r>
      <w:r>
        <w:rPr>
          <w:rFonts w:eastAsia="Times New Roman"/>
        </w:rPr>
        <w:tab/>
      </w:r>
      <w:r w:rsidR="00F93208" w:rsidRPr="00F93208">
        <w:rPr>
          <w:rFonts w:eastAsia="Times New Roman"/>
        </w:rPr>
        <w:t>These women and girls report that they were controlled and subjected to unbearable and continuous sexual, physical and psychological violence, torture and deprivation throughout the migration process by smugglers turned traffickers, other male migrants, including in some cases family members turned procurers, but also by those men that purchased and sexually exploit them. </w:t>
      </w:r>
    </w:p>
    <w:p w:rsidR="00F93208" w:rsidRPr="00F93208" w:rsidRDefault="00F93208" w:rsidP="00242C4A">
      <w:pPr>
        <w:jc w:val="both"/>
        <w:rPr>
          <w:rFonts w:eastAsia="Times New Roman"/>
          <w:lang w:val="en-US"/>
        </w:rPr>
      </w:pPr>
      <w:r w:rsidRPr="00F93208">
        <w:rPr>
          <w:rFonts w:eastAsia="Times New Roman"/>
        </w:rPr>
        <w:t> </w:t>
      </w:r>
    </w:p>
    <w:p w:rsidR="00F93208" w:rsidRPr="00F93208" w:rsidRDefault="0055036F" w:rsidP="00242C4A">
      <w:pPr>
        <w:jc w:val="both"/>
        <w:rPr>
          <w:rFonts w:eastAsia="Times New Roman"/>
          <w:lang w:val="en-US"/>
        </w:rPr>
      </w:pPr>
      <w:r>
        <w:rPr>
          <w:rFonts w:eastAsia="Times New Roman"/>
        </w:rPr>
        <w:t>50.</w:t>
      </w:r>
      <w:r>
        <w:rPr>
          <w:rFonts w:eastAsia="Times New Roman"/>
        </w:rPr>
        <w:tab/>
      </w:r>
      <w:r w:rsidR="00F93208" w:rsidRPr="00F93208">
        <w:rPr>
          <w:rFonts w:eastAsia="Times New Roman"/>
        </w:rPr>
        <w:t>These cases also show that a considerable number of smugglers turned traffickers, whether organized or operating on their own initiative, elected to travel through, advertise (online or through word of mouth) and sell these victims into prostitution in countries with already well-established prostitution markets, in particular countries, with legally regulated prostitution activities. </w:t>
      </w:r>
    </w:p>
    <w:p w:rsidR="00F93208" w:rsidRPr="00F93208" w:rsidRDefault="00F93208" w:rsidP="00242C4A">
      <w:pPr>
        <w:jc w:val="both"/>
        <w:rPr>
          <w:rFonts w:eastAsia="Times New Roman"/>
          <w:lang w:val="en-US"/>
        </w:rPr>
      </w:pPr>
      <w:r w:rsidRPr="00F93208">
        <w:rPr>
          <w:rFonts w:eastAsia="Times New Roman"/>
        </w:rPr>
        <w:t> </w:t>
      </w:r>
    </w:p>
    <w:p w:rsidR="00F93208" w:rsidRPr="00F93208" w:rsidRDefault="0055036F" w:rsidP="00242C4A">
      <w:pPr>
        <w:jc w:val="both"/>
        <w:rPr>
          <w:rFonts w:eastAsia="Times New Roman"/>
          <w:lang w:val="en-US"/>
        </w:rPr>
      </w:pPr>
      <w:r>
        <w:rPr>
          <w:rFonts w:eastAsia="Times New Roman"/>
        </w:rPr>
        <w:lastRenderedPageBreak/>
        <w:t>51.</w:t>
      </w:r>
      <w:r>
        <w:rPr>
          <w:rFonts w:eastAsia="Times New Roman"/>
        </w:rPr>
        <w:tab/>
      </w:r>
      <w:r w:rsidR="00F93208" w:rsidRPr="00F93208">
        <w:rPr>
          <w:rFonts w:eastAsia="Times New Roman"/>
        </w:rPr>
        <w:t xml:space="preserve">In some reported cases, the smugglers turned traffickers used </w:t>
      </w:r>
      <w:r>
        <w:rPr>
          <w:rFonts w:eastAsia="Times New Roman"/>
        </w:rPr>
        <w:t>victims’</w:t>
      </w:r>
      <w:r w:rsidR="00F93208" w:rsidRPr="00F93208">
        <w:rPr>
          <w:rFonts w:eastAsia="Times New Roman"/>
        </w:rPr>
        <w:t xml:space="preserve"> children as hostages to ensure that women submitted to prostitution and sexual exploitation throughout the migration process.</w:t>
      </w:r>
    </w:p>
    <w:p w:rsidR="00911FC3" w:rsidRPr="003342FC" w:rsidRDefault="00911FC3" w:rsidP="00242C4A">
      <w:pPr>
        <w:jc w:val="both"/>
        <w:rPr>
          <w:lang w:val="en-US"/>
        </w:rPr>
      </w:pPr>
    </w:p>
    <w:p w:rsidR="00C929D2" w:rsidRPr="003342FC" w:rsidRDefault="0055036F" w:rsidP="00242C4A">
      <w:pPr>
        <w:jc w:val="both"/>
        <w:rPr>
          <w:rFonts w:eastAsia="Times New Roman"/>
          <w:color w:val="auto"/>
        </w:rPr>
      </w:pPr>
      <w:r>
        <w:rPr>
          <w:rFonts w:eastAsia="Times New Roman"/>
          <w:color w:val="auto"/>
        </w:rPr>
        <w:t>52.</w:t>
      </w:r>
      <w:r>
        <w:rPr>
          <w:rFonts w:eastAsia="Times New Roman"/>
          <w:color w:val="auto"/>
        </w:rPr>
        <w:tab/>
      </w:r>
      <w:r w:rsidR="00721842" w:rsidRPr="003342FC">
        <w:rPr>
          <w:rFonts w:eastAsia="Times New Roman"/>
          <w:color w:val="auto"/>
        </w:rPr>
        <w:t xml:space="preserve">IF&amp;HR strongly </w:t>
      </w:r>
      <w:r w:rsidR="00721842" w:rsidRPr="003342FC">
        <w:rPr>
          <w:rFonts w:eastAsia="Times New Roman"/>
          <w:color w:val="auto"/>
          <w:u w:val="single"/>
        </w:rPr>
        <w:t>urges</w:t>
      </w:r>
      <w:r w:rsidR="00721842" w:rsidRPr="003342FC">
        <w:rPr>
          <w:rFonts w:eastAsia="Times New Roman"/>
          <w:color w:val="auto"/>
        </w:rPr>
        <w:t xml:space="preserve"> the CEDAW Committee to </w:t>
      </w:r>
      <w:r w:rsidR="00443CA2" w:rsidRPr="003342FC">
        <w:rPr>
          <w:rFonts w:eastAsia="Times New Roman"/>
          <w:color w:val="auto"/>
        </w:rPr>
        <w:t>emphasize</w:t>
      </w:r>
      <w:r w:rsidR="00284117" w:rsidRPr="003342FC">
        <w:rPr>
          <w:rFonts w:eastAsia="Times New Roman"/>
          <w:color w:val="auto"/>
        </w:rPr>
        <w:t xml:space="preserve"> th</w:t>
      </w:r>
      <w:r w:rsidR="00F44092" w:rsidRPr="003342FC">
        <w:rPr>
          <w:rFonts w:eastAsia="Times New Roman"/>
          <w:color w:val="auto"/>
        </w:rPr>
        <w:t xml:space="preserve">e </w:t>
      </w:r>
      <w:r w:rsidR="00284117" w:rsidRPr="003342FC">
        <w:rPr>
          <w:rFonts w:eastAsia="Times New Roman"/>
          <w:color w:val="auto"/>
        </w:rPr>
        <w:t xml:space="preserve">obligations </w:t>
      </w:r>
      <w:r w:rsidR="00F44092" w:rsidRPr="003342FC">
        <w:rPr>
          <w:rFonts w:eastAsia="Times New Roman"/>
          <w:color w:val="auto"/>
        </w:rPr>
        <w:t xml:space="preserve">in international law </w:t>
      </w:r>
      <w:r w:rsidR="00284117" w:rsidRPr="003342FC">
        <w:rPr>
          <w:rFonts w:eastAsia="Times New Roman"/>
          <w:color w:val="auto"/>
        </w:rPr>
        <w:t xml:space="preserve">of United Nations Member States under the CEDAW and the United Nations Convention </w:t>
      </w:r>
      <w:r w:rsidR="00C929D2" w:rsidRPr="003342FC">
        <w:rPr>
          <w:rFonts w:eastAsia="Times New Roman"/>
          <w:color w:val="auto"/>
        </w:rPr>
        <w:t xml:space="preserve">Relating to the Status of Refugees </w:t>
      </w:r>
      <w:r w:rsidR="00284117" w:rsidRPr="003342FC">
        <w:rPr>
          <w:rFonts w:eastAsia="Times New Roman"/>
          <w:color w:val="auto"/>
        </w:rPr>
        <w:t xml:space="preserve">to </w:t>
      </w:r>
      <w:r w:rsidR="00F44092" w:rsidRPr="003342FC">
        <w:rPr>
          <w:rFonts w:eastAsia="Times New Roman"/>
          <w:color w:val="auto"/>
        </w:rPr>
        <w:t xml:space="preserve">adhere to the principles of </w:t>
      </w:r>
      <w:r w:rsidR="003804A9" w:rsidRPr="003342FC">
        <w:rPr>
          <w:rFonts w:eastAsia="Times New Roman"/>
          <w:color w:val="auto"/>
        </w:rPr>
        <w:t xml:space="preserve">human rights and </w:t>
      </w:r>
      <w:r w:rsidR="00F44092" w:rsidRPr="003342FC">
        <w:rPr>
          <w:rFonts w:eastAsia="Times New Roman"/>
          <w:i/>
          <w:color w:val="auto"/>
        </w:rPr>
        <w:t>non-refoulement</w:t>
      </w:r>
      <w:r w:rsidR="00F44092" w:rsidRPr="003342FC">
        <w:rPr>
          <w:rFonts w:eastAsia="Times New Roman"/>
          <w:color w:val="auto"/>
        </w:rPr>
        <w:t xml:space="preserve">, and to ensure </w:t>
      </w:r>
      <w:r w:rsidR="00284117" w:rsidRPr="003342FC">
        <w:rPr>
          <w:rFonts w:eastAsia="Times New Roman"/>
          <w:color w:val="auto"/>
        </w:rPr>
        <w:t xml:space="preserve">the protection, safe harbour, </w:t>
      </w:r>
      <w:r w:rsidR="00C929D2" w:rsidRPr="003342FC">
        <w:rPr>
          <w:rFonts w:eastAsia="Times New Roman"/>
          <w:color w:val="auto"/>
        </w:rPr>
        <w:t xml:space="preserve">and comprehensive </w:t>
      </w:r>
      <w:r w:rsidR="00284117" w:rsidRPr="003342FC">
        <w:rPr>
          <w:rFonts w:eastAsia="Times New Roman"/>
          <w:color w:val="auto"/>
        </w:rPr>
        <w:t>access to specialized victim support</w:t>
      </w:r>
      <w:r w:rsidR="00C929D2" w:rsidRPr="003342FC">
        <w:rPr>
          <w:rFonts w:eastAsia="Times New Roman"/>
          <w:color w:val="auto"/>
        </w:rPr>
        <w:t xml:space="preserve"> services, exit programs,</w:t>
      </w:r>
      <w:r w:rsidR="00284117" w:rsidRPr="003342FC">
        <w:rPr>
          <w:rFonts w:eastAsia="Times New Roman"/>
          <w:color w:val="auto"/>
        </w:rPr>
        <w:t xml:space="preserve"> </w:t>
      </w:r>
      <w:r w:rsidR="00275CE9" w:rsidRPr="003342FC">
        <w:rPr>
          <w:rFonts w:eastAsia="Times New Roman"/>
          <w:color w:val="auto"/>
        </w:rPr>
        <w:t xml:space="preserve">and health care </w:t>
      </w:r>
      <w:r w:rsidR="00C929D2" w:rsidRPr="003342FC">
        <w:rPr>
          <w:rFonts w:eastAsia="Times New Roman"/>
          <w:color w:val="auto"/>
        </w:rPr>
        <w:t xml:space="preserve">for women and girls, who are victims of trafficking in human beings in the migration </w:t>
      </w:r>
      <w:r w:rsidR="00443CA2" w:rsidRPr="003342FC">
        <w:rPr>
          <w:rFonts w:eastAsia="Times New Roman"/>
          <w:color w:val="auto"/>
        </w:rPr>
        <w:t>context</w:t>
      </w:r>
      <w:r w:rsidR="00C929D2" w:rsidRPr="003342FC">
        <w:rPr>
          <w:rFonts w:eastAsia="Times New Roman"/>
          <w:color w:val="auto"/>
        </w:rPr>
        <w:t>.</w:t>
      </w:r>
    </w:p>
    <w:p w:rsidR="00C929D2" w:rsidRPr="003342FC" w:rsidRDefault="00C929D2" w:rsidP="00242C4A">
      <w:pPr>
        <w:jc w:val="both"/>
        <w:rPr>
          <w:rFonts w:eastAsia="Times New Roman"/>
          <w:color w:val="auto"/>
        </w:rPr>
      </w:pPr>
    </w:p>
    <w:p w:rsidR="00C9708F" w:rsidRPr="003342FC" w:rsidRDefault="0055036F" w:rsidP="00242C4A">
      <w:pPr>
        <w:jc w:val="both"/>
        <w:rPr>
          <w:rFonts w:eastAsia="Times New Roman"/>
          <w:color w:val="auto"/>
        </w:rPr>
      </w:pPr>
      <w:r>
        <w:rPr>
          <w:rFonts w:eastAsia="Times New Roman"/>
          <w:color w:val="auto"/>
        </w:rPr>
        <w:t>53.</w:t>
      </w:r>
      <w:r>
        <w:rPr>
          <w:rFonts w:eastAsia="Times New Roman"/>
          <w:color w:val="auto"/>
        </w:rPr>
        <w:tab/>
      </w:r>
      <w:r w:rsidR="00C929D2" w:rsidRPr="003342FC">
        <w:rPr>
          <w:rFonts w:eastAsia="Times New Roman"/>
          <w:color w:val="auto"/>
        </w:rPr>
        <w:t xml:space="preserve">Importantly, IF&amp;HR </w:t>
      </w:r>
      <w:r w:rsidR="00C929D2" w:rsidRPr="003342FC">
        <w:rPr>
          <w:rFonts w:eastAsia="Times New Roman"/>
          <w:color w:val="auto"/>
          <w:u w:val="single"/>
        </w:rPr>
        <w:t>urge</w:t>
      </w:r>
      <w:r w:rsidR="00443CA2" w:rsidRPr="003342FC">
        <w:rPr>
          <w:rFonts w:eastAsia="Times New Roman"/>
          <w:color w:val="auto"/>
          <w:u w:val="single"/>
        </w:rPr>
        <w:t>s</w:t>
      </w:r>
      <w:r w:rsidR="00C929D2" w:rsidRPr="003342FC">
        <w:rPr>
          <w:rFonts w:eastAsia="Times New Roman"/>
          <w:color w:val="auto"/>
        </w:rPr>
        <w:t xml:space="preserve"> the CEDAW Committee to </w:t>
      </w:r>
      <w:r w:rsidR="00443CA2" w:rsidRPr="003342FC">
        <w:rPr>
          <w:rFonts w:eastAsia="Times New Roman"/>
          <w:color w:val="auto"/>
        </w:rPr>
        <w:t xml:space="preserve">underline that the due diligence requirement under international law involves United Nations Member States ensuring, without limitations in national immigration policies and laws, </w:t>
      </w:r>
      <w:r w:rsidR="00284117" w:rsidRPr="003342FC">
        <w:rPr>
          <w:rFonts w:eastAsia="Times New Roman"/>
          <w:color w:val="auto"/>
        </w:rPr>
        <w:t xml:space="preserve">access to justice, including the investigation into and prosecution of smugglers, traffickers, </w:t>
      </w:r>
      <w:r w:rsidR="004A6D18" w:rsidRPr="003342FC">
        <w:rPr>
          <w:rFonts w:eastAsia="Times New Roman"/>
          <w:color w:val="auto"/>
        </w:rPr>
        <w:t xml:space="preserve">procurers </w:t>
      </w:r>
      <w:r w:rsidR="00284117" w:rsidRPr="003342FC">
        <w:rPr>
          <w:rFonts w:eastAsia="Times New Roman"/>
          <w:color w:val="auto"/>
        </w:rPr>
        <w:t xml:space="preserve">and other individuals that </w:t>
      </w:r>
      <w:r w:rsidR="00F44092" w:rsidRPr="003342FC">
        <w:rPr>
          <w:rFonts w:eastAsia="Times New Roman"/>
          <w:color w:val="auto"/>
        </w:rPr>
        <w:t xml:space="preserve">are responsible for and </w:t>
      </w:r>
      <w:r w:rsidR="00284117" w:rsidRPr="003342FC">
        <w:rPr>
          <w:rFonts w:eastAsia="Times New Roman"/>
          <w:color w:val="auto"/>
        </w:rPr>
        <w:t>facilitate</w:t>
      </w:r>
      <w:r w:rsidR="00F44092" w:rsidRPr="003342FC">
        <w:rPr>
          <w:rFonts w:eastAsia="Times New Roman"/>
          <w:color w:val="auto"/>
        </w:rPr>
        <w:t xml:space="preserve"> </w:t>
      </w:r>
      <w:r w:rsidR="003804A9" w:rsidRPr="003342FC">
        <w:rPr>
          <w:rFonts w:eastAsia="Times New Roman"/>
          <w:color w:val="auto"/>
        </w:rPr>
        <w:t xml:space="preserve">the trafficking </w:t>
      </w:r>
      <w:r w:rsidR="00F44092" w:rsidRPr="003342FC">
        <w:rPr>
          <w:rFonts w:eastAsia="Times New Roman"/>
          <w:color w:val="auto"/>
        </w:rPr>
        <w:t xml:space="preserve">of women and girls </w:t>
      </w:r>
      <w:r w:rsidR="003804A9" w:rsidRPr="003342FC">
        <w:rPr>
          <w:rFonts w:eastAsia="Times New Roman"/>
          <w:color w:val="auto"/>
        </w:rPr>
        <w:t>for the purpose of exploitation in</w:t>
      </w:r>
      <w:r w:rsidR="00F44092" w:rsidRPr="003342FC">
        <w:rPr>
          <w:rFonts w:eastAsia="Times New Roman"/>
          <w:color w:val="auto"/>
        </w:rPr>
        <w:t xml:space="preserve"> prostitution, </w:t>
      </w:r>
      <w:r w:rsidR="004A6D18" w:rsidRPr="003342FC">
        <w:rPr>
          <w:rFonts w:eastAsia="Times New Roman"/>
          <w:color w:val="auto"/>
        </w:rPr>
        <w:t>including those men that demand</w:t>
      </w:r>
      <w:r w:rsidR="00F44092" w:rsidRPr="003342FC">
        <w:rPr>
          <w:rFonts w:eastAsia="Times New Roman"/>
          <w:color w:val="auto"/>
        </w:rPr>
        <w:t xml:space="preserve">, purchase and sexually exploit </w:t>
      </w:r>
      <w:r w:rsidR="00284117" w:rsidRPr="003342FC">
        <w:rPr>
          <w:rFonts w:eastAsia="Times New Roman"/>
          <w:color w:val="auto"/>
        </w:rPr>
        <w:t>women and girls that are trafficked for the purpose of prostitution and sexual exploitation in the migration process.</w:t>
      </w:r>
    </w:p>
    <w:p w:rsidR="00721842" w:rsidRPr="003342FC" w:rsidRDefault="00721842" w:rsidP="00242C4A">
      <w:pPr>
        <w:jc w:val="both"/>
        <w:rPr>
          <w:b/>
        </w:rPr>
      </w:pPr>
    </w:p>
    <w:p w:rsidR="00A136DD" w:rsidRPr="003342FC" w:rsidRDefault="004A5E54" w:rsidP="00242C4A">
      <w:pPr>
        <w:jc w:val="both"/>
        <w:rPr>
          <w:b/>
        </w:rPr>
      </w:pPr>
      <w:r w:rsidRPr="003342FC">
        <w:rPr>
          <w:b/>
        </w:rPr>
        <w:t>---</w:t>
      </w:r>
    </w:p>
    <w:p w:rsidR="004A5E54" w:rsidRPr="003342FC" w:rsidRDefault="004A5E54" w:rsidP="00242C4A">
      <w:pPr>
        <w:jc w:val="both"/>
        <w:rPr>
          <w:b/>
        </w:rPr>
      </w:pPr>
    </w:p>
    <w:p w:rsidR="004A5E54" w:rsidRPr="003342FC" w:rsidRDefault="000B5602" w:rsidP="00242C4A">
      <w:pPr>
        <w:pStyle w:val="Default"/>
        <w:jc w:val="both"/>
      </w:pPr>
      <w:r w:rsidRPr="003342FC">
        <w:t xml:space="preserve">The Institute for Feminism &amp; Human Rights commend the CEDAW Committee for the </w:t>
      </w:r>
      <w:r w:rsidR="004A5E54" w:rsidRPr="003342FC">
        <w:t>initiative</w:t>
      </w:r>
      <w:r w:rsidRPr="003342FC">
        <w:t xml:space="preserve"> to </w:t>
      </w:r>
      <w:r w:rsidR="004A5E54" w:rsidRPr="003342FC">
        <w:t>apply</w:t>
      </w:r>
      <w:r w:rsidRPr="003342FC">
        <w:t xml:space="preserve"> Article 6 of </w:t>
      </w:r>
      <w:r w:rsidR="004A5E54" w:rsidRPr="003342FC">
        <w:t>United Nations Convention for the Elimination of All Forms of Discrimination of Women</w:t>
      </w:r>
      <w:r w:rsidRPr="003342FC">
        <w:t xml:space="preserve"> </w:t>
      </w:r>
      <w:r w:rsidR="004A5E54" w:rsidRPr="003342FC">
        <w:t xml:space="preserve">in a </w:t>
      </w:r>
      <w:r w:rsidRPr="003342FC">
        <w:t xml:space="preserve">General </w:t>
      </w:r>
      <w:r w:rsidR="004A5E54" w:rsidRPr="003342FC">
        <w:t>Recommendation</w:t>
      </w:r>
      <w:r w:rsidRPr="003342FC">
        <w:t xml:space="preserve"> </w:t>
      </w:r>
      <w:r w:rsidR="004A5E54" w:rsidRPr="003342FC">
        <w:t xml:space="preserve">on </w:t>
      </w:r>
      <w:r w:rsidRPr="003342FC">
        <w:t>Trafficking in Women and Girls in the Context of Global Migration</w:t>
      </w:r>
      <w:r w:rsidR="004A5E54" w:rsidRPr="003342FC">
        <w:t>.</w:t>
      </w:r>
    </w:p>
    <w:p w:rsidR="00455A04" w:rsidRPr="003342FC" w:rsidRDefault="00455A04" w:rsidP="00242C4A">
      <w:pPr>
        <w:pStyle w:val="Default"/>
        <w:jc w:val="both"/>
      </w:pPr>
    </w:p>
    <w:p w:rsidR="00455A04" w:rsidRPr="003342FC" w:rsidRDefault="00455A04" w:rsidP="00242C4A">
      <w:pPr>
        <w:pStyle w:val="Default"/>
        <w:jc w:val="both"/>
      </w:pPr>
      <w:r w:rsidRPr="003342FC">
        <w:t xml:space="preserve">We remain available should the CEDAW Committee </w:t>
      </w:r>
      <w:r w:rsidR="0004194B" w:rsidRPr="003342FC">
        <w:t xml:space="preserve">or individual members </w:t>
      </w:r>
      <w:r w:rsidRPr="003342FC">
        <w:t>have questions or require additional information.</w:t>
      </w:r>
      <w:r w:rsidR="009B5B9B">
        <w:t xml:space="preserve">  </w:t>
      </w:r>
    </w:p>
    <w:p w:rsidR="000B5602" w:rsidRPr="003342FC" w:rsidRDefault="000B5602" w:rsidP="00242C4A">
      <w:pPr>
        <w:jc w:val="both"/>
      </w:pPr>
    </w:p>
    <w:p w:rsidR="000B5602" w:rsidRPr="003342FC" w:rsidRDefault="000B5602" w:rsidP="00242C4A">
      <w:pPr>
        <w:jc w:val="both"/>
      </w:pPr>
      <w:r w:rsidRPr="003342FC">
        <w:t>Sincerely,</w:t>
      </w:r>
    </w:p>
    <w:p w:rsidR="000B5602" w:rsidRPr="003342FC" w:rsidRDefault="000B5602" w:rsidP="00242C4A">
      <w:pPr>
        <w:jc w:val="both"/>
      </w:pPr>
    </w:p>
    <w:p w:rsidR="000B5602" w:rsidRPr="003342FC" w:rsidRDefault="000B5602" w:rsidP="00242C4A">
      <w:pPr>
        <w:jc w:val="both"/>
      </w:pPr>
      <w:r w:rsidRPr="003342FC">
        <w:t>Gunilla S. Ekberg</w:t>
      </w:r>
    </w:p>
    <w:p w:rsidR="000B5602" w:rsidRPr="003342FC" w:rsidRDefault="000B5602" w:rsidP="00242C4A">
      <w:pPr>
        <w:jc w:val="both"/>
      </w:pPr>
      <w:r w:rsidRPr="003342FC">
        <w:t>For the Institute for Feminism &amp; Human Rights</w:t>
      </w:r>
    </w:p>
    <w:p w:rsidR="00455A04" w:rsidRPr="003342FC" w:rsidRDefault="00455A04" w:rsidP="00242C4A">
      <w:pPr>
        <w:jc w:val="both"/>
      </w:pPr>
    </w:p>
    <w:p w:rsidR="00FB2EE5" w:rsidRPr="003342FC" w:rsidRDefault="00FB2EE5" w:rsidP="00242C4A">
      <w:pPr>
        <w:jc w:val="both"/>
        <w:rPr>
          <w:rFonts w:eastAsia="Times New Roman"/>
          <w:color w:val="454545"/>
          <w:lang w:val="en-US"/>
        </w:rPr>
      </w:pPr>
      <w:r w:rsidRPr="003342FC">
        <w:rPr>
          <w:rFonts w:eastAsia="Times New Roman"/>
          <w:color w:val="454545"/>
          <w:lang w:val="en-US"/>
        </w:rPr>
        <w:t>Institute for Feminism and Human Rights</w:t>
      </w:r>
    </w:p>
    <w:p w:rsidR="00455A04" w:rsidRPr="003342FC" w:rsidRDefault="00455A04" w:rsidP="00242C4A">
      <w:pPr>
        <w:jc w:val="both"/>
        <w:rPr>
          <w:rFonts w:eastAsia="Times New Roman"/>
          <w:color w:val="454545"/>
          <w:lang w:val="sv-SE"/>
        </w:rPr>
      </w:pPr>
      <w:r w:rsidRPr="003342FC">
        <w:rPr>
          <w:rFonts w:eastAsia="Times New Roman"/>
          <w:color w:val="454545"/>
          <w:lang w:val="sv-SE"/>
        </w:rPr>
        <w:t>Järna, Sweden</w:t>
      </w:r>
    </w:p>
    <w:p w:rsidR="00FB2EE5" w:rsidRPr="003342FC" w:rsidRDefault="00FB2EE5" w:rsidP="00242C4A">
      <w:pPr>
        <w:jc w:val="both"/>
        <w:rPr>
          <w:rFonts w:eastAsia="Times New Roman"/>
          <w:color w:val="454545"/>
          <w:lang w:val="sv-SE"/>
        </w:rPr>
      </w:pPr>
      <w:r w:rsidRPr="003342FC">
        <w:rPr>
          <w:rFonts w:eastAsia="Times New Roman"/>
          <w:color w:val="454545"/>
          <w:lang w:val="sv-SE"/>
        </w:rPr>
        <w:t>Website: </w:t>
      </w:r>
      <w:hyperlink r:id="rId7" w:history="1">
        <w:r w:rsidRPr="003342FC">
          <w:rPr>
            <w:rFonts w:eastAsia="Times New Roman"/>
            <w:color w:val="0000FF"/>
            <w:u w:val="single"/>
            <w:bdr w:val="none" w:sz="0" w:space="0" w:color="auto" w:frame="1"/>
            <w:lang w:val="sv-SE"/>
          </w:rPr>
          <w:t>https://feminismandhumanrights.org</w:t>
        </w:r>
      </w:hyperlink>
    </w:p>
    <w:p w:rsidR="000B5602" w:rsidRPr="00E86A8A" w:rsidRDefault="00FB2EE5" w:rsidP="00E86A8A">
      <w:pPr>
        <w:rPr>
          <w:rFonts w:eastAsia="Times New Roman"/>
          <w:color w:val="454545"/>
          <w:lang w:val="en-US"/>
        </w:rPr>
      </w:pPr>
      <w:r w:rsidRPr="003342FC">
        <w:rPr>
          <w:rFonts w:eastAsia="Times New Roman"/>
          <w:color w:val="454545"/>
          <w:lang w:val="en-US"/>
        </w:rPr>
        <w:t xml:space="preserve">Contact email: </w:t>
      </w:r>
      <w:hyperlink r:id="rId8" w:history="1">
        <w:r w:rsidRPr="003342FC">
          <w:rPr>
            <w:rStyle w:val="Hyperlink"/>
            <w:rFonts w:eastAsia="Times New Roman"/>
            <w:lang w:val="en-US"/>
          </w:rPr>
          <w:t>gsekberg@feminismandhumanrights.org</w:t>
        </w:r>
      </w:hyperlink>
      <w:r w:rsidRPr="003342FC">
        <w:rPr>
          <w:rFonts w:eastAsia="Times New Roman"/>
          <w:color w:val="454545"/>
          <w:lang w:val="en-US"/>
        </w:rPr>
        <w:t xml:space="preserve">  OR </w:t>
      </w:r>
      <w:hyperlink r:id="rId9" w:history="1">
        <w:r w:rsidR="00E86A8A" w:rsidRPr="00D04B59">
          <w:rPr>
            <w:rStyle w:val="Hyperlink"/>
            <w:rFonts w:eastAsia="Times New Roman"/>
            <w:lang w:val="en-US"/>
          </w:rPr>
          <w:t>info@feminismandhumanrights.org</w:t>
        </w:r>
      </w:hyperlink>
      <w:r w:rsidR="00E86A8A">
        <w:rPr>
          <w:rFonts w:eastAsia="Times New Roman"/>
          <w:color w:val="454545"/>
          <w:lang w:val="en-US"/>
        </w:rPr>
        <w:t xml:space="preserve"> </w:t>
      </w:r>
    </w:p>
    <w:sectPr w:rsidR="000B5602" w:rsidRPr="00E86A8A" w:rsidSect="00215FE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4C9" w:rsidRDefault="00CF74C9" w:rsidP="009F6271">
      <w:r>
        <w:separator/>
      </w:r>
    </w:p>
  </w:endnote>
  <w:endnote w:type="continuationSeparator" w:id="0">
    <w:p w:rsidR="00CF74C9" w:rsidRDefault="00CF74C9" w:rsidP="009F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10284"/>
      <w:docPartObj>
        <w:docPartGallery w:val="Page Numbers (Bottom of Page)"/>
        <w:docPartUnique/>
      </w:docPartObj>
    </w:sdtPr>
    <w:sdtEndPr>
      <w:rPr>
        <w:noProof/>
      </w:rPr>
    </w:sdtEndPr>
    <w:sdtContent>
      <w:p w:rsidR="00AD00E1" w:rsidRDefault="00AD00E1">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AD00E1" w:rsidRDefault="00AD0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4C9" w:rsidRDefault="00CF74C9" w:rsidP="009F6271">
      <w:r>
        <w:separator/>
      </w:r>
    </w:p>
  </w:footnote>
  <w:footnote w:type="continuationSeparator" w:id="0">
    <w:p w:rsidR="00CF74C9" w:rsidRDefault="00CF74C9" w:rsidP="009F6271">
      <w:r>
        <w:continuationSeparator/>
      </w:r>
    </w:p>
  </w:footnote>
  <w:footnote w:id="1">
    <w:p w:rsidR="00CC42E3" w:rsidRPr="00400206" w:rsidRDefault="00CC42E3" w:rsidP="009F1C2F">
      <w:pPr>
        <w:pStyle w:val="FootnoteText"/>
      </w:pPr>
      <w:r w:rsidRPr="00400206">
        <w:rPr>
          <w:rStyle w:val="FootnoteReference"/>
        </w:rPr>
        <w:footnoteRef/>
      </w:r>
      <w:r w:rsidRPr="00400206">
        <w:t xml:space="preserve"> Articles 1 and 2 of the </w:t>
      </w:r>
      <w:r w:rsidRPr="00400206">
        <w:rPr>
          <w:bCs/>
        </w:rPr>
        <w:t>Convention for the Suppression of Traffic in Persons and the Exploitation of Prostitution of Others</w:t>
      </w:r>
      <w:r w:rsidR="00CF773D" w:rsidRPr="00400206">
        <w:rPr>
          <w:bCs/>
        </w:rPr>
        <w:t xml:space="preserve"> (1949)</w:t>
      </w:r>
      <w:r w:rsidRPr="00400206">
        <w:rPr>
          <w:bCs/>
        </w:rPr>
        <w:t>.</w:t>
      </w:r>
    </w:p>
  </w:footnote>
  <w:footnote w:id="2">
    <w:p w:rsidR="00CF773D" w:rsidRPr="00400206" w:rsidRDefault="00CF773D" w:rsidP="009F1C2F">
      <w:pPr>
        <w:pStyle w:val="FootnoteText"/>
      </w:pPr>
      <w:r w:rsidRPr="00400206">
        <w:rPr>
          <w:rStyle w:val="FootnoteReference"/>
        </w:rPr>
        <w:footnoteRef/>
      </w:r>
      <w:r w:rsidRPr="00400206">
        <w:t xml:space="preserve"> Article 18 of the Vienna Convention on the Law of Treaties (1969).</w:t>
      </w:r>
    </w:p>
  </w:footnote>
  <w:footnote w:id="3">
    <w:p w:rsidR="00B858A9" w:rsidRPr="00400206" w:rsidRDefault="00B858A9" w:rsidP="00242C4A">
      <w:pPr>
        <w:autoSpaceDE w:val="0"/>
        <w:autoSpaceDN w:val="0"/>
        <w:adjustRightInd w:val="0"/>
        <w:rPr>
          <w:sz w:val="20"/>
          <w:szCs w:val="20"/>
        </w:rPr>
      </w:pPr>
      <w:r w:rsidRPr="00400206">
        <w:rPr>
          <w:rStyle w:val="FootnoteReference"/>
          <w:sz w:val="20"/>
          <w:szCs w:val="20"/>
        </w:rPr>
        <w:footnoteRef/>
      </w:r>
      <w:r w:rsidRPr="00400206">
        <w:rPr>
          <w:sz w:val="20"/>
          <w:szCs w:val="20"/>
        </w:rPr>
        <w:t xml:space="preserve"> The term ”pro-violation group/constituency” is a standard term in human rights law theory</w:t>
      </w:r>
      <w:r w:rsidR="00242C4A" w:rsidRPr="00400206">
        <w:rPr>
          <w:sz w:val="20"/>
          <w:szCs w:val="20"/>
        </w:rPr>
        <w:t>, which</w:t>
      </w:r>
      <w:r w:rsidRPr="00400206">
        <w:rPr>
          <w:sz w:val="20"/>
          <w:szCs w:val="20"/>
        </w:rPr>
        <w:t xml:space="preserve"> </w:t>
      </w:r>
      <w:r w:rsidR="00242C4A" w:rsidRPr="00400206">
        <w:rPr>
          <w:sz w:val="20"/>
          <w:szCs w:val="20"/>
        </w:rPr>
        <w:t xml:space="preserve">recognizes that certain constituencies, </w:t>
      </w:r>
      <w:r w:rsidRPr="00400206">
        <w:rPr>
          <w:sz w:val="20"/>
          <w:szCs w:val="20"/>
        </w:rPr>
        <w:t>when their interests are threatened, […] lobby for and consent to</w:t>
      </w:r>
      <w:r w:rsidR="00242C4A" w:rsidRPr="00400206">
        <w:rPr>
          <w:sz w:val="20"/>
          <w:szCs w:val="20"/>
        </w:rPr>
        <w:t xml:space="preserve"> </w:t>
      </w:r>
      <w:r w:rsidRPr="00400206">
        <w:rPr>
          <w:sz w:val="20"/>
          <w:szCs w:val="20"/>
        </w:rPr>
        <w:t>policies associated with [human rights] norm violations.</w:t>
      </w:r>
    </w:p>
  </w:footnote>
  <w:footnote w:id="4">
    <w:p w:rsidR="00400206" w:rsidRPr="00400206" w:rsidRDefault="00400206">
      <w:pPr>
        <w:pStyle w:val="FootnoteText"/>
      </w:pPr>
      <w:r w:rsidRPr="00400206">
        <w:rPr>
          <w:rStyle w:val="FootnoteReference"/>
        </w:rPr>
        <w:footnoteRef/>
      </w:r>
      <w:r w:rsidRPr="00400206">
        <w:t xml:space="preserve"> Swedish Penal Code, chapter 6: On sexual crimes, section 11.</w:t>
      </w:r>
    </w:p>
  </w:footnote>
  <w:footnote w:id="5">
    <w:p w:rsidR="00B858A9" w:rsidRPr="00400206" w:rsidRDefault="00B858A9" w:rsidP="009F1C2F">
      <w:pPr>
        <w:pStyle w:val="FootnoteText"/>
        <w:rPr>
          <w:color w:val="000000" w:themeColor="text1"/>
        </w:rPr>
      </w:pPr>
      <w:r w:rsidRPr="00400206">
        <w:rPr>
          <w:rFonts w:eastAsia="Times New Roman"/>
          <w:color w:val="000000" w:themeColor="text1"/>
          <w:u w:color="222222"/>
          <w:vertAlign w:val="superscript"/>
        </w:rPr>
        <w:footnoteRef/>
      </w:r>
      <w:r w:rsidRPr="00400206">
        <w:rPr>
          <w:color w:val="000000" w:themeColor="text1"/>
        </w:rPr>
        <w:t xml:space="preserve"> See e.g.: Immigrant Council Ireland et al., S</w:t>
      </w:r>
      <w:r w:rsidRPr="00400206">
        <w:rPr>
          <w:iCs/>
          <w:color w:val="000000" w:themeColor="text1"/>
        </w:rPr>
        <w:t>top Traffic! Tackling Demand for Sexual Services of Trafficked Women and Girls</w:t>
      </w:r>
      <w:r w:rsidRPr="00400206">
        <w:rPr>
          <w:color w:val="000000" w:themeColor="text1"/>
        </w:rPr>
        <w:t xml:space="preserve"> (Dublin, Ireland: ICI, 2014) at 32: “The overwhelming majority of buyers, who participated in the survey were male. The results from the online survey show that 98 per cent of respondents in Ireland were male, 93 per cent were male in Cyprus and 92 per cent in Finland. All of the interviewees in Bulgaria and Lithuania were male buyers.”</w:t>
      </w:r>
    </w:p>
  </w:footnote>
  <w:footnote w:id="6">
    <w:p w:rsidR="00B858A9" w:rsidRPr="00400206" w:rsidRDefault="00B858A9" w:rsidP="009F1C2F">
      <w:pPr>
        <w:pStyle w:val="FootnoteText"/>
        <w:rPr>
          <w:color w:val="000000" w:themeColor="text1"/>
        </w:rPr>
      </w:pPr>
      <w:r w:rsidRPr="00400206">
        <w:rPr>
          <w:rFonts w:eastAsia="Times New Roman"/>
          <w:color w:val="000000" w:themeColor="text1"/>
          <w:u w:color="222222"/>
          <w:vertAlign w:val="superscript"/>
        </w:rPr>
        <w:footnoteRef/>
      </w:r>
      <w:r w:rsidRPr="00400206">
        <w:rPr>
          <w:color w:val="000000" w:themeColor="text1"/>
        </w:rPr>
        <w:t xml:space="preserve"> See e.g. Ekberg, Gunilla S. and Werkman, Karin, </w:t>
      </w:r>
      <w:r w:rsidRPr="00400206">
        <w:rPr>
          <w:iCs/>
          <w:color w:val="000000" w:themeColor="text1"/>
        </w:rPr>
        <w:t>A Snapshot Study on the Prevalence, Laws, Policies and Practices regarding Prostitution and Trafficking in Human Beings for the Purpose of Sexual Exploitation in Belgium</w:t>
      </w:r>
      <w:r w:rsidRPr="00400206">
        <w:rPr>
          <w:color w:val="000000" w:themeColor="text1"/>
        </w:rPr>
        <w:t xml:space="preserve"> (Brussels, Belgium: SORBUS Research, 2016). </w:t>
      </w:r>
    </w:p>
  </w:footnote>
  <w:footnote w:id="7">
    <w:p w:rsidR="00B858A9" w:rsidRPr="00400206" w:rsidRDefault="00B858A9" w:rsidP="009F1C2F">
      <w:pPr>
        <w:pStyle w:val="FootnoteText"/>
        <w:rPr>
          <w:color w:val="000000" w:themeColor="text1"/>
        </w:rPr>
      </w:pPr>
      <w:r w:rsidRPr="00400206">
        <w:rPr>
          <w:rFonts w:eastAsia="Times New Roman"/>
          <w:color w:val="000000" w:themeColor="text1"/>
          <w:u w:color="222222"/>
          <w:vertAlign w:val="superscript"/>
        </w:rPr>
        <w:footnoteRef/>
      </w:r>
      <w:r w:rsidRPr="00400206">
        <w:rPr>
          <w:color w:val="000000" w:themeColor="text1"/>
        </w:rPr>
        <w:t xml:space="preserve"> </w:t>
      </w:r>
      <w:r w:rsidRPr="00400206">
        <w:rPr>
          <w:i/>
          <w:iCs/>
          <w:color w:val="000000" w:themeColor="text1"/>
        </w:rPr>
        <w:t>Supra</w:t>
      </w:r>
      <w:r w:rsidRPr="00400206">
        <w:rPr>
          <w:color w:val="000000" w:themeColor="text1"/>
        </w:rPr>
        <w:t xml:space="preserve">, at 111. </w:t>
      </w:r>
    </w:p>
  </w:footnote>
  <w:footnote w:id="8">
    <w:p w:rsidR="00B858A9" w:rsidRPr="00400206" w:rsidRDefault="00B858A9" w:rsidP="009F1C2F">
      <w:pPr>
        <w:pStyle w:val="FootnoteText"/>
        <w:rPr>
          <w:color w:val="000000" w:themeColor="text1"/>
        </w:rPr>
      </w:pPr>
      <w:r w:rsidRPr="00400206">
        <w:rPr>
          <w:rFonts w:eastAsia="Times New Roman"/>
          <w:color w:val="000000" w:themeColor="text1"/>
          <w:u w:color="222222"/>
          <w:vertAlign w:val="superscript"/>
        </w:rPr>
        <w:footnoteRef/>
      </w:r>
      <w:r w:rsidRPr="00400206">
        <w:rPr>
          <w:color w:val="000000" w:themeColor="text1"/>
        </w:rPr>
        <w:t xml:space="preserve"> </w:t>
      </w:r>
      <w:r w:rsidRPr="00400206">
        <w:rPr>
          <w:i/>
          <w:iCs/>
          <w:color w:val="000000" w:themeColor="text1"/>
        </w:rPr>
        <w:t>Supra</w:t>
      </w:r>
      <w:r w:rsidRPr="00400206">
        <w:rPr>
          <w:color w:val="000000" w:themeColor="text1"/>
        </w:rPr>
        <w:t xml:space="preserve">, at 109; </w:t>
      </w:r>
      <w:r w:rsidRPr="00400206">
        <w:rPr>
          <w:iCs/>
          <w:color w:val="000000" w:themeColor="text1"/>
        </w:rPr>
        <w:t>Stop Traffic! Tackling Demand for Sexual Services of Trafficked Women and Girls</w:t>
      </w:r>
      <w:r w:rsidRPr="00400206">
        <w:rPr>
          <w:color w:val="000000" w:themeColor="text1"/>
        </w:rPr>
        <w:t xml:space="preserve"> at 72-73; Kafa (Enough) Violence &amp; Exploitation, </w:t>
      </w:r>
      <w:r w:rsidRPr="00400206">
        <w:rPr>
          <w:iCs/>
          <w:color w:val="000000" w:themeColor="text1"/>
        </w:rPr>
        <w:t xml:space="preserve">Exploring the Demand for </w:t>
      </w:r>
      <w:r w:rsidR="00706153">
        <w:rPr>
          <w:iCs/>
          <w:color w:val="000000" w:themeColor="text1"/>
        </w:rPr>
        <w:tab/>
      </w:r>
      <w:r w:rsidRPr="00400206">
        <w:rPr>
          <w:iCs/>
          <w:color w:val="000000" w:themeColor="text1"/>
        </w:rPr>
        <w:t>Prostitution: What Male Buyers Say about Their Motives, Practices, and Perceptions</w:t>
      </w:r>
      <w:r w:rsidRPr="00400206">
        <w:rPr>
          <w:color w:val="000000" w:themeColor="text1"/>
        </w:rPr>
        <w:t xml:space="preserve"> (Beirut, Lebanon: Kafa, 2014) at 57.   </w:t>
      </w:r>
    </w:p>
  </w:footnote>
  <w:footnote w:id="9">
    <w:p w:rsidR="00DA79C0" w:rsidRPr="00400206" w:rsidRDefault="00DA79C0" w:rsidP="009F1C2F">
      <w:pPr>
        <w:pStyle w:val="FootnoteText"/>
      </w:pPr>
      <w:r w:rsidRPr="00400206">
        <w:rPr>
          <w:rStyle w:val="FootnoteReference"/>
        </w:rPr>
        <w:footnoteRef/>
      </w:r>
      <w:r w:rsidRPr="00400206">
        <w:t xml:space="preserve"> League of Nations </w:t>
      </w:r>
      <w:r w:rsidRPr="00400206">
        <w:rPr>
          <w:i/>
          <w:iCs/>
        </w:rPr>
        <w:t>Commission of Enquiry into Traffic in Women and Children in the East, 1932, C.849.M393.IV</w:t>
      </w:r>
    </w:p>
  </w:footnote>
  <w:footnote w:id="10">
    <w:p w:rsidR="00DE1446" w:rsidRPr="00400206" w:rsidRDefault="00DE1446" w:rsidP="009F1C2F">
      <w:pPr>
        <w:autoSpaceDE w:val="0"/>
        <w:autoSpaceDN w:val="0"/>
        <w:adjustRightInd w:val="0"/>
        <w:rPr>
          <w:sz w:val="20"/>
          <w:szCs w:val="20"/>
        </w:rPr>
      </w:pPr>
      <w:r w:rsidRPr="00400206">
        <w:rPr>
          <w:rStyle w:val="FootnoteReference"/>
          <w:sz w:val="20"/>
          <w:szCs w:val="20"/>
        </w:rPr>
        <w:footnoteRef/>
      </w:r>
      <w:r w:rsidRPr="00400206">
        <w:rPr>
          <w:sz w:val="20"/>
          <w:szCs w:val="20"/>
        </w:rPr>
        <w:t xml:space="preserve"> 23 See e.g. Seo-Young Cho, Axel Dreher and Eric Neumayer, “Does Legalized Prostitution Increase Human</w:t>
      </w:r>
    </w:p>
    <w:p w:rsidR="00DE1446" w:rsidRPr="00400206" w:rsidRDefault="00DE1446" w:rsidP="009F1C2F">
      <w:pPr>
        <w:pStyle w:val="FootnoteText"/>
      </w:pPr>
      <w:r w:rsidRPr="00400206">
        <w:t>Trafficking?” (2013) 41 World Development 67, and the annual situational reports by the Swedish National Rapporteur on Trafficking in Human Beings.</w:t>
      </w:r>
    </w:p>
  </w:footnote>
  <w:footnote w:id="11">
    <w:p w:rsidR="003342FC" w:rsidRPr="00400206" w:rsidRDefault="003342FC" w:rsidP="009F1C2F">
      <w:pPr>
        <w:pStyle w:val="NormalWeb"/>
        <w:spacing w:before="0" w:beforeAutospacing="0" w:after="0" w:afterAutospacing="0"/>
        <w:rPr>
          <w:sz w:val="20"/>
          <w:szCs w:val="20"/>
          <w:lang w:val="en-CA"/>
        </w:rPr>
      </w:pPr>
      <w:r w:rsidRPr="00400206">
        <w:rPr>
          <w:rStyle w:val="FootnoteReference"/>
          <w:sz w:val="20"/>
          <w:szCs w:val="20"/>
          <w:lang w:val="en-CA"/>
        </w:rPr>
        <w:footnoteRef/>
      </w:r>
      <w:r w:rsidRPr="00400206">
        <w:rPr>
          <w:sz w:val="20"/>
          <w:szCs w:val="20"/>
          <w:lang w:val="en-CA"/>
        </w:rPr>
        <w:t xml:space="preserve"> See e.g. the United Nations Declaration </w:t>
      </w:r>
      <w:r w:rsidRPr="00400206">
        <w:rPr>
          <w:color w:val="000000"/>
          <w:sz w:val="20"/>
          <w:szCs w:val="20"/>
          <w:lang w:val="en-CA"/>
        </w:rPr>
        <w:t xml:space="preserve">of Basic Principles of Justice </w:t>
      </w:r>
      <w:r w:rsidRPr="003342FC">
        <w:rPr>
          <w:sz w:val="20"/>
          <w:szCs w:val="20"/>
          <w:lang w:val="en-CA"/>
        </w:rPr>
        <w:t>for Victims of Crime and Abuse of Power</w:t>
      </w:r>
      <w:r w:rsidRPr="00400206">
        <w:rPr>
          <w:sz w:val="20"/>
          <w:szCs w:val="20"/>
          <w:lang w:val="en-CA"/>
        </w:rPr>
        <w:t xml:space="preserve"> (1985), the Palermo Protocol, and</w:t>
      </w:r>
      <w:r w:rsidR="009F1C2F" w:rsidRPr="00400206">
        <w:rPr>
          <w:sz w:val="20"/>
          <w:szCs w:val="20"/>
          <w:lang w:val="en-CA"/>
        </w:rPr>
        <w:t xml:space="preserve">, regionally, e.g. </w:t>
      </w:r>
      <w:r w:rsidR="009F1C2F" w:rsidRPr="00400206">
        <w:rPr>
          <w:color w:val="444444"/>
          <w:sz w:val="20"/>
          <w:szCs w:val="20"/>
          <w:lang w:val="en-CA"/>
        </w:rPr>
        <w:t>Directive 2012/29/EU of the European Parliament and of the Council of 25 October 2012 establishing minimum standards on the rights, support and protection of victims of crime.</w:t>
      </w:r>
    </w:p>
  </w:footnote>
  <w:footnote w:id="12">
    <w:p w:rsidR="00B858A9" w:rsidRPr="00400206" w:rsidRDefault="00B858A9" w:rsidP="001C01BA">
      <w:pPr>
        <w:autoSpaceDE w:val="0"/>
        <w:autoSpaceDN w:val="0"/>
        <w:adjustRightInd w:val="0"/>
        <w:rPr>
          <w:color w:val="000000" w:themeColor="text1"/>
          <w:sz w:val="20"/>
          <w:szCs w:val="20"/>
        </w:rPr>
      </w:pPr>
      <w:r w:rsidRPr="00400206">
        <w:rPr>
          <w:rStyle w:val="FootnoteReference"/>
          <w:color w:val="000000" w:themeColor="text1"/>
          <w:sz w:val="20"/>
          <w:szCs w:val="20"/>
        </w:rPr>
        <w:footnoteRef/>
      </w:r>
      <w:r w:rsidRPr="00400206">
        <w:rPr>
          <w:color w:val="000000" w:themeColor="text1"/>
          <w:sz w:val="20"/>
          <w:szCs w:val="20"/>
        </w:rPr>
        <w:t xml:space="preserve"> </w:t>
      </w:r>
      <w:r w:rsidR="003342FC" w:rsidRPr="00400206">
        <w:rPr>
          <w:color w:val="000000" w:themeColor="text1"/>
          <w:sz w:val="20"/>
          <w:szCs w:val="20"/>
        </w:rPr>
        <w:t>D</w:t>
      </w:r>
      <w:r w:rsidR="001C01BA" w:rsidRPr="00400206">
        <w:rPr>
          <w:color w:val="000000" w:themeColor="text1"/>
          <w:sz w:val="20"/>
          <w:szCs w:val="20"/>
        </w:rPr>
        <w:t>anish Refugee Council</w:t>
      </w:r>
      <w:r w:rsidR="00326A81" w:rsidRPr="00400206">
        <w:rPr>
          <w:color w:val="000000" w:themeColor="text1"/>
          <w:sz w:val="20"/>
          <w:szCs w:val="20"/>
        </w:rPr>
        <w:t>/Mixed Migration Centre</w:t>
      </w:r>
      <w:r w:rsidR="001C01BA" w:rsidRPr="00400206">
        <w:rPr>
          <w:color w:val="000000" w:themeColor="text1"/>
          <w:sz w:val="20"/>
          <w:szCs w:val="20"/>
        </w:rPr>
        <w:t>, Experiences of female refugees &amp; migrants in origin, transit and</w:t>
      </w:r>
      <w:r w:rsidR="00326A81" w:rsidRPr="00400206">
        <w:rPr>
          <w:color w:val="000000" w:themeColor="text1"/>
          <w:sz w:val="20"/>
          <w:szCs w:val="20"/>
        </w:rPr>
        <w:t xml:space="preserve"> </w:t>
      </w:r>
      <w:r w:rsidR="001C01BA" w:rsidRPr="00400206">
        <w:rPr>
          <w:color w:val="000000" w:themeColor="text1"/>
          <w:sz w:val="20"/>
          <w:szCs w:val="20"/>
        </w:rPr>
        <w:t>destination countries: A comparative study of women on the move from Afghanistan, East and West Africa</w:t>
      </w:r>
      <w:r w:rsidR="00326A81" w:rsidRPr="00400206">
        <w:rPr>
          <w:color w:val="000000" w:themeColor="text1"/>
          <w:sz w:val="20"/>
          <w:szCs w:val="20"/>
        </w:rPr>
        <w:t xml:space="preserve"> (September 2018).</w:t>
      </w:r>
    </w:p>
  </w:footnote>
  <w:footnote w:id="13">
    <w:p w:rsidR="003342FC" w:rsidRPr="00400206" w:rsidRDefault="003342FC" w:rsidP="009F1C2F">
      <w:pPr>
        <w:pStyle w:val="FootnoteText"/>
      </w:pPr>
      <w:r w:rsidRPr="00400206">
        <w:rPr>
          <w:rStyle w:val="FootnoteReference"/>
        </w:rPr>
        <w:footnoteRef/>
      </w:r>
      <w:r w:rsidRPr="00400206">
        <w:t xml:space="preserve"> Data provided by the Swedish Migration Agency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C7"/>
    <w:rsid w:val="0001344D"/>
    <w:rsid w:val="00034E04"/>
    <w:rsid w:val="00035534"/>
    <w:rsid w:val="0004194B"/>
    <w:rsid w:val="00083CBA"/>
    <w:rsid w:val="0009624E"/>
    <w:rsid w:val="00097BA0"/>
    <w:rsid w:val="000A4698"/>
    <w:rsid w:val="000B5602"/>
    <w:rsid w:val="000C7854"/>
    <w:rsid w:val="0011280E"/>
    <w:rsid w:val="00114966"/>
    <w:rsid w:val="00115423"/>
    <w:rsid w:val="00116873"/>
    <w:rsid w:val="00137CF1"/>
    <w:rsid w:val="00151414"/>
    <w:rsid w:val="00152DF6"/>
    <w:rsid w:val="001730EB"/>
    <w:rsid w:val="00181E25"/>
    <w:rsid w:val="0019216D"/>
    <w:rsid w:val="001925B7"/>
    <w:rsid w:val="00192BD9"/>
    <w:rsid w:val="00193EB4"/>
    <w:rsid w:val="001A3CA5"/>
    <w:rsid w:val="001C01BA"/>
    <w:rsid w:val="001D448C"/>
    <w:rsid w:val="001F3E29"/>
    <w:rsid w:val="00215FE9"/>
    <w:rsid w:val="00242C4A"/>
    <w:rsid w:val="0025638C"/>
    <w:rsid w:val="00275597"/>
    <w:rsid w:val="00275CE9"/>
    <w:rsid w:val="0027743A"/>
    <w:rsid w:val="00284117"/>
    <w:rsid w:val="002979C1"/>
    <w:rsid w:val="002B5C59"/>
    <w:rsid w:val="002C5A8E"/>
    <w:rsid w:val="002E2422"/>
    <w:rsid w:val="002E27AF"/>
    <w:rsid w:val="002E3056"/>
    <w:rsid w:val="002F21F9"/>
    <w:rsid w:val="00302885"/>
    <w:rsid w:val="0031410F"/>
    <w:rsid w:val="0032156C"/>
    <w:rsid w:val="00326A81"/>
    <w:rsid w:val="003342FC"/>
    <w:rsid w:val="00347E94"/>
    <w:rsid w:val="003557FF"/>
    <w:rsid w:val="003804A9"/>
    <w:rsid w:val="003B2004"/>
    <w:rsid w:val="003B2E6C"/>
    <w:rsid w:val="003C6A93"/>
    <w:rsid w:val="003D2053"/>
    <w:rsid w:val="003F551D"/>
    <w:rsid w:val="00400206"/>
    <w:rsid w:val="00412125"/>
    <w:rsid w:val="00443CA2"/>
    <w:rsid w:val="00455A04"/>
    <w:rsid w:val="00477760"/>
    <w:rsid w:val="00490095"/>
    <w:rsid w:val="0049179F"/>
    <w:rsid w:val="004A5E54"/>
    <w:rsid w:val="004A6D18"/>
    <w:rsid w:val="004B1149"/>
    <w:rsid w:val="004B6BD3"/>
    <w:rsid w:val="004D2426"/>
    <w:rsid w:val="004F4E3E"/>
    <w:rsid w:val="00533184"/>
    <w:rsid w:val="0055036F"/>
    <w:rsid w:val="005772E9"/>
    <w:rsid w:val="005A6A46"/>
    <w:rsid w:val="00640415"/>
    <w:rsid w:val="0065047A"/>
    <w:rsid w:val="00657112"/>
    <w:rsid w:val="006937EC"/>
    <w:rsid w:val="006963EC"/>
    <w:rsid w:val="006A454A"/>
    <w:rsid w:val="006A6776"/>
    <w:rsid w:val="006B6206"/>
    <w:rsid w:val="006F3EDA"/>
    <w:rsid w:val="00701CB5"/>
    <w:rsid w:val="00706153"/>
    <w:rsid w:val="00721842"/>
    <w:rsid w:val="0075782D"/>
    <w:rsid w:val="00761B30"/>
    <w:rsid w:val="007656BB"/>
    <w:rsid w:val="00785924"/>
    <w:rsid w:val="00786AB3"/>
    <w:rsid w:val="007A4EF0"/>
    <w:rsid w:val="007C2000"/>
    <w:rsid w:val="007E032A"/>
    <w:rsid w:val="007E3030"/>
    <w:rsid w:val="007E6546"/>
    <w:rsid w:val="008057E9"/>
    <w:rsid w:val="00815B07"/>
    <w:rsid w:val="00817FE4"/>
    <w:rsid w:val="00871F63"/>
    <w:rsid w:val="008A61EC"/>
    <w:rsid w:val="008C4574"/>
    <w:rsid w:val="008D3CD1"/>
    <w:rsid w:val="008E0C0A"/>
    <w:rsid w:val="009020C1"/>
    <w:rsid w:val="00904B4B"/>
    <w:rsid w:val="00911FC3"/>
    <w:rsid w:val="00933339"/>
    <w:rsid w:val="0094525C"/>
    <w:rsid w:val="009462AA"/>
    <w:rsid w:val="00981956"/>
    <w:rsid w:val="00984B7D"/>
    <w:rsid w:val="00986C14"/>
    <w:rsid w:val="009B5B9B"/>
    <w:rsid w:val="009C5A9C"/>
    <w:rsid w:val="009D658C"/>
    <w:rsid w:val="009F1C2F"/>
    <w:rsid w:val="009F6271"/>
    <w:rsid w:val="00A075E3"/>
    <w:rsid w:val="00A136DD"/>
    <w:rsid w:val="00A357C4"/>
    <w:rsid w:val="00A54213"/>
    <w:rsid w:val="00A708B7"/>
    <w:rsid w:val="00A85601"/>
    <w:rsid w:val="00A868EF"/>
    <w:rsid w:val="00A9351F"/>
    <w:rsid w:val="00AD00E1"/>
    <w:rsid w:val="00B033DC"/>
    <w:rsid w:val="00B054DE"/>
    <w:rsid w:val="00B1639F"/>
    <w:rsid w:val="00B53CE7"/>
    <w:rsid w:val="00B858A9"/>
    <w:rsid w:val="00B87025"/>
    <w:rsid w:val="00BD446A"/>
    <w:rsid w:val="00BD781D"/>
    <w:rsid w:val="00C41E68"/>
    <w:rsid w:val="00C47F75"/>
    <w:rsid w:val="00C572F0"/>
    <w:rsid w:val="00C857C5"/>
    <w:rsid w:val="00C90FCF"/>
    <w:rsid w:val="00C929D2"/>
    <w:rsid w:val="00C9708F"/>
    <w:rsid w:val="00CB3B9E"/>
    <w:rsid w:val="00CC42E3"/>
    <w:rsid w:val="00CD15C1"/>
    <w:rsid w:val="00CF00E3"/>
    <w:rsid w:val="00CF74C9"/>
    <w:rsid w:val="00CF773D"/>
    <w:rsid w:val="00D04752"/>
    <w:rsid w:val="00D129C7"/>
    <w:rsid w:val="00D42D28"/>
    <w:rsid w:val="00D674ED"/>
    <w:rsid w:val="00D7573E"/>
    <w:rsid w:val="00D771FA"/>
    <w:rsid w:val="00D847B9"/>
    <w:rsid w:val="00DA312D"/>
    <w:rsid w:val="00DA79C0"/>
    <w:rsid w:val="00DD2204"/>
    <w:rsid w:val="00DD29C1"/>
    <w:rsid w:val="00DE1446"/>
    <w:rsid w:val="00DF4E28"/>
    <w:rsid w:val="00E2791D"/>
    <w:rsid w:val="00E412D2"/>
    <w:rsid w:val="00E77019"/>
    <w:rsid w:val="00E85CDF"/>
    <w:rsid w:val="00E86A8A"/>
    <w:rsid w:val="00E90BEC"/>
    <w:rsid w:val="00EB3374"/>
    <w:rsid w:val="00ED18A7"/>
    <w:rsid w:val="00EE38A9"/>
    <w:rsid w:val="00EF4723"/>
    <w:rsid w:val="00F10F66"/>
    <w:rsid w:val="00F13F4F"/>
    <w:rsid w:val="00F43D49"/>
    <w:rsid w:val="00F44092"/>
    <w:rsid w:val="00F71D0E"/>
    <w:rsid w:val="00F8681E"/>
    <w:rsid w:val="00F93208"/>
    <w:rsid w:val="00FB0F64"/>
    <w:rsid w:val="00FB2EE5"/>
    <w:rsid w:val="00FB3F99"/>
    <w:rsid w:val="00FC0543"/>
    <w:rsid w:val="00FD0C27"/>
    <w:rsid w:val="00FD5878"/>
    <w:rsid w:val="00FD674D"/>
    <w:rsid w:val="00FD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EA9E9-6B25-264B-9866-E83D9DA6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2">
    <w:name w:val="heading 2"/>
    <w:basedOn w:val="Normal"/>
    <w:link w:val="Heading2Char"/>
    <w:uiPriority w:val="9"/>
    <w:qFormat/>
    <w:rsid w:val="00C90FCF"/>
    <w:pPr>
      <w:spacing w:before="100" w:beforeAutospacing="1" w:after="100" w:afterAutospacing="1"/>
      <w:outlineLvl w:val="1"/>
    </w:pPr>
    <w:rPr>
      <w:rFonts w:eastAsia="Times New Roman"/>
      <w:b/>
      <w:bCs/>
      <w:color w:val="auto"/>
      <w:sz w:val="36"/>
      <w:szCs w:val="36"/>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9C7"/>
    <w:rPr>
      <w:sz w:val="18"/>
      <w:szCs w:val="18"/>
    </w:rPr>
  </w:style>
  <w:style w:type="character" w:customStyle="1" w:styleId="BalloonTextChar">
    <w:name w:val="Balloon Text Char"/>
    <w:basedOn w:val="DefaultParagraphFont"/>
    <w:link w:val="BalloonText"/>
    <w:uiPriority w:val="99"/>
    <w:semiHidden/>
    <w:rsid w:val="00D129C7"/>
    <w:rPr>
      <w:sz w:val="18"/>
      <w:szCs w:val="18"/>
      <w:lang w:val="en-CA"/>
    </w:rPr>
  </w:style>
  <w:style w:type="paragraph" w:customStyle="1" w:styleId="Default">
    <w:name w:val="Default"/>
    <w:rsid w:val="005772E9"/>
    <w:pPr>
      <w:autoSpaceDE w:val="0"/>
      <w:autoSpaceDN w:val="0"/>
      <w:adjustRightInd w:val="0"/>
    </w:pPr>
  </w:style>
  <w:style w:type="paragraph" w:customStyle="1" w:styleId="BodyC">
    <w:name w:val="Body C"/>
    <w:rsid w:val="00761B30"/>
    <w:pPr>
      <w:pBdr>
        <w:top w:val="nil"/>
        <w:left w:val="nil"/>
        <w:bottom w:val="nil"/>
        <w:right w:val="nil"/>
        <w:between w:val="nil"/>
        <w:bar w:val="nil"/>
      </w:pBdr>
      <w:spacing w:after="200" w:line="276" w:lineRule="auto"/>
    </w:pPr>
    <w:rPr>
      <w:rFonts w:ascii="Calibri" w:eastAsia="Calibri" w:hAnsi="Calibri" w:cs="Calibri"/>
      <w:sz w:val="22"/>
      <w:szCs w:val="22"/>
      <w:u w:color="000000"/>
      <w:bdr w:val="nil"/>
      <w:lang w:val="nl-NL"/>
    </w:rPr>
  </w:style>
  <w:style w:type="character" w:customStyle="1" w:styleId="None">
    <w:name w:val="None"/>
    <w:rsid w:val="00761B30"/>
  </w:style>
  <w:style w:type="paragraph" w:styleId="NoSpacing">
    <w:name w:val="No Spacing"/>
    <w:rsid w:val="00761B30"/>
    <w:pPr>
      <w:pBdr>
        <w:top w:val="nil"/>
        <w:left w:val="nil"/>
        <w:bottom w:val="nil"/>
        <w:right w:val="nil"/>
        <w:between w:val="nil"/>
        <w:bar w:val="nil"/>
      </w:pBdr>
    </w:pPr>
    <w:rPr>
      <w:rFonts w:ascii="Calibri" w:eastAsia="Calibri" w:hAnsi="Calibri" w:cs="Calibri"/>
      <w:sz w:val="22"/>
      <w:szCs w:val="22"/>
      <w:u w:color="000000"/>
      <w:bdr w:val="nil"/>
    </w:rPr>
  </w:style>
  <w:style w:type="paragraph" w:styleId="FootnoteText">
    <w:name w:val="footnote text"/>
    <w:basedOn w:val="Normal"/>
    <w:link w:val="FootnoteTextChar"/>
    <w:unhideWhenUsed/>
    <w:rsid w:val="009F6271"/>
    <w:rPr>
      <w:sz w:val="20"/>
      <w:szCs w:val="20"/>
    </w:rPr>
  </w:style>
  <w:style w:type="character" w:customStyle="1" w:styleId="FootnoteTextChar">
    <w:name w:val="Footnote Text Char"/>
    <w:basedOn w:val="DefaultParagraphFont"/>
    <w:link w:val="FootnoteText"/>
    <w:uiPriority w:val="99"/>
    <w:semiHidden/>
    <w:rsid w:val="009F6271"/>
    <w:rPr>
      <w:sz w:val="20"/>
      <w:szCs w:val="20"/>
      <w:lang w:val="en-CA"/>
    </w:rPr>
  </w:style>
  <w:style w:type="character" w:styleId="FootnoteReference">
    <w:name w:val="footnote reference"/>
    <w:basedOn w:val="DefaultParagraphFont"/>
    <w:uiPriority w:val="99"/>
    <w:semiHidden/>
    <w:unhideWhenUsed/>
    <w:rsid w:val="009F6271"/>
    <w:rPr>
      <w:vertAlign w:val="superscript"/>
    </w:rPr>
  </w:style>
  <w:style w:type="paragraph" w:styleId="NormalWeb">
    <w:name w:val="Normal (Web)"/>
    <w:basedOn w:val="Normal"/>
    <w:uiPriority w:val="99"/>
    <w:unhideWhenUsed/>
    <w:rsid w:val="00FB2EE5"/>
    <w:pPr>
      <w:spacing w:before="100" w:beforeAutospacing="1" w:after="100" w:afterAutospacing="1"/>
    </w:pPr>
    <w:rPr>
      <w:rFonts w:eastAsia="Times New Roman"/>
      <w:color w:val="auto"/>
      <w:lang w:val="sv-SE"/>
    </w:rPr>
  </w:style>
  <w:style w:type="character" w:customStyle="1" w:styleId="apple-converted-space">
    <w:name w:val="apple-converted-space"/>
    <w:basedOn w:val="DefaultParagraphFont"/>
    <w:rsid w:val="00FB2EE5"/>
  </w:style>
  <w:style w:type="character" w:styleId="Hyperlink">
    <w:name w:val="Hyperlink"/>
    <w:basedOn w:val="DefaultParagraphFont"/>
    <w:uiPriority w:val="99"/>
    <w:unhideWhenUsed/>
    <w:rsid w:val="00FB2EE5"/>
    <w:rPr>
      <w:color w:val="0000FF"/>
      <w:u w:val="single"/>
    </w:rPr>
  </w:style>
  <w:style w:type="character" w:customStyle="1" w:styleId="UnresolvedMention">
    <w:name w:val="Unresolved Mention"/>
    <w:basedOn w:val="DefaultParagraphFont"/>
    <w:uiPriority w:val="99"/>
    <w:rsid w:val="00FB2EE5"/>
    <w:rPr>
      <w:color w:val="605E5C"/>
      <w:shd w:val="clear" w:color="auto" w:fill="E1DFDD"/>
    </w:rPr>
  </w:style>
  <w:style w:type="paragraph" w:customStyle="1" w:styleId="contenttext">
    <w:name w:val="contenttext"/>
    <w:basedOn w:val="Normal"/>
    <w:rsid w:val="0031410F"/>
    <w:pPr>
      <w:spacing w:before="100" w:beforeAutospacing="1" w:after="100" w:afterAutospacing="1"/>
    </w:pPr>
    <w:rPr>
      <w:rFonts w:eastAsia="Times New Roman"/>
      <w:color w:val="auto"/>
      <w:lang w:val="sv-SE"/>
    </w:rPr>
  </w:style>
  <w:style w:type="character" w:customStyle="1" w:styleId="Heading2Char">
    <w:name w:val="Heading 2 Char"/>
    <w:basedOn w:val="DefaultParagraphFont"/>
    <w:link w:val="Heading2"/>
    <w:uiPriority w:val="9"/>
    <w:rsid w:val="00C90FCF"/>
    <w:rPr>
      <w:rFonts w:eastAsia="Times New Roman"/>
      <w:b/>
      <w:bCs/>
      <w:color w:val="auto"/>
      <w:sz w:val="36"/>
      <w:szCs w:val="36"/>
      <w:lang w:val="sv-SE"/>
    </w:rPr>
  </w:style>
  <w:style w:type="character" w:customStyle="1" w:styleId="m-7425071603705253913gmail-none">
    <w:name w:val="m_-7425071603705253913gmail-none"/>
    <w:basedOn w:val="DefaultParagraphFont"/>
    <w:rsid w:val="00F93208"/>
  </w:style>
  <w:style w:type="paragraph" w:customStyle="1" w:styleId="m-7425071603705253913gmail-msonospacing">
    <w:name w:val="m_-7425071603705253913gmail-msonospacing"/>
    <w:basedOn w:val="Normal"/>
    <w:rsid w:val="00F93208"/>
    <w:pPr>
      <w:spacing w:before="100" w:beforeAutospacing="1" w:after="100" w:afterAutospacing="1"/>
    </w:pPr>
    <w:rPr>
      <w:rFonts w:eastAsia="Times New Roman"/>
      <w:color w:val="auto"/>
      <w:lang w:val="sv-SE"/>
    </w:rPr>
  </w:style>
  <w:style w:type="paragraph" w:customStyle="1" w:styleId="m-7425071603705253913gmail-bodyc">
    <w:name w:val="m_-7425071603705253913gmail-bodyc"/>
    <w:basedOn w:val="Normal"/>
    <w:rsid w:val="00F93208"/>
    <w:pPr>
      <w:spacing w:before="100" w:beforeAutospacing="1" w:after="100" w:afterAutospacing="1"/>
    </w:pPr>
    <w:rPr>
      <w:rFonts w:eastAsia="Times New Roman"/>
      <w:color w:val="auto"/>
      <w:lang w:val="sv-SE"/>
    </w:rPr>
  </w:style>
  <w:style w:type="character" w:customStyle="1" w:styleId="m-7425071603705253913gmail-msofootnotereference">
    <w:name w:val="m_-7425071603705253913gmail-msofootnotereference"/>
    <w:basedOn w:val="DefaultParagraphFont"/>
    <w:rsid w:val="00F93208"/>
  </w:style>
  <w:style w:type="character" w:customStyle="1" w:styleId="gmaildefault">
    <w:name w:val="gmail_default"/>
    <w:basedOn w:val="DefaultParagraphFont"/>
    <w:rsid w:val="00F93208"/>
  </w:style>
  <w:style w:type="paragraph" w:styleId="HTMLPreformatted">
    <w:name w:val="HTML Preformatted"/>
    <w:basedOn w:val="Normal"/>
    <w:link w:val="HTMLPreformattedChar"/>
    <w:uiPriority w:val="99"/>
    <w:unhideWhenUsed/>
    <w:rsid w:val="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sv-SE"/>
    </w:rPr>
  </w:style>
  <w:style w:type="character" w:customStyle="1" w:styleId="HTMLPreformattedChar">
    <w:name w:val="HTML Preformatted Char"/>
    <w:basedOn w:val="DefaultParagraphFont"/>
    <w:link w:val="HTMLPreformatted"/>
    <w:uiPriority w:val="99"/>
    <w:rsid w:val="003342FC"/>
    <w:rPr>
      <w:rFonts w:ascii="Courier New" w:eastAsia="Times New Roman" w:hAnsi="Courier New" w:cs="Courier New"/>
      <w:color w:val="auto"/>
      <w:sz w:val="20"/>
      <w:szCs w:val="20"/>
      <w:lang w:val="sv-SE"/>
    </w:rPr>
  </w:style>
  <w:style w:type="character" w:customStyle="1" w:styleId="Hyperlink1">
    <w:name w:val="Hyperlink.1"/>
    <w:basedOn w:val="None"/>
    <w:rsid w:val="00817FE4"/>
    <w:rPr>
      <w:rFonts w:ascii="Times New Roman" w:eastAsia="Times New Roman" w:hAnsi="Times New Roman" w:cs="Times New Roman"/>
      <w:color w:val="0000FF"/>
      <w:sz w:val="24"/>
      <w:szCs w:val="24"/>
      <w:u w:val="single" w:color="0000FF"/>
      <w:lang w:val="en-US"/>
    </w:rPr>
  </w:style>
  <w:style w:type="character" w:styleId="FollowedHyperlink">
    <w:name w:val="FollowedHyperlink"/>
    <w:basedOn w:val="DefaultParagraphFont"/>
    <w:uiPriority w:val="99"/>
    <w:semiHidden/>
    <w:unhideWhenUsed/>
    <w:rsid w:val="00E86A8A"/>
    <w:rPr>
      <w:color w:val="954F72" w:themeColor="followedHyperlink"/>
      <w:u w:val="single"/>
    </w:rPr>
  </w:style>
  <w:style w:type="paragraph" w:styleId="Header">
    <w:name w:val="header"/>
    <w:basedOn w:val="Normal"/>
    <w:link w:val="HeaderChar"/>
    <w:uiPriority w:val="99"/>
    <w:unhideWhenUsed/>
    <w:rsid w:val="00AD00E1"/>
    <w:pPr>
      <w:tabs>
        <w:tab w:val="center" w:pos="4513"/>
        <w:tab w:val="right" w:pos="9026"/>
      </w:tabs>
    </w:pPr>
  </w:style>
  <w:style w:type="character" w:customStyle="1" w:styleId="HeaderChar">
    <w:name w:val="Header Char"/>
    <w:basedOn w:val="DefaultParagraphFont"/>
    <w:link w:val="Header"/>
    <w:uiPriority w:val="99"/>
    <w:rsid w:val="00AD00E1"/>
    <w:rPr>
      <w:lang w:val="en-CA"/>
    </w:rPr>
  </w:style>
  <w:style w:type="paragraph" w:styleId="Footer">
    <w:name w:val="footer"/>
    <w:basedOn w:val="Normal"/>
    <w:link w:val="FooterChar"/>
    <w:uiPriority w:val="99"/>
    <w:unhideWhenUsed/>
    <w:rsid w:val="00AD00E1"/>
    <w:pPr>
      <w:tabs>
        <w:tab w:val="center" w:pos="4513"/>
        <w:tab w:val="right" w:pos="9026"/>
      </w:tabs>
    </w:pPr>
  </w:style>
  <w:style w:type="character" w:customStyle="1" w:styleId="FooterChar">
    <w:name w:val="Footer Char"/>
    <w:basedOn w:val="DefaultParagraphFont"/>
    <w:link w:val="Footer"/>
    <w:uiPriority w:val="99"/>
    <w:rsid w:val="00AD00E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1697">
      <w:bodyDiv w:val="1"/>
      <w:marLeft w:val="0"/>
      <w:marRight w:val="0"/>
      <w:marTop w:val="0"/>
      <w:marBottom w:val="0"/>
      <w:divBdr>
        <w:top w:val="none" w:sz="0" w:space="0" w:color="auto"/>
        <w:left w:val="none" w:sz="0" w:space="0" w:color="auto"/>
        <w:bottom w:val="none" w:sz="0" w:space="0" w:color="auto"/>
        <w:right w:val="none" w:sz="0" w:space="0" w:color="auto"/>
      </w:divBdr>
    </w:div>
    <w:div w:id="415710961">
      <w:bodyDiv w:val="1"/>
      <w:marLeft w:val="0"/>
      <w:marRight w:val="0"/>
      <w:marTop w:val="0"/>
      <w:marBottom w:val="0"/>
      <w:divBdr>
        <w:top w:val="none" w:sz="0" w:space="0" w:color="auto"/>
        <w:left w:val="none" w:sz="0" w:space="0" w:color="auto"/>
        <w:bottom w:val="none" w:sz="0" w:space="0" w:color="auto"/>
        <w:right w:val="none" w:sz="0" w:space="0" w:color="auto"/>
      </w:divBdr>
    </w:div>
    <w:div w:id="475218542">
      <w:bodyDiv w:val="1"/>
      <w:marLeft w:val="0"/>
      <w:marRight w:val="0"/>
      <w:marTop w:val="0"/>
      <w:marBottom w:val="0"/>
      <w:divBdr>
        <w:top w:val="none" w:sz="0" w:space="0" w:color="auto"/>
        <w:left w:val="none" w:sz="0" w:space="0" w:color="auto"/>
        <w:bottom w:val="none" w:sz="0" w:space="0" w:color="auto"/>
        <w:right w:val="none" w:sz="0" w:space="0" w:color="auto"/>
      </w:divBdr>
    </w:div>
    <w:div w:id="510991309">
      <w:bodyDiv w:val="1"/>
      <w:marLeft w:val="0"/>
      <w:marRight w:val="0"/>
      <w:marTop w:val="0"/>
      <w:marBottom w:val="0"/>
      <w:divBdr>
        <w:top w:val="none" w:sz="0" w:space="0" w:color="auto"/>
        <w:left w:val="none" w:sz="0" w:space="0" w:color="auto"/>
        <w:bottom w:val="none" w:sz="0" w:space="0" w:color="auto"/>
        <w:right w:val="none" w:sz="0" w:space="0" w:color="auto"/>
      </w:divBdr>
    </w:div>
    <w:div w:id="537015420">
      <w:bodyDiv w:val="1"/>
      <w:marLeft w:val="0"/>
      <w:marRight w:val="0"/>
      <w:marTop w:val="0"/>
      <w:marBottom w:val="0"/>
      <w:divBdr>
        <w:top w:val="none" w:sz="0" w:space="0" w:color="auto"/>
        <w:left w:val="none" w:sz="0" w:space="0" w:color="auto"/>
        <w:bottom w:val="none" w:sz="0" w:space="0" w:color="auto"/>
        <w:right w:val="none" w:sz="0" w:space="0" w:color="auto"/>
      </w:divBdr>
    </w:div>
    <w:div w:id="615985350">
      <w:bodyDiv w:val="1"/>
      <w:marLeft w:val="0"/>
      <w:marRight w:val="0"/>
      <w:marTop w:val="0"/>
      <w:marBottom w:val="0"/>
      <w:divBdr>
        <w:top w:val="none" w:sz="0" w:space="0" w:color="auto"/>
        <w:left w:val="none" w:sz="0" w:space="0" w:color="auto"/>
        <w:bottom w:val="none" w:sz="0" w:space="0" w:color="auto"/>
        <w:right w:val="none" w:sz="0" w:space="0" w:color="auto"/>
      </w:divBdr>
    </w:div>
    <w:div w:id="820004412">
      <w:bodyDiv w:val="1"/>
      <w:marLeft w:val="0"/>
      <w:marRight w:val="0"/>
      <w:marTop w:val="0"/>
      <w:marBottom w:val="0"/>
      <w:divBdr>
        <w:top w:val="none" w:sz="0" w:space="0" w:color="auto"/>
        <w:left w:val="none" w:sz="0" w:space="0" w:color="auto"/>
        <w:bottom w:val="none" w:sz="0" w:space="0" w:color="auto"/>
        <w:right w:val="none" w:sz="0" w:space="0" w:color="auto"/>
      </w:divBdr>
    </w:div>
    <w:div w:id="992102790">
      <w:bodyDiv w:val="1"/>
      <w:marLeft w:val="0"/>
      <w:marRight w:val="0"/>
      <w:marTop w:val="0"/>
      <w:marBottom w:val="0"/>
      <w:divBdr>
        <w:top w:val="none" w:sz="0" w:space="0" w:color="auto"/>
        <w:left w:val="none" w:sz="0" w:space="0" w:color="auto"/>
        <w:bottom w:val="none" w:sz="0" w:space="0" w:color="auto"/>
        <w:right w:val="none" w:sz="0" w:space="0" w:color="auto"/>
      </w:divBdr>
    </w:div>
    <w:div w:id="1107458269">
      <w:bodyDiv w:val="1"/>
      <w:marLeft w:val="0"/>
      <w:marRight w:val="0"/>
      <w:marTop w:val="0"/>
      <w:marBottom w:val="0"/>
      <w:divBdr>
        <w:top w:val="none" w:sz="0" w:space="0" w:color="auto"/>
        <w:left w:val="none" w:sz="0" w:space="0" w:color="auto"/>
        <w:bottom w:val="none" w:sz="0" w:space="0" w:color="auto"/>
        <w:right w:val="none" w:sz="0" w:space="0" w:color="auto"/>
      </w:divBdr>
    </w:div>
    <w:div w:id="1539779739">
      <w:bodyDiv w:val="1"/>
      <w:marLeft w:val="0"/>
      <w:marRight w:val="0"/>
      <w:marTop w:val="0"/>
      <w:marBottom w:val="0"/>
      <w:divBdr>
        <w:top w:val="none" w:sz="0" w:space="0" w:color="auto"/>
        <w:left w:val="none" w:sz="0" w:space="0" w:color="auto"/>
        <w:bottom w:val="none" w:sz="0" w:space="0" w:color="auto"/>
        <w:right w:val="none" w:sz="0" w:space="0" w:color="auto"/>
      </w:divBdr>
    </w:div>
    <w:div w:id="1580361074">
      <w:bodyDiv w:val="1"/>
      <w:marLeft w:val="0"/>
      <w:marRight w:val="0"/>
      <w:marTop w:val="0"/>
      <w:marBottom w:val="0"/>
      <w:divBdr>
        <w:top w:val="none" w:sz="0" w:space="0" w:color="auto"/>
        <w:left w:val="none" w:sz="0" w:space="0" w:color="auto"/>
        <w:bottom w:val="none" w:sz="0" w:space="0" w:color="auto"/>
        <w:right w:val="none" w:sz="0" w:space="0" w:color="auto"/>
      </w:divBdr>
    </w:div>
    <w:div w:id="1655908919">
      <w:bodyDiv w:val="1"/>
      <w:marLeft w:val="0"/>
      <w:marRight w:val="0"/>
      <w:marTop w:val="0"/>
      <w:marBottom w:val="0"/>
      <w:divBdr>
        <w:top w:val="none" w:sz="0" w:space="0" w:color="auto"/>
        <w:left w:val="none" w:sz="0" w:space="0" w:color="auto"/>
        <w:bottom w:val="none" w:sz="0" w:space="0" w:color="auto"/>
        <w:right w:val="none" w:sz="0" w:space="0" w:color="auto"/>
      </w:divBdr>
      <w:divsChild>
        <w:div w:id="1238399958">
          <w:marLeft w:val="0"/>
          <w:marRight w:val="0"/>
          <w:marTop w:val="0"/>
          <w:marBottom w:val="0"/>
          <w:divBdr>
            <w:top w:val="none" w:sz="0" w:space="0" w:color="auto"/>
            <w:left w:val="none" w:sz="0" w:space="0" w:color="auto"/>
            <w:bottom w:val="none" w:sz="0" w:space="0" w:color="auto"/>
            <w:right w:val="none" w:sz="0" w:space="0" w:color="auto"/>
          </w:divBdr>
        </w:div>
      </w:divsChild>
    </w:div>
    <w:div w:id="1712001828">
      <w:bodyDiv w:val="1"/>
      <w:marLeft w:val="0"/>
      <w:marRight w:val="0"/>
      <w:marTop w:val="0"/>
      <w:marBottom w:val="0"/>
      <w:divBdr>
        <w:top w:val="none" w:sz="0" w:space="0" w:color="auto"/>
        <w:left w:val="none" w:sz="0" w:space="0" w:color="auto"/>
        <w:bottom w:val="none" w:sz="0" w:space="0" w:color="auto"/>
        <w:right w:val="none" w:sz="0" w:space="0" w:color="auto"/>
      </w:divBdr>
    </w:div>
    <w:div w:id="1846551828">
      <w:bodyDiv w:val="1"/>
      <w:marLeft w:val="0"/>
      <w:marRight w:val="0"/>
      <w:marTop w:val="0"/>
      <w:marBottom w:val="0"/>
      <w:divBdr>
        <w:top w:val="none" w:sz="0" w:space="0" w:color="auto"/>
        <w:left w:val="none" w:sz="0" w:space="0" w:color="auto"/>
        <w:bottom w:val="none" w:sz="0" w:space="0" w:color="auto"/>
        <w:right w:val="none" w:sz="0" w:space="0" w:color="auto"/>
      </w:divBdr>
    </w:div>
    <w:div w:id="19670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ekberg@feminismandhumanrights.org"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feminismandhumanright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feminismandhumanrights.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4627D8-1700-4959-8B04-B0562E0B1967}"/>
</file>

<file path=customXml/itemProps2.xml><?xml version="1.0" encoding="utf-8"?>
<ds:datastoreItem xmlns:ds="http://schemas.openxmlformats.org/officeDocument/2006/customXml" ds:itemID="{5C54B1FC-756E-42EC-AA58-75414A41A180}"/>
</file>

<file path=customXml/itemProps3.xml><?xml version="1.0" encoding="utf-8"?>
<ds:datastoreItem xmlns:ds="http://schemas.openxmlformats.org/officeDocument/2006/customXml" ds:itemID="{0E437BB5-52F0-4E1B-9DB2-706126EDFCDB}"/>
</file>

<file path=docProps/app.xml><?xml version="1.0" encoding="utf-8"?>
<Properties xmlns="http://schemas.openxmlformats.org/officeDocument/2006/extended-properties" xmlns:vt="http://schemas.openxmlformats.org/officeDocument/2006/docPropsVTypes">
  <Template>Normal.dotm</Template>
  <TotalTime>0</TotalTime>
  <Pages>9</Pages>
  <Words>3473</Words>
  <Characters>19799</Characters>
  <Application>Microsoft Office Word</Application>
  <DocSecurity>6</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S. Ekberg</dc:creator>
  <cp:keywords/>
  <dc:description/>
  <cp:lastModifiedBy>Daniela Buchmann</cp:lastModifiedBy>
  <cp:revision>2</cp:revision>
  <cp:lastPrinted>2019-02-18T17:38:00Z</cp:lastPrinted>
  <dcterms:created xsi:type="dcterms:W3CDTF">2019-02-19T13:30:00Z</dcterms:created>
  <dcterms:modified xsi:type="dcterms:W3CDTF">2019-02-19T13:30:00Z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