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891C" w14:textId="77777777" w:rsidR="0098387C" w:rsidRPr="007954CA" w:rsidRDefault="0098387C" w:rsidP="00F91547">
      <w:pPr>
        <w:pStyle w:val="Heading1"/>
        <w:spacing w:after="0"/>
        <w:jc w:val="center"/>
        <w:rPr>
          <w:rFonts w:ascii="Times New Roman" w:hAnsi="Times New Roman" w:cs="Times New Roman"/>
          <w:b/>
          <w:color w:val="000000" w:themeColor="text1"/>
          <w:sz w:val="24"/>
          <w:szCs w:val="24"/>
        </w:rPr>
      </w:pPr>
      <w:r w:rsidRPr="007954CA">
        <w:rPr>
          <w:rFonts w:ascii="Times New Roman" w:hAnsi="Times New Roman" w:cs="Times New Roman"/>
          <w:b/>
          <w:color w:val="000000" w:themeColor="text1"/>
          <w:sz w:val="24"/>
          <w:szCs w:val="24"/>
        </w:rPr>
        <w:t>Lawyers Collective, India</w:t>
      </w:r>
      <w:r w:rsidRPr="007954CA">
        <w:rPr>
          <w:rStyle w:val="FootnoteReference"/>
          <w:rFonts w:ascii="Times New Roman" w:hAnsi="Times New Roman" w:cs="Times New Roman"/>
          <w:b/>
          <w:color w:val="000000" w:themeColor="text1"/>
          <w:sz w:val="24"/>
          <w:szCs w:val="24"/>
        </w:rPr>
        <w:footnoteReference w:id="1"/>
      </w:r>
    </w:p>
    <w:p w14:paraId="19C21301" w14:textId="52A89FC7" w:rsidR="00907BB5" w:rsidRDefault="00907BB5" w:rsidP="00907BB5">
      <w:pPr>
        <w:jc w:val="center"/>
        <w:rPr>
          <w:b/>
        </w:rPr>
      </w:pPr>
      <w:r w:rsidRPr="007954CA">
        <w:rPr>
          <w:b/>
        </w:rPr>
        <w:t>CONTRI</w:t>
      </w:r>
      <w:r w:rsidR="008C2898">
        <w:rPr>
          <w:b/>
        </w:rPr>
        <w:t xml:space="preserve">BUTION TO </w:t>
      </w:r>
      <w:r w:rsidRPr="007954CA">
        <w:rPr>
          <w:b/>
        </w:rPr>
        <w:t>DRAFT GENERAL RECOMMENDATION ON TRAFFICKING OF WOMEN AND GIRLS IN THE CONTEXT OF GLOBAL MIGRATION</w:t>
      </w:r>
    </w:p>
    <w:p w14:paraId="498F1F1A" w14:textId="77777777" w:rsidR="00F91547" w:rsidRDefault="00F91547" w:rsidP="00907BB5">
      <w:pPr>
        <w:jc w:val="center"/>
        <w:rPr>
          <w:b/>
        </w:rPr>
      </w:pPr>
    </w:p>
    <w:p w14:paraId="6F887F3F" w14:textId="6286930A" w:rsidR="00F91547" w:rsidRPr="007954CA" w:rsidRDefault="00F91547" w:rsidP="00907BB5">
      <w:pPr>
        <w:jc w:val="center"/>
        <w:rPr>
          <w:b/>
        </w:rPr>
      </w:pPr>
      <w:r w:rsidRPr="007538BE">
        <w:rPr>
          <w:b/>
          <w:noProof/>
          <w:color w:val="000000" w:themeColor="text1"/>
          <w:u w:val="single"/>
          <w:lang w:val="en-GB" w:eastAsia="en-GB"/>
        </w:rPr>
        <w:drawing>
          <wp:inline distT="0" distB="0" distL="0" distR="0" wp14:anchorId="5FC3C9E9" wp14:editId="7525E355">
            <wp:extent cx="2809102"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srcRect/>
                    <a:stretch>
                      <a:fillRect/>
                    </a:stretch>
                  </pic:blipFill>
                  <pic:spPr bwMode="auto">
                    <a:xfrm>
                      <a:off x="0" y="0"/>
                      <a:ext cx="2810435" cy="304945"/>
                    </a:xfrm>
                    <a:prstGeom prst="rect">
                      <a:avLst/>
                    </a:prstGeom>
                    <a:noFill/>
                    <a:ln w="9525">
                      <a:noFill/>
                      <a:miter lim="800000"/>
                      <a:headEnd/>
                      <a:tailEnd/>
                    </a:ln>
                  </pic:spPr>
                </pic:pic>
              </a:graphicData>
            </a:graphic>
          </wp:inline>
        </w:drawing>
      </w:r>
    </w:p>
    <w:p w14:paraId="2FBACE8C" w14:textId="77777777" w:rsidR="00CF2657" w:rsidRPr="007538BE" w:rsidRDefault="00CF2657" w:rsidP="0098387C">
      <w:pPr>
        <w:spacing w:line="276" w:lineRule="auto"/>
        <w:rPr>
          <w:b/>
          <w:color w:val="000000" w:themeColor="text1"/>
          <w:u w:val="single"/>
        </w:rPr>
      </w:pPr>
    </w:p>
    <w:p w14:paraId="02570F25" w14:textId="437F0B93" w:rsidR="00574D07" w:rsidRPr="0098387C" w:rsidRDefault="00574D07" w:rsidP="0098387C">
      <w:pPr>
        <w:pStyle w:val="ListParagraph"/>
        <w:numPr>
          <w:ilvl w:val="0"/>
          <w:numId w:val="1"/>
        </w:numPr>
        <w:spacing w:line="276" w:lineRule="auto"/>
        <w:ind w:left="567" w:hanging="567"/>
        <w:jc w:val="both"/>
        <w:rPr>
          <w:b/>
          <w:color w:val="000000" w:themeColor="text1"/>
        </w:rPr>
      </w:pPr>
      <w:r w:rsidRPr="00F51FC4">
        <w:rPr>
          <w:b/>
          <w:color w:val="000000" w:themeColor="text1"/>
        </w:rPr>
        <w:t xml:space="preserve">Introduction </w:t>
      </w:r>
    </w:p>
    <w:p w14:paraId="7D564095" w14:textId="49F781DA" w:rsidR="00AA5B2E" w:rsidRDefault="00574D07" w:rsidP="00F51FC4">
      <w:pPr>
        <w:pStyle w:val="ListParagraph"/>
        <w:numPr>
          <w:ilvl w:val="1"/>
          <w:numId w:val="1"/>
        </w:numPr>
        <w:spacing w:line="276" w:lineRule="auto"/>
        <w:ind w:left="567" w:hanging="567"/>
        <w:jc w:val="both"/>
        <w:rPr>
          <w:rFonts w:eastAsia="Times New Roman"/>
          <w:color w:val="000000" w:themeColor="text1"/>
          <w:shd w:val="clear" w:color="auto" w:fill="FFFFFF"/>
        </w:rPr>
      </w:pPr>
      <w:r w:rsidRPr="009C35BA">
        <w:rPr>
          <w:rFonts w:eastAsia="Times New Roman"/>
          <w:color w:val="000000" w:themeColor="text1"/>
          <w:shd w:val="clear" w:color="auto" w:fill="FFFFFF"/>
        </w:rPr>
        <w:t>Founded in 1981, the Lawyers Collective (“LC”) is a leading human rights law organization in India. LC has been spearheading interventions for structural change in a range of areas including environmental law, labour rights, women’s rights, equality and non-discrimination</w:t>
      </w:r>
      <w:r w:rsidR="007B4BA8" w:rsidRPr="009C35BA">
        <w:rPr>
          <w:rFonts w:eastAsia="Times New Roman"/>
          <w:color w:val="000000" w:themeColor="text1"/>
          <w:shd w:val="clear" w:color="auto" w:fill="FFFFFF"/>
        </w:rPr>
        <w:t xml:space="preserve">, </w:t>
      </w:r>
      <w:r w:rsidRPr="009C35BA">
        <w:rPr>
          <w:rFonts w:eastAsia="Times New Roman"/>
          <w:color w:val="000000" w:themeColor="text1"/>
          <w:shd w:val="clear" w:color="auto" w:fill="FFFFFF"/>
        </w:rPr>
        <w:t xml:space="preserve">civil liberties, health, access to medicines and law and HIV. </w:t>
      </w:r>
      <w:r w:rsidR="00AA5B2E">
        <w:rPr>
          <w:rFonts w:eastAsia="Times New Roman"/>
          <w:color w:val="000000" w:themeColor="text1"/>
          <w:shd w:val="clear" w:color="auto" w:fill="FFFFFF"/>
        </w:rPr>
        <w:t>LC</w:t>
      </w:r>
      <w:r w:rsidRPr="009C35BA">
        <w:rPr>
          <w:rFonts w:eastAsia="Times New Roman"/>
          <w:color w:val="000000" w:themeColor="text1"/>
          <w:shd w:val="clear" w:color="auto" w:fill="FFFFFF"/>
        </w:rPr>
        <w:t xml:space="preserve"> has especially focused on protection of r</w:t>
      </w:r>
      <w:r w:rsidR="007B4BA8" w:rsidRPr="009C35BA">
        <w:rPr>
          <w:rFonts w:eastAsia="Times New Roman"/>
          <w:color w:val="000000" w:themeColor="text1"/>
          <w:shd w:val="clear" w:color="auto" w:fill="FFFFFF"/>
        </w:rPr>
        <w:t>ights of vulnerable communities</w:t>
      </w:r>
      <w:r w:rsidR="00E04563" w:rsidRPr="009C35BA">
        <w:rPr>
          <w:rFonts w:eastAsia="Times New Roman"/>
          <w:color w:val="000000" w:themeColor="text1"/>
          <w:shd w:val="clear" w:color="auto" w:fill="FFFFFF"/>
        </w:rPr>
        <w:t>, such as</w:t>
      </w:r>
      <w:r w:rsidRPr="009C35BA">
        <w:rPr>
          <w:rFonts w:eastAsia="Times New Roman"/>
          <w:color w:val="000000" w:themeColor="text1"/>
          <w:shd w:val="clear" w:color="auto" w:fill="FFFFFF"/>
        </w:rPr>
        <w:t xml:space="preserve"> LGBTI persons, sex workers as well as of persons who use drugs. To this end, LC undertakes legal aid and strategic litigation, advocacy and capacity building, and policy research. </w:t>
      </w:r>
    </w:p>
    <w:p w14:paraId="3A1C956A" w14:textId="77777777" w:rsidR="00AA5B2E" w:rsidRDefault="00574D07" w:rsidP="00F51FC4">
      <w:pPr>
        <w:pStyle w:val="ListParagraph"/>
        <w:numPr>
          <w:ilvl w:val="1"/>
          <w:numId w:val="1"/>
        </w:numPr>
        <w:spacing w:line="276" w:lineRule="auto"/>
        <w:ind w:left="567" w:hanging="567"/>
        <w:jc w:val="both"/>
        <w:rPr>
          <w:rFonts w:eastAsia="Times New Roman"/>
          <w:color w:val="000000" w:themeColor="text1"/>
          <w:shd w:val="clear" w:color="auto" w:fill="FFFFFF"/>
        </w:rPr>
      </w:pPr>
      <w:r w:rsidRPr="00AA5B2E">
        <w:rPr>
          <w:rFonts w:eastAsia="Times New Roman"/>
          <w:color w:val="000000" w:themeColor="text1"/>
          <w:shd w:val="clear" w:color="auto" w:fill="FFFFFF"/>
        </w:rPr>
        <w:lastRenderedPageBreak/>
        <w:t>Over the past more than three decades, LC has been involved in some of the landmark litigations on the expansion of fundamental rights of people and has also contributed to the drafting of rights-based laws in India including the Protection of Women fro</w:t>
      </w:r>
      <w:r w:rsidR="00AA5B2E">
        <w:rPr>
          <w:rFonts w:eastAsia="Times New Roman"/>
          <w:color w:val="000000" w:themeColor="text1"/>
          <w:shd w:val="clear" w:color="auto" w:fill="FFFFFF"/>
        </w:rPr>
        <w:t>m Domestic Violence Act, 2005, t</w:t>
      </w:r>
      <w:r w:rsidRPr="00AA5B2E">
        <w:rPr>
          <w:rFonts w:eastAsia="Times New Roman"/>
          <w:color w:val="000000" w:themeColor="text1"/>
          <w:shd w:val="clear" w:color="auto" w:fill="FFFFFF"/>
        </w:rPr>
        <w:t>he Sexual Harassment of Women at Workplace (Prevention, Prohibition and Redressal) Act, 2013, the HIV and AIDS  (Prevention and Control) Act, 2017, as well as in giving inputs to the Patents (Amendment) Act, 2005, Immoral Traffic (Prevention) Act, 1956 and the Narcotic Drugs and Psychotropic Substances (Amendment) Act, 2014 and the rules framed there under.</w:t>
      </w:r>
    </w:p>
    <w:p w14:paraId="4F8C6961" w14:textId="4DD98993" w:rsidR="00574D07" w:rsidRPr="00AA5B2E" w:rsidRDefault="00574D07" w:rsidP="00F51FC4">
      <w:pPr>
        <w:pStyle w:val="ListParagraph"/>
        <w:numPr>
          <w:ilvl w:val="1"/>
          <w:numId w:val="1"/>
        </w:numPr>
        <w:spacing w:line="276" w:lineRule="auto"/>
        <w:ind w:left="567" w:hanging="567"/>
        <w:jc w:val="both"/>
        <w:rPr>
          <w:rFonts w:eastAsia="Times New Roman"/>
          <w:color w:val="000000" w:themeColor="text1"/>
          <w:shd w:val="clear" w:color="auto" w:fill="FFFFFF"/>
        </w:rPr>
      </w:pPr>
      <w:r w:rsidRPr="00AA5B2E">
        <w:rPr>
          <w:rFonts w:eastAsia="Times New Roman"/>
          <w:color w:val="000000" w:themeColor="text1"/>
          <w:shd w:val="clear" w:color="auto" w:fill="FFFFFF"/>
        </w:rPr>
        <w:t>In relation to anti-trafficking, LC’s legal team represented a leading sex workers’ collective before the India</w:t>
      </w:r>
      <w:r w:rsidR="00E04563" w:rsidRPr="00AA5B2E">
        <w:rPr>
          <w:rFonts w:eastAsia="Times New Roman"/>
          <w:color w:val="000000" w:themeColor="text1"/>
          <w:shd w:val="clear" w:color="auto" w:fill="FFFFFF"/>
        </w:rPr>
        <w:t>n</w:t>
      </w:r>
      <w:r w:rsidRPr="00AA5B2E">
        <w:rPr>
          <w:rFonts w:eastAsia="Times New Roman"/>
          <w:color w:val="000000" w:themeColor="text1"/>
          <w:shd w:val="clear" w:color="auto" w:fill="FFFFFF"/>
        </w:rPr>
        <w:t xml:space="preserve"> Supreme Court in </w:t>
      </w:r>
      <w:r w:rsidRPr="00AA5B2E">
        <w:rPr>
          <w:rFonts w:eastAsia="Times New Roman"/>
          <w:b/>
          <w:i/>
          <w:color w:val="000000" w:themeColor="text1"/>
          <w:shd w:val="clear" w:color="auto" w:fill="FFFFFF"/>
        </w:rPr>
        <w:t>Buddhadev Karmaskar v</w:t>
      </w:r>
      <w:r w:rsidR="00E04563" w:rsidRPr="00AA5B2E">
        <w:rPr>
          <w:rFonts w:eastAsia="Times New Roman"/>
          <w:b/>
          <w:i/>
          <w:color w:val="000000" w:themeColor="text1"/>
          <w:shd w:val="clear" w:color="auto" w:fill="FFFFFF"/>
        </w:rPr>
        <w:t>. State of West Bengal</w:t>
      </w:r>
      <w:r w:rsidR="00E04563" w:rsidRPr="00AA5B2E">
        <w:rPr>
          <w:rFonts w:eastAsia="Times New Roman"/>
          <w:color w:val="000000" w:themeColor="text1"/>
          <w:shd w:val="clear" w:color="auto" w:fill="FFFFFF"/>
        </w:rPr>
        <w:t xml:space="preserve">, </w:t>
      </w:r>
      <w:r w:rsidR="00E04563" w:rsidRPr="009C35BA">
        <w:t>Criminal Appeal No. 135 of 2010</w:t>
      </w:r>
      <w:r w:rsidRPr="00AA5B2E">
        <w:rPr>
          <w:rFonts w:eastAsia="Times New Roman"/>
          <w:color w:val="000000" w:themeColor="text1"/>
          <w:shd w:val="clear" w:color="auto" w:fill="FFFFFF"/>
        </w:rPr>
        <w:t>, where the</w:t>
      </w:r>
      <w:r w:rsidR="00F51FC4">
        <w:rPr>
          <w:rFonts w:eastAsia="Times New Roman"/>
          <w:color w:val="000000" w:themeColor="text1"/>
          <w:shd w:val="clear" w:color="auto" w:fill="FFFFFF"/>
        </w:rPr>
        <w:t xml:space="preserve"> Supreme</w:t>
      </w:r>
      <w:r w:rsidRPr="00AA5B2E">
        <w:rPr>
          <w:rFonts w:eastAsia="Times New Roman"/>
          <w:color w:val="000000" w:themeColor="text1"/>
          <w:shd w:val="clear" w:color="auto" w:fill="FFFFFF"/>
        </w:rPr>
        <w:t xml:space="preserve"> Court sought guidance on addressing the issues of</w:t>
      </w:r>
      <w:r w:rsidR="00E04563" w:rsidRPr="00AA5B2E">
        <w:rPr>
          <w:rFonts w:eastAsia="Times New Roman"/>
          <w:color w:val="000000" w:themeColor="text1"/>
          <w:shd w:val="clear" w:color="auto" w:fill="FFFFFF"/>
        </w:rPr>
        <w:t xml:space="preserve"> prevention of trafficking, rehabilitation</w:t>
      </w:r>
      <w:r w:rsidRPr="00AA5B2E">
        <w:rPr>
          <w:rFonts w:eastAsia="Times New Roman"/>
          <w:color w:val="000000" w:themeColor="text1"/>
          <w:shd w:val="clear" w:color="auto" w:fill="FFFFFF"/>
        </w:rPr>
        <w:t xml:space="preserve"> </w:t>
      </w:r>
      <w:r w:rsidR="00E04563" w:rsidRPr="00AA5B2E">
        <w:rPr>
          <w:rFonts w:eastAsia="Times New Roman"/>
          <w:color w:val="000000" w:themeColor="text1"/>
          <w:shd w:val="clear" w:color="auto" w:fill="FFFFFF"/>
        </w:rPr>
        <w:t xml:space="preserve">of sex workers who wish to quit sex work and conditions conducive for sex workers to live with dignity in accordance with the constitutional framework. </w:t>
      </w:r>
    </w:p>
    <w:p w14:paraId="72D5F0E9" w14:textId="1B99D567" w:rsidR="002367D3" w:rsidRDefault="00574D07" w:rsidP="009C35BA">
      <w:pPr>
        <w:pStyle w:val="ListParagraph"/>
        <w:numPr>
          <w:ilvl w:val="1"/>
          <w:numId w:val="1"/>
        </w:numPr>
        <w:spacing w:line="276" w:lineRule="auto"/>
        <w:ind w:left="567" w:hanging="567"/>
        <w:jc w:val="both"/>
        <w:rPr>
          <w:rFonts w:eastAsia="Times New Roman"/>
          <w:color w:val="000000" w:themeColor="text1"/>
          <w:shd w:val="clear" w:color="auto" w:fill="FFFFFF"/>
        </w:rPr>
      </w:pPr>
      <w:r w:rsidRPr="009C35BA">
        <w:rPr>
          <w:rFonts w:eastAsia="Times New Roman"/>
          <w:color w:val="000000" w:themeColor="text1"/>
          <w:shd w:val="clear" w:color="auto" w:fill="FFFFFF"/>
        </w:rPr>
        <w:t>We firmly believe that any legislative and policy measures to address trafficking in human beings must be grounded in fundamental human rights and principles such as dignity, autonomy and consent. LC’s submission</w:t>
      </w:r>
      <w:r w:rsidR="00AA5B2E">
        <w:rPr>
          <w:rFonts w:eastAsia="Times New Roman"/>
          <w:color w:val="000000" w:themeColor="text1"/>
          <w:shd w:val="clear" w:color="auto" w:fill="FFFFFF"/>
        </w:rPr>
        <w:t>s</w:t>
      </w:r>
      <w:r w:rsidRPr="009C35BA">
        <w:rPr>
          <w:rFonts w:eastAsia="Times New Roman"/>
          <w:color w:val="000000" w:themeColor="text1"/>
          <w:shd w:val="clear" w:color="auto" w:fill="FFFFFF"/>
        </w:rPr>
        <w:t xml:space="preserve"> </w:t>
      </w:r>
      <w:r w:rsidR="00E04563" w:rsidRPr="009C35BA">
        <w:rPr>
          <w:rFonts w:eastAsia="Times New Roman"/>
          <w:color w:val="000000" w:themeColor="text1"/>
          <w:shd w:val="clear" w:color="auto" w:fill="FFFFFF"/>
        </w:rPr>
        <w:t>are</w:t>
      </w:r>
      <w:r w:rsidRPr="009C35BA">
        <w:rPr>
          <w:rFonts w:eastAsia="Times New Roman"/>
          <w:color w:val="000000" w:themeColor="text1"/>
          <w:shd w:val="clear" w:color="auto" w:fill="FFFFFF"/>
        </w:rPr>
        <w:t xml:space="preserve"> based on our experiences with anti-trafficking laws and their application against vulnerable groups in India. </w:t>
      </w:r>
    </w:p>
    <w:p w14:paraId="1ECAE106" w14:textId="77777777" w:rsidR="007954CA" w:rsidRPr="009F59AF" w:rsidRDefault="007954CA" w:rsidP="007954CA">
      <w:pPr>
        <w:pStyle w:val="ListParagraph"/>
        <w:spacing w:line="276" w:lineRule="auto"/>
        <w:ind w:left="567"/>
        <w:jc w:val="both"/>
        <w:rPr>
          <w:rFonts w:eastAsia="Times New Roman"/>
          <w:color w:val="000000" w:themeColor="text1"/>
          <w:shd w:val="clear" w:color="auto" w:fill="FFFFFF"/>
        </w:rPr>
      </w:pPr>
    </w:p>
    <w:p w14:paraId="49E880E5" w14:textId="228DDE6A" w:rsidR="00574D07" w:rsidRPr="0098387C" w:rsidRDefault="00574D07" w:rsidP="009C35BA">
      <w:pPr>
        <w:pStyle w:val="ListParagraph"/>
        <w:numPr>
          <w:ilvl w:val="0"/>
          <w:numId w:val="1"/>
        </w:numPr>
        <w:spacing w:line="276" w:lineRule="auto"/>
        <w:ind w:left="567" w:hanging="567"/>
        <w:jc w:val="both"/>
        <w:rPr>
          <w:b/>
          <w:color w:val="000000" w:themeColor="text1"/>
        </w:rPr>
      </w:pPr>
      <w:r w:rsidRPr="00F51FC4">
        <w:rPr>
          <w:b/>
          <w:color w:val="000000" w:themeColor="text1"/>
        </w:rPr>
        <w:t xml:space="preserve">Indian legal framework on trafficking in persons </w:t>
      </w:r>
    </w:p>
    <w:p w14:paraId="17BBD472" w14:textId="34720FFD" w:rsidR="002969E9" w:rsidRDefault="00574D07" w:rsidP="00F51FC4">
      <w:pPr>
        <w:pStyle w:val="ListParagraph"/>
        <w:numPr>
          <w:ilvl w:val="1"/>
          <w:numId w:val="1"/>
        </w:numPr>
        <w:spacing w:line="276" w:lineRule="auto"/>
        <w:ind w:left="567" w:hanging="567"/>
        <w:jc w:val="both"/>
        <w:rPr>
          <w:rFonts w:eastAsia="Times New Roman"/>
          <w:color w:val="000000" w:themeColor="text1"/>
        </w:rPr>
      </w:pPr>
      <w:r w:rsidRPr="009C35BA">
        <w:rPr>
          <w:color w:val="000000" w:themeColor="text1"/>
        </w:rPr>
        <w:lastRenderedPageBreak/>
        <w:t xml:space="preserve">Article 23 of the Constitution of India, 1950 </w:t>
      </w:r>
      <w:r w:rsidRPr="009C35BA">
        <w:rPr>
          <w:rFonts w:eastAsia="Times New Roman"/>
          <w:color w:val="000000" w:themeColor="text1"/>
        </w:rPr>
        <w:t>prohibits “</w:t>
      </w:r>
      <w:r w:rsidRPr="009C35BA">
        <w:rPr>
          <w:rFonts w:eastAsia="Times New Roman"/>
          <w:i/>
          <w:color w:val="000000" w:themeColor="text1"/>
        </w:rPr>
        <w:t>traffic in human beings, begar and other similar forms of forced labour</w:t>
      </w:r>
      <w:r w:rsidR="002969E9">
        <w:rPr>
          <w:rFonts w:eastAsia="Times New Roman"/>
          <w:i/>
          <w:color w:val="000000" w:themeColor="text1"/>
        </w:rPr>
        <w:t>”</w:t>
      </w:r>
      <w:r w:rsidRPr="009C35BA">
        <w:rPr>
          <w:rFonts w:eastAsia="Times New Roman"/>
          <w:i/>
          <w:color w:val="000000" w:themeColor="text1"/>
        </w:rPr>
        <w:t xml:space="preserve"> </w:t>
      </w:r>
      <w:r w:rsidRPr="002969E9">
        <w:rPr>
          <w:rFonts w:eastAsia="Times New Roman"/>
          <w:color w:val="000000" w:themeColor="text1"/>
        </w:rPr>
        <w:t>without defining or elaborating these</w:t>
      </w:r>
      <w:r w:rsidR="002969E9">
        <w:rPr>
          <w:rFonts w:eastAsia="Times New Roman"/>
          <w:color w:val="000000" w:themeColor="text1"/>
        </w:rPr>
        <w:t xml:space="preserve"> terms</w:t>
      </w:r>
      <w:r w:rsidRPr="002969E9">
        <w:rPr>
          <w:rFonts w:eastAsia="Times New Roman"/>
          <w:color w:val="000000" w:themeColor="text1"/>
        </w:rPr>
        <w:t xml:space="preserve">.  </w:t>
      </w:r>
    </w:p>
    <w:p w14:paraId="5F7D1009" w14:textId="77777777" w:rsidR="002969E9" w:rsidRDefault="00574D07" w:rsidP="00F51FC4">
      <w:pPr>
        <w:pStyle w:val="ListParagraph"/>
        <w:numPr>
          <w:ilvl w:val="1"/>
          <w:numId w:val="1"/>
        </w:numPr>
        <w:spacing w:line="276" w:lineRule="auto"/>
        <w:ind w:left="567" w:hanging="567"/>
        <w:jc w:val="both"/>
        <w:rPr>
          <w:rFonts w:eastAsia="Times New Roman"/>
          <w:color w:val="000000" w:themeColor="text1"/>
        </w:rPr>
      </w:pPr>
      <w:r w:rsidRPr="002969E9">
        <w:rPr>
          <w:rFonts w:eastAsia="Times New Roman"/>
          <w:color w:val="000000" w:themeColor="text1"/>
        </w:rPr>
        <w:t xml:space="preserve">The Indian Penal Code, 1860 (“IPC”) contains several provisions </w:t>
      </w:r>
      <w:r w:rsidR="00E04563" w:rsidRPr="002969E9">
        <w:rPr>
          <w:rFonts w:eastAsia="Times New Roman"/>
          <w:color w:val="000000" w:themeColor="text1"/>
        </w:rPr>
        <w:t>dealing with</w:t>
      </w:r>
      <w:r w:rsidRPr="002969E9">
        <w:rPr>
          <w:rFonts w:eastAsia="Times New Roman"/>
          <w:color w:val="000000" w:themeColor="text1"/>
        </w:rPr>
        <w:t xml:space="preserve"> human trafficking and attendant crimes. </w:t>
      </w:r>
      <w:r w:rsidRPr="002969E9">
        <w:rPr>
          <w:iCs/>
          <w:color w:val="000000" w:themeColor="text1"/>
        </w:rPr>
        <w:t xml:space="preserve">The offence of trafficking of persons is defined in Section 370, IPC and contains elements similar to those laid down in Article 3 of the Protocol to Prevent, Suppress and Punish Trafficking in Persons Especially Women and Children, 2000 (“Palermo Protocol”). The offence of trafficking is punishable with </w:t>
      </w:r>
      <w:r w:rsidRPr="002969E9">
        <w:rPr>
          <w:rFonts w:eastAsia="Times New Roman"/>
          <w:color w:val="000000" w:themeColor="text1"/>
        </w:rPr>
        <w:t>rigorous imprisonment for a term which shall not be less than seven years, but which may extend to ten years, and shall also be liable to fine. The punishment is more severe when more than one person or a minor(s) has been trafficked. In the event that the perpetrator is a police officer or public servant, the degree of punishment is greater.</w:t>
      </w:r>
    </w:p>
    <w:p w14:paraId="241E3BE3" w14:textId="77777777" w:rsidR="002969E9" w:rsidRDefault="00574D07" w:rsidP="00F51FC4">
      <w:pPr>
        <w:pStyle w:val="ListParagraph"/>
        <w:numPr>
          <w:ilvl w:val="1"/>
          <w:numId w:val="1"/>
        </w:numPr>
        <w:spacing w:line="276" w:lineRule="auto"/>
        <w:ind w:left="567" w:hanging="567"/>
        <w:jc w:val="both"/>
        <w:rPr>
          <w:rFonts w:eastAsia="Times New Roman"/>
          <w:color w:val="000000" w:themeColor="text1"/>
        </w:rPr>
      </w:pPr>
      <w:r w:rsidRPr="002969E9">
        <w:rPr>
          <w:rFonts w:eastAsia="Times New Roman"/>
          <w:color w:val="000000" w:themeColor="text1"/>
        </w:rPr>
        <w:t>Section 370A</w:t>
      </w:r>
      <w:r w:rsidR="00DD078D" w:rsidRPr="002969E9">
        <w:rPr>
          <w:rFonts w:eastAsia="Times New Roman"/>
          <w:color w:val="000000" w:themeColor="text1"/>
        </w:rPr>
        <w:t xml:space="preserve"> penalizes engaging a person, who has been trafficked, for purposes of sexual exploitation </w:t>
      </w:r>
      <w:r w:rsidR="00190D26" w:rsidRPr="002969E9">
        <w:rPr>
          <w:rFonts w:eastAsia="Times New Roman"/>
          <w:color w:val="000000" w:themeColor="text1"/>
        </w:rPr>
        <w:t>with a more severe penalty in case the person trafficked is a minor</w:t>
      </w:r>
      <w:r w:rsidR="00DD078D" w:rsidRPr="002969E9">
        <w:rPr>
          <w:rFonts w:eastAsia="Times New Roman"/>
          <w:color w:val="000000" w:themeColor="text1"/>
        </w:rPr>
        <w:t>. The provision does not define the term ‘sexual exploitation’.</w:t>
      </w:r>
    </w:p>
    <w:p w14:paraId="0BAF43A8" w14:textId="77777777" w:rsidR="002969E9" w:rsidRPr="002969E9" w:rsidRDefault="00574D07" w:rsidP="00F51FC4">
      <w:pPr>
        <w:pStyle w:val="ListParagraph"/>
        <w:numPr>
          <w:ilvl w:val="1"/>
          <w:numId w:val="1"/>
        </w:numPr>
        <w:spacing w:line="276" w:lineRule="auto"/>
        <w:ind w:left="567" w:hanging="567"/>
        <w:jc w:val="both"/>
        <w:rPr>
          <w:rFonts w:eastAsia="Times New Roman"/>
          <w:color w:val="000000" w:themeColor="text1"/>
        </w:rPr>
      </w:pPr>
      <w:r w:rsidRPr="002969E9">
        <w:rPr>
          <w:color w:val="000000" w:themeColor="text1"/>
        </w:rPr>
        <w:t xml:space="preserve">Section 371, IPC criminalizes slavery and </w:t>
      </w:r>
      <w:r w:rsidRPr="002969E9">
        <w:rPr>
          <w:iCs/>
          <w:color w:val="000000" w:themeColor="text1"/>
        </w:rPr>
        <w:t>Sections 372-373, IPC</w:t>
      </w:r>
      <w:r w:rsidRPr="002969E9">
        <w:rPr>
          <w:color w:val="000000" w:themeColor="text1"/>
        </w:rPr>
        <w:t xml:space="preserve"> criminalize the buying and selling of underage girls for prostitution. </w:t>
      </w:r>
    </w:p>
    <w:p w14:paraId="583FE492" w14:textId="77777777" w:rsidR="002969E9" w:rsidRPr="002969E9" w:rsidRDefault="00574D07" w:rsidP="00F51FC4">
      <w:pPr>
        <w:pStyle w:val="ListParagraph"/>
        <w:numPr>
          <w:ilvl w:val="1"/>
          <w:numId w:val="1"/>
        </w:numPr>
        <w:spacing w:line="276" w:lineRule="auto"/>
        <w:ind w:left="567" w:hanging="567"/>
        <w:jc w:val="both"/>
        <w:rPr>
          <w:rFonts w:eastAsia="Times New Roman"/>
          <w:color w:val="000000" w:themeColor="text1"/>
        </w:rPr>
      </w:pPr>
      <w:r w:rsidRPr="002969E9">
        <w:rPr>
          <w:rFonts w:eastAsia="Times New Roman"/>
          <w:color w:val="000000" w:themeColor="text1"/>
        </w:rPr>
        <w:t xml:space="preserve">India has various special legislations which address the </w:t>
      </w:r>
      <w:r w:rsidRPr="002969E9">
        <w:rPr>
          <w:color w:val="000000" w:themeColor="text1"/>
        </w:rPr>
        <w:t xml:space="preserve">activities that constitute “trafficking of persons” such as:  The </w:t>
      </w:r>
      <w:r w:rsidRPr="002969E9">
        <w:rPr>
          <w:iCs/>
          <w:color w:val="000000" w:themeColor="text1"/>
        </w:rPr>
        <w:t xml:space="preserve">Immoral Traffic (Prevention) Act, 1956 </w:t>
      </w:r>
      <w:r w:rsidRPr="002969E9">
        <w:rPr>
          <w:color w:val="000000" w:themeColor="text1"/>
        </w:rPr>
        <w:lastRenderedPageBreak/>
        <w:t xml:space="preserve">(“ITPA”) which criminalizes activities related to “prostitution” and provides rescue, rehabilitation and correction of sex workers; the </w:t>
      </w:r>
      <w:r w:rsidRPr="002969E9">
        <w:rPr>
          <w:iCs/>
          <w:color w:val="000000" w:themeColor="text1"/>
        </w:rPr>
        <w:t>Juvenile Justice (Care and Protection of Children) Act, 2015</w:t>
      </w:r>
      <w:r w:rsidRPr="002969E9">
        <w:rPr>
          <w:color w:val="000000" w:themeColor="text1"/>
        </w:rPr>
        <w:t xml:space="preserve"> which provides a framework for protection of children who are missing or at risk of being trafficked; </w:t>
      </w:r>
      <w:r w:rsidRPr="002969E9">
        <w:rPr>
          <w:rFonts w:eastAsia="Times New Roman"/>
          <w:color w:val="000000" w:themeColor="text1"/>
        </w:rPr>
        <w:t xml:space="preserve">the Transplantation of Human Organs Act, 1994 which aims to prevent commercial dealings in human organs; </w:t>
      </w:r>
      <w:r w:rsidRPr="002969E9">
        <w:rPr>
          <w:color w:val="000000" w:themeColor="text1"/>
        </w:rPr>
        <w:t xml:space="preserve">the </w:t>
      </w:r>
      <w:r w:rsidRPr="002969E9">
        <w:rPr>
          <w:iCs/>
          <w:color w:val="000000" w:themeColor="text1"/>
        </w:rPr>
        <w:t xml:space="preserve">Bonded Labour System (Abolition) Act, 1976; </w:t>
      </w:r>
      <w:r w:rsidRPr="002969E9">
        <w:rPr>
          <w:color w:val="000000" w:themeColor="text1"/>
        </w:rPr>
        <w:t xml:space="preserve">the </w:t>
      </w:r>
      <w:r w:rsidRPr="002969E9">
        <w:rPr>
          <w:iCs/>
          <w:color w:val="000000" w:themeColor="text1"/>
        </w:rPr>
        <w:t>Contract Labour (Regulation &amp; Abolition) Act, 1970</w:t>
      </w:r>
      <w:r w:rsidRPr="002969E9">
        <w:rPr>
          <w:color w:val="000000" w:themeColor="text1"/>
        </w:rPr>
        <w:t xml:space="preserve">; the </w:t>
      </w:r>
      <w:r w:rsidRPr="002969E9">
        <w:rPr>
          <w:iCs/>
          <w:color w:val="000000" w:themeColor="text1"/>
        </w:rPr>
        <w:t>Inter-state Migrant Workmen (Regulation of Employment and Conditions of Service) Act, 1979</w:t>
      </w:r>
      <w:r w:rsidRPr="002969E9">
        <w:rPr>
          <w:color w:val="000000" w:themeColor="text1"/>
        </w:rPr>
        <w:t xml:space="preserve">; the </w:t>
      </w:r>
      <w:r w:rsidRPr="002969E9">
        <w:rPr>
          <w:iCs/>
          <w:color w:val="000000" w:themeColor="text1"/>
        </w:rPr>
        <w:t xml:space="preserve">Children (Pledging of Labour) Act, 1933 </w:t>
      </w:r>
      <w:r w:rsidRPr="002969E9">
        <w:rPr>
          <w:color w:val="000000" w:themeColor="text1"/>
        </w:rPr>
        <w:t xml:space="preserve">and the </w:t>
      </w:r>
      <w:r w:rsidRPr="002969E9">
        <w:rPr>
          <w:iCs/>
          <w:color w:val="000000" w:themeColor="text1"/>
        </w:rPr>
        <w:t>Child Labour (Regulation and Prohibition) Act, 1986</w:t>
      </w:r>
      <w:r w:rsidRPr="002969E9">
        <w:rPr>
          <w:color w:val="000000" w:themeColor="text1"/>
        </w:rPr>
        <w:t xml:space="preserve">, which deal with forced labour, child labour, primarily through regulation and welfare-oriented measures. </w:t>
      </w:r>
    </w:p>
    <w:p w14:paraId="12A8FF97" w14:textId="36B4DDA1" w:rsidR="00F91547" w:rsidRPr="00F91547" w:rsidRDefault="00574D07" w:rsidP="00F91547">
      <w:pPr>
        <w:pStyle w:val="ListParagraph"/>
        <w:numPr>
          <w:ilvl w:val="1"/>
          <w:numId w:val="1"/>
        </w:numPr>
        <w:spacing w:line="276" w:lineRule="auto"/>
        <w:ind w:left="567" w:hanging="567"/>
        <w:jc w:val="both"/>
        <w:rPr>
          <w:rFonts w:eastAsia="Times New Roman"/>
          <w:color w:val="000000" w:themeColor="text1"/>
        </w:rPr>
      </w:pPr>
      <w:r w:rsidRPr="002969E9">
        <w:rPr>
          <w:color w:val="000000" w:themeColor="text1"/>
        </w:rPr>
        <w:t>The Trafficking of Persons (Prevention, Protection, and Rehabilitation) Bill, 2018 (“Anti-Trafficking Bill”) was introduced in the lower house of Parliament in July, 2018. The Bill conflated voluntary migration with trafficking, contained vague and overbroad clauses, irrational and disproportionate penalties and was widely criticized by legal and human rights experts, labour organizations and sex workers.</w:t>
      </w:r>
      <w:r w:rsidRPr="002969E9">
        <w:rPr>
          <w:rStyle w:val="FootnoteReference"/>
          <w:color w:val="000000" w:themeColor="text1"/>
        </w:rPr>
        <w:t xml:space="preserve"> </w:t>
      </w:r>
      <w:r w:rsidRPr="009C35BA">
        <w:rPr>
          <w:rStyle w:val="FootnoteReference"/>
          <w:color w:val="000000" w:themeColor="text1"/>
        </w:rPr>
        <w:footnoteReference w:id="2"/>
      </w:r>
      <w:r w:rsidRPr="002969E9">
        <w:rPr>
          <w:color w:val="000000" w:themeColor="text1"/>
        </w:rPr>
        <w:t xml:space="preserve"> </w:t>
      </w:r>
      <w:r w:rsidR="00A0086C">
        <w:rPr>
          <w:color w:val="000000" w:themeColor="text1"/>
        </w:rPr>
        <w:t xml:space="preserve">The </w:t>
      </w:r>
      <w:r w:rsidRPr="002969E9">
        <w:rPr>
          <w:color w:val="000000" w:themeColor="text1"/>
        </w:rPr>
        <w:t>U</w:t>
      </w:r>
      <w:r w:rsidR="00A0086C">
        <w:rPr>
          <w:color w:val="000000" w:themeColor="text1"/>
        </w:rPr>
        <w:t xml:space="preserve">nited </w:t>
      </w:r>
      <w:r w:rsidRPr="002969E9">
        <w:rPr>
          <w:color w:val="000000" w:themeColor="text1"/>
        </w:rPr>
        <w:t>N</w:t>
      </w:r>
      <w:r w:rsidR="00A0086C">
        <w:rPr>
          <w:color w:val="000000" w:themeColor="text1"/>
        </w:rPr>
        <w:t>ations</w:t>
      </w:r>
      <w:r w:rsidRPr="002969E9">
        <w:rPr>
          <w:color w:val="000000" w:themeColor="text1"/>
        </w:rPr>
        <w:t xml:space="preserve"> Special Rapporteurs on</w:t>
      </w:r>
      <w:r w:rsidR="001E515C" w:rsidRPr="002969E9">
        <w:rPr>
          <w:color w:val="000000" w:themeColor="text1"/>
        </w:rPr>
        <w:t xml:space="preserve"> Trafficking, especially women and children, </w:t>
      </w:r>
      <w:r w:rsidR="001E515C" w:rsidRPr="002969E9">
        <w:rPr>
          <w:color w:val="000000" w:themeColor="text1"/>
        </w:rPr>
        <w:lastRenderedPageBreak/>
        <w:t xml:space="preserve">and on Contemporary Forms of Slavery, </w:t>
      </w:r>
      <w:r w:rsidRPr="002969E9">
        <w:rPr>
          <w:color w:val="000000" w:themeColor="text1"/>
        </w:rPr>
        <w:t>noted that the Bill was inconsistent with international standards of human rights.</w:t>
      </w:r>
      <w:r w:rsidRPr="009C35BA">
        <w:rPr>
          <w:rStyle w:val="FootnoteReference"/>
          <w:color w:val="000000" w:themeColor="text1"/>
        </w:rPr>
        <w:footnoteReference w:id="3"/>
      </w:r>
    </w:p>
    <w:p w14:paraId="499445FA" w14:textId="78796D6B" w:rsidR="00574D07" w:rsidRPr="00F51FC4" w:rsidRDefault="00574D07" w:rsidP="00F51FC4">
      <w:pPr>
        <w:pStyle w:val="ListParagraph"/>
        <w:numPr>
          <w:ilvl w:val="0"/>
          <w:numId w:val="1"/>
        </w:numPr>
        <w:spacing w:line="276" w:lineRule="auto"/>
        <w:ind w:left="567" w:hanging="567"/>
        <w:jc w:val="both"/>
        <w:rPr>
          <w:color w:val="000000" w:themeColor="text1"/>
          <w:u w:val="single"/>
        </w:rPr>
      </w:pPr>
      <w:r w:rsidRPr="00F51FC4">
        <w:rPr>
          <w:b/>
          <w:color w:val="000000" w:themeColor="text1"/>
        </w:rPr>
        <w:t>International obligations with regard to anti-trafficking</w:t>
      </w:r>
    </w:p>
    <w:p w14:paraId="584D646E" w14:textId="741ED051" w:rsidR="00574D07" w:rsidRPr="009C35BA" w:rsidRDefault="00764799" w:rsidP="00F51FC4">
      <w:pPr>
        <w:pStyle w:val="SingleTxtG"/>
        <w:numPr>
          <w:ilvl w:val="1"/>
          <w:numId w:val="1"/>
        </w:numPr>
        <w:spacing w:after="0" w:line="276" w:lineRule="auto"/>
        <w:ind w:left="567" w:right="-51" w:hanging="567"/>
        <w:contextualSpacing/>
        <w:rPr>
          <w:color w:val="000000" w:themeColor="text1"/>
          <w:sz w:val="24"/>
          <w:szCs w:val="24"/>
        </w:rPr>
      </w:pPr>
      <w:r>
        <w:rPr>
          <w:color w:val="000000" w:themeColor="text1"/>
          <w:sz w:val="24"/>
          <w:szCs w:val="24"/>
        </w:rPr>
        <w:t>T</w:t>
      </w:r>
      <w:r w:rsidR="00574D07" w:rsidRPr="009C35BA">
        <w:rPr>
          <w:color w:val="000000" w:themeColor="text1"/>
          <w:sz w:val="24"/>
          <w:szCs w:val="24"/>
        </w:rPr>
        <w:t xml:space="preserve">he Palermo Protocol </w:t>
      </w:r>
      <w:r>
        <w:rPr>
          <w:color w:val="000000" w:themeColor="text1"/>
          <w:sz w:val="24"/>
          <w:szCs w:val="24"/>
        </w:rPr>
        <w:t xml:space="preserve">supplements the UN Convention against Transnational Organised Crime, 2000. These are specific instruments, which UN member States agreed to follow by adopting national or domestic laws.  </w:t>
      </w:r>
      <w:r w:rsidR="00574D07" w:rsidRPr="009C35BA">
        <w:rPr>
          <w:color w:val="000000" w:themeColor="text1"/>
          <w:sz w:val="24"/>
          <w:szCs w:val="24"/>
        </w:rPr>
        <w:t xml:space="preserve"> </w:t>
      </w:r>
    </w:p>
    <w:p w14:paraId="1245F03B" w14:textId="2C22D0B3" w:rsidR="000A53A0" w:rsidRDefault="00764799" w:rsidP="00F51FC4">
      <w:pPr>
        <w:pStyle w:val="SingleTxtG"/>
        <w:numPr>
          <w:ilvl w:val="1"/>
          <w:numId w:val="1"/>
        </w:numPr>
        <w:spacing w:after="0" w:line="276" w:lineRule="auto"/>
        <w:ind w:left="567" w:right="-51" w:hanging="567"/>
        <w:rPr>
          <w:color w:val="000000" w:themeColor="text1"/>
          <w:sz w:val="24"/>
          <w:szCs w:val="24"/>
        </w:rPr>
      </w:pPr>
      <w:r>
        <w:rPr>
          <w:color w:val="000000" w:themeColor="text1"/>
          <w:sz w:val="24"/>
          <w:szCs w:val="24"/>
        </w:rPr>
        <w:t xml:space="preserve">The Palermo Protocol operates alongside other </w:t>
      </w:r>
      <w:r w:rsidR="00574D07" w:rsidRPr="009C35BA">
        <w:rPr>
          <w:color w:val="000000" w:themeColor="text1"/>
          <w:sz w:val="24"/>
          <w:szCs w:val="24"/>
        </w:rPr>
        <w:t xml:space="preserve">international human rights instruments </w:t>
      </w:r>
      <w:r>
        <w:rPr>
          <w:color w:val="000000" w:themeColor="text1"/>
          <w:sz w:val="24"/>
          <w:szCs w:val="24"/>
        </w:rPr>
        <w:t xml:space="preserve">such as </w:t>
      </w:r>
      <w:r w:rsidR="00574D07" w:rsidRPr="009C35BA">
        <w:rPr>
          <w:color w:val="000000" w:themeColor="text1"/>
          <w:sz w:val="24"/>
          <w:szCs w:val="24"/>
        </w:rPr>
        <w:t xml:space="preserve">the </w:t>
      </w:r>
      <w:r w:rsidRPr="009C35BA">
        <w:rPr>
          <w:color w:val="000000" w:themeColor="text1"/>
          <w:sz w:val="24"/>
          <w:szCs w:val="24"/>
        </w:rPr>
        <w:t>Universal Declaration on Human Rights (“UDHR”)</w:t>
      </w:r>
      <w:r>
        <w:rPr>
          <w:color w:val="000000" w:themeColor="text1"/>
          <w:sz w:val="24"/>
          <w:szCs w:val="24"/>
        </w:rPr>
        <w:t xml:space="preserve">, </w:t>
      </w:r>
      <w:r w:rsidR="00574D07" w:rsidRPr="009C35BA">
        <w:rPr>
          <w:color w:val="000000" w:themeColor="text1"/>
          <w:sz w:val="24"/>
          <w:szCs w:val="24"/>
        </w:rPr>
        <w:t xml:space="preserve">International Covenant on Civil and Political Rights (“ICCPR”), the International Covenant on Economic, Social and Cultural Rights (“ICESCR”), the Convention on the Elimination of All Forms of Discrimination against Women (“CEDAW”), the International Convention on the Elimination of All Forms of Racial Discrimination, the Convention on the Rights of the Child and the Convention on the Rights of Persons with Disabilities. </w:t>
      </w:r>
    </w:p>
    <w:p w14:paraId="067D05E9" w14:textId="5BB47952" w:rsidR="00764799" w:rsidRPr="00764799" w:rsidRDefault="00764799" w:rsidP="00F51FC4">
      <w:pPr>
        <w:pStyle w:val="SingleTxtG"/>
        <w:numPr>
          <w:ilvl w:val="1"/>
          <w:numId w:val="1"/>
        </w:numPr>
        <w:spacing w:after="0" w:line="276" w:lineRule="auto"/>
        <w:ind w:left="567" w:right="-51" w:hanging="567"/>
        <w:rPr>
          <w:color w:val="000000" w:themeColor="text1"/>
          <w:sz w:val="24"/>
          <w:szCs w:val="24"/>
        </w:rPr>
      </w:pPr>
      <w:r w:rsidRPr="00764799">
        <w:rPr>
          <w:sz w:val="24"/>
          <w:szCs w:val="24"/>
        </w:rPr>
        <w:t xml:space="preserve">The Charter of the United Nations, 1945 </w:t>
      </w:r>
      <w:r>
        <w:rPr>
          <w:sz w:val="24"/>
          <w:szCs w:val="24"/>
        </w:rPr>
        <w:t xml:space="preserve">(“UN Charter”) </w:t>
      </w:r>
      <w:r w:rsidRPr="00764799">
        <w:rPr>
          <w:sz w:val="24"/>
          <w:szCs w:val="24"/>
        </w:rPr>
        <w:t xml:space="preserve">has been signed by nearly every nation-State in the world. It is considered by jurists to be the foundational </w:t>
      </w:r>
      <w:r w:rsidRPr="00764799">
        <w:rPr>
          <w:sz w:val="24"/>
          <w:szCs w:val="24"/>
        </w:rPr>
        <w:lastRenderedPageBreak/>
        <w:t>international instrument, not just of the U</w:t>
      </w:r>
      <w:r w:rsidR="00857270">
        <w:rPr>
          <w:sz w:val="24"/>
          <w:szCs w:val="24"/>
        </w:rPr>
        <w:t>N</w:t>
      </w:r>
      <w:r w:rsidRPr="00764799">
        <w:rPr>
          <w:sz w:val="24"/>
          <w:szCs w:val="24"/>
        </w:rPr>
        <w:t>, but the modern international legal order. Article 1 of the UN Charter recognizes its purpose to include the promotion and respect for human rights and fundamental freedoms in a non-discriminatory manner. Article 55 of the Charter declares that the UN shall promote solutions to international health problems and universal respect and observance for human rights, while Article 56 pledges that Members take joint and separate action in cooperation with the Organisation to achieve the purposes set out in Article 55. Articles 55 and 56, read together, can be construed as legal obligations upon States. Further, Article 103 of the Charter contains a non-obstante clause, declaring that the obligations under the Charter shall prevail over any other international agreement in the event of a conflict</w:t>
      </w:r>
      <w:r>
        <w:rPr>
          <w:sz w:val="24"/>
          <w:szCs w:val="24"/>
        </w:rPr>
        <w:t xml:space="preserve">. </w:t>
      </w:r>
    </w:p>
    <w:p w14:paraId="230BF2EA" w14:textId="2B5543C9" w:rsidR="009A0A2A" w:rsidRPr="009C35BA" w:rsidRDefault="00504DD7" w:rsidP="00F51FC4">
      <w:pPr>
        <w:pStyle w:val="SingleTxtG"/>
        <w:numPr>
          <w:ilvl w:val="1"/>
          <w:numId w:val="1"/>
        </w:numPr>
        <w:spacing w:after="0" w:line="276" w:lineRule="auto"/>
        <w:ind w:left="567" w:right="-51" w:hanging="567"/>
        <w:rPr>
          <w:color w:val="000000" w:themeColor="text1"/>
          <w:sz w:val="24"/>
          <w:szCs w:val="24"/>
        </w:rPr>
      </w:pPr>
      <w:r w:rsidRPr="009C35BA">
        <w:rPr>
          <w:color w:val="000000" w:themeColor="text1"/>
          <w:sz w:val="24"/>
          <w:szCs w:val="24"/>
        </w:rPr>
        <w:t>Article 31(3)(c) of t</w:t>
      </w:r>
      <w:r w:rsidR="009A0A2A" w:rsidRPr="009C35BA">
        <w:rPr>
          <w:color w:val="000000" w:themeColor="text1"/>
          <w:sz w:val="24"/>
          <w:szCs w:val="24"/>
        </w:rPr>
        <w:t>he Vienna Convention on Law of Treaties</w:t>
      </w:r>
      <w:r w:rsidR="00C07772" w:rsidRPr="009C35BA">
        <w:rPr>
          <w:color w:val="000000" w:themeColor="text1"/>
          <w:sz w:val="24"/>
          <w:szCs w:val="24"/>
        </w:rPr>
        <w:t>, 1969</w:t>
      </w:r>
      <w:r w:rsidR="000A53A0" w:rsidRPr="009C35BA">
        <w:rPr>
          <w:color w:val="000000" w:themeColor="text1"/>
          <w:sz w:val="24"/>
          <w:szCs w:val="24"/>
        </w:rPr>
        <w:t xml:space="preserve"> (“</w:t>
      </w:r>
      <w:r w:rsidR="002969E9">
        <w:rPr>
          <w:color w:val="000000" w:themeColor="text1"/>
          <w:sz w:val="24"/>
          <w:szCs w:val="24"/>
        </w:rPr>
        <w:t>VCL</w:t>
      </w:r>
      <w:r w:rsidR="000A53A0" w:rsidRPr="009C35BA">
        <w:rPr>
          <w:color w:val="000000" w:themeColor="text1"/>
          <w:sz w:val="24"/>
          <w:szCs w:val="24"/>
        </w:rPr>
        <w:t>T”)</w:t>
      </w:r>
      <w:r w:rsidR="009A0A2A" w:rsidRPr="009C35BA">
        <w:rPr>
          <w:color w:val="000000" w:themeColor="text1"/>
          <w:sz w:val="24"/>
          <w:szCs w:val="24"/>
        </w:rPr>
        <w:t xml:space="preserve"> </w:t>
      </w:r>
      <w:r w:rsidRPr="009C35BA">
        <w:rPr>
          <w:color w:val="000000" w:themeColor="text1"/>
          <w:sz w:val="24"/>
          <w:szCs w:val="24"/>
        </w:rPr>
        <w:t>states that while interpreting any treaty, States must take into account “</w:t>
      </w:r>
      <w:r w:rsidRPr="009C35BA">
        <w:rPr>
          <w:i/>
          <w:sz w:val="24"/>
          <w:szCs w:val="24"/>
        </w:rPr>
        <w:t>Any relevant rules of international law applicable in the relations between the parties.”</w:t>
      </w:r>
      <w:r w:rsidR="009220B3" w:rsidRPr="009C35BA">
        <w:rPr>
          <w:color w:val="333333"/>
          <w:sz w:val="24"/>
          <w:szCs w:val="24"/>
          <w:shd w:val="clear" w:color="auto" w:fill="FFFFFF"/>
        </w:rPr>
        <w:t xml:space="preserve"> </w:t>
      </w:r>
      <w:r w:rsidR="000A53A0" w:rsidRPr="009C35BA">
        <w:rPr>
          <w:color w:val="333333"/>
          <w:sz w:val="24"/>
          <w:szCs w:val="24"/>
          <w:shd w:val="clear" w:color="auto" w:fill="FFFFFF"/>
        </w:rPr>
        <w:t>T</w:t>
      </w:r>
      <w:r w:rsidR="002969E9">
        <w:rPr>
          <w:color w:val="333333"/>
          <w:sz w:val="24"/>
          <w:szCs w:val="24"/>
          <w:shd w:val="clear" w:color="auto" w:fill="FFFFFF"/>
        </w:rPr>
        <w:t>he</w:t>
      </w:r>
      <w:r w:rsidR="000A53A0" w:rsidRPr="009C35BA">
        <w:rPr>
          <w:color w:val="333333"/>
          <w:sz w:val="24"/>
          <w:szCs w:val="24"/>
          <w:shd w:val="clear" w:color="auto" w:fill="FFFFFF"/>
        </w:rPr>
        <w:t xml:space="preserve"> </w:t>
      </w:r>
      <w:r w:rsidR="002969E9">
        <w:rPr>
          <w:color w:val="333333"/>
          <w:sz w:val="24"/>
          <w:szCs w:val="24"/>
          <w:shd w:val="clear" w:color="auto" w:fill="FFFFFF"/>
        </w:rPr>
        <w:t>VCL</w:t>
      </w:r>
      <w:r w:rsidR="000A53A0" w:rsidRPr="009C35BA">
        <w:rPr>
          <w:color w:val="333333"/>
          <w:sz w:val="24"/>
          <w:szCs w:val="24"/>
          <w:shd w:val="clear" w:color="auto" w:fill="FFFFFF"/>
        </w:rPr>
        <w:t>T is considered to be a codification of existing international customary law</w:t>
      </w:r>
      <w:r w:rsidR="000A53A0" w:rsidRPr="009C35BA">
        <w:rPr>
          <w:rStyle w:val="FootnoteReference"/>
          <w:color w:val="333333"/>
          <w:sz w:val="24"/>
          <w:szCs w:val="24"/>
          <w:shd w:val="clear" w:color="auto" w:fill="FFFFFF"/>
        </w:rPr>
        <w:footnoteReference w:id="4"/>
      </w:r>
      <w:r w:rsidR="000A53A0" w:rsidRPr="009C35BA">
        <w:rPr>
          <w:color w:val="333333"/>
          <w:sz w:val="24"/>
          <w:szCs w:val="24"/>
          <w:shd w:val="clear" w:color="auto" w:fill="FFFFFF"/>
        </w:rPr>
        <w:t xml:space="preserve">. Thus, </w:t>
      </w:r>
      <w:r w:rsidR="002969E9">
        <w:rPr>
          <w:color w:val="333333"/>
          <w:sz w:val="24"/>
          <w:szCs w:val="24"/>
          <w:shd w:val="clear" w:color="auto" w:fill="FFFFFF"/>
        </w:rPr>
        <w:t>even States who may not be signatories to the VCLT, must interpret a treaty</w:t>
      </w:r>
      <w:r w:rsidR="000A53A0" w:rsidRPr="009C35BA">
        <w:rPr>
          <w:color w:val="333333"/>
          <w:sz w:val="24"/>
          <w:szCs w:val="24"/>
          <w:shd w:val="clear" w:color="auto" w:fill="FFFFFF"/>
        </w:rPr>
        <w:t xml:space="preserve"> with specific characteristics in light of the international regime of human rights treaties</w:t>
      </w:r>
      <w:r w:rsidR="002969E9">
        <w:rPr>
          <w:color w:val="333333"/>
          <w:sz w:val="24"/>
          <w:szCs w:val="24"/>
          <w:shd w:val="clear" w:color="auto" w:fill="FFFFFF"/>
        </w:rPr>
        <w:t>.</w:t>
      </w:r>
    </w:p>
    <w:p w14:paraId="50D9DD4D" w14:textId="69C5AD7F" w:rsidR="0098387C" w:rsidRPr="0098387C" w:rsidRDefault="00574D07" w:rsidP="009C35BA">
      <w:pPr>
        <w:pStyle w:val="SingleTxtG"/>
        <w:numPr>
          <w:ilvl w:val="1"/>
          <w:numId w:val="1"/>
        </w:numPr>
        <w:spacing w:line="276" w:lineRule="auto"/>
        <w:ind w:left="567" w:right="-52" w:hanging="567"/>
        <w:rPr>
          <w:color w:val="000000" w:themeColor="text1"/>
          <w:sz w:val="24"/>
          <w:szCs w:val="24"/>
        </w:rPr>
      </w:pPr>
      <w:r w:rsidRPr="009C35BA">
        <w:rPr>
          <w:color w:val="000000" w:themeColor="text1"/>
          <w:sz w:val="24"/>
          <w:szCs w:val="24"/>
        </w:rPr>
        <w:t xml:space="preserve">Therefore, </w:t>
      </w:r>
      <w:r w:rsidR="002969E9">
        <w:rPr>
          <w:color w:val="000000" w:themeColor="text1"/>
          <w:sz w:val="24"/>
          <w:szCs w:val="24"/>
        </w:rPr>
        <w:t>the General Recommendation must emphasize that each State’s</w:t>
      </w:r>
      <w:r w:rsidRPr="009C35BA">
        <w:rPr>
          <w:color w:val="000000" w:themeColor="text1"/>
          <w:sz w:val="24"/>
          <w:szCs w:val="24"/>
        </w:rPr>
        <w:t xml:space="preserve"> obligations to prevent and prosecute trafficking under the Palermo Protocol must be </w:t>
      </w:r>
      <w:r w:rsidRPr="009C35BA">
        <w:rPr>
          <w:color w:val="000000" w:themeColor="text1"/>
          <w:sz w:val="24"/>
          <w:szCs w:val="24"/>
        </w:rPr>
        <w:lastRenderedPageBreak/>
        <w:t xml:space="preserve">in consonance with its obligations to respect </w:t>
      </w:r>
      <w:r w:rsidR="00857270">
        <w:rPr>
          <w:color w:val="000000" w:themeColor="text1"/>
          <w:sz w:val="24"/>
          <w:szCs w:val="24"/>
        </w:rPr>
        <w:t xml:space="preserve">international </w:t>
      </w:r>
      <w:r w:rsidRPr="009C35BA">
        <w:rPr>
          <w:color w:val="000000" w:themeColor="text1"/>
          <w:sz w:val="24"/>
          <w:szCs w:val="24"/>
        </w:rPr>
        <w:t xml:space="preserve">human rights </w:t>
      </w:r>
      <w:r w:rsidR="00857270">
        <w:rPr>
          <w:color w:val="000000" w:themeColor="text1"/>
          <w:sz w:val="24"/>
          <w:szCs w:val="24"/>
        </w:rPr>
        <w:t xml:space="preserve">law. Accordingly, efforts to counter trafficking in persons must be consistent with, and not </w:t>
      </w:r>
      <w:r w:rsidR="00F823A0">
        <w:rPr>
          <w:color w:val="000000" w:themeColor="text1"/>
          <w:sz w:val="24"/>
          <w:szCs w:val="24"/>
        </w:rPr>
        <w:t xml:space="preserve">in contravention of the </w:t>
      </w:r>
      <w:r w:rsidRPr="009C35BA">
        <w:rPr>
          <w:color w:val="000000" w:themeColor="text1"/>
          <w:sz w:val="24"/>
          <w:szCs w:val="24"/>
        </w:rPr>
        <w:t xml:space="preserve">rights to liberty, dignity, autonomy, freedom from discrimination, equality and privacy.   </w:t>
      </w:r>
    </w:p>
    <w:p w14:paraId="315D2600" w14:textId="0533AA05" w:rsidR="00574D07" w:rsidRPr="0098387C" w:rsidRDefault="00574D07" w:rsidP="009C35BA">
      <w:pPr>
        <w:pStyle w:val="ListParagraph"/>
        <w:numPr>
          <w:ilvl w:val="0"/>
          <w:numId w:val="1"/>
        </w:numPr>
        <w:spacing w:line="276" w:lineRule="auto"/>
        <w:ind w:left="567" w:hanging="567"/>
        <w:jc w:val="both"/>
        <w:rPr>
          <w:rFonts w:eastAsia="Times New Roman"/>
          <w:b/>
          <w:color w:val="000000" w:themeColor="text1"/>
        </w:rPr>
      </w:pPr>
      <w:r w:rsidRPr="00F51FC4">
        <w:rPr>
          <w:rFonts w:eastAsia="Times New Roman"/>
          <w:b/>
          <w:color w:val="000000" w:themeColor="text1"/>
        </w:rPr>
        <w:t>Problems with a criminal law centric approach to anti-trafficking</w:t>
      </w:r>
    </w:p>
    <w:p w14:paraId="4E68DAD5" w14:textId="77777777" w:rsidR="002969E9" w:rsidRDefault="00574D07" w:rsidP="00F51FC4">
      <w:pPr>
        <w:pStyle w:val="ListParagraph"/>
        <w:numPr>
          <w:ilvl w:val="1"/>
          <w:numId w:val="1"/>
        </w:numPr>
        <w:spacing w:line="276" w:lineRule="auto"/>
        <w:ind w:left="567" w:hanging="567"/>
        <w:jc w:val="both"/>
        <w:rPr>
          <w:color w:val="000000" w:themeColor="text1"/>
        </w:rPr>
      </w:pPr>
      <w:r w:rsidRPr="009C35BA">
        <w:rPr>
          <w:color w:val="000000" w:themeColor="text1"/>
        </w:rPr>
        <w:t>The Palermo Protocol is heavily premised on the assumption that a carceral approach can be meaningfully applied to the multi-faceted phenomenon of trafficking.</w:t>
      </w:r>
      <w:r w:rsidRPr="009C35BA">
        <w:rPr>
          <w:rStyle w:val="FootnoteReference"/>
          <w:color w:val="000000" w:themeColor="text1"/>
        </w:rPr>
        <w:footnoteReference w:id="5"/>
      </w:r>
      <w:r w:rsidRPr="009C35BA">
        <w:rPr>
          <w:color w:val="000000" w:themeColor="text1"/>
        </w:rPr>
        <w:t xml:space="preserve"> Both migration and trafficking are closely linked to socio-economic issues of impoverishment, displacement, lack of security and economic opportunities, poor living and health conditions, gender based violence, racism and casteism. A singular focus on criminal law, that does not address the underlying reasons why people leave their homes, will not help secure the rights of women and girls, in the context of trafficking and global migration.      </w:t>
      </w:r>
    </w:p>
    <w:p w14:paraId="7B0698F7" w14:textId="03173173" w:rsidR="002969E9" w:rsidRPr="002969E9" w:rsidRDefault="00574D07" w:rsidP="00F51FC4">
      <w:pPr>
        <w:pStyle w:val="ListParagraph"/>
        <w:numPr>
          <w:ilvl w:val="1"/>
          <w:numId w:val="1"/>
        </w:numPr>
        <w:spacing w:line="276" w:lineRule="auto"/>
        <w:ind w:left="567" w:hanging="567"/>
        <w:jc w:val="both"/>
        <w:rPr>
          <w:color w:val="000000" w:themeColor="text1"/>
        </w:rPr>
      </w:pPr>
      <w:r w:rsidRPr="002969E9">
        <w:rPr>
          <w:color w:val="000000" w:themeColor="text1"/>
        </w:rPr>
        <w:t xml:space="preserve">The Protocol’s Statement of Purpose states that </w:t>
      </w:r>
      <w:r w:rsidRPr="002969E9">
        <w:rPr>
          <w:rFonts w:eastAsia="Times New Roman"/>
          <w:color w:val="000000" w:themeColor="text1"/>
        </w:rPr>
        <w:t>it aims “</w:t>
      </w:r>
      <w:r w:rsidRPr="002969E9">
        <w:rPr>
          <w:rFonts w:eastAsia="Times New Roman"/>
          <w:i/>
          <w:color w:val="000000" w:themeColor="text1"/>
        </w:rPr>
        <w:t>to protect and assist the victims of such trafficking, with full respect for their human rights</w:t>
      </w:r>
      <w:r w:rsidRPr="002969E9">
        <w:rPr>
          <w:rFonts w:eastAsia="Times New Roman"/>
          <w:color w:val="000000" w:themeColor="text1"/>
        </w:rPr>
        <w:t xml:space="preserve">”, and the Savings Clause enumerated in Article 14 asserts that nothing in this Protocol shall affect the rights of individuals under international law. </w:t>
      </w:r>
    </w:p>
    <w:p w14:paraId="210A5FA7" w14:textId="0EF66B4A" w:rsidR="002969E9" w:rsidRPr="002969E9" w:rsidRDefault="00574D07" w:rsidP="00F51FC4">
      <w:pPr>
        <w:pStyle w:val="ListParagraph"/>
        <w:numPr>
          <w:ilvl w:val="1"/>
          <w:numId w:val="1"/>
        </w:numPr>
        <w:spacing w:line="276" w:lineRule="auto"/>
        <w:ind w:left="567" w:hanging="567"/>
        <w:jc w:val="both"/>
        <w:rPr>
          <w:color w:val="000000" w:themeColor="text1"/>
        </w:rPr>
      </w:pPr>
      <w:r w:rsidRPr="002969E9">
        <w:rPr>
          <w:rFonts w:eastAsia="Times New Roman"/>
          <w:color w:val="000000" w:themeColor="text1"/>
        </w:rPr>
        <w:lastRenderedPageBreak/>
        <w:t xml:space="preserve">Similarly, the Recommended Principles and Guidelines on Human Rights and Human Trafficking (E/2002/68/Add.1) issued by the Office of the United Nations High Commissioner for Human Rights (OHCHR) in 2002 (“Recommended Principles”) promote a human rights-based, gender sensitive approach to anti-trafficking measures. However, reports from </w:t>
      </w:r>
      <w:r w:rsidR="00F35F9C">
        <w:rPr>
          <w:rFonts w:eastAsia="Times New Roman"/>
          <w:color w:val="000000" w:themeColor="text1"/>
        </w:rPr>
        <w:t xml:space="preserve">independent </w:t>
      </w:r>
      <w:r w:rsidR="00AA47F1">
        <w:rPr>
          <w:rFonts w:eastAsia="Times New Roman"/>
          <w:color w:val="000000" w:themeColor="text1"/>
        </w:rPr>
        <w:t>legal experts</w:t>
      </w:r>
      <w:r w:rsidR="00F35F9C">
        <w:rPr>
          <w:rFonts w:eastAsia="Times New Roman"/>
          <w:color w:val="000000" w:themeColor="text1"/>
        </w:rPr>
        <w:t xml:space="preserve"> </w:t>
      </w:r>
      <w:r w:rsidRPr="002969E9">
        <w:rPr>
          <w:rFonts w:eastAsia="Times New Roman"/>
          <w:color w:val="000000" w:themeColor="text1"/>
        </w:rPr>
        <w:t>reveal that this cannot be achieved in the backdrop of heavy reliance on criminal law mechanisms.</w:t>
      </w:r>
      <w:r w:rsidR="00AA47F1" w:rsidRPr="00AA47F1">
        <w:rPr>
          <w:rStyle w:val="FootnoteReference"/>
          <w:rFonts w:eastAsia="Times New Roman"/>
          <w:color w:val="000000" w:themeColor="text1"/>
        </w:rPr>
        <w:t xml:space="preserve"> </w:t>
      </w:r>
      <w:r w:rsidR="00AA47F1" w:rsidRPr="009C35BA">
        <w:rPr>
          <w:rStyle w:val="FootnoteReference"/>
          <w:rFonts w:eastAsia="Times New Roman"/>
          <w:color w:val="000000" w:themeColor="text1"/>
        </w:rPr>
        <w:footnoteReference w:id="6"/>
      </w:r>
      <w:r w:rsidR="00AA47F1">
        <w:rPr>
          <w:rFonts w:eastAsia="Times New Roman"/>
          <w:color w:val="000000" w:themeColor="text1"/>
        </w:rPr>
        <w:t xml:space="preserve"> </w:t>
      </w:r>
      <w:r w:rsidRPr="002969E9">
        <w:rPr>
          <w:rFonts w:eastAsia="Times New Roman"/>
          <w:color w:val="000000" w:themeColor="text1"/>
        </w:rPr>
        <w:t xml:space="preserve"> </w:t>
      </w:r>
    </w:p>
    <w:p w14:paraId="092BF51B" w14:textId="3C878FCD" w:rsidR="002969E9" w:rsidRPr="002969E9" w:rsidRDefault="00574D07" w:rsidP="00F51FC4">
      <w:pPr>
        <w:pStyle w:val="ListParagraph"/>
        <w:numPr>
          <w:ilvl w:val="1"/>
          <w:numId w:val="1"/>
        </w:numPr>
        <w:spacing w:line="276" w:lineRule="auto"/>
        <w:ind w:left="567" w:hanging="567"/>
        <w:jc w:val="both"/>
        <w:rPr>
          <w:color w:val="000000" w:themeColor="text1"/>
        </w:rPr>
      </w:pPr>
      <w:r w:rsidRPr="002969E9">
        <w:rPr>
          <w:rFonts w:eastAsia="Times New Roman"/>
          <w:color w:val="000000" w:themeColor="text1"/>
        </w:rPr>
        <w:t xml:space="preserve">The </w:t>
      </w:r>
      <w:r w:rsidR="005470E2">
        <w:rPr>
          <w:rFonts w:eastAsia="Times New Roman"/>
          <w:color w:val="000000" w:themeColor="text1"/>
        </w:rPr>
        <w:t xml:space="preserve">U.N </w:t>
      </w:r>
      <w:r w:rsidRPr="002969E9">
        <w:rPr>
          <w:rFonts w:eastAsia="Times New Roman"/>
          <w:color w:val="000000" w:themeColor="text1"/>
        </w:rPr>
        <w:t>Special Rapporteur on trafficking in persons, especially women and children, Joy Ngozi Ezeilo has noted that a strong criminal justice response must be explicitly focused on challenging the culture of impunity enjoyed by traffickers and to secure justice for the victims. She too underlined that, “</w:t>
      </w:r>
      <w:r w:rsidRPr="002969E9">
        <w:rPr>
          <w:rFonts w:eastAsia="Times New Roman"/>
          <w:i/>
          <w:color w:val="000000" w:themeColor="text1"/>
        </w:rPr>
        <w:t>Too often, victims of trafficking are treated as instruments of criminal investigations, rather than as rights holders with a legal entitlement to protection, support and remedies</w:t>
      </w:r>
      <w:r w:rsidRPr="002969E9">
        <w:rPr>
          <w:rFonts w:eastAsia="Times New Roman"/>
          <w:color w:val="000000" w:themeColor="text1"/>
        </w:rPr>
        <w:t>.”</w:t>
      </w:r>
      <w:r w:rsidRPr="009C35BA">
        <w:rPr>
          <w:rStyle w:val="FootnoteReference"/>
          <w:rFonts w:eastAsia="Times New Roman"/>
          <w:color w:val="000000" w:themeColor="text1"/>
        </w:rPr>
        <w:footnoteReference w:id="7"/>
      </w:r>
      <w:r w:rsidRPr="002969E9">
        <w:rPr>
          <w:rFonts w:eastAsia="Times New Roman"/>
          <w:color w:val="000000" w:themeColor="text1"/>
        </w:rPr>
        <w:t xml:space="preserve"> Further, increasing reliance on criminal justice mechanisms compels victims of trafficking to primarily interact with members of the police force and other law enforcement or </w:t>
      </w:r>
      <w:r w:rsidRPr="002969E9">
        <w:rPr>
          <w:rFonts w:eastAsia="Times New Roman"/>
          <w:color w:val="000000" w:themeColor="text1"/>
        </w:rPr>
        <w:lastRenderedPageBreak/>
        <w:t xml:space="preserve">border control agencies, who may not be </w:t>
      </w:r>
      <w:r w:rsidR="002969E9">
        <w:rPr>
          <w:rFonts w:eastAsia="Times New Roman"/>
          <w:color w:val="000000" w:themeColor="text1"/>
        </w:rPr>
        <w:t xml:space="preserve">trained </w:t>
      </w:r>
      <w:r w:rsidRPr="002969E9">
        <w:rPr>
          <w:rFonts w:eastAsia="Times New Roman"/>
          <w:color w:val="000000" w:themeColor="text1"/>
        </w:rPr>
        <w:t>in rights-compliant gender sensitive approaches towards victims</w:t>
      </w:r>
      <w:r w:rsidR="002969E9">
        <w:rPr>
          <w:rFonts w:eastAsia="Times New Roman"/>
          <w:color w:val="000000" w:themeColor="text1"/>
        </w:rPr>
        <w:t>.</w:t>
      </w:r>
    </w:p>
    <w:p w14:paraId="0A596F29" w14:textId="77777777" w:rsidR="002969E9" w:rsidRPr="002969E9" w:rsidRDefault="00574D07" w:rsidP="00F51FC4">
      <w:pPr>
        <w:pStyle w:val="ListParagraph"/>
        <w:numPr>
          <w:ilvl w:val="1"/>
          <w:numId w:val="1"/>
        </w:numPr>
        <w:spacing w:line="276" w:lineRule="auto"/>
        <w:ind w:left="567" w:hanging="567"/>
        <w:jc w:val="both"/>
        <w:rPr>
          <w:color w:val="000000" w:themeColor="text1"/>
        </w:rPr>
      </w:pPr>
      <w:r w:rsidRPr="002969E9">
        <w:rPr>
          <w:rFonts w:eastAsia="Times New Roman"/>
          <w:color w:val="000000" w:themeColor="text1"/>
        </w:rPr>
        <w:t>Anti-trafficking policies which lack a thorough understanding of the fundamental principles of consent and autonomy often criminalize the actions of consenting individuals, particularly those belonging to marginalized communities who have migrated with hopes and aspirations of seeking gainful employment or who are escaping violent or oppressive circumstances. This has been extensively documented in the case of suppression, detention of and violence against adult sex workers who are forcibly portrayed as ‘victims’ of trafficking.  Such policies neglect to address structural and systemic causes of trafficking including global supply chains to which such criminal measures would not pose a significant deterrent.</w:t>
      </w:r>
    </w:p>
    <w:p w14:paraId="2554E9DB" w14:textId="50B0D492" w:rsidR="0074205F" w:rsidRPr="0074205F" w:rsidRDefault="00574D07" w:rsidP="00F51FC4">
      <w:pPr>
        <w:pStyle w:val="ListParagraph"/>
        <w:numPr>
          <w:ilvl w:val="1"/>
          <w:numId w:val="1"/>
        </w:numPr>
        <w:spacing w:line="276" w:lineRule="auto"/>
        <w:ind w:left="567" w:hanging="567"/>
        <w:jc w:val="both"/>
        <w:rPr>
          <w:color w:val="000000" w:themeColor="text1"/>
        </w:rPr>
      </w:pPr>
      <w:r w:rsidRPr="002969E9">
        <w:rPr>
          <w:rFonts w:eastAsia="Times New Roman"/>
          <w:color w:val="000000" w:themeColor="text1"/>
        </w:rPr>
        <w:t>Principle 2 of the Recommended Principles provides that “</w:t>
      </w:r>
      <w:r w:rsidRPr="002969E9">
        <w:rPr>
          <w:rFonts w:eastAsia="Times New Roman"/>
          <w:i/>
          <w:color w:val="000000" w:themeColor="text1"/>
        </w:rPr>
        <w:t>States have a responsibility under international law to act with due diligence to prevent trafficking, to investigate and prosecute traffickers and to assist and protect trafficked persons.</w:t>
      </w:r>
      <w:r w:rsidRPr="002969E9">
        <w:rPr>
          <w:rFonts w:eastAsia="Times New Roman"/>
          <w:color w:val="000000" w:themeColor="text1"/>
        </w:rPr>
        <w:t>” The U</w:t>
      </w:r>
      <w:r w:rsidR="005470E2">
        <w:rPr>
          <w:rFonts w:eastAsia="Times New Roman"/>
          <w:color w:val="000000" w:themeColor="text1"/>
        </w:rPr>
        <w:t>.N</w:t>
      </w:r>
      <w:r w:rsidRPr="002969E9">
        <w:rPr>
          <w:rFonts w:eastAsia="Times New Roman"/>
          <w:color w:val="000000" w:themeColor="text1"/>
        </w:rPr>
        <w:t xml:space="preserve"> S</w:t>
      </w:r>
      <w:r w:rsidRPr="002969E9">
        <w:rPr>
          <w:color w:val="000000" w:themeColor="text1"/>
        </w:rPr>
        <w:t xml:space="preserve">pecial Rapporteur on trafficking in persons, especially women and children, Maria Grazia Giammarinaro has urged the need to </w:t>
      </w:r>
      <w:r w:rsidRPr="002969E9">
        <w:rPr>
          <w:rFonts w:eastAsia="Times New Roman"/>
          <w:color w:val="000000" w:themeColor="text1"/>
        </w:rPr>
        <w:t>understand the human rights obligations of due diligence on trafficking to ensure that States comply with human rights in implementing these other anti-trafficking obligations.</w:t>
      </w:r>
      <w:r w:rsidRPr="009C35BA">
        <w:rPr>
          <w:rStyle w:val="FootnoteReference"/>
          <w:rFonts w:eastAsia="Times New Roman"/>
          <w:color w:val="000000" w:themeColor="text1"/>
        </w:rPr>
        <w:footnoteReference w:id="8"/>
      </w:r>
      <w:r w:rsidRPr="002969E9">
        <w:rPr>
          <w:rFonts w:eastAsia="Times New Roman"/>
          <w:color w:val="000000" w:themeColor="text1"/>
        </w:rPr>
        <w:t xml:space="preserve"> This would allow for exam</w:t>
      </w:r>
      <w:r w:rsidRPr="002969E9">
        <w:rPr>
          <w:rFonts w:eastAsia="Times New Roman"/>
          <w:color w:val="000000" w:themeColor="text1"/>
        </w:rPr>
        <w:lastRenderedPageBreak/>
        <w:t>ination of State failures to respect and fulfil human rights in non-discrimination, labour, migration, and education</w:t>
      </w:r>
      <w:r w:rsidR="0074205F">
        <w:rPr>
          <w:rFonts w:eastAsia="Times New Roman"/>
          <w:color w:val="000000" w:themeColor="text1"/>
        </w:rPr>
        <w:t xml:space="preserve"> spheres</w:t>
      </w:r>
      <w:r w:rsidRPr="002969E9">
        <w:rPr>
          <w:rFonts w:eastAsia="Times New Roman"/>
          <w:color w:val="000000" w:themeColor="text1"/>
        </w:rPr>
        <w:t xml:space="preserve"> which create the conditions conducive to trafficking by third parties.</w:t>
      </w:r>
      <w:r w:rsidRPr="009C35BA">
        <w:rPr>
          <w:rStyle w:val="FootnoteReference"/>
          <w:rFonts w:eastAsia="Times New Roman"/>
          <w:color w:val="000000" w:themeColor="text1"/>
        </w:rPr>
        <w:footnoteReference w:id="9"/>
      </w:r>
      <w:r w:rsidRPr="002969E9">
        <w:rPr>
          <w:rFonts w:eastAsia="Times New Roman"/>
          <w:color w:val="000000" w:themeColor="text1"/>
        </w:rPr>
        <w:t xml:space="preserve"> Such an approach is instrumental to a holistic understanding of the phenomenon of trafficking which does not selectively focus upon post-trafficking </w:t>
      </w:r>
      <w:r w:rsidR="0071569F">
        <w:rPr>
          <w:rFonts w:eastAsia="Times New Roman"/>
          <w:color w:val="000000" w:themeColor="text1"/>
        </w:rPr>
        <w:t xml:space="preserve">measures of </w:t>
      </w:r>
      <w:r w:rsidRPr="002969E9">
        <w:rPr>
          <w:rFonts w:eastAsia="Times New Roman"/>
          <w:color w:val="000000" w:themeColor="text1"/>
        </w:rPr>
        <w:t>prosecution and punishment.</w:t>
      </w:r>
    </w:p>
    <w:p w14:paraId="13C647F3" w14:textId="002A5B13" w:rsidR="00574D07" w:rsidRPr="009F59AF" w:rsidRDefault="00574D07" w:rsidP="009F59AF">
      <w:pPr>
        <w:pStyle w:val="ListParagraph"/>
        <w:numPr>
          <w:ilvl w:val="1"/>
          <w:numId w:val="1"/>
        </w:numPr>
        <w:spacing w:line="276" w:lineRule="auto"/>
        <w:ind w:left="567" w:hanging="567"/>
        <w:jc w:val="both"/>
        <w:rPr>
          <w:rFonts w:eastAsia="Times New Roman"/>
          <w:color w:val="000000" w:themeColor="text1"/>
        </w:rPr>
      </w:pPr>
      <w:r w:rsidRPr="00BF5487">
        <w:rPr>
          <w:rFonts w:eastAsia="Times New Roman"/>
          <w:color w:val="000000" w:themeColor="text1"/>
        </w:rPr>
        <w:t xml:space="preserve">We submit that an effective and meaningful anti-trafficking policy must require States to adopt and respect human rights and principles and minimize interventions through the criminal justice system. States must be held accountable to a due diligence standard that is grounded on international human rights norms to prevent further suppression of marginalized groups. The use of a human rights framework will also ensure that anti-trafficking efforts are integrated with policies on related issues of immigration, labour and impoverishment. </w:t>
      </w:r>
    </w:p>
    <w:p w14:paraId="29ACD72C" w14:textId="598FAAAA" w:rsidR="00574D07" w:rsidRPr="00F51FC4" w:rsidRDefault="00574D07" w:rsidP="00F51FC4">
      <w:pPr>
        <w:pStyle w:val="ListParagraph"/>
        <w:numPr>
          <w:ilvl w:val="0"/>
          <w:numId w:val="1"/>
        </w:numPr>
        <w:spacing w:line="276" w:lineRule="auto"/>
        <w:ind w:left="567" w:hanging="567"/>
        <w:jc w:val="both"/>
        <w:rPr>
          <w:rFonts w:eastAsia="Times New Roman"/>
          <w:b/>
          <w:color w:val="000000" w:themeColor="text1"/>
        </w:rPr>
      </w:pPr>
      <w:r w:rsidRPr="00F51FC4">
        <w:rPr>
          <w:rFonts w:eastAsia="Times New Roman"/>
          <w:b/>
          <w:color w:val="000000" w:themeColor="text1"/>
        </w:rPr>
        <w:t>Human rights undermined by anti-trafficking practices</w:t>
      </w:r>
    </w:p>
    <w:p w14:paraId="0F94F649" w14:textId="359554ED" w:rsidR="00574D07" w:rsidRPr="0098387C" w:rsidRDefault="00574D07" w:rsidP="009C35BA">
      <w:pPr>
        <w:pStyle w:val="ListParagraph"/>
        <w:numPr>
          <w:ilvl w:val="0"/>
          <w:numId w:val="4"/>
        </w:numPr>
        <w:spacing w:line="276" w:lineRule="auto"/>
        <w:ind w:left="567" w:hanging="567"/>
        <w:jc w:val="both"/>
        <w:rPr>
          <w:rFonts w:eastAsia="Times New Roman"/>
          <w:b/>
          <w:color w:val="000000" w:themeColor="text1"/>
        </w:rPr>
      </w:pPr>
      <w:r w:rsidRPr="00F51FC4">
        <w:rPr>
          <w:rFonts w:eastAsia="Times New Roman"/>
          <w:b/>
          <w:color w:val="000000" w:themeColor="text1"/>
        </w:rPr>
        <w:t>Identification of Victims</w:t>
      </w:r>
    </w:p>
    <w:p w14:paraId="60B90BF6" w14:textId="197BDAA7" w:rsidR="00574D07" w:rsidRPr="0098387C" w:rsidRDefault="00574D07" w:rsidP="0098387C">
      <w:pPr>
        <w:spacing w:line="276" w:lineRule="auto"/>
        <w:ind w:left="1287" w:hanging="567"/>
        <w:jc w:val="both"/>
        <w:rPr>
          <w:b/>
          <w:color w:val="000000" w:themeColor="text1"/>
          <w:u w:val="single"/>
        </w:rPr>
      </w:pPr>
      <w:r w:rsidRPr="0098387C">
        <w:rPr>
          <w:b/>
          <w:color w:val="000000" w:themeColor="text1"/>
          <w:u w:val="single"/>
        </w:rPr>
        <w:t xml:space="preserve">Anti-trafficking laws ignore </w:t>
      </w:r>
      <w:r w:rsidR="0075069B" w:rsidRPr="0098387C">
        <w:rPr>
          <w:b/>
          <w:color w:val="000000" w:themeColor="text1"/>
          <w:u w:val="single"/>
        </w:rPr>
        <w:t>‘</w:t>
      </w:r>
      <w:r w:rsidRPr="0098387C">
        <w:rPr>
          <w:b/>
          <w:color w:val="000000" w:themeColor="text1"/>
          <w:u w:val="single"/>
        </w:rPr>
        <w:t xml:space="preserve">consent’ </w:t>
      </w:r>
    </w:p>
    <w:p w14:paraId="1EC4F445" w14:textId="6580DAE0" w:rsidR="0074205F" w:rsidRDefault="00574D07" w:rsidP="00F51FC4">
      <w:pPr>
        <w:pStyle w:val="ListParagraph"/>
        <w:numPr>
          <w:ilvl w:val="1"/>
          <w:numId w:val="1"/>
        </w:numPr>
        <w:spacing w:line="276" w:lineRule="auto"/>
        <w:ind w:left="567" w:hanging="567"/>
        <w:jc w:val="both"/>
        <w:rPr>
          <w:color w:val="000000" w:themeColor="text1"/>
        </w:rPr>
      </w:pPr>
      <w:r w:rsidRPr="009C35BA">
        <w:rPr>
          <w:color w:val="000000" w:themeColor="text1"/>
        </w:rPr>
        <w:t xml:space="preserve">Article 3 of the Palermo Protocol clearly states that consent of a victim of trafficking to the intended exploitation shall be irrelevant. The same position is reflected </w:t>
      </w:r>
      <w:r w:rsidRPr="009C35BA">
        <w:rPr>
          <w:color w:val="000000" w:themeColor="text1"/>
        </w:rPr>
        <w:lastRenderedPageBreak/>
        <w:t>in our domestic law i.e. Section 370, IPC, which has the effect of negating and criminalizing choices made by individuals</w:t>
      </w:r>
      <w:r w:rsidR="00F51FC4">
        <w:rPr>
          <w:color w:val="000000" w:themeColor="text1"/>
        </w:rPr>
        <w:t xml:space="preserve">, </w:t>
      </w:r>
      <w:r w:rsidRPr="009C35BA">
        <w:rPr>
          <w:color w:val="000000" w:themeColor="text1"/>
        </w:rPr>
        <w:t xml:space="preserve">e.g., an adult woman’s decision to engage in sex work is seen as trafficking, for under the law, she cannot ‘consent’ to ‘prostitution’, which is defined as </w:t>
      </w:r>
      <w:r w:rsidRPr="009C35BA">
        <w:rPr>
          <w:i/>
          <w:color w:val="000000" w:themeColor="text1"/>
        </w:rPr>
        <w:t>“sexual exploitation or abuse for commercial purpose.”</w:t>
      </w:r>
      <w:r w:rsidR="0078776F">
        <w:rPr>
          <w:rStyle w:val="FootnoteReference"/>
          <w:i/>
          <w:color w:val="000000" w:themeColor="text1"/>
        </w:rPr>
        <w:footnoteReference w:id="10"/>
      </w:r>
      <w:r w:rsidRPr="009C35BA">
        <w:rPr>
          <w:color w:val="000000" w:themeColor="text1"/>
        </w:rPr>
        <w:t xml:space="preserve"> </w:t>
      </w:r>
    </w:p>
    <w:p w14:paraId="5470645F" w14:textId="77777777" w:rsidR="0074205F" w:rsidRPr="0074205F" w:rsidRDefault="00574D07" w:rsidP="00F51FC4">
      <w:pPr>
        <w:pStyle w:val="ListParagraph"/>
        <w:numPr>
          <w:ilvl w:val="1"/>
          <w:numId w:val="1"/>
        </w:numPr>
        <w:spacing w:line="276" w:lineRule="auto"/>
        <w:ind w:left="567" w:hanging="567"/>
        <w:jc w:val="both"/>
        <w:rPr>
          <w:color w:val="000000" w:themeColor="text1"/>
        </w:rPr>
      </w:pPr>
      <w:r w:rsidRPr="0074205F">
        <w:rPr>
          <w:color w:val="000000" w:themeColor="text1"/>
        </w:rPr>
        <w:t>Further still, in several cases, even though consent to perform certain work may initially be obtained through coercion and compulsion, when such persons are apprehended they have taken the conscious decision to continue performing such work.</w:t>
      </w:r>
      <w:r w:rsidRPr="009C35BA">
        <w:rPr>
          <w:rStyle w:val="FootnoteReference"/>
          <w:color w:val="000000" w:themeColor="text1"/>
        </w:rPr>
        <w:footnoteReference w:id="11"/>
      </w:r>
      <w:r w:rsidRPr="0074205F">
        <w:rPr>
          <w:color w:val="000000" w:themeColor="text1"/>
        </w:rPr>
        <w:t xml:space="preserve"> </w:t>
      </w:r>
      <w:r w:rsidRPr="0074205F">
        <w:rPr>
          <w:rFonts w:eastAsia="Times New Roman"/>
          <w:color w:val="000000" w:themeColor="text1"/>
        </w:rPr>
        <w:t>However, this is not considered relevant while interpreting the Protocol as without consent at every stage, trafficking shall be deemed to have taken place.</w:t>
      </w:r>
      <w:r w:rsidRPr="009C35BA">
        <w:rPr>
          <w:rStyle w:val="FootnoteReference"/>
          <w:rFonts w:eastAsia="Times New Roman"/>
          <w:color w:val="000000" w:themeColor="text1"/>
        </w:rPr>
        <w:footnoteReference w:id="12"/>
      </w:r>
      <w:r w:rsidRPr="0074205F">
        <w:rPr>
          <w:rFonts w:eastAsia="Times New Roman"/>
          <w:color w:val="000000" w:themeColor="text1"/>
        </w:rPr>
        <w:t xml:space="preserve"> We urge that the universal principles of respect for the autonomy and dignity of a person imply that lack of consent at an earlier stage cannot negate consent or the right to consent at a later stage.</w:t>
      </w:r>
    </w:p>
    <w:p w14:paraId="4707ED87" w14:textId="77777777" w:rsidR="0074205F" w:rsidRDefault="00574D07" w:rsidP="00F51FC4">
      <w:pPr>
        <w:pStyle w:val="ListParagraph"/>
        <w:numPr>
          <w:ilvl w:val="1"/>
          <w:numId w:val="1"/>
        </w:numPr>
        <w:spacing w:line="276" w:lineRule="auto"/>
        <w:ind w:left="567" w:hanging="567"/>
        <w:jc w:val="both"/>
        <w:rPr>
          <w:color w:val="000000" w:themeColor="text1"/>
        </w:rPr>
      </w:pPr>
      <w:r w:rsidRPr="0074205F">
        <w:rPr>
          <w:color w:val="000000" w:themeColor="text1"/>
        </w:rPr>
        <w:lastRenderedPageBreak/>
        <w:t>Consent is also considered to be absent when there is “abuse of position of vulnerability,</w:t>
      </w:r>
      <w:r w:rsidRPr="0074205F">
        <w:rPr>
          <w:rStyle w:val="Emphasis"/>
          <w:color w:val="000000" w:themeColor="text1"/>
        </w:rPr>
        <w:t>”</w:t>
      </w:r>
      <w:r w:rsidRPr="0074205F">
        <w:rPr>
          <w:color w:val="000000" w:themeColor="text1"/>
        </w:rPr>
        <w:t xml:space="preserve"> which, according to the </w:t>
      </w:r>
      <w:r w:rsidRPr="0074205F">
        <w:rPr>
          <w:i/>
          <w:color w:val="000000" w:themeColor="text1"/>
        </w:rPr>
        <w:t>traveaux preparatoires</w:t>
      </w:r>
      <w:r w:rsidRPr="0074205F">
        <w:rPr>
          <w:color w:val="000000" w:themeColor="text1"/>
        </w:rPr>
        <w:t>, refers to </w:t>
      </w:r>
      <w:r w:rsidRPr="0074205F">
        <w:rPr>
          <w:rStyle w:val="Emphasis"/>
          <w:color w:val="000000" w:themeColor="text1"/>
        </w:rPr>
        <w:t>“</w:t>
      </w:r>
      <w:r w:rsidRPr="0074205F">
        <w:rPr>
          <w:i/>
          <w:color w:val="000000" w:themeColor="text1"/>
        </w:rPr>
        <w:t>any situation in which the person involved has no real and acceptable alternative but to submit to the abuse involved</w:t>
      </w:r>
      <w:r w:rsidRPr="0074205F">
        <w:rPr>
          <w:color w:val="000000" w:themeColor="text1"/>
        </w:rPr>
        <w:t>.”</w:t>
      </w:r>
      <w:r w:rsidRPr="009C35BA">
        <w:rPr>
          <w:rStyle w:val="FootnoteReference"/>
          <w:color w:val="000000" w:themeColor="text1"/>
        </w:rPr>
        <w:footnoteReference w:id="13"/>
      </w:r>
      <w:r w:rsidRPr="0074205F">
        <w:rPr>
          <w:color w:val="000000" w:themeColor="text1"/>
        </w:rPr>
        <w:t xml:space="preserve"> Such a vague and broad proposition would consider almost all workers in an increasingly globalized capitalist economy as ‘vulnerable’ and their movement for economic opportunities will be considered to be trafficking. </w:t>
      </w:r>
      <w:r w:rsidR="0074205F">
        <w:rPr>
          <w:color w:val="000000" w:themeColor="text1"/>
        </w:rPr>
        <w:t>Such over-</w:t>
      </w:r>
      <w:r w:rsidRPr="0074205F">
        <w:rPr>
          <w:color w:val="000000" w:themeColor="text1"/>
        </w:rPr>
        <w:t xml:space="preserve">inclusive definitions as in the Palermo Protocol, result in perpetuating of stereotypes which stigmatize individuals and subject them to surveillance </w:t>
      </w:r>
      <w:r w:rsidR="0075069B" w:rsidRPr="0074205F">
        <w:rPr>
          <w:color w:val="000000" w:themeColor="text1"/>
        </w:rPr>
        <w:t>of both society and State.</w:t>
      </w:r>
    </w:p>
    <w:p w14:paraId="1EC63EB1" w14:textId="191D9784" w:rsidR="00574D07" w:rsidRPr="00F35FF9" w:rsidRDefault="00574D07" w:rsidP="00F51FC4">
      <w:pPr>
        <w:pStyle w:val="ListParagraph"/>
        <w:numPr>
          <w:ilvl w:val="1"/>
          <w:numId w:val="1"/>
        </w:numPr>
        <w:spacing w:line="276" w:lineRule="auto"/>
        <w:ind w:left="567" w:hanging="567"/>
        <w:jc w:val="both"/>
        <w:rPr>
          <w:color w:val="000000" w:themeColor="text1"/>
        </w:rPr>
      </w:pPr>
      <w:r w:rsidRPr="00F35FF9">
        <w:rPr>
          <w:color w:val="000000" w:themeColor="text1"/>
        </w:rPr>
        <w:t xml:space="preserve">Such an interpretation cannot be countenanced in light of international human rights instruments guaranteeing to each individual the right to dignity, the right to liberty and the right to work. It would be tantamount to penalizing individuals for the socio-economic conditions in their countries, instead of holding State Parties accountable for </w:t>
      </w:r>
      <w:r w:rsidR="00257494" w:rsidRPr="00F35FF9">
        <w:rPr>
          <w:color w:val="000000" w:themeColor="text1"/>
        </w:rPr>
        <w:t>not taking appropriate measures to achieve their Sustainable Development Goals</w:t>
      </w:r>
      <w:r w:rsidRPr="00F35FF9">
        <w:rPr>
          <w:color w:val="000000" w:themeColor="text1"/>
        </w:rPr>
        <w:t xml:space="preserve"> </w:t>
      </w:r>
      <w:r w:rsidR="00257494" w:rsidRPr="00F35FF9">
        <w:rPr>
          <w:color w:val="000000" w:themeColor="text1"/>
        </w:rPr>
        <w:t>relating to poverty, hunger, education, and health, amongst others.</w:t>
      </w:r>
    </w:p>
    <w:p w14:paraId="7A3F23F9" w14:textId="77777777" w:rsidR="00103F50" w:rsidRPr="009C35BA" w:rsidRDefault="00103F50" w:rsidP="009C35BA">
      <w:pPr>
        <w:spacing w:line="276" w:lineRule="auto"/>
        <w:jc w:val="both"/>
        <w:rPr>
          <w:color w:val="000000" w:themeColor="text1"/>
        </w:rPr>
      </w:pPr>
    </w:p>
    <w:p w14:paraId="365FDF3F" w14:textId="77777777" w:rsidR="00574D07" w:rsidRPr="0098387C" w:rsidRDefault="00574D07" w:rsidP="0098387C">
      <w:pPr>
        <w:spacing w:line="276" w:lineRule="auto"/>
        <w:ind w:left="1287" w:hanging="567"/>
        <w:jc w:val="both"/>
        <w:rPr>
          <w:b/>
          <w:color w:val="000000" w:themeColor="text1"/>
          <w:u w:val="single"/>
        </w:rPr>
      </w:pPr>
      <w:r w:rsidRPr="0098387C">
        <w:rPr>
          <w:b/>
          <w:color w:val="000000" w:themeColor="text1"/>
          <w:u w:val="single"/>
        </w:rPr>
        <w:lastRenderedPageBreak/>
        <w:t>Conflation of victims of trafficking with adults voluntarily performing work</w:t>
      </w:r>
    </w:p>
    <w:p w14:paraId="5425E8B3" w14:textId="77777777" w:rsidR="0074205F" w:rsidRDefault="00574D07" w:rsidP="00F51FC4">
      <w:pPr>
        <w:pStyle w:val="ListParagraph"/>
        <w:numPr>
          <w:ilvl w:val="1"/>
          <w:numId w:val="1"/>
        </w:numPr>
        <w:spacing w:line="276" w:lineRule="auto"/>
        <w:ind w:left="567" w:hanging="567"/>
        <w:jc w:val="both"/>
        <w:rPr>
          <w:color w:val="000000" w:themeColor="text1"/>
        </w:rPr>
      </w:pPr>
      <w:r w:rsidRPr="009C35BA">
        <w:rPr>
          <w:color w:val="000000" w:themeColor="text1"/>
        </w:rPr>
        <w:t xml:space="preserve">In India, law enforcement agencies and anti-trafficking units routinely carry out misdirected interventions, often targeting stigmatized occupations like sex work </w:t>
      </w:r>
      <w:r w:rsidR="00117073" w:rsidRPr="009C35BA">
        <w:rPr>
          <w:color w:val="000000" w:themeColor="text1"/>
        </w:rPr>
        <w:t>and</w:t>
      </w:r>
      <w:r w:rsidRPr="009C35BA">
        <w:rPr>
          <w:color w:val="000000" w:themeColor="text1"/>
        </w:rPr>
        <w:t xml:space="preserve"> begging. Mass raids and rescue operations result in everyone being ‘removed’ </w:t>
      </w:r>
      <w:r w:rsidR="00117073" w:rsidRPr="009C35BA">
        <w:rPr>
          <w:color w:val="000000" w:themeColor="text1"/>
        </w:rPr>
        <w:t>or</w:t>
      </w:r>
      <w:r w:rsidRPr="009C35BA">
        <w:rPr>
          <w:color w:val="000000" w:themeColor="text1"/>
        </w:rPr>
        <w:t xml:space="preserve"> apprehended, not just persons who have been trafficked.</w:t>
      </w:r>
      <w:r w:rsidR="007C7E51" w:rsidRPr="009C35BA">
        <w:rPr>
          <w:color w:val="000000" w:themeColor="text1"/>
        </w:rPr>
        <w:t xml:space="preserve"> </w:t>
      </w:r>
      <w:r w:rsidRPr="009C35BA">
        <w:rPr>
          <w:color w:val="000000" w:themeColor="text1"/>
        </w:rPr>
        <w:t>Adult sex workers in India have borne the brunt of such imprecise identification of victims of trafficking both under ITPA and</w:t>
      </w:r>
      <w:r w:rsidR="00117073" w:rsidRPr="009C35BA">
        <w:rPr>
          <w:color w:val="000000" w:themeColor="text1"/>
        </w:rPr>
        <w:t xml:space="preserve"> S</w:t>
      </w:r>
      <w:r w:rsidRPr="009C35BA">
        <w:rPr>
          <w:color w:val="000000" w:themeColor="text1"/>
        </w:rPr>
        <w:t xml:space="preserve">ection 370, IPC. </w:t>
      </w:r>
    </w:p>
    <w:p w14:paraId="5CCB941E" w14:textId="49BE961B" w:rsidR="0074205F" w:rsidRDefault="00514D0B" w:rsidP="00F51FC4">
      <w:pPr>
        <w:pStyle w:val="ListParagraph"/>
        <w:numPr>
          <w:ilvl w:val="1"/>
          <w:numId w:val="1"/>
        </w:numPr>
        <w:spacing w:line="276" w:lineRule="auto"/>
        <w:ind w:left="567" w:hanging="567"/>
        <w:jc w:val="both"/>
        <w:rPr>
          <w:color w:val="000000" w:themeColor="text1"/>
        </w:rPr>
      </w:pPr>
      <w:r>
        <w:rPr>
          <w:color w:val="000000" w:themeColor="text1"/>
        </w:rPr>
        <w:t xml:space="preserve">The </w:t>
      </w:r>
      <w:r w:rsidR="00F97821">
        <w:rPr>
          <w:color w:val="000000" w:themeColor="text1"/>
        </w:rPr>
        <w:t xml:space="preserve">U.N </w:t>
      </w:r>
      <w:r w:rsidR="00574D07" w:rsidRPr="009C35BA">
        <w:rPr>
          <w:color w:val="000000" w:themeColor="text1"/>
        </w:rPr>
        <w:t xml:space="preserve">Special Rapporteur on violence against women, its causes and consequences, </w:t>
      </w:r>
      <w:r>
        <w:rPr>
          <w:color w:val="000000" w:themeColor="text1"/>
        </w:rPr>
        <w:t xml:space="preserve">Ms. Rashida </w:t>
      </w:r>
      <w:r w:rsidRPr="009C35BA">
        <w:rPr>
          <w:color w:val="000000" w:themeColor="text1"/>
        </w:rPr>
        <w:t xml:space="preserve">Manjoo, </w:t>
      </w:r>
      <w:r w:rsidR="00574D07" w:rsidRPr="009C35BA">
        <w:rPr>
          <w:color w:val="000000" w:themeColor="text1"/>
        </w:rPr>
        <w:t>visited India and in her 2014 Report noted the tendency to conflate sex work with trafficking in persons, and as a result, when sex workers are identified as victims of trafficking, the assistance that is provided to them is not targeted to their specific needs.</w:t>
      </w:r>
      <w:r w:rsidR="00574D07" w:rsidRPr="009C35BA">
        <w:rPr>
          <w:rStyle w:val="FootnoteReference"/>
          <w:color w:val="000000" w:themeColor="text1"/>
        </w:rPr>
        <w:footnoteReference w:id="14"/>
      </w:r>
      <w:r w:rsidR="00574D07" w:rsidRPr="009C35BA">
        <w:rPr>
          <w:color w:val="000000" w:themeColor="text1"/>
        </w:rPr>
        <w:t xml:space="preserve"> The Special Rapporteur also underlined the State focus on maintaining ‘public morality’ as opposed to rights based interventions to human trafficking.</w:t>
      </w:r>
      <w:r w:rsidR="00574D07" w:rsidRPr="009C35BA">
        <w:rPr>
          <w:rStyle w:val="FootnoteReference"/>
          <w:color w:val="000000" w:themeColor="text1"/>
        </w:rPr>
        <w:footnoteReference w:id="15"/>
      </w:r>
      <w:r w:rsidR="00574D07" w:rsidRPr="009C35BA">
        <w:rPr>
          <w:color w:val="000000" w:themeColor="text1"/>
        </w:rPr>
        <w:t xml:space="preserve"> Thus, </w:t>
      </w:r>
      <w:r w:rsidR="00117073" w:rsidRPr="009C35BA">
        <w:rPr>
          <w:color w:val="000000" w:themeColor="text1"/>
        </w:rPr>
        <w:t>labelling</w:t>
      </w:r>
      <w:r w:rsidR="00574D07" w:rsidRPr="009C35BA">
        <w:rPr>
          <w:color w:val="000000" w:themeColor="text1"/>
        </w:rPr>
        <w:t xml:space="preserve"> </w:t>
      </w:r>
      <w:r w:rsidR="00117073" w:rsidRPr="009C35BA">
        <w:rPr>
          <w:color w:val="000000" w:themeColor="text1"/>
        </w:rPr>
        <w:t xml:space="preserve">adult consensual </w:t>
      </w:r>
      <w:r w:rsidR="00574D07" w:rsidRPr="009C35BA">
        <w:rPr>
          <w:color w:val="000000" w:themeColor="text1"/>
        </w:rPr>
        <w:t>sex workers</w:t>
      </w:r>
      <w:r w:rsidR="00117073" w:rsidRPr="009C35BA">
        <w:rPr>
          <w:color w:val="000000" w:themeColor="text1"/>
        </w:rPr>
        <w:t xml:space="preserve"> </w:t>
      </w:r>
      <w:r w:rsidR="00574D07" w:rsidRPr="009C35BA">
        <w:rPr>
          <w:color w:val="000000" w:themeColor="text1"/>
        </w:rPr>
        <w:t xml:space="preserve">as victims of trafficking does not in any form result in betterment of their living conditions, rather, they are </w:t>
      </w:r>
      <w:r w:rsidR="00574D07" w:rsidRPr="009C35BA">
        <w:rPr>
          <w:color w:val="000000" w:themeColor="text1"/>
        </w:rPr>
        <w:lastRenderedPageBreak/>
        <w:t>forcibly detained, denied access to treatment for HIV/AIDS and sexually transmitted diseases.</w:t>
      </w:r>
    </w:p>
    <w:p w14:paraId="29572F75" w14:textId="77777777" w:rsidR="0074205F" w:rsidRDefault="00574D07" w:rsidP="00F51FC4">
      <w:pPr>
        <w:pStyle w:val="ListParagraph"/>
        <w:numPr>
          <w:ilvl w:val="1"/>
          <w:numId w:val="1"/>
        </w:numPr>
        <w:spacing w:line="276" w:lineRule="auto"/>
        <w:ind w:left="567" w:hanging="567"/>
        <w:jc w:val="both"/>
        <w:rPr>
          <w:color w:val="000000" w:themeColor="text1"/>
        </w:rPr>
      </w:pPr>
      <w:r w:rsidRPr="0074205F">
        <w:rPr>
          <w:color w:val="000000" w:themeColor="text1"/>
        </w:rPr>
        <w:t xml:space="preserve">When entire classes of workers are habitually characterized as ‘victims’ of trafficking in the need of </w:t>
      </w:r>
      <w:r w:rsidR="0074205F">
        <w:rPr>
          <w:color w:val="000000" w:themeColor="text1"/>
        </w:rPr>
        <w:t>‘</w:t>
      </w:r>
      <w:r w:rsidRPr="0074205F">
        <w:rPr>
          <w:color w:val="000000" w:themeColor="text1"/>
        </w:rPr>
        <w:t>rescue</w:t>
      </w:r>
      <w:r w:rsidR="0074205F">
        <w:rPr>
          <w:color w:val="000000" w:themeColor="text1"/>
        </w:rPr>
        <w:t>’</w:t>
      </w:r>
      <w:r w:rsidRPr="0074205F">
        <w:rPr>
          <w:color w:val="000000" w:themeColor="text1"/>
        </w:rPr>
        <w:t xml:space="preserve"> and </w:t>
      </w:r>
      <w:r w:rsidR="0074205F">
        <w:rPr>
          <w:color w:val="000000" w:themeColor="text1"/>
        </w:rPr>
        <w:t>‘</w:t>
      </w:r>
      <w:r w:rsidRPr="0074205F">
        <w:rPr>
          <w:color w:val="000000" w:themeColor="text1"/>
        </w:rPr>
        <w:t>protection</w:t>
      </w:r>
      <w:r w:rsidR="0074205F">
        <w:rPr>
          <w:color w:val="000000" w:themeColor="text1"/>
        </w:rPr>
        <w:t>’</w:t>
      </w:r>
      <w:r w:rsidRPr="0074205F">
        <w:rPr>
          <w:color w:val="000000" w:themeColor="text1"/>
        </w:rPr>
        <w:t>, genuine cases of human trafficking</w:t>
      </w:r>
      <w:r w:rsidR="00117073" w:rsidRPr="0074205F">
        <w:rPr>
          <w:color w:val="000000" w:themeColor="text1"/>
        </w:rPr>
        <w:t>, such as</w:t>
      </w:r>
      <w:r w:rsidRPr="0074205F">
        <w:rPr>
          <w:color w:val="000000" w:themeColor="text1"/>
        </w:rPr>
        <w:t xml:space="preserve"> workers being forced to work in exploitative conditions in a factory or farm or domestic workers being subjecte</w:t>
      </w:r>
      <w:r w:rsidR="00117073" w:rsidRPr="0074205F">
        <w:rPr>
          <w:color w:val="000000" w:themeColor="text1"/>
        </w:rPr>
        <w:t>d to physical and sexual abuse,</w:t>
      </w:r>
      <w:r w:rsidRPr="0074205F">
        <w:rPr>
          <w:color w:val="000000" w:themeColor="text1"/>
        </w:rPr>
        <w:t xml:space="preserve"> fail to garner any public attention let alone legal intervention. </w:t>
      </w:r>
    </w:p>
    <w:p w14:paraId="324E1AB8" w14:textId="3EFC7AD3" w:rsidR="0074205F" w:rsidRPr="0074205F" w:rsidRDefault="00574D07" w:rsidP="00F51FC4">
      <w:pPr>
        <w:pStyle w:val="ListParagraph"/>
        <w:numPr>
          <w:ilvl w:val="1"/>
          <w:numId w:val="1"/>
        </w:numPr>
        <w:spacing w:line="276" w:lineRule="auto"/>
        <w:ind w:left="567" w:hanging="567"/>
        <w:jc w:val="both"/>
        <w:rPr>
          <w:color w:val="000000" w:themeColor="text1"/>
        </w:rPr>
      </w:pPr>
      <w:r w:rsidRPr="0074205F">
        <w:rPr>
          <w:color w:val="000000" w:themeColor="text1"/>
        </w:rPr>
        <w:t xml:space="preserve">Such </w:t>
      </w:r>
      <w:r w:rsidR="00117073" w:rsidRPr="0074205F">
        <w:rPr>
          <w:color w:val="000000" w:themeColor="text1"/>
        </w:rPr>
        <w:t xml:space="preserve">practices </w:t>
      </w:r>
      <w:r w:rsidR="007C7E51" w:rsidRPr="0074205F">
        <w:rPr>
          <w:color w:val="000000" w:themeColor="text1"/>
        </w:rPr>
        <w:t xml:space="preserve">of ‘raid, rescue, and rehabilitation’ </w:t>
      </w:r>
      <w:r w:rsidR="00117073" w:rsidRPr="0074205F">
        <w:rPr>
          <w:color w:val="000000" w:themeColor="text1"/>
        </w:rPr>
        <w:t>by law enforcement agencies and anti-trafficking groups</w:t>
      </w:r>
      <w:r w:rsidRPr="0074205F">
        <w:rPr>
          <w:color w:val="000000" w:themeColor="text1"/>
        </w:rPr>
        <w:t xml:space="preserve"> </w:t>
      </w:r>
      <w:r w:rsidR="007C7E51" w:rsidRPr="0074205F">
        <w:rPr>
          <w:color w:val="000000" w:themeColor="text1"/>
        </w:rPr>
        <w:t xml:space="preserve">are grounded on </w:t>
      </w:r>
      <w:r w:rsidR="0074205F">
        <w:rPr>
          <w:color w:val="000000" w:themeColor="text1"/>
        </w:rPr>
        <w:t>stereotypes of women as a class being devoid of agency and in constant need of paternalistic protection. These practices</w:t>
      </w:r>
      <w:r w:rsidR="007C7E51" w:rsidRPr="0074205F">
        <w:rPr>
          <w:color w:val="000000" w:themeColor="text1"/>
        </w:rPr>
        <w:t xml:space="preserve"> perpetuate discrimination</w:t>
      </w:r>
      <w:r w:rsidR="00117073" w:rsidRPr="0074205F">
        <w:rPr>
          <w:color w:val="000000" w:themeColor="text1"/>
        </w:rPr>
        <w:t xml:space="preserve"> against women and </w:t>
      </w:r>
      <w:r w:rsidRPr="0074205F">
        <w:rPr>
          <w:rFonts w:eastAsia="Times New Roman"/>
          <w:color w:val="000000" w:themeColor="text1"/>
        </w:rPr>
        <w:t>impair the</w:t>
      </w:r>
      <w:r w:rsidR="00117073" w:rsidRPr="0074205F">
        <w:rPr>
          <w:rFonts w:eastAsia="Times New Roman"/>
          <w:color w:val="000000" w:themeColor="text1"/>
        </w:rPr>
        <w:t>ir</w:t>
      </w:r>
      <w:r w:rsidRPr="0074205F">
        <w:rPr>
          <w:rFonts w:eastAsia="Times New Roman"/>
          <w:color w:val="000000" w:themeColor="text1"/>
        </w:rPr>
        <w:t xml:space="preserve"> enjoyment of human rights and fundamental freedoms</w:t>
      </w:r>
      <w:r w:rsidR="007C7E51" w:rsidRPr="0074205F">
        <w:rPr>
          <w:rFonts w:eastAsia="Times New Roman"/>
          <w:color w:val="000000" w:themeColor="text1"/>
        </w:rPr>
        <w:t xml:space="preserve">. They are prevented from participating in public life to the same extent as others and are deprived of opportunities and benefits in the </w:t>
      </w:r>
      <w:r w:rsidRPr="0074205F">
        <w:rPr>
          <w:rFonts w:eastAsia="Times New Roman"/>
          <w:color w:val="000000" w:themeColor="text1"/>
        </w:rPr>
        <w:t>politic</w:t>
      </w:r>
      <w:r w:rsidR="007C7E51" w:rsidRPr="0074205F">
        <w:rPr>
          <w:rFonts w:eastAsia="Times New Roman"/>
          <w:color w:val="000000" w:themeColor="text1"/>
        </w:rPr>
        <w:t>al, economic, social, and cultural sphere</w:t>
      </w:r>
      <w:r w:rsidRPr="0074205F">
        <w:rPr>
          <w:rFonts w:eastAsia="Times New Roman"/>
          <w:color w:val="000000" w:themeColor="text1"/>
        </w:rPr>
        <w:t>. [</w:t>
      </w:r>
      <w:r w:rsidR="00CE6413" w:rsidRPr="0074205F">
        <w:rPr>
          <w:rFonts w:eastAsia="Times New Roman"/>
          <w:color w:val="000000" w:themeColor="text1"/>
        </w:rPr>
        <w:t xml:space="preserve">See </w:t>
      </w:r>
      <w:r w:rsidRPr="0074205F">
        <w:rPr>
          <w:rFonts w:eastAsia="Times New Roman"/>
          <w:color w:val="000000" w:themeColor="text1"/>
        </w:rPr>
        <w:t xml:space="preserve">Articles 1 and 2, CEDAW; Articles 2, 3 and 26, ICCPR and Article 2, UDHR].  </w:t>
      </w:r>
    </w:p>
    <w:p w14:paraId="0EF27466" w14:textId="77777777" w:rsidR="00C25F44" w:rsidRDefault="00F97821" w:rsidP="00F51FC4">
      <w:pPr>
        <w:pStyle w:val="ListParagraph"/>
        <w:numPr>
          <w:ilvl w:val="1"/>
          <w:numId w:val="1"/>
        </w:numPr>
        <w:spacing w:line="276" w:lineRule="auto"/>
        <w:ind w:left="567" w:hanging="567"/>
        <w:jc w:val="both"/>
        <w:rPr>
          <w:color w:val="000000" w:themeColor="text1"/>
        </w:rPr>
      </w:pPr>
      <w:r>
        <w:rPr>
          <w:rFonts w:eastAsia="Times New Roman"/>
          <w:color w:val="000000" w:themeColor="text1"/>
        </w:rPr>
        <w:t xml:space="preserve">Treating </w:t>
      </w:r>
      <w:r w:rsidR="00574D07" w:rsidRPr="0074205F">
        <w:rPr>
          <w:rFonts w:eastAsia="Times New Roman"/>
          <w:color w:val="000000" w:themeColor="text1"/>
        </w:rPr>
        <w:t>adult</w:t>
      </w:r>
      <w:r>
        <w:rPr>
          <w:rFonts w:eastAsia="Times New Roman"/>
          <w:color w:val="000000" w:themeColor="text1"/>
        </w:rPr>
        <w:t xml:space="preserve">s who engage in voluntary work as </w:t>
      </w:r>
      <w:r w:rsidR="00574D07" w:rsidRPr="0074205F">
        <w:rPr>
          <w:rFonts w:eastAsia="Times New Roman"/>
          <w:color w:val="000000" w:themeColor="text1"/>
        </w:rPr>
        <w:t>‘victims of trafficking’</w:t>
      </w:r>
      <w:r>
        <w:rPr>
          <w:rFonts w:eastAsia="Times New Roman"/>
          <w:color w:val="000000" w:themeColor="text1"/>
        </w:rPr>
        <w:t xml:space="preserve"> may amount to </w:t>
      </w:r>
      <w:r w:rsidR="00C25F44">
        <w:rPr>
          <w:rFonts w:eastAsia="Times New Roman"/>
          <w:color w:val="000000" w:themeColor="text1"/>
        </w:rPr>
        <w:t xml:space="preserve">a </w:t>
      </w:r>
      <w:r w:rsidR="00C25F44" w:rsidRPr="0074205F">
        <w:rPr>
          <w:rFonts w:eastAsia="Times New Roman"/>
          <w:color w:val="000000" w:themeColor="text1"/>
        </w:rPr>
        <w:t>violation</w:t>
      </w:r>
      <w:r w:rsidR="00241E89">
        <w:rPr>
          <w:rFonts w:eastAsia="Times New Roman"/>
          <w:color w:val="000000" w:themeColor="text1"/>
        </w:rPr>
        <w:t xml:space="preserve"> of the </w:t>
      </w:r>
      <w:r w:rsidR="00574D07" w:rsidRPr="0074205F">
        <w:rPr>
          <w:rFonts w:eastAsia="Times New Roman"/>
          <w:color w:val="000000" w:themeColor="text1"/>
        </w:rPr>
        <w:t xml:space="preserve">right to work and their right to protection and safety in working conditions. [See Article 11, CEDAW; Articles 6 and 7, ICESCR and Article 23, UDHR] </w:t>
      </w:r>
    </w:p>
    <w:p w14:paraId="6B6CCAA0" w14:textId="78FDAB19" w:rsidR="00574D07" w:rsidRPr="00C25F44" w:rsidRDefault="00C25F44" w:rsidP="00F51FC4">
      <w:pPr>
        <w:pStyle w:val="ListParagraph"/>
        <w:numPr>
          <w:ilvl w:val="1"/>
          <w:numId w:val="1"/>
        </w:numPr>
        <w:tabs>
          <w:tab w:val="left" w:pos="90"/>
        </w:tabs>
        <w:spacing w:line="276" w:lineRule="auto"/>
        <w:ind w:left="567" w:hanging="567"/>
        <w:jc w:val="both"/>
        <w:rPr>
          <w:color w:val="000000" w:themeColor="text1"/>
        </w:rPr>
      </w:pPr>
      <w:r w:rsidRPr="00C25F44">
        <w:rPr>
          <w:rFonts w:eastAsia="Times New Roman"/>
          <w:color w:val="000000" w:themeColor="text1"/>
        </w:rPr>
        <w:lastRenderedPageBreak/>
        <w:t xml:space="preserve"> </w:t>
      </w:r>
      <w:r w:rsidR="00574D07" w:rsidRPr="00C25F44">
        <w:rPr>
          <w:rFonts w:eastAsia="Times New Roman"/>
          <w:color w:val="000000" w:themeColor="text1"/>
        </w:rPr>
        <w:t xml:space="preserve">In the same vein, improper and ill-conceived identification of victims of trafficking has grave implications on the Right to Health of individuals performing work voluntarily. [See Article 12, ICESCR and Article 25, UDHR] Even though sex workers may themselves not be subject to criminal sanctions, the punitive framework will have a chilling effect on persons working with such communities who may be unwilling to risk incrimination and thus, reduce the impact of health and social security programmes. </w:t>
      </w:r>
    </w:p>
    <w:p w14:paraId="47A65D9A" w14:textId="77777777" w:rsidR="00574D07" w:rsidRPr="009C35BA" w:rsidRDefault="00574D07" w:rsidP="00F51FC4">
      <w:pPr>
        <w:spacing w:line="276" w:lineRule="auto"/>
        <w:ind w:left="567" w:hanging="567"/>
        <w:jc w:val="both"/>
        <w:rPr>
          <w:color w:val="000000" w:themeColor="text1"/>
        </w:rPr>
      </w:pPr>
    </w:p>
    <w:p w14:paraId="109F5493" w14:textId="0DBF480C" w:rsidR="00541DCA" w:rsidRPr="0098387C" w:rsidRDefault="00574D07" w:rsidP="0098387C">
      <w:pPr>
        <w:pStyle w:val="ListParagraph"/>
        <w:numPr>
          <w:ilvl w:val="0"/>
          <w:numId w:val="4"/>
        </w:numPr>
        <w:spacing w:line="276" w:lineRule="auto"/>
        <w:ind w:left="567" w:hanging="567"/>
        <w:jc w:val="both"/>
        <w:rPr>
          <w:b/>
          <w:color w:val="000000" w:themeColor="text1"/>
        </w:rPr>
      </w:pPr>
      <w:r w:rsidRPr="0098387C">
        <w:rPr>
          <w:b/>
          <w:color w:val="000000" w:themeColor="text1"/>
        </w:rPr>
        <w:t>Involuntary detention of victims is a gross violation of human rights</w:t>
      </w:r>
    </w:p>
    <w:p w14:paraId="250441AE" w14:textId="2BF80520" w:rsid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9C35BA">
        <w:rPr>
          <w:color w:val="000000" w:themeColor="text1"/>
        </w:rPr>
        <w:t xml:space="preserve">The </w:t>
      </w:r>
      <w:r w:rsidRPr="009C35BA">
        <w:rPr>
          <w:i/>
          <w:color w:val="000000" w:themeColor="text1"/>
        </w:rPr>
        <w:t>traveaux preparatoires</w:t>
      </w:r>
      <w:r w:rsidRPr="009C35BA">
        <w:rPr>
          <w:color w:val="000000" w:themeColor="text1"/>
        </w:rPr>
        <w:t xml:space="preserve"> to the Palermo Protocol reveal that earlier drafts had a provision on </w:t>
      </w:r>
      <w:r w:rsidRPr="009C35BA">
        <w:rPr>
          <w:rFonts w:eastAsia="Times New Roman"/>
          <w:color w:val="000000" w:themeColor="text1"/>
        </w:rPr>
        <w:t xml:space="preserve">Victim rehabilitation (Article 7) which stated that “2. </w:t>
      </w:r>
      <w:r w:rsidRPr="009C35BA">
        <w:rPr>
          <w:rFonts w:eastAsia="Times New Roman"/>
          <w:i/>
          <w:color w:val="000000" w:themeColor="text1"/>
        </w:rPr>
        <w:t>Each State Party shall consider implementing measures to provide for the physical, psychological and social recovery of victims of and witnesses to crimes covered by this Protocol, in order to foster their health, self respect and dignity, in a manner appropriate to their age, gender and special needs</w:t>
      </w:r>
      <w:r w:rsidRPr="009C35BA">
        <w:rPr>
          <w:rFonts w:eastAsia="Times New Roman"/>
          <w:color w:val="000000" w:themeColor="text1"/>
        </w:rPr>
        <w:t>.”</w:t>
      </w:r>
      <w:r w:rsidRPr="009C35BA">
        <w:rPr>
          <w:rStyle w:val="FootnoteReference"/>
          <w:rFonts w:eastAsia="Times New Roman"/>
          <w:color w:val="000000" w:themeColor="text1"/>
        </w:rPr>
        <w:footnoteReference w:id="16"/>
      </w:r>
      <w:r w:rsidRPr="009C35BA">
        <w:rPr>
          <w:rFonts w:eastAsia="Times New Roman"/>
          <w:color w:val="000000" w:themeColor="text1"/>
        </w:rPr>
        <w:t xml:space="preserve"> However, the Palermo Protocol </w:t>
      </w:r>
      <w:r w:rsidR="00171426">
        <w:rPr>
          <w:rFonts w:eastAsia="Times New Roman"/>
          <w:color w:val="000000" w:themeColor="text1"/>
        </w:rPr>
        <w:t xml:space="preserve">(as adopted) </w:t>
      </w:r>
      <w:r w:rsidRPr="009C35BA">
        <w:rPr>
          <w:rFonts w:eastAsia="Times New Roman"/>
          <w:color w:val="000000" w:themeColor="text1"/>
        </w:rPr>
        <w:t xml:space="preserve">contains no </w:t>
      </w:r>
      <w:r w:rsidRPr="009C35BA">
        <w:rPr>
          <w:rFonts w:eastAsia="Times New Roman"/>
          <w:color w:val="000000" w:themeColor="text1"/>
        </w:rPr>
        <w:lastRenderedPageBreak/>
        <w:t xml:space="preserve">such provision, let alone any mention of fostering the self-respect and dignity of trafficked victims. </w:t>
      </w:r>
    </w:p>
    <w:p w14:paraId="6649D3B8" w14:textId="77777777" w:rsid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rFonts w:eastAsia="Times New Roman"/>
          <w:color w:val="000000" w:themeColor="text1"/>
        </w:rPr>
        <w:t>The Recommended Principles strongly guide that trafficked persons should not be kept in custody or detention and that ‘rescue’ operations must be done in consonance with the dignity of the rescued persons.</w:t>
      </w:r>
      <w:r w:rsidRPr="009C35BA">
        <w:rPr>
          <w:rStyle w:val="FootnoteReference"/>
          <w:rFonts w:eastAsia="Times New Roman"/>
          <w:color w:val="000000" w:themeColor="text1"/>
        </w:rPr>
        <w:footnoteReference w:id="17"/>
      </w:r>
    </w:p>
    <w:p w14:paraId="6356E748" w14:textId="77777777"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color w:val="000000" w:themeColor="text1"/>
        </w:rPr>
        <w:t xml:space="preserve">The ‘raid, recue and arrest’ intervention is most often seen in the context of police interventions with sex workers. Some sex workers may be deemed to be victims of trafficking, while others may be considered to be traffickers or guilty of aiding and abetting trafficking in sex work. The ‘rescue’ involves forcibly being removed, compulsory medical examinations and involuntary detention in the name of ‘rehabilitation.’ </w:t>
      </w:r>
    </w:p>
    <w:p w14:paraId="7884BE7E" w14:textId="77777777"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rFonts w:eastAsia="Times New Roman"/>
          <w:color w:val="000000" w:themeColor="text1"/>
        </w:rPr>
        <w:t xml:space="preserve">Institutionalization of victims of trafficking is a common practice worldwide. Such institutionalization often happens in the absence of any formal hearing by a legal or administrative authority and without the opportunity to appeal or seek a review of the decision to detain. There are no due process guarantees provided to the victims ‘rescued’. </w:t>
      </w:r>
      <w:r w:rsidRPr="0074205F">
        <w:rPr>
          <w:iCs/>
          <w:color w:val="000000" w:themeColor="text1"/>
        </w:rPr>
        <w:t xml:space="preserve">Detention of adult unwilling victim is of itself a violation of rights and freedoms besides facilitating the violation of other rights and freedoms. </w:t>
      </w:r>
    </w:p>
    <w:p w14:paraId="7E1BA5CA" w14:textId="77777777"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iCs/>
          <w:color w:val="000000" w:themeColor="text1"/>
        </w:rPr>
        <w:lastRenderedPageBreak/>
        <w:t xml:space="preserve">In India, </w:t>
      </w:r>
      <w:r w:rsidRPr="0074205F">
        <w:rPr>
          <w:rFonts w:eastAsia="Times New Roman"/>
          <w:color w:val="000000" w:themeColor="text1"/>
        </w:rPr>
        <w:t>r</w:t>
      </w:r>
      <w:r w:rsidRPr="0074205F">
        <w:rPr>
          <w:iCs/>
          <w:color w:val="000000" w:themeColor="text1"/>
        </w:rPr>
        <w:t>ecent reports of rape, sexual assault and other forms of torture of ‘inmates’ in state and NGO run ‘protection’ homes in</w:t>
      </w:r>
      <w:r w:rsidRPr="0074205F">
        <w:rPr>
          <w:b/>
          <w:iCs/>
          <w:color w:val="000000" w:themeColor="text1"/>
        </w:rPr>
        <w:t xml:space="preserve"> </w:t>
      </w:r>
      <w:r w:rsidRPr="0074205F">
        <w:rPr>
          <w:iCs/>
          <w:color w:val="000000" w:themeColor="text1"/>
        </w:rPr>
        <w:t>in Bihar</w:t>
      </w:r>
      <w:r w:rsidRPr="009C35BA">
        <w:rPr>
          <w:rStyle w:val="FootnoteReference"/>
          <w:iCs/>
          <w:color w:val="000000" w:themeColor="text1"/>
        </w:rPr>
        <w:footnoteReference w:id="18"/>
      </w:r>
      <w:r w:rsidRPr="0074205F">
        <w:rPr>
          <w:iCs/>
          <w:color w:val="000000" w:themeColor="text1"/>
        </w:rPr>
        <w:t>, U.P</w:t>
      </w:r>
      <w:r w:rsidRPr="009C35BA">
        <w:rPr>
          <w:rStyle w:val="FootnoteReference"/>
          <w:iCs/>
          <w:color w:val="000000" w:themeColor="text1"/>
        </w:rPr>
        <w:footnoteReference w:id="19"/>
      </w:r>
      <w:r w:rsidRPr="0074205F">
        <w:rPr>
          <w:iCs/>
          <w:color w:val="000000" w:themeColor="text1"/>
        </w:rPr>
        <w:t xml:space="preserve"> and Odisha</w:t>
      </w:r>
      <w:r w:rsidRPr="009C35BA">
        <w:rPr>
          <w:rStyle w:val="FootnoteReference"/>
          <w:iCs/>
          <w:color w:val="000000" w:themeColor="text1"/>
        </w:rPr>
        <w:footnoteReference w:id="20"/>
      </w:r>
      <w:r w:rsidRPr="0074205F">
        <w:rPr>
          <w:iCs/>
          <w:color w:val="000000" w:themeColor="text1"/>
        </w:rPr>
        <w:t xml:space="preserve"> amongst others, have compelled policy makers to reckon with the grave rights violations occurring in the name of rehabilitation.</w:t>
      </w:r>
    </w:p>
    <w:p w14:paraId="1CCC938F" w14:textId="77777777" w:rsid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iCs/>
          <w:color w:val="000000" w:themeColor="text1"/>
        </w:rPr>
        <w:t xml:space="preserve">The egregious practice of ‘protective custody’ was examined way back in 2001 by the </w:t>
      </w:r>
      <w:r w:rsidRPr="0074205F">
        <w:rPr>
          <w:rFonts w:eastAsia="Times New Roman"/>
          <w:color w:val="000000" w:themeColor="text1"/>
        </w:rPr>
        <w:t>Special Rapporteur on violence against women, its causes and consequences, Ms. Radhika Coomaraswamy. The Report noted that, “</w:t>
      </w:r>
      <w:r w:rsidRPr="0074205F">
        <w:rPr>
          <w:rFonts w:eastAsia="Times New Roman"/>
          <w:i/>
          <w:color w:val="000000" w:themeColor="text1"/>
        </w:rPr>
        <w:t>Even if the sex worker is rescued, she is faced with innumerable problems. She is often kept in a government home while she waits to be released. Though she has done nothing wrong and is seen by the law as a victim, her stay in the home is by court order and is not voluntary. This “protective custody” is a serious infringement of the human rights of the women concerned</w:t>
      </w:r>
      <w:r w:rsidRPr="0074205F">
        <w:rPr>
          <w:rFonts w:eastAsia="Times New Roman"/>
          <w:color w:val="000000" w:themeColor="text1"/>
        </w:rPr>
        <w:t>.”</w:t>
      </w:r>
      <w:r w:rsidRPr="009C35BA">
        <w:rPr>
          <w:rStyle w:val="FootnoteReference"/>
          <w:rFonts w:eastAsia="Times New Roman"/>
          <w:color w:val="000000" w:themeColor="text1"/>
        </w:rPr>
        <w:footnoteReference w:id="21"/>
      </w:r>
      <w:r w:rsidRPr="0074205F">
        <w:rPr>
          <w:rFonts w:eastAsia="Times New Roman"/>
          <w:color w:val="000000" w:themeColor="text1"/>
        </w:rPr>
        <w:t xml:space="preserve">  </w:t>
      </w:r>
    </w:p>
    <w:p w14:paraId="246FC3B0" w14:textId="71E8B876"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iCs/>
          <w:color w:val="000000" w:themeColor="text1"/>
        </w:rPr>
        <w:lastRenderedPageBreak/>
        <w:t xml:space="preserve">In 2012, the UN Special Rapporteur on Trafficking in persons, especially </w:t>
      </w:r>
      <w:r w:rsidR="0074205F">
        <w:rPr>
          <w:iCs/>
          <w:color w:val="000000" w:themeColor="text1"/>
        </w:rPr>
        <w:t xml:space="preserve">women and children </w:t>
      </w:r>
      <w:r w:rsidR="0060515F">
        <w:rPr>
          <w:iCs/>
          <w:color w:val="000000" w:themeColor="text1"/>
        </w:rPr>
        <w:t>observed:</w:t>
      </w:r>
      <w:r w:rsidR="0074205F">
        <w:rPr>
          <w:iCs/>
          <w:color w:val="000000" w:themeColor="text1"/>
        </w:rPr>
        <w:t>-</w:t>
      </w:r>
      <w:r w:rsidRPr="0074205F">
        <w:rPr>
          <w:i/>
          <w:color w:val="000000" w:themeColor="text1"/>
        </w:rPr>
        <w:t>“The Special Rapporteur is concerned, however, by practices where victims of trafficking are mandatorily detained in shelters. Although the Special Rapporteur recognizes that the motivation for this may be to protect victims, she notes that the routine detention of victims of trafficking violates, in some circumstances, the right to freedom of movement and, in most, if not all, circumstances, the prohibitions on unlawful deprivation of liberty and arbitrary detention. International law absolutely prohibits any discriminatory detention of victims, including detention that is linked to the sex of the victim. The routine detention of women and of children in shelter facilities, for example, is clearly discriminatory and therefore unlawful.”</w:t>
      </w:r>
      <w:r w:rsidRPr="009C35BA">
        <w:rPr>
          <w:rStyle w:val="FootnoteReference"/>
          <w:i/>
          <w:color w:val="000000" w:themeColor="text1"/>
        </w:rPr>
        <w:footnoteReference w:id="22"/>
      </w:r>
      <w:r w:rsidRPr="0074205F">
        <w:rPr>
          <w:i/>
          <w:color w:val="000000" w:themeColor="text1"/>
        </w:rPr>
        <w:t xml:space="preserve"> </w:t>
      </w:r>
    </w:p>
    <w:p w14:paraId="1CDC6A4F" w14:textId="77777777"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color w:val="000000" w:themeColor="text1"/>
        </w:rPr>
        <w:t xml:space="preserve">Most detainees under trafficking laws are women and girls, and their involuntary detention </w:t>
      </w:r>
      <w:r w:rsidR="0074205F">
        <w:rPr>
          <w:color w:val="000000" w:themeColor="text1"/>
        </w:rPr>
        <w:t>constitutes</w:t>
      </w:r>
      <w:r w:rsidRPr="0074205F">
        <w:rPr>
          <w:color w:val="000000" w:themeColor="text1"/>
        </w:rPr>
        <w:t xml:space="preserve"> gender-based discrimination</w:t>
      </w:r>
      <w:r w:rsidR="0074205F">
        <w:rPr>
          <w:color w:val="000000" w:themeColor="text1"/>
        </w:rPr>
        <w:t>.</w:t>
      </w:r>
      <w:r w:rsidRPr="0074205F">
        <w:rPr>
          <w:color w:val="000000" w:themeColor="text1"/>
        </w:rPr>
        <w:t xml:space="preserve"> [See Articles 1 and 2, CEDAW; Article 2, ICCPR; Article 3, ICESCR and Article 2, UDHR] </w:t>
      </w:r>
    </w:p>
    <w:p w14:paraId="2156D44D" w14:textId="77777777"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color w:val="000000" w:themeColor="text1"/>
        </w:rPr>
        <w:t xml:space="preserve">Such </w:t>
      </w:r>
      <w:r w:rsidR="00CE6413" w:rsidRPr="0074205F">
        <w:rPr>
          <w:color w:val="000000" w:themeColor="text1"/>
        </w:rPr>
        <w:t>detention</w:t>
      </w:r>
      <w:r w:rsidRPr="0074205F">
        <w:rPr>
          <w:color w:val="000000" w:themeColor="text1"/>
        </w:rPr>
        <w:t xml:space="preserve"> is a violation of the right to life and liberty of individuals [Article 6 of the ICCPR and Article 3, UDHR] and undermines the dignity of both victims of trafficking and others deemed to be trafficked. [See Article 10, ICCPR; Article 1, </w:t>
      </w:r>
      <w:r w:rsidRPr="0074205F">
        <w:rPr>
          <w:color w:val="000000" w:themeColor="text1"/>
        </w:rPr>
        <w:lastRenderedPageBreak/>
        <w:t>UDHR]</w:t>
      </w:r>
      <w:r w:rsidR="0074205F">
        <w:rPr>
          <w:color w:val="000000" w:themeColor="text1"/>
        </w:rPr>
        <w:t xml:space="preserve">. It </w:t>
      </w:r>
      <w:r w:rsidRPr="0074205F">
        <w:rPr>
          <w:color w:val="000000" w:themeColor="text1"/>
        </w:rPr>
        <w:t>constitutes arbitrary detention [Article 9, ICCPR and Article 9, UDHR] and restricts the freedom of mobility and the right to reside in a place of one’s choosing [Article 15, CEDAW; Article 12, ICCPR and Article 13, UDHR].</w:t>
      </w:r>
    </w:p>
    <w:p w14:paraId="55854FFF" w14:textId="77777777" w:rsidR="0074205F" w:rsidRPr="0074205F"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color w:val="000000" w:themeColor="text1"/>
        </w:rPr>
        <w:t xml:space="preserve">These concerns are magnified in the case of vulnerable groups such as transgender persons, adult sex workers, migrant labourers and other impoverished persons seeking employment who will be prone to frequent interrogations and detentions in the name of anti-trafficking efforts. They will be compelled to reside in institutions against their will, with limited or no access to legal remedies, healthcare or even basic human contact. </w:t>
      </w:r>
    </w:p>
    <w:p w14:paraId="4D1C4519" w14:textId="765AC918" w:rsidR="00574D07" w:rsidRDefault="00574D07" w:rsidP="00514D0B">
      <w:pPr>
        <w:pStyle w:val="ListParagraph"/>
        <w:numPr>
          <w:ilvl w:val="1"/>
          <w:numId w:val="1"/>
        </w:numPr>
        <w:spacing w:line="276" w:lineRule="auto"/>
        <w:ind w:left="567" w:hanging="568"/>
        <w:jc w:val="both"/>
        <w:rPr>
          <w:rFonts w:eastAsia="Times New Roman"/>
          <w:color w:val="000000" w:themeColor="text1"/>
        </w:rPr>
      </w:pPr>
      <w:r w:rsidRPr="0074205F">
        <w:rPr>
          <w:rFonts w:eastAsia="Times New Roman"/>
          <w:color w:val="000000" w:themeColor="text1"/>
        </w:rPr>
        <w:t>Unfortunately, the Concept Note prepared by CEDAW does not mention this problematic trend of ‘protective custody’, which has been routinely critiqued by international human rights activists and UN representatives. The General Recommendation must unequivocally condemn involuntary detention of victims of trafficking and emphasize that forced detention, which violates human rights, cannot be justified in the name of ‘protection</w:t>
      </w:r>
      <w:r w:rsidR="00CE6413" w:rsidRPr="0074205F">
        <w:rPr>
          <w:rFonts w:eastAsia="Times New Roman"/>
          <w:color w:val="000000" w:themeColor="text1"/>
        </w:rPr>
        <w:t>’</w:t>
      </w:r>
      <w:r w:rsidRPr="0074205F">
        <w:rPr>
          <w:rFonts w:eastAsia="Times New Roman"/>
          <w:color w:val="000000" w:themeColor="text1"/>
        </w:rPr>
        <w:t xml:space="preserve"> or </w:t>
      </w:r>
      <w:r w:rsidR="00CE6413" w:rsidRPr="0074205F">
        <w:rPr>
          <w:rFonts w:eastAsia="Times New Roman"/>
          <w:color w:val="000000" w:themeColor="text1"/>
        </w:rPr>
        <w:t>‘</w:t>
      </w:r>
      <w:r w:rsidRPr="0074205F">
        <w:rPr>
          <w:rFonts w:eastAsia="Times New Roman"/>
          <w:color w:val="000000" w:themeColor="text1"/>
        </w:rPr>
        <w:t xml:space="preserve">rehabilitation’.  </w:t>
      </w:r>
    </w:p>
    <w:p w14:paraId="13E1874C" w14:textId="77777777" w:rsidR="0074205F" w:rsidRPr="0074205F" w:rsidRDefault="0074205F" w:rsidP="00514D0B">
      <w:pPr>
        <w:pStyle w:val="ListParagraph"/>
        <w:spacing w:line="276" w:lineRule="auto"/>
        <w:ind w:left="567"/>
        <w:jc w:val="both"/>
        <w:rPr>
          <w:rFonts w:eastAsia="Times New Roman"/>
          <w:color w:val="000000" w:themeColor="text1"/>
        </w:rPr>
      </w:pPr>
    </w:p>
    <w:p w14:paraId="7B11758F" w14:textId="65A94970" w:rsidR="00541DCA" w:rsidRPr="0098387C" w:rsidRDefault="00574D07" w:rsidP="0098387C">
      <w:pPr>
        <w:pStyle w:val="ListParagraph"/>
        <w:numPr>
          <w:ilvl w:val="0"/>
          <w:numId w:val="4"/>
        </w:numPr>
        <w:spacing w:line="276" w:lineRule="auto"/>
        <w:ind w:left="567" w:hanging="567"/>
        <w:jc w:val="both"/>
        <w:rPr>
          <w:rFonts w:eastAsia="Times New Roman"/>
          <w:b/>
          <w:color w:val="000000" w:themeColor="text1"/>
        </w:rPr>
      </w:pPr>
      <w:r w:rsidRPr="009075B9">
        <w:rPr>
          <w:rFonts w:eastAsia="Times New Roman"/>
          <w:b/>
          <w:color w:val="000000" w:themeColor="text1"/>
        </w:rPr>
        <w:t>Forced repatriation- re-victimization of trafficked persons</w:t>
      </w:r>
    </w:p>
    <w:p w14:paraId="1A14B5BF" w14:textId="77777777" w:rsidR="0074205F" w:rsidRDefault="00574D07" w:rsidP="009075B9">
      <w:pPr>
        <w:pStyle w:val="ListParagraph"/>
        <w:numPr>
          <w:ilvl w:val="1"/>
          <w:numId w:val="1"/>
        </w:numPr>
        <w:spacing w:line="276" w:lineRule="auto"/>
        <w:ind w:left="567" w:hanging="568"/>
        <w:jc w:val="both"/>
        <w:rPr>
          <w:color w:val="000000" w:themeColor="text1"/>
        </w:rPr>
      </w:pPr>
      <w:r w:rsidRPr="009C35BA">
        <w:rPr>
          <w:color w:val="000000" w:themeColor="text1"/>
        </w:rPr>
        <w:t xml:space="preserve">Article 7 of the Palermo Protocol highlights that each State Party shall consider adopting legislative or other appropriate measures that permit victims of trafficking in persons to remain in its territory, permanently or temporarily. In doing so, States </w:t>
      </w:r>
      <w:r w:rsidRPr="009C35BA">
        <w:rPr>
          <w:color w:val="000000" w:themeColor="text1"/>
        </w:rPr>
        <w:lastRenderedPageBreak/>
        <w:t xml:space="preserve">must appropriately consider ‘humanitarian and compassionate factors.’ These terms are vague and are not elaborated upon even in the preparatory documents of the Protocol. Thus, it is apparent that States have no obligation to accommodate victims of trafficking from other countries and can engage in forced repatriation. </w:t>
      </w:r>
    </w:p>
    <w:p w14:paraId="174C4FA1" w14:textId="77777777" w:rsidR="0074205F" w:rsidRDefault="00574D07" w:rsidP="009075B9">
      <w:pPr>
        <w:pStyle w:val="ListParagraph"/>
        <w:numPr>
          <w:ilvl w:val="1"/>
          <w:numId w:val="1"/>
        </w:numPr>
        <w:spacing w:line="276" w:lineRule="auto"/>
        <w:ind w:left="567" w:hanging="568"/>
        <w:jc w:val="both"/>
        <w:rPr>
          <w:color w:val="000000" w:themeColor="text1"/>
        </w:rPr>
      </w:pPr>
      <w:r w:rsidRPr="0074205F">
        <w:rPr>
          <w:color w:val="000000" w:themeColor="text1"/>
        </w:rPr>
        <w:t>Article 8 of the Palermo Protocol states that due regard must be paid to the safety of the victim of trafficking and the status of any legal proceedings related to them being a victim of trafficking</w:t>
      </w:r>
      <w:r w:rsidR="0074205F">
        <w:rPr>
          <w:color w:val="000000" w:themeColor="text1"/>
        </w:rPr>
        <w:t>,</w:t>
      </w:r>
      <w:r w:rsidRPr="0074205F">
        <w:rPr>
          <w:color w:val="000000" w:themeColor="text1"/>
        </w:rPr>
        <w:t xml:space="preserve"> and that repatriation must ‘preferably be voluntary.’ We submit that a victim of trafficking cannot be forced to return to their country of origin unless they consent to the same. State Parties must offer legal and viable alternatives in case their return is considered to be unsafe or if they have other reasons rendering them unwilling to return.</w:t>
      </w:r>
    </w:p>
    <w:p w14:paraId="7CA88DF2" w14:textId="65978AB5" w:rsidR="00574D07" w:rsidRPr="0074205F" w:rsidRDefault="00574D07" w:rsidP="009075B9">
      <w:pPr>
        <w:pStyle w:val="ListParagraph"/>
        <w:numPr>
          <w:ilvl w:val="1"/>
          <w:numId w:val="1"/>
        </w:numPr>
        <w:spacing w:line="276" w:lineRule="auto"/>
        <w:ind w:left="567" w:hanging="568"/>
        <w:jc w:val="both"/>
        <w:rPr>
          <w:color w:val="000000" w:themeColor="text1"/>
        </w:rPr>
      </w:pPr>
      <w:r w:rsidRPr="0074205F">
        <w:rPr>
          <w:color w:val="000000" w:themeColor="text1"/>
        </w:rPr>
        <w:t xml:space="preserve">In certain cases, expulsion and forced repatriation of victims of trafficking may violate the international customary law principle of </w:t>
      </w:r>
      <w:r w:rsidRPr="0074205F">
        <w:rPr>
          <w:i/>
          <w:color w:val="000000" w:themeColor="text1"/>
        </w:rPr>
        <w:t xml:space="preserve">non-refoulement </w:t>
      </w:r>
      <w:r w:rsidRPr="0074205F">
        <w:rPr>
          <w:color w:val="000000" w:themeColor="text1"/>
        </w:rPr>
        <w:t xml:space="preserve">which forbids States from returning refugees to their country of origin in case they are in danger of persecution. [See also Article 13, ICCPR] </w:t>
      </w:r>
    </w:p>
    <w:p w14:paraId="695A8954" w14:textId="77777777" w:rsidR="00574D07" w:rsidRPr="009C35BA" w:rsidRDefault="00574D07" w:rsidP="009075B9">
      <w:pPr>
        <w:spacing w:line="276" w:lineRule="auto"/>
        <w:ind w:left="567"/>
        <w:jc w:val="both"/>
        <w:rPr>
          <w:rFonts w:eastAsia="Times New Roman"/>
          <w:color w:val="000000" w:themeColor="text1"/>
        </w:rPr>
      </w:pPr>
    </w:p>
    <w:p w14:paraId="79417B47" w14:textId="2D2EC19C" w:rsidR="00541DCA" w:rsidRPr="0098387C" w:rsidRDefault="00574D07" w:rsidP="0098387C">
      <w:pPr>
        <w:pStyle w:val="ListParagraph"/>
        <w:numPr>
          <w:ilvl w:val="0"/>
          <w:numId w:val="4"/>
        </w:numPr>
        <w:spacing w:line="276" w:lineRule="auto"/>
        <w:ind w:left="567" w:hanging="567"/>
        <w:jc w:val="both"/>
        <w:rPr>
          <w:b/>
          <w:color w:val="000000" w:themeColor="text1"/>
        </w:rPr>
      </w:pPr>
      <w:r w:rsidRPr="009075B9">
        <w:rPr>
          <w:b/>
          <w:color w:val="000000" w:themeColor="text1"/>
        </w:rPr>
        <w:t>Right to redressal</w:t>
      </w:r>
    </w:p>
    <w:p w14:paraId="33552B09" w14:textId="77777777" w:rsidR="0074205F" w:rsidRDefault="00574D07" w:rsidP="009075B9">
      <w:pPr>
        <w:pStyle w:val="ListParagraph"/>
        <w:numPr>
          <w:ilvl w:val="1"/>
          <w:numId w:val="1"/>
        </w:numPr>
        <w:spacing w:line="276" w:lineRule="auto"/>
        <w:ind w:left="567" w:hanging="568"/>
        <w:jc w:val="both"/>
        <w:rPr>
          <w:color w:val="000000" w:themeColor="text1"/>
        </w:rPr>
      </w:pPr>
      <w:r w:rsidRPr="009C35BA">
        <w:rPr>
          <w:color w:val="000000" w:themeColor="text1"/>
        </w:rPr>
        <w:t xml:space="preserve">Article 6 of the Palermo Protocol requires each State Party to ensure that their domestic legal or administrative systems contain provisions for victims of trafficking to receive assistance to present their views and concerns during criminal proceedings </w:t>
      </w:r>
      <w:r w:rsidRPr="009C35BA">
        <w:rPr>
          <w:color w:val="000000" w:themeColor="text1"/>
        </w:rPr>
        <w:lastRenderedPageBreak/>
        <w:t>against offenders. The victims are to be provided with counselling and information with regard to their legal rights and relevant court and administrative proceedings. The Protocol also mandates that domestic legal systems must provide victims of trafficking with the possibility of obtaining compensation. However, this provision is of little use as most anti-trafficking laws are silent on the right to legal representation and in particular, legal aid. Victims of trafficking may often possess little to no legal knowledge and lack the necessary resources to institute a legal course of action.</w:t>
      </w:r>
    </w:p>
    <w:p w14:paraId="103851D3" w14:textId="77777777" w:rsidR="0074205F" w:rsidRDefault="00574D07" w:rsidP="009075B9">
      <w:pPr>
        <w:pStyle w:val="ListParagraph"/>
        <w:numPr>
          <w:ilvl w:val="1"/>
          <w:numId w:val="1"/>
        </w:numPr>
        <w:spacing w:line="276" w:lineRule="auto"/>
        <w:ind w:left="567" w:hanging="568"/>
        <w:jc w:val="both"/>
        <w:rPr>
          <w:color w:val="000000" w:themeColor="text1"/>
        </w:rPr>
      </w:pPr>
      <w:r w:rsidRPr="0074205F">
        <w:rPr>
          <w:color w:val="000000" w:themeColor="text1"/>
        </w:rPr>
        <w:t>As per international human rights instruments, victims of trafficking are entitled to equal protection of the law [Article 26, ICCPR; Article 7, UDHR and Article 15(1), CEDAW] and they cannot be deprived of their right to have an effective legal remedy against the violation of their human rights [Article 3, ICCPR and Article 8, UDHR]. Thus, the General Recommendation must emphasize the need for free legal assistance and advice to be provided to victims of trafficking, if they so desire.</w:t>
      </w:r>
    </w:p>
    <w:p w14:paraId="38BC9D6F" w14:textId="7AD3DBB5" w:rsidR="00574D07" w:rsidRPr="00103F50" w:rsidRDefault="00574D07" w:rsidP="009075B9">
      <w:pPr>
        <w:pStyle w:val="ListParagraph"/>
        <w:numPr>
          <w:ilvl w:val="1"/>
          <w:numId w:val="1"/>
        </w:numPr>
        <w:spacing w:line="276" w:lineRule="auto"/>
        <w:ind w:left="567" w:hanging="568"/>
        <w:jc w:val="both"/>
        <w:rPr>
          <w:color w:val="000000" w:themeColor="text1"/>
        </w:rPr>
      </w:pPr>
      <w:r w:rsidRPr="0074205F">
        <w:rPr>
          <w:color w:val="000000" w:themeColor="text1"/>
        </w:rPr>
        <w:t xml:space="preserve">We would also like to reiterate that if anti-trafficking efforts are based on a criminal law-centric approach, then victims of trafficking may be deterred from approaching the relevant authorities for redressal of their rights. When legislations and policies broadly define offences which may unduly penalize victims themselves, their families, colleagues, landlords or even social outreach workers and lawyers, victims may be reluctant to report their trafficking. This reluctance is compounded by the heavy involvement of police forces and the fear of being involuntary detained. The General </w:t>
      </w:r>
      <w:r w:rsidRPr="0074205F">
        <w:rPr>
          <w:color w:val="000000" w:themeColor="text1"/>
        </w:rPr>
        <w:lastRenderedPageBreak/>
        <w:t xml:space="preserve">Recommendation must explicitly clarify that victims of trafficking cannot be penalized or re-victimized if they choose to seek redressal for the violation of their rights. </w:t>
      </w:r>
    </w:p>
    <w:p w14:paraId="36F07FB2" w14:textId="77777777" w:rsidR="00574D07" w:rsidRPr="009C35BA" w:rsidRDefault="00574D07" w:rsidP="009075B9">
      <w:pPr>
        <w:pStyle w:val="ListParagraph"/>
        <w:spacing w:line="276" w:lineRule="auto"/>
        <w:ind w:left="567"/>
        <w:jc w:val="both"/>
        <w:rPr>
          <w:color w:val="000000" w:themeColor="text1"/>
          <w:u w:val="single"/>
        </w:rPr>
      </w:pPr>
    </w:p>
    <w:p w14:paraId="453EEAD5" w14:textId="1E5EEE93" w:rsidR="00574D07" w:rsidRPr="0098387C" w:rsidRDefault="00574D07" w:rsidP="0098387C">
      <w:pPr>
        <w:pStyle w:val="ListParagraph"/>
        <w:numPr>
          <w:ilvl w:val="0"/>
          <w:numId w:val="1"/>
        </w:numPr>
        <w:spacing w:line="276" w:lineRule="auto"/>
        <w:ind w:left="567" w:hanging="567"/>
        <w:jc w:val="both"/>
        <w:rPr>
          <w:b/>
          <w:color w:val="000000" w:themeColor="text1"/>
        </w:rPr>
      </w:pPr>
      <w:r w:rsidRPr="00951FB5">
        <w:rPr>
          <w:b/>
          <w:color w:val="000000" w:themeColor="text1"/>
        </w:rPr>
        <w:t>Other Obligations of State Parties</w:t>
      </w:r>
    </w:p>
    <w:p w14:paraId="3090D4AB" w14:textId="77777777" w:rsidR="0067168C" w:rsidRDefault="00574D07" w:rsidP="009075B9">
      <w:pPr>
        <w:pStyle w:val="ListParagraph"/>
        <w:numPr>
          <w:ilvl w:val="1"/>
          <w:numId w:val="1"/>
        </w:numPr>
        <w:spacing w:line="276" w:lineRule="auto"/>
        <w:ind w:left="567" w:hanging="568"/>
        <w:jc w:val="both"/>
        <w:rPr>
          <w:color w:val="000000" w:themeColor="text1"/>
        </w:rPr>
      </w:pPr>
      <w:r w:rsidRPr="009C35BA">
        <w:rPr>
          <w:color w:val="000000" w:themeColor="text1"/>
        </w:rPr>
        <w:t xml:space="preserve">The General Recommendation must emphasize on the need for State Parties to develop comprehensive policies for asylum seekers, refugees and trafficked victims from other countries. This should include opportunities for employment, application procedures for temporary and permanent stay permits and guarantees of non-discrimination on the grounds of citizenship, race, religion, caste, class, etc. </w:t>
      </w:r>
      <w:bookmarkStart w:id="0" w:name="_GoBack"/>
      <w:bookmarkEnd w:id="0"/>
    </w:p>
    <w:p w14:paraId="06A7820E" w14:textId="3F3B7C9D" w:rsidR="00574D07" w:rsidRPr="0067168C" w:rsidRDefault="00574D07" w:rsidP="009075B9">
      <w:pPr>
        <w:pStyle w:val="ListParagraph"/>
        <w:numPr>
          <w:ilvl w:val="1"/>
          <w:numId w:val="1"/>
        </w:numPr>
        <w:spacing w:line="276" w:lineRule="auto"/>
        <w:ind w:left="567" w:hanging="568"/>
        <w:jc w:val="both"/>
        <w:rPr>
          <w:color w:val="000000" w:themeColor="text1"/>
        </w:rPr>
      </w:pPr>
      <w:r w:rsidRPr="0067168C">
        <w:rPr>
          <w:color w:val="000000" w:themeColor="text1"/>
        </w:rPr>
        <w:t xml:space="preserve">It must be clarified that obligations to prevent and prosecute trafficking under the Palermo Protocol must be seen holistically in light of international human rights of refugees, in particular the international law custom of </w:t>
      </w:r>
      <w:r w:rsidRPr="0067168C">
        <w:rPr>
          <w:i/>
          <w:color w:val="000000" w:themeColor="text1"/>
        </w:rPr>
        <w:t xml:space="preserve">non-refoulement. </w:t>
      </w:r>
    </w:p>
    <w:p w14:paraId="633500B7" w14:textId="77777777" w:rsidR="00574D07" w:rsidRPr="009C35BA" w:rsidRDefault="00574D07" w:rsidP="009075B9">
      <w:pPr>
        <w:spacing w:line="276" w:lineRule="auto"/>
        <w:ind w:left="567"/>
        <w:jc w:val="both"/>
        <w:rPr>
          <w:color w:val="000000" w:themeColor="text1"/>
        </w:rPr>
      </w:pPr>
    </w:p>
    <w:p w14:paraId="7C4AC076" w14:textId="5115A87F" w:rsidR="00574D07" w:rsidRPr="0098387C" w:rsidRDefault="00574D07" w:rsidP="0098387C">
      <w:pPr>
        <w:pStyle w:val="ListParagraph"/>
        <w:numPr>
          <w:ilvl w:val="0"/>
          <w:numId w:val="1"/>
        </w:numPr>
        <w:spacing w:line="276" w:lineRule="auto"/>
        <w:ind w:left="567" w:hanging="567"/>
        <w:jc w:val="both"/>
        <w:rPr>
          <w:b/>
          <w:color w:val="000000" w:themeColor="text1"/>
        </w:rPr>
      </w:pPr>
      <w:r w:rsidRPr="00951FB5">
        <w:rPr>
          <w:b/>
          <w:color w:val="000000" w:themeColor="text1"/>
        </w:rPr>
        <w:t xml:space="preserve">Need for representation and consultation with vulnerable communities of women and girls </w:t>
      </w:r>
    </w:p>
    <w:p w14:paraId="1AD498C4" w14:textId="77777777" w:rsidR="0067168C" w:rsidRDefault="00574D07" w:rsidP="009075B9">
      <w:pPr>
        <w:pStyle w:val="ListParagraph"/>
        <w:numPr>
          <w:ilvl w:val="1"/>
          <w:numId w:val="1"/>
        </w:numPr>
        <w:spacing w:line="276" w:lineRule="auto"/>
        <w:ind w:left="567" w:hanging="568"/>
        <w:jc w:val="both"/>
        <w:rPr>
          <w:rFonts w:eastAsia="Times New Roman"/>
          <w:color w:val="000000" w:themeColor="text1"/>
        </w:rPr>
      </w:pPr>
      <w:r w:rsidRPr="0067168C">
        <w:rPr>
          <w:rFonts w:eastAsia="Times New Roman"/>
          <w:color w:val="000000" w:themeColor="text1"/>
        </w:rPr>
        <w:t xml:space="preserve">Article 7 of CEDAW requires States Parties to take all appropriate measures to eliminate discrimination against women in the political and public life of the country and, in particular, to ensure participation of women in the formulation of government policy and the implementation thereof. </w:t>
      </w:r>
    </w:p>
    <w:p w14:paraId="1C8A58A1" w14:textId="529AEF63" w:rsidR="0067168C" w:rsidRPr="0067168C" w:rsidRDefault="0067168C" w:rsidP="009075B9">
      <w:pPr>
        <w:pStyle w:val="ListParagraph"/>
        <w:numPr>
          <w:ilvl w:val="1"/>
          <w:numId w:val="1"/>
        </w:numPr>
        <w:spacing w:line="276" w:lineRule="auto"/>
        <w:ind w:left="567" w:hanging="568"/>
        <w:jc w:val="both"/>
        <w:rPr>
          <w:rFonts w:eastAsia="Times New Roman"/>
          <w:color w:val="000000" w:themeColor="text1"/>
        </w:rPr>
      </w:pPr>
      <w:r w:rsidRPr="009C35BA">
        <w:rPr>
          <w:rFonts w:eastAsia="Times New Roman"/>
          <w:color w:val="000000" w:themeColor="text1"/>
        </w:rPr>
        <w:lastRenderedPageBreak/>
        <w:t>We would like to strongly urge the Committee to emphasize the need for deliberation and routine consultation with members of communities most vulnerable to trafficking.</w:t>
      </w:r>
      <w:r>
        <w:rPr>
          <w:rFonts w:eastAsia="Times New Roman"/>
          <w:color w:val="000000" w:themeColor="text1"/>
        </w:rPr>
        <w:t xml:space="preserve"> </w:t>
      </w:r>
      <w:r w:rsidR="00574D07" w:rsidRPr="0067168C">
        <w:rPr>
          <w:rFonts w:eastAsia="Times New Roman"/>
          <w:color w:val="000000" w:themeColor="text1"/>
        </w:rPr>
        <w:t>An example of the community’s involvement in anti-trafficki</w:t>
      </w:r>
      <w:r w:rsidR="00CE6413" w:rsidRPr="0067168C">
        <w:rPr>
          <w:rFonts w:eastAsia="Times New Roman"/>
          <w:color w:val="000000" w:themeColor="text1"/>
        </w:rPr>
        <w:t>ng measures can be seen in the Self-Regulatory Board instituted by the</w:t>
      </w:r>
      <w:r w:rsidR="00574D07" w:rsidRPr="0067168C">
        <w:rPr>
          <w:rFonts w:eastAsia="Times New Roman"/>
          <w:color w:val="000000" w:themeColor="text1"/>
        </w:rPr>
        <w:t xml:space="preserve"> </w:t>
      </w:r>
      <w:r w:rsidR="00574D07" w:rsidRPr="00951FB5">
        <w:rPr>
          <w:rFonts w:eastAsia="Times New Roman"/>
          <w:i/>
          <w:color w:val="000000" w:themeColor="text1"/>
        </w:rPr>
        <w:t>Durbar Mahila Samanway Committee</w:t>
      </w:r>
      <w:r w:rsidR="00CE6413" w:rsidRPr="009C35BA">
        <w:t xml:space="preserve">, a sex workers’ collective in </w:t>
      </w:r>
      <w:r w:rsidR="00230649">
        <w:t>Kolkata</w:t>
      </w:r>
      <w:r w:rsidR="00CE6413" w:rsidRPr="009C35BA">
        <w:t>, India. The Self Regulatory Board assesses the age and voluntariness of every new entrant to ensure that under-age and unwilling persons do not enter sex work.</w:t>
      </w:r>
      <w:r w:rsidR="00CE6413" w:rsidRPr="009C35BA">
        <w:rPr>
          <w:rStyle w:val="FootnoteReference"/>
        </w:rPr>
        <w:footnoteReference w:id="23"/>
      </w:r>
    </w:p>
    <w:p w14:paraId="5A22179F" w14:textId="70E30E72" w:rsidR="00066D36" w:rsidRPr="009F59AF" w:rsidRDefault="00574D07" w:rsidP="000066BA">
      <w:pPr>
        <w:pStyle w:val="ListParagraph"/>
        <w:numPr>
          <w:ilvl w:val="1"/>
          <w:numId w:val="1"/>
        </w:numPr>
        <w:spacing w:line="276" w:lineRule="auto"/>
        <w:ind w:left="567" w:hanging="568"/>
        <w:jc w:val="both"/>
        <w:rPr>
          <w:rFonts w:eastAsia="Times New Roman"/>
          <w:color w:val="000000" w:themeColor="text1"/>
        </w:rPr>
      </w:pPr>
      <w:r w:rsidRPr="0067168C">
        <w:rPr>
          <w:rFonts w:eastAsia="Times New Roman"/>
          <w:color w:val="000000" w:themeColor="text1"/>
        </w:rPr>
        <w:t xml:space="preserve">To exclude or neglect to engage with </w:t>
      </w:r>
      <w:r w:rsidR="00D40C9E">
        <w:rPr>
          <w:rFonts w:eastAsia="Times New Roman"/>
          <w:color w:val="000000" w:themeColor="text1"/>
        </w:rPr>
        <w:t xml:space="preserve">affected </w:t>
      </w:r>
      <w:r w:rsidRPr="0067168C">
        <w:rPr>
          <w:rFonts w:eastAsia="Times New Roman"/>
          <w:color w:val="000000" w:themeColor="text1"/>
        </w:rPr>
        <w:t>communit</w:t>
      </w:r>
      <w:r w:rsidR="00D40C9E">
        <w:rPr>
          <w:rFonts w:eastAsia="Times New Roman"/>
          <w:color w:val="000000" w:themeColor="text1"/>
        </w:rPr>
        <w:t xml:space="preserve">ies </w:t>
      </w:r>
      <w:r w:rsidRPr="0067168C">
        <w:rPr>
          <w:rFonts w:eastAsia="Times New Roman"/>
          <w:color w:val="000000" w:themeColor="text1"/>
        </w:rPr>
        <w:t>would be tantamount to contributing to the systemic deprivation of agency of such persons. It is only when community members are an active and integral part of decision-making processes</w:t>
      </w:r>
      <w:r w:rsidR="00D40C9E">
        <w:rPr>
          <w:rFonts w:eastAsia="Times New Roman"/>
          <w:color w:val="000000" w:themeColor="text1"/>
        </w:rPr>
        <w:t xml:space="preserve"> that States </w:t>
      </w:r>
      <w:r w:rsidRPr="0067168C">
        <w:rPr>
          <w:rFonts w:eastAsia="Times New Roman"/>
          <w:color w:val="000000" w:themeColor="text1"/>
        </w:rPr>
        <w:t>will be able to achieve s</w:t>
      </w:r>
      <w:r w:rsidRPr="0067168C">
        <w:rPr>
          <w:color w:val="000000" w:themeColor="text1"/>
        </w:rPr>
        <w:t xml:space="preserve">ustainable </w:t>
      </w:r>
      <w:r w:rsidR="00D40C9E">
        <w:rPr>
          <w:color w:val="000000" w:themeColor="text1"/>
        </w:rPr>
        <w:t xml:space="preserve">and effective </w:t>
      </w:r>
      <w:r w:rsidRPr="0067168C">
        <w:rPr>
          <w:color w:val="000000" w:themeColor="text1"/>
        </w:rPr>
        <w:t xml:space="preserve">solutions </w:t>
      </w:r>
      <w:r w:rsidR="00D40C9E">
        <w:rPr>
          <w:color w:val="000000" w:themeColor="text1"/>
        </w:rPr>
        <w:t xml:space="preserve">to trafficking </w:t>
      </w:r>
      <w:r w:rsidR="00394F22">
        <w:rPr>
          <w:color w:val="000000" w:themeColor="text1"/>
        </w:rPr>
        <w:t>in persons</w:t>
      </w:r>
      <w:r w:rsidR="00EF66B4">
        <w:rPr>
          <w:color w:val="000000" w:themeColor="text1"/>
        </w:rPr>
        <w:t xml:space="preserve">, especially women and girls </w:t>
      </w:r>
      <w:r w:rsidR="00D40C9E">
        <w:rPr>
          <w:color w:val="000000" w:themeColor="text1"/>
        </w:rPr>
        <w:t xml:space="preserve">and stop the numerous </w:t>
      </w:r>
      <w:r w:rsidRPr="0067168C">
        <w:rPr>
          <w:color w:val="000000" w:themeColor="text1"/>
        </w:rPr>
        <w:t xml:space="preserve">rights violations perpetrated in the name of anti-trafficking </w:t>
      </w:r>
      <w:r w:rsidR="009F59AF">
        <w:rPr>
          <w:color w:val="000000" w:themeColor="text1"/>
        </w:rPr>
        <w:t>today.</w:t>
      </w:r>
    </w:p>
    <w:sectPr w:rsidR="00066D36" w:rsidRPr="009F59AF" w:rsidSect="003927AB">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E21B" w14:textId="77777777" w:rsidR="000858DF" w:rsidRDefault="000858DF" w:rsidP="00574D07">
      <w:r>
        <w:separator/>
      </w:r>
    </w:p>
  </w:endnote>
  <w:endnote w:type="continuationSeparator" w:id="0">
    <w:p w14:paraId="60DE83A5" w14:textId="77777777" w:rsidR="000858DF" w:rsidRDefault="000858DF" w:rsidP="005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Semi Bold">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AFFE" w14:textId="77777777" w:rsidR="000858DF" w:rsidRDefault="000858DF" w:rsidP="00574D07">
      <w:r>
        <w:separator/>
      </w:r>
    </w:p>
  </w:footnote>
  <w:footnote w:type="continuationSeparator" w:id="0">
    <w:p w14:paraId="67825F5D" w14:textId="77777777" w:rsidR="000858DF" w:rsidRDefault="000858DF" w:rsidP="00574D07">
      <w:r>
        <w:continuationSeparator/>
      </w:r>
    </w:p>
  </w:footnote>
  <w:footnote w:id="1">
    <w:p w14:paraId="50FFE7DE" w14:textId="602A2990" w:rsidR="0098387C" w:rsidRPr="00CF2657" w:rsidRDefault="0098387C" w:rsidP="0098387C">
      <w:r>
        <w:rPr>
          <w:rStyle w:val="FootnoteReference"/>
        </w:rPr>
        <w:footnoteRef/>
      </w:r>
      <w:r>
        <w:t xml:space="preserve"> A-13, Nizamuddin East, New Delhi- 110013, India; </w:t>
      </w:r>
      <w:r w:rsidRPr="00CF2657">
        <w:t>Tel: +91-11-43646623</w:t>
      </w:r>
      <w:r>
        <w:t xml:space="preserve">; </w:t>
      </w:r>
      <w:r w:rsidRPr="00CF2657">
        <w:t xml:space="preserve">Email: </w:t>
      </w:r>
      <w:hyperlink r:id="rId1" w:history="1">
        <w:r w:rsidRPr="0042598B">
          <w:rPr>
            <w:rStyle w:val="Hyperlink"/>
          </w:rPr>
          <w:t>http://aidslaw1@lawyerscollective.org</w:t>
        </w:r>
      </w:hyperlink>
      <w:r w:rsidR="009F59AF">
        <w:rPr>
          <w:rStyle w:val="Hyperlink"/>
        </w:rPr>
        <w:t xml:space="preserve">; website: </w:t>
      </w:r>
      <w:hyperlink r:id="rId2" w:history="1">
        <w:r w:rsidR="009F59AF" w:rsidRPr="0042598B">
          <w:rPr>
            <w:rStyle w:val="Hyperlink"/>
          </w:rPr>
          <w:t>https://www.lawyerscollective.org/hivaids-unit</w:t>
        </w:r>
      </w:hyperlink>
      <w:r w:rsidR="009F59AF">
        <w:rPr>
          <w:rStyle w:val="Hyperlink"/>
        </w:rPr>
        <w:t xml:space="preserve">. </w:t>
      </w:r>
      <w:r>
        <w:t xml:space="preserve"> </w:t>
      </w:r>
    </w:p>
    <w:p w14:paraId="046F0153" w14:textId="77777777" w:rsidR="0098387C" w:rsidRDefault="0098387C" w:rsidP="0098387C">
      <w:pPr>
        <w:pStyle w:val="FootnoteText"/>
      </w:pPr>
    </w:p>
  </w:footnote>
  <w:footnote w:id="2">
    <w:p w14:paraId="13B3002F" w14:textId="0B143358" w:rsidR="009075B9" w:rsidRPr="009C35BA" w:rsidRDefault="009075B9" w:rsidP="009C35BA">
      <w:pPr>
        <w:pStyle w:val="FootnoteText"/>
        <w:jc w:val="both"/>
        <w:rPr>
          <w:sz w:val="20"/>
          <w:szCs w:val="20"/>
        </w:rPr>
      </w:pPr>
      <w:r w:rsidRPr="009C35BA">
        <w:rPr>
          <w:rStyle w:val="FootnoteReference"/>
          <w:sz w:val="20"/>
          <w:szCs w:val="20"/>
        </w:rPr>
        <w:footnoteRef/>
      </w:r>
      <w:r w:rsidRPr="009C35BA">
        <w:rPr>
          <w:sz w:val="20"/>
          <w:szCs w:val="20"/>
        </w:rPr>
        <w:t xml:space="preserve"> For a critique of the Anti-Trafficking Bill, see: Tripti Tandon, </w:t>
      </w:r>
      <w:r w:rsidRPr="009C35BA">
        <w:rPr>
          <w:rFonts w:eastAsia="Times New Roman"/>
          <w:i/>
          <w:sz w:val="20"/>
          <w:szCs w:val="20"/>
        </w:rPr>
        <w:t>We don’t need the Trafficking of Persons (Prevention, Protection and Rehabilitation) Bill, 2018</w:t>
      </w:r>
      <w:r w:rsidRPr="009C35BA">
        <w:rPr>
          <w:rFonts w:eastAsia="Times New Roman"/>
          <w:sz w:val="20"/>
          <w:szCs w:val="20"/>
        </w:rPr>
        <w:t xml:space="preserve">, Lawyers Collective, available at </w:t>
      </w:r>
      <w:hyperlink r:id="rId3" w:history="1">
        <w:r w:rsidRPr="009C35BA">
          <w:rPr>
            <w:rStyle w:val="Hyperlink"/>
            <w:rFonts w:eastAsia="Times New Roman"/>
            <w:sz w:val="20"/>
            <w:szCs w:val="20"/>
          </w:rPr>
          <w:t>https://www.lawyerscollective.org/wp-content/uploads/2017/07/Critique-of-the-Anti-Trafficking-Bill-2018.pdf</w:t>
        </w:r>
      </w:hyperlink>
      <w:r w:rsidRPr="009C35BA">
        <w:rPr>
          <w:rFonts w:eastAsia="Times New Roman"/>
          <w:sz w:val="20"/>
          <w:szCs w:val="20"/>
        </w:rPr>
        <w:t>;</w:t>
      </w:r>
      <w:r w:rsidRPr="009C35BA">
        <w:rPr>
          <w:sz w:val="20"/>
          <w:szCs w:val="20"/>
        </w:rPr>
        <w:t xml:space="preserve">; See also Rethinking the 2018 Trafficking Bill, EPW Engage, available at </w:t>
      </w:r>
      <w:hyperlink r:id="rId4" w:history="1">
        <w:r w:rsidRPr="009C35BA">
          <w:rPr>
            <w:rStyle w:val="Hyperlink"/>
            <w:sz w:val="20"/>
            <w:szCs w:val="20"/>
          </w:rPr>
          <w:t>https://www.epw.in/rethinking-2018-trafficking-bill</w:t>
        </w:r>
      </w:hyperlink>
      <w:r w:rsidRPr="009C35BA">
        <w:rPr>
          <w:sz w:val="20"/>
          <w:szCs w:val="20"/>
        </w:rPr>
        <w:t xml:space="preserve">. </w:t>
      </w:r>
    </w:p>
  </w:footnote>
  <w:footnote w:id="3">
    <w:p w14:paraId="551AD314" w14:textId="720B74AA" w:rsidR="009075B9" w:rsidRPr="009C35BA" w:rsidRDefault="009075B9" w:rsidP="009C35BA">
      <w:pPr>
        <w:pStyle w:val="FootnoteText"/>
        <w:jc w:val="both"/>
        <w:rPr>
          <w:sz w:val="20"/>
          <w:szCs w:val="20"/>
        </w:rPr>
      </w:pPr>
      <w:r w:rsidRPr="009C35BA">
        <w:rPr>
          <w:rStyle w:val="FootnoteReference"/>
          <w:sz w:val="20"/>
          <w:szCs w:val="20"/>
        </w:rPr>
        <w:footnoteRef/>
      </w:r>
      <w:r w:rsidRPr="009C35BA">
        <w:rPr>
          <w:sz w:val="20"/>
          <w:szCs w:val="20"/>
        </w:rPr>
        <w:t xml:space="preserve"> Maria Grazia Giammarinaro, Special Rapporteur on trafficking in persons, especially women and children and Urmila Boola Special Rapporteur on contemporary forms of slavery, including its causes and consequences, “India must bring its new anti-trafficking Bill in line with human rights law, urge UN experts”, </w:t>
      </w:r>
      <w:r w:rsidR="00003636">
        <w:rPr>
          <w:sz w:val="20"/>
          <w:szCs w:val="20"/>
        </w:rPr>
        <w:t>OHCHR</w:t>
      </w:r>
      <w:r w:rsidRPr="009C35BA">
        <w:rPr>
          <w:sz w:val="20"/>
          <w:szCs w:val="20"/>
        </w:rPr>
        <w:t xml:space="preserve">, Geneva (23 July, 2018), available at </w:t>
      </w:r>
      <w:hyperlink r:id="rId5" w:history="1">
        <w:r w:rsidRPr="009C35BA">
          <w:rPr>
            <w:rStyle w:val="Hyperlink"/>
            <w:sz w:val="20"/>
            <w:szCs w:val="20"/>
          </w:rPr>
          <w:t>https://www.ohchr.org/EN/NewsEvents/Pages/DisplayNews.aspx?NewsID=23392&amp;LangID=E</w:t>
        </w:r>
      </w:hyperlink>
      <w:r>
        <w:rPr>
          <w:rStyle w:val="Hyperlink"/>
          <w:sz w:val="20"/>
          <w:szCs w:val="20"/>
        </w:rPr>
        <w:t xml:space="preserve">. </w:t>
      </w:r>
      <w:r w:rsidRPr="009C35BA">
        <w:rPr>
          <w:sz w:val="20"/>
          <w:szCs w:val="20"/>
        </w:rPr>
        <w:t xml:space="preserve"> </w:t>
      </w:r>
    </w:p>
  </w:footnote>
  <w:footnote w:id="4">
    <w:p w14:paraId="36693811" w14:textId="28C04C1B" w:rsidR="009075B9" w:rsidRPr="009C35BA" w:rsidRDefault="009075B9" w:rsidP="009C35BA">
      <w:pPr>
        <w:pStyle w:val="FootnoteText"/>
        <w:jc w:val="both"/>
        <w:rPr>
          <w:sz w:val="20"/>
          <w:szCs w:val="20"/>
        </w:rPr>
      </w:pPr>
      <w:r w:rsidRPr="009C35BA">
        <w:rPr>
          <w:rStyle w:val="FootnoteReference"/>
          <w:sz w:val="20"/>
          <w:szCs w:val="20"/>
        </w:rPr>
        <w:footnoteRef/>
      </w:r>
      <w:r w:rsidRPr="009C35BA">
        <w:rPr>
          <w:sz w:val="20"/>
          <w:szCs w:val="20"/>
        </w:rPr>
        <w:t xml:space="preserve"> C</w:t>
      </w:r>
      <w:r>
        <w:rPr>
          <w:sz w:val="20"/>
          <w:szCs w:val="20"/>
        </w:rPr>
        <w:t xml:space="preserve">ase concerning the Gabcikovo-Nagymaros Project, </w:t>
      </w:r>
      <w:r w:rsidRPr="009C35BA">
        <w:rPr>
          <w:sz w:val="20"/>
          <w:szCs w:val="20"/>
        </w:rPr>
        <w:t>International Court of Justice (25 September, 1997), p. 38, para 46.</w:t>
      </w:r>
    </w:p>
  </w:footnote>
  <w:footnote w:id="5">
    <w:p w14:paraId="5A12989F" w14:textId="77777777"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Article 5 is solely dedicated to criminalization of offences defined in Article 3.</w:t>
      </w:r>
    </w:p>
  </w:footnote>
  <w:footnote w:id="6">
    <w:p w14:paraId="3CDF89C8" w14:textId="77777777" w:rsidR="009075B9" w:rsidRPr="009C35BA" w:rsidRDefault="009075B9" w:rsidP="00AA47F1">
      <w:pPr>
        <w:jc w:val="both"/>
        <w:rPr>
          <w:rFonts w:eastAsia="Times New Roman"/>
          <w:sz w:val="20"/>
          <w:szCs w:val="20"/>
        </w:rPr>
      </w:pPr>
      <w:r w:rsidRPr="009C35BA">
        <w:rPr>
          <w:rStyle w:val="FootnoteReference"/>
          <w:sz w:val="20"/>
          <w:szCs w:val="20"/>
        </w:rPr>
        <w:footnoteRef/>
      </w:r>
      <w:r w:rsidRPr="009C35BA">
        <w:rPr>
          <w:sz w:val="20"/>
          <w:szCs w:val="20"/>
        </w:rPr>
        <w:t xml:space="preserve"> See </w:t>
      </w:r>
      <w:r w:rsidRPr="009C35BA">
        <w:rPr>
          <w:rFonts w:eastAsia="Times New Roman"/>
          <w:sz w:val="20"/>
          <w:szCs w:val="20"/>
        </w:rPr>
        <w:t>A</w:t>
      </w:r>
      <w:r>
        <w:rPr>
          <w:rFonts w:eastAsia="Times New Roman"/>
          <w:sz w:val="20"/>
          <w:szCs w:val="20"/>
        </w:rPr>
        <w:t xml:space="preserve">nne T. Gallagher and Nicole Karlebach, </w:t>
      </w:r>
      <w:r w:rsidRPr="00B356A9">
        <w:rPr>
          <w:rFonts w:eastAsia="Times New Roman"/>
          <w:i/>
          <w:sz w:val="20"/>
          <w:szCs w:val="20"/>
        </w:rPr>
        <w:t>Prosecution of Trafficking in Persons Cases: Integrating a Human Rights</w:t>
      </w:r>
      <w:r>
        <w:rPr>
          <w:rFonts w:eastAsia="Times New Roman"/>
          <w:i/>
          <w:sz w:val="20"/>
          <w:szCs w:val="20"/>
        </w:rPr>
        <w:t xml:space="preserve"> </w:t>
      </w:r>
      <w:r w:rsidRPr="00B356A9">
        <w:rPr>
          <w:rFonts w:eastAsia="Times New Roman"/>
          <w:i/>
          <w:sz w:val="20"/>
          <w:szCs w:val="20"/>
        </w:rPr>
        <w:t>Based Approach in the Administration of Criminal Justice</w:t>
      </w:r>
      <w:r w:rsidRPr="009C35BA">
        <w:rPr>
          <w:rFonts w:eastAsia="Times New Roman"/>
          <w:sz w:val="20"/>
          <w:szCs w:val="20"/>
        </w:rPr>
        <w:t xml:space="preserve">, OHCHR (2011), available at </w:t>
      </w:r>
      <w:hyperlink r:id="rId6" w:history="1">
        <w:r w:rsidRPr="009C35BA">
          <w:rPr>
            <w:rStyle w:val="Hyperlink"/>
            <w:rFonts w:eastAsia="Times New Roman"/>
            <w:sz w:val="20"/>
            <w:szCs w:val="20"/>
          </w:rPr>
          <w:t>https://www.ohchr.org/Documents/Issues/Trafficking/Geneva2011BP_GallagherAndKarlebach.pdf</w:t>
        </w:r>
      </w:hyperlink>
      <w:r w:rsidRPr="009C35BA">
        <w:rPr>
          <w:rFonts w:eastAsia="Times New Roman"/>
          <w:sz w:val="20"/>
          <w:szCs w:val="20"/>
        </w:rPr>
        <w:t xml:space="preserve">. </w:t>
      </w:r>
    </w:p>
  </w:footnote>
  <w:footnote w:id="7">
    <w:p w14:paraId="461B2961" w14:textId="77777777"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w:t>
      </w:r>
      <w:r w:rsidRPr="009C35BA">
        <w:rPr>
          <w:rFonts w:eastAsia="Times New Roman"/>
          <w:color w:val="000000" w:themeColor="text1"/>
          <w:sz w:val="20"/>
          <w:szCs w:val="20"/>
        </w:rPr>
        <w:t xml:space="preserve">First decade of the mandate of the Special Rapporteur on trafficking in persons, especially women and children, United Nations, OCHR, p. 17, available at </w:t>
      </w:r>
      <w:hyperlink r:id="rId7" w:history="1">
        <w:r w:rsidRPr="009C35BA">
          <w:rPr>
            <w:rStyle w:val="Hyperlink"/>
            <w:rFonts w:eastAsia="Times New Roman"/>
            <w:color w:val="000000" w:themeColor="text1"/>
            <w:sz w:val="20"/>
            <w:szCs w:val="20"/>
          </w:rPr>
          <w:t>https://www.ohchr.org/Documents/Issues/Trafficking/FirsDecadeSRon_%20trafficking.pdf</w:t>
        </w:r>
      </w:hyperlink>
      <w:r w:rsidRPr="009C35BA">
        <w:rPr>
          <w:rFonts w:eastAsia="Times New Roman"/>
          <w:color w:val="000000" w:themeColor="text1"/>
          <w:sz w:val="20"/>
          <w:szCs w:val="20"/>
        </w:rPr>
        <w:t xml:space="preserve">. </w:t>
      </w:r>
    </w:p>
  </w:footnote>
  <w:footnote w:id="8">
    <w:p w14:paraId="1B0F521F" w14:textId="77777777" w:rsidR="009075B9" w:rsidRPr="009C35BA" w:rsidRDefault="009075B9" w:rsidP="009C35BA">
      <w:pPr>
        <w:widowControl w:val="0"/>
        <w:autoSpaceDE w:val="0"/>
        <w:autoSpaceDN w:val="0"/>
        <w:adjustRightInd w:val="0"/>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Report of the Special Rapporteur on trafficking in persons, especially women and children, Maria Grazia Giammarinaro, A/70/260 (3 August, 2015). </w:t>
      </w:r>
    </w:p>
  </w:footnote>
  <w:footnote w:id="9">
    <w:p w14:paraId="35CE279C" w14:textId="77777777"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Report of the Special Rapporteur on trafficking in persons, especially women and children, Maria Grazia Giammarinaro, A/70/260 (3 August, 2015), para 15.</w:t>
      </w:r>
    </w:p>
  </w:footnote>
  <w:footnote w:id="10">
    <w:p w14:paraId="3E6C18EF" w14:textId="5329218A" w:rsidR="009075B9" w:rsidRDefault="009075B9">
      <w:pPr>
        <w:pStyle w:val="FootnoteText"/>
      </w:pPr>
      <w:r w:rsidRPr="0078776F">
        <w:rPr>
          <w:rStyle w:val="FootnoteReference"/>
          <w:sz w:val="20"/>
          <w:szCs w:val="20"/>
        </w:rPr>
        <w:footnoteRef/>
      </w:r>
      <w:r w:rsidRPr="0078776F">
        <w:rPr>
          <w:sz w:val="20"/>
          <w:szCs w:val="20"/>
        </w:rPr>
        <w:t xml:space="preserve"> Section 2(f), Immoral Traffic (Prevention) Act, 1956</w:t>
      </w:r>
      <w:r>
        <w:t xml:space="preserve">  </w:t>
      </w:r>
    </w:p>
  </w:footnote>
  <w:footnote w:id="11">
    <w:p w14:paraId="40D255ED" w14:textId="458E09A7" w:rsidR="009075B9" w:rsidRPr="009C35BA" w:rsidRDefault="009075B9" w:rsidP="009C35BA">
      <w:pPr>
        <w:pStyle w:val="FootnoteText"/>
        <w:jc w:val="both"/>
        <w:rPr>
          <w:sz w:val="20"/>
          <w:szCs w:val="20"/>
        </w:rPr>
      </w:pPr>
      <w:r w:rsidRPr="009C35BA">
        <w:rPr>
          <w:rStyle w:val="FootnoteReference"/>
          <w:sz w:val="20"/>
          <w:szCs w:val="20"/>
        </w:rPr>
        <w:footnoteRef/>
      </w:r>
      <w:r w:rsidRPr="009C35BA">
        <w:rPr>
          <w:sz w:val="20"/>
          <w:szCs w:val="20"/>
        </w:rPr>
        <w:t xml:space="preserve"> </w:t>
      </w:r>
      <w:r w:rsidRPr="009C35BA">
        <w:rPr>
          <w:color w:val="000000" w:themeColor="text1"/>
          <w:sz w:val="20"/>
          <w:szCs w:val="20"/>
        </w:rPr>
        <w:t>See Tripti Tandon, Gabriel Armas-Cardona, Anand Grover</w:t>
      </w:r>
      <w:r>
        <w:rPr>
          <w:color w:val="000000" w:themeColor="text1"/>
          <w:sz w:val="20"/>
          <w:szCs w:val="20"/>
        </w:rPr>
        <w:t xml:space="preserve">, </w:t>
      </w:r>
      <w:r w:rsidRPr="007666A6">
        <w:rPr>
          <w:i/>
          <w:color w:val="000000" w:themeColor="text1"/>
          <w:sz w:val="20"/>
          <w:szCs w:val="20"/>
        </w:rPr>
        <w:t>Sex Work and Trafficking: Can Human Rights Lead Us Out of the Impasse?</w:t>
      </w:r>
      <w:r w:rsidRPr="009C35BA">
        <w:rPr>
          <w:color w:val="000000" w:themeColor="text1"/>
          <w:sz w:val="20"/>
          <w:szCs w:val="20"/>
        </w:rPr>
        <w:t xml:space="preserve">, Health and Human Rights Journal (21 October, 2014), available at </w:t>
      </w:r>
      <w:hyperlink r:id="rId8" w:history="1">
        <w:r w:rsidRPr="009C35BA">
          <w:rPr>
            <w:rStyle w:val="Hyperlink"/>
            <w:color w:val="000000" w:themeColor="text1"/>
            <w:sz w:val="20"/>
            <w:szCs w:val="20"/>
          </w:rPr>
          <w:t>https://www.hhrjournal.org/2014/10/sex-work-and-trafficking-can-human-rights-lead-us-out-of-the-impasse/</w:t>
        </w:r>
      </w:hyperlink>
      <w:r w:rsidRPr="009C35BA">
        <w:rPr>
          <w:color w:val="000000" w:themeColor="text1"/>
          <w:sz w:val="20"/>
          <w:szCs w:val="20"/>
        </w:rPr>
        <w:t>.</w:t>
      </w:r>
    </w:p>
  </w:footnote>
  <w:footnote w:id="12">
    <w:p w14:paraId="60373F29" w14:textId="02410291" w:rsidR="009075B9" w:rsidRPr="009C35BA" w:rsidRDefault="009075B9" w:rsidP="009C35BA">
      <w:pPr>
        <w:jc w:val="both"/>
        <w:rPr>
          <w:rFonts w:eastAsia="Times New Roman"/>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w:t>
      </w:r>
      <w:r w:rsidRPr="009C35BA">
        <w:rPr>
          <w:rFonts w:eastAsia="Times New Roman"/>
          <w:color w:val="000000" w:themeColor="text1"/>
          <w:sz w:val="20"/>
          <w:szCs w:val="20"/>
        </w:rPr>
        <w:t>Toolkit to combat trafficking in persons</w:t>
      </w:r>
      <w:r>
        <w:rPr>
          <w:rFonts w:eastAsia="Times New Roman"/>
          <w:color w:val="000000" w:themeColor="text1"/>
          <w:sz w:val="20"/>
          <w:szCs w:val="20"/>
        </w:rPr>
        <w:t>,</w:t>
      </w:r>
      <w:r w:rsidRPr="009C35BA">
        <w:rPr>
          <w:rFonts w:eastAsia="Times New Roman"/>
          <w:color w:val="000000" w:themeColor="text1"/>
          <w:sz w:val="20"/>
          <w:szCs w:val="20"/>
        </w:rPr>
        <w:t xml:space="preserve"> </w:t>
      </w:r>
      <w:r>
        <w:rPr>
          <w:rFonts w:eastAsia="Times New Roman"/>
          <w:color w:val="000000" w:themeColor="text1"/>
          <w:sz w:val="20"/>
          <w:szCs w:val="20"/>
        </w:rPr>
        <w:t>UNODC</w:t>
      </w:r>
      <w:r w:rsidRPr="009C35BA">
        <w:rPr>
          <w:rFonts w:eastAsia="Times New Roman"/>
          <w:color w:val="000000" w:themeColor="text1"/>
          <w:sz w:val="20"/>
          <w:szCs w:val="20"/>
        </w:rPr>
        <w:t>, Global Programme against Trafficking in Human Bein</w:t>
      </w:r>
      <w:r>
        <w:rPr>
          <w:rFonts w:eastAsia="Times New Roman"/>
          <w:color w:val="000000" w:themeColor="text1"/>
          <w:sz w:val="20"/>
          <w:szCs w:val="20"/>
        </w:rPr>
        <w:t xml:space="preserve">gs, (United Nations, New York, 2006), p.xvii, available at </w:t>
      </w:r>
      <w:hyperlink r:id="rId9" w:history="1">
        <w:r w:rsidRPr="0042598B">
          <w:rPr>
            <w:rStyle w:val="Hyperlink"/>
            <w:rFonts w:eastAsia="Times New Roman"/>
            <w:sz w:val="20"/>
            <w:szCs w:val="20"/>
          </w:rPr>
          <w:t>https://www.unodc.org/documents/human-trafficking/HT-toolkit-en.pdf</w:t>
        </w:r>
      </w:hyperlink>
      <w:r>
        <w:rPr>
          <w:rFonts w:eastAsia="Times New Roman"/>
          <w:color w:val="000000" w:themeColor="text1"/>
          <w:sz w:val="20"/>
          <w:szCs w:val="20"/>
        </w:rPr>
        <w:t xml:space="preserve">. </w:t>
      </w:r>
    </w:p>
  </w:footnote>
  <w:footnote w:id="13">
    <w:p w14:paraId="427EEE79" w14:textId="27A9B96B" w:rsidR="009075B9" w:rsidRPr="009C35BA" w:rsidRDefault="009075B9" w:rsidP="009C35BA">
      <w:pPr>
        <w:jc w:val="both"/>
        <w:rPr>
          <w:rFonts w:eastAsia="Times New Roman"/>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w:t>
      </w:r>
      <w:r w:rsidRPr="009C35BA">
        <w:rPr>
          <w:rFonts w:eastAsia="Times New Roman"/>
          <w:color w:val="000000" w:themeColor="text1"/>
          <w:sz w:val="20"/>
          <w:szCs w:val="20"/>
        </w:rPr>
        <w:t>UNODC, TRAVAUX PRÉPARATOIRES of the negotiations for the elaboration of the United Nations Convention against Transnational Organized Crime and the Protocols thereto (U</w:t>
      </w:r>
      <w:r>
        <w:rPr>
          <w:rFonts w:eastAsia="Times New Roman"/>
          <w:color w:val="000000" w:themeColor="text1"/>
          <w:sz w:val="20"/>
          <w:szCs w:val="20"/>
        </w:rPr>
        <w:t xml:space="preserve">nited Nations, New York, 2006), p. 347, available at </w:t>
      </w:r>
      <w:hyperlink r:id="rId10" w:history="1">
        <w:r w:rsidRPr="0042598B">
          <w:rPr>
            <w:rStyle w:val="Hyperlink"/>
            <w:rFonts w:eastAsia="Times New Roman"/>
            <w:sz w:val="20"/>
            <w:szCs w:val="20"/>
          </w:rPr>
          <w:t>http://www.unodc.org/documents/treaties/UNTOC/Publications/Travaux%20Preparatoire/04-60074_ebook-e.pdf</w:t>
        </w:r>
      </w:hyperlink>
      <w:r>
        <w:rPr>
          <w:rFonts w:eastAsia="Times New Roman"/>
          <w:color w:val="000000" w:themeColor="text1"/>
          <w:sz w:val="20"/>
          <w:szCs w:val="20"/>
        </w:rPr>
        <w:t xml:space="preserve">. </w:t>
      </w:r>
    </w:p>
  </w:footnote>
  <w:footnote w:id="14">
    <w:p w14:paraId="1A8F64FC" w14:textId="00923661"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Para 20, United Nations General Assembly, Human Rights Council, Report of the Special Rapporteur on violence against women, its causes and consequences, Mission to India, A/HRC/26/38/Add.1, 1 April 2014</w:t>
      </w:r>
      <w:r>
        <w:rPr>
          <w:color w:val="000000" w:themeColor="text1"/>
          <w:sz w:val="20"/>
          <w:szCs w:val="20"/>
        </w:rPr>
        <w:t xml:space="preserve">. </w:t>
      </w:r>
    </w:p>
  </w:footnote>
  <w:footnote w:id="15">
    <w:p w14:paraId="0A21E6E6" w14:textId="043CC73D"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Para 28, United Nations General Assembly, Human Rights Council, Report of the Special Rapporteur on violence against women, its causes and consequences, Mission to India, A/HRC/26/38/Add.1, 1 April 2014</w:t>
      </w:r>
      <w:r>
        <w:rPr>
          <w:color w:val="000000" w:themeColor="text1"/>
          <w:sz w:val="20"/>
          <w:szCs w:val="20"/>
        </w:rPr>
        <w:t xml:space="preserve">. </w:t>
      </w:r>
    </w:p>
  </w:footnote>
  <w:footnote w:id="16">
    <w:p w14:paraId="51A3C6BE" w14:textId="1BC2FA92" w:rsidR="009075B9" w:rsidRPr="009C35BA" w:rsidRDefault="009075B9" w:rsidP="009C35BA">
      <w:pPr>
        <w:jc w:val="both"/>
        <w:rPr>
          <w:rFonts w:eastAsia="Times New Roman"/>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w:t>
      </w:r>
      <w:r w:rsidRPr="009C35BA">
        <w:rPr>
          <w:rFonts w:eastAsia="Times New Roman"/>
          <w:color w:val="000000" w:themeColor="text1"/>
          <w:sz w:val="20"/>
          <w:szCs w:val="20"/>
        </w:rPr>
        <w:t>S</w:t>
      </w:r>
      <w:r>
        <w:rPr>
          <w:rFonts w:eastAsia="Times New Roman"/>
          <w:color w:val="000000" w:themeColor="text1"/>
          <w:sz w:val="20"/>
          <w:szCs w:val="20"/>
        </w:rPr>
        <w:t>econd Ssession (</w:t>
      </w:r>
      <w:r w:rsidRPr="009C35BA">
        <w:rPr>
          <w:rFonts w:eastAsia="Times New Roman"/>
          <w:color w:val="000000" w:themeColor="text1"/>
          <w:sz w:val="20"/>
          <w:szCs w:val="20"/>
        </w:rPr>
        <w:t>8-12 March 1999</w:t>
      </w:r>
      <w:r>
        <w:rPr>
          <w:rFonts w:eastAsia="Times New Roman"/>
          <w:color w:val="000000" w:themeColor="text1"/>
          <w:sz w:val="20"/>
          <w:szCs w:val="20"/>
        </w:rPr>
        <w:t xml:space="preserve">), </w:t>
      </w:r>
      <w:r w:rsidRPr="009C35BA">
        <w:rPr>
          <w:rFonts w:eastAsia="Times New Roman"/>
          <w:color w:val="000000" w:themeColor="text1"/>
          <w:sz w:val="20"/>
          <w:szCs w:val="20"/>
        </w:rPr>
        <w:t>Argentina and United States of America (A/AC.254/4/Add.3/Rev.1), UNODC, TRAVAUX PRÉPARATOIRES of the negotiations for the elaboration of the United Nations Convention against Transnational Organized Crime and the Protocols thereto (</w:t>
      </w:r>
      <w:r>
        <w:rPr>
          <w:rFonts w:eastAsia="Times New Roman"/>
          <w:color w:val="000000" w:themeColor="text1"/>
          <w:sz w:val="20"/>
          <w:szCs w:val="20"/>
        </w:rPr>
        <w:t>United Nations</w:t>
      </w:r>
      <w:r w:rsidRPr="009C35BA">
        <w:rPr>
          <w:rFonts w:eastAsia="Times New Roman"/>
          <w:color w:val="000000" w:themeColor="text1"/>
          <w:sz w:val="20"/>
          <w:szCs w:val="20"/>
        </w:rPr>
        <w:t>, New York, 2006), p. 374.</w:t>
      </w:r>
    </w:p>
  </w:footnote>
  <w:footnote w:id="17">
    <w:p w14:paraId="130C41EA" w14:textId="77777777"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Guideline 2 and 5, </w:t>
      </w:r>
      <w:r w:rsidRPr="009C35BA">
        <w:rPr>
          <w:rFonts w:eastAsia="Times New Roman"/>
          <w:color w:val="000000" w:themeColor="text1"/>
          <w:sz w:val="20"/>
          <w:szCs w:val="20"/>
        </w:rPr>
        <w:t>Recommended Principles and Guidelines on Human Rights and Human Trafficking (E/2002/68/Add.1), the Office of the United Nations High Commissioner for Human Rights, 2002.</w:t>
      </w:r>
    </w:p>
  </w:footnote>
  <w:footnote w:id="18">
    <w:p w14:paraId="58496E25" w14:textId="1A2B02DC"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Pr>
          <w:color w:val="000000" w:themeColor="text1"/>
          <w:sz w:val="20"/>
          <w:szCs w:val="20"/>
        </w:rPr>
        <w:t>Abuse at Bihar Shelter Homes, India Today (6 August, 2018), available at</w:t>
      </w:r>
      <w:r w:rsidRPr="009C35BA">
        <w:rPr>
          <w:color w:val="000000" w:themeColor="text1"/>
          <w:sz w:val="20"/>
          <w:szCs w:val="20"/>
        </w:rPr>
        <w:t xml:space="preserve"> </w:t>
      </w:r>
      <w:hyperlink r:id="rId11" w:history="1">
        <w:r w:rsidRPr="009C35BA">
          <w:rPr>
            <w:rStyle w:val="Hyperlink"/>
            <w:color w:val="000000" w:themeColor="text1"/>
            <w:sz w:val="20"/>
            <w:szCs w:val="20"/>
          </w:rPr>
          <w:t>https://www.indiatoday.in/india/story/bihar-shelter-homes-rape-case-tiss-report-1306304-2018-08-06</w:t>
        </w:r>
      </w:hyperlink>
      <w:r>
        <w:rPr>
          <w:rStyle w:val="Hyperlink"/>
          <w:color w:val="000000" w:themeColor="text1"/>
          <w:sz w:val="20"/>
          <w:szCs w:val="20"/>
        </w:rPr>
        <w:t xml:space="preserve">. </w:t>
      </w:r>
      <w:r w:rsidRPr="009C35BA">
        <w:rPr>
          <w:color w:val="000000" w:themeColor="text1"/>
          <w:sz w:val="20"/>
          <w:szCs w:val="20"/>
        </w:rPr>
        <w:t xml:space="preserve"> </w:t>
      </w:r>
    </w:p>
  </w:footnote>
  <w:footnote w:id="19">
    <w:p w14:paraId="14136DDE" w14:textId="1C529E64"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6B2797">
        <w:rPr>
          <w:color w:val="000000" w:themeColor="text1"/>
          <w:sz w:val="20"/>
          <w:szCs w:val="20"/>
        </w:rPr>
        <w:t>The girls returned crying: Child reveals details of abuse at UP shelter home</w:t>
      </w:r>
      <w:r>
        <w:rPr>
          <w:color w:val="000000" w:themeColor="text1"/>
          <w:sz w:val="20"/>
          <w:szCs w:val="20"/>
        </w:rPr>
        <w:t>, India Today (6 August, 2018), available at</w:t>
      </w:r>
      <w:r w:rsidRPr="009C35BA">
        <w:rPr>
          <w:color w:val="000000" w:themeColor="text1"/>
          <w:sz w:val="20"/>
          <w:szCs w:val="20"/>
        </w:rPr>
        <w:t xml:space="preserve"> </w:t>
      </w:r>
      <w:hyperlink r:id="rId12" w:history="1">
        <w:r w:rsidRPr="009C35BA">
          <w:rPr>
            <w:rStyle w:val="Hyperlink"/>
            <w:color w:val="000000" w:themeColor="text1"/>
            <w:sz w:val="20"/>
            <w:szCs w:val="20"/>
          </w:rPr>
          <w:t>https://www.indiatoday.in/india/story/the-girls-returned-crying-child-reveals-details-of-abuse-at-up-shelter-home-1306417-2018-08-06</w:t>
        </w:r>
      </w:hyperlink>
      <w:r>
        <w:rPr>
          <w:rStyle w:val="Hyperlink"/>
          <w:color w:val="000000" w:themeColor="text1"/>
          <w:sz w:val="20"/>
          <w:szCs w:val="20"/>
        </w:rPr>
        <w:t xml:space="preserve">. </w:t>
      </w:r>
      <w:r w:rsidRPr="009C35BA">
        <w:rPr>
          <w:color w:val="000000" w:themeColor="text1"/>
          <w:sz w:val="20"/>
          <w:szCs w:val="20"/>
        </w:rPr>
        <w:t xml:space="preserve"> </w:t>
      </w:r>
    </w:p>
  </w:footnote>
  <w:footnote w:id="20">
    <w:p w14:paraId="486A8AC1" w14:textId="0EC149C4" w:rsidR="009075B9" w:rsidRPr="009C35BA" w:rsidRDefault="009075B9" w:rsidP="009C35BA">
      <w:pPr>
        <w:pStyle w:val="FootnoteText"/>
        <w:jc w:val="both"/>
        <w:rPr>
          <w:color w:val="000000" w:themeColor="text1"/>
          <w:sz w:val="20"/>
          <w:szCs w:val="20"/>
        </w:rPr>
      </w:pPr>
      <w:r w:rsidRPr="009C35BA">
        <w:rPr>
          <w:rStyle w:val="FootnoteReference"/>
          <w:color w:val="000000" w:themeColor="text1"/>
          <w:sz w:val="20"/>
          <w:szCs w:val="20"/>
        </w:rPr>
        <w:footnoteRef/>
      </w:r>
      <w:r w:rsidRPr="009D03B2">
        <w:rPr>
          <w:color w:val="000000" w:themeColor="text1"/>
          <w:sz w:val="20"/>
          <w:szCs w:val="20"/>
        </w:rPr>
        <w:t>Odisha Shelter Home Girls Allege Sexual Abuse, In-Charge Arrested</w:t>
      </w:r>
      <w:r>
        <w:rPr>
          <w:color w:val="000000" w:themeColor="text1"/>
          <w:sz w:val="20"/>
          <w:szCs w:val="20"/>
        </w:rPr>
        <w:t>, NDTV (2 December, 2018), available at</w:t>
      </w:r>
      <w:r w:rsidRPr="009C35BA">
        <w:rPr>
          <w:color w:val="000000" w:themeColor="text1"/>
          <w:sz w:val="20"/>
          <w:szCs w:val="20"/>
        </w:rPr>
        <w:t xml:space="preserve"> </w:t>
      </w:r>
      <w:hyperlink r:id="rId13" w:history="1">
        <w:r w:rsidRPr="009C35BA">
          <w:rPr>
            <w:rStyle w:val="Hyperlink"/>
            <w:color w:val="000000" w:themeColor="text1"/>
            <w:sz w:val="20"/>
            <w:szCs w:val="20"/>
          </w:rPr>
          <w:t>https://www.ndtv.com/india-news/odisha-shelter-home-girls-allege-sexual-abuse-in-charge-arrested-1956650</w:t>
        </w:r>
      </w:hyperlink>
      <w:r>
        <w:rPr>
          <w:rStyle w:val="Hyperlink"/>
          <w:color w:val="000000" w:themeColor="text1"/>
          <w:sz w:val="20"/>
          <w:szCs w:val="20"/>
        </w:rPr>
        <w:t xml:space="preserve">. </w:t>
      </w:r>
      <w:r w:rsidRPr="009C35BA">
        <w:rPr>
          <w:color w:val="000000" w:themeColor="text1"/>
          <w:sz w:val="20"/>
          <w:szCs w:val="20"/>
        </w:rPr>
        <w:t xml:space="preserve"> </w:t>
      </w:r>
    </w:p>
  </w:footnote>
  <w:footnote w:id="21">
    <w:p w14:paraId="3A59F54A" w14:textId="07F98773" w:rsidR="009075B9" w:rsidRPr="009C35BA" w:rsidRDefault="009075B9" w:rsidP="009C35BA">
      <w:pPr>
        <w:jc w:val="both"/>
        <w:rPr>
          <w:rFonts w:eastAsia="Times New Roman"/>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Para 51, </w:t>
      </w:r>
      <w:r w:rsidRPr="009C35BA">
        <w:rPr>
          <w:rFonts w:eastAsia="Times New Roman"/>
          <w:color w:val="000000" w:themeColor="text1"/>
          <w:sz w:val="20"/>
          <w:szCs w:val="20"/>
        </w:rPr>
        <w:t>Report of the Special Rapporteur on violence against women, its causes and consequences, Ms. Radhika Coomaraswamy, E/CN.4/2001/73/Add.2 (6 February 2001); also</w:t>
      </w:r>
      <w:r w:rsidRPr="009C35BA">
        <w:rPr>
          <w:color w:val="000000" w:themeColor="text1"/>
          <w:sz w:val="20"/>
          <w:szCs w:val="20"/>
        </w:rPr>
        <w:t xml:space="preserve"> see paras 135-139, 159. </w:t>
      </w:r>
    </w:p>
  </w:footnote>
  <w:footnote w:id="22">
    <w:p w14:paraId="2823F64B" w14:textId="77777777" w:rsidR="009075B9" w:rsidRPr="009C35BA" w:rsidRDefault="009075B9" w:rsidP="009C35BA">
      <w:pPr>
        <w:jc w:val="both"/>
        <w:rPr>
          <w:rFonts w:eastAsia="Times New Roman"/>
          <w:color w:val="000000" w:themeColor="text1"/>
          <w:sz w:val="20"/>
          <w:szCs w:val="20"/>
        </w:rPr>
      </w:pPr>
      <w:r w:rsidRPr="009C35BA">
        <w:rPr>
          <w:rStyle w:val="FootnoteReference"/>
          <w:color w:val="000000" w:themeColor="text1"/>
          <w:sz w:val="20"/>
          <w:szCs w:val="20"/>
        </w:rPr>
        <w:footnoteRef/>
      </w:r>
      <w:r w:rsidRPr="009C35BA">
        <w:rPr>
          <w:color w:val="000000" w:themeColor="text1"/>
          <w:sz w:val="20"/>
          <w:szCs w:val="20"/>
        </w:rPr>
        <w:t xml:space="preserve"> Paras 43, 44, </w:t>
      </w:r>
      <w:r w:rsidRPr="009C35BA">
        <w:rPr>
          <w:rFonts w:eastAsia="Times New Roman"/>
          <w:color w:val="000000" w:themeColor="text1"/>
          <w:sz w:val="20"/>
          <w:szCs w:val="20"/>
        </w:rPr>
        <w:t>Report of the Special Rapporteur on trafficking in persons, especially women and children, Joy Ngozi Ezeilo, A/HRC/20/18 (6 June 2012), available at</w:t>
      </w:r>
    </w:p>
    <w:p w14:paraId="06AC6FFE" w14:textId="77777777" w:rsidR="009075B9" w:rsidRPr="009C35BA" w:rsidRDefault="000131A7" w:rsidP="009C35BA">
      <w:pPr>
        <w:pStyle w:val="FootnoteText"/>
        <w:jc w:val="both"/>
        <w:rPr>
          <w:color w:val="000000" w:themeColor="text1"/>
          <w:sz w:val="20"/>
          <w:szCs w:val="20"/>
        </w:rPr>
      </w:pPr>
      <w:hyperlink r:id="rId14" w:history="1">
        <w:r w:rsidR="009075B9" w:rsidRPr="009C35BA">
          <w:rPr>
            <w:rStyle w:val="Hyperlink"/>
            <w:color w:val="000000" w:themeColor="text1"/>
            <w:sz w:val="20"/>
            <w:szCs w:val="20"/>
          </w:rPr>
          <w:t>http://www.ohchr.org/Documents/HRBodies/HRCouncil/RegularSession/Session20/A.HRC.20.18_En.pdf</w:t>
        </w:r>
      </w:hyperlink>
      <w:r w:rsidR="009075B9" w:rsidRPr="009C35BA">
        <w:rPr>
          <w:rStyle w:val="Hyperlink"/>
          <w:color w:val="000000" w:themeColor="text1"/>
          <w:sz w:val="20"/>
          <w:szCs w:val="20"/>
        </w:rPr>
        <w:t xml:space="preserve">. </w:t>
      </w:r>
    </w:p>
  </w:footnote>
  <w:footnote w:id="23">
    <w:p w14:paraId="296D864B" w14:textId="6CFF9FF8" w:rsidR="009075B9" w:rsidRPr="009C35BA" w:rsidRDefault="009075B9" w:rsidP="009C35BA">
      <w:pPr>
        <w:pStyle w:val="FootnoteText"/>
        <w:jc w:val="both"/>
        <w:rPr>
          <w:sz w:val="20"/>
          <w:szCs w:val="20"/>
        </w:rPr>
      </w:pPr>
      <w:r w:rsidRPr="009C35BA">
        <w:rPr>
          <w:rStyle w:val="FootnoteReference"/>
          <w:sz w:val="20"/>
          <w:szCs w:val="20"/>
        </w:rPr>
        <w:footnoteRef/>
      </w:r>
      <w:r w:rsidRPr="009C35BA">
        <w:rPr>
          <w:sz w:val="20"/>
          <w:szCs w:val="20"/>
        </w:rPr>
        <w:t xml:space="preserve"> See Smarajit Jana, Bharati Dey, Sushena Reza-Paul and Richard Steen, </w:t>
      </w:r>
      <w:r w:rsidRPr="009C35BA">
        <w:rPr>
          <w:i/>
          <w:sz w:val="20"/>
          <w:szCs w:val="20"/>
        </w:rPr>
        <w:t>Combating human trafficking in the sex trade: can sex workers do it better?,</w:t>
      </w:r>
      <w:r w:rsidRPr="009C35BA">
        <w:rPr>
          <w:sz w:val="20"/>
          <w:szCs w:val="20"/>
        </w:rPr>
        <w:t xml:space="preserve"> Journal of Public Health, Vol. 36, Issue No. 4 (1 December 2014), pp. 622–628, available at </w:t>
      </w:r>
      <w:hyperlink r:id="rId15" w:history="1">
        <w:r w:rsidRPr="009C35BA">
          <w:rPr>
            <w:rStyle w:val="Hyperlink"/>
            <w:sz w:val="20"/>
            <w:szCs w:val="20"/>
          </w:rPr>
          <w:t>https://doi.org/10.1093/pubmed/fdt095</w:t>
        </w:r>
      </w:hyperlink>
      <w:r w:rsidRPr="009C35BA">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605B" w14:textId="77777777" w:rsidR="009075B9" w:rsidRDefault="009075B9" w:rsidP="00F51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6846F" w14:textId="77777777" w:rsidR="009075B9" w:rsidRDefault="009075B9" w:rsidP="00CF26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21A2" w14:textId="77777777" w:rsidR="009075B9" w:rsidRDefault="009075B9" w:rsidP="00F51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1A7">
      <w:rPr>
        <w:rStyle w:val="PageNumber"/>
        <w:noProof/>
      </w:rPr>
      <w:t>10</w:t>
    </w:r>
    <w:r>
      <w:rPr>
        <w:rStyle w:val="PageNumber"/>
      </w:rPr>
      <w:fldChar w:fldCharType="end"/>
    </w:r>
  </w:p>
  <w:p w14:paraId="220358EC" w14:textId="77777777" w:rsidR="009075B9" w:rsidRDefault="009075B9" w:rsidP="00F51F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5452F"/>
    <w:multiLevelType w:val="hybridMultilevel"/>
    <w:tmpl w:val="B37420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C4A36"/>
    <w:multiLevelType w:val="multilevel"/>
    <w:tmpl w:val="58647E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CE43B8"/>
    <w:multiLevelType w:val="multilevel"/>
    <w:tmpl w:val="58647E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C73AED"/>
    <w:multiLevelType w:val="hybridMultilevel"/>
    <w:tmpl w:val="F5CC1F5C"/>
    <w:lvl w:ilvl="0" w:tplc="EFB8F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07"/>
    <w:rsid w:val="00003636"/>
    <w:rsid w:val="000066BA"/>
    <w:rsid w:val="000131A7"/>
    <w:rsid w:val="00066D36"/>
    <w:rsid w:val="00072F17"/>
    <w:rsid w:val="000858DF"/>
    <w:rsid w:val="000A53A0"/>
    <w:rsid w:val="00103F50"/>
    <w:rsid w:val="00117073"/>
    <w:rsid w:val="0013615A"/>
    <w:rsid w:val="00171426"/>
    <w:rsid w:val="00190D26"/>
    <w:rsid w:val="001E515C"/>
    <w:rsid w:val="00230649"/>
    <w:rsid w:val="002367D3"/>
    <w:rsid w:val="00241E89"/>
    <w:rsid w:val="00257494"/>
    <w:rsid w:val="002969E9"/>
    <w:rsid w:val="002E6ED8"/>
    <w:rsid w:val="002F386E"/>
    <w:rsid w:val="00331116"/>
    <w:rsid w:val="003927AB"/>
    <w:rsid w:val="00394F22"/>
    <w:rsid w:val="004D2A89"/>
    <w:rsid w:val="00504DD7"/>
    <w:rsid w:val="00514D0B"/>
    <w:rsid w:val="00541DCA"/>
    <w:rsid w:val="005470E2"/>
    <w:rsid w:val="00574D07"/>
    <w:rsid w:val="005A21B4"/>
    <w:rsid w:val="0060515F"/>
    <w:rsid w:val="0067168C"/>
    <w:rsid w:val="00672E5C"/>
    <w:rsid w:val="006744DF"/>
    <w:rsid w:val="006B2797"/>
    <w:rsid w:val="0071569F"/>
    <w:rsid w:val="00727565"/>
    <w:rsid w:val="0074205F"/>
    <w:rsid w:val="0075069B"/>
    <w:rsid w:val="007538BE"/>
    <w:rsid w:val="00764799"/>
    <w:rsid w:val="007666A6"/>
    <w:rsid w:val="0078776F"/>
    <w:rsid w:val="007954CA"/>
    <w:rsid w:val="007B4BA8"/>
    <w:rsid w:val="007C7E51"/>
    <w:rsid w:val="00857270"/>
    <w:rsid w:val="008C2898"/>
    <w:rsid w:val="009075B9"/>
    <w:rsid w:val="00907BB5"/>
    <w:rsid w:val="009220B3"/>
    <w:rsid w:val="00951FB5"/>
    <w:rsid w:val="00970A2F"/>
    <w:rsid w:val="0098387C"/>
    <w:rsid w:val="009A0A2A"/>
    <w:rsid w:val="009C35BA"/>
    <w:rsid w:val="009D03B2"/>
    <w:rsid w:val="009F59AF"/>
    <w:rsid w:val="00A0086C"/>
    <w:rsid w:val="00A10CCE"/>
    <w:rsid w:val="00A640B3"/>
    <w:rsid w:val="00A6436E"/>
    <w:rsid w:val="00AA47F1"/>
    <w:rsid w:val="00AA5B2E"/>
    <w:rsid w:val="00B356A9"/>
    <w:rsid w:val="00BC1AB9"/>
    <w:rsid w:val="00BE659D"/>
    <w:rsid w:val="00BF5487"/>
    <w:rsid w:val="00C07772"/>
    <w:rsid w:val="00C25F44"/>
    <w:rsid w:val="00CB74EF"/>
    <w:rsid w:val="00CE6413"/>
    <w:rsid w:val="00CF2657"/>
    <w:rsid w:val="00D40C9E"/>
    <w:rsid w:val="00DD078D"/>
    <w:rsid w:val="00E04563"/>
    <w:rsid w:val="00ED3966"/>
    <w:rsid w:val="00EF66B4"/>
    <w:rsid w:val="00F35F9C"/>
    <w:rsid w:val="00F35FF9"/>
    <w:rsid w:val="00F37092"/>
    <w:rsid w:val="00F51FC4"/>
    <w:rsid w:val="00F823A0"/>
    <w:rsid w:val="00F91547"/>
    <w:rsid w:val="00F9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D0D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07"/>
    <w:rPr>
      <w:rFonts w:ascii="Times New Roman" w:hAnsi="Times New Roman" w:cs="Times New Roman"/>
    </w:rPr>
  </w:style>
  <w:style w:type="paragraph" w:styleId="Heading1">
    <w:name w:val="heading 1"/>
    <w:next w:val="Normal"/>
    <w:link w:val="Heading1Char"/>
    <w:uiPriority w:val="9"/>
    <w:qFormat/>
    <w:rsid w:val="00574D07"/>
    <w:pPr>
      <w:pBdr>
        <w:bottom w:val="single" w:sz="12" w:space="1" w:color="8E744B"/>
      </w:pBdr>
      <w:spacing w:after="200" w:line="276" w:lineRule="auto"/>
      <w:outlineLvl w:val="0"/>
    </w:pPr>
    <w:rPr>
      <w:rFonts w:ascii="Montserrat Semi Bold" w:hAnsi="Montserrat Semi Bold"/>
      <w:cap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D07"/>
    <w:rPr>
      <w:rFonts w:ascii="Montserrat Semi Bold" w:hAnsi="Montserrat Semi Bold"/>
      <w:caps/>
      <w:sz w:val="22"/>
      <w:szCs w:val="22"/>
      <w:lang w:val="en-AU"/>
    </w:rPr>
  </w:style>
  <w:style w:type="character" w:styleId="Hyperlink">
    <w:name w:val="Hyperlink"/>
    <w:basedOn w:val="DefaultParagraphFont"/>
    <w:uiPriority w:val="99"/>
    <w:unhideWhenUsed/>
    <w:rsid w:val="00574D07"/>
    <w:rPr>
      <w:color w:val="0000FF"/>
      <w:u w:val="single"/>
    </w:rPr>
  </w:style>
  <w:style w:type="paragraph" w:customStyle="1" w:styleId="SingleTxtG">
    <w:name w:val="_ Single Txt_G"/>
    <w:basedOn w:val="Normal"/>
    <w:link w:val="SingleTxtGChar"/>
    <w:rsid w:val="00574D07"/>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rsid w:val="00574D07"/>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574D07"/>
  </w:style>
  <w:style w:type="character" w:customStyle="1" w:styleId="FootnoteTextChar">
    <w:name w:val="Footnote Text Char"/>
    <w:basedOn w:val="DefaultParagraphFont"/>
    <w:link w:val="FootnoteText"/>
    <w:uiPriority w:val="99"/>
    <w:rsid w:val="00574D07"/>
    <w:rPr>
      <w:rFonts w:ascii="Times New Roman" w:hAnsi="Times New Roman" w:cs="Times New Roman"/>
    </w:rPr>
  </w:style>
  <w:style w:type="character" w:styleId="FootnoteReference">
    <w:name w:val="footnote reference"/>
    <w:basedOn w:val="DefaultParagraphFont"/>
    <w:uiPriority w:val="99"/>
    <w:unhideWhenUsed/>
    <w:rsid w:val="00574D07"/>
    <w:rPr>
      <w:vertAlign w:val="superscript"/>
    </w:rPr>
  </w:style>
  <w:style w:type="character" w:styleId="Emphasis">
    <w:name w:val="Emphasis"/>
    <w:basedOn w:val="DefaultParagraphFont"/>
    <w:uiPriority w:val="20"/>
    <w:qFormat/>
    <w:rsid w:val="00574D07"/>
    <w:rPr>
      <w:i/>
      <w:iCs/>
    </w:rPr>
  </w:style>
  <w:style w:type="character" w:styleId="CommentReference">
    <w:name w:val="annotation reference"/>
    <w:basedOn w:val="DefaultParagraphFont"/>
    <w:uiPriority w:val="99"/>
    <w:semiHidden/>
    <w:unhideWhenUsed/>
    <w:rsid w:val="00574D07"/>
    <w:rPr>
      <w:sz w:val="18"/>
      <w:szCs w:val="18"/>
    </w:rPr>
  </w:style>
  <w:style w:type="paragraph" w:styleId="CommentText">
    <w:name w:val="annotation text"/>
    <w:basedOn w:val="Normal"/>
    <w:link w:val="CommentTextChar"/>
    <w:uiPriority w:val="99"/>
    <w:semiHidden/>
    <w:unhideWhenUsed/>
    <w:rsid w:val="00574D07"/>
  </w:style>
  <w:style w:type="character" w:customStyle="1" w:styleId="CommentTextChar">
    <w:name w:val="Comment Text Char"/>
    <w:basedOn w:val="DefaultParagraphFont"/>
    <w:link w:val="CommentText"/>
    <w:uiPriority w:val="99"/>
    <w:semiHidden/>
    <w:rsid w:val="00574D07"/>
    <w:rPr>
      <w:rFonts w:ascii="Times New Roman" w:hAnsi="Times New Roman" w:cs="Times New Roman"/>
    </w:rPr>
  </w:style>
  <w:style w:type="paragraph" w:styleId="ListParagraph">
    <w:name w:val="List Paragraph"/>
    <w:basedOn w:val="Normal"/>
    <w:uiPriority w:val="34"/>
    <w:qFormat/>
    <w:rsid w:val="00574D07"/>
    <w:pPr>
      <w:ind w:left="720"/>
      <w:contextualSpacing/>
    </w:pPr>
  </w:style>
  <w:style w:type="paragraph" w:styleId="BalloonText">
    <w:name w:val="Balloon Text"/>
    <w:basedOn w:val="Normal"/>
    <w:link w:val="BalloonTextChar"/>
    <w:uiPriority w:val="99"/>
    <w:semiHidden/>
    <w:unhideWhenUsed/>
    <w:rsid w:val="00574D07"/>
    <w:rPr>
      <w:sz w:val="18"/>
      <w:szCs w:val="18"/>
    </w:rPr>
  </w:style>
  <w:style w:type="character" w:customStyle="1" w:styleId="BalloonTextChar">
    <w:name w:val="Balloon Text Char"/>
    <w:basedOn w:val="DefaultParagraphFont"/>
    <w:link w:val="BalloonText"/>
    <w:uiPriority w:val="99"/>
    <w:semiHidden/>
    <w:rsid w:val="00574D07"/>
    <w:rPr>
      <w:rFonts w:ascii="Times New Roman" w:hAnsi="Times New Roman" w:cs="Times New Roman"/>
      <w:sz w:val="18"/>
      <w:szCs w:val="18"/>
    </w:rPr>
  </w:style>
  <w:style w:type="paragraph" w:styleId="Header">
    <w:name w:val="header"/>
    <w:basedOn w:val="Normal"/>
    <w:link w:val="HeaderChar"/>
    <w:uiPriority w:val="99"/>
    <w:unhideWhenUsed/>
    <w:rsid w:val="00F51FC4"/>
    <w:pPr>
      <w:tabs>
        <w:tab w:val="center" w:pos="4320"/>
        <w:tab w:val="right" w:pos="8640"/>
      </w:tabs>
    </w:pPr>
  </w:style>
  <w:style w:type="character" w:customStyle="1" w:styleId="HeaderChar">
    <w:name w:val="Header Char"/>
    <w:basedOn w:val="DefaultParagraphFont"/>
    <w:link w:val="Header"/>
    <w:uiPriority w:val="99"/>
    <w:rsid w:val="00F51FC4"/>
    <w:rPr>
      <w:rFonts w:ascii="Times New Roman" w:hAnsi="Times New Roman" w:cs="Times New Roman"/>
    </w:rPr>
  </w:style>
  <w:style w:type="character" w:styleId="PageNumber">
    <w:name w:val="page number"/>
    <w:basedOn w:val="DefaultParagraphFont"/>
    <w:uiPriority w:val="99"/>
    <w:semiHidden/>
    <w:unhideWhenUsed/>
    <w:rsid w:val="00F5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6323">
      <w:bodyDiv w:val="1"/>
      <w:marLeft w:val="0"/>
      <w:marRight w:val="0"/>
      <w:marTop w:val="0"/>
      <w:marBottom w:val="0"/>
      <w:divBdr>
        <w:top w:val="none" w:sz="0" w:space="0" w:color="auto"/>
        <w:left w:val="none" w:sz="0" w:space="0" w:color="auto"/>
        <w:bottom w:val="none" w:sz="0" w:space="0" w:color="auto"/>
        <w:right w:val="none" w:sz="0" w:space="0" w:color="auto"/>
      </w:divBdr>
    </w:div>
    <w:div w:id="161746222">
      <w:bodyDiv w:val="1"/>
      <w:marLeft w:val="0"/>
      <w:marRight w:val="0"/>
      <w:marTop w:val="0"/>
      <w:marBottom w:val="0"/>
      <w:divBdr>
        <w:top w:val="none" w:sz="0" w:space="0" w:color="auto"/>
        <w:left w:val="none" w:sz="0" w:space="0" w:color="auto"/>
        <w:bottom w:val="none" w:sz="0" w:space="0" w:color="auto"/>
        <w:right w:val="none" w:sz="0" w:space="0" w:color="auto"/>
      </w:divBdr>
    </w:div>
    <w:div w:id="215552948">
      <w:bodyDiv w:val="1"/>
      <w:marLeft w:val="0"/>
      <w:marRight w:val="0"/>
      <w:marTop w:val="0"/>
      <w:marBottom w:val="0"/>
      <w:divBdr>
        <w:top w:val="none" w:sz="0" w:space="0" w:color="auto"/>
        <w:left w:val="none" w:sz="0" w:space="0" w:color="auto"/>
        <w:bottom w:val="none" w:sz="0" w:space="0" w:color="auto"/>
        <w:right w:val="none" w:sz="0" w:space="0" w:color="auto"/>
      </w:divBdr>
    </w:div>
    <w:div w:id="28878181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1445803042">
      <w:bodyDiv w:val="1"/>
      <w:marLeft w:val="0"/>
      <w:marRight w:val="0"/>
      <w:marTop w:val="0"/>
      <w:marBottom w:val="0"/>
      <w:divBdr>
        <w:top w:val="none" w:sz="0" w:space="0" w:color="auto"/>
        <w:left w:val="none" w:sz="0" w:space="0" w:color="auto"/>
        <w:bottom w:val="none" w:sz="0" w:space="0" w:color="auto"/>
        <w:right w:val="none" w:sz="0" w:space="0" w:color="auto"/>
      </w:divBdr>
    </w:div>
    <w:div w:id="146226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hhrjournal.org/2014/10/sex-work-and-trafficking-can-human-rights-lead-us-out-of-the-impasse/" TargetMode="External"/><Relationship Id="rId13" Type="http://schemas.openxmlformats.org/officeDocument/2006/relationships/hyperlink" Target="https://www.ndtv.com/india-news/odisha-shelter-home-girls-allege-sexual-abuse-in-charge-arrested-1956650" TargetMode="External"/><Relationship Id="rId3" Type="http://schemas.openxmlformats.org/officeDocument/2006/relationships/hyperlink" Target="https://www.lawyerscollective.org/wp-content/uploads/2017/07/Critique-of-the-Anti-Trafficking-Bill-2018.pdf" TargetMode="External"/><Relationship Id="rId7" Type="http://schemas.openxmlformats.org/officeDocument/2006/relationships/hyperlink" Target="https://www.ohchr.org/Documents/Issues/Trafficking/FirsDecadeSRon_%20trafficking.pdf" TargetMode="External"/><Relationship Id="rId12" Type="http://schemas.openxmlformats.org/officeDocument/2006/relationships/hyperlink" Target="https://www.indiatoday.in/india/story/the-girls-returned-crying-child-reveals-details-of-abuse-at-up-shelter-home-1306417-2018-08-06" TargetMode="External"/><Relationship Id="rId2" Type="http://schemas.openxmlformats.org/officeDocument/2006/relationships/hyperlink" Target="https://www.lawyerscollective.org/hivaids-unit" TargetMode="External"/><Relationship Id="rId1" Type="http://schemas.openxmlformats.org/officeDocument/2006/relationships/hyperlink" Target="http://aidslaw1@lawyerscollective.org" TargetMode="External"/><Relationship Id="rId6" Type="http://schemas.openxmlformats.org/officeDocument/2006/relationships/hyperlink" Target="https://www.ohchr.org/Documents/Issues/Trafficking/Geneva2011BP_GallagherAndKarlebach.pdf" TargetMode="External"/><Relationship Id="rId11" Type="http://schemas.openxmlformats.org/officeDocument/2006/relationships/hyperlink" Target="https://www.indiatoday.in/india/story/bihar-shelter-homes-rape-case-tiss-report-1306304-2018-08-06" TargetMode="External"/><Relationship Id="rId5" Type="http://schemas.openxmlformats.org/officeDocument/2006/relationships/hyperlink" Target="https://www.ohchr.org/EN/NewsEvents/Pages/DisplayNews.aspx?NewsID=23392&amp;LangID=E" TargetMode="External"/><Relationship Id="rId15" Type="http://schemas.openxmlformats.org/officeDocument/2006/relationships/hyperlink" Target="https://doi.org/10.1093/pubmed/fdt095" TargetMode="External"/><Relationship Id="rId10" Type="http://schemas.openxmlformats.org/officeDocument/2006/relationships/hyperlink" Target="http://www.unodc.org/documents/treaties/UNTOC/Publications/Travaux%20Preparatoire/04-60074_ebook-e.pdf" TargetMode="External"/><Relationship Id="rId4" Type="http://schemas.openxmlformats.org/officeDocument/2006/relationships/hyperlink" Target="https://www.epw.in/rethinking-2018-trafficking-bill" TargetMode="External"/><Relationship Id="rId9" Type="http://schemas.openxmlformats.org/officeDocument/2006/relationships/hyperlink" Target="https://www.unodc.org/documents/human-trafficking/HT-toolkit-en.pdf" TargetMode="External"/><Relationship Id="rId14" Type="http://schemas.openxmlformats.org/officeDocument/2006/relationships/hyperlink" Target="http://www.ohchr.org/Documents/HRBodies/HRCouncil/RegularSession/Session20/A.HRC.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0B4DE2-DD85-4C4B-9972-B690740C9774}">
  <ds:schemaRefs>
    <ds:schemaRef ds:uri="http://schemas.openxmlformats.org/officeDocument/2006/bibliography"/>
  </ds:schemaRefs>
</ds:datastoreItem>
</file>

<file path=customXml/itemProps2.xml><?xml version="1.0" encoding="utf-8"?>
<ds:datastoreItem xmlns:ds="http://schemas.openxmlformats.org/officeDocument/2006/customXml" ds:itemID="{2059D5F7-6BA7-4D4E-8CD8-44C18A7076B1}"/>
</file>

<file path=customXml/itemProps3.xml><?xml version="1.0" encoding="utf-8"?>
<ds:datastoreItem xmlns:ds="http://schemas.openxmlformats.org/officeDocument/2006/customXml" ds:itemID="{C7FAC48A-6005-4F01-AC05-594264792402}"/>
</file>

<file path=customXml/itemProps4.xml><?xml version="1.0" encoding="utf-8"?>
<ds:datastoreItem xmlns:ds="http://schemas.openxmlformats.org/officeDocument/2006/customXml" ds:itemID="{E76647B1-9622-4499-A134-6F3A02D2C961}"/>
</file>

<file path=docProps/app.xml><?xml version="1.0" encoding="utf-8"?>
<Properties xmlns="http://schemas.openxmlformats.org/officeDocument/2006/extended-properties" xmlns:vt="http://schemas.openxmlformats.org/officeDocument/2006/docPropsVTypes">
  <Template>Normal.dotm</Template>
  <TotalTime>0</TotalTime>
  <Pages>10</Pages>
  <Words>4281</Words>
  <Characters>24404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Aarushi</dc:creator>
  <cp:lastModifiedBy>Daniela Buchmann</cp:lastModifiedBy>
  <cp:revision>2</cp:revision>
  <dcterms:created xsi:type="dcterms:W3CDTF">2019-02-19T09:47:00Z</dcterms:created>
  <dcterms:modified xsi:type="dcterms:W3CDTF">2019-02-19T09:47:00Z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