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3EDFB" w14:textId="77777777" w:rsidR="00F86758" w:rsidRPr="00FC46FF" w:rsidRDefault="00F86758" w:rsidP="00F86758">
      <w:pPr>
        <w:jc w:val="center"/>
        <w:rPr>
          <w:rFonts w:ascii="Open Sans" w:hAnsi="Open Sans" w:cs="Open Sans"/>
          <w:b/>
          <w:color w:val="EB3397"/>
          <w:sz w:val="24"/>
        </w:rPr>
      </w:pPr>
      <w:bookmarkStart w:id="0" w:name="_GoBack"/>
      <w:bookmarkEnd w:id="0"/>
      <w:r w:rsidRPr="00FC46FF">
        <w:rPr>
          <w:rFonts w:ascii="Open Sans" w:hAnsi="Open Sans" w:cs="Open Sans"/>
          <w:b/>
          <w:color w:val="EB3397"/>
          <w:sz w:val="24"/>
        </w:rPr>
        <w:t>Girls Advocacy Alliance submission to the</w:t>
      </w:r>
    </w:p>
    <w:p w14:paraId="473D7293" w14:textId="77777777" w:rsidR="00F86758" w:rsidRPr="00FC46FF" w:rsidRDefault="00F86758" w:rsidP="00F86758">
      <w:pPr>
        <w:jc w:val="center"/>
        <w:rPr>
          <w:rFonts w:ascii="Open Sans" w:hAnsi="Open Sans" w:cs="Open Sans"/>
          <w:b/>
          <w:color w:val="EB3397"/>
          <w:sz w:val="24"/>
        </w:rPr>
      </w:pPr>
      <w:r w:rsidRPr="00FC46FF">
        <w:rPr>
          <w:rFonts w:ascii="Open Sans" w:hAnsi="Open Sans" w:cs="Open Sans"/>
          <w:b/>
          <w:color w:val="EB3397"/>
          <w:sz w:val="24"/>
        </w:rPr>
        <w:t>General Recommendation of the CEDAW Committee on</w:t>
      </w:r>
    </w:p>
    <w:p w14:paraId="1B615AAE" w14:textId="77777777" w:rsidR="00F86758" w:rsidRPr="00FC46FF" w:rsidRDefault="00F86758" w:rsidP="00F86758">
      <w:pPr>
        <w:jc w:val="center"/>
        <w:rPr>
          <w:rFonts w:ascii="Open Sans" w:hAnsi="Open Sans" w:cs="Open Sans"/>
          <w:b/>
          <w:color w:val="EB3397"/>
          <w:sz w:val="24"/>
        </w:rPr>
      </w:pPr>
      <w:r w:rsidRPr="00FC46FF">
        <w:rPr>
          <w:rFonts w:ascii="Open Sans" w:hAnsi="Open Sans" w:cs="Open Sans"/>
          <w:b/>
          <w:color w:val="EB3397"/>
          <w:sz w:val="24"/>
        </w:rPr>
        <w:t>Trafficking in Women and Girls in the Context of Global Migration</w:t>
      </w:r>
    </w:p>
    <w:p w14:paraId="3FB09C08" w14:textId="1B930C26" w:rsidR="00F86758" w:rsidRPr="00FC46FF" w:rsidRDefault="00F86758" w:rsidP="00F86758">
      <w:pPr>
        <w:pStyle w:val="Body"/>
      </w:pPr>
      <w:r w:rsidRPr="00FC46FF">
        <w:t>Launched in 2016, the Girls Advocacy Alliance (GAA) is a joint initiative which aims at eliminating Gender-Based Violence (GBV) and Economic Exclusion (EE) of girls and young women through strategic lobby and advocacy</w:t>
      </w:r>
      <w:r w:rsidR="00AE3D22" w:rsidRPr="00FC46FF">
        <w:t xml:space="preserve"> both at the national level in 10 countries, as well as at the international level</w:t>
      </w:r>
      <w:r w:rsidRPr="00FC46FF">
        <w:t>. The International Programme of GAA is implemented in Geneva and New York by Plan International, Terre des Hommes International Federation, Defence for Children International Secretariat and ECPAT International.</w:t>
      </w:r>
    </w:p>
    <w:p w14:paraId="755EAD94" w14:textId="77777777" w:rsidR="00F86758" w:rsidRPr="00FC46FF" w:rsidRDefault="00F86758" w:rsidP="0002706A">
      <w:pPr>
        <w:pStyle w:val="Heading1"/>
        <w:rPr>
          <w:lang w:val="en-GB"/>
        </w:rPr>
      </w:pPr>
      <w:r w:rsidRPr="00FC46FF">
        <w:rPr>
          <w:lang w:val="en-GB"/>
        </w:rPr>
        <w:t>Introduction:</w:t>
      </w:r>
    </w:p>
    <w:p w14:paraId="6E3A80EA" w14:textId="57FBD01B" w:rsidR="002B59F3" w:rsidRDefault="002B59F3" w:rsidP="000A469A">
      <w:pPr>
        <w:pStyle w:val="Body"/>
      </w:pPr>
      <w:r>
        <w:t xml:space="preserve">Girls have the right to be protected from trafficking under Article 6 of the CEDAW Convention and Article 35 of the CRC Convention. </w:t>
      </w:r>
      <w:r w:rsidR="000A469A" w:rsidRPr="00FC46FF">
        <w:t>Girls’ specific vulnerabilities to trafficking, particularly for sexual exploitation, must be understood as a continuum of wider gender-</w:t>
      </w:r>
      <w:r>
        <w:t xml:space="preserve"> and age-</w:t>
      </w:r>
      <w:r w:rsidR="000A469A" w:rsidRPr="00FC46FF">
        <w:t xml:space="preserve">based discrimination, in which sexual abuse and violence take place. </w:t>
      </w:r>
      <w:r>
        <w:t>The experience of g</w:t>
      </w:r>
      <w:r w:rsidRPr="002B59F3">
        <w:t xml:space="preserve">irls </w:t>
      </w:r>
      <w:r>
        <w:t xml:space="preserve">is in some ways similar to adult women, but in other ways quite different: girls have </w:t>
      </w:r>
      <w:r w:rsidRPr="002B59F3">
        <w:t>less access to information</w:t>
      </w:r>
      <w:r>
        <w:t xml:space="preserve"> and</w:t>
      </w:r>
      <w:r w:rsidRPr="002B59F3">
        <w:t xml:space="preserve"> resources, </w:t>
      </w:r>
      <w:r>
        <w:t xml:space="preserve">fewer </w:t>
      </w:r>
      <w:r w:rsidRPr="002B59F3">
        <w:t>means to seek justice</w:t>
      </w:r>
      <w:r>
        <w:t xml:space="preserve">, and more difficulty accessing </w:t>
      </w:r>
      <w:r w:rsidRPr="002B59F3">
        <w:t>means of tran</w:t>
      </w:r>
      <w:r>
        <w:t xml:space="preserve">sportation, among others. </w:t>
      </w:r>
    </w:p>
    <w:p w14:paraId="4C3607CB" w14:textId="74F94728" w:rsidR="00F86758" w:rsidRPr="00FC46FF" w:rsidRDefault="00AE3D22" w:rsidP="00F86758">
      <w:pPr>
        <w:spacing w:before="160" w:after="160"/>
        <w:jc w:val="both"/>
        <w:rPr>
          <w:rFonts w:ascii="Open Sans" w:hAnsi="Open Sans" w:cs="Open Sans"/>
          <w:color w:val="575756"/>
          <w:sz w:val="20"/>
        </w:rPr>
      </w:pPr>
      <w:r w:rsidRPr="00FC46FF">
        <w:rPr>
          <w:rFonts w:ascii="Open Sans" w:hAnsi="Open Sans" w:cs="Open Sans"/>
          <w:color w:val="575756"/>
          <w:sz w:val="20"/>
        </w:rPr>
        <w:t xml:space="preserve">The purpose of this submission is to highlight the particular ways in which girls experience migration and trafficking, as different from their older female counterparts, in order to </w:t>
      </w:r>
      <w:r w:rsidR="002B59F3">
        <w:rPr>
          <w:rFonts w:ascii="Open Sans" w:hAnsi="Open Sans" w:cs="Open Sans"/>
          <w:color w:val="575756"/>
          <w:sz w:val="20"/>
        </w:rPr>
        <w:t>tailor</w:t>
      </w:r>
      <w:r w:rsidRPr="00FC46FF">
        <w:rPr>
          <w:rFonts w:ascii="Open Sans" w:hAnsi="Open Sans" w:cs="Open Sans"/>
          <w:color w:val="575756"/>
          <w:sz w:val="20"/>
        </w:rPr>
        <w:t xml:space="preserve"> differential approaches in fighting </w:t>
      </w:r>
      <w:r w:rsidR="00707E2A" w:rsidRPr="00FC46FF">
        <w:rPr>
          <w:rFonts w:ascii="Open Sans" w:hAnsi="Open Sans" w:cs="Open Sans"/>
          <w:color w:val="575756"/>
          <w:sz w:val="20"/>
        </w:rPr>
        <w:t xml:space="preserve">the </w:t>
      </w:r>
      <w:r w:rsidRPr="00FC46FF">
        <w:rPr>
          <w:rFonts w:ascii="Open Sans" w:hAnsi="Open Sans" w:cs="Open Sans"/>
          <w:color w:val="575756"/>
          <w:sz w:val="20"/>
        </w:rPr>
        <w:t>trafficking of girls</w:t>
      </w:r>
      <w:r w:rsidR="00707E2A" w:rsidRPr="006D6BA3">
        <w:rPr>
          <w:rStyle w:val="FootnoteReference"/>
        </w:rPr>
        <w:footnoteReference w:id="1"/>
      </w:r>
      <w:r w:rsidRPr="00FC46FF">
        <w:rPr>
          <w:rFonts w:ascii="Open Sans" w:hAnsi="Open Sans" w:cs="Open Sans"/>
          <w:color w:val="575756"/>
          <w:sz w:val="20"/>
        </w:rPr>
        <w:t xml:space="preserve">. </w:t>
      </w:r>
      <w:r w:rsidR="00707E2A" w:rsidRPr="00FC46FF">
        <w:rPr>
          <w:rFonts w:ascii="Open Sans" w:hAnsi="Open Sans" w:cs="Open Sans"/>
          <w:color w:val="575756"/>
          <w:sz w:val="20"/>
        </w:rPr>
        <w:t xml:space="preserve">The submission will be structured in the following way: section II provides an overview of the global state of trafficking of girls, and </w:t>
      </w:r>
      <w:r w:rsidR="00707E2A" w:rsidRPr="00FC46FF">
        <w:rPr>
          <w:rFonts w:ascii="Open Sans" w:hAnsi="Open Sans" w:cs="Open Sans"/>
          <w:color w:val="575756"/>
          <w:sz w:val="20"/>
        </w:rPr>
        <w:lastRenderedPageBreak/>
        <w:t>section III examines the patterns and experiences of adolescent girls’ migration</w:t>
      </w:r>
      <w:r w:rsidR="00707E2A" w:rsidRPr="006D6BA3">
        <w:rPr>
          <w:rStyle w:val="FootnoteReference"/>
          <w:rFonts w:ascii="Open Sans" w:hAnsi="Open Sans" w:cs="Open Sans"/>
          <w:sz w:val="20"/>
        </w:rPr>
        <w:footnoteReference w:id="2"/>
      </w:r>
      <w:r w:rsidR="00707E2A" w:rsidRPr="00FC46FF">
        <w:rPr>
          <w:rFonts w:ascii="Open Sans" w:hAnsi="Open Sans" w:cs="Open Sans"/>
          <w:color w:val="575756"/>
          <w:sz w:val="20"/>
        </w:rPr>
        <w:t>. Section IV brings the two issues together, exploring the ways in which girls experience trafficking in the particular context of global migration</w:t>
      </w:r>
      <w:r w:rsidR="002B59F3">
        <w:rPr>
          <w:rFonts w:ascii="Open Sans" w:hAnsi="Open Sans" w:cs="Open Sans"/>
          <w:color w:val="575756"/>
          <w:sz w:val="20"/>
        </w:rPr>
        <w:t>, and provides a few case studies of the way in which the Girls Advocacy Alliance is tackling the issue</w:t>
      </w:r>
      <w:r w:rsidR="00707E2A" w:rsidRPr="00FC46FF">
        <w:rPr>
          <w:rFonts w:ascii="Open Sans" w:hAnsi="Open Sans" w:cs="Open Sans"/>
          <w:color w:val="575756"/>
          <w:sz w:val="20"/>
        </w:rPr>
        <w:t>.</w:t>
      </w:r>
    </w:p>
    <w:p w14:paraId="4FD5C87E" w14:textId="2210A095" w:rsidR="00F86758" w:rsidRPr="00FC46FF" w:rsidRDefault="00F86758" w:rsidP="0002706A">
      <w:pPr>
        <w:pStyle w:val="Heading1"/>
        <w:rPr>
          <w:lang w:val="en-GB"/>
        </w:rPr>
      </w:pPr>
      <w:r w:rsidRPr="00FC46FF">
        <w:rPr>
          <w:lang w:val="en-GB"/>
        </w:rPr>
        <w:t>Trafficking of girls: an overview</w:t>
      </w:r>
    </w:p>
    <w:p w14:paraId="57796A21" w14:textId="7B9C270A" w:rsidR="00F86758" w:rsidRPr="00FC46FF" w:rsidRDefault="00F86758" w:rsidP="00F86758">
      <w:pPr>
        <w:pStyle w:val="Subtitle"/>
      </w:pPr>
      <w:r w:rsidRPr="00FC46FF">
        <w:t>Numbers of detected victims</w:t>
      </w:r>
    </w:p>
    <w:p w14:paraId="7E68079D" w14:textId="2B7B5006" w:rsidR="002E0849" w:rsidRPr="00FC46FF" w:rsidRDefault="00875FF4" w:rsidP="002E0849">
      <w:pPr>
        <w:pStyle w:val="Body"/>
      </w:pPr>
      <w:r>
        <w:t>According to the latest Global Report on Trafficking in Persons from the UN Office on Drugs and Crime</w:t>
      </w:r>
      <w:r>
        <w:rPr>
          <w:rStyle w:val="FootnoteReference"/>
        </w:rPr>
        <w:footnoteReference w:id="3"/>
      </w:r>
      <w:r>
        <w:t>, t</w:t>
      </w:r>
      <w:r w:rsidRPr="00FC46FF">
        <w:t xml:space="preserve">he </w:t>
      </w:r>
      <w:r w:rsidR="002E0849" w:rsidRPr="00FC46FF">
        <w:t xml:space="preserve">majority (72%) of all victims of trafficking globally are females, one third of whom are girls. Additionally, the vast majority of the detected victims of trafficking for sexual exploitation are females, and 35 per cent of the victims trafficked for forced labour are also females, both </w:t>
      </w:r>
      <w:r w:rsidR="00BD6047">
        <w:t>women and girls.</w:t>
      </w:r>
      <w:r w:rsidR="00BD6047">
        <w:rPr>
          <w:rStyle w:val="FootnoteReference"/>
        </w:rPr>
        <w:footnoteReference w:id="4"/>
      </w:r>
    </w:p>
    <w:p w14:paraId="7FBFA8A1" w14:textId="32605F3C" w:rsidR="00F86758" w:rsidRPr="00FC46FF" w:rsidRDefault="002B59F3" w:rsidP="00C11118">
      <w:pPr>
        <w:pStyle w:val="Heading2"/>
      </w:pPr>
      <w:r>
        <w:drawing>
          <wp:anchor distT="0" distB="0" distL="114300" distR="114300" simplePos="0" relativeHeight="251656704" behindDoc="0" locked="0" layoutInCell="1" allowOverlap="1" wp14:anchorId="5A89FA12" wp14:editId="34A41E6F">
            <wp:simplePos x="0" y="0"/>
            <wp:positionH relativeFrom="margin">
              <wp:align>left</wp:align>
            </wp:positionH>
            <wp:positionV relativeFrom="paragraph">
              <wp:posOffset>559007</wp:posOffset>
            </wp:positionV>
            <wp:extent cx="5797550" cy="6032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2.png"/>
                    <pic:cNvPicPr/>
                  </pic:nvPicPr>
                  <pic:blipFill>
                    <a:blip r:embed="rId8">
                      <a:extLst>
                        <a:ext uri="{28A0092B-C50C-407E-A947-70E740481C1C}">
                          <a14:useLocalDpi xmlns:a14="http://schemas.microsoft.com/office/drawing/2010/main" val="0"/>
                        </a:ext>
                      </a:extLst>
                    </a:blip>
                    <a:stretch>
                      <a:fillRect/>
                    </a:stretch>
                  </pic:blipFill>
                  <pic:spPr>
                    <a:xfrm>
                      <a:off x="0" y="0"/>
                      <a:ext cx="5797550" cy="603250"/>
                    </a:xfrm>
                    <a:prstGeom prst="rect">
                      <a:avLst/>
                    </a:prstGeom>
                  </pic:spPr>
                </pic:pic>
              </a:graphicData>
            </a:graphic>
          </wp:anchor>
        </w:drawing>
      </w:r>
      <w:r w:rsidR="00F86758" w:rsidRPr="00FC46FF">
        <w:t>Figure 1: Shares of detected victims of trafficking in persons globally, by age group and sex (201</w:t>
      </w:r>
      <w:r w:rsidR="00B7482D">
        <w:t>8</w:t>
      </w:r>
      <w:r w:rsidR="00BD6047">
        <w:t>)</w:t>
      </w:r>
      <w:r w:rsidR="00BD6047" w:rsidRPr="00B91D95">
        <w:rPr>
          <w:rStyle w:val="FootnoteReference"/>
          <w:color w:val="E94A36"/>
        </w:rPr>
        <w:footnoteReference w:id="5"/>
      </w:r>
    </w:p>
    <w:p w14:paraId="261668E2" w14:textId="15C5B280" w:rsidR="002E0849" w:rsidRPr="00FC46FF" w:rsidRDefault="002E0849" w:rsidP="002E0849">
      <w:pPr>
        <w:pStyle w:val="Body"/>
      </w:pPr>
      <w:r w:rsidRPr="00FC46FF">
        <w:t>Although in absolute terms, adults are more than twice as likely to be victims of trafficking than children, when looking at the gender distribution of victims amongst adults and children, the differences are striking. Amongst adult victims of trafficking, women are two times more likely than men to be victims. Amongst child victims of trafficking, however, girls are three times more likely than boys to be victims.</w:t>
      </w:r>
    </w:p>
    <w:p w14:paraId="47BFF635" w14:textId="24F8787E" w:rsidR="00C11118" w:rsidRDefault="00C11118" w:rsidP="00C11118">
      <w:pPr>
        <w:pStyle w:val="Heading2"/>
      </w:pPr>
      <w:r w:rsidRPr="00FC46FF">
        <w:lastRenderedPageBreak/>
        <w:t xml:space="preserve">Figure 2: </w:t>
      </w:r>
      <w:r w:rsidR="003D0BD6" w:rsidRPr="00FC46FF">
        <w:t>Gender ratio of detected victims amongst adults as compared to children</w:t>
      </w:r>
      <w:r w:rsidRPr="00FC46FF">
        <w:t xml:space="preserve"> (201</w:t>
      </w:r>
      <w:r w:rsidR="00BF5F60">
        <w:t>8</w:t>
      </w:r>
      <w:r w:rsidR="00BD6047">
        <w:t>)</w:t>
      </w:r>
      <w:r w:rsidR="00BD6047" w:rsidRPr="00B91D95">
        <w:rPr>
          <w:rStyle w:val="FootnoteReference"/>
          <w:color w:val="E94A36"/>
        </w:rPr>
        <w:footnoteReference w:id="6"/>
      </w:r>
    </w:p>
    <w:p w14:paraId="015E75B1" w14:textId="196FB4F8" w:rsidR="002B59F3" w:rsidRPr="002B59F3" w:rsidRDefault="002B59F3" w:rsidP="002B59F3">
      <w:pPr>
        <w:rPr>
          <w:lang w:eastAsia="en-GB"/>
        </w:rPr>
      </w:pPr>
      <w:r>
        <w:rPr>
          <w:noProof/>
          <w:lang w:eastAsia="en-GB"/>
        </w:rPr>
        <w:drawing>
          <wp:anchor distT="0" distB="0" distL="114300" distR="114300" simplePos="0" relativeHeight="251655680" behindDoc="0" locked="0" layoutInCell="1" allowOverlap="1" wp14:anchorId="711E3474" wp14:editId="2371E400">
            <wp:simplePos x="0" y="0"/>
            <wp:positionH relativeFrom="margin">
              <wp:align>left</wp:align>
            </wp:positionH>
            <wp:positionV relativeFrom="paragraph">
              <wp:posOffset>172720</wp:posOffset>
            </wp:positionV>
            <wp:extent cx="2828290" cy="165862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2828290" cy="1658620"/>
                    </a:xfrm>
                    <a:prstGeom prst="rect">
                      <a:avLst/>
                    </a:prstGeom>
                  </pic:spPr>
                </pic:pic>
              </a:graphicData>
            </a:graphic>
            <wp14:sizeRelH relativeFrom="margin">
              <wp14:pctWidth>0</wp14:pctWidth>
            </wp14:sizeRelH>
            <wp14:sizeRelV relativeFrom="margin">
              <wp14:pctHeight>0</wp14:pctHeight>
            </wp14:sizeRelV>
          </wp:anchor>
        </w:drawing>
      </w:r>
    </w:p>
    <w:p w14:paraId="68C4A7D7" w14:textId="5C25986E" w:rsidR="00F86758" w:rsidRPr="00FC46FF" w:rsidRDefault="00F86758" w:rsidP="00F86758">
      <w:pPr>
        <w:pStyle w:val="Body"/>
      </w:pPr>
      <w:r w:rsidRPr="00FC46FF">
        <w:t>Looking at regional distribution of detected victims, it is interesting to note that Central America and the Caribbean and West Africa have the highest shares of girl victims, as compared to the three other demographic groups, with around 55% and 43% of victims detected in these regions being girls, respectively. Central Asia and North Africa have the lowest shares of girl vi</w:t>
      </w:r>
      <w:r w:rsidR="00BD6047">
        <w:t>ctims.</w:t>
      </w:r>
      <w:r w:rsidR="00BD6047">
        <w:rPr>
          <w:rStyle w:val="FootnoteReference"/>
        </w:rPr>
        <w:footnoteReference w:id="7"/>
      </w:r>
    </w:p>
    <w:p w14:paraId="5B67D9B7" w14:textId="7AC1B482" w:rsidR="00F86758" w:rsidRPr="00FC46FF" w:rsidRDefault="00F86758" w:rsidP="00F86758">
      <w:pPr>
        <w:pStyle w:val="Subtitle"/>
      </w:pPr>
      <w:r w:rsidRPr="00FC46FF">
        <w:t>Types of exploitation</w:t>
      </w:r>
    </w:p>
    <w:p w14:paraId="3A182FED" w14:textId="4C6C952B" w:rsidR="00F86758" w:rsidRPr="00FC46FF" w:rsidRDefault="002E0849" w:rsidP="00F86758">
      <w:pPr>
        <w:pStyle w:val="Body"/>
      </w:pPr>
      <w:r w:rsidRPr="00FC46FF">
        <w:t xml:space="preserve">Some patterns emerge when analysing the way in which age and gender determine the forms of exploitation </w:t>
      </w:r>
      <w:r w:rsidR="003D0BD6" w:rsidRPr="00FC46FF">
        <w:t>experienced by</w:t>
      </w:r>
      <w:r w:rsidR="00F86758" w:rsidRPr="00FC46FF">
        <w:t xml:space="preserve"> detected victims. </w:t>
      </w:r>
      <w:r w:rsidR="00D55E1D" w:rsidRPr="00FC46FF">
        <w:t>For girls, their gender seems to play a more decisive role than their age. B</w:t>
      </w:r>
      <w:r w:rsidR="00F86758" w:rsidRPr="00FC46FF">
        <w:t xml:space="preserve">etween women and girls, </w:t>
      </w:r>
      <w:r w:rsidR="003D0BD6" w:rsidRPr="00FC46FF">
        <w:t>girls</w:t>
      </w:r>
      <w:r w:rsidR="00F86758" w:rsidRPr="00FC46FF">
        <w:t xml:space="preserve"> are </w:t>
      </w:r>
      <w:r w:rsidRPr="00FC46FF">
        <w:t xml:space="preserve">only </w:t>
      </w:r>
      <w:r w:rsidR="00F86758" w:rsidRPr="00FC46FF">
        <w:t xml:space="preserve">slightly </w:t>
      </w:r>
      <w:r w:rsidR="003D0BD6" w:rsidRPr="00FC46FF">
        <w:t>less</w:t>
      </w:r>
      <w:r w:rsidR="00F86758" w:rsidRPr="00FC46FF">
        <w:t xml:space="preserve"> likely than </w:t>
      </w:r>
      <w:r w:rsidR="003D0BD6" w:rsidRPr="00FC46FF">
        <w:t xml:space="preserve">women </w:t>
      </w:r>
      <w:r w:rsidR="00F86758" w:rsidRPr="00FC46FF">
        <w:t>to be trafficked for sexual exploitation (</w:t>
      </w:r>
      <w:r w:rsidR="003D0BD6" w:rsidRPr="00FC46FF">
        <w:t xml:space="preserve">72% for girls </w:t>
      </w:r>
      <w:r w:rsidR="00F86758" w:rsidRPr="00FC46FF">
        <w:t>as compared to</w:t>
      </w:r>
      <w:r w:rsidR="003D0BD6" w:rsidRPr="00FC46FF">
        <w:t xml:space="preserve"> 83% for women</w:t>
      </w:r>
      <w:r w:rsidR="00F86758" w:rsidRPr="00FC46FF">
        <w:t xml:space="preserve">), and </w:t>
      </w:r>
      <w:r w:rsidR="003D0BD6" w:rsidRPr="00FC46FF">
        <w:t>slightly more</w:t>
      </w:r>
      <w:r w:rsidR="00F86758" w:rsidRPr="00FC46FF">
        <w:t xml:space="preserve"> likely to be trafficked for forced labour (</w:t>
      </w:r>
      <w:r w:rsidR="003D0BD6" w:rsidRPr="00FC46FF">
        <w:t xml:space="preserve">21% for girls </w:t>
      </w:r>
      <w:r w:rsidR="00F86758" w:rsidRPr="00FC46FF">
        <w:t>as compared to</w:t>
      </w:r>
      <w:r w:rsidR="003D0BD6" w:rsidRPr="00FC46FF">
        <w:t xml:space="preserve"> 13% for women</w:t>
      </w:r>
      <w:r w:rsidR="00F86758" w:rsidRPr="00FC46FF">
        <w:t>).</w:t>
      </w:r>
      <w:r w:rsidR="00BD6047">
        <w:rPr>
          <w:rStyle w:val="FootnoteReference"/>
        </w:rPr>
        <w:footnoteReference w:id="8"/>
      </w:r>
    </w:p>
    <w:p w14:paraId="49B841BD" w14:textId="0F2D4F29" w:rsidR="00FC46FF" w:rsidRDefault="00F86758" w:rsidP="00FC46FF">
      <w:pPr>
        <w:pStyle w:val="Body"/>
      </w:pPr>
      <w:r w:rsidRPr="00FC46FF">
        <w:t xml:space="preserve">We see, however, </w:t>
      </w:r>
      <w:r w:rsidR="00D55E1D" w:rsidRPr="00FC46FF">
        <w:t>that a child’s gender is a better determinant of</w:t>
      </w:r>
      <w:r w:rsidR="00875FF4">
        <w:t xml:space="preserve"> the</w:t>
      </w:r>
      <w:r w:rsidR="00D55E1D" w:rsidRPr="00FC46FF">
        <w:t xml:space="preserve"> form</w:t>
      </w:r>
      <w:r w:rsidRPr="00FC46FF">
        <w:t xml:space="preserve"> of trafficking</w:t>
      </w:r>
      <w:r w:rsidR="00D55E1D" w:rsidRPr="00FC46FF">
        <w:t xml:space="preserve"> she or he may experience</w:t>
      </w:r>
      <w:r w:rsidRPr="00FC46FF">
        <w:t xml:space="preserve">. For example, girls are approximately three times more likely than boys to </w:t>
      </w:r>
      <w:r w:rsidRPr="00FC46FF">
        <w:lastRenderedPageBreak/>
        <w:t>be trafficked for purposes of sexual exploitation (72% for girls as compared to 27% for boys</w:t>
      </w:r>
      <w:r w:rsidR="00D55E1D" w:rsidRPr="00FC46FF">
        <w:t>)</w:t>
      </w:r>
      <w:r w:rsidRPr="00FC46FF">
        <w:t xml:space="preserve">, and half as likely to be trafficked for forced labour. </w:t>
      </w:r>
    </w:p>
    <w:p w14:paraId="09AEE763" w14:textId="58428EBE" w:rsidR="00315B6B" w:rsidRPr="00FC46FF" w:rsidRDefault="00AF5AB1" w:rsidP="00FC46FF">
      <w:pPr>
        <w:pStyle w:val="Heading2"/>
      </w:pPr>
      <w:r>
        <w:drawing>
          <wp:anchor distT="0" distB="0" distL="114300" distR="114300" simplePos="0" relativeHeight="251684352" behindDoc="0" locked="0" layoutInCell="1" allowOverlap="1" wp14:anchorId="79AC642F" wp14:editId="73987F74">
            <wp:simplePos x="0" y="0"/>
            <wp:positionH relativeFrom="margin">
              <wp:posOffset>0</wp:posOffset>
            </wp:positionH>
            <wp:positionV relativeFrom="paragraph">
              <wp:posOffset>452011</wp:posOffset>
            </wp:positionV>
            <wp:extent cx="3412490" cy="275844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3.png"/>
                    <pic:cNvPicPr/>
                  </pic:nvPicPr>
                  <pic:blipFill>
                    <a:blip r:embed="rId10">
                      <a:extLst>
                        <a:ext uri="{28A0092B-C50C-407E-A947-70E740481C1C}">
                          <a14:useLocalDpi xmlns:a14="http://schemas.microsoft.com/office/drawing/2010/main" val="0"/>
                        </a:ext>
                      </a:extLst>
                    </a:blip>
                    <a:stretch>
                      <a:fillRect/>
                    </a:stretch>
                  </pic:blipFill>
                  <pic:spPr>
                    <a:xfrm>
                      <a:off x="0" y="0"/>
                      <a:ext cx="3412490" cy="2758440"/>
                    </a:xfrm>
                    <a:prstGeom prst="rect">
                      <a:avLst/>
                    </a:prstGeom>
                  </pic:spPr>
                </pic:pic>
              </a:graphicData>
            </a:graphic>
            <wp14:sizeRelH relativeFrom="margin">
              <wp14:pctWidth>0</wp14:pctWidth>
            </wp14:sizeRelH>
            <wp14:sizeRelV relativeFrom="margin">
              <wp14:pctHeight>0</wp14:pctHeight>
            </wp14:sizeRelV>
          </wp:anchor>
        </w:drawing>
      </w:r>
      <w:r w:rsidR="003C3F9F">
        <w:t>Figure 3</w:t>
      </w:r>
      <w:r w:rsidR="00315B6B" w:rsidRPr="00FC46FF">
        <w:t xml:space="preserve">: Age </w:t>
      </w:r>
      <w:r w:rsidR="007C6820" w:rsidRPr="00FC46FF">
        <w:t>vs.</w:t>
      </w:r>
      <w:r w:rsidR="00315B6B" w:rsidRPr="00FC46FF">
        <w:t xml:space="preserve"> gender as determinants of types of exploitation experienced (</w:t>
      </w:r>
      <w:r w:rsidR="00BF5F60" w:rsidRPr="003C3F9F">
        <w:t>2018</w:t>
      </w:r>
      <w:r w:rsidR="003C3F9F">
        <w:t>)</w:t>
      </w:r>
      <w:r w:rsidR="003C3F9F" w:rsidRPr="003C3F9F">
        <w:rPr>
          <w:rStyle w:val="FootnoteReference"/>
          <w:color w:val="E94A36"/>
        </w:rPr>
        <w:footnoteReference w:id="9"/>
      </w:r>
    </w:p>
    <w:p w14:paraId="3838E49C" w14:textId="3F8C8BAC" w:rsidR="005E0B85" w:rsidRDefault="005E0B85" w:rsidP="00F86758">
      <w:pPr>
        <w:pStyle w:val="Body"/>
      </w:pPr>
    </w:p>
    <w:p w14:paraId="358DFBF7" w14:textId="56E4EC7F" w:rsidR="00F86758" w:rsidRPr="00FC46FF" w:rsidRDefault="00D55E1D" w:rsidP="00F86758">
      <w:pPr>
        <w:pStyle w:val="Body"/>
      </w:pPr>
      <w:r w:rsidRPr="00FC46FF">
        <w:t>This being said</w:t>
      </w:r>
      <w:r w:rsidR="00F86758" w:rsidRPr="00FC46FF">
        <w:t>, the gendered differences between the types of exploitation</w:t>
      </w:r>
      <w:r w:rsidR="00315B6B" w:rsidRPr="00FC46FF">
        <w:t xml:space="preserve"> in trafficking</w:t>
      </w:r>
      <w:r w:rsidR="00F86758" w:rsidRPr="00FC46FF">
        <w:t xml:space="preserve"> experienced by girls and boys are less </w:t>
      </w:r>
      <w:r w:rsidR="00477036">
        <w:t>noticeable</w:t>
      </w:r>
      <w:r w:rsidR="00F86758" w:rsidRPr="00FC46FF">
        <w:t xml:space="preserve"> than the differences between adult women and adult men. For example,</w:t>
      </w:r>
      <w:r w:rsidR="00477036">
        <w:t xml:space="preserve"> adult women are approximately eight</w:t>
      </w:r>
      <w:r w:rsidR="00F86758" w:rsidRPr="00FC46FF">
        <w:t xml:space="preserve"> times more likely than men to be trafficked for sexual exploitation, whereas girls are only </w:t>
      </w:r>
      <w:r w:rsidR="00477036">
        <w:t>three</w:t>
      </w:r>
      <w:r w:rsidR="00F86758" w:rsidRPr="00FC46FF">
        <w:t xml:space="preserve"> times more likely than boys to be trafficked for sexual exploitation. Conversely, men are approximately </w:t>
      </w:r>
      <w:r w:rsidR="00477036">
        <w:t>six</w:t>
      </w:r>
      <w:r w:rsidR="00F86758" w:rsidRPr="00FC46FF">
        <w:t xml:space="preserve"> times more likely than women to be trafficked for forced labour, whereas boys are only about twice as likely to be trafficked for forced labour than girls.</w:t>
      </w:r>
      <w:r w:rsidR="003C3F9F">
        <w:rPr>
          <w:rStyle w:val="FootnoteReference"/>
        </w:rPr>
        <w:footnoteReference w:id="10"/>
      </w:r>
    </w:p>
    <w:p w14:paraId="2307F51E" w14:textId="55BFE21A" w:rsidR="00F86758" w:rsidRPr="00FC46FF" w:rsidRDefault="00F86758" w:rsidP="00F86758">
      <w:pPr>
        <w:pStyle w:val="Body"/>
      </w:pPr>
      <w:r w:rsidRPr="00FC46FF">
        <w:t xml:space="preserve">So we see that although gender plays a much more significant role for children than for adults in determining </w:t>
      </w:r>
      <w:r w:rsidRPr="00FC46FF">
        <w:rPr>
          <w:i/>
        </w:rPr>
        <w:t>whether</w:t>
      </w:r>
      <w:r w:rsidRPr="00FC46FF">
        <w:t xml:space="preserve"> they will be trafficked, it plays a less important role in determining the </w:t>
      </w:r>
      <w:r w:rsidRPr="00FC46FF">
        <w:rPr>
          <w:i/>
        </w:rPr>
        <w:lastRenderedPageBreak/>
        <w:t>types</w:t>
      </w:r>
      <w:r w:rsidRPr="00FC46FF">
        <w:t xml:space="preserve"> of trafficking they will experience. That is, there is more convergence between girls and boys in the types of exploitation than for adults.</w:t>
      </w:r>
    </w:p>
    <w:p w14:paraId="03535732" w14:textId="6FA5B3B8" w:rsidR="00F86758" w:rsidRPr="00FC46FF" w:rsidRDefault="00AE3D22" w:rsidP="00F86758">
      <w:pPr>
        <w:pStyle w:val="Body"/>
      </w:pPr>
      <w:r w:rsidRPr="00FC46FF">
        <w:t xml:space="preserve">This is perhaps unsurprising. </w:t>
      </w:r>
      <w:r w:rsidR="00F86758" w:rsidRPr="00FC46FF">
        <w:t xml:space="preserve">As a girl moves through adolescence into young adulthood, she is increasingly viewed as a sexual being and increasingly likely to be trafficked for purposes of sexual exploitation. Similarly, as a boy moves through adolescence and into young adulthood, he is increasingly viewed as a body for physical labour. Here we understand the way in which age plays an important role </w:t>
      </w:r>
      <w:r w:rsidRPr="00FC46FF">
        <w:t xml:space="preserve">in </w:t>
      </w:r>
      <w:r w:rsidR="00F86758" w:rsidRPr="00FC46FF">
        <w:t>solidifying gender roles: as girls and boys move through adolescence, they increasingly enter into the gender-based stereotypes that render them more likely to be trafficked for different purposes.</w:t>
      </w:r>
    </w:p>
    <w:p w14:paraId="285FA8FA" w14:textId="4B52400C" w:rsidR="00AE3D22" w:rsidRPr="00FC46FF" w:rsidRDefault="00D270AE" w:rsidP="0002706A">
      <w:pPr>
        <w:pStyle w:val="Heading1"/>
        <w:rPr>
          <w:lang w:val="en-GB"/>
        </w:rPr>
      </w:pPr>
      <w:r w:rsidRPr="00FC46FF">
        <w:rPr>
          <w:lang w:val="en-GB"/>
        </w:rPr>
        <w:t>Migration of adolescent girls</w:t>
      </w:r>
      <w:r w:rsidR="00E216C7" w:rsidRPr="00E216C7">
        <w:rPr>
          <w:rStyle w:val="FootnoteReference"/>
          <w:color w:val="F08736"/>
          <w:lang w:val="en-GB"/>
        </w:rPr>
        <w:footnoteReference w:id="11"/>
      </w:r>
    </w:p>
    <w:p w14:paraId="2F44BDBB" w14:textId="2438FBE9" w:rsidR="00F86758" w:rsidRPr="00FC46FF" w:rsidRDefault="00D270AE" w:rsidP="0002706A">
      <w:pPr>
        <w:pStyle w:val="Heading3"/>
        <w:rPr>
          <w:lang w:val="en-GB"/>
        </w:rPr>
      </w:pPr>
      <w:r w:rsidRPr="00FC46FF">
        <w:rPr>
          <w:lang w:val="en-GB"/>
        </w:rPr>
        <w:t>A</w:t>
      </w:r>
      <w:r w:rsidR="0002706A" w:rsidRPr="00FC46FF">
        <w:rPr>
          <w:lang w:val="en-GB"/>
        </w:rPr>
        <w:t>dolescent girls</w:t>
      </w:r>
      <w:r w:rsidRPr="00FC46FF">
        <w:rPr>
          <w:lang w:val="en-GB"/>
        </w:rPr>
        <w:t>’ experience of migration</w:t>
      </w:r>
    </w:p>
    <w:p w14:paraId="3275B7B8" w14:textId="153B3CCF" w:rsidR="00FC46FF" w:rsidRDefault="00D270AE" w:rsidP="00FC46FF">
      <w:pPr>
        <w:pStyle w:val="Subtitle"/>
      </w:pPr>
      <w:r w:rsidRPr="00FC46FF">
        <w:t>Scale</w:t>
      </w:r>
    </w:p>
    <w:p w14:paraId="08081CCB" w14:textId="491C7FE1" w:rsidR="00092071" w:rsidRDefault="00154F8C" w:rsidP="00092071">
      <w:pPr>
        <w:pStyle w:val="Body"/>
      </w:pPr>
      <w:r w:rsidRPr="00154F8C">
        <w:t xml:space="preserve">Women and girls </w:t>
      </w:r>
      <w:r>
        <w:t>account for around</w:t>
      </w:r>
      <w:r w:rsidRPr="00154F8C">
        <w:t xml:space="preserve"> 49</w:t>
      </w:r>
      <w:r>
        <w:t>%</w:t>
      </w:r>
      <w:r w:rsidRPr="00154F8C">
        <w:t xml:space="preserve"> </w:t>
      </w:r>
      <w:r>
        <w:t>percent of the world’s migrants, but it is difficult to estimate how many</w:t>
      </w:r>
      <w:r w:rsidR="00D44C94">
        <w:t xml:space="preserve"> of these are adolescent girls. A</w:t>
      </w:r>
      <w:r w:rsidRPr="00154F8C">
        <w:t>lthough data</w:t>
      </w:r>
      <w:r>
        <w:t xml:space="preserve"> collection</w:t>
      </w:r>
      <w:r w:rsidRPr="00154F8C">
        <w:t xml:space="preserve"> </w:t>
      </w:r>
      <w:r>
        <w:t>has</w:t>
      </w:r>
      <w:r w:rsidRPr="00154F8C">
        <w:t xml:space="preserve"> improved in the past decades, sex and age disaggregated information is often missing in migration data sets and analyses.</w:t>
      </w:r>
      <w:r w:rsidR="00BD6047">
        <w:rPr>
          <w:rStyle w:val="FootnoteReference"/>
        </w:rPr>
        <w:footnoteReference w:id="12"/>
      </w:r>
      <w:r w:rsidR="003C3F9F" w:rsidRPr="003C3F9F">
        <w:rPr>
          <w:vertAlign w:val="superscript"/>
        </w:rPr>
        <w:t>,</w:t>
      </w:r>
      <w:r w:rsidR="00B91D95">
        <w:t xml:space="preserve"> </w:t>
      </w:r>
      <w:r w:rsidR="003C3F9F">
        <w:rPr>
          <w:rStyle w:val="FootnoteReference"/>
        </w:rPr>
        <w:footnoteReference w:id="13"/>
      </w:r>
      <w:r w:rsidRPr="00154F8C">
        <w:t xml:space="preserve"> </w:t>
      </w:r>
      <w:r>
        <w:t>But the e</w:t>
      </w:r>
      <w:r w:rsidR="00D270AE" w:rsidRPr="00FC46FF">
        <w:t xml:space="preserve">vidence </w:t>
      </w:r>
      <w:r>
        <w:t xml:space="preserve">does indicate a few patterns: 1) </w:t>
      </w:r>
      <w:r w:rsidR="00D270AE" w:rsidRPr="00FC46FF">
        <w:t>more adolescent girls age 15-19 are migrating to urban</w:t>
      </w:r>
      <w:r>
        <w:t xml:space="preserve"> settings than adolescent boys; 2) </w:t>
      </w:r>
      <w:r w:rsidR="00D44C94">
        <w:t xml:space="preserve">adolescent girl migrants are often from poor but not </w:t>
      </w:r>
      <w:r w:rsidR="00D44C94" w:rsidRPr="00D44C94">
        <w:rPr>
          <w:i/>
        </w:rPr>
        <w:t>very</w:t>
      </w:r>
      <w:r w:rsidR="002A01DF">
        <w:t xml:space="preserve"> poor families.</w:t>
      </w:r>
      <w:r w:rsidR="002A01DF">
        <w:rPr>
          <w:rStyle w:val="FootnoteReference"/>
        </w:rPr>
        <w:footnoteReference w:id="14"/>
      </w:r>
    </w:p>
    <w:p w14:paraId="2F91E7ED" w14:textId="12562CE8" w:rsidR="00E216C7" w:rsidRDefault="00E216C7" w:rsidP="00E216C7">
      <w:pPr>
        <w:pStyle w:val="Body"/>
      </w:pPr>
      <w:r>
        <w:lastRenderedPageBreak/>
        <w:t>In terms of forced displacement, it is estimated that around half of the total number of refugees are women and girls.</w:t>
      </w:r>
      <w:r>
        <w:rPr>
          <w:rStyle w:val="FootnoteReference"/>
        </w:rPr>
        <w:footnoteReference w:id="15"/>
      </w:r>
      <w:r>
        <w:t xml:space="preserve"> Many forcibly displaced persons crossing international borders undertake journeys in multiple stages, although this varies by age and gender. Among </w:t>
      </w:r>
      <w:r w:rsidR="00337355">
        <w:t>unaccompanied and separated children (UASC)</w:t>
      </w:r>
      <w:r>
        <w:t>, for example, those remaining in the first country of asylum include a significant number of girls and children younger than 14.</w:t>
      </w:r>
      <w:r w:rsidR="00337355">
        <w:rPr>
          <w:rStyle w:val="FootnoteReference"/>
        </w:rPr>
        <w:footnoteReference w:id="16"/>
      </w:r>
      <w:r w:rsidR="00337355">
        <w:t xml:space="preserve"> </w:t>
      </w:r>
      <w:r>
        <w:t>In contrast, the majority of those who move onwards to claim asylum, including to industrialised countries, are older boys.</w:t>
      </w:r>
      <w:r w:rsidR="00337355">
        <w:rPr>
          <w:rStyle w:val="FootnoteReference"/>
        </w:rPr>
        <w:footnoteReference w:id="17"/>
      </w:r>
    </w:p>
    <w:p w14:paraId="6155D86F" w14:textId="1A222857" w:rsidR="00D270AE" w:rsidRPr="00FC46FF" w:rsidRDefault="00A55812" w:rsidP="00FC46FF">
      <w:pPr>
        <w:pStyle w:val="Subtitle"/>
      </w:pPr>
      <w:r>
        <w:t>Motivations</w:t>
      </w:r>
    </w:p>
    <w:p w14:paraId="6B32BD13" w14:textId="5600CA16" w:rsidR="003475C8" w:rsidRDefault="003475C8" w:rsidP="003475C8">
      <w:pPr>
        <w:spacing w:before="160" w:after="160"/>
        <w:jc w:val="both"/>
        <w:rPr>
          <w:rFonts w:ascii="Open Sans" w:hAnsi="Open Sans" w:cs="Open Sans"/>
          <w:color w:val="575756"/>
          <w:sz w:val="20"/>
        </w:rPr>
      </w:pPr>
      <w:r>
        <w:rPr>
          <w:rFonts w:ascii="Open Sans" w:hAnsi="Open Sans" w:cs="Open Sans"/>
          <w:color w:val="575756"/>
          <w:sz w:val="20"/>
        </w:rPr>
        <w:t>In addition to the scale of migration, adolescent girls seem to migrate for different reasons than their male counterparts.</w:t>
      </w:r>
    </w:p>
    <w:p w14:paraId="02B750A9" w14:textId="2E67D922" w:rsidR="00D270AE" w:rsidRPr="00384728" w:rsidRDefault="00A10292" w:rsidP="0043569A">
      <w:pPr>
        <w:pStyle w:val="ListParagraph"/>
        <w:numPr>
          <w:ilvl w:val="0"/>
          <w:numId w:val="7"/>
        </w:numPr>
        <w:spacing w:before="160" w:after="160"/>
        <w:jc w:val="both"/>
        <w:rPr>
          <w:rFonts w:ascii="Open Sans" w:hAnsi="Open Sans" w:cs="Open Sans"/>
          <w:color w:val="575756"/>
          <w:sz w:val="20"/>
          <w:lang w:val="en-GB"/>
        </w:rPr>
      </w:pPr>
      <w:r w:rsidRPr="00676992">
        <w:rPr>
          <w:rFonts w:ascii="Open Sans" w:hAnsi="Open Sans" w:cs="Open Sans"/>
          <w:b/>
          <w:color w:val="575756"/>
          <w:sz w:val="20"/>
        </w:rPr>
        <w:t>More opportunities:</w:t>
      </w:r>
      <w:r w:rsidRPr="00384728">
        <w:rPr>
          <w:rFonts w:ascii="Open Sans" w:hAnsi="Open Sans" w:cs="Open Sans"/>
          <w:color w:val="575756"/>
          <w:sz w:val="20"/>
        </w:rPr>
        <w:t xml:space="preserve"> Although </w:t>
      </w:r>
      <w:r w:rsidR="00ED2839">
        <w:rPr>
          <w:rFonts w:ascii="Open Sans" w:hAnsi="Open Sans" w:cs="Open Sans"/>
          <w:color w:val="575756"/>
          <w:sz w:val="20"/>
        </w:rPr>
        <w:t xml:space="preserve">many </w:t>
      </w:r>
      <w:r w:rsidRPr="00384728">
        <w:rPr>
          <w:rFonts w:ascii="Open Sans" w:hAnsi="Open Sans" w:cs="Open Sans"/>
          <w:color w:val="575756"/>
          <w:sz w:val="20"/>
        </w:rPr>
        <w:t xml:space="preserve">adolescent girls </w:t>
      </w:r>
      <w:r w:rsidR="00ED2839">
        <w:rPr>
          <w:rFonts w:ascii="Open Sans" w:hAnsi="Open Sans" w:cs="Open Sans"/>
          <w:color w:val="575756"/>
          <w:sz w:val="20"/>
        </w:rPr>
        <w:t xml:space="preserve">do migrate for the purposes of education, it seems that they do so less than adolescent boys. </w:t>
      </w:r>
      <w:r w:rsidR="00D270AE" w:rsidRPr="00384728">
        <w:rPr>
          <w:rFonts w:ascii="Open Sans" w:hAnsi="Open Sans" w:cs="Open Sans"/>
          <w:color w:val="575756"/>
          <w:sz w:val="20"/>
          <w:lang w:val="en-GB"/>
        </w:rPr>
        <w:t>Work</w:t>
      </w:r>
      <w:r w:rsidR="00ED2839">
        <w:rPr>
          <w:rFonts w:ascii="Open Sans" w:hAnsi="Open Sans" w:cs="Open Sans"/>
          <w:color w:val="575756"/>
          <w:sz w:val="20"/>
          <w:lang w:val="en-GB"/>
        </w:rPr>
        <w:t>, however, is a primary reason for girls to migrate.</w:t>
      </w:r>
      <w:r w:rsidR="00BD6047">
        <w:rPr>
          <w:rStyle w:val="FootnoteReference"/>
          <w:rFonts w:ascii="Open Sans" w:hAnsi="Open Sans" w:cs="Open Sans"/>
          <w:sz w:val="20"/>
          <w:lang w:val="en-GB"/>
        </w:rPr>
        <w:footnoteReference w:id="18"/>
      </w:r>
    </w:p>
    <w:p w14:paraId="17308442" w14:textId="7028AE29" w:rsidR="00A10292" w:rsidRDefault="00A10292" w:rsidP="00A10292">
      <w:pPr>
        <w:pStyle w:val="ListParagraph"/>
        <w:numPr>
          <w:ilvl w:val="0"/>
          <w:numId w:val="7"/>
        </w:numPr>
        <w:spacing w:before="160" w:after="160"/>
        <w:jc w:val="both"/>
        <w:rPr>
          <w:rFonts w:ascii="Open Sans" w:hAnsi="Open Sans" w:cs="Open Sans"/>
          <w:color w:val="575756"/>
          <w:sz w:val="20"/>
          <w:lang w:val="en-GB"/>
        </w:rPr>
      </w:pPr>
      <w:r w:rsidRPr="00676992">
        <w:rPr>
          <w:rFonts w:ascii="Open Sans" w:hAnsi="Open Sans" w:cs="Open Sans"/>
          <w:b/>
          <w:color w:val="575756"/>
          <w:sz w:val="20"/>
          <w:lang w:val="en-GB"/>
        </w:rPr>
        <w:t>Family duties:</w:t>
      </w:r>
      <w:r w:rsidRPr="00FC46FF">
        <w:rPr>
          <w:rFonts w:ascii="Open Sans" w:hAnsi="Open Sans" w:cs="Open Sans"/>
          <w:color w:val="575756"/>
          <w:sz w:val="20"/>
          <w:lang w:val="en-GB"/>
        </w:rPr>
        <w:t xml:space="preserve"> </w:t>
      </w:r>
      <w:r w:rsidR="00ED2839">
        <w:rPr>
          <w:rFonts w:ascii="Open Sans" w:hAnsi="Open Sans" w:cs="Open Sans"/>
          <w:color w:val="575756"/>
          <w:sz w:val="20"/>
          <w:lang w:val="en-GB"/>
        </w:rPr>
        <w:t xml:space="preserve">Some girls migrate in order to provide </w:t>
      </w:r>
      <w:r w:rsidRPr="00FC46FF">
        <w:rPr>
          <w:rFonts w:ascii="Open Sans" w:hAnsi="Open Sans" w:cs="Open Sans"/>
          <w:color w:val="575756"/>
          <w:sz w:val="20"/>
          <w:lang w:val="en-GB"/>
        </w:rPr>
        <w:t>for the</w:t>
      </w:r>
      <w:r w:rsidR="00ED2839">
        <w:rPr>
          <w:rFonts w:ascii="Open Sans" w:hAnsi="Open Sans" w:cs="Open Sans"/>
          <w:color w:val="575756"/>
          <w:sz w:val="20"/>
          <w:lang w:val="en-GB"/>
        </w:rPr>
        <w:t>ir</w:t>
      </w:r>
      <w:r w:rsidRPr="00FC46FF">
        <w:rPr>
          <w:rFonts w:ascii="Open Sans" w:hAnsi="Open Sans" w:cs="Open Sans"/>
          <w:color w:val="575756"/>
          <w:sz w:val="20"/>
          <w:lang w:val="en-GB"/>
        </w:rPr>
        <w:t xml:space="preserve"> family</w:t>
      </w:r>
      <w:r w:rsidR="00ED2839">
        <w:rPr>
          <w:rFonts w:ascii="Open Sans" w:hAnsi="Open Sans" w:cs="Open Sans"/>
          <w:color w:val="575756"/>
          <w:sz w:val="20"/>
          <w:lang w:val="en-GB"/>
        </w:rPr>
        <w:t xml:space="preserve">, whether by their own choice or because of pressure from family members. It is also not uncommon for girls to migrant for family </w:t>
      </w:r>
      <w:r w:rsidRPr="00FC46FF">
        <w:rPr>
          <w:rFonts w:ascii="Open Sans" w:hAnsi="Open Sans" w:cs="Open Sans"/>
          <w:color w:val="575756"/>
          <w:sz w:val="20"/>
          <w:lang w:val="en-GB"/>
        </w:rPr>
        <w:t xml:space="preserve">care </w:t>
      </w:r>
      <w:r w:rsidR="00ED2839">
        <w:rPr>
          <w:rFonts w:ascii="Open Sans" w:hAnsi="Open Sans" w:cs="Open Sans"/>
          <w:color w:val="575756"/>
          <w:sz w:val="20"/>
          <w:lang w:val="en-GB"/>
        </w:rPr>
        <w:t xml:space="preserve">work </w:t>
      </w:r>
      <w:r w:rsidRPr="00FC46FF">
        <w:rPr>
          <w:rFonts w:ascii="Open Sans" w:hAnsi="Open Sans" w:cs="Open Sans"/>
          <w:color w:val="575756"/>
          <w:sz w:val="20"/>
          <w:lang w:val="en-GB"/>
        </w:rPr>
        <w:t>(to care for sick or elderly family members</w:t>
      </w:r>
      <w:r w:rsidR="00ED2839">
        <w:rPr>
          <w:rFonts w:ascii="Open Sans" w:hAnsi="Open Sans" w:cs="Open Sans"/>
          <w:color w:val="575756"/>
          <w:sz w:val="20"/>
          <w:lang w:val="en-GB"/>
        </w:rPr>
        <w:t xml:space="preserve"> in order villages or cities, for example</w:t>
      </w:r>
      <w:r w:rsidRPr="00FC46FF">
        <w:rPr>
          <w:rFonts w:ascii="Open Sans" w:hAnsi="Open Sans" w:cs="Open Sans"/>
          <w:color w:val="575756"/>
          <w:sz w:val="20"/>
          <w:lang w:val="en-GB"/>
        </w:rPr>
        <w:t>)</w:t>
      </w:r>
      <w:r w:rsidR="00ED2839">
        <w:rPr>
          <w:rFonts w:ascii="Open Sans" w:hAnsi="Open Sans" w:cs="Open Sans"/>
          <w:color w:val="575756"/>
          <w:sz w:val="20"/>
          <w:lang w:val="en-GB"/>
        </w:rPr>
        <w:t>.</w:t>
      </w:r>
      <w:r w:rsidR="00BD6047">
        <w:rPr>
          <w:rStyle w:val="FootnoteReference"/>
          <w:rFonts w:ascii="Open Sans" w:hAnsi="Open Sans" w:cs="Open Sans"/>
          <w:sz w:val="20"/>
          <w:lang w:val="en-GB"/>
        </w:rPr>
        <w:footnoteReference w:id="19"/>
      </w:r>
    </w:p>
    <w:p w14:paraId="7E866B7F" w14:textId="28A9DCC2" w:rsidR="00384728" w:rsidRPr="00FC46FF" w:rsidRDefault="00384728" w:rsidP="00A10292">
      <w:pPr>
        <w:pStyle w:val="ListParagraph"/>
        <w:numPr>
          <w:ilvl w:val="0"/>
          <w:numId w:val="7"/>
        </w:numPr>
        <w:spacing w:before="160" w:after="160"/>
        <w:jc w:val="both"/>
        <w:rPr>
          <w:rFonts w:ascii="Open Sans" w:hAnsi="Open Sans" w:cs="Open Sans"/>
          <w:color w:val="575756"/>
          <w:sz w:val="20"/>
          <w:lang w:val="en-GB"/>
        </w:rPr>
      </w:pPr>
      <w:r w:rsidRPr="00676992">
        <w:rPr>
          <w:rFonts w:ascii="Open Sans" w:hAnsi="Open Sans" w:cs="Open Sans"/>
          <w:b/>
          <w:color w:val="575756"/>
          <w:sz w:val="20"/>
          <w:lang w:val="en-GB"/>
        </w:rPr>
        <w:lastRenderedPageBreak/>
        <w:t>Marriage:</w:t>
      </w:r>
      <w:r>
        <w:rPr>
          <w:rFonts w:ascii="Open Sans" w:hAnsi="Open Sans" w:cs="Open Sans"/>
          <w:color w:val="575756"/>
          <w:sz w:val="20"/>
          <w:lang w:val="en-GB"/>
        </w:rPr>
        <w:t xml:space="preserve"> Understandably, far more adolescent girls </w:t>
      </w:r>
      <w:r w:rsidR="00ED2839">
        <w:rPr>
          <w:rFonts w:ascii="Open Sans" w:hAnsi="Open Sans" w:cs="Open Sans"/>
          <w:color w:val="575756"/>
          <w:sz w:val="20"/>
          <w:lang w:val="en-GB"/>
        </w:rPr>
        <w:t xml:space="preserve">than boys </w:t>
      </w:r>
      <w:r>
        <w:rPr>
          <w:rFonts w:ascii="Open Sans" w:hAnsi="Open Sans" w:cs="Open Sans"/>
          <w:color w:val="575756"/>
          <w:sz w:val="20"/>
          <w:lang w:val="en-GB"/>
        </w:rPr>
        <w:t xml:space="preserve">cite marriage as the primary reason for migration, and in some settings, marriage is </w:t>
      </w:r>
      <w:r w:rsidR="003C3F9F">
        <w:rPr>
          <w:rFonts w:ascii="Open Sans" w:hAnsi="Open Sans" w:cs="Open Sans"/>
          <w:color w:val="575756"/>
          <w:sz w:val="20"/>
          <w:lang w:val="en-GB"/>
        </w:rPr>
        <w:t>the main reason girls migrate.</w:t>
      </w:r>
      <w:r w:rsidR="00BD6047">
        <w:rPr>
          <w:rStyle w:val="FootnoteReference"/>
          <w:rFonts w:ascii="Open Sans" w:hAnsi="Open Sans" w:cs="Open Sans"/>
          <w:sz w:val="20"/>
          <w:lang w:val="en-GB"/>
        </w:rPr>
        <w:footnoteReference w:id="20"/>
      </w:r>
    </w:p>
    <w:p w14:paraId="4D9E0915" w14:textId="6D7E520F" w:rsidR="00D270AE" w:rsidRPr="003475C8" w:rsidRDefault="003475C8" w:rsidP="003475C8">
      <w:pPr>
        <w:pStyle w:val="ListParagraph"/>
        <w:numPr>
          <w:ilvl w:val="0"/>
          <w:numId w:val="7"/>
        </w:numPr>
        <w:spacing w:before="160" w:after="160"/>
        <w:jc w:val="both"/>
        <w:rPr>
          <w:rFonts w:ascii="Open Sans" w:hAnsi="Open Sans" w:cs="Open Sans"/>
          <w:color w:val="575756"/>
          <w:sz w:val="20"/>
          <w:lang w:val="en-GB"/>
        </w:rPr>
      </w:pPr>
      <w:r w:rsidRPr="00676992">
        <w:rPr>
          <w:rFonts w:ascii="Open Sans" w:hAnsi="Open Sans" w:cs="Open Sans"/>
          <w:b/>
          <w:color w:val="575756"/>
          <w:sz w:val="20"/>
          <w:lang w:val="en-GB"/>
        </w:rPr>
        <w:t>Escaping gender-based discrimination:</w:t>
      </w:r>
      <w:r>
        <w:rPr>
          <w:rFonts w:ascii="Open Sans" w:hAnsi="Open Sans" w:cs="Open Sans"/>
          <w:color w:val="575756"/>
          <w:sz w:val="20"/>
          <w:lang w:val="en-GB"/>
        </w:rPr>
        <w:t xml:space="preserve"> Some adolescent girls report choosing to migrate away from their families and communities in order to escape gender-based discrimination and restrictions. For example, some girls choose to move in order to have more freedom in their sexuality, </w:t>
      </w:r>
      <w:r w:rsidR="00A10292">
        <w:rPr>
          <w:rFonts w:ascii="Open Sans" w:hAnsi="Open Sans" w:cs="Open Sans"/>
          <w:color w:val="575756"/>
          <w:sz w:val="20"/>
          <w:lang w:val="en-GB"/>
        </w:rPr>
        <w:t xml:space="preserve">to have </w:t>
      </w:r>
      <w:r w:rsidRPr="00FC46FF">
        <w:rPr>
          <w:rFonts w:ascii="Open Sans" w:hAnsi="Open Sans" w:cs="Open Sans"/>
          <w:color w:val="575756"/>
          <w:sz w:val="20"/>
          <w:lang w:val="en-GB"/>
        </w:rPr>
        <w:t xml:space="preserve">sexual and/or romantic partners without </w:t>
      </w:r>
      <w:r w:rsidR="00A10292">
        <w:rPr>
          <w:rFonts w:ascii="Open Sans" w:hAnsi="Open Sans" w:cs="Open Sans"/>
          <w:color w:val="575756"/>
          <w:sz w:val="20"/>
          <w:lang w:val="en-GB"/>
        </w:rPr>
        <w:t xml:space="preserve">the </w:t>
      </w:r>
      <w:r w:rsidRPr="00FC46FF">
        <w:rPr>
          <w:rFonts w:ascii="Open Sans" w:hAnsi="Open Sans" w:cs="Open Sans"/>
          <w:color w:val="575756"/>
          <w:sz w:val="20"/>
          <w:lang w:val="en-GB"/>
        </w:rPr>
        <w:t xml:space="preserve">knowledge or judgment of </w:t>
      </w:r>
      <w:r w:rsidR="00A10292">
        <w:rPr>
          <w:rFonts w:ascii="Open Sans" w:hAnsi="Open Sans" w:cs="Open Sans"/>
          <w:color w:val="575756"/>
          <w:sz w:val="20"/>
          <w:lang w:val="en-GB"/>
        </w:rPr>
        <w:t xml:space="preserve">their </w:t>
      </w:r>
      <w:r w:rsidRPr="00FC46FF">
        <w:rPr>
          <w:rFonts w:ascii="Open Sans" w:hAnsi="Open Sans" w:cs="Open Sans"/>
          <w:color w:val="575756"/>
          <w:sz w:val="20"/>
          <w:lang w:val="en-GB"/>
        </w:rPr>
        <w:t>family or community</w:t>
      </w:r>
      <w:r w:rsidR="00A10292">
        <w:rPr>
          <w:rFonts w:ascii="Open Sans" w:hAnsi="Open Sans" w:cs="Open Sans"/>
          <w:color w:val="575756"/>
          <w:sz w:val="20"/>
          <w:lang w:val="en-GB"/>
        </w:rPr>
        <w:t>. Other girls report simply wanting to have more freedom than their families allowed them to have, and do so by moving to cities or abroad.</w:t>
      </w:r>
      <w:r w:rsidR="00BD6047">
        <w:rPr>
          <w:rStyle w:val="FootnoteReference"/>
          <w:rFonts w:ascii="Open Sans" w:hAnsi="Open Sans" w:cs="Open Sans"/>
          <w:sz w:val="20"/>
          <w:lang w:val="en-GB"/>
        </w:rPr>
        <w:footnoteReference w:id="21"/>
      </w:r>
    </w:p>
    <w:p w14:paraId="1C342581" w14:textId="525C9004" w:rsidR="00A10292" w:rsidRPr="00FC46FF" w:rsidRDefault="00A10292" w:rsidP="00A10292">
      <w:pPr>
        <w:pStyle w:val="ListParagraph"/>
        <w:numPr>
          <w:ilvl w:val="0"/>
          <w:numId w:val="7"/>
        </w:numPr>
        <w:spacing w:before="160" w:after="160"/>
        <w:jc w:val="both"/>
        <w:rPr>
          <w:rFonts w:ascii="Open Sans" w:hAnsi="Open Sans" w:cs="Open Sans"/>
          <w:color w:val="575756"/>
          <w:sz w:val="20"/>
          <w:lang w:val="en-GB"/>
        </w:rPr>
      </w:pPr>
      <w:r w:rsidRPr="00676992">
        <w:rPr>
          <w:rFonts w:ascii="Open Sans" w:hAnsi="Open Sans" w:cs="Open Sans"/>
          <w:b/>
          <w:color w:val="575756"/>
          <w:sz w:val="20"/>
          <w:lang w:val="en-GB"/>
        </w:rPr>
        <w:t>Escaping gender-based violence:</w:t>
      </w:r>
      <w:r>
        <w:rPr>
          <w:rFonts w:ascii="Open Sans" w:hAnsi="Open Sans" w:cs="Open Sans"/>
          <w:color w:val="575756"/>
          <w:sz w:val="20"/>
          <w:lang w:val="en-GB"/>
        </w:rPr>
        <w:t xml:space="preserve"> Adolescent girls report migrating in order to e</w:t>
      </w:r>
      <w:r w:rsidRPr="00FC46FF">
        <w:rPr>
          <w:rFonts w:ascii="Open Sans" w:hAnsi="Open Sans" w:cs="Open Sans"/>
          <w:color w:val="575756"/>
          <w:sz w:val="20"/>
          <w:lang w:val="en-GB"/>
        </w:rPr>
        <w:t>scape from violence</w:t>
      </w:r>
      <w:r>
        <w:rPr>
          <w:rFonts w:ascii="Open Sans" w:hAnsi="Open Sans" w:cs="Open Sans"/>
          <w:color w:val="575756"/>
          <w:sz w:val="20"/>
          <w:lang w:val="en-GB"/>
        </w:rPr>
        <w:t xml:space="preserve"> or </w:t>
      </w:r>
      <w:r w:rsidRPr="00FC46FF">
        <w:rPr>
          <w:rFonts w:ascii="Open Sans" w:hAnsi="Open Sans" w:cs="Open Sans"/>
          <w:color w:val="575756"/>
          <w:sz w:val="20"/>
          <w:lang w:val="en-GB"/>
        </w:rPr>
        <w:t>harmful traditional practices</w:t>
      </w:r>
      <w:r>
        <w:rPr>
          <w:rFonts w:ascii="Open Sans" w:hAnsi="Open Sans" w:cs="Open Sans"/>
          <w:color w:val="575756"/>
          <w:sz w:val="20"/>
          <w:lang w:val="en-GB"/>
        </w:rPr>
        <w:t>.</w:t>
      </w:r>
    </w:p>
    <w:p w14:paraId="5CF45B5C" w14:textId="4B1AA672" w:rsidR="00D270AE" w:rsidRPr="00FC46FF" w:rsidRDefault="00D270AE" w:rsidP="00D270AE">
      <w:pPr>
        <w:pStyle w:val="Heading3"/>
        <w:rPr>
          <w:lang w:val="en-GB"/>
        </w:rPr>
      </w:pPr>
      <w:r w:rsidRPr="00FC46FF">
        <w:rPr>
          <w:lang w:val="en-GB"/>
        </w:rPr>
        <w:t xml:space="preserve">Migration of young adolescent girls </w:t>
      </w:r>
    </w:p>
    <w:p w14:paraId="6DA4C7BE" w14:textId="242577FA" w:rsidR="00F86758" w:rsidRPr="00FC46FF" w:rsidRDefault="00DD6C06" w:rsidP="00DD6C06">
      <w:pPr>
        <w:spacing w:before="160" w:after="160"/>
        <w:jc w:val="both"/>
        <w:rPr>
          <w:rFonts w:ascii="Open Sans" w:hAnsi="Open Sans" w:cs="Open Sans"/>
          <w:color w:val="575756"/>
          <w:sz w:val="20"/>
        </w:rPr>
      </w:pPr>
      <w:r>
        <w:rPr>
          <w:rFonts w:ascii="Open Sans" w:hAnsi="Open Sans" w:cs="Open Sans"/>
          <w:color w:val="575756"/>
          <w:sz w:val="20"/>
        </w:rPr>
        <w:t>It is of utmost importance to flag, in any discussion of migration and trafficking of adolescent girls that data for the youngest cohort of adolescent girls is missing. One study</w:t>
      </w:r>
      <w:r w:rsidR="00D270AE" w:rsidRPr="00DD6C06">
        <w:rPr>
          <w:rFonts w:ascii="Open Sans" w:hAnsi="Open Sans" w:cs="Open Sans"/>
          <w:color w:val="575756"/>
          <w:sz w:val="20"/>
        </w:rPr>
        <w:t xml:space="preserve"> </w:t>
      </w:r>
      <w:r>
        <w:rPr>
          <w:rFonts w:ascii="Open Sans" w:hAnsi="Open Sans" w:cs="Open Sans"/>
          <w:color w:val="575756"/>
          <w:sz w:val="20"/>
        </w:rPr>
        <w:t>con</w:t>
      </w:r>
      <w:r w:rsidR="00BD6047">
        <w:rPr>
          <w:rFonts w:ascii="Open Sans" w:hAnsi="Open Sans" w:cs="Open Sans"/>
          <w:color w:val="575756"/>
          <w:sz w:val="20"/>
        </w:rPr>
        <w:t>ducted in Uganda</w:t>
      </w:r>
      <w:r w:rsidR="00BD6047">
        <w:rPr>
          <w:rStyle w:val="FootnoteReference"/>
          <w:rFonts w:ascii="Open Sans" w:hAnsi="Open Sans" w:cs="Open Sans"/>
          <w:sz w:val="20"/>
        </w:rPr>
        <w:footnoteReference w:id="22"/>
      </w:r>
      <w:r w:rsidR="00BD6047">
        <w:rPr>
          <w:rFonts w:ascii="Open Sans" w:hAnsi="Open Sans" w:cs="Open Sans"/>
          <w:color w:val="575756"/>
          <w:sz w:val="20"/>
        </w:rPr>
        <w:t xml:space="preserve"> indicated that</w:t>
      </w:r>
      <w:r w:rsidR="00F86758" w:rsidRPr="00DD6C06">
        <w:rPr>
          <w:rFonts w:ascii="Open Sans" w:hAnsi="Open Sans" w:cs="Open Sans"/>
          <w:color w:val="575756"/>
          <w:sz w:val="20"/>
        </w:rPr>
        <w:t xml:space="preserve"> </w:t>
      </w:r>
      <w:r w:rsidR="00E216C7">
        <w:rPr>
          <w:rFonts w:ascii="Open Sans" w:hAnsi="Open Sans" w:cs="Open Sans"/>
          <w:color w:val="575756"/>
          <w:sz w:val="20"/>
        </w:rPr>
        <w:t xml:space="preserve">55% of </w:t>
      </w:r>
      <w:r>
        <w:rPr>
          <w:rFonts w:ascii="Open Sans" w:hAnsi="Open Sans" w:cs="Open Sans"/>
          <w:color w:val="575756"/>
          <w:sz w:val="20"/>
        </w:rPr>
        <w:t xml:space="preserve">adolescent girls </w:t>
      </w:r>
      <w:r w:rsidR="00E216C7">
        <w:rPr>
          <w:rFonts w:ascii="Open Sans" w:hAnsi="Open Sans" w:cs="Open Sans"/>
          <w:color w:val="575756"/>
          <w:sz w:val="20"/>
        </w:rPr>
        <w:t xml:space="preserve">who were </w:t>
      </w:r>
      <w:r>
        <w:rPr>
          <w:rFonts w:ascii="Open Sans" w:hAnsi="Open Sans" w:cs="Open Sans"/>
          <w:color w:val="575756"/>
          <w:sz w:val="20"/>
        </w:rPr>
        <w:t xml:space="preserve">trafficked became victims age 14 or younger. </w:t>
      </w:r>
      <w:r w:rsidR="00E216C7">
        <w:rPr>
          <w:rFonts w:ascii="Open Sans" w:hAnsi="Open Sans" w:cs="Open Sans"/>
          <w:color w:val="575756"/>
          <w:sz w:val="20"/>
        </w:rPr>
        <w:t>However, m</w:t>
      </w:r>
      <w:r w:rsidR="00F86758" w:rsidRPr="00FC46FF">
        <w:rPr>
          <w:rFonts w:ascii="Open Sans" w:hAnsi="Open Sans" w:cs="Open Sans"/>
          <w:color w:val="575756"/>
          <w:sz w:val="20"/>
        </w:rPr>
        <w:t>ost demographic surveys do not interview females under age 15, leaving a gap in knowledge about the risks and benefits facing young migrants.</w:t>
      </w:r>
      <w:r w:rsidR="00BD6047">
        <w:rPr>
          <w:rStyle w:val="FootnoteReference"/>
          <w:rFonts w:ascii="Open Sans" w:hAnsi="Open Sans" w:cs="Open Sans"/>
          <w:sz w:val="20"/>
        </w:rPr>
        <w:footnoteReference w:id="23"/>
      </w:r>
      <w:r w:rsidR="00E216C7">
        <w:rPr>
          <w:rFonts w:ascii="Open Sans" w:hAnsi="Open Sans" w:cs="Open Sans"/>
          <w:color w:val="575756"/>
          <w:sz w:val="20"/>
        </w:rPr>
        <w:tab/>
      </w:r>
    </w:p>
    <w:p w14:paraId="72949079" w14:textId="77777777" w:rsidR="00D270AE" w:rsidRPr="00FC46FF" w:rsidRDefault="00D270AE" w:rsidP="00D270AE">
      <w:pPr>
        <w:pStyle w:val="Heading3"/>
        <w:rPr>
          <w:lang w:val="en-GB"/>
        </w:rPr>
      </w:pPr>
      <w:r w:rsidRPr="00FC46FF">
        <w:rPr>
          <w:lang w:val="en-GB"/>
        </w:rPr>
        <w:t>Girls’ agency in migration</w:t>
      </w:r>
    </w:p>
    <w:p w14:paraId="48776D83" w14:textId="2FFCA8D0" w:rsidR="00D270AE" w:rsidRPr="00FC46FF" w:rsidRDefault="00D270AE" w:rsidP="00D270AE">
      <w:pPr>
        <w:spacing w:before="160" w:after="160"/>
        <w:jc w:val="both"/>
        <w:rPr>
          <w:rFonts w:ascii="Open Sans" w:hAnsi="Open Sans" w:cs="Open Sans"/>
          <w:color w:val="575756"/>
          <w:sz w:val="20"/>
        </w:rPr>
      </w:pPr>
      <w:r w:rsidRPr="00FC46FF">
        <w:rPr>
          <w:rFonts w:ascii="Open Sans" w:hAnsi="Open Sans" w:cs="Open Sans"/>
          <w:color w:val="575756"/>
          <w:sz w:val="20"/>
        </w:rPr>
        <w:t xml:space="preserve">Traditionally, girls’ migration has been conflated with trafficking. From the perspective of child protection, this is understandable. However, such an approach fails to recognize the agency of </w:t>
      </w:r>
      <w:r w:rsidRPr="00FC46FF">
        <w:rPr>
          <w:rFonts w:ascii="Open Sans" w:hAnsi="Open Sans" w:cs="Open Sans"/>
          <w:color w:val="575756"/>
          <w:sz w:val="20"/>
        </w:rPr>
        <w:lastRenderedPageBreak/>
        <w:t>adolescent gir</w:t>
      </w:r>
      <w:r w:rsidR="003C3F9F">
        <w:rPr>
          <w:rFonts w:ascii="Open Sans" w:hAnsi="Open Sans" w:cs="Open Sans"/>
          <w:color w:val="575756"/>
          <w:sz w:val="20"/>
        </w:rPr>
        <w:t>ls in the migration process.</w:t>
      </w:r>
      <w:r w:rsidR="003C3F9F">
        <w:rPr>
          <w:rStyle w:val="FootnoteReference"/>
          <w:rFonts w:ascii="Open Sans" w:hAnsi="Open Sans" w:cs="Open Sans"/>
          <w:sz w:val="20"/>
        </w:rPr>
        <w:footnoteReference w:id="24"/>
      </w:r>
      <w:r w:rsidRPr="00FC46FF">
        <w:rPr>
          <w:rFonts w:ascii="Open Sans" w:hAnsi="Open Sans" w:cs="Open Sans"/>
          <w:color w:val="575756"/>
          <w:sz w:val="20"/>
        </w:rPr>
        <w:t xml:space="preserve"> This assumption has several implications. First, evidence and data has tended to be skewed towards worst-case scenarios, and migrant girls often only become visible to policymakers when they indeed have been trafficked. Secondly, such a worst-case scenario approach therefore fails to emphasize prevention, looking at the entirety of girls’ migration journeys and identifying potential weak spots.</w:t>
      </w:r>
      <w:r w:rsidR="00BD6047">
        <w:rPr>
          <w:rStyle w:val="FootnoteReference"/>
          <w:rFonts w:ascii="Open Sans" w:hAnsi="Open Sans" w:cs="Open Sans"/>
          <w:sz w:val="20"/>
        </w:rPr>
        <w:footnoteReference w:id="25"/>
      </w:r>
      <w:r w:rsidRPr="00FC46FF">
        <w:rPr>
          <w:rFonts w:ascii="Open Sans" w:hAnsi="Open Sans" w:cs="Open Sans"/>
          <w:color w:val="575756"/>
          <w:sz w:val="20"/>
        </w:rPr>
        <w:t xml:space="preserve"> Finally, solutions may assume that girls have been trafficked while they are actually migrating of their own free will. There is an urgent need in all policies regulating and ensuring safe migration to listen to the voices of adolescent girls to understand their experiences.</w:t>
      </w:r>
    </w:p>
    <w:p w14:paraId="6EB00D52" w14:textId="16BC901F" w:rsidR="00F86758" w:rsidRPr="00FC46FF" w:rsidRDefault="00707E2A" w:rsidP="0002706A">
      <w:pPr>
        <w:pStyle w:val="Heading1"/>
        <w:rPr>
          <w:lang w:val="en-GB"/>
        </w:rPr>
      </w:pPr>
      <w:r w:rsidRPr="00FC46FF">
        <w:rPr>
          <w:lang w:val="en-GB"/>
        </w:rPr>
        <w:t>Trafficking of adolescent girls in the context of global migration</w:t>
      </w:r>
    </w:p>
    <w:p w14:paraId="2F7D0465" w14:textId="7617C52F" w:rsidR="000A469A" w:rsidRPr="003475C8" w:rsidRDefault="000A469A" w:rsidP="003475C8">
      <w:pPr>
        <w:pStyle w:val="Heading3"/>
        <w:numPr>
          <w:ilvl w:val="0"/>
          <w:numId w:val="14"/>
        </w:numPr>
        <w:rPr>
          <w:lang w:val="en-GB"/>
        </w:rPr>
      </w:pPr>
      <w:r w:rsidRPr="003475C8">
        <w:rPr>
          <w:lang w:val="en-GB"/>
        </w:rPr>
        <w:t xml:space="preserve">Paths to trafficking </w:t>
      </w:r>
      <w:r w:rsidR="003475C8" w:rsidRPr="003475C8">
        <w:rPr>
          <w:lang w:val="en-GB"/>
        </w:rPr>
        <w:t>of</w:t>
      </w:r>
      <w:r w:rsidRPr="003475C8">
        <w:rPr>
          <w:lang w:val="en-GB"/>
        </w:rPr>
        <w:t xml:space="preserve"> migrant girls</w:t>
      </w:r>
    </w:p>
    <w:p w14:paraId="467399D2" w14:textId="799ADCE1" w:rsidR="00F86758" w:rsidRPr="00FC46FF" w:rsidRDefault="00637C26" w:rsidP="00D22CB4">
      <w:pPr>
        <w:spacing w:before="160" w:after="160"/>
        <w:jc w:val="both"/>
        <w:rPr>
          <w:rFonts w:ascii="Open Sans" w:hAnsi="Open Sans" w:cs="Open Sans"/>
          <w:color w:val="575756"/>
          <w:sz w:val="20"/>
        </w:rPr>
      </w:pPr>
      <w:r>
        <w:rPr>
          <w:rFonts w:ascii="Open Sans" w:hAnsi="Open Sans" w:cs="Open Sans"/>
          <w:color w:val="575756"/>
          <w:sz w:val="20"/>
        </w:rPr>
        <w:t xml:space="preserve">Evidence indicates that </w:t>
      </w:r>
      <w:r w:rsidRPr="00DD6C06">
        <w:rPr>
          <w:rFonts w:ascii="Open Sans" w:hAnsi="Open Sans" w:cs="Open Sans"/>
          <w:color w:val="575756"/>
          <w:sz w:val="20"/>
        </w:rPr>
        <w:t xml:space="preserve">girls are more likely than boys to become trafficking victims or fall </w:t>
      </w:r>
      <w:r w:rsidR="00337355">
        <w:rPr>
          <w:rFonts w:ascii="Open Sans" w:hAnsi="Open Sans" w:cs="Open Sans"/>
          <w:color w:val="575756"/>
          <w:sz w:val="20"/>
        </w:rPr>
        <w:t xml:space="preserve">victim to </w:t>
      </w:r>
      <w:r w:rsidRPr="00DD6C06">
        <w:rPr>
          <w:rFonts w:ascii="Open Sans" w:hAnsi="Open Sans" w:cs="Open Sans"/>
          <w:color w:val="575756"/>
          <w:sz w:val="20"/>
        </w:rPr>
        <w:t xml:space="preserve">sexual exploitation. </w:t>
      </w:r>
      <w:r w:rsidR="00F86758" w:rsidRPr="00FC46FF">
        <w:rPr>
          <w:rFonts w:ascii="Open Sans" w:hAnsi="Open Sans" w:cs="Open Sans"/>
          <w:color w:val="575756"/>
          <w:sz w:val="20"/>
        </w:rPr>
        <w:t xml:space="preserve">Determining the proportion of migrant girls who are trafficked </w:t>
      </w:r>
      <w:r w:rsidR="00707E2A" w:rsidRPr="00FC46FF">
        <w:rPr>
          <w:rFonts w:ascii="Open Sans" w:hAnsi="Open Sans" w:cs="Open Sans"/>
          <w:color w:val="575756"/>
          <w:sz w:val="20"/>
        </w:rPr>
        <w:t>has been</w:t>
      </w:r>
      <w:r w:rsidR="00F86758" w:rsidRPr="00FC46FF">
        <w:rPr>
          <w:rFonts w:ascii="Open Sans" w:hAnsi="Open Sans" w:cs="Open Sans"/>
          <w:color w:val="575756"/>
          <w:sz w:val="20"/>
        </w:rPr>
        <w:t xml:space="preserve"> </w:t>
      </w:r>
      <w:r w:rsidR="00707E2A" w:rsidRPr="00FC46FF">
        <w:rPr>
          <w:rFonts w:ascii="Open Sans" w:hAnsi="Open Sans" w:cs="Open Sans"/>
          <w:color w:val="575756"/>
          <w:sz w:val="20"/>
        </w:rPr>
        <w:t>difficult</w:t>
      </w:r>
      <w:r w:rsidR="00F86758" w:rsidRPr="00FC46FF">
        <w:rPr>
          <w:rFonts w:ascii="Open Sans" w:hAnsi="Open Sans" w:cs="Open Sans"/>
          <w:color w:val="575756"/>
          <w:sz w:val="20"/>
        </w:rPr>
        <w:t xml:space="preserve">, although </w:t>
      </w:r>
      <w:r w:rsidR="00707E2A" w:rsidRPr="00FC46FF">
        <w:rPr>
          <w:rFonts w:ascii="Open Sans" w:hAnsi="Open Sans" w:cs="Open Sans"/>
          <w:color w:val="575756"/>
          <w:sz w:val="20"/>
        </w:rPr>
        <w:t>o</w:t>
      </w:r>
      <w:r w:rsidR="00F86758" w:rsidRPr="00FC46FF">
        <w:rPr>
          <w:rFonts w:ascii="Open Sans" w:hAnsi="Open Sans" w:cs="Open Sans"/>
          <w:color w:val="575756"/>
          <w:sz w:val="20"/>
        </w:rPr>
        <w:t xml:space="preserve">ne </w:t>
      </w:r>
      <w:r w:rsidR="00707E2A" w:rsidRPr="00FC46FF">
        <w:rPr>
          <w:rFonts w:ascii="Open Sans" w:hAnsi="Open Sans" w:cs="Open Sans"/>
          <w:color w:val="575756"/>
          <w:sz w:val="20"/>
        </w:rPr>
        <w:t>study</w:t>
      </w:r>
      <w:r w:rsidR="00F86758" w:rsidRPr="00FC46FF">
        <w:rPr>
          <w:rFonts w:ascii="Open Sans" w:hAnsi="Open Sans" w:cs="Open Sans"/>
          <w:color w:val="575756"/>
          <w:sz w:val="20"/>
        </w:rPr>
        <w:t xml:space="preserve">  </w:t>
      </w:r>
      <w:r w:rsidR="00707E2A" w:rsidRPr="00FC46FF">
        <w:rPr>
          <w:rFonts w:ascii="Open Sans" w:hAnsi="Open Sans" w:cs="Open Sans"/>
          <w:color w:val="575756"/>
          <w:sz w:val="20"/>
        </w:rPr>
        <w:t>suggest</w:t>
      </w:r>
      <w:r w:rsidR="00D162FD" w:rsidRPr="00FC46FF">
        <w:rPr>
          <w:rFonts w:ascii="Open Sans" w:hAnsi="Open Sans" w:cs="Open Sans"/>
          <w:color w:val="575756"/>
          <w:sz w:val="20"/>
        </w:rPr>
        <w:t>s</w:t>
      </w:r>
      <w:r w:rsidR="00707E2A" w:rsidRPr="00FC46FF">
        <w:rPr>
          <w:rFonts w:ascii="Open Sans" w:hAnsi="Open Sans" w:cs="Open Sans"/>
          <w:color w:val="575756"/>
          <w:sz w:val="20"/>
        </w:rPr>
        <w:t xml:space="preserve"> that it is low, estimating that 2.3% </w:t>
      </w:r>
      <w:r w:rsidR="00F86758" w:rsidRPr="00FC46FF">
        <w:rPr>
          <w:rFonts w:ascii="Open Sans" w:hAnsi="Open Sans" w:cs="Open Sans"/>
          <w:color w:val="575756"/>
          <w:sz w:val="20"/>
        </w:rPr>
        <w:t xml:space="preserve">of </w:t>
      </w:r>
      <w:r w:rsidR="00D162FD" w:rsidRPr="00FC46FF">
        <w:rPr>
          <w:rFonts w:ascii="Open Sans" w:hAnsi="Open Sans" w:cs="Open Sans"/>
          <w:color w:val="575756"/>
          <w:sz w:val="20"/>
        </w:rPr>
        <w:t xml:space="preserve">all </w:t>
      </w:r>
      <w:r w:rsidR="00F86758" w:rsidRPr="00FC46FF">
        <w:rPr>
          <w:rFonts w:ascii="Open Sans" w:hAnsi="Open Sans" w:cs="Open Sans"/>
          <w:color w:val="575756"/>
          <w:sz w:val="20"/>
        </w:rPr>
        <w:t>female migran</w:t>
      </w:r>
      <w:r w:rsidR="00707E2A" w:rsidRPr="00FC46FF">
        <w:rPr>
          <w:rFonts w:ascii="Open Sans" w:hAnsi="Open Sans" w:cs="Open Sans"/>
          <w:color w:val="575756"/>
          <w:sz w:val="20"/>
        </w:rPr>
        <w:t xml:space="preserve">ts </w:t>
      </w:r>
      <w:r w:rsidR="00D162FD" w:rsidRPr="00FC46FF">
        <w:rPr>
          <w:rFonts w:ascii="Open Sans" w:hAnsi="Open Sans" w:cs="Open Sans"/>
          <w:color w:val="575756"/>
          <w:sz w:val="20"/>
        </w:rPr>
        <w:t xml:space="preserve">(adult and children) </w:t>
      </w:r>
      <w:r w:rsidR="00707E2A" w:rsidRPr="00FC46FF">
        <w:rPr>
          <w:rFonts w:ascii="Open Sans" w:hAnsi="Open Sans" w:cs="Open Sans"/>
          <w:color w:val="575756"/>
          <w:sz w:val="20"/>
        </w:rPr>
        <w:t xml:space="preserve">are </w:t>
      </w:r>
      <w:r w:rsidR="00337355">
        <w:rPr>
          <w:rFonts w:ascii="Open Sans" w:hAnsi="Open Sans" w:cs="Open Sans"/>
          <w:color w:val="575756"/>
          <w:sz w:val="20"/>
        </w:rPr>
        <w:t>trafficked</w:t>
      </w:r>
      <w:r w:rsidR="00707E2A" w:rsidRPr="00FC46FF">
        <w:rPr>
          <w:rFonts w:ascii="Open Sans" w:hAnsi="Open Sans" w:cs="Open Sans"/>
          <w:color w:val="575756"/>
          <w:sz w:val="20"/>
        </w:rPr>
        <w:t>.</w:t>
      </w:r>
      <w:r w:rsidR="00BD6047" w:rsidRPr="00BD6047">
        <w:rPr>
          <w:rStyle w:val="FootnoteReference"/>
          <w:rFonts w:ascii="Open Sans" w:hAnsi="Open Sans" w:cs="Open Sans"/>
          <w:sz w:val="20"/>
        </w:rPr>
        <w:t xml:space="preserve"> </w:t>
      </w:r>
      <w:r w:rsidR="00BD6047">
        <w:rPr>
          <w:rStyle w:val="FootnoteReference"/>
          <w:rFonts w:ascii="Open Sans" w:hAnsi="Open Sans" w:cs="Open Sans"/>
          <w:sz w:val="20"/>
        </w:rPr>
        <w:footnoteReference w:id="26"/>
      </w:r>
      <w:r w:rsidR="00F86758" w:rsidRPr="00FC46FF">
        <w:rPr>
          <w:rFonts w:ascii="Open Sans" w:hAnsi="Open Sans" w:cs="Open Sans"/>
          <w:color w:val="575756"/>
          <w:sz w:val="20"/>
        </w:rPr>
        <w:t xml:space="preserve"> </w:t>
      </w:r>
      <w:r w:rsidR="000A469A" w:rsidRPr="00FC46FF">
        <w:rPr>
          <w:rFonts w:ascii="Open Sans" w:hAnsi="Open Sans" w:cs="Open Sans"/>
          <w:color w:val="575756"/>
          <w:sz w:val="20"/>
        </w:rPr>
        <w:t>In the context of migration, girls who fall victim to trafficking do so either:</w:t>
      </w:r>
    </w:p>
    <w:p w14:paraId="5BE0DFA2" w14:textId="7EF32592" w:rsidR="00F86758" w:rsidRPr="00FC46FF" w:rsidRDefault="000A469A" w:rsidP="00F86758">
      <w:pPr>
        <w:pStyle w:val="ListParagraph"/>
        <w:numPr>
          <w:ilvl w:val="0"/>
          <w:numId w:val="7"/>
        </w:numPr>
        <w:spacing w:before="160" w:after="160"/>
        <w:jc w:val="both"/>
        <w:rPr>
          <w:rFonts w:ascii="Open Sans" w:hAnsi="Open Sans" w:cs="Open Sans"/>
          <w:color w:val="575756"/>
          <w:sz w:val="20"/>
          <w:lang w:val="en-GB"/>
        </w:rPr>
      </w:pPr>
      <w:r w:rsidRPr="00676992">
        <w:rPr>
          <w:rFonts w:ascii="Open Sans" w:hAnsi="Open Sans" w:cs="Open Sans"/>
          <w:b/>
          <w:color w:val="575756"/>
          <w:sz w:val="20"/>
          <w:lang w:val="en-GB"/>
        </w:rPr>
        <w:t>W</w:t>
      </w:r>
      <w:r w:rsidR="00F86758" w:rsidRPr="00676992">
        <w:rPr>
          <w:rFonts w:ascii="Open Sans" w:hAnsi="Open Sans" w:cs="Open Sans"/>
          <w:b/>
          <w:color w:val="575756"/>
          <w:sz w:val="20"/>
          <w:lang w:val="en-GB"/>
        </w:rPr>
        <w:t xml:space="preserve">hile migrating: </w:t>
      </w:r>
      <w:r w:rsidRPr="00FC46FF">
        <w:rPr>
          <w:rFonts w:ascii="Open Sans" w:hAnsi="Open Sans" w:cs="Open Sans"/>
          <w:color w:val="575756"/>
          <w:sz w:val="20"/>
          <w:lang w:val="en-GB"/>
        </w:rPr>
        <w:t>Adolescent g</w:t>
      </w:r>
      <w:r w:rsidR="00F86758" w:rsidRPr="00FC46FF">
        <w:rPr>
          <w:rFonts w:ascii="Open Sans" w:hAnsi="Open Sans" w:cs="Open Sans"/>
          <w:color w:val="575756"/>
          <w:sz w:val="20"/>
          <w:lang w:val="en-GB"/>
        </w:rPr>
        <w:t xml:space="preserve">irls who </w:t>
      </w:r>
      <w:r w:rsidRPr="00FC46FF">
        <w:rPr>
          <w:rFonts w:ascii="Open Sans" w:hAnsi="Open Sans" w:cs="Open Sans"/>
          <w:color w:val="575756"/>
          <w:sz w:val="20"/>
          <w:lang w:val="en-GB"/>
        </w:rPr>
        <w:t xml:space="preserve">migrate on their own (or accompanied by an intermediary) </w:t>
      </w:r>
      <w:r w:rsidR="00F86758" w:rsidRPr="00FC46FF">
        <w:rPr>
          <w:rFonts w:ascii="Open Sans" w:hAnsi="Open Sans" w:cs="Open Sans"/>
          <w:color w:val="575756"/>
          <w:sz w:val="20"/>
          <w:lang w:val="en-GB"/>
        </w:rPr>
        <w:t>may land in the hands of traffickers.</w:t>
      </w:r>
    </w:p>
    <w:p w14:paraId="5CF03B97" w14:textId="3A670FF9" w:rsidR="00F86758" w:rsidRPr="00FC46FF" w:rsidRDefault="000A469A" w:rsidP="00F86758">
      <w:pPr>
        <w:pStyle w:val="ListParagraph"/>
        <w:numPr>
          <w:ilvl w:val="0"/>
          <w:numId w:val="7"/>
        </w:numPr>
        <w:spacing w:before="160" w:after="160"/>
        <w:jc w:val="both"/>
        <w:rPr>
          <w:rFonts w:ascii="Open Sans" w:hAnsi="Open Sans" w:cs="Open Sans"/>
          <w:color w:val="575756"/>
          <w:sz w:val="20"/>
          <w:lang w:val="en-GB"/>
        </w:rPr>
      </w:pPr>
      <w:r w:rsidRPr="00676992">
        <w:rPr>
          <w:rFonts w:ascii="Open Sans" w:hAnsi="Open Sans" w:cs="Open Sans"/>
          <w:b/>
          <w:color w:val="575756"/>
          <w:sz w:val="20"/>
          <w:lang w:val="en-GB"/>
        </w:rPr>
        <w:t>A</w:t>
      </w:r>
      <w:r w:rsidR="00F86758" w:rsidRPr="00676992">
        <w:rPr>
          <w:rFonts w:ascii="Open Sans" w:hAnsi="Open Sans" w:cs="Open Sans"/>
          <w:b/>
          <w:color w:val="575756"/>
          <w:sz w:val="20"/>
          <w:lang w:val="en-GB"/>
        </w:rPr>
        <w:t>fter migrating:</w:t>
      </w:r>
      <w:r w:rsidR="00F86758" w:rsidRPr="00FC46FF">
        <w:rPr>
          <w:rFonts w:ascii="Open Sans" w:hAnsi="Open Sans" w:cs="Open Sans"/>
          <w:color w:val="575756"/>
          <w:sz w:val="20"/>
          <w:lang w:val="en-GB"/>
        </w:rPr>
        <w:t xml:space="preserve"> Trafficking also may occur later in the migration process, after a girl is settled.</w:t>
      </w:r>
    </w:p>
    <w:p w14:paraId="072B05B9" w14:textId="4679D0AC" w:rsidR="00F86758" w:rsidRDefault="00F01991" w:rsidP="00F86758">
      <w:pPr>
        <w:spacing w:before="160" w:after="160"/>
        <w:jc w:val="both"/>
        <w:rPr>
          <w:rFonts w:ascii="Open Sans" w:hAnsi="Open Sans" w:cs="Open Sans"/>
          <w:color w:val="575756"/>
          <w:sz w:val="20"/>
        </w:rPr>
      </w:pPr>
      <w:r>
        <w:rPr>
          <w:rFonts w:ascii="Open Sans" w:hAnsi="Open Sans" w:cs="Open Sans"/>
          <w:color w:val="575756"/>
          <w:sz w:val="20"/>
        </w:rPr>
        <w:lastRenderedPageBreak/>
        <w:t>Certain groups of girls may face p</w:t>
      </w:r>
      <w:r w:rsidR="00F86758" w:rsidRPr="00FC46FF">
        <w:rPr>
          <w:rFonts w:ascii="Open Sans" w:hAnsi="Open Sans" w:cs="Open Sans"/>
          <w:color w:val="575756"/>
          <w:sz w:val="20"/>
        </w:rPr>
        <w:t>articular vulnerability</w:t>
      </w:r>
      <w:r>
        <w:rPr>
          <w:rFonts w:ascii="Open Sans" w:hAnsi="Open Sans" w:cs="Open Sans"/>
          <w:color w:val="575756"/>
          <w:sz w:val="20"/>
        </w:rPr>
        <w:t xml:space="preserve"> to trafficking, including </w:t>
      </w:r>
      <w:r w:rsidR="00F86758" w:rsidRPr="00FC46FF">
        <w:rPr>
          <w:rFonts w:ascii="Open Sans" w:hAnsi="Open Sans" w:cs="Open Sans"/>
          <w:color w:val="575756"/>
          <w:sz w:val="20"/>
        </w:rPr>
        <w:t xml:space="preserve">girls from </w:t>
      </w:r>
      <w:r w:rsidR="00A55812">
        <w:rPr>
          <w:rFonts w:ascii="Open Sans" w:hAnsi="Open Sans" w:cs="Open Sans"/>
          <w:color w:val="575756"/>
          <w:sz w:val="20"/>
        </w:rPr>
        <w:t xml:space="preserve">backgrounds of </w:t>
      </w:r>
      <w:r w:rsidR="00F86758" w:rsidRPr="00FC46FF">
        <w:rPr>
          <w:rFonts w:ascii="Open Sans" w:hAnsi="Open Sans" w:cs="Open Sans"/>
          <w:color w:val="575756"/>
          <w:sz w:val="20"/>
        </w:rPr>
        <w:t>extreme poverty</w:t>
      </w:r>
      <w:r>
        <w:rPr>
          <w:rFonts w:ascii="Open Sans" w:hAnsi="Open Sans" w:cs="Open Sans"/>
          <w:color w:val="575756"/>
          <w:sz w:val="20"/>
        </w:rPr>
        <w:t>, girls who have been excluded from inheritance</w:t>
      </w:r>
      <w:r w:rsidR="00F86758" w:rsidRPr="00FC46FF">
        <w:rPr>
          <w:rFonts w:ascii="Open Sans" w:hAnsi="Open Sans" w:cs="Open Sans"/>
          <w:color w:val="575756"/>
          <w:sz w:val="20"/>
        </w:rPr>
        <w:t xml:space="preserve">, </w:t>
      </w:r>
      <w:r w:rsidR="00A55812">
        <w:rPr>
          <w:rFonts w:ascii="Open Sans" w:hAnsi="Open Sans" w:cs="Open Sans"/>
          <w:color w:val="575756"/>
          <w:sz w:val="20"/>
        </w:rPr>
        <w:t>those from</w:t>
      </w:r>
      <w:r w:rsidR="00F86758" w:rsidRPr="00FC46FF">
        <w:rPr>
          <w:rFonts w:ascii="Open Sans" w:hAnsi="Open Sans" w:cs="Open Sans"/>
          <w:color w:val="575756"/>
          <w:sz w:val="20"/>
        </w:rPr>
        <w:t xml:space="preserve"> </w:t>
      </w:r>
      <w:r w:rsidR="00A55812" w:rsidRPr="00FC46FF">
        <w:rPr>
          <w:rFonts w:ascii="Open Sans" w:hAnsi="Open Sans" w:cs="Open Sans"/>
          <w:color w:val="575756"/>
          <w:sz w:val="20"/>
        </w:rPr>
        <w:t>marginaliz</w:t>
      </w:r>
      <w:r w:rsidR="00A55812">
        <w:rPr>
          <w:rFonts w:ascii="Open Sans" w:hAnsi="Open Sans" w:cs="Open Sans"/>
          <w:color w:val="575756"/>
          <w:sz w:val="20"/>
        </w:rPr>
        <w:t>ed religious, ethnic, caste or social groups;</w:t>
      </w:r>
      <w:r w:rsidR="00A55812" w:rsidRPr="00FC46FF">
        <w:rPr>
          <w:rFonts w:ascii="Open Sans" w:hAnsi="Open Sans" w:cs="Open Sans"/>
          <w:color w:val="575756"/>
          <w:sz w:val="20"/>
        </w:rPr>
        <w:t xml:space="preserve"> </w:t>
      </w:r>
      <w:r w:rsidR="00A55812">
        <w:rPr>
          <w:rFonts w:ascii="Open Sans" w:hAnsi="Open Sans" w:cs="Open Sans"/>
          <w:color w:val="575756"/>
          <w:sz w:val="20"/>
        </w:rPr>
        <w:t>girls</w:t>
      </w:r>
      <w:r>
        <w:rPr>
          <w:rFonts w:ascii="Open Sans" w:hAnsi="Open Sans" w:cs="Open Sans"/>
          <w:color w:val="575756"/>
          <w:sz w:val="20"/>
        </w:rPr>
        <w:t xml:space="preserve"> </w:t>
      </w:r>
      <w:r w:rsidR="00F86758" w:rsidRPr="00FC46FF">
        <w:rPr>
          <w:rFonts w:ascii="Open Sans" w:hAnsi="Open Sans" w:cs="Open Sans"/>
          <w:color w:val="575756"/>
          <w:sz w:val="20"/>
        </w:rPr>
        <w:t>escaping vi</w:t>
      </w:r>
      <w:r>
        <w:rPr>
          <w:rFonts w:ascii="Open Sans" w:hAnsi="Open Sans" w:cs="Open Sans"/>
          <w:color w:val="575756"/>
          <w:sz w:val="20"/>
        </w:rPr>
        <w:t>olent/abusive family situations</w:t>
      </w:r>
      <w:r w:rsidR="00A55812">
        <w:rPr>
          <w:rFonts w:ascii="Open Sans" w:hAnsi="Open Sans" w:cs="Open Sans"/>
          <w:color w:val="575756"/>
          <w:sz w:val="20"/>
        </w:rPr>
        <w:t xml:space="preserve"> or harmful practices such as forced marriage or female genital mutilation; and those who are affected by humanitarian crises</w:t>
      </w:r>
      <w:r>
        <w:rPr>
          <w:rFonts w:ascii="Open Sans" w:hAnsi="Open Sans" w:cs="Open Sans"/>
          <w:color w:val="575756"/>
          <w:sz w:val="20"/>
        </w:rPr>
        <w:t xml:space="preserve">. Girls from these groups </w:t>
      </w:r>
      <w:r w:rsidR="00F86758" w:rsidRPr="00FC46FF">
        <w:rPr>
          <w:rFonts w:ascii="Open Sans" w:hAnsi="Open Sans" w:cs="Open Sans"/>
          <w:color w:val="575756"/>
          <w:sz w:val="20"/>
        </w:rPr>
        <w:t xml:space="preserve">may be more </w:t>
      </w:r>
      <w:r w:rsidR="00632F70">
        <w:rPr>
          <w:rFonts w:ascii="Open Sans" w:hAnsi="Open Sans" w:cs="Open Sans"/>
          <w:color w:val="575756"/>
          <w:sz w:val="20"/>
        </w:rPr>
        <w:t xml:space="preserve">actively targeted by </w:t>
      </w:r>
      <w:r w:rsidR="00F86758" w:rsidRPr="00FC46FF">
        <w:rPr>
          <w:rFonts w:ascii="Open Sans" w:hAnsi="Open Sans" w:cs="Open Sans"/>
          <w:color w:val="575756"/>
          <w:sz w:val="20"/>
        </w:rPr>
        <w:t>traffickers</w:t>
      </w:r>
      <w:r w:rsidR="00632F70">
        <w:rPr>
          <w:rFonts w:ascii="Open Sans" w:hAnsi="Open Sans" w:cs="Open Sans"/>
          <w:color w:val="575756"/>
          <w:sz w:val="20"/>
        </w:rPr>
        <w:t>, and</w:t>
      </w:r>
      <w:r>
        <w:rPr>
          <w:rFonts w:ascii="Open Sans" w:hAnsi="Open Sans" w:cs="Open Sans"/>
          <w:color w:val="575756"/>
          <w:sz w:val="20"/>
        </w:rPr>
        <w:t xml:space="preserve"> </w:t>
      </w:r>
      <w:r w:rsidR="00632F70">
        <w:rPr>
          <w:rFonts w:ascii="Open Sans" w:hAnsi="Open Sans" w:cs="Open Sans"/>
          <w:color w:val="575756"/>
          <w:sz w:val="20"/>
        </w:rPr>
        <w:t xml:space="preserve">more </w:t>
      </w:r>
      <w:r w:rsidR="00632F70" w:rsidRPr="00FC46FF">
        <w:rPr>
          <w:rFonts w:ascii="Open Sans" w:hAnsi="Open Sans" w:cs="Open Sans"/>
          <w:color w:val="575756"/>
          <w:sz w:val="20"/>
        </w:rPr>
        <w:t>willing to accept offers from</w:t>
      </w:r>
      <w:r w:rsidR="00632F70">
        <w:rPr>
          <w:rFonts w:ascii="Open Sans" w:hAnsi="Open Sans" w:cs="Open Sans"/>
          <w:color w:val="575756"/>
          <w:sz w:val="20"/>
        </w:rPr>
        <w:t xml:space="preserve"> them </w:t>
      </w:r>
      <w:r>
        <w:rPr>
          <w:rFonts w:ascii="Open Sans" w:hAnsi="Open Sans" w:cs="Open Sans"/>
          <w:color w:val="575756"/>
          <w:sz w:val="20"/>
        </w:rPr>
        <w:t>out of desperation.</w:t>
      </w:r>
    </w:p>
    <w:p w14:paraId="065241BA" w14:textId="77777777" w:rsidR="000A469A" w:rsidRPr="00FC46FF" w:rsidRDefault="000A469A" w:rsidP="003475C8">
      <w:pPr>
        <w:pStyle w:val="Heading3"/>
      </w:pPr>
      <w:r w:rsidRPr="00FC46FF">
        <w:t>Barriers to safe migration for adolescent girls</w:t>
      </w:r>
    </w:p>
    <w:p w14:paraId="25C3E557" w14:textId="57E4DC42" w:rsidR="000A469A" w:rsidRPr="00FC46FF" w:rsidRDefault="000A469A" w:rsidP="000A469A">
      <w:pPr>
        <w:pStyle w:val="ListParagraph"/>
        <w:numPr>
          <w:ilvl w:val="0"/>
          <w:numId w:val="7"/>
        </w:numPr>
        <w:spacing w:before="160" w:after="160"/>
        <w:jc w:val="both"/>
        <w:rPr>
          <w:rFonts w:ascii="Open Sans" w:hAnsi="Open Sans" w:cs="Open Sans"/>
          <w:color w:val="575756"/>
          <w:sz w:val="20"/>
          <w:lang w:val="en-GB"/>
        </w:rPr>
      </w:pPr>
      <w:r w:rsidRPr="00FC46FF">
        <w:rPr>
          <w:rFonts w:ascii="Open Sans" w:hAnsi="Open Sans" w:cs="Open Sans"/>
          <w:b/>
          <w:color w:val="575756"/>
          <w:sz w:val="20"/>
          <w:lang w:val="en-GB"/>
        </w:rPr>
        <w:t>Amount</w:t>
      </w:r>
      <w:r w:rsidR="00F01991">
        <w:rPr>
          <w:rFonts w:ascii="Open Sans" w:hAnsi="Open Sans" w:cs="Open Sans"/>
          <w:b/>
          <w:color w:val="575756"/>
          <w:sz w:val="20"/>
          <w:lang w:val="en-GB"/>
        </w:rPr>
        <w:t xml:space="preserve"> and accuracy</w:t>
      </w:r>
      <w:r w:rsidRPr="00FC46FF">
        <w:rPr>
          <w:rFonts w:ascii="Open Sans" w:hAnsi="Open Sans" w:cs="Open Sans"/>
          <w:b/>
          <w:color w:val="575756"/>
          <w:sz w:val="20"/>
          <w:lang w:val="en-GB"/>
        </w:rPr>
        <w:t xml:space="preserve"> of information on departure</w:t>
      </w:r>
      <w:r w:rsidRPr="00FC46FF">
        <w:rPr>
          <w:rFonts w:ascii="Open Sans" w:hAnsi="Open Sans" w:cs="Open Sans"/>
          <w:color w:val="575756"/>
          <w:sz w:val="20"/>
          <w:lang w:val="en-GB"/>
        </w:rPr>
        <w:t xml:space="preserve">: </w:t>
      </w:r>
      <w:r w:rsidR="00F01991">
        <w:rPr>
          <w:rFonts w:ascii="Open Sans" w:hAnsi="Open Sans" w:cs="Open Sans"/>
          <w:color w:val="575756"/>
          <w:sz w:val="20"/>
          <w:lang w:val="en-GB"/>
        </w:rPr>
        <w:t xml:space="preserve">Studies </w:t>
      </w:r>
      <w:r w:rsidR="005E17B7">
        <w:rPr>
          <w:rFonts w:ascii="Open Sans" w:hAnsi="Open Sans" w:cs="Open Sans"/>
          <w:color w:val="575756"/>
          <w:sz w:val="20"/>
          <w:lang w:val="en-GB"/>
        </w:rPr>
        <w:t xml:space="preserve">indicate </w:t>
      </w:r>
      <w:r w:rsidR="00F01991">
        <w:rPr>
          <w:rFonts w:ascii="Open Sans" w:hAnsi="Open Sans" w:cs="Open Sans"/>
          <w:color w:val="575756"/>
          <w:sz w:val="20"/>
          <w:lang w:val="en-GB"/>
        </w:rPr>
        <w:t xml:space="preserve">that girls </w:t>
      </w:r>
      <w:r w:rsidRPr="00FC46FF">
        <w:rPr>
          <w:rFonts w:ascii="Open Sans" w:hAnsi="Open Sans" w:cs="Open Sans"/>
          <w:color w:val="575756"/>
          <w:sz w:val="20"/>
          <w:lang w:val="en-GB"/>
        </w:rPr>
        <w:t xml:space="preserve">who knew more about their journey were </w:t>
      </w:r>
      <w:r w:rsidR="005E17B7">
        <w:rPr>
          <w:rFonts w:ascii="Open Sans" w:hAnsi="Open Sans" w:cs="Open Sans"/>
          <w:color w:val="575756"/>
          <w:sz w:val="20"/>
          <w:lang w:val="en-GB"/>
        </w:rPr>
        <w:t xml:space="preserve">more likely to, </w:t>
      </w:r>
      <w:r w:rsidR="00F01991">
        <w:rPr>
          <w:rFonts w:ascii="Open Sans" w:hAnsi="Open Sans" w:cs="Open Sans"/>
          <w:color w:val="575756"/>
          <w:sz w:val="20"/>
          <w:lang w:val="en-GB"/>
        </w:rPr>
        <w:t>for example</w:t>
      </w:r>
      <w:r w:rsidR="005E17B7">
        <w:rPr>
          <w:rFonts w:ascii="Open Sans" w:hAnsi="Open Sans" w:cs="Open Sans"/>
          <w:color w:val="575756"/>
          <w:sz w:val="20"/>
          <w:lang w:val="en-GB"/>
        </w:rPr>
        <w:t>,</w:t>
      </w:r>
      <w:r w:rsidR="00F01991">
        <w:rPr>
          <w:rFonts w:ascii="Open Sans" w:hAnsi="Open Sans" w:cs="Open Sans"/>
          <w:color w:val="575756"/>
          <w:sz w:val="20"/>
          <w:lang w:val="en-GB"/>
        </w:rPr>
        <w:t xml:space="preserve"> </w:t>
      </w:r>
      <w:r w:rsidRPr="00FC46FF">
        <w:rPr>
          <w:rFonts w:ascii="Open Sans" w:hAnsi="Open Sans" w:cs="Open Sans"/>
          <w:color w:val="575756"/>
          <w:sz w:val="20"/>
          <w:lang w:val="en-GB"/>
        </w:rPr>
        <w:t>have transport</w:t>
      </w:r>
      <w:r w:rsidR="00F01991">
        <w:rPr>
          <w:rFonts w:ascii="Open Sans" w:hAnsi="Open Sans" w:cs="Open Sans"/>
          <w:color w:val="575756"/>
          <w:sz w:val="20"/>
          <w:lang w:val="en-GB"/>
        </w:rPr>
        <w:t xml:space="preserve"> fare, </w:t>
      </w:r>
      <w:r w:rsidR="005E17B7">
        <w:rPr>
          <w:rFonts w:ascii="Open Sans" w:hAnsi="Open Sans" w:cs="Open Sans"/>
          <w:color w:val="575756"/>
          <w:sz w:val="20"/>
          <w:lang w:val="en-GB"/>
        </w:rPr>
        <w:t xml:space="preserve">someone </w:t>
      </w:r>
      <w:r w:rsidR="00F01991">
        <w:rPr>
          <w:rFonts w:ascii="Open Sans" w:hAnsi="Open Sans" w:cs="Open Sans"/>
          <w:color w:val="575756"/>
          <w:sz w:val="20"/>
          <w:lang w:val="en-GB"/>
        </w:rPr>
        <w:t xml:space="preserve">to meet them </w:t>
      </w:r>
      <w:r w:rsidRPr="00FC46FF">
        <w:rPr>
          <w:rFonts w:ascii="Open Sans" w:hAnsi="Open Sans" w:cs="Open Sans"/>
          <w:color w:val="575756"/>
          <w:sz w:val="20"/>
          <w:lang w:val="en-GB"/>
        </w:rPr>
        <w:t>on arrival, and a place to spend the first few nights at their destination</w:t>
      </w:r>
      <w:r w:rsidR="00BD6047">
        <w:rPr>
          <w:rFonts w:ascii="Open Sans" w:hAnsi="Open Sans" w:cs="Open Sans"/>
          <w:color w:val="575756"/>
          <w:sz w:val="20"/>
          <w:lang w:val="en-GB"/>
        </w:rPr>
        <w:t>.</w:t>
      </w:r>
      <w:r w:rsidR="00BD6047">
        <w:rPr>
          <w:rStyle w:val="FootnoteReference"/>
          <w:rFonts w:ascii="Open Sans" w:hAnsi="Open Sans" w:cs="Open Sans"/>
          <w:sz w:val="20"/>
          <w:lang w:val="en-GB"/>
        </w:rPr>
        <w:footnoteReference w:id="27"/>
      </w:r>
      <w:r w:rsidR="00632F70">
        <w:rPr>
          <w:rFonts w:ascii="Open Sans" w:hAnsi="Open Sans" w:cs="Open Sans"/>
          <w:color w:val="575756"/>
          <w:sz w:val="20"/>
          <w:lang w:val="en-GB"/>
        </w:rPr>
        <w:t xml:space="preserve"> Unfortunately however, restrictions on female mobility in many societies, alongside lack of literacy and lack of financial resources, can mean that often girls are dependent on relatives, community members or recruiters to arrange their travel, with decisions regarding their means of travel, destination and other factors lying with these individuals rather than with girls themselves</w:t>
      </w:r>
      <w:r w:rsidR="00AF5AB1">
        <w:rPr>
          <w:rFonts w:ascii="Open Sans" w:hAnsi="Open Sans" w:cs="Open Sans"/>
          <w:color w:val="575756"/>
          <w:sz w:val="20"/>
          <w:lang w:val="en-GB"/>
        </w:rPr>
        <w:t>.</w:t>
      </w:r>
      <w:r w:rsidR="00632F70">
        <w:rPr>
          <w:rFonts w:ascii="Open Sans" w:hAnsi="Open Sans" w:cs="Open Sans"/>
          <w:color w:val="575756"/>
          <w:sz w:val="20"/>
          <w:lang w:val="en-GB"/>
        </w:rPr>
        <w:t xml:space="preserve"> </w:t>
      </w:r>
    </w:p>
    <w:p w14:paraId="67420262" w14:textId="68399957" w:rsidR="000A469A" w:rsidRDefault="005E17B7" w:rsidP="000A469A">
      <w:pPr>
        <w:pStyle w:val="ListParagraph"/>
        <w:numPr>
          <w:ilvl w:val="0"/>
          <w:numId w:val="7"/>
        </w:numPr>
        <w:spacing w:before="160" w:after="160"/>
        <w:jc w:val="both"/>
        <w:rPr>
          <w:rFonts w:ascii="Open Sans" w:hAnsi="Open Sans" w:cs="Open Sans"/>
          <w:color w:val="575756"/>
          <w:sz w:val="20"/>
          <w:lang w:val="en-GB"/>
        </w:rPr>
      </w:pPr>
      <w:r>
        <w:rPr>
          <w:rFonts w:ascii="Open Sans" w:hAnsi="Open Sans" w:cs="Open Sans"/>
          <w:b/>
          <w:color w:val="575756"/>
          <w:sz w:val="20"/>
          <w:lang w:val="en-GB"/>
        </w:rPr>
        <w:t>Support from family</w:t>
      </w:r>
      <w:r w:rsidR="000A469A" w:rsidRPr="005E17B7">
        <w:rPr>
          <w:rFonts w:ascii="Open Sans" w:hAnsi="Open Sans" w:cs="Open Sans"/>
          <w:b/>
          <w:color w:val="575756"/>
          <w:sz w:val="20"/>
          <w:lang w:val="en-GB"/>
        </w:rPr>
        <w:t>:</w:t>
      </w:r>
      <w:r w:rsidR="000A469A" w:rsidRPr="00FC46FF">
        <w:rPr>
          <w:rFonts w:ascii="Open Sans" w:hAnsi="Open Sans" w:cs="Open Sans"/>
          <w:color w:val="575756"/>
          <w:sz w:val="20"/>
          <w:lang w:val="en-GB"/>
        </w:rPr>
        <w:t xml:space="preserve"> Girls who migrate to escape difficult circumstances</w:t>
      </w:r>
      <w:r>
        <w:rPr>
          <w:rFonts w:ascii="Open Sans" w:hAnsi="Open Sans" w:cs="Open Sans"/>
          <w:color w:val="575756"/>
          <w:sz w:val="20"/>
          <w:lang w:val="en-GB"/>
        </w:rPr>
        <w:t xml:space="preserve"> </w:t>
      </w:r>
      <w:r w:rsidR="000A469A" w:rsidRPr="00FC46FF">
        <w:rPr>
          <w:rFonts w:ascii="Open Sans" w:hAnsi="Open Sans" w:cs="Open Sans"/>
          <w:color w:val="575756"/>
          <w:sz w:val="20"/>
          <w:lang w:val="en-GB"/>
        </w:rPr>
        <w:t xml:space="preserve">often lack </w:t>
      </w:r>
      <w:r>
        <w:rPr>
          <w:rFonts w:ascii="Open Sans" w:hAnsi="Open Sans" w:cs="Open Sans"/>
          <w:color w:val="575756"/>
          <w:sz w:val="20"/>
          <w:lang w:val="en-GB"/>
        </w:rPr>
        <w:t xml:space="preserve">the support from their families </w:t>
      </w:r>
      <w:r w:rsidR="00BA3B38">
        <w:rPr>
          <w:rFonts w:ascii="Open Sans" w:hAnsi="Open Sans" w:cs="Open Sans"/>
          <w:color w:val="575756"/>
          <w:sz w:val="20"/>
          <w:lang w:val="en-GB"/>
        </w:rPr>
        <w:t xml:space="preserve">or trusted members of their communities. Without this support, </w:t>
      </w:r>
      <w:r w:rsidR="000A469A" w:rsidRPr="00FC46FF">
        <w:rPr>
          <w:rFonts w:ascii="Open Sans" w:hAnsi="Open Sans" w:cs="Open Sans"/>
          <w:color w:val="575756"/>
          <w:sz w:val="20"/>
          <w:lang w:val="en-GB"/>
        </w:rPr>
        <w:t xml:space="preserve">they </w:t>
      </w:r>
      <w:r w:rsidR="00BA3B38">
        <w:rPr>
          <w:rFonts w:ascii="Open Sans" w:hAnsi="Open Sans" w:cs="Open Sans"/>
          <w:color w:val="575756"/>
          <w:sz w:val="20"/>
          <w:lang w:val="en-GB"/>
        </w:rPr>
        <w:t xml:space="preserve">may </w:t>
      </w:r>
      <w:r w:rsidR="000A469A" w:rsidRPr="00FC46FF">
        <w:rPr>
          <w:rFonts w:ascii="Open Sans" w:hAnsi="Open Sans" w:cs="Open Sans"/>
          <w:color w:val="575756"/>
          <w:sz w:val="20"/>
          <w:lang w:val="en-GB"/>
        </w:rPr>
        <w:t xml:space="preserve">rely on strangers </w:t>
      </w:r>
      <w:r w:rsidR="00BA3B38">
        <w:rPr>
          <w:rFonts w:ascii="Open Sans" w:hAnsi="Open Sans" w:cs="Open Sans"/>
          <w:color w:val="575756"/>
          <w:sz w:val="20"/>
          <w:lang w:val="en-GB"/>
        </w:rPr>
        <w:t xml:space="preserve">who may have </w:t>
      </w:r>
      <w:r w:rsidR="00337355">
        <w:rPr>
          <w:rFonts w:ascii="Open Sans" w:hAnsi="Open Sans" w:cs="Open Sans"/>
          <w:color w:val="575756"/>
          <w:sz w:val="20"/>
          <w:lang w:val="en-GB"/>
        </w:rPr>
        <w:t>ulterior motives</w:t>
      </w:r>
      <w:r w:rsidR="00BA3B38">
        <w:rPr>
          <w:rFonts w:ascii="Open Sans" w:hAnsi="Open Sans" w:cs="Open Sans"/>
          <w:color w:val="575756"/>
          <w:sz w:val="20"/>
          <w:lang w:val="en-GB"/>
        </w:rPr>
        <w:t>, or turn to, for example, prostitution, to pay their trip.</w:t>
      </w:r>
      <w:r w:rsidR="00BD6047">
        <w:rPr>
          <w:rStyle w:val="FootnoteReference"/>
          <w:rFonts w:ascii="Open Sans" w:hAnsi="Open Sans" w:cs="Open Sans"/>
          <w:sz w:val="20"/>
          <w:lang w:val="en-GB"/>
        </w:rPr>
        <w:footnoteReference w:id="28"/>
      </w:r>
    </w:p>
    <w:p w14:paraId="5248075E" w14:textId="62577813" w:rsidR="00F01991" w:rsidRPr="00F01991" w:rsidRDefault="00F01991" w:rsidP="000A469A">
      <w:pPr>
        <w:pStyle w:val="ListParagraph"/>
        <w:numPr>
          <w:ilvl w:val="0"/>
          <w:numId w:val="7"/>
        </w:numPr>
        <w:spacing w:before="160" w:after="160"/>
        <w:jc w:val="both"/>
        <w:rPr>
          <w:rFonts w:ascii="Open Sans" w:hAnsi="Open Sans" w:cs="Open Sans"/>
          <w:color w:val="575756"/>
          <w:sz w:val="20"/>
          <w:lang w:val="en-GB"/>
        </w:rPr>
      </w:pPr>
      <w:r>
        <w:rPr>
          <w:rFonts w:ascii="Open Sans" w:hAnsi="Open Sans" w:cs="Open Sans"/>
          <w:b/>
          <w:color w:val="575756"/>
          <w:sz w:val="20"/>
          <w:lang w:val="en-GB"/>
        </w:rPr>
        <w:t>Legal status</w:t>
      </w:r>
      <w:r>
        <w:rPr>
          <w:rFonts w:ascii="Open Sans" w:hAnsi="Open Sans" w:cs="Open Sans"/>
          <w:color w:val="575756"/>
          <w:sz w:val="20"/>
          <w:lang w:val="en-GB"/>
        </w:rPr>
        <w:t>:</w:t>
      </w:r>
      <w:r w:rsidRPr="00F01991">
        <w:rPr>
          <w:rFonts w:ascii="Open Sans" w:hAnsi="Open Sans" w:cs="Open Sans"/>
          <w:color w:val="575756"/>
          <w:sz w:val="20"/>
        </w:rPr>
        <w:t xml:space="preserve"> </w:t>
      </w:r>
      <w:r w:rsidRPr="00FC46FF">
        <w:rPr>
          <w:rFonts w:ascii="Open Sans" w:hAnsi="Open Sans" w:cs="Open Sans"/>
          <w:color w:val="575756"/>
          <w:sz w:val="20"/>
        </w:rPr>
        <w:t>One of the key sources of vulnerability of girls</w:t>
      </w:r>
      <w:r w:rsidR="00BA3B38">
        <w:rPr>
          <w:rFonts w:ascii="Open Sans" w:hAnsi="Open Sans" w:cs="Open Sans"/>
          <w:color w:val="575756"/>
          <w:sz w:val="20"/>
        </w:rPr>
        <w:t xml:space="preserve"> is</w:t>
      </w:r>
      <w:r w:rsidRPr="00FC46FF">
        <w:rPr>
          <w:rFonts w:ascii="Open Sans" w:hAnsi="Open Sans" w:cs="Open Sans"/>
          <w:color w:val="575756"/>
          <w:sz w:val="20"/>
        </w:rPr>
        <w:t xml:space="preserve"> their legal status</w:t>
      </w:r>
      <w:r w:rsidR="009B105B">
        <w:rPr>
          <w:rFonts w:ascii="Open Sans" w:hAnsi="Open Sans" w:cs="Open Sans"/>
          <w:color w:val="575756"/>
          <w:sz w:val="20"/>
        </w:rPr>
        <w:t xml:space="preserve"> in the country, as some countries may exclude irregular migrants from accessing services. Even in </w:t>
      </w:r>
      <w:r w:rsidR="009B105B">
        <w:rPr>
          <w:rFonts w:ascii="Open Sans" w:hAnsi="Open Sans" w:cs="Open Sans"/>
          <w:color w:val="575756"/>
          <w:sz w:val="20"/>
        </w:rPr>
        <w:lastRenderedPageBreak/>
        <w:t>countries that not do so, adolescent migrant girls may lack information on their rights and may fear the consequences of their irregular status being found out by authorities</w:t>
      </w:r>
      <w:r w:rsidR="003C3F9F">
        <w:rPr>
          <w:rFonts w:ascii="Open Sans" w:hAnsi="Open Sans" w:cs="Open Sans"/>
          <w:color w:val="575756"/>
          <w:sz w:val="20"/>
        </w:rPr>
        <w:t>.</w:t>
      </w:r>
      <w:r w:rsidR="003C3F9F">
        <w:rPr>
          <w:rStyle w:val="FootnoteReference"/>
          <w:rFonts w:ascii="Open Sans" w:hAnsi="Open Sans" w:cs="Open Sans"/>
          <w:sz w:val="20"/>
        </w:rPr>
        <w:footnoteReference w:id="29"/>
      </w:r>
    </w:p>
    <w:p w14:paraId="08368EE1" w14:textId="7413916C" w:rsidR="006D6BA3" w:rsidRDefault="00F01991" w:rsidP="00092071">
      <w:pPr>
        <w:pStyle w:val="ListParagraph"/>
        <w:numPr>
          <w:ilvl w:val="0"/>
          <w:numId w:val="7"/>
        </w:numPr>
        <w:spacing w:before="160" w:after="160"/>
        <w:jc w:val="both"/>
        <w:rPr>
          <w:rFonts w:ascii="Open Sans" w:hAnsi="Open Sans" w:cs="Open Sans"/>
          <w:color w:val="575756"/>
          <w:sz w:val="20"/>
          <w:lang w:val="en-GB"/>
        </w:rPr>
      </w:pPr>
      <w:r w:rsidRPr="00092071">
        <w:rPr>
          <w:rFonts w:ascii="Open Sans" w:hAnsi="Open Sans" w:cs="Open Sans"/>
          <w:b/>
          <w:color w:val="575756"/>
          <w:sz w:val="20"/>
          <w:lang w:val="en-GB"/>
        </w:rPr>
        <w:t>Limited or no social network</w:t>
      </w:r>
      <w:r w:rsidRPr="00092071">
        <w:rPr>
          <w:rFonts w:ascii="Open Sans" w:hAnsi="Open Sans" w:cs="Open Sans"/>
          <w:color w:val="575756"/>
          <w:sz w:val="20"/>
          <w:lang w:val="en-GB"/>
        </w:rPr>
        <w:t>:</w:t>
      </w:r>
      <w:r w:rsidR="006D6BA3" w:rsidRPr="00092071">
        <w:rPr>
          <w:rFonts w:ascii="Open Sans" w:hAnsi="Open Sans" w:cs="Open Sans"/>
          <w:color w:val="575756"/>
          <w:sz w:val="20"/>
          <w:lang w:val="en-GB"/>
        </w:rPr>
        <w:t xml:space="preserve"> </w:t>
      </w:r>
      <w:r w:rsidR="00092071">
        <w:rPr>
          <w:rFonts w:ascii="Open Sans" w:hAnsi="Open Sans" w:cs="Open Sans"/>
          <w:color w:val="575756"/>
          <w:sz w:val="20"/>
          <w:lang w:val="en-GB"/>
        </w:rPr>
        <w:t>M</w:t>
      </w:r>
      <w:r w:rsidR="006D6BA3" w:rsidRPr="00092071">
        <w:rPr>
          <w:rFonts w:ascii="Open Sans" w:hAnsi="Open Sans" w:cs="Open Sans"/>
          <w:color w:val="575756"/>
          <w:sz w:val="20"/>
          <w:lang w:val="en-GB"/>
        </w:rPr>
        <w:t>igrant girls may experience greater social isolation upon arrival</w:t>
      </w:r>
      <w:r w:rsidR="00092071">
        <w:rPr>
          <w:rFonts w:ascii="Open Sans" w:hAnsi="Open Sans" w:cs="Open Sans"/>
          <w:color w:val="575756"/>
          <w:sz w:val="20"/>
          <w:lang w:val="en-GB"/>
        </w:rPr>
        <w:t xml:space="preserve"> than adolescent boys. This may be in part due to the type of work that migrant girls enter into (for example, domestic or sex work, which allows limited contact with the outside world), or due to so-called “protective” deprivation of liberty by the relative with whom the girl lives. </w:t>
      </w:r>
    </w:p>
    <w:p w14:paraId="0A3821F3" w14:textId="552E52E2" w:rsidR="00F01991" w:rsidRPr="00F01991" w:rsidRDefault="006D6BA3" w:rsidP="00F01991">
      <w:pPr>
        <w:spacing w:before="160" w:after="160"/>
        <w:jc w:val="both"/>
        <w:rPr>
          <w:rFonts w:ascii="Open Sans" w:hAnsi="Open Sans" w:cs="Open Sans"/>
          <w:color w:val="575756"/>
          <w:sz w:val="20"/>
        </w:rPr>
      </w:pPr>
      <w:r>
        <w:rPr>
          <w:rFonts w:ascii="Open Sans" w:hAnsi="Open Sans" w:cs="Open Sans"/>
          <w:color w:val="575756"/>
          <w:sz w:val="20"/>
        </w:rPr>
        <w:t>The increased vulnerability of migrant girls due to the aforementioned factors may lead to negative outcomes, which include, for example:</w:t>
      </w:r>
    </w:p>
    <w:p w14:paraId="07EB444F" w14:textId="3DDD6765" w:rsidR="006D6BA3" w:rsidRPr="006D6BA3" w:rsidRDefault="006D6BA3" w:rsidP="006D6BA3">
      <w:pPr>
        <w:pStyle w:val="ListParagraph"/>
        <w:numPr>
          <w:ilvl w:val="0"/>
          <w:numId w:val="7"/>
        </w:numPr>
        <w:spacing w:before="160" w:after="160"/>
        <w:jc w:val="both"/>
        <w:rPr>
          <w:rFonts w:ascii="Open Sans" w:hAnsi="Open Sans" w:cs="Open Sans"/>
          <w:color w:val="575756"/>
          <w:sz w:val="20"/>
        </w:rPr>
      </w:pPr>
      <w:r w:rsidRPr="006D6BA3">
        <w:rPr>
          <w:rFonts w:ascii="Open Sans" w:hAnsi="Open Sans" w:cs="Open Sans"/>
          <w:b/>
          <w:color w:val="575756"/>
          <w:sz w:val="20"/>
        </w:rPr>
        <w:t xml:space="preserve">Lack of access to services: </w:t>
      </w:r>
      <w:r w:rsidRPr="006D6BA3">
        <w:rPr>
          <w:rFonts w:ascii="Open Sans" w:hAnsi="Open Sans" w:cs="Open Sans"/>
          <w:color w:val="575756"/>
          <w:sz w:val="20"/>
        </w:rPr>
        <w:t xml:space="preserve">Migrant girls </w:t>
      </w:r>
      <w:r w:rsidR="009B105B">
        <w:rPr>
          <w:rFonts w:ascii="Open Sans" w:hAnsi="Open Sans" w:cs="Open Sans"/>
          <w:color w:val="575756"/>
          <w:sz w:val="20"/>
        </w:rPr>
        <w:t xml:space="preserve">face many barriers in accessing services. For example, migrant girls are less likely than their non-migrant counterparts to be in education They also face greater challenges accessing sexual and reproductive health services, and tend to have less information about their </w:t>
      </w:r>
      <w:r w:rsidR="00BD6047">
        <w:rPr>
          <w:rFonts w:ascii="Open Sans" w:hAnsi="Open Sans" w:cs="Open Sans"/>
          <w:color w:val="575756"/>
          <w:sz w:val="20"/>
        </w:rPr>
        <w:t>sexual and reproductive health.</w:t>
      </w:r>
      <w:r w:rsidR="00BD6047">
        <w:rPr>
          <w:rStyle w:val="FootnoteReference"/>
          <w:rFonts w:ascii="Open Sans" w:hAnsi="Open Sans" w:cs="Open Sans"/>
          <w:sz w:val="20"/>
        </w:rPr>
        <w:footnoteReference w:id="30"/>
      </w:r>
      <w:r w:rsidR="009B105B">
        <w:rPr>
          <w:rFonts w:ascii="Open Sans" w:hAnsi="Open Sans" w:cs="Open Sans"/>
          <w:color w:val="575756"/>
          <w:sz w:val="20"/>
        </w:rPr>
        <w:t xml:space="preserve">  The barriers migrant adolescent girls face in accessing these services stem from various sources. Some of these are administrative in nature, where service providers ask for documentation (not least of all proof of identity and/or legal status). Migrant girls may be excluded because of discrimination or because they lack information on available services. </w:t>
      </w:r>
    </w:p>
    <w:p w14:paraId="4A3CBA81" w14:textId="71CFE2CC" w:rsidR="00F01991" w:rsidRPr="009B105B" w:rsidRDefault="00F01991" w:rsidP="00B91D95">
      <w:pPr>
        <w:pStyle w:val="ListParagraph"/>
        <w:numPr>
          <w:ilvl w:val="0"/>
          <w:numId w:val="7"/>
        </w:numPr>
        <w:spacing w:before="160" w:after="160"/>
        <w:jc w:val="both"/>
        <w:rPr>
          <w:rFonts w:ascii="Open Sans" w:hAnsi="Open Sans" w:cs="Open Sans"/>
          <w:color w:val="575756"/>
          <w:sz w:val="20"/>
          <w:lang w:val="en-GB"/>
        </w:rPr>
      </w:pPr>
      <w:r w:rsidRPr="009B105B">
        <w:rPr>
          <w:rFonts w:ascii="Open Sans" w:hAnsi="Open Sans" w:cs="Open Sans"/>
          <w:b/>
          <w:color w:val="575756"/>
          <w:sz w:val="20"/>
        </w:rPr>
        <w:t>Exploitation by employers</w:t>
      </w:r>
      <w:r w:rsidR="00337355">
        <w:rPr>
          <w:rFonts w:ascii="Open Sans" w:hAnsi="Open Sans" w:cs="Open Sans"/>
          <w:b/>
          <w:color w:val="575756"/>
          <w:sz w:val="20"/>
        </w:rPr>
        <w:t xml:space="preserve"> (excluding child labour)</w:t>
      </w:r>
      <w:r w:rsidRPr="009B105B">
        <w:rPr>
          <w:rFonts w:ascii="Open Sans" w:hAnsi="Open Sans" w:cs="Open Sans"/>
          <w:color w:val="575756"/>
          <w:sz w:val="20"/>
        </w:rPr>
        <w:t>: Migrant girls are more likely to be in waged employment than non-migrant girls of th</w:t>
      </w:r>
      <w:r w:rsidR="00BD6047">
        <w:rPr>
          <w:rFonts w:ascii="Open Sans" w:hAnsi="Open Sans" w:cs="Open Sans"/>
          <w:color w:val="575756"/>
          <w:sz w:val="20"/>
        </w:rPr>
        <w:t>e same age.</w:t>
      </w:r>
      <w:r w:rsidR="00BD6047">
        <w:rPr>
          <w:rStyle w:val="FootnoteReference"/>
          <w:rFonts w:ascii="Open Sans" w:hAnsi="Open Sans" w:cs="Open Sans"/>
          <w:sz w:val="20"/>
        </w:rPr>
        <w:footnoteReference w:id="31"/>
      </w:r>
      <w:r w:rsidR="009B105B" w:rsidRPr="009B105B">
        <w:rPr>
          <w:rFonts w:ascii="Open Sans" w:hAnsi="Open Sans" w:cs="Open Sans"/>
          <w:color w:val="575756"/>
          <w:sz w:val="20"/>
        </w:rPr>
        <w:t xml:space="preserve"> However, </w:t>
      </w:r>
      <w:r w:rsidR="009B105B">
        <w:rPr>
          <w:rFonts w:ascii="Open Sans" w:hAnsi="Open Sans" w:cs="Open Sans"/>
          <w:color w:val="575756"/>
          <w:sz w:val="20"/>
        </w:rPr>
        <w:t xml:space="preserve">for the reasons mentioned above, they are more vulnerable to </w:t>
      </w:r>
      <w:r w:rsidRPr="009B105B">
        <w:rPr>
          <w:rFonts w:ascii="Open Sans" w:hAnsi="Open Sans" w:cs="Open Sans"/>
          <w:color w:val="575756"/>
          <w:sz w:val="20"/>
          <w:lang w:val="en-GB"/>
        </w:rPr>
        <w:t>exploitation in employment</w:t>
      </w:r>
      <w:r w:rsidR="00743A9F">
        <w:rPr>
          <w:rFonts w:ascii="Open Sans" w:hAnsi="Open Sans" w:cs="Open Sans"/>
          <w:color w:val="575756"/>
          <w:sz w:val="20"/>
          <w:lang w:val="en-GB"/>
        </w:rPr>
        <w:t>, for example being subjected to extended unpaid probation periods, working long hours, and receiving limited or no pay</w:t>
      </w:r>
      <w:r w:rsidR="009B105B">
        <w:rPr>
          <w:rFonts w:ascii="Open Sans" w:hAnsi="Open Sans" w:cs="Open Sans"/>
          <w:color w:val="575756"/>
          <w:sz w:val="20"/>
          <w:lang w:val="en-GB"/>
        </w:rPr>
        <w:t xml:space="preserve">. </w:t>
      </w:r>
      <w:r w:rsidR="00637C26">
        <w:rPr>
          <w:rFonts w:ascii="Open Sans" w:hAnsi="Open Sans" w:cs="Open Sans"/>
          <w:color w:val="575756"/>
          <w:sz w:val="20"/>
          <w:lang w:val="en-GB"/>
        </w:rPr>
        <w:t xml:space="preserve">Although both migrant boys and girls can find themselves in exploitative </w:t>
      </w:r>
      <w:r w:rsidR="00637C26">
        <w:rPr>
          <w:rFonts w:ascii="Open Sans" w:hAnsi="Open Sans" w:cs="Open Sans"/>
          <w:color w:val="575756"/>
          <w:sz w:val="20"/>
          <w:lang w:val="en-GB"/>
        </w:rPr>
        <w:lastRenderedPageBreak/>
        <w:t xml:space="preserve">work, girls tend </w:t>
      </w:r>
      <w:r w:rsidR="00637C26" w:rsidRPr="00FC46FF">
        <w:rPr>
          <w:rFonts w:ascii="Open Sans" w:hAnsi="Open Sans" w:cs="Open Sans"/>
          <w:color w:val="575756"/>
          <w:sz w:val="20"/>
          <w:lang w:val="en-GB"/>
        </w:rPr>
        <w:t>to be in employment that pays lower and has worse protection</w:t>
      </w:r>
      <w:r w:rsidR="00B91D95">
        <w:rPr>
          <w:rFonts w:ascii="Open Sans" w:hAnsi="Open Sans" w:cs="Open Sans"/>
          <w:color w:val="575756"/>
          <w:sz w:val="20"/>
          <w:lang w:val="en-GB"/>
        </w:rPr>
        <w:t>, as y</w:t>
      </w:r>
      <w:r w:rsidR="00B91D95" w:rsidRPr="00B91D95">
        <w:rPr>
          <w:rFonts w:ascii="Open Sans" w:hAnsi="Open Sans" w:cs="Open Sans"/>
          <w:color w:val="575756"/>
          <w:sz w:val="20"/>
          <w:lang w:val="en-GB"/>
        </w:rPr>
        <w:t xml:space="preserve">oung migrant women often have </w:t>
      </w:r>
      <w:r w:rsidR="00B91D95">
        <w:rPr>
          <w:rFonts w:ascii="Open Sans" w:hAnsi="Open Sans" w:cs="Open Sans"/>
          <w:color w:val="575756"/>
          <w:sz w:val="20"/>
          <w:lang w:val="en-GB"/>
        </w:rPr>
        <w:t>less</w:t>
      </w:r>
      <w:r w:rsidR="00B91D95" w:rsidRPr="00B91D95">
        <w:rPr>
          <w:rFonts w:ascii="Open Sans" w:hAnsi="Open Sans" w:cs="Open Sans"/>
          <w:color w:val="575756"/>
          <w:sz w:val="20"/>
          <w:lang w:val="en-GB"/>
        </w:rPr>
        <w:t xml:space="preserve"> power to negotiate their living and working conditions with their employers</w:t>
      </w:r>
      <w:r w:rsidR="00B91D95">
        <w:rPr>
          <w:rFonts w:ascii="Open Sans" w:hAnsi="Open Sans" w:cs="Open Sans"/>
          <w:color w:val="575756"/>
          <w:sz w:val="20"/>
          <w:lang w:val="en-GB"/>
        </w:rPr>
        <w:t>.</w:t>
      </w:r>
    </w:p>
    <w:p w14:paraId="680E285A" w14:textId="26C8E373" w:rsidR="000A469A" w:rsidRPr="00BC2D99" w:rsidRDefault="006D6BA3" w:rsidP="00BC2D99">
      <w:pPr>
        <w:pStyle w:val="ListParagraph"/>
        <w:numPr>
          <w:ilvl w:val="0"/>
          <w:numId w:val="7"/>
        </w:numPr>
        <w:spacing w:before="160" w:after="160"/>
        <w:jc w:val="both"/>
        <w:rPr>
          <w:rFonts w:ascii="Open Sans" w:hAnsi="Open Sans" w:cs="Open Sans"/>
          <w:color w:val="575756"/>
          <w:sz w:val="20"/>
        </w:rPr>
      </w:pPr>
      <w:r w:rsidRPr="00637C26">
        <w:rPr>
          <w:rFonts w:ascii="Open Sans" w:hAnsi="Open Sans" w:cs="Open Sans"/>
          <w:b/>
          <w:color w:val="575756"/>
          <w:sz w:val="20"/>
          <w:lang w:val="en-GB"/>
        </w:rPr>
        <w:t xml:space="preserve">Sexual </w:t>
      </w:r>
      <w:r w:rsidRPr="00637C26">
        <w:rPr>
          <w:rFonts w:ascii="Open Sans" w:hAnsi="Open Sans" w:cs="Open Sans"/>
          <w:b/>
          <w:color w:val="575756"/>
          <w:sz w:val="20"/>
        </w:rPr>
        <w:t xml:space="preserve">exploitation: </w:t>
      </w:r>
      <w:r w:rsidR="000A469A" w:rsidRPr="00637C26">
        <w:rPr>
          <w:rFonts w:ascii="Open Sans" w:hAnsi="Open Sans" w:cs="Open Sans"/>
          <w:color w:val="575756"/>
          <w:sz w:val="20"/>
        </w:rPr>
        <w:t>There is</w:t>
      </w:r>
      <w:r w:rsidR="00637C26" w:rsidRPr="00637C26">
        <w:rPr>
          <w:rFonts w:ascii="Open Sans" w:hAnsi="Open Sans" w:cs="Open Sans"/>
          <w:color w:val="575756"/>
          <w:sz w:val="20"/>
        </w:rPr>
        <w:t xml:space="preserve"> also</w:t>
      </w:r>
      <w:r w:rsidR="000A469A" w:rsidRPr="00637C26">
        <w:rPr>
          <w:rFonts w:ascii="Open Sans" w:hAnsi="Open Sans" w:cs="Open Sans"/>
          <w:color w:val="575756"/>
          <w:sz w:val="20"/>
        </w:rPr>
        <w:t xml:space="preserve"> evidence of a strong link between adolescent girls’ migration and commercial sexual exploitation</w:t>
      </w:r>
      <w:r w:rsidR="00637C26" w:rsidRPr="00637C26">
        <w:rPr>
          <w:rFonts w:ascii="Open Sans" w:hAnsi="Open Sans" w:cs="Open Sans"/>
          <w:color w:val="575756"/>
          <w:sz w:val="20"/>
        </w:rPr>
        <w:t>.</w:t>
      </w:r>
      <w:r w:rsidR="000A469A" w:rsidRPr="00637C26">
        <w:rPr>
          <w:rFonts w:ascii="Open Sans" w:hAnsi="Open Sans" w:cs="Open Sans"/>
          <w:color w:val="575756"/>
          <w:sz w:val="20"/>
        </w:rPr>
        <w:t xml:space="preserve"> </w:t>
      </w:r>
      <w:r w:rsidR="00BC2D99">
        <w:rPr>
          <w:rFonts w:ascii="Open Sans" w:hAnsi="Open Sans" w:cs="Open Sans"/>
          <w:color w:val="575756"/>
          <w:sz w:val="20"/>
        </w:rPr>
        <w:t>Some studies have found</w:t>
      </w:r>
      <w:r w:rsidR="00637C26" w:rsidRPr="00637C26">
        <w:rPr>
          <w:rFonts w:ascii="Open Sans" w:hAnsi="Open Sans" w:cs="Open Sans"/>
          <w:color w:val="575756"/>
          <w:sz w:val="20"/>
        </w:rPr>
        <w:t xml:space="preserve"> that </w:t>
      </w:r>
      <w:r w:rsidR="00BC2D99">
        <w:rPr>
          <w:rFonts w:ascii="Open Sans" w:hAnsi="Open Sans" w:cs="Open Sans"/>
          <w:color w:val="575756"/>
          <w:sz w:val="20"/>
        </w:rPr>
        <w:t xml:space="preserve">migrants made up anywhere from 30-90% of all sexual exploited young people. </w:t>
      </w:r>
      <w:r w:rsidR="000A469A" w:rsidRPr="00BC2D99">
        <w:rPr>
          <w:rFonts w:ascii="Open Sans" w:hAnsi="Open Sans" w:cs="Open Sans"/>
          <w:color w:val="575756"/>
          <w:sz w:val="20"/>
          <w:lang w:val="en-GB"/>
        </w:rPr>
        <w:t>Girls cite pressure to support their families as one reason they end up sexually exploited.</w:t>
      </w:r>
      <w:r w:rsidR="00BD6047">
        <w:rPr>
          <w:rStyle w:val="FootnoteReference"/>
          <w:rFonts w:ascii="Open Sans" w:hAnsi="Open Sans" w:cs="Open Sans"/>
          <w:sz w:val="20"/>
          <w:lang w:val="en-GB"/>
        </w:rPr>
        <w:footnoteReference w:id="32"/>
      </w:r>
    </w:p>
    <w:p w14:paraId="734AA2BC" w14:textId="15B8F85B" w:rsidR="00BC2D99" w:rsidRPr="00FC46FF" w:rsidRDefault="007E6A01" w:rsidP="00BC2D99">
      <w:pPr>
        <w:pStyle w:val="Heading3"/>
        <w:rPr>
          <w:lang w:val="en-GB"/>
        </w:rPr>
      </w:pPr>
      <w:r>
        <w:rPr>
          <w:rFonts w:eastAsia="Calibri"/>
          <w:lang w:val="en-GB"/>
        </w:rPr>
        <w:t>Humanitarian contexts</w:t>
      </w:r>
      <w:r w:rsidR="00BC2D99" w:rsidRPr="00FC46FF">
        <w:rPr>
          <w:rFonts w:eastAsia="Calibri"/>
          <w:lang w:val="en-GB"/>
        </w:rPr>
        <w:t>:</w:t>
      </w:r>
    </w:p>
    <w:p w14:paraId="1152095A" w14:textId="45BC212E" w:rsidR="00BC2D99" w:rsidRPr="00BC2D99" w:rsidRDefault="00BC2D99" w:rsidP="00BC2D99">
      <w:pPr>
        <w:pStyle w:val="Body"/>
      </w:pPr>
      <w:r w:rsidRPr="00BC2D99">
        <w:t xml:space="preserve">In many cities, groups of migrant girls include some who were forced to move by humanitarian emergencies. Estimates of the total number of </w:t>
      </w:r>
      <w:r w:rsidR="007E6A01">
        <w:t>displaced adolescent girls are uncertain; t</w:t>
      </w:r>
      <w:r w:rsidRPr="00BC2D99">
        <w:t>his absence of quantitative evidence on displaced adolescent girls highlights another research priority</w:t>
      </w:r>
      <w:r w:rsidR="00865227">
        <w:t>.</w:t>
      </w:r>
      <w:r w:rsidR="00865227">
        <w:rPr>
          <w:rStyle w:val="FootnoteReference"/>
        </w:rPr>
        <w:footnoteReference w:id="33"/>
      </w:r>
      <w:r w:rsidRPr="00BC2D99">
        <w:t xml:space="preserve"> </w:t>
      </w:r>
      <w:r w:rsidR="007E6A01">
        <w:t>Forcibly</w:t>
      </w:r>
      <w:r w:rsidRPr="00BC2D99">
        <w:t xml:space="preserve"> displaced adolescent girls have much in common with girls who move in response to personal or family crises such as the death of a family member, since these girls tend to change residence frequently and experience numerous social and health problems</w:t>
      </w:r>
      <w:r w:rsidR="00865227">
        <w:rPr>
          <w:rStyle w:val="FootnoteReference"/>
        </w:rPr>
        <w:footnoteReference w:id="34"/>
      </w:r>
      <w:r w:rsidR="00865227" w:rsidRPr="00865227">
        <w:rPr>
          <w:vertAlign w:val="superscript"/>
        </w:rPr>
        <w:t>,</w:t>
      </w:r>
      <w:r w:rsidRPr="00BC2D99">
        <w:t xml:space="preserve"> </w:t>
      </w:r>
      <w:r w:rsidR="00865227">
        <w:rPr>
          <w:rStyle w:val="FootnoteReference"/>
        </w:rPr>
        <w:footnoteReference w:id="35"/>
      </w:r>
      <w:r w:rsidRPr="00BC2D99">
        <w:t xml:space="preserve"> </w:t>
      </w:r>
    </w:p>
    <w:p w14:paraId="26E1A2A4" w14:textId="73975F2E" w:rsidR="007E6A01" w:rsidRDefault="007E6A01" w:rsidP="00BC2D99">
      <w:pPr>
        <w:pStyle w:val="Body"/>
      </w:pPr>
      <w:r w:rsidRPr="00337355">
        <w:t xml:space="preserve">Forced displacement renders children, particularly girls and </w:t>
      </w:r>
      <w:r>
        <w:t>unaccompanied and separated children (UASC)</w:t>
      </w:r>
      <w:r w:rsidRPr="00337355">
        <w:t>, extremely vulnerable to human trafficking at all stages of displacement – including on journeys and in refugee or displacement camps. Trafficking victims can be forced into com</w:t>
      </w:r>
      <w:r w:rsidRPr="00337355">
        <w:lastRenderedPageBreak/>
        <w:t>mercial sexual exploitation, especially prostitution, and other forms of exploitation including domestic labour.</w:t>
      </w:r>
      <w:r>
        <w:rPr>
          <w:rStyle w:val="FootnoteReference"/>
        </w:rPr>
        <w:footnoteReference w:id="36"/>
      </w:r>
      <w:r w:rsidRPr="007E6A01">
        <w:rPr>
          <w:vertAlign w:val="superscript"/>
        </w:rPr>
        <w:t>,</w:t>
      </w:r>
      <w:r>
        <w:t xml:space="preserve"> </w:t>
      </w:r>
      <w:r w:rsidRPr="00BC2D99">
        <w:rPr>
          <w:rStyle w:val="FootnoteReference"/>
        </w:rPr>
        <w:footnoteReference w:id="37"/>
      </w:r>
      <w:r w:rsidRPr="00BC2D99">
        <w:t xml:space="preserve"> </w:t>
      </w:r>
      <w:r>
        <w:t>In conflict settings, i</w:t>
      </w:r>
      <w:r w:rsidR="00BC2D99" w:rsidRPr="00BC2D99">
        <w:t>t is estimated that between 10 and 30 percent of children used for military purposes are girls, and it is likely that the actual number is higher, given that use of girls by armed groups or forced are often more hidden – for example as domestic servants, cooks, wives - and they are particularly vulnerable to sexual exploitation.</w:t>
      </w:r>
      <w:r w:rsidR="00BC2D99" w:rsidRPr="00BC2D99">
        <w:rPr>
          <w:rStyle w:val="FootnoteReference"/>
        </w:rPr>
        <w:footnoteReference w:id="38"/>
      </w:r>
      <w:r w:rsidRPr="007E6A01">
        <w:rPr>
          <w:vertAlign w:val="superscript"/>
        </w:rPr>
        <w:t>,</w:t>
      </w:r>
      <w:r>
        <w:t xml:space="preserve"> </w:t>
      </w:r>
      <w:r w:rsidRPr="00BC2D99">
        <w:rPr>
          <w:rStyle w:val="FootnoteReference"/>
        </w:rPr>
        <w:footnoteReference w:id="39"/>
      </w:r>
      <w:r>
        <w:t xml:space="preserve"> </w:t>
      </w:r>
    </w:p>
    <w:p w14:paraId="0691B1DF" w14:textId="7B6A2908" w:rsidR="007E6A01" w:rsidRPr="00BC2D99" w:rsidRDefault="00BC2D99" w:rsidP="00BC2D99">
      <w:pPr>
        <w:pStyle w:val="Body"/>
      </w:pPr>
      <w:r w:rsidRPr="00BC2D99">
        <w:t>Pre-crisis gender norms</w:t>
      </w:r>
      <w:r w:rsidR="00292BBD">
        <w:t xml:space="preserve">, stereotypes and </w:t>
      </w:r>
      <w:r w:rsidRPr="00BC2D99">
        <w:t xml:space="preserve">power dynamics are often amplified in </w:t>
      </w:r>
      <w:r w:rsidR="007E6A01">
        <w:t>humanitarian</w:t>
      </w:r>
      <w:r w:rsidRPr="00BC2D99">
        <w:t xml:space="preserve"> </w:t>
      </w:r>
      <w:r w:rsidR="007E6A01">
        <w:t>settings</w:t>
      </w:r>
      <w:r w:rsidRPr="00BC2D99">
        <w:t>, resulting in distinctive perils for girls. Multiple and intersecting forms of discrimination based on gender and age mean that girls hold little to no political, social or economic power. Humanitarian situations not only exacerbate girls’ vulnerability to violations of their rights but also strain and even break down familial and societal structures that previously would have protected girls.</w:t>
      </w:r>
      <w:r w:rsidRPr="00BC2D99">
        <w:rPr>
          <w:rStyle w:val="FootnoteReference"/>
        </w:rPr>
        <w:footnoteReference w:id="40"/>
      </w:r>
      <w:r w:rsidRPr="00BC2D99">
        <w:t xml:space="preserve"> </w:t>
      </w:r>
    </w:p>
    <w:p w14:paraId="53E0BF51" w14:textId="77777777" w:rsidR="00BC2D99" w:rsidRPr="00FC46FF" w:rsidRDefault="00BC2D99" w:rsidP="00BC2D99">
      <w:pPr>
        <w:pStyle w:val="Heading3"/>
        <w:rPr>
          <w:rFonts w:eastAsia="Calibri"/>
          <w:bdr w:val="none" w:sz="0" w:space="0" w:color="auto"/>
          <w:lang w:eastAsia="en-GB"/>
        </w:rPr>
      </w:pPr>
      <w:r>
        <w:rPr>
          <w:rFonts w:eastAsia="Calibri"/>
          <w:bdr w:val="none" w:sz="0" w:space="0" w:color="auto"/>
          <w:lang w:eastAsia="en-GB"/>
        </w:rPr>
        <w:t>Marriage, m</w:t>
      </w:r>
      <w:r w:rsidRPr="00FC46FF">
        <w:rPr>
          <w:rFonts w:eastAsia="Calibri"/>
          <w:bdr w:val="none" w:sz="0" w:space="0" w:color="auto"/>
          <w:lang w:eastAsia="en-GB"/>
        </w:rPr>
        <w:t>igration and trafficking</w:t>
      </w:r>
    </w:p>
    <w:p w14:paraId="7514A123" w14:textId="4D446627" w:rsidR="00BC2D99" w:rsidRPr="00384728" w:rsidRDefault="00BC2D99" w:rsidP="00BC2D99">
      <w:pPr>
        <w:pStyle w:val="Body"/>
        <w:numPr>
          <w:ilvl w:val="0"/>
          <w:numId w:val="7"/>
        </w:numPr>
      </w:pPr>
      <w:r w:rsidRPr="00637C26">
        <w:rPr>
          <w:b/>
        </w:rPr>
        <w:t>Migration for the purposes of marriage:</w:t>
      </w:r>
      <w:r>
        <w:t xml:space="preserve"> Marriage is sometimes cited as a primary motivation for adolescent girls’ migration.</w:t>
      </w:r>
      <w:r w:rsidR="00BD6047">
        <w:rPr>
          <w:rStyle w:val="FootnoteReference"/>
        </w:rPr>
        <w:footnoteReference w:id="41"/>
      </w:r>
    </w:p>
    <w:p w14:paraId="3376A43E" w14:textId="0FEA9087" w:rsidR="00BC2D99" w:rsidRDefault="00BC2D99" w:rsidP="00BC2D99">
      <w:pPr>
        <w:pStyle w:val="Body"/>
        <w:numPr>
          <w:ilvl w:val="0"/>
          <w:numId w:val="7"/>
        </w:numPr>
      </w:pPr>
      <w:r w:rsidRPr="00637C26">
        <w:rPr>
          <w:b/>
        </w:rPr>
        <w:t>Child marriage as a form of trafficking:</w:t>
      </w:r>
      <w:r>
        <w:t xml:space="preserve"> </w:t>
      </w:r>
      <w:r w:rsidRPr="00FC46FF">
        <w:t xml:space="preserve">Studies have shown that some child marriages have </w:t>
      </w:r>
      <w:r w:rsidR="00743A9F">
        <w:t>en</w:t>
      </w:r>
      <w:r w:rsidRPr="00FC46FF">
        <w:t>slave</w:t>
      </w:r>
      <w:r w:rsidR="00743A9F">
        <w:t>ment</w:t>
      </w:r>
      <w:r w:rsidRPr="00FC46FF">
        <w:t xml:space="preserve">-like characteristics similar to those of child trafficking and can thus be </w:t>
      </w:r>
      <w:r w:rsidRPr="00FC46FF">
        <w:lastRenderedPageBreak/>
        <w:t xml:space="preserve">argued to be a form of trafficking: </w:t>
      </w:r>
      <w:r>
        <w:t>girls</w:t>
      </w:r>
      <w:r w:rsidRPr="00FC46FF">
        <w:t xml:space="preserve"> coerced into forced marriage can be made to engage in acts similar to victims of sex and labour trafficking</w:t>
      </w:r>
      <w:r w:rsidRPr="00FC46FF">
        <w:rPr>
          <w:vertAlign w:val="superscript"/>
        </w:rPr>
        <w:footnoteReference w:id="42"/>
      </w:r>
      <w:r w:rsidR="003C3F9F" w:rsidRPr="003C3F9F">
        <w:rPr>
          <w:vertAlign w:val="superscript"/>
        </w:rPr>
        <w:t>,</w:t>
      </w:r>
      <w:r w:rsidR="003C3F9F">
        <w:rPr>
          <w:vertAlign w:val="superscript"/>
        </w:rPr>
        <w:t xml:space="preserve"> </w:t>
      </w:r>
      <w:r w:rsidR="0043569A">
        <w:rPr>
          <w:rStyle w:val="FootnoteReference"/>
        </w:rPr>
        <w:footnoteReference w:id="43"/>
      </w:r>
      <w:r w:rsidR="003C3F9F">
        <w:rPr>
          <w:rStyle w:val="FootnoteReference"/>
        </w:rPr>
        <w:footnoteReference w:id="44"/>
      </w:r>
    </w:p>
    <w:p w14:paraId="6987A0FC" w14:textId="77777777" w:rsidR="00BC2D99" w:rsidRDefault="00BC2D99" w:rsidP="00BC2D99">
      <w:pPr>
        <w:pStyle w:val="Body"/>
        <w:numPr>
          <w:ilvl w:val="0"/>
          <w:numId w:val="7"/>
        </w:numPr>
      </w:pPr>
      <w:r w:rsidRPr="00637C26">
        <w:rPr>
          <w:b/>
        </w:rPr>
        <w:t>Marriage as a pretext for trafficking</w:t>
      </w:r>
      <w:r>
        <w:t xml:space="preserve">: </w:t>
      </w:r>
      <w:r w:rsidRPr="00FC46FF">
        <w:t>In other cases, girls can be trafficked under the pretext of marriage, are imprisoned, threatened and abused upon reaching their destination, and forced into activities such as prostitution and domestic servitude</w:t>
      </w:r>
      <w:r w:rsidRPr="00FC46FF">
        <w:rPr>
          <w:vertAlign w:val="superscript"/>
        </w:rPr>
        <w:footnoteReference w:id="45"/>
      </w:r>
      <w:r w:rsidRPr="00FC46FF">
        <w:t xml:space="preserve">. </w:t>
      </w:r>
    </w:p>
    <w:p w14:paraId="01A827B3" w14:textId="383BCBA4" w:rsidR="000A469A" w:rsidRPr="00FC46FF" w:rsidRDefault="000A469A" w:rsidP="000A469A">
      <w:pPr>
        <w:pStyle w:val="Heading3"/>
        <w:rPr>
          <w:lang w:val="en-GB"/>
        </w:rPr>
      </w:pPr>
      <w:r w:rsidRPr="00FC46FF">
        <w:rPr>
          <w:lang w:val="en-GB"/>
        </w:rPr>
        <w:t>Facilitators of safe migration for adolescent girls</w:t>
      </w:r>
    </w:p>
    <w:p w14:paraId="5DB2CA35" w14:textId="4A7D290B" w:rsidR="00BC2D99" w:rsidRPr="00BC2D99" w:rsidRDefault="00BC2D99" w:rsidP="00FC46FF">
      <w:pPr>
        <w:pStyle w:val="Subtitle"/>
      </w:pPr>
      <w:r w:rsidRPr="00BC2D99">
        <w:rPr>
          <w:i w:val="0"/>
        </w:rPr>
        <w:t xml:space="preserve">In order to ensure safety for girls in the context of  global migration and ensure they do not become victims of trafficking, it is critical to work at </w:t>
      </w:r>
      <w:r w:rsidR="007E6A01">
        <w:rPr>
          <w:i w:val="0"/>
        </w:rPr>
        <w:t xml:space="preserve">all </w:t>
      </w:r>
      <w:r w:rsidRPr="00BC2D99">
        <w:rPr>
          <w:i w:val="0"/>
        </w:rPr>
        <w:t xml:space="preserve">stages of the migration process. </w:t>
      </w:r>
    </w:p>
    <w:p w14:paraId="0E70F6D0" w14:textId="655A708B" w:rsidR="000A469A" w:rsidRPr="00BC2D99" w:rsidRDefault="000A469A" w:rsidP="00FC46FF">
      <w:pPr>
        <w:pStyle w:val="Subtitle"/>
      </w:pPr>
      <w:r w:rsidRPr="00BC2D99">
        <w:t>Pre-migration facilitators</w:t>
      </w:r>
    </w:p>
    <w:p w14:paraId="19AD04B4" w14:textId="45116CEA" w:rsidR="00BC2D99" w:rsidRPr="00BC2D99" w:rsidRDefault="00BC2D99" w:rsidP="00BC2D99">
      <w:pPr>
        <w:pStyle w:val="Body"/>
      </w:pPr>
      <w:r w:rsidRPr="00BC2D99">
        <w:t>Before</w:t>
      </w:r>
      <w:r w:rsidR="00F71462">
        <w:t xml:space="preserve"> migration, steps can be taken to provide options for adolescent girls to stay home if they choose to, or to ensure that they have the resources (information, finances, network, etc.) to be able to migrate safely if they choose to do so. This can be done through pro</w:t>
      </w:r>
      <w:r w:rsidR="00BD6047">
        <w:t>viding adolescent girls with</w:t>
      </w:r>
      <w:r w:rsidR="00F71462">
        <w:t>:</w:t>
      </w:r>
      <w:r w:rsidR="00BD6047">
        <w:rPr>
          <w:rStyle w:val="FootnoteReference"/>
        </w:rPr>
        <w:footnoteReference w:id="46"/>
      </w:r>
      <w:r w:rsidR="00F71462">
        <w:t xml:space="preserve"> </w:t>
      </w:r>
    </w:p>
    <w:p w14:paraId="1EB94475" w14:textId="77777777" w:rsidR="000A469A" w:rsidRPr="00F71462" w:rsidRDefault="000A469A" w:rsidP="00FC46FF">
      <w:pPr>
        <w:pStyle w:val="ListParagraph"/>
        <w:numPr>
          <w:ilvl w:val="0"/>
          <w:numId w:val="7"/>
        </w:numPr>
        <w:spacing w:before="160" w:after="160"/>
        <w:jc w:val="both"/>
        <w:rPr>
          <w:rFonts w:ascii="Open Sans" w:hAnsi="Open Sans" w:cs="Open Sans"/>
          <w:color w:val="575756"/>
          <w:sz w:val="20"/>
          <w:lang w:val="en-GB"/>
        </w:rPr>
      </w:pPr>
      <w:r w:rsidRPr="00F71462">
        <w:rPr>
          <w:rFonts w:ascii="Open Sans" w:hAnsi="Open Sans" w:cs="Open Sans"/>
          <w:color w:val="575756"/>
          <w:sz w:val="20"/>
          <w:lang w:val="en-GB"/>
        </w:rPr>
        <w:t>Accessible and relevant education (formal and non-formal)</w:t>
      </w:r>
    </w:p>
    <w:p w14:paraId="44840D80" w14:textId="77777777" w:rsidR="000A469A" w:rsidRPr="00F71462" w:rsidRDefault="000A469A" w:rsidP="00FC46FF">
      <w:pPr>
        <w:pStyle w:val="ListParagraph"/>
        <w:numPr>
          <w:ilvl w:val="0"/>
          <w:numId w:val="7"/>
        </w:numPr>
        <w:spacing w:before="160" w:after="160"/>
        <w:jc w:val="both"/>
        <w:rPr>
          <w:rFonts w:ascii="Open Sans" w:hAnsi="Open Sans" w:cs="Open Sans"/>
          <w:color w:val="575756"/>
          <w:sz w:val="20"/>
          <w:lang w:val="en-GB"/>
        </w:rPr>
      </w:pPr>
      <w:r w:rsidRPr="00F71462">
        <w:rPr>
          <w:rFonts w:ascii="Open Sans" w:hAnsi="Open Sans" w:cs="Open Sans"/>
          <w:color w:val="575756"/>
          <w:sz w:val="20"/>
          <w:lang w:val="en-GB"/>
        </w:rPr>
        <w:t>Life skills</w:t>
      </w:r>
    </w:p>
    <w:p w14:paraId="1906CEE7" w14:textId="51139FEA" w:rsidR="000A469A" w:rsidRPr="00F71462" w:rsidRDefault="000A469A" w:rsidP="00FC46FF">
      <w:pPr>
        <w:pStyle w:val="ListParagraph"/>
        <w:numPr>
          <w:ilvl w:val="0"/>
          <w:numId w:val="7"/>
        </w:numPr>
        <w:spacing w:before="160" w:after="160"/>
        <w:jc w:val="both"/>
        <w:rPr>
          <w:rFonts w:ascii="Open Sans" w:hAnsi="Open Sans" w:cs="Open Sans"/>
          <w:color w:val="575756"/>
          <w:sz w:val="20"/>
          <w:lang w:val="en-GB"/>
        </w:rPr>
      </w:pPr>
      <w:r w:rsidRPr="00F71462">
        <w:rPr>
          <w:rFonts w:ascii="Open Sans" w:hAnsi="Open Sans" w:cs="Open Sans"/>
          <w:color w:val="575756"/>
          <w:sz w:val="20"/>
          <w:lang w:val="en-GB"/>
        </w:rPr>
        <w:t>Vocational training</w:t>
      </w:r>
      <w:r w:rsidR="00AE4DC0">
        <w:rPr>
          <w:rFonts w:ascii="Open Sans" w:hAnsi="Open Sans" w:cs="Open Sans"/>
          <w:color w:val="575756"/>
          <w:sz w:val="20"/>
          <w:lang w:val="en-GB"/>
        </w:rPr>
        <w:t xml:space="preserve"> and access to decent and sustainable livelihoods</w:t>
      </w:r>
    </w:p>
    <w:p w14:paraId="353C40DF" w14:textId="744008B8" w:rsidR="000A469A" w:rsidRPr="00F71462" w:rsidRDefault="00F71462" w:rsidP="00FC46FF">
      <w:pPr>
        <w:pStyle w:val="ListParagraph"/>
        <w:numPr>
          <w:ilvl w:val="0"/>
          <w:numId w:val="7"/>
        </w:numPr>
        <w:spacing w:before="160" w:after="160"/>
        <w:jc w:val="both"/>
        <w:rPr>
          <w:rFonts w:ascii="Open Sans" w:hAnsi="Open Sans" w:cs="Open Sans"/>
          <w:color w:val="575756"/>
          <w:sz w:val="20"/>
          <w:lang w:val="en-GB"/>
        </w:rPr>
      </w:pPr>
      <w:r>
        <w:rPr>
          <w:rFonts w:ascii="Open Sans" w:hAnsi="Open Sans" w:cs="Open Sans"/>
          <w:color w:val="575756"/>
          <w:sz w:val="20"/>
          <w:lang w:val="en-GB"/>
        </w:rPr>
        <w:t>Bank accounts</w:t>
      </w:r>
      <w:r w:rsidRPr="00F71462">
        <w:rPr>
          <w:rFonts w:ascii="Open Sans" w:hAnsi="Open Sans" w:cs="Open Sans"/>
          <w:color w:val="575756"/>
          <w:sz w:val="20"/>
          <w:lang w:val="en-GB"/>
        </w:rPr>
        <w:t xml:space="preserve"> </w:t>
      </w:r>
      <w:r>
        <w:rPr>
          <w:rFonts w:ascii="Open Sans" w:hAnsi="Open Sans" w:cs="Open Sans"/>
          <w:color w:val="575756"/>
          <w:sz w:val="20"/>
          <w:lang w:val="en-GB"/>
        </w:rPr>
        <w:t xml:space="preserve">(such as </w:t>
      </w:r>
      <w:r w:rsidRPr="00F71462">
        <w:rPr>
          <w:rFonts w:ascii="Open Sans" w:hAnsi="Open Sans" w:cs="Open Sans"/>
          <w:color w:val="575756"/>
          <w:sz w:val="20"/>
          <w:lang w:val="en-GB"/>
        </w:rPr>
        <w:t>mobile savings accounts</w:t>
      </w:r>
      <w:r>
        <w:rPr>
          <w:rFonts w:ascii="Open Sans" w:hAnsi="Open Sans" w:cs="Open Sans"/>
          <w:color w:val="575756"/>
          <w:sz w:val="20"/>
          <w:lang w:val="en-GB"/>
        </w:rPr>
        <w:t>)</w:t>
      </w:r>
    </w:p>
    <w:p w14:paraId="63917364" w14:textId="7BF15348" w:rsidR="000A469A" w:rsidRPr="00F71462" w:rsidRDefault="000A469A" w:rsidP="00FC46FF">
      <w:pPr>
        <w:pStyle w:val="ListParagraph"/>
        <w:numPr>
          <w:ilvl w:val="0"/>
          <w:numId w:val="7"/>
        </w:numPr>
        <w:spacing w:before="160" w:after="160"/>
        <w:jc w:val="both"/>
        <w:rPr>
          <w:rFonts w:ascii="Open Sans" w:hAnsi="Open Sans" w:cs="Open Sans"/>
          <w:color w:val="575756"/>
          <w:sz w:val="20"/>
          <w:lang w:val="en-GB"/>
        </w:rPr>
      </w:pPr>
      <w:r w:rsidRPr="00F71462">
        <w:rPr>
          <w:rFonts w:ascii="Open Sans" w:hAnsi="Open Sans" w:cs="Open Sans"/>
          <w:color w:val="575756"/>
          <w:sz w:val="20"/>
          <w:lang w:val="en-GB"/>
        </w:rPr>
        <w:lastRenderedPageBreak/>
        <w:t>Portable ass</w:t>
      </w:r>
      <w:r w:rsidR="00F71462">
        <w:rPr>
          <w:rFonts w:ascii="Open Sans" w:hAnsi="Open Sans" w:cs="Open Sans"/>
          <w:color w:val="575756"/>
          <w:sz w:val="20"/>
          <w:lang w:val="en-GB"/>
        </w:rPr>
        <w:t xml:space="preserve">ets such as birth certificates and </w:t>
      </w:r>
      <w:r w:rsidRPr="00F71462">
        <w:rPr>
          <w:rFonts w:ascii="Open Sans" w:hAnsi="Open Sans" w:cs="Open Sans"/>
          <w:color w:val="575756"/>
          <w:sz w:val="20"/>
          <w:lang w:val="en-GB"/>
        </w:rPr>
        <w:t>identity cards</w:t>
      </w:r>
    </w:p>
    <w:p w14:paraId="1B5E8D39" w14:textId="769A1AB9" w:rsidR="000A469A" w:rsidRPr="00F71462" w:rsidRDefault="000A469A" w:rsidP="000A469A">
      <w:pPr>
        <w:pStyle w:val="Subtitle"/>
      </w:pPr>
      <w:r w:rsidRPr="00F71462">
        <w:t xml:space="preserve">Facilitators in-transit and upon arrival </w:t>
      </w:r>
    </w:p>
    <w:p w14:paraId="566F07EA" w14:textId="1EEBD34B" w:rsidR="00F71462" w:rsidRPr="00F71462" w:rsidRDefault="00F71462" w:rsidP="00F71462">
      <w:pPr>
        <w:pStyle w:val="Body"/>
      </w:pPr>
      <w:r w:rsidRPr="00F71462">
        <w:t xml:space="preserve">Once adolescent </w:t>
      </w:r>
      <w:r>
        <w:t xml:space="preserve">girls embark on their migration journey, </w:t>
      </w:r>
      <w:r w:rsidR="00D22CB4">
        <w:t>there are a number of factors that facilitate their safe migration. These include:</w:t>
      </w:r>
      <w:r w:rsidR="00BD6047">
        <w:rPr>
          <w:rStyle w:val="FootnoteReference"/>
        </w:rPr>
        <w:footnoteReference w:id="47"/>
      </w:r>
    </w:p>
    <w:p w14:paraId="74BA6D83" w14:textId="54AB9B3B" w:rsidR="000A469A" w:rsidRPr="00D22CB4" w:rsidRDefault="000A469A" w:rsidP="00FC46FF">
      <w:pPr>
        <w:pStyle w:val="ListParagraph"/>
        <w:numPr>
          <w:ilvl w:val="0"/>
          <w:numId w:val="7"/>
        </w:numPr>
        <w:spacing w:before="160" w:after="160"/>
        <w:jc w:val="both"/>
        <w:rPr>
          <w:rFonts w:ascii="Open Sans" w:hAnsi="Open Sans" w:cs="Open Sans"/>
          <w:color w:val="575756"/>
          <w:sz w:val="20"/>
          <w:lang w:val="en-GB"/>
        </w:rPr>
      </w:pPr>
      <w:r w:rsidRPr="00D22CB4">
        <w:rPr>
          <w:rFonts w:ascii="Open Sans" w:hAnsi="Open Sans" w:cs="Open Sans"/>
          <w:color w:val="575756"/>
          <w:sz w:val="20"/>
          <w:lang w:val="en-GB"/>
        </w:rPr>
        <w:t>Trustworthy travel companion</w:t>
      </w:r>
    </w:p>
    <w:p w14:paraId="2F08249D" w14:textId="77777777" w:rsidR="000A469A" w:rsidRPr="00D22CB4" w:rsidRDefault="000A469A" w:rsidP="00FC46FF">
      <w:pPr>
        <w:pStyle w:val="ListParagraph"/>
        <w:numPr>
          <w:ilvl w:val="0"/>
          <w:numId w:val="7"/>
        </w:numPr>
        <w:spacing w:before="160" w:after="160"/>
        <w:jc w:val="both"/>
        <w:rPr>
          <w:rFonts w:ascii="Open Sans" w:hAnsi="Open Sans" w:cs="Open Sans"/>
          <w:color w:val="575756"/>
          <w:sz w:val="20"/>
          <w:lang w:val="en-GB"/>
        </w:rPr>
      </w:pPr>
      <w:r w:rsidRPr="00D22CB4">
        <w:rPr>
          <w:rFonts w:ascii="Open Sans" w:hAnsi="Open Sans" w:cs="Open Sans"/>
          <w:color w:val="575756"/>
          <w:sz w:val="20"/>
          <w:lang w:val="en-GB"/>
        </w:rPr>
        <w:t>Adequate travel funds</w:t>
      </w:r>
    </w:p>
    <w:p w14:paraId="29C0057F" w14:textId="7062B997" w:rsidR="000A469A" w:rsidRPr="00D22CB4" w:rsidRDefault="000A469A" w:rsidP="00D22CB4">
      <w:pPr>
        <w:pStyle w:val="ListParagraph"/>
        <w:numPr>
          <w:ilvl w:val="0"/>
          <w:numId w:val="7"/>
        </w:numPr>
        <w:spacing w:before="160" w:after="160"/>
        <w:jc w:val="both"/>
        <w:rPr>
          <w:rFonts w:ascii="Open Sans" w:hAnsi="Open Sans" w:cs="Open Sans"/>
          <w:color w:val="575756"/>
          <w:sz w:val="20"/>
          <w:lang w:val="en-GB"/>
        </w:rPr>
      </w:pPr>
      <w:r w:rsidRPr="00D22CB4">
        <w:rPr>
          <w:rFonts w:ascii="Open Sans" w:hAnsi="Open Sans" w:cs="Open Sans"/>
          <w:color w:val="575756"/>
          <w:sz w:val="20"/>
          <w:lang w:val="en-GB"/>
        </w:rPr>
        <w:t>Information in transit hubs</w:t>
      </w:r>
      <w:r w:rsidR="00D22CB4" w:rsidRPr="00D22CB4">
        <w:rPr>
          <w:rFonts w:ascii="Open Sans" w:hAnsi="Open Sans" w:cs="Open Sans"/>
          <w:color w:val="575756"/>
          <w:sz w:val="20"/>
          <w:lang w:val="en-GB"/>
        </w:rPr>
        <w:t>: t</w:t>
      </w:r>
      <w:r w:rsidRPr="00D22CB4">
        <w:rPr>
          <w:rFonts w:ascii="Open Sans" w:hAnsi="Open Sans" w:cs="Open Sans"/>
          <w:color w:val="575756"/>
          <w:sz w:val="20"/>
          <w:lang w:val="en-GB"/>
        </w:rPr>
        <w:t>ransit hubs such as bus and train stations can be particularly dangerous for unaccompanied girls, who may be easily preyed upon as they enter cities.</w:t>
      </w:r>
    </w:p>
    <w:p w14:paraId="469FA770" w14:textId="77777777" w:rsidR="000A469A" w:rsidRPr="00D22CB4" w:rsidRDefault="000A469A" w:rsidP="00FC46FF">
      <w:pPr>
        <w:pStyle w:val="ListParagraph"/>
        <w:numPr>
          <w:ilvl w:val="0"/>
          <w:numId w:val="7"/>
        </w:numPr>
        <w:spacing w:before="160" w:after="160"/>
        <w:jc w:val="both"/>
        <w:rPr>
          <w:rFonts w:ascii="Open Sans" w:hAnsi="Open Sans" w:cs="Open Sans"/>
          <w:color w:val="575756"/>
          <w:sz w:val="20"/>
          <w:lang w:val="en-GB"/>
        </w:rPr>
      </w:pPr>
      <w:r w:rsidRPr="00D22CB4">
        <w:rPr>
          <w:rFonts w:ascii="Open Sans" w:hAnsi="Open Sans" w:cs="Open Sans"/>
          <w:color w:val="575756"/>
          <w:sz w:val="20"/>
          <w:lang w:val="en-GB"/>
        </w:rPr>
        <w:t>Access to mobile phones</w:t>
      </w:r>
    </w:p>
    <w:p w14:paraId="598F0C37" w14:textId="7ABB389D" w:rsidR="00092071" w:rsidRPr="00D22CB4" w:rsidRDefault="000A469A" w:rsidP="00D22CB4">
      <w:pPr>
        <w:pStyle w:val="ListParagraph"/>
        <w:numPr>
          <w:ilvl w:val="0"/>
          <w:numId w:val="7"/>
        </w:numPr>
        <w:spacing w:before="160" w:after="160"/>
        <w:jc w:val="both"/>
        <w:rPr>
          <w:rFonts w:ascii="Open Sans" w:hAnsi="Open Sans" w:cs="Open Sans"/>
          <w:color w:val="575756"/>
          <w:sz w:val="20"/>
          <w:lang w:val="en-GB"/>
        </w:rPr>
      </w:pPr>
      <w:r w:rsidRPr="00D22CB4">
        <w:rPr>
          <w:rFonts w:ascii="Open Sans" w:hAnsi="Open Sans" w:cs="Open Sans"/>
          <w:color w:val="575756"/>
          <w:sz w:val="20"/>
          <w:lang w:val="en-GB"/>
        </w:rPr>
        <w:t>Safe accommodation</w:t>
      </w:r>
      <w:r w:rsidR="00FC46FF" w:rsidRPr="00D22CB4">
        <w:rPr>
          <w:rFonts w:ascii="Open Sans" w:hAnsi="Open Sans" w:cs="Open Sans"/>
          <w:color w:val="575756"/>
          <w:sz w:val="20"/>
          <w:lang w:val="en-GB"/>
        </w:rPr>
        <w:t xml:space="preserve"> immediately upon arrival</w:t>
      </w:r>
      <w:r w:rsidR="00D22CB4" w:rsidRPr="00D22CB4">
        <w:rPr>
          <w:rFonts w:ascii="Open Sans" w:hAnsi="Open Sans" w:cs="Open Sans"/>
          <w:color w:val="575756"/>
          <w:sz w:val="20"/>
          <w:lang w:val="en-GB"/>
        </w:rPr>
        <w:t>: r</w:t>
      </w:r>
      <w:r w:rsidR="00092071" w:rsidRPr="00D22CB4">
        <w:rPr>
          <w:rFonts w:ascii="Open Sans" w:hAnsi="Open Sans" w:cs="Open Sans"/>
          <w:color w:val="575756"/>
          <w:sz w:val="20"/>
          <w:lang w:val="en-GB"/>
        </w:rPr>
        <w:t xml:space="preserve">isks to migrant girls are likely the most </w:t>
      </w:r>
      <w:r w:rsidR="00D22CB4" w:rsidRPr="00D22CB4">
        <w:rPr>
          <w:rFonts w:ascii="Open Sans" w:hAnsi="Open Sans" w:cs="Open Sans"/>
          <w:color w:val="575756"/>
          <w:sz w:val="20"/>
          <w:lang w:val="en-GB"/>
        </w:rPr>
        <w:t>significant</w:t>
      </w:r>
      <w:r w:rsidR="00092071" w:rsidRPr="00D22CB4">
        <w:rPr>
          <w:rFonts w:ascii="Open Sans" w:hAnsi="Open Sans" w:cs="Open Sans"/>
          <w:color w:val="575756"/>
          <w:sz w:val="20"/>
          <w:lang w:val="en-GB"/>
        </w:rPr>
        <w:t xml:space="preserve"> in the </w:t>
      </w:r>
      <w:r w:rsidR="00D22CB4" w:rsidRPr="00D22CB4">
        <w:rPr>
          <w:rFonts w:ascii="Open Sans" w:hAnsi="Open Sans" w:cs="Open Sans"/>
          <w:color w:val="575756"/>
          <w:sz w:val="20"/>
          <w:lang w:val="en-GB"/>
        </w:rPr>
        <w:t xml:space="preserve">few days and weeks following arrival, </w:t>
      </w:r>
      <w:r w:rsidR="00092071" w:rsidRPr="00D22CB4">
        <w:rPr>
          <w:rFonts w:ascii="Open Sans" w:hAnsi="Open Sans" w:cs="Open Sans"/>
          <w:color w:val="575756"/>
          <w:sz w:val="20"/>
          <w:lang w:val="en-GB"/>
        </w:rPr>
        <w:t xml:space="preserve">where their social isolation is the </w:t>
      </w:r>
      <w:r w:rsidR="00D22CB4" w:rsidRPr="00D22CB4">
        <w:rPr>
          <w:rFonts w:ascii="Open Sans" w:hAnsi="Open Sans" w:cs="Open Sans"/>
          <w:color w:val="575756"/>
          <w:sz w:val="20"/>
          <w:lang w:val="en-GB"/>
        </w:rPr>
        <w:t>greatest</w:t>
      </w:r>
      <w:r w:rsidR="00092071" w:rsidRPr="00D22CB4">
        <w:rPr>
          <w:rFonts w:ascii="Open Sans" w:hAnsi="Open Sans" w:cs="Open Sans"/>
          <w:color w:val="575756"/>
          <w:sz w:val="20"/>
          <w:lang w:val="en-GB"/>
        </w:rPr>
        <w:t xml:space="preserve">. </w:t>
      </w:r>
      <w:r w:rsidR="00D22CB4" w:rsidRPr="00D22CB4">
        <w:rPr>
          <w:rFonts w:ascii="Open Sans" w:hAnsi="Open Sans" w:cs="Open Sans"/>
          <w:color w:val="575756"/>
          <w:sz w:val="20"/>
          <w:lang w:val="en-GB"/>
        </w:rPr>
        <w:t>It is therefore important that they have a place to go as soon as they arrive, and that they know the address or h</w:t>
      </w:r>
      <w:r w:rsidR="00BD6047">
        <w:rPr>
          <w:rFonts w:ascii="Open Sans" w:hAnsi="Open Sans" w:cs="Open Sans"/>
          <w:color w:val="575756"/>
          <w:sz w:val="20"/>
          <w:lang w:val="en-GB"/>
        </w:rPr>
        <w:t>ave someone to pick them up.</w:t>
      </w:r>
    </w:p>
    <w:p w14:paraId="4484F200" w14:textId="77777777" w:rsidR="000A469A" w:rsidRPr="00D22CB4" w:rsidRDefault="000A469A" w:rsidP="00FC46FF">
      <w:pPr>
        <w:pStyle w:val="ListParagraph"/>
        <w:numPr>
          <w:ilvl w:val="0"/>
          <w:numId w:val="7"/>
        </w:numPr>
        <w:spacing w:before="160" w:after="160"/>
        <w:jc w:val="both"/>
        <w:rPr>
          <w:rFonts w:ascii="Open Sans" w:hAnsi="Open Sans" w:cs="Open Sans"/>
          <w:color w:val="575756"/>
          <w:sz w:val="20"/>
          <w:lang w:val="en-GB"/>
        </w:rPr>
      </w:pPr>
      <w:r w:rsidRPr="00D22CB4">
        <w:rPr>
          <w:rFonts w:ascii="Open Sans" w:hAnsi="Open Sans" w:cs="Open Sans"/>
          <w:color w:val="575756"/>
          <w:sz w:val="20"/>
          <w:lang w:val="en-GB"/>
        </w:rPr>
        <w:t>Access to migrant or community groups</w:t>
      </w:r>
    </w:p>
    <w:p w14:paraId="565CE296" w14:textId="25EEC09D" w:rsidR="00FC46FF" w:rsidRPr="00D22CB4" w:rsidRDefault="00FC46FF" w:rsidP="00FC46FF">
      <w:pPr>
        <w:pStyle w:val="Subtitle"/>
      </w:pPr>
      <w:r w:rsidRPr="00D22CB4">
        <w:t>Facilitators when settling in</w:t>
      </w:r>
    </w:p>
    <w:p w14:paraId="5DFEAFB9" w14:textId="6323DA97" w:rsidR="00D22CB4" w:rsidRPr="00D22CB4" w:rsidRDefault="00D22CB4" w:rsidP="00D22CB4">
      <w:pPr>
        <w:pStyle w:val="Body"/>
      </w:pPr>
      <w:r w:rsidRPr="00D22CB4">
        <w:t xml:space="preserve">Once the </w:t>
      </w:r>
      <w:r>
        <w:t>initial period after arrival has passed, adolescent girls have greater chances to settle into life at the destination safely. However, continued efforts must be made to ensure that they are able to continue to protect themselves from risks. This includes:</w:t>
      </w:r>
    </w:p>
    <w:p w14:paraId="593953D8" w14:textId="6C99A93E" w:rsidR="000A469A" w:rsidRPr="00D22CB4" w:rsidRDefault="000A469A" w:rsidP="00FC46FF">
      <w:pPr>
        <w:pStyle w:val="ListParagraph"/>
        <w:numPr>
          <w:ilvl w:val="0"/>
          <w:numId w:val="7"/>
        </w:numPr>
        <w:spacing w:before="160" w:after="160"/>
        <w:jc w:val="both"/>
        <w:rPr>
          <w:rFonts w:ascii="Open Sans" w:hAnsi="Open Sans" w:cs="Open Sans"/>
          <w:color w:val="575756"/>
          <w:sz w:val="20"/>
          <w:lang w:val="en-GB"/>
        </w:rPr>
      </w:pPr>
      <w:r w:rsidRPr="00D22CB4">
        <w:rPr>
          <w:rFonts w:ascii="Open Sans" w:hAnsi="Open Sans" w:cs="Open Sans"/>
          <w:color w:val="575756"/>
          <w:sz w:val="20"/>
          <w:lang w:val="en-GB"/>
        </w:rPr>
        <w:t>Accessible and relevant education (formal and non-formal)</w:t>
      </w:r>
    </w:p>
    <w:p w14:paraId="075268C1" w14:textId="77777777" w:rsidR="000A469A" w:rsidRPr="00D22CB4" w:rsidRDefault="000A469A" w:rsidP="00FC46FF">
      <w:pPr>
        <w:pStyle w:val="ListParagraph"/>
        <w:numPr>
          <w:ilvl w:val="0"/>
          <w:numId w:val="7"/>
        </w:numPr>
        <w:spacing w:before="160" w:after="160"/>
        <w:jc w:val="both"/>
        <w:rPr>
          <w:rFonts w:ascii="Open Sans" w:hAnsi="Open Sans" w:cs="Open Sans"/>
          <w:color w:val="575756"/>
          <w:sz w:val="20"/>
          <w:lang w:val="en-GB"/>
        </w:rPr>
      </w:pPr>
      <w:r w:rsidRPr="00D22CB4">
        <w:rPr>
          <w:rFonts w:ascii="Open Sans" w:hAnsi="Open Sans" w:cs="Open Sans"/>
          <w:color w:val="575756"/>
          <w:sz w:val="20"/>
          <w:lang w:val="en-GB"/>
        </w:rPr>
        <w:t xml:space="preserve">High quality, accessible health services </w:t>
      </w:r>
    </w:p>
    <w:p w14:paraId="04EC34B4" w14:textId="1EAD7E06" w:rsidR="006D6BA3" w:rsidRPr="00D22CB4" w:rsidRDefault="000A469A" w:rsidP="00D22CB4">
      <w:pPr>
        <w:pStyle w:val="ListParagraph"/>
        <w:numPr>
          <w:ilvl w:val="0"/>
          <w:numId w:val="7"/>
        </w:numPr>
        <w:spacing w:before="160" w:after="160"/>
        <w:jc w:val="both"/>
        <w:rPr>
          <w:rFonts w:ascii="Open Sans" w:hAnsi="Open Sans" w:cs="Open Sans"/>
          <w:color w:val="575756"/>
          <w:sz w:val="20"/>
          <w:lang w:val="en-GB"/>
        </w:rPr>
      </w:pPr>
      <w:r w:rsidRPr="00D22CB4">
        <w:rPr>
          <w:rFonts w:ascii="Open Sans" w:hAnsi="Open Sans" w:cs="Open Sans"/>
          <w:color w:val="575756"/>
          <w:sz w:val="20"/>
          <w:lang w:val="en-GB"/>
        </w:rPr>
        <w:t>Structured and regular access to same-sex peers</w:t>
      </w:r>
      <w:r w:rsidR="00D22CB4" w:rsidRPr="00D22CB4">
        <w:rPr>
          <w:rFonts w:ascii="Open Sans" w:hAnsi="Open Sans" w:cs="Open Sans"/>
          <w:color w:val="575756"/>
          <w:sz w:val="20"/>
          <w:lang w:val="en-GB"/>
        </w:rPr>
        <w:t xml:space="preserve"> by connecting migrant girls with </w:t>
      </w:r>
      <w:r w:rsidR="006D6BA3" w:rsidRPr="00D22CB4">
        <w:rPr>
          <w:rFonts w:ascii="Open Sans" w:hAnsi="Open Sans" w:cs="Open Sans"/>
          <w:color w:val="575756"/>
          <w:sz w:val="20"/>
          <w:lang w:val="en-GB"/>
        </w:rPr>
        <w:t>associations</w:t>
      </w:r>
      <w:r w:rsidR="00D22CB4" w:rsidRPr="00D22CB4">
        <w:rPr>
          <w:rFonts w:ascii="Open Sans" w:hAnsi="Open Sans" w:cs="Open Sans"/>
          <w:color w:val="575756"/>
          <w:sz w:val="20"/>
          <w:lang w:val="en-GB"/>
        </w:rPr>
        <w:t xml:space="preserve"> or </w:t>
      </w:r>
      <w:r w:rsidR="006D6BA3" w:rsidRPr="00D22CB4">
        <w:rPr>
          <w:rFonts w:ascii="Open Sans" w:hAnsi="Open Sans" w:cs="Open Sans"/>
          <w:color w:val="575756"/>
          <w:sz w:val="20"/>
          <w:lang w:val="en-GB"/>
        </w:rPr>
        <w:t xml:space="preserve">community groups </w:t>
      </w:r>
    </w:p>
    <w:p w14:paraId="5377D320" w14:textId="77777777" w:rsidR="000A469A" w:rsidRPr="00D22CB4" w:rsidRDefault="000A469A" w:rsidP="00FC46FF">
      <w:pPr>
        <w:pStyle w:val="ListParagraph"/>
        <w:numPr>
          <w:ilvl w:val="0"/>
          <w:numId w:val="7"/>
        </w:numPr>
        <w:spacing w:before="160" w:after="160"/>
        <w:jc w:val="both"/>
        <w:rPr>
          <w:rFonts w:ascii="Open Sans" w:hAnsi="Open Sans" w:cs="Open Sans"/>
          <w:color w:val="575756"/>
          <w:sz w:val="20"/>
          <w:lang w:val="en-GB"/>
        </w:rPr>
      </w:pPr>
      <w:r w:rsidRPr="00D22CB4">
        <w:rPr>
          <w:rFonts w:ascii="Open Sans" w:hAnsi="Open Sans" w:cs="Open Sans"/>
          <w:color w:val="575756"/>
          <w:sz w:val="20"/>
          <w:lang w:val="en-GB"/>
        </w:rPr>
        <w:lastRenderedPageBreak/>
        <w:t>Technology to stay in touch with family and friends</w:t>
      </w:r>
    </w:p>
    <w:p w14:paraId="69A1A7D7" w14:textId="7064357E" w:rsidR="00FC46FF" w:rsidRPr="00D22CB4" w:rsidRDefault="000A469A" w:rsidP="006D6BA3">
      <w:pPr>
        <w:pStyle w:val="ListParagraph"/>
        <w:numPr>
          <w:ilvl w:val="0"/>
          <w:numId w:val="7"/>
        </w:numPr>
        <w:spacing w:before="160" w:after="160"/>
        <w:jc w:val="both"/>
        <w:rPr>
          <w:rFonts w:ascii="Open Sans" w:hAnsi="Open Sans" w:cs="Open Sans"/>
          <w:color w:val="575756"/>
          <w:sz w:val="20"/>
          <w:lang w:val="en-GB"/>
        </w:rPr>
      </w:pPr>
      <w:r w:rsidRPr="00D22CB4">
        <w:rPr>
          <w:rFonts w:ascii="Open Sans" w:hAnsi="Open Sans" w:cs="Open Sans"/>
          <w:color w:val="575756"/>
          <w:sz w:val="20"/>
          <w:lang w:val="en-GB"/>
        </w:rPr>
        <w:t>Safe employment opportunitie</w:t>
      </w:r>
      <w:r w:rsidR="006D6BA3" w:rsidRPr="00D22CB4">
        <w:rPr>
          <w:rFonts w:ascii="Open Sans" w:hAnsi="Open Sans" w:cs="Open Sans"/>
          <w:color w:val="575756"/>
          <w:sz w:val="20"/>
          <w:lang w:val="en-GB"/>
        </w:rPr>
        <w:t xml:space="preserve">s: Access to economic opportunities and decent work is a key component for an effective preventive strategy against trafficking in women and girls.  </w:t>
      </w:r>
    </w:p>
    <w:p w14:paraId="7B79C78E" w14:textId="77777777" w:rsidR="000A469A" w:rsidRPr="00D22CB4" w:rsidRDefault="000A469A" w:rsidP="00FC46FF">
      <w:pPr>
        <w:pStyle w:val="ListParagraph"/>
        <w:numPr>
          <w:ilvl w:val="0"/>
          <w:numId w:val="7"/>
        </w:numPr>
        <w:spacing w:before="160" w:after="160"/>
        <w:jc w:val="both"/>
        <w:rPr>
          <w:rFonts w:ascii="Open Sans" w:hAnsi="Open Sans" w:cs="Open Sans"/>
          <w:color w:val="575756"/>
          <w:sz w:val="20"/>
          <w:lang w:val="en-GB"/>
        </w:rPr>
      </w:pPr>
      <w:r w:rsidRPr="00D22CB4">
        <w:rPr>
          <w:rFonts w:ascii="Open Sans" w:hAnsi="Open Sans" w:cs="Open Sans"/>
          <w:color w:val="575756"/>
          <w:sz w:val="20"/>
          <w:lang w:val="en-GB"/>
        </w:rPr>
        <w:t>Access to savings programs</w:t>
      </w:r>
    </w:p>
    <w:p w14:paraId="2D277231" w14:textId="703276C2" w:rsidR="005E0B85" w:rsidRPr="00FC46FF" w:rsidRDefault="005E0B85" w:rsidP="005E0B85">
      <w:pPr>
        <w:pStyle w:val="Heading1"/>
        <w:rPr>
          <w:lang w:val="en-GB"/>
        </w:rPr>
      </w:pPr>
      <w:r>
        <w:rPr>
          <w:lang w:val="en-GB"/>
        </w:rPr>
        <w:t>Addressing trafficking</w:t>
      </w:r>
      <w:r w:rsidRPr="00FC46FF">
        <w:rPr>
          <w:lang w:val="en-GB"/>
        </w:rPr>
        <w:t xml:space="preserve"> of girls </w:t>
      </w:r>
    </w:p>
    <w:p w14:paraId="0B09915B" w14:textId="0B261A1F" w:rsidR="000A469A" w:rsidRPr="005E0B85" w:rsidRDefault="005E0B85" w:rsidP="005E0B85">
      <w:pPr>
        <w:pStyle w:val="Heading3"/>
        <w:numPr>
          <w:ilvl w:val="0"/>
          <w:numId w:val="15"/>
        </w:numPr>
        <w:rPr>
          <w:lang w:val="en-GB"/>
        </w:rPr>
      </w:pPr>
      <w:r>
        <w:rPr>
          <w:lang w:val="en-GB"/>
        </w:rPr>
        <w:t>Gaps in current p</w:t>
      </w:r>
      <w:r w:rsidR="000A469A" w:rsidRPr="005E0B85">
        <w:rPr>
          <w:lang w:val="en-GB"/>
        </w:rPr>
        <w:t>rogramming for girls</w:t>
      </w:r>
      <w:r w:rsidR="00FC46FF" w:rsidRPr="005E0B85">
        <w:rPr>
          <w:lang w:val="en-GB"/>
        </w:rPr>
        <w:t xml:space="preserve"> to ensure safe migration</w:t>
      </w:r>
      <w:r w:rsidR="007A6ACC" w:rsidRPr="005E0B85">
        <w:rPr>
          <w:lang w:val="en-GB"/>
        </w:rPr>
        <w:t>:</w:t>
      </w:r>
    </w:p>
    <w:p w14:paraId="378BC996" w14:textId="638BE0C4" w:rsidR="000A469A" w:rsidRPr="00344EBC" w:rsidRDefault="000A469A" w:rsidP="00344EBC">
      <w:pPr>
        <w:spacing w:before="160" w:after="160"/>
        <w:jc w:val="both"/>
        <w:rPr>
          <w:rFonts w:ascii="Open Sans" w:hAnsi="Open Sans" w:cs="Open Sans"/>
          <w:color w:val="575756"/>
          <w:sz w:val="20"/>
        </w:rPr>
      </w:pPr>
      <w:r w:rsidRPr="00344EBC">
        <w:rPr>
          <w:rFonts w:ascii="Open Sans" w:hAnsi="Open Sans" w:cs="Open Sans"/>
          <w:color w:val="575756"/>
          <w:sz w:val="20"/>
        </w:rPr>
        <w:t xml:space="preserve">Current approaches to reach migrant girls have had limited impact. </w:t>
      </w:r>
      <w:r w:rsidR="00344EBC" w:rsidRPr="00344EBC">
        <w:rPr>
          <w:rFonts w:ascii="Open Sans" w:hAnsi="Open Sans" w:cs="Open Sans"/>
          <w:color w:val="575756"/>
          <w:sz w:val="20"/>
        </w:rPr>
        <w:t xml:space="preserve">As mentioned previously, programmes tend </w:t>
      </w:r>
      <w:r w:rsidRPr="00344EBC">
        <w:rPr>
          <w:rFonts w:ascii="Open Sans" w:hAnsi="Open Sans" w:cs="Open Sans"/>
          <w:color w:val="575756"/>
          <w:sz w:val="20"/>
        </w:rPr>
        <w:t xml:space="preserve">to </w:t>
      </w:r>
      <w:r w:rsidR="00344EBC" w:rsidRPr="00344EBC">
        <w:rPr>
          <w:rFonts w:ascii="Open Sans" w:hAnsi="Open Sans" w:cs="Open Sans"/>
          <w:color w:val="575756"/>
          <w:sz w:val="20"/>
        </w:rPr>
        <w:t xml:space="preserve">be built around the worst outcomes, rather than taking into account the </w:t>
      </w:r>
      <w:r w:rsidRPr="00344EBC">
        <w:rPr>
          <w:rFonts w:ascii="Open Sans" w:hAnsi="Open Sans" w:cs="Open Sans"/>
          <w:color w:val="575756"/>
          <w:sz w:val="20"/>
        </w:rPr>
        <w:t xml:space="preserve">diversity of </w:t>
      </w:r>
      <w:r w:rsidR="00344EBC" w:rsidRPr="00344EBC">
        <w:rPr>
          <w:rFonts w:ascii="Open Sans" w:hAnsi="Open Sans" w:cs="Open Sans"/>
          <w:color w:val="575756"/>
          <w:sz w:val="20"/>
        </w:rPr>
        <w:t xml:space="preserve">migrant  girls’ </w:t>
      </w:r>
      <w:r w:rsidRPr="00344EBC">
        <w:rPr>
          <w:rFonts w:ascii="Open Sans" w:hAnsi="Open Sans" w:cs="Open Sans"/>
          <w:color w:val="575756"/>
          <w:sz w:val="20"/>
        </w:rPr>
        <w:t xml:space="preserve">experiences. </w:t>
      </w:r>
      <w:r w:rsidR="00344EBC" w:rsidRPr="00344EBC">
        <w:rPr>
          <w:rFonts w:ascii="Open Sans" w:hAnsi="Open Sans" w:cs="Open Sans"/>
          <w:color w:val="575756"/>
          <w:sz w:val="20"/>
        </w:rPr>
        <w:t>The result of such an approach is that programmes emphasize preventing those worst outcomes rather than maximizing the benefits of migration for girls. Additionally, programming that targets migrant youth is generally poorly adapted to the most  at-risk group – that is adolescent girls. On the other hand, p</w:t>
      </w:r>
      <w:r w:rsidRPr="00344EBC">
        <w:rPr>
          <w:rFonts w:ascii="Open Sans" w:hAnsi="Open Sans" w:cs="Open Sans"/>
          <w:color w:val="575756"/>
          <w:sz w:val="20"/>
        </w:rPr>
        <w:t>rogramming that targets “migrants” as a category doesn’t always work, because many adolescent migrant girls do not self-identity as “migrants”</w:t>
      </w:r>
      <w:r w:rsidR="00BD6047">
        <w:rPr>
          <w:rFonts w:ascii="Open Sans" w:hAnsi="Open Sans" w:cs="Open Sans"/>
          <w:color w:val="575756"/>
          <w:sz w:val="20"/>
        </w:rPr>
        <w:t>.</w:t>
      </w:r>
      <w:r w:rsidR="00BD6047">
        <w:rPr>
          <w:rStyle w:val="FootnoteReference"/>
          <w:rFonts w:ascii="Open Sans" w:hAnsi="Open Sans" w:cs="Open Sans"/>
          <w:sz w:val="20"/>
        </w:rPr>
        <w:footnoteReference w:id="48"/>
      </w:r>
    </w:p>
    <w:p w14:paraId="49A2B18D" w14:textId="5D17DFF1" w:rsidR="000A469A" w:rsidRDefault="00344EBC" w:rsidP="00CA2423">
      <w:pPr>
        <w:pStyle w:val="Body"/>
      </w:pPr>
      <w:r w:rsidRPr="007A6ACC">
        <w:t xml:space="preserve">Another important gap in programming is so-called “reintegration programmes”. These </w:t>
      </w:r>
      <w:r w:rsidR="000A469A" w:rsidRPr="007A6ACC">
        <w:t xml:space="preserve">programmes </w:t>
      </w:r>
      <w:r w:rsidR="007A6ACC" w:rsidRPr="007A6ACC">
        <w:t xml:space="preserve">aim to return </w:t>
      </w:r>
      <w:r w:rsidR="000A469A" w:rsidRPr="007A6ACC">
        <w:t xml:space="preserve">migrant adolescents home, </w:t>
      </w:r>
      <w:r w:rsidR="007A6ACC" w:rsidRPr="007A6ACC">
        <w:t>under the assumption that</w:t>
      </w:r>
      <w:r w:rsidR="007E6A01">
        <w:t xml:space="preserve"> all</w:t>
      </w:r>
      <w:r w:rsidR="007A6ACC" w:rsidRPr="007A6ACC">
        <w:t xml:space="preserve"> migration is exploitative</w:t>
      </w:r>
      <w:r w:rsidR="000A469A" w:rsidRPr="007A6ACC">
        <w:t xml:space="preserve"> or dangerous</w:t>
      </w:r>
      <w:r w:rsidR="007A6ACC" w:rsidRPr="007A6ACC">
        <w:t xml:space="preserve">. These programmes can fail to consider the </w:t>
      </w:r>
      <w:r w:rsidR="000A469A" w:rsidRPr="007A6ACC">
        <w:t xml:space="preserve">best interests of migrant girls, </w:t>
      </w:r>
      <w:r w:rsidR="007A6ACC" w:rsidRPr="007A6ACC">
        <w:t>ignoring their motivations for leaving home.</w:t>
      </w:r>
      <w:r w:rsidR="000A469A" w:rsidRPr="007A6ACC">
        <w:t xml:space="preserve"> Sending a girl back can put her at risk of forced marriage or other situations that could threaten her safety, health, and well-being</w:t>
      </w:r>
      <w:r w:rsidR="00CA2423">
        <w:t xml:space="preserve">. What’s </w:t>
      </w:r>
      <w:r w:rsidR="00CA2423">
        <w:lastRenderedPageBreak/>
        <w:t xml:space="preserve">more, </w:t>
      </w:r>
      <w:r w:rsidR="00CA2423" w:rsidRPr="00CA2423">
        <w:t>girls who have been exploited face stigma and ostracisation on return, leaving them vulnerable to further exploitation,</w:t>
      </w:r>
      <w:r w:rsidR="00CA2423">
        <w:t xml:space="preserve"> </w:t>
      </w:r>
      <w:r w:rsidR="007A35E8">
        <w:t xml:space="preserve">not to mention the stigma and shame many migrant girls who have faced (especially sexual) exploitation may experience </w:t>
      </w:r>
      <w:r w:rsidR="00CA2423">
        <w:t>from their</w:t>
      </w:r>
      <w:r w:rsidR="007A35E8">
        <w:t xml:space="preserve"> families</w:t>
      </w:r>
      <w:r w:rsidR="000A469A" w:rsidRPr="007A6ACC">
        <w:t>.</w:t>
      </w:r>
      <w:r w:rsidR="00BD6047">
        <w:rPr>
          <w:rStyle w:val="FootnoteReference"/>
        </w:rPr>
        <w:footnoteReference w:id="49"/>
      </w:r>
    </w:p>
    <w:p w14:paraId="77F70C12" w14:textId="6C03D21E" w:rsidR="005E0B85" w:rsidRDefault="005E0B85" w:rsidP="005E0B85">
      <w:pPr>
        <w:pStyle w:val="Heading3"/>
      </w:pPr>
      <w:r>
        <w:t>Good practices from the Girls Advocacy Alliance</w:t>
      </w:r>
    </w:p>
    <w:p w14:paraId="0155B83F" w14:textId="74E04128" w:rsidR="005E0B85" w:rsidRDefault="005E0B85" w:rsidP="005E0B85">
      <w:pPr>
        <w:pStyle w:val="Body"/>
        <w:rPr>
          <w:i/>
        </w:rPr>
      </w:pPr>
      <w:r>
        <w:rPr>
          <w:i/>
        </w:rPr>
        <w:t>Ethiopia</w:t>
      </w:r>
    </w:p>
    <w:p w14:paraId="5305D6B8" w14:textId="101A6D49" w:rsidR="005724D0" w:rsidRDefault="005E0B85" w:rsidP="005E0B85">
      <w:pPr>
        <w:pStyle w:val="Body"/>
      </w:pPr>
      <w:r>
        <w:t>The Girls Advocacy Alliance</w:t>
      </w:r>
      <w:r w:rsidR="005724D0">
        <w:t xml:space="preserve"> (GAA)</w:t>
      </w:r>
      <w:r>
        <w:t xml:space="preserve"> ha</w:t>
      </w:r>
      <w:r w:rsidR="00AF5AB1">
        <w:t>s</w:t>
      </w:r>
      <w:r>
        <w:t xml:space="preserve"> been </w:t>
      </w:r>
      <w:r w:rsidR="00885C7F">
        <w:t xml:space="preserve">taking action to </w:t>
      </w:r>
      <w:r w:rsidR="00AF5AB1">
        <w:t>address child trafficking</w:t>
      </w:r>
      <w:r w:rsidR="00676992">
        <w:t xml:space="preserve"> </w:t>
      </w:r>
      <w:r w:rsidR="005724D0">
        <w:t xml:space="preserve">doing lobby and advocacy with </w:t>
      </w:r>
      <w:r>
        <w:t xml:space="preserve">communities, </w:t>
      </w:r>
      <w:r w:rsidR="005724D0">
        <w:t xml:space="preserve">local and religious leaders, </w:t>
      </w:r>
      <w:r>
        <w:t xml:space="preserve">government actors, CSOs and the private sector on how to reduce child trafficking </w:t>
      </w:r>
      <w:r w:rsidR="005724D0">
        <w:t>in Ethiopia</w:t>
      </w:r>
      <w:r>
        <w:t>.</w:t>
      </w:r>
      <w:r w:rsidR="005724D0">
        <w:t xml:space="preserve"> </w:t>
      </w:r>
    </w:p>
    <w:p w14:paraId="25B2DB4D" w14:textId="6759F926" w:rsidR="005724D0" w:rsidRDefault="005724D0" w:rsidP="005724D0">
      <w:pPr>
        <w:pStyle w:val="Body"/>
        <w:numPr>
          <w:ilvl w:val="0"/>
          <w:numId w:val="7"/>
        </w:numPr>
      </w:pPr>
      <w:r w:rsidRPr="005724D0">
        <w:rPr>
          <w:b/>
        </w:rPr>
        <w:t>Communities:</w:t>
      </w:r>
      <w:r>
        <w:t xml:space="preserve"> The GAA has been mobilizing community leaders and community-based organisations (CBOs) (including youth associations), using traditional networks to collect money to support victims of trafficking and risky migration. Additionally, media campaigns through local radio and television channels are being used to sensitize the broader public about trafficking.</w:t>
      </w:r>
    </w:p>
    <w:p w14:paraId="6CC1348C" w14:textId="6FE46C32" w:rsidR="005724D0" w:rsidRDefault="005724D0" w:rsidP="005724D0">
      <w:pPr>
        <w:pStyle w:val="Body"/>
        <w:numPr>
          <w:ilvl w:val="0"/>
          <w:numId w:val="7"/>
        </w:numPr>
      </w:pPr>
      <w:r w:rsidRPr="005724D0">
        <w:rPr>
          <w:b/>
        </w:rPr>
        <w:t>Religious leaders:</w:t>
      </w:r>
      <w:r>
        <w:t xml:space="preserve"> Religious leaders have also played key role in educating their congregations, and in some districts, priests have started organizing monthly sessions to teach on the subject of trafficking and risky migration. </w:t>
      </w:r>
    </w:p>
    <w:p w14:paraId="10ED8969" w14:textId="185C17A0" w:rsidR="005E0B85" w:rsidRPr="005724D0" w:rsidRDefault="005724D0" w:rsidP="005724D0">
      <w:pPr>
        <w:pStyle w:val="Body"/>
        <w:numPr>
          <w:ilvl w:val="0"/>
          <w:numId w:val="7"/>
        </w:numPr>
      </w:pPr>
      <w:r w:rsidRPr="005724D0">
        <w:rPr>
          <w:b/>
        </w:rPr>
        <w:t>Private sector:</w:t>
      </w:r>
      <w:r>
        <w:t xml:space="preserve"> </w:t>
      </w:r>
      <w:r w:rsidR="005E0B85" w:rsidRPr="005724D0">
        <w:t xml:space="preserve">Quite </w:t>
      </w:r>
      <w:r>
        <w:t xml:space="preserve">a </w:t>
      </w:r>
      <w:r w:rsidR="005E0B85" w:rsidRPr="005724D0">
        <w:t xml:space="preserve">large number of private sector actors </w:t>
      </w:r>
      <w:r>
        <w:t xml:space="preserve">have been </w:t>
      </w:r>
      <w:r w:rsidR="005E0B85" w:rsidRPr="005724D0">
        <w:t>approached</w:t>
      </w:r>
      <w:r>
        <w:t xml:space="preserve"> by the GAA</w:t>
      </w:r>
      <w:r w:rsidR="005E0B85" w:rsidRPr="005724D0">
        <w:t xml:space="preserve"> to ensure that workplace safety is ensured for girls and young women employed by them</w:t>
      </w:r>
      <w:r>
        <w:t>, and some have already put measures in place to this end</w:t>
      </w:r>
      <w:r w:rsidR="005E0B85" w:rsidRPr="005724D0">
        <w:t xml:space="preserve">. </w:t>
      </w:r>
    </w:p>
    <w:p w14:paraId="73B76005" w14:textId="571A219A" w:rsidR="005724D0" w:rsidRDefault="005724D0" w:rsidP="005724D0">
      <w:pPr>
        <w:pStyle w:val="Body"/>
        <w:numPr>
          <w:ilvl w:val="0"/>
          <w:numId w:val="7"/>
        </w:numPr>
      </w:pPr>
      <w:r w:rsidRPr="005724D0">
        <w:rPr>
          <w:b/>
        </w:rPr>
        <w:t xml:space="preserve">Government: </w:t>
      </w:r>
      <w:r>
        <w:t>District-level government offices included issues of child trafficking in their annual action plans</w:t>
      </w:r>
      <w:r w:rsidR="00885C7F">
        <w:t>, and some have already allocated budget to this end.</w:t>
      </w:r>
    </w:p>
    <w:p w14:paraId="2087ED7C" w14:textId="46EF5784" w:rsidR="00885C7F" w:rsidRPr="00885C7F" w:rsidRDefault="00885C7F" w:rsidP="00885C7F">
      <w:pPr>
        <w:pStyle w:val="Body"/>
        <w:rPr>
          <w:i/>
        </w:rPr>
      </w:pPr>
      <w:r w:rsidRPr="00885C7F">
        <w:rPr>
          <w:i/>
        </w:rPr>
        <w:lastRenderedPageBreak/>
        <w:t>Africa Regional Programme</w:t>
      </w:r>
    </w:p>
    <w:p w14:paraId="063AB7AB" w14:textId="4300D3FF" w:rsidR="00885C7F" w:rsidRDefault="00885C7F" w:rsidP="00885C7F">
      <w:pPr>
        <w:pStyle w:val="Body"/>
      </w:pPr>
      <w:r>
        <w:t xml:space="preserve">The GAA Africa Regional Programme has been working on addressing trafficking of girls in Sierra Leone, Liberia and Ghana together with local civil society organisations (CSOs), with the goal of setting the agenda for future sub-regional policy advocacy on child protection including child trafficking. </w:t>
      </w:r>
    </w:p>
    <w:p w14:paraId="00A98260" w14:textId="683B34D3" w:rsidR="00885C7F" w:rsidRDefault="00885C7F" w:rsidP="00885C7F">
      <w:pPr>
        <w:pStyle w:val="Body"/>
        <w:numPr>
          <w:ilvl w:val="0"/>
          <w:numId w:val="7"/>
        </w:numPr>
      </w:pPr>
      <w:r w:rsidRPr="00885C7F">
        <w:rPr>
          <w:b/>
        </w:rPr>
        <w:t>Awareness-raising on regional and international agreements:</w:t>
      </w:r>
      <w:r>
        <w:t xml:space="preserve"> the GAA raised awareness of </w:t>
      </w:r>
      <w:r w:rsidR="00292BBD">
        <w:t xml:space="preserve">local CSOs on international and </w:t>
      </w:r>
      <w:r>
        <w:t>regional instruments and recommen</w:t>
      </w:r>
      <w:r w:rsidR="00292BBD">
        <w:t>dations on trafficking.</w:t>
      </w:r>
    </w:p>
    <w:p w14:paraId="15A4D245" w14:textId="4E2D174D" w:rsidR="00885C7F" w:rsidRDefault="00885C7F" w:rsidP="00885C7F">
      <w:pPr>
        <w:pStyle w:val="Body"/>
        <w:numPr>
          <w:ilvl w:val="0"/>
          <w:numId w:val="7"/>
        </w:numPr>
      </w:pPr>
      <w:r w:rsidRPr="00885C7F">
        <w:rPr>
          <w:b/>
        </w:rPr>
        <w:t xml:space="preserve">Linking national networks: </w:t>
      </w:r>
      <w:r w:rsidRPr="00885C7F">
        <w:t>The GAA</w:t>
      </w:r>
      <w:r w:rsidR="003C670D">
        <w:t xml:space="preserve"> in various countries of West Africa</w:t>
      </w:r>
      <w:r>
        <w:t>, together with local CSOs</w:t>
      </w:r>
      <w:r w:rsidR="00292BBD">
        <w:t>,</w:t>
      </w:r>
      <w:r>
        <w:t xml:space="preserve"> developed a joint </w:t>
      </w:r>
      <w:r w:rsidR="003C670D">
        <w:t xml:space="preserve">cross-country </w:t>
      </w:r>
      <w:r>
        <w:t xml:space="preserve">advocacy strategy on child trafficking and ending </w:t>
      </w:r>
      <w:r w:rsidR="00292BBD">
        <w:t>GBV</w:t>
      </w:r>
      <w:r>
        <w:t>, linking up their national child protection and child traf</w:t>
      </w:r>
      <w:r w:rsidR="003C670D">
        <w:t xml:space="preserve">ficking networks with each other. Importantly, they worked together to conduct </w:t>
      </w:r>
      <w:r>
        <w:t>data collection and sharing with decision makers</w:t>
      </w:r>
      <w:r w:rsidR="003C670D">
        <w:t>.</w:t>
      </w:r>
      <w:r>
        <w:t xml:space="preserve"> </w:t>
      </w:r>
    </w:p>
    <w:p w14:paraId="19117D14" w14:textId="77777777" w:rsidR="003C670D" w:rsidRDefault="003C670D" w:rsidP="00676992">
      <w:pPr>
        <w:pStyle w:val="Body"/>
        <w:numPr>
          <w:ilvl w:val="0"/>
          <w:numId w:val="7"/>
        </w:numPr>
      </w:pPr>
      <w:r w:rsidRPr="003C670D">
        <w:rPr>
          <w:b/>
        </w:rPr>
        <w:t>Working at the border:</w:t>
      </w:r>
      <w:r>
        <w:t xml:space="preserve"> At the national level, t</w:t>
      </w:r>
      <w:r w:rsidR="00885C7F">
        <w:t>he GAA organised a meeting at the Sie</w:t>
      </w:r>
      <w:r>
        <w:t>rra Leone border involving CSOs</w:t>
      </w:r>
      <w:r w:rsidR="00885C7F">
        <w:t xml:space="preserve">, security and immigration officials deployed at the border, community leaders and government officials from </w:t>
      </w:r>
      <w:r>
        <w:t>both countries to discuss cross-</w:t>
      </w:r>
      <w:r w:rsidR="00885C7F">
        <w:t xml:space="preserve">border trafficking </w:t>
      </w:r>
      <w:r>
        <w:t>of girls</w:t>
      </w:r>
      <w:r w:rsidR="00885C7F">
        <w:t xml:space="preserve">. </w:t>
      </w:r>
    </w:p>
    <w:p w14:paraId="200A8C96" w14:textId="7CB2EAFC" w:rsidR="003C670D" w:rsidRDefault="003C670D" w:rsidP="00676992">
      <w:pPr>
        <w:pStyle w:val="Body"/>
        <w:numPr>
          <w:ilvl w:val="0"/>
          <w:numId w:val="7"/>
        </w:numPr>
      </w:pPr>
      <w:r w:rsidRPr="003C670D">
        <w:rPr>
          <w:b/>
        </w:rPr>
        <w:t>Developing Standard Operating Procedures (SOP):</w:t>
      </w:r>
      <w:r>
        <w:t xml:space="preserve"> At the regional level, the GAA has worked with local authorities to draft Standard Operating Procedures (SOP) that define objectives and areas of collaboration between frontline security officials, community leaders and civil society actors to end cross-border trafficking at the border between Sierra Leone and Liberia. </w:t>
      </w:r>
      <w:r w:rsidRPr="00676992">
        <w:t xml:space="preserve">The GAA have lobbied their governments to work on the implementation of the SOP with the involvement of </w:t>
      </w:r>
      <w:r w:rsidR="00676992" w:rsidRPr="00676992">
        <w:t>all relevant authorities.</w:t>
      </w:r>
    </w:p>
    <w:p w14:paraId="0BE5A3AE" w14:textId="08EE7C55" w:rsidR="003C670D" w:rsidRPr="003C670D" w:rsidRDefault="003C670D" w:rsidP="003C670D">
      <w:pPr>
        <w:pStyle w:val="Body"/>
        <w:numPr>
          <w:ilvl w:val="0"/>
          <w:numId w:val="7"/>
        </w:numPr>
      </w:pPr>
      <w:r w:rsidRPr="003C670D">
        <w:rPr>
          <w:b/>
        </w:rPr>
        <w:lastRenderedPageBreak/>
        <w:t>Prosecution:</w:t>
      </w:r>
      <w:r w:rsidRPr="003C670D">
        <w:t xml:space="preserve"> </w:t>
      </w:r>
      <w:r>
        <w:t>The GAA is advocating for the prosecution of child traffickers and the importance of the full implementation of national laws on child trafficking, and lobbied to officials to get the trafficked girls back home.</w:t>
      </w:r>
    </w:p>
    <w:p w14:paraId="5EAC7E25" w14:textId="30D94C4A" w:rsidR="00F86758" w:rsidRPr="00FC46FF" w:rsidRDefault="00304738" w:rsidP="0002706A">
      <w:pPr>
        <w:pStyle w:val="Heading1"/>
        <w:rPr>
          <w:lang w:val="en-GB"/>
        </w:rPr>
      </w:pPr>
      <w:r>
        <w:rPr>
          <w:lang w:val="en-GB"/>
        </w:rPr>
        <w:t>Four p</w:t>
      </w:r>
      <w:r w:rsidR="00F86758" w:rsidRPr="00FC46FF">
        <w:rPr>
          <w:lang w:val="en-GB"/>
        </w:rPr>
        <w:t>illar approach to trafficking of migrant adolescent girls</w:t>
      </w:r>
      <w:r w:rsidR="00BF5F60" w:rsidRPr="00BF5F60">
        <w:rPr>
          <w:rStyle w:val="FootnoteReference"/>
          <w:color w:val="F08738"/>
          <w:lang w:val="en-GB"/>
        </w:rPr>
        <w:footnoteReference w:id="50"/>
      </w:r>
    </w:p>
    <w:p w14:paraId="5CD473D8" w14:textId="2AB0999B" w:rsidR="00F86758" w:rsidRPr="003475C8" w:rsidRDefault="000708E4" w:rsidP="003475C8">
      <w:pPr>
        <w:pStyle w:val="Body"/>
      </w:pPr>
      <w:r w:rsidRPr="00E146D4">
        <w:t>The current policy</w:t>
      </w:r>
      <w:r w:rsidR="00743A9F" w:rsidRPr="00E146D4">
        <w:t xml:space="preserve"> and funding</w:t>
      </w:r>
      <w:r w:rsidRPr="00E146D4">
        <w:t xml:space="preserve"> climate on trafficking and exploitation of girls tends to heavily emphasize prosecution of these crimes,</w:t>
      </w:r>
      <w:r w:rsidR="00743A9F" w:rsidRPr="00E146D4">
        <w:t xml:space="preserve"> and particularly “raid and rescue” operations, at the expense of</w:t>
      </w:r>
      <w:r w:rsidRPr="00E146D4">
        <w:t xml:space="preserve"> </w:t>
      </w:r>
      <w:r w:rsidR="00F86758" w:rsidRPr="00E146D4">
        <w:t>preventi</w:t>
      </w:r>
      <w:r w:rsidR="00292BBD">
        <w:t>on, protection and partnerships</w:t>
      </w:r>
      <w:r w:rsidR="00BD6047">
        <w:rPr>
          <w:rStyle w:val="FootnoteReference"/>
        </w:rPr>
        <w:footnoteReference w:id="51"/>
      </w:r>
      <w:r w:rsidRPr="00E146D4">
        <w:t xml:space="preserve">. </w:t>
      </w:r>
      <w:r w:rsidRPr="003475C8">
        <w:t xml:space="preserve">The Girls Advocacy Alliance aligns itself with the </w:t>
      </w:r>
      <w:r w:rsidR="00F86758" w:rsidRPr="003475C8">
        <w:t>Call to Action to End Forced Labour, Moder</w:t>
      </w:r>
      <w:r w:rsidRPr="003475C8">
        <w:t>n Slavery and Human Trafficking</w:t>
      </w:r>
      <w:r w:rsidRPr="006D6BA3">
        <w:rPr>
          <w:rStyle w:val="FootnoteReference"/>
        </w:rPr>
        <w:footnoteReference w:id="52"/>
      </w:r>
      <w:r w:rsidRPr="003475C8">
        <w:t>, launched in 2017 at the 72nd session of the UN General Assembly and endorsed by 8</w:t>
      </w:r>
      <w:r w:rsidR="00743A9F">
        <w:t>4</w:t>
      </w:r>
      <w:r w:rsidRPr="003475C8">
        <w:t xml:space="preserve"> Member and Observer States</w:t>
      </w:r>
      <w:r w:rsidRPr="006D6BA3">
        <w:rPr>
          <w:rStyle w:val="FootnoteReference"/>
        </w:rPr>
        <w:footnoteReference w:id="53"/>
      </w:r>
      <w:r w:rsidRPr="003475C8">
        <w:t xml:space="preserve"> of the UN. The Call to Action </w:t>
      </w:r>
      <w:r w:rsidR="00F86758" w:rsidRPr="003475C8">
        <w:t xml:space="preserve">outlines a comprehensive approach as comprising </w:t>
      </w:r>
      <w:r w:rsidR="00F86758" w:rsidRPr="003475C8">
        <w:lastRenderedPageBreak/>
        <w:t xml:space="preserve">the four pillars of prevention, protection, prosecution and partnerships. </w:t>
      </w:r>
      <w:r w:rsidR="001668D7">
        <w:t>Clearly, prosecution should be part of the response but a</w:t>
      </w:r>
      <w:r w:rsidR="001668D7" w:rsidRPr="00FC46FF">
        <w:t xml:space="preserve"> </w:t>
      </w:r>
      <w:r w:rsidR="006D6BA3" w:rsidRPr="00FC46FF">
        <w:t xml:space="preserve">shift from </w:t>
      </w:r>
      <w:r w:rsidR="001668D7">
        <w:t>a solely law enforcement focussed</w:t>
      </w:r>
      <w:r w:rsidR="006D6BA3" w:rsidRPr="00FC46FF">
        <w:t xml:space="preserve"> approach to </w:t>
      </w:r>
      <w:r w:rsidR="001668D7">
        <w:t xml:space="preserve">more </w:t>
      </w:r>
      <w:r w:rsidR="006D6BA3" w:rsidRPr="00FC46FF">
        <w:t>human rights–based approaches</w:t>
      </w:r>
      <w:r w:rsidR="006D6BA3">
        <w:t xml:space="preserve"> is urgently needed</w:t>
      </w:r>
      <w:r w:rsidR="006D6BA3" w:rsidRPr="00FC46FF">
        <w:t>.</w:t>
      </w:r>
      <w:r w:rsidR="0043569A">
        <w:t xml:space="preserve"> </w:t>
      </w:r>
      <w:r w:rsidR="006D6BA3" w:rsidRPr="00FC46FF">
        <w:t>These include immediate assistance and alternative livelihood training for trafficked girls, along with efforts to address the root causes of trafficking: poverty, marginali</w:t>
      </w:r>
      <w:r w:rsidR="00BF5F60">
        <w:t>s</w:t>
      </w:r>
      <w:r w:rsidR="006D6BA3" w:rsidRPr="00FC46FF">
        <w:t>ation of minorities,</w:t>
      </w:r>
      <w:r w:rsidR="006D6BA3">
        <w:t xml:space="preserve"> </w:t>
      </w:r>
      <w:r w:rsidR="006D6BA3" w:rsidRPr="00FC46FF">
        <w:t>and gender</w:t>
      </w:r>
      <w:r w:rsidR="00BF5F60">
        <w:t>-based</w:t>
      </w:r>
      <w:r w:rsidR="006D6BA3" w:rsidRPr="00FC46FF">
        <w:t xml:space="preserve"> </w:t>
      </w:r>
      <w:r w:rsidR="001668D7">
        <w:t>discrimination and violence</w:t>
      </w:r>
      <w:r w:rsidR="006D6BA3">
        <w:t>.</w:t>
      </w:r>
      <w:r w:rsidR="006D6BA3">
        <w:rPr>
          <w:rStyle w:val="FootnoteReference"/>
        </w:rPr>
        <w:footnoteReference w:id="54"/>
      </w:r>
      <w:r w:rsidR="006D6BA3" w:rsidRPr="00FC46FF">
        <w:t xml:space="preserve"> </w:t>
      </w:r>
    </w:p>
    <w:p w14:paraId="2F7F039C" w14:textId="26FC1AC2" w:rsidR="00F86758" w:rsidRPr="00FC46FF" w:rsidRDefault="00304738" w:rsidP="003475C8">
      <w:pPr>
        <w:pStyle w:val="Heading3"/>
        <w:numPr>
          <w:ilvl w:val="0"/>
          <w:numId w:val="13"/>
        </w:numPr>
      </w:pPr>
      <w:r>
        <w:t>Prevention</w:t>
      </w:r>
      <w:r w:rsidR="00F86758" w:rsidRPr="00FC46FF">
        <w:t xml:space="preserve"> </w:t>
      </w:r>
    </w:p>
    <w:p w14:paraId="09DB7C0A" w14:textId="1C3F93B0" w:rsidR="003475C8" w:rsidRDefault="00ED2839" w:rsidP="003475C8">
      <w:pPr>
        <w:pStyle w:val="Subtitle"/>
      </w:pPr>
      <w:r>
        <w:t>Reducing inequalities</w:t>
      </w:r>
    </w:p>
    <w:p w14:paraId="23CD6C29" w14:textId="04085727" w:rsidR="00F86758" w:rsidRPr="003475C8" w:rsidRDefault="00ED2839" w:rsidP="003475C8">
      <w:pPr>
        <w:pStyle w:val="Body"/>
      </w:pPr>
      <w:r w:rsidRPr="00ED2839">
        <w:t>Wage inequalities between countries combined with tight immigration controls in wealthier nations create the conditions for trafficking as a profitable business. Realistic and attr</w:t>
      </w:r>
      <w:r w:rsidR="00676992">
        <w:t xml:space="preserve">active local livelihood options, as well as social protection mechanisms </w:t>
      </w:r>
      <w:r w:rsidRPr="00ED2839">
        <w:t xml:space="preserve">may incentivise some adolescent girls and young women to remain in their place of origin and avoid the risks associated with low wage economic migration. </w:t>
      </w:r>
      <w:r w:rsidR="00F86758" w:rsidRPr="003475C8">
        <w:t xml:space="preserve">The lack of a quality education </w:t>
      </w:r>
      <w:r w:rsidR="00B91D95">
        <w:t>is also</w:t>
      </w:r>
      <w:r w:rsidR="00292BBD">
        <w:t xml:space="preserve"> an important factor</w:t>
      </w:r>
      <w:r w:rsidR="00F86758" w:rsidRPr="003475C8">
        <w:t>. However, for those who decide to go, their rights need to be protected, throughout their journeys.</w:t>
      </w:r>
      <w:r w:rsidR="00BD6047">
        <w:rPr>
          <w:rStyle w:val="FootnoteReference"/>
        </w:rPr>
        <w:footnoteReference w:id="55"/>
      </w:r>
    </w:p>
    <w:p w14:paraId="58827647" w14:textId="0036956A" w:rsidR="003475C8" w:rsidRDefault="00ED2839" w:rsidP="003475C8">
      <w:pPr>
        <w:pStyle w:val="Subtitle"/>
      </w:pPr>
      <w:r>
        <w:t>Working with families</w:t>
      </w:r>
      <w:r w:rsidR="00F86758" w:rsidRPr="003475C8">
        <w:t xml:space="preserve"> </w:t>
      </w:r>
    </w:p>
    <w:p w14:paraId="071E6B10" w14:textId="4948EBB5" w:rsidR="00304738" w:rsidRDefault="00304738" w:rsidP="003475C8">
      <w:pPr>
        <w:pStyle w:val="Body"/>
      </w:pPr>
      <w:r>
        <w:t>E</w:t>
      </w:r>
      <w:r w:rsidR="00F86758" w:rsidRPr="003475C8">
        <w:t xml:space="preserve">vidence suggests that </w:t>
      </w:r>
      <w:r w:rsidR="00F86758" w:rsidRPr="00304738">
        <w:rPr>
          <w:bCs/>
        </w:rPr>
        <w:t>families</w:t>
      </w:r>
      <w:r w:rsidR="00F86758" w:rsidRPr="003475C8">
        <w:rPr>
          <w:b/>
          <w:bCs/>
        </w:rPr>
        <w:t xml:space="preserve"> </w:t>
      </w:r>
      <w:r w:rsidR="00F86758" w:rsidRPr="003475C8">
        <w:t xml:space="preserve">play an important </w:t>
      </w:r>
      <w:r>
        <w:t>role in facilitating migration for girls. M</w:t>
      </w:r>
      <w:r w:rsidRPr="00ED2839">
        <w:t xml:space="preserve">igrant girls often describe mothers as confidantes, assistants, funders, and even collaborators when fathers oppose their plans. </w:t>
      </w:r>
      <w:r w:rsidR="00F86758" w:rsidRPr="003475C8">
        <w:t xml:space="preserve">In order to protect girls, interventions must also target families and help inform their decisions. </w:t>
      </w:r>
      <w:r>
        <w:t xml:space="preserve">It is particularly important to </w:t>
      </w:r>
      <w:r w:rsidRPr="00ED2839">
        <w:t>work with mothers</w:t>
      </w:r>
      <w:r>
        <w:t>,</w:t>
      </w:r>
      <w:r w:rsidRPr="00ED2839">
        <w:t xml:space="preserve"> </w:t>
      </w:r>
      <w:r>
        <w:t xml:space="preserve">in order </w:t>
      </w:r>
      <w:r w:rsidRPr="00ED2839">
        <w:t xml:space="preserve">to </w:t>
      </w:r>
      <w:r>
        <w:t xml:space="preserve">raise </w:t>
      </w:r>
      <w:r>
        <w:lastRenderedPageBreak/>
        <w:t xml:space="preserve">their awareness </w:t>
      </w:r>
      <w:r w:rsidRPr="00ED2839">
        <w:t>on the risks of migration to allow them to support daughters migrating unaccompanied to do so safely</w:t>
      </w:r>
      <w:r w:rsidR="00BD6047">
        <w:t>.</w:t>
      </w:r>
      <w:r w:rsidR="00BD6047">
        <w:rPr>
          <w:rStyle w:val="FootnoteReference"/>
        </w:rPr>
        <w:footnoteReference w:id="56"/>
      </w:r>
      <w:r>
        <w:t xml:space="preserve"> </w:t>
      </w:r>
    </w:p>
    <w:p w14:paraId="1ABB35CA" w14:textId="7D85A078" w:rsidR="00F86758" w:rsidRPr="003475C8" w:rsidRDefault="00304738" w:rsidP="003475C8">
      <w:pPr>
        <w:pStyle w:val="Body"/>
      </w:pPr>
      <w:r>
        <w:t>It is also important to address g</w:t>
      </w:r>
      <w:r w:rsidR="00F86758" w:rsidRPr="003475C8">
        <w:t>ender-based violence</w:t>
      </w:r>
      <w:r>
        <w:t xml:space="preserve"> in communities</w:t>
      </w:r>
      <w:r w:rsidR="00F86758" w:rsidRPr="003475C8">
        <w:t xml:space="preserve">, so women and girls do not have to migrate to escape abuse and violence. Policies that incentivise families to keep girls in school can help protect them </w:t>
      </w:r>
      <w:r w:rsidR="00676992">
        <w:t>from</w:t>
      </w:r>
      <w:r w:rsidR="00F86758" w:rsidRPr="003475C8">
        <w:t xml:space="preserve"> exploitation. Family awareness can also help inform families about the psychological distress that adolescents and young women often experience in the aftermath of trafficking.</w:t>
      </w:r>
      <w:r w:rsidR="00BD6047">
        <w:rPr>
          <w:rStyle w:val="FootnoteReference"/>
        </w:rPr>
        <w:footnoteReference w:id="57"/>
      </w:r>
      <w:r w:rsidRPr="00ED2839">
        <w:t xml:space="preserve"> </w:t>
      </w:r>
    </w:p>
    <w:p w14:paraId="1B0B5882" w14:textId="14271255" w:rsidR="00F86758" w:rsidRPr="00FC46FF" w:rsidRDefault="00F86758" w:rsidP="003475C8">
      <w:pPr>
        <w:pStyle w:val="Subtitle"/>
      </w:pPr>
      <w:r w:rsidRPr="00FC46FF">
        <w:t>Importance of personal documentation</w:t>
      </w:r>
    </w:p>
    <w:p w14:paraId="1D4F29B4" w14:textId="2BE31C03" w:rsidR="00F86758" w:rsidRPr="00FC46FF" w:rsidRDefault="00F86758" w:rsidP="003475C8">
      <w:pPr>
        <w:pStyle w:val="Body"/>
      </w:pPr>
      <w:r w:rsidRPr="00FC46FF">
        <w:t xml:space="preserve">In many countries, adolescent girls lack personal identification such as birth certificates, national identity cards, or other forms of documentation that show their age, birth date, identity of biological parents, legal surname, or health records. </w:t>
      </w:r>
      <w:r w:rsidR="00304738">
        <w:t>Personal documentation is critical to ensuring safe migration, avoid exploitation and gain access to health, ed</w:t>
      </w:r>
      <w:r w:rsidR="00BD6047">
        <w:t>ucation and social services.</w:t>
      </w:r>
      <w:r w:rsidR="00BD6047">
        <w:rPr>
          <w:rStyle w:val="FootnoteReference"/>
        </w:rPr>
        <w:footnoteReference w:id="58"/>
      </w:r>
    </w:p>
    <w:p w14:paraId="00FF93E5" w14:textId="19086DDB" w:rsidR="00F86758" w:rsidRPr="00CA2423" w:rsidRDefault="00CA2423" w:rsidP="003475C8">
      <w:pPr>
        <w:pStyle w:val="Heading3"/>
      </w:pPr>
      <w:r w:rsidRPr="00CA2423">
        <w:t>Protection</w:t>
      </w:r>
    </w:p>
    <w:p w14:paraId="21070AC6" w14:textId="210984CF" w:rsidR="00304738" w:rsidRPr="00CA2423" w:rsidRDefault="00304738" w:rsidP="00304738">
      <w:pPr>
        <w:pStyle w:val="Body"/>
      </w:pPr>
      <w:r w:rsidRPr="00CA2423">
        <w:t>It is critical that governments scale up assistance for trafficked women and girls, to encompass housing, training and work opportunities. The health sector also has an important role, especially in relation to injuries, HIV and STIs, unwanted pregnancy and mental health. Where women and girls have been trafficked overseas, cooperation between host countries and countries of origin is needed to prepare women and girls for their return and to ensure effective follow up.</w:t>
      </w:r>
      <w:r w:rsidR="00BD6047">
        <w:rPr>
          <w:rStyle w:val="FootnoteReference"/>
        </w:rPr>
        <w:footnoteReference w:id="59"/>
      </w:r>
    </w:p>
    <w:p w14:paraId="06D75F47" w14:textId="5CB712CE" w:rsidR="00F86758" w:rsidRPr="00657F65" w:rsidRDefault="00BD6047" w:rsidP="003475C8">
      <w:pPr>
        <w:pStyle w:val="Heading3"/>
      </w:pPr>
      <w:r>
        <w:t>Prosecution</w:t>
      </w:r>
    </w:p>
    <w:p w14:paraId="363905FA" w14:textId="78144CC5" w:rsidR="003475C8" w:rsidRPr="00657F65" w:rsidRDefault="00F86758" w:rsidP="003475C8">
      <w:pPr>
        <w:pStyle w:val="Body"/>
      </w:pPr>
      <w:r w:rsidRPr="00657F65">
        <w:lastRenderedPageBreak/>
        <w:t xml:space="preserve">Holding perpetrators to account is clearly vital, but </w:t>
      </w:r>
      <w:r w:rsidRPr="00AF5AB1">
        <w:t>some evidence</w:t>
      </w:r>
      <w:r w:rsidR="00AF5AB1" w:rsidRPr="00AF5AB1">
        <w:rPr>
          <w:rStyle w:val="FootnoteReference"/>
        </w:rPr>
        <w:footnoteReference w:id="60"/>
      </w:r>
      <w:r w:rsidRPr="00657F65">
        <w:t xml:space="preserve"> suggests that the current response is disproportionately focussed on law enforcement, and that an over emphasis on “rescue” operations in the sex industry may have detracted from more effective prevention strategies. There is a need to increase investment across all four pillars.</w:t>
      </w:r>
    </w:p>
    <w:p w14:paraId="2CDA822B" w14:textId="6E2BD707" w:rsidR="00F86758" w:rsidRPr="00657F65" w:rsidRDefault="00F86758" w:rsidP="003475C8">
      <w:pPr>
        <w:pStyle w:val="Body"/>
      </w:pPr>
      <w:r w:rsidRPr="00657F65">
        <w:t xml:space="preserve">There is consistent indication that corruption by </w:t>
      </w:r>
      <w:r w:rsidRPr="00657F65">
        <w:rPr>
          <w:bCs/>
        </w:rPr>
        <w:t>officials</w:t>
      </w:r>
      <w:r w:rsidRPr="00657F65">
        <w:rPr>
          <w:b/>
          <w:bCs/>
        </w:rPr>
        <w:t xml:space="preserve"> </w:t>
      </w:r>
      <w:r w:rsidRPr="00657F65">
        <w:t>plays an important role in human trafficking</w:t>
      </w:r>
      <w:r w:rsidR="00CA2423" w:rsidRPr="00657F65">
        <w:rPr>
          <w:rStyle w:val="FootnoteReference"/>
        </w:rPr>
        <w:footnoteReference w:id="61"/>
      </w:r>
      <w:r w:rsidRPr="00657F65">
        <w:t xml:space="preserve">. Gateways include recruitment, procurement of documents, transport, immigration and profit laundering. Police, immigration and customs officers, officials and the private sector (e.g. transport, financial institutions) may be tolerating, facilitating or organising human trafficking. Governments must prosecute those involved, monitor vulnerable sectors, and use information to prevent further cases. </w:t>
      </w:r>
      <w:r w:rsidR="00BD6047">
        <w:rPr>
          <w:rStyle w:val="FootnoteReference"/>
        </w:rPr>
        <w:footnoteReference w:id="62"/>
      </w:r>
    </w:p>
    <w:p w14:paraId="7A3E0654" w14:textId="2A273395" w:rsidR="00F86758" w:rsidRPr="0034160C" w:rsidRDefault="00657F65" w:rsidP="003475C8">
      <w:pPr>
        <w:pStyle w:val="Heading3"/>
      </w:pPr>
      <w:r w:rsidRPr="0034160C">
        <w:t>Partnerships</w:t>
      </w:r>
    </w:p>
    <w:p w14:paraId="34A75D7E" w14:textId="5B61C266" w:rsidR="0099118F" w:rsidRPr="00FC46FF" w:rsidRDefault="00F86758" w:rsidP="0074684D">
      <w:pPr>
        <w:pStyle w:val="Body"/>
      </w:pPr>
      <w:r w:rsidRPr="0034160C">
        <w:t>A systemic and integrated approach to tackling the exploitation of women and girls in modern slavery requires cross-sector, cross-regional and int</w:t>
      </w:r>
      <w:r w:rsidR="00AF5AB1">
        <w:t>ernational partnerships. Policy-</w:t>
      </w:r>
      <w:r w:rsidRPr="0034160C">
        <w:t xml:space="preserve">making in migration for example has been conducted within sector silos (e.g. international development, security, immigration, trade and labour) with different and often incompatible goals. While the needs and rights of women and girls have received increased international attention over recent years, human trafficking action plans are often developed and implemented as an isolated set of actions, rarely reflecting these wider trends or actively including survivors in their formulation. </w:t>
      </w:r>
      <w:r w:rsidR="0034160C" w:rsidRPr="0034160C">
        <w:t>G</w:t>
      </w:r>
      <w:r w:rsidRPr="0034160C">
        <w:t xml:space="preserve">overnments </w:t>
      </w:r>
      <w:r w:rsidR="0034160C" w:rsidRPr="0034160C">
        <w:t>should</w:t>
      </w:r>
      <w:r w:rsidRPr="0034160C">
        <w:t xml:space="preserve"> make a concerted effort to integrate anti-trafficking policy within larger sector policies, shifting from a heavy law enforcement focus to one that encompasses social, gender, micro-economic and health and wellbeing issues and much more. Integration between </w:t>
      </w:r>
      <w:r w:rsidRPr="0034160C">
        <w:lastRenderedPageBreak/>
        <w:t>anti-trafficking and anti-corruption efforts is also key, giving voice to victims and fostering law enforcement, transparency and accountability of governments, as is work across regions and nations</w:t>
      </w:r>
      <w:r w:rsidR="00092071" w:rsidRPr="0034160C">
        <w:t>.</w:t>
      </w:r>
      <w:r w:rsidR="00657F65" w:rsidRPr="0034160C">
        <w:t xml:space="preserve"> </w:t>
      </w:r>
      <w:r w:rsidR="00BD6047">
        <w:rPr>
          <w:rStyle w:val="FootnoteReference"/>
        </w:rPr>
        <w:footnoteReference w:id="63"/>
      </w:r>
    </w:p>
    <w:sectPr w:rsidR="0099118F" w:rsidRPr="00FC46FF" w:rsidSect="00676992">
      <w:footerReference w:type="default" r:id="rId11"/>
      <w:headerReference w:type="first" r:id="rId12"/>
      <w:pgSz w:w="11906" w:h="16838"/>
      <w:pgMar w:top="1134" w:right="1134" w:bottom="1134" w:left="1134"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098F6" w16cid:durableId="20040241"/>
  <w16cid:commentId w16cid:paraId="5700D719" w16cid:durableId="200404B3"/>
  <w16cid:commentId w16cid:paraId="27E46708" w16cid:durableId="20040509"/>
  <w16cid:commentId w16cid:paraId="68566BC7" w16cid:durableId="20042A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F808E" w14:textId="77777777" w:rsidR="00676992" w:rsidRDefault="00676992" w:rsidP="00F86758">
      <w:r>
        <w:separator/>
      </w:r>
    </w:p>
  </w:endnote>
  <w:endnote w:type="continuationSeparator" w:id="0">
    <w:p w14:paraId="1A2D2D41" w14:textId="77777777" w:rsidR="00676992" w:rsidRDefault="00676992" w:rsidP="00F8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neer">
    <w:altName w:val="Franklin Gothic Demi Cond"/>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color w:val="575756"/>
        <w:sz w:val="20"/>
        <w:szCs w:val="20"/>
      </w:rPr>
      <w:id w:val="-1518931069"/>
      <w:docPartObj>
        <w:docPartGallery w:val="Page Numbers (Bottom of Page)"/>
        <w:docPartUnique/>
      </w:docPartObj>
    </w:sdtPr>
    <w:sdtEndPr>
      <w:rPr>
        <w:noProof/>
      </w:rPr>
    </w:sdtEndPr>
    <w:sdtContent>
      <w:p w14:paraId="18C29F07" w14:textId="545D436F" w:rsidR="00676992" w:rsidRPr="007C6820" w:rsidRDefault="00676992">
        <w:pPr>
          <w:pStyle w:val="Footer"/>
          <w:jc w:val="right"/>
          <w:rPr>
            <w:rFonts w:ascii="Open Sans" w:hAnsi="Open Sans" w:cs="Open Sans"/>
            <w:color w:val="575756"/>
            <w:sz w:val="20"/>
            <w:szCs w:val="20"/>
          </w:rPr>
        </w:pPr>
        <w:r w:rsidRPr="007C6820">
          <w:rPr>
            <w:rFonts w:ascii="Open Sans" w:hAnsi="Open Sans" w:cs="Open Sans"/>
            <w:color w:val="575756"/>
            <w:sz w:val="20"/>
            <w:szCs w:val="20"/>
          </w:rPr>
          <w:fldChar w:fldCharType="begin"/>
        </w:r>
        <w:r w:rsidRPr="007C6820">
          <w:rPr>
            <w:rFonts w:ascii="Open Sans" w:hAnsi="Open Sans" w:cs="Open Sans"/>
            <w:color w:val="575756"/>
            <w:sz w:val="20"/>
            <w:szCs w:val="20"/>
          </w:rPr>
          <w:instrText xml:space="preserve"> PAGE   \* MERGEFORMAT </w:instrText>
        </w:r>
        <w:r w:rsidRPr="007C6820">
          <w:rPr>
            <w:rFonts w:ascii="Open Sans" w:hAnsi="Open Sans" w:cs="Open Sans"/>
            <w:color w:val="575756"/>
            <w:sz w:val="20"/>
            <w:szCs w:val="20"/>
          </w:rPr>
          <w:fldChar w:fldCharType="separate"/>
        </w:r>
        <w:r w:rsidR="00CE184C">
          <w:rPr>
            <w:rFonts w:ascii="Open Sans" w:hAnsi="Open Sans" w:cs="Open Sans"/>
            <w:noProof/>
            <w:color w:val="575756"/>
            <w:sz w:val="20"/>
            <w:szCs w:val="20"/>
          </w:rPr>
          <w:t>3</w:t>
        </w:r>
        <w:r w:rsidRPr="007C6820">
          <w:rPr>
            <w:rFonts w:ascii="Open Sans" w:hAnsi="Open Sans" w:cs="Open Sans"/>
            <w:noProof/>
            <w:color w:val="575756"/>
            <w:sz w:val="20"/>
            <w:szCs w:val="20"/>
          </w:rPr>
          <w:fldChar w:fldCharType="end"/>
        </w:r>
      </w:p>
    </w:sdtContent>
  </w:sdt>
  <w:p w14:paraId="5541C3EB" w14:textId="77777777" w:rsidR="00676992" w:rsidRPr="007C6820" w:rsidRDefault="00676992">
    <w:pPr>
      <w:pStyle w:val="Footer"/>
      <w:rPr>
        <w:rFonts w:ascii="Open Sans" w:hAnsi="Open Sans" w:cs="Open Sans"/>
        <w:color w:val="57575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14B4F" w14:textId="77777777" w:rsidR="00676992" w:rsidRDefault="00676992" w:rsidP="00F86758">
      <w:r>
        <w:separator/>
      </w:r>
    </w:p>
  </w:footnote>
  <w:footnote w:type="continuationSeparator" w:id="0">
    <w:p w14:paraId="196DA296" w14:textId="77777777" w:rsidR="00676992" w:rsidRDefault="00676992" w:rsidP="00F86758">
      <w:r>
        <w:continuationSeparator/>
      </w:r>
    </w:p>
  </w:footnote>
  <w:footnote w:id="1">
    <w:p w14:paraId="60EFCF32" w14:textId="77777777"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“Girls” in this submission refers to all female children under the age of 18.</w:t>
      </w:r>
    </w:p>
  </w:footnote>
  <w:footnote w:id="2">
    <w:p w14:paraId="55B48E97" w14:textId="69E518E0"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Here, the focus is on adolescent girls (ages 10-19), given that few girls under age 10 are migrating on their own.</w:t>
      </w:r>
    </w:p>
  </w:footnote>
  <w:footnote w:id="3">
    <w:p w14:paraId="1023D2F0" w14:textId="2DAB6952"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UNODC. </w:t>
      </w:r>
      <w:r w:rsidRPr="007E6A01">
        <w:rPr>
          <w:rFonts w:ascii="Open Sans" w:hAnsi="Open Sans" w:cs="Open Sans"/>
          <w:i/>
          <w:color w:val="575756"/>
          <w:sz w:val="14"/>
          <w:szCs w:val="16"/>
        </w:rPr>
        <w:t>Global Report on Trafficking in Persons</w:t>
      </w:r>
      <w:r w:rsidRPr="007E6A01">
        <w:rPr>
          <w:rFonts w:ascii="Open Sans" w:hAnsi="Open Sans" w:cs="Open Sans"/>
          <w:color w:val="575756"/>
          <w:sz w:val="14"/>
          <w:szCs w:val="16"/>
        </w:rPr>
        <w:t>. 2018. Available at: https://www.courtinnovation.org/publications/fact-sheet-intersection-domestic-violence-sexual-assault-and-human-trafficking</w:t>
      </w:r>
    </w:p>
  </w:footnote>
  <w:footnote w:id="4">
    <w:p w14:paraId="34B9D1E5" w14:textId="22CBF96C" w:rsidR="00676992" w:rsidRPr="007E6A01" w:rsidRDefault="00676992" w:rsidP="007E6A01">
      <w:pPr>
        <w:pStyle w:val="FootnoteText"/>
        <w:rPr>
          <w:rFonts w:ascii="Open Sans" w:hAnsi="Open Sans" w:cs="Open Sans"/>
          <w:color w:val="575756"/>
          <w:sz w:val="14"/>
          <w:szCs w:val="16"/>
          <w:lang w:val="en-US"/>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 </w:t>
      </w:r>
    </w:p>
  </w:footnote>
  <w:footnote w:id="5">
    <w:p w14:paraId="6080EC3B" w14:textId="11981D7B" w:rsidR="00676992" w:rsidRPr="007E6A01" w:rsidRDefault="00676992" w:rsidP="007E6A01">
      <w:pPr>
        <w:pStyle w:val="FootnoteText"/>
        <w:rPr>
          <w:rFonts w:ascii="Open Sans" w:hAnsi="Open Sans" w:cs="Open Sans"/>
          <w:color w:val="575756"/>
          <w:sz w:val="14"/>
          <w:szCs w:val="16"/>
          <w:lang w:val="en-US"/>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6">
    <w:p w14:paraId="560F7B2F" w14:textId="5618A16A"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7">
    <w:p w14:paraId="0CA5DAD5" w14:textId="00DCE9EF"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8">
    <w:p w14:paraId="3C0B0DEF" w14:textId="685649DE"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9">
    <w:p w14:paraId="56C665AF" w14:textId="73745880"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10">
    <w:p w14:paraId="1BB0C1C5" w14:textId="0AD0FA3B" w:rsidR="00676992" w:rsidRPr="007E6A01" w:rsidRDefault="00676992" w:rsidP="007E6A01">
      <w:pPr>
        <w:pStyle w:val="FootnoteText"/>
        <w:rPr>
          <w:rFonts w:ascii="Open Sans" w:hAnsi="Open Sans" w:cs="Open Sans"/>
          <w:color w:val="575756"/>
          <w:sz w:val="14"/>
          <w:szCs w:val="16"/>
          <w:lang w:val="en-US"/>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11">
    <w:p w14:paraId="2D6FF14A" w14:textId="28BE1116" w:rsidR="00676992" w:rsidRPr="007E6A01" w:rsidRDefault="00676992" w:rsidP="007E6A01">
      <w:pPr>
        <w:pStyle w:val="FootnoteText"/>
        <w:rPr>
          <w:color w:val="575756"/>
          <w:sz w:val="18"/>
          <w:lang w:val="en-US"/>
        </w:rPr>
      </w:pPr>
      <w:r w:rsidRPr="007E6A01">
        <w:rPr>
          <w:rStyle w:val="FootnoteReference"/>
          <w:sz w:val="18"/>
        </w:rPr>
        <w:footnoteRef/>
      </w:r>
      <w:r w:rsidRPr="007E6A01">
        <w:rPr>
          <w:color w:val="575756"/>
          <w:sz w:val="18"/>
        </w:rPr>
        <w:t xml:space="preserve"> </w:t>
      </w:r>
      <w:r w:rsidRPr="007E6A01">
        <w:rPr>
          <w:rFonts w:ascii="Open Sans" w:hAnsi="Open Sans" w:cs="Open Sans"/>
          <w:color w:val="575756"/>
          <w:sz w:val="14"/>
          <w:szCs w:val="16"/>
          <w:lang w:val="en-US"/>
        </w:rPr>
        <w:t>The age group “adolescents” (defined as 10-19) is used in some places here because of availability of data.</w:t>
      </w:r>
    </w:p>
  </w:footnote>
  <w:footnote w:id="12">
    <w:p w14:paraId="48F3695E" w14:textId="0F7967D7"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Population Council. </w:t>
      </w:r>
      <w:r w:rsidRPr="007E6A01">
        <w:rPr>
          <w:rFonts w:ascii="Open Sans" w:hAnsi="Open Sans" w:cs="Open Sans"/>
          <w:i/>
          <w:color w:val="575756"/>
          <w:sz w:val="14"/>
          <w:szCs w:val="16"/>
        </w:rPr>
        <w:t xml:space="preserve">Girls on the Move: Adolescent girls &amp; migration in the developing world. </w:t>
      </w:r>
      <w:r w:rsidRPr="007E6A01">
        <w:rPr>
          <w:rFonts w:ascii="Open Sans" w:hAnsi="Open Sans" w:cs="Open Sans"/>
          <w:color w:val="575756"/>
          <w:sz w:val="14"/>
          <w:szCs w:val="16"/>
        </w:rPr>
        <w:t>2013.</w:t>
      </w:r>
    </w:p>
  </w:footnote>
  <w:footnote w:id="13">
    <w:p w14:paraId="38EE3DF4" w14:textId="0444ED43"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Grabska, K., del Franco, N., de Regt, M. Time to Look at Girls: Adolescent Girls’ Migration in the South. 2016.</w:t>
      </w:r>
    </w:p>
  </w:footnote>
  <w:footnote w:id="14">
    <w:p w14:paraId="1D644DBC" w14:textId="7203ED9D"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Plan UK. “The Exploitation of Adolescent Girls and Young Women in Modern Slavery: Evidence For Action”. 2018.</w:t>
      </w:r>
    </w:p>
  </w:footnote>
  <w:footnote w:id="15">
    <w:p w14:paraId="294979E1" w14:textId="1E319A3F" w:rsidR="00676992" w:rsidRPr="007E6A01" w:rsidRDefault="00676992" w:rsidP="007E6A01">
      <w:pPr>
        <w:pStyle w:val="FootnoteText"/>
        <w:rPr>
          <w:color w:val="575756"/>
          <w:sz w:val="18"/>
          <w:lang w:val="en-US"/>
        </w:rPr>
      </w:pPr>
      <w:r w:rsidRPr="007E6A01">
        <w:rPr>
          <w:rStyle w:val="FootnoteReference"/>
          <w:sz w:val="18"/>
        </w:rPr>
        <w:footnoteRef/>
      </w:r>
      <w:r w:rsidRPr="007E6A01">
        <w:rPr>
          <w:color w:val="575756"/>
          <w:sz w:val="18"/>
        </w:rPr>
        <w:t xml:space="preserve"> </w:t>
      </w:r>
      <w:r w:rsidRPr="007E6A01">
        <w:rPr>
          <w:rFonts w:ascii="Open Sans" w:hAnsi="Open Sans" w:cs="Open Sans"/>
          <w:color w:val="575756"/>
          <w:sz w:val="14"/>
          <w:szCs w:val="16"/>
        </w:rPr>
        <w:t>UNHCR. “Safeguarding Individuals: Women”. (n.d.) Accessed 13 February 2019. Available at: http://www.unhcr.org/uk/women.html</w:t>
      </w:r>
    </w:p>
  </w:footnote>
  <w:footnote w:id="16">
    <w:p w14:paraId="4E8D9894" w14:textId="72ABE8C0" w:rsidR="00676992" w:rsidRPr="007E6A01" w:rsidRDefault="00676992" w:rsidP="007E6A01">
      <w:pPr>
        <w:pStyle w:val="Body"/>
        <w:spacing w:before="0" w:after="0"/>
        <w:rPr>
          <w:sz w:val="18"/>
        </w:rPr>
      </w:pPr>
      <w:r w:rsidRPr="007E6A01">
        <w:rPr>
          <w:rStyle w:val="FootnoteReference"/>
          <w:sz w:val="18"/>
        </w:rPr>
        <w:footnoteRef/>
      </w:r>
      <w:r w:rsidRPr="007E6A01">
        <w:rPr>
          <w:sz w:val="18"/>
        </w:rPr>
        <w:t xml:space="preserve"> </w:t>
      </w:r>
      <w:r w:rsidRPr="007E6A01">
        <w:rPr>
          <w:sz w:val="14"/>
        </w:rPr>
        <w:t>See,</w:t>
      </w:r>
      <w:r w:rsidRPr="007E6A01">
        <w:rPr>
          <w:i/>
          <w:sz w:val="14"/>
        </w:rPr>
        <w:t xml:space="preserve"> UNHCR registration data as of October 2016 for countries of first asylum where UASC populations exceed 1,000 persons.</w:t>
      </w:r>
    </w:p>
  </w:footnote>
  <w:footnote w:id="17">
    <w:p w14:paraId="0F057BB4" w14:textId="1D8DFD60" w:rsidR="00676992" w:rsidRPr="007E6A01" w:rsidRDefault="00676992" w:rsidP="007E6A01">
      <w:pPr>
        <w:pStyle w:val="Body"/>
        <w:spacing w:before="0" w:after="0"/>
        <w:rPr>
          <w:sz w:val="18"/>
        </w:rPr>
      </w:pPr>
      <w:r w:rsidRPr="007E6A01">
        <w:rPr>
          <w:rStyle w:val="FootnoteReference"/>
          <w:sz w:val="14"/>
        </w:rPr>
        <w:footnoteRef/>
      </w:r>
      <w:r w:rsidRPr="007E6A01">
        <w:rPr>
          <w:sz w:val="14"/>
        </w:rPr>
        <w:t xml:space="preserve"> See, </w:t>
      </w:r>
      <w:r w:rsidRPr="007E6A01">
        <w:rPr>
          <w:i/>
          <w:sz w:val="14"/>
        </w:rPr>
        <w:t>Procon.org (2016) Unaccompanied Immigrant Children - Demographic Data: Research on the Unauthorized Minors Arriving at US Border Crossings. Available at: http://immigration.procon.org/view.resource.php?resourceID=006411</w:t>
      </w:r>
    </w:p>
  </w:footnote>
  <w:footnote w:id="18">
    <w:p w14:paraId="56E7AE7D" w14:textId="3375D8A4"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Population Council, 2013.</w:t>
      </w:r>
    </w:p>
  </w:footnote>
  <w:footnote w:id="19">
    <w:p w14:paraId="7B3F4D4B" w14:textId="34025A7C"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20">
    <w:p w14:paraId="0A20A49C" w14:textId="3B1522B9"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21">
    <w:p w14:paraId="1509DABB" w14:textId="1D5EF4CD"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22">
    <w:p w14:paraId="73F1C20B" w14:textId="4F9FA582"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Plan UK, 2018.</w:t>
      </w:r>
    </w:p>
  </w:footnote>
  <w:footnote w:id="23">
    <w:p w14:paraId="496AFEE1" w14:textId="7E77A81C"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Population Council, 2013.</w:t>
      </w:r>
    </w:p>
  </w:footnote>
  <w:footnote w:id="24">
    <w:p w14:paraId="0AE50ADC" w14:textId="1B425835"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Grabska, et al. 2016.</w:t>
      </w:r>
    </w:p>
  </w:footnote>
  <w:footnote w:id="25">
    <w:p w14:paraId="4579F654" w14:textId="74705B49" w:rsidR="00676992" w:rsidRPr="007E6A01" w:rsidRDefault="00676992" w:rsidP="007E6A01">
      <w:pPr>
        <w:pStyle w:val="FootnoteText"/>
        <w:rPr>
          <w:rFonts w:ascii="Open Sans" w:hAnsi="Open Sans" w:cs="Open Sans"/>
          <w:color w:val="575756"/>
          <w:sz w:val="14"/>
          <w:szCs w:val="16"/>
          <w:lang w:val="en-US"/>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Population Council, 2013.</w:t>
      </w:r>
    </w:p>
  </w:footnote>
  <w:footnote w:id="26">
    <w:p w14:paraId="5544A291" w14:textId="423D3F70"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w:t>
      </w:r>
      <w:r w:rsidR="00AF5AB1">
        <w:rPr>
          <w:rFonts w:ascii="Open Sans" w:hAnsi="Open Sans" w:cs="Open Sans"/>
          <w:color w:val="575756"/>
          <w:sz w:val="14"/>
          <w:szCs w:val="16"/>
        </w:rPr>
        <w:t>id</w:t>
      </w:r>
      <w:r w:rsidRPr="007E6A01">
        <w:rPr>
          <w:rFonts w:ascii="Open Sans" w:hAnsi="Open Sans" w:cs="Open Sans"/>
          <w:color w:val="575756"/>
          <w:sz w:val="14"/>
          <w:szCs w:val="16"/>
        </w:rPr>
        <w:t>.</w:t>
      </w:r>
    </w:p>
  </w:footnote>
  <w:footnote w:id="27">
    <w:p w14:paraId="59F0FA8B" w14:textId="108A2FF2"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28">
    <w:p w14:paraId="63EE9924" w14:textId="457AD04B"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29">
    <w:p w14:paraId="50A65215" w14:textId="477F9E17" w:rsidR="00676992" w:rsidRPr="00334727" w:rsidRDefault="00676992" w:rsidP="007E6A01">
      <w:pPr>
        <w:pStyle w:val="FootnoteText"/>
        <w:rPr>
          <w:rFonts w:ascii="Open Sans" w:hAnsi="Open Sans" w:cs="Open Sans"/>
          <w:color w:val="575756"/>
          <w:sz w:val="14"/>
          <w:szCs w:val="16"/>
          <w:lang w:val="fr-CH"/>
        </w:rPr>
      </w:pPr>
      <w:r w:rsidRPr="007E6A01">
        <w:rPr>
          <w:rStyle w:val="FootnoteReference"/>
          <w:rFonts w:ascii="Open Sans" w:hAnsi="Open Sans" w:cs="Open Sans"/>
          <w:sz w:val="14"/>
          <w:szCs w:val="16"/>
        </w:rPr>
        <w:footnoteRef/>
      </w:r>
      <w:r w:rsidRPr="00334727">
        <w:rPr>
          <w:rFonts w:ascii="Open Sans" w:hAnsi="Open Sans" w:cs="Open Sans"/>
          <w:color w:val="575756"/>
          <w:sz w:val="14"/>
          <w:szCs w:val="16"/>
          <w:lang w:val="fr-CH"/>
        </w:rPr>
        <w:t xml:space="preserve"> Grabska, et al. 2016.</w:t>
      </w:r>
    </w:p>
  </w:footnote>
  <w:footnote w:id="30">
    <w:p w14:paraId="71D461AF" w14:textId="1DEFCC55" w:rsidR="00676992" w:rsidRPr="00334727" w:rsidRDefault="00676992" w:rsidP="007E6A01">
      <w:pPr>
        <w:pStyle w:val="FootnoteText"/>
        <w:rPr>
          <w:rFonts w:ascii="Open Sans" w:hAnsi="Open Sans" w:cs="Open Sans"/>
          <w:color w:val="575756"/>
          <w:sz w:val="14"/>
          <w:szCs w:val="16"/>
          <w:lang w:val="fr-CH"/>
        </w:rPr>
      </w:pPr>
      <w:r w:rsidRPr="007E6A01">
        <w:rPr>
          <w:rStyle w:val="FootnoteReference"/>
          <w:rFonts w:ascii="Open Sans" w:hAnsi="Open Sans" w:cs="Open Sans"/>
          <w:sz w:val="14"/>
          <w:szCs w:val="16"/>
        </w:rPr>
        <w:footnoteRef/>
      </w:r>
      <w:r w:rsidRPr="00334727">
        <w:rPr>
          <w:rFonts w:ascii="Open Sans" w:hAnsi="Open Sans" w:cs="Open Sans"/>
          <w:color w:val="575756"/>
          <w:sz w:val="14"/>
          <w:szCs w:val="16"/>
          <w:lang w:val="fr-CH"/>
        </w:rPr>
        <w:t xml:space="preserve"> Population Council, 2013.</w:t>
      </w:r>
    </w:p>
  </w:footnote>
  <w:footnote w:id="31">
    <w:p w14:paraId="2108EF98" w14:textId="1CDA69AC"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32">
    <w:p w14:paraId="03CA84C1" w14:textId="5E84F7F0"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33">
    <w:p w14:paraId="339E056A" w14:textId="0A4A0FCF"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Albuja, S. and Ceballos, M. “Urban displacement and migration in Colombia”.</w:t>
      </w:r>
      <w:r w:rsidRPr="007E6A01">
        <w:rPr>
          <w:rFonts w:ascii="Open Sans" w:hAnsi="Open Sans" w:cs="Open Sans"/>
          <w:i/>
          <w:color w:val="575756"/>
          <w:sz w:val="14"/>
          <w:szCs w:val="16"/>
        </w:rPr>
        <w:t xml:space="preserve"> Forced Migration Review</w:t>
      </w:r>
      <w:r w:rsidRPr="007E6A01">
        <w:rPr>
          <w:rFonts w:ascii="Open Sans" w:hAnsi="Open Sans" w:cs="Open Sans"/>
          <w:color w:val="575756"/>
          <w:sz w:val="14"/>
          <w:szCs w:val="16"/>
        </w:rPr>
        <w:t xml:space="preserve"> 34 (2010): page 10.</w:t>
      </w:r>
    </w:p>
  </w:footnote>
  <w:footnote w:id="34">
    <w:p w14:paraId="74F5FA3D" w14:textId="4E7BDC72" w:rsidR="00676992" w:rsidRPr="007E6A01" w:rsidRDefault="00676992" w:rsidP="007E6A01">
      <w:pPr>
        <w:pStyle w:val="FootnoteText"/>
        <w:rPr>
          <w:color w:val="575756"/>
          <w:sz w:val="18"/>
        </w:rPr>
      </w:pPr>
      <w:r w:rsidRPr="007E6A01">
        <w:rPr>
          <w:rStyle w:val="FootnoteReference"/>
          <w:sz w:val="18"/>
        </w:rPr>
        <w:footnoteRef/>
      </w:r>
      <w:r w:rsidRPr="007E6A01">
        <w:rPr>
          <w:color w:val="575756"/>
          <w:sz w:val="18"/>
        </w:rPr>
        <w:t xml:space="preserve"> </w:t>
      </w:r>
      <w:r w:rsidRPr="007E6A01">
        <w:rPr>
          <w:rFonts w:ascii="Open Sans" w:hAnsi="Open Sans" w:cs="Open Sans"/>
          <w:color w:val="575756"/>
          <w:sz w:val="14"/>
          <w:szCs w:val="16"/>
        </w:rPr>
        <w:t xml:space="preserve">Haour-Knipe, M. :Families, children, migration and AIDS”. </w:t>
      </w:r>
      <w:r w:rsidRPr="007E6A01">
        <w:rPr>
          <w:rFonts w:ascii="Open Sans" w:hAnsi="Open Sans" w:cs="Open Sans"/>
          <w:i/>
          <w:color w:val="575756"/>
          <w:sz w:val="14"/>
          <w:szCs w:val="16"/>
        </w:rPr>
        <w:t xml:space="preserve">AIDS Care </w:t>
      </w:r>
      <w:r w:rsidRPr="007E6A01">
        <w:rPr>
          <w:rFonts w:ascii="Open Sans" w:hAnsi="Open Sans" w:cs="Open Sans"/>
          <w:color w:val="575756"/>
          <w:sz w:val="14"/>
          <w:szCs w:val="16"/>
        </w:rPr>
        <w:t>21(S1) (2009).</w:t>
      </w:r>
    </w:p>
  </w:footnote>
  <w:footnote w:id="35">
    <w:p w14:paraId="0D91D8E2" w14:textId="2CAC253C" w:rsidR="00676992" w:rsidRPr="007E6A01" w:rsidRDefault="00676992" w:rsidP="007E6A01">
      <w:pPr>
        <w:pStyle w:val="FootnoteText"/>
        <w:rPr>
          <w:color w:val="575756"/>
          <w:sz w:val="18"/>
        </w:rPr>
      </w:pPr>
      <w:r w:rsidRPr="007E6A01">
        <w:rPr>
          <w:rStyle w:val="FootnoteReference"/>
          <w:sz w:val="18"/>
        </w:rPr>
        <w:footnoteRef/>
      </w:r>
      <w:r w:rsidRPr="007E6A01">
        <w:rPr>
          <w:color w:val="575756"/>
          <w:sz w:val="18"/>
        </w:rPr>
        <w:t xml:space="preserve"> </w:t>
      </w:r>
      <w:r w:rsidRPr="007E6A01">
        <w:rPr>
          <w:rFonts w:ascii="Open Sans" w:hAnsi="Open Sans" w:cs="Open Sans"/>
          <w:color w:val="575756"/>
          <w:sz w:val="14"/>
          <w:szCs w:val="16"/>
        </w:rPr>
        <w:t>Van Blerk, L. and Ansell, N. “Children's Experiences of Migration: Moving in the Wake of AIDS in Southern Africa”.</w:t>
      </w:r>
      <w:r w:rsidRPr="007E6A01">
        <w:rPr>
          <w:rFonts w:ascii="Open Sans" w:hAnsi="Open Sans" w:cs="Open Sans"/>
          <w:i/>
          <w:color w:val="575756"/>
          <w:sz w:val="14"/>
          <w:szCs w:val="16"/>
        </w:rPr>
        <w:t xml:space="preserve"> Environment and Planning D: Society and Space </w:t>
      </w:r>
      <w:r w:rsidRPr="007E6A01">
        <w:rPr>
          <w:rFonts w:ascii="Open Sans" w:hAnsi="Open Sans" w:cs="Open Sans"/>
          <w:color w:val="575756"/>
          <w:sz w:val="14"/>
          <w:szCs w:val="16"/>
        </w:rPr>
        <w:t>24(3) (2006): pages 449-471.</w:t>
      </w:r>
    </w:p>
  </w:footnote>
  <w:footnote w:id="36">
    <w:p w14:paraId="3E3277D2" w14:textId="67BA69F8"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UNICEF and ILO. “Understanding child trafficking”. </w:t>
      </w:r>
      <w:r w:rsidRPr="007E6A01">
        <w:rPr>
          <w:rFonts w:ascii="Open Sans" w:hAnsi="Open Sans" w:cs="Open Sans"/>
          <w:i/>
          <w:color w:val="575756"/>
          <w:sz w:val="14"/>
          <w:szCs w:val="16"/>
        </w:rPr>
        <w:t>Training manual to fight trafficking in children for labour, sexual and other forms of exploitation.</w:t>
      </w:r>
      <w:r w:rsidRPr="007E6A01">
        <w:rPr>
          <w:rFonts w:ascii="Open Sans" w:hAnsi="Open Sans" w:cs="Open Sans"/>
          <w:color w:val="575756"/>
          <w:sz w:val="14"/>
          <w:szCs w:val="16"/>
        </w:rPr>
        <w:t xml:space="preserve"> 2009. Available at: </w:t>
      </w:r>
      <w:hyperlink r:id="rId1" w:history="1">
        <w:r w:rsidRPr="007E6A01">
          <w:rPr>
            <w:rStyle w:val="Hyperlink"/>
            <w:rFonts w:ascii="Open Sans" w:hAnsi="Open Sans" w:cs="Open Sans"/>
            <w:color w:val="575756"/>
            <w:sz w:val="14"/>
            <w:szCs w:val="16"/>
          </w:rPr>
          <w:t>https://www.unicef.org/protection/Textbook_1.pdf</w:t>
        </w:r>
      </w:hyperlink>
    </w:p>
  </w:footnote>
  <w:footnote w:id="37">
    <w:p w14:paraId="3B2EE49D" w14:textId="77777777"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Child Soldiers International. “Who are child soldiers?” Available at: </w:t>
      </w:r>
      <w:hyperlink r:id="rId2" w:history="1">
        <w:r w:rsidRPr="007E6A01">
          <w:rPr>
            <w:rStyle w:val="Hyperlink"/>
            <w:rFonts w:ascii="Open Sans" w:hAnsi="Open Sans" w:cs="Open Sans"/>
            <w:color w:val="575756"/>
            <w:sz w:val="14"/>
            <w:szCs w:val="16"/>
          </w:rPr>
          <w:t>https://www.child-soldiers.org/Pages/FAQs/Category/faqs</w:t>
        </w:r>
      </w:hyperlink>
      <w:r w:rsidRPr="007E6A01">
        <w:rPr>
          <w:rFonts w:ascii="Open Sans" w:hAnsi="Open Sans" w:cs="Open Sans"/>
          <w:color w:val="575756"/>
          <w:sz w:val="14"/>
          <w:szCs w:val="16"/>
        </w:rPr>
        <w:t>. Accessed 06 February 2019.</w:t>
      </w:r>
    </w:p>
  </w:footnote>
  <w:footnote w:id="38">
    <w:p w14:paraId="3981BE27" w14:textId="224EBA4D"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39">
    <w:p w14:paraId="2A4A0B09" w14:textId="77777777"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United Nations. </w:t>
      </w:r>
      <w:r w:rsidRPr="007E6A01">
        <w:rPr>
          <w:rFonts w:ascii="Open Sans" w:hAnsi="Open Sans" w:cs="Open Sans"/>
          <w:i/>
          <w:color w:val="575756"/>
          <w:sz w:val="14"/>
          <w:szCs w:val="16"/>
        </w:rPr>
        <w:t>Report of the Special Representative of the Secretary-General for Children and Armed Conflict</w:t>
      </w:r>
      <w:r w:rsidRPr="007E6A01">
        <w:rPr>
          <w:rFonts w:ascii="Open Sans" w:hAnsi="Open Sans" w:cs="Open Sans"/>
          <w:color w:val="575756"/>
          <w:sz w:val="14"/>
          <w:szCs w:val="16"/>
        </w:rPr>
        <w:t>. 2018.</w:t>
      </w:r>
    </w:p>
  </w:footnote>
  <w:footnote w:id="40">
    <w:p w14:paraId="4168C27F" w14:textId="3A16B50F"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Plan International. </w:t>
      </w:r>
      <w:r w:rsidRPr="007E6A01">
        <w:rPr>
          <w:rFonts w:ascii="Open Sans" w:hAnsi="Open Sans" w:cs="Open Sans"/>
          <w:i/>
          <w:color w:val="575756"/>
          <w:sz w:val="14"/>
          <w:szCs w:val="16"/>
        </w:rPr>
        <w:t xml:space="preserve">Adolescent Girls in Crisis: experiences of risk and resilience across three humanitarian settings. </w:t>
      </w:r>
      <w:r w:rsidRPr="007E6A01">
        <w:rPr>
          <w:rFonts w:ascii="Open Sans" w:hAnsi="Open Sans" w:cs="Open Sans"/>
          <w:color w:val="575756"/>
          <w:sz w:val="14"/>
          <w:szCs w:val="16"/>
        </w:rPr>
        <w:t>2018.</w:t>
      </w:r>
    </w:p>
  </w:footnote>
  <w:footnote w:id="41">
    <w:p w14:paraId="6E300C72" w14:textId="4E52E3C9"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Population Council, 2013.</w:t>
      </w:r>
    </w:p>
  </w:footnote>
  <w:footnote w:id="42">
    <w:p w14:paraId="283E0658" w14:textId="31E9086B" w:rsidR="00676992" w:rsidRPr="007E6A01" w:rsidRDefault="00676992" w:rsidP="007E6A01">
      <w:pPr>
        <w:rPr>
          <w:rFonts w:ascii="Open Sans" w:hAnsi="Open Sans" w:cs="Open Sans"/>
          <w:color w:val="575756"/>
          <w:sz w:val="14"/>
          <w:szCs w:val="16"/>
        </w:rPr>
      </w:pPr>
      <w:r w:rsidRPr="007E6A01">
        <w:rPr>
          <w:rFonts w:ascii="Open Sans" w:hAnsi="Open Sans" w:cs="Open Sans"/>
          <w:color w:val="575756"/>
          <w:sz w:val="14"/>
          <w:szCs w:val="16"/>
          <w:vertAlign w:val="superscript"/>
        </w:rPr>
        <w:footnoteRef/>
      </w:r>
      <w:r w:rsidRPr="007E6A01">
        <w:rPr>
          <w:rFonts w:ascii="Open Sans" w:hAnsi="Open Sans" w:cs="Open Sans"/>
          <w:color w:val="575756"/>
          <w:sz w:val="14"/>
          <w:szCs w:val="16"/>
        </w:rPr>
        <w:t xml:space="preserve"> Warria, A. “Forced child marriages as a form of child trafficking”. </w:t>
      </w:r>
      <w:r w:rsidRPr="007E6A01">
        <w:rPr>
          <w:rFonts w:ascii="Open Sans" w:hAnsi="Open Sans" w:cs="Open Sans"/>
          <w:i/>
          <w:color w:val="575756"/>
          <w:sz w:val="14"/>
          <w:szCs w:val="16"/>
        </w:rPr>
        <w:t xml:space="preserve">Children and Youth Services Review </w:t>
      </w:r>
      <w:r w:rsidRPr="007E6A01">
        <w:rPr>
          <w:rFonts w:ascii="Open Sans" w:hAnsi="Open Sans" w:cs="Open Sans"/>
          <w:color w:val="575756"/>
          <w:sz w:val="14"/>
          <w:szCs w:val="16"/>
        </w:rPr>
        <w:t>79 (2017): pages 274–279.</w:t>
      </w:r>
    </w:p>
  </w:footnote>
  <w:footnote w:id="43">
    <w:p w14:paraId="34B73DD8" w14:textId="06085055" w:rsidR="00676992" w:rsidRPr="007E6A01" w:rsidRDefault="00676992" w:rsidP="007E6A01">
      <w:pPr>
        <w:pStyle w:val="FootnoteText"/>
        <w:rPr>
          <w:color w:val="575756"/>
          <w:sz w:val="18"/>
        </w:rPr>
      </w:pPr>
      <w:r w:rsidRPr="007E6A01">
        <w:rPr>
          <w:rStyle w:val="FootnoteReference"/>
          <w:sz w:val="18"/>
        </w:rPr>
        <w:footnoteRef/>
      </w:r>
      <w:r w:rsidRPr="007E6A01">
        <w:rPr>
          <w:color w:val="575756"/>
          <w:sz w:val="18"/>
        </w:rPr>
        <w:t xml:space="preserve"> </w:t>
      </w:r>
      <w:r w:rsidRPr="007E6A01">
        <w:rPr>
          <w:rFonts w:ascii="Open Sans" w:hAnsi="Open Sans" w:cs="Open Sans"/>
          <w:color w:val="575756"/>
          <w:sz w:val="14"/>
          <w:szCs w:val="16"/>
        </w:rPr>
        <w:t xml:space="preserve">Girls Bot Brides. “When does child marriage become slavery?”. Available at: </w:t>
      </w:r>
      <w:hyperlink r:id="rId3" w:history="1">
        <w:r w:rsidRPr="007E6A01">
          <w:rPr>
            <w:rStyle w:val="Hyperlink"/>
            <w:rFonts w:ascii="Open Sans" w:hAnsi="Open Sans" w:cs="Open Sans"/>
            <w:color w:val="575756"/>
            <w:sz w:val="14"/>
            <w:szCs w:val="16"/>
          </w:rPr>
          <w:t>http://www.girlsnotbrides.org/when-does-child-marriage-become-slavery</w:t>
        </w:r>
      </w:hyperlink>
      <w:r w:rsidRPr="007E6A01">
        <w:rPr>
          <w:rFonts w:ascii="Open Sans" w:hAnsi="Open Sans" w:cs="Open Sans"/>
          <w:color w:val="575756"/>
          <w:sz w:val="14"/>
          <w:szCs w:val="16"/>
        </w:rPr>
        <w:t>. Accessed 06 February 2019.</w:t>
      </w:r>
    </w:p>
  </w:footnote>
  <w:footnote w:id="44">
    <w:p w14:paraId="3AE20ECC" w14:textId="158155E4"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ECPAT International and Plan International. </w:t>
      </w:r>
      <w:r w:rsidRPr="007E6A01">
        <w:rPr>
          <w:rFonts w:ascii="Open Sans" w:hAnsi="Open Sans" w:cs="Open Sans"/>
          <w:i/>
          <w:color w:val="575756"/>
          <w:sz w:val="14"/>
          <w:szCs w:val="16"/>
        </w:rPr>
        <w:t xml:space="preserve">Unrecognised Sexual Abuse and Exploitation of Children in Child, Early and Forced Marriage. </w:t>
      </w:r>
      <w:r w:rsidRPr="007E6A01">
        <w:rPr>
          <w:rFonts w:ascii="Open Sans" w:hAnsi="Open Sans" w:cs="Open Sans"/>
          <w:color w:val="575756"/>
          <w:sz w:val="14"/>
          <w:szCs w:val="16"/>
        </w:rPr>
        <w:t>2015.</w:t>
      </w:r>
    </w:p>
  </w:footnote>
  <w:footnote w:id="45">
    <w:p w14:paraId="6E862C1E" w14:textId="2E53D159" w:rsidR="00676992" w:rsidRPr="007E6A01" w:rsidRDefault="00676992" w:rsidP="007E6A01">
      <w:pPr>
        <w:rPr>
          <w:rFonts w:ascii="Open Sans" w:hAnsi="Open Sans" w:cs="Open Sans"/>
          <w:color w:val="575756"/>
          <w:sz w:val="14"/>
          <w:szCs w:val="16"/>
        </w:rPr>
      </w:pPr>
      <w:r w:rsidRPr="007E6A01">
        <w:rPr>
          <w:rFonts w:ascii="Open Sans" w:hAnsi="Open Sans" w:cs="Open Sans"/>
          <w:color w:val="575756"/>
          <w:sz w:val="14"/>
          <w:szCs w:val="16"/>
          <w:vertAlign w:val="superscript"/>
        </w:rPr>
        <w:footnoteRef/>
      </w:r>
      <w:r w:rsidRPr="007E6A01">
        <w:rPr>
          <w:rFonts w:ascii="Open Sans" w:hAnsi="Open Sans" w:cs="Open Sans"/>
          <w:color w:val="575756"/>
          <w:sz w:val="14"/>
          <w:szCs w:val="16"/>
        </w:rPr>
        <w:t xml:space="preserve"> Anti-Slavery International. “Out of the Shadows: Child marriage and slavery”. Available at: </w:t>
      </w:r>
      <w:hyperlink r:id="rId4">
        <w:r w:rsidRPr="007E6A01">
          <w:rPr>
            <w:rFonts w:ascii="Open Sans" w:hAnsi="Open Sans" w:cs="Open Sans"/>
            <w:color w:val="575756"/>
            <w:sz w:val="14"/>
            <w:szCs w:val="16"/>
            <w:u w:val="single"/>
          </w:rPr>
          <w:t>http://www.ohchr.org/Documents/Issues/Women/WRGS/ForcedMarriage/NGO/AntiSlaveryInternational2.pdf</w:t>
        </w:r>
      </w:hyperlink>
      <w:r w:rsidRPr="007E6A01">
        <w:rPr>
          <w:rFonts w:ascii="Open Sans" w:hAnsi="Open Sans" w:cs="Open Sans"/>
          <w:color w:val="575756"/>
          <w:sz w:val="14"/>
          <w:szCs w:val="16"/>
        </w:rPr>
        <w:t>. Accessed 06 February 2019.</w:t>
      </w:r>
    </w:p>
  </w:footnote>
  <w:footnote w:id="46">
    <w:p w14:paraId="488C2A38" w14:textId="1BFC1805" w:rsidR="00676992" w:rsidRPr="007E6A01" w:rsidRDefault="00676992" w:rsidP="007E6A01">
      <w:pPr>
        <w:pStyle w:val="FootnoteText"/>
        <w:rPr>
          <w:rFonts w:ascii="Open Sans" w:hAnsi="Open Sans" w:cs="Open Sans"/>
          <w:color w:val="575756"/>
          <w:sz w:val="14"/>
          <w:szCs w:val="16"/>
          <w:lang w:val="en-US"/>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Population Council, 2013.</w:t>
      </w:r>
    </w:p>
  </w:footnote>
  <w:footnote w:id="47">
    <w:p w14:paraId="58159732" w14:textId="6DE419A4"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id.</w:t>
      </w:r>
    </w:p>
  </w:footnote>
  <w:footnote w:id="48">
    <w:p w14:paraId="18F419B2" w14:textId="42625297"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Population Council, 2013.</w:t>
      </w:r>
    </w:p>
  </w:footnote>
  <w:footnote w:id="49">
    <w:p w14:paraId="2BFBFBA7" w14:textId="38297D7E"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Population Council, 2013.</w:t>
      </w:r>
    </w:p>
  </w:footnote>
  <w:footnote w:id="50">
    <w:p w14:paraId="1B50908C" w14:textId="2C998A47"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Several of the findings in this section are drawn from a recent briefing by Plan International UK , released during the 2018 UN General Assembly to profile some of the early findings from a wider research study with the International Organisation for Migration and the London School of Hygiene and Tropical Medicine.  The fuller research draws on interviews with adolescent girls and young women survivors of exploitation in Uganda, Nepal and Nigeria, as well as on the IOM datasets on victims of trafficking for these three countries.  The full study aims at improving understanding of the patterns and distribution of exploitation among adolescent girls and young women, alongside the particular gender- and age-related risk factors for this population and the care needs of survivors. The full report will be published later in 2019 and the Girls Advocacy Alliance will be keen to share its findings with the CEDAW Committee.</w:t>
      </w:r>
    </w:p>
  </w:footnote>
  <w:footnote w:id="51">
    <w:p w14:paraId="4E7B4589" w14:textId="0744E5BB"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Plan UK, 2018.</w:t>
      </w:r>
    </w:p>
  </w:footnote>
  <w:footnote w:id="52">
    <w:p w14:paraId="5B1D9837" w14:textId="4A10F087" w:rsidR="00676992" w:rsidRPr="007E6A01" w:rsidRDefault="00676992" w:rsidP="007E6A01">
      <w:pPr>
        <w:pStyle w:val="FootnoteText"/>
        <w:rPr>
          <w:rFonts w:ascii="Open Sans" w:hAnsi="Open Sans" w:cs="Open Sans"/>
          <w:color w:val="575756"/>
          <w:sz w:val="14"/>
          <w:szCs w:val="16"/>
          <w:lang w:val="en-US"/>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The Call to Action </w:t>
      </w:r>
      <w:r w:rsidRPr="007E6A01">
        <w:rPr>
          <w:rFonts w:ascii="Open Sans" w:hAnsi="Open Sans" w:cs="Open Sans"/>
          <w:bCs/>
          <w:color w:val="575756"/>
          <w:sz w:val="14"/>
          <w:szCs w:val="16"/>
        </w:rPr>
        <w:t>to End Forced Labour, Modern Slavery and Human Trafficking</w:t>
      </w:r>
      <w:r w:rsidRPr="007E6A01">
        <w:rPr>
          <w:rFonts w:ascii="Open Sans" w:hAnsi="Open Sans" w:cs="Open Sans"/>
          <w:color w:val="575756"/>
          <w:sz w:val="14"/>
          <w:szCs w:val="16"/>
        </w:rPr>
        <w:t xml:space="preserve"> is not legally binding and does not affect the states’ existing obligations under applicable international and domestic law, but rather reflects the political commitments of the states represented.</w:t>
      </w:r>
    </w:p>
  </w:footnote>
  <w:footnote w:id="53">
    <w:p w14:paraId="28E03DD4" w14:textId="62AE6C3C" w:rsidR="00676992" w:rsidRPr="007E6A01" w:rsidRDefault="00676992" w:rsidP="007E6A01">
      <w:pPr>
        <w:pStyle w:val="FootnoteText"/>
        <w:rPr>
          <w:rFonts w:ascii="Open Sans" w:hAnsi="Open Sans" w:cs="Open Sans"/>
          <w:color w:val="575756"/>
          <w:sz w:val="14"/>
          <w:szCs w:val="16"/>
          <w:lang w:val="en-US"/>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Afghanistan; China; Albania; Colombia; Argentina; Costa Rica; Armenia; Côte D’Ivoire; Australia; Cyprus; Bahrain; Czech Republic; Bangladesh; Denmark; Belarus; Dominican ; Republic; Belgium; El Salvador; Bolivia; eSwatini; Bosnia and ; Herzegovina; Ethiopia; Brazil; Gabon; Bulgaria; Gambia; Cambodia; Georgia; Canada; Ghana; Grenada; Mauritius; Guinea; Mexico; Guyana; Montenegro; Holy See; Nepal; Hungary; Netherlands ; Iceland; New Zealand; Israel; Nigeria; Italy; Norway; Japan; Paraguay; Jordan; Peru; Kenya; Philippines; Liberia; Poland; Liechtenstein; Qatar; Malawi; Republic of Korea; Malaysia; Republic of ; Moldova; Malta; Rwanda; Saint Lucia; Sri Lanka; Saint Vincent and The Grenadines; Sudan; Samoa; Suriname; Saudi Arabia; Switzerland; Senegal; The former Yugoslav Republic of Macedonia; Serbia; Turkey; Seychelles; United Kingdom of Great Britain and Northern Ireland; Sierra Leone; United Republic of Tanzania; Singapore; United States of America; Slovakia; Uruguay; Spain; Zambia.</w:t>
      </w:r>
    </w:p>
  </w:footnote>
  <w:footnote w:id="54">
    <w:p w14:paraId="47C760FD" w14:textId="081C2944" w:rsidR="00676992" w:rsidRPr="007E6A01" w:rsidRDefault="00676992" w:rsidP="007E6A01">
      <w:pPr>
        <w:pStyle w:val="FootnoteText"/>
        <w:rPr>
          <w:rFonts w:ascii="Open Sans" w:hAnsi="Open Sans" w:cs="Open Sans"/>
          <w:color w:val="575756"/>
          <w:sz w:val="14"/>
          <w:szCs w:val="16"/>
          <w:lang w:val="en-US"/>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UNICEF. “Background paper on child trafficking in Central and Eastern Europe / Commonwealth of independent states,” 2006.</w:t>
      </w:r>
    </w:p>
  </w:footnote>
  <w:footnote w:id="55">
    <w:p w14:paraId="6692AB23" w14:textId="2ED58C29"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Plan UK, 2018.</w:t>
      </w:r>
    </w:p>
  </w:footnote>
  <w:footnote w:id="56">
    <w:p w14:paraId="50759D27" w14:textId="616E4ED7"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Population Council, 2013.</w:t>
      </w:r>
    </w:p>
  </w:footnote>
  <w:footnote w:id="57">
    <w:p w14:paraId="3255B93A" w14:textId="11080818"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Plan UK, 2018.</w:t>
      </w:r>
    </w:p>
  </w:footnote>
  <w:footnote w:id="58">
    <w:p w14:paraId="42B67BED" w14:textId="37E12E5E"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Population Council, 2013.</w:t>
      </w:r>
    </w:p>
  </w:footnote>
  <w:footnote w:id="59">
    <w:p w14:paraId="5BB44667" w14:textId="17E7C195"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Plan UK, 2018.</w:t>
      </w:r>
    </w:p>
  </w:footnote>
  <w:footnote w:id="60">
    <w:p w14:paraId="3DD2230B" w14:textId="45F7BDD0" w:rsidR="00AF5AB1" w:rsidRPr="00AF5AB1" w:rsidRDefault="00AF5AB1">
      <w:pPr>
        <w:pStyle w:val="FootnoteText"/>
        <w:rPr>
          <w:rFonts w:ascii="Open Sans" w:hAnsi="Open Sans" w:cs="Open Sans"/>
          <w:color w:val="575756"/>
          <w:sz w:val="16"/>
          <w:szCs w:val="16"/>
          <w:lang w:val="en-US"/>
        </w:rPr>
      </w:pPr>
      <w:r w:rsidRPr="00AF5AB1">
        <w:rPr>
          <w:rStyle w:val="FootnoteReference"/>
          <w:rFonts w:ascii="Open Sans" w:hAnsi="Open Sans" w:cs="Open Sans"/>
          <w:sz w:val="14"/>
          <w:szCs w:val="16"/>
        </w:rPr>
        <w:footnoteRef/>
      </w:r>
      <w:r w:rsidRPr="00AF5AB1">
        <w:rPr>
          <w:rFonts w:ascii="Open Sans" w:hAnsi="Open Sans" w:cs="Open Sans"/>
          <w:color w:val="575756"/>
          <w:sz w:val="14"/>
          <w:szCs w:val="16"/>
        </w:rPr>
        <w:t xml:space="preserve"> Jones, Stephanie, Julie King, and Niki Edwards. "Human-trafficking prevention is not “sexy”: Impact of the rescue industry on Thailand NGO programs and the need for a human rights approach." Journal of Human Trafficking 4.3 (2018): 231-255.</w:t>
      </w:r>
    </w:p>
  </w:footnote>
  <w:footnote w:id="61">
    <w:p w14:paraId="671B53DC" w14:textId="1C10D9F0" w:rsidR="00676992" w:rsidRPr="007E6A01" w:rsidRDefault="00676992" w:rsidP="007E6A01">
      <w:pPr>
        <w:pStyle w:val="FootnoteText"/>
        <w:rPr>
          <w:rFonts w:ascii="Open Sans" w:hAnsi="Open Sans" w:cs="Open Sans"/>
          <w:color w:val="575756"/>
          <w:sz w:val="14"/>
          <w:szCs w:val="16"/>
          <w:lang w:val="en-US"/>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UNODC. “The role of corruption in trafficking in persons.” 2011.</w:t>
      </w:r>
    </w:p>
  </w:footnote>
  <w:footnote w:id="62">
    <w:p w14:paraId="5F8ADAFD" w14:textId="7FC380DC"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Plan UK, 2018.</w:t>
      </w:r>
    </w:p>
  </w:footnote>
  <w:footnote w:id="63">
    <w:p w14:paraId="3192B88E" w14:textId="35896620" w:rsidR="00676992" w:rsidRPr="007E6A01" w:rsidRDefault="00676992" w:rsidP="007E6A01">
      <w:pPr>
        <w:pStyle w:val="FootnoteText"/>
        <w:rPr>
          <w:rFonts w:ascii="Open Sans" w:hAnsi="Open Sans" w:cs="Open Sans"/>
          <w:color w:val="575756"/>
          <w:sz w:val="14"/>
          <w:szCs w:val="16"/>
        </w:rPr>
      </w:pPr>
      <w:r w:rsidRPr="007E6A01">
        <w:rPr>
          <w:rStyle w:val="FootnoteReference"/>
          <w:rFonts w:ascii="Open Sans" w:hAnsi="Open Sans" w:cs="Open Sans"/>
          <w:sz w:val="14"/>
          <w:szCs w:val="16"/>
        </w:rPr>
        <w:footnoteRef/>
      </w:r>
      <w:r w:rsidRPr="007E6A01">
        <w:rPr>
          <w:rFonts w:ascii="Open Sans" w:hAnsi="Open Sans" w:cs="Open Sans"/>
          <w:color w:val="575756"/>
          <w:sz w:val="14"/>
          <w:szCs w:val="16"/>
        </w:rPr>
        <w:t xml:space="preserve"> Plan UK,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C1A84" w14:textId="54056B25" w:rsidR="00A443EB" w:rsidRDefault="00334727">
    <w:pPr>
      <w:pStyle w:val="Header"/>
    </w:pPr>
    <w:r>
      <w:rPr>
        <w:noProof/>
        <w:lang w:eastAsia="en-GB"/>
      </w:rPr>
      <w:drawing>
        <wp:anchor distT="0" distB="0" distL="114300" distR="114300" simplePos="0" relativeHeight="251659264" behindDoc="0" locked="0" layoutInCell="1" allowOverlap="1" wp14:anchorId="0BC7CDCF" wp14:editId="5C38FFEB">
          <wp:simplePos x="0" y="0"/>
          <wp:positionH relativeFrom="margin">
            <wp:posOffset>213360</wp:posOffset>
          </wp:positionH>
          <wp:positionV relativeFrom="paragraph">
            <wp:posOffset>-345440</wp:posOffset>
          </wp:positionV>
          <wp:extent cx="4015740" cy="78676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A logo sets landscape + Alliances + Plan Int.png"/>
                  <pic:cNvPicPr/>
                </pic:nvPicPr>
                <pic:blipFill rotWithShape="1">
                  <a:blip r:embed="rId1" cstate="print">
                    <a:extLst>
                      <a:ext uri="{28A0092B-C50C-407E-A947-70E740481C1C}">
                        <a14:useLocalDpi xmlns:a14="http://schemas.microsoft.com/office/drawing/2010/main" val="0"/>
                      </a:ext>
                    </a:extLst>
                  </a:blip>
                  <a:srcRect r="30291"/>
                  <a:stretch/>
                </pic:blipFill>
                <pic:spPr bwMode="auto">
                  <a:xfrm>
                    <a:off x="0" y="0"/>
                    <a:ext cx="4015740" cy="786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en-GB"/>
      </w:rPr>
      <w:drawing>
        <wp:anchor distT="0" distB="0" distL="114300" distR="114300" simplePos="0" relativeHeight="251660288" behindDoc="0" locked="0" layoutInCell="1" allowOverlap="1" wp14:anchorId="265773F6" wp14:editId="6CC39F2F">
          <wp:simplePos x="0" y="0"/>
          <wp:positionH relativeFrom="column">
            <wp:posOffset>4423410</wp:posOffset>
          </wp:positionH>
          <wp:positionV relativeFrom="paragraph">
            <wp:posOffset>-74930</wp:posOffset>
          </wp:positionV>
          <wp:extent cx="1463040" cy="2679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H-I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3040" cy="267970"/>
                  </a:xfrm>
                  <a:prstGeom prst="rect">
                    <a:avLst/>
                  </a:prstGeom>
                </pic:spPr>
              </pic:pic>
            </a:graphicData>
          </a:graphic>
          <wp14:sizeRelH relativeFrom="margin">
            <wp14:pctWidth>0</wp14:pctWidth>
          </wp14:sizeRelH>
          <wp14:sizeRelV relativeFrom="margin">
            <wp14:pctHeight>0</wp14:pctHeight>
          </wp14:sizeRelV>
        </wp:anchor>
      </w:drawing>
    </w:r>
  </w:p>
  <w:p w14:paraId="43285928" w14:textId="34DA61E5" w:rsidR="00676992" w:rsidRDefault="00676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81F39"/>
    <w:multiLevelType w:val="hybridMultilevel"/>
    <w:tmpl w:val="EB0EFD44"/>
    <w:lvl w:ilvl="0" w:tplc="AAF28190">
      <w:start w:val="1"/>
      <w:numFmt w:val="bullet"/>
      <w:lvlText w:val=""/>
      <w:lvlJc w:val="left"/>
      <w:pPr>
        <w:ind w:left="360" w:hanging="360"/>
      </w:pPr>
      <w:rPr>
        <w:rFonts w:ascii="Symbol" w:hAnsi="Symbol"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BBC7EB5"/>
    <w:multiLevelType w:val="hybridMultilevel"/>
    <w:tmpl w:val="EC1693E4"/>
    <w:lvl w:ilvl="0" w:tplc="F93AC58A">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BD65C8"/>
    <w:multiLevelType w:val="multilevel"/>
    <w:tmpl w:val="0D946C2C"/>
    <w:lvl w:ilvl="0">
      <w:start w:val="1"/>
      <w:numFmt w:val="decimal"/>
      <w:lvlText w:val="SECTION %1: "/>
      <w:lvlJc w:val="left"/>
      <w:pPr>
        <w:ind w:left="360" w:hanging="360"/>
      </w:pPr>
      <w:rPr>
        <w:rFonts w:ascii="Veneer" w:hAnsi="Veneer" w:hint="default"/>
        <w:caps/>
        <w:color w:val="004EB6"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B5F7121"/>
    <w:multiLevelType w:val="hybridMultilevel"/>
    <w:tmpl w:val="02E0B0FC"/>
    <w:lvl w:ilvl="0" w:tplc="3126E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7A23E0"/>
    <w:multiLevelType w:val="hybridMultilevel"/>
    <w:tmpl w:val="437EA156"/>
    <w:lvl w:ilvl="0" w:tplc="960242A8">
      <w:start w:val="1"/>
      <w:numFmt w:val="lowerLetter"/>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C22F9B"/>
    <w:multiLevelType w:val="hybridMultilevel"/>
    <w:tmpl w:val="2A3A54DC"/>
    <w:lvl w:ilvl="0" w:tplc="9A2C2FD4">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89410F"/>
    <w:multiLevelType w:val="hybridMultilevel"/>
    <w:tmpl w:val="E47E704A"/>
    <w:lvl w:ilvl="0" w:tplc="B49AECE0">
      <w:start w:val="1"/>
      <w:numFmt w:val="bullet"/>
      <w:lvlText w:val="-"/>
      <w:lvlJc w:val="left"/>
      <w:pPr>
        <w:ind w:left="720" w:hanging="360"/>
      </w:pPr>
      <w:rPr>
        <w:rFonts w:ascii="Open Sans" w:eastAsiaTheme="minorHAnsi"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4076EF"/>
    <w:multiLevelType w:val="hybridMultilevel"/>
    <w:tmpl w:val="71C2B0C4"/>
    <w:lvl w:ilvl="0" w:tplc="EBEEA466">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3"/>
  </w:num>
  <w:num w:numId="7">
    <w:abstractNumId w:val="7"/>
  </w:num>
  <w:num w:numId="8">
    <w:abstractNumId w:val="5"/>
  </w:num>
  <w:num w:numId="9">
    <w:abstractNumId w:val="1"/>
  </w:num>
  <w:num w:numId="10">
    <w:abstractNumId w:val="4"/>
  </w:num>
  <w:num w:numId="11">
    <w:abstractNumId w:val="6"/>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8"/>
    <w:rsid w:val="0002706A"/>
    <w:rsid w:val="00037058"/>
    <w:rsid w:val="000708E4"/>
    <w:rsid w:val="00092071"/>
    <w:rsid w:val="000A469A"/>
    <w:rsid w:val="00154F8C"/>
    <w:rsid w:val="001668D7"/>
    <w:rsid w:val="00202EFF"/>
    <w:rsid w:val="0026460A"/>
    <w:rsid w:val="00292BBD"/>
    <w:rsid w:val="002A01DF"/>
    <w:rsid w:val="002B59F3"/>
    <w:rsid w:val="002D5EA9"/>
    <w:rsid w:val="002E0849"/>
    <w:rsid w:val="00304738"/>
    <w:rsid w:val="00315B6B"/>
    <w:rsid w:val="00334727"/>
    <w:rsid w:val="00337355"/>
    <w:rsid w:val="0034160C"/>
    <w:rsid w:val="00344EBC"/>
    <w:rsid w:val="003475C8"/>
    <w:rsid w:val="00384728"/>
    <w:rsid w:val="003C3F9F"/>
    <w:rsid w:val="003C670D"/>
    <w:rsid w:val="003D0BD6"/>
    <w:rsid w:val="00420A94"/>
    <w:rsid w:val="0043569A"/>
    <w:rsid w:val="004449D6"/>
    <w:rsid w:val="00477036"/>
    <w:rsid w:val="004B2A91"/>
    <w:rsid w:val="005724D0"/>
    <w:rsid w:val="005E0B85"/>
    <w:rsid w:val="005E17B7"/>
    <w:rsid w:val="00632F70"/>
    <w:rsid w:val="00637C26"/>
    <w:rsid w:val="00657F65"/>
    <w:rsid w:val="00676992"/>
    <w:rsid w:val="006A227E"/>
    <w:rsid w:val="006D1F5F"/>
    <w:rsid w:val="006D6BA3"/>
    <w:rsid w:val="00707E2A"/>
    <w:rsid w:val="00743A9F"/>
    <w:rsid w:val="0074684D"/>
    <w:rsid w:val="00767199"/>
    <w:rsid w:val="007A35E8"/>
    <w:rsid w:val="007A6ACC"/>
    <w:rsid w:val="007C6820"/>
    <w:rsid w:val="007D22A7"/>
    <w:rsid w:val="007E6A01"/>
    <w:rsid w:val="00865227"/>
    <w:rsid w:val="00875FF4"/>
    <w:rsid w:val="00885C7F"/>
    <w:rsid w:val="0099118F"/>
    <w:rsid w:val="00995D89"/>
    <w:rsid w:val="009B105B"/>
    <w:rsid w:val="009B7781"/>
    <w:rsid w:val="009C567C"/>
    <w:rsid w:val="009D19D1"/>
    <w:rsid w:val="009F7E38"/>
    <w:rsid w:val="00A10292"/>
    <w:rsid w:val="00A443EB"/>
    <w:rsid w:val="00A55812"/>
    <w:rsid w:val="00A9042C"/>
    <w:rsid w:val="00AE3D22"/>
    <w:rsid w:val="00AE4DC0"/>
    <w:rsid w:val="00AF5AB1"/>
    <w:rsid w:val="00B7482D"/>
    <w:rsid w:val="00B91D95"/>
    <w:rsid w:val="00BA3B38"/>
    <w:rsid w:val="00BC2D99"/>
    <w:rsid w:val="00BD6047"/>
    <w:rsid w:val="00BF5F60"/>
    <w:rsid w:val="00C11118"/>
    <w:rsid w:val="00C11D73"/>
    <w:rsid w:val="00C52072"/>
    <w:rsid w:val="00CA2423"/>
    <w:rsid w:val="00CB2A4D"/>
    <w:rsid w:val="00CE184C"/>
    <w:rsid w:val="00D162FD"/>
    <w:rsid w:val="00D22CB4"/>
    <w:rsid w:val="00D270AE"/>
    <w:rsid w:val="00D44C94"/>
    <w:rsid w:val="00D55E1D"/>
    <w:rsid w:val="00DD6C06"/>
    <w:rsid w:val="00DD75D2"/>
    <w:rsid w:val="00E146D4"/>
    <w:rsid w:val="00E216C7"/>
    <w:rsid w:val="00E43462"/>
    <w:rsid w:val="00ED2839"/>
    <w:rsid w:val="00F01991"/>
    <w:rsid w:val="00F71462"/>
    <w:rsid w:val="00F86758"/>
    <w:rsid w:val="00FC306E"/>
    <w:rsid w:val="00FC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F670B"/>
  <w15:chartTrackingRefBased/>
  <w15:docId w15:val="{C13F7F0E-18C5-4D55-B05B-CF8825A0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6758"/>
  </w:style>
  <w:style w:type="paragraph" w:styleId="Heading1">
    <w:name w:val="heading 1"/>
    <w:basedOn w:val="Normal"/>
    <w:next w:val="Normal"/>
    <w:link w:val="Heading1Char"/>
    <w:uiPriority w:val="9"/>
    <w:qFormat/>
    <w:rsid w:val="0002706A"/>
    <w:pPr>
      <w:numPr>
        <w:numId w:val="9"/>
      </w:numPr>
      <w:spacing w:before="160" w:after="160"/>
      <w:jc w:val="both"/>
      <w:outlineLvl w:val="0"/>
    </w:pPr>
    <w:rPr>
      <w:rFonts w:ascii="Open Sans" w:eastAsiaTheme="majorEastAsia" w:hAnsi="Open Sans" w:cs="Open Sans"/>
      <w:b/>
      <w:color w:val="F08738"/>
      <w:sz w:val="24"/>
      <w:szCs w:val="32"/>
      <w:lang w:val="en-US"/>
    </w:rPr>
  </w:style>
  <w:style w:type="paragraph" w:styleId="Heading2">
    <w:name w:val="heading 2"/>
    <w:basedOn w:val="Normal"/>
    <w:next w:val="Normal"/>
    <w:link w:val="Heading2Char"/>
    <w:uiPriority w:val="9"/>
    <w:unhideWhenUsed/>
    <w:qFormat/>
    <w:rsid w:val="00C11118"/>
    <w:pPr>
      <w:keepNext/>
      <w:keepLines/>
      <w:spacing w:before="40"/>
      <w:outlineLvl w:val="1"/>
    </w:pPr>
    <w:rPr>
      <w:rFonts w:ascii="Open Sans" w:eastAsiaTheme="majorEastAsia" w:hAnsi="Open Sans" w:cs="Open Sans"/>
      <w:b/>
      <w:noProof/>
      <w:color w:val="E94A36"/>
      <w:sz w:val="20"/>
      <w:szCs w:val="20"/>
      <w:lang w:eastAsia="en-GB"/>
    </w:rPr>
  </w:style>
  <w:style w:type="paragraph" w:styleId="Heading3">
    <w:name w:val="heading 3"/>
    <w:basedOn w:val="Heading1"/>
    <w:next w:val="Normal"/>
    <w:link w:val="Heading3Char"/>
    <w:uiPriority w:val="9"/>
    <w:unhideWhenUsed/>
    <w:qFormat/>
    <w:rsid w:val="0002706A"/>
    <w:pPr>
      <w:numPr>
        <w:numId w:val="10"/>
      </w:numPr>
      <w:outlineLvl w:val="2"/>
    </w:pPr>
    <w:rPr>
      <w:color w:val="575756"/>
      <w:sz w:val="20"/>
      <w:szCs w:val="20"/>
    </w:rPr>
  </w:style>
  <w:style w:type="paragraph" w:styleId="Heading4">
    <w:name w:val="heading 4"/>
    <w:basedOn w:val="Normal"/>
    <w:next w:val="Normal"/>
    <w:link w:val="Heading4Char"/>
    <w:uiPriority w:val="9"/>
    <w:semiHidden/>
    <w:unhideWhenUsed/>
    <w:qFormat/>
    <w:rsid w:val="00DD75D2"/>
    <w:pPr>
      <w:keepNext/>
      <w:keepLines/>
      <w:spacing w:before="40"/>
      <w:outlineLvl w:val="3"/>
    </w:pPr>
    <w:rPr>
      <w:rFonts w:asciiTheme="majorHAnsi" w:eastAsiaTheme="majorEastAsia" w:hAnsiTheme="majorHAnsi" w:cstheme="majorBidi"/>
      <w:i/>
      <w:iCs/>
      <w:color w:val="003A88" w:themeColor="accent1" w:themeShade="BF"/>
      <w:sz w:val="24"/>
      <w:lang w:val="en-US"/>
    </w:rPr>
  </w:style>
  <w:style w:type="paragraph" w:styleId="Heading5">
    <w:name w:val="heading 5"/>
    <w:basedOn w:val="Normal"/>
    <w:next w:val="Normal"/>
    <w:link w:val="Heading5Char"/>
    <w:uiPriority w:val="9"/>
    <w:semiHidden/>
    <w:unhideWhenUsed/>
    <w:qFormat/>
    <w:rsid w:val="00DD75D2"/>
    <w:pPr>
      <w:keepNext/>
      <w:keepLines/>
      <w:spacing w:before="40"/>
      <w:outlineLvl w:val="4"/>
    </w:pPr>
    <w:rPr>
      <w:rFonts w:asciiTheme="majorHAnsi" w:eastAsiaTheme="majorEastAsia" w:hAnsiTheme="majorHAnsi" w:cstheme="majorBidi"/>
      <w:color w:val="003A88" w:themeColor="accent1" w:themeShade="BF"/>
      <w:sz w:val="24"/>
      <w:lang w:val="en-US"/>
    </w:rPr>
  </w:style>
  <w:style w:type="paragraph" w:styleId="Heading6">
    <w:name w:val="heading 6"/>
    <w:basedOn w:val="Normal"/>
    <w:next w:val="Normal"/>
    <w:link w:val="Heading6Char"/>
    <w:uiPriority w:val="9"/>
    <w:semiHidden/>
    <w:unhideWhenUsed/>
    <w:qFormat/>
    <w:rsid w:val="00DD75D2"/>
    <w:pPr>
      <w:keepNext/>
      <w:keepLines/>
      <w:spacing w:before="40"/>
      <w:outlineLvl w:val="5"/>
    </w:pPr>
    <w:rPr>
      <w:rFonts w:asciiTheme="majorHAnsi" w:eastAsiaTheme="majorEastAsia" w:hAnsiTheme="majorHAnsi" w:cstheme="majorBidi"/>
      <w:color w:val="00265A" w:themeColor="accent1" w:themeShade="7F"/>
      <w:sz w:val="24"/>
      <w:lang w:val="en-US"/>
    </w:rPr>
  </w:style>
  <w:style w:type="paragraph" w:styleId="Heading7">
    <w:name w:val="heading 7"/>
    <w:basedOn w:val="Normal"/>
    <w:next w:val="Normal"/>
    <w:link w:val="Heading7Char"/>
    <w:uiPriority w:val="9"/>
    <w:semiHidden/>
    <w:unhideWhenUsed/>
    <w:qFormat/>
    <w:rsid w:val="00DD75D2"/>
    <w:pPr>
      <w:keepNext/>
      <w:keepLines/>
      <w:spacing w:before="40"/>
      <w:outlineLvl w:val="6"/>
    </w:pPr>
    <w:rPr>
      <w:rFonts w:asciiTheme="majorHAnsi" w:eastAsiaTheme="majorEastAsia" w:hAnsiTheme="majorHAnsi" w:cstheme="majorBidi"/>
      <w:i/>
      <w:iCs/>
      <w:color w:val="00265A" w:themeColor="accent1" w:themeShade="7F"/>
      <w:sz w:val="24"/>
      <w:lang w:val="en-US"/>
    </w:rPr>
  </w:style>
  <w:style w:type="paragraph" w:styleId="Heading8">
    <w:name w:val="heading 8"/>
    <w:basedOn w:val="Normal"/>
    <w:next w:val="Normal"/>
    <w:link w:val="Heading8Char"/>
    <w:uiPriority w:val="9"/>
    <w:semiHidden/>
    <w:unhideWhenUsed/>
    <w:qFormat/>
    <w:rsid w:val="00DD75D2"/>
    <w:pPr>
      <w:keepNext/>
      <w:keepLines/>
      <w:spacing w:before="40"/>
      <w:outlineLvl w:val="7"/>
    </w:pPr>
    <w:rPr>
      <w:rFonts w:asciiTheme="majorHAnsi" w:eastAsiaTheme="majorEastAsia" w:hAnsiTheme="majorHAnsi" w:cstheme="majorBidi"/>
      <w:color w:val="717171" w:themeColor="text1" w:themeTint="D8"/>
      <w:sz w:val="21"/>
      <w:szCs w:val="21"/>
      <w:lang w:val="en-US"/>
    </w:rPr>
  </w:style>
  <w:style w:type="paragraph" w:styleId="Heading9">
    <w:name w:val="heading 9"/>
    <w:basedOn w:val="Normal"/>
    <w:next w:val="Normal"/>
    <w:link w:val="Heading9Char"/>
    <w:uiPriority w:val="9"/>
    <w:semiHidden/>
    <w:unhideWhenUsed/>
    <w:qFormat/>
    <w:rsid w:val="00DD75D2"/>
    <w:pPr>
      <w:keepNext/>
      <w:keepLines/>
      <w:spacing w:before="40"/>
      <w:outlineLvl w:val="8"/>
    </w:pPr>
    <w:rPr>
      <w:rFonts w:asciiTheme="majorHAnsi" w:eastAsiaTheme="majorEastAsia" w:hAnsiTheme="majorHAnsi" w:cstheme="majorBidi"/>
      <w:i/>
      <w:iCs/>
      <w:color w:val="717171"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
    <w:name w:val="Heading 1 no number"/>
    <w:basedOn w:val="Heading1"/>
    <w:next w:val="Normal"/>
    <w:rsid w:val="00202EFF"/>
  </w:style>
  <w:style w:type="character" w:customStyle="1" w:styleId="Heading1Char">
    <w:name w:val="Heading 1 Char"/>
    <w:basedOn w:val="DefaultParagraphFont"/>
    <w:link w:val="Heading1"/>
    <w:uiPriority w:val="9"/>
    <w:rsid w:val="0002706A"/>
    <w:rPr>
      <w:rFonts w:ascii="Open Sans" w:eastAsiaTheme="majorEastAsia" w:hAnsi="Open Sans" w:cs="Open Sans"/>
      <w:b/>
      <w:color w:val="F08738"/>
      <w:sz w:val="24"/>
      <w:szCs w:val="32"/>
      <w:lang w:val="en-US"/>
    </w:rPr>
  </w:style>
  <w:style w:type="paragraph" w:customStyle="1" w:styleId="Sidebartitles">
    <w:name w:val="Sidebar titles"/>
    <w:basedOn w:val="Normal"/>
    <w:link w:val="SidebartitlesChar"/>
    <w:rsid w:val="00202EFF"/>
    <w:pPr>
      <w:spacing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202EFF"/>
    <w:rPr>
      <w:rFonts w:asciiTheme="majorHAnsi" w:hAnsiTheme="majorHAnsi" w:cstheme="majorHAnsi"/>
      <w:b/>
      <w:color w:val="000000" w:themeColor="text2"/>
      <w:sz w:val="36"/>
      <w:szCs w:val="36"/>
    </w:rPr>
  </w:style>
  <w:style w:type="character" w:customStyle="1" w:styleId="Header1">
    <w:name w:val="Header1"/>
    <w:basedOn w:val="DefaultParagraphFont"/>
    <w:uiPriority w:val="1"/>
    <w:rsid w:val="00202EFF"/>
  </w:style>
  <w:style w:type="character" w:customStyle="1" w:styleId="section">
    <w:name w:val="section"/>
    <w:basedOn w:val="Header1"/>
    <w:uiPriority w:val="1"/>
    <w:rsid w:val="00202EFF"/>
  </w:style>
  <w:style w:type="paragraph" w:customStyle="1" w:styleId="Sectiontab">
    <w:name w:val="Sectiontab"/>
    <w:basedOn w:val="Normal"/>
    <w:link w:val="SectiontabChar"/>
    <w:rsid w:val="00202EFF"/>
    <w:pPr>
      <w:autoSpaceDE w:val="0"/>
      <w:autoSpaceDN w:val="0"/>
      <w:adjustRightInd w:val="0"/>
    </w:pPr>
    <w:rPr>
      <w:rFonts w:cs="Book Antiqua"/>
      <w:b/>
      <w:caps/>
      <w:noProof/>
      <w:color w:val="000000"/>
      <w:sz w:val="16"/>
    </w:rPr>
  </w:style>
  <w:style w:type="character" w:customStyle="1" w:styleId="SectiontabChar">
    <w:name w:val="Sectiontab Char"/>
    <w:basedOn w:val="DefaultParagraphFont"/>
    <w:link w:val="Sectiontab"/>
    <w:rsid w:val="00202EFF"/>
    <w:rPr>
      <w:rFonts w:ascii="Arial" w:hAnsi="Arial" w:cs="Book Antiqua"/>
      <w:b/>
      <w:caps/>
      <w:noProof/>
      <w:color w:val="000000"/>
      <w:sz w:val="16"/>
      <w:szCs w:val="24"/>
    </w:rPr>
  </w:style>
  <w:style w:type="character" w:customStyle="1" w:styleId="Heading2Char">
    <w:name w:val="Heading 2 Char"/>
    <w:basedOn w:val="DefaultParagraphFont"/>
    <w:link w:val="Heading2"/>
    <w:uiPriority w:val="9"/>
    <w:rsid w:val="00C11118"/>
    <w:rPr>
      <w:rFonts w:ascii="Open Sans" w:eastAsiaTheme="majorEastAsia" w:hAnsi="Open Sans" w:cs="Open Sans"/>
      <w:b/>
      <w:noProof/>
      <w:color w:val="E94A36"/>
      <w:sz w:val="20"/>
      <w:szCs w:val="20"/>
      <w:lang w:eastAsia="en-GB"/>
    </w:rPr>
  </w:style>
  <w:style w:type="character" w:customStyle="1" w:styleId="Heading3Char">
    <w:name w:val="Heading 3 Char"/>
    <w:basedOn w:val="DefaultParagraphFont"/>
    <w:link w:val="Heading3"/>
    <w:uiPriority w:val="9"/>
    <w:rsid w:val="0002706A"/>
    <w:rPr>
      <w:rFonts w:ascii="Open Sans" w:eastAsiaTheme="majorEastAsia" w:hAnsi="Open Sans" w:cs="Open Sans"/>
      <w:b/>
      <w:color w:val="575756"/>
      <w:sz w:val="20"/>
      <w:szCs w:val="20"/>
      <w:lang w:val="en-US"/>
    </w:rPr>
  </w:style>
  <w:style w:type="character" w:customStyle="1" w:styleId="Heading4Char">
    <w:name w:val="Heading 4 Char"/>
    <w:basedOn w:val="DefaultParagraphFont"/>
    <w:link w:val="Heading4"/>
    <w:uiPriority w:val="9"/>
    <w:semiHidden/>
    <w:rsid w:val="00DD75D2"/>
    <w:rPr>
      <w:rFonts w:asciiTheme="majorHAnsi" w:eastAsiaTheme="majorEastAsia" w:hAnsiTheme="majorHAnsi" w:cstheme="majorBidi"/>
      <w:i/>
      <w:iCs/>
      <w:color w:val="003A88" w:themeColor="accent1" w:themeShade="BF"/>
      <w:sz w:val="24"/>
      <w:szCs w:val="24"/>
      <w:lang w:val="en-US" w:eastAsia="en-US"/>
    </w:rPr>
  </w:style>
  <w:style w:type="character" w:customStyle="1" w:styleId="Heading5Char">
    <w:name w:val="Heading 5 Char"/>
    <w:basedOn w:val="DefaultParagraphFont"/>
    <w:link w:val="Heading5"/>
    <w:uiPriority w:val="9"/>
    <w:semiHidden/>
    <w:rsid w:val="00DD75D2"/>
    <w:rPr>
      <w:rFonts w:asciiTheme="majorHAnsi" w:eastAsiaTheme="majorEastAsia" w:hAnsiTheme="majorHAnsi" w:cstheme="majorBidi"/>
      <w:color w:val="003A88" w:themeColor="accent1" w:themeShade="BF"/>
      <w:sz w:val="24"/>
      <w:szCs w:val="24"/>
      <w:lang w:val="en-US" w:eastAsia="en-US"/>
    </w:rPr>
  </w:style>
  <w:style w:type="character" w:customStyle="1" w:styleId="Heading6Char">
    <w:name w:val="Heading 6 Char"/>
    <w:basedOn w:val="DefaultParagraphFont"/>
    <w:link w:val="Heading6"/>
    <w:uiPriority w:val="9"/>
    <w:semiHidden/>
    <w:rsid w:val="00DD75D2"/>
    <w:rPr>
      <w:rFonts w:asciiTheme="majorHAnsi" w:eastAsiaTheme="majorEastAsia" w:hAnsiTheme="majorHAnsi" w:cstheme="majorBidi"/>
      <w:color w:val="00265A" w:themeColor="accent1" w:themeShade="7F"/>
      <w:sz w:val="24"/>
      <w:szCs w:val="24"/>
      <w:lang w:val="en-US" w:eastAsia="en-US"/>
    </w:rPr>
  </w:style>
  <w:style w:type="character" w:customStyle="1" w:styleId="Heading7Char">
    <w:name w:val="Heading 7 Char"/>
    <w:basedOn w:val="DefaultParagraphFont"/>
    <w:link w:val="Heading7"/>
    <w:uiPriority w:val="9"/>
    <w:semiHidden/>
    <w:rsid w:val="00DD75D2"/>
    <w:rPr>
      <w:rFonts w:asciiTheme="majorHAnsi" w:eastAsiaTheme="majorEastAsia" w:hAnsiTheme="majorHAnsi" w:cstheme="majorBidi"/>
      <w:i/>
      <w:iCs/>
      <w:color w:val="00265A" w:themeColor="accent1" w:themeShade="7F"/>
      <w:sz w:val="24"/>
      <w:szCs w:val="24"/>
      <w:lang w:val="en-US" w:eastAsia="en-US"/>
    </w:rPr>
  </w:style>
  <w:style w:type="character" w:customStyle="1" w:styleId="Heading8Char">
    <w:name w:val="Heading 8 Char"/>
    <w:basedOn w:val="DefaultParagraphFont"/>
    <w:link w:val="Heading8"/>
    <w:uiPriority w:val="9"/>
    <w:semiHidden/>
    <w:rsid w:val="00DD75D2"/>
    <w:rPr>
      <w:rFonts w:asciiTheme="majorHAnsi" w:eastAsiaTheme="majorEastAsia" w:hAnsiTheme="majorHAnsi" w:cstheme="majorBidi"/>
      <w:color w:val="717171" w:themeColor="text1" w:themeTint="D8"/>
      <w:sz w:val="21"/>
      <w:szCs w:val="21"/>
      <w:lang w:val="en-US" w:eastAsia="en-US"/>
    </w:rPr>
  </w:style>
  <w:style w:type="character" w:customStyle="1" w:styleId="Heading9Char">
    <w:name w:val="Heading 9 Char"/>
    <w:basedOn w:val="DefaultParagraphFont"/>
    <w:link w:val="Heading9"/>
    <w:uiPriority w:val="9"/>
    <w:semiHidden/>
    <w:rsid w:val="00DD75D2"/>
    <w:rPr>
      <w:rFonts w:asciiTheme="majorHAnsi" w:eastAsiaTheme="majorEastAsia" w:hAnsiTheme="majorHAnsi" w:cstheme="majorBidi"/>
      <w:i/>
      <w:iCs/>
      <w:color w:val="717171" w:themeColor="text1" w:themeTint="D8"/>
      <w:sz w:val="21"/>
      <w:szCs w:val="21"/>
      <w:lang w:val="en-US" w:eastAsia="en-US"/>
    </w:rPr>
  </w:style>
  <w:style w:type="paragraph" w:styleId="Caption">
    <w:name w:val="caption"/>
    <w:basedOn w:val="Normal"/>
    <w:next w:val="Normal"/>
    <w:uiPriority w:val="35"/>
    <w:semiHidden/>
    <w:unhideWhenUsed/>
    <w:qFormat/>
    <w:rsid w:val="00DD75D2"/>
    <w:pPr>
      <w:spacing w:after="200"/>
    </w:pPr>
    <w:rPr>
      <w:i/>
      <w:iCs/>
      <w:color w:val="000000" w:themeColor="text2"/>
      <w:sz w:val="18"/>
      <w:szCs w:val="18"/>
      <w:lang w:val="en-US"/>
    </w:rPr>
  </w:style>
  <w:style w:type="paragraph" w:styleId="Title">
    <w:name w:val="Title"/>
    <w:basedOn w:val="Normal"/>
    <w:next w:val="Normal"/>
    <w:link w:val="TitleChar"/>
    <w:uiPriority w:val="10"/>
    <w:rsid w:val="00DD75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5D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449D6"/>
    <w:rPr>
      <w:b/>
      <w:bCs/>
    </w:rPr>
  </w:style>
  <w:style w:type="paragraph" w:styleId="NoSpacing">
    <w:name w:val="No Spacing"/>
    <w:link w:val="NoSpacingChar"/>
    <w:uiPriority w:val="1"/>
    <w:qFormat/>
    <w:rsid w:val="00DD75D2"/>
    <w:rPr>
      <w:sz w:val="24"/>
      <w:lang w:val="en-US"/>
    </w:rPr>
  </w:style>
  <w:style w:type="character" w:customStyle="1" w:styleId="NoSpacingChar">
    <w:name w:val="No Spacing Char"/>
    <w:basedOn w:val="DefaultParagraphFont"/>
    <w:link w:val="NoSpacing"/>
    <w:uiPriority w:val="1"/>
    <w:rsid w:val="00DD75D2"/>
    <w:rPr>
      <w:sz w:val="24"/>
      <w:szCs w:val="24"/>
      <w:lang w:val="en-US" w:eastAsia="en-US"/>
    </w:rPr>
  </w:style>
  <w:style w:type="paragraph" w:styleId="ListParagraph">
    <w:name w:val="List Paragraph"/>
    <w:basedOn w:val="Normal"/>
    <w:uiPriority w:val="34"/>
    <w:qFormat/>
    <w:rsid w:val="009D19D1"/>
    <w:pPr>
      <w:ind w:left="720"/>
      <w:contextualSpacing/>
    </w:pPr>
    <w:rPr>
      <w:lang w:val="en-US"/>
    </w:rPr>
  </w:style>
  <w:style w:type="paragraph" w:styleId="Quote">
    <w:name w:val="Quote"/>
    <w:basedOn w:val="Normal"/>
    <w:next w:val="Normal"/>
    <w:link w:val="QuoteChar"/>
    <w:uiPriority w:val="29"/>
    <w:qFormat/>
    <w:rsid w:val="00DD75D2"/>
    <w:pPr>
      <w:spacing w:before="200" w:after="160"/>
      <w:ind w:left="864" w:right="864"/>
      <w:jc w:val="center"/>
    </w:pPr>
    <w:rPr>
      <w:i/>
      <w:iCs/>
      <w:color w:val="818181" w:themeColor="text1" w:themeTint="BF"/>
      <w:sz w:val="24"/>
      <w:lang w:val="en-US"/>
    </w:rPr>
  </w:style>
  <w:style w:type="character" w:customStyle="1" w:styleId="QuoteChar">
    <w:name w:val="Quote Char"/>
    <w:basedOn w:val="DefaultParagraphFont"/>
    <w:link w:val="Quote"/>
    <w:uiPriority w:val="29"/>
    <w:rsid w:val="00DD75D2"/>
    <w:rPr>
      <w:i/>
      <w:iCs/>
      <w:color w:val="818181" w:themeColor="text1" w:themeTint="BF"/>
      <w:sz w:val="24"/>
      <w:szCs w:val="24"/>
      <w:lang w:val="en-US" w:eastAsia="en-US"/>
    </w:rPr>
  </w:style>
  <w:style w:type="paragraph" w:styleId="IntenseQuote">
    <w:name w:val="Intense Quote"/>
    <w:aliases w:val="Long Quote"/>
    <w:basedOn w:val="Normal"/>
    <w:next w:val="Normal"/>
    <w:link w:val="IntenseQuoteChar"/>
    <w:uiPriority w:val="30"/>
    <w:qFormat/>
    <w:rsid w:val="00DD75D2"/>
    <w:pPr>
      <w:pBdr>
        <w:top w:val="single" w:sz="4" w:space="10" w:color="004EB6" w:themeColor="accent1"/>
        <w:bottom w:val="single" w:sz="4" w:space="10" w:color="004EB6" w:themeColor="accent1"/>
      </w:pBdr>
      <w:spacing w:before="360" w:after="360"/>
      <w:ind w:left="864" w:right="864"/>
      <w:jc w:val="center"/>
    </w:pPr>
    <w:rPr>
      <w:i/>
      <w:iCs/>
      <w:color w:val="004EB6" w:themeColor="accent1"/>
      <w:sz w:val="24"/>
      <w:lang w:val="en-US"/>
    </w:rPr>
  </w:style>
  <w:style w:type="character" w:customStyle="1" w:styleId="IntenseQuoteChar">
    <w:name w:val="Intense Quote Char"/>
    <w:aliases w:val="Long Quote Char"/>
    <w:basedOn w:val="DefaultParagraphFont"/>
    <w:link w:val="IntenseQuote"/>
    <w:uiPriority w:val="30"/>
    <w:rsid w:val="00DD75D2"/>
    <w:rPr>
      <w:i/>
      <w:iCs/>
      <w:color w:val="004EB6" w:themeColor="accent1"/>
      <w:sz w:val="24"/>
      <w:szCs w:val="24"/>
      <w:lang w:val="en-US" w:eastAsia="en-US"/>
    </w:rPr>
  </w:style>
  <w:style w:type="character" w:styleId="IntenseEmphasis">
    <w:name w:val="Intense Emphasis"/>
    <w:basedOn w:val="DefaultParagraphFont"/>
    <w:uiPriority w:val="21"/>
    <w:qFormat/>
    <w:rsid w:val="00DD75D2"/>
    <w:rPr>
      <w:i/>
      <w:iCs/>
      <w:color w:val="004EB6" w:themeColor="accent1"/>
    </w:rPr>
  </w:style>
  <w:style w:type="paragraph" w:styleId="FootnoteText">
    <w:name w:val="footnote text"/>
    <w:aliases w:val="texto de nota al pie, Car Car Car, Car Car Car Car Car, Car,Car Car Car, Car Car Car Car Car Car Car Car Car Car, Car Car Car Car Car Car Car Car Car Car Car, Car Car Car Car Car Car Car Car Car,Car Car Car Car,Car,ft,Car Car Car Car Car"/>
    <w:basedOn w:val="Normal"/>
    <w:link w:val="FootnoteTextChar"/>
    <w:uiPriority w:val="99"/>
    <w:unhideWhenUsed/>
    <w:rsid w:val="00F8675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0"/>
      <w:szCs w:val="20"/>
      <w:bdr w:val="none" w:sz="0" w:space="0" w:color="auto"/>
      <w:lang w:eastAsia="en-GB"/>
    </w:rPr>
  </w:style>
  <w:style w:type="character" w:customStyle="1" w:styleId="FootnoteTextChar">
    <w:name w:val="Footnote Text Char"/>
    <w:aliases w:val="texto de nota al pie Char, Car Car Car Char, Car Car Car Car Car Char, Car Char,Car Car Car Char, Car Car Car Car Car Car Car Car Car Car Char, Car Car Car Car Car Car Car Car Car Car Car Char, Car Car Car Car Car Car Car Car Car Char"/>
    <w:basedOn w:val="DefaultParagraphFont"/>
    <w:link w:val="FootnoteText"/>
    <w:uiPriority w:val="99"/>
    <w:rsid w:val="00F86758"/>
    <w:rPr>
      <w:rFonts w:ascii="Calibri" w:eastAsia="Calibri" w:hAnsi="Calibri" w:cs="Calibri"/>
      <w:color w:val="000000"/>
      <w:sz w:val="20"/>
      <w:szCs w:val="20"/>
      <w:bdr w:val="none" w:sz="0" w:space="0" w:color="auto"/>
      <w:lang w:eastAsia="en-GB"/>
    </w:rPr>
  </w:style>
  <w:style w:type="character" w:styleId="FootnoteReference">
    <w:name w:val="footnote reference"/>
    <w:aliases w:val="ftref,Texto de nota al pie,4_G"/>
    <w:basedOn w:val="DefaultParagraphFont"/>
    <w:uiPriority w:val="99"/>
    <w:unhideWhenUsed/>
    <w:rsid w:val="00092071"/>
    <w:rPr>
      <w:color w:val="575756"/>
      <w:vertAlign w:val="superscript"/>
    </w:rPr>
  </w:style>
  <w:style w:type="paragraph" w:customStyle="1" w:styleId="Body">
    <w:name w:val="Body"/>
    <w:basedOn w:val="Normal"/>
    <w:qFormat/>
    <w:rsid w:val="00F86758"/>
    <w:pPr>
      <w:spacing w:before="160" w:after="160"/>
      <w:jc w:val="both"/>
    </w:pPr>
    <w:rPr>
      <w:rFonts w:ascii="Open Sans" w:hAnsi="Open Sans" w:cs="Open Sans"/>
      <w:color w:val="575756"/>
      <w:sz w:val="20"/>
    </w:rPr>
  </w:style>
  <w:style w:type="character" w:customStyle="1" w:styleId="A8">
    <w:name w:val="A8"/>
    <w:uiPriority w:val="99"/>
    <w:rsid w:val="00F86758"/>
    <w:rPr>
      <w:rFonts w:cs="HelveticaNeueLT Std"/>
      <w:color w:val="57585A"/>
      <w:sz w:val="20"/>
      <w:szCs w:val="20"/>
    </w:rPr>
  </w:style>
  <w:style w:type="character" w:customStyle="1" w:styleId="A2">
    <w:name w:val="A2"/>
    <w:uiPriority w:val="99"/>
    <w:rsid w:val="00F86758"/>
    <w:rPr>
      <w:rFonts w:cs="HelveticaNeueLT Std"/>
      <w:b/>
      <w:bCs/>
      <w:color w:val="0078C1"/>
      <w:sz w:val="14"/>
      <w:szCs w:val="14"/>
    </w:rPr>
  </w:style>
  <w:style w:type="paragraph" w:customStyle="1" w:styleId="Pa3">
    <w:name w:val="Pa3"/>
    <w:basedOn w:val="Normal"/>
    <w:next w:val="Normal"/>
    <w:uiPriority w:val="99"/>
    <w:rsid w:val="00F867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HelveticaNeueLT Std" w:hAnsi="HelveticaNeueLT Std"/>
      <w:sz w:val="24"/>
    </w:rPr>
  </w:style>
  <w:style w:type="character" w:styleId="Hyperlink">
    <w:name w:val="Hyperlink"/>
    <w:basedOn w:val="DefaultParagraphFont"/>
    <w:uiPriority w:val="99"/>
    <w:unhideWhenUsed/>
    <w:rsid w:val="00F86758"/>
    <w:rPr>
      <w:color w:val="004EB6" w:themeColor="hyperlink"/>
      <w:u w:val="single"/>
    </w:rPr>
  </w:style>
  <w:style w:type="paragraph" w:styleId="NormalWeb">
    <w:name w:val="Normal (Web)"/>
    <w:basedOn w:val="Normal"/>
    <w:uiPriority w:val="99"/>
    <w:semiHidden/>
    <w:unhideWhenUsed/>
    <w:rsid w:val="00F867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EastAsia" w:hAnsi="Times New Roman"/>
      <w:sz w:val="24"/>
      <w:bdr w:val="none" w:sz="0" w:space="0" w:color="auto"/>
      <w:lang w:eastAsia="en-GB"/>
    </w:rPr>
  </w:style>
  <w:style w:type="paragraph" w:styleId="Header">
    <w:name w:val="header"/>
    <w:basedOn w:val="Normal"/>
    <w:link w:val="HeaderChar"/>
    <w:uiPriority w:val="99"/>
    <w:unhideWhenUsed/>
    <w:rsid w:val="00F86758"/>
    <w:pPr>
      <w:tabs>
        <w:tab w:val="center" w:pos="4536"/>
        <w:tab w:val="right" w:pos="9072"/>
      </w:tabs>
    </w:pPr>
  </w:style>
  <w:style w:type="character" w:customStyle="1" w:styleId="HeaderChar">
    <w:name w:val="Header Char"/>
    <w:basedOn w:val="DefaultParagraphFont"/>
    <w:link w:val="Header"/>
    <w:uiPriority w:val="99"/>
    <w:rsid w:val="00F86758"/>
  </w:style>
  <w:style w:type="paragraph" w:styleId="Subtitle">
    <w:name w:val="Subtitle"/>
    <w:basedOn w:val="Normal"/>
    <w:next w:val="Normal"/>
    <w:link w:val="SubtitleChar"/>
    <w:uiPriority w:val="11"/>
    <w:qFormat/>
    <w:rsid w:val="00F86758"/>
    <w:pPr>
      <w:spacing w:before="160" w:after="160"/>
      <w:jc w:val="both"/>
    </w:pPr>
    <w:rPr>
      <w:rFonts w:ascii="Open Sans" w:hAnsi="Open Sans" w:cs="Open Sans"/>
      <w:i/>
      <w:color w:val="575756"/>
      <w:sz w:val="20"/>
    </w:rPr>
  </w:style>
  <w:style w:type="character" w:customStyle="1" w:styleId="SubtitleChar">
    <w:name w:val="Subtitle Char"/>
    <w:basedOn w:val="DefaultParagraphFont"/>
    <w:link w:val="Subtitle"/>
    <w:uiPriority w:val="11"/>
    <w:rsid w:val="00F86758"/>
    <w:rPr>
      <w:rFonts w:ascii="Open Sans" w:hAnsi="Open Sans" w:cs="Open Sans"/>
      <w:i/>
      <w:color w:val="575756"/>
      <w:sz w:val="20"/>
    </w:rPr>
  </w:style>
  <w:style w:type="paragraph" w:styleId="Footer">
    <w:name w:val="footer"/>
    <w:basedOn w:val="Normal"/>
    <w:link w:val="FooterChar"/>
    <w:uiPriority w:val="99"/>
    <w:unhideWhenUsed/>
    <w:rsid w:val="00C11118"/>
    <w:pPr>
      <w:tabs>
        <w:tab w:val="center" w:pos="4536"/>
        <w:tab w:val="right" w:pos="9072"/>
      </w:tabs>
    </w:pPr>
  </w:style>
  <w:style w:type="character" w:customStyle="1" w:styleId="FooterChar">
    <w:name w:val="Footer Char"/>
    <w:basedOn w:val="DefaultParagraphFont"/>
    <w:link w:val="Footer"/>
    <w:uiPriority w:val="99"/>
    <w:rsid w:val="00C11118"/>
  </w:style>
  <w:style w:type="paragraph" w:styleId="BalloonText">
    <w:name w:val="Balloon Text"/>
    <w:basedOn w:val="Normal"/>
    <w:link w:val="BalloonTextChar"/>
    <w:uiPriority w:val="99"/>
    <w:semiHidden/>
    <w:unhideWhenUsed/>
    <w:rsid w:val="00C11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118"/>
    <w:rPr>
      <w:rFonts w:ascii="Segoe UI" w:hAnsi="Segoe UI" w:cs="Segoe UI"/>
      <w:sz w:val="18"/>
      <w:szCs w:val="18"/>
    </w:rPr>
  </w:style>
  <w:style w:type="character" w:styleId="CommentReference">
    <w:name w:val="annotation reference"/>
    <w:basedOn w:val="DefaultParagraphFont"/>
    <w:uiPriority w:val="99"/>
    <w:semiHidden/>
    <w:unhideWhenUsed/>
    <w:rsid w:val="00B7482D"/>
    <w:rPr>
      <w:sz w:val="16"/>
      <w:szCs w:val="16"/>
    </w:rPr>
  </w:style>
  <w:style w:type="paragraph" w:styleId="CommentText">
    <w:name w:val="annotation text"/>
    <w:basedOn w:val="Normal"/>
    <w:link w:val="CommentTextChar"/>
    <w:uiPriority w:val="99"/>
    <w:semiHidden/>
    <w:unhideWhenUsed/>
    <w:rsid w:val="00B7482D"/>
    <w:rPr>
      <w:sz w:val="20"/>
      <w:szCs w:val="20"/>
    </w:rPr>
  </w:style>
  <w:style w:type="character" w:customStyle="1" w:styleId="CommentTextChar">
    <w:name w:val="Comment Text Char"/>
    <w:basedOn w:val="DefaultParagraphFont"/>
    <w:link w:val="CommentText"/>
    <w:uiPriority w:val="99"/>
    <w:semiHidden/>
    <w:rsid w:val="00B7482D"/>
    <w:rPr>
      <w:sz w:val="20"/>
      <w:szCs w:val="20"/>
    </w:rPr>
  </w:style>
  <w:style w:type="paragraph" w:styleId="CommentSubject">
    <w:name w:val="annotation subject"/>
    <w:basedOn w:val="CommentText"/>
    <w:next w:val="CommentText"/>
    <w:link w:val="CommentSubjectChar"/>
    <w:uiPriority w:val="99"/>
    <w:semiHidden/>
    <w:unhideWhenUsed/>
    <w:rsid w:val="00B7482D"/>
    <w:rPr>
      <w:b/>
      <w:bCs/>
    </w:rPr>
  </w:style>
  <w:style w:type="character" w:customStyle="1" w:styleId="CommentSubjectChar">
    <w:name w:val="Comment Subject Char"/>
    <w:basedOn w:val="CommentTextChar"/>
    <w:link w:val="CommentSubject"/>
    <w:uiPriority w:val="99"/>
    <w:semiHidden/>
    <w:rsid w:val="00B7482D"/>
    <w:rPr>
      <w:b/>
      <w:bCs/>
      <w:sz w:val="20"/>
      <w:szCs w:val="20"/>
    </w:rPr>
  </w:style>
  <w:style w:type="paragraph" w:customStyle="1" w:styleId="Default">
    <w:name w:val="Default"/>
    <w:rsid w:val="009F7E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cs="Arial"/>
      <w:color w:val="000000"/>
      <w:sz w:val="24"/>
    </w:rPr>
  </w:style>
  <w:style w:type="paragraph" w:styleId="EndnoteText">
    <w:name w:val="endnote text"/>
    <w:basedOn w:val="Normal"/>
    <w:link w:val="EndnoteTextChar"/>
    <w:uiPriority w:val="99"/>
    <w:semiHidden/>
    <w:unhideWhenUsed/>
    <w:rsid w:val="00676992"/>
    <w:rPr>
      <w:sz w:val="20"/>
      <w:szCs w:val="20"/>
    </w:rPr>
  </w:style>
  <w:style w:type="character" w:customStyle="1" w:styleId="EndnoteTextChar">
    <w:name w:val="Endnote Text Char"/>
    <w:basedOn w:val="DefaultParagraphFont"/>
    <w:link w:val="EndnoteText"/>
    <w:uiPriority w:val="99"/>
    <w:semiHidden/>
    <w:rsid w:val="00676992"/>
    <w:rPr>
      <w:sz w:val="20"/>
      <w:szCs w:val="20"/>
    </w:rPr>
  </w:style>
  <w:style w:type="character" w:styleId="EndnoteReference">
    <w:name w:val="endnote reference"/>
    <w:basedOn w:val="DefaultParagraphFont"/>
    <w:uiPriority w:val="99"/>
    <w:semiHidden/>
    <w:unhideWhenUsed/>
    <w:rsid w:val="00676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irlsnotbrides.org/when-does-child-marriage-become-slavery" TargetMode="External"/><Relationship Id="rId2" Type="http://schemas.openxmlformats.org/officeDocument/2006/relationships/hyperlink" Target="https://www.child-soldiers.org/Pages/FAQs/Category/faqs" TargetMode="External"/><Relationship Id="rId1" Type="http://schemas.openxmlformats.org/officeDocument/2006/relationships/hyperlink" Target="https://www.unicef.org/protection/Textbook_1.pdf" TargetMode="External"/><Relationship Id="rId4" Type="http://schemas.openxmlformats.org/officeDocument/2006/relationships/hyperlink" Target="http://www.ohchr.org/Documents/Issues/Women/WRGS/ForcedMarriage/NGO/AntiSlaveryInternational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Plan International Theme">
  <a:themeElements>
    <a:clrScheme name="Plan International Theme">
      <a:dk1>
        <a:srgbClr val="585858"/>
      </a:dk1>
      <a:lt1>
        <a:sysClr val="window" lastClr="FFFFFF"/>
      </a:lt1>
      <a:dk2>
        <a:srgbClr val="000000"/>
      </a:dk2>
      <a:lt2>
        <a:srgbClr val="E6E6E4"/>
      </a:lt2>
      <a:accent1>
        <a:srgbClr val="004EB6"/>
      </a:accent1>
      <a:accent2>
        <a:srgbClr val="98D7F0"/>
      </a:accent2>
      <a:accent3>
        <a:srgbClr val="CD007D"/>
      </a:accent3>
      <a:accent4>
        <a:srgbClr val="B90F0F"/>
      </a:accent4>
      <a:accent5>
        <a:srgbClr val="D77308"/>
      </a:accent5>
      <a:accent6>
        <a:srgbClr val="00824B"/>
      </a:accent6>
      <a:hlink>
        <a:srgbClr val="004EB6"/>
      </a:hlink>
      <a:folHlink>
        <a:srgbClr val="98D7F0"/>
      </a:folHlink>
    </a:clrScheme>
    <a:fontScheme name="Plan International Fonts">
      <a:majorFont>
        <a:latin typeface="Veneer"/>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AF2BF0-9BAC-4044-8AC6-1026E3D634EA}">
  <ds:schemaRefs>
    <ds:schemaRef ds:uri="http://schemas.openxmlformats.org/officeDocument/2006/bibliography"/>
  </ds:schemaRefs>
</ds:datastoreItem>
</file>

<file path=customXml/itemProps2.xml><?xml version="1.0" encoding="utf-8"?>
<ds:datastoreItem xmlns:ds="http://schemas.openxmlformats.org/officeDocument/2006/customXml" ds:itemID="{371349A7-0960-4086-9529-CAF51DAE5FE8}"/>
</file>

<file path=customXml/itemProps3.xml><?xml version="1.0" encoding="utf-8"?>
<ds:datastoreItem xmlns:ds="http://schemas.openxmlformats.org/officeDocument/2006/customXml" ds:itemID="{2211BA1D-1243-4F44-8804-20F18EB9EBCC}"/>
</file>

<file path=customXml/itemProps4.xml><?xml version="1.0" encoding="utf-8"?>
<ds:datastoreItem xmlns:ds="http://schemas.openxmlformats.org/officeDocument/2006/customXml" ds:itemID="{8873BE26-841C-43F9-9FE5-CA3EE6205A34}"/>
</file>

<file path=docProps/app.xml><?xml version="1.0" encoding="utf-8"?>
<Properties xmlns="http://schemas.openxmlformats.org/officeDocument/2006/extended-properties" xmlns:vt="http://schemas.openxmlformats.org/officeDocument/2006/docPropsVTypes">
  <Template>Normal.dotm</Template>
  <TotalTime>0</TotalTime>
  <Pages>10</Pages>
  <Words>4502</Words>
  <Characters>25662</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Gass</dc:creator>
  <cp:keywords/>
  <dc:description/>
  <cp:lastModifiedBy>Daniela Buchmann</cp:lastModifiedBy>
  <cp:revision>2</cp:revision>
  <dcterms:created xsi:type="dcterms:W3CDTF">2019-02-19T09:55:00Z</dcterms:created>
  <dcterms:modified xsi:type="dcterms:W3CDTF">2019-02-19T09:55:00Z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