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C4F9C" w14:textId="77777777" w:rsidR="0038532D" w:rsidRPr="0038532D" w:rsidRDefault="0038532D" w:rsidP="0038532D">
      <w:pPr>
        <w:jc w:val="center"/>
        <w:rPr>
          <w:rFonts w:ascii="Arial" w:eastAsia="Arial" w:hAnsi="Arial" w:cs="Arial"/>
          <w:b/>
          <w:bCs/>
          <w:color w:val="4472C4" w:themeColor="accent1"/>
          <w:sz w:val="20"/>
          <w:szCs w:val="20"/>
        </w:rPr>
      </w:pPr>
      <w:r w:rsidRPr="0038532D">
        <w:rPr>
          <w:rFonts w:ascii="Arial" w:eastAsia="Arial" w:hAnsi="Arial" w:cs="Arial"/>
          <w:b/>
          <w:bCs/>
          <w:color w:val="4472C4" w:themeColor="accent1"/>
          <w:sz w:val="20"/>
          <w:szCs w:val="20"/>
        </w:rPr>
        <w:t>GIRLS ADVOCACY ALLIANCE</w:t>
      </w:r>
    </w:p>
    <w:p w14:paraId="46367E75" w14:textId="17CBA2AC" w:rsidR="0038532D" w:rsidRPr="0038532D" w:rsidRDefault="0038532D" w:rsidP="0038532D">
      <w:pPr>
        <w:jc w:val="center"/>
        <w:rPr>
          <w:rFonts w:ascii="Arial" w:eastAsia="Arial" w:hAnsi="Arial" w:cs="Arial"/>
          <w:b/>
          <w:bCs/>
          <w:color w:val="4472C4" w:themeColor="accent1"/>
          <w:sz w:val="20"/>
          <w:szCs w:val="20"/>
        </w:rPr>
      </w:pPr>
      <w:r w:rsidRPr="0038532D">
        <w:rPr>
          <w:rFonts w:ascii="Arial" w:eastAsia="Arial" w:hAnsi="Arial" w:cs="Arial"/>
          <w:b/>
          <w:bCs/>
          <w:color w:val="4472C4" w:themeColor="accent1"/>
          <w:sz w:val="20"/>
          <w:szCs w:val="20"/>
        </w:rPr>
        <w:t>WRITTEN SUBMISSION TO THE DRAFT GENERAL RECOMMENDATION ON TRAFFICKING IN WOMEN AND GIRLS IN THE CONTEXT OF GLOBAL MIGRATION BY THE COMMITTEE ON THE ELIMINATION OF DISCRIMINATION AGAINST WOMEN</w:t>
      </w:r>
    </w:p>
    <w:p w14:paraId="44835C20" w14:textId="29E3BCCE" w:rsidR="00377DFF" w:rsidRPr="0038532D" w:rsidRDefault="0038532D" w:rsidP="0038532D">
      <w:pPr>
        <w:jc w:val="center"/>
        <w:rPr>
          <w:rFonts w:ascii="Arial" w:eastAsia="Arial" w:hAnsi="Arial" w:cs="Arial"/>
          <w:b/>
          <w:bCs/>
          <w:color w:val="4472C4" w:themeColor="accent1"/>
          <w:sz w:val="20"/>
          <w:szCs w:val="20"/>
        </w:rPr>
      </w:pPr>
      <w:r w:rsidRPr="0038532D">
        <w:rPr>
          <w:rFonts w:ascii="Arial" w:eastAsia="Arial" w:hAnsi="Arial" w:cs="Arial"/>
          <w:b/>
          <w:bCs/>
          <w:sz w:val="20"/>
          <w:szCs w:val="20"/>
        </w:rPr>
        <w:t>Geneva, May 2020</w:t>
      </w:r>
    </w:p>
    <w:p w14:paraId="0A0AE8D6" w14:textId="77777777" w:rsidR="0038532D" w:rsidRDefault="0038532D" w:rsidP="0038532D">
      <w:pPr>
        <w:pStyle w:val="ListParagraph"/>
        <w:numPr>
          <w:ilvl w:val="0"/>
          <w:numId w:val="23"/>
        </w:numPr>
        <w:ind w:left="270"/>
        <w:contextualSpacing w:val="0"/>
        <w:jc w:val="both"/>
        <w:rPr>
          <w:rFonts w:ascii="Arial" w:eastAsia="Arial" w:hAnsi="Arial" w:cs="Arial"/>
          <w:b/>
          <w:bCs/>
          <w:color w:val="4472C4" w:themeColor="accent1"/>
          <w:sz w:val="20"/>
          <w:szCs w:val="20"/>
        </w:rPr>
      </w:pPr>
      <w:r w:rsidRPr="0038532D">
        <w:rPr>
          <w:rFonts w:ascii="Arial" w:eastAsia="Arial" w:hAnsi="Arial" w:cs="Arial"/>
          <w:b/>
          <w:bCs/>
          <w:color w:val="4472C4" w:themeColor="accent1"/>
          <w:sz w:val="20"/>
          <w:szCs w:val="20"/>
        </w:rPr>
        <w:t>INTRODUCTION</w:t>
      </w:r>
    </w:p>
    <w:p w14:paraId="639017CA" w14:textId="386508EB" w:rsidR="0038532D" w:rsidRPr="0038532D" w:rsidRDefault="0038532D" w:rsidP="0038532D">
      <w:pPr>
        <w:ind w:left="-90"/>
        <w:jc w:val="both"/>
        <w:rPr>
          <w:rFonts w:ascii="Arial" w:eastAsia="Arial" w:hAnsi="Arial" w:cs="Arial"/>
          <w:b/>
          <w:bCs/>
          <w:color w:val="4472C4" w:themeColor="accent1"/>
          <w:sz w:val="20"/>
          <w:szCs w:val="20"/>
        </w:rPr>
      </w:pPr>
      <w:r w:rsidRPr="0038532D">
        <w:rPr>
          <w:rFonts w:ascii="Arial" w:eastAsiaTheme="minorHAnsi" w:hAnsi="Arial" w:cs="Arial"/>
          <w:color w:val="auto"/>
          <w:sz w:val="20"/>
          <w:szCs w:val="20"/>
          <w:lang w:eastAsia="en-US"/>
        </w:rPr>
        <w:t>Launched in 2016, the Girls Advocacy Alliance (GAA) is a joint initiative, which aims at eliminating Gender-Based Violence (GBV) and Economic Exclusion (EE) of girls and young women through strategic lobby and advocacy.</w:t>
      </w:r>
      <w:r w:rsidRPr="0038532D">
        <w:rPr>
          <w:rStyle w:val="FootnoteReference"/>
          <w:rFonts w:ascii="Arial" w:eastAsiaTheme="minorHAnsi" w:hAnsi="Arial" w:cs="Arial"/>
          <w:color w:val="auto"/>
          <w:sz w:val="20"/>
          <w:szCs w:val="20"/>
          <w:lang w:eastAsia="en-US"/>
        </w:rPr>
        <w:footnoteReference w:id="1"/>
      </w:r>
      <w:r w:rsidRPr="0038532D">
        <w:rPr>
          <w:rFonts w:ascii="Arial" w:eastAsiaTheme="minorHAnsi" w:hAnsi="Arial" w:cs="Arial"/>
          <w:color w:val="auto"/>
          <w:sz w:val="20"/>
          <w:szCs w:val="20"/>
          <w:lang w:eastAsia="en-US"/>
        </w:rPr>
        <w:t xml:space="preserve"> </w:t>
      </w:r>
      <w:r>
        <w:rPr>
          <w:rFonts w:ascii="Arial" w:eastAsiaTheme="minorHAnsi" w:hAnsi="Arial" w:cs="Arial"/>
          <w:color w:val="auto"/>
          <w:sz w:val="20"/>
          <w:szCs w:val="20"/>
          <w:lang w:eastAsia="en-US"/>
        </w:rPr>
        <w:t xml:space="preserve">The </w:t>
      </w:r>
      <w:r w:rsidRPr="0038532D">
        <w:rPr>
          <w:rFonts w:ascii="Arial" w:eastAsia="Arial" w:hAnsi="Arial" w:cs="Arial"/>
          <w:sz w:val="20"/>
          <w:szCs w:val="20"/>
        </w:rPr>
        <w:t>GAA wishes to thank the Committee on the Elimination of Discrimination against Women for the draft of the General Recommendation on trafficking in women and girls in the context of global migration. This submission treats a select number of key issues; it does not address all paragraphs in the General Comment.</w:t>
      </w:r>
    </w:p>
    <w:p w14:paraId="29ED962C" w14:textId="77777777" w:rsidR="0038532D" w:rsidRPr="0038532D" w:rsidRDefault="0038532D" w:rsidP="0038532D">
      <w:pPr>
        <w:ind w:left="-91"/>
        <w:jc w:val="both"/>
        <w:rPr>
          <w:rFonts w:ascii="Arial" w:eastAsia="Arial" w:hAnsi="Arial" w:cs="Arial"/>
          <w:sz w:val="20"/>
          <w:szCs w:val="20"/>
        </w:rPr>
      </w:pPr>
      <w:r w:rsidRPr="0038532D">
        <w:rPr>
          <w:rFonts w:ascii="Arial" w:eastAsia="Arial" w:hAnsi="Arial" w:cs="Arial"/>
          <w:sz w:val="20"/>
          <w:szCs w:val="20"/>
        </w:rPr>
        <w:t xml:space="preserve">We welcome the opportunity to highlight some elements that would further strengthen the General Recommendation and ensure that no child or young person is left behind, with a particular emphasis on reaching girls who face specific vulnerabilities to and impacts of trafficking in persons and the additional, related violations of their human rights. </w:t>
      </w:r>
    </w:p>
    <w:p w14:paraId="1AA6DE25" w14:textId="3A8F7E0C" w:rsidR="0038532D" w:rsidRPr="0038532D" w:rsidRDefault="0038532D" w:rsidP="0038532D">
      <w:pPr>
        <w:ind w:left="-91"/>
        <w:jc w:val="both"/>
        <w:rPr>
          <w:rFonts w:ascii="Arial" w:eastAsia="Arial" w:hAnsi="Arial" w:cs="Arial"/>
          <w:sz w:val="20"/>
          <w:szCs w:val="20"/>
        </w:rPr>
      </w:pPr>
      <w:r w:rsidRPr="0038532D">
        <w:rPr>
          <w:rFonts w:ascii="Arial" w:eastAsia="Arial" w:hAnsi="Arial" w:cs="Arial"/>
          <w:sz w:val="20"/>
          <w:szCs w:val="20"/>
        </w:rPr>
        <w:t xml:space="preserve">In general, </w:t>
      </w:r>
      <w:r>
        <w:rPr>
          <w:rFonts w:ascii="Arial" w:eastAsia="Arial" w:hAnsi="Arial" w:cs="Arial"/>
          <w:sz w:val="20"/>
          <w:szCs w:val="20"/>
        </w:rPr>
        <w:t>the</w:t>
      </w:r>
      <w:r w:rsidR="00234FBC">
        <w:rPr>
          <w:rFonts w:ascii="Arial" w:eastAsia="Arial" w:hAnsi="Arial" w:cs="Arial"/>
          <w:sz w:val="20"/>
          <w:szCs w:val="20"/>
        </w:rPr>
        <w:t xml:space="preserve"> </w:t>
      </w:r>
      <w:r>
        <w:rPr>
          <w:rFonts w:ascii="Arial" w:eastAsia="Arial" w:hAnsi="Arial" w:cs="Arial"/>
          <w:sz w:val="20"/>
          <w:szCs w:val="20"/>
        </w:rPr>
        <w:t>GAA</w:t>
      </w:r>
      <w:r w:rsidRPr="0038532D">
        <w:rPr>
          <w:rFonts w:ascii="Arial" w:eastAsia="Arial" w:hAnsi="Arial" w:cs="Arial"/>
          <w:sz w:val="20"/>
          <w:szCs w:val="20"/>
        </w:rPr>
        <w:t xml:space="preserve"> would like to recommend the Committee to strengthen the age and diversity perspective in this General Recommendation, and in its broader work, to ensure solutions are </w:t>
      </w:r>
      <w:r>
        <w:rPr>
          <w:rFonts w:ascii="Arial" w:eastAsia="Arial" w:hAnsi="Arial" w:cs="Arial"/>
          <w:sz w:val="20"/>
          <w:szCs w:val="20"/>
        </w:rPr>
        <w:t>found</w:t>
      </w:r>
      <w:r w:rsidRPr="0038532D">
        <w:rPr>
          <w:rFonts w:ascii="Arial" w:eastAsia="Arial" w:hAnsi="Arial" w:cs="Arial"/>
          <w:sz w:val="20"/>
          <w:szCs w:val="20"/>
        </w:rPr>
        <w:t xml:space="preserve"> that respond to the specific needs of victims of trafficking depending on their diverse, intersecting identities and experiences. The impact of gaps in relation to girls’ rights in international legal and policy frameworks is outlined in Plan International’s </w:t>
      </w:r>
      <w:r w:rsidR="00234FBC" w:rsidRPr="0038532D">
        <w:rPr>
          <w:rFonts w:ascii="Arial" w:eastAsia="Arial" w:hAnsi="Arial" w:cs="Arial"/>
          <w:sz w:val="20"/>
          <w:szCs w:val="20"/>
        </w:rPr>
        <w:t>report</w:t>
      </w:r>
      <w:r w:rsidR="00234FBC">
        <w:rPr>
          <w:rFonts w:ascii="Arial" w:eastAsia="Arial" w:hAnsi="Arial" w:cs="Arial"/>
          <w:sz w:val="20"/>
          <w:szCs w:val="20"/>
        </w:rPr>
        <w:t>,</w:t>
      </w:r>
      <w:r w:rsidRPr="0038532D">
        <w:rPr>
          <w:rFonts w:ascii="Arial" w:eastAsia="Arial" w:hAnsi="Arial" w:cs="Arial"/>
          <w:sz w:val="20"/>
          <w:szCs w:val="20"/>
        </w:rPr>
        <w:t xml:space="preserve"> </w:t>
      </w:r>
      <w:hyperlink r:id="rId11">
        <w:r w:rsidRPr="0038532D">
          <w:rPr>
            <w:rStyle w:val="Hyperlink"/>
            <w:rFonts w:ascii="Arial" w:eastAsia="Arial" w:hAnsi="Arial" w:cs="Arial"/>
            <w:sz w:val="20"/>
            <w:szCs w:val="20"/>
          </w:rPr>
          <w:t>Girls Rights are Human Rights</w:t>
        </w:r>
      </w:hyperlink>
      <w:r w:rsidRPr="0038532D">
        <w:rPr>
          <w:rFonts w:ascii="Arial" w:eastAsia="Arial" w:hAnsi="Arial" w:cs="Arial"/>
          <w:sz w:val="20"/>
          <w:szCs w:val="20"/>
        </w:rPr>
        <w:t>, which is an in-depth study of the status of girls in international law.</w:t>
      </w:r>
    </w:p>
    <w:p w14:paraId="0EA4E1D9" w14:textId="77777777" w:rsidR="0038532D" w:rsidRPr="0038532D" w:rsidRDefault="0038532D" w:rsidP="0038532D">
      <w:pPr>
        <w:pStyle w:val="ListParagraph"/>
        <w:numPr>
          <w:ilvl w:val="0"/>
          <w:numId w:val="23"/>
        </w:numPr>
        <w:ind w:left="270"/>
        <w:contextualSpacing w:val="0"/>
        <w:jc w:val="both"/>
        <w:rPr>
          <w:rFonts w:ascii="Arial" w:eastAsia="Arial" w:hAnsi="Arial" w:cs="Arial"/>
          <w:b/>
          <w:bCs/>
          <w:color w:val="4472C4" w:themeColor="accent1"/>
          <w:sz w:val="20"/>
          <w:szCs w:val="20"/>
        </w:rPr>
      </w:pPr>
      <w:r w:rsidRPr="0038532D">
        <w:rPr>
          <w:rFonts w:ascii="Arial" w:eastAsia="Arial" w:hAnsi="Arial" w:cs="Arial"/>
          <w:b/>
          <w:bCs/>
          <w:color w:val="4472C4" w:themeColor="accent1"/>
          <w:sz w:val="20"/>
          <w:szCs w:val="20"/>
        </w:rPr>
        <w:t>SUGGESTIONS FOR ADDITIONAL AREAS OF FOCUS:</w:t>
      </w:r>
    </w:p>
    <w:p w14:paraId="66790258" w14:textId="77777777" w:rsidR="0038532D" w:rsidRPr="0038532D" w:rsidRDefault="0038532D" w:rsidP="0038532D">
      <w:pPr>
        <w:pStyle w:val="ListParagraph"/>
        <w:numPr>
          <w:ilvl w:val="1"/>
          <w:numId w:val="23"/>
        </w:numPr>
        <w:ind w:left="270" w:hanging="531"/>
        <w:jc w:val="both"/>
        <w:rPr>
          <w:rFonts w:ascii="Arial" w:eastAsia="Arial" w:hAnsi="Arial" w:cs="Arial"/>
          <w:b/>
          <w:bCs/>
          <w:sz w:val="20"/>
          <w:szCs w:val="20"/>
        </w:rPr>
      </w:pPr>
      <w:r w:rsidRPr="0038532D">
        <w:rPr>
          <w:rFonts w:ascii="Arial" w:eastAsia="Arial" w:hAnsi="Arial" w:cs="Arial"/>
          <w:b/>
          <w:bCs/>
          <w:sz w:val="20"/>
          <w:szCs w:val="20"/>
        </w:rPr>
        <w:t>Age</w:t>
      </w:r>
    </w:p>
    <w:p w14:paraId="4B5BD2DE" w14:textId="3F03C9D3"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Paragraph 6 of the draft General Recommendation recalls that</w:t>
      </w:r>
      <w:r w:rsidRPr="0038532D">
        <w:rPr>
          <w:rStyle w:val="normaltextrun"/>
          <w:rFonts w:ascii="Arial" w:eastAsia="Arial" w:hAnsi="Arial" w:cs="Arial"/>
          <w:sz w:val="20"/>
          <w:szCs w:val="20"/>
          <w:shd w:val="clear" w:color="auto" w:fill="FFFFFF"/>
        </w:rPr>
        <w:t xml:space="preserve"> States parties are obliged to promote the equal rights of girls as part of the larger </w:t>
      </w:r>
      <w:r w:rsidRPr="0038532D">
        <w:rPr>
          <w:rStyle w:val="findhit"/>
          <w:rFonts w:ascii="Arial" w:eastAsia="Arial" w:hAnsi="Arial" w:cs="Arial"/>
          <w:sz w:val="20"/>
          <w:szCs w:val="20"/>
          <w:shd w:val="clear" w:color="auto" w:fill="FFFFFF"/>
        </w:rPr>
        <w:t>community</w:t>
      </w:r>
      <w:r w:rsidRPr="0038532D">
        <w:rPr>
          <w:rStyle w:val="normaltextrun"/>
          <w:rFonts w:ascii="Arial" w:eastAsia="Arial" w:hAnsi="Arial" w:cs="Arial"/>
          <w:sz w:val="20"/>
          <w:szCs w:val="20"/>
          <w:shd w:val="clear" w:color="auto" w:fill="FFFFFF"/>
        </w:rPr>
        <w:t xml:space="preserve"> of women and recognizes the different risks and impacts for young girls, adolescent girls, and adult women. </w:t>
      </w:r>
      <w:r>
        <w:rPr>
          <w:rFonts w:ascii="Arial" w:eastAsia="Arial" w:hAnsi="Arial" w:cs="Arial"/>
          <w:sz w:val="20"/>
          <w:szCs w:val="20"/>
        </w:rPr>
        <w:t>GAA</w:t>
      </w:r>
      <w:r w:rsidRPr="0038532D">
        <w:rPr>
          <w:rFonts w:ascii="Arial" w:eastAsia="Arial" w:hAnsi="Arial" w:cs="Arial"/>
          <w:sz w:val="20"/>
          <w:szCs w:val="20"/>
        </w:rPr>
        <w:t xml:space="preserve"> welcomes the Committee’s recognition of the need for distinct attention to the fulfilment of the human rights of girls. </w:t>
      </w:r>
    </w:p>
    <w:p w14:paraId="1CB573E1" w14:textId="03B45E17"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 xml:space="preserve">However, </w:t>
      </w:r>
      <w:r>
        <w:rPr>
          <w:rFonts w:ascii="Arial" w:eastAsia="Arial" w:hAnsi="Arial" w:cs="Arial"/>
          <w:sz w:val="20"/>
          <w:szCs w:val="20"/>
        </w:rPr>
        <w:t>the GAA</w:t>
      </w:r>
      <w:r w:rsidRPr="0038532D">
        <w:rPr>
          <w:rFonts w:ascii="Arial" w:eastAsia="Arial" w:hAnsi="Arial" w:cs="Arial"/>
          <w:sz w:val="20"/>
          <w:szCs w:val="20"/>
        </w:rPr>
        <w:t xml:space="preserve"> believes that, in order to address the specific vulnerabilities and barriers experienced by girls, the draft General Recommendation could be strengthened to more consistently consider the different ways in which female victims of trafficking are affected by the issue depending on their age. </w:t>
      </w:r>
    </w:p>
    <w:p w14:paraId="782B416C" w14:textId="1AA9C31F"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Recognising that, in striving for a concise and streamlined text, it may not be possible to refer to “women and girls” throughout</w:t>
      </w:r>
      <w:r>
        <w:rPr>
          <w:rFonts w:ascii="Arial" w:eastAsia="Arial" w:hAnsi="Arial" w:cs="Arial"/>
          <w:sz w:val="20"/>
          <w:szCs w:val="20"/>
        </w:rPr>
        <w:t xml:space="preserve"> the General Recommendation. The</w:t>
      </w:r>
      <w:r w:rsidRPr="0038532D">
        <w:rPr>
          <w:rFonts w:ascii="Arial" w:eastAsia="Arial" w:hAnsi="Arial" w:cs="Arial"/>
          <w:sz w:val="20"/>
          <w:szCs w:val="20"/>
        </w:rPr>
        <w:t xml:space="preserve"> </w:t>
      </w:r>
      <w:r>
        <w:rPr>
          <w:rFonts w:ascii="Arial" w:eastAsia="Arial" w:hAnsi="Arial" w:cs="Arial"/>
          <w:sz w:val="20"/>
          <w:szCs w:val="20"/>
        </w:rPr>
        <w:t>GAA</w:t>
      </w:r>
      <w:r w:rsidRPr="0038532D">
        <w:rPr>
          <w:rFonts w:ascii="Arial" w:eastAsia="Arial" w:hAnsi="Arial" w:cs="Arial"/>
          <w:sz w:val="20"/>
          <w:szCs w:val="20"/>
        </w:rPr>
        <w:t xml:space="preserve"> would like to suggest that the formulation of “female victims of trafficking”, as currently used in paragraphs 68, 82, and 98, could be used elsewhere in the text in an effort to clarify that the text </w:t>
      </w:r>
      <w:r>
        <w:rPr>
          <w:rFonts w:ascii="Arial" w:eastAsia="Arial" w:hAnsi="Arial" w:cs="Arial"/>
          <w:sz w:val="20"/>
          <w:szCs w:val="20"/>
        </w:rPr>
        <w:t>applies</w:t>
      </w:r>
      <w:r w:rsidRPr="0038532D">
        <w:rPr>
          <w:rFonts w:ascii="Arial" w:eastAsia="Arial" w:hAnsi="Arial" w:cs="Arial"/>
          <w:sz w:val="20"/>
          <w:szCs w:val="20"/>
        </w:rPr>
        <w:t xml:space="preserve"> to both women and girls. Similarly, where the text refers to “women migrants” this could be amended to read “migrant women and girls”.</w:t>
      </w:r>
    </w:p>
    <w:p w14:paraId="2E79BF67" w14:textId="30B2299A" w:rsidR="0038532D" w:rsidRPr="0038532D" w:rsidRDefault="0038532D" w:rsidP="0038532D">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would likely to recommend the Committee to review the text applying an age lens and to examine where it would be important to call on States parties to ensure that laws, policies, programmes, plans of action, and other measures are designed in an age-sensitive – as well as a gender-transformative – manner.</w:t>
      </w:r>
    </w:p>
    <w:p w14:paraId="0FB08CF1" w14:textId="75C5ECD2"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lastRenderedPageBreak/>
        <w:t xml:space="preserve">In certain paragraphs, </w:t>
      </w:r>
      <w:r>
        <w:rPr>
          <w:rFonts w:ascii="Arial" w:eastAsia="Arial" w:hAnsi="Arial" w:cs="Arial"/>
          <w:sz w:val="20"/>
          <w:szCs w:val="20"/>
        </w:rPr>
        <w:t>the GAA</w:t>
      </w:r>
      <w:r w:rsidRPr="0038532D">
        <w:rPr>
          <w:rFonts w:ascii="Arial" w:eastAsia="Arial" w:hAnsi="Arial" w:cs="Arial"/>
          <w:sz w:val="20"/>
          <w:szCs w:val="20"/>
        </w:rPr>
        <w:t xml:space="preserve"> would argue that it is essential to specifically reference “girls” in order to strengthen the protections and provisions for girls. These are paragraphs 14, 26, 32, 34, 40-44, 46-58, 60-61, 64-65, 67-68, 70, 72, 75-84, 86, 88, 91-93, 96, 98-99, and 102.</w:t>
      </w:r>
    </w:p>
    <w:p w14:paraId="031BA7B6" w14:textId="18DC9DDB"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 xml:space="preserve">In certain paragraphs, </w:t>
      </w:r>
      <w:r>
        <w:rPr>
          <w:rFonts w:ascii="Arial" w:eastAsia="Arial" w:hAnsi="Arial" w:cs="Arial"/>
          <w:sz w:val="20"/>
          <w:szCs w:val="20"/>
        </w:rPr>
        <w:t>the GAA</w:t>
      </w:r>
      <w:r w:rsidRPr="0038532D">
        <w:rPr>
          <w:rFonts w:ascii="Arial" w:eastAsia="Arial" w:hAnsi="Arial" w:cs="Arial"/>
          <w:sz w:val="20"/>
          <w:szCs w:val="20"/>
        </w:rPr>
        <w:t xml:space="preserve"> would argue that it is essential to specifically reference “age-sensitive” approaches in order to strengthen the protections for girls. These are paragraphs 29-30, 41-43, 46, 57, 62, 66-68, 70-72, 84, and 88.</w:t>
      </w:r>
    </w:p>
    <w:p w14:paraId="56FDA065" w14:textId="152053EB" w:rsidR="0038532D" w:rsidRPr="0038532D" w:rsidRDefault="0038532D" w:rsidP="0038532D">
      <w:pPr>
        <w:ind w:left="-86"/>
        <w:jc w:val="both"/>
        <w:rPr>
          <w:rFonts w:ascii="Arial" w:eastAsia="Arial" w:hAnsi="Arial" w:cs="Arial"/>
          <w:color w:val="000000" w:themeColor="text1"/>
          <w:sz w:val="20"/>
          <w:szCs w:val="20"/>
        </w:rPr>
      </w:pPr>
      <w:r w:rsidRPr="0038532D">
        <w:rPr>
          <w:rFonts w:ascii="Arial" w:eastAsia="Arial" w:hAnsi="Arial" w:cs="Arial"/>
          <w:color w:val="000000" w:themeColor="text1"/>
          <w:sz w:val="20"/>
          <w:szCs w:val="20"/>
        </w:rPr>
        <w:t>For other paragraphs</w:t>
      </w:r>
      <w:r>
        <w:rPr>
          <w:rFonts w:ascii="Arial" w:eastAsia="Arial" w:hAnsi="Arial" w:cs="Arial"/>
          <w:color w:val="000000" w:themeColor="text1"/>
          <w:sz w:val="20"/>
          <w:szCs w:val="20"/>
        </w:rPr>
        <w:t>, the GAA</w:t>
      </w:r>
      <w:r w:rsidRPr="0038532D">
        <w:rPr>
          <w:rFonts w:ascii="Arial" w:eastAsia="Arial" w:hAnsi="Arial" w:cs="Arial"/>
          <w:color w:val="000000" w:themeColor="text1"/>
          <w:sz w:val="20"/>
          <w:szCs w:val="20"/>
        </w:rPr>
        <w:t xml:space="preserve"> would like to propose more substantive additions to the text, as follows</w:t>
      </w:r>
      <w:r w:rsidR="00E4079E">
        <w:rPr>
          <w:rFonts w:ascii="Arial" w:eastAsia="Arial" w:hAnsi="Arial" w:cs="Arial"/>
          <w:color w:val="000000" w:themeColor="text1"/>
          <w:sz w:val="20"/>
          <w:szCs w:val="20"/>
        </w:rPr>
        <w:t xml:space="preserve"> (</w:t>
      </w:r>
      <w:r w:rsidR="00435D20">
        <w:rPr>
          <w:rFonts w:ascii="Arial" w:eastAsia="Arial" w:hAnsi="Arial" w:cs="Arial"/>
          <w:color w:val="000000" w:themeColor="text1"/>
          <w:sz w:val="20"/>
          <w:szCs w:val="20"/>
        </w:rPr>
        <w:t xml:space="preserve">concrete proposals for </w:t>
      </w:r>
      <w:r w:rsidR="003C3BD8">
        <w:rPr>
          <w:rFonts w:ascii="Arial" w:eastAsia="Arial" w:hAnsi="Arial" w:cs="Arial"/>
          <w:color w:val="000000" w:themeColor="text1"/>
          <w:sz w:val="20"/>
          <w:szCs w:val="20"/>
        </w:rPr>
        <w:t>additions/</w:t>
      </w:r>
      <w:r w:rsidR="00E4079E">
        <w:rPr>
          <w:rFonts w:ascii="Arial" w:eastAsia="Arial" w:hAnsi="Arial" w:cs="Arial"/>
          <w:color w:val="000000" w:themeColor="text1"/>
          <w:sz w:val="20"/>
          <w:szCs w:val="20"/>
        </w:rPr>
        <w:t xml:space="preserve">amendments </w:t>
      </w:r>
      <w:r w:rsidR="003C3BD8">
        <w:rPr>
          <w:rFonts w:ascii="Arial" w:eastAsia="Arial" w:hAnsi="Arial" w:cs="Arial"/>
          <w:color w:val="000000" w:themeColor="text1"/>
          <w:sz w:val="20"/>
          <w:szCs w:val="20"/>
        </w:rPr>
        <w:t xml:space="preserve">to existing text </w:t>
      </w:r>
      <w:r w:rsidR="00E4079E">
        <w:rPr>
          <w:rFonts w:ascii="Arial" w:eastAsia="Arial" w:hAnsi="Arial" w:cs="Arial"/>
          <w:color w:val="000000" w:themeColor="text1"/>
          <w:sz w:val="20"/>
          <w:szCs w:val="20"/>
        </w:rPr>
        <w:t>are in red)</w:t>
      </w:r>
      <w:r w:rsidRPr="0038532D">
        <w:rPr>
          <w:rFonts w:ascii="Arial" w:eastAsia="Arial" w:hAnsi="Arial" w:cs="Arial"/>
          <w:color w:val="000000" w:themeColor="text1"/>
          <w:sz w:val="20"/>
          <w:szCs w:val="20"/>
        </w:rPr>
        <w:t xml:space="preserve">: </w:t>
      </w:r>
    </w:p>
    <w:p w14:paraId="5AFF3422" w14:textId="77777777" w:rsidR="0038532D" w:rsidRPr="00234FBC" w:rsidRDefault="0038532D" w:rsidP="00234FBC">
      <w:pPr>
        <w:pStyle w:val="ListParagraph"/>
        <w:numPr>
          <w:ilvl w:val="0"/>
          <w:numId w:val="25"/>
        </w:numPr>
        <w:ind w:left="284"/>
        <w:jc w:val="both"/>
        <w:rPr>
          <w:rFonts w:ascii="Arial" w:eastAsia="Arial" w:hAnsi="Arial" w:cs="Arial"/>
          <w:b/>
          <w:bCs/>
          <w:color w:val="auto"/>
          <w:sz w:val="18"/>
          <w:szCs w:val="18"/>
        </w:rPr>
      </w:pPr>
      <w:r w:rsidRPr="00234FBC">
        <w:rPr>
          <w:rFonts w:ascii="Arial" w:eastAsia="Arial" w:hAnsi="Arial" w:cs="Arial"/>
          <w:b/>
          <w:bCs/>
          <w:color w:val="auto"/>
          <w:sz w:val="18"/>
          <w:szCs w:val="18"/>
        </w:rPr>
        <w:t>Paragraph 6:</w:t>
      </w:r>
      <w:r w:rsidRPr="00234FBC">
        <w:rPr>
          <w:rFonts w:ascii="Arial" w:eastAsia="Arial" w:hAnsi="Arial" w:cs="Arial"/>
          <w:color w:val="auto"/>
          <w:sz w:val="18"/>
          <w:szCs w:val="18"/>
        </w:rPr>
        <w:t xml:space="preserve"> “The Committee </w:t>
      </w:r>
      <w:r w:rsidRPr="00E4079E">
        <w:rPr>
          <w:rFonts w:ascii="Arial" w:eastAsia="Arial" w:hAnsi="Arial" w:cs="Arial"/>
          <w:color w:val="FF0000"/>
          <w:sz w:val="18"/>
          <w:szCs w:val="18"/>
        </w:rPr>
        <w:t xml:space="preserve">recognises that </w:t>
      </w:r>
      <w:r w:rsidRPr="00234FBC">
        <w:rPr>
          <w:rFonts w:ascii="Arial" w:eastAsia="Arial" w:hAnsi="Arial" w:cs="Arial"/>
          <w:color w:val="auto"/>
          <w:sz w:val="18"/>
          <w:szCs w:val="18"/>
        </w:rPr>
        <w:t xml:space="preserve">regional-specific approaches </w:t>
      </w:r>
      <w:r w:rsidRPr="00E4079E">
        <w:rPr>
          <w:rFonts w:ascii="Arial" w:eastAsia="Arial" w:hAnsi="Arial" w:cs="Arial"/>
          <w:color w:val="FF0000"/>
          <w:sz w:val="18"/>
          <w:szCs w:val="18"/>
        </w:rPr>
        <w:t>are</w:t>
      </w:r>
      <w:r w:rsidRPr="00234FBC">
        <w:rPr>
          <w:rFonts w:ascii="Arial" w:eastAsia="Arial" w:hAnsi="Arial" w:cs="Arial"/>
          <w:color w:val="auto"/>
          <w:sz w:val="18"/>
          <w:szCs w:val="18"/>
        </w:rPr>
        <w:t xml:space="preserve"> required to address the forms of trafficking in women and girls across the globe. It acknowledges that the causes, consequences and experiences of trafficking differ for young girls, </w:t>
      </w:r>
      <w:r w:rsidRPr="003C3BD8">
        <w:rPr>
          <w:rFonts w:ascii="Arial" w:eastAsia="Arial" w:hAnsi="Arial" w:cs="Arial"/>
          <w:color w:val="FF0000"/>
          <w:sz w:val="18"/>
          <w:szCs w:val="18"/>
        </w:rPr>
        <w:t xml:space="preserve">for adolescent </w:t>
      </w:r>
      <w:r w:rsidRPr="00234FBC">
        <w:rPr>
          <w:rFonts w:ascii="Arial" w:eastAsia="Arial" w:hAnsi="Arial" w:cs="Arial"/>
          <w:color w:val="auto"/>
          <w:sz w:val="18"/>
          <w:szCs w:val="18"/>
        </w:rPr>
        <w:t xml:space="preserve">girls, </w:t>
      </w:r>
      <w:r w:rsidRPr="003C3BD8">
        <w:rPr>
          <w:rFonts w:ascii="Arial" w:eastAsia="Arial" w:hAnsi="Arial" w:cs="Arial"/>
          <w:color w:val="FF0000"/>
          <w:sz w:val="18"/>
          <w:szCs w:val="18"/>
        </w:rPr>
        <w:t xml:space="preserve">and for </w:t>
      </w:r>
      <w:r w:rsidRPr="00234FBC">
        <w:rPr>
          <w:rFonts w:ascii="Arial" w:eastAsia="Arial" w:hAnsi="Arial" w:cs="Arial"/>
          <w:color w:val="auto"/>
          <w:sz w:val="18"/>
          <w:szCs w:val="18"/>
        </w:rPr>
        <w:t>adult women. In recalling that States parties are obliged to promote the equal rights of girls as part of the larger community of women</w:t>
      </w:r>
      <w:r w:rsidRPr="003C3BD8">
        <w:rPr>
          <w:rFonts w:ascii="Arial" w:eastAsia="Arial" w:hAnsi="Arial" w:cs="Arial"/>
          <w:color w:val="FF0000"/>
          <w:sz w:val="18"/>
          <w:szCs w:val="18"/>
        </w:rPr>
        <w:t xml:space="preserve">, and that girls are more vulnerable to certain forms of discrimination, the Committee </w:t>
      </w:r>
      <w:r w:rsidRPr="00234FBC">
        <w:rPr>
          <w:rFonts w:ascii="Arial" w:eastAsia="Arial" w:hAnsi="Arial" w:cs="Arial"/>
          <w:color w:val="auto"/>
          <w:sz w:val="18"/>
          <w:szCs w:val="18"/>
        </w:rPr>
        <w:t xml:space="preserve">encourages States parties to adopt a nuanced </w:t>
      </w:r>
      <w:r w:rsidRPr="003C3BD8">
        <w:rPr>
          <w:rFonts w:ascii="Arial" w:eastAsia="Arial" w:hAnsi="Arial" w:cs="Arial"/>
          <w:color w:val="FF0000"/>
          <w:sz w:val="18"/>
          <w:szCs w:val="18"/>
        </w:rPr>
        <w:t xml:space="preserve">and coordinated </w:t>
      </w:r>
      <w:r w:rsidRPr="00234FBC">
        <w:rPr>
          <w:rFonts w:ascii="Arial" w:eastAsia="Arial" w:hAnsi="Arial" w:cs="Arial"/>
          <w:color w:val="auto"/>
          <w:sz w:val="18"/>
          <w:szCs w:val="18"/>
        </w:rPr>
        <w:t xml:space="preserve">response to combatting trafficking which </w:t>
      </w:r>
      <w:r w:rsidRPr="003C3BD8">
        <w:rPr>
          <w:rFonts w:ascii="Arial" w:eastAsia="Arial" w:hAnsi="Arial" w:cs="Arial"/>
          <w:color w:val="FF0000"/>
          <w:sz w:val="18"/>
          <w:szCs w:val="18"/>
        </w:rPr>
        <w:t xml:space="preserve">considers and addresses </w:t>
      </w:r>
      <w:r w:rsidRPr="00234FBC">
        <w:rPr>
          <w:rFonts w:ascii="Arial" w:eastAsia="Arial" w:hAnsi="Arial" w:cs="Arial"/>
          <w:color w:val="auto"/>
          <w:sz w:val="18"/>
          <w:szCs w:val="18"/>
        </w:rPr>
        <w:t xml:space="preserve">these differences </w:t>
      </w:r>
      <w:r w:rsidRPr="003C3BD8">
        <w:rPr>
          <w:rFonts w:ascii="Arial" w:eastAsia="Arial" w:hAnsi="Arial" w:cs="Arial"/>
          <w:color w:val="FF0000"/>
          <w:sz w:val="18"/>
          <w:szCs w:val="18"/>
        </w:rPr>
        <w:t>according to age</w:t>
      </w:r>
      <w:r w:rsidRPr="00234FBC">
        <w:rPr>
          <w:rFonts w:ascii="Arial" w:eastAsia="Arial" w:hAnsi="Arial" w:cs="Arial"/>
          <w:color w:val="auto"/>
          <w:sz w:val="18"/>
          <w:szCs w:val="18"/>
        </w:rPr>
        <w:t>.”</w:t>
      </w:r>
    </w:p>
    <w:p w14:paraId="14F360B6" w14:textId="77777777" w:rsidR="00234FBC" w:rsidRPr="00234FBC" w:rsidRDefault="0038532D" w:rsidP="00234FBC">
      <w:pPr>
        <w:pStyle w:val="ListParagraph"/>
        <w:numPr>
          <w:ilvl w:val="0"/>
          <w:numId w:val="25"/>
        </w:numPr>
        <w:ind w:left="284"/>
        <w:jc w:val="both"/>
        <w:rPr>
          <w:rFonts w:ascii="Arial" w:eastAsia="Arial" w:hAnsi="Arial" w:cs="Arial"/>
          <w:bCs/>
          <w:color w:val="auto"/>
          <w:sz w:val="18"/>
          <w:szCs w:val="18"/>
        </w:rPr>
      </w:pPr>
      <w:r w:rsidRPr="00234FBC">
        <w:rPr>
          <w:rFonts w:ascii="Arial" w:eastAsia="Arial" w:hAnsi="Arial" w:cs="Arial"/>
          <w:b/>
          <w:color w:val="auto"/>
          <w:sz w:val="18"/>
          <w:szCs w:val="18"/>
        </w:rPr>
        <w:t xml:space="preserve">Section III: </w:t>
      </w:r>
      <w:r w:rsidRPr="00234FBC">
        <w:rPr>
          <w:rFonts w:ascii="Arial" w:eastAsia="Arial" w:hAnsi="Arial" w:cs="Arial"/>
          <w:color w:val="auto"/>
          <w:sz w:val="18"/>
          <w:szCs w:val="18"/>
        </w:rPr>
        <w:t>Include reference to the following relevant provisions:</w:t>
      </w:r>
    </w:p>
    <w:p w14:paraId="305E43D9" w14:textId="00C8BB2A" w:rsidR="00234FBC" w:rsidRPr="00234FBC" w:rsidRDefault="0038532D" w:rsidP="00234FBC">
      <w:pPr>
        <w:pStyle w:val="ListParagraph"/>
        <w:numPr>
          <w:ilvl w:val="1"/>
          <w:numId w:val="25"/>
        </w:numPr>
        <w:ind w:left="709"/>
        <w:jc w:val="both"/>
        <w:rPr>
          <w:rFonts w:ascii="Arial" w:eastAsia="Arial" w:hAnsi="Arial" w:cs="Arial"/>
          <w:bCs/>
          <w:color w:val="auto"/>
          <w:sz w:val="18"/>
          <w:szCs w:val="18"/>
        </w:rPr>
      </w:pPr>
      <w:r w:rsidRPr="00234FBC">
        <w:rPr>
          <w:rFonts w:ascii="Arial" w:eastAsia="Arial" w:hAnsi="Arial" w:cs="Arial"/>
          <w:b/>
          <w:color w:val="auto"/>
          <w:sz w:val="18"/>
          <w:szCs w:val="18"/>
        </w:rPr>
        <w:t>UN Convention on the Right of the Child, 1989:</w:t>
      </w:r>
      <w:r w:rsidRPr="00234FBC">
        <w:rPr>
          <w:rFonts w:ascii="Arial" w:eastAsia="Arial" w:hAnsi="Arial" w:cs="Arial"/>
          <w:color w:val="auto"/>
          <w:sz w:val="18"/>
          <w:szCs w:val="18"/>
        </w:rPr>
        <w:t xml:space="preserve"> The Convention calls for appropriate measures</w:t>
      </w:r>
      <w:r w:rsidR="00051B42">
        <w:rPr>
          <w:rFonts w:ascii="Arial" w:eastAsia="Arial" w:hAnsi="Arial" w:cs="Arial"/>
          <w:color w:val="auto"/>
          <w:sz w:val="18"/>
          <w:szCs w:val="18"/>
        </w:rPr>
        <w:t>:</w:t>
      </w:r>
      <w:r w:rsidRPr="00234FBC">
        <w:rPr>
          <w:rFonts w:ascii="Arial" w:eastAsia="Arial" w:hAnsi="Arial" w:cs="Arial"/>
          <w:color w:val="auto"/>
          <w:sz w:val="18"/>
          <w:szCs w:val="18"/>
        </w:rPr>
        <w:t xml:space="preserve"> to prevent the use of girls and boys in the illicit production and</w:t>
      </w:r>
      <w:r w:rsidR="00051B42">
        <w:rPr>
          <w:rFonts w:ascii="Arial" w:eastAsia="Arial" w:hAnsi="Arial" w:cs="Arial"/>
          <w:color w:val="auto"/>
          <w:sz w:val="18"/>
          <w:szCs w:val="18"/>
        </w:rPr>
        <w:t xml:space="preserve"> trafficking of drugs (art. 33);</w:t>
      </w:r>
      <w:r w:rsidRPr="00234FBC">
        <w:rPr>
          <w:rFonts w:ascii="Arial" w:eastAsia="Arial" w:hAnsi="Arial" w:cs="Arial"/>
          <w:color w:val="auto"/>
          <w:sz w:val="18"/>
          <w:szCs w:val="18"/>
        </w:rPr>
        <w:t xml:space="preserve"> to protect them from all forms o</w:t>
      </w:r>
      <w:r w:rsidR="00051B42">
        <w:rPr>
          <w:rFonts w:ascii="Arial" w:eastAsia="Arial" w:hAnsi="Arial" w:cs="Arial"/>
          <w:color w:val="auto"/>
          <w:sz w:val="18"/>
          <w:szCs w:val="18"/>
        </w:rPr>
        <w:t>f sexual exploitation (art. 34);</w:t>
      </w:r>
      <w:r w:rsidRPr="00234FBC">
        <w:rPr>
          <w:rFonts w:ascii="Arial" w:eastAsia="Arial" w:hAnsi="Arial" w:cs="Arial"/>
          <w:color w:val="auto"/>
          <w:sz w:val="18"/>
          <w:szCs w:val="18"/>
        </w:rPr>
        <w:t xml:space="preserve"> to prevent the abduction, sale or trafficking of children for any purpose, or in any form (art. 35)</w:t>
      </w:r>
      <w:r w:rsidR="00051B42">
        <w:rPr>
          <w:rFonts w:ascii="Arial" w:eastAsia="Arial" w:hAnsi="Arial" w:cs="Arial"/>
          <w:color w:val="auto"/>
          <w:sz w:val="18"/>
          <w:szCs w:val="18"/>
        </w:rPr>
        <w:t>;</w:t>
      </w:r>
      <w:r w:rsidRPr="00234FBC">
        <w:rPr>
          <w:rFonts w:ascii="Arial" w:eastAsia="Arial" w:hAnsi="Arial" w:cs="Arial"/>
          <w:color w:val="auto"/>
          <w:sz w:val="18"/>
          <w:szCs w:val="18"/>
        </w:rPr>
        <w:t xml:space="preserve"> and to prevent the participation of children in armed hostilities (art. 38).</w:t>
      </w:r>
    </w:p>
    <w:p w14:paraId="1CE2B690" w14:textId="1AD9C650" w:rsidR="0038532D" w:rsidRPr="00234FBC" w:rsidRDefault="0038532D" w:rsidP="00234FBC">
      <w:pPr>
        <w:pStyle w:val="ListParagraph"/>
        <w:numPr>
          <w:ilvl w:val="1"/>
          <w:numId w:val="25"/>
        </w:numPr>
        <w:ind w:left="709"/>
        <w:jc w:val="both"/>
        <w:rPr>
          <w:rFonts w:ascii="Arial" w:eastAsia="Arial" w:hAnsi="Arial" w:cs="Arial"/>
          <w:bCs/>
          <w:color w:val="auto"/>
          <w:sz w:val="18"/>
          <w:szCs w:val="18"/>
        </w:rPr>
      </w:pPr>
      <w:r w:rsidRPr="00234FBC">
        <w:rPr>
          <w:rFonts w:ascii="Arial" w:eastAsia="Arial" w:hAnsi="Arial" w:cs="Arial"/>
          <w:b/>
          <w:color w:val="auto"/>
          <w:sz w:val="18"/>
          <w:szCs w:val="18"/>
        </w:rPr>
        <w:t>ILO Worst Forms of Child Labour Convention, 1999 (No. 182):</w:t>
      </w:r>
      <w:r w:rsidRPr="00234FBC">
        <w:rPr>
          <w:rFonts w:ascii="Arial" w:eastAsia="Arial" w:hAnsi="Arial" w:cs="Arial"/>
          <w:color w:val="auto"/>
          <w:sz w:val="18"/>
          <w:szCs w:val="18"/>
        </w:rPr>
        <w:t xml:space="preserve"> The Convention calls for imme</w:t>
      </w:r>
      <w:r w:rsidR="003C3BD8">
        <w:rPr>
          <w:rFonts w:ascii="Arial" w:eastAsia="Arial" w:hAnsi="Arial" w:cs="Arial"/>
          <w:color w:val="auto"/>
          <w:sz w:val="18"/>
          <w:szCs w:val="18"/>
        </w:rPr>
        <w:t xml:space="preserve">diate and effective measures </w:t>
      </w:r>
      <w:r w:rsidRPr="00234FBC">
        <w:rPr>
          <w:rFonts w:ascii="Arial" w:eastAsia="Arial" w:hAnsi="Arial" w:cs="Arial"/>
          <w:color w:val="auto"/>
          <w:sz w:val="18"/>
          <w:szCs w:val="18"/>
        </w:rPr>
        <w:t>to secure the prohibition and elimination of the worst forms of child labour (art. 1). Those measures shall be applied to all persons, girls and boys, under the age of 18 (art. 2). The worst forms of child labour are defined in article 3</w:t>
      </w:r>
      <w:r w:rsidR="00EA4255">
        <w:rPr>
          <w:rFonts w:ascii="Arial" w:eastAsia="Arial" w:hAnsi="Arial" w:cs="Arial"/>
          <w:color w:val="auto"/>
          <w:sz w:val="18"/>
          <w:szCs w:val="18"/>
        </w:rPr>
        <w:t>, which includes reference to sale and trafficking of children.</w:t>
      </w:r>
    </w:p>
    <w:p w14:paraId="40828136" w14:textId="77777777"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bCs/>
          <w:color w:val="auto"/>
          <w:sz w:val="18"/>
          <w:szCs w:val="18"/>
        </w:rPr>
        <w:t xml:space="preserve">Section IV: </w:t>
      </w:r>
      <w:r w:rsidRPr="00234FBC">
        <w:rPr>
          <w:rFonts w:ascii="Arial" w:eastAsia="Arial" w:hAnsi="Arial" w:cs="Arial"/>
          <w:bCs/>
          <w:color w:val="auto"/>
          <w:sz w:val="18"/>
          <w:szCs w:val="18"/>
        </w:rPr>
        <w:t>Include language to reflect the following issues in relation to root causes in humanitarian crises:</w:t>
      </w:r>
    </w:p>
    <w:p w14:paraId="69A3D8B8" w14:textId="77777777" w:rsidR="0038532D" w:rsidRPr="00234FBC" w:rsidRDefault="0038532D" w:rsidP="00234FBC">
      <w:pPr>
        <w:pStyle w:val="ListParagraph"/>
        <w:numPr>
          <w:ilvl w:val="1"/>
          <w:numId w:val="24"/>
        </w:numPr>
        <w:ind w:left="709"/>
        <w:jc w:val="both"/>
        <w:rPr>
          <w:rFonts w:ascii="Arial" w:eastAsia="Arial" w:hAnsi="Arial" w:cs="Arial"/>
          <w:color w:val="auto"/>
          <w:sz w:val="18"/>
          <w:szCs w:val="18"/>
        </w:rPr>
      </w:pPr>
      <w:r w:rsidRPr="00234FBC">
        <w:rPr>
          <w:rFonts w:ascii="Arial" w:eastAsia="Arial" w:hAnsi="Arial" w:cs="Arial"/>
          <w:color w:val="auto"/>
          <w:sz w:val="18"/>
          <w:szCs w:val="18"/>
        </w:rPr>
        <w:t>During and after humanitarian crises, pre-existing patterns of violence and trafficking and pre-existing trafficking routes are exacerbated. New trafficking risks emerge during humanitarian crises.</w:t>
      </w:r>
    </w:p>
    <w:p w14:paraId="4DBDFE75" w14:textId="77777777" w:rsidR="0038532D" w:rsidRPr="00234FBC" w:rsidRDefault="0038532D" w:rsidP="00234FBC">
      <w:pPr>
        <w:pStyle w:val="ListParagraph"/>
        <w:numPr>
          <w:ilvl w:val="1"/>
          <w:numId w:val="24"/>
        </w:numPr>
        <w:ind w:left="709"/>
        <w:jc w:val="both"/>
        <w:rPr>
          <w:rFonts w:ascii="Arial" w:eastAsia="Arial" w:hAnsi="Arial" w:cs="Arial"/>
          <w:color w:val="auto"/>
          <w:sz w:val="18"/>
          <w:szCs w:val="18"/>
        </w:rPr>
      </w:pPr>
      <w:r w:rsidRPr="00234FBC">
        <w:rPr>
          <w:rFonts w:ascii="Arial" w:eastAsia="Arial" w:hAnsi="Arial" w:cs="Arial"/>
          <w:color w:val="auto"/>
          <w:sz w:val="18"/>
          <w:szCs w:val="18"/>
        </w:rPr>
        <w:t xml:space="preserve">Children and young girls are more likely to be targets of trafficking syndicates that offer employment or education opportunities. </w:t>
      </w:r>
    </w:p>
    <w:p w14:paraId="0CD7B2C3" w14:textId="77777777" w:rsidR="0038532D" w:rsidRPr="00234FBC" w:rsidRDefault="0038532D" w:rsidP="00234FBC">
      <w:pPr>
        <w:pStyle w:val="ListParagraph"/>
        <w:numPr>
          <w:ilvl w:val="1"/>
          <w:numId w:val="24"/>
        </w:numPr>
        <w:ind w:left="709"/>
        <w:jc w:val="both"/>
        <w:rPr>
          <w:rFonts w:ascii="Arial" w:eastAsia="Arial" w:hAnsi="Arial" w:cs="Arial"/>
          <w:color w:val="auto"/>
          <w:sz w:val="18"/>
          <w:szCs w:val="18"/>
        </w:rPr>
      </w:pPr>
      <w:r w:rsidRPr="00234FBC">
        <w:rPr>
          <w:rFonts w:ascii="Arial" w:eastAsia="Arial" w:hAnsi="Arial" w:cs="Arial"/>
          <w:color w:val="auto"/>
          <w:sz w:val="18"/>
          <w:szCs w:val="18"/>
        </w:rPr>
        <w:t xml:space="preserve">In cases where girls have been working prior to a humanitarian crisis, and lose their employment due to the crisis, the pressure to continue providing financial support to their families may lead to an increased risk of trafficking. </w:t>
      </w:r>
    </w:p>
    <w:p w14:paraId="49F197AA" w14:textId="77777777" w:rsidR="0038532D" w:rsidRPr="00234FBC" w:rsidRDefault="0038532D" w:rsidP="00234FBC">
      <w:pPr>
        <w:pStyle w:val="ListParagraph"/>
        <w:numPr>
          <w:ilvl w:val="0"/>
          <w:numId w:val="24"/>
        </w:numPr>
        <w:ind w:left="284"/>
        <w:jc w:val="both"/>
        <w:rPr>
          <w:rFonts w:ascii="Arial" w:hAnsi="Arial" w:cs="Arial"/>
          <w:color w:val="auto"/>
          <w:sz w:val="18"/>
          <w:szCs w:val="18"/>
        </w:rPr>
      </w:pPr>
      <w:r w:rsidRPr="00234FBC">
        <w:rPr>
          <w:rFonts w:ascii="Arial" w:eastAsia="Arial" w:hAnsi="Arial" w:cs="Arial"/>
          <w:b/>
          <w:bCs/>
          <w:color w:val="auto"/>
          <w:sz w:val="18"/>
          <w:szCs w:val="18"/>
        </w:rPr>
        <w:t>Paragraph 20:</w:t>
      </w:r>
      <w:r w:rsidRPr="00234FBC">
        <w:rPr>
          <w:rFonts w:ascii="Arial" w:eastAsia="Arial" w:hAnsi="Arial" w:cs="Arial"/>
          <w:color w:val="auto"/>
          <w:sz w:val="18"/>
          <w:szCs w:val="18"/>
        </w:rPr>
        <w:t xml:space="preserve"> “Trafficking in women is rooted in gender-based discrimination, gender-based structural inequality and the feminisation of poverty </w:t>
      </w:r>
      <w:r w:rsidRPr="003C3BD8">
        <w:rPr>
          <w:rFonts w:ascii="Arial" w:eastAsia="Arial" w:hAnsi="Arial" w:cs="Arial"/>
          <w:color w:val="FF0000"/>
          <w:sz w:val="18"/>
          <w:szCs w:val="18"/>
        </w:rPr>
        <w:t xml:space="preserve">and </w:t>
      </w:r>
      <w:r w:rsidRPr="00234FBC">
        <w:rPr>
          <w:rFonts w:ascii="Arial" w:eastAsia="Arial" w:hAnsi="Arial" w:cs="Arial"/>
          <w:color w:val="auto"/>
          <w:sz w:val="18"/>
          <w:szCs w:val="18"/>
        </w:rPr>
        <w:t xml:space="preserve">compounded by growing global inequalities and the demand for cheap and/or forced labour, including the demand for sexual exploitation. </w:t>
      </w:r>
      <w:r w:rsidRPr="003C3BD8">
        <w:rPr>
          <w:rFonts w:ascii="Arial" w:eastAsia="Arial" w:hAnsi="Arial" w:cs="Arial"/>
          <w:color w:val="FF0000"/>
          <w:sz w:val="18"/>
          <w:szCs w:val="18"/>
        </w:rPr>
        <w:t>In respect to trafficking in girls there is an added layer of age-based discrimination. The lack of recognition of children as rights holders and the demand for child labour are essential drivers.</w:t>
      </w:r>
      <w:r w:rsidRPr="00234FBC">
        <w:rPr>
          <w:rStyle w:val="FootnoteReference"/>
          <w:rFonts w:ascii="Arial" w:eastAsia="Arial" w:hAnsi="Arial" w:cs="Arial"/>
          <w:color w:val="auto"/>
          <w:sz w:val="18"/>
          <w:szCs w:val="18"/>
        </w:rPr>
        <w:footnoteReference w:id="2"/>
      </w:r>
      <w:r w:rsidRPr="00234FBC">
        <w:rPr>
          <w:rFonts w:ascii="Arial" w:eastAsia="Arial" w:hAnsi="Arial" w:cs="Arial"/>
          <w:color w:val="auto"/>
          <w:sz w:val="18"/>
          <w:szCs w:val="18"/>
        </w:rPr>
        <w:t xml:space="preserve"> Women and girls continue to be the prime targets of traffickers, especially for the purpose of sexual exploitation, due to pervasive and persistent gender </w:t>
      </w:r>
      <w:r w:rsidRPr="003C3BD8">
        <w:rPr>
          <w:rFonts w:ascii="Arial" w:eastAsia="Arial" w:hAnsi="Arial" w:cs="Arial"/>
          <w:color w:val="FF0000"/>
          <w:sz w:val="18"/>
          <w:szCs w:val="18"/>
        </w:rPr>
        <w:t xml:space="preserve">and age inequalities </w:t>
      </w:r>
      <w:r w:rsidRPr="00234FBC">
        <w:rPr>
          <w:rFonts w:ascii="Arial" w:eastAsia="Arial" w:hAnsi="Arial" w:cs="Arial"/>
          <w:color w:val="auto"/>
          <w:sz w:val="18"/>
          <w:szCs w:val="18"/>
        </w:rPr>
        <w:t>resulting in an economic, social, and legal status that is lower in comparison than that which is enjoyed by men and boys.”</w:t>
      </w:r>
    </w:p>
    <w:p w14:paraId="545430C5" w14:textId="77777777"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bCs/>
          <w:color w:val="auto"/>
          <w:sz w:val="18"/>
          <w:szCs w:val="18"/>
        </w:rPr>
        <w:t xml:space="preserve">Paragraph 26: </w:t>
      </w:r>
      <w:r w:rsidRPr="00234FBC">
        <w:rPr>
          <w:rFonts w:ascii="Arial" w:eastAsia="Arial" w:hAnsi="Arial" w:cs="Arial"/>
          <w:color w:val="auto"/>
          <w:sz w:val="18"/>
          <w:szCs w:val="18"/>
        </w:rPr>
        <w:t xml:space="preserve">“Address the root causes of trafficking by: a) Identifying and ensuring equal rights and opportunities for </w:t>
      </w:r>
      <w:r w:rsidRPr="003C3BD8">
        <w:rPr>
          <w:rFonts w:ascii="Arial" w:eastAsia="Arial" w:hAnsi="Arial" w:cs="Arial"/>
          <w:color w:val="FF0000"/>
          <w:sz w:val="18"/>
          <w:szCs w:val="18"/>
        </w:rPr>
        <w:t xml:space="preserve">all </w:t>
      </w:r>
      <w:r w:rsidRPr="00234FBC">
        <w:rPr>
          <w:rFonts w:ascii="Arial" w:eastAsia="Arial" w:hAnsi="Arial" w:cs="Arial"/>
          <w:color w:val="auto"/>
          <w:sz w:val="18"/>
          <w:szCs w:val="18"/>
        </w:rPr>
        <w:t xml:space="preserve">women </w:t>
      </w:r>
      <w:r w:rsidRPr="003C3BD8">
        <w:rPr>
          <w:rFonts w:ascii="Arial" w:eastAsia="Arial" w:hAnsi="Arial" w:cs="Arial"/>
          <w:color w:val="FF0000"/>
          <w:sz w:val="18"/>
          <w:szCs w:val="18"/>
        </w:rPr>
        <w:t xml:space="preserve">and girls, in particular those </w:t>
      </w:r>
      <w:r w:rsidRPr="00234FBC">
        <w:rPr>
          <w:rFonts w:ascii="Arial" w:eastAsia="Arial" w:hAnsi="Arial" w:cs="Arial"/>
          <w:color w:val="auto"/>
          <w:sz w:val="18"/>
          <w:szCs w:val="18"/>
        </w:rPr>
        <w:t xml:space="preserve">facing multiple forms of discrimination; b) Providing women and girls in situations of disadvantage with access to basic services, including </w:t>
      </w:r>
      <w:r w:rsidRPr="003C3BD8">
        <w:rPr>
          <w:rFonts w:ascii="Arial" w:eastAsia="Arial" w:hAnsi="Arial" w:cs="Arial"/>
          <w:color w:val="FF0000"/>
          <w:sz w:val="18"/>
          <w:szCs w:val="18"/>
        </w:rPr>
        <w:t>birth registration</w:t>
      </w:r>
      <w:r w:rsidRPr="00234FBC">
        <w:rPr>
          <w:rFonts w:ascii="Arial" w:eastAsia="Arial" w:hAnsi="Arial" w:cs="Arial"/>
          <w:color w:val="auto"/>
          <w:sz w:val="18"/>
          <w:szCs w:val="18"/>
        </w:rPr>
        <w:t xml:space="preserve">, education, information, health care, </w:t>
      </w:r>
      <w:r w:rsidRPr="003C3BD8">
        <w:rPr>
          <w:rFonts w:ascii="Arial" w:eastAsia="Arial" w:hAnsi="Arial" w:cs="Arial"/>
          <w:color w:val="FF0000"/>
          <w:sz w:val="18"/>
          <w:szCs w:val="18"/>
        </w:rPr>
        <w:t>social protection</w:t>
      </w:r>
      <w:r w:rsidRPr="00234FBC">
        <w:rPr>
          <w:rFonts w:ascii="Arial" w:eastAsia="Arial" w:hAnsi="Arial" w:cs="Arial"/>
          <w:color w:val="auto"/>
          <w:sz w:val="18"/>
          <w:szCs w:val="18"/>
        </w:rPr>
        <w:t xml:space="preserve">,  and employment opportunities; c) Enhancing access </w:t>
      </w:r>
      <w:r w:rsidRPr="003C3BD8">
        <w:rPr>
          <w:rFonts w:ascii="Arial" w:eastAsia="Arial" w:hAnsi="Arial" w:cs="Arial"/>
          <w:color w:val="FF0000"/>
          <w:sz w:val="18"/>
          <w:szCs w:val="18"/>
        </w:rPr>
        <w:t>for women and girls</w:t>
      </w:r>
      <w:r w:rsidRPr="00234FBC">
        <w:rPr>
          <w:rFonts w:ascii="Arial" w:eastAsia="Arial" w:hAnsi="Arial" w:cs="Arial"/>
          <w:color w:val="auto"/>
          <w:sz w:val="18"/>
          <w:szCs w:val="18"/>
        </w:rPr>
        <w:t xml:space="preserve"> to political </w:t>
      </w:r>
      <w:r w:rsidRPr="003C3BD8">
        <w:rPr>
          <w:rFonts w:ascii="Arial" w:eastAsia="Arial" w:hAnsi="Arial" w:cs="Arial"/>
          <w:color w:val="FF0000"/>
          <w:sz w:val="18"/>
          <w:szCs w:val="18"/>
        </w:rPr>
        <w:t>institutions and their participation in political decision-making</w:t>
      </w:r>
      <w:r w:rsidRPr="00234FBC">
        <w:rPr>
          <w:rFonts w:ascii="Arial" w:eastAsia="Arial" w:hAnsi="Arial" w:cs="Arial"/>
          <w:color w:val="auto"/>
          <w:sz w:val="18"/>
          <w:szCs w:val="18"/>
        </w:rPr>
        <w:t xml:space="preserve">, d) </w:t>
      </w:r>
      <w:r w:rsidRPr="003C3BD8">
        <w:rPr>
          <w:rFonts w:ascii="Arial" w:eastAsia="Arial" w:hAnsi="Arial" w:cs="Arial"/>
          <w:color w:val="FF0000"/>
          <w:sz w:val="18"/>
          <w:szCs w:val="18"/>
        </w:rPr>
        <w:t>Supporting the economic empowerment of women and girls, including through access to vocational training,</w:t>
      </w:r>
      <w:r w:rsidRPr="00234FBC">
        <w:rPr>
          <w:rFonts w:ascii="Arial" w:eastAsia="Arial" w:hAnsi="Arial" w:cs="Arial"/>
          <w:color w:val="auto"/>
          <w:sz w:val="18"/>
          <w:szCs w:val="18"/>
        </w:rPr>
        <w:t xml:space="preserve"> credit, land, and the modern tools and inputs required for its efficient cultivation; </w:t>
      </w:r>
      <w:r w:rsidRPr="003C3BD8">
        <w:rPr>
          <w:rFonts w:ascii="Arial" w:eastAsia="Arial" w:hAnsi="Arial" w:cs="Arial"/>
          <w:color w:val="FF0000"/>
          <w:sz w:val="18"/>
          <w:szCs w:val="18"/>
        </w:rPr>
        <w:t>e) Guaranteeing the right of girls to be heard, particularly in the context of international migration</w:t>
      </w:r>
      <w:r w:rsidRPr="00234FBC">
        <w:rPr>
          <w:rFonts w:ascii="Arial" w:eastAsia="Arial" w:hAnsi="Arial" w:cs="Arial"/>
          <w:color w:val="auto"/>
          <w:sz w:val="18"/>
          <w:szCs w:val="18"/>
        </w:rPr>
        <w:t>;”</w:t>
      </w:r>
      <w:r w:rsidRPr="00234FBC">
        <w:rPr>
          <w:rStyle w:val="FootnoteReference"/>
          <w:rFonts w:ascii="Arial" w:eastAsia="Arial" w:hAnsi="Arial" w:cs="Arial"/>
          <w:color w:val="auto"/>
          <w:sz w:val="18"/>
          <w:szCs w:val="18"/>
        </w:rPr>
        <w:footnoteReference w:id="3"/>
      </w:r>
      <w:r w:rsidRPr="00234FBC">
        <w:rPr>
          <w:rFonts w:ascii="Arial" w:eastAsia="Arial" w:hAnsi="Arial" w:cs="Arial"/>
          <w:color w:val="auto"/>
          <w:sz w:val="18"/>
          <w:szCs w:val="18"/>
        </w:rPr>
        <w:t xml:space="preserve"> </w:t>
      </w:r>
    </w:p>
    <w:p w14:paraId="3CDFD181" w14:textId="3B6C233D"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bCs/>
          <w:color w:val="auto"/>
          <w:sz w:val="18"/>
          <w:szCs w:val="18"/>
        </w:rPr>
        <w:t>Paragraph 29(g): “</w:t>
      </w:r>
      <w:r w:rsidRPr="00234FBC">
        <w:rPr>
          <w:rFonts w:ascii="Arial" w:eastAsia="Arial" w:hAnsi="Arial" w:cs="Arial"/>
          <w:color w:val="auto"/>
          <w:sz w:val="18"/>
          <w:szCs w:val="18"/>
        </w:rPr>
        <w:t xml:space="preserve">Establishes, on an equal basis for </w:t>
      </w:r>
      <w:r w:rsidRPr="007E0A2F">
        <w:rPr>
          <w:rFonts w:ascii="Arial" w:eastAsia="Arial" w:hAnsi="Arial" w:cs="Arial"/>
          <w:color w:val="FF0000"/>
          <w:sz w:val="18"/>
          <w:szCs w:val="18"/>
        </w:rPr>
        <w:t xml:space="preserve">migrant </w:t>
      </w:r>
      <w:r w:rsidRPr="00234FBC">
        <w:rPr>
          <w:rFonts w:ascii="Arial" w:eastAsia="Arial" w:hAnsi="Arial" w:cs="Arial"/>
          <w:color w:val="auto"/>
          <w:sz w:val="18"/>
          <w:szCs w:val="18"/>
        </w:rPr>
        <w:t xml:space="preserve">women </w:t>
      </w:r>
      <w:r w:rsidRPr="007E0A2F">
        <w:rPr>
          <w:rFonts w:ascii="Arial" w:eastAsia="Arial" w:hAnsi="Arial" w:cs="Arial"/>
          <w:color w:val="FF0000"/>
          <w:sz w:val="18"/>
          <w:szCs w:val="18"/>
        </w:rPr>
        <w:t>and girls</w:t>
      </w:r>
      <w:r w:rsidR="007E0A2F" w:rsidRPr="007E0A2F">
        <w:rPr>
          <w:rFonts w:ascii="Arial" w:eastAsia="Arial" w:hAnsi="Arial" w:cs="Arial"/>
          <w:color w:val="FF0000"/>
          <w:sz w:val="18"/>
          <w:szCs w:val="18"/>
        </w:rPr>
        <w:t>,</w:t>
      </w:r>
      <w:r w:rsidRPr="007E0A2F">
        <w:rPr>
          <w:rFonts w:ascii="Arial" w:eastAsia="Arial" w:hAnsi="Arial" w:cs="Arial"/>
          <w:color w:val="FF0000"/>
          <w:sz w:val="18"/>
          <w:szCs w:val="18"/>
        </w:rPr>
        <w:t xml:space="preserve"> including migrants in an irregular situation, </w:t>
      </w:r>
      <w:r w:rsidRPr="00234FBC">
        <w:rPr>
          <w:rFonts w:ascii="Arial" w:eastAsia="Arial" w:hAnsi="Arial" w:cs="Arial"/>
          <w:color w:val="auto"/>
          <w:sz w:val="18"/>
          <w:szCs w:val="18"/>
        </w:rPr>
        <w:t xml:space="preserve">facilitated access to </w:t>
      </w:r>
      <w:r w:rsidRPr="007E0A2F">
        <w:rPr>
          <w:rFonts w:ascii="Arial" w:eastAsia="Arial" w:hAnsi="Arial" w:cs="Arial"/>
          <w:color w:val="FF0000"/>
          <w:sz w:val="18"/>
          <w:szCs w:val="18"/>
        </w:rPr>
        <w:t xml:space="preserve">age- and gender-sensitive complaints and </w:t>
      </w:r>
      <w:r w:rsidRPr="00234FBC">
        <w:rPr>
          <w:rFonts w:ascii="Arial" w:eastAsia="Arial" w:hAnsi="Arial" w:cs="Arial"/>
          <w:color w:val="auto"/>
          <w:sz w:val="18"/>
          <w:szCs w:val="18"/>
        </w:rPr>
        <w:t>justice mechanisms to resolve complaints of exploitation and abuse</w:t>
      </w:r>
      <w:r w:rsidRPr="007E0A2F">
        <w:rPr>
          <w:rFonts w:ascii="Arial" w:eastAsia="Arial" w:hAnsi="Arial" w:cs="Arial"/>
          <w:color w:val="FF0000"/>
          <w:sz w:val="18"/>
          <w:szCs w:val="18"/>
        </w:rPr>
        <w:t>, in a language they understand</w:t>
      </w:r>
      <w:r w:rsidRPr="00234FBC">
        <w:rPr>
          <w:rFonts w:ascii="Arial" w:eastAsia="Arial" w:hAnsi="Arial" w:cs="Arial"/>
          <w:color w:val="auto"/>
          <w:sz w:val="18"/>
          <w:szCs w:val="18"/>
        </w:rPr>
        <w:t>;”</w:t>
      </w:r>
    </w:p>
    <w:p w14:paraId="717516D4" w14:textId="77777777" w:rsidR="0038532D" w:rsidRPr="00234FBC" w:rsidRDefault="0038532D" w:rsidP="00234FBC">
      <w:pPr>
        <w:pStyle w:val="ListParagraph"/>
        <w:numPr>
          <w:ilvl w:val="0"/>
          <w:numId w:val="24"/>
        </w:numPr>
        <w:ind w:left="284"/>
        <w:jc w:val="both"/>
        <w:rPr>
          <w:rFonts w:ascii="Arial" w:eastAsia="Arial" w:hAnsi="Arial" w:cs="Arial"/>
          <w:b/>
          <w:bCs/>
          <w:color w:val="auto"/>
          <w:sz w:val="18"/>
          <w:szCs w:val="18"/>
        </w:rPr>
      </w:pPr>
      <w:r w:rsidRPr="00234FBC">
        <w:rPr>
          <w:rFonts w:ascii="Arial" w:eastAsia="Arial" w:hAnsi="Arial" w:cs="Arial"/>
          <w:b/>
          <w:bCs/>
          <w:color w:val="auto"/>
          <w:sz w:val="18"/>
          <w:szCs w:val="18"/>
        </w:rPr>
        <w:t>Paragraph 33: “</w:t>
      </w:r>
      <w:r w:rsidRPr="00234FBC">
        <w:rPr>
          <w:rFonts w:ascii="Arial" w:eastAsia="Arial" w:hAnsi="Arial" w:cs="Arial"/>
          <w:color w:val="auto"/>
          <w:sz w:val="18"/>
          <w:szCs w:val="18"/>
        </w:rPr>
        <w:t xml:space="preserve">Armed conflict is one of the most </w:t>
      </w:r>
      <w:r w:rsidRPr="007E0A2F">
        <w:rPr>
          <w:rFonts w:ascii="Arial" w:eastAsia="Arial" w:hAnsi="Arial" w:cs="Arial"/>
          <w:color w:val="FF0000"/>
          <w:sz w:val="18"/>
          <w:szCs w:val="18"/>
        </w:rPr>
        <w:t xml:space="preserve">significant </w:t>
      </w:r>
      <w:r w:rsidRPr="00234FBC">
        <w:rPr>
          <w:rFonts w:ascii="Arial" w:eastAsia="Arial" w:hAnsi="Arial" w:cs="Arial"/>
          <w:color w:val="auto"/>
          <w:sz w:val="18"/>
          <w:szCs w:val="18"/>
        </w:rPr>
        <w:t>drivers of global displacement</w:t>
      </w:r>
      <w:r w:rsidRPr="007E0A2F">
        <w:rPr>
          <w:rFonts w:ascii="Arial" w:eastAsia="Arial" w:hAnsi="Arial" w:cs="Arial"/>
          <w:color w:val="FF0000"/>
          <w:sz w:val="18"/>
          <w:szCs w:val="18"/>
        </w:rPr>
        <w:t xml:space="preserve">. </w:t>
      </w:r>
      <w:r w:rsidRPr="00435D20">
        <w:rPr>
          <w:rFonts w:ascii="Arial" w:eastAsia="Arial" w:hAnsi="Arial" w:cs="Arial"/>
          <w:color w:val="FF0000"/>
          <w:sz w:val="18"/>
          <w:szCs w:val="18"/>
        </w:rPr>
        <w:t xml:space="preserve">Trafficking </w:t>
      </w:r>
      <w:r w:rsidRPr="00234FBC">
        <w:rPr>
          <w:rFonts w:ascii="Arial" w:eastAsia="Arial" w:hAnsi="Arial" w:cs="Arial"/>
          <w:color w:val="auto"/>
          <w:sz w:val="18"/>
          <w:szCs w:val="18"/>
        </w:rPr>
        <w:t>in women and girls for the purposes of sexual or other forms of exploitation and violence is both a human rights violation and a threat to international peace and security. In its general recommendation No. 35 (2017) on gender-based violence against women, updating general recommendation No. 19, the Committee recognized that gender-</w:t>
      </w:r>
      <w:r w:rsidRPr="00234FBC">
        <w:rPr>
          <w:rFonts w:ascii="Arial" w:eastAsia="Arial" w:hAnsi="Arial" w:cs="Arial"/>
          <w:color w:val="auto"/>
          <w:sz w:val="18"/>
          <w:szCs w:val="18"/>
        </w:rPr>
        <w:lastRenderedPageBreak/>
        <w:t xml:space="preserve">based violence </w:t>
      </w:r>
      <w:r w:rsidRPr="00435D20">
        <w:rPr>
          <w:rFonts w:ascii="Arial" w:eastAsia="Arial" w:hAnsi="Arial" w:cs="Arial"/>
          <w:color w:val="FF0000"/>
          <w:sz w:val="18"/>
          <w:szCs w:val="18"/>
        </w:rPr>
        <w:t xml:space="preserve">affects </w:t>
      </w:r>
      <w:r w:rsidRPr="00234FBC">
        <w:rPr>
          <w:rFonts w:ascii="Arial" w:eastAsia="Arial" w:hAnsi="Arial" w:cs="Arial"/>
          <w:color w:val="auto"/>
          <w:sz w:val="18"/>
          <w:szCs w:val="18"/>
        </w:rPr>
        <w:t xml:space="preserve">women </w:t>
      </w:r>
      <w:r w:rsidRPr="00435D20">
        <w:rPr>
          <w:rFonts w:ascii="Arial" w:eastAsia="Arial" w:hAnsi="Arial" w:cs="Arial"/>
          <w:color w:val="FF0000"/>
          <w:sz w:val="18"/>
          <w:szCs w:val="18"/>
        </w:rPr>
        <w:t xml:space="preserve">and girls throughout their life cycle and </w:t>
      </w:r>
      <w:r w:rsidRPr="00234FBC">
        <w:rPr>
          <w:rFonts w:ascii="Arial" w:eastAsia="Arial" w:hAnsi="Arial" w:cs="Arial"/>
          <w:color w:val="auto"/>
          <w:sz w:val="18"/>
          <w:szCs w:val="18"/>
        </w:rPr>
        <w:t>is affected and often exacerbated in the contexts of displacement, migration, the increased globalization of economic activities, including global supply chains, the extractive and offshore industry, militarization, foreign occupation, armed conflict, violent extremism and terrorism.”</w:t>
      </w:r>
    </w:p>
    <w:p w14:paraId="466058F5" w14:textId="77777777" w:rsidR="00E4079E" w:rsidRPr="00E4079E" w:rsidRDefault="0038532D" w:rsidP="00E4079E">
      <w:pPr>
        <w:pStyle w:val="ListParagraph"/>
        <w:numPr>
          <w:ilvl w:val="0"/>
          <w:numId w:val="24"/>
        </w:numPr>
        <w:ind w:left="284"/>
        <w:jc w:val="both"/>
        <w:rPr>
          <w:rFonts w:ascii="Arial" w:eastAsia="Arial" w:hAnsi="Arial" w:cs="Arial"/>
          <w:b/>
          <w:bCs/>
          <w:color w:val="auto"/>
          <w:sz w:val="18"/>
          <w:szCs w:val="18"/>
        </w:rPr>
      </w:pPr>
      <w:r w:rsidRPr="00234FBC">
        <w:rPr>
          <w:rFonts w:ascii="Arial" w:eastAsia="Arial" w:hAnsi="Arial" w:cs="Arial"/>
          <w:b/>
          <w:bCs/>
          <w:color w:val="auto"/>
          <w:sz w:val="18"/>
          <w:szCs w:val="18"/>
        </w:rPr>
        <w:t>Paragraph 35:</w:t>
      </w:r>
      <w:r w:rsidRPr="00234FBC">
        <w:rPr>
          <w:rFonts w:ascii="Arial" w:eastAsia="Arial" w:hAnsi="Arial" w:cs="Arial"/>
          <w:color w:val="auto"/>
          <w:sz w:val="18"/>
          <w:szCs w:val="18"/>
        </w:rPr>
        <w:t xml:space="preserve"> </w:t>
      </w:r>
      <w:r w:rsidRPr="00234FBC">
        <w:rPr>
          <w:rFonts w:ascii="Arial" w:eastAsia="Times New Roman" w:hAnsi="Arial" w:cs="Arial"/>
          <w:color w:val="auto"/>
          <w:sz w:val="18"/>
          <w:szCs w:val="18"/>
        </w:rPr>
        <w:t>Add the following sentence at the end of the existing paragraph:</w:t>
      </w:r>
    </w:p>
    <w:p w14:paraId="0FA64E63" w14:textId="05781957" w:rsidR="0038532D" w:rsidRPr="00E4079E" w:rsidRDefault="0038532D" w:rsidP="00E4079E">
      <w:pPr>
        <w:pStyle w:val="ListParagraph"/>
        <w:numPr>
          <w:ilvl w:val="1"/>
          <w:numId w:val="24"/>
        </w:numPr>
        <w:ind w:left="709"/>
        <w:jc w:val="both"/>
        <w:rPr>
          <w:rFonts w:ascii="Arial" w:eastAsia="Arial" w:hAnsi="Arial" w:cs="Arial"/>
          <w:b/>
          <w:bCs/>
          <w:color w:val="auto"/>
          <w:sz w:val="18"/>
          <w:szCs w:val="18"/>
        </w:rPr>
      </w:pPr>
      <w:r w:rsidRPr="00435D20">
        <w:rPr>
          <w:rFonts w:ascii="Arial" w:eastAsia="Arial" w:hAnsi="Arial" w:cs="Arial"/>
          <w:color w:val="FF0000"/>
          <w:sz w:val="18"/>
          <w:szCs w:val="18"/>
        </w:rPr>
        <w:t>Girls who are unaccompanied or separated from their families or other support structures due to displacement may be particularly vulnerable to being trafficke</w:t>
      </w:r>
      <w:r w:rsidR="00435D20">
        <w:rPr>
          <w:rFonts w:ascii="Arial" w:eastAsia="Arial" w:hAnsi="Arial" w:cs="Arial"/>
          <w:color w:val="FF0000"/>
          <w:sz w:val="18"/>
          <w:szCs w:val="18"/>
        </w:rPr>
        <w:t>d.</w:t>
      </w:r>
      <w:r w:rsidRPr="00234FBC">
        <w:rPr>
          <w:rStyle w:val="FootnoteReference"/>
          <w:rFonts w:ascii="Arial" w:eastAsia="Arial" w:hAnsi="Arial" w:cs="Arial"/>
          <w:color w:val="auto"/>
          <w:sz w:val="18"/>
          <w:szCs w:val="18"/>
        </w:rPr>
        <w:footnoteReference w:id="4"/>
      </w:r>
    </w:p>
    <w:p w14:paraId="7A19E8CE" w14:textId="38CAF220"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color w:val="auto"/>
          <w:sz w:val="18"/>
          <w:szCs w:val="18"/>
        </w:rPr>
        <w:t xml:space="preserve">Paragraph 42: </w:t>
      </w:r>
      <w:r w:rsidR="00435D20">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w:t>
      </w:r>
    </w:p>
    <w:p w14:paraId="4F05138E" w14:textId="77777777" w:rsidR="0038532D" w:rsidRPr="00234FBC" w:rsidRDefault="0038532D" w:rsidP="00E4079E">
      <w:pPr>
        <w:pStyle w:val="ListParagraph"/>
        <w:numPr>
          <w:ilvl w:val="1"/>
          <w:numId w:val="24"/>
        </w:numPr>
        <w:ind w:left="709"/>
        <w:jc w:val="both"/>
        <w:rPr>
          <w:rFonts w:ascii="Arial" w:eastAsia="Arial" w:hAnsi="Arial" w:cs="Arial"/>
          <w:color w:val="auto"/>
          <w:sz w:val="18"/>
          <w:szCs w:val="18"/>
        </w:rPr>
      </w:pPr>
      <w:r w:rsidRPr="00435D20">
        <w:rPr>
          <w:rFonts w:ascii="Arial" w:hAnsi="Arial" w:cs="Arial"/>
          <w:color w:val="FF0000"/>
          <w:sz w:val="18"/>
          <w:szCs w:val="18"/>
        </w:rPr>
        <w:t>Revise legislation that discriminates against women and girls in respect to the acquisition, change, retention and conferment of nationality in order to prevent statelessness;</w:t>
      </w:r>
      <w:r w:rsidRPr="00234FBC">
        <w:rPr>
          <w:rStyle w:val="FootnoteReference"/>
          <w:rFonts w:ascii="Arial" w:hAnsi="Arial" w:cs="Arial"/>
          <w:color w:val="auto"/>
          <w:sz w:val="18"/>
          <w:szCs w:val="18"/>
        </w:rPr>
        <w:footnoteReference w:id="5"/>
      </w:r>
    </w:p>
    <w:p w14:paraId="10CC1E02" w14:textId="3BDEA5EA"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bCs/>
          <w:color w:val="auto"/>
          <w:sz w:val="18"/>
          <w:szCs w:val="18"/>
        </w:rPr>
        <w:t xml:space="preserve"> Paragraph 45:</w:t>
      </w:r>
      <w:r w:rsidRPr="00234FBC">
        <w:rPr>
          <w:rFonts w:ascii="Arial" w:eastAsia="Arial" w:hAnsi="Arial" w:cs="Arial"/>
          <w:color w:val="auto"/>
          <w:sz w:val="18"/>
          <w:szCs w:val="18"/>
        </w:rPr>
        <w:t xml:space="preserve"> </w:t>
      </w:r>
      <w:r w:rsidR="00435D20">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w:t>
      </w:r>
    </w:p>
    <w:p w14:paraId="01A7EA07" w14:textId="14146692" w:rsidR="0038532D" w:rsidRPr="00234FBC" w:rsidRDefault="0038532D" w:rsidP="00E4079E">
      <w:pPr>
        <w:pStyle w:val="ListParagraph"/>
        <w:numPr>
          <w:ilvl w:val="1"/>
          <w:numId w:val="24"/>
        </w:numPr>
        <w:ind w:left="709"/>
        <w:jc w:val="both"/>
        <w:rPr>
          <w:rFonts w:ascii="Arial" w:eastAsia="Arial" w:hAnsi="Arial" w:cs="Arial"/>
          <w:color w:val="auto"/>
          <w:sz w:val="18"/>
          <w:szCs w:val="18"/>
        </w:rPr>
      </w:pPr>
      <w:r w:rsidRPr="00435D20">
        <w:rPr>
          <w:rFonts w:ascii="Arial" w:eastAsia="Arial" w:hAnsi="Arial" w:cs="Arial"/>
          <w:color w:val="FF0000"/>
          <w:sz w:val="18"/>
          <w:szCs w:val="18"/>
        </w:rPr>
        <w:t>Determine age for girls through assessments that are child</w:t>
      </w:r>
      <w:r w:rsidR="00435D20">
        <w:rPr>
          <w:rFonts w:ascii="Arial" w:eastAsia="Arial" w:hAnsi="Arial" w:cs="Arial"/>
          <w:color w:val="FF0000"/>
          <w:sz w:val="18"/>
          <w:szCs w:val="18"/>
        </w:rPr>
        <w:t>-</w:t>
      </w:r>
      <w:r w:rsidRPr="00435D20">
        <w:rPr>
          <w:rFonts w:ascii="Arial" w:eastAsia="Arial" w:hAnsi="Arial" w:cs="Arial"/>
          <w:color w:val="FF0000"/>
          <w:sz w:val="18"/>
          <w:szCs w:val="18"/>
        </w:rPr>
        <w:t xml:space="preserve"> and gender-sensitive</w:t>
      </w:r>
      <w:r w:rsidR="00435D20">
        <w:rPr>
          <w:rFonts w:ascii="Arial" w:eastAsia="Arial" w:hAnsi="Arial" w:cs="Arial"/>
          <w:color w:val="FF0000"/>
          <w:sz w:val="18"/>
          <w:szCs w:val="18"/>
        </w:rPr>
        <w:t>,</w:t>
      </w:r>
      <w:r w:rsidRPr="00435D20">
        <w:rPr>
          <w:rFonts w:ascii="Arial" w:eastAsia="Arial" w:hAnsi="Arial" w:cs="Arial"/>
          <w:color w:val="FF0000"/>
          <w:sz w:val="18"/>
          <w:szCs w:val="18"/>
        </w:rPr>
        <w:t xml:space="preserve"> culturally appropriate, and which do not rely on potentially inaccurate medical methods such as bone and dental exam analysis;</w:t>
      </w:r>
      <w:r w:rsidRPr="00234FBC">
        <w:rPr>
          <w:rStyle w:val="FootnoteReference"/>
          <w:rFonts w:ascii="Arial" w:eastAsia="Arial" w:hAnsi="Arial" w:cs="Arial"/>
          <w:color w:val="auto"/>
          <w:sz w:val="18"/>
          <w:szCs w:val="18"/>
        </w:rPr>
        <w:footnoteReference w:id="6"/>
      </w:r>
    </w:p>
    <w:p w14:paraId="21C9C3F8" w14:textId="3FB6F9DB"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bCs/>
          <w:color w:val="auto"/>
          <w:sz w:val="18"/>
          <w:szCs w:val="18"/>
        </w:rPr>
        <w:t>Paragraph 50:</w:t>
      </w:r>
      <w:r w:rsidRPr="00234FBC">
        <w:rPr>
          <w:rFonts w:ascii="Arial" w:eastAsia="Arial" w:hAnsi="Arial" w:cs="Arial"/>
          <w:color w:val="auto"/>
          <w:sz w:val="18"/>
          <w:szCs w:val="18"/>
        </w:rPr>
        <w:t xml:space="preserve"> Add language recognising the specific risk for girls of being trafficked for </w:t>
      </w:r>
      <w:r w:rsidR="009E3393">
        <w:rPr>
          <w:rFonts w:ascii="Arial" w:eastAsia="Arial" w:hAnsi="Arial" w:cs="Arial"/>
          <w:color w:val="auto"/>
          <w:sz w:val="18"/>
          <w:szCs w:val="18"/>
        </w:rPr>
        <w:t>child labour purposes</w:t>
      </w:r>
      <w:r w:rsidRPr="00234FBC">
        <w:rPr>
          <w:rFonts w:ascii="Arial" w:eastAsia="Arial" w:hAnsi="Arial" w:cs="Arial"/>
          <w:color w:val="auto"/>
          <w:sz w:val="18"/>
          <w:szCs w:val="18"/>
        </w:rPr>
        <w:t>.</w:t>
      </w:r>
    </w:p>
    <w:p w14:paraId="546FC820" w14:textId="4B6ED93F" w:rsidR="0038532D" w:rsidRPr="00234FBC" w:rsidRDefault="0038532D" w:rsidP="00234FBC">
      <w:pPr>
        <w:pStyle w:val="ListParagraph"/>
        <w:numPr>
          <w:ilvl w:val="0"/>
          <w:numId w:val="24"/>
        </w:numPr>
        <w:ind w:left="284"/>
        <w:jc w:val="both"/>
        <w:rPr>
          <w:rFonts w:ascii="Arial" w:hAnsi="Arial" w:cs="Arial"/>
          <w:color w:val="auto"/>
          <w:sz w:val="18"/>
          <w:szCs w:val="18"/>
        </w:rPr>
      </w:pPr>
      <w:r w:rsidRPr="00234FBC">
        <w:rPr>
          <w:rFonts w:ascii="Arial" w:eastAsia="Arial" w:hAnsi="Arial" w:cs="Arial"/>
          <w:b/>
          <w:bCs/>
          <w:color w:val="auto"/>
          <w:sz w:val="18"/>
          <w:szCs w:val="18"/>
        </w:rPr>
        <w:t>Paragraph 66:</w:t>
      </w:r>
      <w:r w:rsidRPr="00234FBC">
        <w:rPr>
          <w:rFonts w:ascii="Arial" w:eastAsia="Arial" w:hAnsi="Arial" w:cs="Arial"/>
          <w:color w:val="auto"/>
          <w:sz w:val="18"/>
          <w:szCs w:val="18"/>
        </w:rPr>
        <w:t xml:space="preserve"> </w:t>
      </w:r>
      <w:r w:rsidR="00E4079E">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recommendations:</w:t>
      </w:r>
    </w:p>
    <w:p w14:paraId="5F5D6075" w14:textId="35B3267C" w:rsidR="0038532D" w:rsidRPr="00435D20" w:rsidRDefault="0038532D" w:rsidP="00E4079E">
      <w:pPr>
        <w:pStyle w:val="ListParagraph"/>
        <w:numPr>
          <w:ilvl w:val="1"/>
          <w:numId w:val="24"/>
        </w:numPr>
        <w:ind w:left="709"/>
        <w:jc w:val="both"/>
        <w:rPr>
          <w:rFonts w:ascii="Arial" w:hAnsi="Arial" w:cs="Arial"/>
          <w:color w:val="FF0000"/>
          <w:sz w:val="18"/>
          <w:szCs w:val="18"/>
        </w:rPr>
      </w:pPr>
      <w:r w:rsidRPr="00435D20">
        <w:rPr>
          <w:rFonts w:ascii="Arial" w:eastAsia="Arial" w:hAnsi="Arial" w:cs="Arial"/>
          <w:color w:val="FF0000"/>
          <w:sz w:val="18"/>
          <w:szCs w:val="18"/>
        </w:rPr>
        <w:t xml:space="preserve">Build capacity of professionals to identify signs of trafficking including </w:t>
      </w:r>
      <w:r w:rsidR="00435D20">
        <w:rPr>
          <w:rFonts w:ascii="Arial" w:eastAsia="Arial" w:hAnsi="Arial" w:cs="Arial"/>
          <w:color w:val="FF0000"/>
          <w:sz w:val="18"/>
          <w:szCs w:val="18"/>
        </w:rPr>
        <w:t xml:space="preserve">trafficking that occurs </w:t>
      </w:r>
      <w:r w:rsidRPr="00435D20">
        <w:rPr>
          <w:rFonts w:ascii="Arial" w:eastAsia="Arial" w:hAnsi="Arial" w:cs="Arial"/>
          <w:color w:val="FF0000"/>
          <w:sz w:val="18"/>
          <w:szCs w:val="18"/>
        </w:rPr>
        <w:t>within families;</w:t>
      </w:r>
    </w:p>
    <w:p w14:paraId="1C4A4F28" w14:textId="77777777" w:rsidR="0038532D" w:rsidRPr="00435D20" w:rsidRDefault="0038532D" w:rsidP="00E4079E">
      <w:pPr>
        <w:pStyle w:val="ListParagraph"/>
        <w:numPr>
          <w:ilvl w:val="1"/>
          <w:numId w:val="24"/>
        </w:numPr>
        <w:ind w:left="709"/>
        <w:jc w:val="both"/>
        <w:rPr>
          <w:rFonts w:ascii="Arial" w:hAnsi="Arial" w:cs="Arial"/>
          <w:color w:val="FF0000"/>
          <w:sz w:val="18"/>
          <w:szCs w:val="18"/>
        </w:rPr>
      </w:pPr>
      <w:r w:rsidRPr="00435D20">
        <w:rPr>
          <w:rFonts w:ascii="Arial" w:eastAsia="Arial" w:hAnsi="Arial" w:cs="Arial"/>
          <w:color w:val="FF0000"/>
          <w:sz w:val="18"/>
          <w:szCs w:val="18"/>
        </w:rPr>
        <w:t xml:space="preserve">Ensure codes of conducts are developed with military, law enforcement, and border officials, and include the prohibition of involvement in trafficking or facilitating other worst forms of child labour;  </w:t>
      </w:r>
    </w:p>
    <w:p w14:paraId="69CB8586" w14:textId="5B5A165A" w:rsidR="0038532D" w:rsidRPr="00234FBC" w:rsidRDefault="0038532D" w:rsidP="00234FBC">
      <w:pPr>
        <w:pStyle w:val="ListParagraph"/>
        <w:numPr>
          <w:ilvl w:val="0"/>
          <w:numId w:val="24"/>
        </w:numPr>
        <w:ind w:left="284"/>
        <w:jc w:val="both"/>
        <w:rPr>
          <w:rFonts w:ascii="Arial" w:eastAsia="Arial" w:hAnsi="Arial" w:cs="Arial"/>
          <w:b/>
          <w:color w:val="auto"/>
          <w:sz w:val="18"/>
          <w:szCs w:val="18"/>
        </w:rPr>
      </w:pPr>
      <w:r w:rsidRPr="00234FBC">
        <w:rPr>
          <w:rFonts w:ascii="Arial" w:eastAsia="Arial" w:hAnsi="Arial" w:cs="Arial"/>
          <w:b/>
          <w:color w:val="auto"/>
          <w:sz w:val="18"/>
          <w:szCs w:val="18"/>
        </w:rPr>
        <w:t xml:space="preserve">Paragraph 67: </w:t>
      </w:r>
      <w:r w:rsidR="00E4079E">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w:t>
      </w:r>
    </w:p>
    <w:p w14:paraId="3FCE5745" w14:textId="01C85DE6" w:rsidR="0038532D" w:rsidRPr="00435D20" w:rsidRDefault="0038532D" w:rsidP="00E4079E">
      <w:pPr>
        <w:pStyle w:val="ListParagraph"/>
        <w:numPr>
          <w:ilvl w:val="1"/>
          <w:numId w:val="24"/>
        </w:numPr>
        <w:ind w:left="709"/>
        <w:jc w:val="both"/>
        <w:rPr>
          <w:rFonts w:ascii="Arial" w:hAnsi="Arial" w:cs="Arial"/>
          <w:color w:val="FF0000"/>
          <w:sz w:val="18"/>
          <w:szCs w:val="18"/>
        </w:rPr>
      </w:pPr>
      <w:r w:rsidRPr="00435D20">
        <w:rPr>
          <w:rFonts w:ascii="Arial" w:hAnsi="Arial" w:cs="Arial"/>
          <w:color w:val="FF0000"/>
          <w:sz w:val="18"/>
          <w:szCs w:val="18"/>
        </w:rPr>
        <w:t>Ensure that actions to prevent sexual exploitation and trafficking are included across all national strategi</w:t>
      </w:r>
      <w:r w:rsidR="00435D20" w:rsidRPr="00435D20">
        <w:rPr>
          <w:rFonts w:ascii="Arial" w:hAnsi="Arial" w:cs="Arial"/>
          <w:color w:val="FF0000"/>
          <w:sz w:val="18"/>
          <w:szCs w:val="18"/>
        </w:rPr>
        <w:t xml:space="preserve">es </w:t>
      </w:r>
      <w:r w:rsidRPr="00435D20">
        <w:rPr>
          <w:rFonts w:ascii="Arial" w:hAnsi="Arial" w:cs="Arial"/>
          <w:color w:val="FF0000"/>
          <w:sz w:val="18"/>
          <w:szCs w:val="18"/>
        </w:rPr>
        <w:t>and promote their inclusion across other sectors</w:t>
      </w:r>
      <w:r w:rsidR="00435D20" w:rsidRPr="00435D20">
        <w:rPr>
          <w:rFonts w:ascii="Arial" w:hAnsi="Arial" w:cs="Arial"/>
          <w:color w:val="FF0000"/>
          <w:sz w:val="18"/>
          <w:szCs w:val="18"/>
        </w:rPr>
        <w:t>, such as health and</w:t>
      </w:r>
      <w:r w:rsidRPr="00435D20">
        <w:rPr>
          <w:rFonts w:ascii="Arial" w:hAnsi="Arial" w:cs="Arial"/>
          <w:color w:val="FF0000"/>
          <w:sz w:val="18"/>
          <w:szCs w:val="18"/>
        </w:rPr>
        <w:t xml:space="preserve"> education</w:t>
      </w:r>
      <w:r w:rsidR="00435D20" w:rsidRPr="00435D20">
        <w:rPr>
          <w:rFonts w:ascii="Arial" w:hAnsi="Arial" w:cs="Arial"/>
          <w:color w:val="FF0000"/>
          <w:sz w:val="18"/>
          <w:szCs w:val="18"/>
        </w:rPr>
        <w:t>,</w:t>
      </w:r>
      <w:r w:rsidRPr="00435D20">
        <w:rPr>
          <w:rFonts w:ascii="Arial" w:hAnsi="Arial" w:cs="Arial"/>
          <w:color w:val="FF0000"/>
          <w:sz w:val="18"/>
          <w:szCs w:val="18"/>
        </w:rPr>
        <w:t xml:space="preserve"> among others;</w:t>
      </w:r>
    </w:p>
    <w:p w14:paraId="69F6D9FD" w14:textId="3CF6F729" w:rsidR="0038532D" w:rsidRPr="00234FBC" w:rsidRDefault="0038532D" w:rsidP="00234FBC">
      <w:pPr>
        <w:pStyle w:val="ListParagraph"/>
        <w:numPr>
          <w:ilvl w:val="0"/>
          <w:numId w:val="24"/>
        </w:numPr>
        <w:ind w:left="284"/>
        <w:jc w:val="both"/>
        <w:rPr>
          <w:rFonts w:ascii="Arial" w:eastAsia="Arial" w:hAnsi="Arial" w:cs="Arial"/>
          <w:b/>
          <w:color w:val="auto"/>
          <w:sz w:val="18"/>
          <w:szCs w:val="18"/>
        </w:rPr>
      </w:pPr>
      <w:r w:rsidRPr="00234FBC">
        <w:rPr>
          <w:rFonts w:ascii="Arial" w:eastAsia="Arial" w:hAnsi="Arial" w:cs="Arial"/>
          <w:b/>
          <w:color w:val="auto"/>
          <w:sz w:val="18"/>
          <w:szCs w:val="18"/>
        </w:rPr>
        <w:t xml:space="preserve">Paragraph 68(b): </w:t>
      </w:r>
      <w:r w:rsidR="009E3393">
        <w:rPr>
          <w:rFonts w:ascii="Arial" w:eastAsia="Arial" w:hAnsi="Arial" w:cs="Arial"/>
          <w:b/>
          <w:color w:val="auto"/>
          <w:sz w:val="18"/>
          <w:szCs w:val="18"/>
        </w:rPr>
        <w:t>“</w:t>
      </w:r>
      <w:r w:rsidRPr="00234FBC">
        <w:rPr>
          <w:rFonts w:ascii="Arial" w:eastAsia="Times New Roman" w:hAnsi="Arial" w:cs="Arial"/>
          <w:color w:val="auto"/>
          <w:sz w:val="18"/>
          <w:szCs w:val="18"/>
        </w:rPr>
        <w:t xml:space="preserve">Increase the early detection capacity and authority of law enforcement and border personnel, immigration and asylum authorities, labour inspectors, </w:t>
      </w:r>
      <w:r w:rsidR="009E3393">
        <w:rPr>
          <w:rFonts w:ascii="Arial" w:eastAsia="Times New Roman" w:hAnsi="Arial" w:cs="Arial"/>
          <w:color w:val="FF0000"/>
          <w:sz w:val="18"/>
          <w:szCs w:val="18"/>
        </w:rPr>
        <w:t xml:space="preserve">child protection authorities and </w:t>
      </w:r>
      <w:r w:rsidRPr="009E3393">
        <w:rPr>
          <w:rFonts w:ascii="Arial" w:eastAsia="Times New Roman" w:hAnsi="Arial" w:cs="Arial"/>
          <w:color w:val="FF0000"/>
          <w:sz w:val="18"/>
          <w:szCs w:val="18"/>
        </w:rPr>
        <w:t>professionals</w:t>
      </w:r>
      <w:r w:rsidRPr="00234FBC">
        <w:rPr>
          <w:rFonts w:ascii="Arial" w:eastAsia="Times New Roman" w:hAnsi="Arial" w:cs="Arial"/>
          <w:color w:val="auto"/>
          <w:sz w:val="18"/>
          <w:szCs w:val="18"/>
        </w:rPr>
        <w:t xml:space="preserve">, social workers and health-care professionals </w:t>
      </w:r>
      <w:r w:rsidR="009E3393">
        <w:rPr>
          <w:rFonts w:ascii="Arial" w:eastAsia="Times New Roman" w:hAnsi="Arial" w:cs="Arial"/>
          <w:color w:val="auto"/>
          <w:sz w:val="18"/>
          <w:szCs w:val="18"/>
        </w:rPr>
        <w:t>[…]</w:t>
      </w:r>
      <w:r w:rsidRPr="00234FBC">
        <w:rPr>
          <w:rFonts w:ascii="Arial" w:eastAsia="Times New Roman" w:hAnsi="Arial" w:cs="Arial"/>
          <w:color w:val="auto"/>
          <w:sz w:val="18"/>
          <w:szCs w:val="18"/>
        </w:rPr>
        <w:t>:</w:t>
      </w:r>
      <w:r w:rsidR="009E3393">
        <w:rPr>
          <w:rFonts w:ascii="Arial" w:eastAsia="Times New Roman" w:hAnsi="Arial" w:cs="Arial"/>
          <w:color w:val="auto"/>
          <w:sz w:val="18"/>
          <w:szCs w:val="18"/>
        </w:rPr>
        <w:t>”</w:t>
      </w:r>
    </w:p>
    <w:p w14:paraId="3E15BCA4" w14:textId="6A27DF5D"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color w:val="auto"/>
          <w:sz w:val="18"/>
          <w:szCs w:val="18"/>
        </w:rPr>
        <w:t>Paragraph 72:</w:t>
      </w:r>
      <w:r w:rsidR="00E4079E">
        <w:rPr>
          <w:rFonts w:ascii="Arial" w:eastAsia="Times New Roman" w:hAnsi="Arial" w:cs="Arial"/>
          <w:color w:val="auto"/>
          <w:sz w:val="18"/>
          <w:szCs w:val="18"/>
        </w:rPr>
        <w:t xml:space="preserve"> Include</w:t>
      </w:r>
      <w:r w:rsidRPr="00234FBC">
        <w:rPr>
          <w:rFonts w:ascii="Arial" w:eastAsia="Times New Roman" w:hAnsi="Arial" w:cs="Arial"/>
          <w:color w:val="auto"/>
          <w:sz w:val="18"/>
          <w:szCs w:val="18"/>
        </w:rPr>
        <w:t xml:space="preserve"> the following additional recommendations:</w:t>
      </w:r>
    </w:p>
    <w:p w14:paraId="62F2B179" w14:textId="1D77FE13" w:rsidR="0038532D" w:rsidRPr="00234FBC" w:rsidRDefault="0038532D" w:rsidP="00E4079E">
      <w:pPr>
        <w:pStyle w:val="ListParagraph"/>
        <w:numPr>
          <w:ilvl w:val="1"/>
          <w:numId w:val="24"/>
        </w:numPr>
        <w:ind w:left="709"/>
        <w:jc w:val="both"/>
        <w:rPr>
          <w:rFonts w:ascii="Arial" w:eastAsia="Arial" w:hAnsi="Arial" w:cs="Arial"/>
          <w:color w:val="auto"/>
          <w:sz w:val="18"/>
          <w:szCs w:val="18"/>
        </w:rPr>
      </w:pPr>
      <w:r w:rsidRPr="00435D20">
        <w:rPr>
          <w:rFonts w:ascii="Arial" w:eastAsia="Times New Roman" w:hAnsi="Arial" w:cs="Arial"/>
          <w:bCs/>
          <w:color w:val="FF0000"/>
          <w:sz w:val="18"/>
          <w:szCs w:val="18"/>
        </w:rPr>
        <w:t xml:space="preserve">Ensure that the principle of the best interests of the child </w:t>
      </w:r>
      <w:r w:rsidR="00435D20" w:rsidRPr="00435D20">
        <w:rPr>
          <w:rFonts w:ascii="Arial" w:eastAsia="Times New Roman" w:hAnsi="Arial" w:cs="Arial"/>
          <w:bCs/>
          <w:color w:val="FF0000"/>
          <w:sz w:val="18"/>
          <w:szCs w:val="18"/>
        </w:rPr>
        <w:t>is</w:t>
      </w:r>
      <w:r w:rsidRPr="00435D20">
        <w:rPr>
          <w:rFonts w:ascii="Arial" w:eastAsia="Times New Roman" w:hAnsi="Arial" w:cs="Arial"/>
          <w:bCs/>
          <w:color w:val="FF0000"/>
          <w:sz w:val="18"/>
          <w:szCs w:val="18"/>
        </w:rPr>
        <w:t xml:space="preserve"> a primary consideration for girls who are victims of trafficking and that their right to be heard is respected;</w:t>
      </w:r>
      <w:r w:rsidRPr="00234FBC">
        <w:rPr>
          <w:rStyle w:val="FootnoteReference"/>
          <w:rFonts w:ascii="Arial" w:eastAsia="Times New Roman" w:hAnsi="Arial" w:cs="Arial"/>
          <w:bCs/>
          <w:color w:val="auto"/>
          <w:sz w:val="18"/>
          <w:szCs w:val="18"/>
        </w:rPr>
        <w:footnoteReference w:id="7"/>
      </w:r>
    </w:p>
    <w:p w14:paraId="138F5D41" w14:textId="60CCA445" w:rsidR="0038532D" w:rsidRPr="00234FBC" w:rsidRDefault="0038532D" w:rsidP="00E4079E">
      <w:pPr>
        <w:pStyle w:val="ListParagraph"/>
        <w:numPr>
          <w:ilvl w:val="1"/>
          <w:numId w:val="24"/>
        </w:numPr>
        <w:ind w:left="709"/>
        <w:jc w:val="both"/>
        <w:rPr>
          <w:rFonts w:ascii="Arial" w:eastAsia="Arial" w:hAnsi="Arial" w:cs="Arial"/>
          <w:color w:val="auto"/>
          <w:sz w:val="18"/>
          <w:szCs w:val="18"/>
        </w:rPr>
      </w:pPr>
      <w:r w:rsidRPr="00435D20">
        <w:rPr>
          <w:rFonts w:ascii="Arial" w:eastAsia="Times New Roman" w:hAnsi="Arial" w:cs="Arial"/>
          <w:color w:val="FF0000"/>
          <w:sz w:val="18"/>
          <w:szCs w:val="18"/>
        </w:rPr>
        <w:t>Ensure that shelters have child-</w:t>
      </w:r>
      <w:r w:rsidR="00435D20" w:rsidRPr="00435D20">
        <w:rPr>
          <w:rFonts w:ascii="Arial" w:eastAsia="Times New Roman" w:hAnsi="Arial" w:cs="Arial"/>
          <w:color w:val="FF0000"/>
          <w:sz w:val="18"/>
          <w:szCs w:val="18"/>
        </w:rPr>
        <w:t xml:space="preserve">sensitive and child </w:t>
      </w:r>
      <w:r w:rsidRPr="00435D20">
        <w:rPr>
          <w:rFonts w:ascii="Arial" w:eastAsia="Times New Roman" w:hAnsi="Arial" w:cs="Arial"/>
          <w:color w:val="FF0000"/>
          <w:sz w:val="18"/>
          <w:szCs w:val="18"/>
        </w:rPr>
        <w:t>protection  services that are integrated</w:t>
      </w:r>
      <w:r w:rsidR="00435D20" w:rsidRPr="00435D20">
        <w:rPr>
          <w:rFonts w:ascii="Arial" w:eastAsia="Times New Roman" w:hAnsi="Arial" w:cs="Arial"/>
          <w:color w:val="FF0000"/>
          <w:sz w:val="18"/>
          <w:szCs w:val="18"/>
        </w:rPr>
        <w:t>,</w:t>
      </w:r>
      <w:r w:rsidRPr="00435D20">
        <w:rPr>
          <w:rFonts w:ascii="Arial" w:eastAsia="Times New Roman" w:hAnsi="Arial" w:cs="Arial"/>
          <w:color w:val="FF0000"/>
          <w:sz w:val="18"/>
          <w:szCs w:val="18"/>
        </w:rPr>
        <w:t xml:space="preserve"> interdisciplinary</w:t>
      </w:r>
      <w:r w:rsidR="00435D20" w:rsidRPr="00435D20">
        <w:rPr>
          <w:rFonts w:ascii="Arial" w:eastAsia="Times New Roman" w:hAnsi="Arial" w:cs="Arial"/>
          <w:color w:val="FF0000"/>
          <w:sz w:val="18"/>
          <w:szCs w:val="18"/>
        </w:rPr>
        <w:t>,</w:t>
      </w:r>
      <w:r w:rsidRPr="00435D20">
        <w:rPr>
          <w:rFonts w:ascii="Arial" w:eastAsia="Times New Roman" w:hAnsi="Arial" w:cs="Arial"/>
          <w:color w:val="FF0000"/>
          <w:sz w:val="18"/>
          <w:szCs w:val="18"/>
        </w:rPr>
        <w:t xml:space="preserve"> and include individualized case management, family tracing, and reunification of unacco</w:t>
      </w:r>
      <w:r w:rsidR="00435D20">
        <w:rPr>
          <w:rFonts w:ascii="Arial" w:eastAsia="Times New Roman" w:hAnsi="Arial" w:cs="Arial"/>
          <w:color w:val="FF0000"/>
          <w:sz w:val="18"/>
          <w:szCs w:val="18"/>
        </w:rPr>
        <w:t>mpanied and separated children;</w:t>
      </w:r>
      <w:r w:rsidRPr="00234FBC">
        <w:rPr>
          <w:rStyle w:val="FootnoteReference"/>
          <w:rFonts w:ascii="Arial" w:eastAsia="Times New Roman" w:hAnsi="Arial" w:cs="Arial"/>
          <w:color w:val="auto"/>
          <w:sz w:val="18"/>
          <w:szCs w:val="18"/>
        </w:rPr>
        <w:footnoteReference w:id="8"/>
      </w:r>
    </w:p>
    <w:p w14:paraId="7DF94879" w14:textId="77777777" w:rsidR="0038532D" w:rsidRPr="00435D20" w:rsidRDefault="0038532D" w:rsidP="00E4079E">
      <w:pPr>
        <w:pStyle w:val="ListParagraph"/>
        <w:numPr>
          <w:ilvl w:val="1"/>
          <w:numId w:val="24"/>
        </w:numPr>
        <w:ind w:left="709"/>
        <w:jc w:val="both"/>
        <w:rPr>
          <w:rFonts w:ascii="Arial" w:eastAsia="Arial" w:hAnsi="Arial" w:cs="Arial"/>
          <w:color w:val="FF0000"/>
          <w:sz w:val="18"/>
          <w:szCs w:val="18"/>
        </w:rPr>
      </w:pPr>
      <w:r w:rsidRPr="00435D20">
        <w:rPr>
          <w:rFonts w:ascii="Arial" w:eastAsia="Arial" w:hAnsi="Arial" w:cs="Arial"/>
          <w:color w:val="FF0000"/>
          <w:sz w:val="18"/>
          <w:szCs w:val="18"/>
        </w:rPr>
        <w:t>Prevent a thematically siloed approach to coordination and ensure cohesive strategies that bring different preventative and response efforts together to address root causes of trafficking and sexual exploitation;</w:t>
      </w:r>
    </w:p>
    <w:p w14:paraId="5F5E3D32" w14:textId="4DF47477" w:rsidR="0038532D" w:rsidRPr="00435D20" w:rsidRDefault="0038532D" w:rsidP="00E4079E">
      <w:pPr>
        <w:pStyle w:val="ListParagraph"/>
        <w:numPr>
          <w:ilvl w:val="1"/>
          <w:numId w:val="24"/>
        </w:numPr>
        <w:ind w:left="709"/>
        <w:jc w:val="both"/>
        <w:rPr>
          <w:rFonts w:ascii="Arial" w:hAnsi="Arial" w:cs="Arial"/>
          <w:color w:val="FF0000"/>
          <w:sz w:val="18"/>
          <w:szCs w:val="18"/>
        </w:rPr>
      </w:pPr>
      <w:r w:rsidRPr="00435D20">
        <w:rPr>
          <w:rFonts w:ascii="Arial" w:eastAsia="Arial" w:hAnsi="Arial" w:cs="Arial"/>
          <w:color w:val="FF0000"/>
          <w:sz w:val="18"/>
          <w:szCs w:val="18"/>
        </w:rPr>
        <w:t xml:space="preserve">Establish clear information management structures and harmonise information management between relevant national authorities and relevant coordination groups for trafficking and sexual exploitation in order to tackle these serious protection </w:t>
      </w:r>
      <w:r w:rsidR="00435D20" w:rsidRPr="00435D20">
        <w:rPr>
          <w:rFonts w:ascii="Arial" w:eastAsia="Arial" w:hAnsi="Arial" w:cs="Arial"/>
          <w:color w:val="FF0000"/>
          <w:sz w:val="18"/>
          <w:szCs w:val="18"/>
        </w:rPr>
        <w:t>concerns, which</w:t>
      </w:r>
      <w:r w:rsidRPr="00435D20">
        <w:rPr>
          <w:rFonts w:ascii="Arial" w:eastAsia="Arial" w:hAnsi="Arial" w:cs="Arial"/>
          <w:color w:val="FF0000"/>
          <w:sz w:val="18"/>
          <w:szCs w:val="18"/>
        </w:rPr>
        <w:t xml:space="preserve"> span multiple sectors and are difficult to track. This collaboration should involve law and border enforcement agencies, central government, local organisations, and other relevant stakeholders;</w:t>
      </w:r>
    </w:p>
    <w:p w14:paraId="3D5E8F17" w14:textId="2D6C9520" w:rsidR="0038532D" w:rsidRPr="00435D20" w:rsidRDefault="00435D20" w:rsidP="00E4079E">
      <w:pPr>
        <w:pStyle w:val="ListParagraph"/>
        <w:numPr>
          <w:ilvl w:val="1"/>
          <w:numId w:val="24"/>
        </w:numPr>
        <w:ind w:left="709"/>
        <w:jc w:val="both"/>
        <w:rPr>
          <w:rFonts w:ascii="Arial" w:hAnsi="Arial" w:cs="Arial"/>
          <w:color w:val="FF0000"/>
          <w:sz w:val="18"/>
          <w:szCs w:val="18"/>
        </w:rPr>
      </w:pPr>
      <w:r w:rsidRPr="00435D20">
        <w:rPr>
          <w:rFonts w:ascii="Arial" w:eastAsia="Arial" w:hAnsi="Arial" w:cs="Arial"/>
          <w:color w:val="FF0000"/>
          <w:sz w:val="18"/>
          <w:szCs w:val="18"/>
        </w:rPr>
        <w:t>In the context of</w:t>
      </w:r>
      <w:r w:rsidR="0038532D" w:rsidRPr="00435D20">
        <w:rPr>
          <w:rFonts w:ascii="Arial" w:eastAsia="Arial" w:hAnsi="Arial" w:cs="Arial"/>
          <w:color w:val="FF0000"/>
          <w:sz w:val="18"/>
          <w:szCs w:val="18"/>
        </w:rPr>
        <w:t xml:space="preserve"> population movements, ensure clo</w:t>
      </w:r>
      <w:r>
        <w:rPr>
          <w:rFonts w:ascii="Arial" w:eastAsia="Arial" w:hAnsi="Arial" w:cs="Arial"/>
          <w:color w:val="FF0000"/>
          <w:sz w:val="18"/>
          <w:szCs w:val="18"/>
        </w:rPr>
        <w:t>se monitoring of</w:t>
      </w:r>
      <w:r w:rsidR="0038532D" w:rsidRPr="00435D20">
        <w:rPr>
          <w:rFonts w:ascii="Arial" w:eastAsia="Arial" w:hAnsi="Arial" w:cs="Arial"/>
          <w:color w:val="FF0000"/>
          <w:sz w:val="18"/>
          <w:szCs w:val="18"/>
        </w:rPr>
        <w:t xml:space="preserve"> unaccompanied and separated girls to prevent trafficking. Put in place special monitoring and </w:t>
      </w:r>
      <w:r>
        <w:rPr>
          <w:rFonts w:ascii="Arial" w:eastAsia="Arial" w:hAnsi="Arial" w:cs="Arial"/>
          <w:color w:val="FF0000"/>
          <w:sz w:val="18"/>
          <w:szCs w:val="18"/>
        </w:rPr>
        <w:t>protection measures for girl-</w:t>
      </w:r>
      <w:r w:rsidR="0038532D" w:rsidRPr="00435D20">
        <w:rPr>
          <w:rFonts w:ascii="Arial" w:eastAsia="Arial" w:hAnsi="Arial" w:cs="Arial"/>
          <w:color w:val="FF0000"/>
          <w:sz w:val="18"/>
          <w:szCs w:val="18"/>
        </w:rPr>
        <w:t xml:space="preserve"> and child-headed households;</w:t>
      </w:r>
    </w:p>
    <w:p w14:paraId="6FA43CB8" w14:textId="77777777" w:rsidR="0038532D" w:rsidRPr="00435D20" w:rsidRDefault="0038532D" w:rsidP="00E4079E">
      <w:pPr>
        <w:pStyle w:val="ListParagraph"/>
        <w:numPr>
          <w:ilvl w:val="1"/>
          <w:numId w:val="24"/>
        </w:numPr>
        <w:ind w:left="709"/>
        <w:jc w:val="both"/>
        <w:rPr>
          <w:rFonts w:ascii="Arial" w:hAnsi="Arial" w:cs="Arial"/>
          <w:color w:val="FF0000"/>
          <w:sz w:val="18"/>
          <w:szCs w:val="18"/>
        </w:rPr>
      </w:pPr>
      <w:r w:rsidRPr="00435D20">
        <w:rPr>
          <w:rFonts w:ascii="Arial" w:eastAsia="Arial" w:hAnsi="Arial" w:cs="Arial"/>
          <w:color w:val="FF0000"/>
          <w:sz w:val="18"/>
          <w:szCs w:val="18"/>
        </w:rPr>
        <w:t>Support anti-trafficking coordination structures to develop common response and referral procedures which address the needs of women and girls, joint monitoring and information sharing mechanisms, comprehensive standard operating procedures which outline relevant legal obligations, referral procedures, roles and responsibilities of services, and a shared strategy for stakeholders to actors work together during prevention, response, and coordination;</w:t>
      </w:r>
    </w:p>
    <w:p w14:paraId="038410B6" w14:textId="7A256178" w:rsidR="00E4079E" w:rsidRDefault="0038532D" w:rsidP="00E4079E">
      <w:pPr>
        <w:pStyle w:val="ListParagraph"/>
        <w:numPr>
          <w:ilvl w:val="0"/>
          <w:numId w:val="27"/>
        </w:numPr>
        <w:ind w:left="284"/>
        <w:jc w:val="both"/>
        <w:rPr>
          <w:rFonts w:ascii="Arial" w:hAnsi="Arial" w:cs="Arial"/>
          <w:color w:val="auto"/>
          <w:sz w:val="18"/>
          <w:szCs w:val="18"/>
        </w:rPr>
      </w:pPr>
      <w:r w:rsidRPr="00234FBC">
        <w:rPr>
          <w:rFonts w:ascii="Arial" w:hAnsi="Arial" w:cs="Arial"/>
          <w:b/>
          <w:color w:val="auto"/>
          <w:sz w:val="18"/>
          <w:szCs w:val="18"/>
        </w:rPr>
        <w:t>Paragraph 74:</w:t>
      </w:r>
      <w:r w:rsidRPr="00234FBC">
        <w:rPr>
          <w:rFonts w:ascii="Arial" w:hAnsi="Arial" w:cs="Arial"/>
          <w:color w:val="auto"/>
          <w:sz w:val="18"/>
          <w:szCs w:val="18"/>
        </w:rPr>
        <w:t xml:space="preserve"> </w:t>
      </w:r>
      <w:r w:rsidR="00A146FB" w:rsidRPr="00234FBC">
        <w:rPr>
          <w:rFonts w:ascii="Arial" w:eastAsia="Times New Roman" w:hAnsi="Arial" w:cs="Arial"/>
          <w:color w:val="auto"/>
          <w:sz w:val="18"/>
          <w:szCs w:val="18"/>
        </w:rPr>
        <w:t>Add the following sentence at the end of the existing paragraph</w:t>
      </w:r>
      <w:r w:rsidRPr="00234FBC">
        <w:rPr>
          <w:rFonts w:ascii="Arial" w:hAnsi="Arial" w:cs="Arial"/>
          <w:color w:val="auto"/>
          <w:sz w:val="18"/>
          <w:szCs w:val="18"/>
        </w:rPr>
        <w:t xml:space="preserve">: </w:t>
      </w:r>
    </w:p>
    <w:p w14:paraId="27F6FBA3" w14:textId="147FBD0B" w:rsidR="00E4079E" w:rsidRPr="00435D20" w:rsidRDefault="0038532D" w:rsidP="00E4079E">
      <w:pPr>
        <w:pStyle w:val="ListParagraph"/>
        <w:numPr>
          <w:ilvl w:val="1"/>
          <w:numId w:val="27"/>
        </w:numPr>
        <w:ind w:left="709"/>
        <w:jc w:val="both"/>
        <w:rPr>
          <w:rFonts w:ascii="Arial" w:hAnsi="Arial" w:cs="Arial"/>
          <w:color w:val="FF0000"/>
          <w:sz w:val="18"/>
          <w:szCs w:val="18"/>
        </w:rPr>
      </w:pPr>
      <w:r w:rsidRPr="00435D20">
        <w:rPr>
          <w:rFonts w:ascii="Arial" w:hAnsi="Arial" w:cs="Arial"/>
          <w:color w:val="FF0000"/>
          <w:sz w:val="18"/>
          <w:szCs w:val="18"/>
        </w:rPr>
        <w:t>The UN Committee on the Rights of the Child (CRC Committee) and the UN Global Study on Children Deprived of Liberty have made it clear that immigration detention is never in the best interests of the child and therefore always a child rights violation.</w:t>
      </w:r>
    </w:p>
    <w:p w14:paraId="6E1036D8" w14:textId="77777777" w:rsidR="00E4079E" w:rsidRPr="00E4079E" w:rsidRDefault="0038532D" w:rsidP="00E4079E">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color w:val="auto"/>
          <w:sz w:val="18"/>
          <w:szCs w:val="18"/>
        </w:rPr>
        <w:t xml:space="preserve">Paragraph 84: </w:t>
      </w:r>
      <w:r w:rsidR="00E4079E">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w:t>
      </w:r>
    </w:p>
    <w:p w14:paraId="572410C1" w14:textId="317B0721" w:rsidR="0038532D" w:rsidRPr="00E4079E" w:rsidRDefault="0038532D" w:rsidP="00E4079E">
      <w:pPr>
        <w:pStyle w:val="ListParagraph"/>
        <w:numPr>
          <w:ilvl w:val="1"/>
          <w:numId w:val="24"/>
        </w:numPr>
        <w:ind w:left="709"/>
        <w:jc w:val="both"/>
        <w:rPr>
          <w:rFonts w:ascii="Arial" w:eastAsia="Arial" w:hAnsi="Arial" w:cs="Arial"/>
          <w:color w:val="auto"/>
          <w:sz w:val="18"/>
          <w:szCs w:val="18"/>
        </w:rPr>
      </w:pPr>
      <w:r w:rsidRPr="00A146FB">
        <w:rPr>
          <w:rFonts w:ascii="Arial" w:eastAsia="Times New Roman" w:hAnsi="Arial" w:cs="Arial"/>
          <w:bCs/>
          <w:color w:val="FF0000"/>
          <w:sz w:val="18"/>
          <w:szCs w:val="18"/>
        </w:rPr>
        <w:t xml:space="preserve">Appoint legal guardians to support and represent girls who are </w:t>
      </w:r>
      <w:r w:rsidR="00A146FB">
        <w:rPr>
          <w:rFonts w:ascii="Arial" w:eastAsia="Times New Roman" w:hAnsi="Arial" w:cs="Arial"/>
          <w:bCs/>
          <w:color w:val="FF0000"/>
          <w:sz w:val="18"/>
          <w:szCs w:val="18"/>
        </w:rPr>
        <w:t>victims of trafficking;</w:t>
      </w:r>
      <w:r w:rsidRPr="00234FBC">
        <w:rPr>
          <w:rStyle w:val="FootnoteReference"/>
          <w:rFonts w:ascii="Arial" w:eastAsia="Times New Roman" w:hAnsi="Arial" w:cs="Arial"/>
          <w:bCs/>
          <w:color w:val="auto"/>
          <w:sz w:val="18"/>
          <w:szCs w:val="18"/>
        </w:rPr>
        <w:footnoteReference w:id="9"/>
      </w:r>
    </w:p>
    <w:p w14:paraId="714A5687" w14:textId="77777777" w:rsidR="00E4079E" w:rsidRPr="00E4079E" w:rsidRDefault="0038532D" w:rsidP="00E4079E">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color w:val="auto"/>
          <w:sz w:val="18"/>
          <w:szCs w:val="18"/>
        </w:rPr>
        <w:t xml:space="preserve">Paragraph 88: </w:t>
      </w:r>
      <w:r w:rsidR="00E4079E">
        <w:rPr>
          <w:rFonts w:ascii="Arial" w:eastAsia="Times New Roman" w:hAnsi="Arial" w:cs="Arial"/>
          <w:color w:val="auto"/>
          <w:sz w:val="18"/>
          <w:szCs w:val="18"/>
        </w:rPr>
        <w:t>Include</w:t>
      </w:r>
      <w:r w:rsidRPr="00234FBC">
        <w:rPr>
          <w:rFonts w:ascii="Arial" w:eastAsia="Times New Roman" w:hAnsi="Arial" w:cs="Arial"/>
          <w:color w:val="auto"/>
          <w:sz w:val="18"/>
          <w:szCs w:val="18"/>
        </w:rPr>
        <w:t xml:space="preserve"> the following additional recommendation:</w:t>
      </w:r>
    </w:p>
    <w:p w14:paraId="2AECDE96" w14:textId="560D0AE2" w:rsidR="0038532D" w:rsidRPr="00E4079E" w:rsidRDefault="0038532D" w:rsidP="00E4079E">
      <w:pPr>
        <w:pStyle w:val="ListParagraph"/>
        <w:numPr>
          <w:ilvl w:val="1"/>
          <w:numId w:val="24"/>
        </w:numPr>
        <w:ind w:left="709"/>
        <w:jc w:val="both"/>
        <w:rPr>
          <w:rFonts w:ascii="Arial" w:eastAsia="Arial" w:hAnsi="Arial" w:cs="Arial"/>
          <w:color w:val="auto"/>
          <w:sz w:val="18"/>
          <w:szCs w:val="18"/>
        </w:rPr>
      </w:pPr>
      <w:r w:rsidRPr="00A146FB">
        <w:rPr>
          <w:rFonts w:ascii="Arial" w:eastAsia="Times New Roman" w:hAnsi="Arial" w:cs="Arial"/>
          <w:bCs/>
          <w:color w:val="FF0000"/>
          <w:sz w:val="18"/>
          <w:szCs w:val="18"/>
        </w:rPr>
        <w:t>Provide specialized child-sensitive legal assistance for girls to simplify testifying procedures and prevent additional</w:t>
      </w:r>
      <w:r w:rsidR="00A146FB">
        <w:rPr>
          <w:rFonts w:ascii="Arial" w:eastAsia="Times New Roman" w:hAnsi="Arial" w:cs="Arial"/>
          <w:bCs/>
          <w:color w:val="FF0000"/>
          <w:sz w:val="18"/>
          <w:szCs w:val="18"/>
        </w:rPr>
        <w:t xml:space="preserve"> trauma during court proceedings;</w:t>
      </w:r>
      <w:r w:rsidRPr="00234FBC">
        <w:rPr>
          <w:rStyle w:val="FootnoteReference"/>
          <w:rFonts w:ascii="Arial" w:eastAsia="Times New Roman" w:hAnsi="Arial" w:cs="Arial"/>
          <w:bCs/>
          <w:color w:val="auto"/>
          <w:sz w:val="18"/>
          <w:szCs w:val="18"/>
        </w:rPr>
        <w:footnoteReference w:id="10"/>
      </w:r>
    </w:p>
    <w:p w14:paraId="5C23E666" w14:textId="77777777" w:rsidR="0038532D" w:rsidRPr="00234FBC" w:rsidRDefault="0038532D" w:rsidP="00234FBC">
      <w:pPr>
        <w:pStyle w:val="ListParagraph"/>
        <w:numPr>
          <w:ilvl w:val="0"/>
          <w:numId w:val="24"/>
        </w:numPr>
        <w:ind w:left="284"/>
        <w:jc w:val="both"/>
        <w:rPr>
          <w:rFonts w:ascii="Arial" w:eastAsia="Arial" w:hAnsi="Arial" w:cs="Arial"/>
          <w:color w:val="auto"/>
          <w:sz w:val="18"/>
          <w:szCs w:val="18"/>
        </w:rPr>
      </w:pPr>
      <w:r w:rsidRPr="00234FBC">
        <w:rPr>
          <w:rFonts w:ascii="Arial" w:eastAsia="Arial" w:hAnsi="Arial" w:cs="Arial"/>
          <w:b/>
          <w:color w:val="auto"/>
          <w:sz w:val="18"/>
          <w:szCs w:val="18"/>
        </w:rPr>
        <w:t>Paragraph 96: “</w:t>
      </w:r>
      <w:r w:rsidRPr="00A146FB">
        <w:rPr>
          <w:rFonts w:ascii="Arial" w:eastAsia="Times New Roman" w:hAnsi="Arial" w:cs="Arial"/>
          <w:bCs/>
          <w:color w:val="FF0000"/>
          <w:sz w:val="18"/>
          <w:szCs w:val="18"/>
        </w:rPr>
        <w:t>Restitution, c</w:t>
      </w:r>
      <w:r w:rsidRPr="00234FBC">
        <w:rPr>
          <w:rFonts w:ascii="Arial" w:eastAsia="Times New Roman" w:hAnsi="Arial" w:cs="Arial"/>
          <w:bCs/>
          <w:color w:val="auto"/>
          <w:sz w:val="18"/>
          <w:szCs w:val="18"/>
        </w:rPr>
        <w:t xml:space="preserve">ompensation and rehabilitation: a) Ensure that all trafficked women </w:t>
      </w:r>
      <w:r w:rsidRPr="00A146FB">
        <w:rPr>
          <w:rFonts w:ascii="Arial" w:eastAsia="Times New Roman" w:hAnsi="Arial" w:cs="Arial"/>
          <w:bCs/>
          <w:color w:val="FF0000"/>
          <w:sz w:val="18"/>
          <w:szCs w:val="18"/>
        </w:rPr>
        <w:t>and girls</w:t>
      </w:r>
      <w:r w:rsidRPr="00234FBC">
        <w:rPr>
          <w:rFonts w:ascii="Arial" w:eastAsia="Times New Roman" w:hAnsi="Arial" w:cs="Arial"/>
          <w:bCs/>
          <w:color w:val="auto"/>
          <w:sz w:val="18"/>
          <w:szCs w:val="18"/>
        </w:rPr>
        <w:t xml:space="preserve">, irrespective of their ethnic, national or social background and legal immigration status, obtain effective protection and redress, including </w:t>
      </w:r>
      <w:r w:rsidRPr="00A146FB">
        <w:rPr>
          <w:rFonts w:ascii="Arial" w:eastAsia="Times New Roman" w:hAnsi="Arial" w:cs="Arial"/>
          <w:bCs/>
          <w:color w:val="FF0000"/>
          <w:sz w:val="18"/>
          <w:szCs w:val="18"/>
        </w:rPr>
        <w:t>restitution</w:t>
      </w:r>
      <w:r w:rsidRPr="00234FBC">
        <w:rPr>
          <w:rFonts w:ascii="Arial" w:eastAsia="Times New Roman" w:hAnsi="Arial" w:cs="Arial"/>
          <w:bCs/>
          <w:color w:val="auto"/>
          <w:sz w:val="18"/>
          <w:szCs w:val="18"/>
        </w:rPr>
        <w:t>,</w:t>
      </w:r>
      <w:r w:rsidRPr="00234FBC">
        <w:rPr>
          <w:rStyle w:val="FootnoteReference"/>
          <w:rFonts w:ascii="Arial" w:eastAsia="Times New Roman" w:hAnsi="Arial" w:cs="Arial"/>
          <w:bCs/>
          <w:color w:val="auto"/>
          <w:sz w:val="18"/>
          <w:szCs w:val="18"/>
        </w:rPr>
        <w:footnoteReference w:id="11"/>
      </w:r>
      <w:r w:rsidRPr="00234FBC">
        <w:rPr>
          <w:rFonts w:ascii="Arial" w:eastAsia="Times New Roman" w:hAnsi="Arial" w:cs="Arial"/>
          <w:bCs/>
          <w:color w:val="auto"/>
          <w:sz w:val="18"/>
          <w:szCs w:val="18"/>
        </w:rPr>
        <w:t xml:space="preserve"> rehabilitation and compensation; b) Ensure that trafficked women </w:t>
      </w:r>
      <w:r w:rsidRPr="00A146FB">
        <w:rPr>
          <w:rFonts w:ascii="Arial" w:eastAsia="Times New Roman" w:hAnsi="Arial" w:cs="Arial"/>
          <w:bCs/>
          <w:color w:val="FF0000"/>
          <w:sz w:val="18"/>
          <w:szCs w:val="18"/>
        </w:rPr>
        <w:t xml:space="preserve">and girls </w:t>
      </w:r>
      <w:r w:rsidRPr="00234FBC">
        <w:rPr>
          <w:rFonts w:ascii="Arial" w:eastAsia="Times New Roman" w:hAnsi="Arial" w:cs="Arial"/>
          <w:bCs/>
          <w:color w:val="auto"/>
          <w:sz w:val="18"/>
          <w:szCs w:val="18"/>
        </w:rPr>
        <w:t>are provided with timely and comprehensive information about their right to access legal aid, compensation, and remedies in a language and manner that they can understand, regardless of their residence status;</w:t>
      </w:r>
      <w:r w:rsidRPr="00234FBC">
        <w:rPr>
          <w:rFonts w:ascii="Arial" w:eastAsia="Times New Roman" w:hAnsi="Arial" w:cs="Arial"/>
          <w:bCs/>
          <w:color w:val="auto"/>
          <w:sz w:val="18"/>
          <w:szCs w:val="18"/>
          <w:vertAlign w:val="superscript"/>
        </w:rPr>
        <w:t xml:space="preserve"> </w:t>
      </w:r>
      <w:r w:rsidRPr="00234FBC">
        <w:rPr>
          <w:rFonts w:ascii="Arial" w:eastAsia="Times New Roman" w:hAnsi="Arial" w:cs="Arial"/>
          <w:bCs/>
          <w:color w:val="auto"/>
          <w:sz w:val="18"/>
          <w:szCs w:val="18"/>
        </w:rPr>
        <w:t xml:space="preserve">c) Financially support independent associations, legal professionals and social services centres providing legal resources to educate women </w:t>
      </w:r>
      <w:r w:rsidRPr="00A146FB">
        <w:rPr>
          <w:rFonts w:ascii="Arial" w:eastAsia="Times New Roman" w:hAnsi="Arial" w:cs="Arial"/>
          <w:bCs/>
          <w:color w:val="FF0000"/>
          <w:sz w:val="18"/>
          <w:szCs w:val="18"/>
        </w:rPr>
        <w:t xml:space="preserve">and girls </w:t>
      </w:r>
      <w:r w:rsidRPr="00234FBC">
        <w:rPr>
          <w:rFonts w:ascii="Arial" w:eastAsia="Times New Roman" w:hAnsi="Arial" w:cs="Arial"/>
          <w:bCs/>
          <w:color w:val="auto"/>
          <w:sz w:val="18"/>
          <w:szCs w:val="18"/>
        </w:rPr>
        <w:t>about their rights to equality and assist them in pursuing remedies;</w:t>
      </w:r>
      <w:r w:rsidRPr="00234FBC">
        <w:rPr>
          <w:rFonts w:ascii="Arial" w:eastAsia="Times New Roman" w:hAnsi="Arial" w:cs="Arial"/>
          <w:bCs/>
          <w:color w:val="auto"/>
          <w:sz w:val="18"/>
          <w:szCs w:val="18"/>
          <w:vertAlign w:val="superscript"/>
        </w:rPr>
        <w:t xml:space="preserve"> </w:t>
      </w:r>
      <w:r w:rsidRPr="00234FBC">
        <w:rPr>
          <w:rFonts w:ascii="Arial" w:eastAsia="Times New Roman" w:hAnsi="Arial" w:cs="Arial"/>
          <w:bCs/>
          <w:color w:val="auto"/>
          <w:sz w:val="18"/>
          <w:szCs w:val="18"/>
        </w:rPr>
        <w:t xml:space="preserve">d) Ensure, through legislative and other means, that trafficked women </w:t>
      </w:r>
      <w:r w:rsidRPr="00A146FB">
        <w:rPr>
          <w:rFonts w:ascii="Arial" w:eastAsia="Times New Roman" w:hAnsi="Arial" w:cs="Arial"/>
          <w:bCs/>
          <w:color w:val="FF0000"/>
          <w:sz w:val="18"/>
          <w:szCs w:val="18"/>
        </w:rPr>
        <w:t xml:space="preserve">and girls have a legally enforceable </w:t>
      </w:r>
      <w:r w:rsidRPr="00234FBC">
        <w:rPr>
          <w:rFonts w:ascii="Arial" w:eastAsia="Times New Roman" w:hAnsi="Arial" w:cs="Arial"/>
          <w:bCs/>
          <w:color w:val="auto"/>
          <w:sz w:val="18"/>
          <w:szCs w:val="18"/>
        </w:rPr>
        <w:t xml:space="preserve">right to remedy and compensation through different avenues, such as criminal, civil and labour courts </w:t>
      </w:r>
      <w:r w:rsidRPr="00A146FB">
        <w:rPr>
          <w:rFonts w:ascii="Arial" w:eastAsia="Times New Roman" w:hAnsi="Arial" w:cs="Arial"/>
          <w:bCs/>
          <w:color w:val="FF0000"/>
          <w:sz w:val="18"/>
          <w:szCs w:val="18"/>
        </w:rPr>
        <w:t>as well as administrative proceedings</w:t>
      </w:r>
      <w:r w:rsidRPr="00234FBC">
        <w:rPr>
          <w:rFonts w:ascii="Arial" w:eastAsia="Times New Roman" w:hAnsi="Arial" w:cs="Arial"/>
          <w:bCs/>
          <w:color w:val="auto"/>
          <w:sz w:val="18"/>
          <w:szCs w:val="18"/>
        </w:rPr>
        <w:t>, and that victims are compensated, as far as possible, commensurate with their loss, injury and suffering; e) Adopt legislation on the organization, allocation and functioning of a special compensation fund for victims of and witnesses to trafficking</w:t>
      </w:r>
      <w:r w:rsidRPr="00234FBC">
        <w:rPr>
          <w:rFonts w:ascii="Arial" w:eastAsia="Times New Roman" w:hAnsi="Arial" w:cs="Arial"/>
          <w:bCs/>
          <w:color w:val="auto"/>
          <w:sz w:val="18"/>
          <w:szCs w:val="18"/>
          <w:vertAlign w:val="superscript"/>
        </w:rPr>
        <w:t xml:space="preserve"> </w:t>
      </w:r>
      <w:r w:rsidRPr="00234FBC">
        <w:rPr>
          <w:rFonts w:ascii="Arial" w:eastAsia="Times New Roman" w:hAnsi="Arial" w:cs="Arial"/>
          <w:bCs/>
          <w:color w:val="auto"/>
          <w:sz w:val="18"/>
          <w:szCs w:val="18"/>
        </w:rPr>
        <w:t xml:space="preserve">and allocate sufficient funds for them. Ensure that the conditions to access funding from the compensation fund are reasonable and swift and do not place undue burden on trafficked women </w:t>
      </w:r>
      <w:r w:rsidRPr="00A146FB">
        <w:rPr>
          <w:rFonts w:ascii="Arial" w:eastAsia="Times New Roman" w:hAnsi="Arial" w:cs="Arial"/>
          <w:bCs/>
          <w:color w:val="FF0000"/>
          <w:sz w:val="18"/>
          <w:szCs w:val="18"/>
        </w:rPr>
        <w:t>and girls</w:t>
      </w:r>
      <w:r w:rsidRPr="00234FBC">
        <w:rPr>
          <w:rFonts w:ascii="Arial" w:eastAsia="Times New Roman" w:hAnsi="Arial" w:cs="Arial"/>
          <w:bCs/>
          <w:color w:val="auto"/>
          <w:sz w:val="18"/>
          <w:szCs w:val="18"/>
        </w:rPr>
        <w:t>, and are not made conditional on confiscation of assets from their traffickers; f) De-link funding and support for female victims of trafficking from their participation in the criminal justice process.”</w:t>
      </w:r>
    </w:p>
    <w:p w14:paraId="684AC2F3" w14:textId="77777777" w:rsidR="0038532D" w:rsidRPr="0038532D" w:rsidRDefault="0038532D" w:rsidP="0038532D">
      <w:pPr>
        <w:pStyle w:val="ListParagraph"/>
        <w:ind w:left="619"/>
        <w:jc w:val="both"/>
        <w:rPr>
          <w:rFonts w:ascii="Arial" w:eastAsia="Arial" w:hAnsi="Arial" w:cs="Arial"/>
          <w:sz w:val="20"/>
          <w:szCs w:val="20"/>
        </w:rPr>
      </w:pPr>
    </w:p>
    <w:p w14:paraId="1725D3B3" w14:textId="77777777" w:rsidR="0038532D" w:rsidRPr="0038532D" w:rsidRDefault="0038532D" w:rsidP="0038532D">
      <w:pPr>
        <w:pStyle w:val="ListParagraph"/>
        <w:numPr>
          <w:ilvl w:val="1"/>
          <w:numId w:val="23"/>
        </w:numPr>
        <w:ind w:left="270" w:hanging="531"/>
        <w:contextualSpacing w:val="0"/>
        <w:jc w:val="both"/>
        <w:rPr>
          <w:rFonts w:ascii="Arial" w:eastAsia="Arial" w:hAnsi="Arial" w:cs="Arial"/>
          <w:b/>
          <w:bCs/>
          <w:sz w:val="20"/>
          <w:szCs w:val="20"/>
        </w:rPr>
      </w:pPr>
      <w:r w:rsidRPr="0038532D">
        <w:rPr>
          <w:rFonts w:ascii="Arial" w:eastAsia="Arial" w:hAnsi="Arial" w:cs="Arial"/>
          <w:b/>
          <w:bCs/>
          <w:sz w:val="20"/>
          <w:szCs w:val="20"/>
        </w:rPr>
        <w:t>Gender</w:t>
      </w:r>
    </w:p>
    <w:p w14:paraId="21373154" w14:textId="77777777" w:rsidR="0038532D" w:rsidRPr="0038532D" w:rsidRDefault="0038532D" w:rsidP="00EA4255">
      <w:pPr>
        <w:ind w:left="-86"/>
        <w:jc w:val="both"/>
        <w:rPr>
          <w:rFonts w:ascii="Arial" w:eastAsia="Arial" w:hAnsi="Arial" w:cs="Arial"/>
          <w:sz w:val="20"/>
          <w:szCs w:val="20"/>
        </w:rPr>
      </w:pPr>
      <w:r w:rsidRPr="0038532D">
        <w:rPr>
          <w:rFonts w:ascii="Arial" w:eastAsia="Arial" w:hAnsi="Arial" w:cs="Arial"/>
          <w:sz w:val="20"/>
          <w:szCs w:val="20"/>
        </w:rPr>
        <w:t xml:space="preserve">Paragraphs 19 and 102 of the draft General Recommendation highlight the need for States parties to take a “gender-transformative approach” to adopting and implementing anti-trafficking measures. </w:t>
      </w:r>
    </w:p>
    <w:p w14:paraId="5D6C18F0" w14:textId="3E191EA3" w:rsidR="0038532D" w:rsidRPr="0038532D" w:rsidRDefault="0038532D" w:rsidP="00EA4255">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welcomes the Committee’s recognition of the value of a gender-transformative approach, which goes beyond addressing “symptoms” to explicitly tackle the root causes of gender inequality, particularly unequal gender power relations, discriminatory social norms and systems, structures, policies and practices. </w:t>
      </w:r>
      <w:r>
        <w:rPr>
          <w:rFonts w:ascii="Arial" w:eastAsia="Arial" w:hAnsi="Arial" w:cs="Arial"/>
          <w:sz w:val="20"/>
          <w:szCs w:val="20"/>
        </w:rPr>
        <w:t>The GAA</w:t>
      </w:r>
      <w:r w:rsidRPr="0038532D">
        <w:rPr>
          <w:rFonts w:ascii="Arial" w:eastAsia="Arial" w:hAnsi="Arial" w:cs="Arial"/>
          <w:sz w:val="20"/>
          <w:szCs w:val="20"/>
        </w:rPr>
        <w:t xml:space="preserve"> believes that this approach can result in positive changes and sustainable outcomes for girls and women, and for society more broadly.</w:t>
      </w:r>
    </w:p>
    <w:p w14:paraId="17059C96" w14:textId="77777777" w:rsidR="0038532D" w:rsidRPr="0038532D" w:rsidRDefault="0038532D" w:rsidP="00EA4255">
      <w:pPr>
        <w:ind w:left="-86"/>
        <w:jc w:val="both"/>
        <w:rPr>
          <w:rFonts w:ascii="Arial" w:eastAsia="Arial" w:hAnsi="Arial" w:cs="Arial"/>
          <w:sz w:val="20"/>
          <w:szCs w:val="20"/>
        </w:rPr>
      </w:pPr>
      <w:r w:rsidRPr="0038532D">
        <w:rPr>
          <w:rFonts w:ascii="Arial" w:eastAsia="Arial" w:hAnsi="Arial" w:cs="Arial"/>
          <w:sz w:val="20"/>
          <w:szCs w:val="20"/>
        </w:rPr>
        <w:t>Elsewhere in the draft General Recommendation, the Committee refers to “gender-sensitive” approaches, for example, in paragraphs 3, 29, 42, 45-46, 62, 66-68, 72, and 84.</w:t>
      </w:r>
    </w:p>
    <w:p w14:paraId="4D54E176" w14:textId="50CDD35C" w:rsidR="0038532D" w:rsidRPr="0038532D" w:rsidRDefault="0038532D" w:rsidP="00EA4255">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would like to recommend the Committee to review the text applying a gender lens and to examine where use of the more progressive “gender-transformative” approach may have the potential to be more impactful. This will serve to strengthen the protections and ensure that laws, policies, programmes, and plans of action are designed in a way that addresses the root causes of trafficking in a meaningful and inclusive way.</w:t>
      </w:r>
    </w:p>
    <w:p w14:paraId="4C5A43D5" w14:textId="33254758" w:rsidR="0038532D" w:rsidRPr="0038532D" w:rsidRDefault="0038532D" w:rsidP="00EA4255">
      <w:pPr>
        <w:ind w:left="-86"/>
        <w:jc w:val="both"/>
        <w:rPr>
          <w:rFonts w:ascii="Arial" w:eastAsia="Arial" w:hAnsi="Arial" w:cs="Arial"/>
          <w:sz w:val="20"/>
          <w:szCs w:val="20"/>
        </w:rPr>
      </w:pPr>
      <w:r w:rsidRPr="0038532D">
        <w:rPr>
          <w:rFonts w:ascii="Arial" w:eastAsia="Arial" w:hAnsi="Arial" w:cs="Arial"/>
          <w:sz w:val="20"/>
          <w:szCs w:val="20"/>
        </w:rPr>
        <w:t xml:space="preserve">In certain paragraphs, </w:t>
      </w:r>
      <w:r w:rsidR="00364EFB">
        <w:rPr>
          <w:rFonts w:ascii="Arial" w:eastAsia="Arial" w:hAnsi="Arial" w:cs="Arial"/>
          <w:sz w:val="20"/>
          <w:szCs w:val="20"/>
        </w:rPr>
        <w:t>the GAA</w:t>
      </w:r>
      <w:r w:rsidRPr="0038532D">
        <w:rPr>
          <w:rFonts w:ascii="Arial" w:eastAsia="Arial" w:hAnsi="Arial" w:cs="Arial"/>
          <w:sz w:val="20"/>
          <w:szCs w:val="20"/>
        </w:rPr>
        <w:t xml:space="preserve"> would argue that it is essential to reference additional specific issues that particularly affect girls. These paragraphs are:</w:t>
      </w:r>
    </w:p>
    <w:p w14:paraId="3DE925A9" w14:textId="77777777" w:rsidR="0038532D" w:rsidRPr="00234FBC" w:rsidRDefault="0038532D" w:rsidP="00EA4255">
      <w:pPr>
        <w:pStyle w:val="ListParagraph"/>
        <w:numPr>
          <w:ilvl w:val="0"/>
          <w:numId w:val="24"/>
        </w:numPr>
        <w:ind w:left="567" w:hanging="308"/>
        <w:jc w:val="both"/>
        <w:rPr>
          <w:rFonts w:ascii="Arial" w:eastAsia="Arial" w:hAnsi="Arial" w:cs="Arial"/>
          <w:color w:val="000000" w:themeColor="text1"/>
          <w:sz w:val="18"/>
          <w:szCs w:val="18"/>
        </w:rPr>
      </w:pPr>
      <w:r w:rsidRPr="00234FBC">
        <w:rPr>
          <w:rFonts w:ascii="Arial" w:eastAsia="Arial" w:hAnsi="Arial" w:cs="Arial"/>
          <w:b/>
          <w:bCs/>
          <w:sz w:val="18"/>
          <w:szCs w:val="18"/>
        </w:rPr>
        <w:t xml:space="preserve">Paragraphs 12-13: </w:t>
      </w:r>
      <w:r w:rsidRPr="00234FBC">
        <w:rPr>
          <w:rFonts w:ascii="Arial" w:eastAsia="Arial" w:hAnsi="Arial" w:cs="Arial"/>
          <w:bCs/>
          <w:sz w:val="18"/>
          <w:szCs w:val="18"/>
        </w:rPr>
        <w:t xml:space="preserve">Strengthen analysis of the disproportionate impact of trafficking on women and girls beyond statistics to examine the relevant, long-term impacts and additional, linked human rights violations.  </w:t>
      </w:r>
      <w:r w:rsidRPr="00234FBC">
        <w:rPr>
          <w:rFonts w:ascii="Arial" w:eastAsia="Arial" w:hAnsi="Arial" w:cs="Arial"/>
          <w:b/>
          <w:bCs/>
          <w:sz w:val="18"/>
          <w:szCs w:val="18"/>
        </w:rPr>
        <w:t xml:space="preserve"> </w:t>
      </w:r>
    </w:p>
    <w:p w14:paraId="345691B9" w14:textId="307EB5AC" w:rsidR="0038532D" w:rsidRPr="00234FBC" w:rsidRDefault="0038532D" w:rsidP="00EA4255">
      <w:pPr>
        <w:pStyle w:val="ListParagraph"/>
        <w:numPr>
          <w:ilvl w:val="0"/>
          <w:numId w:val="24"/>
        </w:numPr>
        <w:ind w:left="567" w:hanging="308"/>
        <w:jc w:val="both"/>
        <w:rPr>
          <w:rFonts w:ascii="Arial" w:eastAsia="Arial" w:hAnsi="Arial" w:cs="Arial"/>
          <w:color w:val="000000" w:themeColor="text1"/>
          <w:sz w:val="18"/>
          <w:szCs w:val="18"/>
        </w:rPr>
      </w:pPr>
      <w:r w:rsidRPr="00234FBC">
        <w:rPr>
          <w:rFonts w:ascii="Arial" w:eastAsia="Arial" w:hAnsi="Arial" w:cs="Arial"/>
          <w:b/>
          <w:bCs/>
          <w:sz w:val="18"/>
          <w:szCs w:val="18"/>
        </w:rPr>
        <w:t>Paragraph 21:</w:t>
      </w:r>
      <w:r w:rsidRPr="00234FBC">
        <w:rPr>
          <w:rFonts w:ascii="Arial" w:eastAsia="Arial" w:hAnsi="Arial" w:cs="Arial"/>
          <w:sz w:val="18"/>
          <w:szCs w:val="18"/>
        </w:rPr>
        <w:t xml:space="preserve"> “In addition to </w:t>
      </w:r>
      <w:r w:rsidR="00A146FB">
        <w:rPr>
          <w:rFonts w:ascii="Arial" w:eastAsia="Arial" w:hAnsi="Arial" w:cs="Arial"/>
          <w:sz w:val="16"/>
          <w:szCs w:val="18"/>
        </w:rPr>
        <w:t>[…]</w:t>
      </w:r>
      <w:r w:rsidR="00A146FB">
        <w:rPr>
          <w:rFonts w:ascii="Arial" w:eastAsia="Arial" w:hAnsi="Arial" w:cs="Arial"/>
          <w:sz w:val="18"/>
          <w:szCs w:val="18"/>
        </w:rPr>
        <w:t xml:space="preserve"> </w:t>
      </w:r>
      <w:r w:rsidRPr="00234FBC">
        <w:rPr>
          <w:rFonts w:ascii="Arial" w:eastAsia="Arial" w:hAnsi="Arial" w:cs="Arial"/>
          <w:sz w:val="18"/>
          <w:szCs w:val="18"/>
        </w:rPr>
        <w:t xml:space="preserve">women’s low participation in decision-making </w:t>
      </w:r>
      <w:r w:rsidRPr="00A146FB">
        <w:rPr>
          <w:rFonts w:ascii="Arial" w:eastAsia="Arial" w:hAnsi="Arial" w:cs="Arial"/>
          <w:color w:val="FF0000"/>
          <w:sz w:val="18"/>
          <w:szCs w:val="18"/>
        </w:rPr>
        <w:t>and the absence of respect for</w:t>
      </w:r>
      <w:r w:rsidR="00A146FB">
        <w:rPr>
          <w:rFonts w:ascii="Arial" w:eastAsia="Arial" w:hAnsi="Arial" w:cs="Arial"/>
          <w:color w:val="FF0000"/>
          <w:sz w:val="18"/>
          <w:szCs w:val="18"/>
        </w:rPr>
        <w:t xml:space="preserve"> the right of girls to be heard,</w:t>
      </w:r>
      <w:r w:rsidRPr="00234FBC">
        <w:rPr>
          <w:rStyle w:val="FootnoteReference"/>
          <w:rFonts w:ascii="Arial" w:eastAsia="Arial" w:hAnsi="Arial" w:cs="Arial"/>
          <w:sz w:val="18"/>
          <w:szCs w:val="18"/>
        </w:rPr>
        <w:footnoteReference w:id="12"/>
      </w:r>
      <w:r w:rsidR="00A146FB">
        <w:rPr>
          <w:rFonts w:ascii="Arial" w:eastAsia="Arial" w:hAnsi="Arial" w:cs="Arial"/>
          <w:color w:val="FF0000"/>
          <w:sz w:val="18"/>
          <w:szCs w:val="18"/>
        </w:rPr>
        <w:t xml:space="preserve"> </w:t>
      </w:r>
      <w:r w:rsidR="00A146FB">
        <w:rPr>
          <w:rFonts w:ascii="Arial" w:eastAsia="Arial" w:hAnsi="Arial" w:cs="Arial"/>
          <w:sz w:val="16"/>
          <w:szCs w:val="18"/>
        </w:rPr>
        <w:t>[…]</w:t>
      </w:r>
      <w:r w:rsidRPr="00234FBC">
        <w:rPr>
          <w:rFonts w:ascii="Arial" w:eastAsia="Arial" w:hAnsi="Arial" w:cs="Arial"/>
          <w:sz w:val="18"/>
          <w:szCs w:val="18"/>
        </w:rPr>
        <w:t>.</w:t>
      </w:r>
      <w:r w:rsidR="00A146FB">
        <w:rPr>
          <w:rFonts w:ascii="Arial" w:eastAsia="Arial" w:hAnsi="Arial" w:cs="Arial"/>
          <w:sz w:val="18"/>
          <w:szCs w:val="18"/>
        </w:rPr>
        <w:t>”</w:t>
      </w:r>
    </w:p>
    <w:p w14:paraId="78212B10" w14:textId="263A02D0" w:rsidR="0038532D" w:rsidRPr="00234FBC" w:rsidRDefault="0038532D" w:rsidP="00EA4255">
      <w:pPr>
        <w:pStyle w:val="ListParagraph"/>
        <w:numPr>
          <w:ilvl w:val="0"/>
          <w:numId w:val="24"/>
        </w:numPr>
        <w:ind w:left="567"/>
        <w:jc w:val="both"/>
        <w:rPr>
          <w:rFonts w:ascii="Arial" w:eastAsia="Arial" w:hAnsi="Arial" w:cs="Arial"/>
          <w:color w:val="000000" w:themeColor="text1"/>
          <w:sz w:val="18"/>
          <w:szCs w:val="18"/>
        </w:rPr>
      </w:pPr>
      <w:r w:rsidRPr="00234FBC">
        <w:rPr>
          <w:rFonts w:ascii="Arial" w:eastAsia="Arial" w:hAnsi="Arial" w:cs="Arial"/>
          <w:b/>
          <w:bCs/>
          <w:sz w:val="18"/>
          <w:szCs w:val="18"/>
        </w:rPr>
        <w:t>Paragraph 23: “</w:t>
      </w:r>
      <w:r w:rsidRPr="00234FBC">
        <w:rPr>
          <w:rFonts w:ascii="Arial" w:eastAsia="Arial" w:hAnsi="Arial" w:cs="Arial"/>
          <w:sz w:val="18"/>
          <w:szCs w:val="18"/>
        </w:rPr>
        <w:t xml:space="preserve">Women </w:t>
      </w:r>
      <w:r w:rsidRPr="00A146FB">
        <w:rPr>
          <w:rFonts w:ascii="Arial" w:eastAsia="Arial" w:hAnsi="Arial" w:cs="Arial"/>
          <w:color w:val="FF0000"/>
          <w:sz w:val="18"/>
          <w:szCs w:val="18"/>
        </w:rPr>
        <w:t xml:space="preserve">and girls </w:t>
      </w:r>
      <w:r w:rsidRPr="00234FBC">
        <w:rPr>
          <w:rFonts w:ascii="Arial" w:eastAsia="Arial" w:hAnsi="Arial" w:cs="Arial"/>
          <w:sz w:val="18"/>
          <w:szCs w:val="18"/>
        </w:rPr>
        <w:t>at risk of being trafficked are more likely to be impoverished,</w:t>
      </w:r>
      <w:r w:rsidR="00A146FB">
        <w:rPr>
          <w:rFonts w:ascii="Arial" w:eastAsia="Arial" w:hAnsi="Arial" w:cs="Arial"/>
          <w:sz w:val="18"/>
          <w:szCs w:val="18"/>
        </w:rPr>
        <w:t xml:space="preserve"> </w:t>
      </w:r>
      <w:r w:rsidR="00A146FB">
        <w:rPr>
          <w:rFonts w:ascii="Arial" w:eastAsia="Arial" w:hAnsi="Arial" w:cs="Arial"/>
          <w:sz w:val="16"/>
          <w:szCs w:val="18"/>
        </w:rPr>
        <w:t>[…]</w:t>
      </w:r>
      <w:r w:rsidRPr="00234FBC">
        <w:rPr>
          <w:rFonts w:ascii="Arial" w:eastAsia="Arial" w:hAnsi="Arial" w:cs="Arial"/>
          <w:sz w:val="18"/>
          <w:szCs w:val="18"/>
        </w:rPr>
        <w:t xml:space="preserve">. </w:t>
      </w:r>
      <w:r w:rsidRPr="00A146FB">
        <w:rPr>
          <w:rFonts w:ascii="Arial" w:eastAsia="Arial" w:hAnsi="Arial" w:cs="Arial"/>
          <w:color w:val="FF0000"/>
          <w:sz w:val="18"/>
          <w:szCs w:val="18"/>
        </w:rPr>
        <w:t>Furthermore, lack of birth registration has serious implications for the rights of girls and facilitates trafficking</w:t>
      </w:r>
      <w:r w:rsidRPr="00234FBC">
        <w:rPr>
          <w:rFonts w:ascii="Arial" w:eastAsia="Arial" w:hAnsi="Arial" w:cs="Arial"/>
          <w:sz w:val="18"/>
          <w:szCs w:val="18"/>
        </w:rPr>
        <w:t>.”</w:t>
      </w:r>
      <w:r w:rsidRPr="00234FBC">
        <w:rPr>
          <w:rStyle w:val="FootnoteReference"/>
          <w:rFonts w:ascii="Arial" w:eastAsia="Arial" w:hAnsi="Arial" w:cs="Arial"/>
          <w:sz w:val="18"/>
          <w:szCs w:val="18"/>
        </w:rPr>
        <w:footnoteReference w:id="13"/>
      </w:r>
      <w:r w:rsidRPr="00234FBC">
        <w:rPr>
          <w:rFonts w:ascii="Arial" w:eastAsia="Arial" w:hAnsi="Arial" w:cs="Arial"/>
          <w:sz w:val="18"/>
          <w:szCs w:val="18"/>
        </w:rPr>
        <w:t xml:space="preserve"> </w:t>
      </w:r>
    </w:p>
    <w:p w14:paraId="2B7E023E" w14:textId="314DD8D5" w:rsidR="0038532D" w:rsidRPr="00234FBC" w:rsidRDefault="0038532D" w:rsidP="00EA4255">
      <w:pPr>
        <w:pStyle w:val="ListParagraph"/>
        <w:numPr>
          <w:ilvl w:val="0"/>
          <w:numId w:val="24"/>
        </w:numPr>
        <w:ind w:left="567"/>
        <w:jc w:val="both"/>
        <w:rPr>
          <w:rFonts w:ascii="Arial" w:eastAsia="Arial" w:hAnsi="Arial" w:cs="Arial"/>
          <w:color w:val="000000" w:themeColor="text1"/>
          <w:sz w:val="18"/>
          <w:szCs w:val="18"/>
        </w:rPr>
      </w:pPr>
      <w:r w:rsidRPr="00234FBC">
        <w:rPr>
          <w:rFonts w:ascii="Arial" w:eastAsia="Arial" w:hAnsi="Arial" w:cs="Arial"/>
          <w:b/>
          <w:bCs/>
          <w:sz w:val="18"/>
          <w:szCs w:val="18"/>
        </w:rPr>
        <w:t xml:space="preserve">Paragraph 25(c)(iii): </w:t>
      </w:r>
      <w:r w:rsidRPr="00234FBC">
        <w:rPr>
          <w:rFonts w:ascii="Arial" w:eastAsia="Arial" w:hAnsi="Arial" w:cs="Arial"/>
          <w:sz w:val="18"/>
          <w:szCs w:val="18"/>
        </w:rPr>
        <w:t xml:space="preserve">“Its potential link with bonded labour, domestic servitude, </w:t>
      </w:r>
      <w:r w:rsidRPr="00A146FB">
        <w:rPr>
          <w:rFonts w:ascii="Arial" w:eastAsia="Arial" w:hAnsi="Arial" w:cs="Arial"/>
          <w:color w:val="FF0000"/>
          <w:sz w:val="18"/>
          <w:szCs w:val="18"/>
        </w:rPr>
        <w:t>gender-based violence</w:t>
      </w:r>
      <w:r w:rsidR="00A146FB">
        <w:rPr>
          <w:rFonts w:ascii="Arial" w:eastAsia="Arial" w:hAnsi="Arial" w:cs="Arial"/>
          <w:color w:val="FF0000"/>
          <w:sz w:val="18"/>
          <w:szCs w:val="18"/>
        </w:rPr>
        <w:t>,</w:t>
      </w:r>
      <w:r w:rsidRPr="00A146FB">
        <w:rPr>
          <w:rFonts w:ascii="Arial" w:eastAsia="Arial" w:hAnsi="Arial" w:cs="Arial"/>
          <w:color w:val="FF0000"/>
          <w:sz w:val="18"/>
          <w:szCs w:val="18"/>
        </w:rPr>
        <w:t xml:space="preserve"> </w:t>
      </w:r>
      <w:r w:rsidRPr="00234FBC">
        <w:rPr>
          <w:rFonts w:ascii="Arial" w:eastAsia="Arial" w:hAnsi="Arial" w:cs="Arial"/>
          <w:sz w:val="18"/>
          <w:szCs w:val="18"/>
        </w:rPr>
        <w:t xml:space="preserve">and abuse, and child, </w:t>
      </w:r>
      <w:r w:rsidRPr="00A146FB">
        <w:rPr>
          <w:rFonts w:ascii="Arial" w:eastAsia="Arial" w:hAnsi="Arial" w:cs="Arial"/>
          <w:color w:val="FF0000"/>
          <w:sz w:val="18"/>
          <w:szCs w:val="18"/>
        </w:rPr>
        <w:t>early</w:t>
      </w:r>
      <w:r w:rsidRPr="00234FBC">
        <w:rPr>
          <w:rFonts w:ascii="Arial" w:eastAsia="Arial" w:hAnsi="Arial" w:cs="Arial"/>
          <w:sz w:val="18"/>
          <w:szCs w:val="18"/>
        </w:rPr>
        <w:t>, and forced marriage;”</w:t>
      </w:r>
    </w:p>
    <w:p w14:paraId="1C28E110" w14:textId="40C42FF4" w:rsidR="0038532D" w:rsidRPr="00234FBC" w:rsidRDefault="0038532D" w:rsidP="00EA4255">
      <w:pPr>
        <w:pStyle w:val="ListParagraph"/>
        <w:numPr>
          <w:ilvl w:val="0"/>
          <w:numId w:val="24"/>
        </w:numPr>
        <w:ind w:left="567"/>
        <w:jc w:val="both"/>
        <w:rPr>
          <w:rFonts w:ascii="Arial" w:eastAsia="Arial" w:hAnsi="Arial" w:cs="Arial"/>
          <w:color w:val="000000" w:themeColor="text1"/>
          <w:sz w:val="18"/>
          <w:szCs w:val="18"/>
        </w:rPr>
      </w:pPr>
      <w:r w:rsidRPr="00234FBC">
        <w:rPr>
          <w:rFonts w:ascii="Arial" w:eastAsia="Arial" w:hAnsi="Arial" w:cs="Arial"/>
          <w:b/>
          <w:bCs/>
          <w:color w:val="000000" w:themeColor="text1"/>
          <w:sz w:val="18"/>
          <w:szCs w:val="18"/>
        </w:rPr>
        <w:t>Paragraphs 26-27:</w:t>
      </w:r>
      <w:r w:rsidRPr="00234FBC">
        <w:rPr>
          <w:rFonts w:ascii="Arial" w:eastAsia="Arial" w:hAnsi="Arial" w:cs="Arial"/>
          <w:color w:val="000000" w:themeColor="text1"/>
          <w:sz w:val="18"/>
          <w:szCs w:val="18"/>
        </w:rPr>
        <w:t xml:space="preserve"> </w:t>
      </w:r>
      <w:r w:rsidR="00051B42">
        <w:rPr>
          <w:rFonts w:ascii="Arial" w:eastAsia="Arial" w:hAnsi="Arial" w:cs="Arial"/>
          <w:color w:val="000000" w:themeColor="text1"/>
          <w:sz w:val="18"/>
          <w:szCs w:val="18"/>
        </w:rPr>
        <w:t>Include</w:t>
      </w:r>
      <w:r w:rsidRPr="00234FBC">
        <w:rPr>
          <w:rFonts w:ascii="Arial" w:eastAsia="Arial" w:hAnsi="Arial" w:cs="Arial"/>
          <w:color w:val="000000" w:themeColor="text1"/>
          <w:sz w:val="18"/>
          <w:szCs w:val="18"/>
        </w:rPr>
        <w:t xml:space="preserve"> additional recommendations calling on States parties to challenge gender norms and stereotypes in society, which are among the key root causes of trafficking in women and girls.</w:t>
      </w:r>
    </w:p>
    <w:p w14:paraId="674EE2CD" w14:textId="2D5CCE02" w:rsidR="0038532D" w:rsidRPr="00234FBC" w:rsidRDefault="0038532D" w:rsidP="00EA4255">
      <w:pPr>
        <w:pStyle w:val="ListParagraph"/>
        <w:numPr>
          <w:ilvl w:val="0"/>
          <w:numId w:val="24"/>
        </w:numPr>
        <w:ind w:left="567"/>
        <w:jc w:val="both"/>
        <w:rPr>
          <w:rFonts w:ascii="Arial" w:eastAsia="Arial" w:hAnsi="Arial" w:cs="Arial"/>
          <w:color w:val="000000" w:themeColor="text1"/>
          <w:sz w:val="18"/>
          <w:szCs w:val="18"/>
        </w:rPr>
      </w:pPr>
      <w:r w:rsidRPr="00234FBC">
        <w:rPr>
          <w:rFonts w:ascii="Arial" w:eastAsia="Arial" w:hAnsi="Arial" w:cs="Arial"/>
          <w:b/>
          <w:bCs/>
          <w:color w:val="000000" w:themeColor="text1"/>
          <w:sz w:val="18"/>
          <w:szCs w:val="18"/>
        </w:rPr>
        <w:t>Paragraph 67:</w:t>
      </w:r>
      <w:r w:rsidRPr="00234FBC">
        <w:rPr>
          <w:rFonts w:ascii="Arial" w:eastAsia="Arial" w:hAnsi="Arial" w:cs="Arial"/>
          <w:color w:val="000000" w:themeColor="text1"/>
          <w:sz w:val="18"/>
          <w:szCs w:val="18"/>
        </w:rPr>
        <w:t xml:space="preserve"> Include additional recommendations on </w:t>
      </w:r>
      <w:r w:rsidR="00A146FB">
        <w:rPr>
          <w:rFonts w:ascii="Arial" w:eastAsia="Arial" w:hAnsi="Arial" w:cs="Arial"/>
          <w:color w:val="000000" w:themeColor="text1"/>
          <w:sz w:val="18"/>
          <w:szCs w:val="18"/>
        </w:rPr>
        <w:t xml:space="preserve">the </w:t>
      </w:r>
      <w:r w:rsidRPr="00234FBC">
        <w:rPr>
          <w:rFonts w:ascii="Arial" w:eastAsia="Arial" w:hAnsi="Arial" w:cs="Arial"/>
          <w:color w:val="000000" w:themeColor="text1"/>
          <w:sz w:val="18"/>
          <w:szCs w:val="18"/>
        </w:rPr>
        <w:t>elimination of discrimination in access to health care, including mental health care</w:t>
      </w:r>
      <w:r w:rsidR="00A146FB">
        <w:rPr>
          <w:rFonts w:ascii="Arial" w:eastAsia="Arial" w:hAnsi="Arial" w:cs="Arial"/>
          <w:color w:val="000000" w:themeColor="text1"/>
          <w:sz w:val="18"/>
          <w:szCs w:val="18"/>
        </w:rPr>
        <w:t>,</w:t>
      </w:r>
      <w:r w:rsidRPr="00234FBC">
        <w:rPr>
          <w:rFonts w:ascii="Arial" w:eastAsia="Arial" w:hAnsi="Arial" w:cs="Arial"/>
          <w:color w:val="000000" w:themeColor="text1"/>
          <w:sz w:val="18"/>
          <w:szCs w:val="18"/>
        </w:rPr>
        <w:t xml:space="preserve"> to support and enable survivors to recover from long-lasting trauma.</w:t>
      </w:r>
    </w:p>
    <w:p w14:paraId="585FB0F5" w14:textId="77777777" w:rsidR="0038532D" w:rsidRPr="0038532D" w:rsidRDefault="0038532D" w:rsidP="00EA4255">
      <w:pPr>
        <w:pStyle w:val="ListParagraph"/>
        <w:ind w:left="619"/>
        <w:jc w:val="both"/>
        <w:rPr>
          <w:rFonts w:ascii="Arial" w:eastAsia="Arial" w:hAnsi="Arial" w:cs="Arial"/>
          <w:color w:val="000000" w:themeColor="text1"/>
          <w:sz w:val="20"/>
          <w:szCs w:val="20"/>
        </w:rPr>
      </w:pPr>
    </w:p>
    <w:p w14:paraId="6A1482B7" w14:textId="77777777" w:rsidR="0038532D" w:rsidRPr="0038532D" w:rsidRDefault="0038532D" w:rsidP="0038532D">
      <w:pPr>
        <w:pStyle w:val="ListParagraph"/>
        <w:numPr>
          <w:ilvl w:val="1"/>
          <w:numId w:val="23"/>
        </w:numPr>
        <w:ind w:left="284" w:hanging="568"/>
        <w:contextualSpacing w:val="0"/>
        <w:jc w:val="both"/>
        <w:rPr>
          <w:rFonts w:ascii="Arial" w:eastAsia="Arial" w:hAnsi="Arial" w:cs="Arial"/>
          <w:b/>
          <w:bCs/>
          <w:sz w:val="20"/>
          <w:szCs w:val="20"/>
        </w:rPr>
      </w:pPr>
      <w:r w:rsidRPr="0038532D">
        <w:rPr>
          <w:rFonts w:ascii="Arial" w:eastAsia="Arial" w:hAnsi="Arial" w:cs="Arial"/>
          <w:b/>
          <w:bCs/>
          <w:sz w:val="20"/>
          <w:szCs w:val="20"/>
        </w:rPr>
        <w:t>Diversity</w:t>
      </w:r>
    </w:p>
    <w:p w14:paraId="2FE78CE9" w14:textId="52763B2B"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 xml:space="preserve">Paragraph 18 of the draft general Recommendation recognises that women are not a homogenous group and that their experiences as trafficking victims are diverse. Women and girls are not only victims; they are also survivors. </w:t>
      </w:r>
      <w:r>
        <w:rPr>
          <w:rFonts w:ascii="Arial" w:eastAsia="Arial" w:hAnsi="Arial" w:cs="Arial"/>
          <w:sz w:val="20"/>
          <w:szCs w:val="20"/>
        </w:rPr>
        <w:t>The GAA</w:t>
      </w:r>
      <w:r w:rsidRPr="0038532D">
        <w:rPr>
          <w:rFonts w:ascii="Arial" w:eastAsia="Arial" w:hAnsi="Arial" w:cs="Arial"/>
          <w:sz w:val="20"/>
          <w:szCs w:val="20"/>
        </w:rPr>
        <w:t xml:space="preserve"> welcomes this acknowledgment that girls and women at the intersections of other forms of marginalisation are often disproportionately impacted by trafficking. </w:t>
      </w:r>
    </w:p>
    <w:p w14:paraId="611585BC" w14:textId="22272A3E" w:rsidR="0038532D" w:rsidRPr="0038532D" w:rsidRDefault="0038532D" w:rsidP="0038532D">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would like to propose a further strengthening of paragraph 18 to highlight additional forms of discrimination faced by women and girls, and to incorporate language on intersectionality from paragraph 18 of CEDAW’s General Comment No. 28, as follows:</w:t>
      </w:r>
    </w:p>
    <w:p w14:paraId="11B854E4" w14:textId="7DCC1F28" w:rsidR="0038532D" w:rsidRPr="00234FBC" w:rsidRDefault="0038532D" w:rsidP="0038532D">
      <w:pPr>
        <w:pStyle w:val="ListParagraph"/>
        <w:numPr>
          <w:ilvl w:val="0"/>
          <w:numId w:val="26"/>
        </w:numPr>
        <w:ind w:left="567"/>
        <w:jc w:val="both"/>
        <w:rPr>
          <w:rFonts w:ascii="Arial" w:eastAsia="Arial" w:hAnsi="Arial" w:cs="Arial"/>
          <w:sz w:val="18"/>
          <w:szCs w:val="18"/>
        </w:rPr>
      </w:pPr>
      <w:r w:rsidRPr="00234FBC">
        <w:rPr>
          <w:rFonts w:ascii="Arial" w:eastAsia="Arial" w:hAnsi="Arial" w:cs="Arial"/>
          <w:b/>
          <w:bCs/>
          <w:sz w:val="18"/>
          <w:szCs w:val="18"/>
        </w:rPr>
        <w:t xml:space="preserve">Paragraph 18: </w:t>
      </w:r>
      <w:r w:rsidRPr="00234FBC">
        <w:rPr>
          <w:rFonts w:ascii="Arial" w:eastAsia="Arial" w:hAnsi="Arial" w:cs="Arial"/>
          <w:sz w:val="18"/>
          <w:szCs w:val="18"/>
        </w:rPr>
        <w:t xml:space="preserve">“The Committee has acknowledged </w:t>
      </w:r>
      <w:r w:rsidR="00A146FB">
        <w:rPr>
          <w:rFonts w:ascii="Arial" w:eastAsia="Arial" w:hAnsi="Arial" w:cs="Arial"/>
          <w:sz w:val="16"/>
          <w:szCs w:val="18"/>
        </w:rPr>
        <w:t>[…]</w:t>
      </w:r>
      <w:r w:rsidR="00A146FB">
        <w:rPr>
          <w:rFonts w:ascii="Arial" w:eastAsia="Arial" w:hAnsi="Arial" w:cs="Arial"/>
          <w:sz w:val="18"/>
          <w:szCs w:val="18"/>
        </w:rPr>
        <w:t>.</w:t>
      </w:r>
      <w:r w:rsidRPr="00234FBC">
        <w:rPr>
          <w:rFonts w:ascii="Arial" w:eastAsia="Arial" w:hAnsi="Arial" w:cs="Arial"/>
          <w:sz w:val="18"/>
          <w:szCs w:val="18"/>
        </w:rPr>
        <w:t xml:space="preserve"> Discrimination on the basis of </w:t>
      </w:r>
      <w:r w:rsidRPr="00A146FB">
        <w:rPr>
          <w:rFonts w:ascii="Arial" w:eastAsia="Arial" w:hAnsi="Arial" w:cs="Arial"/>
          <w:color w:val="FF0000"/>
          <w:sz w:val="18"/>
          <w:szCs w:val="18"/>
        </w:rPr>
        <w:t>age</w:t>
      </w:r>
      <w:r w:rsidRPr="00234FBC">
        <w:rPr>
          <w:rFonts w:ascii="Arial" w:eastAsia="Arial" w:hAnsi="Arial" w:cs="Arial"/>
          <w:sz w:val="18"/>
          <w:szCs w:val="18"/>
        </w:rPr>
        <w:t xml:space="preserve">, sex or gender may affect women </w:t>
      </w:r>
      <w:r w:rsidRPr="00A146FB">
        <w:rPr>
          <w:rFonts w:ascii="Arial" w:eastAsia="Arial" w:hAnsi="Arial" w:cs="Arial"/>
          <w:color w:val="FF0000"/>
          <w:sz w:val="18"/>
          <w:szCs w:val="18"/>
        </w:rPr>
        <w:t xml:space="preserve">and girls </w:t>
      </w:r>
      <w:r w:rsidRPr="00234FBC">
        <w:rPr>
          <w:rFonts w:ascii="Arial" w:eastAsia="Arial" w:hAnsi="Arial" w:cs="Arial"/>
          <w:sz w:val="18"/>
          <w:szCs w:val="18"/>
        </w:rPr>
        <w:t xml:space="preserve">belonging to groups in situations of vulnerability in different ways. Women </w:t>
      </w:r>
      <w:r w:rsidRPr="00A146FB">
        <w:rPr>
          <w:rFonts w:ascii="Arial" w:eastAsia="Arial" w:hAnsi="Arial" w:cs="Arial"/>
          <w:color w:val="FF0000"/>
          <w:sz w:val="18"/>
          <w:szCs w:val="18"/>
        </w:rPr>
        <w:t xml:space="preserve">and girls </w:t>
      </w:r>
      <w:r w:rsidRPr="00234FBC">
        <w:rPr>
          <w:rFonts w:ascii="Arial" w:eastAsia="Arial" w:hAnsi="Arial" w:cs="Arial"/>
          <w:sz w:val="18"/>
          <w:szCs w:val="18"/>
        </w:rPr>
        <w:t xml:space="preserve">are not a homogenous group </w:t>
      </w:r>
      <w:r w:rsidR="00A146FB">
        <w:rPr>
          <w:rFonts w:ascii="Arial" w:eastAsia="Arial" w:hAnsi="Arial" w:cs="Arial"/>
          <w:sz w:val="16"/>
          <w:szCs w:val="18"/>
        </w:rPr>
        <w:t>[…]</w:t>
      </w:r>
      <w:r w:rsidRPr="00234FBC">
        <w:rPr>
          <w:rFonts w:ascii="Arial" w:eastAsia="Arial" w:hAnsi="Arial" w:cs="Arial"/>
          <w:sz w:val="18"/>
          <w:szCs w:val="18"/>
        </w:rPr>
        <w:t xml:space="preserve">. </w:t>
      </w:r>
      <w:r w:rsidRPr="00A146FB">
        <w:rPr>
          <w:rFonts w:ascii="Arial" w:eastAsia="Arial" w:hAnsi="Arial" w:cs="Arial"/>
          <w:color w:val="FF0000"/>
          <w:sz w:val="18"/>
          <w:szCs w:val="18"/>
        </w:rPr>
        <w:t>Women and girls may also suffer discrimination on the basis of their nationality, race, ethnicity, sexuality, minority identity, economic or social background, legal status, or because they live with one or more disabilities. The Committee encourages States parties to consider the underpinning concept of intersectionality and to adopt and pursue policies and programmes designed to eliminate additional intersecting forms of discrimination</w:t>
      </w:r>
      <w:r w:rsidRPr="00234FBC">
        <w:rPr>
          <w:rFonts w:ascii="Arial" w:eastAsia="Arial" w:hAnsi="Arial" w:cs="Arial"/>
          <w:sz w:val="18"/>
          <w:szCs w:val="18"/>
        </w:rPr>
        <w:t>.”</w:t>
      </w:r>
      <w:r w:rsidRPr="00234FBC">
        <w:rPr>
          <w:rStyle w:val="FootnoteReference"/>
          <w:rFonts w:ascii="Arial" w:eastAsia="Arial" w:hAnsi="Arial" w:cs="Arial"/>
          <w:sz w:val="18"/>
          <w:szCs w:val="18"/>
        </w:rPr>
        <w:footnoteReference w:id="14"/>
      </w:r>
      <w:r w:rsidRPr="00234FBC">
        <w:rPr>
          <w:rFonts w:ascii="Arial" w:eastAsia="Arial" w:hAnsi="Arial" w:cs="Arial"/>
          <w:sz w:val="18"/>
          <w:szCs w:val="18"/>
        </w:rPr>
        <w:t xml:space="preserve"> </w:t>
      </w:r>
    </w:p>
    <w:p w14:paraId="679D6F44" w14:textId="77777777" w:rsidR="0038532D" w:rsidRPr="0038532D" w:rsidRDefault="0038532D" w:rsidP="0038532D">
      <w:pPr>
        <w:pStyle w:val="ListParagraph"/>
        <w:ind w:left="567"/>
        <w:jc w:val="both"/>
        <w:rPr>
          <w:rFonts w:ascii="Arial" w:eastAsia="Arial" w:hAnsi="Arial" w:cs="Arial"/>
          <w:sz w:val="20"/>
          <w:szCs w:val="20"/>
        </w:rPr>
      </w:pPr>
    </w:p>
    <w:p w14:paraId="1DC265A3" w14:textId="77777777" w:rsidR="0038532D" w:rsidRPr="0038532D" w:rsidRDefault="0038532D" w:rsidP="0038532D">
      <w:pPr>
        <w:pStyle w:val="ListParagraph"/>
        <w:numPr>
          <w:ilvl w:val="1"/>
          <w:numId w:val="23"/>
        </w:numPr>
        <w:ind w:left="284" w:hanging="568"/>
        <w:jc w:val="both"/>
        <w:rPr>
          <w:rFonts w:ascii="Arial" w:eastAsia="Arial" w:hAnsi="Arial" w:cs="Arial"/>
          <w:b/>
          <w:bCs/>
          <w:sz w:val="20"/>
          <w:szCs w:val="20"/>
        </w:rPr>
      </w:pPr>
      <w:r w:rsidRPr="0038532D">
        <w:rPr>
          <w:rFonts w:ascii="Arial" w:eastAsia="Arial" w:hAnsi="Arial" w:cs="Arial"/>
          <w:b/>
          <w:bCs/>
          <w:sz w:val="20"/>
          <w:szCs w:val="20"/>
        </w:rPr>
        <w:t>Structure</w:t>
      </w:r>
    </w:p>
    <w:p w14:paraId="45C1E133" w14:textId="4E806EA5" w:rsidR="0038532D" w:rsidRPr="0038532D" w:rsidRDefault="0038532D" w:rsidP="0038532D">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welcomes the inclusion of Section IV of the draft General Recommendation which addresses a range of important topics. However, </w:t>
      </w:r>
      <w:r w:rsidR="00364EFB">
        <w:rPr>
          <w:rFonts w:ascii="Arial" w:eastAsia="Arial" w:hAnsi="Arial" w:cs="Arial"/>
          <w:sz w:val="20"/>
          <w:szCs w:val="20"/>
        </w:rPr>
        <w:t xml:space="preserve">the GAA </w:t>
      </w:r>
      <w:r w:rsidRPr="0038532D">
        <w:rPr>
          <w:rFonts w:ascii="Arial" w:eastAsia="Arial" w:hAnsi="Arial" w:cs="Arial"/>
          <w:sz w:val="20"/>
          <w:szCs w:val="20"/>
        </w:rPr>
        <w:t xml:space="preserve">believes that subsections (a-d) and (f-g) do not fall naturally under the Section IV heading of ‘Root causes and discouraging the demand that fosters exploitation through trafficking’. </w:t>
      </w:r>
      <w:bookmarkStart w:id="0" w:name="_GoBack"/>
      <w:bookmarkEnd w:id="0"/>
    </w:p>
    <w:p w14:paraId="39E94A34" w14:textId="338CF2F0" w:rsidR="0038532D" w:rsidRPr="0038532D" w:rsidRDefault="0038532D" w:rsidP="0038532D">
      <w:pPr>
        <w:ind w:left="-86"/>
        <w:jc w:val="both"/>
        <w:rPr>
          <w:rFonts w:ascii="Arial" w:eastAsia="Arial" w:hAnsi="Arial" w:cs="Arial"/>
          <w:sz w:val="20"/>
          <w:szCs w:val="20"/>
        </w:rPr>
      </w:pPr>
      <w:r>
        <w:rPr>
          <w:rFonts w:ascii="Arial" w:eastAsia="Arial" w:hAnsi="Arial" w:cs="Arial"/>
          <w:sz w:val="20"/>
          <w:szCs w:val="20"/>
        </w:rPr>
        <w:t>The GAA</w:t>
      </w:r>
      <w:r w:rsidRPr="0038532D">
        <w:rPr>
          <w:rFonts w:ascii="Arial" w:eastAsia="Arial" w:hAnsi="Arial" w:cs="Arial"/>
          <w:sz w:val="20"/>
          <w:szCs w:val="20"/>
        </w:rPr>
        <w:t xml:space="preserve"> would like to recommend that Sub-Sections (b-c) could be included in Section III on the legal framework, and that Sub-Sections (a), (d), and (f-g) could be included under a new Section that addresses vulnerability.</w:t>
      </w:r>
    </w:p>
    <w:p w14:paraId="45D07D37" w14:textId="083652CC" w:rsidR="0038532D" w:rsidRPr="0038532D" w:rsidRDefault="0038532D" w:rsidP="0038532D">
      <w:pPr>
        <w:ind w:left="-86"/>
        <w:jc w:val="both"/>
        <w:rPr>
          <w:rFonts w:ascii="Arial" w:eastAsia="Arial" w:hAnsi="Arial" w:cs="Arial"/>
          <w:sz w:val="20"/>
          <w:szCs w:val="20"/>
        </w:rPr>
      </w:pPr>
      <w:r w:rsidRPr="0038532D">
        <w:rPr>
          <w:rFonts w:ascii="Arial" w:eastAsia="Arial" w:hAnsi="Arial" w:cs="Arial"/>
          <w:sz w:val="20"/>
          <w:szCs w:val="20"/>
        </w:rPr>
        <w:t xml:space="preserve">Paragraph 25 outlines a range of important recommendations on data collection that </w:t>
      </w:r>
      <w:r>
        <w:rPr>
          <w:rFonts w:ascii="Arial" w:eastAsia="Arial" w:hAnsi="Arial" w:cs="Arial"/>
          <w:sz w:val="20"/>
          <w:szCs w:val="20"/>
        </w:rPr>
        <w:t>the GAA</w:t>
      </w:r>
      <w:r w:rsidRPr="0038532D">
        <w:rPr>
          <w:rFonts w:ascii="Arial" w:eastAsia="Arial" w:hAnsi="Arial" w:cs="Arial"/>
          <w:sz w:val="20"/>
          <w:szCs w:val="20"/>
        </w:rPr>
        <w:t xml:space="preserve"> believes would fit well under the current Sub-Section (a) on the disproportionate impact of trafficking on women and girls. Additionally, Sub-Section (a) could explicitly highlight the lack of adequate </w:t>
      </w:r>
      <w:r w:rsidR="00A146FB" w:rsidRPr="0038532D">
        <w:rPr>
          <w:rFonts w:ascii="Arial" w:eastAsia="Arial" w:hAnsi="Arial" w:cs="Arial"/>
          <w:sz w:val="20"/>
          <w:szCs w:val="20"/>
        </w:rPr>
        <w:t>data, which</w:t>
      </w:r>
      <w:r w:rsidRPr="0038532D">
        <w:rPr>
          <w:rFonts w:ascii="Arial" w:eastAsia="Arial" w:hAnsi="Arial" w:cs="Arial"/>
          <w:sz w:val="20"/>
          <w:szCs w:val="20"/>
        </w:rPr>
        <w:t xml:space="preserve"> provides the rationale for the range of recommendations on data collection.</w:t>
      </w:r>
    </w:p>
    <w:p w14:paraId="6A607607" w14:textId="7BF21AF0" w:rsidR="0038532D" w:rsidRPr="0038532D" w:rsidRDefault="00EA4255" w:rsidP="0038532D">
      <w:pPr>
        <w:pStyle w:val="ListParagraph"/>
        <w:numPr>
          <w:ilvl w:val="1"/>
          <w:numId w:val="23"/>
        </w:numPr>
        <w:ind w:left="284" w:hanging="568"/>
        <w:jc w:val="both"/>
        <w:rPr>
          <w:rFonts w:ascii="Arial" w:eastAsia="Arial" w:hAnsi="Arial" w:cs="Arial"/>
          <w:b/>
          <w:bCs/>
          <w:sz w:val="20"/>
          <w:szCs w:val="20"/>
        </w:rPr>
      </w:pPr>
      <w:r>
        <w:rPr>
          <w:rFonts w:ascii="Arial" w:eastAsia="Arial" w:hAnsi="Arial" w:cs="Arial"/>
          <w:b/>
          <w:bCs/>
          <w:sz w:val="20"/>
          <w:szCs w:val="20"/>
        </w:rPr>
        <w:t>A</w:t>
      </w:r>
      <w:r w:rsidR="0038532D" w:rsidRPr="0038532D">
        <w:rPr>
          <w:rFonts w:ascii="Arial" w:eastAsia="Arial" w:hAnsi="Arial" w:cs="Arial"/>
          <w:b/>
          <w:bCs/>
          <w:sz w:val="20"/>
          <w:szCs w:val="20"/>
        </w:rPr>
        <w:t>dditional resources</w:t>
      </w:r>
    </w:p>
    <w:p w14:paraId="119CDC96" w14:textId="77777777" w:rsidR="0038532D" w:rsidRPr="0038532D" w:rsidRDefault="0038532D" w:rsidP="0038532D">
      <w:pPr>
        <w:pStyle w:val="ListParagraph"/>
        <w:ind w:left="284"/>
        <w:jc w:val="both"/>
        <w:rPr>
          <w:rFonts w:ascii="Arial" w:eastAsia="Arial" w:hAnsi="Arial" w:cs="Arial"/>
          <w:b/>
          <w:bCs/>
          <w:sz w:val="20"/>
          <w:szCs w:val="20"/>
        </w:rPr>
      </w:pPr>
    </w:p>
    <w:p w14:paraId="49C72B80" w14:textId="77777777" w:rsidR="0038532D" w:rsidRPr="00234FBC" w:rsidRDefault="004D5502" w:rsidP="0038532D">
      <w:pPr>
        <w:pStyle w:val="ListParagraph"/>
        <w:numPr>
          <w:ilvl w:val="0"/>
          <w:numId w:val="26"/>
        </w:numPr>
        <w:ind w:left="426"/>
        <w:jc w:val="both"/>
        <w:rPr>
          <w:rFonts w:ascii="Arial" w:eastAsiaTheme="minorEastAsia" w:hAnsi="Arial" w:cs="Arial"/>
          <w:color w:val="0000FF"/>
          <w:sz w:val="18"/>
          <w:szCs w:val="18"/>
        </w:rPr>
      </w:pPr>
      <w:hyperlink r:id="rId12">
        <w:r w:rsidR="0038532D" w:rsidRPr="00234FBC">
          <w:rPr>
            <w:rStyle w:val="Hyperlink"/>
            <w:rFonts w:ascii="Arial" w:hAnsi="Arial" w:cs="Arial"/>
            <w:sz w:val="18"/>
            <w:szCs w:val="18"/>
          </w:rPr>
          <w:t>General Recommendation No. 28 on the Core Obligations of States Parties under Article 2 of the Convention on the Elimination of All Forms of Discrimination against Women</w:t>
        </w:r>
      </w:hyperlink>
      <w:r w:rsidR="0038532D" w:rsidRPr="00234FBC">
        <w:rPr>
          <w:rFonts w:ascii="Arial" w:hAnsi="Arial" w:cs="Arial"/>
          <w:sz w:val="18"/>
          <w:szCs w:val="18"/>
        </w:rPr>
        <w:t>, UN CEDAW, 2010.</w:t>
      </w:r>
      <w:r w:rsidR="0038532D" w:rsidRPr="00234FBC">
        <w:rPr>
          <w:rStyle w:val="Hyperlink"/>
          <w:rFonts w:ascii="Arial" w:hAnsi="Arial" w:cs="Arial"/>
          <w:sz w:val="18"/>
          <w:szCs w:val="18"/>
        </w:rPr>
        <w:t xml:space="preserve"> </w:t>
      </w:r>
    </w:p>
    <w:p w14:paraId="78DCB280" w14:textId="77777777" w:rsidR="0038532D" w:rsidRPr="00234FBC" w:rsidRDefault="004D5502" w:rsidP="0038532D">
      <w:pPr>
        <w:pStyle w:val="ListParagraph"/>
        <w:numPr>
          <w:ilvl w:val="0"/>
          <w:numId w:val="26"/>
        </w:numPr>
        <w:ind w:left="426"/>
        <w:jc w:val="both"/>
        <w:rPr>
          <w:rFonts w:ascii="Arial" w:eastAsiaTheme="minorEastAsia" w:hAnsi="Arial" w:cs="Arial"/>
          <w:color w:val="0000FF"/>
          <w:sz w:val="18"/>
          <w:szCs w:val="18"/>
        </w:rPr>
      </w:pPr>
      <w:hyperlink r:id="rId13">
        <w:r w:rsidR="0038532D" w:rsidRPr="00234FBC">
          <w:rPr>
            <w:rStyle w:val="Hyperlink"/>
            <w:rFonts w:ascii="Arial" w:eastAsia="Arial" w:hAnsi="Arial" w:cs="Arial"/>
            <w:sz w:val="18"/>
            <w:szCs w:val="18"/>
          </w:rPr>
          <w:t>Girls Rights are Human Rights</w:t>
        </w:r>
      </w:hyperlink>
      <w:r w:rsidR="0038532D" w:rsidRPr="00234FBC">
        <w:rPr>
          <w:rFonts w:ascii="Arial" w:hAnsi="Arial" w:cs="Arial"/>
          <w:sz w:val="18"/>
          <w:szCs w:val="18"/>
        </w:rPr>
        <w:t>, Plan International, 2017.</w:t>
      </w:r>
    </w:p>
    <w:p w14:paraId="45B8D302" w14:textId="77777777" w:rsidR="0038532D" w:rsidRPr="00234FBC" w:rsidRDefault="004D5502" w:rsidP="0038532D">
      <w:pPr>
        <w:pStyle w:val="ListParagraph"/>
        <w:numPr>
          <w:ilvl w:val="0"/>
          <w:numId w:val="26"/>
        </w:numPr>
        <w:ind w:left="426"/>
        <w:jc w:val="both"/>
        <w:rPr>
          <w:rFonts w:ascii="Arial" w:hAnsi="Arial" w:cs="Arial"/>
          <w:color w:val="0000FF"/>
          <w:sz w:val="18"/>
          <w:szCs w:val="18"/>
        </w:rPr>
      </w:pPr>
      <w:hyperlink r:id="rId14">
        <w:r w:rsidR="0038532D" w:rsidRPr="00234FBC">
          <w:rPr>
            <w:rStyle w:val="Hyperlink"/>
            <w:rFonts w:ascii="Arial" w:hAnsi="Arial" w:cs="Arial"/>
            <w:sz w:val="18"/>
            <w:szCs w:val="18"/>
          </w:rPr>
          <w:t>Joint General Comment No. 3 Committee on the Protection of the Rights of All Migrant Workers and Members of Their Families and No. 22 Committee on the Rights of the Child</w:t>
        </w:r>
      </w:hyperlink>
      <w:r w:rsidR="0038532D" w:rsidRPr="00234FBC">
        <w:rPr>
          <w:rFonts w:ascii="Arial" w:hAnsi="Arial" w:cs="Arial"/>
          <w:sz w:val="18"/>
          <w:szCs w:val="18"/>
        </w:rPr>
        <w:t>, CMW/C/GC/3-CRC/C/GC/22, UN CMW and UN CRC, 2017.</w:t>
      </w:r>
    </w:p>
    <w:p w14:paraId="5E83CCF7" w14:textId="77777777" w:rsidR="0038532D" w:rsidRPr="00234FBC" w:rsidRDefault="004D5502" w:rsidP="0038532D">
      <w:pPr>
        <w:pStyle w:val="ListParagraph"/>
        <w:numPr>
          <w:ilvl w:val="0"/>
          <w:numId w:val="26"/>
        </w:numPr>
        <w:ind w:left="426"/>
        <w:jc w:val="both"/>
        <w:rPr>
          <w:rFonts w:ascii="Arial" w:hAnsi="Arial" w:cs="Arial"/>
          <w:color w:val="0000FF"/>
          <w:sz w:val="18"/>
          <w:szCs w:val="18"/>
        </w:rPr>
      </w:pPr>
      <w:hyperlink r:id="rId15">
        <w:r w:rsidR="0038532D" w:rsidRPr="00234FBC">
          <w:rPr>
            <w:rStyle w:val="Hyperlink"/>
            <w:rFonts w:ascii="Arial" w:hAnsi="Arial" w:cs="Arial"/>
            <w:sz w:val="18"/>
            <w:szCs w:val="18"/>
          </w:rPr>
          <w:t>Joint General Comment No. 4 Committee on the Protection of the Rights of All Migrant Workers and Members of Their Families and No. 23 Committee on the Rights of the Child</w:t>
        </w:r>
      </w:hyperlink>
      <w:r w:rsidR="0038532D" w:rsidRPr="00234FBC">
        <w:rPr>
          <w:rFonts w:ascii="Arial" w:hAnsi="Arial" w:cs="Arial"/>
          <w:sz w:val="18"/>
          <w:szCs w:val="18"/>
        </w:rPr>
        <w:t>, CMW/C/GC/4-CRC/C/GC/23, UN CMW and UN CRC, 2017.</w:t>
      </w:r>
      <w:r w:rsidR="0038532D" w:rsidRPr="00234FBC">
        <w:rPr>
          <w:rStyle w:val="Hyperlink"/>
          <w:rFonts w:ascii="Arial" w:hAnsi="Arial" w:cs="Arial"/>
          <w:sz w:val="18"/>
          <w:szCs w:val="18"/>
        </w:rPr>
        <w:t xml:space="preserve"> </w:t>
      </w:r>
    </w:p>
    <w:p w14:paraId="015B0663" w14:textId="77777777" w:rsidR="0038532D" w:rsidRPr="00234FBC" w:rsidRDefault="004D5502" w:rsidP="0038532D">
      <w:pPr>
        <w:pStyle w:val="ListParagraph"/>
        <w:numPr>
          <w:ilvl w:val="0"/>
          <w:numId w:val="26"/>
        </w:numPr>
        <w:ind w:left="426"/>
        <w:jc w:val="both"/>
        <w:rPr>
          <w:rStyle w:val="Hyperlink"/>
          <w:rFonts w:ascii="Arial" w:eastAsiaTheme="minorEastAsia" w:hAnsi="Arial" w:cs="Arial"/>
          <w:sz w:val="18"/>
          <w:szCs w:val="18"/>
        </w:rPr>
      </w:pPr>
      <w:hyperlink r:id="rId16">
        <w:r w:rsidR="0038532D" w:rsidRPr="00234FBC">
          <w:rPr>
            <w:rStyle w:val="Hyperlink"/>
            <w:rFonts w:ascii="Arial" w:eastAsia="Arial" w:hAnsi="Arial" w:cs="Arial"/>
            <w:sz w:val="18"/>
            <w:szCs w:val="18"/>
          </w:rPr>
          <w:t>Sale of Children, Child Prostitution and Child Pornography</w:t>
        </w:r>
      </w:hyperlink>
      <w:r w:rsidR="0038532D" w:rsidRPr="00234FBC">
        <w:rPr>
          <w:rFonts w:ascii="Arial" w:eastAsia="Arial" w:hAnsi="Arial" w:cs="Arial"/>
          <w:sz w:val="18"/>
          <w:szCs w:val="18"/>
        </w:rPr>
        <w:t xml:space="preserve">, </w:t>
      </w:r>
      <w:r w:rsidR="0038532D" w:rsidRPr="00234FBC">
        <w:rPr>
          <w:rFonts w:ascii="Arial" w:hAnsi="Arial" w:cs="Arial"/>
          <w:sz w:val="18"/>
          <w:szCs w:val="18"/>
        </w:rPr>
        <w:t>A/70/222, UN General Assembly, 2015.</w:t>
      </w:r>
      <w:r w:rsidR="0038532D" w:rsidRPr="00234FBC">
        <w:rPr>
          <w:rStyle w:val="Hyperlink"/>
          <w:rFonts w:ascii="Arial" w:hAnsi="Arial" w:cs="Arial"/>
          <w:sz w:val="18"/>
          <w:szCs w:val="18"/>
        </w:rPr>
        <w:t xml:space="preserve"> </w:t>
      </w:r>
    </w:p>
    <w:p w14:paraId="1C10B199" w14:textId="76321C30" w:rsidR="0038532D" w:rsidRPr="00234FBC" w:rsidRDefault="004D5502" w:rsidP="0038532D">
      <w:pPr>
        <w:pStyle w:val="ListParagraph"/>
        <w:numPr>
          <w:ilvl w:val="0"/>
          <w:numId w:val="26"/>
        </w:numPr>
        <w:ind w:left="426"/>
        <w:jc w:val="both"/>
        <w:rPr>
          <w:rFonts w:ascii="Arial" w:eastAsiaTheme="minorEastAsia" w:hAnsi="Arial" w:cs="Arial"/>
          <w:color w:val="0000FF"/>
          <w:sz w:val="18"/>
          <w:szCs w:val="18"/>
        </w:rPr>
      </w:pPr>
      <w:hyperlink r:id="rId17" w:history="1">
        <w:r w:rsidR="0038532D" w:rsidRPr="00234FBC">
          <w:rPr>
            <w:rStyle w:val="Hyperlink"/>
            <w:rFonts w:ascii="Arial" w:hAnsi="Arial" w:cs="Arial"/>
            <w:sz w:val="18"/>
            <w:szCs w:val="18"/>
          </w:rPr>
          <w:t>The Impact of Migration on Migrant Women and Girls: A Gender Perspective</w:t>
        </w:r>
      </w:hyperlink>
      <w:r w:rsidR="0038532D" w:rsidRPr="00234FBC">
        <w:rPr>
          <w:rFonts w:ascii="Arial" w:hAnsi="Arial" w:cs="Arial"/>
          <w:sz w:val="18"/>
          <w:szCs w:val="18"/>
        </w:rPr>
        <w:t xml:space="preserve">, A/HRC/41/38, </w:t>
      </w:r>
      <w:r w:rsidR="00234FBC" w:rsidRPr="00234FBC">
        <w:rPr>
          <w:rFonts w:ascii="Arial" w:hAnsi="Arial" w:cs="Arial"/>
          <w:sz w:val="18"/>
          <w:szCs w:val="18"/>
        </w:rPr>
        <w:t xml:space="preserve">UN </w:t>
      </w:r>
      <w:r w:rsidR="0038532D" w:rsidRPr="00234FBC">
        <w:rPr>
          <w:rFonts w:ascii="Arial" w:hAnsi="Arial" w:cs="Arial"/>
          <w:sz w:val="18"/>
          <w:szCs w:val="18"/>
        </w:rPr>
        <w:t>Special Rapporteur on</w:t>
      </w:r>
      <w:r w:rsidR="00234FBC" w:rsidRPr="00234FBC">
        <w:rPr>
          <w:rFonts w:ascii="Arial" w:hAnsi="Arial" w:cs="Arial"/>
          <w:sz w:val="18"/>
          <w:szCs w:val="18"/>
        </w:rPr>
        <w:t xml:space="preserve"> the Human Rights of Migrants</w:t>
      </w:r>
      <w:r w:rsidR="0038532D" w:rsidRPr="00234FBC">
        <w:rPr>
          <w:rFonts w:ascii="Arial" w:hAnsi="Arial" w:cs="Arial"/>
          <w:sz w:val="18"/>
          <w:szCs w:val="18"/>
        </w:rPr>
        <w:t>, 2019.</w:t>
      </w:r>
    </w:p>
    <w:p w14:paraId="477A05D0" w14:textId="77777777" w:rsidR="0038532D" w:rsidRPr="00234FBC" w:rsidRDefault="004D5502" w:rsidP="0038532D">
      <w:pPr>
        <w:pStyle w:val="ListParagraph"/>
        <w:numPr>
          <w:ilvl w:val="0"/>
          <w:numId w:val="26"/>
        </w:numPr>
        <w:ind w:left="426"/>
        <w:jc w:val="both"/>
        <w:rPr>
          <w:rFonts w:ascii="Arial" w:eastAsiaTheme="minorEastAsia" w:hAnsi="Arial" w:cs="Arial"/>
          <w:color w:val="0000FF"/>
          <w:sz w:val="18"/>
          <w:szCs w:val="18"/>
        </w:rPr>
      </w:pPr>
      <w:hyperlink r:id="rId18">
        <w:r w:rsidR="0038532D" w:rsidRPr="00234FBC">
          <w:rPr>
            <w:rStyle w:val="Hyperlink"/>
            <w:rFonts w:ascii="Arial" w:hAnsi="Arial" w:cs="Arial"/>
            <w:sz w:val="18"/>
            <w:szCs w:val="18"/>
          </w:rPr>
          <w:t>The Trafficking of Girls and Young Women: E</w:t>
        </w:r>
        <w:r w:rsidR="0038532D" w:rsidRPr="00234FBC">
          <w:rPr>
            <w:rStyle w:val="Hyperlink"/>
            <w:rFonts w:ascii="Arial" w:eastAsia="Arial" w:hAnsi="Arial" w:cs="Arial"/>
            <w:sz w:val="18"/>
            <w:szCs w:val="18"/>
          </w:rPr>
          <w:t>vidence for Prevention and Assistance</w:t>
        </w:r>
      </w:hyperlink>
      <w:r w:rsidR="0038532D" w:rsidRPr="00234FBC">
        <w:rPr>
          <w:rFonts w:ascii="Arial" w:eastAsia="Arial" w:hAnsi="Arial" w:cs="Arial"/>
          <w:sz w:val="18"/>
          <w:szCs w:val="18"/>
        </w:rPr>
        <w:t>, Plan International, Plan UK, IOM, London School of Hygiene and Tropical Medicine, 2019.</w:t>
      </w:r>
    </w:p>
    <w:p w14:paraId="2F3DC9A1" w14:textId="77777777" w:rsidR="0038532D" w:rsidRPr="00234FBC" w:rsidRDefault="004D5502" w:rsidP="0038532D">
      <w:pPr>
        <w:pStyle w:val="ListParagraph"/>
        <w:numPr>
          <w:ilvl w:val="0"/>
          <w:numId w:val="22"/>
        </w:numPr>
        <w:ind w:left="432"/>
        <w:jc w:val="both"/>
        <w:rPr>
          <w:rFonts w:ascii="Arial" w:eastAsiaTheme="minorEastAsia" w:hAnsi="Arial" w:cs="Arial"/>
          <w:color w:val="0000FF"/>
          <w:sz w:val="18"/>
          <w:szCs w:val="18"/>
        </w:rPr>
      </w:pPr>
      <w:hyperlink r:id="rId19">
        <w:r w:rsidR="0038532D" w:rsidRPr="00234FBC">
          <w:rPr>
            <w:rStyle w:val="Hyperlink"/>
            <w:rFonts w:ascii="Arial" w:eastAsia="Arial" w:hAnsi="Arial" w:cs="Arial"/>
            <w:sz w:val="18"/>
            <w:szCs w:val="18"/>
          </w:rPr>
          <w:t>Trafficking in Persons, Especially Women and Children</w:t>
        </w:r>
      </w:hyperlink>
      <w:r w:rsidR="0038532D" w:rsidRPr="00234FBC">
        <w:rPr>
          <w:rFonts w:ascii="Arial" w:eastAsia="Arial" w:hAnsi="Arial" w:cs="Arial"/>
          <w:sz w:val="18"/>
          <w:szCs w:val="18"/>
        </w:rPr>
        <w:t xml:space="preserve">, </w:t>
      </w:r>
      <w:r w:rsidR="0038532D" w:rsidRPr="00234FBC">
        <w:rPr>
          <w:rFonts w:ascii="Arial" w:hAnsi="Arial" w:cs="Arial"/>
          <w:sz w:val="18"/>
          <w:szCs w:val="18"/>
        </w:rPr>
        <w:t xml:space="preserve">A/69/269, </w:t>
      </w:r>
      <w:r w:rsidR="0038532D" w:rsidRPr="00234FBC">
        <w:rPr>
          <w:rFonts w:ascii="Arial" w:eastAsia="Arial" w:hAnsi="Arial" w:cs="Arial"/>
          <w:sz w:val="18"/>
          <w:szCs w:val="18"/>
        </w:rPr>
        <w:t>UN General Assembly,</w:t>
      </w:r>
      <w:r w:rsidR="0038532D" w:rsidRPr="00234FBC">
        <w:rPr>
          <w:rFonts w:ascii="Arial" w:hAnsi="Arial" w:cs="Arial"/>
          <w:sz w:val="18"/>
          <w:szCs w:val="18"/>
        </w:rPr>
        <w:t xml:space="preserve"> 2014. </w:t>
      </w:r>
      <w:r w:rsidR="0038532D" w:rsidRPr="00234FBC">
        <w:rPr>
          <w:rStyle w:val="Hyperlink"/>
          <w:rFonts w:ascii="Arial" w:hAnsi="Arial" w:cs="Arial"/>
          <w:sz w:val="18"/>
          <w:szCs w:val="18"/>
        </w:rPr>
        <w:t xml:space="preserve"> </w:t>
      </w:r>
    </w:p>
    <w:p w14:paraId="6FE128E1" w14:textId="4EBD0A33" w:rsidR="0038532D" w:rsidRPr="00234FBC" w:rsidRDefault="004D5502" w:rsidP="0038532D">
      <w:pPr>
        <w:pStyle w:val="ListParagraph"/>
        <w:numPr>
          <w:ilvl w:val="0"/>
          <w:numId w:val="22"/>
        </w:numPr>
        <w:ind w:left="432"/>
        <w:jc w:val="both"/>
        <w:rPr>
          <w:rFonts w:ascii="Arial" w:hAnsi="Arial" w:cs="Arial"/>
          <w:sz w:val="18"/>
          <w:szCs w:val="18"/>
        </w:rPr>
      </w:pPr>
      <w:hyperlink r:id="rId20">
        <w:r w:rsidR="0038532D" w:rsidRPr="00234FBC">
          <w:rPr>
            <w:rStyle w:val="Hyperlink"/>
            <w:rFonts w:ascii="Arial" w:hAnsi="Arial" w:cs="Arial"/>
            <w:sz w:val="18"/>
            <w:szCs w:val="18"/>
          </w:rPr>
          <w:t>Unbearable to the Human Heart: Child Trafficking and Action to Eliminate It</w:t>
        </w:r>
      </w:hyperlink>
      <w:r w:rsidR="0038532D" w:rsidRPr="00234FBC">
        <w:rPr>
          <w:rFonts w:ascii="Arial" w:hAnsi="Arial" w:cs="Arial"/>
          <w:sz w:val="18"/>
          <w:szCs w:val="18"/>
        </w:rPr>
        <w:t>, International Labour Organisation, 2002.</w:t>
      </w:r>
    </w:p>
    <w:sectPr w:rsidR="0038532D" w:rsidRPr="00234FBC" w:rsidSect="003C3BD8">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56F6C0" w14:textId="77777777" w:rsidR="00090074" w:rsidRDefault="00090074" w:rsidP="000B326E">
      <w:pPr>
        <w:spacing w:after="0" w:line="240" w:lineRule="auto"/>
      </w:pPr>
      <w:r>
        <w:separator/>
      </w:r>
    </w:p>
  </w:endnote>
  <w:endnote w:type="continuationSeparator" w:id="0">
    <w:p w14:paraId="56D90888" w14:textId="77777777" w:rsidR="00090074" w:rsidRDefault="00090074" w:rsidP="000B3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DK Hofstad">
    <w:altName w:val="Calibri"/>
    <w:panose1 w:val="02000000000000000000"/>
    <w:charset w:val="00"/>
    <w:family w:val="modern"/>
    <w:notTrueType/>
    <w:pitch w:val="variable"/>
    <w:sig w:usb0="80000007" w:usb1="00000002" w:usb2="00000000" w:usb3="00000000" w:csb0="0000008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871368"/>
      <w:docPartObj>
        <w:docPartGallery w:val="Page Numbers (Bottom of Page)"/>
        <w:docPartUnique/>
      </w:docPartObj>
    </w:sdtPr>
    <w:sdtEndPr/>
    <w:sdtContent>
      <w:p w14:paraId="0A537600" w14:textId="0B73A938" w:rsidR="00B879F6" w:rsidRDefault="00B879F6">
        <w:pPr>
          <w:pStyle w:val="Footer"/>
          <w:jc w:val="right"/>
        </w:pPr>
        <w:r>
          <w:fldChar w:fldCharType="begin"/>
        </w:r>
        <w:r>
          <w:instrText>PAGE   \* MERGEFORMAT</w:instrText>
        </w:r>
        <w:r>
          <w:fldChar w:fldCharType="separate"/>
        </w:r>
        <w:r w:rsidR="004D5502" w:rsidRPr="004D5502">
          <w:rPr>
            <w:noProof/>
            <w:lang w:val="fr-FR"/>
          </w:rPr>
          <w:t>5</w:t>
        </w:r>
        <w:r>
          <w:fldChar w:fldCharType="end"/>
        </w:r>
      </w:p>
    </w:sdtContent>
  </w:sdt>
  <w:p w14:paraId="3EE28F87" w14:textId="77777777" w:rsidR="00B879F6" w:rsidRDefault="00B879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5B168" w14:textId="77777777" w:rsidR="00090074" w:rsidRDefault="00090074" w:rsidP="000B326E">
      <w:pPr>
        <w:spacing w:after="0" w:line="240" w:lineRule="auto"/>
      </w:pPr>
      <w:r>
        <w:separator/>
      </w:r>
    </w:p>
  </w:footnote>
  <w:footnote w:type="continuationSeparator" w:id="0">
    <w:p w14:paraId="4F5BEC45" w14:textId="77777777" w:rsidR="00090074" w:rsidRDefault="00090074" w:rsidP="000B326E">
      <w:pPr>
        <w:spacing w:after="0" w:line="240" w:lineRule="auto"/>
      </w:pPr>
      <w:r>
        <w:continuationSeparator/>
      </w:r>
    </w:p>
  </w:footnote>
  <w:footnote w:id="1">
    <w:p w14:paraId="202BCB71" w14:textId="77777777" w:rsidR="0038532D" w:rsidRPr="00B9671F" w:rsidRDefault="0038532D" w:rsidP="00B9671F">
      <w:pPr>
        <w:autoSpaceDE w:val="0"/>
        <w:autoSpaceDN w:val="0"/>
        <w:adjustRightInd w:val="0"/>
        <w:spacing w:after="0" w:line="240" w:lineRule="auto"/>
        <w:jc w:val="both"/>
        <w:rPr>
          <w:rFonts w:ascii="Arial" w:eastAsiaTheme="minorHAnsi" w:hAnsi="Arial" w:cs="Arial"/>
          <w:color w:val="auto"/>
          <w:sz w:val="16"/>
          <w:szCs w:val="16"/>
          <w:lang w:eastAsia="en-US"/>
        </w:rPr>
      </w:pPr>
      <w:r>
        <w:rPr>
          <w:rStyle w:val="FootnoteReference"/>
        </w:rPr>
        <w:footnoteRef/>
      </w:r>
      <w:r>
        <w:t xml:space="preserve"> </w:t>
      </w:r>
      <w:r w:rsidRPr="00B9671F">
        <w:rPr>
          <w:rFonts w:ascii="Arial" w:eastAsiaTheme="minorHAnsi" w:hAnsi="Arial" w:cs="Arial"/>
          <w:color w:val="auto"/>
          <w:sz w:val="16"/>
          <w:szCs w:val="16"/>
          <w:lang w:eastAsia="en-US"/>
        </w:rPr>
        <w:t>The goal of the Girls Advocacy Alliance is to ensure that governments and private sector actors make changes in their agendas, policies, and practice to end GBV and EE of girls and young women. We aim to achieve this by building the capacity of civil society organizations to hold their governments and private sector actors accountable, and by mobilising key decision-makers to address social norms and values. To this end, the GAA has an international component that conducts advocacy at the international level and provides support to local partners in ten countries in Africa and Asia. The International Programme of GAA is implemented in Geneva and New York by Plan International, Terre des Hommes International Federation, Defence for Children International, and ECPAT International.</w:t>
      </w:r>
    </w:p>
  </w:footnote>
  <w:footnote w:id="2">
    <w:p w14:paraId="1CA0D853" w14:textId="50A541A7" w:rsidR="0038532D" w:rsidRPr="00B9671F" w:rsidRDefault="0038532D" w:rsidP="00B9671F">
      <w:pPr>
        <w:spacing w:after="0" w:line="240" w:lineRule="auto"/>
        <w:jc w:val="both"/>
        <w:rPr>
          <w:rFonts w:ascii="Arial" w:hAnsi="Arial" w:cs="Arial"/>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1">
        <w:r w:rsidR="00B9671F" w:rsidRPr="00B9671F">
          <w:rPr>
            <w:rStyle w:val="Hyperlink"/>
            <w:rFonts w:ascii="Arial" w:hAnsi="Arial" w:cs="Arial"/>
            <w:sz w:val="16"/>
            <w:szCs w:val="16"/>
          </w:rPr>
          <w:t>Unbearable to the Human Heart: Child Trafficking and Action to Eliminate It</w:t>
        </w:r>
      </w:hyperlink>
      <w:r w:rsidR="00B9671F" w:rsidRPr="00B9671F">
        <w:rPr>
          <w:rFonts w:ascii="Arial" w:hAnsi="Arial" w:cs="Arial"/>
          <w:sz w:val="16"/>
          <w:szCs w:val="16"/>
        </w:rPr>
        <w:t>, International Labour Organisation, 2002, p.27.</w:t>
      </w:r>
    </w:p>
  </w:footnote>
  <w:footnote w:id="3">
    <w:p w14:paraId="6197AE0F" w14:textId="733B7E3D" w:rsidR="0038532D" w:rsidRPr="00B9671F" w:rsidRDefault="0038532D" w:rsidP="00B9671F">
      <w:pPr>
        <w:pStyle w:val="FootnoteText"/>
        <w:jc w:val="both"/>
        <w:rPr>
          <w:rFonts w:ascii="Arial" w:hAnsi="Arial" w:cs="Arial"/>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2">
        <w:r w:rsidR="00B9671F" w:rsidRPr="00B9671F">
          <w:rPr>
            <w:rStyle w:val="Hyperlink"/>
            <w:rFonts w:ascii="Arial" w:hAnsi="Arial" w:cs="Arial"/>
            <w:sz w:val="16"/>
            <w:szCs w:val="16"/>
          </w:rPr>
          <w:t>Joint General Comment No. 4 Committee on the Protection of the Rights of All Migrant Workers and Members of Their Families and No. 23 Committee on the Rights of the Child</w:t>
        </w:r>
      </w:hyperlink>
      <w:r w:rsidR="00B9671F" w:rsidRPr="00B9671F">
        <w:rPr>
          <w:rFonts w:ascii="Arial" w:hAnsi="Arial" w:cs="Arial"/>
          <w:sz w:val="16"/>
          <w:szCs w:val="16"/>
        </w:rPr>
        <w:t>, CMW/C/GC/4-CRC/C/GC/23, UN CMW and UN CRC, 2017, para 35</w:t>
      </w:r>
      <w:r w:rsidRPr="00B9671F">
        <w:rPr>
          <w:rFonts w:ascii="Arial" w:eastAsia="Arial" w:hAnsi="Arial" w:cs="Arial"/>
          <w:sz w:val="16"/>
          <w:szCs w:val="16"/>
        </w:rPr>
        <w:t>.</w:t>
      </w:r>
    </w:p>
  </w:footnote>
  <w:footnote w:id="4">
    <w:p w14:paraId="12FD6159" w14:textId="0EFFEF43" w:rsidR="0038532D" w:rsidRPr="00B9671F" w:rsidRDefault="0038532D" w:rsidP="00B9671F">
      <w:pPr>
        <w:spacing w:after="0" w:line="240" w:lineRule="auto"/>
        <w:jc w:val="both"/>
        <w:rPr>
          <w:rFonts w:ascii="Arial" w:hAnsi="Arial" w:cs="Arial"/>
          <w:color w:val="0000FF"/>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3">
        <w:r w:rsidR="00B9671F" w:rsidRPr="00B9671F">
          <w:rPr>
            <w:rStyle w:val="Hyperlink"/>
            <w:rFonts w:ascii="Arial" w:hAnsi="Arial" w:cs="Arial"/>
            <w:sz w:val="16"/>
            <w:szCs w:val="16"/>
          </w:rPr>
          <w:t>Joint General Comment No. 3 Committee on the Protection of the Rights of All Migrant Workers and Members of Their Families and No. 22 Committee on the Rights of the Child</w:t>
        </w:r>
      </w:hyperlink>
      <w:r w:rsidR="00B9671F" w:rsidRPr="00B9671F">
        <w:rPr>
          <w:rFonts w:ascii="Arial" w:hAnsi="Arial" w:cs="Arial"/>
          <w:sz w:val="16"/>
          <w:szCs w:val="16"/>
        </w:rPr>
        <w:t>, CMW/C/GC/3-CRC/C/GC/22, UN CMW and UN CRC, 2017, para 40</w:t>
      </w:r>
      <w:r w:rsidRPr="00B9671F">
        <w:rPr>
          <w:rFonts w:ascii="Arial" w:eastAsia="Arial" w:hAnsi="Arial" w:cs="Arial"/>
          <w:sz w:val="16"/>
          <w:szCs w:val="16"/>
        </w:rPr>
        <w:t>.</w:t>
      </w:r>
    </w:p>
  </w:footnote>
  <w:footnote w:id="5">
    <w:p w14:paraId="1D8C5C64" w14:textId="38510F33" w:rsidR="0038532D" w:rsidRPr="00B9671F" w:rsidRDefault="0038532D" w:rsidP="00B9671F">
      <w:pPr>
        <w:pStyle w:val="FootnoteText"/>
        <w:jc w:val="both"/>
        <w:rPr>
          <w:rFonts w:ascii="Arial" w:hAnsi="Arial" w:cs="Arial"/>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4">
        <w:r w:rsidR="00B9671F" w:rsidRPr="00B9671F">
          <w:rPr>
            <w:rStyle w:val="Hyperlink"/>
            <w:rFonts w:ascii="Arial" w:hAnsi="Arial" w:cs="Arial"/>
            <w:sz w:val="16"/>
            <w:szCs w:val="16"/>
          </w:rPr>
          <w:t>Joint General Comment No. 4 Committee on the Protection of the Rights of All Migrant Workers and Members of Their Families and No. 23 Committee on the Rights of the Child</w:t>
        </w:r>
      </w:hyperlink>
      <w:r w:rsidR="00B9671F" w:rsidRPr="00B9671F">
        <w:rPr>
          <w:rFonts w:ascii="Arial" w:hAnsi="Arial" w:cs="Arial"/>
          <w:sz w:val="16"/>
          <w:szCs w:val="16"/>
        </w:rPr>
        <w:t>, CMW/C/GC/4-CRC/C/GC/23, UN CMW and UN CRC, 2017, para 26</w:t>
      </w:r>
      <w:r w:rsidRPr="00B9671F">
        <w:rPr>
          <w:rFonts w:ascii="Arial" w:eastAsia="Arial" w:hAnsi="Arial" w:cs="Arial"/>
          <w:sz w:val="16"/>
          <w:szCs w:val="16"/>
        </w:rPr>
        <w:t>.</w:t>
      </w:r>
    </w:p>
  </w:footnote>
  <w:footnote w:id="6">
    <w:p w14:paraId="2CC11FA0" w14:textId="644BC34D" w:rsidR="0038532D" w:rsidRPr="00B9671F" w:rsidRDefault="0038532D" w:rsidP="00B9671F">
      <w:pPr>
        <w:pStyle w:val="FootnoteText"/>
        <w:jc w:val="both"/>
        <w:rPr>
          <w:rFonts w:ascii="Arial" w:hAnsi="Arial" w:cs="Arial"/>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r w:rsidR="00A41377" w:rsidRPr="00B9671F">
        <w:rPr>
          <w:rFonts w:ascii="Arial" w:hAnsi="Arial" w:cs="Arial"/>
          <w:sz w:val="16"/>
          <w:szCs w:val="16"/>
        </w:rPr>
        <w:t>Ibid</w:t>
      </w:r>
      <w:r w:rsidRPr="00B9671F">
        <w:rPr>
          <w:rFonts w:ascii="Arial" w:eastAsia="Times New Roman" w:hAnsi="Arial" w:cs="Arial"/>
          <w:sz w:val="16"/>
          <w:szCs w:val="16"/>
        </w:rPr>
        <w:t>, para. 4</w:t>
      </w:r>
      <w:r w:rsidRPr="00B9671F">
        <w:rPr>
          <w:rFonts w:ascii="Arial" w:eastAsia="Arial" w:hAnsi="Arial" w:cs="Arial"/>
          <w:sz w:val="16"/>
          <w:szCs w:val="16"/>
        </w:rPr>
        <w:t>.</w:t>
      </w:r>
    </w:p>
  </w:footnote>
  <w:footnote w:id="7">
    <w:p w14:paraId="07E718EA" w14:textId="4AD14C3A" w:rsidR="0038532D" w:rsidRPr="004D5502" w:rsidRDefault="0038532D" w:rsidP="00B9671F">
      <w:pPr>
        <w:pStyle w:val="FootnoteText"/>
        <w:jc w:val="both"/>
        <w:rPr>
          <w:rFonts w:ascii="Arial" w:hAnsi="Arial" w:cs="Arial"/>
          <w:sz w:val="16"/>
          <w:szCs w:val="16"/>
        </w:rPr>
      </w:pPr>
      <w:r w:rsidRPr="00B9671F">
        <w:rPr>
          <w:rStyle w:val="FootnoteReference"/>
          <w:rFonts w:ascii="Arial" w:hAnsi="Arial" w:cs="Arial"/>
          <w:sz w:val="16"/>
          <w:szCs w:val="16"/>
        </w:rPr>
        <w:footnoteRef/>
      </w:r>
      <w:r w:rsidRPr="004D5502">
        <w:rPr>
          <w:rFonts w:ascii="Arial" w:hAnsi="Arial" w:cs="Arial"/>
          <w:sz w:val="16"/>
          <w:szCs w:val="16"/>
        </w:rPr>
        <w:t xml:space="preserve"> </w:t>
      </w:r>
      <w:hyperlink r:id="rId5">
        <w:r w:rsidR="00A41377" w:rsidRPr="00B9671F">
          <w:rPr>
            <w:rStyle w:val="Hyperlink"/>
            <w:rFonts w:ascii="Arial" w:eastAsia="Arial" w:hAnsi="Arial" w:cs="Arial"/>
            <w:sz w:val="16"/>
            <w:szCs w:val="16"/>
          </w:rPr>
          <w:t>Trafficking in Persons, Especially Women and Children</w:t>
        </w:r>
      </w:hyperlink>
      <w:r w:rsidR="00A41377" w:rsidRPr="00B9671F">
        <w:rPr>
          <w:rFonts w:ascii="Arial" w:eastAsia="Arial" w:hAnsi="Arial" w:cs="Arial"/>
          <w:sz w:val="16"/>
          <w:szCs w:val="16"/>
        </w:rPr>
        <w:t xml:space="preserve">, </w:t>
      </w:r>
      <w:r w:rsidR="00A41377" w:rsidRPr="00B9671F">
        <w:rPr>
          <w:rFonts w:ascii="Arial" w:hAnsi="Arial" w:cs="Arial"/>
          <w:sz w:val="16"/>
          <w:szCs w:val="16"/>
        </w:rPr>
        <w:t xml:space="preserve">A/69/269, </w:t>
      </w:r>
      <w:r w:rsidR="00A41377" w:rsidRPr="00B9671F">
        <w:rPr>
          <w:rFonts w:ascii="Arial" w:eastAsia="Arial" w:hAnsi="Arial" w:cs="Arial"/>
          <w:sz w:val="16"/>
          <w:szCs w:val="16"/>
        </w:rPr>
        <w:t>UN General Assembly,</w:t>
      </w:r>
      <w:r w:rsidR="00A41377" w:rsidRPr="00B9671F">
        <w:rPr>
          <w:rFonts w:ascii="Arial" w:hAnsi="Arial" w:cs="Arial"/>
          <w:sz w:val="16"/>
          <w:szCs w:val="16"/>
        </w:rPr>
        <w:t xml:space="preserve"> 2014, </w:t>
      </w:r>
      <w:r w:rsidRPr="004D5502">
        <w:rPr>
          <w:rStyle w:val="normaltextrun"/>
          <w:rFonts w:ascii="Arial" w:hAnsi="Arial" w:cs="Arial"/>
          <w:sz w:val="16"/>
          <w:szCs w:val="16"/>
          <w:shd w:val="clear" w:color="auto" w:fill="FFFFFF"/>
        </w:rPr>
        <w:t>para. 18.</w:t>
      </w:r>
      <w:r w:rsidRPr="004D5502">
        <w:rPr>
          <w:rStyle w:val="eop"/>
          <w:rFonts w:ascii="Arial" w:hAnsi="Arial" w:cs="Arial"/>
          <w:sz w:val="16"/>
          <w:szCs w:val="16"/>
          <w:shd w:val="clear" w:color="auto" w:fill="FFFFFF"/>
        </w:rPr>
        <w:t> </w:t>
      </w:r>
    </w:p>
  </w:footnote>
  <w:footnote w:id="8">
    <w:p w14:paraId="47B3900A" w14:textId="24EF4EEA" w:rsidR="0038532D" w:rsidRPr="004D5502" w:rsidRDefault="0038532D" w:rsidP="00B9671F">
      <w:pPr>
        <w:pStyle w:val="FootnoteText"/>
        <w:jc w:val="both"/>
        <w:rPr>
          <w:rFonts w:ascii="Arial" w:hAnsi="Arial" w:cs="Arial"/>
          <w:sz w:val="16"/>
          <w:szCs w:val="16"/>
        </w:rPr>
      </w:pPr>
      <w:r w:rsidRPr="00B9671F">
        <w:rPr>
          <w:rStyle w:val="FootnoteReference"/>
          <w:rFonts w:ascii="Arial" w:hAnsi="Arial" w:cs="Arial"/>
          <w:sz w:val="16"/>
          <w:szCs w:val="16"/>
        </w:rPr>
        <w:footnoteRef/>
      </w:r>
      <w:r w:rsidRPr="004D5502">
        <w:rPr>
          <w:rFonts w:ascii="Arial" w:hAnsi="Arial" w:cs="Arial"/>
          <w:sz w:val="16"/>
          <w:szCs w:val="16"/>
        </w:rPr>
        <w:t xml:space="preserve"> </w:t>
      </w:r>
      <w:hyperlink r:id="rId6">
        <w:r w:rsidR="00A41377" w:rsidRPr="00B9671F">
          <w:rPr>
            <w:rStyle w:val="Hyperlink"/>
            <w:rFonts w:ascii="Arial" w:eastAsia="Arial" w:hAnsi="Arial" w:cs="Arial"/>
            <w:sz w:val="16"/>
            <w:szCs w:val="16"/>
          </w:rPr>
          <w:t>Sale of Children, Child Prostitution and Child Pornography</w:t>
        </w:r>
      </w:hyperlink>
      <w:r w:rsidR="00A41377" w:rsidRPr="00B9671F">
        <w:rPr>
          <w:rFonts w:ascii="Arial" w:eastAsia="Arial" w:hAnsi="Arial" w:cs="Arial"/>
          <w:sz w:val="16"/>
          <w:szCs w:val="16"/>
        </w:rPr>
        <w:t xml:space="preserve">, </w:t>
      </w:r>
      <w:r w:rsidR="00A41377" w:rsidRPr="00B9671F">
        <w:rPr>
          <w:rFonts w:ascii="Arial" w:hAnsi="Arial" w:cs="Arial"/>
          <w:sz w:val="16"/>
          <w:szCs w:val="16"/>
        </w:rPr>
        <w:t>A/70/222, UN General Assembly, 2015,</w:t>
      </w:r>
      <w:r w:rsidRPr="004D5502">
        <w:rPr>
          <w:rStyle w:val="normaltextrun"/>
          <w:rFonts w:ascii="Arial" w:hAnsi="Arial" w:cs="Arial"/>
          <w:sz w:val="16"/>
          <w:szCs w:val="16"/>
          <w:shd w:val="clear" w:color="auto" w:fill="FFFFFF"/>
        </w:rPr>
        <w:t xml:space="preserve"> para. 88(d).</w:t>
      </w:r>
    </w:p>
  </w:footnote>
  <w:footnote w:id="9">
    <w:p w14:paraId="4EA9B0F7" w14:textId="59F20925" w:rsidR="0038532D" w:rsidRPr="00B9671F" w:rsidRDefault="0038532D" w:rsidP="00B9671F">
      <w:pPr>
        <w:spacing w:after="0" w:line="240" w:lineRule="auto"/>
        <w:jc w:val="both"/>
        <w:rPr>
          <w:rFonts w:ascii="Arial" w:eastAsiaTheme="minorEastAsia" w:hAnsi="Arial" w:cs="Arial"/>
          <w:color w:val="0000FF"/>
          <w:sz w:val="16"/>
          <w:szCs w:val="16"/>
        </w:rPr>
      </w:pPr>
      <w:r w:rsidRPr="00B9671F">
        <w:rPr>
          <w:rStyle w:val="FootnoteReference"/>
          <w:rFonts w:ascii="Arial" w:hAnsi="Arial" w:cs="Arial"/>
          <w:sz w:val="16"/>
          <w:szCs w:val="16"/>
        </w:rPr>
        <w:footnoteRef/>
      </w:r>
      <w:r w:rsidRPr="004D5502">
        <w:rPr>
          <w:rFonts w:ascii="Arial" w:hAnsi="Arial" w:cs="Arial"/>
          <w:sz w:val="16"/>
          <w:szCs w:val="16"/>
        </w:rPr>
        <w:t xml:space="preserve"> </w:t>
      </w:r>
      <w:hyperlink r:id="rId7">
        <w:r w:rsidR="00A41377" w:rsidRPr="00B9671F">
          <w:rPr>
            <w:rStyle w:val="Hyperlink"/>
            <w:rFonts w:ascii="Arial" w:eastAsia="Arial" w:hAnsi="Arial" w:cs="Arial"/>
            <w:sz w:val="16"/>
            <w:szCs w:val="16"/>
          </w:rPr>
          <w:t>Trafficking in Persons, Especially Women and Children</w:t>
        </w:r>
      </w:hyperlink>
      <w:r w:rsidR="00A41377" w:rsidRPr="00B9671F">
        <w:rPr>
          <w:rFonts w:ascii="Arial" w:eastAsia="Arial" w:hAnsi="Arial" w:cs="Arial"/>
          <w:sz w:val="16"/>
          <w:szCs w:val="16"/>
        </w:rPr>
        <w:t xml:space="preserve">, </w:t>
      </w:r>
      <w:r w:rsidR="00A41377" w:rsidRPr="00B9671F">
        <w:rPr>
          <w:rFonts w:ascii="Arial" w:hAnsi="Arial" w:cs="Arial"/>
          <w:sz w:val="16"/>
          <w:szCs w:val="16"/>
        </w:rPr>
        <w:t xml:space="preserve">A/69/269, </w:t>
      </w:r>
      <w:r w:rsidR="00A41377" w:rsidRPr="00B9671F">
        <w:rPr>
          <w:rFonts w:ascii="Arial" w:eastAsia="Arial" w:hAnsi="Arial" w:cs="Arial"/>
          <w:sz w:val="16"/>
          <w:szCs w:val="16"/>
        </w:rPr>
        <w:t>UN General Assembly,</w:t>
      </w:r>
      <w:r w:rsidR="00A41377" w:rsidRPr="00B9671F">
        <w:rPr>
          <w:rFonts w:ascii="Arial" w:hAnsi="Arial" w:cs="Arial"/>
          <w:sz w:val="16"/>
          <w:szCs w:val="16"/>
        </w:rPr>
        <w:t xml:space="preserve"> 2014</w:t>
      </w:r>
      <w:r w:rsidRPr="004D5502">
        <w:rPr>
          <w:rStyle w:val="normaltextrun"/>
          <w:rFonts w:ascii="Arial" w:hAnsi="Arial" w:cs="Arial"/>
          <w:sz w:val="16"/>
          <w:szCs w:val="16"/>
          <w:shd w:val="clear" w:color="auto" w:fill="FFFFFF"/>
        </w:rPr>
        <w:t>, para. 18.</w:t>
      </w:r>
      <w:r w:rsidRPr="004D5502">
        <w:rPr>
          <w:rStyle w:val="eop"/>
          <w:rFonts w:ascii="Arial" w:hAnsi="Arial" w:cs="Arial"/>
          <w:sz w:val="16"/>
          <w:szCs w:val="16"/>
          <w:shd w:val="clear" w:color="auto" w:fill="FFFFFF"/>
        </w:rPr>
        <w:t> </w:t>
      </w:r>
    </w:p>
  </w:footnote>
  <w:footnote w:id="10">
    <w:p w14:paraId="5EF6CBB2" w14:textId="6646B449" w:rsidR="0038532D" w:rsidRPr="00B9671F" w:rsidRDefault="0038532D" w:rsidP="00B9671F">
      <w:pPr>
        <w:spacing w:after="0" w:line="240" w:lineRule="auto"/>
        <w:jc w:val="both"/>
        <w:rPr>
          <w:rFonts w:ascii="Arial" w:eastAsiaTheme="minorEastAsia" w:hAnsi="Arial" w:cs="Arial"/>
          <w:color w:val="0000FF"/>
          <w:sz w:val="16"/>
          <w:szCs w:val="16"/>
          <w:u w:val="single"/>
        </w:rPr>
      </w:pPr>
      <w:r w:rsidRPr="00B9671F">
        <w:rPr>
          <w:rStyle w:val="FootnoteReference"/>
          <w:rFonts w:ascii="Arial" w:hAnsi="Arial" w:cs="Arial"/>
          <w:sz w:val="16"/>
          <w:szCs w:val="16"/>
        </w:rPr>
        <w:footnoteRef/>
      </w:r>
      <w:r w:rsidRPr="00364EFB">
        <w:rPr>
          <w:rFonts w:ascii="Arial" w:hAnsi="Arial" w:cs="Arial"/>
          <w:sz w:val="16"/>
          <w:szCs w:val="16"/>
        </w:rPr>
        <w:t xml:space="preserve"> </w:t>
      </w:r>
      <w:hyperlink r:id="rId8">
        <w:r w:rsidR="00A41377" w:rsidRPr="00B9671F">
          <w:rPr>
            <w:rStyle w:val="Hyperlink"/>
            <w:rFonts w:ascii="Arial" w:eastAsia="Arial" w:hAnsi="Arial" w:cs="Arial"/>
            <w:sz w:val="16"/>
            <w:szCs w:val="16"/>
          </w:rPr>
          <w:t>Sale of Children, Child Prostitution and Child Pornography</w:t>
        </w:r>
      </w:hyperlink>
      <w:r w:rsidR="00A41377" w:rsidRPr="00B9671F">
        <w:rPr>
          <w:rFonts w:ascii="Arial" w:eastAsia="Arial" w:hAnsi="Arial" w:cs="Arial"/>
          <w:sz w:val="16"/>
          <w:szCs w:val="16"/>
        </w:rPr>
        <w:t xml:space="preserve">, </w:t>
      </w:r>
      <w:r w:rsidR="00A41377" w:rsidRPr="00B9671F">
        <w:rPr>
          <w:rFonts w:ascii="Arial" w:hAnsi="Arial" w:cs="Arial"/>
          <w:sz w:val="16"/>
          <w:szCs w:val="16"/>
        </w:rPr>
        <w:t xml:space="preserve">A/70/222, UN General Assembly, 2015, </w:t>
      </w:r>
      <w:r w:rsidRPr="00364EFB">
        <w:rPr>
          <w:rStyle w:val="normaltextrun"/>
          <w:rFonts w:ascii="Arial" w:hAnsi="Arial" w:cs="Arial"/>
          <w:sz w:val="16"/>
          <w:szCs w:val="16"/>
          <w:shd w:val="clear" w:color="auto" w:fill="FFFFFF"/>
        </w:rPr>
        <w:t>para. 75.</w:t>
      </w:r>
    </w:p>
  </w:footnote>
  <w:footnote w:id="11">
    <w:p w14:paraId="3CF14EF2" w14:textId="1CAE9EE4" w:rsidR="0038532D" w:rsidRPr="00B9671F" w:rsidRDefault="0038532D" w:rsidP="00B9671F">
      <w:pPr>
        <w:spacing w:after="0" w:line="240" w:lineRule="auto"/>
        <w:jc w:val="both"/>
        <w:rPr>
          <w:rFonts w:ascii="Arial" w:eastAsiaTheme="minorEastAsia" w:hAnsi="Arial" w:cs="Arial"/>
          <w:color w:val="0000FF"/>
          <w:sz w:val="16"/>
          <w:szCs w:val="16"/>
        </w:rPr>
      </w:pPr>
      <w:r w:rsidRPr="00B9671F">
        <w:rPr>
          <w:rStyle w:val="FootnoteReference"/>
          <w:rFonts w:ascii="Arial" w:hAnsi="Arial" w:cs="Arial"/>
          <w:sz w:val="16"/>
          <w:szCs w:val="16"/>
        </w:rPr>
        <w:footnoteRef/>
      </w:r>
      <w:r w:rsidRPr="00B9671F">
        <w:rPr>
          <w:rFonts w:ascii="Arial" w:hAnsi="Arial" w:cs="Arial"/>
          <w:sz w:val="16"/>
          <w:szCs w:val="16"/>
          <w:lang w:val="it-IT"/>
        </w:rPr>
        <w:t xml:space="preserve"> </w:t>
      </w:r>
      <w:hyperlink r:id="rId9">
        <w:r w:rsidR="00A41377" w:rsidRPr="00B9671F">
          <w:rPr>
            <w:rStyle w:val="Hyperlink"/>
            <w:rFonts w:ascii="Arial" w:eastAsia="Arial" w:hAnsi="Arial" w:cs="Arial"/>
            <w:sz w:val="16"/>
            <w:szCs w:val="16"/>
          </w:rPr>
          <w:t>Trafficking in Persons, Especially Women and Children</w:t>
        </w:r>
      </w:hyperlink>
      <w:r w:rsidR="00A41377" w:rsidRPr="00B9671F">
        <w:rPr>
          <w:rFonts w:ascii="Arial" w:eastAsia="Arial" w:hAnsi="Arial" w:cs="Arial"/>
          <w:sz w:val="16"/>
          <w:szCs w:val="16"/>
        </w:rPr>
        <w:t xml:space="preserve">, </w:t>
      </w:r>
      <w:r w:rsidR="00A41377" w:rsidRPr="00B9671F">
        <w:rPr>
          <w:rFonts w:ascii="Arial" w:hAnsi="Arial" w:cs="Arial"/>
          <w:sz w:val="16"/>
          <w:szCs w:val="16"/>
        </w:rPr>
        <w:t xml:space="preserve">A/69/269, </w:t>
      </w:r>
      <w:r w:rsidR="00A41377" w:rsidRPr="00B9671F">
        <w:rPr>
          <w:rFonts w:ascii="Arial" w:eastAsia="Arial" w:hAnsi="Arial" w:cs="Arial"/>
          <w:sz w:val="16"/>
          <w:szCs w:val="16"/>
        </w:rPr>
        <w:t>UN General Assembly,</w:t>
      </w:r>
      <w:r w:rsidR="00A41377" w:rsidRPr="00B9671F">
        <w:rPr>
          <w:rFonts w:ascii="Arial" w:hAnsi="Arial" w:cs="Arial"/>
          <w:sz w:val="16"/>
          <w:szCs w:val="16"/>
        </w:rPr>
        <w:t xml:space="preserve"> 2014, </w:t>
      </w:r>
      <w:r w:rsidRPr="00B9671F">
        <w:rPr>
          <w:rStyle w:val="normaltextrun"/>
          <w:rFonts w:ascii="Arial" w:hAnsi="Arial" w:cs="Arial"/>
          <w:sz w:val="16"/>
          <w:szCs w:val="16"/>
          <w:shd w:val="clear" w:color="auto" w:fill="FFFFFF"/>
          <w:lang w:val="it-IT"/>
        </w:rPr>
        <w:t>para. </w:t>
      </w:r>
      <w:r w:rsidRPr="00B9671F">
        <w:rPr>
          <w:rStyle w:val="normaltextrun"/>
          <w:rFonts w:ascii="Arial" w:hAnsi="Arial" w:cs="Arial"/>
          <w:sz w:val="16"/>
          <w:szCs w:val="16"/>
          <w:shd w:val="clear" w:color="auto" w:fill="FFFFFF"/>
        </w:rPr>
        <w:t>8-9.</w:t>
      </w:r>
    </w:p>
  </w:footnote>
  <w:footnote w:id="12">
    <w:p w14:paraId="106E673E" w14:textId="6B70F71D" w:rsidR="0038532D" w:rsidRPr="00B9671F" w:rsidRDefault="0038532D" w:rsidP="00B9671F">
      <w:pPr>
        <w:spacing w:after="0" w:line="240" w:lineRule="auto"/>
        <w:jc w:val="both"/>
        <w:rPr>
          <w:rFonts w:ascii="Arial" w:hAnsi="Arial" w:cs="Arial"/>
          <w:color w:val="0000FF"/>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10">
        <w:r w:rsidR="00A41377" w:rsidRPr="00B9671F">
          <w:rPr>
            <w:rStyle w:val="Hyperlink"/>
            <w:rFonts w:ascii="Arial" w:hAnsi="Arial" w:cs="Arial"/>
            <w:sz w:val="16"/>
            <w:szCs w:val="16"/>
          </w:rPr>
          <w:t>Joint General Comment No. 4 Committee on the Protection of the Rights of All Migrant Workers and Members of Their Families and No. 23 Committee on the Rights of the Child</w:t>
        </w:r>
      </w:hyperlink>
      <w:r w:rsidR="00A41377" w:rsidRPr="00B9671F">
        <w:rPr>
          <w:rFonts w:ascii="Arial" w:hAnsi="Arial" w:cs="Arial"/>
          <w:sz w:val="16"/>
          <w:szCs w:val="16"/>
        </w:rPr>
        <w:t>, CMW/C/GC/4-CRC/C/GC/23, UN CMW and UN CRC, 2017, para 34-39.</w:t>
      </w:r>
    </w:p>
  </w:footnote>
  <w:footnote w:id="13">
    <w:p w14:paraId="767B7A61" w14:textId="7EA7F62A" w:rsidR="0038532D" w:rsidRPr="00B9671F" w:rsidRDefault="0038532D" w:rsidP="00B9671F">
      <w:pPr>
        <w:spacing w:after="0" w:line="240" w:lineRule="auto"/>
        <w:jc w:val="both"/>
        <w:rPr>
          <w:rFonts w:ascii="Arial" w:hAnsi="Arial" w:cs="Arial"/>
          <w:color w:val="0000FF"/>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r w:rsidR="00A41377" w:rsidRPr="00B9671F">
        <w:rPr>
          <w:rFonts w:ascii="Arial" w:hAnsi="Arial" w:cs="Arial"/>
          <w:sz w:val="16"/>
          <w:szCs w:val="16"/>
        </w:rPr>
        <w:t>Ibid, para 20-22</w:t>
      </w:r>
    </w:p>
  </w:footnote>
  <w:footnote w:id="14">
    <w:p w14:paraId="7A12D8AA" w14:textId="30E9958D" w:rsidR="0038532D" w:rsidRPr="00B9671F" w:rsidRDefault="0038532D" w:rsidP="00B9671F">
      <w:pPr>
        <w:spacing w:after="0" w:line="240" w:lineRule="auto"/>
        <w:jc w:val="both"/>
        <w:rPr>
          <w:rFonts w:ascii="Arial" w:eastAsiaTheme="minorEastAsia" w:hAnsi="Arial" w:cs="Arial"/>
          <w:color w:val="0000FF"/>
          <w:sz w:val="16"/>
          <w:szCs w:val="16"/>
        </w:rPr>
      </w:pPr>
      <w:r w:rsidRPr="00B9671F">
        <w:rPr>
          <w:rStyle w:val="FootnoteReference"/>
          <w:rFonts w:ascii="Arial" w:hAnsi="Arial" w:cs="Arial"/>
          <w:sz w:val="16"/>
          <w:szCs w:val="16"/>
        </w:rPr>
        <w:footnoteRef/>
      </w:r>
      <w:r w:rsidRPr="00B9671F">
        <w:rPr>
          <w:rFonts w:ascii="Arial" w:hAnsi="Arial" w:cs="Arial"/>
          <w:sz w:val="16"/>
          <w:szCs w:val="16"/>
        </w:rPr>
        <w:t xml:space="preserve"> </w:t>
      </w:r>
      <w:hyperlink r:id="rId11">
        <w:r w:rsidR="00A41377" w:rsidRPr="00B9671F">
          <w:rPr>
            <w:rStyle w:val="Hyperlink"/>
            <w:rFonts w:ascii="Arial" w:hAnsi="Arial" w:cs="Arial"/>
            <w:sz w:val="16"/>
            <w:szCs w:val="16"/>
          </w:rPr>
          <w:t>General Recommendation No. 28 on the Core Obligations of States Parties under Article 2 of the Convention on the Elimination of All Forms of Discrimination against Women</w:t>
        </w:r>
      </w:hyperlink>
      <w:r w:rsidR="00A41377" w:rsidRPr="00B9671F">
        <w:rPr>
          <w:rFonts w:ascii="Arial" w:hAnsi="Arial" w:cs="Arial"/>
          <w:sz w:val="16"/>
          <w:szCs w:val="16"/>
        </w:rPr>
        <w:t>, UN CEDAW, 2010, para 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50C3B" w14:textId="3F69EB19" w:rsidR="00B879F6" w:rsidRDefault="003C3BD8">
    <w:pPr>
      <w:pStyle w:val="Header"/>
    </w:pPr>
    <w:r>
      <w:rPr>
        <w:noProof/>
      </w:rPr>
      <w:drawing>
        <wp:anchor distT="0" distB="0" distL="114300" distR="114300" simplePos="0" relativeHeight="251659264" behindDoc="0" locked="0" layoutInCell="1" allowOverlap="1" wp14:anchorId="787B6F61" wp14:editId="0201493B">
          <wp:simplePos x="0" y="0"/>
          <wp:positionH relativeFrom="margin">
            <wp:posOffset>387985</wp:posOffset>
          </wp:positionH>
          <wp:positionV relativeFrom="paragraph">
            <wp:posOffset>-411480</wp:posOffset>
          </wp:positionV>
          <wp:extent cx="1794510" cy="7061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
                    <a:extLst>
                      <a:ext uri="{28A0092B-C50C-407E-A947-70E740481C1C}">
                        <a14:useLocalDpi xmlns:a14="http://schemas.microsoft.com/office/drawing/2010/main" val="0"/>
                      </a:ext>
                    </a:extLst>
                  </a:blip>
                  <a:srcRect r="70324"/>
                  <a:stretch/>
                </pic:blipFill>
                <pic:spPr bwMode="auto">
                  <a:xfrm>
                    <a:off x="0" y="0"/>
                    <a:ext cx="1794510" cy="706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4D3327E" wp14:editId="7204C91D">
          <wp:simplePos x="0" y="0"/>
          <wp:positionH relativeFrom="column">
            <wp:posOffset>3827780</wp:posOffset>
          </wp:positionH>
          <wp:positionV relativeFrom="paragraph">
            <wp:posOffset>-165100</wp:posOffset>
          </wp:positionV>
          <wp:extent cx="1310640" cy="240665"/>
          <wp:effectExtent l="0" t="0" r="3810" b="6985"/>
          <wp:wrapSquare wrapText="bothSides"/>
          <wp:docPr id="3" name="Image 3" descr="TDH-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H-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0640" cy="2406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C0F3DB6" wp14:editId="1A82A38D">
          <wp:simplePos x="0" y="0"/>
          <wp:positionH relativeFrom="column">
            <wp:posOffset>2430145</wp:posOffset>
          </wp:positionH>
          <wp:positionV relativeFrom="paragraph">
            <wp:posOffset>-201930</wp:posOffset>
          </wp:positionV>
          <wp:extent cx="1198880" cy="340995"/>
          <wp:effectExtent l="0" t="0" r="1270" b="1905"/>
          <wp:wrapSquare wrapText="bothSides"/>
          <wp:docPr id="2" name="Image 2" descr="02_DCI_Logo-International_3L_EN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_DCI_Logo-International_3L_EN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8880" cy="3409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7D14"/>
    <w:multiLevelType w:val="hybridMultilevel"/>
    <w:tmpl w:val="6F98BC94"/>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28A213F"/>
    <w:multiLevelType w:val="hybridMultilevel"/>
    <w:tmpl w:val="5F0250FA"/>
    <w:lvl w:ilvl="0" w:tplc="2734821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4624325"/>
    <w:multiLevelType w:val="multilevel"/>
    <w:tmpl w:val="288C0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107CE"/>
    <w:multiLevelType w:val="hybridMultilevel"/>
    <w:tmpl w:val="5942A8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0F2449"/>
    <w:multiLevelType w:val="hybridMultilevel"/>
    <w:tmpl w:val="BD724400"/>
    <w:lvl w:ilvl="0" w:tplc="3E0E20C6">
      <w:start w:val="1"/>
      <w:numFmt w:val="lowerLetter"/>
      <w:pStyle w:val="Sub-Heading"/>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97719E"/>
    <w:multiLevelType w:val="hybridMultilevel"/>
    <w:tmpl w:val="1AF23E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513233C"/>
    <w:multiLevelType w:val="hybridMultilevel"/>
    <w:tmpl w:val="B96ACB0E"/>
    <w:lvl w:ilvl="0" w:tplc="BAAC03A4">
      <w:start w:val="3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51873B5"/>
    <w:multiLevelType w:val="hybridMultilevel"/>
    <w:tmpl w:val="5FEC49C2"/>
    <w:lvl w:ilvl="0" w:tplc="100C0001">
      <w:start w:val="1"/>
      <w:numFmt w:val="bullet"/>
      <w:lvlText w:val=""/>
      <w:lvlJc w:val="left"/>
      <w:pPr>
        <w:ind w:left="720" w:hanging="360"/>
      </w:pPr>
      <w:rPr>
        <w:rFonts w:ascii="Symbol" w:hAnsi="Symbol" w:hint="default"/>
      </w:rPr>
    </w:lvl>
    <w:lvl w:ilvl="1" w:tplc="0866B408">
      <w:start w:val="1"/>
      <w:numFmt w:val="bullet"/>
      <w:lvlText w:val="o"/>
      <w:lvlJc w:val="left"/>
      <w:pPr>
        <w:ind w:left="1440" w:hanging="360"/>
      </w:pPr>
      <w:rPr>
        <w:rFonts w:ascii="Courier New" w:hAnsi="Courier New" w:cs="Courier New" w:hint="default"/>
        <w:color w:val="auto"/>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18617301"/>
    <w:multiLevelType w:val="hybridMultilevel"/>
    <w:tmpl w:val="36A6E20C"/>
    <w:lvl w:ilvl="0" w:tplc="709C90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E4484"/>
    <w:multiLevelType w:val="hybridMultilevel"/>
    <w:tmpl w:val="79AC163C"/>
    <w:lvl w:ilvl="0" w:tplc="3000B62C">
      <w:start w:val="5"/>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66A6A1D"/>
    <w:multiLevelType w:val="hybridMultilevel"/>
    <w:tmpl w:val="4B1C05C6"/>
    <w:lvl w:ilvl="0" w:tplc="241CA480">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28F736E0"/>
    <w:multiLevelType w:val="hybridMultilevel"/>
    <w:tmpl w:val="795ADD80"/>
    <w:lvl w:ilvl="0" w:tplc="301C3332">
      <w:start w:val="4"/>
      <w:numFmt w:val="upperRoman"/>
      <w:pStyle w:val="Heading1"/>
      <w:lvlText w:val="%1."/>
      <w:lvlJc w:val="left"/>
      <w:pPr>
        <w:ind w:left="1080"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A306A4FC">
      <w:numFmt w:val="bullet"/>
      <w:lvlText w:val="-"/>
      <w:lvlJc w:val="left"/>
      <w:pPr>
        <w:ind w:left="1800" w:hanging="720"/>
      </w:pPr>
      <w:rPr>
        <w:rFonts w:ascii="Open Sans" w:eastAsia="Calibri" w:hAnsi="Open Sans" w:cs="Open San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295199"/>
    <w:multiLevelType w:val="hybridMultilevel"/>
    <w:tmpl w:val="3A30A4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5DB1E1A"/>
    <w:multiLevelType w:val="hybridMultilevel"/>
    <w:tmpl w:val="177A081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4628257E"/>
    <w:multiLevelType w:val="hybridMultilevel"/>
    <w:tmpl w:val="AF06FAAA"/>
    <w:lvl w:ilvl="0" w:tplc="08090001">
      <w:start w:val="1"/>
      <w:numFmt w:val="bullet"/>
      <w:lvlText w:val=""/>
      <w:lvlJc w:val="left"/>
      <w:pPr>
        <w:ind w:left="4230" w:hanging="360"/>
      </w:pPr>
      <w:rPr>
        <w:rFonts w:ascii="Symbol" w:hAnsi="Symbol" w:hint="default"/>
        <w:color w:val="auto"/>
      </w:rPr>
    </w:lvl>
    <w:lvl w:ilvl="1" w:tplc="FBC42D26">
      <w:start w:val="1"/>
      <w:numFmt w:val="bullet"/>
      <w:lvlText w:val="o"/>
      <w:lvlJc w:val="left"/>
      <w:pPr>
        <w:ind w:left="4950" w:hanging="360"/>
      </w:pPr>
      <w:rPr>
        <w:rFonts w:ascii="Courier New" w:hAnsi="Courier New" w:cs="Courier New" w:hint="default"/>
        <w:color w:val="auto"/>
      </w:rPr>
    </w:lvl>
    <w:lvl w:ilvl="2" w:tplc="08090005" w:tentative="1">
      <w:start w:val="1"/>
      <w:numFmt w:val="bullet"/>
      <w:lvlText w:val=""/>
      <w:lvlJc w:val="left"/>
      <w:pPr>
        <w:ind w:left="5670" w:hanging="360"/>
      </w:pPr>
      <w:rPr>
        <w:rFonts w:ascii="Wingdings" w:hAnsi="Wingdings" w:hint="default"/>
      </w:rPr>
    </w:lvl>
    <w:lvl w:ilvl="3" w:tplc="08090001" w:tentative="1">
      <w:start w:val="1"/>
      <w:numFmt w:val="bullet"/>
      <w:lvlText w:val=""/>
      <w:lvlJc w:val="left"/>
      <w:pPr>
        <w:ind w:left="6390" w:hanging="360"/>
      </w:pPr>
      <w:rPr>
        <w:rFonts w:ascii="Symbol" w:hAnsi="Symbol" w:hint="default"/>
      </w:rPr>
    </w:lvl>
    <w:lvl w:ilvl="4" w:tplc="08090003" w:tentative="1">
      <w:start w:val="1"/>
      <w:numFmt w:val="bullet"/>
      <w:lvlText w:val="o"/>
      <w:lvlJc w:val="left"/>
      <w:pPr>
        <w:ind w:left="7110" w:hanging="360"/>
      </w:pPr>
      <w:rPr>
        <w:rFonts w:ascii="Courier New" w:hAnsi="Courier New" w:cs="Courier New" w:hint="default"/>
      </w:rPr>
    </w:lvl>
    <w:lvl w:ilvl="5" w:tplc="08090005" w:tentative="1">
      <w:start w:val="1"/>
      <w:numFmt w:val="bullet"/>
      <w:lvlText w:val=""/>
      <w:lvlJc w:val="left"/>
      <w:pPr>
        <w:ind w:left="7830" w:hanging="360"/>
      </w:pPr>
      <w:rPr>
        <w:rFonts w:ascii="Wingdings" w:hAnsi="Wingdings" w:hint="default"/>
      </w:rPr>
    </w:lvl>
    <w:lvl w:ilvl="6" w:tplc="08090001" w:tentative="1">
      <w:start w:val="1"/>
      <w:numFmt w:val="bullet"/>
      <w:lvlText w:val=""/>
      <w:lvlJc w:val="left"/>
      <w:pPr>
        <w:ind w:left="8550" w:hanging="360"/>
      </w:pPr>
      <w:rPr>
        <w:rFonts w:ascii="Symbol" w:hAnsi="Symbol" w:hint="default"/>
      </w:rPr>
    </w:lvl>
    <w:lvl w:ilvl="7" w:tplc="08090003" w:tentative="1">
      <w:start w:val="1"/>
      <w:numFmt w:val="bullet"/>
      <w:lvlText w:val="o"/>
      <w:lvlJc w:val="left"/>
      <w:pPr>
        <w:ind w:left="9270" w:hanging="360"/>
      </w:pPr>
      <w:rPr>
        <w:rFonts w:ascii="Courier New" w:hAnsi="Courier New" w:cs="Courier New" w:hint="default"/>
      </w:rPr>
    </w:lvl>
    <w:lvl w:ilvl="8" w:tplc="08090005" w:tentative="1">
      <w:start w:val="1"/>
      <w:numFmt w:val="bullet"/>
      <w:lvlText w:val=""/>
      <w:lvlJc w:val="left"/>
      <w:pPr>
        <w:ind w:left="9990" w:hanging="360"/>
      </w:pPr>
      <w:rPr>
        <w:rFonts w:ascii="Wingdings" w:hAnsi="Wingdings" w:hint="default"/>
      </w:rPr>
    </w:lvl>
  </w:abstractNum>
  <w:abstractNum w:abstractNumId="15" w15:restartNumberingAfterBreak="0">
    <w:nsid w:val="492E34A5"/>
    <w:multiLevelType w:val="hybridMultilevel"/>
    <w:tmpl w:val="533EFF40"/>
    <w:lvl w:ilvl="0" w:tplc="C786F6B2">
      <w:start w:val="1"/>
      <w:numFmt w:val="bullet"/>
      <w:lvlText w:val=""/>
      <w:lvlJc w:val="left"/>
      <w:pPr>
        <w:ind w:left="720" w:hanging="360"/>
      </w:pPr>
      <w:rPr>
        <w:rFonts w:ascii="Symbol" w:hAnsi="Symbol" w:hint="default"/>
        <w:color w:val="auto"/>
      </w:rPr>
    </w:lvl>
    <w:lvl w:ilvl="1" w:tplc="9A8A37EE">
      <w:start w:val="1"/>
      <w:numFmt w:val="bullet"/>
      <w:lvlText w:val="o"/>
      <w:lvlJc w:val="left"/>
      <w:pPr>
        <w:ind w:left="1440" w:hanging="360"/>
      </w:pPr>
      <w:rPr>
        <w:rFonts w:ascii="Courier New" w:hAnsi="Courier New" w:hint="default"/>
      </w:rPr>
    </w:lvl>
    <w:lvl w:ilvl="2" w:tplc="164A823E">
      <w:start w:val="1"/>
      <w:numFmt w:val="bullet"/>
      <w:lvlText w:val=""/>
      <w:lvlJc w:val="left"/>
      <w:pPr>
        <w:ind w:left="2160" w:hanging="360"/>
      </w:pPr>
      <w:rPr>
        <w:rFonts w:ascii="Wingdings" w:hAnsi="Wingdings" w:hint="default"/>
      </w:rPr>
    </w:lvl>
    <w:lvl w:ilvl="3" w:tplc="EF66AF0A">
      <w:start w:val="1"/>
      <w:numFmt w:val="bullet"/>
      <w:lvlText w:val=""/>
      <w:lvlJc w:val="left"/>
      <w:pPr>
        <w:ind w:left="2880" w:hanging="360"/>
      </w:pPr>
      <w:rPr>
        <w:rFonts w:ascii="Symbol" w:hAnsi="Symbol" w:hint="default"/>
      </w:rPr>
    </w:lvl>
    <w:lvl w:ilvl="4" w:tplc="861A32FA">
      <w:start w:val="1"/>
      <w:numFmt w:val="bullet"/>
      <w:lvlText w:val="o"/>
      <w:lvlJc w:val="left"/>
      <w:pPr>
        <w:ind w:left="3600" w:hanging="360"/>
      </w:pPr>
      <w:rPr>
        <w:rFonts w:ascii="Courier New" w:hAnsi="Courier New" w:hint="default"/>
      </w:rPr>
    </w:lvl>
    <w:lvl w:ilvl="5" w:tplc="00F41258">
      <w:start w:val="1"/>
      <w:numFmt w:val="bullet"/>
      <w:lvlText w:val=""/>
      <w:lvlJc w:val="left"/>
      <w:pPr>
        <w:ind w:left="4320" w:hanging="360"/>
      </w:pPr>
      <w:rPr>
        <w:rFonts w:ascii="Wingdings" w:hAnsi="Wingdings" w:hint="default"/>
      </w:rPr>
    </w:lvl>
    <w:lvl w:ilvl="6" w:tplc="2E004366">
      <w:start w:val="1"/>
      <w:numFmt w:val="bullet"/>
      <w:lvlText w:val=""/>
      <w:lvlJc w:val="left"/>
      <w:pPr>
        <w:ind w:left="5040" w:hanging="360"/>
      </w:pPr>
      <w:rPr>
        <w:rFonts w:ascii="Symbol" w:hAnsi="Symbol" w:hint="default"/>
      </w:rPr>
    </w:lvl>
    <w:lvl w:ilvl="7" w:tplc="347261F6">
      <w:start w:val="1"/>
      <w:numFmt w:val="bullet"/>
      <w:lvlText w:val="o"/>
      <w:lvlJc w:val="left"/>
      <w:pPr>
        <w:ind w:left="5760" w:hanging="360"/>
      </w:pPr>
      <w:rPr>
        <w:rFonts w:ascii="Courier New" w:hAnsi="Courier New" w:hint="default"/>
      </w:rPr>
    </w:lvl>
    <w:lvl w:ilvl="8" w:tplc="8A3CB5B8">
      <w:start w:val="1"/>
      <w:numFmt w:val="bullet"/>
      <w:lvlText w:val=""/>
      <w:lvlJc w:val="left"/>
      <w:pPr>
        <w:ind w:left="6480" w:hanging="360"/>
      </w:pPr>
      <w:rPr>
        <w:rFonts w:ascii="Wingdings" w:hAnsi="Wingdings" w:hint="default"/>
      </w:rPr>
    </w:lvl>
  </w:abstractNum>
  <w:abstractNum w:abstractNumId="16" w15:restartNumberingAfterBreak="0">
    <w:nsid w:val="54F5740B"/>
    <w:multiLevelType w:val="hybridMultilevel"/>
    <w:tmpl w:val="125CAED0"/>
    <w:lvl w:ilvl="0" w:tplc="310AA532">
      <w:start w:val="1"/>
      <w:numFmt w:val="upperRoman"/>
      <w:lvlText w:val="%1."/>
      <w:lvlJc w:val="right"/>
      <w:pPr>
        <w:ind w:left="720" w:hanging="360"/>
      </w:pPr>
      <w:rPr>
        <w:rFonts w:hint="default"/>
        <w:b/>
        <w:i w:val="0"/>
        <w:sz w:val="22"/>
      </w:rPr>
    </w:lvl>
    <w:lvl w:ilvl="1" w:tplc="08090019">
      <w:start w:val="1"/>
      <w:numFmt w:val="lowerLetter"/>
      <w:lvlText w:val="%2."/>
      <w:lvlJc w:val="left"/>
      <w:pPr>
        <w:ind w:left="1440" w:hanging="360"/>
      </w:pPr>
    </w:lvl>
    <w:lvl w:ilvl="2" w:tplc="6C1CC992">
      <w:start w:val="1"/>
      <w:numFmt w:val="lowerRoman"/>
      <w:lvlText w:val="%3."/>
      <w:lvlJc w:val="right"/>
      <w:pPr>
        <w:ind w:left="2160" w:hanging="180"/>
      </w:pPr>
      <w:rPr>
        <w:b w:val="0"/>
        <w:bCs w:val="0"/>
      </w:rPr>
    </w:lvl>
    <w:lvl w:ilvl="3" w:tplc="08090001">
      <w:start w:val="1"/>
      <w:numFmt w:val="bullet"/>
      <w:lvlText w:val=""/>
      <w:lvlJc w:val="left"/>
      <w:pPr>
        <w:ind w:left="2880" w:hanging="360"/>
      </w:pPr>
      <w:rPr>
        <w:rFonts w:ascii="Symbol" w:hAnsi="Symbol" w:hint="default"/>
      </w:rPr>
    </w:lvl>
    <w:lvl w:ilvl="4" w:tplc="2A5A1D62">
      <w:start w:val="1"/>
      <w:numFmt w:val="bullet"/>
      <w:lvlText w:val="-"/>
      <w:lvlJc w:val="left"/>
      <w:pPr>
        <w:ind w:left="3600" w:hanging="360"/>
      </w:pPr>
      <w:rPr>
        <w:rFonts w:ascii="Calibri" w:eastAsiaTheme="minorHAnsi" w:hAnsi="Calibri" w:cstheme="minorBidi"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3E7F85"/>
    <w:multiLevelType w:val="hybridMultilevel"/>
    <w:tmpl w:val="E7A2C7C2"/>
    <w:lvl w:ilvl="0" w:tplc="1256C092">
      <w:start w:val="1"/>
      <w:numFmt w:val="bullet"/>
      <w:lvlText w:val=""/>
      <w:lvlJc w:val="left"/>
      <w:pPr>
        <w:ind w:left="720" w:hanging="360"/>
      </w:pPr>
      <w:rPr>
        <w:rFonts w:ascii="Symbol" w:hAnsi="Symbol" w:hint="default"/>
      </w:rPr>
    </w:lvl>
    <w:lvl w:ilvl="1" w:tplc="5820177A">
      <w:start w:val="1"/>
      <w:numFmt w:val="bullet"/>
      <w:lvlText w:val="o"/>
      <w:lvlJc w:val="left"/>
      <w:pPr>
        <w:ind w:left="1440" w:hanging="360"/>
      </w:pPr>
      <w:rPr>
        <w:rFonts w:ascii="Courier New" w:hAnsi="Courier New" w:hint="default"/>
      </w:rPr>
    </w:lvl>
    <w:lvl w:ilvl="2" w:tplc="009E0B14">
      <w:start w:val="1"/>
      <w:numFmt w:val="bullet"/>
      <w:lvlText w:val=""/>
      <w:lvlJc w:val="left"/>
      <w:pPr>
        <w:ind w:left="2160" w:hanging="360"/>
      </w:pPr>
      <w:rPr>
        <w:rFonts w:ascii="Wingdings" w:hAnsi="Wingdings" w:hint="default"/>
      </w:rPr>
    </w:lvl>
    <w:lvl w:ilvl="3" w:tplc="79B6D3D6">
      <w:start w:val="1"/>
      <w:numFmt w:val="bullet"/>
      <w:lvlText w:val=""/>
      <w:lvlJc w:val="left"/>
      <w:pPr>
        <w:ind w:left="2880" w:hanging="360"/>
      </w:pPr>
      <w:rPr>
        <w:rFonts w:ascii="Symbol" w:hAnsi="Symbol" w:hint="default"/>
      </w:rPr>
    </w:lvl>
    <w:lvl w:ilvl="4" w:tplc="7654DD6A">
      <w:start w:val="1"/>
      <w:numFmt w:val="bullet"/>
      <w:lvlText w:val="o"/>
      <w:lvlJc w:val="left"/>
      <w:pPr>
        <w:ind w:left="3600" w:hanging="360"/>
      </w:pPr>
      <w:rPr>
        <w:rFonts w:ascii="Courier New" w:hAnsi="Courier New" w:hint="default"/>
      </w:rPr>
    </w:lvl>
    <w:lvl w:ilvl="5" w:tplc="CBCE24AC">
      <w:start w:val="1"/>
      <w:numFmt w:val="bullet"/>
      <w:lvlText w:val=""/>
      <w:lvlJc w:val="left"/>
      <w:pPr>
        <w:ind w:left="4320" w:hanging="360"/>
      </w:pPr>
      <w:rPr>
        <w:rFonts w:ascii="Wingdings" w:hAnsi="Wingdings" w:hint="default"/>
      </w:rPr>
    </w:lvl>
    <w:lvl w:ilvl="6" w:tplc="2142549E">
      <w:start w:val="1"/>
      <w:numFmt w:val="bullet"/>
      <w:lvlText w:val=""/>
      <w:lvlJc w:val="left"/>
      <w:pPr>
        <w:ind w:left="5040" w:hanging="360"/>
      </w:pPr>
      <w:rPr>
        <w:rFonts w:ascii="Symbol" w:hAnsi="Symbol" w:hint="default"/>
      </w:rPr>
    </w:lvl>
    <w:lvl w:ilvl="7" w:tplc="93F46344">
      <w:start w:val="1"/>
      <w:numFmt w:val="bullet"/>
      <w:lvlText w:val="o"/>
      <w:lvlJc w:val="left"/>
      <w:pPr>
        <w:ind w:left="5760" w:hanging="360"/>
      </w:pPr>
      <w:rPr>
        <w:rFonts w:ascii="Courier New" w:hAnsi="Courier New" w:hint="default"/>
      </w:rPr>
    </w:lvl>
    <w:lvl w:ilvl="8" w:tplc="A094C286">
      <w:start w:val="1"/>
      <w:numFmt w:val="bullet"/>
      <w:lvlText w:val=""/>
      <w:lvlJc w:val="left"/>
      <w:pPr>
        <w:ind w:left="6480" w:hanging="360"/>
      </w:pPr>
      <w:rPr>
        <w:rFonts w:ascii="Wingdings" w:hAnsi="Wingdings" w:hint="default"/>
      </w:rPr>
    </w:lvl>
  </w:abstractNum>
  <w:abstractNum w:abstractNumId="18" w15:restartNumberingAfterBreak="0">
    <w:nsid w:val="617224E9"/>
    <w:multiLevelType w:val="hybridMultilevel"/>
    <w:tmpl w:val="0AEED096"/>
    <w:lvl w:ilvl="0" w:tplc="09181702">
      <w:start w:val="28"/>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19C5DE7"/>
    <w:multiLevelType w:val="hybridMultilevel"/>
    <w:tmpl w:val="8410BC92"/>
    <w:lvl w:ilvl="0" w:tplc="27348218">
      <w:start w:val="1"/>
      <w:numFmt w:val="upp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51F23D0"/>
    <w:multiLevelType w:val="hybridMultilevel"/>
    <w:tmpl w:val="3E385540"/>
    <w:lvl w:ilvl="0" w:tplc="F2A2B960">
      <w:start w:val="1"/>
      <w:numFmt w:val="bullet"/>
      <w:lvlText w:val=""/>
      <w:lvlJc w:val="left"/>
      <w:pPr>
        <w:ind w:left="720" w:hanging="360"/>
      </w:pPr>
      <w:rPr>
        <w:rFonts w:ascii="Symbol" w:hAnsi="Symbol" w:hint="default"/>
      </w:rPr>
    </w:lvl>
    <w:lvl w:ilvl="1" w:tplc="28DABB3E">
      <w:start w:val="1"/>
      <w:numFmt w:val="bullet"/>
      <w:lvlText w:val="o"/>
      <w:lvlJc w:val="left"/>
      <w:pPr>
        <w:ind w:left="1440" w:hanging="360"/>
      </w:pPr>
      <w:rPr>
        <w:rFonts w:ascii="Courier New" w:hAnsi="Courier New" w:hint="default"/>
      </w:rPr>
    </w:lvl>
    <w:lvl w:ilvl="2" w:tplc="CEE4A0C8">
      <w:start w:val="1"/>
      <w:numFmt w:val="bullet"/>
      <w:lvlText w:val=""/>
      <w:lvlJc w:val="left"/>
      <w:pPr>
        <w:ind w:left="2160" w:hanging="360"/>
      </w:pPr>
      <w:rPr>
        <w:rFonts w:ascii="Wingdings" w:hAnsi="Wingdings" w:hint="default"/>
      </w:rPr>
    </w:lvl>
    <w:lvl w:ilvl="3" w:tplc="BD96B844">
      <w:start w:val="1"/>
      <w:numFmt w:val="bullet"/>
      <w:lvlText w:val=""/>
      <w:lvlJc w:val="left"/>
      <w:pPr>
        <w:ind w:left="2880" w:hanging="360"/>
      </w:pPr>
      <w:rPr>
        <w:rFonts w:ascii="Symbol" w:hAnsi="Symbol" w:hint="default"/>
      </w:rPr>
    </w:lvl>
    <w:lvl w:ilvl="4" w:tplc="9FBC8128">
      <w:start w:val="1"/>
      <w:numFmt w:val="bullet"/>
      <w:lvlText w:val="o"/>
      <w:lvlJc w:val="left"/>
      <w:pPr>
        <w:ind w:left="3600" w:hanging="360"/>
      </w:pPr>
      <w:rPr>
        <w:rFonts w:ascii="Courier New" w:hAnsi="Courier New" w:hint="default"/>
      </w:rPr>
    </w:lvl>
    <w:lvl w:ilvl="5" w:tplc="4190A834">
      <w:start w:val="1"/>
      <w:numFmt w:val="bullet"/>
      <w:lvlText w:val=""/>
      <w:lvlJc w:val="left"/>
      <w:pPr>
        <w:ind w:left="4320" w:hanging="360"/>
      </w:pPr>
      <w:rPr>
        <w:rFonts w:ascii="Wingdings" w:hAnsi="Wingdings" w:hint="default"/>
      </w:rPr>
    </w:lvl>
    <w:lvl w:ilvl="6" w:tplc="763C798E">
      <w:start w:val="1"/>
      <w:numFmt w:val="bullet"/>
      <w:lvlText w:val=""/>
      <w:lvlJc w:val="left"/>
      <w:pPr>
        <w:ind w:left="5040" w:hanging="360"/>
      </w:pPr>
      <w:rPr>
        <w:rFonts w:ascii="Symbol" w:hAnsi="Symbol" w:hint="default"/>
      </w:rPr>
    </w:lvl>
    <w:lvl w:ilvl="7" w:tplc="A780860A">
      <w:start w:val="1"/>
      <w:numFmt w:val="bullet"/>
      <w:lvlText w:val="o"/>
      <w:lvlJc w:val="left"/>
      <w:pPr>
        <w:ind w:left="5760" w:hanging="360"/>
      </w:pPr>
      <w:rPr>
        <w:rFonts w:ascii="Courier New" w:hAnsi="Courier New" w:hint="default"/>
      </w:rPr>
    </w:lvl>
    <w:lvl w:ilvl="8" w:tplc="AE28C894">
      <w:start w:val="1"/>
      <w:numFmt w:val="bullet"/>
      <w:lvlText w:val=""/>
      <w:lvlJc w:val="left"/>
      <w:pPr>
        <w:ind w:left="6480" w:hanging="360"/>
      </w:pPr>
      <w:rPr>
        <w:rFonts w:ascii="Wingdings" w:hAnsi="Wingdings" w:hint="default"/>
      </w:rPr>
    </w:lvl>
  </w:abstractNum>
  <w:abstractNum w:abstractNumId="21" w15:restartNumberingAfterBreak="0">
    <w:nsid w:val="6A5B0113"/>
    <w:multiLevelType w:val="hybridMultilevel"/>
    <w:tmpl w:val="270666A8"/>
    <w:lvl w:ilvl="0" w:tplc="7D327F64">
      <w:start w:val="1"/>
      <w:numFmt w:val="bullet"/>
      <w:pStyle w:val="Bullet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1"/>
  </w:num>
  <w:num w:numId="3">
    <w:abstractNumId w:val="11"/>
    <w:lvlOverride w:ilvl="0">
      <w:startOverride w:val="1"/>
    </w:lvlOverride>
  </w:num>
  <w:num w:numId="4">
    <w:abstractNumId w:val="4"/>
  </w:num>
  <w:num w:numId="5">
    <w:abstractNumId w:val="4"/>
  </w:num>
  <w:num w:numId="6">
    <w:abstractNumId w:val="11"/>
    <w:lvlOverride w:ilvl="0">
      <w:startOverride w:val="1"/>
    </w:lvlOverride>
  </w:num>
  <w:num w:numId="7">
    <w:abstractNumId w:val="4"/>
  </w:num>
  <w:num w:numId="8">
    <w:abstractNumId w:val="2"/>
  </w:num>
  <w:num w:numId="9">
    <w:abstractNumId w:val="12"/>
  </w:num>
  <w:num w:numId="10">
    <w:abstractNumId w:val="9"/>
  </w:num>
  <w:num w:numId="11">
    <w:abstractNumId w:val="10"/>
  </w:num>
  <w:num w:numId="12">
    <w:abstractNumId w:val="19"/>
  </w:num>
  <w:num w:numId="13">
    <w:abstractNumId w:val="18"/>
  </w:num>
  <w:num w:numId="14">
    <w:abstractNumId w:val="5"/>
  </w:num>
  <w:num w:numId="15">
    <w:abstractNumId w:val="6"/>
  </w:num>
  <w:num w:numId="16">
    <w:abstractNumId w:val="1"/>
  </w:num>
  <w:num w:numId="17">
    <w:abstractNumId w:val="21"/>
  </w:num>
  <w:num w:numId="18">
    <w:abstractNumId w:val="0"/>
  </w:num>
  <w:num w:numId="19">
    <w:abstractNumId w:val="13"/>
  </w:num>
  <w:num w:numId="20">
    <w:abstractNumId w:val="3"/>
  </w:num>
  <w:num w:numId="21">
    <w:abstractNumId w:val="17"/>
  </w:num>
  <w:num w:numId="22">
    <w:abstractNumId w:val="15"/>
  </w:num>
  <w:num w:numId="23">
    <w:abstractNumId w:val="16"/>
  </w:num>
  <w:num w:numId="24">
    <w:abstractNumId w:val="14"/>
  </w:num>
  <w:num w:numId="25">
    <w:abstractNumId w:val="20"/>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26E"/>
    <w:rsid w:val="00007F6E"/>
    <w:rsid w:val="000129CF"/>
    <w:rsid w:val="00051B42"/>
    <w:rsid w:val="000554DC"/>
    <w:rsid w:val="00072837"/>
    <w:rsid w:val="00090074"/>
    <w:rsid w:val="000A3AF2"/>
    <w:rsid w:val="000B326E"/>
    <w:rsid w:val="000B50E7"/>
    <w:rsid w:val="000E35C2"/>
    <w:rsid w:val="00155D88"/>
    <w:rsid w:val="00164067"/>
    <w:rsid w:val="00174F26"/>
    <w:rsid w:val="00176E00"/>
    <w:rsid w:val="001D1BDF"/>
    <w:rsid w:val="001D7B59"/>
    <w:rsid w:val="001E1AEC"/>
    <w:rsid w:val="001F5A4A"/>
    <w:rsid w:val="002059F4"/>
    <w:rsid w:val="00234FBC"/>
    <w:rsid w:val="00247679"/>
    <w:rsid w:val="002658C9"/>
    <w:rsid w:val="002878D0"/>
    <w:rsid w:val="00293230"/>
    <w:rsid w:val="0029757C"/>
    <w:rsid w:val="002B0D03"/>
    <w:rsid w:val="002C208B"/>
    <w:rsid w:val="002C263E"/>
    <w:rsid w:val="002D0A18"/>
    <w:rsid w:val="002E220C"/>
    <w:rsid w:val="00306D19"/>
    <w:rsid w:val="00310F43"/>
    <w:rsid w:val="0032266E"/>
    <w:rsid w:val="00322F5B"/>
    <w:rsid w:val="0033473F"/>
    <w:rsid w:val="003372D9"/>
    <w:rsid w:val="003645FE"/>
    <w:rsid w:val="00364EFB"/>
    <w:rsid w:val="0036708C"/>
    <w:rsid w:val="00377DFF"/>
    <w:rsid w:val="0038532D"/>
    <w:rsid w:val="003B448F"/>
    <w:rsid w:val="003C3BD8"/>
    <w:rsid w:val="003C5CA7"/>
    <w:rsid w:val="003C6A8F"/>
    <w:rsid w:val="003E1601"/>
    <w:rsid w:val="003F33BE"/>
    <w:rsid w:val="0041671D"/>
    <w:rsid w:val="0042297E"/>
    <w:rsid w:val="00435D20"/>
    <w:rsid w:val="00453B78"/>
    <w:rsid w:val="004D5502"/>
    <w:rsid w:val="004F5E2D"/>
    <w:rsid w:val="005315CB"/>
    <w:rsid w:val="00531889"/>
    <w:rsid w:val="005517A2"/>
    <w:rsid w:val="00581631"/>
    <w:rsid w:val="00591F0F"/>
    <w:rsid w:val="005C2748"/>
    <w:rsid w:val="005D05D9"/>
    <w:rsid w:val="005D4C48"/>
    <w:rsid w:val="005D7D8D"/>
    <w:rsid w:val="00606087"/>
    <w:rsid w:val="00616C65"/>
    <w:rsid w:val="006349F6"/>
    <w:rsid w:val="00684FFA"/>
    <w:rsid w:val="00696823"/>
    <w:rsid w:val="006B6C9E"/>
    <w:rsid w:val="006E1DCE"/>
    <w:rsid w:val="007115F9"/>
    <w:rsid w:val="007252EB"/>
    <w:rsid w:val="0073359D"/>
    <w:rsid w:val="00743E52"/>
    <w:rsid w:val="007464ED"/>
    <w:rsid w:val="007615A2"/>
    <w:rsid w:val="00784CCC"/>
    <w:rsid w:val="007907F3"/>
    <w:rsid w:val="00792E07"/>
    <w:rsid w:val="00794DA6"/>
    <w:rsid w:val="007B1A77"/>
    <w:rsid w:val="007B29E4"/>
    <w:rsid w:val="007E0A2F"/>
    <w:rsid w:val="007E4F3D"/>
    <w:rsid w:val="0080170E"/>
    <w:rsid w:val="0081308F"/>
    <w:rsid w:val="0082146A"/>
    <w:rsid w:val="00854E58"/>
    <w:rsid w:val="008805E3"/>
    <w:rsid w:val="008850C2"/>
    <w:rsid w:val="008B318B"/>
    <w:rsid w:val="008B387A"/>
    <w:rsid w:val="008B661A"/>
    <w:rsid w:val="008E4A12"/>
    <w:rsid w:val="008E608E"/>
    <w:rsid w:val="008F3F67"/>
    <w:rsid w:val="0090687B"/>
    <w:rsid w:val="009072C6"/>
    <w:rsid w:val="009433F5"/>
    <w:rsid w:val="009843C7"/>
    <w:rsid w:val="0098723B"/>
    <w:rsid w:val="009A2B13"/>
    <w:rsid w:val="009C012D"/>
    <w:rsid w:val="009C4D9C"/>
    <w:rsid w:val="009E0822"/>
    <w:rsid w:val="009E1509"/>
    <w:rsid w:val="009E2142"/>
    <w:rsid w:val="009E273F"/>
    <w:rsid w:val="009E3393"/>
    <w:rsid w:val="009E53D3"/>
    <w:rsid w:val="009F1F03"/>
    <w:rsid w:val="00A141CE"/>
    <w:rsid w:val="00A146FB"/>
    <w:rsid w:val="00A21F60"/>
    <w:rsid w:val="00A253D5"/>
    <w:rsid w:val="00A33B92"/>
    <w:rsid w:val="00A35D30"/>
    <w:rsid w:val="00A41377"/>
    <w:rsid w:val="00A55644"/>
    <w:rsid w:val="00A6772C"/>
    <w:rsid w:val="00A86A30"/>
    <w:rsid w:val="00A94253"/>
    <w:rsid w:val="00AD171B"/>
    <w:rsid w:val="00B026FB"/>
    <w:rsid w:val="00B0508D"/>
    <w:rsid w:val="00B17D5D"/>
    <w:rsid w:val="00B23643"/>
    <w:rsid w:val="00B406FC"/>
    <w:rsid w:val="00B5318A"/>
    <w:rsid w:val="00B727D4"/>
    <w:rsid w:val="00B879F6"/>
    <w:rsid w:val="00B9383C"/>
    <w:rsid w:val="00B9671F"/>
    <w:rsid w:val="00C1533B"/>
    <w:rsid w:val="00C2039D"/>
    <w:rsid w:val="00C356E3"/>
    <w:rsid w:val="00C64D81"/>
    <w:rsid w:val="00C734A7"/>
    <w:rsid w:val="00C83E48"/>
    <w:rsid w:val="00CA257A"/>
    <w:rsid w:val="00CA4B6F"/>
    <w:rsid w:val="00CC0C89"/>
    <w:rsid w:val="00CC7713"/>
    <w:rsid w:val="00D0322B"/>
    <w:rsid w:val="00D1023F"/>
    <w:rsid w:val="00D34B9F"/>
    <w:rsid w:val="00D57F22"/>
    <w:rsid w:val="00D749CF"/>
    <w:rsid w:val="00D77BD0"/>
    <w:rsid w:val="00D925B4"/>
    <w:rsid w:val="00DA3737"/>
    <w:rsid w:val="00DC2E05"/>
    <w:rsid w:val="00DC7655"/>
    <w:rsid w:val="00DD3339"/>
    <w:rsid w:val="00DD5971"/>
    <w:rsid w:val="00E224C5"/>
    <w:rsid w:val="00E31E03"/>
    <w:rsid w:val="00E33345"/>
    <w:rsid w:val="00E33AA5"/>
    <w:rsid w:val="00E4079E"/>
    <w:rsid w:val="00E847A3"/>
    <w:rsid w:val="00E87962"/>
    <w:rsid w:val="00E91767"/>
    <w:rsid w:val="00EA4255"/>
    <w:rsid w:val="00EB280E"/>
    <w:rsid w:val="00F1512C"/>
    <w:rsid w:val="00F300B6"/>
    <w:rsid w:val="00F75015"/>
    <w:rsid w:val="00F7672A"/>
    <w:rsid w:val="00FA4F70"/>
    <w:rsid w:val="00FA53C2"/>
    <w:rsid w:val="00FB530B"/>
    <w:rsid w:val="00FD58DC"/>
    <w:rsid w:val="00FE0B50"/>
    <w:rsid w:val="00FE2D4C"/>
    <w:rsid w:val="00FE4CA4"/>
    <w:rsid w:val="00FF5E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190CD"/>
  <w15:chartTrackingRefBased/>
  <w15:docId w15:val="{03219909-3513-4B1A-AD9E-60BE68619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26E"/>
    <w:rPr>
      <w:rFonts w:ascii="Calibri" w:eastAsia="Calibri" w:hAnsi="Calibri" w:cs="Calibri"/>
      <w:color w:val="000000"/>
      <w:lang w:val="en-GB" w:eastAsia="en-GB"/>
    </w:rPr>
  </w:style>
  <w:style w:type="paragraph" w:styleId="Heading1">
    <w:name w:val="heading 1"/>
    <w:basedOn w:val="ListParagraph"/>
    <w:next w:val="Normal"/>
    <w:link w:val="Heading1Char"/>
    <w:uiPriority w:val="9"/>
    <w:qFormat/>
    <w:rsid w:val="000B326E"/>
    <w:pPr>
      <w:numPr>
        <w:numId w:val="1"/>
      </w:numPr>
      <w:spacing w:before="240" w:after="240"/>
      <w:ind w:right="14"/>
      <w:contextualSpacing w:val="0"/>
      <w:outlineLvl w:val="0"/>
    </w:pPr>
    <w:rPr>
      <w:rFonts w:ascii="DK Hofstad" w:hAnsi="DK Hofstad" w:cs="Open Sans"/>
      <w:color w:val="F08738"/>
      <w:sz w:val="24"/>
      <w:szCs w:val="24"/>
    </w:rPr>
  </w:style>
  <w:style w:type="paragraph" w:styleId="Heading2">
    <w:name w:val="heading 2"/>
    <w:aliases w:val="Chapter Heading"/>
    <w:basedOn w:val="Normal"/>
    <w:next w:val="Normal"/>
    <w:link w:val="Heading2Char"/>
    <w:uiPriority w:val="9"/>
    <w:unhideWhenUsed/>
    <w:qFormat/>
    <w:rsid w:val="000B326E"/>
    <w:pPr>
      <w:spacing w:after="0"/>
      <w:ind w:right="8"/>
      <w:jc w:val="center"/>
      <w:outlineLvl w:val="1"/>
    </w:pPr>
    <w:rPr>
      <w:rFonts w:ascii="DK Hofstad" w:hAnsi="DK Hofstad" w:cs="Open Sans"/>
      <w:color w:val="F08738"/>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26E"/>
    <w:rPr>
      <w:rFonts w:ascii="DK Hofstad" w:eastAsia="Calibri" w:hAnsi="DK Hofstad" w:cs="Open Sans"/>
      <w:color w:val="F08738"/>
      <w:sz w:val="24"/>
      <w:szCs w:val="24"/>
      <w:lang w:val="en-GB" w:eastAsia="en-GB"/>
    </w:rPr>
  </w:style>
  <w:style w:type="character" w:customStyle="1" w:styleId="Heading2Char">
    <w:name w:val="Heading 2 Char"/>
    <w:aliases w:val="Chapter Heading Char"/>
    <w:basedOn w:val="DefaultParagraphFont"/>
    <w:link w:val="Heading2"/>
    <w:uiPriority w:val="9"/>
    <w:rsid w:val="000B326E"/>
    <w:rPr>
      <w:rFonts w:ascii="DK Hofstad" w:eastAsia="Calibri" w:hAnsi="DK Hofstad" w:cs="Open Sans"/>
      <w:color w:val="F08738"/>
      <w:sz w:val="36"/>
      <w:szCs w:val="36"/>
      <w:lang w:val="en-GB" w:eastAsia="en-GB"/>
    </w:rPr>
  </w:style>
  <w:style w:type="paragraph" w:customStyle="1" w:styleId="Body">
    <w:name w:val="Body"/>
    <w:basedOn w:val="Normal"/>
    <w:qFormat/>
    <w:rsid w:val="000B326E"/>
    <w:pPr>
      <w:spacing w:before="120" w:after="120"/>
      <w:ind w:right="14"/>
      <w:jc w:val="both"/>
    </w:pPr>
    <w:rPr>
      <w:rFonts w:ascii="Open Sans" w:hAnsi="Open Sans" w:cs="Open Sans"/>
      <w:color w:val="575756"/>
      <w:sz w:val="20"/>
    </w:rPr>
  </w:style>
  <w:style w:type="paragraph" w:customStyle="1" w:styleId="BulletList">
    <w:name w:val="Bullet List"/>
    <w:basedOn w:val="Body"/>
    <w:qFormat/>
    <w:rsid w:val="000B326E"/>
    <w:pPr>
      <w:numPr>
        <w:numId w:val="2"/>
      </w:numPr>
      <w:contextualSpacing/>
    </w:pPr>
    <w:rPr>
      <w:szCs w:val="20"/>
    </w:rPr>
  </w:style>
  <w:style w:type="paragraph" w:customStyle="1" w:styleId="Sub-Heading">
    <w:name w:val="Sub-Heading"/>
    <w:basedOn w:val="Body"/>
    <w:qFormat/>
    <w:rsid w:val="000B326E"/>
    <w:pPr>
      <w:numPr>
        <w:numId w:val="4"/>
      </w:numPr>
    </w:pPr>
    <w:rPr>
      <w:b/>
    </w:rPr>
  </w:style>
  <w:style w:type="paragraph" w:customStyle="1" w:styleId="Longquote">
    <w:name w:val="Long quote"/>
    <w:basedOn w:val="Body"/>
    <w:qFormat/>
    <w:rsid w:val="000B326E"/>
    <w:pPr>
      <w:ind w:left="360" w:right="458"/>
    </w:pPr>
    <w:rPr>
      <w:i/>
    </w:rPr>
  </w:style>
  <w:style w:type="paragraph" w:styleId="FootnoteText">
    <w:name w:val="footnote text"/>
    <w:aliases w:val="texto de nota al pie, Car Car Car, Car Car Car Car Car, Car,Car Car Car, Car Car Car Car Car Car Car Car Car Car, Car Car Car Car Car Car Car Car Car Car Car, Car Car Car Car Car Car Car Car Car,Car Car Car Car,Car,ft,5_G,5_GR"/>
    <w:basedOn w:val="Normal"/>
    <w:link w:val="FootnoteTextChar"/>
    <w:uiPriority w:val="99"/>
    <w:unhideWhenUsed/>
    <w:qFormat/>
    <w:rsid w:val="000B326E"/>
    <w:pPr>
      <w:spacing w:after="0" w:line="240" w:lineRule="auto"/>
    </w:pPr>
    <w:rPr>
      <w:sz w:val="20"/>
      <w:szCs w:val="20"/>
    </w:rPr>
  </w:style>
  <w:style w:type="character" w:customStyle="1" w:styleId="FootnoteTextChar">
    <w:name w:val="Footnote Text Char"/>
    <w:aliases w:val="texto de nota al pie Char, Car Car Car Char, Car Car Car Car Car Char, Car Char,Car Car Car Char, Car Car Car Car Car Car Car Car Car Car Char, Car Car Car Car Car Car Car Car Car Car Car Char, Car Car Car Car Car Car Car Car Car Char"/>
    <w:basedOn w:val="DefaultParagraphFont"/>
    <w:link w:val="FootnoteText"/>
    <w:uiPriority w:val="99"/>
    <w:rsid w:val="000B326E"/>
    <w:rPr>
      <w:rFonts w:ascii="Calibri" w:eastAsia="Calibri" w:hAnsi="Calibri" w:cs="Calibri"/>
      <w:color w:val="000000"/>
      <w:sz w:val="20"/>
      <w:szCs w:val="20"/>
      <w:lang w:val="en-GB" w:eastAsia="en-GB"/>
    </w:rPr>
  </w:style>
  <w:style w:type="character" w:styleId="FootnoteReference">
    <w:name w:val="footnote reference"/>
    <w:aliases w:val="ftref,Texto de nota al pie,4_G,Footnote number,Footnote Reference Char3,Footnote Reference Char1 Char,Char Char Car Char Car Char Car Char Car Char Car Char Char Char1 Char,Footnote Reference Char Char Char,BVI fnr,16 Point,4_"/>
    <w:basedOn w:val="DefaultParagraphFont"/>
    <w:link w:val="Appelnotedebasde"/>
    <w:uiPriority w:val="99"/>
    <w:unhideWhenUsed/>
    <w:qFormat/>
    <w:rsid w:val="000B326E"/>
    <w:rPr>
      <w:vertAlign w:val="superscript"/>
    </w:rPr>
  </w:style>
  <w:style w:type="paragraph" w:styleId="ListParagraph">
    <w:name w:val="List Paragraph"/>
    <w:basedOn w:val="Normal"/>
    <w:uiPriority w:val="34"/>
    <w:qFormat/>
    <w:rsid w:val="000B326E"/>
    <w:pPr>
      <w:ind w:left="720"/>
      <w:contextualSpacing/>
    </w:pPr>
  </w:style>
  <w:style w:type="paragraph" w:styleId="BalloonText">
    <w:name w:val="Balloon Text"/>
    <w:basedOn w:val="Normal"/>
    <w:link w:val="BalloonTextChar"/>
    <w:uiPriority w:val="99"/>
    <w:semiHidden/>
    <w:unhideWhenUsed/>
    <w:rsid w:val="000B3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26E"/>
    <w:rPr>
      <w:rFonts w:ascii="Segoe UI" w:eastAsia="Calibri" w:hAnsi="Segoe UI" w:cs="Segoe UI"/>
      <w:color w:val="000000"/>
      <w:sz w:val="18"/>
      <w:szCs w:val="18"/>
      <w:lang w:val="en-GB" w:eastAsia="en-GB"/>
    </w:rPr>
  </w:style>
  <w:style w:type="paragraph" w:styleId="Header">
    <w:name w:val="header"/>
    <w:basedOn w:val="Normal"/>
    <w:link w:val="HeaderChar"/>
    <w:uiPriority w:val="99"/>
    <w:unhideWhenUsed/>
    <w:rsid w:val="000B32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B326E"/>
    <w:rPr>
      <w:rFonts w:ascii="Calibri" w:eastAsia="Calibri" w:hAnsi="Calibri" w:cs="Calibri"/>
      <w:color w:val="000000"/>
      <w:lang w:val="en-GB" w:eastAsia="en-GB"/>
    </w:rPr>
  </w:style>
  <w:style w:type="paragraph" w:styleId="Footer">
    <w:name w:val="footer"/>
    <w:basedOn w:val="Normal"/>
    <w:link w:val="FooterChar"/>
    <w:uiPriority w:val="99"/>
    <w:unhideWhenUsed/>
    <w:rsid w:val="000B32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B326E"/>
    <w:rPr>
      <w:rFonts w:ascii="Calibri" w:eastAsia="Calibri" w:hAnsi="Calibri" w:cs="Calibri"/>
      <w:color w:val="000000"/>
      <w:lang w:val="en-GB" w:eastAsia="en-GB"/>
    </w:rPr>
  </w:style>
  <w:style w:type="character" w:styleId="CommentReference">
    <w:name w:val="annotation reference"/>
    <w:basedOn w:val="DefaultParagraphFont"/>
    <w:uiPriority w:val="99"/>
    <w:semiHidden/>
    <w:unhideWhenUsed/>
    <w:rsid w:val="00DD3339"/>
    <w:rPr>
      <w:sz w:val="16"/>
      <w:szCs w:val="16"/>
    </w:rPr>
  </w:style>
  <w:style w:type="paragraph" w:styleId="CommentText">
    <w:name w:val="annotation text"/>
    <w:basedOn w:val="Normal"/>
    <w:link w:val="CommentTextChar"/>
    <w:uiPriority w:val="99"/>
    <w:unhideWhenUsed/>
    <w:rsid w:val="00DD3339"/>
    <w:pPr>
      <w:spacing w:line="240" w:lineRule="auto"/>
    </w:pPr>
    <w:rPr>
      <w:sz w:val="20"/>
      <w:szCs w:val="20"/>
    </w:rPr>
  </w:style>
  <w:style w:type="character" w:customStyle="1" w:styleId="CommentTextChar">
    <w:name w:val="Comment Text Char"/>
    <w:basedOn w:val="DefaultParagraphFont"/>
    <w:link w:val="CommentText"/>
    <w:uiPriority w:val="99"/>
    <w:rsid w:val="00DD3339"/>
    <w:rPr>
      <w:rFonts w:ascii="Calibri" w:eastAsia="Calibri" w:hAnsi="Calibri" w:cs="Calibri"/>
      <w:color w:val="000000"/>
      <w:sz w:val="20"/>
      <w:szCs w:val="20"/>
      <w:lang w:val="en-GB" w:eastAsia="en-GB"/>
    </w:rPr>
  </w:style>
  <w:style w:type="paragraph" w:styleId="CommentSubject">
    <w:name w:val="annotation subject"/>
    <w:basedOn w:val="CommentText"/>
    <w:next w:val="CommentText"/>
    <w:link w:val="CommentSubjectChar"/>
    <w:uiPriority w:val="99"/>
    <w:semiHidden/>
    <w:unhideWhenUsed/>
    <w:rsid w:val="00DD3339"/>
    <w:rPr>
      <w:b/>
      <w:bCs/>
    </w:rPr>
  </w:style>
  <w:style w:type="character" w:customStyle="1" w:styleId="CommentSubjectChar">
    <w:name w:val="Comment Subject Char"/>
    <w:basedOn w:val="CommentTextChar"/>
    <w:link w:val="CommentSubject"/>
    <w:uiPriority w:val="99"/>
    <w:semiHidden/>
    <w:rsid w:val="00DD3339"/>
    <w:rPr>
      <w:rFonts w:ascii="Calibri" w:eastAsia="Calibri" w:hAnsi="Calibri" w:cs="Calibri"/>
      <w:b/>
      <w:bCs/>
      <w:color w:val="000000"/>
      <w:sz w:val="20"/>
      <w:szCs w:val="20"/>
      <w:lang w:val="en-GB" w:eastAsia="en-GB"/>
    </w:rPr>
  </w:style>
  <w:style w:type="character" w:styleId="Hyperlink">
    <w:name w:val="Hyperlink"/>
    <w:basedOn w:val="DefaultParagraphFont"/>
    <w:uiPriority w:val="99"/>
    <w:unhideWhenUsed/>
    <w:rsid w:val="002B0D03"/>
    <w:rPr>
      <w:color w:val="0000FF"/>
      <w:u w:val="single"/>
    </w:rPr>
  </w:style>
  <w:style w:type="character" w:customStyle="1" w:styleId="Hyperlink1">
    <w:name w:val="Hyperlink.1"/>
    <w:basedOn w:val="DefaultParagraphFont"/>
    <w:rsid w:val="007B29E4"/>
    <w:rPr>
      <w:rFonts w:ascii="Calibri" w:eastAsia="Calibri" w:hAnsi="Calibri" w:cs="Calibri"/>
      <w:i/>
      <w:iCs/>
      <w:color w:val="00006D"/>
      <w:kern w:val="0"/>
      <w:u w:val="single" w:color="00006D"/>
    </w:rPr>
  </w:style>
  <w:style w:type="paragraph" w:styleId="Revision">
    <w:name w:val="Revision"/>
    <w:hidden/>
    <w:uiPriority w:val="99"/>
    <w:semiHidden/>
    <w:rsid w:val="0080170E"/>
    <w:pPr>
      <w:spacing w:after="0" w:line="240" w:lineRule="auto"/>
    </w:pPr>
    <w:rPr>
      <w:rFonts w:ascii="Calibri" w:eastAsia="Calibri" w:hAnsi="Calibri" w:cs="Calibri"/>
      <w:color w:val="000000"/>
      <w:lang w:val="en-GB" w:eastAsia="en-GB"/>
    </w:rPr>
  </w:style>
  <w:style w:type="character" w:customStyle="1" w:styleId="UnresolvedMention1">
    <w:name w:val="Unresolved Mention1"/>
    <w:basedOn w:val="DefaultParagraphFont"/>
    <w:uiPriority w:val="99"/>
    <w:semiHidden/>
    <w:unhideWhenUsed/>
    <w:rsid w:val="00696823"/>
    <w:rPr>
      <w:color w:val="605E5C"/>
      <w:shd w:val="clear" w:color="auto" w:fill="E1DFDD"/>
    </w:rPr>
  </w:style>
  <w:style w:type="character" w:styleId="Strong">
    <w:name w:val="Strong"/>
    <w:basedOn w:val="DefaultParagraphFont"/>
    <w:uiPriority w:val="22"/>
    <w:qFormat/>
    <w:rsid w:val="00B23643"/>
    <w:rPr>
      <w:b/>
      <w:bCs/>
    </w:rPr>
  </w:style>
  <w:style w:type="paragraph" w:styleId="NormalWeb">
    <w:name w:val="Normal (Web)"/>
    <w:basedOn w:val="Normal"/>
    <w:uiPriority w:val="99"/>
    <w:semiHidden/>
    <w:unhideWhenUsed/>
    <w:rsid w:val="00176E0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AD171B"/>
    <w:rPr>
      <w:color w:val="954F72" w:themeColor="followedHyperlink"/>
      <w:u w:val="single"/>
    </w:rPr>
  </w:style>
  <w:style w:type="paragraph" w:customStyle="1" w:styleId="Appelnotedebasde">
    <w:name w:val="Appel note de bas de"/>
    <w:aliases w:val="Appel note de bas de page Char Char Char Char Char Char Char Char,Appel note de bas de page Char2 Char Char Char Char Char Char Char Char Char Char,Appel note de bas de page Char1"/>
    <w:basedOn w:val="Normal"/>
    <w:link w:val="FootnoteReference"/>
    <w:uiPriority w:val="99"/>
    <w:rsid w:val="0038532D"/>
    <w:pPr>
      <w:spacing w:before="120" w:after="120" w:line="240" w:lineRule="auto"/>
    </w:pPr>
    <w:rPr>
      <w:rFonts w:asciiTheme="minorHAnsi" w:eastAsiaTheme="minorHAnsi" w:hAnsiTheme="minorHAnsi" w:cstheme="minorBidi"/>
      <w:color w:val="auto"/>
      <w:vertAlign w:val="superscript"/>
      <w:lang w:val="fr-FR" w:eastAsia="en-US"/>
    </w:rPr>
  </w:style>
  <w:style w:type="character" w:customStyle="1" w:styleId="normaltextrun">
    <w:name w:val="normaltextrun"/>
    <w:basedOn w:val="DefaultParagraphFont"/>
    <w:rsid w:val="0038532D"/>
  </w:style>
  <w:style w:type="character" w:customStyle="1" w:styleId="findhit">
    <w:name w:val="findhit"/>
    <w:basedOn w:val="DefaultParagraphFont"/>
    <w:rsid w:val="0038532D"/>
  </w:style>
  <w:style w:type="character" w:customStyle="1" w:styleId="eop">
    <w:name w:val="eop"/>
    <w:basedOn w:val="DefaultParagraphFont"/>
    <w:rsid w:val="003853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193425">
      <w:bodyDiv w:val="1"/>
      <w:marLeft w:val="0"/>
      <w:marRight w:val="0"/>
      <w:marTop w:val="0"/>
      <w:marBottom w:val="0"/>
      <w:divBdr>
        <w:top w:val="none" w:sz="0" w:space="0" w:color="auto"/>
        <w:left w:val="none" w:sz="0" w:space="0" w:color="auto"/>
        <w:bottom w:val="none" w:sz="0" w:space="0" w:color="auto"/>
        <w:right w:val="none" w:sz="0" w:space="0" w:color="auto"/>
      </w:divBdr>
    </w:div>
    <w:div w:id="501047797">
      <w:bodyDiv w:val="1"/>
      <w:marLeft w:val="0"/>
      <w:marRight w:val="0"/>
      <w:marTop w:val="0"/>
      <w:marBottom w:val="0"/>
      <w:divBdr>
        <w:top w:val="none" w:sz="0" w:space="0" w:color="auto"/>
        <w:left w:val="none" w:sz="0" w:space="0" w:color="auto"/>
        <w:bottom w:val="none" w:sz="0" w:space="0" w:color="auto"/>
        <w:right w:val="none" w:sz="0" w:space="0" w:color="auto"/>
      </w:divBdr>
      <w:divsChild>
        <w:div w:id="1917546845">
          <w:marLeft w:val="0"/>
          <w:marRight w:val="0"/>
          <w:marTop w:val="0"/>
          <w:marBottom w:val="0"/>
          <w:divBdr>
            <w:top w:val="none" w:sz="0" w:space="0" w:color="auto"/>
            <w:left w:val="none" w:sz="0" w:space="0" w:color="auto"/>
            <w:bottom w:val="none" w:sz="0" w:space="0" w:color="auto"/>
            <w:right w:val="none" w:sz="0" w:space="0" w:color="auto"/>
          </w:divBdr>
        </w:div>
      </w:divsChild>
    </w:div>
    <w:div w:id="825123573">
      <w:bodyDiv w:val="1"/>
      <w:marLeft w:val="0"/>
      <w:marRight w:val="0"/>
      <w:marTop w:val="0"/>
      <w:marBottom w:val="0"/>
      <w:divBdr>
        <w:top w:val="none" w:sz="0" w:space="0" w:color="auto"/>
        <w:left w:val="none" w:sz="0" w:space="0" w:color="auto"/>
        <w:bottom w:val="none" w:sz="0" w:space="0" w:color="auto"/>
        <w:right w:val="none" w:sz="0" w:space="0" w:color="auto"/>
      </w:divBdr>
    </w:div>
    <w:div w:id="1008216042">
      <w:bodyDiv w:val="1"/>
      <w:marLeft w:val="0"/>
      <w:marRight w:val="0"/>
      <w:marTop w:val="0"/>
      <w:marBottom w:val="0"/>
      <w:divBdr>
        <w:top w:val="none" w:sz="0" w:space="0" w:color="auto"/>
        <w:left w:val="none" w:sz="0" w:space="0" w:color="auto"/>
        <w:bottom w:val="none" w:sz="0" w:space="0" w:color="auto"/>
        <w:right w:val="none" w:sz="0" w:space="0" w:color="auto"/>
      </w:divBdr>
    </w:div>
    <w:div w:id="1154220538">
      <w:bodyDiv w:val="1"/>
      <w:marLeft w:val="0"/>
      <w:marRight w:val="0"/>
      <w:marTop w:val="0"/>
      <w:marBottom w:val="0"/>
      <w:divBdr>
        <w:top w:val="none" w:sz="0" w:space="0" w:color="auto"/>
        <w:left w:val="none" w:sz="0" w:space="0" w:color="auto"/>
        <w:bottom w:val="none" w:sz="0" w:space="0" w:color="auto"/>
        <w:right w:val="none" w:sz="0" w:space="0" w:color="auto"/>
      </w:divBdr>
    </w:div>
    <w:div w:id="1532651290">
      <w:bodyDiv w:val="1"/>
      <w:marLeft w:val="0"/>
      <w:marRight w:val="0"/>
      <w:marTop w:val="0"/>
      <w:marBottom w:val="0"/>
      <w:divBdr>
        <w:top w:val="none" w:sz="0" w:space="0" w:color="auto"/>
        <w:left w:val="none" w:sz="0" w:space="0" w:color="auto"/>
        <w:bottom w:val="none" w:sz="0" w:space="0" w:color="auto"/>
        <w:right w:val="none" w:sz="0" w:space="0" w:color="auto"/>
      </w:divBdr>
    </w:div>
    <w:div w:id="1604534840">
      <w:bodyDiv w:val="1"/>
      <w:marLeft w:val="0"/>
      <w:marRight w:val="0"/>
      <w:marTop w:val="0"/>
      <w:marBottom w:val="0"/>
      <w:divBdr>
        <w:top w:val="none" w:sz="0" w:space="0" w:color="auto"/>
        <w:left w:val="none" w:sz="0" w:space="0" w:color="auto"/>
        <w:bottom w:val="none" w:sz="0" w:space="0" w:color="auto"/>
        <w:right w:val="none" w:sz="0" w:space="0" w:color="auto"/>
      </w:divBdr>
    </w:div>
    <w:div w:id="1611012504">
      <w:bodyDiv w:val="1"/>
      <w:marLeft w:val="0"/>
      <w:marRight w:val="0"/>
      <w:marTop w:val="0"/>
      <w:marBottom w:val="0"/>
      <w:divBdr>
        <w:top w:val="none" w:sz="0" w:space="0" w:color="auto"/>
        <w:left w:val="none" w:sz="0" w:space="0" w:color="auto"/>
        <w:bottom w:val="none" w:sz="0" w:space="0" w:color="auto"/>
        <w:right w:val="none" w:sz="0" w:space="0" w:color="auto"/>
      </w:divBdr>
    </w:div>
    <w:div w:id="1713186968">
      <w:bodyDiv w:val="1"/>
      <w:marLeft w:val="0"/>
      <w:marRight w:val="0"/>
      <w:marTop w:val="0"/>
      <w:marBottom w:val="0"/>
      <w:divBdr>
        <w:top w:val="none" w:sz="0" w:space="0" w:color="auto"/>
        <w:left w:val="none" w:sz="0" w:space="0" w:color="auto"/>
        <w:bottom w:val="none" w:sz="0" w:space="0" w:color="auto"/>
        <w:right w:val="none" w:sz="0" w:space="0" w:color="auto"/>
      </w:divBdr>
    </w:div>
    <w:div w:id="2097821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n-international.org/publications/girls-rights-are-human-rights" TargetMode="External"/><Relationship Id="rId18" Type="http://schemas.openxmlformats.org/officeDocument/2006/relationships/hyperlink" Target="https://plan-uk.org/file/trafficking-of-girls-and-young-women/download?token=gXqs11ip"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documents-dds-ny.un.org/doc/UNDOC/GEN/G10/472/60/PDF/G1047260.pdf?OpenElement" TargetMode="External"/><Relationship Id="rId17" Type="http://schemas.openxmlformats.org/officeDocument/2006/relationships/hyperlink" Target="https://www.ohchr.org/EN/Issues/Migration/SRMigrants/Pages/AnnualReports.aspx" TargetMode="External"/><Relationship Id="rId2" Type="http://schemas.openxmlformats.org/officeDocument/2006/relationships/customXml" Target="../customXml/item2.xml"/><Relationship Id="rId16" Type="http://schemas.openxmlformats.org/officeDocument/2006/relationships/hyperlink" Target="https://undocs.org/A/70/222" TargetMode="External"/><Relationship Id="rId20" Type="http://schemas.openxmlformats.org/officeDocument/2006/relationships/hyperlink" Target="https://www.unicef.org/violencestudy/pdf/2002_traff_unbearable_en.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n-international.org/publications/girls-rights-are-human-righ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tbinternet.ohchr.org/_layouts/15/treatybodyexternal/TBSearch.aspx?Lang=en&amp;TreatyID=7&amp;DocTypeID=1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undocs.org/A/69/26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binternet.ohchr.org/_layouts/15/treatybodyexternal/TBSearch.aspx?Lang=en&amp;TreatyID=7&amp;DocTypeID=11"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undocs.org/A/70/222" TargetMode="External"/><Relationship Id="rId3" Type="http://schemas.openxmlformats.org/officeDocument/2006/relationships/hyperlink" Target="https://tbinternet.ohchr.org/_layouts/15/treatybodyexternal/TBSearch.aspx?Lang=en&amp;TreatyID=7&amp;DocTypeID=11" TargetMode="External"/><Relationship Id="rId7" Type="http://schemas.openxmlformats.org/officeDocument/2006/relationships/hyperlink" Target="https://undocs.org/A/69/269" TargetMode="External"/><Relationship Id="rId2" Type="http://schemas.openxmlformats.org/officeDocument/2006/relationships/hyperlink" Target="https://tbinternet.ohchr.org/_layouts/15/treatybodyexternal/TBSearch.aspx?Lang=en&amp;TreatyID=7&amp;DocTypeID=11" TargetMode="External"/><Relationship Id="rId1" Type="http://schemas.openxmlformats.org/officeDocument/2006/relationships/hyperlink" Target="https://www.unicef.org/violencestudy/pdf/2002_traff_unbearable_en.pdf" TargetMode="External"/><Relationship Id="rId6" Type="http://schemas.openxmlformats.org/officeDocument/2006/relationships/hyperlink" Target="https://undocs.org/A/70/222" TargetMode="External"/><Relationship Id="rId11" Type="http://schemas.openxmlformats.org/officeDocument/2006/relationships/hyperlink" Target="https://documents-dds-ny.un.org/doc/UNDOC/GEN/G10/472/60/PDF/G1047260.pdf?OpenElement" TargetMode="External"/><Relationship Id="rId5" Type="http://schemas.openxmlformats.org/officeDocument/2006/relationships/hyperlink" Target="https://undocs.org/A/69/269" TargetMode="External"/><Relationship Id="rId10" Type="http://schemas.openxmlformats.org/officeDocument/2006/relationships/hyperlink" Target="https://tbinternet.ohchr.org/_layouts/15/treatybodyexternal/TBSearch.aspx?Lang=en&amp;TreatyID=7&amp;DocTypeID=11" TargetMode="External"/><Relationship Id="rId4" Type="http://schemas.openxmlformats.org/officeDocument/2006/relationships/hyperlink" Target="https://tbinternet.ohchr.org/_layouts/15/treatybodyexternal/TBSearch.aspx?Lang=en&amp;TreatyID=7&amp;DocTypeID=11" TargetMode="External"/><Relationship Id="rId9" Type="http://schemas.openxmlformats.org/officeDocument/2006/relationships/hyperlink" Target="https://undocs.org/A/69/26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8A7DE-1F01-4A12-9696-27AA425534B1}">
  <ds:schemaRefs>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http://schemas.openxmlformats.org/package/2006/metadata/core-properties"/>
    <ds:schemaRef ds:uri="4a0aab90-d7f6-42ea-9456-b04e0041d766"/>
    <ds:schemaRef ds:uri="b92093d9-610e-4199-8dfc-b8e493575d72"/>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7ABB9A0-75E4-445B-958D-DB49E58D9ED6}"/>
</file>

<file path=customXml/itemProps3.xml><?xml version="1.0" encoding="utf-8"?>
<ds:datastoreItem xmlns:ds="http://schemas.openxmlformats.org/officeDocument/2006/customXml" ds:itemID="{182AF62B-060B-4F0B-8F81-4E8E2EFB72CB}">
  <ds:schemaRefs>
    <ds:schemaRef ds:uri="http://schemas.microsoft.com/sharepoint/v3/contenttype/forms"/>
  </ds:schemaRefs>
</ds:datastoreItem>
</file>

<file path=customXml/itemProps4.xml><?xml version="1.0" encoding="utf-8"?>
<ds:datastoreItem xmlns:ds="http://schemas.openxmlformats.org/officeDocument/2006/customXml" ds:itemID="{712673A3-2810-4B26-B3C0-8EC5AFA56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3290</Words>
  <Characters>18755</Characters>
  <Application>Microsoft Office Word</Application>
  <DocSecurity>4</DocSecurity>
  <Lines>156</Lines>
  <Paragraphs>44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Chello</dc:creator>
  <cp:keywords/>
  <dc:description/>
  <cp:lastModifiedBy>Schmidt-Martin, Gisela</cp:lastModifiedBy>
  <cp:revision>2</cp:revision>
  <dcterms:created xsi:type="dcterms:W3CDTF">2020-05-12T08:10:00Z</dcterms:created>
  <dcterms:modified xsi:type="dcterms:W3CDTF">2020-05-12T08:10:00Z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