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4806B" w14:textId="67887D45" w:rsidR="00F81851" w:rsidRPr="000172A0" w:rsidRDefault="00F81851" w:rsidP="00F81851">
      <w:pPr>
        <w:jc w:val="center"/>
        <w:rPr>
          <w:color w:val="004C8F"/>
          <w:sz w:val="14"/>
          <w:lang w:val="en-GB"/>
        </w:rPr>
      </w:pPr>
      <w:r w:rsidRPr="000172A0">
        <w:rPr>
          <w:noProof/>
          <w:color w:val="004C8F"/>
          <w:sz w:val="14"/>
          <w:lang w:val="en-GB"/>
        </w:rPr>
        <w:drawing>
          <wp:anchor distT="0" distB="0" distL="114300" distR="114300" simplePos="0" relativeHeight="251659264" behindDoc="1" locked="0" layoutInCell="1" allowOverlap="1" wp14:anchorId="25DC7772" wp14:editId="67414907">
            <wp:simplePos x="0" y="0"/>
            <wp:positionH relativeFrom="column">
              <wp:posOffset>-369570</wp:posOffset>
            </wp:positionH>
            <wp:positionV relativeFrom="paragraph">
              <wp:posOffset>127000</wp:posOffset>
            </wp:positionV>
            <wp:extent cx="5684520" cy="457200"/>
            <wp:effectExtent l="0" t="0" r="0" b="0"/>
            <wp:wrapTight wrapText="bothSides">
              <wp:wrapPolygon edited="0">
                <wp:start x="290" y="0"/>
                <wp:lineTo x="0" y="900"/>
                <wp:lineTo x="0" y="19800"/>
                <wp:lineTo x="651" y="20700"/>
                <wp:lineTo x="3402" y="20700"/>
                <wp:lineTo x="21499" y="20700"/>
                <wp:lineTo x="21499" y="0"/>
                <wp:lineTo x="29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45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A0">
        <w:rPr>
          <w:noProof/>
          <w:color w:val="004C8F"/>
          <w:sz w:val="14"/>
          <w:lang w:val="en-GB"/>
        </w:rPr>
        <w:drawing>
          <wp:anchor distT="0" distB="0" distL="114300" distR="114300" simplePos="0" relativeHeight="251660288" behindDoc="1" locked="0" layoutInCell="1" allowOverlap="1" wp14:anchorId="15DF217D" wp14:editId="7B136C4A">
            <wp:simplePos x="0" y="0"/>
            <wp:positionH relativeFrom="column">
              <wp:posOffset>5425440</wp:posOffset>
            </wp:positionH>
            <wp:positionV relativeFrom="paragraph">
              <wp:posOffset>-358140</wp:posOffset>
            </wp:positionV>
            <wp:extent cx="741680" cy="733425"/>
            <wp:effectExtent l="0" t="0" r="1270" b="9525"/>
            <wp:wrapTight wrapText="bothSides">
              <wp:wrapPolygon edited="0">
                <wp:start x="0" y="0"/>
                <wp:lineTo x="0" y="21319"/>
                <wp:lineTo x="21082" y="21319"/>
                <wp:lineTo x="21082" y="0"/>
                <wp:lineTo x="0" y="0"/>
              </wp:wrapPolygon>
            </wp:wrapTight>
            <wp:docPr id="1" name="Image 1" descr="logo MDM FR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DM FR CMJ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68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F51B4" w14:textId="3EA3BB8C" w:rsidR="00F81851" w:rsidRDefault="00F81851" w:rsidP="00BD665C">
      <w:pPr>
        <w:pStyle w:val="En-tte"/>
        <w:tabs>
          <w:tab w:val="clear" w:pos="4536"/>
          <w:tab w:val="clear" w:pos="9072"/>
          <w:tab w:val="right" w:pos="10632"/>
        </w:tabs>
        <w:ind w:left="-567" w:right="-1001"/>
        <w:rPr>
          <w:color w:val="004C8F"/>
          <w:sz w:val="14"/>
        </w:rPr>
      </w:pPr>
      <w:r w:rsidRPr="00C01DF1">
        <w:rPr>
          <w:color w:val="004C8F"/>
          <w:sz w:val="14"/>
        </w:rPr>
        <w:t>Allemagne</w:t>
      </w:r>
      <w:r w:rsidRPr="00E4787C">
        <w:rPr>
          <w:color w:val="004C8F"/>
          <w:sz w:val="14"/>
          <w:lang w:val="en-GB"/>
        </w:rPr>
        <w:sym w:font="Symbol" w:char="F0FA"/>
      </w:r>
      <w:r w:rsidRPr="00C01DF1">
        <w:rPr>
          <w:color w:val="004C8F"/>
          <w:sz w:val="14"/>
        </w:rPr>
        <w:t xml:space="preserve"> Argentine</w:t>
      </w:r>
      <w:r w:rsidRPr="00E4787C">
        <w:rPr>
          <w:color w:val="004C8F"/>
          <w:sz w:val="14"/>
          <w:lang w:val="en-GB"/>
        </w:rPr>
        <w:sym w:font="Symbol" w:char="F0FA"/>
      </w:r>
      <w:r w:rsidRPr="00C01DF1">
        <w:rPr>
          <w:color w:val="004C8F"/>
          <w:sz w:val="14"/>
        </w:rPr>
        <w:t xml:space="preserve"> Belgique</w:t>
      </w:r>
      <w:r w:rsidRPr="00E4787C">
        <w:rPr>
          <w:color w:val="004C8F"/>
          <w:sz w:val="14"/>
          <w:lang w:val="en-GB"/>
        </w:rPr>
        <w:sym w:font="Symbol" w:char="F0FA"/>
      </w:r>
      <w:r w:rsidRPr="00C01DF1">
        <w:rPr>
          <w:color w:val="004C8F"/>
          <w:sz w:val="14"/>
        </w:rPr>
        <w:t xml:space="preserve"> Canada</w:t>
      </w:r>
      <w:r w:rsidRPr="00E4787C">
        <w:rPr>
          <w:color w:val="004C8F"/>
          <w:sz w:val="14"/>
          <w:lang w:val="en-GB"/>
        </w:rPr>
        <w:sym w:font="Symbol" w:char="F0FA"/>
      </w:r>
      <w:r>
        <w:rPr>
          <w:color w:val="004C8F"/>
          <w:sz w:val="14"/>
        </w:rPr>
        <w:t xml:space="preserve"> Espagne</w:t>
      </w:r>
      <w:r w:rsidRPr="00E4787C">
        <w:rPr>
          <w:color w:val="004C8F"/>
          <w:sz w:val="14"/>
          <w:lang w:val="en-GB"/>
        </w:rPr>
        <w:sym w:font="Symbol" w:char="F0FA"/>
      </w:r>
      <w:r w:rsidRPr="00C01DF1">
        <w:rPr>
          <w:color w:val="004C8F"/>
          <w:sz w:val="14"/>
        </w:rPr>
        <w:t xml:space="preserve"> </w:t>
      </w:r>
      <w:r>
        <w:rPr>
          <w:color w:val="004C8F"/>
          <w:sz w:val="14"/>
        </w:rPr>
        <w:t>Etats Unis</w:t>
      </w:r>
      <w:r w:rsidRPr="00E4787C">
        <w:rPr>
          <w:color w:val="004C8F"/>
          <w:sz w:val="14"/>
          <w:lang w:val="en-GB"/>
        </w:rPr>
        <w:sym w:font="Symbol" w:char="F0FA"/>
      </w:r>
      <w:r w:rsidRPr="00C01DF1">
        <w:rPr>
          <w:color w:val="004C8F"/>
          <w:sz w:val="14"/>
        </w:rPr>
        <w:t xml:space="preserve"> </w:t>
      </w:r>
      <w:r>
        <w:rPr>
          <w:color w:val="004C8F"/>
          <w:sz w:val="14"/>
        </w:rPr>
        <w:t>France</w:t>
      </w:r>
      <w:r w:rsidRPr="00E4787C">
        <w:rPr>
          <w:color w:val="004C8F"/>
          <w:sz w:val="14"/>
          <w:lang w:val="en-GB"/>
        </w:rPr>
        <w:sym w:font="Symbol" w:char="F0FA"/>
      </w:r>
      <w:r w:rsidRPr="00C01DF1">
        <w:rPr>
          <w:color w:val="004C8F"/>
          <w:sz w:val="14"/>
        </w:rPr>
        <w:t xml:space="preserve"> </w:t>
      </w:r>
      <w:r>
        <w:rPr>
          <w:color w:val="004C8F"/>
          <w:sz w:val="14"/>
        </w:rPr>
        <w:t>Grèce</w:t>
      </w:r>
      <w:r w:rsidRPr="00E4787C">
        <w:rPr>
          <w:color w:val="004C8F"/>
          <w:sz w:val="14"/>
          <w:lang w:val="en-GB"/>
        </w:rPr>
        <w:sym w:font="Symbol" w:char="F0FA"/>
      </w:r>
      <w:r w:rsidRPr="00C01DF1">
        <w:rPr>
          <w:color w:val="004C8F"/>
          <w:sz w:val="14"/>
        </w:rPr>
        <w:t xml:space="preserve"> Japon</w:t>
      </w:r>
      <w:r w:rsidRPr="00E4787C">
        <w:rPr>
          <w:color w:val="004C8F"/>
          <w:sz w:val="14"/>
          <w:lang w:val="en-GB"/>
        </w:rPr>
        <w:sym w:font="Symbol" w:char="F0FA"/>
      </w:r>
      <w:r w:rsidRPr="00C01DF1">
        <w:rPr>
          <w:color w:val="004C8F"/>
          <w:sz w:val="14"/>
        </w:rPr>
        <w:t xml:space="preserve"> </w:t>
      </w:r>
      <w:r>
        <w:rPr>
          <w:color w:val="004C8F"/>
          <w:sz w:val="14"/>
        </w:rPr>
        <w:t>Luxembourg</w:t>
      </w:r>
      <w:r w:rsidRPr="00E4787C">
        <w:rPr>
          <w:color w:val="004C8F"/>
          <w:sz w:val="14"/>
          <w:lang w:val="en-GB"/>
        </w:rPr>
        <w:sym w:font="Symbol" w:char="F0FA"/>
      </w:r>
      <w:r w:rsidRPr="00C01DF1">
        <w:rPr>
          <w:color w:val="004C8F"/>
          <w:sz w:val="14"/>
        </w:rPr>
        <w:t xml:space="preserve"> Pays Bas</w:t>
      </w:r>
      <w:r w:rsidRPr="00E4787C">
        <w:rPr>
          <w:color w:val="004C8F"/>
          <w:sz w:val="14"/>
          <w:lang w:val="en-GB"/>
        </w:rPr>
        <w:sym w:font="Symbol" w:char="F0FA"/>
      </w:r>
      <w:r w:rsidRPr="00C01DF1">
        <w:rPr>
          <w:color w:val="004C8F"/>
          <w:sz w:val="14"/>
        </w:rPr>
        <w:t xml:space="preserve"> Portugal</w:t>
      </w:r>
      <w:r w:rsidRPr="00E4787C">
        <w:rPr>
          <w:color w:val="004C8F"/>
          <w:sz w:val="14"/>
          <w:lang w:val="en-GB"/>
        </w:rPr>
        <w:sym w:font="Symbol" w:char="F0FA"/>
      </w:r>
      <w:r w:rsidRPr="00C01DF1">
        <w:rPr>
          <w:color w:val="004C8F"/>
          <w:sz w:val="14"/>
        </w:rPr>
        <w:t xml:space="preserve"> Royaume Uni</w:t>
      </w:r>
      <w:r w:rsidRPr="00E4787C">
        <w:rPr>
          <w:color w:val="004C8F"/>
          <w:sz w:val="14"/>
          <w:lang w:val="en-GB"/>
        </w:rPr>
        <w:sym w:font="Symbol" w:char="F0FA"/>
      </w:r>
      <w:r w:rsidRPr="00C01DF1">
        <w:rPr>
          <w:color w:val="004C8F"/>
          <w:sz w:val="14"/>
        </w:rPr>
        <w:t xml:space="preserve"> </w:t>
      </w:r>
    </w:p>
    <w:p w14:paraId="7A3E2F25" w14:textId="77777777" w:rsidR="00F81851" w:rsidRPr="00AE7AF9" w:rsidRDefault="00F81851" w:rsidP="00BD665C">
      <w:pPr>
        <w:pStyle w:val="En-tte"/>
        <w:tabs>
          <w:tab w:val="clear" w:pos="4536"/>
          <w:tab w:val="clear" w:pos="9072"/>
          <w:tab w:val="right" w:pos="10632"/>
        </w:tabs>
        <w:ind w:left="-567" w:right="-1001"/>
        <w:rPr>
          <w:color w:val="004C8F"/>
          <w:sz w:val="14"/>
        </w:rPr>
      </w:pPr>
      <w:r>
        <w:rPr>
          <w:color w:val="004C8F"/>
          <w:sz w:val="14"/>
        </w:rPr>
        <w:t>Suède</w:t>
      </w:r>
      <w:r w:rsidRPr="00E4787C">
        <w:rPr>
          <w:color w:val="004C8F"/>
          <w:sz w:val="14"/>
          <w:lang w:val="en-GB"/>
        </w:rPr>
        <w:sym w:font="Symbol" w:char="F0FA"/>
      </w:r>
      <w:r w:rsidRPr="00C01DF1">
        <w:rPr>
          <w:color w:val="004C8F"/>
          <w:sz w:val="14"/>
        </w:rPr>
        <w:t xml:space="preserve"> </w:t>
      </w:r>
      <w:r w:rsidRPr="007C4C62">
        <w:rPr>
          <w:color w:val="004C8F"/>
          <w:sz w:val="14"/>
        </w:rPr>
        <w:t>Suisse</w:t>
      </w:r>
      <w:r w:rsidRPr="00E4787C">
        <w:rPr>
          <w:color w:val="004C8F"/>
          <w:sz w:val="14"/>
          <w:lang w:val="en-GB"/>
        </w:rPr>
        <w:sym w:font="Symbol" w:char="F0FA"/>
      </w:r>
      <w:r w:rsidRPr="00F81851">
        <w:rPr>
          <w:color w:val="004C8F"/>
          <w:sz w:val="14"/>
        </w:rPr>
        <w:t xml:space="preserve"> </w:t>
      </w:r>
      <w:r w:rsidRPr="00AE7AF9">
        <w:rPr>
          <w:color w:val="004C8F"/>
          <w:sz w:val="14"/>
        </w:rPr>
        <w:t>Turquie</w:t>
      </w:r>
    </w:p>
    <w:p w14:paraId="3EA38698" w14:textId="77777777" w:rsidR="00F81851" w:rsidRPr="00C01DF1" w:rsidRDefault="00F81851" w:rsidP="00F81851">
      <w:pPr>
        <w:jc w:val="center"/>
        <w:rPr>
          <w:color w:val="004C8F"/>
          <w:sz w:val="14"/>
        </w:rPr>
      </w:pPr>
    </w:p>
    <w:p w14:paraId="226F3B47" w14:textId="77777777" w:rsidR="00F81851" w:rsidRPr="00C01DF1" w:rsidRDefault="00F81851" w:rsidP="00F81851">
      <w:pPr>
        <w:jc w:val="center"/>
        <w:rPr>
          <w:b/>
          <w:bCs/>
          <w:sz w:val="22"/>
        </w:rPr>
      </w:pPr>
    </w:p>
    <w:p w14:paraId="4D5D252B" w14:textId="77777777" w:rsidR="00F81851" w:rsidRPr="007D102A" w:rsidRDefault="00F81851" w:rsidP="00F81851">
      <w:pPr>
        <w:pBdr>
          <w:top w:val="single" w:sz="4" w:space="0" w:color="auto"/>
          <w:left w:val="single" w:sz="4" w:space="4" w:color="auto"/>
          <w:bottom w:val="single" w:sz="4" w:space="1" w:color="auto"/>
          <w:right w:val="single" w:sz="4" w:space="4" w:color="auto"/>
        </w:pBdr>
        <w:jc w:val="center"/>
        <w:rPr>
          <w:rFonts w:cs="Arial"/>
          <w:b/>
          <w:bCs/>
          <w:sz w:val="28"/>
          <w:szCs w:val="28"/>
        </w:rPr>
      </w:pPr>
      <w:r w:rsidRPr="007D102A">
        <w:rPr>
          <w:rFonts w:cs="Arial"/>
          <w:b/>
          <w:bCs/>
          <w:sz w:val="28"/>
          <w:szCs w:val="28"/>
        </w:rPr>
        <w:t xml:space="preserve">Commentaires de Médecins du Monde-France sur le « Draft General </w:t>
      </w:r>
      <w:proofErr w:type="spellStart"/>
      <w:r w:rsidRPr="007D102A">
        <w:rPr>
          <w:rFonts w:cs="Arial"/>
          <w:b/>
          <w:bCs/>
          <w:sz w:val="28"/>
          <w:szCs w:val="28"/>
        </w:rPr>
        <w:t>Recommendations</w:t>
      </w:r>
      <w:proofErr w:type="spellEnd"/>
      <w:r w:rsidRPr="007D102A">
        <w:rPr>
          <w:rFonts w:cs="Arial"/>
          <w:b/>
          <w:bCs/>
          <w:sz w:val="28"/>
          <w:szCs w:val="28"/>
        </w:rPr>
        <w:t xml:space="preserve"> on </w:t>
      </w:r>
      <w:proofErr w:type="spellStart"/>
      <w:r w:rsidRPr="007D102A">
        <w:rPr>
          <w:rFonts w:cs="Arial"/>
          <w:b/>
          <w:bCs/>
          <w:sz w:val="28"/>
          <w:szCs w:val="28"/>
        </w:rPr>
        <w:t>Trafficking</w:t>
      </w:r>
      <w:proofErr w:type="spellEnd"/>
      <w:r w:rsidRPr="007D102A">
        <w:rPr>
          <w:rFonts w:cs="Arial"/>
          <w:b/>
          <w:bCs/>
          <w:sz w:val="28"/>
          <w:szCs w:val="28"/>
        </w:rPr>
        <w:t xml:space="preserve"> in </w:t>
      </w:r>
      <w:proofErr w:type="spellStart"/>
      <w:r w:rsidRPr="007D102A">
        <w:rPr>
          <w:rFonts w:cs="Arial"/>
          <w:b/>
          <w:bCs/>
          <w:sz w:val="28"/>
          <w:szCs w:val="28"/>
        </w:rPr>
        <w:t>Women</w:t>
      </w:r>
      <w:proofErr w:type="spellEnd"/>
      <w:r w:rsidRPr="007D102A">
        <w:rPr>
          <w:rFonts w:cs="Arial"/>
          <w:b/>
          <w:bCs/>
          <w:sz w:val="28"/>
          <w:szCs w:val="28"/>
        </w:rPr>
        <w:t xml:space="preserve"> and Girls in </w:t>
      </w:r>
      <w:proofErr w:type="spellStart"/>
      <w:r w:rsidRPr="007D102A">
        <w:rPr>
          <w:rFonts w:cs="Arial"/>
          <w:b/>
          <w:bCs/>
          <w:sz w:val="28"/>
          <w:szCs w:val="28"/>
        </w:rPr>
        <w:t>Context</w:t>
      </w:r>
      <w:proofErr w:type="spellEnd"/>
      <w:r w:rsidRPr="007D102A">
        <w:rPr>
          <w:rFonts w:cs="Arial"/>
          <w:b/>
          <w:bCs/>
          <w:sz w:val="28"/>
          <w:szCs w:val="28"/>
        </w:rPr>
        <w:t xml:space="preserve"> of Global Migration »</w:t>
      </w:r>
    </w:p>
    <w:p w14:paraId="2041E644" w14:textId="77777777" w:rsidR="00F81851" w:rsidRPr="00C01DF1" w:rsidRDefault="00F81851" w:rsidP="00F81851">
      <w:pPr>
        <w:rPr>
          <w:rFonts w:cs="Arial"/>
          <w:szCs w:val="20"/>
        </w:rPr>
      </w:pPr>
    </w:p>
    <w:p w14:paraId="57E83453" w14:textId="022C442D" w:rsidR="001B6297" w:rsidRPr="00DD1404" w:rsidRDefault="001B6297" w:rsidP="00274177">
      <w:pPr>
        <w:rPr>
          <w:rFonts w:cs="Arial"/>
        </w:rPr>
      </w:pPr>
    </w:p>
    <w:p w14:paraId="4815E530" w14:textId="6E4894A6" w:rsidR="00CC64B4" w:rsidRPr="00302DE6" w:rsidRDefault="00BA514C" w:rsidP="00274177">
      <w:pPr>
        <w:rPr>
          <w:rFonts w:cs="Arial"/>
          <w:b/>
          <w:bCs/>
          <w:sz w:val="22"/>
          <w:u w:val="single"/>
        </w:rPr>
      </w:pPr>
      <w:r w:rsidRPr="00302DE6">
        <w:rPr>
          <w:rFonts w:cs="Arial"/>
          <w:b/>
          <w:bCs/>
          <w:sz w:val="22"/>
          <w:u w:val="single"/>
        </w:rPr>
        <w:t xml:space="preserve">Section </w:t>
      </w:r>
      <w:r w:rsidR="008B0A27" w:rsidRPr="00302DE6">
        <w:rPr>
          <w:rFonts w:cs="Arial"/>
          <w:b/>
          <w:bCs/>
          <w:sz w:val="22"/>
          <w:u w:val="single"/>
        </w:rPr>
        <w:t>III – Legal Framework</w:t>
      </w:r>
    </w:p>
    <w:p w14:paraId="2D325A1E" w14:textId="0378ECD4" w:rsidR="00BA514C" w:rsidRDefault="00BA514C" w:rsidP="00274177">
      <w:pPr>
        <w:rPr>
          <w:rFonts w:cs="Arial"/>
        </w:rPr>
      </w:pPr>
      <w:r w:rsidRPr="00BA514C">
        <w:rPr>
          <w:rFonts w:cs="Arial"/>
        </w:rPr>
        <w:t>Nous recommandons l’inser</w:t>
      </w:r>
      <w:r>
        <w:rPr>
          <w:rFonts w:cs="Arial"/>
        </w:rPr>
        <w:t xml:space="preserve">tion d’un §9 </w:t>
      </w:r>
      <w:proofErr w:type="gramStart"/>
      <w:r w:rsidR="00302DE6">
        <w:rPr>
          <w:rFonts w:cs="Arial"/>
        </w:rPr>
        <w:t>libellé</w:t>
      </w:r>
      <w:proofErr w:type="gramEnd"/>
      <w:r>
        <w:rPr>
          <w:rFonts w:cs="Arial"/>
        </w:rPr>
        <w:t xml:space="preserve"> comme suit : « Le comité</w:t>
      </w:r>
      <w:r w:rsidRPr="00BA514C">
        <w:rPr>
          <w:rFonts w:cs="Arial"/>
        </w:rPr>
        <w:t xml:space="preserve"> </w:t>
      </w:r>
      <w:r w:rsidRPr="00DD1404">
        <w:rPr>
          <w:rFonts w:cs="Arial"/>
        </w:rPr>
        <w:t>souligne que l’expression « exploitation sexuelle » telle qu’utilisée dans cette Recommandation générale ne renvoie pas à tout le travail du sexe ».</w:t>
      </w:r>
    </w:p>
    <w:p w14:paraId="09F601DB" w14:textId="290AEE86" w:rsidR="00BA514C" w:rsidRDefault="0018254C" w:rsidP="00274177">
      <w:pPr>
        <w:rPr>
          <w:rFonts w:cs="Arial"/>
        </w:rPr>
      </w:pPr>
      <w:r>
        <w:rPr>
          <w:rFonts w:cs="Arial"/>
        </w:rPr>
        <w:t>En effet, certains pays, dont la France, n’opère</w:t>
      </w:r>
      <w:r w:rsidR="00302DE6">
        <w:rPr>
          <w:rFonts w:cs="Arial"/>
        </w:rPr>
        <w:t>nt</w:t>
      </w:r>
      <w:r>
        <w:rPr>
          <w:rFonts w:cs="Arial"/>
        </w:rPr>
        <w:t xml:space="preserve"> pas de distinction entre le travail du sexe et l’exploitation du travail du sexe.</w:t>
      </w:r>
      <w:r w:rsidR="00225299">
        <w:rPr>
          <w:rFonts w:cs="Arial"/>
        </w:rPr>
        <w:t xml:space="preserve"> Ils emploient l’expression « exploitation sexuelle » pour désigner toute forme de travail sexuel</w:t>
      </w:r>
      <w:r w:rsidR="00694808">
        <w:rPr>
          <w:rFonts w:cs="Arial"/>
        </w:rPr>
        <w:t xml:space="preserve"> considérant le travail sexuel comme une violence en soi et donc comme constituant nécessairement de l’exploitation sexuelle.</w:t>
      </w:r>
    </w:p>
    <w:p w14:paraId="3F4B419B" w14:textId="30089C7F" w:rsidR="00694808" w:rsidRDefault="00694808" w:rsidP="00274177">
      <w:pPr>
        <w:rPr>
          <w:rFonts w:cs="Arial"/>
        </w:rPr>
      </w:pPr>
      <w:r>
        <w:rPr>
          <w:rFonts w:cs="Arial"/>
        </w:rPr>
        <w:t>C</w:t>
      </w:r>
      <w:r w:rsidR="00C64626">
        <w:rPr>
          <w:rFonts w:cs="Arial"/>
        </w:rPr>
        <w:t xml:space="preserve">ela a pour conséquence </w:t>
      </w:r>
      <w:r w:rsidR="008D1A9A">
        <w:rPr>
          <w:rFonts w:cs="Arial"/>
        </w:rPr>
        <w:t xml:space="preserve">une déconsidération des violences à l’encontre des travailleuses du sexe. En effet, si l’on considère que toute travailleuse du sexe est constamment victime de violence </w:t>
      </w:r>
      <w:r w:rsidR="007943DA">
        <w:rPr>
          <w:rFonts w:cs="Arial"/>
        </w:rPr>
        <w:t xml:space="preserve">du fait de l’exercice en soi </w:t>
      </w:r>
      <w:r w:rsidR="008D1A9A">
        <w:rPr>
          <w:rFonts w:cs="Arial"/>
        </w:rPr>
        <w:t xml:space="preserve">de son activité, </w:t>
      </w:r>
      <w:r w:rsidR="007943DA">
        <w:rPr>
          <w:rFonts w:cs="Arial"/>
        </w:rPr>
        <w:t>les violences réelles subies par les travailleuses du sexe peinent à être prises en compte.</w:t>
      </w:r>
    </w:p>
    <w:p w14:paraId="213CAEBF" w14:textId="74625B03" w:rsidR="003F6025" w:rsidRDefault="003F6025" w:rsidP="00274177">
      <w:pPr>
        <w:rPr>
          <w:rFonts w:cs="Arial"/>
        </w:rPr>
      </w:pPr>
      <w:r>
        <w:rPr>
          <w:rFonts w:cs="Arial"/>
        </w:rPr>
        <w:t>En outre, cela défavorise la lutte contre les violences faites aux travailleuses du sexe dans la mesure où la seule politique de lutte contre les violences consiste en une lutte contre la prostitution.</w:t>
      </w:r>
    </w:p>
    <w:p w14:paraId="7C4A6FA2" w14:textId="7FEC331A" w:rsidR="005F7EFE" w:rsidRDefault="005F7EFE" w:rsidP="00274177">
      <w:pPr>
        <w:rPr>
          <w:rFonts w:cs="Arial"/>
        </w:rPr>
      </w:pPr>
      <w:r>
        <w:rPr>
          <w:rFonts w:cs="Arial"/>
        </w:rPr>
        <w:t>Enfin, et dans la lignée de l’observation précédente, cela conduit à considérer que la lutte contre la prostitution est équivalente à la lutte contre la traite des êtres humains</w:t>
      </w:r>
      <w:r w:rsidR="007269A1">
        <w:rPr>
          <w:rFonts w:cs="Arial"/>
        </w:rPr>
        <w:t>.</w:t>
      </w:r>
      <w:r w:rsidR="00FB15D0">
        <w:rPr>
          <w:rFonts w:cs="Arial"/>
        </w:rPr>
        <w:t xml:space="preserve"> Dans ce cas de figure, il y a une invisibilisation des autres formes d’exploitation que l’exploitation dans le cadre du travail sexuel</w:t>
      </w:r>
      <w:r w:rsidR="00F01A33">
        <w:rPr>
          <w:rFonts w:cs="Arial"/>
        </w:rPr>
        <w:t xml:space="preserve"> et pas de réelle politique de lutte contre la traite des êtres humains à des fins d’exploitation.</w:t>
      </w:r>
    </w:p>
    <w:p w14:paraId="23716981" w14:textId="637F0B80" w:rsidR="00F01A33" w:rsidRPr="00BA514C" w:rsidRDefault="006F3CDC" w:rsidP="00274177">
      <w:pPr>
        <w:rPr>
          <w:rFonts w:cs="Arial"/>
        </w:rPr>
      </w:pPr>
      <w:r>
        <w:rPr>
          <w:rFonts w:cs="Arial"/>
        </w:rPr>
        <w:t>Opérer une distinction entre le travail du sexe et l’exploitation du travail du sexe est fondamental pour garantir le respect des droits des travailleuses du sexe, mais également des victimes d’exploitation</w:t>
      </w:r>
      <w:r w:rsidR="004B2DD7">
        <w:rPr>
          <w:rFonts w:cs="Arial"/>
        </w:rPr>
        <w:t xml:space="preserve"> dans l’industrie du sexe ou dans d’autres secteurs d’activités.</w:t>
      </w:r>
    </w:p>
    <w:p w14:paraId="13F643C5" w14:textId="536EBDC6" w:rsidR="00F57F36" w:rsidRPr="00DD1404" w:rsidRDefault="00F57F36" w:rsidP="00274177">
      <w:pPr>
        <w:rPr>
          <w:rFonts w:cs="Arial"/>
        </w:rPr>
      </w:pPr>
    </w:p>
    <w:p w14:paraId="74CB15CA" w14:textId="39F19CA0" w:rsidR="00CC64B4" w:rsidRPr="00A82239" w:rsidRDefault="00DD1404" w:rsidP="00274177">
      <w:pPr>
        <w:pStyle w:val="Paragraphedeliste"/>
        <w:ind w:left="0"/>
        <w:rPr>
          <w:rFonts w:cs="Arial"/>
          <w:b/>
          <w:sz w:val="22"/>
          <w:u w:val="single"/>
          <w:lang w:val="en-US"/>
        </w:rPr>
      </w:pPr>
      <w:r w:rsidRPr="00A82239">
        <w:rPr>
          <w:rFonts w:cs="Arial"/>
          <w:b/>
          <w:sz w:val="22"/>
          <w:u w:val="single"/>
          <w:lang w:val="en-US"/>
        </w:rPr>
        <w:t xml:space="preserve">Section </w:t>
      </w:r>
      <w:r w:rsidR="00CC64B4" w:rsidRPr="00A82239">
        <w:rPr>
          <w:rFonts w:cs="Arial"/>
          <w:b/>
          <w:sz w:val="22"/>
          <w:u w:val="single"/>
          <w:lang w:val="en-US"/>
        </w:rPr>
        <w:t>IV. Root causes and discouraging the demand that fosters exploitation through trafficking</w:t>
      </w:r>
    </w:p>
    <w:p w14:paraId="05128B6F" w14:textId="7EA69EBB" w:rsidR="008767AA" w:rsidRDefault="008767AA" w:rsidP="00274177">
      <w:pPr>
        <w:pStyle w:val="Paragraphedeliste"/>
        <w:ind w:left="0"/>
        <w:rPr>
          <w:rFonts w:cs="Arial"/>
          <w:bCs/>
          <w:szCs w:val="20"/>
          <w:lang w:val="en-US"/>
        </w:rPr>
      </w:pPr>
      <w:r w:rsidRPr="005D6396">
        <w:rPr>
          <w:rFonts w:cs="Arial"/>
          <w:bCs/>
          <w:szCs w:val="20"/>
          <w:lang w:val="en-US"/>
        </w:rPr>
        <w:t xml:space="preserve">Nous recommandons la suppression de la </w:t>
      </w:r>
      <w:proofErr w:type="spellStart"/>
      <w:r w:rsidRPr="005D6396">
        <w:rPr>
          <w:rFonts w:cs="Arial"/>
          <w:bCs/>
          <w:szCs w:val="20"/>
          <w:lang w:val="en-US"/>
        </w:rPr>
        <w:t>seconde</w:t>
      </w:r>
      <w:proofErr w:type="spellEnd"/>
      <w:r w:rsidRPr="005D6396">
        <w:rPr>
          <w:rFonts w:cs="Arial"/>
          <w:bCs/>
          <w:szCs w:val="20"/>
          <w:lang w:val="en-US"/>
        </w:rPr>
        <w:t xml:space="preserve"> </w:t>
      </w:r>
      <w:proofErr w:type="spellStart"/>
      <w:r w:rsidRPr="005D6396">
        <w:rPr>
          <w:rFonts w:cs="Arial"/>
          <w:bCs/>
          <w:szCs w:val="20"/>
          <w:lang w:val="en-US"/>
        </w:rPr>
        <w:t>partie</w:t>
      </w:r>
      <w:proofErr w:type="spellEnd"/>
      <w:r w:rsidRPr="005D6396">
        <w:rPr>
          <w:rFonts w:cs="Arial"/>
          <w:bCs/>
          <w:szCs w:val="20"/>
          <w:lang w:val="en-US"/>
        </w:rPr>
        <w:t xml:space="preserve"> du </w:t>
      </w:r>
      <w:proofErr w:type="spellStart"/>
      <w:proofErr w:type="gramStart"/>
      <w:r w:rsidRPr="005D6396">
        <w:rPr>
          <w:rFonts w:cs="Arial"/>
          <w:bCs/>
          <w:szCs w:val="20"/>
          <w:lang w:val="en-US"/>
        </w:rPr>
        <w:t>titre</w:t>
      </w:r>
      <w:proofErr w:type="spellEnd"/>
      <w:r w:rsidRPr="005D6396">
        <w:rPr>
          <w:rFonts w:cs="Arial"/>
          <w:bCs/>
          <w:szCs w:val="20"/>
          <w:lang w:val="en-US"/>
        </w:rPr>
        <w:t> :</w:t>
      </w:r>
      <w:proofErr w:type="gramEnd"/>
      <w:r w:rsidRPr="005D6396">
        <w:rPr>
          <w:rFonts w:cs="Arial"/>
          <w:bCs/>
          <w:szCs w:val="20"/>
          <w:lang w:val="en-US"/>
        </w:rPr>
        <w:t xml:space="preserve"> « and discoura</w:t>
      </w:r>
      <w:r w:rsidR="005D6396" w:rsidRPr="005D6396">
        <w:rPr>
          <w:rFonts w:cs="Arial"/>
          <w:bCs/>
          <w:szCs w:val="20"/>
          <w:lang w:val="en-US"/>
        </w:rPr>
        <w:t>ging the demand that fosters their exploitation through trafficking »</w:t>
      </w:r>
      <w:r w:rsidR="005D6396">
        <w:rPr>
          <w:rFonts w:cs="Arial"/>
          <w:bCs/>
          <w:szCs w:val="20"/>
          <w:lang w:val="en-US"/>
        </w:rPr>
        <w:t>.</w:t>
      </w:r>
    </w:p>
    <w:p w14:paraId="592455F5" w14:textId="19642D60" w:rsidR="00432DC4" w:rsidRDefault="00432DC4" w:rsidP="00274177">
      <w:pPr>
        <w:pStyle w:val="Paragraphedeliste"/>
        <w:ind w:left="0"/>
        <w:rPr>
          <w:rFonts w:cs="Arial"/>
          <w:bCs/>
          <w:szCs w:val="20"/>
        </w:rPr>
      </w:pPr>
      <w:r w:rsidRPr="00432DC4">
        <w:rPr>
          <w:rFonts w:cs="Arial"/>
          <w:bCs/>
          <w:szCs w:val="20"/>
        </w:rPr>
        <w:t>En effet, la demande pe</w:t>
      </w:r>
      <w:r>
        <w:rPr>
          <w:rFonts w:cs="Arial"/>
          <w:bCs/>
          <w:szCs w:val="20"/>
        </w:rPr>
        <w:t xml:space="preserve">ut faire partie des causes favorisant l’exploitation, au même titre </w:t>
      </w:r>
      <w:r w:rsidR="00B04F3E">
        <w:rPr>
          <w:rFonts w:cs="Arial"/>
          <w:bCs/>
          <w:szCs w:val="20"/>
        </w:rPr>
        <w:t>que la pauvreté, l’inégalité entre les genres</w:t>
      </w:r>
      <w:r w:rsidR="00FF05ED">
        <w:rPr>
          <w:rFonts w:cs="Arial"/>
          <w:bCs/>
          <w:szCs w:val="20"/>
        </w:rPr>
        <w:t>, l’absence d’opportunités pour un parcours migratoire sécurisé</w:t>
      </w:r>
      <w:r w:rsidR="008C7398">
        <w:rPr>
          <w:rFonts w:cs="Arial"/>
          <w:bCs/>
          <w:szCs w:val="20"/>
        </w:rPr>
        <w:t xml:space="preserve"> et légal et les politiques migratoires répressives. </w:t>
      </w:r>
      <w:r w:rsidR="008C7398" w:rsidRPr="008C7398">
        <w:rPr>
          <w:rFonts w:cs="Arial"/>
          <w:bCs/>
          <w:szCs w:val="20"/>
        </w:rPr>
        <w:t>Il n’y a pas de raison de distinguer cette c</w:t>
      </w:r>
      <w:r w:rsidR="008C7398">
        <w:rPr>
          <w:rFonts w:cs="Arial"/>
          <w:bCs/>
          <w:szCs w:val="20"/>
        </w:rPr>
        <w:t>ause parmi les autres. Elle doit figurer dans le contenu du paragraphe et non pas dans son titre.</w:t>
      </w:r>
    </w:p>
    <w:p w14:paraId="332D7785" w14:textId="12552C14" w:rsidR="00404E70" w:rsidRDefault="00404E70" w:rsidP="00274177">
      <w:pPr>
        <w:pStyle w:val="Paragraphedeliste"/>
        <w:ind w:left="0"/>
        <w:rPr>
          <w:rFonts w:cs="Arial"/>
          <w:bCs/>
          <w:szCs w:val="20"/>
        </w:rPr>
      </w:pPr>
    </w:p>
    <w:p w14:paraId="7BAE5522" w14:textId="77777777" w:rsidR="007F5443" w:rsidRDefault="007F5443" w:rsidP="00274177">
      <w:pPr>
        <w:pStyle w:val="Paragraphedeliste"/>
        <w:ind w:left="0"/>
        <w:rPr>
          <w:rFonts w:cs="Arial"/>
          <w:b/>
          <w:sz w:val="22"/>
          <w:u w:val="single"/>
        </w:rPr>
      </w:pPr>
    </w:p>
    <w:p w14:paraId="5BFAAD80" w14:textId="77777777" w:rsidR="007F5443" w:rsidRDefault="007F5443" w:rsidP="00274177">
      <w:pPr>
        <w:pStyle w:val="Paragraphedeliste"/>
        <w:ind w:left="0"/>
        <w:rPr>
          <w:rFonts w:cs="Arial"/>
          <w:b/>
          <w:sz w:val="22"/>
          <w:u w:val="single"/>
        </w:rPr>
      </w:pPr>
    </w:p>
    <w:p w14:paraId="6888AE11" w14:textId="6A04FA13" w:rsidR="00820E52" w:rsidRPr="00A82239" w:rsidRDefault="00820E52" w:rsidP="00274177">
      <w:pPr>
        <w:pStyle w:val="Paragraphedeliste"/>
        <w:ind w:left="0"/>
        <w:rPr>
          <w:rFonts w:cs="Arial"/>
          <w:b/>
          <w:sz w:val="22"/>
          <w:u w:val="single"/>
        </w:rPr>
      </w:pPr>
      <w:r w:rsidRPr="00A82239">
        <w:rPr>
          <w:rFonts w:cs="Arial"/>
          <w:b/>
          <w:sz w:val="22"/>
          <w:u w:val="single"/>
        </w:rPr>
        <w:t>Section IV, a, §12</w:t>
      </w:r>
    </w:p>
    <w:p w14:paraId="63AE0790" w14:textId="373BAA0E" w:rsidR="00820E52" w:rsidRDefault="001C0C4E" w:rsidP="00274177">
      <w:pPr>
        <w:pStyle w:val="Paragraphedeliste"/>
        <w:ind w:left="0"/>
        <w:rPr>
          <w:rFonts w:cs="Arial"/>
          <w:bCs/>
          <w:szCs w:val="20"/>
        </w:rPr>
      </w:pPr>
      <w:r>
        <w:rPr>
          <w:rFonts w:cs="Arial"/>
          <w:bCs/>
          <w:szCs w:val="20"/>
        </w:rPr>
        <w:t>Recommandation d’ajout : « </w:t>
      </w:r>
      <w:r w:rsidR="004D3F68">
        <w:rPr>
          <w:rFonts w:cs="Arial"/>
          <w:bCs/>
          <w:szCs w:val="20"/>
        </w:rPr>
        <w:t>Le Comité souligne les lacunes</w:t>
      </w:r>
      <w:r w:rsidR="00941161">
        <w:rPr>
          <w:rFonts w:cs="Arial"/>
          <w:bCs/>
          <w:szCs w:val="20"/>
        </w:rPr>
        <w:t xml:space="preserve"> des données existantes sur la traite des êtres humains. L’exploitation sexuelle est la forme </w:t>
      </w:r>
      <w:r w:rsidR="00FC542F">
        <w:rPr>
          <w:rFonts w:cs="Arial"/>
          <w:bCs/>
          <w:szCs w:val="20"/>
        </w:rPr>
        <w:t xml:space="preserve">de traite </w:t>
      </w:r>
      <w:r w:rsidR="00941161">
        <w:rPr>
          <w:rFonts w:cs="Arial"/>
          <w:bCs/>
          <w:szCs w:val="20"/>
        </w:rPr>
        <w:t xml:space="preserve">la plus </w:t>
      </w:r>
      <w:r w:rsidR="00FC542F">
        <w:rPr>
          <w:rFonts w:cs="Arial"/>
          <w:bCs/>
          <w:szCs w:val="20"/>
        </w:rPr>
        <w:t xml:space="preserve">identifiée parce qu’elle est plus largement </w:t>
      </w:r>
      <w:r w:rsidR="002C4816">
        <w:rPr>
          <w:rFonts w:cs="Arial"/>
          <w:bCs/>
          <w:szCs w:val="20"/>
        </w:rPr>
        <w:t xml:space="preserve">dénoncée par rapport aux autres formes d’exploitation, telles que le travail forcé ou l’esclavage domestique. </w:t>
      </w:r>
    </w:p>
    <w:p w14:paraId="50A9FFBD" w14:textId="5A2AE1BE" w:rsidR="00136954" w:rsidRDefault="00136954" w:rsidP="00274177">
      <w:pPr>
        <w:pStyle w:val="Paragraphedeliste"/>
        <w:ind w:left="0"/>
        <w:rPr>
          <w:rFonts w:cs="Arial"/>
          <w:bCs/>
          <w:szCs w:val="20"/>
        </w:rPr>
      </w:pPr>
      <w:r>
        <w:rPr>
          <w:rFonts w:cs="Arial"/>
          <w:bCs/>
          <w:szCs w:val="20"/>
        </w:rPr>
        <w:t>Il existe en effet un biais fondamental dans les données disponibles sur l’exploitation dès lors que :</w:t>
      </w:r>
    </w:p>
    <w:p w14:paraId="73A769DD" w14:textId="6BAB58FD" w:rsidR="00136954" w:rsidRPr="00DD1404" w:rsidRDefault="00136954" w:rsidP="00274177">
      <w:pPr>
        <w:pStyle w:val="Paragraphedeliste"/>
        <w:numPr>
          <w:ilvl w:val="0"/>
          <w:numId w:val="21"/>
        </w:numPr>
        <w:rPr>
          <w:rFonts w:cs="Arial"/>
        </w:rPr>
      </w:pPr>
      <w:r>
        <w:rPr>
          <w:rFonts w:cs="Arial"/>
          <w:bCs/>
          <w:szCs w:val="20"/>
        </w:rPr>
        <w:t>L’exploitation du travail du sexe est généralement plus visible </w:t>
      </w:r>
      <w:r w:rsidR="00652093">
        <w:rPr>
          <w:rFonts w:cs="Arial"/>
          <w:bCs/>
          <w:szCs w:val="20"/>
        </w:rPr>
        <w:t xml:space="preserve">car les </w:t>
      </w:r>
      <w:r>
        <w:rPr>
          <w:rFonts w:cs="Arial"/>
          <w:bCs/>
          <w:szCs w:val="20"/>
        </w:rPr>
        <w:t xml:space="preserve">travailleuses du sexe </w:t>
      </w:r>
      <w:r w:rsidR="002D4DA2">
        <w:rPr>
          <w:rFonts w:cs="Arial"/>
        </w:rPr>
        <w:t>rarement complètement isolées</w:t>
      </w:r>
      <w:r w:rsidR="00120782">
        <w:rPr>
          <w:rFonts w:cs="Arial"/>
        </w:rPr>
        <w:t xml:space="preserve"> et </w:t>
      </w:r>
      <w:proofErr w:type="gramStart"/>
      <w:r w:rsidR="00120782">
        <w:rPr>
          <w:rFonts w:cs="Arial"/>
        </w:rPr>
        <w:t xml:space="preserve">les </w:t>
      </w:r>
      <w:r w:rsidRPr="00DD1404">
        <w:rPr>
          <w:rFonts w:cs="Arial"/>
        </w:rPr>
        <w:t xml:space="preserve"> contacts</w:t>
      </w:r>
      <w:proofErr w:type="gramEnd"/>
      <w:r w:rsidR="00120782">
        <w:rPr>
          <w:rFonts w:cs="Arial"/>
        </w:rPr>
        <w:t xml:space="preserve"> qu’elles ont entre elles et/ou avec des associations</w:t>
      </w:r>
      <w:r w:rsidRPr="00DD1404">
        <w:rPr>
          <w:rFonts w:cs="Arial"/>
        </w:rPr>
        <w:t xml:space="preserve"> leur permettent d’avoir plus d’informations sur leurs droits et d’être accompagnées pour l’accès au droit, l’accès aux soins, la réparation de leur préjudice, etc.</w:t>
      </w:r>
    </w:p>
    <w:p w14:paraId="789537DF" w14:textId="09BABC28" w:rsidR="00136954" w:rsidRPr="00DD1404" w:rsidRDefault="00136954" w:rsidP="00274177">
      <w:pPr>
        <w:pStyle w:val="Paragraphedeliste"/>
        <w:numPr>
          <w:ilvl w:val="0"/>
          <w:numId w:val="21"/>
        </w:numPr>
        <w:rPr>
          <w:rFonts w:cs="Arial"/>
        </w:rPr>
      </w:pPr>
      <w:r w:rsidRPr="00DD1404">
        <w:rPr>
          <w:rFonts w:cs="Arial"/>
        </w:rPr>
        <w:t>En conséquence, l’exploitation du travail sexuel est la forme d’exploitation la plus rapportée aux autorités</w:t>
      </w:r>
      <w:r w:rsidR="00646E7E">
        <w:rPr>
          <w:rFonts w:cs="Arial"/>
        </w:rPr>
        <w:t xml:space="preserve"> parce que les victimes sont plus accessibles et disposent de plus d’informations sur leurs droits.</w:t>
      </w:r>
    </w:p>
    <w:p w14:paraId="0F8D5821" w14:textId="78FA9F5C" w:rsidR="00136954" w:rsidRDefault="00136954" w:rsidP="00274177">
      <w:pPr>
        <w:rPr>
          <w:rFonts w:cs="Arial"/>
        </w:rPr>
      </w:pPr>
      <w:r w:rsidRPr="00DD1404">
        <w:rPr>
          <w:rFonts w:cs="Arial"/>
        </w:rPr>
        <w:t>Cette situation génère le sentiment d’une plus forte exploitation du travail sexuel que d’autres formes d’exploitation, ce qui s’explique en réalité par une forte invisibilisation des autres formes d’exploitation, notamment de toutes celles s’exerçant de manière plus isolée dans des lieux fermés donc peu accessible aux regards du public, et notamment des associations.</w:t>
      </w:r>
    </w:p>
    <w:p w14:paraId="41C09803" w14:textId="77777777" w:rsidR="00136954" w:rsidRPr="00DD1404" w:rsidRDefault="00136954" w:rsidP="00274177">
      <w:pPr>
        <w:rPr>
          <w:rFonts w:cs="Arial"/>
        </w:rPr>
      </w:pPr>
    </w:p>
    <w:p w14:paraId="70CB21BF" w14:textId="316E1554" w:rsidR="00E4104A" w:rsidRPr="00EE28F9" w:rsidRDefault="00381389" w:rsidP="00274177">
      <w:pPr>
        <w:rPr>
          <w:rFonts w:cs="Arial"/>
          <w:b/>
          <w:bCs/>
          <w:sz w:val="22"/>
          <w:u w:val="single"/>
          <w:lang w:val="en-US"/>
        </w:rPr>
      </w:pPr>
      <w:r w:rsidRPr="00EE28F9">
        <w:rPr>
          <w:rFonts w:cs="Arial"/>
          <w:b/>
          <w:bCs/>
          <w:sz w:val="22"/>
          <w:u w:val="single"/>
          <w:lang w:val="en-US"/>
        </w:rPr>
        <w:t>Section IV, e, § 27 (b)</w:t>
      </w:r>
    </w:p>
    <w:p w14:paraId="67350716" w14:textId="2DF78A6E" w:rsidR="00381389" w:rsidRDefault="00FB18FF" w:rsidP="00274177">
      <w:pPr>
        <w:rPr>
          <w:rFonts w:cs="Arial"/>
          <w:lang w:val="en-US"/>
        </w:rPr>
      </w:pPr>
      <w:r w:rsidRPr="009E7980">
        <w:rPr>
          <w:rFonts w:cs="Arial"/>
          <w:lang w:val="en-US"/>
        </w:rPr>
        <w:t xml:space="preserve">Nous recommandons la suppression du </w:t>
      </w:r>
      <w:r w:rsidR="009E7980" w:rsidRPr="009E7980">
        <w:rPr>
          <w:rFonts w:cs="Arial"/>
          <w:lang w:val="en-US"/>
        </w:rPr>
        <w:t>b du §</w:t>
      </w:r>
      <w:proofErr w:type="gramStart"/>
      <w:r w:rsidR="009E7980" w:rsidRPr="009E7980">
        <w:rPr>
          <w:rFonts w:cs="Arial"/>
          <w:lang w:val="en-US"/>
        </w:rPr>
        <w:t>27 :</w:t>
      </w:r>
      <w:proofErr w:type="gramEnd"/>
      <w:r w:rsidR="009E7980" w:rsidRPr="009E7980">
        <w:rPr>
          <w:rFonts w:cs="Arial"/>
          <w:lang w:val="en-US"/>
        </w:rPr>
        <w:t xml:space="preserve"> « Where applicable, instituting penal legislation to sanction the users of good</w:t>
      </w:r>
      <w:r w:rsidR="009E7980">
        <w:rPr>
          <w:rFonts w:cs="Arial"/>
          <w:lang w:val="en-US"/>
        </w:rPr>
        <w:t>s and services that result from trafficking in persons</w:t>
      </w:r>
      <w:r w:rsidR="00B67EB8">
        <w:rPr>
          <w:rFonts w:cs="Arial"/>
          <w:lang w:val="en-US"/>
        </w:rPr>
        <w:t>”</w:t>
      </w:r>
    </w:p>
    <w:p w14:paraId="005C2419" w14:textId="262A129F" w:rsidR="009E7980" w:rsidRPr="004F021C" w:rsidRDefault="004F021C" w:rsidP="00274177">
      <w:pPr>
        <w:rPr>
          <w:rFonts w:cs="Arial"/>
        </w:rPr>
      </w:pPr>
      <w:r w:rsidRPr="004F021C">
        <w:rPr>
          <w:rFonts w:cs="Arial"/>
        </w:rPr>
        <w:t>E</w:t>
      </w:r>
      <w:r>
        <w:rPr>
          <w:rFonts w:cs="Arial"/>
        </w:rPr>
        <w:t xml:space="preserve">n effet, cela apparaît comme </w:t>
      </w:r>
      <w:r w:rsidR="00AC7FAE">
        <w:rPr>
          <w:rFonts w:cs="Arial"/>
        </w:rPr>
        <w:t>une volonté assez claire de promotion du modèle suédois de pénalisation des clients de travailleuses du sexe</w:t>
      </w:r>
      <w:r w:rsidR="00C4559F">
        <w:rPr>
          <w:rFonts w:cs="Arial"/>
        </w:rPr>
        <w:t>, alors même que les effets très négatifs de cette pénalisation sont largement documentés</w:t>
      </w:r>
      <w:r w:rsidR="00C4559F">
        <w:rPr>
          <w:rStyle w:val="Appelnotedebasdep"/>
          <w:rFonts w:cs="Arial"/>
        </w:rPr>
        <w:footnoteReference w:id="1"/>
      </w:r>
      <w:r w:rsidR="00FD5AE5">
        <w:rPr>
          <w:rFonts w:cs="Arial"/>
        </w:rPr>
        <w:t xml:space="preserve">. </w:t>
      </w:r>
      <w:r w:rsidR="00726895">
        <w:rPr>
          <w:rFonts w:cs="Arial"/>
        </w:rPr>
        <w:t xml:space="preserve">Ces effets négatifs de la pénalisation des clients sur les travailleuses du sexe ont d’ailleurs été relevés par le Comité lui-même qui dans son rapport sur la Norvège de </w:t>
      </w:r>
      <w:r w:rsidR="0072209E">
        <w:rPr>
          <w:rFonts w:cs="Arial"/>
        </w:rPr>
        <w:t xml:space="preserve">2017 </w:t>
      </w:r>
      <w:r w:rsidR="00CF1A8F">
        <w:rPr>
          <w:rFonts w:cs="Arial"/>
        </w:rPr>
        <w:t>se dit « préoccupé par les conséquences inattendues de la criminalisation, depuis 2009, de l’achat d’activités sexuelles ou d’un acte sexuel auprès d’adultes, en particulier par le risque accru pour la sécurité personnelle et l’intégrité physique des prostituées</w:t>
      </w:r>
      <w:r w:rsidR="00376235">
        <w:rPr>
          <w:rFonts w:cs="Arial"/>
        </w:rPr>
        <w:t> »</w:t>
      </w:r>
      <w:r w:rsidR="00376235">
        <w:rPr>
          <w:rStyle w:val="Appelnotedebasdep"/>
          <w:rFonts w:cs="Arial"/>
        </w:rPr>
        <w:footnoteReference w:id="2"/>
      </w:r>
    </w:p>
    <w:p w14:paraId="093FB731" w14:textId="0A4FD34F" w:rsidR="005E675F" w:rsidRPr="00302DE6" w:rsidRDefault="005E675F" w:rsidP="00274177">
      <w:pPr>
        <w:rPr>
          <w:rFonts w:cs="Arial"/>
        </w:rPr>
      </w:pPr>
    </w:p>
    <w:p w14:paraId="336A25B6" w14:textId="35570705" w:rsidR="00924381" w:rsidRPr="00302DE6" w:rsidRDefault="00924381" w:rsidP="00274177">
      <w:pPr>
        <w:rPr>
          <w:rFonts w:cs="Arial"/>
          <w:sz w:val="22"/>
        </w:rPr>
      </w:pPr>
      <w:r w:rsidRPr="00302DE6">
        <w:rPr>
          <w:rFonts w:cs="Arial"/>
          <w:b/>
          <w:bCs/>
          <w:sz w:val="22"/>
          <w:u w:val="single"/>
        </w:rPr>
        <w:t>Section IV, e, § 27 (d)</w:t>
      </w:r>
    </w:p>
    <w:p w14:paraId="66B51811" w14:textId="006574C8" w:rsidR="00924381" w:rsidRDefault="00257DD3" w:rsidP="00274177">
      <w:pPr>
        <w:rPr>
          <w:rFonts w:cs="Arial"/>
        </w:rPr>
      </w:pPr>
      <w:r w:rsidRPr="00257DD3">
        <w:rPr>
          <w:rFonts w:cs="Arial"/>
        </w:rPr>
        <w:t>Nous recommandons la suppression d</w:t>
      </w:r>
      <w:r>
        <w:rPr>
          <w:rFonts w:cs="Arial"/>
        </w:rPr>
        <w:t>e la seconde partie du d du §27 : « </w:t>
      </w:r>
      <w:proofErr w:type="spellStart"/>
      <w:r>
        <w:rPr>
          <w:rFonts w:cs="Arial"/>
        </w:rPr>
        <w:t>including</w:t>
      </w:r>
      <w:proofErr w:type="spellEnd"/>
      <w:r>
        <w:rPr>
          <w:rFonts w:cs="Arial"/>
        </w:rPr>
        <w:t xml:space="preserve"> </w:t>
      </w:r>
      <w:proofErr w:type="spellStart"/>
      <w:r>
        <w:rPr>
          <w:rFonts w:cs="Arial"/>
        </w:rPr>
        <w:t>those</w:t>
      </w:r>
      <w:proofErr w:type="spellEnd"/>
      <w:r>
        <w:rPr>
          <w:rFonts w:cs="Arial"/>
        </w:rPr>
        <w:t xml:space="preserve"> on the </w:t>
      </w:r>
      <w:proofErr w:type="spellStart"/>
      <w:r>
        <w:rPr>
          <w:rFonts w:cs="Arial"/>
        </w:rPr>
        <w:t>demand</w:t>
      </w:r>
      <w:proofErr w:type="spellEnd"/>
      <w:r>
        <w:rPr>
          <w:rFonts w:cs="Arial"/>
        </w:rPr>
        <w:t xml:space="preserve"> </w:t>
      </w:r>
      <w:proofErr w:type="spellStart"/>
      <w:r>
        <w:rPr>
          <w:rFonts w:cs="Arial"/>
        </w:rPr>
        <w:t>side</w:t>
      </w:r>
      <w:proofErr w:type="spellEnd"/>
      <w:r>
        <w:rPr>
          <w:rFonts w:cs="Arial"/>
        </w:rPr>
        <w:t> ».</w:t>
      </w:r>
    </w:p>
    <w:p w14:paraId="0D8B8E45" w14:textId="6E82F437" w:rsidR="00604AA5" w:rsidRDefault="005B594E" w:rsidP="00274177">
      <w:pPr>
        <w:rPr>
          <w:rFonts w:cs="Arial"/>
        </w:rPr>
      </w:pPr>
      <w:r>
        <w:rPr>
          <w:rFonts w:cs="Arial"/>
        </w:rPr>
        <w:t xml:space="preserve">En effet, </w:t>
      </w:r>
      <w:r w:rsidR="00604AA5">
        <w:rPr>
          <w:rFonts w:cs="Arial"/>
        </w:rPr>
        <w:t>d’une part</w:t>
      </w:r>
      <w:r>
        <w:rPr>
          <w:rFonts w:cs="Arial"/>
        </w:rPr>
        <w:t xml:space="preserve">, </w:t>
      </w:r>
      <w:r w:rsidR="0058697B">
        <w:rPr>
          <w:rFonts w:cs="Arial"/>
        </w:rPr>
        <w:t xml:space="preserve">l’interprétation de cette portion de phrase pourrait conduire à une </w:t>
      </w:r>
      <w:r w:rsidR="00604AA5">
        <w:rPr>
          <w:rFonts w:cs="Arial"/>
        </w:rPr>
        <w:t>répression des travailleuses du sexe</w:t>
      </w:r>
      <w:r w:rsidR="00285A5F">
        <w:rPr>
          <w:rFonts w:cs="Arial"/>
        </w:rPr>
        <w:t xml:space="preserve"> et d</w:t>
      </w:r>
      <w:r w:rsidR="00604AA5">
        <w:rPr>
          <w:rFonts w:cs="Arial"/>
        </w:rPr>
        <w:t xml:space="preserve">’autre part, là encore, nous </w:t>
      </w:r>
      <w:r w:rsidR="00934B02">
        <w:rPr>
          <w:rFonts w:cs="Arial"/>
        </w:rPr>
        <w:t>constatons qu’il s’agit d’une promotion du modèle suédois de pénalisation des clients des travailleuses du sexe</w:t>
      </w:r>
      <w:r w:rsidR="001F6161">
        <w:rPr>
          <w:rFonts w:cs="Arial"/>
        </w:rPr>
        <w:t xml:space="preserve">, lequel est loin d’avoir fait ses preuves </w:t>
      </w:r>
      <w:proofErr w:type="gramStart"/>
      <w:r w:rsidR="001F6161">
        <w:rPr>
          <w:rFonts w:cs="Arial"/>
        </w:rPr>
        <w:t>en terme de</w:t>
      </w:r>
      <w:proofErr w:type="gramEnd"/>
      <w:r w:rsidR="001F6161">
        <w:rPr>
          <w:rFonts w:cs="Arial"/>
        </w:rPr>
        <w:t xml:space="preserve"> lutte contre la traite des êtres humains.</w:t>
      </w:r>
    </w:p>
    <w:p w14:paraId="169FCDE9" w14:textId="20DC354C" w:rsidR="00934B02" w:rsidRDefault="00934B02" w:rsidP="00274177">
      <w:pPr>
        <w:rPr>
          <w:rFonts w:cs="Arial"/>
        </w:rPr>
      </w:pPr>
    </w:p>
    <w:p w14:paraId="3AF574C9" w14:textId="5C058CC3" w:rsidR="00274177" w:rsidRDefault="00274177" w:rsidP="00274177">
      <w:pPr>
        <w:rPr>
          <w:rFonts w:cs="Arial"/>
        </w:rPr>
      </w:pPr>
    </w:p>
    <w:p w14:paraId="5BF5E9E2" w14:textId="041A632A" w:rsidR="007F5443" w:rsidRDefault="007F5443" w:rsidP="00274177">
      <w:pPr>
        <w:rPr>
          <w:rFonts w:cs="Arial"/>
        </w:rPr>
      </w:pPr>
    </w:p>
    <w:p w14:paraId="035AF07E" w14:textId="77777777" w:rsidR="007F5443" w:rsidRPr="00257DD3" w:rsidRDefault="007F5443" w:rsidP="00274177">
      <w:pPr>
        <w:rPr>
          <w:rFonts w:cs="Arial"/>
        </w:rPr>
      </w:pPr>
    </w:p>
    <w:p w14:paraId="1DF2B2D4" w14:textId="77777777" w:rsidR="007F5443" w:rsidRDefault="007F5443" w:rsidP="00274177">
      <w:pPr>
        <w:rPr>
          <w:rFonts w:cs="Arial"/>
          <w:b/>
          <w:bCs/>
          <w:sz w:val="22"/>
          <w:u w:val="single"/>
        </w:rPr>
      </w:pPr>
    </w:p>
    <w:p w14:paraId="3D784E12" w14:textId="4E368E02" w:rsidR="008C2DA1" w:rsidRPr="00302DE6" w:rsidRDefault="00C3067E" w:rsidP="00274177">
      <w:pPr>
        <w:rPr>
          <w:rFonts w:cs="Arial"/>
          <w:b/>
          <w:bCs/>
          <w:sz w:val="22"/>
          <w:u w:val="single"/>
        </w:rPr>
      </w:pPr>
      <w:bookmarkStart w:id="0" w:name="_GoBack"/>
      <w:bookmarkEnd w:id="0"/>
      <w:r w:rsidRPr="00302DE6">
        <w:rPr>
          <w:rFonts w:cs="Arial"/>
          <w:b/>
          <w:bCs/>
          <w:sz w:val="22"/>
          <w:u w:val="single"/>
        </w:rPr>
        <w:t>Section IV, §32, b</w:t>
      </w:r>
    </w:p>
    <w:p w14:paraId="3ED300E4" w14:textId="3AB0BAD0" w:rsidR="00C3067E" w:rsidRPr="00302DE6" w:rsidRDefault="00204EEF" w:rsidP="00274177">
      <w:pPr>
        <w:rPr>
          <w:rFonts w:cs="Arial"/>
        </w:rPr>
      </w:pPr>
      <w:r w:rsidRPr="00302DE6">
        <w:rPr>
          <w:rFonts w:cs="Arial"/>
        </w:rPr>
        <w:t xml:space="preserve">Nous recommandons l’insertion des organisations communautaires de travailleuses du sexe </w:t>
      </w:r>
      <w:r w:rsidR="009B3E3E" w:rsidRPr="00302DE6">
        <w:rPr>
          <w:rFonts w:cs="Arial"/>
        </w:rPr>
        <w:t xml:space="preserve">à ce paragraphe au même titre que les organisations non gouvernementales de défense des droits humains et des droits des femmes : </w:t>
      </w:r>
      <w:r w:rsidR="00C23CA0" w:rsidRPr="00302DE6">
        <w:rPr>
          <w:rFonts w:cs="Arial"/>
        </w:rPr>
        <w:t>« </w:t>
      </w:r>
      <w:proofErr w:type="spellStart"/>
      <w:r w:rsidR="00C23CA0" w:rsidRPr="00302DE6">
        <w:rPr>
          <w:rFonts w:cs="Arial"/>
        </w:rPr>
        <w:t>Allocate</w:t>
      </w:r>
      <w:proofErr w:type="spellEnd"/>
      <w:r w:rsidR="00C23CA0" w:rsidRPr="00302DE6">
        <w:rPr>
          <w:rFonts w:cs="Arial"/>
        </w:rPr>
        <w:t xml:space="preserve"> </w:t>
      </w:r>
      <w:proofErr w:type="spellStart"/>
      <w:r w:rsidR="00C23CA0" w:rsidRPr="00302DE6">
        <w:rPr>
          <w:rFonts w:cs="Arial"/>
        </w:rPr>
        <w:t>resources</w:t>
      </w:r>
      <w:proofErr w:type="spellEnd"/>
      <w:r w:rsidR="00C23CA0" w:rsidRPr="00302DE6">
        <w:rPr>
          <w:rFonts w:cs="Arial"/>
        </w:rPr>
        <w:t xml:space="preserve"> to </w:t>
      </w:r>
      <w:proofErr w:type="spellStart"/>
      <w:r w:rsidR="00C23CA0" w:rsidRPr="00302DE6">
        <w:rPr>
          <w:rFonts w:cs="Arial"/>
        </w:rPr>
        <w:t>ensure</w:t>
      </w:r>
      <w:proofErr w:type="spellEnd"/>
      <w:r w:rsidR="00C23CA0" w:rsidRPr="00302DE6">
        <w:rPr>
          <w:rFonts w:cs="Arial"/>
        </w:rPr>
        <w:t xml:space="preserve"> </w:t>
      </w:r>
      <w:proofErr w:type="spellStart"/>
      <w:r w:rsidR="00C23CA0" w:rsidRPr="00302DE6">
        <w:rPr>
          <w:rFonts w:cs="Arial"/>
        </w:rPr>
        <w:t>that</w:t>
      </w:r>
      <w:proofErr w:type="spellEnd"/>
      <w:r w:rsidR="00C23CA0" w:rsidRPr="00302DE6">
        <w:rPr>
          <w:rFonts w:cs="Arial"/>
        </w:rPr>
        <w:t xml:space="preserve"> </w:t>
      </w:r>
      <w:proofErr w:type="spellStart"/>
      <w:r w:rsidR="00C23CA0" w:rsidRPr="00302DE6">
        <w:rPr>
          <w:rFonts w:cs="Arial"/>
        </w:rPr>
        <w:t>human</w:t>
      </w:r>
      <w:proofErr w:type="spellEnd"/>
      <w:r w:rsidR="00C23CA0" w:rsidRPr="00302DE6">
        <w:rPr>
          <w:rFonts w:cs="Arial"/>
        </w:rPr>
        <w:t xml:space="preserve"> </w:t>
      </w:r>
      <w:proofErr w:type="spellStart"/>
      <w:r w:rsidR="00C23CA0" w:rsidRPr="00302DE6">
        <w:rPr>
          <w:rFonts w:cs="Arial"/>
        </w:rPr>
        <w:t>rights</w:t>
      </w:r>
      <w:proofErr w:type="spellEnd"/>
      <w:r w:rsidR="00C23CA0" w:rsidRPr="00302DE6">
        <w:rPr>
          <w:rFonts w:cs="Arial"/>
        </w:rPr>
        <w:t xml:space="preserve">, </w:t>
      </w:r>
      <w:proofErr w:type="spellStart"/>
      <w:r w:rsidR="00C23CA0" w:rsidRPr="00302DE6">
        <w:rPr>
          <w:rFonts w:cs="Arial"/>
        </w:rPr>
        <w:t>women’s</w:t>
      </w:r>
      <w:proofErr w:type="spellEnd"/>
      <w:r w:rsidR="00C23CA0" w:rsidRPr="00302DE6">
        <w:rPr>
          <w:rFonts w:cs="Arial"/>
        </w:rPr>
        <w:t xml:space="preserve"> </w:t>
      </w:r>
      <w:proofErr w:type="spellStart"/>
      <w:r w:rsidR="00C23CA0" w:rsidRPr="00302DE6">
        <w:rPr>
          <w:rFonts w:cs="Arial"/>
        </w:rPr>
        <w:t>rights</w:t>
      </w:r>
      <w:proofErr w:type="spellEnd"/>
      <w:r w:rsidR="00C23CA0" w:rsidRPr="00302DE6">
        <w:rPr>
          <w:rFonts w:cs="Arial"/>
        </w:rPr>
        <w:t xml:space="preserve"> and </w:t>
      </w:r>
      <w:proofErr w:type="spellStart"/>
      <w:r w:rsidR="00C23CA0" w:rsidRPr="00302DE6">
        <w:rPr>
          <w:rFonts w:cs="Arial"/>
          <w:b/>
          <w:bCs/>
        </w:rPr>
        <w:t>sex-workers</w:t>
      </w:r>
      <w:proofErr w:type="spellEnd"/>
      <w:r w:rsidR="00C23CA0" w:rsidRPr="00302DE6">
        <w:rPr>
          <w:rFonts w:cs="Arial"/>
          <w:b/>
          <w:bCs/>
        </w:rPr>
        <w:t xml:space="preserve">’ </w:t>
      </w:r>
      <w:proofErr w:type="spellStart"/>
      <w:r w:rsidR="00C23CA0" w:rsidRPr="00302DE6">
        <w:rPr>
          <w:rFonts w:cs="Arial"/>
          <w:b/>
          <w:bCs/>
        </w:rPr>
        <w:t>led</w:t>
      </w:r>
      <w:proofErr w:type="spellEnd"/>
      <w:r w:rsidR="00C23CA0" w:rsidRPr="00302DE6">
        <w:rPr>
          <w:rFonts w:cs="Arial"/>
          <w:b/>
          <w:bCs/>
        </w:rPr>
        <w:t xml:space="preserve"> </w:t>
      </w:r>
      <w:r w:rsidR="00C23CA0" w:rsidRPr="00302DE6">
        <w:rPr>
          <w:rFonts w:cs="Arial"/>
        </w:rPr>
        <w:t>non-</w:t>
      </w:r>
      <w:proofErr w:type="spellStart"/>
      <w:r w:rsidR="00C23CA0" w:rsidRPr="00302DE6">
        <w:rPr>
          <w:rFonts w:cs="Arial"/>
        </w:rPr>
        <w:t>governmental</w:t>
      </w:r>
      <w:proofErr w:type="spellEnd"/>
      <w:r w:rsidR="00C23CA0" w:rsidRPr="00302DE6">
        <w:rPr>
          <w:rFonts w:cs="Arial"/>
        </w:rPr>
        <w:t xml:space="preserve"> </w:t>
      </w:r>
      <w:proofErr w:type="spellStart"/>
      <w:r w:rsidR="00C23CA0" w:rsidRPr="00302DE6">
        <w:rPr>
          <w:rFonts w:cs="Arial"/>
        </w:rPr>
        <w:t>organizations</w:t>
      </w:r>
      <w:proofErr w:type="spellEnd"/>
      <w:r w:rsidR="00C23CA0" w:rsidRPr="00302DE6">
        <w:rPr>
          <w:rFonts w:cs="Arial"/>
        </w:rPr>
        <w:t xml:space="preserve"> are </w:t>
      </w:r>
      <w:proofErr w:type="spellStart"/>
      <w:r w:rsidR="00F62B7D" w:rsidRPr="00302DE6">
        <w:rPr>
          <w:rFonts w:cs="Arial"/>
        </w:rPr>
        <w:t>well</w:t>
      </w:r>
      <w:proofErr w:type="spellEnd"/>
      <w:r w:rsidR="00F62B7D" w:rsidRPr="00302DE6">
        <w:rPr>
          <w:rFonts w:cs="Arial"/>
        </w:rPr>
        <w:t xml:space="preserve"> </w:t>
      </w:r>
      <w:proofErr w:type="spellStart"/>
      <w:r w:rsidR="00F62B7D" w:rsidRPr="00302DE6">
        <w:rPr>
          <w:rFonts w:cs="Arial"/>
        </w:rPr>
        <w:t>informed</w:t>
      </w:r>
      <w:proofErr w:type="spellEnd"/>
      <w:r w:rsidR="00F62B7D" w:rsidRPr="00302DE6">
        <w:rPr>
          <w:rFonts w:cs="Arial"/>
        </w:rPr>
        <w:t xml:space="preserve">, </w:t>
      </w:r>
      <w:proofErr w:type="spellStart"/>
      <w:r w:rsidR="00F62B7D" w:rsidRPr="00302DE6">
        <w:rPr>
          <w:rFonts w:cs="Arial"/>
        </w:rPr>
        <w:t>adequately</w:t>
      </w:r>
      <w:proofErr w:type="spellEnd"/>
      <w:r w:rsidR="00F62B7D" w:rsidRPr="00302DE6">
        <w:rPr>
          <w:rFonts w:cs="Arial"/>
        </w:rPr>
        <w:t xml:space="preserve"> </w:t>
      </w:r>
      <w:proofErr w:type="spellStart"/>
      <w:r w:rsidR="00F62B7D" w:rsidRPr="00302DE6">
        <w:rPr>
          <w:rFonts w:cs="Arial"/>
        </w:rPr>
        <w:t>consulted</w:t>
      </w:r>
      <w:proofErr w:type="spellEnd"/>
      <w:r w:rsidR="00F62B7D" w:rsidRPr="00302DE6">
        <w:rPr>
          <w:rFonts w:cs="Arial"/>
        </w:rPr>
        <w:t xml:space="preserve"> and </w:t>
      </w:r>
      <w:proofErr w:type="spellStart"/>
      <w:r w:rsidR="00F62B7D" w:rsidRPr="00302DE6">
        <w:rPr>
          <w:rFonts w:cs="Arial"/>
        </w:rPr>
        <w:t>play</w:t>
      </w:r>
      <w:proofErr w:type="spellEnd"/>
      <w:r w:rsidR="00F62B7D" w:rsidRPr="00302DE6">
        <w:rPr>
          <w:rFonts w:cs="Arial"/>
        </w:rPr>
        <w:t xml:space="preserve"> an active </w:t>
      </w:r>
      <w:proofErr w:type="spellStart"/>
      <w:r w:rsidR="00F62B7D" w:rsidRPr="00302DE6">
        <w:rPr>
          <w:rFonts w:cs="Arial"/>
        </w:rPr>
        <w:t>role</w:t>
      </w:r>
      <w:proofErr w:type="spellEnd"/>
      <w:r w:rsidR="00F62B7D" w:rsidRPr="00302DE6">
        <w:rPr>
          <w:rFonts w:cs="Arial"/>
        </w:rPr>
        <w:t xml:space="preserve"> in the initial and </w:t>
      </w:r>
      <w:proofErr w:type="spellStart"/>
      <w:r w:rsidR="00F62B7D" w:rsidRPr="00302DE6">
        <w:rPr>
          <w:rFonts w:cs="Arial"/>
        </w:rPr>
        <w:t>subsequent</w:t>
      </w:r>
      <w:proofErr w:type="spellEnd"/>
      <w:r w:rsidR="00F62B7D" w:rsidRPr="00302DE6">
        <w:rPr>
          <w:rFonts w:cs="Arial"/>
        </w:rPr>
        <w:t xml:space="preserve"> </w:t>
      </w:r>
      <w:proofErr w:type="spellStart"/>
      <w:r w:rsidR="00F62B7D" w:rsidRPr="00302DE6">
        <w:rPr>
          <w:rFonts w:cs="Arial"/>
        </w:rPr>
        <w:t>development</w:t>
      </w:r>
      <w:proofErr w:type="spellEnd"/>
      <w:r w:rsidR="00F62B7D" w:rsidRPr="00302DE6">
        <w:rPr>
          <w:rFonts w:cs="Arial"/>
        </w:rPr>
        <w:t xml:space="preserve"> of anti-</w:t>
      </w:r>
      <w:proofErr w:type="spellStart"/>
      <w:r w:rsidR="00F62B7D" w:rsidRPr="00302DE6">
        <w:rPr>
          <w:rFonts w:cs="Arial"/>
        </w:rPr>
        <w:t>trafficking</w:t>
      </w:r>
      <w:proofErr w:type="spellEnd"/>
      <w:r w:rsidR="00F62B7D" w:rsidRPr="00302DE6">
        <w:rPr>
          <w:rFonts w:cs="Arial"/>
        </w:rPr>
        <w:t xml:space="preserve"> </w:t>
      </w:r>
      <w:proofErr w:type="spellStart"/>
      <w:r w:rsidR="00F62B7D" w:rsidRPr="00302DE6">
        <w:rPr>
          <w:rFonts w:cs="Arial"/>
        </w:rPr>
        <w:t>strategies</w:t>
      </w:r>
      <w:proofErr w:type="spellEnd"/>
      <w:r w:rsidR="00F62B7D" w:rsidRPr="00302DE6">
        <w:rPr>
          <w:rFonts w:cs="Arial"/>
        </w:rPr>
        <w:t xml:space="preserve"> and </w:t>
      </w:r>
      <w:proofErr w:type="spellStart"/>
      <w:r w:rsidR="00F62B7D" w:rsidRPr="00302DE6">
        <w:rPr>
          <w:rFonts w:cs="Arial"/>
        </w:rPr>
        <w:t>continuing</w:t>
      </w:r>
      <w:proofErr w:type="spellEnd"/>
      <w:r w:rsidR="00F62B7D" w:rsidRPr="00302DE6">
        <w:rPr>
          <w:rFonts w:cs="Arial"/>
        </w:rPr>
        <w:t xml:space="preserve"> </w:t>
      </w:r>
      <w:proofErr w:type="spellStart"/>
      <w:r w:rsidR="00F62B7D" w:rsidRPr="00302DE6">
        <w:rPr>
          <w:rFonts w:cs="Arial"/>
        </w:rPr>
        <w:t>implementation</w:t>
      </w:r>
      <w:proofErr w:type="spellEnd"/>
      <w:r w:rsidR="00F62B7D" w:rsidRPr="00302DE6">
        <w:rPr>
          <w:rFonts w:cs="Arial"/>
        </w:rPr>
        <w:t xml:space="preserve"> of the Convention and the UN </w:t>
      </w:r>
      <w:proofErr w:type="spellStart"/>
      <w:r w:rsidR="00F62B7D" w:rsidRPr="00302DE6">
        <w:rPr>
          <w:rFonts w:cs="Arial"/>
        </w:rPr>
        <w:t>Trafficking</w:t>
      </w:r>
      <w:proofErr w:type="spellEnd"/>
      <w:r w:rsidR="00F62B7D" w:rsidRPr="00302DE6">
        <w:rPr>
          <w:rFonts w:cs="Arial"/>
        </w:rPr>
        <w:t xml:space="preserve"> Protocol”.</w:t>
      </w:r>
    </w:p>
    <w:p w14:paraId="28FB9A2D" w14:textId="3081817E" w:rsidR="00F62B7D" w:rsidRPr="002A2B75" w:rsidRDefault="00F62B7D" w:rsidP="00274177">
      <w:pPr>
        <w:rPr>
          <w:rFonts w:cs="Arial"/>
        </w:rPr>
      </w:pPr>
      <w:r w:rsidRPr="002A2B75">
        <w:rPr>
          <w:rFonts w:cs="Arial"/>
        </w:rPr>
        <w:t xml:space="preserve">En effet, </w:t>
      </w:r>
      <w:r w:rsidR="002A2B75" w:rsidRPr="002A2B75">
        <w:rPr>
          <w:rFonts w:cs="Arial"/>
        </w:rPr>
        <w:t xml:space="preserve">les </w:t>
      </w:r>
      <w:r w:rsidR="006015E2">
        <w:rPr>
          <w:rFonts w:cs="Arial"/>
        </w:rPr>
        <w:t>acteurs communautaires sont des acteurs clés dans la lutte contre l’exploitation dans l’industrie du sexe</w:t>
      </w:r>
      <w:r w:rsidR="00C64FE2">
        <w:rPr>
          <w:rFonts w:cs="Arial"/>
        </w:rPr>
        <w:t>, notamment</w:t>
      </w:r>
      <w:r w:rsidR="006015E2">
        <w:rPr>
          <w:rFonts w:cs="Arial"/>
        </w:rPr>
        <w:t xml:space="preserve"> parce que ce sont les plus à même d’informer les victimes de leurs droits</w:t>
      </w:r>
      <w:r w:rsidR="00846BA1">
        <w:rPr>
          <w:rFonts w:cs="Arial"/>
        </w:rPr>
        <w:t>, ne serait-ce que parce qu’ils les côtoient.</w:t>
      </w:r>
    </w:p>
    <w:p w14:paraId="37DEAB8E" w14:textId="47BF9524" w:rsidR="00274CAE" w:rsidRPr="00302DE6" w:rsidRDefault="00274CAE" w:rsidP="00274177">
      <w:pPr>
        <w:rPr>
          <w:rFonts w:cs="Arial"/>
        </w:rPr>
      </w:pPr>
    </w:p>
    <w:p w14:paraId="1BC95368" w14:textId="68215C57" w:rsidR="00C830EA" w:rsidRPr="00C52E1A" w:rsidRDefault="00C830EA" w:rsidP="00274177">
      <w:pPr>
        <w:rPr>
          <w:rFonts w:cs="Arial"/>
          <w:sz w:val="22"/>
          <w:lang w:val="en-US"/>
        </w:rPr>
      </w:pPr>
      <w:r w:rsidRPr="00C52E1A">
        <w:rPr>
          <w:rFonts w:cs="Arial"/>
          <w:b/>
          <w:bCs/>
          <w:sz w:val="22"/>
          <w:u w:val="single"/>
          <w:lang w:val="en-US"/>
        </w:rPr>
        <w:t>Section VI, a, § 92</w:t>
      </w:r>
      <w:r w:rsidR="00841F8C" w:rsidRPr="00C52E1A">
        <w:rPr>
          <w:rFonts w:cs="Arial"/>
          <w:b/>
          <w:bCs/>
          <w:sz w:val="22"/>
          <w:u w:val="single"/>
          <w:lang w:val="en-US"/>
        </w:rPr>
        <w:t>, “Adverse collateral effects of anti-trafficking efforts”</w:t>
      </w:r>
    </w:p>
    <w:p w14:paraId="5D372134" w14:textId="6A2D7D1D" w:rsidR="00374978" w:rsidRDefault="00374978" w:rsidP="00274177">
      <w:pPr>
        <w:rPr>
          <w:rFonts w:cs="Arial"/>
        </w:rPr>
      </w:pPr>
      <w:r w:rsidRPr="00374978">
        <w:rPr>
          <w:rFonts w:cs="Arial"/>
        </w:rPr>
        <w:t>Nous recommandons les ajouts s</w:t>
      </w:r>
      <w:r>
        <w:rPr>
          <w:rFonts w:cs="Arial"/>
        </w:rPr>
        <w:t>uivants :</w:t>
      </w:r>
    </w:p>
    <w:p w14:paraId="45F1FF68" w14:textId="0241379F" w:rsidR="00374978" w:rsidRDefault="00374978" w:rsidP="00274177">
      <w:pPr>
        <w:rPr>
          <w:b/>
          <w:bCs/>
          <w:lang w:val="en-US"/>
        </w:rPr>
      </w:pPr>
      <w:r w:rsidRPr="00374978">
        <w:rPr>
          <w:rFonts w:cs="Arial"/>
          <w:lang w:val="en-US"/>
        </w:rPr>
        <w:t>b) « Ensure that raids c</w:t>
      </w:r>
      <w:r>
        <w:rPr>
          <w:rFonts w:cs="Arial"/>
          <w:lang w:val="en-US"/>
        </w:rPr>
        <w:t xml:space="preserve">onducted by law enforcement authorities with a view to dismantling trafficking </w:t>
      </w:r>
      <w:r w:rsidRPr="00EE1CD4">
        <w:rPr>
          <w:rFonts w:cs="Arial"/>
          <w:lang w:val="en-US"/>
        </w:rPr>
        <w:t>networks do not justify or result in criminal prosecution or other</w:t>
      </w:r>
      <w:r w:rsidR="00EE1CD4" w:rsidRPr="00EE1CD4">
        <w:rPr>
          <w:lang w:val="en-US"/>
        </w:rPr>
        <w:t xml:space="preserve"> coercive measures, including gender-based violence, abuse and harassment, against any group of women, </w:t>
      </w:r>
      <w:r w:rsidR="00EE1CD4" w:rsidRPr="00EE1CD4">
        <w:rPr>
          <w:b/>
          <w:bCs/>
          <w:lang w:val="en-US"/>
        </w:rPr>
        <w:t>particularly sex workers who are the group most often subject to such coercive measures</w:t>
      </w:r>
      <w:r w:rsidR="00EE1CD4">
        <w:rPr>
          <w:b/>
          <w:bCs/>
          <w:lang w:val="en-US"/>
        </w:rPr>
        <w:t>”</w:t>
      </w:r>
      <w:r w:rsidR="001D4A39">
        <w:rPr>
          <w:b/>
          <w:bCs/>
          <w:lang w:val="en-US"/>
        </w:rPr>
        <w:t>;</w:t>
      </w:r>
    </w:p>
    <w:p w14:paraId="1AFF8862" w14:textId="4AB39D5A" w:rsidR="001D4A39" w:rsidRPr="005745C1" w:rsidRDefault="001D4A39" w:rsidP="00274177">
      <w:pPr>
        <w:rPr>
          <w:b/>
          <w:bCs/>
          <w:lang w:val="en-US"/>
        </w:rPr>
      </w:pPr>
      <w:r w:rsidRPr="001D4A39">
        <w:rPr>
          <w:b/>
          <w:bCs/>
          <w:lang w:val="en-US"/>
        </w:rPr>
        <w:t xml:space="preserve">c) </w:t>
      </w:r>
      <w:r w:rsidRPr="001D4A39">
        <w:rPr>
          <w:lang w:val="en-US"/>
        </w:rPr>
        <w:t xml:space="preserve">“Ensure that no group of women, is targeted for investigation or prosecution, discrimination, </w:t>
      </w:r>
      <w:proofErr w:type="spellStart"/>
      <w:r w:rsidRPr="001D4A39">
        <w:rPr>
          <w:lang w:val="en-US"/>
        </w:rPr>
        <w:t>stigmatisation</w:t>
      </w:r>
      <w:proofErr w:type="spellEnd"/>
      <w:r w:rsidRPr="001D4A39">
        <w:rPr>
          <w:lang w:val="en-US"/>
        </w:rPr>
        <w:t xml:space="preserve">, or suffers from the lack of rights and protections, under the guise of combatting trafficking, including violations of their rights to movement, assembly, health and safety, to dignity and livelihood. </w:t>
      </w:r>
      <w:r w:rsidRPr="001D4A39">
        <w:rPr>
          <w:b/>
          <w:bCs/>
          <w:lang w:val="en-US"/>
        </w:rPr>
        <w:t xml:space="preserve">This must include sex workers who are most often targeted. States should cease such targeting </w:t>
      </w:r>
      <w:r w:rsidRPr="005745C1">
        <w:rPr>
          <w:b/>
          <w:bCs/>
          <w:lang w:val="en-US"/>
        </w:rPr>
        <w:t>and ensure these groups of women are afforded their full rights and protections”;</w:t>
      </w:r>
    </w:p>
    <w:p w14:paraId="2F7B73A5" w14:textId="167EF874" w:rsidR="005745C1" w:rsidRDefault="005745C1" w:rsidP="00274177">
      <w:pPr>
        <w:rPr>
          <w:lang w:val="en-US"/>
        </w:rPr>
      </w:pPr>
      <w:r w:rsidRPr="005745C1">
        <w:rPr>
          <w:rFonts w:cs="Arial"/>
          <w:b/>
          <w:bCs/>
          <w:lang w:val="en-US"/>
        </w:rPr>
        <w:t xml:space="preserve">d) </w:t>
      </w:r>
      <w:r w:rsidRPr="005745C1">
        <w:rPr>
          <w:lang w:val="en-US"/>
        </w:rPr>
        <w:t xml:space="preserve">“Discontinue anti-trafficking measures that involve the apprehension, detention and involuntary rehabilitation of women, which are often experienced as antagonistic and traumatic. </w:t>
      </w:r>
      <w:r w:rsidRPr="005745C1">
        <w:rPr>
          <w:b/>
          <w:bCs/>
          <w:lang w:val="en-US"/>
        </w:rPr>
        <w:t>Sex workers are particularly targeted for such measures and this is an abuse of their human rights as well as an abuse of State powers</w:t>
      </w:r>
      <w:r>
        <w:rPr>
          <w:lang w:val="en-US"/>
        </w:rPr>
        <w:t>”;</w:t>
      </w:r>
    </w:p>
    <w:p w14:paraId="200E4632" w14:textId="61E8BD25" w:rsidR="005745C1" w:rsidRDefault="005745C1" w:rsidP="00274177">
      <w:pPr>
        <w:rPr>
          <w:lang w:val="en-US"/>
        </w:rPr>
      </w:pPr>
      <w:r w:rsidRPr="005745C1">
        <w:rPr>
          <w:lang w:val="en-US"/>
        </w:rPr>
        <w:t xml:space="preserve">e) “Ensure that anti-trafficking efforts are not used </w:t>
      </w:r>
      <w:proofErr w:type="gramStart"/>
      <w:r w:rsidRPr="005745C1">
        <w:rPr>
          <w:lang w:val="en-US"/>
        </w:rPr>
        <w:t>as a means to</w:t>
      </w:r>
      <w:proofErr w:type="gramEnd"/>
      <w:r w:rsidRPr="005745C1">
        <w:rPr>
          <w:lang w:val="en-US"/>
        </w:rPr>
        <w:t xml:space="preserve"> deport migrant women with an irregular immigration status. </w:t>
      </w:r>
      <w:r w:rsidRPr="005745C1">
        <w:rPr>
          <w:b/>
          <w:bCs/>
          <w:lang w:val="en-US"/>
        </w:rPr>
        <w:t>Anti-trafficking efforts are often inappropriately used by States as part of a wider anti-migrant, and specifically anti-sex work, narrative. States much put clear measures in place to prevent this</w:t>
      </w:r>
      <w:r>
        <w:rPr>
          <w:lang w:val="en-US"/>
        </w:rPr>
        <w:t>”.</w:t>
      </w:r>
    </w:p>
    <w:p w14:paraId="38AD2BF4" w14:textId="2090BC8B" w:rsidR="00ED6FCA" w:rsidRDefault="00ED6FCA" w:rsidP="00274177">
      <w:r w:rsidRPr="00ED6FCA">
        <w:t>En effet, si n</w:t>
      </w:r>
      <w:r>
        <w:t>ous reconnaissons l’attention particulière portée par le Comité aux abus de droit commis par les autorités chargées de l’application des lois de lutte contre la traite des êtres humains</w:t>
      </w:r>
      <w:r w:rsidR="00D574DF">
        <w:t xml:space="preserve"> tout comme l’attention portée au fait que les travailleuses du sexe sont souvent victimes de ces abus de droit</w:t>
      </w:r>
      <w:r>
        <w:t>, il nous paraît</w:t>
      </w:r>
      <w:r w:rsidR="009472F4">
        <w:t xml:space="preserve"> nécessaire d’être particulièrement explicite afin </w:t>
      </w:r>
      <w:r w:rsidR="0014519E">
        <w:t>de pouvoir garantir une mise en œuvre effective de ces mesures par les Etats.</w:t>
      </w:r>
    </w:p>
    <w:p w14:paraId="74AB5767" w14:textId="00696F04" w:rsidR="00D574DF" w:rsidRDefault="00D574DF" w:rsidP="00274177"/>
    <w:p w14:paraId="67D48C12" w14:textId="478ADA39" w:rsidR="009E607E" w:rsidRPr="00C52E1A" w:rsidRDefault="009E607E" w:rsidP="00274177">
      <w:pPr>
        <w:rPr>
          <w:sz w:val="22"/>
        </w:rPr>
      </w:pPr>
      <w:r w:rsidRPr="00C52E1A">
        <w:rPr>
          <w:b/>
          <w:bCs/>
          <w:sz w:val="22"/>
          <w:u w:val="single"/>
        </w:rPr>
        <w:t>Section VI, § 96, c</w:t>
      </w:r>
    </w:p>
    <w:p w14:paraId="34E29C3E" w14:textId="6F4F5F15" w:rsidR="009E607E" w:rsidRDefault="00AB454C" w:rsidP="00274177">
      <w:r>
        <w:t>Nous recommandons l’insertion d’une mention</w:t>
      </w:r>
      <w:r w:rsidR="00C83B99">
        <w:t xml:space="preserve"> sur le fait que les Etats ne doivent pas prendre en considération </w:t>
      </w:r>
      <w:r w:rsidR="00300BFF">
        <w:t>le positionnement des associations sur le travail du sexe pour les soutenir financièrement : « </w:t>
      </w:r>
      <w:proofErr w:type="spellStart"/>
      <w:r w:rsidR="00300BFF">
        <w:t>Financially</w:t>
      </w:r>
      <w:proofErr w:type="spellEnd"/>
      <w:r w:rsidR="00300BFF">
        <w:t xml:space="preserve"> support </w:t>
      </w:r>
      <w:proofErr w:type="spellStart"/>
      <w:r w:rsidR="00300BFF">
        <w:t>independent</w:t>
      </w:r>
      <w:proofErr w:type="spellEnd"/>
      <w:r w:rsidR="00300BFF">
        <w:t xml:space="preserve"> associations, </w:t>
      </w:r>
      <w:proofErr w:type="spellStart"/>
      <w:r w:rsidR="00B27809" w:rsidRPr="004F5ABA">
        <w:rPr>
          <w:b/>
          <w:bCs/>
        </w:rPr>
        <w:t>regardless</w:t>
      </w:r>
      <w:proofErr w:type="spellEnd"/>
      <w:r w:rsidR="00B27809" w:rsidRPr="004F5ABA">
        <w:rPr>
          <w:b/>
          <w:bCs/>
        </w:rPr>
        <w:t xml:space="preserve"> of </w:t>
      </w:r>
      <w:proofErr w:type="spellStart"/>
      <w:r w:rsidR="00B27809" w:rsidRPr="004F5ABA">
        <w:rPr>
          <w:b/>
          <w:bCs/>
        </w:rPr>
        <w:t>their</w:t>
      </w:r>
      <w:proofErr w:type="spellEnd"/>
      <w:r w:rsidR="00B27809" w:rsidRPr="004F5ABA">
        <w:rPr>
          <w:b/>
          <w:bCs/>
        </w:rPr>
        <w:t xml:space="preserve"> </w:t>
      </w:r>
      <w:r w:rsidR="00D45DA6" w:rsidRPr="004F5ABA">
        <w:rPr>
          <w:b/>
          <w:bCs/>
        </w:rPr>
        <w:t xml:space="preserve">opinion on </w:t>
      </w:r>
      <w:proofErr w:type="spellStart"/>
      <w:r w:rsidR="00D45DA6" w:rsidRPr="004F5ABA">
        <w:rPr>
          <w:b/>
          <w:bCs/>
        </w:rPr>
        <w:t>sex</w:t>
      </w:r>
      <w:proofErr w:type="spellEnd"/>
      <w:r w:rsidR="00D45DA6" w:rsidRPr="004F5ABA">
        <w:rPr>
          <w:b/>
          <w:bCs/>
        </w:rPr>
        <w:t xml:space="preserve"> </w:t>
      </w:r>
      <w:proofErr w:type="spellStart"/>
      <w:r w:rsidR="00D45DA6" w:rsidRPr="004F5ABA">
        <w:rPr>
          <w:b/>
          <w:bCs/>
        </w:rPr>
        <w:t>work</w:t>
      </w:r>
      <w:proofErr w:type="spellEnd"/>
      <w:r w:rsidR="00D45DA6">
        <w:t xml:space="preserve">, </w:t>
      </w:r>
      <w:proofErr w:type="spellStart"/>
      <w:r w:rsidR="004F5ABA">
        <w:t>legal</w:t>
      </w:r>
      <w:proofErr w:type="spellEnd"/>
      <w:r w:rsidR="004F5ABA">
        <w:t xml:space="preserve"> </w:t>
      </w:r>
      <w:proofErr w:type="spellStart"/>
      <w:r w:rsidR="004F5ABA">
        <w:t>professionals</w:t>
      </w:r>
      <w:proofErr w:type="spellEnd"/>
      <w:r w:rsidR="004F5ABA">
        <w:t xml:space="preserve"> and social services centres </w:t>
      </w:r>
      <w:proofErr w:type="spellStart"/>
      <w:r w:rsidR="004F5ABA">
        <w:t>providing</w:t>
      </w:r>
      <w:proofErr w:type="spellEnd"/>
      <w:r w:rsidR="004F5ABA">
        <w:t xml:space="preserve"> </w:t>
      </w:r>
      <w:proofErr w:type="spellStart"/>
      <w:r w:rsidR="004F5ABA">
        <w:t>legal</w:t>
      </w:r>
      <w:proofErr w:type="spellEnd"/>
      <w:r w:rsidR="004F5ABA">
        <w:t xml:space="preserve"> </w:t>
      </w:r>
      <w:proofErr w:type="spellStart"/>
      <w:r w:rsidR="004F5ABA">
        <w:t>resources</w:t>
      </w:r>
      <w:proofErr w:type="spellEnd"/>
      <w:r w:rsidR="004F5ABA">
        <w:t xml:space="preserve"> to </w:t>
      </w:r>
      <w:proofErr w:type="spellStart"/>
      <w:r w:rsidR="004F5ABA">
        <w:t>educate</w:t>
      </w:r>
      <w:proofErr w:type="spellEnd"/>
      <w:r w:rsidR="004F5ABA">
        <w:t xml:space="preserve"> </w:t>
      </w:r>
      <w:proofErr w:type="spellStart"/>
      <w:r w:rsidR="004F5ABA">
        <w:t>women</w:t>
      </w:r>
      <w:proofErr w:type="spellEnd"/>
      <w:r w:rsidR="004F5ABA">
        <w:t xml:space="preserve"> about </w:t>
      </w:r>
      <w:proofErr w:type="spellStart"/>
      <w:r w:rsidR="004F5ABA">
        <w:t>their</w:t>
      </w:r>
      <w:proofErr w:type="spellEnd"/>
      <w:r w:rsidR="004F5ABA">
        <w:t xml:space="preserve"> </w:t>
      </w:r>
      <w:proofErr w:type="spellStart"/>
      <w:r w:rsidR="004F5ABA">
        <w:t>rights</w:t>
      </w:r>
      <w:proofErr w:type="spellEnd"/>
      <w:r w:rsidR="004F5ABA">
        <w:t xml:space="preserve"> to </w:t>
      </w:r>
      <w:proofErr w:type="spellStart"/>
      <w:r w:rsidR="004F5ABA">
        <w:t>equality</w:t>
      </w:r>
      <w:proofErr w:type="spellEnd"/>
      <w:r w:rsidR="004F5ABA">
        <w:t xml:space="preserve"> and assist </w:t>
      </w:r>
      <w:proofErr w:type="spellStart"/>
      <w:r w:rsidR="004F5ABA">
        <w:t>them</w:t>
      </w:r>
      <w:proofErr w:type="spellEnd"/>
      <w:r w:rsidR="004F5ABA">
        <w:t xml:space="preserve"> in </w:t>
      </w:r>
      <w:proofErr w:type="spellStart"/>
      <w:r w:rsidR="004F5ABA">
        <w:t>pursuing</w:t>
      </w:r>
      <w:proofErr w:type="spellEnd"/>
      <w:r w:rsidR="004F5ABA">
        <w:t xml:space="preserve"> </w:t>
      </w:r>
      <w:proofErr w:type="spellStart"/>
      <w:r w:rsidR="004F5ABA">
        <w:t>remedies</w:t>
      </w:r>
      <w:proofErr w:type="spellEnd"/>
      <w:r w:rsidR="004F5ABA">
        <w:t> ».</w:t>
      </w:r>
    </w:p>
    <w:p w14:paraId="52FFA276" w14:textId="15BD415D" w:rsidR="003665FD" w:rsidRDefault="003665FD" w:rsidP="00274177">
      <w:r>
        <w:t>En effet, dans de nombreux pays, particulièrement dans les pays dans lesquels il y a un amalgame entre le travail du sexe et l’exploitation sexuelle</w:t>
      </w:r>
      <w:r w:rsidR="009E4CB7">
        <w:t xml:space="preserve"> tel que la France, l’Etat conditionne l’octroi de subventions à un engagement à lutter contre la prostitution. De nombreuses organisations</w:t>
      </w:r>
      <w:r w:rsidR="00EE28F9">
        <w:t>, notamment communautaires,</w:t>
      </w:r>
      <w:r w:rsidR="009E4CB7">
        <w:t xml:space="preserve"> luttent contre l’exploitation dans l’industrie du sexe</w:t>
      </w:r>
      <w:r w:rsidR="00EE28F9">
        <w:t>, sans lutter contre la prostitution. Un tel positionnement des Etats met en danger ces associations qui sont pourtant les plus à même de lutter contre l’exploitation dans l’industrie du sexe.</w:t>
      </w:r>
    </w:p>
    <w:p w14:paraId="68D6C9E3" w14:textId="77777777" w:rsidR="00C83B99" w:rsidRPr="009E607E" w:rsidRDefault="00C83B99" w:rsidP="00274177"/>
    <w:p w14:paraId="189B7B23" w14:textId="77777777" w:rsidR="00966623" w:rsidRPr="00DD1404" w:rsidRDefault="00966623" w:rsidP="00274177">
      <w:pPr>
        <w:rPr>
          <w:rFonts w:cs="Arial"/>
        </w:rPr>
      </w:pPr>
    </w:p>
    <w:sectPr w:rsidR="00966623" w:rsidRPr="00DD1404" w:rsidSect="00BD665C">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C3BA" w14:textId="77777777" w:rsidR="00557BEF" w:rsidRDefault="00557BEF" w:rsidP="008A3B9C">
      <w:pPr>
        <w:spacing w:line="240" w:lineRule="auto"/>
      </w:pPr>
      <w:r>
        <w:separator/>
      </w:r>
    </w:p>
  </w:endnote>
  <w:endnote w:type="continuationSeparator" w:id="0">
    <w:p w14:paraId="1F34F8B8" w14:textId="77777777" w:rsidR="00557BEF" w:rsidRDefault="00557BEF" w:rsidP="008A3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wallia New">
    <w:altName w:val="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290924"/>
      <w:docPartObj>
        <w:docPartGallery w:val="Page Numbers (Bottom of Page)"/>
        <w:docPartUnique/>
      </w:docPartObj>
    </w:sdtPr>
    <w:sdtEndPr/>
    <w:sdtContent>
      <w:p w14:paraId="2169864A" w14:textId="19048D47" w:rsidR="008A3B9C" w:rsidRDefault="008A3B9C">
        <w:pPr>
          <w:pStyle w:val="Pieddepage"/>
          <w:jc w:val="right"/>
        </w:pPr>
        <w:r>
          <w:fldChar w:fldCharType="begin"/>
        </w:r>
        <w:r>
          <w:instrText>PAGE   \* MERGEFORMAT</w:instrText>
        </w:r>
        <w:r>
          <w:fldChar w:fldCharType="separate"/>
        </w:r>
        <w:r>
          <w:t>2</w:t>
        </w:r>
        <w:r>
          <w:fldChar w:fldCharType="end"/>
        </w:r>
      </w:p>
    </w:sdtContent>
  </w:sdt>
  <w:p w14:paraId="7AEE6039" w14:textId="77777777" w:rsidR="008A3B9C" w:rsidRDefault="008A3B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F731" w14:textId="77777777" w:rsidR="00557BEF" w:rsidRDefault="00557BEF" w:rsidP="008A3B9C">
      <w:pPr>
        <w:spacing w:line="240" w:lineRule="auto"/>
      </w:pPr>
      <w:r>
        <w:separator/>
      </w:r>
    </w:p>
  </w:footnote>
  <w:footnote w:type="continuationSeparator" w:id="0">
    <w:p w14:paraId="570B9B8F" w14:textId="77777777" w:rsidR="00557BEF" w:rsidRDefault="00557BEF" w:rsidP="008A3B9C">
      <w:pPr>
        <w:spacing w:line="240" w:lineRule="auto"/>
      </w:pPr>
      <w:r>
        <w:continuationSeparator/>
      </w:r>
    </w:p>
  </w:footnote>
  <w:footnote w:id="1">
    <w:p w14:paraId="6ADB2038" w14:textId="210418BB" w:rsidR="00C4559F" w:rsidRPr="00C02820" w:rsidRDefault="00C4559F">
      <w:pPr>
        <w:pStyle w:val="Notedebasdepage"/>
      </w:pPr>
      <w:r>
        <w:rPr>
          <w:rStyle w:val="Appelnotedebasdep"/>
        </w:rPr>
        <w:footnoteRef/>
      </w:r>
      <w:r w:rsidRPr="00C02820">
        <w:t xml:space="preserve"> Voir notamment </w:t>
      </w:r>
      <w:hyperlink r:id="rId1" w:history="1">
        <w:r w:rsidR="00C02820">
          <w:rPr>
            <w:rStyle w:val="Lienhypertexte"/>
          </w:rPr>
          <w:t>https://www.medecinsdumonde.org/en/actualites/publications/2018/04/12/study-impact-law-13-april-2016-against-prostitution-system-france</w:t>
        </w:r>
      </w:hyperlink>
    </w:p>
  </w:footnote>
  <w:footnote w:id="2">
    <w:p w14:paraId="6F0CAB66" w14:textId="3D9FA855" w:rsidR="00376235" w:rsidRPr="00376235" w:rsidRDefault="00376235">
      <w:pPr>
        <w:pStyle w:val="Notedebasdepage"/>
        <w:rPr>
          <w:lang w:val="en-US"/>
        </w:rPr>
      </w:pPr>
      <w:r>
        <w:rPr>
          <w:rStyle w:val="Appelnotedebasdep"/>
        </w:rPr>
        <w:footnoteRef/>
      </w:r>
      <w:r w:rsidRPr="00376235">
        <w:rPr>
          <w:lang w:val="en-US"/>
        </w:rPr>
        <w:t xml:space="preserve"> </w:t>
      </w:r>
      <w:r w:rsidR="00924381">
        <w:rPr>
          <w:lang w:val="en-US"/>
        </w:rPr>
        <w:t>Voir CEDAW/C/NOR/CO/9,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E5E"/>
    <w:multiLevelType w:val="multilevel"/>
    <w:tmpl w:val="03E4A2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093633"/>
    <w:multiLevelType w:val="hybridMultilevel"/>
    <w:tmpl w:val="69EE56BC"/>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F29BF"/>
    <w:multiLevelType w:val="hybridMultilevel"/>
    <w:tmpl w:val="728A8C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5569E"/>
    <w:multiLevelType w:val="multilevel"/>
    <w:tmpl w:val="6FC2C9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D2318A0"/>
    <w:multiLevelType w:val="hybridMultilevel"/>
    <w:tmpl w:val="C9E8764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23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B2AB6"/>
    <w:multiLevelType w:val="hybridMultilevel"/>
    <w:tmpl w:val="C59431B2"/>
    <w:lvl w:ilvl="0" w:tplc="0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F25E6F"/>
    <w:multiLevelType w:val="hybridMultilevel"/>
    <w:tmpl w:val="0A641E66"/>
    <w:lvl w:ilvl="0" w:tplc="24E4BB96">
      <w:start w:val="7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DA2632"/>
    <w:multiLevelType w:val="hybridMultilevel"/>
    <w:tmpl w:val="EE141084"/>
    <w:lvl w:ilvl="0" w:tplc="03D09A9A">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8377E"/>
    <w:multiLevelType w:val="hybridMultilevel"/>
    <w:tmpl w:val="50B467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13BF2B2D"/>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AB81F2D"/>
    <w:multiLevelType w:val="hybridMultilevel"/>
    <w:tmpl w:val="5554E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E26E5"/>
    <w:multiLevelType w:val="hybridMultilevel"/>
    <w:tmpl w:val="CB2A9FC4"/>
    <w:lvl w:ilvl="0" w:tplc="0409000F">
      <w:start w:val="1"/>
      <w:numFmt w:val="decimal"/>
      <w:lvlText w:val="%1."/>
      <w:lvlJc w:val="left"/>
      <w:pPr>
        <w:ind w:left="720" w:hanging="360"/>
      </w:pPr>
    </w:lvl>
    <w:lvl w:ilvl="1" w:tplc="04090017">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84C49"/>
    <w:multiLevelType w:val="hybridMultilevel"/>
    <w:tmpl w:val="84F8AE94"/>
    <w:lvl w:ilvl="0" w:tplc="242C0B9A">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4364C1"/>
    <w:multiLevelType w:val="hybridMultilevel"/>
    <w:tmpl w:val="1C28698E"/>
    <w:lvl w:ilvl="0" w:tplc="5E487ACC">
      <w:start w:val="6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971C59"/>
    <w:multiLevelType w:val="hybridMultilevel"/>
    <w:tmpl w:val="5F7ED614"/>
    <w:lvl w:ilvl="0" w:tplc="F3604946">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467072"/>
    <w:multiLevelType w:val="hybridMultilevel"/>
    <w:tmpl w:val="190A0466"/>
    <w:lvl w:ilvl="0" w:tplc="22A47666">
      <w:start w:val="4"/>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5C65A3"/>
    <w:multiLevelType w:val="hybridMultilevel"/>
    <w:tmpl w:val="E5F21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40A40"/>
    <w:multiLevelType w:val="hybridMultilevel"/>
    <w:tmpl w:val="C2FE0208"/>
    <w:lvl w:ilvl="0" w:tplc="9F564B1A">
      <w:start w:val="7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A6B04FD"/>
    <w:multiLevelType w:val="hybridMultilevel"/>
    <w:tmpl w:val="415AA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F2F62"/>
    <w:multiLevelType w:val="hybridMultilevel"/>
    <w:tmpl w:val="F4668AC6"/>
    <w:lvl w:ilvl="0" w:tplc="0924F0F6">
      <w:start w:val="6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43B049F"/>
    <w:multiLevelType w:val="hybridMultilevel"/>
    <w:tmpl w:val="F9E454DC"/>
    <w:lvl w:ilvl="0" w:tplc="4CDE5F0C">
      <w:start w:val="3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680F8F"/>
    <w:multiLevelType w:val="hybridMultilevel"/>
    <w:tmpl w:val="44A4B92A"/>
    <w:lvl w:ilvl="0" w:tplc="D0EC944E">
      <w:start w:val="3"/>
      <w:numFmt w:val="lowerLetter"/>
      <w:lvlText w:val="%1)"/>
      <w:lvlJc w:val="left"/>
      <w:pPr>
        <w:ind w:left="720" w:hanging="360"/>
      </w:pPr>
      <w:rPr>
        <w:rFonts w:ascii="Times New Roman" w:eastAsiaTheme="minorEastAsia"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53C60D9"/>
    <w:multiLevelType w:val="multilevel"/>
    <w:tmpl w:val="3C0CEC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7B151C35"/>
    <w:multiLevelType w:val="hybridMultilevel"/>
    <w:tmpl w:val="B22E2F9C"/>
    <w:lvl w:ilvl="0" w:tplc="48FEBFA0">
      <w:start w:val="4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16"/>
  </w:num>
  <w:num w:numId="5">
    <w:abstractNumId w:val="12"/>
  </w:num>
  <w:num w:numId="6">
    <w:abstractNumId w:val="21"/>
  </w:num>
  <w:num w:numId="7">
    <w:abstractNumId w:val="2"/>
  </w:num>
  <w:num w:numId="8">
    <w:abstractNumId w:val="13"/>
  </w:num>
  <w:num w:numId="9">
    <w:abstractNumId w:val="17"/>
  </w:num>
  <w:num w:numId="10">
    <w:abstractNumId w:val="24"/>
  </w:num>
  <w:num w:numId="11">
    <w:abstractNumId w:val="20"/>
  </w:num>
  <w:num w:numId="12">
    <w:abstractNumId w:val="19"/>
  </w:num>
  <w:num w:numId="13">
    <w:abstractNumId w:val="4"/>
  </w:num>
  <w:num w:numId="14">
    <w:abstractNumId w:val="14"/>
  </w:num>
  <w:num w:numId="15">
    <w:abstractNumId w:val="18"/>
  </w:num>
  <w:num w:numId="16">
    <w:abstractNumId w:val="6"/>
  </w:num>
  <w:num w:numId="17">
    <w:abstractNumId w:val="7"/>
  </w:num>
  <w:num w:numId="18">
    <w:abstractNumId w:val="22"/>
  </w:num>
  <w:num w:numId="19">
    <w:abstractNumId w:val="8"/>
  </w:num>
  <w:num w:numId="20">
    <w:abstractNumId w:val="3"/>
  </w:num>
  <w:num w:numId="21">
    <w:abstractNumId w:val="1"/>
  </w:num>
  <w:num w:numId="22">
    <w:abstractNumId w:val="0"/>
  </w:num>
  <w:num w:numId="23">
    <w:abstractNumId w:val="9"/>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8C"/>
    <w:rsid w:val="00065605"/>
    <w:rsid w:val="000E5A95"/>
    <w:rsid w:val="000E77BE"/>
    <w:rsid w:val="000F7DB3"/>
    <w:rsid w:val="00120782"/>
    <w:rsid w:val="00136954"/>
    <w:rsid w:val="001374C1"/>
    <w:rsid w:val="0014519E"/>
    <w:rsid w:val="0018254C"/>
    <w:rsid w:val="00182C0A"/>
    <w:rsid w:val="001B6297"/>
    <w:rsid w:val="001C0687"/>
    <w:rsid w:val="001C0C4E"/>
    <w:rsid w:val="001D4A39"/>
    <w:rsid w:val="001F1614"/>
    <w:rsid w:val="001F6161"/>
    <w:rsid w:val="00204EEF"/>
    <w:rsid w:val="00225299"/>
    <w:rsid w:val="0025158C"/>
    <w:rsid w:val="00257DD3"/>
    <w:rsid w:val="00266C56"/>
    <w:rsid w:val="00267568"/>
    <w:rsid w:val="00274177"/>
    <w:rsid w:val="00274CAE"/>
    <w:rsid w:val="00285A5F"/>
    <w:rsid w:val="002A2B75"/>
    <w:rsid w:val="002B55F4"/>
    <w:rsid w:val="002C4816"/>
    <w:rsid w:val="002D4DA2"/>
    <w:rsid w:val="002E6901"/>
    <w:rsid w:val="002F3D06"/>
    <w:rsid w:val="00300BFF"/>
    <w:rsid w:val="00302DE6"/>
    <w:rsid w:val="003071F3"/>
    <w:rsid w:val="003665FD"/>
    <w:rsid w:val="00374978"/>
    <w:rsid w:val="00376235"/>
    <w:rsid w:val="00381389"/>
    <w:rsid w:val="003C7AC2"/>
    <w:rsid w:val="003D27DD"/>
    <w:rsid w:val="003F6025"/>
    <w:rsid w:val="00403A6E"/>
    <w:rsid w:val="00404E70"/>
    <w:rsid w:val="0043105D"/>
    <w:rsid w:val="00432DC4"/>
    <w:rsid w:val="00442BDA"/>
    <w:rsid w:val="004B2DD7"/>
    <w:rsid w:val="004B6350"/>
    <w:rsid w:val="004D3F68"/>
    <w:rsid w:val="004F021C"/>
    <w:rsid w:val="004F5ABA"/>
    <w:rsid w:val="00522396"/>
    <w:rsid w:val="00556D84"/>
    <w:rsid w:val="00557BEF"/>
    <w:rsid w:val="005745C1"/>
    <w:rsid w:val="0058697B"/>
    <w:rsid w:val="005B594E"/>
    <w:rsid w:val="005D6396"/>
    <w:rsid w:val="005E675F"/>
    <w:rsid w:val="005F7EFE"/>
    <w:rsid w:val="006015E2"/>
    <w:rsid w:val="00604AA5"/>
    <w:rsid w:val="00625297"/>
    <w:rsid w:val="00625E87"/>
    <w:rsid w:val="00646E7E"/>
    <w:rsid w:val="00652093"/>
    <w:rsid w:val="006548DA"/>
    <w:rsid w:val="00694808"/>
    <w:rsid w:val="006C0F4C"/>
    <w:rsid w:val="006F3CDC"/>
    <w:rsid w:val="0072209E"/>
    <w:rsid w:val="00726895"/>
    <w:rsid w:val="007269A1"/>
    <w:rsid w:val="0073793D"/>
    <w:rsid w:val="007824B7"/>
    <w:rsid w:val="007943DA"/>
    <w:rsid w:val="007C0278"/>
    <w:rsid w:val="007D102A"/>
    <w:rsid w:val="007F5443"/>
    <w:rsid w:val="00820E52"/>
    <w:rsid w:val="00832F93"/>
    <w:rsid w:val="00841F8C"/>
    <w:rsid w:val="00846BA1"/>
    <w:rsid w:val="00867779"/>
    <w:rsid w:val="00871844"/>
    <w:rsid w:val="008767AA"/>
    <w:rsid w:val="008879AD"/>
    <w:rsid w:val="008A3B9C"/>
    <w:rsid w:val="008B0A27"/>
    <w:rsid w:val="008C2DA1"/>
    <w:rsid w:val="008C7398"/>
    <w:rsid w:val="008D1A9A"/>
    <w:rsid w:val="008D7439"/>
    <w:rsid w:val="008F430F"/>
    <w:rsid w:val="00924381"/>
    <w:rsid w:val="00934B02"/>
    <w:rsid w:val="00941161"/>
    <w:rsid w:val="009472F4"/>
    <w:rsid w:val="009631F9"/>
    <w:rsid w:val="00964F08"/>
    <w:rsid w:val="00966623"/>
    <w:rsid w:val="0098735A"/>
    <w:rsid w:val="00995DDC"/>
    <w:rsid w:val="009B2155"/>
    <w:rsid w:val="009B2DDB"/>
    <w:rsid w:val="009B3E3E"/>
    <w:rsid w:val="009C7B53"/>
    <w:rsid w:val="009E2514"/>
    <w:rsid w:val="009E4CB7"/>
    <w:rsid w:val="009E59D5"/>
    <w:rsid w:val="009E607E"/>
    <w:rsid w:val="009E7980"/>
    <w:rsid w:val="00A01F25"/>
    <w:rsid w:val="00A14603"/>
    <w:rsid w:val="00A4553A"/>
    <w:rsid w:val="00A5128D"/>
    <w:rsid w:val="00A82239"/>
    <w:rsid w:val="00A9451C"/>
    <w:rsid w:val="00AB454C"/>
    <w:rsid w:val="00AC058A"/>
    <w:rsid w:val="00AC7FAE"/>
    <w:rsid w:val="00B04F3E"/>
    <w:rsid w:val="00B27809"/>
    <w:rsid w:val="00B67EB8"/>
    <w:rsid w:val="00B878BF"/>
    <w:rsid w:val="00BA514C"/>
    <w:rsid w:val="00BD665C"/>
    <w:rsid w:val="00C02820"/>
    <w:rsid w:val="00C23CA0"/>
    <w:rsid w:val="00C3067E"/>
    <w:rsid w:val="00C4559F"/>
    <w:rsid w:val="00C465D6"/>
    <w:rsid w:val="00C52E1A"/>
    <w:rsid w:val="00C64626"/>
    <w:rsid w:val="00C64FE2"/>
    <w:rsid w:val="00C830EA"/>
    <w:rsid w:val="00C83B99"/>
    <w:rsid w:val="00CC64B4"/>
    <w:rsid w:val="00CD081E"/>
    <w:rsid w:val="00CF1A8F"/>
    <w:rsid w:val="00CF235B"/>
    <w:rsid w:val="00CF685B"/>
    <w:rsid w:val="00D45DA6"/>
    <w:rsid w:val="00D574DF"/>
    <w:rsid w:val="00D63F41"/>
    <w:rsid w:val="00DC3E39"/>
    <w:rsid w:val="00DD1404"/>
    <w:rsid w:val="00E4104A"/>
    <w:rsid w:val="00E4189B"/>
    <w:rsid w:val="00E64D38"/>
    <w:rsid w:val="00ED6FCA"/>
    <w:rsid w:val="00EE1CD4"/>
    <w:rsid w:val="00EE28F9"/>
    <w:rsid w:val="00EF0972"/>
    <w:rsid w:val="00F01A33"/>
    <w:rsid w:val="00F124E9"/>
    <w:rsid w:val="00F20E98"/>
    <w:rsid w:val="00F47AFF"/>
    <w:rsid w:val="00F57F36"/>
    <w:rsid w:val="00F62B7D"/>
    <w:rsid w:val="00F81851"/>
    <w:rsid w:val="00F819B3"/>
    <w:rsid w:val="00F87DA2"/>
    <w:rsid w:val="00F90C8E"/>
    <w:rsid w:val="00FB15D0"/>
    <w:rsid w:val="00FB18FF"/>
    <w:rsid w:val="00FC542F"/>
    <w:rsid w:val="00FD5AE5"/>
    <w:rsid w:val="00FF0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1EEA7A"/>
  <w15:chartTrackingRefBased/>
  <w15:docId w15:val="{23052515-3126-4E4E-A23D-E5BB1F69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C0A"/>
    <w:pPr>
      <w:spacing w:after="0" w:line="360" w:lineRule="auto"/>
      <w:jc w:val="both"/>
    </w:pPr>
    <w:rPr>
      <w:rFonts w:ascii="Arial" w:hAnsi="Arial" w:cs="Calibri"/>
      <w:sz w:val="20"/>
      <w:lang w:eastAsia="zh-CN"/>
    </w:rPr>
  </w:style>
  <w:style w:type="paragraph" w:styleId="Titre1">
    <w:name w:val="heading 1"/>
    <w:basedOn w:val="Normal"/>
    <w:next w:val="Normal"/>
    <w:link w:val="Titre1Car"/>
    <w:uiPriority w:val="9"/>
    <w:qFormat/>
    <w:rsid w:val="00182C0A"/>
    <w:pPr>
      <w:keepNext/>
      <w:keepLines/>
      <w:spacing w:before="200" w:after="120"/>
      <w:jc w:val="center"/>
      <w:outlineLvl w:val="0"/>
    </w:pPr>
    <w:rPr>
      <w:rFonts w:ascii="Browallia New" w:hAnsi="Browallia New"/>
      <w:b/>
      <w:caps/>
      <w:sz w:val="48"/>
      <w:szCs w:val="48"/>
    </w:rPr>
  </w:style>
  <w:style w:type="paragraph" w:styleId="Titre2">
    <w:name w:val="heading 2"/>
    <w:basedOn w:val="Titre1"/>
    <w:next w:val="Normal"/>
    <w:link w:val="Titre2Car"/>
    <w:uiPriority w:val="9"/>
    <w:unhideWhenUsed/>
    <w:qFormat/>
    <w:rsid w:val="00182C0A"/>
    <w:pPr>
      <w:outlineLvl w:val="1"/>
    </w:pPr>
    <w:rPr>
      <w:sz w:val="40"/>
    </w:rPr>
  </w:style>
  <w:style w:type="paragraph" w:styleId="Titre3">
    <w:name w:val="heading 3"/>
    <w:basedOn w:val="Normal"/>
    <w:next w:val="Normal"/>
    <w:link w:val="Titre3Car"/>
    <w:uiPriority w:val="9"/>
    <w:unhideWhenUsed/>
    <w:qFormat/>
    <w:rsid w:val="00182C0A"/>
    <w:pPr>
      <w:keepNext/>
      <w:keepLines/>
      <w:spacing w:before="200" w:after="120"/>
      <w:outlineLvl w:val="2"/>
    </w:pPr>
    <w:rPr>
      <w:b/>
      <w:sz w:val="28"/>
      <w:szCs w:val="28"/>
      <w:u w:val="single"/>
    </w:rPr>
  </w:style>
  <w:style w:type="paragraph" w:styleId="Titre4">
    <w:name w:val="heading 4"/>
    <w:basedOn w:val="Normal"/>
    <w:next w:val="Normal"/>
    <w:link w:val="Titre4Car"/>
    <w:uiPriority w:val="9"/>
    <w:semiHidden/>
    <w:unhideWhenUsed/>
    <w:qFormat/>
    <w:rsid w:val="00182C0A"/>
    <w:pPr>
      <w:keepNext/>
      <w:keepLines/>
      <w:spacing w:before="120" w:after="60"/>
      <w:outlineLvl w:val="3"/>
    </w:pPr>
    <w:rPr>
      <w:rFonts w:asciiTheme="majorHAnsi" w:eastAsiaTheme="majorEastAsia" w:hAnsiTheme="majorHAnsi" w:cstheme="majorBidi"/>
      <w:i/>
      <w:iCs/>
      <w:color w:val="2F5496" w:themeColor="accent1" w:themeShade="BF"/>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2C0A"/>
    <w:rPr>
      <w:rFonts w:ascii="Browallia New" w:eastAsia="Calibri" w:hAnsi="Browallia New" w:cs="Calibri"/>
      <w:b/>
      <w:caps/>
      <w:sz w:val="48"/>
      <w:szCs w:val="48"/>
      <w:lang w:eastAsia="zh-CN"/>
    </w:rPr>
  </w:style>
  <w:style w:type="character" w:customStyle="1" w:styleId="Titre2Car">
    <w:name w:val="Titre 2 Car"/>
    <w:basedOn w:val="Policepardfaut"/>
    <w:link w:val="Titre2"/>
    <w:uiPriority w:val="9"/>
    <w:rsid w:val="00182C0A"/>
    <w:rPr>
      <w:rFonts w:ascii="Browallia New" w:eastAsia="Calibri" w:hAnsi="Browallia New" w:cs="Calibri"/>
      <w:b/>
      <w:caps/>
      <w:sz w:val="40"/>
      <w:szCs w:val="48"/>
      <w:lang w:eastAsia="zh-CN"/>
    </w:rPr>
  </w:style>
  <w:style w:type="character" w:customStyle="1" w:styleId="Titre3Car">
    <w:name w:val="Titre 3 Car"/>
    <w:basedOn w:val="Policepardfaut"/>
    <w:link w:val="Titre3"/>
    <w:uiPriority w:val="9"/>
    <w:rsid w:val="00182C0A"/>
    <w:rPr>
      <w:rFonts w:ascii="Arial" w:eastAsia="Calibri" w:hAnsi="Arial" w:cs="Calibri"/>
      <w:b/>
      <w:sz w:val="28"/>
      <w:szCs w:val="28"/>
      <w:u w:val="single"/>
      <w:lang w:eastAsia="zh-CN"/>
    </w:rPr>
  </w:style>
  <w:style w:type="paragraph" w:styleId="Notedebasdepage">
    <w:name w:val="footnote text"/>
    <w:aliases w:val="5_G"/>
    <w:basedOn w:val="Normal"/>
    <w:link w:val="NotedebasdepageCar"/>
    <w:uiPriority w:val="99"/>
    <w:unhideWhenUsed/>
    <w:qFormat/>
    <w:rsid w:val="00182C0A"/>
    <w:pPr>
      <w:spacing w:line="240" w:lineRule="auto"/>
    </w:pPr>
    <w:rPr>
      <w:rFonts w:eastAsiaTheme="minorHAnsi" w:cstheme="minorBidi"/>
      <w:sz w:val="16"/>
      <w:szCs w:val="20"/>
      <w:lang w:eastAsia="en-US"/>
    </w:rPr>
  </w:style>
  <w:style w:type="character" w:customStyle="1" w:styleId="NotedebasdepageCar">
    <w:name w:val="Note de bas de page Car"/>
    <w:aliases w:val="5_G Car"/>
    <w:basedOn w:val="Policepardfaut"/>
    <w:link w:val="Notedebasdepage"/>
    <w:uiPriority w:val="99"/>
    <w:rsid w:val="00182C0A"/>
    <w:rPr>
      <w:rFonts w:ascii="Arial" w:hAnsi="Arial"/>
      <w:sz w:val="16"/>
      <w:szCs w:val="20"/>
    </w:rPr>
  </w:style>
  <w:style w:type="character" w:customStyle="1" w:styleId="Titre4Car">
    <w:name w:val="Titre 4 Car"/>
    <w:basedOn w:val="Policepardfaut"/>
    <w:link w:val="Titre4"/>
    <w:uiPriority w:val="9"/>
    <w:semiHidden/>
    <w:rsid w:val="00182C0A"/>
    <w:rPr>
      <w:rFonts w:asciiTheme="majorHAnsi" w:eastAsiaTheme="majorEastAsia" w:hAnsiTheme="majorHAnsi" w:cstheme="majorBidi"/>
      <w:i/>
      <w:iCs/>
      <w:color w:val="2F5496" w:themeColor="accent1" w:themeShade="BF"/>
      <w:sz w:val="24"/>
      <w:u w:val="single"/>
      <w:lang w:eastAsia="zh-CN"/>
    </w:rPr>
  </w:style>
  <w:style w:type="paragraph" w:styleId="En-tte">
    <w:name w:val="header"/>
    <w:basedOn w:val="Normal"/>
    <w:link w:val="En-tteCar"/>
    <w:unhideWhenUsed/>
    <w:rsid w:val="008A3B9C"/>
    <w:pPr>
      <w:tabs>
        <w:tab w:val="center" w:pos="4536"/>
        <w:tab w:val="right" w:pos="9072"/>
      </w:tabs>
      <w:spacing w:line="240" w:lineRule="auto"/>
    </w:pPr>
  </w:style>
  <w:style w:type="character" w:customStyle="1" w:styleId="En-tteCar">
    <w:name w:val="En-tête Car"/>
    <w:basedOn w:val="Policepardfaut"/>
    <w:link w:val="En-tte"/>
    <w:rsid w:val="008A3B9C"/>
    <w:rPr>
      <w:rFonts w:ascii="Arial" w:hAnsi="Arial" w:cs="Calibri"/>
      <w:sz w:val="20"/>
      <w:lang w:eastAsia="zh-CN"/>
    </w:rPr>
  </w:style>
  <w:style w:type="paragraph" w:styleId="Pieddepage">
    <w:name w:val="footer"/>
    <w:basedOn w:val="Normal"/>
    <w:link w:val="PieddepageCar"/>
    <w:uiPriority w:val="99"/>
    <w:unhideWhenUsed/>
    <w:rsid w:val="008A3B9C"/>
    <w:pPr>
      <w:tabs>
        <w:tab w:val="center" w:pos="4536"/>
        <w:tab w:val="right" w:pos="9072"/>
      </w:tabs>
      <w:spacing w:line="240" w:lineRule="auto"/>
    </w:pPr>
  </w:style>
  <w:style w:type="character" w:customStyle="1" w:styleId="PieddepageCar">
    <w:name w:val="Pied de page Car"/>
    <w:basedOn w:val="Policepardfaut"/>
    <w:link w:val="Pieddepage"/>
    <w:uiPriority w:val="99"/>
    <w:rsid w:val="008A3B9C"/>
    <w:rPr>
      <w:rFonts w:ascii="Arial" w:hAnsi="Arial" w:cs="Calibri"/>
      <w:sz w:val="20"/>
      <w:lang w:eastAsia="zh-CN"/>
    </w:rPr>
  </w:style>
  <w:style w:type="paragraph" w:styleId="Textedebulles">
    <w:name w:val="Balloon Text"/>
    <w:basedOn w:val="Normal"/>
    <w:link w:val="TextedebullesCar"/>
    <w:uiPriority w:val="99"/>
    <w:semiHidden/>
    <w:unhideWhenUsed/>
    <w:rsid w:val="00832F9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F93"/>
    <w:rPr>
      <w:rFonts w:ascii="Segoe UI" w:hAnsi="Segoe UI" w:cs="Segoe UI"/>
      <w:sz w:val="18"/>
      <w:szCs w:val="18"/>
      <w:lang w:eastAsia="zh-CN"/>
    </w:rPr>
  </w:style>
  <w:style w:type="paragraph" w:styleId="Paragraphedeliste">
    <w:name w:val="List Paragraph"/>
    <w:basedOn w:val="Normal"/>
    <w:uiPriority w:val="34"/>
    <w:qFormat/>
    <w:rsid w:val="00832F93"/>
    <w:pPr>
      <w:ind w:left="720"/>
      <w:contextualSpacing/>
    </w:pPr>
  </w:style>
  <w:style w:type="character" w:styleId="Marquedecommentaire">
    <w:name w:val="annotation reference"/>
    <w:basedOn w:val="Policepardfaut"/>
    <w:uiPriority w:val="99"/>
    <w:semiHidden/>
    <w:unhideWhenUsed/>
    <w:rsid w:val="00DC3E39"/>
    <w:rPr>
      <w:sz w:val="18"/>
      <w:szCs w:val="18"/>
    </w:rPr>
  </w:style>
  <w:style w:type="paragraph" w:styleId="Commentaire">
    <w:name w:val="annotation text"/>
    <w:basedOn w:val="Normal"/>
    <w:link w:val="CommentaireCar"/>
    <w:uiPriority w:val="99"/>
    <w:semiHidden/>
    <w:unhideWhenUsed/>
    <w:rsid w:val="00DC3E39"/>
    <w:pPr>
      <w:spacing w:line="240" w:lineRule="auto"/>
      <w:jc w:val="left"/>
    </w:pPr>
    <w:rPr>
      <w:rFonts w:asciiTheme="minorHAnsi" w:eastAsiaTheme="minorEastAsia" w:hAnsiTheme="minorHAnsi" w:cstheme="minorBidi"/>
      <w:sz w:val="24"/>
      <w:szCs w:val="24"/>
      <w:lang w:val="en-US" w:eastAsia="en-US"/>
    </w:rPr>
  </w:style>
  <w:style w:type="character" w:customStyle="1" w:styleId="CommentaireCar">
    <w:name w:val="Commentaire Car"/>
    <w:basedOn w:val="Policepardfaut"/>
    <w:link w:val="Commentaire"/>
    <w:uiPriority w:val="99"/>
    <w:semiHidden/>
    <w:rsid w:val="00DC3E39"/>
    <w:rPr>
      <w:rFonts w:eastAsiaTheme="minorEastAsia"/>
      <w:sz w:val="24"/>
      <w:szCs w:val="24"/>
      <w:lang w:val="en-US"/>
    </w:rPr>
  </w:style>
  <w:style w:type="character" w:styleId="Appelnotedebasdep">
    <w:name w:val="footnote reference"/>
    <w:basedOn w:val="Policepardfaut"/>
    <w:uiPriority w:val="99"/>
    <w:unhideWhenUsed/>
    <w:rsid w:val="00E4104A"/>
    <w:rPr>
      <w:vertAlign w:val="superscript"/>
    </w:rPr>
  </w:style>
  <w:style w:type="paragraph" w:styleId="Sansinterligne">
    <w:name w:val="No Spacing"/>
    <w:uiPriority w:val="1"/>
    <w:qFormat/>
    <w:rsid w:val="006C0F4C"/>
    <w:pPr>
      <w:spacing w:after="0" w:line="240" w:lineRule="auto"/>
    </w:pPr>
    <w:rPr>
      <w:rFonts w:eastAsiaTheme="minorEastAsia"/>
      <w:lang w:val="en-GB" w:eastAsia="zh-CN"/>
    </w:rPr>
  </w:style>
  <w:style w:type="character" w:styleId="Lienhypertexte">
    <w:name w:val="Hyperlink"/>
    <w:basedOn w:val="Policepardfaut"/>
    <w:uiPriority w:val="99"/>
    <w:semiHidden/>
    <w:unhideWhenUsed/>
    <w:rsid w:val="00A5128D"/>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F90C8E"/>
    <w:pPr>
      <w:jc w:val="both"/>
    </w:pPr>
    <w:rPr>
      <w:rFonts w:ascii="Arial" w:eastAsia="Calibri" w:hAnsi="Arial" w:cs="Calibri"/>
      <w:b/>
      <w:bCs/>
      <w:sz w:val="20"/>
      <w:szCs w:val="20"/>
      <w:lang w:val="fr-FR" w:eastAsia="zh-CN"/>
    </w:rPr>
  </w:style>
  <w:style w:type="character" w:customStyle="1" w:styleId="ObjetducommentaireCar">
    <w:name w:val="Objet du commentaire Car"/>
    <w:basedOn w:val="CommentaireCar"/>
    <w:link w:val="Objetducommentaire"/>
    <w:uiPriority w:val="99"/>
    <w:semiHidden/>
    <w:rsid w:val="00F90C8E"/>
    <w:rPr>
      <w:rFonts w:ascii="Arial" w:eastAsiaTheme="minorEastAsia" w:hAnsi="Arial" w:cs="Calibri"/>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492621">
      <w:bodyDiv w:val="1"/>
      <w:marLeft w:val="0"/>
      <w:marRight w:val="0"/>
      <w:marTop w:val="0"/>
      <w:marBottom w:val="0"/>
      <w:divBdr>
        <w:top w:val="none" w:sz="0" w:space="0" w:color="auto"/>
        <w:left w:val="none" w:sz="0" w:space="0" w:color="auto"/>
        <w:bottom w:val="none" w:sz="0" w:space="0" w:color="auto"/>
        <w:right w:val="none" w:sz="0" w:space="0" w:color="auto"/>
      </w:divBdr>
    </w:div>
    <w:div w:id="1148328531">
      <w:bodyDiv w:val="1"/>
      <w:marLeft w:val="0"/>
      <w:marRight w:val="0"/>
      <w:marTop w:val="0"/>
      <w:marBottom w:val="0"/>
      <w:divBdr>
        <w:top w:val="none" w:sz="0" w:space="0" w:color="auto"/>
        <w:left w:val="none" w:sz="0" w:space="0" w:color="auto"/>
        <w:bottom w:val="none" w:sz="0" w:space="0" w:color="auto"/>
        <w:right w:val="none" w:sz="0" w:space="0" w:color="auto"/>
      </w:divBdr>
    </w:div>
    <w:div w:id="1291472798">
      <w:bodyDiv w:val="1"/>
      <w:marLeft w:val="0"/>
      <w:marRight w:val="0"/>
      <w:marTop w:val="0"/>
      <w:marBottom w:val="0"/>
      <w:divBdr>
        <w:top w:val="none" w:sz="0" w:space="0" w:color="auto"/>
        <w:left w:val="none" w:sz="0" w:space="0" w:color="auto"/>
        <w:bottom w:val="none" w:sz="0" w:space="0" w:color="auto"/>
        <w:right w:val="none" w:sz="0" w:space="0" w:color="auto"/>
      </w:divBdr>
    </w:div>
    <w:div w:id="1470972364">
      <w:bodyDiv w:val="1"/>
      <w:marLeft w:val="0"/>
      <w:marRight w:val="0"/>
      <w:marTop w:val="0"/>
      <w:marBottom w:val="0"/>
      <w:divBdr>
        <w:top w:val="none" w:sz="0" w:space="0" w:color="auto"/>
        <w:left w:val="none" w:sz="0" w:space="0" w:color="auto"/>
        <w:bottom w:val="none" w:sz="0" w:space="0" w:color="auto"/>
        <w:right w:val="none" w:sz="0" w:space="0" w:color="auto"/>
      </w:divBdr>
    </w:div>
    <w:div w:id="17237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ecinsdumonde.org/en/actualites/publications/2018/04/12/study-impact-law-13-april-2016-against-prostitution-system-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A1D08-5557-4D09-B0C4-3F5067B52EA7}">
  <ds:schemaRefs>
    <ds:schemaRef ds:uri="http://schemas.microsoft.com/sharepoint/v3/contenttype/forms"/>
  </ds:schemaRefs>
</ds:datastoreItem>
</file>

<file path=customXml/itemProps2.xml><?xml version="1.0" encoding="utf-8"?>
<ds:datastoreItem xmlns:ds="http://schemas.openxmlformats.org/officeDocument/2006/customXml" ds:itemID="{3751C254-CC60-4D9A-B89B-48FD526D5455}"/>
</file>

<file path=customXml/itemProps3.xml><?xml version="1.0" encoding="utf-8"?>
<ds:datastoreItem xmlns:ds="http://schemas.openxmlformats.org/officeDocument/2006/customXml" ds:itemID="{77850FE2-B2B6-4FED-A1F1-862834BEA1D1}">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4e8ebfbb-cc34-4512-9868-e79013ff33e2"/>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ACCC1B0-B8A8-4607-A5F4-17D77DEE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1457</Words>
  <Characters>8018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SARAH-MARIE MAFFESOLI</dc:creator>
  <cp:keywords/>
  <dc:description/>
  <cp:lastModifiedBy>Irène Aboudaram</cp:lastModifiedBy>
  <cp:revision>20</cp:revision>
  <dcterms:created xsi:type="dcterms:W3CDTF">2020-05-15T14:26:00Z</dcterms:created>
  <dcterms:modified xsi:type="dcterms:W3CDTF">2020-05-15T17:04:00Z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