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996F" w14:textId="283FDC19" w:rsidR="00D20A04" w:rsidRPr="004B274B" w:rsidRDefault="006F0457" w:rsidP="006F0457">
      <w:pPr>
        <w:jc w:val="center"/>
        <w:rPr>
          <w:rFonts w:asciiTheme="minorBidi" w:hAnsiTheme="minorBidi"/>
          <w:b/>
          <w:bCs/>
          <w:color w:val="0070C0"/>
          <w:sz w:val="24"/>
          <w:szCs w:val="24"/>
        </w:rPr>
      </w:pPr>
      <w:r>
        <w:rPr>
          <w:rFonts w:asciiTheme="minorBidi" w:hAnsiTheme="minorBidi"/>
          <w:b/>
          <w:bCs/>
          <w:color w:val="0070C0"/>
          <w:sz w:val="24"/>
          <w:szCs w:val="24"/>
        </w:rPr>
        <w:t xml:space="preserve">Bahrain National Institution for Human Rights </w:t>
      </w:r>
      <w:r w:rsidR="003958D5" w:rsidRPr="004B274B">
        <w:rPr>
          <w:rFonts w:asciiTheme="minorBidi" w:hAnsiTheme="minorBidi"/>
          <w:b/>
          <w:bCs/>
          <w:color w:val="0070C0"/>
          <w:sz w:val="24"/>
          <w:szCs w:val="24"/>
        </w:rPr>
        <w:t xml:space="preserve">Observations </w:t>
      </w:r>
      <w:r>
        <w:rPr>
          <w:rFonts w:asciiTheme="minorBidi" w:hAnsiTheme="minorBidi"/>
          <w:b/>
          <w:bCs/>
          <w:color w:val="0070C0"/>
          <w:sz w:val="24"/>
          <w:szCs w:val="24"/>
        </w:rPr>
        <w:br/>
      </w:r>
      <w:r w:rsidR="003958D5" w:rsidRPr="004B274B">
        <w:rPr>
          <w:rFonts w:asciiTheme="minorBidi" w:hAnsiTheme="minorBidi"/>
          <w:b/>
          <w:bCs/>
          <w:color w:val="0070C0"/>
          <w:sz w:val="24"/>
          <w:szCs w:val="24"/>
        </w:rPr>
        <w:t>on the Draft General Recommendation issued by the Committee on the Elimination of Discrimination against Women on Trafficking in Women and Girls within the Context of Global Migration</w:t>
      </w:r>
    </w:p>
    <w:p w14:paraId="12BE6764" w14:textId="77777777" w:rsidR="001128AE" w:rsidRPr="004B274B" w:rsidRDefault="001128AE" w:rsidP="001128AE">
      <w:pPr>
        <w:jc w:val="both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p w14:paraId="2DA50C85" w14:textId="63997F88" w:rsidR="003958D5" w:rsidRPr="004B274B" w:rsidRDefault="003958D5" w:rsidP="001128AE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4B274B">
        <w:rPr>
          <w:rFonts w:asciiTheme="minorBidi" w:hAnsiTheme="minorBidi"/>
          <w:b/>
          <w:bCs/>
          <w:sz w:val="24"/>
          <w:szCs w:val="24"/>
        </w:rPr>
        <w:t>Introduction</w:t>
      </w:r>
      <w:r w:rsidR="00C35BC5" w:rsidRPr="004B274B">
        <w:rPr>
          <w:rFonts w:asciiTheme="minorBidi" w:hAnsiTheme="minorBidi"/>
          <w:b/>
          <w:bCs/>
          <w:sz w:val="24"/>
          <w:szCs w:val="24"/>
        </w:rPr>
        <w:t>:</w:t>
      </w:r>
    </w:p>
    <w:p w14:paraId="756363A0" w14:textId="623A4537" w:rsidR="003958D5" w:rsidRPr="004B274B" w:rsidRDefault="003958D5" w:rsidP="005223F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 xml:space="preserve">The draft </w:t>
      </w:r>
      <w:r w:rsidR="005957E1" w:rsidRPr="004B274B">
        <w:rPr>
          <w:rFonts w:asciiTheme="minorBidi" w:hAnsiTheme="minorBidi"/>
          <w:sz w:val="24"/>
          <w:szCs w:val="24"/>
        </w:rPr>
        <w:t>g</w:t>
      </w:r>
      <w:r w:rsidRPr="004B274B">
        <w:rPr>
          <w:rFonts w:asciiTheme="minorBidi" w:hAnsiTheme="minorBidi"/>
          <w:sz w:val="24"/>
          <w:szCs w:val="24"/>
        </w:rPr>
        <w:t xml:space="preserve">eneral </w:t>
      </w:r>
      <w:r w:rsidR="005957E1" w:rsidRPr="004B274B">
        <w:rPr>
          <w:rFonts w:asciiTheme="minorBidi" w:hAnsiTheme="minorBidi"/>
          <w:sz w:val="24"/>
          <w:szCs w:val="24"/>
        </w:rPr>
        <w:t>r</w:t>
      </w:r>
      <w:r w:rsidRPr="004B274B">
        <w:rPr>
          <w:rFonts w:asciiTheme="minorBidi" w:hAnsiTheme="minorBidi"/>
          <w:sz w:val="24"/>
          <w:szCs w:val="24"/>
        </w:rPr>
        <w:t xml:space="preserve">ecommendation is divided into the </w:t>
      </w:r>
      <w:r w:rsidR="00C30BF4" w:rsidRPr="004B274B">
        <w:rPr>
          <w:rFonts w:asciiTheme="minorBidi" w:hAnsiTheme="minorBidi"/>
          <w:sz w:val="24"/>
          <w:szCs w:val="24"/>
        </w:rPr>
        <w:t>following Introduction</w:t>
      </w:r>
      <w:r w:rsidR="005223F8" w:rsidRPr="004B274B">
        <w:rPr>
          <w:rFonts w:asciiTheme="minorBidi" w:hAnsiTheme="minorBidi"/>
          <w:sz w:val="24"/>
          <w:szCs w:val="24"/>
        </w:rPr>
        <w:t xml:space="preserve"> </w:t>
      </w:r>
    </w:p>
    <w:p w14:paraId="00F1F4DA" w14:textId="77777777" w:rsidR="003958D5" w:rsidRPr="004B274B" w:rsidRDefault="003958D5" w:rsidP="001128AE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>Objective and scope</w:t>
      </w:r>
    </w:p>
    <w:p w14:paraId="5D4B0F42" w14:textId="77777777" w:rsidR="003958D5" w:rsidRPr="004B274B" w:rsidRDefault="003958D5" w:rsidP="001128AE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>Legal framework</w:t>
      </w:r>
    </w:p>
    <w:p w14:paraId="23953C6F" w14:textId="77777777" w:rsidR="003958D5" w:rsidRPr="004B274B" w:rsidRDefault="003958D5" w:rsidP="001128AE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>Root causes and discouraging the demand that fosters exploitation through trafficking</w:t>
      </w:r>
    </w:p>
    <w:p w14:paraId="2F3C2B04" w14:textId="77777777" w:rsidR="003958D5" w:rsidRPr="004B274B" w:rsidRDefault="003958D5" w:rsidP="001128AE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>Victim identification, assistance and protection</w:t>
      </w:r>
    </w:p>
    <w:p w14:paraId="324B173D" w14:textId="77777777" w:rsidR="003958D5" w:rsidRPr="004B274B" w:rsidRDefault="003958D5" w:rsidP="001128AE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>Victims’ access to justice</w:t>
      </w:r>
    </w:p>
    <w:p w14:paraId="05C75063" w14:textId="3056DBDD" w:rsidR="003958D5" w:rsidRPr="004B274B" w:rsidRDefault="009D1938" w:rsidP="001128AE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>Dissemination and reporting</w:t>
      </w:r>
      <w:r w:rsidR="00C63666" w:rsidRPr="004B274B">
        <w:rPr>
          <w:rFonts w:asciiTheme="minorBidi" w:hAnsiTheme="minorBidi"/>
          <w:sz w:val="24"/>
          <w:szCs w:val="24"/>
        </w:rPr>
        <w:t xml:space="preserve">   </w:t>
      </w:r>
    </w:p>
    <w:p w14:paraId="4A63958B" w14:textId="77777777" w:rsidR="009D1938" w:rsidRPr="004B274B" w:rsidRDefault="009D1938" w:rsidP="001128AE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>Treaty ratification or accession</w:t>
      </w:r>
    </w:p>
    <w:p w14:paraId="696CDC72" w14:textId="77777777" w:rsidR="00E134BF" w:rsidRPr="004B274B" w:rsidRDefault="00F15AA6" w:rsidP="001128AE">
      <w:p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 xml:space="preserve">The Committee </w:t>
      </w:r>
      <w:r w:rsidR="002721FF" w:rsidRPr="004B274B">
        <w:rPr>
          <w:rFonts w:asciiTheme="minorBidi" w:hAnsiTheme="minorBidi"/>
          <w:sz w:val="24"/>
          <w:szCs w:val="24"/>
        </w:rPr>
        <w:t>set out State parties’ legal obligation</w:t>
      </w:r>
      <w:r w:rsidRPr="004B274B">
        <w:rPr>
          <w:rFonts w:asciiTheme="minorBidi" w:hAnsiTheme="minorBidi"/>
          <w:sz w:val="24"/>
          <w:szCs w:val="24"/>
        </w:rPr>
        <w:t xml:space="preserve"> to take all </w:t>
      </w:r>
      <w:r w:rsidR="002721FF" w:rsidRPr="004B274B">
        <w:rPr>
          <w:rFonts w:asciiTheme="minorBidi" w:hAnsiTheme="minorBidi"/>
          <w:sz w:val="24"/>
          <w:szCs w:val="24"/>
        </w:rPr>
        <w:t>appropriate</w:t>
      </w:r>
      <w:r w:rsidRPr="004B274B">
        <w:rPr>
          <w:rFonts w:asciiTheme="minorBidi" w:hAnsiTheme="minorBidi"/>
          <w:sz w:val="24"/>
          <w:szCs w:val="24"/>
        </w:rPr>
        <w:t xml:space="preserve"> measures to protect women and gir</w:t>
      </w:r>
      <w:r w:rsidR="000153B5" w:rsidRPr="004B274B">
        <w:rPr>
          <w:rFonts w:asciiTheme="minorBidi" w:hAnsiTheme="minorBidi"/>
          <w:sz w:val="24"/>
          <w:szCs w:val="24"/>
        </w:rPr>
        <w:t xml:space="preserve">ls </w:t>
      </w:r>
      <w:r w:rsidR="00C67B54" w:rsidRPr="004B274B">
        <w:rPr>
          <w:rFonts w:asciiTheme="minorBidi" w:hAnsiTheme="minorBidi"/>
          <w:sz w:val="24"/>
          <w:szCs w:val="24"/>
        </w:rPr>
        <w:t>against</w:t>
      </w:r>
      <w:r w:rsidR="000153B5" w:rsidRPr="004B274B">
        <w:rPr>
          <w:rFonts w:asciiTheme="minorBidi" w:hAnsiTheme="minorBidi"/>
          <w:sz w:val="24"/>
          <w:szCs w:val="24"/>
        </w:rPr>
        <w:t xml:space="preserve"> trafficking in persons, stating</w:t>
      </w:r>
      <w:r w:rsidRPr="004B274B">
        <w:rPr>
          <w:rFonts w:asciiTheme="minorBidi" w:hAnsiTheme="minorBidi"/>
          <w:sz w:val="24"/>
          <w:szCs w:val="24"/>
        </w:rPr>
        <w:t xml:space="preserve"> </w:t>
      </w:r>
      <w:r w:rsidR="000153B5" w:rsidRPr="004B274B">
        <w:rPr>
          <w:rFonts w:asciiTheme="minorBidi" w:hAnsiTheme="minorBidi"/>
          <w:sz w:val="24"/>
          <w:szCs w:val="24"/>
        </w:rPr>
        <w:t>the reasons for</w:t>
      </w:r>
      <w:r w:rsidRPr="004B274B">
        <w:rPr>
          <w:rFonts w:asciiTheme="minorBidi" w:hAnsiTheme="minorBidi"/>
          <w:sz w:val="24"/>
          <w:szCs w:val="24"/>
        </w:rPr>
        <w:t xml:space="preserve"> trafficking in women and girls, </w:t>
      </w:r>
      <w:r w:rsidR="003325FE" w:rsidRPr="004B274B">
        <w:rPr>
          <w:rFonts w:asciiTheme="minorBidi" w:hAnsiTheme="minorBidi"/>
          <w:sz w:val="24"/>
          <w:szCs w:val="24"/>
        </w:rPr>
        <w:t>ways to combat this trafficking and</w:t>
      </w:r>
      <w:r w:rsidRPr="004B274B">
        <w:rPr>
          <w:rFonts w:asciiTheme="minorBidi" w:hAnsiTheme="minorBidi"/>
          <w:sz w:val="24"/>
          <w:szCs w:val="24"/>
        </w:rPr>
        <w:t xml:space="preserve"> mechanism to assist victims and hold</w:t>
      </w:r>
      <w:r w:rsidR="003325FE" w:rsidRPr="004B274B">
        <w:rPr>
          <w:rFonts w:asciiTheme="minorBidi" w:hAnsiTheme="minorBidi"/>
          <w:sz w:val="24"/>
          <w:szCs w:val="24"/>
        </w:rPr>
        <w:t xml:space="preserve"> perpetrators accountable.  It concluded a draft </w:t>
      </w:r>
      <w:r w:rsidR="005957E1" w:rsidRPr="004B274B">
        <w:rPr>
          <w:rFonts w:asciiTheme="minorBidi" w:hAnsiTheme="minorBidi"/>
          <w:sz w:val="24"/>
          <w:szCs w:val="24"/>
        </w:rPr>
        <w:t>g</w:t>
      </w:r>
      <w:r w:rsidR="003325FE" w:rsidRPr="004B274B">
        <w:rPr>
          <w:rFonts w:asciiTheme="minorBidi" w:hAnsiTheme="minorBidi"/>
          <w:sz w:val="24"/>
          <w:szCs w:val="24"/>
        </w:rPr>
        <w:t xml:space="preserve">eneral </w:t>
      </w:r>
      <w:r w:rsidR="005957E1" w:rsidRPr="004B274B">
        <w:rPr>
          <w:rFonts w:asciiTheme="minorBidi" w:hAnsiTheme="minorBidi"/>
          <w:sz w:val="24"/>
          <w:szCs w:val="24"/>
        </w:rPr>
        <w:t>r</w:t>
      </w:r>
      <w:r w:rsidR="003325FE" w:rsidRPr="004B274B">
        <w:rPr>
          <w:rFonts w:asciiTheme="minorBidi" w:hAnsiTheme="minorBidi"/>
          <w:sz w:val="24"/>
          <w:szCs w:val="24"/>
        </w:rPr>
        <w:t>ecommendation encouraging S</w:t>
      </w:r>
      <w:r w:rsidRPr="004B274B">
        <w:rPr>
          <w:rFonts w:asciiTheme="minorBidi" w:hAnsiTheme="minorBidi"/>
          <w:sz w:val="24"/>
          <w:szCs w:val="24"/>
        </w:rPr>
        <w:t xml:space="preserve">tates parties to join the </w:t>
      </w:r>
      <w:r w:rsidR="005957E1" w:rsidRPr="004B274B">
        <w:rPr>
          <w:rFonts w:asciiTheme="minorBidi" w:hAnsiTheme="minorBidi"/>
          <w:sz w:val="24"/>
          <w:szCs w:val="24"/>
        </w:rPr>
        <w:t>O</w:t>
      </w:r>
      <w:r w:rsidR="003325FE" w:rsidRPr="004B274B">
        <w:rPr>
          <w:rFonts w:asciiTheme="minorBidi" w:hAnsiTheme="minorBidi"/>
          <w:sz w:val="24"/>
          <w:szCs w:val="24"/>
        </w:rPr>
        <w:t xml:space="preserve">ptional Protocol </w:t>
      </w:r>
      <w:r w:rsidR="005957E1" w:rsidRPr="004B274B">
        <w:rPr>
          <w:rFonts w:asciiTheme="minorBidi" w:hAnsiTheme="minorBidi"/>
          <w:sz w:val="24"/>
          <w:szCs w:val="24"/>
        </w:rPr>
        <w:t>to</w:t>
      </w:r>
      <w:r w:rsidR="003325FE" w:rsidRPr="004B274B">
        <w:rPr>
          <w:rFonts w:asciiTheme="minorBidi" w:hAnsiTheme="minorBidi"/>
          <w:sz w:val="24"/>
          <w:szCs w:val="24"/>
        </w:rPr>
        <w:t xml:space="preserve"> the</w:t>
      </w:r>
      <w:r w:rsidRPr="004B274B">
        <w:rPr>
          <w:rFonts w:asciiTheme="minorBidi" w:hAnsiTheme="minorBidi"/>
          <w:sz w:val="24"/>
          <w:szCs w:val="24"/>
        </w:rPr>
        <w:t xml:space="preserve"> Co</w:t>
      </w:r>
      <w:r w:rsidR="003325FE" w:rsidRPr="004B274B">
        <w:rPr>
          <w:rFonts w:asciiTheme="minorBidi" w:hAnsiTheme="minorBidi"/>
          <w:sz w:val="24"/>
          <w:szCs w:val="24"/>
        </w:rPr>
        <w:t xml:space="preserve">nvention on the Elimination of </w:t>
      </w:r>
      <w:r w:rsidR="005957E1" w:rsidRPr="004B274B">
        <w:rPr>
          <w:rFonts w:asciiTheme="minorBidi" w:hAnsiTheme="minorBidi"/>
          <w:sz w:val="24"/>
          <w:szCs w:val="24"/>
        </w:rPr>
        <w:t>A</w:t>
      </w:r>
      <w:r w:rsidRPr="004B274B">
        <w:rPr>
          <w:rFonts w:asciiTheme="minorBidi" w:hAnsiTheme="minorBidi"/>
          <w:sz w:val="24"/>
          <w:szCs w:val="24"/>
        </w:rPr>
        <w:t xml:space="preserve">ll Forms of Discrimination against Women, the Protocol to Prevent, Suppress and </w:t>
      </w:r>
      <w:r w:rsidR="003325FE" w:rsidRPr="004B274B">
        <w:rPr>
          <w:rFonts w:asciiTheme="minorBidi" w:hAnsiTheme="minorBidi"/>
          <w:sz w:val="24"/>
          <w:szCs w:val="24"/>
        </w:rPr>
        <w:t xml:space="preserve">Punish Trafficking in Persons, </w:t>
      </w:r>
      <w:r w:rsidR="005957E1" w:rsidRPr="004B274B">
        <w:rPr>
          <w:rFonts w:asciiTheme="minorBidi" w:hAnsiTheme="minorBidi"/>
          <w:sz w:val="24"/>
          <w:szCs w:val="24"/>
        </w:rPr>
        <w:t>E</w:t>
      </w:r>
      <w:r w:rsidRPr="004B274B">
        <w:rPr>
          <w:rFonts w:asciiTheme="minorBidi" w:hAnsiTheme="minorBidi"/>
          <w:sz w:val="24"/>
          <w:szCs w:val="24"/>
        </w:rPr>
        <w:t>specially Women and Children, and other i</w:t>
      </w:r>
      <w:r w:rsidR="003325FE" w:rsidRPr="004B274B">
        <w:rPr>
          <w:rFonts w:asciiTheme="minorBidi" w:hAnsiTheme="minorBidi"/>
          <w:sz w:val="24"/>
          <w:szCs w:val="24"/>
        </w:rPr>
        <w:t>nternational instruments relating</w:t>
      </w:r>
      <w:r w:rsidR="00177F30" w:rsidRPr="004B274B">
        <w:rPr>
          <w:rFonts w:asciiTheme="minorBidi" w:hAnsiTheme="minorBidi"/>
          <w:sz w:val="24"/>
          <w:szCs w:val="24"/>
        </w:rPr>
        <w:t xml:space="preserve"> to women,</w:t>
      </w:r>
      <w:r w:rsidRPr="004B274B">
        <w:rPr>
          <w:rFonts w:asciiTheme="minorBidi" w:hAnsiTheme="minorBidi"/>
          <w:sz w:val="24"/>
          <w:szCs w:val="24"/>
        </w:rPr>
        <w:t xml:space="preserve"> children, trafficking in persons, immigr</w:t>
      </w:r>
      <w:r w:rsidR="00A419C8" w:rsidRPr="004B274B">
        <w:rPr>
          <w:rFonts w:asciiTheme="minorBidi" w:hAnsiTheme="minorBidi"/>
          <w:sz w:val="24"/>
          <w:szCs w:val="24"/>
        </w:rPr>
        <w:t>ation or migrant workers.</w:t>
      </w:r>
    </w:p>
    <w:p w14:paraId="3C7E79A6" w14:textId="77777777" w:rsidR="001128AE" w:rsidRPr="004B274B" w:rsidRDefault="001128AE" w:rsidP="001128AE">
      <w:pPr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051F149" w14:textId="45933C56" w:rsidR="00D20A04" w:rsidRPr="004B274B" w:rsidRDefault="00C35BC5" w:rsidP="001128AE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4B274B">
        <w:rPr>
          <w:rFonts w:asciiTheme="minorBidi" w:hAnsiTheme="minorBidi"/>
          <w:b/>
          <w:bCs/>
          <w:sz w:val="24"/>
          <w:szCs w:val="24"/>
        </w:rPr>
        <w:t>NIHR’s observations:</w:t>
      </w:r>
    </w:p>
    <w:p w14:paraId="31BB616B" w14:textId="3B855D88" w:rsidR="001128AE" w:rsidRPr="004B274B" w:rsidRDefault="00C35BC5" w:rsidP="006F0457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4B274B">
        <w:rPr>
          <w:rFonts w:asciiTheme="minorBidi" w:hAnsiTheme="minorBidi"/>
          <w:sz w:val="24"/>
          <w:szCs w:val="24"/>
        </w:rPr>
        <w:t xml:space="preserve">Having reviewed the draft recommendation, the National Institution for Human Rights (NIHR) </w:t>
      </w:r>
      <w:r w:rsidR="00897910" w:rsidRPr="004B274B">
        <w:rPr>
          <w:rFonts w:asciiTheme="minorBidi" w:hAnsiTheme="minorBidi"/>
          <w:sz w:val="24"/>
          <w:szCs w:val="24"/>
        </w:rPr>
        <w:t xml:space="preserve">would like to make </w:t>
      </w:r>
      <w:r w:rsidRPr="004B274B">
        <w:rPr>
          <w:rFonts w:asciiTheme="minorBidi" w:hAnsiTheme="minorBidi"/>
          <w:sz w:val="24"/>
          <w:szCs w:val="24"/>
        </w:rPr>
        <w:t>a number of observations:</w:t>
      </w:r>
    </w:p>
    <w:p w14:paraId="2748677C" w14:textId="5D1CA027" w:rsidR="00F23022" w:rsidRPr="004B274B" w:rsidRDefault="00C63666" w:rsidP="004B274B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4B274B">
        <w:rPr>
          <w:rFonts w:asciiTheme="minorBidi" w:hAnsiTheme="minorBidi"/>
          <w:b/>
          <w:bCs/>
          <w:sz w:val="24"/>
          <w:szCs w:val="24"/>
          <w:u w:val="single"/>
        </w:rPr>
        <w:br w:type="page"/>
      </w:r>
      <w:r w:rsidR="00F23022" w:rsidRPr="004B274B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First:  Paragraph (25</w:t>
      </w:r>
      <w:r w:rsidR="00207A2D" w:rsidRPr="004B274B">
        <w:rPr>
          <w:rFonts w:asciiTheme="minorBidi" w:hAnsiTheme="minorBidi"/>
          <w:b/>
          <w:bCs/>
          <w:sz w:val="24"/>
          <w:szCs w:val="24"/>
          <w:u w:val="single"/>
        </w:rPr>
        <w:t>/b</w:t>
      </w:r>
      <w:r w:rsidR="00F23022" w:rsidRPr="004B274B">
        <w:rPr>
          <w:rFonts w:asciiTheme="minorBidi" w:hAnsiTheme="minorBidi"/>
          <w:b/>
          <w:bCs/>
          <w:sz w:val="24"/>
          <w:szCs w:val="24"/>
          <w:u w:val="singl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455" w:rsidRPr="004B274B" w14:paraId="548FEF01" w14:textId="77777777" w:rsidTr="001E2455">
        <w:tc>
          <w:tcPr>
            <w:tcW w:w="9576" w:type="dxa"/>
          </w:tcPr>
          <w:p w14:paraId="1FB6CC40" w14:textId="77777777" w:rsidR="001E2455" w:rsidRPr="004B274B" w:rsidRDefault="001E2455" w:rsidP="001128AE">
            <w:pPr>
              <w:ind w:left="72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>(25)</w:t>
            </w:r>
            <w:r w:rsidRPr="004B274B">
              <w:rPr>
                <w:rFonts w:asciiTheme="minorBidi" w:hAnsiTheme="minorBidi"/>
                <w:sz w:val="24"/>
                <w:szCs w:val="24"/>
              </w:rPr>
              <w:tab/>
              <w:t>Review statistical methodologies and conceptual frameworks related to data collection to include indicators that reflect States’ systemic responses to trafficking, including by:</w:t>
            </w:r>
          </w:p>
          <w:p w14:paraId="42C682AD" w14:textId="77777777" w:rsidR="001E2455" w:rsidRPr="004B274B" w:rsidRDefault="001E2455" w:rsidP="001128AE">
            <w:pPr>
              <w:pStyle w:val="ListParagraph"/>
              <w:numPr>
                <w:ilvl w:val="0"/>
                <w:numId w:val="3"/>
              </w:numPr>
              <w:ind w:left="144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>Disaggregating data collection on victims of trafficking by sex, age, disability, ethnicity, nationality, immigration status, location, socioeconomic status</w:t>
            </w:r>
            <w:r w:rsidR="00925EEB" w:rsidRPr="004B274B">
              <w:rPr>
                <w:rStyle w:val="FootnoteReference"/>
                <w:rFonts w:asciiTheme="minorBidi" w:hAnsiTheme="minorBidi"/>
                <w:sz w:val="24"/>
                <w:szCs w:val="24"/>
              </w:rPr>
              <w:footnoteReference w:id="1"/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 and all forms of exploitation, under indicator 16.2.2.2 of the Sustainable Development Goals.</w:t>
            </w:r>
          </w:p>
        </w:tc>
      </w:tr>
    </w:tbl>
    <w:p w14:paraId="30D0D022" w14:textId="77777777" w:rsidR="001E2455" w:rsidRPr="004B274B" w:rsidRDefault="001E2455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5CD68DD" w14:textId="14A101B8" w:rsidR="00AD44B4" w:rsidRPr="004B274B" w:rsidRDefault="001E2455" w:rsidP="001128AE">
      <w:p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 xml:space="preserve">The draft general recommendation </w:t>
      </w:r>
      <w:r w:rsidR="00A61C85" w:rsidRPr="004B274B">
        <w:rPr>
          <w:rFonts w:asciiTheme="minorBidi" w:hAnsiTheme="minorBidi"/>
          <w:sz w:val="24"/>
          <w:szCs w:val="24"/>
        </w:rPr>
        <w:t>referred to</w:t>
      </w:r>
      <w:r w:rsidRPr="004B274B">
        <w:rPr>
          <w:rFonts w:asciiTheme="minorBidi" w:hAnsiTheme="minorBidi"/>
          <w:sz w:val="24"/>
          <w:szCs w:val="24"/>
        </w:rPr>
        <w:t xml:space="preserve"> the possibility of </w:t>
      </w:r>
      <w:r w:rsidR="00A61C85" w:rsidRPr="004B274B">
        <w:rPr>
          <w:rFonts w:asciiTheme="minorBidi" w:hAnsiTheme="minorBidi"/>
          <w:sz w:val="24"/>
          <w:szCs w:val="24"/>
        </w:rPr>
        <w:t>the existence of a relationship</w:t>
      </w:r>
      <w:r w:rsidRPr="004B274B">
        <w:rPr>
          <w:rFonts w:asciiTheme="minorBidi" w:hAnsiTheme="minorBidi"/>
          <w:sz w:val="24"/>
          <w:szCs w:val="24"/>
        </w:rPr>
        <w:t xml:space="preserve"> between the perpetrators of the crime of trafficking in persons and the victims.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FF1" w:rsidRPr="004B274B" w14:paraId="6BE5234D" w14:textId="77777777" w:rsidTr="008E5558">
        <w:tc>
          <w:tcPr>
            <w:tcW w:w="9576" w:type="dxa"/>
            <w:shd w:val="clear" w:color="auto" w:fill="EAF1DD" w:themeFill="accent3" w:themeFillTint="33"/>
          </w:tcPr>
          <w:p w14:paraId="443CCF2F" w14:textId="00812D03" w:rsidR="00DB6FF1" w:rsidRPr="004B274B" w:rsidRDefault="00DB6FF1" w:rsidP="001128A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 xml:space="preserve">Accordingly, we suggest adding a </w:t>
            </w:r>
            <w:r w:rsidR="00A61C85" w:rsidRPr="004B274B">
              <w:rPr>
                <w:rFonts w:asciiTheme="minorBidi" w:hAnsiTheme="minorBidi"/>
                <w:sz w:val="24"/>
                <w:szCs w:val="24"/>
              </w:rPr>
              <w:t>sentence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61C85" w:rsidRPr="004B274B">
              <w:rPr>
                <w:rFonts w:asciiTheme="minorBidi" w:hAnsiTheme="minorBidi"/>
                <w:sz w:val="24"/>
                <w:szCs w:val="24"/>
              </w:rPr>
              <w:t>to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 paragraph (25/b) stipulating </w:t>
            </w:r>
            <w:r w:rsidR="00BA3763" w:rsidRPr="004B274B">
              <w:rPr>
                <w:rFonts w:asciiTheme="minorBidi" w:hAnsiTheme="minorBidi"/>
                <w:sz w:val="24"/>
                <w:szCs w:val="24"/>
              </w:rPr>
              <w:t>“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the collection of data to determine the relationship between the victims and perpetrators of such crimes</w:t>
            </w:r>
            <w:r w:rsidR="00BA3763" w:rsidRPr="004B274B">
              <w:rPr>
                <w:rFonts w:asciiTheme="minorBidi" w:hAnsiTheme="minorBidi"/>
                <w:sz w:val="24"/>
                <w:szCs w:val="24"/>
              </w:rPr>
              <w:t>”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, in order to establish the proper solutions in case trafficking is accompanied by a case of domestic violence or </w:t>
            </w:r>
            <w:r w:rsidR="00A61C85" w:rsidRPr="004B274B">
              <w:rPr>
                <w:rFonts w:asciiTheme="minorBidi" w:hAnsiTheme="minorBidi"/>
                <w:sz w:val="24"/>
                <w:szCs w:val="24"/>
              </w:rPr>
              <w:t>child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 marriage.</w:t>
            </w:r>
          </w:p>
        </w:tc>
      </w:tr>
    </w:tbl>
    <w:p w14:paraId="50882A05" w14:textId="6183842F" w:rsidR="00DB6FF1" w:rsidRPr="004B274B" w:rsidRDefault="00DB6FF1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D72F3AB" w14:textId="77777777" w:rsidR="001128AE" w:rsidRPr="004B274B" w:rsidRDefault="001128AE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AF4E046" w14:textId="77777777" w:rsidR="00A61C85" w:rsidRPr="004B274B" w:rsidRDefault="00A61C85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2C0F522" w14:textId="77777777" w:rsidR="00DB6FF1" w:rsidRPr="004B274B" w:rsidRDefault="00DB6FF1" w:rsidP="001128AE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4B274B">
        <w:rPr>
          <w:rFonts w:asciiTheme="minorBidi" w:hAnsiTheme="minorBidi"/>
          <w:b/>
          <w:bCs/>
          <w:sz w:val="24"/>
          <w:szCs w:val="24"/>
          <w:u w:val="single"/>
        </w:rPr>
        <w:t>Second:  Paragraph (27/d):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FF1" w:rsidRPr="004B274B" w14:paraId="2C5F4AD3" w14:textId="77777777" w:rsidTr="005D29B2">
        <w:tc>
          <w:tcPr>
            <w:tcW w:w="9576" w:type="dxa"/>
          </w:tcPr>
          <w:p w14:paraId="0F88E1BC" w14:textId="77777777" w:rsidR="00DB6FF1" w:rsidRPr="004B274B" w:rsidRDefault="00DB6FF1" w:rsidP="001128AE">
            <w:pPr>
              <w:ind w:left="72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>(2</w:t>
            </w:r>
            <w:r w:rsidR="00A0618C" w:rsidRPr="004B274B">
              <w:rPr>
                <w:rFonts w:asciiTheme="minorBidi" w:hAnsiTheme="minorBidi"/>
                <w:sz w:val="24"/>
                <w:szCs w:val="24"/>
              </w:rPr>
              <w:t>7</w:t>
            </w:r>
            <w:r w:rsidRPr="004B274B">
              <w:rPr>
                <w:rFonts w:asciiTheme="minorBidi" w:hAnsiTheme="minorBidi"/>
                <w:sz w:val="24"/>
                <w:szCs w:val="24"/>
              </w:rPr>
              <w:t>)</w:t>
            </w:r>
            <w:r w:rsidRPr="004B274B">
              <w:rPr>
                <w:rFonts w:asciiTheme="minorBidi" w:hAnsiTheme="minorBidi"/>
                <w:sz w:val="24"/>
                <w:szCs w:val="24"/>
              </w:rPr>
              <w:tab/>
            </w:r>
            <w:r w:rsidR="00A0618C" w:rsidRPr="004B274B">
              <w:rPr>
                <w:rFonts w:asciiTheme="minorBidi" w:hAnsiTheme="minorBidi"/>
                <w:sz w:val="24"/>
                <w:szCs w:val="24"/>
              </w:rPr>
              <w:t>Discourage the demand that fosters all forms of exploitation of persons, especially women and children, that leads to human trafficking by:</w:t>
            </w:r>
          </w:p>
          <w:p w14:paraId="1148AE9C" w14:textId="77777777" w:rsidR="00DB6FF1" w:rsidRPr="004B274B" w:rsidRDefault="00A0618C" w:rsidP="001128AE">
            <w:pPr>
              <w:pStyle w:val="ListParagraph"/>
              <w:numPr>
                <w:ilvl w:val="0"/>
                <w:numId w:val="5"/>
              </w:numPr>
              <w:ind w:left="144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 xml:space="preserve">Investigating, prosecuting and convicting all perpetrators involved in the trafficking of persons, including </w:t>
            </w:r>
            <w:bookmarkStart w:id="1" w:name="_Hlk39786719"/>
            <w:r w:rsidRPr="004B274B">
              <w:rPr>
                <w:rFonts w:asciiTheme="minorBidi" w:hAnsiTheme="minorBidi"/>
                <w:sz w:val="24"/>
                <w:szCs w:val="24"/>
              </w:rPr>
              <w:t>those on the demand side</w:t>
            </w:r>
            <w:bookmarkEnd w:id="1"/>
            <w:r w:rsidRPr="004B274B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</w:tbl>
    <w:p w14:paraId="5EC64450" w14:textId="77777777" w:rsidR="00DB6FF1" w:rsidRPr="004B274B" w:rsidRDefault="00DB6FF1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7378BB9" w14:textId="6CB64A52" w:rsidR="00D20A04" w:rsidRPr="004B274B" w:rsidRDefault="000623D7" w:rsidP="001128AE">
      <w:p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 xml:space="preserve">Paragraph (27) </w:t>
      </w:r>
      <w:r w:rsidR="00A61C85" w:rsidRPr="004B274B">
        <w:rPr>
          <w:rFonts w:asciiTheme="minorBidi" w:hAnsiTheme="minorBidi"/>
          <w:sz w:val="24"/>
          <w:szCs w:val="24"/>
        </w:rPr>
        <w:t>listed</w:t>
      </w:r>
      <w:r w:rsidRPr="004B274B">
        <w:rPr>
          <w:rFonts w:asciiTheme="minorBidi" w:hAnsiTheme="minorBidi"/>
          <w:sz w:val="24"/>
          <w:szCs w:val="24"/>
        </w:rPr>
        <w:t xml:space="preserve"> a number of measures to limit all forms of exploitation of pe</w:t>
      </w:r>
      <w:r w:rsidR="00256AF5" w:rsidRPr="004B274B">
        <w:rPr>
          <w:rFonts w:asciiTheme="minorBidi" w:hAnsiTheme="minorBidi"/>
          <w:sz w:val="24"/>
          <w:szCs w:val="24"/>
        </w:rPr>
        <w:t>rsons</w:t>
      </w:r>
      <w:r w:rsidRPr="004B274B">
        <w:rPr>
          <w:rFonts w:asciiTheme="minorBidi" w:hAnsiTheme="minorBidi"/>
          <w:sz w:val="24"/>
          <w:szCs w:val="24"/>
        </w:rPr>
        <w:t xml:space="preserve">, especially women and children, which lead to human trafficking.  The Committee proposed in item (d) to investigate and hold accountable all those involved, including </w:t>
      </w:r>
      <w:r w:rsidR="00256AF5" w:rsidRPr="004B274B">
        <w:rPr>
          <w:rFonts w:asciiTheme="minorBidi" w:hAnsiTheme="minorBidi"/>
          <w:sz w:val="24"/>
          <w:szCs w:val="24"/>
        </w:rPr>
        <w:t>those on the demand side</w:t>
      </w:r>
      <w:r w:rsidRPr="004B274B">
        <w:rPr>
          <w:rFonts w:asciiTheme="minorBidi" w:hAnsiTheme="minorBidi"/>
          <w:sz w:val="24"/>
          <w:szCs w:val="24"/>
        </w:rPr>
        <w:t xml:space="preserve">, which is good to hold all parties accountable and </w:t>
      </w:r>
      <w:r w:rsidR="00256AF5" w:rsidRPr="004B274B">
        <w:rPr>
          <w:rFonts w:asciiTheme="minorBidi" w:hAnsiTheme="minorBidi"/>
          <w:sz w:val="24"/>
          <w:szCs w:val="24"/>
        </w:rPr>
        <w:t>combat</w:t>
      </w:r>
      <w:r w:rsidRPr="004B274B">
        <w:rPr>
          <w:rFonts w:asciiTheme="minorBidi" w:hAnsiTheme="minorBidi"/>
          <w:sz w:val="24"/>
          <w:szCs w:val="24"/>
        </w:rPr>
        <w:t xml:space="preserve"> </w:t>
      </w:r>
      <w:r w:rsidR="00256AF5" w:rsidRPr="004B274B">
        <w:rPr>
          <w:rFonts w:asciiTheme="minorBidi" w:hAnsiTheme="minorBidi"/>
          <w:sz w:val="24"/>
          <w:szCs w:val="24"/>
        </w:rPr>
        <w:t>impunity</w:t>
      </w:r>
      <w:r w:rsidRPr="004B274B">
        <w:rPr>
          <w:rFonts w:asciiTheme="minorBidi" w:hAnsiTheme="minorBidi"/>
          <w:sz w:val="24"/>
          <w:szCs w:val="24"/>
        </w:rPr>
        <w:t xml:space="preserve">.  However, in practice, the </w:t>
      </w:r>
      <w:r w:rsidR="00256AF5" w:rsidRPr="004B274B">
        <w:rPr>
          <w:rFonts w:asciiTheme="minorBidi" w:hAnsiTheme="minorBidi"/>
          <w:sz w:val="24"/>
          <w:szCs w:val="24"/>
        </w:rPr>
        <w:t>application for</w:t>
      </w:r>
      <w:r w:rsidRPr="004B274B">
        <w:rPr>
          <w:rFonts w:asciiTheme="minorBidi" w:hAnsiTheme="minorBidi"/>
          <w:sz w:val="24"/>
          <w:szCs w:val="24"/>
        </w:rPr>
        <w:t xml:space="preserve"> domestic labor may involve </w:t>
      </w:r>
      <w:r w:rsidR="00FF179D" w:rsidRPr="004B274B">
        <w:rPr>
          <w:rFonts w:asciiTheme="minorBidi" w:hAnsiTheme="minorBidi"/>
          <w:sz w:val="24"/>
          <w:szCs w:val="24"/>
        </w:rPr>
        <w:t>suspected act</w:t>
      </w:r>
      <w:r w:rsidRPr="004B274B">
        <w:rPr>
          <w:rFonts w:asciiTheme="minorBidi" w:hAnsiTheme="minorBidi"/>
          <w:sz w:val="24"/>
          <w:szCs w:val="24"/>
        </w:rPr>
        <w:t xml:space="preserve"> of trafficking in persons, and domestic labor suppliers or employment agents </w:t>
      </w:r>
      <w:r w:rsidRPr="004B274B">
        <w:rPr>
          <w:rFonts w:asciiTheme="minorBidi" w:hAnsiTheme="minorBidi"/>
          <w:sz w:val="24"/>
          <w:szCs w:val="24"/>
        </w:rPr>
        <w:lastRenderedPageBreak/>
        <w:t>(recruitment agencies for domestic labor) might be involved in such crime without the knowledge of the service</w:t>
      </w:r>
      <w:r w:rsidR="00FF179D" w:rsidRPr="004B274B">
        <w:rPr>
          <w:rFonts w:asciiTheme="minorBidi" w:hAnsiTheme="minorBidi"/>
          <w:sz w:val="24"/>
          <w:szCs w:val="24"/>
        </w:rPr>
        <w:t xml:space="preserve"> applicant</w:t>
      </w:r>
      <w:r w:rsidRPr="004B274B">
        <w:rPr>
          <w:rFonts w:asciiTheme="minorBidi" w:hAnsiTheme="minorBid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763" w:rsidRPr="004B274B" w14:paraId="545CB41E" w14:textId="77777777" w:rsidTr="008E5558">
        <w:tc>
          <w:tcPr>
            <w:tcW w:w="9350" w:type="dxa"/>
            <w:shd w:val="clear" w:color="auto" w:fill="EAF1DD" w:themeFill="accent3" w:themeFillTint="33"/>
          </w:tcPr>
          <w:p w14:paraId="28F8302B" w14:textId="65E69960" w:rsidR="00BA3763" w:rsidRPr="004B274B" w:rsidRDefault="00BA3763" w:rsidP="001128A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 xml:space="preserve">Accordingly, we suggest adding the </w:t>
            </w:r>
            <w:r w:rsidR="00FF179D" w:rsidRPr="004B274B">
              <w:rPr>
                <w:rFonts w:asciiTheme="minorBidi" w:hAnsiTheme="minorBidi"/>
                <w:sz w:val="24"/>
                <w:szCs w:val="24"/>
              </w:rPr>
              <w:t>phrase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 “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on the condition that they </w:t>
            </w:r>
            <w:r w:rsidR="00F43210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have prior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knowledge</w:t>
            </w:r>
            <w:r w:rsidR="001259AF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223F8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of 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the crime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”, so as not to hold the service applicant accountable </w:t>
            </w:r>
            <w:r w:rsidR="00F43210" w:rsidRPr="004B274B">
              <w:rPr>
                <w:rFonts w:asciiTheme="minorBidi" w:hAnsiTheme="minorBidi"/>
                <w:sz w:val="24"/>
                <w:szCs w:val="24"/>
              </w:rPr>
              <w:t>despite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F43210" w:rsidRPr="004B274B">
              <w:rPr>
                <w:rFonts w:asciiTheme="minorBidi" w:hAnsiTheme="minorBidi"/>
                <w:sz w:val="24"/>
                <w:szCs w:val="24"/>
              </w:rPr>
              <w:t xml:space="preserve">them 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being </w:t>
            </w:r>
            <w:r w:rsidR="00F43210" w:rsidRPr="004B274B">
              <w:rPr>
                <w:rFonts w:asciiTheme="minorBidi" w:hAnsiTheme="minorBidi"/>
                <w:sz w:val="24"/>
                <w:szCs w:val="24"/>
              </w:rPr>
              <w:t>unaware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F43210" w:rsidRPr="004B274B">
              <w:rPr>
                <w:rFonts w:asciiTheme="minorBidi" w:hAnsiTheme="minorBidi"/>
                <w:sz w:val="24"/>
                <w:szCs w:val="24"/>
              </w:rPr>
              <w:t>that they are victims of a</w:t>
            </w:r>
            <w:r w:rsidRPr="004B274B">
              <w:rPr>
                <w:rFonts w:asciiTheme="minorBidi" w:hAnsiTheme="minorBidi"/>
                <w:sz w:val="24"/>
                <w:szCs w:val="24"/>
              </w:rPr>
              <w:t xml:space="preserve"> crime of trafficking in persons.</w:t>
            </w:r>
          </w:p>
        </w:tc>
      </w:tr>
    </w:tbl>
    <w:p w14:paraId="0376BC38" w14:textId="47B0417E" w:rsidR="00BA3763" w:rsidRPr="004B274B" w:rsidRDefault="00BA3763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A93D243" w14:textId="77777777" w:rsidR="008E5558" w:rsidRDefault="008E5558" w:rsidP="001128AE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D1F513C" w14:textId="6D5CC238" w:rsidR="00BA3763" w:rsidRPr="004B274B" w:rsidRDefault="00BA3763" w:rsidP="001128AE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4B274B">
        <w:rPr>
          <w:rFonts w:asciiTheme="minorBidi" w:hAnsiTheme="minorBidi"/>
          <w:b/>
          <w:bCs/>
          <w:sz w:val="24"/>
          <w:szCs w:val="24"/>
          <w:u w:val="single"/>
        </w:rPr>
        <w:t>Third:  Paragraph (29/e):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763" w:rsidRPr="004B274B" w14:paraId="39F44C28" w14:textId="77777777" w:rsidTr="005D29B2">
        <w:tc>
          <w:tcPr>
            <w:tcW w:w="9576" w:type="dxa"/>
          </w:tcPr>
          <w:p w14:paraId="357C6109" w14:textId="77777777" w:rsidR="00BA3763" w:rsidRPr="004B274B" w:rsidRDefault="00BA3763" w:rsidP="001128AE">
            <w:pPr>
              <w:ind w:left="72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>(29)</w:t>
            </w:r>
            <w:r w:rsidRPr="004B274B">
              <w:rPr>
                <w:rFonts w:asciiTheme="minorBidi" w:hAnsiTheme="minorBidi"/>
                <w:sz w:val="24"/>
                <w:szCs w:val="24"/>
              </w:rPr>
              <w:tab/>
              <w:t>Adopt and implement comprehensive gender-sensitive anti-trafficking legislation ensuring that it:</w:t>
            </w:r>
          </w:p>
          <w:p w14:paraId="7FA36205" w14:textId="77777777" w:rsidR="00BA3763" w:rsidRPr="004B274B" w:rsidRDefault="00323AF1" w:rsidP="001128AE">
            <w:pPr>
              <w:pStyle w:val="ListParagraph"/>
              <w:numPr>
                <w:ilvl w:val="0"/>
                <w:numId w:val="5"/>
              </w:numPr>
              <w:ind w:left="144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>Includes specific provisions addressing the prevention of trafficking in women and girls and the economic and physical and psychological rehabilita</w:t>
            </w:r>
            <w:r w:rsidR="00CA3326" w:rsidRPr="004B274B">
              <w:rPr>
                <w:rFonts w:asciiTheme="minorBidi" w:hAnsiTheme="minorBidi"/>
                <w:sz w:val="24"/>
                <w:szCs w:val="24"/>
              </w:rPr>
              <w:t>tion of victims;</w:t>
            </w:r>
          </w:p>
        </w:tc>
      </w:tr>
    </w:tbl>
    <w:p w14:paraId="6C1A7B90" w14:textId="77777777" w:rsidR="00BA3763" w:rsidRPr="004B274B" w:rsidRDefault="00BA3763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F0325C5" w14:textId="2CA5C1E2" w:rsidR="00BA3763" w:rsidRPr="004B274B" w:rsidRDefault="00323AF1" w:rsidP="001128AE">
      <w:p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 xml:space="preserve">Paragraph (29) referred to the need to adopt and </w:t>
      </w:r>
      <w:r w:rsidR="00C63666" w:rsidRPr="004B274B">
        <w:rPr>
          <w:rFonts w:asciiTheme="minorBidi" w:hAnsiTheme="minorBidi"/>
          <w:sz w:val="24"/>
          <w:szCs w:val="24"/>
        </w:rPr>
        <w:t>implement a</w:t>
      </w:r>
      <w:r w:rsidR="00F43210" w:rsidRPr="004B274B">
        <w:rPr>
          <w:rFonts w:asciiTheme="minorBidi" w:hAnsiTheme="minorBidi"/>
          <w:sz w:val="24"/>
          <w:szCs w:val="24"/>
        </w:rPr>
        <w:t xml:space="preserve"> </w:t>
      </w:r>
      <w:r w:rsidRPr="004B274B">
        <w:rPr>
          <w:rFonts w:asciiTheme="minorBidi" w:hAnsiTheme="minorBidi"/>
          <w:sz w:val="24"/>
          <w:szCs w:val="24"/>
        </w:rPr>
        <w:t xml:space="preserve">comprehensive legislation to combat human trafficking that takes into account gender </w:t>
      </w:r>
      <w:r w:rsidR="00F43210" w:rsidRPr="004B274B">
        <w:rPr>
          <w:rFonts w:asciiTheme="minorBidi" w:hAnsiTheme="minorBidi"/>
          <w:sz w:val="24"/>
          <w:szCs w:val="24"/>
        </w:rPr>
        <w:t>considerations</w:t>
      </w:r>
      <w:r w:rsidRPr="004B274B">
        <w:rPr>
          <w:rFonts w:asciiTheme="minorBidi" w:hAnsiTheme="minorBidi"/>
          <w:sz w:val="24"/>
          <w:szCs w:val="24"/>
        </w:rPr>
        <w:t xml:space="preserve"> and guarantees a range of matters, including what is </w:t>
      </w:r>
      <w:r w:rsidR="00F43210" w:rsidRPr="004B274B">
        <w:rPr>
          <w:rFonts w:asciiTheme="minorBidi" w:hAnsiTheme="minorBidi"/>
          <w:sz w:val="24"/>
          <w:szCs w:val="24"/>
        </w:rPr>
        <w:t>referred to</w:t>
      </w:r>
      <w:r w:rsidRPr="004B274B">
        <w:rPr>
          <w:rFonts w:asciiTheme="minorBidi" w:hAnsiTheme="minorBidi"/>
          <w:sz w:val="24"/>
          <w:szCs w:val="24"/>
        </w:rPr>
        <w:t xml:space="preserve"> in item (</w:t>
      </w:r>
      <w:r w:rsidR="00F30875" w:rsidRPr="004B274B">
        <w:rPr>
          <w:rFonts w:asciiTheme="minorBidi" w:hAnsiTheme="minorBidi"/>
          <w:sz w:val="24"/>
          <w:szCs w:val="24"/>
        </w:rPr>
        <w:t>e</w:t>
      </w:r>
      <w:r w:rsidRPr="004B274B">
        <w:rPr>
          <w:rFonts w:asciiTheme="minorBidi" w:hAnsiTheme="minorBidi"/>
          <w:sz w:val="24"/>
          <w:szCs w:val="24"/>
        </w:rPr>
        <w:t>)</w:t>
      </w:r>
      <w:r w:rsidR="00D849D6" w:rsidRPr="004B274B">
        <w:rPr>
          <w:rFonts w:asciiTheme="minorBidi" w:hAnsiTheme="minorBidi"/>
          <w:sz w:val="24"/>
          <w:szCs w:val="24"/>
        </w:rPr>
        <w:t xml:space="preserve"> stating</w:t>
      </w:r>
      <w:r w:rsidRPr="004B274B">
        <w:rPr>
          <w:rFonts w:asciiTheme="minorBidi" w:hAnsiTheme="minorBidi"/>
          <w:sz w:val="24"/>
          <w:szCs w:val="24"/>
        </w:rPr>
        <w:t xml:space="preserve"> </w:t>
      </w:r>
      <w:r w:rsidR="00F43210" w:rsidRPr="004B274B">
        <w:rPr>
          <w:rFonts w:asciiTheme="minorBidi" w:hAnsiTheme="minorBidi"/>
          <w:sz w:val="24"/>
          <w:szCs w:val="24"/>
        </w:rPr>
        <w:t xml:space="preserve">that it should include </w:t>
      </w:r>
      <w:r w:rsidRPr="004B274B">
        <w:rPr>
          <w:rFonts w:asciiTheme="minorBidi" w:hAnsiTheme="minorBidi"/>
          <w:sz w:val="24"/>
          <w:szCs w:val="24"/>
        </w:rPr>
        <w:t xml:space="preserve">specific provisions addressing the prevention of trafficking in women and girls and the </w:t>
      </w:r>
      <w:r w:rsidR="00DD5B6F" w:rsidRPr="004B274B">
        <w:rPr>
          <w:rFonts w:asciiTheme="minorBidi" w:hAnsiTheme="minorBidi"/>
          <w:sz w:val="24"/>
          <w:szCs w:val="24"/>
        </w:rPr>
        <w:t>economic, physical</w:t>
      </w:r>
      <w:r w:rsidRPr="004B274B">
        <w:rPr>
          <w:rFonts w:asciiTheme="minorBidi" w:hAnsiTheme="minorBidi"/>
          <w:sz w:val="24"/>
          <w:szCs w:val="24"/>
        </w:rPr>
        <w:t xml:space="preserve"> and psychological rehabilitation of victims.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49D6" w:rsidRPr="004B274B" w14:paraId="388C8CAA" w14:textId="77777777" w:rsidTr="008E5558">
        <w:tc>
          <w:tcPr>
            <w:tcW w:w="9350" w:type="dxa"/>
            <w:shd w:val="clear" w:color="auto" w:fill="EAF1DD" w:themeFill="accent3" w:themeFillTint="33"/>
          </w:tcPr>
          <w:p w14:paraId="46CCC41E" w14:textId="77777777" w:rsidR="00D849D6" w:rsidRPr="004B274B" w:rsidRDefault="00D849D6" w:rsidP="001128A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>Accordingly, we suggest adding the statement “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and granting them fair compensation for the harm they incurred</w:t>
            </w:r>
            <w:r w:rsidRPr="004B274B">
              <w:rPr>
                <w:rFonts w:asciiTheme="minorBidi" w:hAnsiTheme="minorBidi"/>
                <w:sz w:val="24"/>
                <w:szCs w:val="24"/>
              </w:rPr>
              <w:t>”.</w:t>
            </w:r>
          </w:p>
        </w:tc>
      </w:tr>
    </w:tbl>
    <w:p w14:paraId="02FD2077" w14:textId="77777777" w:rsidR="00D849D6" w:rsidRPr="004B274B" w:rsidRDefault="00D849D6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ar-BH"/>
        </w:rPr>
      </w:pPr>
    </w:p>
    <w:p w14:paraId="35BFD454" w14:textId="77777777" w:rsidR="001128AE" w:rsidRPr="004B274B" w:rsidRDefault="001128AE" w:rsidP="001128AE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43D32C61" w14:textId="335DEFA8" w:rsidR="008C7742" w:rsidRPr="004B274B" w:rsidRDefault="008C7742" w:rsidP="001128AE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4B274B">
        <w:rPr>
          <w:rFonts w:asciiTheme="minorBidi" w:hAnsiTheme="minorBidi"/>
          <w:b/>
          <w:bCs/>
          <w:sz w:val="24"/>
          <w:szCs w:val="24"/>
          <w:u w:val="single"/>
        </w:rPr>
        <w:t>Fourth:  Paragraph (45/d):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7742" w:rsidRPr="004B274B" w14:paraId="4F57415E" w14:textId="77777777" w:rsidTr="008E5558">
        <w:tc>
          <w:tcPr>
            <w:tcW w:w="9350" w:type="dxa"/>
          </w:tcPr>
          <w:p w14:paraId="175A5318" w14:textId="77777777" w:rsidR="008C7742" w:rsidRPr="004B274B" w:rsidRDefault="008C7742" w:rsidP="001128AE">
            <w:pPr>
              <w:ind w:left="72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>(45)</w:t>
            </w:r>
            <w:r w:rsidRPr="004B274B">
              <w:rPr>
                <w:rFonts w:asciiTheme="minorBidi" w:hAnsiTheme="minorBidi"/>
                <w:sz w:val="24"/>
                <w:szCs w:val="24"/>
              </w:rPr>
              <w:tab/>
              <w:t>Ensure access to asylum procedures:</w:t>
            </w:r>
          </w:p>
          <w:p w14:paraId="7F327FA1" w14:textId="77777777" w:rsidR="008C7742" w:rsidRPr="004B274B" w:rsidRDefault="008C7742" w:rsidP="001128AE">
            <w:pPr>
              <w:pStyle w:val="ListParagraph"/>
              <w:numPr>
                <w:ilvl w:val="0"/>
                <w:numId w:val="7"/>
              </w:numPr>
              <w:ind w:left="144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>Provide resources to support asylum claimants</w:t>
            </w:r>
            <w:r w:rsidR="00CA3326" w:rsidRPr="004B274B">
              <w:rPr>
                <w:rFonts w:asciiTheme="minorBidi" w:hAnsiTheme="minorBidi"/>
                <w:sz w:val="24"/>
                <w:szCs w:val="24"/>
              </w:rPr>
              <w:t xml:space="preserve"> during the application process;</w:t>
            </w:r>
          </w:p>
        </w:tc>
      </w:tr>
    </w:tbl>
    <w:p w14:paraId="57159BA3" w14:textId="77777777" w:rsidR="008E5558" w:rsidRDefault="008E5558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617392FB" w14:textId="53A29670" w:rsidR="008C7742" w:rsidRDefault="008E5558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4B274B">
        <w:rPr>
          <w:rFonts w:asciiTheme="minorBidi" w:hAnsiTheme="minorBidi"/>
          <w:sz w:val="24"/>
          <w:szCs w:val="24"/>
        </w:rPr>
        <w:t>Article (45) stated how trafficked women and girls may have access to asylum through a number of points.  Item (d) stipulated the provision of resources to support asylum claimants during the application process.</w:t>
      </w:r>
    </w:p>
    <w:p w14:paraId="1F7237FB" w14:textId="77777777" w:rsidR="008E5558" w:rsidRPr="004B274B" w:rsidRDefault="008E5558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3326" w:rsidRPr="004B274B" w14:paraId="40691FC6" w14:textId="77777777" w:rsidTr="008E555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A8D3D" w14:textId="275FD953" w:rsidR="00CA3326" w:rsidRPr="004B274B" w:rsidRDefault="00CA3326" w:rsidP="001128AE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lastRenderedPageBreak/>
              <w:t xml:space="preserve">  Accordingly, </w:t>
            </w:r>
            <w:r w:rsidRPr="008E5558">
              <w:rPr>
                <w:rFonts w:asciiTheme="minorBidi" w:hAnsiTheme="minorBidi"/>
                <w:sz w:val="24"/>
                <w:szCs w:val="24"/>
              </w:rPr>
              <w:t xml:space="preserve">we suggest </w:t>
            </w:r>
            <w:r w:rsidR="0018513D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a clarification of the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resources to be provided to support asylum </w:t>
            </w:r>
            <w:r w:rsidR="0018513D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seekers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(i.e. </w:t>
            </w:r>
            <w:r w:rsidR="0018513D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providing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brief explanation of the nature and type of resources to be provided.</w:t>
            </w:r>
          </w:p>
        </w:tc>
      </w:tr>
    </w:tbl>
    <w:p w14:paraId="663F2EFA" w14:textId="77777777" w:rsidR="008E5558" w:rsidRDefault="008E5558" w:rsidP="001128AE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B9B02ED" w14:textId="77777777" w:rsidR="006F0457" w:rsidRDefault="006F0457" w:rsidP="001128AE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15C781C5" w14:textId="50C25DF3" w:rsidR="00CA3326" w:rsidRPr="004B274B" w:rsidRDefault="00CA3326" w:rsidP="001128AE">
      <w:pPr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4B274B">
        <w:rPr>
          <w:rFonts w:asciiTheme="minorBidi" w:hAnsiTheme="minorBidi"/>
          <w:b/>
          <w:bCs/>
          <w:sz w:val="24"/>
          <w:szCs w:val="24"/>
          <w:u w:val="single"/>
        </w:rPr>
        <w:t>Fifth:  Paragraph (61/e):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3326" w:rsidRPr="004B274B" w14:paraId="7952DB01" w14:textId="77777777" w:rsidTr="005D29B2">
        <w:tc>
          <w:tcPr>
            <w:tcW w:w="9576" w:type="dxa"/>
          </w:tcPr>
          <w:p w14:paraId="21CA2FBF" w14:textId="77777777" w:rsidR="00CA3326" w:rsidRPr="004B274B" w:rsidRDefault="00CA3326" w:rsidP="001128AE">
            <w:pPr>
              <w:ind w:left="72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>(61)</w:t>
            </w:r>
            <w:r w:rsidRPr="004B274B">
              <w:rPr>
                <w:rFonts w:asciiTheme="minorBidi" w:hAnsiTheme="minorBidi"/>
                <w:sz w:val="24"/>
                <w:szCs w:val="24"/>
              </w:rPr>
              <w:tab/>
              <w:t>Review visa regimes:</w:t>
            </w:r>
          </w:p>
          <w:p w14:paraId="6496694F" w14:textId="694DD962" w:rsidR="00CA3326" w:rsidRPr="004B274B" w:rsidRDefault="00CA3326" w:rsidP="001128AE">
            <w:pPr>
              <w:pStyle w:val="ListParagraph"/>
              <w:numPr>
                <w:ilvl w:val="0"/>
                <w:numId w:val="7"/>
              </w:numPr>
              <w:ind w:left="144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4B274B">
              <w:rPr>
                <w:rFonts w:asciiTheme="minorBidi" w:hAnsiTheme="minorBidi"/>
                <w:sz w:val="24"/>
                <w:szCs w:val="24"/>
              </w:rPr>
              <w:t xml:space="preserve">Repeal requirements for women migrant workers to undergo mandatory testing for pregnancy and sexually transmitted diseases resulting in deportation on the grounds of pregnancy </w:t>
            </w:r>
            <w:r w:rsidR="000F609E" w:rsidRPr="004B274B">
              <w:rPr>
                <w:rFonts w:asciiTheme="minorBidi" w:hAnsiTheme="minorBidi"/>
                <w:sz w:val="24"/>
                <w:szCs w:val="24"/>
              </w:rPr>
              <w:t xml:space="preserve">or </w:t>
            </w:r>
            <w:r w:rsidRPr="004B274B">
              <w:rPr>
                <w:rFonts w:asciiTheme="minorBidi" w:hAnsiTheme="minorBidi"/>
                <w:sz w:val="24"/>
                <w:szCs w:val="24"/>
              </w:rPr>
              <w:t>diagnosis of HIV.</w:t>
            </w:r>
          </w:p>
        </w:tc>
      </w:tr>
    </w:tbl>
    <w:p w14:paraId="7AA8B75C" w14:textId="77777777" w:rsidR="00CA3326" w:rsidRPr="004B274B" w:rsidRDefault="00CA3326" w:rsidP="001128A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8F4A52" w14:textId="1A5B881D" w:rsidR="00D20A04" w:rsidRPr="004B274B" w:rsidRDefault="00D01C19" w:rsidP="001128AE">
      <w:pPr>
        <w:jc w:val="both"/>
        <w:rPr>
          <w:rFonts w:asciiTheme="minorBidi" w:hAnsiTheme="minorBidi"/>
          <w:sz w:val="24"/>
          <w:szCs w:val="24"/>
        </w:rPr>
      </w:pPr>
      <w:r w:rsidRPr="004B274B">
        <w:rPr>
          <w:rFonts w:asciiTheme="minorBidi" w:hAnsiTheme="minorBidi"/>
          <w:sz w:val="24"/>
          <w:szCs w:val="24"/>
        </w:rPr>
        <w:t xml:space="preserve">The Committee </w:t>
      </w:r>
      <w:r w:rsidR="0018513D" w:rsidRPr="004B274B">
        <w:rPr>
          <w:rFonts w:asciiTheme="minorBidi" w:hAnsiTheme="minorBidi"/>
          <w:sz w:val="24"/>
          <w:szCs w:val="24"/>
        </w:rPr>
        <w:t>asked</w:t>
      </w:r>
      <w:r w:rsidRPr="004B274B">
        <w:rPr>
          <w:rFonts w:asciiTheme="minorBidi" w:hAnsiTheme="minorBidi"/>
          <w:sz w:val="24"/>
          <w:szCs w:val="24"/>
        </w:rPr>
        <w:t xml:space="preserve"> in paragraph (61/e)</w:t>
      </w:r>
      <w:r w:rsidR="0018513D" w:rsidRPr="004B274B">
        <w:rPr>
          <w:rFonts w:asciiTheme="minorBidi" w:hAnsiTheme="minorBidi"/>
          <w:sz w:val="24"/>
          <w:szCs w:val="24"/>
        </w:rPr>
        <w:t>, which deals</w:t>
      </w:r>
      <w:r w:rsidRPr="004B274B">
        <w:rPr>
          <w:rFonts w:asciiTheme="minorBidi" w:hAnsiTheme="minorBidi"/>
          <w:sz w:val="24"/>
          <w:szCs w:val="24"/>
        </w:rPr>
        <w:t xml:space="preserve"> </w:t>
      </w:r>
      <w:r w:rsidR="0018513D" w:rsidRPr="004B274B">
        <w:rPr>
          <w:rFonts w:asciiTheme="minorBidi" w:hAnsiTheme="minorBidi"/>
          <w:sz w:val="24"/>
          <w:szCs w:val="24"/>
        </w:rPr>
        <w:t>with</w:t>
      </w:r>
      <w:r w:rsidRPr="004B274B">
        <w:rPr>
          <w:rFonts w:asciiTheme="minorBidi" w:hAnsiTheme="minorBidi"/>
          <w:sz w:val="24"/>
          <w:szCs w:val="24"/>
        </w:rPr>
        <w:t xml:space="preserve"> the review of visa regimes</w:t>
      </w:r>
      <w:r w:rsidR="0018513D" w:rsidRPr="004B274B">
        <w:rPr>
          <w:rFonts w:asciiTheme="minorBidi" w:hAnsiTheme="minorBidi"/>
          <w:sz w:val="24"/>
          <w:szCs w:val="24"/>
        </w:rPr>
        <w:t>,</w:t>
      </w:r>
      <w:r w:rsidRPr="004B274B">
        <w:rPr>
          <w:rFonts w:asciiTheme="minorBidi" w:hAnsiTheme="minorBidi"/>
          <w:sz w:val="24"/>
          <w:szCs w:val="24"/>
        </w:rPr>
        <w:t xml:space="preserve"> to repeal requirements for women migrant workers to undergo mandatory testing for pregnancy and sexually transmitted diseases resulting in deportation on the grounds of pregnancy </w:t>
      </w:r>
      <w:r w:rsidR="00DA3781" w:rsidRPr="004B274B">
        <w:rPr>
          <w:rFonts w:asciiTheme="minorBidi" w:hAnsiTheme="minorBidi"/>
          <w:sz w:val="24"/>
          <w:szCs w:val="24"/>
        </w:rPr>
        <w:t>or</w:t>
      </w:r>
      <w:r w:rsidRPr="004B274B">
        <w:rPr>
          <w:rFonts w:asciiTheme="minorBidi" w:hAnsiTheme="minorBidi"/>
          <w:sz w:val="24"/>
          <w:szCs w:val="24"/>
        </w:rPr>
        <w:t xml:space="preserve"> diagnosis of human immunodeficiency virus (HIV).  However, repealing the requirements for women migrant workers to undergo mandatory testing for pregnancy and sexually transmitted diseases may </w:t>
      </w:r>
      <w:r w:rsidR="00FF5F7D" w:rsidRPr="004B274B">
        <w:rPr>
          <w:rFonts w:asciiTheme="minorBidi" w:hAnsiTheme="minorBidi"/>
          <w:sz w:val="24"/>
          <w:szCs w:val="24"/>
        </w:rPr>
        <w:t xml:space="preserve">pose a threat to the health and safety of others, especially with regard to the diagnosis of HIV infection in case an infected woman is employed, </w:t>
      </w:r>
      <w:r w:rsidR="00DA3781" w:rsidRPr="004B274B">
        <w:rPr>
          <w:rFonts w:asciiTheme="minorBidi" w:hAnsiTheme="minorBidi"/>
          <w:sz w:val="24"/>
          <w:szCs w:val="24"/>
        </w:rPr>
        <w:t>for instance</w:t>
      </w:r>
      <w:r w:rsidR="00FF5F7D" w:rsidRPr="004B274B">
        <w:rPr>
          <w:rFonts w:asciiTheme="minorBidi" w:hAnsiTheme="minorBidi"/>
          <w:sz w:val="24"/>
          <w:szCs w:val="24"/>
        </w:rPr>
        <w:t>, as a nurse or domestic worker.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F7D" w:rsidRPr="004B274B" w14:paraId="3945DE10" w14:textId="77777777" w:rsidTr="008E5558">
        <w:tc>
          <w:tcPr>
            <w:tcW w:w="9350" w:type="dxa"/>
            <w:shd w:val="clear" w:color="auto" w:fill="EAF1DD" w:themeFill="accent3" w:themeFillTint="33"/>
          </w:tcPr>
          <w:p w14:paraId="5522F60B" w14:textId="282AFF1D" w:rsidR="00FF5F7D" w:rsidRPr="004B274B" w:rsidRDefault="00FF5F7D" w:rsidP="001128AE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8E5558">
              <w:rPr>
                <w:rFonts w:asciiTheme="minorBidi" w:hAnsiTheme="minorBidi"/>
                <w:sz w:val="24"/>
                <w:szCs w:val="24"/>
              </w:rPr>
              <w:t xml:space="preserve">Accordingly, we suggest </w:t>
            </w:r>
            <w:r w:rsidR="003E02B3" w:rsidRPr="008E5558">
              <w:rPr>
                <w:rFonts w:asciiTheme="minorBidi" w:hAnsiTheme="minorBidi"/>
                <w:sz w:val="24"/>
                <w:szCs w:val="24"/>
              </w:rPr>
              <w:t>that</w:t>
            </w:r>
            <w:r w:rsidR="003E02B3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mandatory health 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check</w:t>
            </w:r>
            <w:r w:rsidR="003E02B3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 should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E02B3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remain unchanged 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while providing </w:t>
            </w:r>
            <w:r w:rsidR="003E02B3"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women migrant workers with</w:t>
            </w:r>
            <w:r w:rsidRPr="004B274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the necessary healthcare if they are employed and informing the employer of their health status.</w:t>
            </w:r>
          </w:p>
        </w:tc>
      </w:tr>
    </w:tbl>
    <w:p w14:paraId="4864CC07" w14:textId="77777777" w:rsidR="00FF5F7D" w:rsidRPr="004B274B" w:rsidRDefault="00FF5F7D" w:rsidP="001128AE">
      <w:pPr>
        <w:jc w:val="both"/>
        <w:rPr>
          <w:rFonts w:asciiTheme="minorBidi" w:hAnsiTheme="minorBidi"/>
          <w:sz w:val="24"/>
          <w:szCs w:val="24"/>
        </w:rPr>
      </w:pPr>
    </w:p>
    <w:p w14:paraId="5DF3F591" w14:textId="30228811" w:rsidR="00D20A04" w:rsidRPr="004B274B" w:rsidRDefault="00D20A04" w:rsidP="001128AE">
      <w:pPr>
        <w:jc w:val="both"/>
        <w:rPr>
          <w:rFonts w:asciiTheme="minorBidi" w:hAnsiTheme="minorBidi"/>
          <w:sz w:val="24"/>
          <w:szCs w:val="24"/>
        </w:rPr>
      </w:pPr>
    </w:p>
    <w:p w14:paraId="37CAC2DA" w14:textId="77777777" w:rsidR="000F609E" w:rsidRPr="004B274B" w:rsidRDefault="000F609E" w:rsidP="001128AE">
      <w:pPr>
        <w:jc w:val="both"/>
        <w:rPr>
          <w:rFonts w:asciiTheme="minorBidi" w:hAnsiTheme="minorBidi"/>
          <w:sz w:val="24"/>
          <w:szCs w:val="24"/>
        </w:rPr>
      </w:pPr>
    </w:p>
    <w:sectPr w:rsidR="000F609E" w:rsidRPr="004B274B" w:rsidSect="004B274B">
      <w:headerReference w:type="default" r:id="rId8"/>
      <w:footerReference w:type="default" r:id="rId9"/>
      <w:pgSz w:w="12240" w:h="15840"/>
      <w:pgMar w:top="2836" w:right="1440" w:bottom="24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CAE3" w14:textId="77777777" w:rsidR="0086154B" w:rsidRDefault="0086154B" w:rsidP="006936E4">
      <w:pPr>
        <w:spacing w:after="0" w:line="240" w:lineRule="auto"/>
      </w:pPr>
      <w:r>
        <w:separator/>
      </w:r>
    </w:p>
  </w:endnote>
  <w:endnote w:type="continuationSeparator" w:id="0">
    <w:p w14:paraId="71A45B4C" w14:textId="77777777" w:rsidR="0086154B" w:rsidRDefault="0086154B" w:rsidP="0069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40BDB" w14:textId="56138E8D" w:rsidR="006936E4" w:rsidRDefault="004B274B">
        <w:pPr>
          <w:pStyle w:val="Footer"/>
          <w:jc w:val="center"/>
        </w:pPr>
        <w:r w:rsidRPr="004B274B">
          <w:rPr>
            <w:noProof/>
          </w:rPr>
          <w:drawing>
            <wp:anchor distT="0" distB="0" distL="114300" distR="114300" simplePos="0" relativeHeight="251664384" behindDoc="0" locked="0" layoutInCell="1" allowOverlap="1" wp14:anchorId="00EA77E0" wp14:editId="0FA25C4F">
              <wp:simplePos x="0" y="0"/>
              <wp:positionH relativeFrom="column">
                <wp:posOffset>4271010</wp:posOffset>
              </wp:positionH>
              <wp:positionV relativeFrom="paragraph">
                <wp:posOffset>-309880</wp:posOffset>
              </wp:positionV>
              <wp:extent cx="2289175" cy="642620"/>
              <wp:effectExtent l="0" t="0" r="0" b="5080"/>
              <wp:wrapNone/>
              <wp:docPr id="37" name="Picture 37" descr="C:\Users\ygs\Desktop\NIHRAddress_letterHea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ygs\Desktop\NIHRAddress_letterHea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917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274B">
          <w:rPr>
            <w:noProof/>
          </w:rPr>
          <w:drawing>
            <wp:anchor distT="0" distB="0" distL="114300" distR="114300" simplePos="0" relativeHeight="251663360" behindDoc="0" locked="0" layoutInCell="1" allowOverlap="1" wp14:anchorId="5981A6C0" wp14:editId="28F037FE">
              <wp:simplePos x="0" y="0"/>
              <wp:positionH relativeFrom="column">
                <wp:posOffset>-178130</wp:posOffset>
              </wp:positionH>
              <wp:positionV relativeFrom="paragraph">
                <wp:posOffset>-107464</wp:posOffset>
              </wp:positionV>
              <wp:extent cx="812285" cy="301741"/>
              <wp:effectExtent l="0" t="0" r="6985" b="3175"/>
              <wp:wrapNone/>
              <wp:docPr id="38" name="Picture 38" descr="C:\Users\ygs\Desktop\Untitle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ygs\Desktop\Untitled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285" cy="3017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936E4">
          <w:fldChar w:fldCharType="begin"/>
        </w:r>
        <w:r w:rsidR="006936E4">
          <w:instrText xml:space="preserve"> PAGE   \* MERGEFORMAT </w:instrText>
        </w:r>
        <w:r w:rsidR="006936E4">
          <w:fldChar w:fldCharType="separate"/>
        </w:r>
        <w:r w:rsidR="006F0457">
          <w:rPr>
            <w:noProof/>
          </w:rPr>
          <w:t>4</w:t>
        </w:r>
        <w:r w:rsidR="006936E4">
          <w:rPr>
            <w:noProof/>
          </w:rPr>
          <w:fldChar w:fldCharType="end"/>
        </w:r>
      </w:p>
    </w:sdtContent>
  </w:sdt>
  <w:p w14:paraId="4C67BE67" w14:textId="77777777" w:rsidR="006936E4" w:rsidRDefault="0069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82864" w14:textId="77777777" w:rsidR="0086154B" w:rsidRDefault="0086154B" w:rsidP="006936E4">
      <w:pPr>
        <w:spacing w:after="0" w:line="240" w:lineRule="auto"/>
      </w:pPr>
      <w:r>
        <w:separator/>
      </w:r>
    </w:p>
  </w:footnote>
  <w:footnote w:type="continuationSeparator" w:id="0">
    <w:p w14:paraId="70E2FD77" w14:textId="77777777" w:rsidR="0086154B" w:rsidRDefault="0086154B" w:rsidP="006936E4">
      <w:pPr>
        <w:spacing w:after="0" w:line="240" w:lineRule="auto"/>
      </w:pPr>
      <w:r>
        <w:continuationSeparator/>
      </w:r>
    </w:p>
  </w:footnote>
  <w:footnote w:id="1">
    <w:p w14:paraId="7BFCE5BA" w14:textId="77777777" w:rsidR="00925EEB" w:rsidRDefault="00925E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4FBA">
        <w:rPr>
          <w:rFonts w:ascii="Times New Roman" w:hAnsi="Times New Roman" w:cs="Times New Roman"/>
        </w:rPr>
        <w:t xml:space="preserve">para. 66, </w:t>
      </w:r>
      <w:r w:rsidRPr="00C24FBA">
        <w:rPr>
          <w:rFonts w:ascii="Times New Roman" w:hAnsi="Times New Roman" w:cs="Times New Roman"/>
          <w:color w:val="000000"/>
        </w:rPr>
        <w:t xml:space="preserve">CEDAW/C/SAU/CO/3-4; para. </w:t>
      </w:r>
      <w:r w:rsidRPr="00C24FBA">
        <w:rPr>
          <w:rFonts w:ascii="Times New Roman" w:hAnsi="Times New Roman" w:cs="Times New Roman"/>
        </w:rPr>
        <w:t xml:space="preserve">29(a), </w:t>
      </w:r>
      <w:r w:rsidRPr="00C24FBA">
        <w:rPr>
          <w:rFonts w:ascii="Times New Roman" w:hAnsi="Times New Roman" w:cs="Times New Roman"/>
          <w:color w:val="000000"/>
        </w:rPr>
        <w:t xml:space="preserve">CEDAW/C/CHE/CO/4-5; </w:t>
      </w:r>
      <w:r w:rsidRPr="00C24FBA">
        <w:rPr>
          <w:rFonts w:ascii="Times New Roman" w:hAnsi="Times New Roman" w:cs="Times New Roman"/>
        </w:rPr>
        <w:t xml:space="preserve">33(c), </w:t>
      </w:r>
      <w:r w:rsidRPr="00C24FBA">
        <w:rPr>
          <w:rFonts w:ascii="Times New Roman" w:hAnsi="Times New Roman" w:cs="Times New Roman"/>
          <w:color w:val="000000"/>
        </w:rPr>
        <w:t xml:space="preserve">CEDAW/C/CAN/CO/8-9; para. </w:t>
      </w:r>
      <w:r w:rsidRPr="00C24FBA">
        <w:rPr>
          <w:rFonts w:ascii="Times New Roman" w:hAnsi="Times New Roman" w:cs="Times New Roman"/>
        </w:rPr>
        <w:t xml:space="preserve">20(c), </w:t>
      </w:r>
      <w:r w:rsidRPr="00C24FBA">
        <w:rPr>
          <w:rFonts w:ascii="Times New Roman" w:hAnsi="Times New Roman" w:cs="Times New Roman"/>
          <w:color w:val="000000"/>
        </w:rPr>
        <w:t xml:space="preserve">CEDAW/C/MUS/CO/8; para. </w:t>
      </w:r>
      <w:r w:rsidRPr="00C24FBA">
        <w:rPr>
          <w:rFonts w:ascii="Times New Roman" w:hAnsi="Times New Roman" w:cs="Times New Roman"/>
        </w:rPr>
        <w:t xml:space="preserve">27(a), </w:t>
      </w:r>
      <w:r w:rsidRPr="00C24FBA">
        <w:rPr>
          <w:rFonts w:ascii="Times New Roman" w:hAnsi="Times New Roman" w:cs="Times New Roman"/>
          <w:color w:val="000000"/>
        </w:rPr>
        <w:t xml:space="preserve">CEDAW/C/NOR/CO/9; para. </w:t>
      </w:r>
      <w:r w:rsidRPr="00C24FBA">
        <w:rPr>
          <w:rFonts w:ascii="Times New Roman" w:hAnsi="Times New Roman" w:cs="Times New Roman"/>
        </w:rPr>
        <w:t xml:space="preserve">29(c), </w:t>
      </w:r>
      <w:r w:rsidRPr="00C24FBA">
        <w:rPr>
          <w:rFonts w:ascii="Times New Roman" w:hAnsi="Times New Roman" w:cs="Times New Roman"/>
          <w:color w:val="000000"/>
        </w:rPr>
        <w:t xml:space="preserve">CEDAW/C/PSE/CO/1; para. </w:t>
      </w:r>
      <w:r w:rsidRPr="00C24FBA">
        <w:rPr>
          <w:rFonts w:ascii="Times New Roman" w:hAnsi="Times New Roman" w:cs="Times New Roman"/>
        </w:rPr>
        <w:t xml:space="preserve">25(c), </w:t>
      </w:r>
      <w:r w:rsidRPr="00C24FBA">
        <w:rPr>
          <w:rFonts w:ascii="Times New Roman" w:hAnsi="Times New Roman" w:cs="Times New Roman"/>
          <w:color w:val="000000"/>
        </w:rPr>
        <w:t>CEDAW/C/BRN/CO/1-2.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867E" w14:textId="6EEC873C" w:rsidR="0042603A" w:rsidRPr="00F97018" w:rsidRDefault="0042603A" w:rsidP="0042603A">
    <w:pPr>
      <w:pStyle w:val="Header"/>
      <w:bidi/>
      <w:jc w:val="center"/>
      <w:rPr>
        <w:rFonts w:cs="Sultan Medium"/>
        <w:lang w:bidi="ar-BH"/>
      </w:rPr>
    </w:pPr>
    <w:r w:rsidRPr="009266BD">
      <w:rPr>
        <w:rFonts w:cs="Sultan Medium"/>
        <w:noProof/>
        <w:rtl/>
      </w:rPr>
      <w:drawing>
        <wp:anchor distT="0" distB="0" distL="114300" distR="114300" simplePos="0" relativeHeight="251659264" behindDoc="0" locked="0" layoutInCell="1" allowOverlap="1" wp14:anchorId="0F48DDDF" wp14:editId="0ABCA506">
          <wp:simplePos x="0" y="0"/>
          <wp:positionH relativeFrom="column">
            <wp:posOffset>-533202</wp:posOffset>
          </wp:positionH>
          <wp:positionV relativeFrom="paragraph">
            <wp:posOffset>-7645</wp:posOffset>
          </wp:positionV>
          <wp:extent cx="1255395" cy="827405"/>
          <wp:effectExtent l="0" t="0" r="1905" b="0"/>
          <wp:wrapNone/>
          <wp:docPr id="34" name="Picture 34" descr="C:\Users\ygs\AppData\Local\Microsoft\Windows\Temporary Internet Files\Content.Word\Pantone 293 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gs\AppData\Local\Microsoft\Windows\Temporary Internet Files\Content.Word\Pantone 293 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64B">
      <w:rPr>
        <w:rFonts w:cs="Sultan Medium"/>
        <w:noProof/>
        <w:rtl/>
      </w:rPr>
      <w:drawing>
        <wp:anchor distT="0" distB="0" distL="114300" distR="114300" simplePos="0" relativeHeight="251661312" behindDoc="0" locked="0" layoutInCell="1" allowOverlap="1" wp14:anchorId="4E7D7FA4" wp14:editId="250D215C">
          <wp:simplePos x="0" y="0"/>
          <wp:positionH relativeFrom="column">
            <wp:posOffset>1782643</wp:posOffset>
          </wp:positionH>
          <wp:positionV relativeFrom="paragraph">
            <wp:posOffset>-74930</wp:posOffset>
          </wp:positionV>
          <wp:extent cx="1241946" cy="347673"/>
          <wp:effectExtent l="0" t="0" r="0" b="0"/>
          <wp:wrapNone/>
          <wp:docPr id="35" name="Picture 35" descr="C:\Users\ygs\Desktop\10YRS_BILINGUAL_HORIZONT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gs\Desktop\10YRS_BILINGUAL_HORIZONTAL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946" cy="347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BD">
      <w:rPr>
        <w:rFonts w:cs="Sultan Medium"/>
        <w:noProof/>
        <w:rtl/>
      </w:rPr>
      <w:drawing>
        <wp:anchor distT="0" distB="0" distL="114300" distR="114300" simplePos="0" relativeHeight="251660288" behindDoc="0" locked="0" layoutInCell="1" allowOverlap="1" wp14:anchorId="04595991" wp14:editId="1F44731E">
          <wp:simplePos x="0" y="0"/>
          <wp:positionH relativeFrom="column">
            <wp:posOffset>3458292</wp:posOffset>
          </wp:positionH>
          <wp:positionV relativeFrom="paragraph">
            <wp:posOffset>-193040</wp:posOffset>
          </wp:positionV>
          <wp:extent cx="3011170" cy="1112520"/>
          <wp:effectExtent l="0" t="0" r="0" b="0"/>
          <wp:wrapNone/>
          <wp:docPr id="36" name="Picture 36" descr="C:\Users\ygs\Desktop\NIHRB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gs\Desktop\NIHRBH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B848F" w14:textId="77777777" w:rsidR="0042603A" w:rsidRDefault="00426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23C2"/>
    <w:multiLevelType w:val="hybridMultilevel"/>
    <w:tmpl w:val="F6CECBFE"/>
    <w:lvl w:ilvl="0" w:tplc="ADF63DF6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3042"/>
    <w:multiLevelType w:val="hybridMultilevel"/>
    <w:tmpl w:val="F6CECBFE"/>
    <w:lvl w:ilvl="0" w:tplc="ADF63DF6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03B23"/>
    <w:multiLevelType w:val="hybridMultilevel"/>
    <w:tmpl w:val="EFC4DE06"/>
    <w:lvl w:ilvl="0" w:tplc="009228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22878"/>
    <w:multiLevelType w:val="hybridMultilevel"/>
    <w:tmpl w:val="F6CECBFE"/>
    <w:lvl w:ilvl="0" w:tplc="ADF63DF6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1F71"/>
    <w:multiLevelType w:val="hybridMultilevel"/>
    <w:tmpl w:val="79B82E7C"/>
    <w:lvl w:ilvl="0" w:tplc="568EF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054E"/>
    <w:multiLevelType w:val="hybridMultilevel"/>
    <w:tmpl w:val="F6CECBFE"/>
    <w:lvl w:ilvl="0" w:tplc="ADF63DF6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6312"/>
    <w:multiLevelType w:val="hybridMultilevel"/>
    <w:tmpl w:val="25A6A2BC"/>
    <w:lvl w:ilvl="0" w:tplc="87A084F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36E2393"/>
    <w:multiLevelType w:val="hybridMultilevel"/>
    <w:tmpl w:val="25A6A2BC"/>
    <w:lvl w:ilvl="0" w:tplc="87A084F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356F84"/>
    <w:multiLevelType w:val="hybridMultilevel"/>
    <w:tmpl w:val="F6CECBFE"/>
    <w:lvl w:ilvl="0" w:tplc="ADF63DF6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49"/>
    <w:rsid w:val="000153B5"/>
    <w:rsid w:val="000623D7"/>
    <w:rsid w:val="000B2639"/>
    <w:rsid w:val="000F609E"/>
    <w:rsid w:val="001128AE"/>
    <w:rsid w:val="001259AF"/>
    <w:rsid w:val="00177F30"/>
    <w:rsid w:val="0018513D"/>
    <w:rsid w:val="001E2455"/>
    <w:rsid w:val="00207A2D"/>
    <w:rsid w:val="00256AF5"/>
    <w:rsid w:val="002721FF"/>
    <w:rsid w:val="002910B7"/>
    <w:rsid w:val="00323AF1"/>
    <w:rsid w:val="003325FE"/>
    <w:rsid w:val="003958D5"/>
    <w:rsid w:val="003E02B3"/>
    <w:rsid w:val="0042603A"/>
    <w:rsid w:val="00462AA8"/>
    <w:rsid w:val="004B1080"/>
    <w:rsid w:val="004B274B"/>
    <w:rsid w:val="004C6D65"/>
    <w:rsid w:val="005223F8"/>
    <w:rsid w:val="005957E1"/>
    <w:rsid w:val="00617849"/>
    <w:rsid w:val="006505E1"/>
    <w:rsid w:val="006936E4"/>
    <w:rsid w:val="006F0457"/>
    <w:rsid w:val="008270E3"/>
    <w:rsid w:val="0086154B"/>
    <w:rsid w:val="00897910"/>
    <w:rsid w:val="008A2152"/>
    <w:rsid w:val="008C7742"/>
    <w:rsid w:val="008E5558"/>
    <w:rsid w:val="00917237"/>
    <w:rsid w:val="00925EEB"/>
    <w:rsid w:val="009D1938"/>
    <w:rsid w:val="00A0618C"/>
    <w:rsid w:val="00A419C8"/>
    <w:rsid w:val="00A61C85"/>
    <w:rsid w:val="00A77F41"/>
    <w:rsid w:val="00AD44B4"/>
    <w:rsid w:val="00B910C7"/>
    <w:rsid w:val="00BA3763"/>
    <w:rsid w:val="00C30BF4"/>
    <w:rsid w:val="00C35BC5"/>
    <w:rsid w:val="00C63666"/>
    <w:rsid w:val="00C67B54"/>
    <w:rsid w:val="00C94141"/>
    <w:rsid w:val="00CA22B3"/>
    <w:rsid w:val="00CA3326"/>
    <w:rsid w:val="00D01C19"/>
    <w:rsid w:val="00D20A04"/>
    <w:rsid w:val="00D5796D"/>
    <w:rsid w:val="00D849D6"/>
    <w:rsid w:val="00DA3781"/>
    <w:rsid w:val="00DB6FF1"/>
    <w:rsid w:val="00DD5B6F"/>
    <w:rsid w:val="00E11937"/>
    <w:rsid w:val="00E130C9"/>
    <w:rsid w:val="00E134BF"/>
    <w:rsid w:val="00E55105"/>
    <w:rsid w:val="00F15AA6"/>
    <w:rsid w:val="00F23022"/>
    <w:rsid w:val="00F30875"/>
    <w:rsid w:val="00F43210"/>
    <w:rsid w:val="00FF179D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3F34"/>
  <w15:docId w15:val="{322AF28F-5F94-49F6-A379-B0C7ED53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E4"/>
  </w:style>
  <w:style w:type="paragraph" w:styleId="Footer">
    <w:name w:val="footer"/>
    <w:basedOn w:val="Normal"/>
    <w:link w:val="FooterChar"/>
    <w:uiPriority w:val="99"/>
    <w:unhideWhenUsed/>
    <w:rsid w:val="0069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E4"/>
  </w:style>
  <w:style w:type="paragraph" w:styleId="BalloonText">
    <w:name w:val="Balloon Text"/>
    <w:basedOn w:val="Normal"/>
    <w:link w:val="BalloonTextChar"/>
    <w:uiPriority w:val="99"/>
    <w:semiHidden/>
    <w:unhideWhenUsed/>
    <w:rsid w:val="00D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58D5"/>
    <w:pPr>
      <w:ind w:left="720"/>
      <w:contextualSpacing/>
    </w:pPr>
  </w:style>
  <w:style w:type="table" w:styleId="TableGrid">
    <w:name w:val="Table Grid"/>
    <w:basedOn w:val="TableNormal"/>
    <w:uiPriority w:val="59"/>
    <w:rsid w:val="001E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25E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5E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5E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E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5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17F167-CE75-4986-859F-281A2713D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B8242-C8FD-4064-83A4-3086F6FFAFC6}"/>
</file>

<file path=customXml/itemProps3.xml><?xml version="1.0" encoding="utf-8"?>
<ds:datastoreItem xmlns:ds="http://schemas.openxmlformats.org/officeDocument/2006/customXml" ds:itemID="{615F565F-833C-41CD-8F0E-F3D60042E26E}"/>
</file>

<file path=customXml/itemProps4.xml><?xml version="1.0" encoding="utf-8"?>
<ds:datastoreItem xmlns:ds="http://schemas.openxmlformats.org/officeDocument/2006/customXml" ds:itemID="{E7FB46EB-C9F2-4C11-B4C6-4A7FE88F0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Yasser Ghanim Shaheen</cp:lastModifiedBy>
  <cp:revision>11</cp:revision>
  <dcterms:created xsi:type="dcterms:W3CDTF">2020-05-10T10:20:00Z</dcterms:created>
  <dcterms:modified xsi:type="dcterms:W3CDTF">2020-05-11T07:19:00Z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