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F1" w:rsidRPr="00875E37" w:rsidRDefault="002E5CF1" w:rsidP="00B41114">
      <w:pPr>
        <w:pStyle w:val="Listenabsatz"/>
        <w:ind w:left="0"/>
        <w:rPr>
          <w:rFonts w:cstheme="minorHAnsi"/>
          <w:color w:val="808080" w:themeColor="background1" w:themeShade="80"/>
          <w:sz w:val="18"/>
          <w:szCs w:val="18"/>
          <w:lang w:val="en-GB"/>
        </w:rPr>
      </w:pPr>
      <w:r w:rsidRPr="00875E37">
        <w:rPr>
          <w:rFonts w:cstheme="minorHAnsi"/>
          <w:color w:val="808080" w:themeColor="background1" w:themeShade="80"/>
          <w:sz w:val="18"/>
          <w:szCs w:val="18"/>
          <w:lang w:val="en-GB"/>
        </w:rPr>
        <w:t>Mar</w:t>
      </w:r>
      <w:r w:rsidR="00875E37" w:rsidRPr="00875E37">
        <w:rPr>
          <w:rFonts w:cstheme="minorHAnsi"/>
          <w:color w:val="808080" w:themeColor="background1" w:themeShade="80"/>
          <w:sz w:val="18"/>
          <w:szCs w:val="18"/>
          <w:lang w:val="en-GB"/>
        </w:rPr>
        <w:t>ie-Luise Möller</w:t>
      </w:r>
      <w:r w:rsidR="004C30B9" w:rsidRPr="00875E37">
        <w:rPr>
          <w:rFonts w:cstheme="minorHAnsi"/>
          <w:color w:val="808080" w:themeColor="background1" w:themeShade="80"/>
          <w:sz w:val="18"/>
          <w:szCs w:val="18"/>
          <w:lang w:val="en-GB"/>
        </w:rPr>
        <w:t xml:space="preserve"> </w:t>
      </w:r>
      <w:r w:rsidR="004C30B9" w:rsidRPr="00875E37">
        <w:rPr>
          <w:rFonts w:cstheme="minorHAnsi"/>
          <w:color w:val="808080" w:themeColor="background1" w:themeShade="80"/>
          <w:sz w:val="18"/>
          <w:szCs w:val="18"/>
          <w:lang w:val="en-GB"/>
        </w:rPr>
        <w:br/>
      </w:r>
      <w:r w:rsidR="00875E37" w:rsidRPr="00875E37">
        <w:rPr>
          <w:rFonts w:cstheme="minorHAnsi"/>
          <w:color w:val="808080" w:themeColor="background1" w:themeShade="80"/>
          <w:sz w:val="18"/>
          <w:szCs w:val="18"/>
          <w:lang w:val="en-GB"/>
        </w:rPr>
        <w:t>Independent Legal Scholar</w:t>
      </w:r>
      <w:r w:rsidR="00875E37" w:rsidRPr="00875E37">
        <w:rPr>
          <w:rFonts w:cstheme="minorHAnsi"/>
          <w:color w:val="808080" w:themeColor="background1" w:themeShade="80"/>
          <w:sz w:val="18"/>
          <w:szCs w:val="18"/>
          <w:lang w:val="en-GB"/>
        </w:rPr>
        <w:t>, Legal Advisor Caritas Vienna</w:t>
      </w:r>
    </w:p>
    <w:p w:rsidR="002E5CF1" w:rsidRPr="00875E37" w:rsidRDefault="00875E37" w:rsidP="00B41114">
      <w:pPr>
        <w:pStyle w:val="Listenabsatz"/>
        <w:ind w:left="0"/>
        <w:rPr>
          <w:rFonts w:cstheme="minorHAnsi"/>
          <w:color w:val="808080" w:themeColor="background1" w:themeShade="80"/>
          <w:sz w:val="18"/>
          <w:szCs w:val="18"/>
          <w:lang w:val="en-GB"/>
        </w:rPr>
      </w:pPr>
      <w:r w:rsidRPr="00875E37">
        <w:rPr>
          <w:rFonts w:cstheme="minorHAnsi"/>
          <w:color w:val="808080" w:themeColor="background1" w:themeShade="80"/>
          <w:sz w:val="18"/>
          <w:szCs w:val="18"/>
          <w:lang w:val="en-GB"/>
        </w:rPr>
        <w:t>moeller.marieluise@gmail.com</w:t>
      </w:r>
      <w:r w:rsidRPr="00875E37">
        <w:rPr>
          <w:rFonts w:cstheme="minorHAnsi"/>
          <w:color w:val="808080" w:themeColor="background1" w:themeShade="80"/>
          <w:sz w:val="18"/>
          <w:szCs w:val="18"/>
          <w:lang w:val="en-GB"/>
        </w:rPr>
        <w:br/>
      </w:r>
      <w:r w:rsidR="002E5CF1" w:rsidRPr="00875E37">
        <w:rPr>
          <w:rFonts w:cstheme="minorHAnsi"/>
          <w:color w:val="808080" w:themeColor="background1" w:themeShade="80"/>
          <w:sz w:val="18"/>
          <w:szCs w:val="18"/>
          <w:lang w:val="en-GB"/>
        </w:rPr>
        <w:t>+43 6601656713</w:t>
      </w:r>
    </w:p>
    <w:p w:rsidR="002E5CF1" w:rsidRPr="00875E37" w:rsidRDefault="002E5CF1" w:rsidP="00B41114">
      <w:pPr>
        <w:pStyle w:val="Listenabsatz"/>
        <w:ind w:left="0"/>
        <w:rPr>
          <w:rFonts w:cstheme="minorHAnsi"/>
          <w:color w:val="385623" w:themeColor="accent6" w:themeShade="80"/>
          <w:sz w:val="22"/>
          <w:szCs w:val="22"/>
          <w:lang w:val="en-GB"/>
        </w:rPr>
      </w:pPr>
    </w:p>
    <w:p w:rsidR="002E5CF1" w:rsidRDefault="00CE5DB3" w:rsidP="00CE5DB3">
      <w:pPr>
        <w:pStyle w:val="Listenabsatz"/>
        <w:ind w:left="7080" w:firstLine="708"/>
        <w:jc w:val="both"/>
        <w:rPr>
          <w:rFonts w:cstheme="minorHAnsi"/>
          <w:sz w:val="22"/>
          <w:szCs w:val="22"/>
          <w:lang w:val="en-GB"/>
        </w:rPr>
      </w:pPr>
      <w:r>
        <w:rPr>
          <w:rFonts w:cstheme="minorHAnsi"/>
          <w:sz w:val="22"/>
          <w:szCs w:val="22"/>
          <w:lang w:val="en-GB"/>
        </w:rPr>
        <w:t>Vienna, 12 May 2020</w:t>
      </w:r>
    </w:p>
    <w:p w:rsidR="00CE5DB3" w:rsidRDefault="00CE5DB3" w:rsidP="002E5CF1">
      <w:pPr>
        <w:pStyle w:val="Listenabsatz"/>
        <w:ind w:left="0"/>
        <w:jc w:val="both"/>
        <w:rPr>
          <w:rFonts w:cstheme="minorHAnsi"/>
          <w:sz w:val="22"/>
          <w:szCs w:val="22"/>
          <w:lang w:val="en-GB"/>
        </w:rPr>
      </w:pPr>
    </w:p>
    <w:p w:rsidR="00B47E6B" w:rsidRDefault="00875E37" w:rsidP="00B47E6B">
      <w:pPr>
        <w:rPr>
          <w:rFonts w:cstheme="minorHAnsi"/>
          <w:b/>
          <w:lang w:val="en-GB"/>
        </w:rPr>
      </w:pPr>
      <w:r>
        <w:rPr>
          <w:rFonts w:cstheme="minorHAnsi"/>
          <w:b/>
          <w:lang w:val="en-GB"/>
        </w:rPr>
        <w:t xml:space="preserve">CEDAW </w:t>
      </w:r>
      <w:r w:rsidR="00B47E6B">
        <w:rPr>
          <w:rFonts w:cstheme="minorHAnsi"/>
          <w:b/>
          <w:lang w:val="en-GB"/>
        </w:rPr>
        <w:t xml:space="preserve">Committee </w:t>
      </w:r>
      <w:r w:rsidR="00B47E6B" w:rsidRPr="00C4595D">
        <w:rPr>
          <w:rFonts w:cstheme="minorHAnsi"/>
          <w:b/>
          <w:lang w:val="en-GB"/>
        </w:rPr>
        <w:t xml:space="preserve">Call for comments: Draft General Recommendation on trafficking in women and girls in the context of global migration </w:t>
      </w:r>
    </w:p>
    <w:p w:rsidR="00CE5DB3" w:rsidRPr="00C4595D" w:rsidRDefault="00CE5DB3" w:rsidP="00B47E6B">
      <w:pPr>
        <w:rPr>
          <w:rFonts w:cstheme="minorHAnsi"/>
          <w:b/>
          <w:lang w:val="en-GB"/>
        </w:rPr>
      </w:pPr>
    </w:p>
    <w:p w:rsidR="002E5CF1" w:rsidRPr="004C30B9" w:rsidRDefault="00CE5DB3" w:rsidP="00B16A86">
      <w:pPr>
        <w:rPr>
          <w:rFonts w:cstheme="minorHAnsi"/>
          <w:lang w:val="en-GB"/>
        </w:rPr>
      </w:pPr>
      <w:r>
        <w:rPr>
          <w:lang w:val="en-GB"/>
        </w:rPr>
        <w:t xml:space="preserve">Dear </w:t>
      </w:r>
      <w:r w:rsidR="00B16A86">
        <w:rPr>
          <w:lang w:val="en-GB"/>
        </w:rPr>
        <w:t>Madam, dear Sir</w:t>
      </w:r>
      <w:r>
        <w:rPr>
          <w:lang w:val="en-GB"/>
        </w:rPr>
        <w:t>,</w:t>
      </w:r>
    </w:p>
    <w:p w:rsidR="009835E1" w:rsidRDefault="002B73AC" w:rsidP="008907D5">
      <w:pPr>
        <w:pStyle w:val="Listenabsatz"/>
        <w:ind w:left="0"/>
        <w:jc w:val="both"/>
        <w:rPr>
          <w:rFonts w:cstheme="minorHAnsi"/>
          <w:sz w:val="22"/>
          <w:szCs w:val="22"/>
          <w:lang w:val="en-GB"/>
        </w:rPr>
      </w:pPr>
      <w:r w:rsidRPr="00C4595D">
        <w:rPr>
          <w:rFonts w:cstheme="minorHAnsi"/>
          <w:sz w:val="22"/>
          <w:szCs w:val="22"/>
          <w:lang w:val="en-GB"/>
        </w:rPr>
        <w:t xml:space="preserve">As former </w:t>
      </w:r>
      <w:r>
        <w:rPr>
          <w:rFonts w:cstheme="minorHAnsi"/>
          <w:sz w:val="22"/>
          <w:szCs w:val="22"/>
          <w:lang w:val="en-GB"/>
        </w:rPr>
        <w:t>UNHCR Protection Officer in Greece (Samos)</w:t>
      </w:r>
      <w:r w:rsidR="009835E1">
        <w:rPr>
          <w:rFonts w:cstheme="minorHAnsi"/>
          <w:sz w:val="22"/>
          <w:szCs w:val="22"/>
          <w:lang w:val="en-GB"/>
        </w:rPr>
        <w:t xml:space="preserve"> and in my role as legal advisor</w:t>
      </w:r>
      <w:r w:rsidR="00721C11">
        <w:rPr>
          <w:rFonts w:cstheme="minorHAnsi"/>
          <w:sz w:val="22"/>
          <w:szCs w:val="22"/>
          <w:lang w:val="en-GB"/>
        </w:rPr>
        <w:t xml:space="preserve"> and representative of women and girls in asylum and immigration procedures</w:t>
      </w:r>
      <w:r w:rsidRPr="00C4595D">
        <w:rPr>
          <w:rFonts w:cstheme="minorHAnsi"/>
          <w:sz w:val="22"/>
          <w:szCs w:val="22"/>
          <w:lang w:val="en-GB"/>
        </w:rPr>
        <w:t xml:space="preserve">, it is my honour to submit this contribution. </w:t>
      </w:r>
    </w:p>
    <w:p w:rsidR="008907D5" w:rsidRPr="004C30B9" w:rsidRDefault="008907D5" w:rsidP="008907D5">
      <w:pPr>
        <w:pStyle w:val="Listenabsatz"/>
        <w:ind w:left="0"/>
        <w:jc w:val="both"/>
        <w:rPr>
          <w:rFonts w:cstheme="minorHAnsi"/>
          <w:lang w:val="en-GB"/>
        </w:rPr>
      </w:pPr>
    </w:p>
    <w:p w:rsidR="00660CD9" w:rsidRPr="00C6415C" w:rsidRDefault="00B7657F" w:rsidP="00C6415C">
      <w:pPr>
        <w:rPr>
          <w:rFonts w:cstheme="minorHAnsi"/>
          <w:b/>
          <w:i/>
          <w:sz w:val="20"/>
          <w:szCs w:val="20"/>
          <w:lang w:val="en-GB"/>
        </w:rPr>
      </w:pPr>
      <w:r w:rsidRPr="00C6415C">
        <w:rPr>
          <w:rFonts w:cstheme="minorHAnsi"/>
          <w:b/>
          <w:i/>
          <w:sz w:val="20"/>
          <w:szCs w:val="20"/>
          <w:lang w:val="en-GB"/>
        </w:rPr>
        <w:t xml:space="preserve">Chapter </w:t>
      </w:r>
      <w:r w:rsidR="00B77053" w:rsidRPr="00C6415C">
        <w:rPr>
          <w:rFonts w:cstheme="minorHAnsi"/>
          <w:b/>
          <w:i/>
          <w:sz w:val="20"/>
          <w:szCs w:val="20"/>
          <w:lang w:val="en-GB"/>
        </w:rPr>
        <w:t>IV</w:t>
      </w:r>
    </w:p>
    <w:p w:rsidR="00660CD9" w:rsidRPr="009C2CB5" w:rsidRDefault="00B77053" w:rsidP="00B77053">
      <w:pPr>
        <w:pStyle w:val="Listenabsatz"/>
        <w:ind w:left="708"/>
        <w:rPr>
          <w:rFonts w:cstheme="minorHAnsi"/>
          <w:b/>
          <w:i/>
          <w:sz w:val="20"/>
          <w:szCs w:val="20"/>
          <w:lang w:val="en-GB"/>
        </w:rPr>
      </w:pPr>
      <w:r>
        <w:rPr>
          <w:rFonts w:cstheme="minorHAnsi"/>
          <w:b/>
          <w:i/>
          <w:sz w:val="20"/>
          <w:szCs w:val="20"/>
          <w:lang w:val="en-GB"/>
        </w:rPr>
        <w:t xml:space="preserve">e) </w:t>
      </w:r>
      <w:r w:rsidR="00660CD9" w:rsidRPr="009C2CB5">
        <w:rPr>
          <w:rFonts w:cstheme="minorHAnsi"/>
          <w:b/>
          <w:i/>
          <w:sz w:val="20"/>
          <w:szCs w:val="20"/>
          <w:lang w:val="en-GB"/>
        </w:rPr>
        <w:t xml:space="preserve">Root causes of trafficking in women and girls and discouraging the demand that fosters their </w:t>
      </w:r>
      <w:r w:rsidR="00B7657F">
        <w:rPr>
          <w:rFonts w:cstheme="minorHAnsi"/>
          <w:b/>
          <w:i/>
          <w:sz w:val="20"/>
          <w:szCs w:val="20"/>
          <w:lang w:val="en-GB"/>
        </w:rPr>
        <w:br/>
      </w:r>
      <w:r w:rsidR="00660CD9" w:rsidRPr="009C2CB5">
        <w:rPr>
          <w:rFonts w:cstheme="minorHAnsi"/>
          <w:b/>
          <w:i/>
          <w:sz w:val="20"/>
          <w:szCs w:val="20"/>
          <w:lang w:val="en-GB"/>
        </w:rPr>
        <w:t>exploitation through trafficking</w:t>
      </w:r>
    </w:p>
    <w:p w:rsidR="00660CD9" w:rsidRPr="009C2CB5" w:rsidRDefault="009C2CB5" w:rsidP="00B77053">
      <w:pPr>
        <w:pStyle w:val="Listenabsatz"/>
        <w:ind w:left="1416"/>
        <w:rPr>
          <w:rFonts w:cstheme="minorHAnsi"/>
          <w:b/>
          <w:i/>
          <w:sz w:val="20"/>
          <w:szCs w:val="20"/>
          <w:lang w:val="en-GB"/>
        </w:rPr>
      </w:pPr>
      <w:r w:rsidRPr="009C2CB5">
        <w:rPr>
          <w:rFonts w:cstheme="minorHAnsi"/>
          <w:b/>
          <w:i/>
          <w:sz w:val="20"/>
          <w:szCs w:val="20"/>
          <w:lang w:val="en-GB"/>
        </w:rPr>
        <w:t xml:space="preserve">point </w:t>
      </w:r>
      <w:r w:rsidR="00660CD9" w:rsidRPr="009C2CB5">
        <w:rPr>
          <w:rFonts w:cstheme="minorHAnsi"/>
          <w:b/>
          <w:i/>
          <w:sz w:val="20"/>
          <w:szCs w:val="20"/>
          <w:lang w:val="en-GB"/>
        </w:rPr>
        <w:t>25</w:t>
      </w:r>
      <w:r w:rsidR="00660CD9" w:rsidRPr="009C2CB5">
        <w:rPr>
          <w:rFonts w:cstheme="minorHAnsi"/>
          <w:i/>
          <w:sz w:val="20"/>
          <w:szCs w:val="20"/>
          <w:lang w:val="en-GB"/>
        </w:rPr>
        <w:t xml:space="preserve"> </w:t>
      </w:r>
      <w:r w:rsidR="00660CD9" w:rsidRPr="009C2CB5">
        <w:rPr>
          <w:rFonts w:cstheme="minorHAnsi"/>
          <w:b/>
          <w:i/>
          <w:sz w:val="20"/>
          <w:szCs w:val="20"/>
          <w:lang w:val="en-GB"/>
        </w:rPr>
        <w:t>Review statistical methodologies and conceptual frameworks related to data collection to include indicators that reflect States’ systemic responses to trafficking, including by:</w:t>
      </w:r>
      <w:r w:rsidR="00B77053">
        <w:rPr>
          <w:rFonts w:cstheme="minorHAnsi"/>
          <w:b/>
          <w:i/>
          <w:sz w:val="20"/>
          <w:szCs w:val="20"/>
          <w:lang w:val="en-GB"/>
        </w:rPr>
        <w:br/>
      </w:r>
      <w:r w:rsidRPr="009C2CB5">
        <w:rPr>
          <w:rFonts w:cstheme="minorHAnsi"/>
          <w:b/>
          <w:i/>
          <w:sz w:val="20"/>
          <w:szCs w:val="20"/>
          <w:lang w:val="en-GB"/>
        </w:rPr>
        <w:t>(…)</w:t>
      </w:r>
    </w:p>
    <w:p w:rsidR="00660CD9" w:rsidRPr="009C2CB5" w:rsidRDefault="009C2CB5" w:rsidP="00B77053">
      <w:pPr>
        <w:pStyle w:val="Listenabsatz"/>
        <w:ind w:left="0"/>
        <w:rPr>
          <w:rFonts w:cstheme="minorHAnsi"/>
          <w:b/>
          <w:i/>
          <w:sz w:val="20"/>
          <w:szCs w:val="20"/>
          <w:lang w:val="en-GB"/>
        </w:rPr>
      </w:pPr>
      <w:r w:rsidRPr="009C2CB5">
        <w:rPr>
          <w:rFonts w:cstheme="minorHAnsi"/>
          <w:b/>
          <w:i/>
          <w:sz w:val="20"/>
          <w:szCs w:val="20"/>
          <w:lang w:val="en-GB"/>
        </w:rPr>
        <w:tab/>
      </w:r>
      <w:r w:rsidR="00B7657F">
        <w:rPr>
          <w:rFonts w:cstheme="minorHAnsi"/>
          <w:b/>
          <w:i/>
          <w:sz w:val="20"/>
          <w:szCs w:val="20"/>
          <w:lang w:val="en-GB"/>
        </w:rPr>
        <w:tab/>
      </w:r>
      <w:r w:rsidRPr="009C2CB5">
        <w:rPr>
          <w:rFonts w:cstheme="minorHAnsi"/>
          <w:b/>
          <w:i/>
          <w:sz w:val="20"/>
          <w:szCs w:val="20"/>
          <w:lang w:val="en-GB"/>
        </w:rPr>
        <w:t>lit c</w:t>
      </w:r>
      <w:r w:rsidR="00B77053">
        <w:rPr>
          <w:rFonts w:cstheme="minorHAnsi"/>
          <w:b/>
          <w:i/>
          <w:sz w:val="20"/>
          <w:szCs w:val="20"/>
          <w:lang w:val="en-GB"/>
        </w:rPr>
        <w:t>)</w:t>
      </w:r>
      <w:r w:rsidRPr="009C2CB5">
        <w:rPr>
          <w:rFonts w:cstheme="minorHAnsi"/>
          <w:b/>
          <w:i/>
          <w:sz w:val="20"/>
          <w:szCs w:val="20"/>
          <w:lang w:val="en-GB"/>
        </w:rPr>
        <w:t xml:space="preserve"> </w:t>
      </w:r>
      <w:r w:rsidR="00660CD9" w:rsidRPr="009C2CB5">
        <w:rPr>
          <w:rFonts w:cstheme="minorHAnsi"/>
          <w:b/>
          <w:i/>
          <w:sz w:val="20"/>
          <w:szCs w:val="20"/>
          <w:lang w:val="en-GB"/>
        </w:rPr>
        <w:t xml:space="preserve">Collecting and publishing data on trafficking in women and girls, and specifically on: </w:t>
      </w:r>
    </w:p>
    <w:p w:rsidR="00660CD9" w:rsidRPr="009C2CB5" w:rsidRDefault="00660CD9" w:rsidP="00B77053">
      <w:pPr>
        <w:spacing w:line="240" w:lineRule="auto"/>
        <w:ind w:left="1416"/>
        <w:rPr>
          <w:rFonts w:cstheme="minorHAnsi"/>
          <w:b/>
          <w:i/>
          <w:sz w:val="20"/>
          <w:szCs w:val="20"/>
          <w:lang w:val="en-GB"/>
        </w:rPr>
      </w:pPr>
      <w:r w:rsidRPr="009C2CB5">
        <w:rPr>
          <w:rFonts w:cstheme="minorHAnsi"/>
          <w:b/>
          <w:i/>
          <w:sz w:val="20"/>
          <w:szCs w:val="20"/>
          <w:lang w:val="en-GB"/>
        </w:rPr>
        <w:t>(…)</w:t>
      </w:r>
      <w:r w:rsidR="00C560F4" w:rsidRPr="009C2CB5">
        <w:rPr>
          <w:rFonts w:cstheme="minorHAnsi"/>
          <w:b/>
          <w:i/>
          <w:sz w:val="20"/>
          <w:szCs w:val="20"/>
          <w:lang w:val="en-GB"/>
        </w:rPr>
        <w:br/>
        <w:t>ix. t</w:t>
      </w:r>
      <w:r w:rsidRPr="009C2CB5">
        <w:rPr>
          <w:rFonts w:cstheme="minorHAnsi"/>
          <w:b/>
          <w:i/>
          <w:sz w:val="20"/>
          <w:szCs w:val="20"/>
          <w:lang w:val="en-GB"/>
        </w:rPr>
        <w:t xml:space="preserve">he number of trafficked women and girls who sought and </w:t>
      </w:r>
      <w:r w:rsidR="0067484F" w:rsidRPr="009C2CB5">
        <w:rPr>
          <w:rFonts w:cstheme="minorHAnsi"/>
          <w:b/>
          <w:i/>
          <w:sz w:val="20"/>
          <w:szCs w:val="20"/>
          <w:lang w:val="en-GB"/>
        </w:rPr>
        <w:t>were granted asylum</w:t>
      </w:r>
    </w:p>
    <w:p w:rsidR="0018170A" w:rsidRPr="00B77053" w:rsidRDefault="0067484F" w:rsidP="002E5CF1">
      <w:pPr>
        <w:spacing w:line="240" w:lineRule="auto"/>
        <w:jc w:val="both"/>
        <w:rPr>
          <w:rFonts w:cstheme="minorHAnsi"/>
          <w:lang w:val="en-GB"/>
        </w:rPr>
      </w:pPr>
      <w:r w:rsidRPr="004C30B9">
        <w:rPr>
          <w:rFonts w:cstheme="minorHAnsi"/>
          <w:lang w:val="en-GB"/>
        </w:rPr>
        <w:t xml:space="preserve">My recommendation would be </w:t>
      </w:r>
      <w:r w:rsidR="008907D5">
        <w:rPr>
          <w:rFonts w:cstheme="minorHAnsi"/>
          <w:lang w:val="en-GB"/>
        </w:rPr>
        <w:t xml:space="preserve">to </w:t>
      </w:r>
      <w:r w:rsidRPr="004C30B9">
        <w:rPr>
          <w:rFonts w:cstheme="minorHAnsi"/>
          <w:lang w:val="en-GB"/>
        </w:rPr>
        <w:t xml:space="preserve">also include </w:t>
      </w:r>
      <w:r w:rsidR="0018170A">
        <w:rPr>
          <w:rFonts w:cstheme="minorHAnsi"/>
          <w:lang w:val="en-GB"/>
        </w:rPr>
        <w:t xml:space="preserve">an additional point with non-conclusive references to </w:t>
      </w:r>
      <w:r w:rsidR="0018170A" w:rsidRPr="00B77053">
        <w:rPr>
          <w:rFonts w:cstheme="minorHAnsi"/>
          <w:lang w:val="en-GB"/>
        </w:rPr>
        <w:t>different grounds based on which trafficked women and girls might have been granted with a residence permit to this list (my suggestion as follows):</w:t>
      </w:r>
    </w:p>
    <w:p w:rsidR="0067484F" w:rsidRPr="00B77053" w:rsidRDefault="0067484F" w:rsidP="0018170A">
      <w:pPr>
        <w:pStyle w:val="Listenabsatz"/>
        <w:numPr>
          <w:ilvl w:val="0"/>
          <w:numId w:val="21"/>
        </w:numPr>
        <w:jc w:val="both"/>
        <w:rPr>
          <w:rFonts w:cstheme="minorHAnsi"/>
          <w:i/>
          <w:sz w:val="22"/>
          <w:szCs w:val="22"/>
          <w:lang w:val="en-GB"/>
        </w:rPr>
      </w:pPr>
      <w:r w:rsidRPr="00B77053">
        <w:rPr>
          <w:rFonts w:cstheme="minorHAnsi"/>
          <w:sz w:val="22"/>
          <w:szCs w:val="22"/>
          <w:lang w:val="en-GB"/>
        </w:rPr>
        <w:t>the number of trafficked women and girls who were granted with</w:t>
      </w:r>
      <w:r w:rsidR="0018170A" w:rsidRPr="00B77053">
        <w:rPr>
          <w:rFonts w:cstheme="minorHAnsi"/>
          <w:sz w:val="22"/>
          <w:szCs w:val="22"/>
          <w:lang w:val="en-GB"/>
        </w:rPr>
        <w:t xml:space="preserve"> a</w:t>
      </w:r>
      <w:r w:rsidRPr="00B77053">
        <w:rPr>
          <w:rFonts w:cstheme="minorHAnsi"/>
          <w:sz w:val="22"/>
          <w:szCs w:val="22"/>
          <w:lang w:val="en-GB"/>
        </w:rPr>
        <w:t xml:space="preserve"> residence </w:t>
      </w:r>
      <w:r w:rsidR="0018170A" w:rsidRPr="00B77053">
        <w:rPr>
          <w:rFonts w:cstheme="minorHAnsi"/>
          <w:sz w:val="22"/>
          <w:szCs w:val="22"/>
          <w:lang w:val="en-GB"/>
        </w:rPr>
        <w:t xml:space="preserve">permit </w:t>
      </w:r>
      <w:r w:rsidRPr="00B77053">
        <w:rPr>
          <w:rFonts w:cstheme="minorHAnsi"/>
          <w:sz w:val="22"/>
          <w:szCs w:val="22"/>
          <w:lang w:val="en-GB"/>
        </w:rPr>
        <w:t>based on other grounds, incl</w:t>
      </w:r>
      <w:r w:rsidR="0018170A" w:rsidRPr="00B77053">
        <w:rPr>
          <w:rFonts w:cstheme="minorHAnsi"/>
          <w:sz w:val="22"/>
          <w:szCs w:val="22"/>
          <w:lang w:val="en-GB"/>
        </w:rPr>
        <w:t>uding</w:t>
      </w:r>
      <w:r w:rsidRPr="00B77053">
        <w:rPr>
          <w:rFonts w:cstheme="minorHAnsi"/>
          <w:i/>
          <w:sz w:val="22"/>
          <w:szCs w:val="22"/>
          <w:lang w:val="en-GB"/>
        </w:rPr>
        <w:t xml:space="preserve"> non-</w:t>
      </w:r>
      <w:proofErr w:type="spellStart"/>
      <w:r w:rsidRPr="00B77053">
        <w:rPr>
          <w:rFonts w:cstheme="minorHAnsi"/>
          <w:i/>
          <w:sz w:val="22"/>
          <w:szCs w:val="22"/>
          <w:lang w:val="en-GB"/>
        </w:rPr>
        <w:t>refoulement</w:t>
      </w:r>
      <w:proofErr w:type="spellEnd"/>
      <w:r w:rsidRPr="00B77053">
        <w:rPr>
          <w:rFonts w:cstheme="minorHAnsi"/>
          <w:i/>
          <w:sz w:val="22"/>
          <w:szCs w:val="22"/>
          <w:lang w:val="en-GB"/>
        </w:rPr>
        <w:t xml:space="preserve"> </w:t>
      </w:r>
      <w:r w:rsidRPr="00B77053">
        <w:rPr>
          <w:rFonts w:cstheme="minorHAnsi"/>
          <w:sz w:val="22"/>
          <w:szCs w:val="22"/>
          <w:lang w:val="en-GB"/>
        </w:rPr>
        <w:t>grounds or compassionate grounds</w:t>
      </w:r>
      <w:r w:rsidR="0018170A" w:rsidRPr="00B77053">
        <w:rPr>
          <w:rFonts w:cstheme="minorHAnsi"/>
          <w:sz w:val="22"/>
          <w:szCs w:val="22"/>
          <w:lang w:val="en-GB"/>
        </w:rPr>
        <w:t xml:space="preserve"> as well as </w:t>
      </w:r>
      <w:r w:rsidR="00E538A2" w:rsidRPr="00B77053">
        <w:rPr>
          <w:rFonts w:cstheme="minorHAnsi"/>
          <w:sz w:val="22"/>
          <w:szCs w:val="22"/>
          <w:lang w:val="en-GB"/>
        </w:rPr>
        <w:t xml:space="preserve">in cases where a renewable residence card was issued </w:t>
      </w:r>
      <w:r w:rsidR="00E538A2" w:rsidRPr="00B77053">
        <w:rPr>
          <w:sz w:val="22"/>
          <w:szCs w:val="22"/>
        </w:rPr>
        <w:t>owing to their personal situation or where the competent authority considers that their stay is necessary for the purpose of their cooperation with the competent authorities in investigation or criminal proceedings</w:t>
      </w:r>
      <w:r w:rsidRPr="00B77053">
        <w:rPr>
          <w:rFonts w:cstheme="minorHAnsi"/>
          <w:sz w:val="22"/>
          <w:szCs w:val="22"/>
          <w:lang w:val="en-GB"/>
        </w:rPr>
        <w:t>.</w:t>
      </w:r>
      <w:r w:rsidRPr="00B77053">
        <w:rPr>
          <w:rFonts w:cstheme="minorHAnsi"/>
          <w:i/>
          <w:sz w:val="22"/>
          <w:szCs w:val="22"/>
          <w:lang w:val="en-GB"/>
        </w:rPr>
        <w:t xml:space="preserve"> </w:t>
      </w:r>
    </w:p>
    <w:p w:rsidR="0018170A" w:rsidRPr="00B77053" w:rsidRDefault="0018170A" w:rsidP="002E5CF1">
      <w:pPr>
        <w:spacing w:line="240" w:lineRule="auto"/>
        <w:jc w:val="both"/>
        <w:rPr>
          <w:rFonts w:cstheme="minorHAnsi"/>
          <w:lang w:val="en-GB"/>
        </w:rPr>
      </w:pPr>
    </w:p>
    <w:p w:rsidR="0067484F" w:rsidRPr="00B77053" w:rsidRDefault="0067484F" w:rsidP="00B16A86">
      <w:pPr>
        <w:spacing w:after="0" w:line="240" w:lineRule="auto"/>
        <w:jc w:val="both"/>
        <w:rPr>
          <w:rFonts w:cstheme="minorHAnsi"/>
          <w:lang w:val="en-GB"/>
        </w:rPr>
      </w:pPr>
      <w:r w:rsidRPr="00B77053">
        <w:rPr>
          <w:rFonts w:cstheme="minorHAnsi"/>
          <w:lang w:val="en-GB"/>
        </w:rPr>
        <w:t xml:space="preserve">The reference to </w:t>
      </w:r>
      <w:r w:rsidRPr="00B77053">
        <w:rPr>
          <w:rFonts w:cstheme="minorHAnsi"/>
          <w:i/>
          <w:lang w:val="en-GB"/>
        </w:rPr>
        <w:t>non-</w:t>
      </w:r>
      <w:proofErr w:type="spellStart"/>
      <w:r w:rsidRPr="00B77053">
        <w:rPr>
          <w:rFonts w:cstheme="minorHAnsi"/>
          <w:i/>
          <w:lang w:val="en-GB"/>
        </w:rPr>
        <w:t>refoulement</w:t>
      </w:r>
      <w:proofErr w:type="spellEnd"/>
      <w:r w:rsidRPr="00B77053">
        <w:rPr>
          <w:rFonts w:cstheme="minorHAnsi"/>
          <w:lang w:val="en-GB"/>
        </w:rPr>
        <w:t xml:space="preserve"> grounds and compassionate grounds would be in line and consistent with </w:t>
      </w:r>
      <w:r w:rsidR="009C2CB5" w:rsidRPr="00B77053">
        <w:rPr>
          <w:rFonts w:cstheme="minorHAnsi"/>
          <w:lang w:val="en-GB"/>
        </w:rPr>
        <w:t>Chapter V point 76</w:t>
      </w:r>
      <w:r w:rsidR="00C560F4" w:rsidRPr="00B77053">
        <w:rPr>
          <w:rFonts w:cstheme="minorHAnsi"/>
          <w:lang w:val="en-GB"/>
        </w:rPr>
        <w:t xml:space="preserve"> of the draft</w:t>
      </w:r>
      <w:r w:rsidRPr="00B77053">
        <w:rPr>
          <w:rFonts w:cstheme="minorHAnsi"/>
          <w:lang w:val="en-GB"/>
        </w:rPr>
        <w:t>.</w:t>
      </w:r>
      <w:r w:rsidR="0018170A" w:rsidRPr="00B77053">
        <w:rPr>
          <w:rFonts w:cstheme="minorHAnsi"/>
          <w:lang w:val="en-GB"/>
        </w:rPr>
        <w:t xml:space="preserve"> Furthermore, </w:t>
      </w:r>
      <w:r w:rsidRPr="00B77053">
        <w:rPr>
          <w:rFonts w:cstheme="minorHAnsi"/>
          <w:lang w:val="en-GB"/>
        </w:rPr>
        <w:t xml:space="preserve">I would recommend not to limit grounds for residence granted on </w:t>
      </w:r>
      <w:r w:rsidRPr="00B77053">
        <w:rPr>
          <w:rFonts w:cstheme="minorHAnsi"/>
          <w:i/>
          <w:lang w:val="en-GB"/>
        </w:rPr>
        <w:t>non-</w:t>
      </w:r>
      <w:proofErr w:type="spellStart"/>
      <w:r w:rsidRPr="00B77053">
        <w:rPr>
          <w:rFonts w:cstheme="minorHAnsi"/>
          <w:i/>
          <w:lang w:val="en-GB"/>
        </w:rPr>
        <w:t>refoulement</w:t>
      </w:r>
      <w:proofErr w:type="spellEnd"/>
      <w:r w:rsidRPr="00B77053">
        <w:rPr>
          <w:rFonts w:cstheme="minorHAnsi"/>
          <w:lang w:val="en-GB"/>
        </w:rPr>
        <w:t xml:space="preserve"> or </w:t>
      </w:r>
      <w:r w:rsidR="008907D5" w:rsidRPr="00B77053">
        <w:rPr>
          <w:rFonts w:cstheme="minorHAnsi"/>
          <w:lang w:val="en-GB"/>
        </w:rPr>
        <w:t>compassionate</w:t>
      </w:r>
      <w:r w:rsidRPr="00B77053">
        <w:rPr>
          <w:rFonts w:cstheme="minorHAnsi"/>
          <w:lang w:val="en-GB"/>
        </w:rPr>
        <w:t xml:space="preserve"> grounds as recent case law demonstrates, that Contracting Parties </w:t>
      </w:r>
      <w:r w:rsidR="00306387" w:rsidRPr="00B77053">
        <w:rPr>
          <w:rFonts w:cstheme="minorHAnsi"/>
          <w:lang w:val="en-GB"/>
        </w:rPr>
        <w:t>to t</w:t>
      </w:r>
      <w:r w:rsidRPr="00B77053">
        <w:rPr>
          <w:rFonts w:cstheme="minorHAnsi"/>
          <w:lang w:val="en-GB"/>
        </w:rPr>
        <w:t xml:space="preserve">he </w:t>
      </w:r>
      <w:r w:rsidR="00306387" w:rsidRPr="00B77053">
        <w:rPr>
          <w:rFonts w:cstheme="minorHAnsi"/>
          <w:lang w:val="en-GB"/>
        </w:rPr>
        <w:t>ECHR may also consider</w:t>
      </w:r>
      <w:r w:rsidRPr="00B77053">
        <w:rPr>
          <w:rFonts w:cstheme="minorHAnsi"/>
          <w:lang w:val="en-GB"/>
        </w:rPr>
        <w:t xml:space="preserve"> granting residence based on Art 4 ECHR</w:t>
      </w:r>
      <w:r w:rsidRPr="00B77053">
        <w:rPr>
          <w:rStyle w:val="Funotenzeichen"/>
          <w:rFonts w:cstheme="minorHAnsi"/>
        </w:rPr>
        <w:footnoteReference w:id="1"/>
      </w:r>
      <w:r w:rsidRPr="00B77053">
        <w:rPr>
          <w:rFonts w:cstheme="minorHAnsi"/>
          <w:lang w:val="en-GB"/>
        </w:rPr>
        <w:t>.</w:t>
      </w:r>
      <w:r w:rsidR="00E538A2" w:rsidRPr="00B77053">
        <w:rPr>
          <w:rFonts w:cstheme="minorHAnsi"/>
          <w:lang w:val="en-GB"/>
        </w:rPr>
        <w:t xml:space="preserve"> The reference to cases where a renewable residence card was issued </w:t>
      </w:r>
      <w:r w:rsidR="00E538A2" w:rsidRPr="00B77053">
        <w:rPr>
          <w:lang w:val="en-GB"/>
        </w:rPr>
        <w:t>owing to their personal situation or where the competent authority considers that their stay is necessary for the purpose of their cooperation with the competent authorities in investigation or criminal proceedings is based on</w:t>
      </w:r>
      <w:r w:rsidR="00807D3E">
        <w:rPr>
          <w:lang w:val="en-GB"/>
        </w:rPr>
        <w:t xml:space="preserve"> e.g.</w:t>
      </w:r>
      <w:r w:rsidR="00E538A2" w:rsidRPr="00B77053">
        <w:rPr>
          <w:lang w:val="en-GB"/>
        </w:rPr>
        <w:t xml:space="preserve"> Art 10, read with Art 14 </w:t>
      </w:r>
      <w:r w:rsidR="006F3A9E" w:rsidRPr="006F3A9E">
        <w:rPr>
          <w:lang w:val="en-GB"/>
        </w:rPr>
        <w:t>Council of Europe Convention on Action against Trafficking in Human Beings</w:t>
      </w:r>
      <w:r w:rsidR="006F3A9E" w:rsidRPr="006F3A9E">
        <w:rPr>
          <w:rFonts w:cstheme="minorHAnsi"/>
          <w:sz w:val="18"/>
          <w:szCs w:val="18"/>
          <w:lang w:val="en-GB"/>
        </w:rPr>
        <w:t xml:space="preserve"> </w:t>
      </w:r>
      <w:r w:rsidR="006F3A9E">
        <w:rPr>
          <w:rFonts w:cstheme="minorHAnsi"/>
          <w:sz w:val="18"/>
          <w:szCs w:val="18"/>
          <w:lang w:val="en-GB"/>
        </w:rPr>
        <w:t>(‘</w:t>
      </w:r>
      <w:proofErr w:type="spellStart"/>
      <w:r w:rsidR="00E538A2" w:rsidRPr="00B77053">
        <w:rPr>
          <w:lang w:val="en-GB"/>
        </w:rPr>
        <w:t>CoE</w:t>
      </w:r>
      <w:proofErr w:type="spellEnd"/>
      <w:r w:rsidR="00E538A2" w:rsidRPr="00B77053">
        <w:rPr>
          <w:lang w:val="en-GB"/>
        </w:rPr>
        <w:t xml:space="preserve"> </w:t>
      </w:r>
      <w:r w:rsidR="00807D3E">
        <w:rPr>
          <w:lang w:val="en-GB"/>
        </w:rPr>
        <w:t xml:space="preserve">Anti-Trafficking </w:t>
      </w:r>
      <w:r w:rsidR="00E538A2" w:rsidRPr="00B77053">
        <w:rPr>
          <w:lang w:val="en-GB"/>
        </w:rPr>
        <w:t>Convention</w:t>
      </w:r>
      <w:r w:rsidR="006F3A9E">
        <w:rPr>
          <w:lang w:val="en-GB"/>
        </w:rPr>
        <w:t>’)</w:t>
      </w:r>
      <w:r w:rsidR="00E538A2" w:rsidRPr="00B77053">
        <w:rPr>
          <w:lang w:val="en-GB"/>
        </w:rPr>
        <w:t xml:space="preserve"> and </w:t>
      </w:r>
      <w:r w:rsidR="009C2CB5" w:rsidRPr="00B77053">
        <w:rPr>
          <w:lang w:val="en-GB"/>
        </w:rPr>
        <w:t xml:space="preserve">recital 7 of the preamble of </w:t>
      </w:r>
      <w:r w:rsidR="00E538A2" w:rsidRPr="00B77053">
        <w:rPr>
          <w:lang w:val="en-GB"/>
        </w:rPr>
        <w:t>Directive 2011/36/EU</w:t>
      </w:r>
      <w:r w:rsidR="00E538A2" w:rsidRPr="00B77053">
        <w:rPr>
          <w:rFonts w:cstheme="minorHAnsi"/>
          <w:lang w:val="en-GB"/>
        </w:rPr>
        <w:t>.</w:t>
      </w:r>
    </w:p>
    <w:p w:rsidR="00306387" w:rsidRPr="00B77053" w:rsidRDefault="00306387" w:rsidP="002E5CF1">
      <w:pPr>
        <w:spacing w:line="240" w:lineRule="auto"/>
        <w:jc w:val="both"/>
        <w:rPr>
          <w:rFonts w:cstheme="minorHAnsi"/>
          <w:lang w:val="en-GB"/>
        </w:rPr>
      </w:pPr>
    </w:p>
    <w:p w:rsidR="009C7452" w:rsidRPr="009C7452" w:rsidRDefault="00B7657F" w:rsidP="00B16A86">
      <w:pPr>
        <w:spacing w:line="240" w:lineRule="auto"/>
        <w:ind w:left="708" w:hanging="360"/>
        <w:rPr>
          <w:rFonts w:cstheme="minorHAnsi"/>
          <w:b/>
          <w:i/>
          <w:sz w:val="20"/>
          <w:szCs w:val="20"/>
          <w:lang w:val="en-GB"/>
        </w:rPr>
      </w:pPr>
      <w:r>
        <w:rPr>
          <w:rFonts w:cstheme="minorHAnsi"/>
          <w:b/>
          <w:i/>
          <w:sz w:val="20"/>
          <w:szCs w:val="20"/>
          <w:lang w:val="en-GB"/>
        </w:rPr>
        <w:t>Chapter IV</w:t>
      </w:r>
      <w:r>
        <w:rPr>
          <w:rFonts w:cstheme="minorHAnsi"/>
          <w:b/>
          <w:i/>
          <w:sz w:val="20"/>
          <w:szCs w:val="20"/>
          <w:lang w:val="en-GB"/>
        </w:rPr>
        <w:br/>
      </w:r>
      <w:r w:rsidR="009C7452" w:rsidRPr="009C7452">
        <w:rPr>
          <w:rFonts w:cstheme="minorHAnsi"/>
          <w:b/>
          <w:i/>
          <w:sz w:val="20"/>
          <w:szCs w:val="20"/>
          <w:lang w:val="en-GB"/>
        </w:rPr>
        <w:t xml:space="preserve">Point 42 </w:t>
      </w:r>
      <w:r w:rsidR="00306387" w:rsidRPr="009C7452">
        <w:rPr>
          <w:rFonts w:cstheme="minorHAnsi"/>
          <w:b/>
          <w:i/>
          <w:sz w:val="20"/>
          <w:szCs w:val="20"/>
          <w:lang w:val="en-GB"/>
        </w:rPr>
        <w:t>Address the root causes of women’s and girls’ vulnerability to trafficking, in the context of forced displacement</w:t>
      </w:r>
      <w:r w:rsidR="00306387" w:rsidRPr="009C7452">
        <w:rPr>
          <w:rStyle w:val="Funotenzeichen"/>
          <w:rFonts w:cstheme="minorHAnsi"/>
          <w:b/>
          <w:i/>
          <w:sz w:val="20"/>
          <w:szCs w:val="20"/>
        </w:rPr>
        <w:footnoteReference w:id="2"/>
      </w:r>
      <w:r w:rsidR="00306387" w:rsidRPr="009C7452">
        <w:rPr>
          <w:rFonts w:cstheme="minorHAnsi"/>
          <w:b/>
          <w:i/>
          <w:sz w:val="20"/>
          <w:szCs w:val="20"/>
          <w:lang w:val="en-GB"/>
        </w:rPr>
        <w:t>, with specific attention given to asylum seekers, refugees, internally displaced and stateless women:</w:t>
      </w:r>
      <w:r w:rsidR="00B16A86">
        <w:rPr>
          <w:rFonts w:cstheme="minorHAnsi"/>
          <w:b/>
          <w:i/>
          <w:sz w:val="20"/>
          <w:szCs w:val="20"/>
          <w:lang w:val="en-GB"/>
        </w:rPr>
        <w:br/>
      </w:r>
      <w:r w:rsidR="009C7452" w:rsidRPr="009C7452">
        <w:rPr>
          <w:rFonts w:cstheme="minorHAnsi"/>
          <w:b/>
          <w:i/>
          <w:sz w:val="20"/>
          <w:szCs w:val="20"/>
          <w:lang w:val="en-GB"/>
        </w:rPr>
        <w:t>lit f</w:t>
      </w:r>
      <w:r w:rsidR="00B16A86">
        <w:rPr>
          <w:rFonts w:cstheme="minorHAnsi"/>
          <w:b/>
          <w:i/>
          <w:sz w:val="20"/>
          <w:szCs w:val="20"/>
          <w:lang w:val="en-GB"/>
        </w:rPr>
        <w:t>)</w:t>
      </w:r>
      <w:r w:rsidR="009C7452" w:rsidRPr="009C7452">
        <w:rPr>
          <w:rFonts w:cstheme="minorHAnsi"/>
          <w:b/>
          <w:i/>
          <w:sz w:val="20"/>
          <w:szCs w:val="20"/>
          <w:lang w:val="en-GB"/>
        </w:rPr>
        <w:t xml:space="preserve"> </w:t>
      </w:r>
      <w:r w:rsidR="009C7452" w:rsidRPr="009C7452">
        <w:rPr>
          <w:rFonts w:cstheme="minorHAnsi"/>
          <w:b/>
          <w:sz w:val="20"/>
          <w:szCs w:val="20"/>
          <w:lang w:val="en-GB"/>
        </w:rPr>
        <w:t>Raise awareness among displaced women and girls about all forms of trafficking;</w:t>
      </w:r>
      <w:r w:rsidR="009C7452" w:rsidRPr="009C7452">
        <w:rPr>
          <w:rStyle w:val="Funotenzeichen"/>
          <w:rFonts w:cstheme="minorHAnsi"/>
          <w:b/>
          <w:sz w:val="20"/>
          <w:szCs w:val="20"/>
        </w:rPr>
        <w:footnoteReference w:id="3"/>
      </w:r>
    </w:p>
    <w:p w:rsidR="00306387" w:rsidRPr="004C30B9" w:rsidRDefault="00306387" w:rsidP="002E5CF1">
      <w:pPr>
        <w:spacing w:line="240" w:lineRule="auto"/>
        <w:jc w:val="both"/>
        <w:rPr>
          <w:rFonts w:cstheme="minorHAnsi"/>
          <w:lang w:val="en-GB"/>
        </w:rPr>
      </w:pPr>
      <w:r w:rsidRPr="004C30B9">
        <w:rPr>
          <w:rFonts w:cstheme="minorHAnsi"/>
          <w:lang w:val="en-GB"/>
        </w:rPr>
        <w:lastRenderedPageBreak/>
        <w:t>My suggestion on how lit f might be revised</w:t>
      </w:r>
      <w:r w:rsidR="009C7452">
        <w:rPr>
          <w:rFonts w:cstheme="minorHAnsi"/>
          <w:lang w:val="en-GB"/>
        </w:rPr>
        <w:t xml:space="preserve"> slightly</w:t>
      </w:r>
      <w:r w:rsidR="00E538A2">
        <w:rPr>
          <w:rFonts w:cstheme="minorHAnsi"/>
          <w:lang w:val="en-GB"/>
        </w:rPr>
        <w:t xml:space="preserve"> (suggestions in italic)</w:t>
      </w:r>
      <w:r w:rsidRPr="004C30B9">
        <w:rPr>
          <w:rFonts w:cstheme="minorHAnsi"/>
          <w:lang w:val="en-GB"/>
        </w:rPr>
        <w:t>:</w:t>
      </w:r>
    </w:p>
    <w:p w:rsidR="00306387" w:rsidRPr="004C30B9" w:rsidRDefault="00306387" w:rsidP="002E5CF1">
      <w:pPr>
        <w:spacing w:line="240" w:lineRule="auto"/>
        <w:ind w:left="360"/>
        <w:jc w:val="both"/>
        <w:rPr>
          <w:rFonts w:cstheme="minorHAnsi"/>
          <w:i/>
          <w:lang w:val="en-GB"/>
        </w:rPr>
      </w:pPr>
      <w:r w:rsidRPr="004C30B9">
        <w:rPr>
          <w:rFonts w:cstheme="minorHAnsi"/>
          <w:lang w:val="en-GB"/>
        </w:rPr>
        <w:t xml:space="preserve">Raise awareness among displaced women and girls about all forms of trafficking; </w:t>
      </w:r>
      <w:r w:rsidRPr="004C30B9">
        <w:rPr>
          <w:rFonts w:cstheme="minorHAnsi"/>
          <w:i/>
          <w:lang w:val="en-GB"/>
        </w:rPr>
        <w:t>and provide information they can reasonably understand on how to access both, assistance and protection (including relevant service providers and competent authorities) as a potential victim and on how to access asylum procedures and material reception conditions addressing their specific needs.</w:t>
      </w:r>
    </w:p>
    <w:p w:rsidR="009C7452" w:rsidRDefault="00306387" w:rsidP="002E5CF1">
      <w:pPr>
        <w:spacing w:line="240" w:lineRule="auto"/>
        <w:jc w:val="both"/>
        <w:rPr>
          <w:rFonts w:cstheme="minorHAnsi"/>
          <w:lang w:val="en-GB"/>
        </w:rPr>
      </w:pPr>
      <w:r w:rsidRPr="004C30B9">
        <w:rPr>
          <w:rFonts w:cstheme="minorHAnsi"/>
          <w:lang w:val="en-GB"/>
        </w:rPr>
        <w:t xml:space="preserve">I would hope that my recommendation for a revised </w:t>
      </w:r>
      <w:r w:rsidR="009C7452">
        <w:rPr>
          <w:rFonts w:cstheme="minorHAnsi"/>
          <w:lang w:val="en-GB"/>
        </w:rPr>
        <w:t>point 42</w:t>
      </w:r>
      <w:r w:rsidR="00E538A2">
        <w:rPr>
          <w:rFonts w:cstheme="minorHAnsi"/>
          <w:lang w:val="en-GB"/>
        </w:rPr>
        <w:t xml:space="preserve"> </w:t>
      </w:r>
      <w:r w:rsidRPr="004C30B9">
        <w:rPr>
          <w:rFonts w:cstheme="minorHAnsi"/>
          <w:lang w:val="en-GB"/>
        </w:rPr>
        <w:t>lit f is in line with relevant legal instruments and frameworks</w:t>
      </w:r>
      <w:r w:rsidRPr="004C30B9">
        <w:rPr>
          <w:rStyle w:val="Funotenzeichen"/>
          <w:rFonts w:cstheme="minorHAnsi"/>
        </w:rPr>
        <w:footnoteReference w:id="4"/>
      </w:r>
      <w:r w:rsidRPr="004C30B9">
        <w:rPr>
          <w:rFonts w:cstheme="minorHAnsi"/>
          <w:lang w:val="en-GB"/>
        </w:rPr>
        <w:t>.</w:t>
      </w:r>
      <w:r w:rsidR="009A7782" w:rsidRPr="004C30B9">
        <w:rPr>
          <w:rFonts w:cstheme="minorHAnsi"/>
          <w:lang w:val="en-GB"/>
        </w:rPr>
        <w:t xml:space="preserve"> </w:t>
      </w:r>
    </w:p>
    <w:p w:rsidR="009A7782" w:rsidRPr="004C30B9" w:rsidRDefault="009A7782" w:rsidP="002E5CF1">
      <w:pPr>
        <w:spacing w:line="240" w:lineRule="auto"/>
        <w:jc w:val="both"/>
        <w:rPr>
          <w:rFonts w:cstheme="minorHAnsi"/>
          <w:lang w:val="en-GB"/>
        </w:rPr>
      </w:pPr>
      <w:r w:rsidRPr="004C30B9">
        <w:rPr>
          <w:rFonts w:cstheme="minorHAnsi"/>
          <w:lang w:val="en-GB"/>
        </w:rPr>
        <w:t xml:space="preserve">Suggestions for taking into consideration </w:t>
      </w:r>
      <w:r w:rsidR="00E538A2">
        <w:rPr>
          <w:rFonts w:cstheme="minorHAnsi"/>
          <w:lang w:val="en-GB"/>
        </w:rPr>
        <w:t>to include</w:t>
      </w:r>
      <w:r w:rsidRPr="004C30B9">
        <w:rPr>
          <w:rFonts w:cstheme="minorHAnsi"/>
          <w:lang w:val="en-GB"/>
        </w:rPr>
        <w:t xml:space="preserve"> additional points to the list</w:t>
      </w:r>
      <w:r w:rsidR="009C7452">
        <w:rPr>
          <w:rFonts w:cstheme="minorHAnsi"/>
          <w:lang w:val="en-GB"/>
        </w:rPr>
        <w:t xml:space="preserve"> (in point 42)</w:t>
      </w:r>
      <w:r w:rsidRPr="004C30B9">
        <w:rPr>
          <w:rFonts w:cstheme="minorHAnsi"/>
          <w:lang w:val="en-GB"/>
        </w:rPr>
        <w:t>:</w:t>
      </w:r>
    </w:p>
    <w:p w:rsidR="009A7782" w:rsidRPr="004C30B9" w:rsidRDefault="009A7782" w:rsidP="002E5CF1">
      <w:pPr>
        <w:spacing w:line="240" w:lineRule="auto"/>
        <w:jc w:val="both"/>
        <w:rPr>
          <w:rFonts w:cstheme="minorHAnsi"/>
          <w:i/>
          <w:lang w:val="en-GB"/>
        </w:rPr>
      </w:pPr>
      <w:r w:rsidRPr="004C30B9">
        <w:rPr>
          <w:rFonts w:cstheme="minorHAnsi"/>
          <w:i/>
          <w:lang w:val="en-GB"/>
        </w:rPr>
        <w:t>k.) address practices based on customs or traditions which may be harmful to women and girls violating their human rights and which may be linked to trafficking</w:t>
      </w:r>
    </w:p>
    <w:p w:rsidR="009A7782" w:rsidRPr="00E538A2" w:rsidRDefault="009A7782" w:rsidP="002E5CF1">
      <w:pPr>
        <w:spacing w:line="240" w:lineRule="auto"/>
        <w:jc w:val="both"/>
        <w:rPr>
          <w:rFonts w:cstheme="minorHAnsi"/>
          <w:lang w:val="en-GB"/>
        </w:rPr>
      </w:pPr>
      <w:r w:rsidRPr="004C30B9">
        <w:rPr>
          <w:rFonts w:cstheme="minorHAnsi"/>
          <w:lang w:val="en-GB"/>
        </w:rPr>
        <w:t>With this suggestion I refer to harmful practices such as forced marriages of women and girls which might be seen as last resort to leave a reception or detention facility along th</w:t>
      </w:r>
      <w:r w:rsidR="00E538A2">
        <w:rPr>
          <w:rFonts w:cstheme="minorHAnsi"/>
          <w:lang w:val="en-GB"/>
        </w:rPr>
        <w:t>e route</w:t>
      </w:r>
      <w:r w:rsidRPr="004C30B9">
        <w:rPr>
          <w:rFonts w:cstheme="minorHAnsi"/>
          <w:lang w:val="en-GB"/>
        </w:rPr>
        <w:t xml:space="preserve"> to be able to leave a country, </w:t>
      </w:r>
      <w:r w:rsidR="004F3E30" w:rsidRPr="004C30B9">
        <w:rPr>
          <w:rFonts w:cstheme="minorHAnsi"/>
          <w:lang w:val="en-GB"/>
        </w:rPr>
        <w:t xml:space="preserve">or </w:t>
      </w:r>
      <w:r w:rsidRPr="004C30B9">
        <w:rPr>
          <w:rFonts w:cstheme="minorHAnsi"/>
          <w:lang w:val="en-GB"/>
        </w:rPr>
        <w:t>phenomena such as</w:t>
      </w:r>
      <w:r w:rsidR="00C560F4" w:rsidRPr="004C30B9">
        <w:rPr>
          <w:rFonts w:cstheme="minorHAnsi"/>
          <w:lang w:val="en-GB"/>
        </w:rPr>
        <w:t xml:space="preserve"> “</w:t>
      </w:r>
      <w:r w:rsidRPr="004C30B9">
        <w:rPr>
          <w:rFonts w:cstheme="minorHAnsi"/>
          <w:lang w:val="en-GB"/>
        </w:rPr>
        <w:t>survival sex</w:t>
      </w:r>
      <w:r w:rsidR="00C560F4" w:rsidRPr="004C30B9">
        <w:rPr>
          <w:rFonts w:cstheme="minorHAnsi"/>
          <w:lang w:val="en-GB"/>
        </w:rPr>
        <w:t>“</w:t>
      </w:r>
      <w:r w:rsidRPr="004C30B9">
        <w:rPr>
          <w:rFonts w:cstheme="minorHAnsi"/>
          <w:lang w:val="en-GB"/>
        </w:rPr>
        <w:t xml:space="preserve"> in refugee camps or reception or detention facilities</w:t>
      </w:r>
      <w:r w:rsidR="00C560F4" w:rsidRPr="004C30B9">
        <w:rPr>
          <w:rStyle w:val="Funotenzeichen"/>
          <w:rFonts w:cstheme="minorHAnsi"/>
        </w:rPr>
        <w:footnoteReference w:id="5"/>
      </w:r>
      <w:r w:rsidR="00E538A2" w:rsidRPr="00E538A2">
        <w:rPr>
          <w:rFonts w:cstheme="minorHAnsi"/>
          <w:lang w:val="en-GB"/>
        </w:rPr>
        <w:t>.</w:t>
      </w:r>
    </w:p>
    <w:p w:rsidR="004F3E30" w:rsidRPr="004C30B9" w:rsidRDefault="004F3E30" w:rsidP="002E5CF1">
      <w:pPr>
        <w:spacing w:line="240" w:lineRule="auto"/>
        <w:jc w:val="both"/>
        <w:rPr>
          <w:rFonts w:cstheme="minorHAnsi"/>
          <w:i/>
          <w:lang w:val="en-GB"/>
        </w:rPr>
      </w:pPr>
      <w:r w:rsidRPr="004C30B9">
        <w:rPr>
          <w:rFonts w:cstheme="minorHAnsi"/>
          <w:lang w:val="en-GB"/>
        </w:rPr>
        <w:t>l</w:t>
      </w:r>
      <w:r w:rsidRPr="004C30B9">
        <w:rPr>
          <w:rFonts w:cstheme="minorHAnsi"/>
          <w:i/>
          <w:lang w:val="en-GB"/>
        </w:rPr>
        <w:t>.) raise awareness among displaced women and girls and provide information in a language they can reasonably understand about legal pathways to obtain residence permits, which shall enable them to legally access the labour market and be granted independ</w:t>
      </w:r>
      <w:r w:rsidR="00477C99">
        <w:rPr>
          <w:rFonts w:cstheme="minorHAnsi"/>
          <w:i/>
          <w:lang w:val="en-GB"/>
        </w:rPr>
        <w:t>ent of family members or others.</w:t>
      </w:r>
    </w:p>
    <w:p w:rsidR="00306387" w:rsidRPr="00342130" w:rsidRDefault="00E538A2" w:rsidP="00E538A2">
      <w:pPr>
        <w:spacing w:line="240" w:lineRule="auto"/>
        <w:jc w:val="both"/>
        <w:rPr>
          <w:rFonts w:cstheme="minorHAnsi"/>
          <w:b/>
          <w:lang w:val="en-GB"/>
        </w:rPr>
      </w:pPr>
      <w:r w:rsidRPr="00342130">
        <w:rPr>
          <w:lang w:val="en-GB"/>
        </w:rPr>
        <w:t>Including these guarantees</w:t>
      </w:r>
      <w:r w:rsidR="00342130" w:rsidRPr="00342130">
        <w:rPr>
          <w:lang w:val="en-GB"/>
        </w:rPr>
        <w:t xml:space="preserve"> as an extra point would be consistent with other relevant legal frameworks such as </w:t>
      </w:r>
      <w:r w:rsidR="00477C99">
        <w:rPr>
          <w:lang w:val="en-GB"/>
        </w:rPr>
        <w:t xml:space="preserve">the </w:t>
      </w:r>
      <w:r w:rsidR="00342130" w:rsidRPr="009C7452">
        <w:rPr>
          <w:lang w:val="en-GB"/>
        </w:rPr>
        <w:t>Co</w:t>
      </w:r>
      <w:r w:rsidR="009C7452" w:rsidRPr="009C7452">
        <w:rPr>
          <w:lang w:val="en-GB"/>
        </w:rPr>
        <w:t>uncil of Europe</w:t>
      </w:r>
      <w:r w:rsidR="00342130" w:rsidRPr="009C7452">
        <w:rPr>
          <w:lang w:val="en-GB"/>
        </w:rPr>
        <w:t xml:space="preserve"> </w:t>
      </w:r>
      <w:r w:rsidR="009C7452" w:rsidRPr="009C7452">
        <w:rPr>
          <w:lang w:val="en-GB"/>
        </w:rPr>
        <w:t>“</w:t>
      </w:r>
      <w:r w:rsidR="00342130" w:rsidRPr="009C7452">
        <w:rPr>
          <w:lang w:val="en-GB"/>
        </w:rPr>
        <w:t>Istanbul Convention</w:t>
      </w:r>
      <w:r w:rsidR="009C7452" w:rsidRPr="009C7452">
        <w:rPr>
          <w:lang w:val="en-GB"/>
        </w:rPr>
        <w:t>”</w:t>
      </w:r>
      <w:r w:rsidR="00342130" w:rsidRPr="009C7452">
        <w:rPr>
          <w:lang w:val="en-GB"/>
        </w:rPr>
        <w:t xml:space="preserve"> or Directive 2013/33/EU (in</w:t>
      </w:r>
      <w:r w:rsidR="00342130">
        <w:rPr>
          <w:lang w:val="en-GB"/>
        </w:rPr>
        <w:t xml:space="preserve"> the European Context)</w:t>
      </w:r>
      <w:r w:rsidR="009C7452">
        <w:rPr>
          <w:lang w:val="en-GB"/>
        </w:rPr>
        <w:t xml:space="preserve"> in my opinion.</w:t>
      </w:r>
    </w:p>
    <w:p w:rsidR="009C7452" w:rsidRDefault="009C7452" w:rsidP="009C7452">
      <w:pPr>
        <w:ind w:right="326"/>
        <w:jc w:val="both"/>
        <w:rPr>
          <w:rFonts w:cstheme="minorHAnsi"/>
          <w:b/>
          <w:sz w:val="20"/>
          <w:szCs w:val="20"/>
          <w:lang w:val="en-GB"/>
        </w:rPr>
      </w:pPr>
    </w:p>
    <w:p w:rsidR="004F3E30" w:rsidRPr="009C7452" w:rsidRDefault="009C7452" w:rsidP="00B7657F">
      <w:pPr>
        <w:ind w:right="326"/>
        <w:rPr>
          <w:rFonts w:cstheme="minorHAnsi"/>
          <w:b/>
          <w:sz w:val="20"/>
          <w:szCs w:val="20"/>
          <w:lang w:val="en-GB"/>
        </w:rPr>
      </w:pPr>
      <w:r w:rsidRPr="009C7452">
        <w:rPr>
          <w:rFonts w:cstheme="minorHAnsi"/>
          <w:b/>
          <w:sz w:val="20"/>
          <w:szCs w:val="20"/>
          <w:lang w:val="en-GB"/>
        </w:rPr>
        <w:t xml:space="preserve">Chapter </w:t>
      </w:r>
      <w:r w:rsidR="00B7657F">
        <w:rPr>
          <w:rFonts w:cstheme="minorHAnsi"/>
          <w:b/>
          <w:sz w:val="20"/>
          <w:szCs w:val="20"/>
          <w:lang w:val="en-GB"/>
        </w:rPr>
        <w:t>IV</w:t>
      </w:r>
      <w:r w:rsidR="00B7657F">
        <w:rPr>
          <w:rFonts w:cstheme="minorHAnsi"/>
          <w:b/>
          <w:sz w:val="20"/>
          <w:szCs w:val="20"/>
          <w:lang w:val="en-GB"/>
        </w:rPr>
        <w:br/>
        <w:t xml:space="preserve"> </w:t>
      </w:r>
      <w:r w:rsidR="00B7657F">
        <w:rPr>
          <w:rFonts w:cstheme="minorHAnsi"/>
          <w:b/>
          <w:sz w:val="20"/>
          <w:szCs w:val="20"/>
          <w:lang w:val="en-GB"/>
        </w:rPr>
        <w:tab/>
      </w:r>
      <w:r w:rsidRPr="009C7452">
        <w:rPr>
          <w:rFonts w:cstheme="minorHAnsi"/>
          <w:b/>
          <w:sz w:val="20"/>
          <w:szCs w:val="20"/>
          <w:lang w:val="en-GB"/>
        </w:rPr>
        <w:t xml:space="preserve">point 45, lit a </w:t>
      </w:r>
      <w:r w:rsidR="004F3E30" w:rsidRPr="009C7452">
        <w:rPr>
          <w:rFonts w:cstheme="minorHAnsi"/>
          <w:b/>
          <w:sz w:val="20"/>
          <w:szCs w:val="20"/>
          <w:lang w:val="en-GB"/>
        </w:rPr>
        <w:t xml:space="preserve">Ensure access to asylum procedures: </w:t>
      </w:r>
    </w:p>
    <w:p w:rsidR="004F3E30" w:rsidRPr="008907D5" w:rsidRDefault="00807D3E" w:rsidP="002E5CF1">
      <w:pPr>
        <w:spacing w:line="240" w:lineRule="auto"/>
        <w:ind w:right="326"/>
        <w:jc w:val="both"/>
        <w:rPr>
          <w:rFonts w:cstheme="minorHAnsi"/>
          <w:lang w:val="en-GB"/>
        </w:rPr>
      </w:pPr>
      <w:r>
        <w:rPr>
          <w:rFonts w:cstheme="minorHAnsi"/>
          <w:lang w:val="en-GB"/>
        </w:rPr>
        <w:t>R</w:t>
      </w:r>
      <w:r w:rsidR="004F3E30" w:rsidRPr="008907D5">
        <w:rPr>
          <w:rFonts w:cstheme="minorHAnsi"/>
          <w:lang w:val="en-GB"/>
        </w:rPr>
        <w:t xml:space="preserve">ecommendation which might be taken into consideration with regard to a </w:t>
      </w:r>
      <w:r>
        <w:rPr>
          <w:rFonts w:cstheme="minorHAnsi"/>
          <w:lang w:val="en-GB"/>
        </w:rPr>
        <w:t xml:space="preserve">suggested </w:t>
      </w:r>
      <w:r w:rsidR="004F3E30" w:rsidRPr="008907D5">
        <w:rPr>
          <w:rFonts w:cstheme="minorHAnsi"/>
          <w:lang w:val="en-GB"/>
        </w:rPr>
        <w:t>slight revision of lit a (suggestion made in italic)</w:t>
      </w:r>
      <w:r>
        <w:rPr>
          <w:rFonts w:cstheme="minorHAnsi"/>
          <w:lang w:val="en-GB"/>
        </w:rPr>
        <w:t>:</w:t>
      </w:r>
    </w:p>
    <w:p w:rsidR="00342130" w:rsidRPr="009C7452" w:rsidRDefault="004F3E30" w:rsidP="00723254">
      <w:pPr>
        <w:pStyle w:val="Listenabsatz"/>
        <w:numPr>
          <w:ilvl w:val="0"/>
          <w:numId w:val="10"/>
        </w:numPr>
        <w:jc w:val="both"/>
        <w:rPr>
          <w:rFonts w:cstheme="minorHAnsi"/>
          <w:lang w:val="en-GB"/>
        </w:rPr>
      </w:pPr>
      <w:r w:rsidRPr="009C7452">
        <w:rPr>
          <w:rFonts w:cstheme="minorHAnsi"/>
          <w:sz w:val="22"/>
          <w:szCs w:val="22"/>
          <w:lang w:val="en-GB"/>
        </w:rPr>
        <w:t xml:space="preserve">Establish mechanisms for the identification of </w:t>
      </w:r>
      <w:r w:rsidRPr="009C7452">
        <w:rPr>
          <w:rFonts w:cstheme="minorHAnsi"/>
          <w:i/>
          <w:sz w:val="22"/>
          <w:szCs w:val="22"/>
          <w:lang w:val="en-GB"/>
        </w:rPr>
        <w:t>(potential)</w:t>
      </w:r>
      <w:r w:rsidRPr="009C7452">
        <w:rPr>
          <w:rFonts w:cstheme="minorHAnsi"/>
          <w:sz w:val="22"/>
          <w:szCs w:val="22"/>
          <w:lang w:val="en-GB"/>
        </w:rPr>
        <w:t xml:space="preserve"> victims of trafficking within the asylum procedure as well as referral mechanisms to ensure that asylum claims are assessed in an age and gender-sensitive procedure in order to respond to the specific protection need</w:t>
      </w:r>
      <w:r w:rsidR="00342130" w:rsidRPr="009C7452">
        <w:rPr>
          <w:rFonts w:cstheme="minorHAnsi"/>
          <w:sz w:val="22"/>
          <w:szCs w:val="22"/>
          <w:lang w:val="en-GB"/>
        </w:rPr>
        <w:t>s of trafficked women and girls</w:t>
      </w:r>
      <w:r w:rsidRPr="008907D5">
        <w:rPr>
          <w:rStyle w:val="Funotenzeichen"/>
          <w:rFonts w:cstheme="minorHAnsi"/>
          <w:sz w:val="22"/>
          <w:szCs w:val="22"/>
          <w:lang w:val="de-DE"/>
        </w:rPr>
        <w:footnoteReference w:id="6"/>
      </w:r>
    </w:p>
    <w:p w:rsidR="009C7452" w:rsidRPr="009C7452" w:rsidRDefault="009C7452" w:rsidP="009C7452">
      <w:pPr>
        <w:pStyle w:val="Listenabsatz"/>
        <w:jc w:val="both"/>
        <w:rPr>
          <w:rFonts w:cstheme="minorHAnsi"/>
          <w:lang w:val="en-GB"/>
        </w:rPr>
      </w:pPr>
    </w:p>
    <w:p w:rsidR="00342130" w:rsidRPr="00342130" w:rsidRDefault="00342130" w:rsidP="00342130">
      <w:pPr>
        <w:jc w:val="both"/>
        <w:rPr>
          <w:rFonts w:cstheme="minorHAnsi"/>
          <w:lang w:val="en-GB"/>
        </w:rPr>
      </w:pPr>
      <w:r>
        <w:rPr>
          <w:rFonts w:cstheme="minorHAnsi"/>
          <w:lang w:val="en-GB"/>
        </w:rPr>
        <w:t xml:space="preserve">My recommendation shall </w:t>
      </w:r>
      <w:r w:rsidR="00C73DEF">
        <w:rPr>
          <w:rFonts w:cstheme="minorHAnsi"/>
          <w:lang w:val="en-GB"/>
        </w:rPr>
        <w:t>take into account</w:t>
      </w:r>
      <w:r>
        <w:rPr>
          <w:rFonts w:cstheme="minorHAnsi"/>
          <w:lang w:val="en-GB"/>
        </w:rPr>
        <w:t xml:space="preserve"> </w:t>
      </w:r>
      <w:r w:rsidR="00807D3E">
        <w:rPr>
          <w:rFonts w:cstheme="minorHAnsi"/>
          <w:lang w:val="en-GB"/>
        </w:rPr>
        <w:t xml:space="preserve">of </w:t>
      </w:r>
      <w:r>
        <w:rPr>
          <w:rFonts w:cstheme="minorHAnsi"/>
          <w:lang w:val="en-GB"/>
        </w:rPr>
        <w:t xml:space="preserve">the concept and </w:t>
      </w:r>
      <w:r w:rsidR="00C73DEF">
        <w:rPr>
          <w:rFonts w:cstheme="minorHAnsi"/>
          <w:lang w:val="en-GB"/>
        </w:rPr>
        <w:t xml:space="preserve">positive state </w:t>
      </w:r>
      <w:r>
        <w:rPr>
          <w:rFonts w:cstheme="minorHAnsi"/>
          <w:lang w:val="en-GB"/>
        </w:rPr>
        <w:t xml:space="preserve">obligation of earliest possible identification of potential victims of trafficking (based on reasonable grounds) in order to ensure access to assistance and protection as soon as possible, independent of them being “formally” identified </w:t>
      </w:r>
      <w:r w:rsidR="00807D3E">
        <w:rPr>
          <w:rFonts w:cstheme="minorHAnsi"/>
          <w:lang w:val="en-GB"/>
        </w:rPr>
        <w:t xml:space="preserve">as a victim </w:t>
      </w:r>
      <w:r>
        <w:rPr>
          <w:rFonts w:cstheme="minorHAnsi"/>
          <w:lang w:val="en-GB"/>
        </w:rPr>
        <w:t xml:space="preserve">by an </w:t>
      </w:r>
      <w:r>
        <w:rPr>
          <w:rFonts w:cstheme="minorHAnsi"/>
          <w:lang w:val="en-GB"/>
        </w:rPr>
        <w:lastRenderedPageBreak/>
        <w:t xml:space="preserve">authority or court, independent of their willingness to cooperate with authorities </w:t>
      </w:r>
      <w:r w:rsidR="00C73DEF">
        <w:rPr>
          <w:rFonts w:cstheme="minorHAnsi"/>
          <w:lang w:val="en-GB"/>
        </w:rPr>
        <w:t>in investigation or criminal proceedings or willingness t</w:t>
      </w:r>
      <w:r>
        <w:rPr>
          <w:rFonts w:cstheme="minorHAnsi"/>
          <w:lang w:val="en-GB"/>
        </w:rPr>
        <w:t>o provide a testimonial statement to authorities or police</w:t>
      </w:r>
      <w:r>
        <w:rPr>
          <w:rStyle w:val="Funotenzeichen"/>
          <w:rFonts w:cstheme="minorHAnsi"/>
          <w:lang w:val="en-GB"/>
        </w:rPr>
        <w:footnoteReference w:id="7"/>
      </w:r>
      <w:r>
        <w:rPr>
          <w:rFonts w:cstheme="minorHAnsi"/>
          <w:lang w:val="en-GB"/>
        </w:rPr>
        <w:t>.</w:t>
      </w:r>
    </w:p>
    <w:p w:rsidR="004F3E30" w:rsidRPr="00B7657F" w:rsidRDefault="009C7452" w:rsidP="00B7657F">
      <w:pPr>
        <w:rPr>
          <w:rFonts w:cstheme="minorHAnsi"/>
          <w:b/>
          <w:sz w:val="20"/>
          <w:szCs w:val="20"/>
          <w:lang w:val="en-GB"/>
        </w:rPr>
      </w:pPr>
      <w:r w:rsidRPr="00B7657F">
        <w:rPr>
          <w:rFonts w:cstheme="minorHAnsi"/>
          <w:b/>
          <w:sz w:val="20"/>
          <w:szCs w:val="20"/>
          <w:lang w:val="en-GB"/>
        </w:rPr>
        <w:t xml:space="preserve">Chapter </w:t>
      </w:r>
      <w:r w:rsidR="00B7657F" w:rsidRPr="00B7657F">
        <w:rPr>
          <w:rFonts w:cstheme="minorHAnsi"/>
          <w:b/>
          <w:sz w:val="20"/>
          <w:szCs w:val="20"/>
          <w:lang w:val="en-GB"/>
        </w:rPr>
        <w:t>IV</w:t>
      </w:r>
      <w:r w:rsidR="00B7657F">
        <w:rPr>
          <w:rFonts w:cstheme="minorHAnsi"/>
          <w:b/>
          <w:sz w:val="20"/>
          <w:szCs w:val="20"/>
          <w:lang w:val="en-GB"/>
        </w:rPr>
        <w:br/>
        <w:t xml:space="preserve"> </w:t>
      </w:r>
      <w:r w:rsidR="00B7657F">
        <w:rPr>
          <w:rFonts w:cstheme="minorHAnsi"/>
          <w:b/>
          <w:sz w:val="20"/>
          <w:szCs w:val="20"/>
          <w:lang w:val="en-GB"/>
        </w:rPr>
        <w:tab/>
      </w:r>
      <w:r w:rsidRPr="00B7657F">
        <w:rPr>
          <w:rFonts w:cstheme="minorHAnsi"/>
          <w:b/>
          <w:sz w:val="20"/>
          <w:szCs w:val="20"/>
          <w:lang w:val="en-GB"/>
        </w:rPr>
        <w:t xml:space="preserve">point 45, lit d </w:t>
      </w:r>
      <w:r w:rsidR="004F3E30" w:rsidRPr="00B7657F">
        <w:rPr>
          <w:rFonts w:cstheme="minorHAnsi"/>
          <w:b/>
          <w:sz w:val="20"/>
          <w:szCs w:val="20"/>
          <w:lang w:val="en-GB"/>
        </w:rPr>
        <w:t xml:space="preserve">Provide resources to support asylum claimants during the application process; </w:t>
      </w:r>
    </w:p>
    <w:p w:rsidR="004F3E30" w:rsidRPr="004C30B9" w:rsidRDefault="004F3E30" w:rsidP="002E5CF1">
      <w:pPr>
        <w:spacing w:line="240" w:lineRule="auto"/>
        <w:jc w:val="both"/>
        <w:rPr>
          <w:rFonts w:cstheme="minorHAnsi"/>
          <w:lang w:val="en-GB"/>
        </w:rPr>
      </w:pPr>
      <w:r w:rsidRPr="004C30B9">
        <w:rPr>
          <w:rFonts w:cstheme="minorHAnsi"/>
          <w:lang w:val="en-GB"/>
        </w:rPr>
        <w:t xml:space="preserve">It appears to me that it might be considered to revise lit d </w:t>
      </w:r>
      <w:r w:rsidR="003B11D7" w:rsidRPr="004C30B9">
        <w:rPr>
          <w:rFonts w:cstheme="minorHAnsi"/>
          <w:lang w:val="en-GB"/>
        </w:rPr>
        <w:t xml:space="preserve">as at least for me </w:t>
      </w:r>
      <w:r w:rsidR="00807D3E">
        <w:rPr>
          <w:rFonts w:cstheme="minorHAnsi"/>
          <w:lang w:val="en-GB"/>
        </w:rPr>
        <w:t>the draft</w:t>
      </w:r>
      <w:r w:rsidR="00291912" w:rsidRPr="004C30B9">
        <w:rPr>
          <w:rFonts w:cstheme="minorHAnsi"/>
          <w:lang w:val="en-GB"/>
        </w:rPr>
        <w:t xml:space="preserve"> seems to be a bit unclear:</w:t>
      </w:r>
    </w:p>
    <w:p w:rsidR="00807D3E" w:rsidRDefault="003B11D7" w:rsidP="00807D3E">
      <w:pPr>
        <w:spacing w:after="0" w:line="240" w:lineRule="auto"/>
        <w:jc w:val="both"/>
        <w:rPr>
          <w:rFonts w:cstheme="minorHAnsi"/>
          <w:lang w:val="en-GB"/>
        </w:rPr>
      </w:pPr>
      <w:r w:rsidRPr="004C30B9">
        <w:rPr>
          <w:rFonts w:cstheme="minorHAnsi"/>
          <w:lang w:val="en-GB"/>
        </w:rPr>
        <w:t>What does „</w:t>
      </w:r>
      <w:r w:rsidR="008907D5" w:rsidRPr="004C30B9">
        <w:rPr>
          <w:rFonts w:cstheme="minorHAnsi"/>
          <w:lang w:val="en-GB"/>
        </w:rPr>
        <w:t>resources</w:t>
      </w:r>
      <w:r w:rsidRPr="004C30B9">
        <w:rPr>
          <w:rFonts w:cstheme="minorHAnsi"/>
          <w:lang w:val="en-GB"/>
        </w:rPr>
        <w:t xml:space="preserve"> to su</w:t>
      </w:r>
      <w:r w:rsidR="005E5444" w:rsidRPr="004C30B9">
        <w:rPr>
          <w:rFonts w:cstheme="minorHAnsi"/>
          <w:lang w:val="en-GB"/>
        </w:rPr>
        <w:t xml:space="preserve">pport asylum </w:t>
      </w:r>
      <w:proofErr w:type="gramStart"/>
      <w:r w:rsidR="005E5444" w:rsidRPr="004C30B9">
        <w:rPr>
          <w:rFonts w:cstheme="minorHAnsi"/>
          <w:lang w:val="en-GB"/>
        </w:rPr>
        <w:t>applicants“ mean</w:t>
      </w:r>
      <w:proofErr w:type="gramEnd"/>
      <w:r w:rsidR="005E5444" w:rsidRPr="004C30B9">
        <w:rPr>
          <w:rFonts w:cstheme="minorHAnsi"/>
          <w:lang w:val="en-GB"/>
        </w:rPr>
        <w:t xml:space="preserve">? </w:t>
      </w:r>
    </w:p>
    <w:p w:rsidR="003B11D7" w:rsidRPr="004C30B9" w:rsidRDefault="005E5444" w:rsidP="002E5CF1">
      <w:pPr>
        <w:spacing w:line="240" w:lineRule="auto"/>
        <w:jc w:val="both"/>
        <w:rPr>
          <w:rFonts w:cstheme="minorHAnsi"/>
          <w:lang w:val="en-GB"/>
        </w:rPr>
      </w:pPr>
      <w:r w:rsidRPr="004C30B9">
        <w:rPr>
          <w:rFonts w:cstheme="minorHAnsi"/>
          <w:lang w:val="en-GB"/>
        </w:rPr>
        <w:t>Does it refer</w:t>
      </w:r>
      <w:r w:rsidR="008907D5">
        <w:rPr>
          <w:rFonts w:cstheme="minorHAnsi"/>
          <w:lang w:val="en-GB"/>
        </w:rPr>
        <w:t xml:space="preserve"> to t</w:t>
      </w:r>
      <w:r w:rsidRPr="004C30B9">
        <w:rPr>
          <w:rFonts w:cstheme="minorHAnsi"/>
          <w:lang w:val="en-GB"/>
        </w:rPr>
        <w:t>he p</w:t>
      </w:r>
      <w:r w:rsidR="003B11D7" w:rsidRPr="004C30B9">
        <w:rPr>
          <w:rFonts w:cstheme="minorHAnsi"/>
          <w:lang w:val="en-GB"/>
        </w:rPr>
        <w:t>rovision of support and assistance including access to information</w:t>
      </w:r>
      <w:r w:rsidR="00342130">
        <w:rPr>
          <w:rFonts w:cstheme="minorHAnsi"/>
          <w:lang w:val="en-GB"/>
        </w:rPr>
        <w:t>?</w:t>
      </w:r>
    </w:p>
    <w:p w:rsidR="005E5444" w:rsidRPr="004C30B9" w:rsidRDefault="005E5444" w:rsidP="00807D3E">
      <w:pPr>
        <w:spacing w:after="0" w:line="240" w:lineRule="auto"/>
        <w:jc w:val="both"/>
        <w:rPr>
          <w:rFonts w:cstheme="minorHAnsi"/>
          <w:lang w:val="en-GB"/>
        </w:rPr>
      </w:pPr>
      <w:r w:rsidRPr="004C30B9">
        <w:rPr>
          <w:rFonts w:cstheme="minorHAnsi"/>
          <w:lang w:val="en-GB"/>
        </w:rPr>
        <w:t>Why is t</w:t>
      </w:r>
      <w:r w:rsidR="003B11D7" w:rsidRPr="004C30B9">
        <w:rPr>
          <w:rFonts w:cstheme="minorHAnsi"/>
          <w:lang w:val="en-GB"/>
        </w:rPr>
        <w:t xml:space="preserve">he provision of </w:t>
      </w:r>
      <w:r w:rsidR="008907D5" w:rsidRPr="004C30B9">
        <w:rPr>
          <w:rFonts w:cstheme="minorHAnsi"/>
          <w:lang w:val="en-GB"/>
        </w:rPr>
        <w:t>resources</w:t>
      </w:r>
      <w:r w:rsidR="003B11D7" w:rsidRPr="004C30B9">
        <w:rPr>
          <w:rFonts w:cstheme="minorHAnsi"/>
          <w:lang w:val="en-GB"/>
        </w:rPr>
        <w:t xml:space="preserve"> to support asylum applicants limited to</w:t>
      </w:r>
      <w:r w:rsidR="00342130">
        <w:rPr>
          <w:rFonts w:cstheme="minorHAnsi"/>
          <w:lang w:val="en-GB"/>
        </w:rPr>
        <w:t xml:space="preserve"> asylum application procedures?</w:t>
      </w:r>
    </w:p>
    <w:p w:rsidR="003B11D7" w:rsidRPr="004C30B9" w:rsidRDefault="003B11D7" w:rsidP="00C6415C">
      <w:pPr>
        <w:pStyle w:val="Listenabsatz"/>
        <w:numPr>
          <w:ilvl w:val="0"/>
          <w:numId w:val="18"/>
        </w:numPr>
        <w:ind w:left="426"/>
        <w:rPr>
          <w:rFonts w:cstheme="minorHAnsi"/>
          <w:sz w:val="22"/>
          <w:szCs w:val="22"/>
        </w:rPr>
      </w:pPr>
      <w:r w:rsidRPr="004C30B9">
        <w:rPr>
          <w:rFonts w:cstheme="minorHAnsi"/>
          <w:sz w:val="22"/>
          <w:szCs w:val="22"/>
        </w:rPr>
        <w:t xml:space="preserve">Shall it address ensuring access to asylum procedures taking into account </w:t>
      </w:r>
      <w:r w:rsidR="005E5444" w:rsidRPr="004C30B9">
        <w:rPr>
          <w:rFonts w:cstheme="minorHAnsi"/>
          <w:sz w:val="22"/>
          <w:szCs w:val="22"/>
        </w:rPr>
        <w:t xml:space="preserve">e.g. </w:t>
      </w:r>
      <w:r w:rsidRPr="004C30B9">
        <w:rPr>
          <w:rFonts w:cstheme="minorHAnsi"/>
          <w:sz w:val="22"/>
          <w:szCs w:val="22"/>
        </w:rPr>
        <w:t>pushbacks along borders</w:t>
      </w:r>
      <w:r w:rsidR="005E5444" w:rsidRPr="004C30B9">
        <w:rPr>
          <w:rFonts w:cstheme="minorHAnsi"/>
          <w:sz w:val="22"/>
          <w:szCs w:val="22"/>
        </w:rPr>
        <w:t>?</w:t>
      </w:r>
    </w:p>
    <w:p w:rsidR="003B11D7" w:rsidRPr="004C30B9" w:rsidRDefault="003B11D7" w:rsidP="00C6415C">
      <w:pPr>
        <w:pStyle w:val="Listenabsatz"/>
        <w:numPr>
          <w:ilvl w:val="0"/>
          <w:numId w:val="18"/>
        </w:numPr>
        <w:ind w:left="426"/>
        <w:rPr>
          <w:rFonts w:cstheme="minorHAnsi"/>
          <w:sz w:val="22"/>
          <w:szCs w:val="22"/>
        </w:rPr>
      </w:pPr>
      <w:r w:rsidRPr="004C30B9">
        <w:rPr>
          <w:rFonts w:cstheme="minorHAnsi"/>
          <w:sz w:val="22"/>
          <w:szCs w:val="22"/>
        </w:rPr>
        <w:t xml:space="preserve">Shall it address concrete guarantees for persons who wish to apply for asylum, such as access to legal counselling and info provision? </w:t>
      </w:r>
      <w:r w:rsidR="005E5444" w:rsidRPr="004C30B9">
        <w:rPr>
          <w:rFonts w:cstheme="minorHAnsi"/>
          <w:sz w:val="22"/>
          <w:szCs w:val="22"/>
        </w:rPr>
        <w:br/>
        <w:t>If so,</w:t>
      </w:r>
      <w:r w:rsidRPr="004C30B9">
        <w:rPr>
          <w:rFonts w:cstheme="minorHAnsi"/>
          <w:sz w:val="22"/>
          <w:szCs w:val="22"/>
        </w:rPr>
        <w:t xml:space="preserve"> I would kindly suggest to take into consideration to include an additional point here</w:t>
      </w:r>
      <w:r w:rsidR="00807D3E">
        <w:rPr>
          <w:rFonts w:cstheme="minorHAnsi"/>
          <w:sz w:val="22"/>
          <w:szCs w:val="22"/>
        </w:rPr>
        <w:t xml:space="preserve"> (suggestion in italic)</w:t>
      </w:r>
      <w:r w:rsidRPr="004C30B9">
        <w:rPr>
          <w:rFonts w:cstheme="minorHAnsi"/>
          <w:sz w:val="22"/>
          <w:szCs w:val="22"/>
        </w:rPr>
        <w:t>:</w:t>
      </w:r>
    </w:p>
    <w:p w:rsidR="003B11D7" w:rsidRPr="004C30B9" w:rsidRDefault="00484743" w:rsidP="002E5CF1">
      <w:pPr>
        <w:spacing w:line="240" w:lineRule="auto"/>
        <w:jc w:val="both"/>
        <w:rPr>
          <w:rFonts w:cstheme="minorHAnsi"/>
          <w:lang w:val="en-GB"/>
        </w:rPr>
      </w:pPr>
      <w:r w:rsidRPr="00807D3E">
        <w:rPr>
          <w:rFonts w:cstheme="minorHAnsi"/>
          <w:i/>
          <w:lang w:val="en-GB"/>
        </w:rPr>
        <w:t xml:space="preserve">Asylum claimants shall have access to information in a language they can reasonably understand in view of their personal circumstances and individual situation about their rights and guarantees as potential victims of trafficking as well as about services, assistance and protection </w:t>
      </w:r>
      <w:r w:rsidR="005E5444" w:rsidRPr="00807D3E">
        <w:rPr>
          <w:rFonts w:cstheme="minorHAnsi"/>
          <w:i/>
          <w:lang w:val="en-GB"/>
        </w:rPr>
        <w:t xml:space="preserve">during the asylum application process and </w:t>
      </w:r>
      <w:r w:rsidRPr="00807D3E">
        <w:rPr>
          <w:rFonts w:cstheme="minorHAnsi"/>
          <w:i/>
          <w:lang w:val="en-GB"/>
        </w:rPr>
        <w:t xml:space="preserve">in all </w:t>
      </w:r>
      <w:r w:rsidR="005E5444" w:rsidRPr="00807D3E">
        <w:rPr>
          <w:rFonts w:cstheme="minorHAnsi"/>
          <w:i/>
          <w:lang w:val="en-GB"/>
        </w:rPr>
        <w:t xml:space="preserve">(later) </w:t>
      </w:r>
      <w:r w:rsidRPr="00807D3E">
        <w:rPr>
          <w:rFonts w:cstheme="minorHAnsi"/>
          <w:i/>
          <w:lang w:val="en-GB"/>
        </w:rPr>
        <w:t>stages of their procedure</w:t>
      </w:r>
      <w:r w:rsidR="005E5444" w:rsidRPr="004C30B9">
        <w:rPr>
          <w:rStyle w:val="Funotenzeichen"/>
          <w:rFonts w:cstheme="minorHAnsi"/>
        </w:rPr>
        <w:footnoteReference w:id="8"/>
      </w:r>
    </w:p>
    <w:p w:rsidR="00484743" w:rsidRPr="005138F8" w:rsidRDefault="00484743" w:rsidP="002E5CF1">
      <w:pPr>
        <w:spacing w:line="240" w:lineRule="auto"/>
        <w:jc w:val="both"/>
        <w:rPr>
          <w:rFonts w:cstheme="minorHAnsi"/>
          <w:lang w:val="en-GB"/>
        </w:rPr>
      </w:pPr>
      <w:r w:rsidRPr="005138F8">
        <w:rPr>
          <w:rFonts w:cstheme="minorHAnsi"/>
          <w:lang w:val="en-GB"/>
        </w:rPr>
        <w:t xml:space="preserve">Suggestion for </w:t>
      </w:r>
      <w:r w:rsidR="005E5444" w:rsidRPr="005138F8">
        <w:rPr>
          <w:rFonts w:cstheme="minorHAnsi"/>
          <w:lang w:val="en-GB"/>
        </w:rPr>
        <w:t xml:space="preserve">an </w:t>
      </w:r>
      <w:r w:rsidRPr="005138F8">
        <w:rPr>
          <w:rFonts w:cstheme="minorHAnsi"/>
          <w:lang w:val="en-GB"/>
        </w:rPr>
        <w:t>additional point</w:t>
      </w:r>
      <w:r w:rsidR="00291912" w:rsidRPr="005138F8">
        <w:rPr>
          <w:rFonts w:cstheme="minorHAnsi"/>
          <w:lang w:val="en-GB"/>
        </w:rPr>
        <w:t xml:space="preserve"> to the list</w:t>
      </w:r>
      <w:r w:rsidR="00C637BC" w:rsidRPr="005138F8">
        <w:rPr>
          <w:rFonts w:cstheme="minorHAnsi"/>
          <w:lang w:val="en-GB"/>
        </w:rPr>
        <w:t xml:space="preserve"> (in italic)</w:t>
      </w:r>
      <w:r w:rsidRPr="005138F8">
        <w:rPr>
          <w:rFonts w:cstheme="minorHAnsi"/>
          <w:lang w:val="en-GB"/>
        </w:rPr>
        <w:t xml:space="preserve">: </w:t>
      </w:r>
    </w:p>
    <w:p w:rsidR="00484743" w:rsidRPr="00C637BC" w:rsidRDefault="00484743" w:rsidP="002E5CF1">
      <w:pPr>
        <w:spacing w:line="240" w:lineRule="auto"/>
        <w:jc w:val="both"/>
        <w:rPr>
          <w:rFonts w:cstheme="minorHAnsi"/>
          <w:i/>
          <w:lang w:val="en-GB"/>
        </w:rPr>
      </w:pPr>
      <w:r w:rsidRPr="00C637BC">
        <w:rPr>
          <w:rFonts w:cstheme="minorHAnsi"/>
          <w:i/>
          <w:lang w:val="en-GB"/>
        </w:rPr>
        <w:t>When assessing whether applications for asylum can be admitte</w:t>
      </w:r>
      <w:r w:rsidR="005E5444" w:rsidRPr="00C637BC">
        <w:rPr>
          <w:rFonts w:cstheme="minorHAnsi"/>
          <w:i/>
          <w:lang w:val="en-GB"/>
        </w:rPr>
        <w:t>d by a state to initiate</w:t>
      </w:r>
      <w:r w:rsidRPr="00C637BC">
        <w:rPr>
          <w:rFonts w:cstheme="minorHAnsi"/>
          <w:i/>
          <w:lang w:val="en-GB"/>
        </w:rPr>
        <w:t xml:space="preserve"> assessments on the merits</w:t>
      </w:r>
      <w:r w:rsidR="008907D5" w:rsidRPr="00C637BC">
        <w:rPr>
          <w:rFonts w:cstheme="minorHAnsi"/>
          <w:i/>
          <w:lang w:val="en-GB"/>
        </w:rPr>
        <w:t>,</w:t>
      </w:r>
      <w:r w:rsidRPr="00C637BC">
        <w:rPr>
          <w:rFonts w:cstheme="minorHAnsi"/>
          <w:i/>
          <w:lang w:val="en-GB"/>
        </w:rPr>
        <w:t xml:space="preserve"> due consideration shall be given to risks and/or past experiences related to trafficking in transfer countries</w:t>
      </w:r>
      <w:r w:rsidR="00C73DEF" w:rsidRPr="00C637BC">
        <w:rPr>
          <w:rFonts w:cstheme="minorHAnsi"/>
          <w:i/>
          <w:lang w:val="en-GB"/>
        </w:rPr>
        <w:t xml:space="preserve"> </w:t>
      </w:r>
    </w:p>
    <w:p w:rsidR="00C73DEF" w:rsidRDefault="00C73DEF" w:rsidP="002E5CF1">
      <w:pPr>
        <w:spacing w:line="240" w:lineRule="auto"/>
        <w:jc w:val="both"/>
        <w:rPr>
          <w:rFonts w:cstheme="minorHAnsi"/>
          <w:lang w:val="en-GB"/>
        </w:rPr>
      </w:pPr>
      <w:r w:rsidRPr="00C73DEF">
        <w:rPr>
          <w:rFonts w:cstheme="minorHAnsi"/>
          <w:lang w:val="en-GB"/>
        </w:rPr>
        <w:t xml:space="preserve">My recommendation takes into consideration that admissibility assessments shall have due regard to possible violations of the principle of </w:t>
      </w:r>
      <w:r w:rsidRPr="00C73DEF">
        <w:rPr>
          <w:rFonts w:cstheme="minorHAnsi"/>
          <w:i/>
          <w:lang w:val="en-GB"/>
        </w:rPr>
        <w:t>non-</w:t>
      </w:r>
      <w:proofErr w:type="spellStart"/>
      <w:r w:rsidRPr="00C73DEF">
        <w:rPr>
          <w:rFonts w:cstheme="minorHAnsi"/>
          <w:i/>
          <w:lang w:val="en-GB"/>
        </w:rPr>
        <w:t>refoulement</w:t>
      </w:r>
      <w:proofErr w:type="spellEnd"/>
      <w:r>
        <w:rPr>
          <w:rStyle w:val="Funotenzeichen"/>
          <w:rFonts w:cstheme="minorHAnsi"/>
          <w:i/>
          <w:lang w:val="en-GB"/>
        </w:rPr>
        <w:footnoteReference w:id="9"/>
      </w:r>
      <w:r w:rsidRPr="00C73DEF">
        <w:rPr>
          <w:rFonts w:cstheme="minorHAnsi"/>
          <w:lang w:val="en-GB"/>
        </w:rPr>
        <w:t xml:space="preserve"> or guarantees deriving from the right to be free from slavery </w:t>
      </w:r>
      <w:r>
        <w:rPr>
          <w:rFonts w:cstheme="minorHAnsi"/>
          <w:lang w:val="en-GB"/>
        </w:rPr>
        <w:t>and/or slavery-</w:t>
      </w:r>
      <w:r w:rsidRPr="00C73DEF">
        <w:rPr>
          <w:rFonts w:cstheme="minorHAnsi"/>
          <w:lang w:val="en-GB"/>
        </w:rPr>
        <w:t>like practices (including trafficking</w:t>
      </w:r>
      <w:r>
        <w:rPr>
          <w:rFonts w:cstheme="minorHAnsi"/>
          <w:lang w:val="en-GB"/>
        </w:rPr>
        <w:t xml:space="preserve"> for </w:t>
      </w:r>
      <w:r w:rsidRPr="00807D3E">
        <w:rPr>
          <w:rFonts w:cstheme="minorHAnsi"/>
          <w:lang w:val="en-GB"/>
        </w:rPr>
        <w:t>sexual exploitation)</w:t>
      </w:r>
      <w:r w:rsidRPr="00807D3E">
        <w:rPr>
          <w:rStyle w:val="Funotenzeichen"/>
          <w:rFonts w:cstheme="minorHAnsi"/>
          <w:lang w:val="en-GB"/>
        </w:rPr>
        <w:footnoteReference w:id="10"/>
      </w:r>
      <w:r w:rsidRPr="00807D3E">
        <w:rPr>
          <w:rFonts w:cstheme="minorHAnsi"/>
          <w:lang w:val="en-GB"/>
        </w:rPr>
        <w:t>.</w:t>
      </w:r>
    </w:p>
    <w:p w:rsidR="00C6415C" w:rsidRPr="004C30B9" w:rsidRDefault="00C6415C" w:rsidP="002E5CF1">
      <w:pPr>
        <w:spacing w:line="240" w:lineRule="auto"/>
        <w:jc w:val="both"/>
        <w:rPr>
          <w:rFonts w:cstheme="minorHAnsi"/>
          <w:b/>
          <w:lang w:val="en-GB"/>
        </w:rPr>
      </w:pPr>
    </w:p>
    <w:p w:rsidR="008B51B9" w:rsidRPr="00424DD4" w:rsidRDefault="00424DD4" w:rsidP="00424DD4">
      <w:pPr>
        <w:spacing w:line="240" w:lineRule="auto"/>
        <w:rPr>
          <w:rFonts w:cstheme="minorHAnsi"/>
          <w:b/>
          <w:sz w:val="20"/>
          <w:szCs w:val="20"/>
          <w:lang w:val="en-GB"/>
        </w:rPr>
      </w:pPr>
      <w:r w:rsidRPr="00B7657F">
        <w:rPr>
          <w:rFonts w:cstheme="minorHAnsi"/>
          <w:b/>
          <w:sz w:val="20"/>
          <w:szCs w:val="20"/>
          <w:lang w:val="en-GB"/>
        </w:rPr>
        <w:t>Chapter IV</w:t>
      </w:r>
      <w:r>
        <w:rPr>
          <w:rFonts w:cstheme="minorHAnsi"/>
          <w:b/>
          <w:sz w:val="20"/>
          <w:szCs w:val="20"/>
          <w:lang w:val="en-GB"/>
        </w:rPr>
        <w:br/>
        <w:t xml:space="preserve"> </w:t>
      </w:r>
      <w:r>
        <w:rPr>
          <w:rFonts w:cstheme="minorHAnsi"/>
          <w:b/>
          <w:sz w:val="20"/>
          <w:szCs w:val="20"/>
          <w:lang w:val="en-GB"/>
        </w:rPr>
        <w:tab/>
      </w:r>
      <w:r w:rsidRPr="00B7657F">
        <w:rPr>
          <w:rFonts w:cstheme="minorHAnsi"/>
          <w:b/>
          <w:sz w:val="20"/>
          <w:szCs w:val="20"/>
          <w:lang w:val="en-GB"/>
        </w:rPr>
        <w:t xml:space="preserve">point </w:t>
      </w:r>
      <w:r w:rsidR="008B51B9" w:rsidRPr="004C30B9">
        <w:rPr>
          <w:rFonts w:cstheme="minorHAnsi"/>
          <w:b/>
          <w:lang w:val="en-GB"/>
        </w:rPr>
        <w:t>57</w:t>
      </w:r>
      <w:r w:rsidR="00B41114" w:rsidRPr="004C30B9">
        <w:rPr>
          <w:rFonts w:cstheme="minorHAnsi"/>
          <w:b/>
          <w:lang w:val="en-GB"/>
        </w:rPr>
        <w:t xml:space="preserve"> </w:t>
      </w:r>
      <w:r w:rsidR="008B51B9" w:rsidRPr="00424DD4">
        <w:rPr>
          <w:rFonts w:cstheme="minorHAnsi"/>
          <w:b/>
          <w:sz w:val="20"/>
          <w:szCs w:val="20"/>
          <w:lang w:val="en-GB"/>
        </w:rPr>
        <w:t xml:space="preserve">Promote a gender responsive safe migration framework to protect, outgoing, returning and incoming </w:t>
      </w:r>
      <w:r w:rsidR="00C6415C">
        <w:rPr>
          <w:rFonts w:cstheme="minorHAnsi"/>
          <w:b/>
          <w:sz w:val="20"/>
          <w:szCs w:val="20"/>
          <w:lang w:val="en-GB"/>
        </w:rPr>
        <w:br/>
        <w:t xml:space="preserve"> </w:t>
      </w:r>
      <w:r w:rsidR="00C6415C">
        <w:rPr>
          <w:rFonts w:cstheme="minorHAnsi"/>
          <w:b/>
          <w:sz w:val="20"/>
          <w:szCs w:val="20"/>
          <w:lang w:val="en-GB"/>
        </w:rPr>
        <w:tab/>
      </w:r>
      <w:r w:rsidR="008B51B9" w:rsidRPr="00424DD4">
        <w:rPr>
          <w:rFonts w:cstheme="minorHAnsi"/>
          <w:b/>
          <w:sz w:val="20"/>
          <w:szCs w:val="20"/>
          <w:lang w:val="en-GB"/>
        </w:rPr>
        <w:t>women migrants, including irregular migrants, from all forms of violations of their human rights</w:t>
      </w:r>
      <w:r w:rsidR="008B51B9" w:rsidRPr="00424DD4">
        <w:rPr>
          <w:sz w:val="20"/>
          <w:szCs w:val="20"/>
          <w:vertAlign w:val="superscript"/>
          <w:lang w:val="en-GB"/>
        </w:rPr>
        <w:footnoteReference w:id="11"/>
      </w:r>
      <w:r w:rsidR="008B51B9" w:rsidRPr="00424DD4">
        <w:rPr>
          <w:rFonts w:cstheme="minorHAnsi"/>
          <w:b/>
          <w:sz w:val="20"/>
          <w:szCs w:val="20"/>
          <w:lang w:val="en-GB"/>
        </w:rPr>
        <w:t xml:space="preserve"> including by:</w:t>
      </w:r>
    </w:p>
    <w:p w:rsidR="00424DD4" w:rsidRPr="009E7104" w:rsidRDefault="008B51B9" w:rsidP="009E7104">
      <w:pPr>
        <w:pStyle w:val="Listenabsatz"/>
        <w:numPr>
          <w:ilvl w:val="0"/>
          <w:numId w:val="22"/>
        </w:numPr>
        <w:rPr>
          <w:rFonts w:cstheme="minorHAnsi"/>
          <w:b/>
          <w:lang w:val="en-GB"/>
        </w:rPr>
      </w:pPr>
      <w:r w:rsidRPr="009E7104">
        <w:rPr>
          <w:rFonts w:cstheme="minorHAnsi"/>
          <w:b/>
          <w:sz w:val="20"/>
          <w:szCs w:val="20"/>
          <w:lang w:val="en-GB"/>
        </w:rPr>
        <w:lastRenderedPageBreak/>
        <w:t>Ensuring respect for women’s autonomy in relevant policies including those regarding access to visas, residence permits, work permits and other documentation for migration;</w:t>
      </w:r>
      <w:r w:rsidRPr="00424DD4">
        <w:rPr>
          <w:vertAlign w:val="superscript"/>
        </w:rPr>
        <w:footnoteReference w:id="12"/>
      </w:r>
      <w:r w:rsidR="005E59BA" w:rsidRPr="009E7104">
        <w:rPr>
          <w:rFonts w:cstheme="minorHAnsi"/>
          <w:b/>
          <w:sz w:val="22"/>
          <w:szCs w:val="22"/>
          <w:lang w:val="en-GB"/>
        </w:rPr>
        <w:t xml:space="preserve"> </w:t>
      </w:r>
    </w:p>
    <w:p w:rsidR="008B51B9" w:rsidRPr="009E7104" w:rsidRDefault="00424DD4" w:rsidP="00424DD4">
      <w:pPr>
        <w:spacing w:line="240" w:lineRule="auto"/>
        <w:rPr>
          <w:rFonts w:cstheme="minorHAnsi"/>
          <w:lang w:val="en-GB"/>
        </w:rPr>
      </w:pPr>
      <w:r w:rsidRPr="009E7104">
        <w:rPr>
          <w:rFonts w:cstheme="minorHAnsi"/>
          <w:lang w:val="en-GB"/>
        </w:rPr>
        <w:t xml:space="preserve">I would recommend to include to ensure to respect a woman’s </w:t>
      </w:r>
      <w:r w:rsidR="005E59BA" w:rsidRPr="009E7104">
        <w:rPr>
          <w:rFonts w:cstheme="minorHAnsi"/>
          <w:lang w:val="en-GB"/>
        </w:rPr>
        <w:t xml:space="preserve">right to </w:t>
      </w:r>
      <w:r w:rsidR="009E7104">
        <w:rPr>
          <w:rFonts w:cstheme="minorHAnsi"/>
          <w:lang w:val="en-GB"/>
        </w:rPr>
        <w:t xml:space="preserve">a </w:t>
      </w:r>
      <w:r w:rsidR="005E59BA" w:rsidRPr="009E7104">
        <w:rPr>
          <w:rFonts w:cstheme="minorHAnsi"/>
          <w:lang w:val="en-GB"/>
        </w:rPr>
        <w:t>residence permit independent of partners or family members</w:t>
      </w:r>
      <w:r w:rsidRPr="009E7104">
        <w:rPr>
          <w:rFonts w:cstheme="minorHAnsi"/>
          <w:lang w:val="en-GB"/>
        </w:rPr>
        <w:t xml:space="preserve"> as it would reflect e.g. the guarantees laid down in the </w:t>
      </w:r>
      <w:proofErr w:type="spellStart"/>
      <w:r w:rsidRPr="009E7104">
        <w:rPr>
          <w:rFonts w:cstheme="minorHAnsi"/>
          <w:lang w:val="en-GB"/>
        </w:rPr>
        <w:t>CoE</w:t>
      </w:r>
      <w:proofErr w:type="spellEnd"/>
      <w:r w:rsidRPr="009E7104">
        <w:rPr>
          <w:rFonts w:cstheme="minorHAnsi"/>
          <w:lang w:val="en-GB"/>
        </w:rPr>
        <w:t xml:space="preserve"> Istanbul Convention (in Art 59 in particular) and can contribute to prevent sexual abuse and exploitation abusing a woman</w:t>
      </w:r>
      <w:r w:rsidR="009E7104">
        <w:rPr>
          <w:rFonts w:cstheme="minorHAnsi"/>
          <w:lang w:val="en-GB"/>
        </w:rPr>
        <w:t>’s</w:t>
      </w:r>
      <w:r w:rsidRPr="009E7104">
        <w:rPr>
          <w:rFonts w:cstheme="minorHAnsi"/>
          <w:lang w:val="en-GB"/>
        </w:rPr>
        <w:t xml:space="preserve"> or girl’s dependency</w:t>
      </w:r>
      <w:r w:rsidR="009E7104">
        <w:rPr>
          <w:rFonts w:cstheme="minorHAnsi"/>
          <w:lang w:val="en-GB"/>
        </w:rPr>
        <w:t>.</w:t>
      </w:r>
    </w:p>
    <w:p w:rsidR="008B51B9" w:rsidRPr="009E7104" w:rsidRDefault="008B51B9" w:rsidP="009E7104">
      <w:pPr>
        <w:pStyle w:val="Listenabsatz"/>
        <w:numPr>
          <w:ilvl w:val="0"/>
          <w:numId w:val="24"/>
        </w:numPr>
        <w:jc w:val="both"/>
        <w:rPr>
          <w:rFonts w:cstheme="minorHAnsi"/>
          <w:b/>
          <w:sz w:val="20"/>
          <w:szCs w:val="20"/>
          <w:lang w:val="en-GB"/>
        </w:rPr>
      </w:pPr>
      <w:r w:rsidRPr="009E7104">
        <w:rPr>
          <w:rFonts w:cstheme="minorHAnsi"/>
          <w:b/>
          <w:sz w:val="20"/>
          <w:szCs w:val="20"/>
          <w:lang w:val="en-GB"/>
        </w:rPr>
        <w:t>Reviewing and monitoring the impact of laws, policies and programmes affecting migrant women</w:t>
      </w:r>
      <w:r w:rsidRPr="009E7104">
        <w:rPr>
          <w:rStyle w:val="Funotenzeichen"/>
          <w:rFonts w:cstheme="minorHAnsi"/>
          <w:b/>
          <w:sz w:val="20"/>
          <w:szCs w:val="20"/>
          <w:lang w:val="de-DE"/>
        </w:rPr>
        <w:footnoteReference w:id="13"/>
      </w:r>
      <w:r w:rsidRPr="009E7104">
        <w:rPr>
          <w:rFonts w:cstheme="minorHAnsi"/>
          <w:b/>
          <w:sz w:val="20"/>
          <w:szCs w:val="20"/>
          <w:lang w:val="en-GB"/>
        </w:rPr>
        <w:t>, ensuring:</w:t>
      </w:r>
    </w:p>
    <w:p w:rsidR="009E7104" w:rsidRDefault="008B51B9" w:rsidP="002E5CF1">
      <w:pPr>
        <w:pStyle w:val="Listenabsatz"/>
        <w:numPr>
          <w:ilvl w:val="1"/>
          <w:numId w:val="1"/>
        </w:numPr>
        <w:jc w:val="both"/>
        <w:rPr>
          <w:rFonts w:cstheme="minorHAnsi"/>
          <w:color w:val="FF0000"/>
          <w:sz w:val="22"/>
          <w:szCs w:val="22"/>
          <w:lang w:val="en-GB"/>
        </w:rPr>
      </w:pPr>
      <w:r w:rsidRPr="009E7104">
        <w:rPr>
          <w:rFonts w:cstheme="minorHAnsi"/>
          <w:b/>
          <w:sz w:val="20"/>
          <w:szCs w:val="20"/>
          <w:lang w:val="en-GB"/>
        </w:rPr>
        <w:t xml:space="preserve">Respect for the principle of </w:t>
      </w:r>
      <w:r w:rsidRPr="009E7104">
        <w:rPr>
          <w:rFonts w:cstheme="minorHAnsi"/>
          <w:b/>
          <w:i/>
          <w:sz w:val="20"/>
          <w:szCs w:val="20"/>
          <w:lang w:val="en-GB"/>
        </w:rPr>
        <w:t>non-</w:t>
      </w:r>
      <w:proofErr w:type="spellStart"/>
      <w:r w:rsidRPr="009E7104">
        <w:rPr>
          <w:rFonts w:cstheme="minorHAnsi"/>
          <w:b/>
          <w:i/>
          <w:sz w:val="20"/>
          <w:szCs w:val="20"/>
          <w:lang w:val="en-GB"/>
        </w:rPr>
        <w:t>refoulement</w:t>
      </w:r>
      <w:proofErr w:type="spellEnd"/>
      <w:r w:rsidRPr="009E7104">
        <w:rPr>
          <w:rFonts w:cstheme="minorHAnsi"/>
          <w:b/>
          <w:sz w:val="20"/>
          <w:szCs w:val="20"/>
          <w:lang w:val="en-GB"/>
        </w:rPr>
        <w:t>;</w:t>
      </w:r>
      <w:r w:rsidRPr="004C30B9">
        <w:rPr>
          <w:rStyle w:val="Funotenzeichen"/>
          <w:rFonts w:cstheme="minorHAnsi"/>
          <w:b/>
          <w:sz w:val="22"/>
          <w:szCs w:val="22"/>
          <w:lang w:val="de-DE"/>
        </w:rPr>
        <w:footnoteReference w:id="14"/>
      </w:r>
      <w:r w:rsidR="00D1502E" w:rsidRPr="004C30B9">
        <w:rPr>
          <w:rFonts w:cstheme="minorHAnsi"/>
          <w:b/>
          <w:sz w:val="22"/>
          <w:szCs w:val="22"/>
          <w:lang w:val="en-GB"/>
        </w:rPr>
        <w:t xml:space="preserve"> </w:t>
      </w:r>
    </w:p>
    <w:p w:rsidR="008B51B9" w:rsidRPr="009E7104" w:rsidRDefault="009E7104" w:rsidP="009E7104">
      <w:pPr>
        <w:jc w:val="both"/>
        <w:rPr>
          <w:rFonts w:cstheme="minorHAnsi"/>
          <w:lang w:val="en-GB"/>
        </w:rPr>
      </w:pPr>
      <w:r w:rsidRPr="009E7104">
        <w:rPr>
          <w:rFonts w:cstheme="minorHAnsi"/>
          <w:lang w:val="en-GB"/>
        </w:rPr>
        <w:t>I would recommend to include</w:t>
      </w:r>
      <w:r w:rsidR="00D1502E" w:rsidRPr="009E7104">
        <w:rPr>
          <w:rFonts w:cstheme="minorHAnsi"/>
          <w:lang w:val="en-GB"/>
        </w:rPr>
        <w:t xml:space="preserve"> </w:t>
      </w:r>
      <w:r w:rsidRPr="009E7104">
        <w:rPr>
          <w:rFonts w:cstheme="minorHAnsi"/>
          <w:lang w:val="en-GB"/>
        </w:rPr>
        <w:t>“</w:t>
      </w:r>
      <w:r w:rsidR="00D1502E" w:rsidRPr="009E7104">
        <w:rPr>
          <w:rFonts w:cstheme="minorHAnsi"/>
          <w:lang w:val="en-GB"/>
        </w:rPr>
        <w:t>access to asylum procedures (</w:t>
      </w:r>
      <w:r w:rsidRPr="009E7104">
        <w:rPr>
          <w:rFonts w:cstheme="minorHAnsi"/>
          <w:lang w:val="en-GB"/>
        </w:rPr>
        <w:t>in particular</w:t>
      </w:r>
      <w:r w:rsidR="00D1502E" w:rsidRPr="009E7104">
        <w:rPr>
          <w:rFonts w:cstheme="minorHAnsi"/>
          <w:lang w:val="en-GB"/>
        </w:rPr>
        <w:t xml:space="preserve"> in cases where potential victims of trafficking fear (re-)trafficking upon return to their countries)</w:t>
      </w:r>
      <w:r w:rsidRPr="009E7104">
        <w:rPr>
          <w:rFonts w:cstheme="minorHAnsi"/>
          <w:lang w:val="en-GB"/>
        </w:rPr>
        <w:t xml:space="preserve">” to lit a, upholding the Saving Clause in Art 14 </w:t>
      </w:r>
      <w:r w:rsidR="00353B9C">
        <w:rPr>
          <w:rFonts w:cstheme="minorHAnsi"/>
          <w:lang w:val="en-GB"/>
        </w:rPr>
        <w:t xml:space="preserve">UN </w:t>
      </w:r>
      <w:r w:rsidRPr="009E7104">
        <w:rPr>
          <w:rFonts w:cstheme="minorHAnsi"/>
          <w:lang w:val="en-GB"/>
        </w:rPr>
        <w:t>Palermo Protocol.</w:t>
      </w:r>
    </w:p>
    <w:p w:rsidR="0080703A" w:rsidRPr="004C30B9" w:rsidRDefault="0080703A" w:rsidP="002E5CF1">
      <w:pPr>
        <w:spacing w:line="240" w:lineRule="auto"/>
        <w:jc w:val="both"/>
        <w:rPr>
          <w:rFonts w:cstheme="minorHAnsi"/>
          <w:b/>
          <w:lang w:val="en-GB"/>
        </w:rPr>
      </w:pPr>
    </w:p>
    <w:p w:rsidR="0080703A" w:rsidRPr="00000327" w:rsidRDefault="00000327" w:rsidP="00000327">
      <w:pPr>
        <w:spacing w:line="240" w:lineRule="auto"/>
        <w:rPr>
          <w:rFonts w:cstheme="minorHAnsi"/>
          <w:b/>
          <w:sz w:val="20"/>
          <w:szCs w:val="20"/>
          <w:lang w:val="en-GB"/>
        </w:rPr>
      </w:pPr>
      <w:r w:rsidRPr="00000327">
        <w:rPr>
          <w:rFonts w:cstheme="minorHAnsi"/>
          <w:b/>
          <w:sz w:val="20"/>
          <w:szCs w:val="20"/>
          <w:lang w:val="en-GB"/>
        </w:rPr>
        <w:t xml:space="preserve">Chapter V </w:t>
      </w:r>
      <w:r w:rsidRPr="00000327">
        <w:rPr>
          <w:rFonts w:cstheme="minorHAnsi"/>
          <w:b/>
          <w:sz w:val="20"/>
          <w:szCs w:val="20"/>
          <w:lang w:val="en-GB"/>
        </w:rPr>
        <w:br/>
      </w:r>
      <w:r>
        <w:rPr>
          <w:rFonts w:cstheme="minorHAnsi"/>
          <w:b/>
          <w:sz w:val="20"/>
          <w:szCs w:val="20"/>
          <w:lang w:val="en-GB"/>
        </w:rPr>
        <w:t xml:space="preserve"> </w:t>
      </w:r>
      <w:r>
        <w:rPr>
          <w:rFonts w:cstheme="minorHAnsi"/>
          <w:b/>
          <w:sz w:val="20"/>
          <w:szCs w:val="20"/>
          <w:lang w:val="en-GB"/>
        </w:rPr>
        <w:tab/>
      </w:r>
      <w:r w:rsidRPr="00000327">
        <w:rPr>
          <w:rFonts w:cstheme="minorHAnsi"/>
          <w:b/>
          <w:sz w:val="20"/>
          <w:szCs w:val="20"/>
          <w:lang w:val="en-GB"/>
        </w:rPr>
        <w:t xml:space="preserve">points </w:t>
      </w:r>
      <w:r w:rsidR="0080703A" w:rsidRPr="00000327">
        <w:rPr>
          <w:rFonts w:cstheme="minorHAnsi"/>
          <w:b/>
          <w:sz w:val="20"/>
          <w:szCs w:val="20"/>
          <w:lang w:val="en-GB"/>
        </w:rPr>
        <w:t>67 and 68</w:t>
      </w:r>
    </w:p>
    <w:p w:rsidR="0080703A" w:rsidRPr="004C30B9" w:rsidRDefault="0080703A" w:rsidP="002E5CF1">
      <w:pPr>
        <w:spacing w:line="240" w:lineRule="auto"/>
        <w:jc w:val="both"/>
        <w:rPr>
          <w:rFonts w:cstheme="minorHAnsi"/>
          <w:lang w:val="en-GB"/>
        </w:rPr>
      </w:pPr>
      <w:r w:rsidRPr="004C30B9">
        <w:rPr>
          <w:rFonts w:cstheme="minorHAnsi"/>
          <w:lang w:val="en-GB"/>
        </w:rPr>
        <w:t xml:space="preserve">I would kindly propose to take into consideration to include other professionals who are/might regularly be </w:t>
      </w:r>
      <w:r w:rsidR="002E1160" w:rsidRPr="004C30B9">
        <w:rPr>
          <w:rFonts w:cstheme="minorHAnsi"/>
          <w:lang w:val="en-GB"/>
        </w:rPr>
        <w:t xml:space="preserve">in contact with potential victims of trafficking or </w:t>
      </w:r>
      <w:r w:rsidRPr="004C30B9">
        <w:rPr>
          <w:rFonts w:cstheme="minorHAnsi"/>
          <w:lang w:val="en-GB"/>
        </w:rPr>
        <w:t>involved in the process of early identification and protection of presumed victims</w:t>
      </w:r>
      <w:r w:rsidR="008907D5">
        <w:rPr>
          <w:rStyle w:val="Funotenzeichen"/>
          <w:rFonts w:cstheme="minorHAnsi"/>
          <w:lang w:val="en-GB"/>
        </w:rPr>
        <w:footnoteReference w:id="15"/>
      </w:r>
      <w:r w:rsidRPr="004C30B9">
        <w:rPr>
          <w:rFonts w:cstheme="minorHAnsi"/>
          <w:lang w:val="en-GB"/>
        </w:rPr>
        <w:t>.</w:t>
      </w:r>
    </w:p>
    <w:p w:rsidR="0080703A" w:rsidRPr="004C30B9" w:rsidRDefault="0080703A" w:rsidP="002E5CF1">
      <w:pPr>
        <w:spacing w:line="240" w:lineRule="auto"/>
        <w:jc w:val="both"/>
        <w:rPr>
          <w:rFonts w:cstheme="minorHAnsi"/>
          <w:lang w:val="en-GB"/>
        </w:rPr>
      </w:pPr>
      <w:r w:rsidRPr="004C30B9">
        <w:rPr>
          <w:rFonts w:cstheme="minorHAnsi"/>
          <w:lang w:val="en-GB"/>
        </w:rPr>
        <w:t>Certainly</w:t>
      </w:r>
      <w:r w:rsidR="00353B9C">
        <w:rPr>
          <w:rFonts w:cstheme="minorHAnsi"/>
          <w:lang w:val="en-GB"/>
        </w:rPr>
        <w:t>,</w:t>
      </w:r>
      <w:r w:rsidRPr="004C30B9">
        <w:rPr>
          <w:rFonts w:cstheme="minorHAnsi"/>
          <w:lang w:val="en-GB"/>
        </w:rPr>
        <w:t xml:space="preserve"> access to health is a</w:t>
      </w:r>
      <w:r w:rsidR="005E5444" w:rsidRPr="004C30B9">
        <w:rPr>
          <w:rFonts w:cstheme="minorHAnsi"/>
          <w:lang w:val="en-GB"/>
        </w:rPr>
        <w:t xml:space="preserve">n urgent and crucial </w:t>
      </w:r>
      <w:r w:rsidRPr="004C30B9">
        <w:rPr>
          <w:rFonts w:cstheme="minorHAnsi"/>
          <w:lang w:val="en-GB"/>
        </w:rPr>
        <w:t xml:space="preserve">issue </w:t>
      </w:r>
      <w:r w:rsidR="00000327">
        <w:rPr>
          <w:rFonts w:cstheme="minorHAnsi"/>
          <w:lang w:val="en-GB"/>
        </w:rPr>
        <w:t>to ensure victims’ protection and assistance</w:t>
      </w:r>
      <w:r w:rsidR="00353B9C">
        <w:rPr>
          <w:rFonts w:cstheme="minorHAnsi"/>
          <w:lang w:val="en-GB"/>
        </w:rPr>
        <w:t>,</w:t>
      </w:r>
      <w:r w:rsidR="00000327">
        <w:rPr>
          <w:rFonts w:cstheme="minorHAnsi"/>
          <w:lang w:val="en-GB"/>
        </w:rPr>
        <w:t xml:space="preserve"> </w:t>
      </w:r>
      <w:r w:rsidRPr="004C30B9">
        <w:rPr>
          <w:rFonts w:cstheme="minorHAnsi"/>
          <w:lang w:val="en-GB"/>
        </w:rPr>
        <w:t>whereas I would respectfully argue that access to other services and professionals should be considered as well</w:t>
      </w:r>
      <w:r w:rsidR="009822F0" w:rsidRPr="004C30B9">
        <w:rPr>
          <w:rFonts w:cstheme="minorHAnsi"/>
          <w:lang w:val="en-GB"/>
        </w:rPr>
        <w:t xml:space="preserve"> in this paragraph</w:t>
      </w:r>
      <w:r w:rsidRPr="004C30B9">
        <w:rPr>
          <w:rFonts w:cstheme="minorHAnsi"/>
          <w:lang w:val="en-GB"/>
        </w:rPr>
        <w:t>. Consequently</w:t>
      </w:r>
      <w:r w:rsidR="002E1160" w:rsidRPr="004C30B9">
        <w:rPr>
          <w:rFonts w:cstheme="minorHAnsi"/>
          <w:lang w:val="en-GB"/>
        </w:rPr>
        <w:t>,</w:t>
      </w:r>
      <w:r w:rsidRPr="004C30B9">
        <w:rPr>
          <w:rFonts w:cstheme="minorHAnsi"/>
          <w:lang w:val="en-GB"/>
        </w:rPr>
        <w:t xml:space="preserve"> Standard </w:t>
      </w:r>
      <w:r w:rsidR="008907D5" w:rsidRPr="004C30B9">
        <w:rPr>
          <w:rFonts w:cstheme="minorHAnsi"/>
          <w:lang w:val="en-GB"/>
        </w:rPr>
        <w:t>Operational</w:t>
      </w:r>
      <w:r w:rsidRPr="004C30B9">
        <w:rPr>
          <w:rFonts w:cstheme="minorHAnsi"/>
          <w:lang w:val="en-GB"/>
        </w:rPr>
        <w:t xml:space="preserve"> Procedures </w:t>
      </w:r>
      <w:r w:rsidR="005D2916">
        <w:rPr>
          <w:rFonts w:cstheme="minorHAnsi"/>
          <w:lang w:val="en-GB"/>
        </w:rPr>
        <w:t xml:space="preserve">(SOPs) </w:t>
      </w:r>
      <w:r w:rsidRPr="004C30B9">
        <w:rPr>
          <w:rFonts w:cstheme="minorHAnsi"/>
          <w:lang w:val="en-GB"/>
        </w:rPr>
        <w:t>should be developed consider</w:t>
      </w:r>
      <w:r w:rsidR="009822F0" w:rsidRPr="004C30B9">
        <w:rPr>
          <w:rFonts w:cstheme="minorHAnsi"/>
          <w:lang w:val="en-GB"/>
        </w:rPr>
        <w:t xml:space="preserve">ing all different services and </w:t>
      </w:r>
      <w:r w:rsidRPr="004C30B9">
        <w:rPr>
          <w:rFonts w:cstheme="minorHAnsi"/>
          <w:lang w:val="en-GB"/>
        </w:rPr>
        <w:t>service</w:t>
      </w:r>
      <w:r w:rsidR="00000327">
        <w:rPr>
          <w:rFonts w:cstheme="minorHAnsi"/>
          <w:lang w:val="en-GB"/>
        </w:rPr>
        <w:t xml:space="preserve"> providers, both state- and non-</w:t>
      </w:r>
      <w:r w:rsidRPr="004C30B9">
        <w:rPr>
          <w:rFonts w:cstheme="minorHAnsi"/>
          <w:lang w:val="en-GB"/>
        </w:rPr>
        <w:t xml:space="preserve">state actors (such as NGOs). It shall be ensured that </w:t>
      </w:r>
      <w:r w:rsidR="00353B9C">
        <w:rPr>
          <w:rFonts w:cstheme="minorHAnsi"/>
          <w:lang w:val="en-GB"/>
        </w:rPr>
        <w:t>SOPs</w:t>
      </w:r>
      <w:r w:rsidRPr="004C30B9">
        <w:rPr>
          <w:rFonts w:cstheme="minorHAnsi"/>
          <w:lang w:val="en-GB"/>
        </w:rPr>
        <w:t xml:space="preserve"> are developed but also </w:t>
      </w:r>
      <w:r w:rsidR="00353B9C">
        <w:rPr>
          <w:rFonts w:cstheme="minorHAnsi"/>
          <w:lang w:val="en-GB"/>
        </w:rPr>
        <w:t>reviewed systematically on a regular basis</w:t>
      </w:r>
      <w:r w:rsidRPr="004C30B9">
        <w:rPr>
          <w:rFonts w:cstheme="minorHAnsi"/>
          <w:lang w:val="en-GB"/>
        </w:rPr>
        <w:t xml:space="preserve"> ensuring applicability and implemen</w:t>
      </w:r>
      <w:r w:rsidR="009822F0" w:rsidRPr="004C30B9">
        <w:rPr>
          <w:rFonts w:cstheme="minorHAnsi"/>
          <w:lang w:val="en-GB"/>
        </w:rPr>
        <w:t xml:space="preserve">tation by all actors involved and to ensure that </w:t>
      </w:r>
      <w:r w:rsidR="00353B9C">
        <w:rPr>
          <w:rFonts w:cstheme="minorHAnsi"/>
          <w:lang w:val="en-GB"/>
        </w:rPr>
        <w:t xml:space="preserve">the </w:t>
      </w:r>
      <w:r w:rsidR="009822F0" w:rsidRPr="004C30B9">
        <w:rPr>
          <w:rFonts w:cstheme="minorHAnsi"/>
          <w:lang w:val="en-GB"/>
        </w:rPr>
        <w:t xml:space="preserve">chain of intervention is </w:t>
      </w:r>
      <w:r w:rsidR="00353B9C">
        <w:rPr>
          <w:rFonts w:cstheme="minorHAnsi"/>
          <w:lang w:val="en-GB"/>
        </w:rPr>
        <w:t xml:space="preserve">not </w:t>
      </w:r>
      <w:r w:rsidR="009822F0" w:rsidRPr="004C30B9">
        <w:rPr>
          <w:rFonts w:cstheme="minorHAnsi"/>
          <w:lang w:val="en-GB"/>
        </w:rPr>
        <w:t>being interrupted</w:t>
      </w:r>
      <w:r w:rsidR="000A7AE6" w:rsidRPr="004C30B9">
        <w:rPr>
          <w:rFonts w:cstheme="minorHAnsi"/>
          <w:lang w:val="en-GB"/>
        </w:rPr>
        <w:t>.</w:t>
      </w:r>
    </w:p>
    <w:p w:rsidR="009822F0" w:rsidRPr="00C352C1" w:rsidRDefault="009822F0" w:rsidP="002E5CF1">
      <w:pPr>
        <w:spacing w:line="240" w:lineRule="auto"/>
        <w:jc w:val="both"/>
        <w:rPr>
          <w:rFonts w:cstheme="minorHAnsi"/>
          <w:lang w:val="en-GB"/>
        </w:rPr>
      </w:pPr>
      <w:r w:rsidRPr="00C352C1">
        <w:rPr>
          <w:rFonts w:cstheme="minorHAnsi"/>
          <w:lang w:val="en-GB"/>
        </w:rPr>
        <w:t>Suggestions for additional points</w:t>
      </w:r>
      <w:r w:rsidR="00C352C1" w:rsidRPr="00C352C1">
        <w:rPr>
          <w:rFonts w:cstheme="minorHAnsi"/>
          <w:lang w:val="en-GB"/>
        </w:rPr>
        <w:t xml:space="preserve"> which are based on guarantees and </w:t>
      </w:r>
      <w:r w:rsidR="00C352C1">
        <w:rPr>
          <w:rFonts w:cstheme="minorHAnsi"/>
          <w:lang w:val="en-GB"/>
        </w:rPr>
        <w:t xml:space="preserve">positive </w:t>
      </w:r>
      <w:r w:rsidR="00C352C1" w:rsidRPr="00C352C1">
        <w:rPr>
          <w:rFonts w:cstheme="minorHAnsi"/>
          <w:lang w:val="en-GB"/>
        </w:rPr>
        <w:t xml:space="preserve">state obligations </w:t>
      </w:r>
      <w:r w:rsidR="00C352C1">
        <w:rPr>
          <w:rFonts w:cstheme="minorHAnsi"/>
          <w:lang w:val="en-GB"/>
        </w:rPr>
        <w:t xml:space="preserve">deriving from Directive 2012/29/EU, 2011/36/EU, 2013/33/EU, </w:t>
      </w:r>
      <w:proofErr w:type="spellStart"/>
      <w:r w:rsidR="00C352C1" w:rsidRPr="00C352C1">
        <w:rPr>
          <w:rFonts w:cstheme="minorHAnsi"/>
          <w:lang w:val="en-GB"/>
        </w:rPr>
        <w:t>CoE</w:t>
      </w:r>
      <w:proofErr w:type="spellEnd"/>
      <w:r w:rsidR="00C352C1" w:rsidRPr="00C352C1">
        <w:rPr>
          <w:rFonts w:cstheme="minorHAnsi"/>
          <w:lang w:val="en-GB"/>
        </w:rPr>
        <w:t xml:space="preserve"> </w:t>
      </w:r>
      <w:r w:rsidR="00C637BC">
        <w:rPr>
          <w:rFonts w:cstheme="minorHAnsi"/>
          <w:lang w:val="en-GB"/>
        </w:rPr>
        <w:t xml:space="preserve">Istanbul Convention and </w:t>
      </w:r>
      <w:proofErr w:type="spellStart"/>
      <w:r w:rsidR="00C637BC">
        <w:rPr>
          <w:rFonts w:cstheme="minorHAnsi"/>
          <w:lang w:val="en-GB"/>
        </w:rPr>
        <w:t>CoE</w:t>
      </w:r>
      <w:proofErr w:type="spellEnd"/>
      <w:r w:rsidR="00C637BC">
        <w:rPr>
          <w:rFonts w:cstheme="minorHAnsi"/>
          <w:lang w:val="en-GB"/>
        </w:rPr>
        <w:t xml:space="preserve"> Anti-Trafficking Convention</w:t>
      </w:r>
      <w:r w:rsidR="00C352C1" w:rsidRPr="00C352C1">
        <w:rPr>
          <w:rFonts w:cstheme="minorHAnsi"/>
          <w:lang w:val="en-GB"/>
        </w:rPr>
        <w:t>, as ex</w:t>
      </w:r>
      <w:r w:rsidR="005D2916">
        <w:rPr>
          <w:rFonts w:cstheme="minorHAnsi"/>
          <w:lang w:val="en-GB"/>
        </w:rPr>
        <w:t xml:space="preserve">amples for the European </w:t>
      </w:r>
      <w:r w:rsidR="00C352C1" w:rsidRPr="00C352C1">
        <w:rPr>
          <w:rFonts w:cstheme="minorHAnsi"/>
          <w:lang w:val="en-GB"/>
        </w:rPr>
        <w:t>context</w:t>
      </w:r>
      <w:r w:rsidR="005D2916">
        <w:rPr>
          <w:rFonts w:cstheme="minorHAnsi"/>
          <w:lang w:val="en-GB"/>
        </w:rPr>
        <w:t xml:space="preserve"> (including </w:t>
      </w:r>
      <w:r w:rsidR="00C637BC" w:rsidRPr="00C637BC">
        <w:rPr>
          <w:rFonts w:cstheme="minorHAnsi"/>
          <w:lang w:val="en-GB"/>
        </w:rPr>
        <w:t>members of the</w:t>
      </w:r>
      <w:r w:rsidR="005D2916" w:rsidRPr="00C637BC">
        <w:rPr>
          <w:rFonts w:cstheme="minorHAnsi"/>
          <w:lang w:val="en-GB"/>
        </w:rPr>
        <w:t xml:space="preserve"> </w:t>
      </w:r>
      <w:proofErr w:type="spellStart"/>
      <w:r w:rsidR="005D2916" w:rsidRPr="00C637BC">
        <w:rPr>
          <w:rFonts w:cstheme="minorHAnsi"/>
          <w:lang w:val="en-GB"/>
        </w:rPr>
        <w:t>CoE</w:t>
      </w:r>
      <w:proofErr w:type="spellEnd"/>
      <w:r w:rsidR="005D2916" w:rsidRPr="00C637BC">
        <w:rPr>
          <w:rFonts w:cstheme="minorHAnsi"/>
          <w:lang w:val="en-GB"/>
        </w:rPr>
        <w:t>)</w:t>
      </w:r>
      <w:r w:rsidR="00C352C1" w:rsidRPr="00C637BC">
        <w:rPr>
          <w:rFonts w:cstheme="minorHAnsi"/>
          <w:lang w:val="en-GB"/>
        </w:rPr>
        <w:t>,</w:t>
      </w:r>
      <w:r w:rsidR="00C352C1" w:rsidRPr="00C352C1">
        <w:rPr>
          <w:rFonts w:cstheme="minorHAnsi"/>
          <w:lang w:val="en-GB"/>
        </w:rPr>
        <w:t xml:space="preserve"> but also from e.g. Art 14 UN Anti Torture Convention or the UN CRC</w:t>
      </w:r>
      <w:r w:rsidR="00C352C1" w:rsidRPr="00C352C1">
        <w:rPr>
          <w:vertAlign w:val="superscript"/>
        </w:rPr>
        <w:footnoteReference w:id="16"/>
      </w:r>
      <w:r w:rsidR="005D2916">
        <w:rPr>
          <w:rFonts w:cstheme="minorHAnsi"/>
          <w:lang w:val="en-GB"/>
        </w:rPr>
        <w:t xml:space="preserve"> or </w:t>
      </w:r>
      <w:r w:rsidR="005D2916" w:rsidRPr="00C637BC">
        <w:rPr>
          <w:rFonts w:cstheme="minorHAnsi"/>
          <w:lang w:val="en-GB"/>
        </w:rPr>
        <w:t xml:space="preserve">the </w:t>
      </w:r>
      <w:r w:rsidR="009E7104" w:rsidRPr="00C637BC">
        <w:rPr>
          <w:rFonts w:cstheme="minorHAnsi"/>
          <w:lang w:val="en-GB"/>
        </w:rPr>
        <w:t xml:space="preserve">UN </w:t>
      </w:r>
      <w:r w:rsidR="00C637BC" w:rsidRPr="00C637BC">
        <w:rPr>
          <w:rFonts w:cstheme="minorHAnsi"/>
          <w:lang w:val="en-GB"/>
        </w:rPr>
        <w:t>CRPD</w:t>
      </w:r>
      <w:r w:rsidR="00353B9C">
        <w:rPr>
          <w:rFonts w:cstheme="minorHAnsi"/>
          <w:lang w:val="en-GB"/>
        </w:rPr>
        <w:t>:</w:t>
      </w:r>
    </w:p>
    <w:p w:rsidR="0080703A" w:rsidRPr="004C30B9" w:rsidRDefault="0080703A" w:rsidP="00C6415C">
      <w:pPr>
        <w:pStyle w:val="Listenabsatz"/>
        <w:numPr>
          <w:ilvl w:val="0"/>
          <w:numId w:val="19"/>
        </w:numPr>
        <w:ind w:left="426"/>
        <w:jc w:val="both"/>
        <w:rPr>
          <w:rFonts w:cstheme="minorHAnsi"/>
          <w:sz w:val="22"/>
          <w:szCs w:val="22"/>
        </w:rPr>
      </w:pPr>
      <w:r w:rsidRPr="004C30B9">
        <w:rPr>
          <w:rFonts w:cstheme="minorHAnsi"/>
          <w:sz w:val="22"/>
          <w:szCs w:val="22"/>
        </w:rPr>
        <w:t>Ensuring access to adequate material reception conditions including accommodation addressing individual protection needs</w:t>
      </w:r>
    </w:p>
    <w:p w:rsidR="009822F0" w:rsidRPr="004C30B9" w:rsidRDefault="009822F0" w:rsidP="00C6415C">
      <w:pPr>
        <w:pStyle w:val="Listenabsatz"/>
        <w:numPr>
          <w:ilvl w:val="0"/>
          <w:numId w:val="19"/>
        </w:numPr>
        <w:ind w:left="426"/>
        <w:jc w:val="both"/>
        <w:rPr>
          <w:rFonts w:cstheme="minorHAnsi"/>
          <w:sz w:val="22"/>
          <w:szCs w:val="22"/>
        </w:rPr>
      </w:pPr>
      <w:r w:rsidRPr="004C30B9">
        <w:rPr>
          <w:rFonts w:cstheme="minorHAnsi"/>
          <w:sz w:val="22"/>
          <w:szCs w:val="22"/>
        </w:rPr>
        <w:t>Ensuring a</w:t>
      </w:r>
      <w:r w:rsidR="0080703A" w:rsidRPr="004C30B9">
        <w:rPr>
          <w:rFonts w:cstheme="minorHAnsi"/>
          <w:sz w:val="22"/>
          <w:szCs w:val="22"/>
        </w:rPr>
        <w:t>ccess to</w:t>
      </w:r>
      <w:r w:rsidRPr="004C30B9">
        <w:rPr>
          <w:rFonts w:cstheme="minorHAnsi"/>
          <w:sz w:val="22"/>
          <w:szCs w:val="22"/>
        </w:rPr>
        <w:t xml:space="preserve"> info provision</w:t>
      </w:r>
      <w:r w:rsidR="0080703A" w:rsidRPr="004C30B9">
        <w:rPr>
          <w:rFonts w:cstheme="minorHAnsi"/>
          <w:sz w:val="22"/>
          <w:szCs w:val="22"/>
        </w:rPr>
        <w:t xml:space="preserve"> in a language they can reasonably understand</w:t>
      </w:r>
    </w:p>
    <w:p w:rsidR="009822F0" w:rsidRPr="004C30B9" w:rsidRDefault="009822F0" w:rsidP="00C6415C">
      <w:pPr>
        <w:pStyle w:val="Listenabsatz"/>
        <w:numPr>
          <w:ilvl w:val="0"/>
          <w:numId w:val="19"/>
        </w:numPr>
        <w:ind w:left="426"/>
        <w:jc w:val="both"/>
        <w:rPr>
          <w:rFonts w:cstheme="minorHAnsi"/>
          <w:sz w:val="22"/>
          <w:szCs w:val="22"/>
        </w:rPr>
      </w:pPr>
      <w:r w:rsidRPr="004C30B9">
        <w:rPr>
          <w:rFonts w:cstheme="minorHAnsi"/>
          <w:sz w:val="22"/>
          <w:szCs w:val="22"/>
        </w:rPr>
        <w:t>Ensuring access to free legal services</w:t>
      </w:r>
    </w:p>
    <w:p w:rsidR="0080703A" w:rsidRPr="004C30B9" w:rsidRDefault="009822F0" w:rsidP="00C6415C">
      <w:pPr>
        <w:pStyle w:val="Listenabsatz"/>
        <w:numPr>
          <w:ilvl w:val="0"/>
          <w:numId w:val="19"/>
        </w:numPr>
        <w:ind w:left="426"/>
        <w:jc w:val="both"/>
        <w:rPr>
          <w:rFonts w:cstheme="minorHAnsi"/>
          <w:sz w:val="22"/>
          <w:szCs w:val="22"/>
        </w:rPr>
      </w:pPr>
      <w:r w:rsidRPr="004C30B9">
        <w:rPr>
          <w:rFonts w:cstheme="minorHAnsi"/>
          <w:sz w:val="22"/>
          <w:szCs w:val="22"/>
        </w:rPr>
        <w:t>Ensuring access to p</w:t>
      </w:r>
      <w:r w:rsidR="0080703A" w:rsidRPr="004C30B9">
        <w:rPr>
          <w:rFonts w:cstheme="minorHAnsi"/>
          <w:sz w:val="22"/>
          <w:szCs w:val="22"/>
        </w:rPr>
        <w:t>sychosocial support and counselling</w:t>
      </w:r>
    </w:p>
    <w:p w:rsidR="0080703A" w:rsidRPr="004C30B9" w:rsidRDefault="009822F0" w:rsidP="00C6415C">
      <w:pPr>
        <w:pStyle w:val="Listenabsatz"/>
        <w:numPr>
          <w:ilvl w:val="0"/>
          <w:numId w:val="19"/>
        </w:numPr>
        <w:ind w:left="426"/>
        <w:jc w:val="both"/>
        <w:rPr>
          <w:rFonts w:cstheme="minorHAnsi"/>
          <w:sz w:val="22"/>
          <w:szCs w:val="22"/>
          <w:lang w:val="en-GB"/>
        </w:rPr>
      </w:pPr>
      <w:r w:rsidRPr="004C30B9">
        <w:rPr>
          <w:rFonts w:cstheme="minorHAnsi"/>
          <w:sz w:val="22"/>
          <w:szCs w:val="22"/>
        </w:rPr>
        <w:t>Ensuring that interpreters who assist service providers and potential victims are trained and receive relevant ongoing training</w:t>
      </w:r>
    </w:p>
    <w:p w:rsidR="009822F0" w:rsidRPr="004C30B9" w:rsidRDefault="009822F0" w:rsidP="002E5CF1">
      <w:pPr>
        <w:spacing w:line="240" w:lineRule="auto"/>
        <w:jc w:val="both"/>
        <w:rPr>
          <w:rFonts w:cstheme="minorHAnsi"/>
          <w:lang w:val="en-GB"/>
        </w:rPr>
      </w:pPr>
    </w:p>
    <w:p w:rsidR="00496B5D" w:rsidRPr="005D2916" w:rsidRDefault="005D2916" w:rsidP="005D2916">
      <w:pPr>
        <w:ind w:left="360"/>
        <w:jc w:val="both"/>
        <w:rPr>
          <w:rFonts w:cstheme="minorHAnsi"/>
          <w:b/>
          <w:sz w:val="20"/>
          <w:szCs w:val="20"/>
          <w:lang w:val="en-GB"/>
        </w:rPr>
      </w:pPr>
      <w:r w:rsidRPr="005D2916">
        <w:rPr>
          <w:rFonts w:cstheme="minorHAnsi"/>
          <w:b/>
          <w:sz w:val="20"/>
          <w:szCs w:val="20"/>
          <w:lang w:val="en-GB"/>
        </w:rPr>
        <w:t xml:space="preserve">Point 68 </w:t>
      </w:r>
      <w:r w:rsidR="00496B5D" w:rsidRPr="005D2916">
        <w:rPr>
          <w:rFonts w:cstheme="minorHAnsi"/>
          <w:b/>
          <w:sz w:val="20"/>
          <w:szCs w:val="20"/>
          <w:lang w:val="en-GB"/>
        </w:rPr>
        <w:t>Early identification and protection of presumed victims of human trafficking:</w:t>
      </w:r>
    </w:p>
    <w:p w:rsidR="00496B5D" w:rsidRPr="005D2916" w:rsidRDefault="00496B5D" w:rsidP="005138F8">
      <w:pPr>
        <w:pStyle w:val="Listenabsatz"/>
        <w:numPr>
          <w:ilvl w:val="0"/>
          <w:numId w:val="14"/>
        </w:numPr>
        <w:spacing w:after="240"/>
        <w:jc w:val="both"/>
        <w:rPr>
          <w:rFonts w:cstheme="minorHAnsi"/>
          <w:b/>
          <w:sz w:val="20"/>
          <w:szCs w:val="20"/>
          <w:lang w:val="en-GB"/>
        </w:rPr>
      </w:pPr>
      <w:r w:rsidRPr="005D2916">
        <w:rPr>
          <w:rFonts w:cstheme="minorHAnsi"/>
          <w:b/>
          <w:sz w:val="20"/>
          <w:szCs w:val="20"/>
          <w:lang w:val="en-GB"/>
        </w:rPr>
        <w:t>Create national guidelines and standard operating procedures on victim identification and referral that is benchmarked to international standards, integrating a gender-s</w:t>
      </w:r>
      <w:r w:rsidR="005D2916">
        <w:rPr>
          <w:rFonts w:cstheme="minorHAnsi"/>
          <w:b/>
          <w:sz w:val="20"/>
          <w:szCs w:val="20"/>
          <w:lang w:val="en-GB"/>
        </w:rPr>
        <w:t>ensitive, victim-</w:t>
      </w:r>
      <w:proofErr w:type="spellStart"/>
      <w:r w:rsidR="005D2916">
        <w:rPr>
          <w:rFonts w:cstheme="minorHAnsi"/>
          <w:b/>
          <w:sz w:val="20"/>
          <w:szCs w:val="20"/>
          <w:lang w:val="en-GB"/>
        </w:rPr>
        <w:t>centered</w:t>
      </w:r>
      <w:proofErr w:type="spellEnd"/>
      <w:r w:rsidR="005D2916">
        <w:rPr>
          <w:rFonts w:cstheme="minorHAnsi"/>
          <w:b/>
          <w:sz w:val="20"/>
          <w:szCs w:val="20"/>
          <w:lang w:val="en-GB"/>
        </w:rPr>
        <w:t>, age-</w:t>
      </w:r>
      <w:r w:rsidRPr="005D2916">
        <w:rPr>
          <w:rFonts w:cstheme="minorHAnsi"/>
          <w:b/>
          <w:sz w:val="20"/>
          <w:szCs w:val="20"/>
          <w:lang w:val="en-GB"/>
        </w:rPr>
        <w:t xml:space="preserve"> gender-sensitive and trauma-informed approach, and which is uniformly applicable throughout t</w:t>
      </w:r>
      <w:r w:rsidR="00C637BC">
        <w:rPr>
          <w:rFonts w:cstheme="minorHAnsi"/>
          <w:b/>
          <w:sz w:val="20"/>
          <w:szCs w:val="20"/>
          <w:lang w:val="en-GB"/>
        </w:rPr>
        <w:t>he territory of the State party</w:t>
      </w:r>
      <w:r w:rsidRPr="005D2916">
        <w:rPr>
          <w:rStyle w:val="Funotenzeichen"/>
          <w:rFonts w:cstheme="minorHAnsi"/>
          <w:b/>
          <w:sz w:val="20"/>
          <w:szCs w:val="20"/>
          <w:lang w:val="de-DE"/>
        </w:rPr>
        <w:footnoteReference w:id="17"/>
      </w:r>
      <w:r w:rsidRPr="005D2916">
        <w:rPr>
          <w:rFonts w:cstheme="minorHAnsi"/>
          <w:b/>
          <w:sz w:val="20"/>
          <w:szCs w:val="20"/>
          <w:lang w:val="en-GB"/>
        </w:rPr>
        <w:t xml:space="preserve"> </w:t>
      </w:r>
    </w:p>
    <w:p w:rsidR="007D591D" w:rsidRPr="004C30B9" w:rsidRDefault="007D591D" w:rsidP="002E5CF1">
      <w:pPr>
        <w:spacing w:line="240" w:lineRule="auto"/>
        <w:jc w:val="both"/>
        <w:rPr>
          <w:rFonts w:cstheme="minorHAnsi"/>
          <w:lang w:val="en-GB"/>
        </w:rPr>
      </w:pPr>
      <w:r w:rsidRPr="004C30B9">
        <w:rPr>
          <w:rFonts w:cstheme="minorHAnsi"/>
          <w:lang w:val="en-GB"/>
        </w:rPr>
        <w:t>My suggestions which I would kindly propose to be taken into consideration:</w:t>
      </w:r>
    </w:p>
    <w:p w:rsidR="007D591D" w:rsidRPr="004C30B9" w:rsidRDefault="007D591D" w:rsidP="00C6415C">
      <w:pPr>
        <w:pStyle w:val="Listenabsatz"/>
        <w:numPr>
          <w:ilvl w:val="0"/>
          <w:numId w:val="19"/>
        </w:numPr>
        <w:ind w:left="426"/>
        <w:jc w:val="both"/>
        <w:rPr>
          <w:rFonts w:cstheme="minorHAnsi"/>
          <w:sz w:val="22"/>
          <w:szCs w:val="22"/>
        </w:rPr>
      </w:pPr>
      <w:r w:rsidRPr="004C30B9">
        <w:rPr>
          <w:rFonts w:cstheme="minorHAnsi"/>
          <w:sz w:val="22"/>
          <w:szCs w:val="22"/>
        </w:rPr>
        <w:lastRenderedPageBreak/>
        <w:t xml:space="preserve">SOPs shall be developed upon consultation with all relevant actors in order to ensure that they are </w:t>
      </w:r>
      <w:r w:rsidR="00291912" w:rsidRPr="004C30B9">
        <w:rPr>
          <w:rFonts w:cstheme="minorHAnsi"/>
          <w:sz w:val="22"/>
          <w:szCs w:val="22"/>
        </w:rPr>
        <w:t xml:space="preserve">then </w:t>
      </w:r>
      <w:r w:rsidRPr="004C30B9">
        <w:rPr>
          <w:rFonts w:cstheme="minorHAnsi"/>
          <w:sz w:val="22"/>
          <w:szCs w:val="22"/>
        </w:rPr>
        <w:t xml:space="preserve">being applied by </w:t>
      </w:r>
      <w:r w:rsidRPr="001C7E33">
        <w:rPr>
          <w:rFonts w:cstheme="minorHAnsi"/>
          <w:i/>
          <w:sz w:val="22"/>
          <w:szCs w:val="22"/>
        </w:rPr>
        <w:t>all</w:t>
      </w:r>
      <w:r w:rsidRPr="004C30B9">
        <w:rPr>
          <w:rFonts w:cstheme="minorHAnsi"/>
          <w:sz w:val="22"/>
          <w:szCs w:val="22"/>
        </w:rPr>
        <w:t xml:space="preserve"> relevant actors, both state actors as well as non-state actors such as NGOs which might be in direct contact with potential victims of trafficking</w:t>
      </w:r>
      <w:r w:rsidR="008907D5">
        <w:rPr>
          <w:rStyle w:val="Funotenzeichen"/>
          <w:rFonts w:cstheme="minorHAnsi"/>
          <w:sz w:val="22"/>
          <w:szCs w:val="22"/>
        </w:rPr>
        <w:footnoteReference w:id="18"/>
      </w:r>
      <w:r w:rsidRPr="004C30B9">
        <w:rPr>
          <w:rFonts w:cstheme="minorHAnsi"/>
          <w:sz w:val="22"/>
          <w:szCs w:val="22"/>
        </w:rPr>
        <w:t xml:space="preserve">. </w:t>
      </w:r>
    </w:p>
    <w:p w:rsidR="00306387" w:rsidRPr="004C30B9" w:rsidRDefault="00353B9C" w:rsidP="00C6415C">
      <w:pPr>
        <w:pStyle w:val="Listenabsatz"/>
        <w:numPr>
          <w:ilvl w:val="0"/>
          <w:numId w:val="19"/>
        </w:numPr>
        <w:ind w:left="426"/>
        <w:jc w:val="both"/>
        <w:rPr>
          <w:rFonts w:cstheme="minorHAnsi"/>
          <w:sz w:val="22"/>
          <w:szCs w:val="22"/>
        </w:rPr>
      </w:pPr>
      <w:r>
        <w:rPr>
          <w:rFonts w:cstheme="minorHAnsi"/>
          <w:sz w:val="22"/>
          <w:szCs w:val="22"/>
        </w:rPr>
        <w:t>SOPs</w:t>
      </w:r>
      <w:r w:rsidR="00496B5D" w:rsidRPr="004C30B9">
        <w:rPr>
          <w:rFonts w:cstheme="minorHAnsi"/>
          <w:sz w:val="22"/>
          <w:szCs w:val="22"/>
        </w:rPr>
        <w:t xml:space="preserve"> on victim identification shall in addition be updated </w:t>
      </w:r>
      <w:r w:rsidR="005D3AF5" w:rsidRPr="004C30B9">
        <w:rPr>
          <w:rFonts w:cstheme="minorHAnsi"/>
          <w:sz w:val="22"/>
          <w:szCs w:val="22"/>
        </w:rPr>
        <w:t xml:space="preserve">and adjusted </w:t>
      </w:r>
      <w:r w:rsidR="00496B5D" w:rsidRPr="004C30B9">
        <w:rPr>
          <w:rFonts w:cstheme="minorHAnsi"/>
          <w:sz w:val="22"/>
          <w:szCs w:val="22"/>
        </w:rPr>
        <w:t xml:space="preserve">systematically </w:t>
      </w:r>
      <w:r w:rsidR="001C7E33">
        <w:rPr>
          <w:rFonts w:cstheme="minorHAnsi"/>
          <w:sz w:val="22"/>
          <w:szCs w:val="22"/>
        </w:rPr>
        <w:t xml:space="preserve">on a regular basis </w:t>
      </w:r>
      <w:r w:rsidR="00496B5D" w:rsidRPr="004C30B9">
        <w:rPr>
          <w:rFonts w:cstheme="minorHAnsi"/>
          <w:sz w:val="22"/>
          <w:szCs w:val="22"/>
        </w:rPr>
        <w:t>in order to ensure to address possibly changed patterns</w:t>
      </w:r>
      <w:r w:rsidR="00291912" w:rsidRPr="004C30B9">
        <w:rPr>
          <w:rFonts w:cstheme="minorHAnsi"/>
          <w:sz w:val="22"/>
          <w:szCs w:val="22"/>
        </w:rPr>
        <w:t xml:space="preserve"> of trafficking</w:t>
      </w:r>
      <w:r w:rsidR="00496B5D" w:rsidRPr="004C30B9">
        <w:rPr>
          <w:rFonts w:cstheme="minorHAnsi"/>
          <w:sz w:val="22"/>
          <w:szCs w:val="22"/>
        </w:rPr>
        <w:t xml:space="preserve"> or </w:t>
      </w:r>
      <w:r w:rsidR="00000327" w:rsidRPr="004C30B9">
        <w:rPr>
          <w:rFonts w:cstheme="minorHAnsi"/>
          <w:sz w:val="22"/>
          <w:szCs w:val="22"/>
        </w:rPr>
        <w:t>practices</w:t>
      </w:r>
      <w:r w:rsidR="001C7E33">
        <w:rPr>
          <w:rFonts w:cstheme="minorHAnsi"/>
          <w:sz w:val="22"/>
          <w:szCs w:val="22"/>
        </w:rPr>
        <w:t xml:space="preserve"> of perpetrators </w:t>
      </w:r>
      <w:r w:rsidR="001C7E33" w:rsidRPr="004C30B9">
        <w:rPr>
          <w:rFonts w:cstheme="minorHAnsi"/>
          <w:sz w:val="22"/>
          <w:szCs w:val="22"/>
        </w:rPr>
        <w:t>– aiming at ensuring a highest possible applicability SOPs by all relevant actors</w:t>
      </w:r>
      <w:r w:rsidR="001C7E33">
        <w:rPr>
          <w:rFonts w:cstheme="minorHAnsi"/>
          <w:sz w:val="22"/>
          <w:szCs w:val="22"/>
        </w:rPr>
        <w:t>. Examples for such updates can be changed (</w:t>
      </w:r>
      <w:r w:rsidR="00496B5D" w:rsidRPr="004C30B9">
        <w:rPr>
          <w:rFonts w:cstheme="minorHAnsi"/>
          <w:sz w:val="22"/>
          <w:szCs w:val="22"/>
        </w:rPr>
        <w:t>traditional</w:t>
      </w:r>
      <w:r w:rsidR="001C7E33">
        <w:rPr>
          <w:rFonts w:cstheme="minorHAnsi"/>
          <w:sz w:val="22"/>
          <w:szCs w:val="22"/>
        </w:rPr>
        <w:t>)</w:t>
      </w:r>
      <w:r w:rsidR="00496B5D" w:rsidRPr="004C30B9">
        <w:rPr>
          <w:rFonts w:cstheme="minorHAnsi"/>
          <w:sz w:val="22"/>
          <w:szCs w:val="22"/>
        </w:rPr>
        <w:t xml:space="preserve"> practices, </w:t>
      </w:r>
      <w:r w:rsidR="005F1E6C" w:rsidRPr="004C30B9">
        <w:rPr>
          <w:rFonts w:cstheme="minorHAnsi"/>
          <w:sz w:val="22"/>
          <w:szCs w:val="22"/>
        </w:rPr>
        <w:t>changing patterns of country</w:t>
      </w:r>
      <w:r>
        <w:rPr>
          <w:rFonts w:cstheme="minorHAnsi"/>
          <w:sz w:val="22"/>
          <w:szCs w:val="22"/>
        </w:rPr>
        <w:t>/region</w:t>
      </w:r>
      <w:r w:rsidR="005F1E6C" w:rsidRPr="004C30B9">
        <w:rPr>
          <w:rFonts w:cstheme="minorHAnsi"/>
          <w:sz w:val="22"/>
          <w:szCs w:val="22"/>
        </w:rPr>
        <w:t xml:space="preserve"> specific recruitment, </w:t>
      </w:r>
      <w:r w:rsidR="00496B5D" w:rsidRPr="004C30B9">
        <w:rPr>
          <w:rFonts w:cstheme="minorHAnsi"/>
          <w:sz w:val="22"/>
          <w:szCs w:val="22"/>
        </w:rPr>
        <w:t>routes, changed „</w:t>
      </w:r>
      <w:proofErr w:type="gramStart"/>
      <w:r w:rsidR="00496B5D" w:rsidRPr="004C30B9">
        <w:rPr>
          <w:rFonts w:cstheme="minorHAnsi"/>
          <w:sz w:val="22"/>
          <w:szCs w:val="22"/>
        </w:rPr>
        <w:t>hotspots“</w:t>
      </w:r>
      <w:r w:rsidR="005D3AF5" w:rsidRPr="004C30B9">
        <w:rPr>
          <w:rFonts w:cstheme="minorHAnsi"/>
          <w:sz w:val="22"/>
          <w:szCs w:val="22"/>
        </w:rPr>
        <w:t xml:space="preserve"> for</w:t>
      </w:r>
      <w:proofErr w:type="gramEnd"/>
      <w:r w:rsidR="005D3AF5" w:rsidRPr="004C30B9">
        <w:rPr>
          <w:rFonts w:cstheme="minorHAnsi"/>
          <w:sz w:val="22"/>
          <w:szCs w:val="22"/>
        </w:rPr>
        <w:t xml:space="preserve"> trafficking along </w:t>
      </w:r>
      <w:r w:rsidR="00496B5D" w:rsidRPr="004C30B9">
        <w:rPr>
          <w:rFonts w:cstheme="minorHAnsi"/>
          <w:sz w:val="22"/>
          <w:szCs w:val="22"/>
        </w:rPr>
        <w:t>route</w:t>
      </w:r>
      <w:r w:rsidR="005D3AF5" w:rsidRPr="004C30B9">
        <w:rPr>
          <w:rFonts w:cstheme="minorHAnsi"/>
          <w:sz w:val="22"/>
          <w:szCs w:val="22"/>
        </w:rPr>
        <w:t>s</w:t>
      </w:r>
      <w:r w:rsidR="001C7E33">
        <w:rPr>
          <w:rFonts w:cstheme="minorHAnsi"/>
          <w:sz w:val="22"/>
          <w:szCs w:val="22"/>
        </w:rPr>
        <w:t xml:space="preserve"> on the one hand, but also possible changed responsibilities or authorities on the other hand</w:t>
      </w:r>
      <w:r w:rsidR="005D3AF5" w:rsidRPr="004C30B9">
        <w:rPr>
          <w:rFonts w:cstheme="minorHAnsi"/>
          <w:sz w:val="22"/>
          <w:szCs w:val="22"/>
        </w:rPr>
        <w:t>.</w:t>
      </w:r>
    </w:p>
    <w:p w:rsidR="005D3AF5" w:rsidRPr="004C30B9" w:rsidRDefault="001D56A7" w:rsidP="00C6415C">
      <w:pPr>
        <w:pStyle w:val="Listenabsatz"/>
        <w:numPr>
          <w:ilvl w:val="0"/>
          <w:numId w:val="19"/>
        </w:numPr>
        <w:ind w:left="426"/>
        <w:jc w:val="both"/>
        <w:rPr>
          <w:rFonts w:cstheme="minorHAnsi"/>
          <w:sz w:val="22"/>
          <w:szCs w:val="22"/>
        </w:rPr>
      </w:pPr>
      <w:r w:rsidRPr="004C30B9">
        <w:rPr>
          <w:rFonts w:cstheme="minorHAnsi"/>
          <w:sz w:val="22"/>
          <w:szCs w:val="22"/>
        </w:rPr>
        <w:t xml:space="preserve">Referral pathways including standards for referrals shall be </w:t>
      </w:r>
      <w:r w:rsidR="00B47E6B" w:rsidRPr="004C30B9">
        <w:rPr>
          <w:rFonts w:cstheme="minorHAnsi"/>
          <w:sz w:val="22"/>
          <w:szCs w:val="22"/>
        </w:rPr>
        <w:t>developed</w:t>
      </w:r>
      <w:r w:rsidRPr="004C30B9">
        <w:rPr>
          <w:rFonts w:cstheme="minorHAnsi"/>
          <w:sz w:val="22"/>
          <w:szCs w:val="22"/>
        </w:rPr>
        <w:t xml:space="preserve"> upon consultation with all relevant state- and non-state actors. Referral pathways and standards for referrals shall be benchmarked to international standards, integrating a gender-s</w:t>
      </w:r>
      <w:r w:rsidR="001C7E33">
        <w:rPr>
          <w:rFonts w:cstheme="minorHAnsi"/>
          <w:sz w:val="22"/>
          <w:szCs w:val="22"/>
        </w:rPr>
        <w:t>ensitive, victim-centered, age-</w:t>
      </w:r>
      <w:r w:rsidRPr="004C30B9">
        <w:rPr>
          <w:rFonts w:cstheme="minorHAnsi"/>
          <w:sz w:val="22"/>
          <w:szCs w:val="22"/>
        </w:rPr>
        <w:t xml:space="preserve"> gender-sensitive and trauma-informed approach, and which is uniformly applicable throughout the territory of the State party</w:t>
      </w:r>
      <w:r w:rsidR="008907D5">
        <w:rPr>
          <w:rStyle w:val="Funotenzeichen"/>
          <w:rFonts w:cstheme="minorHAnsi"/>
          <w:sz w:val="22"/>
          <w:szCs w:val="22"/>
        </w:rPr>
        <w:footnoteReference w:id="19"/>
      </w:r>
      <w:r w:rsidRPr="004C30B9">
        <w:rPr>
          <w:rFonts w:cstheme="minorHAnsi"/>
          <w:sz w:val="22"/>
          <w:szCs w:val="22"/>
        </w:rPr>
        <w:t>.</w:t>
      </w:r>
    </w:p>
    <w:p w:rsidR="001D56A7" w:rsidRPr="004C30B9" w:rsidRDefault="001D56A7" w:rsidP="002E5CF1">
      <w:pPr>
        <w:spacing w:line="240" w:lineRule="auto"/>
        <w:jc w:val="both"/>
        <w:rPr>
          <w:rFonts w:cstheme="minorHAnsi"/>
          <w:lang w:val="en-GB"/>
        </w:rPr>
      </w:pPr>
    </w:p>
    <w:p w:rsidR="001D56A7" w:rsidRPr="001C7E33" w:rsidRDefault="001D56A7" w:rsidP="002E5CF1">
      <w:pPr>
        <w:pStyle w:val="Listenabsatz"/>
        <w:numPr>
          <w:ilvl w:val="0"/>
          <w:numId w:val="14"/>
        </w:numPr>
        <w:jc w:val="both"/>
        <w:rPr>
          <w:rFonts w:cstheme="minorHAnsi"/>
          <w:b/>
          <w:sz w:val="20"/>
          <w:szCs w:val="20"/>
        </w:rPr>
      </w:pPr>
      <w:r w:rsidRPr="001C7E33">
        <w:rPr>
          <w:rFonts w:cstheme="minorHAnsi"/>
          <w:b/>
          <w:sz w:val="20"/>
          <w:szCs w:val="20"/>
        </w:rPr>
        <w:t xml:space="preserve">Increase the early detection capacity and authority of law enforcement and border personnel, immigration and asylum authorities, </w:t>
      </w:r>
      <w:proofErr w:type="spellStart"/>
      <w:r w:rsidRPr="001C7E33">
        <w:rPr>
          <w:rFonts w:cstheme="minorHAnsi"/>
          <w:b/>
          <w:sz w:val="20"/>
          <w:szCs w:val="20"/>
        </w:rPr>
        <w:t>labour</w:t>
      </w:r>
      <w:proofErr w:type="spellEnd"/>
      <w:r w:rsidRPr="001C7E33">
        <w:rPr>
          <w:rFonts w:cstheme="minorHAnsi"/>
          <w:b/>
          <w:sz w:val="20"/>
          <w:szCs w:val="20"/>
        </w:rPr>
        <w:t xml:space="preserve"> inspectors, social workers and health-care professionals to promptly identify trafficking and related offences against women and girls and to facilitate the referral of victims</w:t>
      </w:r>
    </w:p>
    <w:p w:rsidR="003B759B" w:rsidRPr="004C30B9" w:rsidRDefault="001D56A7" w:rsidP="002E5CF1">
      <w:pPr>
        <w:spacing w:line="240" w:lineRule="auto"/>
        <w:jc w:val="both"/>
        <w:rPr>
          <w:rFonts w:cstheme="minorHAnsi"/>
          <w:lang w:val="en-GB"/>
        </w:rPr>
      </w:pPr>
      <w:r w:rsidRPr="004C30B9">
        <w:rPr>
          <w:rFonts w:cstheme="minorHAnsi"/>
          <w:lang w:val="en-GB"/>
        </w:rPr>
        <w:t xml:space="preserve">I would take the opportunity to recommend to </w:t>
      </w:r>
      <w:r w:rsidR="002B73AC">
        <w:rPr>
          <w:rFonts w:cstheme="minorHAnsi"/>
          <w:lang w:val="en-GB"/>
        </w:rPr>
        <w:t>include</w:t>
      </w:r>
      <w:r w:rsidRPr="004C30B9">
        <w:rPr>
          <w:rFonts w:cstheme="minorHAnsi"/>
          <w:lang w:val="en-GB"/>
        </w:rPr>
        <w:t xml:space="preserve"> a non-conclusive list of actors </w:t>
      </w:r>
      <w:r w:rsidR="001C7E33">
        <w:rPr>
          <w:rFonts w:cstheme="minorHAnsi"/>
          <w:lang w:val="en-GB"/>
        </w:rPr>
        <w:t xml:space="preserve">(instead of the conclusive list in the current version of the draft) </w:t>
      </w:r>
      <w:r w:rsidRPr="004C30B9">
        <w:rPr>
          <w:rFonts w:cstheme="minorHAnsi"/>
          <w:lang w:val="en-GB"/>
        </w:rPr>
        <w:t xml:space="preserve">in order to demonstrate that </w:t>
      </w:r>
      <w:r w:rsidR="00353B9C">
        <w:rPr>
          <w:rFonts w:cstheme="minorHAnsi"/>
          <w:lang w:val="en-GB"/>
        </w:rPr>
        <w:t xml:space="preserve">a number of </w:t>
      </w:r>
      <w:r w:rsidRPr="004C30B9">
        <w:rPr>
          <w:rFonts w:cstheme="minorHAnsi"/>
          <w:lang w:val="en-GB"/>
        </w:rPr>
        <w:t xml:space="preserve">different </w:t>
      </w:r>
      <w:r w:rsidR="00353B9C">
        <w:rPr>
          <w:rFonts w:cstheme="minorHAnsi"/>
          <w:lang w:val="en-GB"/>
        </w:rPr>
        <w:t xml:space="preserve">relevant </w:t>
      </w:r>
      <w:r w:rsidRPr="004C30B9">
        <w:rPr>
          <w:rFonts w:cstheme="minorHAnsi"/>
          <w:lang w:val="en-GB"/>
        </w:rPr>
        <w:t xml:space="preserve">authorities and </w:t>
      </w:r>
      <w:r w:rsidR="00353B9C">
        <w:rPr>
          <w:rFonts w:cstheme="minorHAnsi"/>
          <w:lang w:val="en-GB"/>
        </w:rPr>
        <w:t xml:space="preserve">different relevant </w:t>
      </w:r>
      <w:r w:rsidRPr="004C30B9">
        <w:rPr>
          <w:rFonts w:cstheme="minorHAnsi"/>
          <w:lang w:val="en-GB"/>
        </w:rPr>
        <w:t xml:space="preserve">professionals might be involved in early identification. </w:t>
      </w:r>
    </w:p>
    <w:p w:rsidR="003B759B" w:rsidRPr="004C30B9" w:rsidRDefault="001D56A7" w:rsidP="002E5CF1">
      <w:pPr>
        <w:spacing w:line="240" w:lineRule="auto"/>
        <w:jc w:val="both"/>
        <w:rPr>
          <w:rFonts w:cstheme="minorHAnsi"/>
          <w:lang w:val="en-GB"/>
        </w:rPr>
      </w:pPr>
      <w:r w:rsidRPr="004C30B9">
        <w:rPr>
          <w:rFonts w:cstheme="minorHAnsi"/>
          <w:lang w:val="en-GB"/>
        </w:rPr>
        <w:t xml:space="preserve">Examples for other state actors which might be involved would be youth welfare </w:t>
      </w:r>
      <w:r w:rsidR="003B759B" w:rsidRPr="004C30B9">
        <w:rPr>
          <w:rFonts w:cstheme="minorHAnsi"/>
          <w:lang w:val="en-GB"/>
        </w:rPr>
        <w:t>authoritie</w:t>
      </w:r>
      <w:r w:rsidRPr="004C30B9">
        <w:rPr>
          <w:rFonts w:cstheme="minorHAnsi"/>
          <w:lang w:val="en-GB"/>
        </w:rPr>
        <w:t xml:space="preserve">s, </w:t>
      </w:r>
      <w:r w:rsidR="003B759B" w:rsidRPr="004C30B9">
        <w:rPr>
          <w:rFonts w:cstheme="minorHAnsi"/>
          <w:lang w:val="en-GB"/>
        </w:rPr>
        <w:t xml:space="preserve">authorities responsible for first reception and registration </w:t>
      </w:r>
      <w:r w:rsidRPr="004C30B9">
        <w:rPr>
          <w:rFonts w:cstheme="minorHAnsi"/>
          <w:lang w:val="en-GB"/>
        </w:rPr>
        <w:t>Courts</w:t>
      </w:r>
      <w:r w:rsidR="003B759B" w:rsidRPr="004C30B9">
        <w:rPr>
          <w:rFonts w:cstheme="minorHAnsi"/>
          <w:lang w:val="en-GB"/>
        </w:rPr>
        <w:t xml:space="preserve"> dealing, </w:t>
      </w:r>
      <w:r w:rsidRPr="004C30B9">
        <w:rPr>
          <w:rFonts w:cstheme="minorHAnsi"/>
          <w:lang w:val="en-GB"/>
        </w:rPr>
        <w:t>with</w:t>
      </w:r>
      <w:r w:rsidR="003B759B" w:rsidRPr="004C30B9">
        <w:rPr>
          <w:rFonts w:cstheme="minorHAnsi"/>
          <w:lang w:val="en-GB"/>
        </w:rPr>
        <w:t xml:space="preserve"> e.g.</w:t>
      </w:r>
      <w:r w:rsidRPr="004C30B9">
        <w:rPr>
          <w:rFonts w:cstheme="minorHAnsi"/>
          <w:lang w:val="en-GB"/>
        </w:rPr>
        <w:t xml:space="preserve"> </w:t>
      </w:r>
      <w:r w:rsidR="003B759B" w:rsidRPr="004C30B9">
        <w:rPr>
          <w:rFonts w:cstheme="minorHAnsi"/>
          <w:lang w:val="en-GB"/>
        </w:rPr>
        <w:t>family-law, appointment of legal guardians, divorce or custody; authorities dealing with provision of material reception conditions, including accommodation</w:t>
      </w:r>
      <w:r w:rsidR="007D591D" w:rsidRPr="004C30B9">
        <w:rPr>
          <w:rFonts w:cstheme="minorHAnsi"/>
          <w:lang w:val="en-GB"/>
        </w:rPr>
        <w:t>,</w:t>
      </w:r>
      <w:r w:rsidR="003B759B" w:rsidRPr="004C30B9">
        <w:rPr>
          <w:rFonts w:cstheme="minorHAnsi"/>
          <w:lang w:val="en-GB"/>
        </w:rPr>
        <w:t xml:space="preserve"> to migrants with unclear legal status, asylum seekers or holders of international protection. </w:t>
      </w:r>
    </w:p>
    <w:p w:rsidR="001D56A7" w:rsidRPr="004C30B9" w:rsidRDefault="003B759B" w:rsidP="002E5CF1">
      <w:pPr>
        <w:spacing w:line="240" w:lineRule="auto"/>
        <w:jc w:val="both"/>
        <w:rPr>
          <w:rFonts w:cstheme="minorHAnsi"/>
          <w:lang w:val="en-GB"/>
        </w:rPr>
      </w:pPr>
      <w:r w:rsidRPr="004C30B9">
        <w:rPr>
          <w:rFonts w:cstheme="minorHAnsi"/>
          <w:lang w:val="en-GB"/>
        </w:rPr>
        <w:t>Examples for non-state actors who are regularly in contact with potential victims of trafficking: legal advisors</w:t>
      </w:r>
      <w:r w:rsidRPr="004C30B9">
        <w:rPr>
          <w:rStyle w:val="Funotenzeichen"/>
          <w:rFonts w:cstheme="minorHAnsi"/>
        </w:rPr>
        <w:footnoteReference w:id="20"/>
      </w:r>
      <w:r w:rsidRPr="004C30B9">
        <w:rPr>
          <w:rFonts w:cstheme="minorHAnsi"/>
          <w:lang w:val="en-GB"/>
        </w:rPr>
        <w:t>, staff in accommodation centres for adults and/or for (unaccompanied) minors</w:t>
      </w:r>
      <w:r w:rsidR="00133C74" w:rsidRPr="004C30B9">
        <w:rPr>
          <w:rFonts w:cstheme="minorHAnsi"/>
          <w:lang w:val="en-GB"/>
        </w:rPr>
        <w:t>, appointed legal guardians</w:t>
      </w:r>
      <w:r w:rsidR="00133C74" w:rsidRPr="004C30B9">
        <w:rPr>
          <w:rStyle w:val="Funotenzeichen"/>
          <w:rFonts w:cstheme="minorHAnsi"/>
        </w:rPr>
        <w:footnoteReference w:id="21"/>
      </w:r>
      <w:r w:rsidR="00133C74" w:rsidRPr="004C30B9">
        <w:rPr>
          <w:rFonts w:cstheme="minorHAnsi"/>
          <w:lang w:val="en-GB"/>
        </w:rPr>
        <w:t>.</w:t>
      </w:r>
      <w:r w:rsidRPr="004C30B9">
        <w:rPr>
          <w:rFonts w:cstheme="minorHAnsi"/>
          <w:lang w:val="en-GB"/>
        </w:rPr>
        <w:t xml:space="preserve"> </w:t>
      </w:r>
    </w:p>
    <w:p w:rsidR="001C7E33" w:rsidRDefault="00133C74" w:rsidP="005138F8">
      <w:pPr>
        <w:spacing w:after="0" w:line="240" w:lineRule="auto"/>
        <w:jc w:val="both"/>
        <w:rPr>
          <w:rFonts w:cstheme="minorHAnsi"/>
          <w:lang w:val="en-GB"/>
        </w:rPr>
      </w:pPr>
      <w:r w:rsidRPr="004C30B9">
        <w:rPr>
          <w:rFonts w:cstheme="minorHAnsi"/>
          <w:lang w:val="en-GB"/>
        </w:rPr>
        <w:t>In addition, representatives of international organisations, such as UNHCR</w:t>
      </w:r>
      <w:r w:rsidRPr="004C30B9">
        <w:rPr>
          <w:rStyle w:val="Funotenzeichen"/>
          <w:rFonts w:cstheme="minorHAnsi"/>
        </w:rPr>
        <w:footnoteReference w:id="22"/>
      </w:r>
      <w:r w:rsidRPr="004C30B9">
        <w:rPr>
          <w:rFonts w:cstheme="minorHAnsi"/>
          <w:lang w:val="en-GB"/>
        </w:rPr>
        <w:t xml:space="preserve"> or IOM might also be in contact with potential victims of trafficking</w:t>
      </w:r>
      <w:r w:rsidR="001C7E33">
        <w:rPr>
          <w:rFonts w:cstheme="minorHAnsi"/>
          <w:lang w:val="en-GB"/>
        </w:rPr>
        <w:t>.</w:t>
      </w:r>
    </w:p>
    <w:p w:rsidR="0067484F" w:rsidRPr="001C7E33" w:rsidRDefault="005F1E6C" w:rsidP="001C7E33">
      <w:pPr>
        <w:pStyle w:val="Listenabsatz"/>
        <w:numPr>
          <w:ilvl w:val="0"/>
          <w:numId w:val="14"/>
        </w:numPr>
        <w:jc w:val="both"/>
        <w:rPr>
          <w:rFonts w:cstheme="minorHAnsi"/>
          <w:b/>
          <w:sz w:val="20"/>
          <w:szCs w:val="20"/>
          <w:lang w:val="en-GB"/>
        </w:rPr>
      </w:pPr>
      <w:r w:rsidRPr="001C7E33">
        <w:rPr>
          <w:rFonts w:cstheme="minorHAnsi"/>
          <w:b/>
          <w:sz w:val="20"/>
          <w:szCs w:val="20"/>
          <w:lang w:val="en-GB"/>
        </w:rPr>
        <w:t>Adopt adequate gender-sensitive screening mechanisms for the early identification and referral of victims of trafficking among women asylum seekers</w:t>
      </w:r>
      <w:r w:rsidRPr="001C7E33">
        <w:rPr>
          <w:rStyle w:val="Funotenzeichen"/>
          <w:rFonts w:cstheme="minorHAnsi"/>
          <w:b/>
          <w:sz w:val="20"/>
          <w:szCs w:val="20"/>
        </w:rPr>
        <w:footnoteReference w:id="23"/>
      </w:r>
      <w:r w:rsidRPr="001C7E33">
        <w:rPr>
          <w:rFonts w:cstheme="minorHAnsi"/>
          <w:b/>
          <w:sz w:val="20"/>
          <w:szCs w:val="20"/>
          <w:lang w:val="en-GB"/>
        </w:rPr>
        <w:t xml:space="preserve"> as well as for women migrant workers suspected of breaches of national labour, immigration or criminal laws</w:t>
      </w:r>
      <w:r w:rsidRPr="001C7E33">
        <w:rPr>
          <w:rStyle w:val="Funotenzeichen"/>
          <w:rFonts w:cstheme="minorHAnsi"/>
          <w:b/>
          <w:sz w:val="20"/>
          <w:szCs w:val="20"/>
        </w:rPr>
        <w:footnoteReference w:id="24"/>
      </w:r>
    </w:p>
    <w:p w:rsidR="00660CD9" w:rsidRPr="004C30B9" w:rsidRDefault="005F1E6C" w:rsidP="002E5CF1">
      <w:pPr>
        <w:spacing w:line="240" w:lineRule="auto"/>
        <w:jc w:val="both"/>
        <w:rPr>
          <w:rFonts w:cstheme="minorHAnsi"/>
          <w:lang w:val="en-GB"/>
        </w:rPr>
      </w:pPr>
      <w:r w:rsidRPr="004C30B9">
        <w:rPr>
          <w:rFonts w:cstheme="minorHAnsi"/>
          <w:lang w:val="en-GB"/>
        </w:rPr>
        <w:t xml:space="preserve">I would take the opportunity to </w:t>
      </w:r>
      <w:r w:rsidR="007D591D" w:rsidRPr="004C30B9">
        <w:rPr>
          <w:rFonts w:cstheme="minorHAnsi"/>
          <w:lang w:val="en-GB"/>
        </w:rPr>
        <w:t xml:space="preserve">kindly </w:t>
      </w:r>
      <w:r w:rsidRPr="004C30B9">
        <w:rPr>
          <w:rFonts w:cstheme="minorHAnsi"/>
          <w:lang w:val="en-GB"/>
        </w:rPr>
        <w:t xml:space="preserve">recommend to make a non-conclusive list of actors </w:t>
      </w:r>
      <w:r w:rsidR="001C7E33">
        <w:rPr>
          <w:rFonts w:cstheme="minorHAnsi"/>
          <w:lang w:val="en-GB"/>
        </w:rPr>
        <w:t xml:space="preserve">(instead of the conclusive list in the current version of the draft) </w:t>
      </w:r>
      <w:r w:rsidRPr="004C30B9">
        <w:rPr>
          <w:rFonts w:cstheme="minorHAnsi"/>
          <w:lang w:val="en-GB"/>
        </w:rPr>
        <w:t>in order to avoid that other women or girls not be considered sufficiently. Examples for other migrant women or girls would be women with irregular/unclear migration status, migrant women or girls whose residence is dependent on family members or employers, detained migrant women or girls.</w:t>
      </w:r>
    </w:p>
    <w:p w:rsidR="00B16A86" w:rsidRPr="00B16A86" w:rsidRDefault="00B16A86" w:rsidP="00B16A86">
      <w:pPr>
        <w:rPr>
          <w:rFonts w:cstheme="minorHAnsi"/>
          <w:lang w:val="en-GB"/>
        </w:rPr>
      </w:pPr>
      <w:r>
        <w:rPr>
          <w:rFonts w:cstheme="minorHAnsi"/>
          <w:lang w:val="en-GB"/>
        </w:rPr>
        <w:br/>
        <w:t>With my best regards,</w:t>
      </w:r>
      <w:bookmarkStart w:id="0" w:name="_GoBack"/>
      <w:bookmarkEnd w:id="0"/>
      <w:r>
        <w:rPr>
          <w:rFonts w:cstheme="minorHAnsi"/>
          <w:lang w:val="en-GB"/>
        </w:rPr>
        <w:br/>
        <w:t>Marie-Luise Möller</w:t>
      </w:r>
    </w:p>
    <w:sectPr w:rsidR="00B16A86" w:rsidRPr="00B16A86" w:rsidSect="00C637BC">
      <w:pgSz w:w="11906" w:h="16838"/>
      <w:pgMar w:top="1417"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85" w:rsidRDefault="00321A85" w:rsidP="00843911">
      <w:pPr>
        <w:spacing w:after="0" w:line="240" w:lineRule="auto"/>
      </w:pPr>
      <w:r>
        <w:separator/>
      </w:r>
    </w:p>
  </w:endnote>
  <w:endnote w:type="continuationSeparator" w:id="0">
    <w:p w:rsidR="00321A85" w:rsidRDefault="00321A85" w:rsidP="0084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85" w:rsidRDefault="00321A85" w:rsidP="00843911">
      <w:pPr>
        <w:spacing w:after="0" w:line="240" w:lineRule="auto"/>
      </w:pPr>
      <w:r>
        <w:separator/>
      </w:r>
    </w:p>
  </w:footnote>
  <w:footnote w:type="continuationSeparator" w:id="0">
    <w:p w:rsidR="00321A85" w:rsidRDefault="00321A85" w:rsidP="00843911">
      <w:pPr>
        <w:spacing w:after="0" w:line="240" w:lineRule="auto"/>
      </w:pPr>
      <w:r>
        <w:continuationSeparator/>
      </w:r>
    </w:p>
  </w:footnote>
  <w:footnote w:id="1">
    <w:p w:rsidR="0067484F" w:rsidRPr="00C6415C" w:rsidRDefault="0067484F" w:rsidP="00B7657F">
      <w:pPr>
        <w:pStyle w:val="Funotentext"/>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sz w:val="18"/>
          <w:szCs w:val="18"/>
          <w:lang w:val="en-GB"/>
        </w:rPr>
        <w:t>UK Supreme Court</w:t>
      </w:r>
      <w:r w:rsidR="005E36DC" w:rsidRPr="00C6415C">
        <w:rPr>
          <w:rFonts w:cstheme="minorHAnsi"/>
          <w:sz w:val="18"/>
          <w:szCs w:val="18"/>
          <w:lang w:val="en-GB"/>
        </w:rPr>
        <w:t xml:space="preserve">, </w:t>
      </w:r>
      <w:hyperlink r:id="rId1" w:history="1">
        <w:r w:rsidR="005E36DC" w:rsidRPr="00C6415C">
          <w:rPr>
            <w:rStyle w:val="Hyperlink"/>
            <w:rFonts w:cstheme="minorHAnsi"/>
            <w:i/>
            <w:sz w:val="18"/>
            <w:szCs w:val="18"/>
          </w:rPr>
          <w:t>MS (Pakistan) (Appellant) v Secretary of State for the Home Department (Respondent)</w:t>
        </w:r>
      </w:hyperlink>
      <w:r w:rsidR="005E36DC" w:rsidRPr="00C6415C">
        <w:rPr>
          <w:rFonts w:cstheme="minorHAnsi"/>
          <w:sz w:val="18"/>
          <w:szCs w:val="18"/>
        </w:rPr>
        <w:t>, judgment given on 18 March 2020, Hilary Term [2020] UKSC 9.</w:t>
      </w:r>
    </w:p>
  </w:footnote>
  <w:footnote w:id="2">
    <w:p w:rsidR="00306387" w:rsidRPr="00C6415C" w:rsidRDefault="00306387"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28(c), </w:t>
      </w:r>
      <w:r w:rsidRPr="00C6415C">
        <w:rPr>
          <w:rFonts w:cstheme="minorHAnsi"/>
          <w:color w:val="000000"/>
          <w:sz w:val="18"/>
          <w:szCs w:val="18"/>
        </w:rPr>
        <w:t>CEDAW/C/PHL/CO/7-8.</w:t>
      </w:r>
    </w:p>
  </w:footnote>
  <w:footnote w:id="3">
    <w:p w:rsidR="009C7452" w:rsidRPr="00C6415C" w:rsidRDefault="009C7452"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R(c), </w:t>
      </w:r>
      <w:r w:rsidRPr="00C6415C">
        <w:rPr>
          <w:rFonts w:cstheme="minorHAnsi"/>
          <w:color w:val="000000"/>
          <w:sz w:val="18"/>
          <w:szCs w:val="18"/>
        </w:rPr>
        <w:t>CEDAW/C/LIE/CO/4.</w:t>
      </w:r>
    </w:p>
  </w:footnote>
  <w:footnote w:id="4">
    <w:p w:rsidR="001F39AB" w:rsidRPr="00C6415C" w:rsidRDefault="00306387" w:rsidP="00B7657F">
      <w:pPr>
        <w:spacing w:after="0" w:line="240" w:lineRule="auto"/>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lang w:val="en-GB"/>
        </w:rPr>
        <w:t xml:space="preserve"> </w:t>
      </w:r>
      <w:r w:rsidR="005E36DC" w:rsidRPr="00C6415C">
        <w:rPr>
          <w:rFonts w:cstheme="minorHAnsi"/>
          <w:sz w:val="18"/>
          <w:szCs w:val="18"/>
          <w:lang w:val="en-GB"/>
        </w:rPr>
        <w:t xml:space="preserve">See for instance for the European </w:t>
      </w:r>
      <w:proofErr w:type="gramStart"/>
      <w:r w:rsidR="005E36DC" w:rsidRPr="00C6415C">
        <w:rPr>
          <w:rFonts w:cstheme="minorHAnsi"/>
          <w:sz w:val="18"/>
          <w:szCs w:val="18"/>
          <w:lang w:val="en-GB"/>
        </w:rPr>
        <w:t>context</w:t>
      </w:r>
      <w:proofErr w:type="gramEnd"/>
      <w:r w:rsidR="005E36DC" w:rsidRPr="00C6415C">
        <w:rPr>
          <w:rFonts w:cstheme="minorHAnsi"/>
          <w:sz w:val="18"/>
          <w:szCs w:val="18"/>
          <w:lang w:val="en-GB"/>
        </w:rPr>
        <w:t xml:space="preserve"> Arts. 5, 10(5), 18(6), 24(1) Directive 2013/33/EU, Recitals 19, 21 and Arts. 11(5) and (6) Anti-Trafficking Directive; Arts. 12-15 </w:t>
      </w:r>
      <w:proofErr w:type="spellStart"/>
      <w:r w:rsidR="005E36DC" w:rsidRPr="00C6415C">
        <w:rPr>
          <w:rFonts w:cstheme="minorHAnsi"/>
          <w:iCs/>
          <w:sz w:val="18"/>
          <w:szCs w:val="18"/>
          <w:lang w:val="en-GB"/>
        </w:rPr>
        <w:t>CoE</w:t>
      </w:r>
      <w:proofErr w:type="spellEnd"/>
      <w:r w:rsidR="005E36DC" w:rsidRPr="00C6415C">
        <w:rPr>
          <w:rFonts w:cstheme="minorHAnsi"/>
          <w:iCs/>
          <w:sz w:val="18"/>
          <w:szCs w:val="18"/>
          <w:lang w:val="en-GB"/>
        </w:rPr>
        <w:t xml:space="preserve"> Anti-Trafficking Convention</w:t>
      </w:r>
      <w:r w:rsidR="005E36DC" w:rsidRPr="00C6415C">
        <w:rPr>
          <w:rFonts w:cstheme="minorHAnsi"/>
          <w:sz w:val="18"/>
          <w:szCs w:val="18"/>
          <w:lang w:val="en-GB"/>
        </w:rPr>
        <w:t>; Art. 9</w:t>
      </w:r>
      <w:r w:rsidR="00C6415C" w:rsidRPr="00C6415C">
        <w:rPr>
          <w:rFonts w:cstheme="minorHAnsi"/>
          <w:sz w:val="18"/>
          <w:szCs w:val="18"/>
          <w:lang w:val="en-GB"/>
        </w:rPr>
        <w:t xml:space="preserve"> UN</w:t>
      </w:r>
      <w:r w:rsidR="005E36DC" w:rsidRPr="00C6415C">
        <w:rPr>
          <w:rFonts w:cstheme="minorHAnsi"/>
          <w:sz w:val="18"/>
          <w:szCs w:val="18"/>
          <w:lang w:val="en-GB"/>
        </w:rPr>
        <w:t xml:space="preserve"> CRC; Art. 11 EU Charter</w:t>
      </w:r>
      <w:r w:rsidR="00B41114" w:rsidRPr="00C6415C">
        <w:rPr>
          <w:rFonts w:cstheme="minorHAnsi"/>
          <w:sz w:val="18"/>
          <w:szCs w:val="18"/>
          <w:lang w:val="en-GB"/>
        </w:rPr>
        <w:t>.</w:t>
      </w:r>
    </w:p>
    <w:p w:rsidR="000A7AE6" w:rsidRPr="00C6415C" w:rsidRDefault="000A7AE6" w:rsidP="00B7657F">
      <w:pPr>
        <w:spacing w:after="0" w:line="240" w:lineRule="auto"/>
        <w:rPr>
          <w:rFonts w:cstheme="minorHAnsi"/>
          <w:sz w:val="18"/>
          <w:szCs w:val="18"/>
          <w:lang w:val="en-GB"/>
        </w:rPr>
      </w:pPr>
      <w:r w:rsidRPr="00C6415C">
        <w:rPr>
          <w:rFonts w:cstheme="minorHAnsi"/>
          <w:sz w:val="18"/>
          <w:szCs w:val="18"/>
          <w:lang w:val="en-GB"/>
        </w:rPr>
        <w:t xml:space="preserve">The use of ‘at least’ in the first sentence of Article 5(1) </w:t>
      </w:r>
      <w:r w:rsidR="001F39AB" w:rsidRPr="00C6415C">
        <w:rPr>
          <w:rFonts w:cstheme="minorHAnsi"/>
          <w:sz w:val="18"/>
          <w:szCs w:val="18"/>
          <w:lang w:val="en-GB"/>
        </w:rPr>
        <w:t>Directive 2013/33/EU</w:t>
      </w:r>
      <w:r w:rsidRPr="00C6415C">
        <w:rPr>
          <w:rFonts w:cstheme="minorHAnsi"/>
          <w:sz w:val="18"/>
          <w:szCs w:val="18"/>
          <w:lang w:val="en-GB"/>
        </w:rPr>
        <w:t xml:space="preserve"> (recast) </w:t>
      </w:r>
      <w:r w:rsidR="00C6415C" w:rsidRPr="00C6415C">
        <w:rPr>
          <w:rFonts w:cstheme="minorHAnsi"/>
          <w:sz w:val="18"/>
          <w:szCs w:val="18"/>
          <w:lang w:val="en-GB"/>
        </w:rPr>
        <w:t xml:space="preserve">(RCD (recast) in the following) </w:t>
      </w:r>
      <w:r w:rsidRPr="00C6415C">
        <w:rPr>
          <w:rFonts w:cstheme="minorHAnsi"/>
          <w:sz w:val="18"/>
          <w:szCs w:val="18"/>
          <w:lang w:val="en-GB"/>
        </w:rPr>
        <w:t>demonstrates that information provided with regard to reception-related benefits can also address additional benefits which may be relevant for applicants with special reception needs who might be in need of information on very specific services and assistance</w:t>
      </w:r>
      <w:r w:rsidR="001F39AB" w:rsidRPr="00C6415C">
        <w:rPr>
          <w:rFonts w:cstheme="minorHAnsi"/>
          <w:sz w:val="18"/>
          <w:szCs w:val="18"/>
          <w:lang w:val="en-GB"/>
        </w:rPr>
        <w:t>, such as victims of trafficking</w:t>
      </w:r>
      <w:r w:rsidRPr="00C6415C">
        <w:rPr>
          <w:rFonts w:cstheme="minorHAnsi"/>
          <w:sz w:val="18"/>
          <w:szCs w:val="18"/>
          <w:lang w:val="en-GB"/>
        </w:rPr>
        <w:t xml:space="preserve">. Article 5(1) </w:t>
      </w:r>
      <w:r w:rsidR="003A2629" w:rsidRPr="00C6415C">
        <w:rPr>
          <w:rFonts w:cstheme="minorHAnsi"/>
          <w:sz w:val="18"/>
          <w:szCs w:val="18"/>
          <w:lang w:val="en-GB"/>
        </w:rPr>
        <w:t>Directive 2013/33/EU</w:t>
      </w:r>
      <w:r w:rsidRPr="00C6415C">
        <w:rPr>
          <w:rFonts w:cstheme="minorHAnsi"/>
          <w:sz w:val="18"/>
          <w:szCs w:val="18"/>
          <w:lang w:val="en-GB"/>
        </w:rPr>
        <w:t xml:space="preserve"> (recast) does not distinguish between state- and non-state organisations or institutions. Additionally, Article 5 RCD (recast) does not lay down any specific requirements for t</w:t>
      </w:r>
      <w:r w:rsidR="00C6415C" w:rsidRPr="00C6415C">
        <w:rPr>
          <w:rFonts w:cstheme="minorHAnsi"/>
          <w:sz w:val="18"/>
          <w:szCs w:val="18"/>
          <w:lang w:val="en-GB"/>
        </w:rPr>
        <w:t xml:space="preserve">he mandate of an organisation. </w:t>
      </w:r>
      <w:r w:rsidRPr="00C6415C">
        <w:rPr>
          <w:rFonts w:cstheme="minorHAnsi"/>
          <w:sz w:val="18"/>
          <w:szCs w:val="18"/>
          <w:lang w:val="en-GB"/>
        </w:rPr>
        <w:t xml:space="preserve">Rather, the requirement is that it shall be an organisation ‘that </w:t>
      </w:r>
      <w:r w:rsidRPr="00C6415C">
        <w:rPr>
          <w:rFonts w:cstheme="minorHAnsi"/>
          <w:i/>
          <w:sz w:val="18"/>
          <w:szCs w:val="18"/>
          <w:lang w:val="en-GB"/>
        </w:rPr>
        <w:t>might</w:t>
      </w:r>
      <w:r w:rsidRPr="00C6415C">
        <w:rPr>
          <w:rFonts w:cstheme="minorHAnsi"/>
          <w:sz w:val="18"/>
          <w:szCs w:val="18"/>
          <w:lang w:val="en-GB"/>
        </w:rPr>
        <w:t xml:space="preserve"> be able to help or provide information (…)’ (emphasis added). </w:t>
      </w:r>
    </w:p>
    <w:p w:rsidR="00306387" w:rsidRPr="00C6415C" w:rsidRDefault="000A7AE6" w:rsidP="00B7657F">
      <w:pPr>
        <w:pStyle w:val="berschriftFett"/>
        <w:spacing w:before="0" w:after="0" w:line="240" w:lineRule="auto"/>
        <w:rPr>
          <w:rFonts w:cstheme="minorHAnsi"/>
          <w:b w:val="0"/>
          <w:sz w:val="18"/>
          <w:szCs w:val="18"/>
        </w:rPr>
      </w:pPr>
      <w:r w:rsidRPr="00C6415C">
        <w:rPr>
          <w:rFonts w:cstheme="minorHAnsi"/>
          <w:b w:val="0"/>
          <w:sz w:val="18"/>
          <w:szCs w:val="18"/>
        </w:rPr>
        <w:t>Article 10 of the Council of Europe Convention on Action against Trafficking in Human Beings underlines the importance of a coordinated response for addressing special reception needs of vulnerable applicants. It requires competent authorities to provide personnel trained in identifying and helping victims of trafficking (‘focal points’) to ensure that different authorities collaborate with each other. According to the Explanatory Report, ‘immigration authorities’ are listed among the ‘competent authorities’ referred to in Article 10 of the Convention</w:t>
      </w:r>
    </w:p>
  </w:footnote>
  <w:footnote w:id="5">
    <w:p w:rsidR="00C560F4" w:rsidRPr="00C6415C" w:rsidRDefault="00C560F4" w:rsidP="00B7657F">
      <w:pPr>
        <w:pStyle w:val="Funotentext"/>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rPr>
        <w:t xml:space="preserve"> </w:t>
      </w:r>
      <w:r w:rsidR="005E36DC" w:rsidRPr="00C6415C">
        <w:rPr>
          <w:rFonts w:cstheme="minorHAnsi"/>
          <w:sz w:val="18"/>
          <w:szCs w:val="18"/>
        </w:rPr>
        <w:t>See e</w:t>
      </w:r>
      <w:r w:rsidR="00C6415C" w:rsidRPr="00C6415C">
        <w:rPr>
          <w:rFonts w:cstheme="minorHAnsi"/>
          <w:sz w:val="18"/>
          <w:szCs w:val="18"/>
        </w:rPr>
        <w:t>.</w:t>
      </w:r>
      <w:r w:rsidR="005E36DC" w:rsidRPr="00C6415C">
        <w:rPr>
          <w:rFonts w:cstheme="minorHAnsi"/>
          <w:sz w:val="18"/>
          <w:szCs w:val="18"/>
        </w:rPr>
        <w:t>g</w:t>
      </w:r>
      <w:r w:rsidR="00C6415C" w:rsidRPr="00C6415C">
        <w:rPr>
          <w:rFonts w:cstheme="minorHAnsi"/>
          <w:sz w:val="18"/>
          <w:szCs w:val="18"/>
        </w:rPr>
        <w:t>.</w:t>
      </w:r>
      <w:r w:rsidR="005E36DC" w:rsidRPr="00C6415C">
        <w:rPr>
          <w:rFonts w:cstheme="minorHAnsi"/>
          <w:sz w:val="18"/>
          <w:szCs w:val="18"/>
        </w:rPr>
        <w:t xml:space="preserve"> Centre for Refugee Research, </w:t>
      </w:r>
      <w:hyperlink r:id="rId2" w:history="1">
        <w:r w:rsidR="005E36DC" w:rsidRPr="00C6415C">
          <w:rPr>
            <w:rStyle w:val="Hyperlink"/>
            <w:rFonts w:cstheme="minorHAnsi"/>
            <w:i/>
            <w:sz w:val="18"/>
            <w:szCs w:val="18"/>
          </w:rPr>
          <w:t>Making Mainstreaming a Reality – Gender and the UNHCR Policy on Refugee Protection and Solutions in Urban Areas. A Refugee Perspective</w:t>
        </w:r>
      </w:hyperlink>
    </w:p>
  </w:footnote>
  <w:footnote w:id="6">
    <w:p w:rsidR="004F3E30" w:rsidRPr="00C6415C" w:rsidRDefault="004F3E30"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R(b), </w:t>
      </w:r>
      <w:r w:rsidRPr="00C6415C">
        <w:rPr>
          <w:rFonts w:cstheme="minorHAnsi"/>
          <w:color w:val="000000"/>
          <w:sz w:val="18"/>
          <w:szCs w:val="18"/>
        </w:rPr>
        <w:t>CEDAW/C/LIE/CO/4.</w:t>
      </w:r>
    </w:p>
  </w:footnote>
  <w:footnote w:id="7">
    <w:p w:rsidR="00342130" w:rsidRPr="00477C99" w:rsidRDefault="00342130" w:rsidP="00B7657F">
      <w:pPr>
        <w:pStyle w:val="Funotentext"/>
        <w:rPr>
          <w:i/>
          <w:sz w:val="18"/>
          <w:szCs w:val="18"/>
        </w:rPr>
      </w:pPr>
      <w:r w:rsidRPr="00C6415C">
        <w:rPr>
          <w:rStyle w:val="Funotenzeichen"/>
          <w:sz w:val="18"/>
          <w:szCs w:val="18"/>
        </w:rPr>
        <w:footnoteRef/>
      </w:r>
      <w:r w:rsidRPr="00C6415C">
        <w:rPr>
          <w:sz w:val="18"/>
          <w:szCs w:val="18"/>
        </w:rPr>
        <w:t xml:space="preserve"> </w:t>
      </w:r>
      <w:r w:rsidR="00477C99">
        <w:rPr>
          <w:sz w:val="18"/>
          <w:szCs w:val="18"/>
        </w:rPr>
        <w:t xml:space="preserve">See for instance Art 10 and 14 </w:t>
      </w:r>
      <w:proofErr w:type="spellStart"/>
      <w:r w:rsidR="00477C99">
        <w:rPr>
          <w:sz w:val="18"/>
          <w:szCs w:val="18"/>
        </w:rPr>
        <w:t>CoE</w:t>
      </w:r>
      <w:proofErr w:type="spellEnd"/>
      <w:r w:rsidR="00477C99">
        <w:rPr>
          <w:sz w:val="18"/>
          <w:szCs w:val="18"/>
        </w:rPr>
        <w:t xml:space="preserve"> Anti-Trafficking Convention as well as </w:t>
      </w:r>
      <w:proofErr w:type="spellStart"/>
      <w:r w:rsidR="00477C99">
        <w:rPr>
          <w:sz w:val="18"/>
          <w:szCs w:val="18"/>
        </w:rPr>
        <w:t>CoE</w:t>
      </w:r>
      <w:proofErr w:type="spellEnd"/>
      <w:r w:rsidR="00477C99">
        <w:rPr>
          <w:sz w:val="18"/>
          <w:szCs w:val="18"/>
        </w:rPr>
        <w:t xml:space="preserve"> </w:t>
      </w:r>
      <w:hyperlink r:id="rId3" w:history="1">
        <w:r w:rsidR="00477C99" w:rsidRPr="00477C99">
          <w:rPr>
            <w:rStyle w:val="Hyperlink"/>
            <w:i/>
            <w:sz w:val="18"/>
            <w:szCs w:val="18"/>
          </w:rPr>
          <w:t>Explanatory Report to the Council of Europe Convention on Action against Trafficking in Human Beings</w:t>
        </w:r>
      </w:hyperlink>
      <w:r w:rsidR="00477C99">
        <w:rPr>
          <w:i/>
          <w:sz w:val="18"/>
          <w:szCs w:val="18"/>
        </w:rPr>
        <w:t xml:space="preserve">, </w:t>
      </w:r>
      <w:r w:rsidR="00477C99" w:rsidRPr="00477C99">
        <w:rPr>
          <w:sz w:val="18"/>
          <w:szCs w:val="18"/>
        </w:rPr>
        <w:t>para 134, 180-182.</w:t>
      </w:r>
    </w:p>
  </w:footnote>
  <w:footnote w:id="8">
    <w:p w:rsidR="000A7AE6" w:rsidRPr="00C637BC" w:rsidRDefault="005E5444" w:rsidP="00B7657F">
      <w:pPr>
        <w:pStyle w:val="Kommentar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000A7AE6" w:rsidRPr="00C6415C">
        <w:rPr>
          <w:rFonts w:cstheme="minorHAnsi"/>
          <w:sz w:val="18"/>
          <w:szCs w:val="18"/>
        </w:rPr>
        <w:t xml:space="preserve">See for instance potentially relevant provision on the obligation to continuously provide adequate assistance: Arts. 17, 18, 23-25 Directive 2013/33/EU, Article 12 </w:t>
      </w:r>
      <w:proofErr w:type="spellStart"/>
      <w:r w:rsidR="000A7AE6" w:rsidRPr="00C6415C">
        <w:rPr>
          <w:rFonts w:cstheme="minorHAnsi"/>
          <w:iCs/>
          <w:sz w:val="18"/>
          <w:szCs w:val="18"/>
        </w:rPr>
        <w:t>CoE</w:t>
      </w:r>
      <w:proofErr w:type="spellEnd"/>
      <w:r w:rsidR="000A7AE6" w:rsidRPr="00C6415C">
        <w:rPr>
          <w:rFonts w:cstheme="minorHAnsi"/>
          <w:iCs/>
          <w:sz w:val="18"/>
          <w:szCs w:val="18"/>
        </w:rPr>
        <w:t xml:space="preserve"> Anti-Trafficking Convention</w:t>
      </w:r>
      <w:r w:rsidR="000A7AE6" w:rsidRPr="00C6415C">
        <w:rPr>
          <w:rFonts w:cstheme="minorHAnsi"/>
          <w:sz w:val="18"/>
          <w:szCs w:val="18"/>
        </w:rPr>
        <w:t xml:space="preserve">; Art. 11 EU Anti-Trafficking Directive; Art. 14 CAT; Arts. 23-28 CRPD; Arts. 18-28 CRC, Arts. 20, 22 Istanbul Convention; Article 22(1) Directive 2013/33/EU (recast) requires Member States to assess whether an applicant for </w:t>
      </w:r>
      <w:r w:rsidR="000A7AE6" w:rsidRPr="00C637BC">
        <w:rPr>
          <w:rFonts w:cstheme="minorHAnsi"/>
          <w:sz w:val="18"/>
          <w:szCs w:val="18"/>
        </w:rPr>
        <w:t xml:space="preserve">international protection is an applicant with special reception needs According to Article 22(1), third sentence, RCD (recast), special reception needs shall be ‘addressed’ if they become ‘apparent’ at a later stage in the asylum procedure. </w:t>
      </w:r>
    </w:p>
    <w:p w:rsidR="000A7AE6" w:rsidRPr="00C637BC" w:rsidRDefault="000A7AE6" w:rsidP="00B7657F">
      <w:pPr>
        <w:spacing w:after="0" w:line="240" w:lineRule="auto"/>
        <w:rPr>
          <w:rFonts w:cstheme="minorHAnsi"/>
          <w:sz w:val="18"/>
          <w:szCs w:val="18"/>
          <w:lang w:val="en-GB"/>
        </w:rPr>
      </w:pPr>
      <w:r w:rsidRPr="00C637BC">
        <w:rPr>
          <w:rFonts w:cstheme="minorHAnsi"/>
          <w:sz w:val="18"/>
          <w:szCs w:val="18"/>
          <w:lang w:val="en-GB"/>
        </w:rPr>
        <w:t>Such an assessment shall be ‘</w:t>
      </w:r>
      <w:r w:rsidRPr="00C637BC">
        <w:rPr>
          <w:rFonts w:cstheme="minorHAnsi"/>
          <w:i/>
          <w:sz w:val="18"/>
          <w:szCs w:val="18"/>
          <w:lang w:val="en-GB"/>
        </w:rPr>
        <w:t>initiated</w:t>
      </w:r>
      <w:r w:rsidRPr="00C637BC">
        <w:rPr>
          <w:rFonts w:cstheme="minorHAnsi"/>
          <w:sz w:val="18"/>
          <w:szCs w:val="18"/>
          <w:lang w:val="en-GB"/>
        </w:rPr>
        <w:t xml:space="preserve"> within a reasonable time after an application for international protection is made’ (emphasis added). The use of the word ‘initiated’ acknowledges that an assessment of special reception needs may take some time (e.g. due to the need for interviews and/or medical assessments).</w:t>
      </w:r>
    </w:p>
    <w:p w:rsidR="005E5444" w:rsidRPr="00C6415C" w:rsidRDefault="001F39AB" w:rsidP="00B7657F">
      <w:pPr>
        <w:pStyle w:val="berschriftFett"/>
        <w:spacing w:before="0" w:after="0" w:line="240" w:lineRule="auto"/>
        <w:rPr>
          <w:rFonts w:cstheme="minorHAnsi"/>
          <w:b w:val="0"/>
          <w:sz w:val="18"/>
          <w:szCs w:val="18"/>
        </w:rPr>
      </w:pPr>
      <w:r w:rsidRPr="00C637BC">
        <w:rPr>
          <w:rFonts w:cstheme="minorHAnsi"/>
          <w:b w:val="0"/>
          <w:sz w:val="18"/>
          <w:szCs w:val="18"/>
        </w:rPr>
        <w:t xml:space="preserve">Article 10 of the Council of Europe Convention on Action against Trafficking in Human Beings underlines the importance of a coordinated response for addressing special reception needs of vulnerable applicants. It requires competent authorities to provide personnel trained in identifying and supporting victims of to ensure that different authorities collaborate with each other. According to the Explanatory Report, ‘immigration authorities’ are listed among the ‘competent authorities’ referred to in Article 10 of the Convention (see </w:t>
      </w:r>
      <w:r w:rsidRPr="00C6415C">
        <w:rPr>
          <w:rFonts w:cstheme="minorHAnsi"/>
          <w:b w:val="0"/>
          <w:sz w:val="18"/>
          <w:szCs w:val="18"/>
          <w:lang w:val="en-CA"/>
        </w:rPr>
        <w:t xml:space="preserve">Council of Europe, </w:t>
      </w:r>
      <w:hyperlink r:id="rId4" w:history="1">
        <w:r w:rsidRPr="00C6415C">
          <w:rPr>
            <w:rStyle w:val="Hyperlink"/>
            <w:rFonts w:cstheme="minorHAnsi"/>
            <w:b w:val="0"/>
            <w:i/>
            <w:sz w:val="18"/>
            <w:szCs w:val="18"/>
            <w:lang w:val="en-CA"/>
          </w:rPr>
          <w:t>Explanatory Report to the Council of Europe Convention on Action against Trafficking in Human Beings</w:t>
        </w:r>
      </w:hyperlink>
      <w:r w:rsidRPr="00C6415C">
        <w:rPr>
          <w:rFonts w:cstheme="minorHAnsi"/>
          <w:b w:val="0"/>
          <w:sz w:val="18"/>
          <w:szCs w:val="18"/>
          <w:lang w:val="en-CA"/>
        </w:rPr>
        <w:t>, 16 May 2005, para. 129).</w:t>
      </w:r>
    </w:p>
  </w:footnote>
  <w:footnote w:id="9">
    <w:p w:rsidR="00C73DEF" w:rsidRPr="00C6415C" w:rsidRDefault="00C73DEF" w:rsidP="00B7657F">
      <w:pPr>
        <w:pStyle w:val="Funotentext"/>
        <w:rPr>
          <w:sz w:val="18"/>
          <w:szCs w:val="18"/>
          <w:lang w:val="en-GB"/>
        </w:rPr>
      </w:pPr>
      <w:r w:rsidRPr="00C6415C">
        <w:rPr>
          <w:rStyle w:val="Funotenzeichen"/>
          <w:sz w:val="18"/>
          <w:szCs w:val="18"/>
        </w:rPr>
        <w:footnoteRef/>
      </w:r>
      <w:r w:rsidRPr="00C6415C">
        <w:rPr>
          <w:sz w:val="18"/>
          <w:szCs w:val="18"/>
        </w:rPr>
        <w:t xml:space="preserve"> </w:t>
      </w:r>
      <w:r w:rsidRPr="00C6415C">
        <w:rPr>
          <w:sz w:val="18"/>
          <w:szCs w:val="18"/>
          <w:lang w:val="en-GB"/>
        </w:rPr>
        <w:t>See for instance Art 3 Dublin III Regulation (for the European Context)</w:t>
      </w:r>
      <w:r w:rsidR="00AE5B75" w:rsidRPr="00C6415C">
        <w:rPr>
          <w:sz w:val="18"/>
          <w:szCs w:val="18"/>
          <w:lang w:val="en-GB"/>
        </w:rPr>
        <w:t>, Art 3 E</w:t>
      </w:r>
      <w:r w:rsidR="00AE5B75" w:rsidRPr="00C637BC">
        <w:rPr>
          <w:sz w:val="18"/>
          <w:szCs w:val="18"/>
          <w:lang w:val="en-GB"/>
        </w:rPr>
        <w:t>CHR</w:t>
      </w:r>
    </w:p>
  </w:footnote>
  <w:footnote w:id="10">
    <w:p w:rsidR="00C73DEF" w:rsidRPr="00C637BC" w:rsidRDefault="00C73DEF" w:rsidP="00C637BC">
      <w:pPr>
        <w:spacing w:after="0"/>
        <w:rPr>
          <w:sz w:val="18"/>
          <w:szCs w:val="18"/>
          <w:lang w:val="en-GB"/>
        </w:rPr>
      </w:pPr>
      <w:r w:rsidRPr="00C6415C">
        <w:rPr>
          <w:rStyle w:val="Funotenzeichen"/>
          <w:sz w:val="18"/>
          <w:szCs w:val="18"/>
        </w:rPr>
        <w:footnoteRef/>
      </w:r>
      <w:r w:rsidRPr="00C637BC">
        <w:rPr>
          <w:sz w:val="18"/>
          <w:szCs w:val="18"/>
          <w:lang w:val="en-GB"/>
        </w:rPr>
        <w:t xml:space="preserve"> </w:t>
      </w:r>
      <w:r w:rsidR="00C637BC" w:rsidRPr="00C637BC">
        <w:rPr>
          <w:rFonts w:eastAsia="Calibri" w:cstheme="minorHAnsi"/>
          <w:sz w:val="18"/>
          <w:szCs w:val="18"/>
          <w:lang w:val="en-GB"/>
        </w:rPr>
        <w:t>The Austrian Federal Administrative Court (</w:t>
      </w:r>
      <w:proofErr w:type="spellStart"/>
      <w:r w:rsidR="00C637BC" w:rsidRPr="00C637BC">
        <w:rPr>
          <w:rFonts w:eastAsia="Calibri" w:cstheme="minorHAnsi"/>
          <w:sz w:val="18"/>
          <w:szCs w:val="18"/>
          <w:lang w:val="en-GB"/>
        </w:rPr>
        <w:t>Bundesverwaltungsgericht</w:t>
      </w:r>
      <w:proofErr w:type="spellEnd"/>
      <w:r w:rsidR="00C637BC" w:rsidRPr="00C637BC">
        <w:rPr>
          <w:rFonts w:eastAsia="Calibri" w:cstheme="minorHAnsi"/>
          <w:sz w:val="18"/>
          <w:szCs w:val="18"/>
          <w:lang w:val="en-GB"/>
        </w:rPr>
        <w:t>) for example found that in a case of women who were to be transferred to Italy where they had been trafficked for the purpose of sexual exploitation, a transfer might be a violation of fundamental rights under Article 4 ECHR. The Court therefore ordered a remittal of the case back to the first instance for further investigations on the specific reception conditions for victims of trafficking and the risk of former victims being re-trafficked in Italy (see Austrian Federal Administrative Court, judgment of 28 March 2017,</w:t>
      </w:r>
      <w:r w:rsidR="00C637BC" w:rsidRPr="004850CB">
        <w:rPr>
          <w:lang w:val="en-CA"/>
        </w:rPr>
        <w:t xml:space="preserve"> </w:t>
      </w:r>
      <w:hyperlink r:id="rId5" w:history="1">
        <w:r w:rsidR="00C637BC" w:rsidRPr="00C637BC">
          <w:rPr>
            <w:rStyle w:val="Hyperlink"/>
            <w:rFonts w:cs="Minion-Regular"/>
            <w:i/>
            <w:sz w:val="18"/>
            <w:szCs w:val="18"/>
            <w:lang w:val="en-CA"/>
          </w:rPr>
          <w:t xml:space="preserve">W161 2149727-1/5E </w:t>
        </w:r>
        <w:proofErr w:type="spellStart"/>
        <w:r w:rsidR="00C637BC" w:rsidRPr="00C637BC">
          <w:rPr>
            <w:rStyle w:val="Hyperlink"/>
            <w:rFonts w:cs="Minion-Regular"/>
            <w:i/>
            <w:sz w:val="18"/>
            <w:szCs w:val="18"/>
            <w:lang w:val="en-CA"/>
          </w:rPr>
          <w:t>ua</w:t>
        </w:r>
        <w:proofErr w:type="spellEnd"/>
      </w:hyperlink>
      <w:r w:rsidR="00807D3E" w:rsidRPr="00807D3E">
        <w:rPr>
          <w:rFonts w:cs="Minion-Regular"/>
          <w:sz w:val="18"/>
          <w:szCs w:val="18"/>
          <w:lang w:val="en-CA"/>
        </w:rPr>
        <w:t>)</w:t>
      </w:r>
    </w:p>
  </w:footnote>
  <w:footnote w:id="11">
    <w:p w:rsidR="008B51B9" w:rsidRPr="00C6415C" w:rsidRDefault="008B51B9"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R, </w:t>
      </w:r>
      <w:r w:rsidRPr="00C6415C">
        <w:rPr>
          <w:rFonts w:cstheme="minorHAnsi"/>
          <w:color w:val="000000"/>
          <w:sz w:val="18"/>
          <w:szCs w:val="18"/>
        </w:rPr>
        <w:t xml:space="preserve">CEDAW/C/LAO/CO/7; para. </w:t>
      </w:r>
      <w:r w:rsidRPr="00C6415C">
        <w:rPr>
          <w:rFonts w:cstheme="minorHAnsi"/>
          <w:sz w:val="18"/>
          <w:szCs w:val="18"/>
        </w:rPr>
        <w:t xml:space="preserve">31, </w:t>
      </w:r>
      <w:r w:rsidRPr="00C6415C">
        <w:rPr>
          <w:rFonts w:cstheme="minorHAnsi"/>
          <w:color w:val="000000"/>
          <w:sz w:val="18"/>
          <w:szCs w:val="18"/>
        </w:rPr>
        <w:t xml:space="preserve">CEDAW/C/ROU/CO/7-8; para. </w:t>
      </w:r>
      <w:r w:rsidRPr="00C6415C">
        <w:rPr>
          <w:rFonts w:cstheme="minorHAnsi"/>
          <w:sz w:val="18"/>
          <w:szCs w:val="18"/>
        </w:rPr>
        <w:t xml:space="preserve">34(c), </w:t>
      </w:r>
      <w:r w:rsidRPr="00C6415C">
        <w:rPr>
          <w:rFonts w:cstheme="minorHAnsi"/>
          <w:color w:val="000000"/>
          <w:sz w:val="18"/>
          <w:szCs w:val="18"/>
        </w:rPr>
        <w:t>CEDAW/C/NPL/CO/4-5.</w:t>
      </w:r>
    </w:p>
  </w:footnote>
  <w:footnote w:id="12">
    <w:p w:rsidR="008B51B9" w:rsidRPr="00C6415C" w:rsidRDefault="008B51B9"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39,</w:t>
      </w:r>
      <w:r w:rsidRPr="00C6415C">
        <w:rPr>
          <w:rFonts w:cstheme="minorHAnsi"/>
          <w:color w:val="000000"/>
          <w:sz w:val="18"/>
          <w:szCs w:val="18"/>
        </w:rPr>
        <w:t xml:space="preserve"> CEDAW/C/LKA/CO/8.</w:t>
      </w:r>
    </w:p>
  </w:footnote>
  <w:footnote w:id="13">
    <w:p w:rsidR="008B51B9" w:rsidRPr="00C6415C" w:rsidRDefault="008B51B9"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36(c), </w:t>
      </w:r>
      <w:r w:rsidRPr="00C6415C">
        <w:rPr>
          <w:rFonts w:cstheme="minorHAnsi"/>
          <w:color w:val="000000"/>
          <w:sz w:val="18"/>
          <w:szCs w:val="18"/>
        </w:rPr>
        <w:t>CEDAW/C/NOR/CO/8.</w:t>
      </w:r>
    </w:p>
  </w:footnote>
  <w:footnote w:id="14">
    <w:p w:rsidR="008B51B9" w:rsidRPr="00C6415C" w:rsidRDefault="008B51B9"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43(a), </w:t>
      </w:r>
      <w:r w:rsidRPr="00C6415C">
        <w:rPr>
          <w:rFonts w:cstheme="minorHAnsi"/>
          <w:color w:val="000000"/>
          <w:sz w:val="18"/>
          <w:szCs w:val="18"/>
        </w:rPr>
        <w:t xml:space="preserve">CEDAW/C/GTM/CO/8-9; para. </w:t>
      </w:r>
      <w:r w:rsidRPr="00C6415C">
        <w:rPr>
          <w:rFonts w:cstheme="minorHAnsi"/>
          <w:sz w:val="18"/>
          <w:szCs w:val="18"/>
        </w:rPr>
        <w:t xml:space="preserve">20(f), </w:t>
      </w:r>
      <w:r w:rsidRPr="00C6415C">
        <w:rPr>
          <w:rFonts w:cstheme="minorHAnsi"/>
          <w:color w:val="000000"/>
          <w:sz w:val="18"/>
          <w:szCs w:val="18"/>
        </w:rPr>
        <w:t xml:space="preserve">CEDAW/C/AGO/CO/6; para. </w:t>
      </w:r>
      <w:r w:rsidRPr="00C6415C">
        <w:rPr>
          <w:rFonts w:cstheme="minorHAnsi"/>
          <w:sz w:val="18"/>
          <w:szCs w:val="18"/>
        </w:rPr>
        <w:t xml:space="preserve">27(d), </w:t>
      </w:r>
      <w:r w:rsidRPr="00C6415C">
        <w:rPr>
          <w:rFonts w:cstheme="minorHAnsi"/>
          <w:color w:val="000000"/>
          <w:sz w:val="18"/>
          <w:szCs w:val="18"/>
        </w:rPr>
        <w:t>CEDAW/C/NOR/CO/9.</w:t>
      </w:r>
    </w:p>
  </w:footnote>
  <w:footnote w:id="15">
    <w:p w:rsidR="008907D5" w:rsidRPr="00DE1B9A" w:rsidRDefault="008907D5" w:rsidP="00B7657F">
      <w:pPr>
        <w:pStyle w:val="Funotentext"/>
        <w:rPr>
          <w:sz w:val="18"/>
          <w:szCs w:val="18"/>
          <w:lang w:val="en-GB"/>
        </w:rPr>
      </w:pPr>
      <w:r w:rsidRPr="00C6415C">
        <w:rPr>
          <w:rStyle w:val="Funotenzeichen"/>
          <w:sz w:val="18"/>
          <w:szCs w:val="18"/>
        </w:rPr>
        <w:footnoteRef/>
      </w:r>
      <w:r w:rsidRPr="00C6415C">
        <w:rPr>
          <w:sz w:val="18"/>
          <w:szCs w:val="18"/>
        </w:rPr>
        <w:t xml:space="preserve"> </w:t>
      </w:r>
      <w:r w:rsidR="00C637BC">
        <w:rPr>
          <w:sz w:val="18"/>
          <w:szCs w:val="18"/>
        </w:rPr>
        <w:t xml:space="preserve">See </w:t>
      </w:r>
      <w:r w:rsidR="00C637BC" w:rsidRPr="005138F8">
        <w:rPr>
          <w:sz w:val="18"/>
          <w:szCs w:val="18"/>
        </w:rPr>
        <w:t>also footnote 8</w:t>
      </w:r>
    </w:p>
  </w:footnote>
  <w:footnote w:id="16">
    <w:p w:rsidR="00C352C1" w:rsidRPr="00DE1B9A" w:rsidRDefault="00C352C1">
      <w:pPr>
        <w:pStyle w:val="Funotentext"/>
        <w:rPr>
          <w:sz w:val="18"/>
          <w:szCs w:val="18"/>
          <w:lang w:val="en-GB"/>
        </w:rPr>
      </w:pPr>
      <w:r w:rsidRPr="00C6415C">
        <w:rPr>
          <w:rStyle w:val="Funotenzeichen"/>
          <w:sz w:val="18"/>
          <w:szCs w:val="18"/>
        </w:rPr>
        <w:footnoteRef/>
      </w:r>
      <w:r w:rsidRPr="00C6415C">
        <w:rPr>
          <w:sz w:val="18"/>
          <w:szCs w:val="18"/>
        </w:rPr>
        <w:t xml:space="preserve"> </w:t>
      </w:r>
      <w:r w:rsidR="00DE1B9A">
        <w:rPr>
          <w:sz w:val="18"/>
          <w:szCs w:val="18"/>
        </w:rPr>
        <w:t xml:space="preserve">See also </w:t>
      </w:r>
      <w:r w:rsidR="00DE1B9A" w:rsidRPr="00C6415C">
        <w:rPr>
          <w:rFonts w:cstheme="minorHAnsi"/>
          <w:sz w:val="18"/>
          <w:szCs w:val="18"/>
          <w:lang w:val="en-CA"/>
        </w:rPr>
        <w:t xml:space="preserve">CRC Committee, </w:t>
      </w:r>
      <w:hyperlink r:id="rId6" w:history="1">
        <w:r w:rsidR="00DE1B9A" w:rsidRPr="00DE1B9A">
          <w:rPr>
            <w:rStyle w:val="Hyperlink"/>
            <w:rFonts w:cstheme="minorHAnsi"/>
            <w:i/>
            <w:iCs/>
            <w:sz w:val="18"/>
            <w:szCs w:val="18"/>
            <w:lang w:val="en-CA"/>
          </w:rPr>
          <w:t>General Comment no 6 (2005): Treatment of Unaccompanied and Separated Children Outside their Country of Origin</w:t>
        </w:r>
      </w:hyperlink>
      <w:r w:rsidR="00DE1B9A" w:rsidRPr="00C6415C">
        <w:rPr>
          <w:rFonts w:cstheme="minorHAnsi"/>
          <w:sz w:val="18"/>
          <w:szCs w:val="18"/>
          <w:lang w:val="en-CA"/>
        </w:rPr>
        <w:t>.</w:t>
      </w:r>
    </w:p>
  </w:footnote>
  <w:footnote w:id="17">
    <w:p w:rsidR="00496B5D" w:rsidRPr="00C6415C" w:rsidRDefault="00496B5D"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36(d), </w:t>
      </w:r>
      <w:r w:rsidRPr="00C6415C">
        <w:rPr>
          <w:rFonts w:cstheme="minorHAnsi"/>
          <w:color w:val="000000"/>
          <w:sz w:val="18"/>
          <w:szCs w:val="18"/>
        </w:rPr>
        <w:t xml:space="preserve">CEDAW/C/SAU/CO/3-4; para. </w:t>
      </w:r>
      <w:r w:rsidRPr="00C6415C">
        <w:rPr>
          <w:rFonts w:cstheme="minorHAnsi"/>
          <w:sz w:val="18"/>
          <w:szCs w:val="18"/>
        </w:rPr>
        <w:t xml:space="preserve">23(d), </w:t>
      </w:r>
      <w:r w:rsidRPr="00C6415C">
        <w:rPr>
          <w:rFonts w:cstheme="minorHAnsi"/>
          <w:color w:val="000000"/>
          <w:sz w:val="18"/>
          <w:szCs w:val="18"/>
        </w:rPr>
        <w:t>CEDAW/C/ARG/CO/7.</w:t>
      </w:r>
    </w:p>
  </w:footnote>
  <w:footnote w:id="18">
    <w:p w:rsidR="008907D5" w:rsidRPr="00C6415C" w:rsidRDefault="008907D5" w:rsidP="00B7657F">
      <w:pPr>
        <w:pStyle w:val="Funotentext"/>
        <w:rPr>
          <w:sz w:val="18"/>
          <w:szCs w:val="18"/>
          <w:highlight w:val="yellow"/>
        </w:rPr>
      </w:pPr>
      <w:r w:rsidRPr="005138F8">
        <w:rPr>
          <w:rStyle w:val="Funotenzeichen"/>
          <w:sz w:val="18"/>
          <w:szCs w:val="18"/>
        </w:rPr>
        <w:footnoteRef/>
      </w:r>
      <w:r w:rsidRPr="005138F8">
        <w:rPr>
          <w:sz w:val="18"/>
          <w:szCs w:val="18"/>
        </w:rPr>
        <w:t xml:space="preserve"> </w:t>
      </w:r>
      <w:r w:rsidR="005138F8" w:rsidRPr="005138F8">
        <w:rPr>
          <w:sz w:val="18"/>
          <w:szCs w:val="18"/>
        </w:rPr>
        <w:t xml:space="preserve">European Commission, </w:t>
      </w:r>
      <w:hyperlink r:id="rId7" w:history="1">
        <w:r w:rsidR="005138F8" w:rsidRPr="005138F8">
          <w:rPr>
            <w:rStyle w:val="Hyperlink"/>
            <w:sz w:val="18"/>
            <w:szCs w:val="18"/>
          </w:rPr>
          <w:t>Study on comprehensive policy review in anti-trafficking projects</w:t>
        </w:r>
      </w:hyperlink>
      <w:r w:rsidR="005138F8" w:rsidRPr="005138F8">
        <w:rPr>
          <w:sz w:val="18"/>
          <w:szCs w:val="18"/>
        </w:rPr>
        <w:t xml:space="preserve">, 2016, p. 64: The EU </w:t>
      </w:r>
      <w:r w:rsidR="005138F8">
        <w:rPr>
          <w:sz w:val="18"/>
          <w:szCs w:val="18"/>
        </w:rPr>
        <w:t xml:space="preserve">Commission </w:t>
      </w:r>
      <w:r w:rsidR="005138F8" w:rsidRPr="005138F8">
        <w:rPr>
          <w:sz w:val="18"/>
          <w:szCs w:val="18"/>
        </w:rPr>
        <w:t>stressed the need to strengthen the role of NGOs throughout the identification process as “extremely important”</w:t>
      </w:r>
    </w:p>
  </w:footnote>
  <w:footnote w:id="19">
    <w:p w:rsidR="008907D5" w:rsidRPr="00C6415C" w:rsidRDefault="008907D5" w:rsidP="00B7657F">
      <w:pPr>
        <w:pStyle w:val="Funotentext"/>
        <w:rPr>
          <w:sz w:val="18"/>
          <w:szCs w:val="18"/>
        </w:rPr>
      </w:pPr>
      <w:r w:rsidRPr="005138F8">
        <w:rPr>
          <w:rStyle w:val="Funotenzeichen"/>
          <w:sz w:val="18"/>
          <w:szCs w:val="18"/>
        </w:rPr>
        <w:footnoteRef/>
      </w:r>
      <w:r w:rsidRPr="005138F8">
        <w:rPr>
          <w:sz w:val="18"/>
          <w:szCs w:val="18"/>
        </w:rPr>
        <w:t xml:space="preserve"> </w:t>
      </w:r>
      <w:r w:rsidR="005138F8" w:rsidRPr="005138F8">
        <w:rPr>
          <w:sz w:val="18"/>
          <w:szCs w:val="18"/>
        </w:rPr>
        <w:t xml:space="preserve">European Commission, </w:t>
      </w:r>
      <w:hyperlink r:id="rId8" w:history="1">
        <w:r w:rsidR="005138F8" w:rsidRPr="005138F8">
          <w:rPr>
            <w:rStyle w:val="Hyperlink"/>
            <w:i/>
            <w:sz w:val="18"/>
            <w:szCs w:val="18"/>
          </w:rPr>
          <w:t>Study on comprehensive policy review in anti-trafficking projects</w:t>
        </w:r>
      </w:hyperlink>
      <w:r w:rsidR="005138F8" w:rsidRPr="005138F8">
        <w:rPr>
          <w:sz w:val="18"/>
          <w:szCs w:val="18"/>
        </w:rPr>
        <w:t>, 2016</w:t>
      </w:r>
      <w:r w:rsidR="005138F8">
        <w:rPr>
          <w:sz w:val="18"/>
          <w:szCs w:val="18"/>
        </w:rPr>
        <w:t>.</w:t>
      </w:r>
    </w:p>
  </w:footnote>
  <w:footnote w:id="20">
    <w:p w:rsidR="003B759B" w:rsidRPr="00C6415C" w:rsidRDefault="003B759B" w:rsidP="00B7657F">
      <w:pPr>
        <w:pStyle w:val="Funotentext"/>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rPr>
        <w:t xml:space="preserve"> </w:t>
      </w:r>
      <w:r w:rsidR="001F39AB" w:rsidRPr="00C6415C">
        <w:rPr>
          <w:rFonts w:cstheme="minorHAnsi"/>
          <w:sz w:val="18"/>
          <w:szCs w:val="18"/>
        </w:rPr>
        <w:t xml:space="preserve">See for instance ICMPD, </w:t>
      </w:r>
      <w:hyperlink r:id="rId9" w:history="1">
        <w:r w:rsidR="001F39AB" w:rsidRPr="00C6415C">
          <w:rPr>
            <w:rStyle w:val="Hyperlink"/>
            <w:rFonts w:cstheme="minorHAnsi"/>
            <w:i/>
            <w:sz w:val="18"/>
            <w:szCs w:val="18"/>
          </w:rPr>
          <w:t>Trafficking along Migration Routes to Europe</w:t>
        </w:r>
      </w:hyperlink>
      <w:r w:rsidR="003A2629" w:rsidRPr="00C6415C">
        <w:rPr>
          <w:rFonts w:cstheme="minorHAnsi"/>
          <w:sz w:val="18"/>
          <w:szCs w:val="18"/>
        </w:rPr>
        <w:t>, 2018:</w:t>
      </w:r>
      <w:r w:rsidR="001F39AB" w:rsidRPr="00C6415C">
        <w:rPr>
          <w:rFonts w:cstheme="minorHAnsi"/>
          <w:sz w:val="18"/>
          <w:szCs w:val="18"/>
        </w:rPr>
        <w:t xml:space="preserve"> on the role of legal advisors involved in early identification</w:t>
      </w:r>
      <w:r w:rsidR="003A2629" w:rsidRPr="00C6415C">
        <w:rPr>
          <w:rFonts w:cstheme="minorHAnsi"/>
          <w:sz w:val="18"/>
          <w:szCs w:val="18"/>
        </w:rPr>
        <w:t>, page 95.</w:t>
      </w:r>
    </w:p>
  </w:footnote>
  <w:footnote w:id="21">
    <w:p w:rsidR="00133C74" w:rsidRPr="00C6415C" w:rsidRDefault="00133C74" w:rsidP="00B7657F">
      <w:pPr>
        <w:pStyle w:val="Funotentext"/>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rPr>
        <w:t xml:space="preserve"> </w:t>
      </w:r>
      <w:r w:rsidR="003A2629" w:rsidRPr="00C6415C">
        <w:rPr>
          <w:rFonts w:cstheme="minorHAnsi"/>
          <w:sz w:val="18"/>
          <w:szCs w:val="18"/>
          <w:lang w:val="en-GB"/>
        </w:rPr>
        <w:t xml:space="preserve">See for instance </w:t>
      </w:r>
      <w:r w:rsidR="003A2629" w:rsidRPr="00C6415C">
        <w:rPr>
          <w:rFonts w:cstheme="minorHAnsi"/>
          <w:sz w:val="18"/>
          <w:szCs w:val="18"/>
          <w:lang w:val="en-CA"/>
        </w:rPr>
        <w:t xml:space="preserve">FRA, </w:t>
      </w:r>
      <w:hyperlink r:id="rId10" w:history="1">
        <w:r w:rsidR="003A2629" w:rsidRPr="00C6415C">
          <w:rPr>
            <w:rStyle w:val="Hyperlink"/>
            <w:rFonts w:cstheme="minorHAnsi"/>
            <w:i/>
            <w:sz w:val="18"/>
            <w:szCs w:val="18"/>
            <w:lang w:val="en-CA"/>
          </w:rPr>
          <w:t>Guardianship for Children Deprived of Parental Care: A handbook to reinforce guardianship systems to cater for the specific needs of child victims of trafficking</w:t>
        </w:r>
      </w:hyperlink>
      <w:r w:rsidR="003A2629" w:rsidRPr="00C6415C">
        <w:rPr>
          <w:rFonts w:cstheme="minorHAnsi"/>
          <w:sz w:val="18"/>
          <w:szCs w:val="18"/>
          <w:lang w:val="en-CA"/>
        </w:rPr>
        <w:t xml:space="preserve">, 2014, CRC Committee, </w:t>
      </w:r>
      <w:r w:rsidR="003A2629" w:rsidRPr="00C6415C">
        <w:rPr>
          <w:rFonts w:cstheme="minorHAnsi"/>
          <w:i/>
          <w:iCs/>
          <w:sz w:val="18"/>
          <w:szCs w:val="18"/>
          <w:lang w:val="en-CA"/>
        </w:rPr>
        <w:t>General Comment no 6 (2005): Treatment of Unaccompanied and Separated Children Outside their Country of Origin</w:t>
      </w:r>
      <w:r w:rsidR="003A2629" w:rsidRPr="00C6415C">
        <w:rPr>
          <w:rFonts w:cstheme="minorHAnsi"/>
          <w:sz w:val="18"/>
          <w:szCs w:val="18"/>
          <w:lang w:val="en-CA"/>
        </w:rPr>
        <w:t>.</w:t>
      </w:r>
    </w:p>
  </w:footnote>
  <w:footnote w:id="22">
    <w:p w:rsidR="00133C74" w:rsidRPr="00C6415C" w:rsidRDefault="00133C74" w:rsidP="00B7657F">
      <w:pPr>
        <w:pStyle w:val="Funotentext"/>
        <w:rPr>
          <w:rFonts w:cstheme="minorHAnsi"/>
          <w:sz w:val="18"/>
          <w:szCs w:val="18"/>
          <w:lang w:val="en-GB"/>
        </w:rPr>
      </w:pPr>
      <w:r w:rsidRPr="00C6415C">
        <w:rPr>
          <w:rStyle w:val="Funotenzeichen"/>
          <w:rFonts w:cstheme="minorHAnsi"/>
          <w:sz w:val="18"/>
          <w:szCs w:val="18"/>
        </w:rPr>
        <w:footnoteRef/>
      </w:r>
      <w:r w:rsidRPr="00C6415C">
        <w:rPr>
          <w:rFonts w:cstheme="minorHAnsi"/>
          <w:sz w:val="18"/>
          <w:szCs w:val="18"/>
        </w:rPr>
        <w:t xml:space="preserve"> </w:t>
      </w:r>
      <w:r w:rsidR="003A2629" w:rsidRPr="00C6415C">
        <w:rPr>
          <w:rFonts w:cstheme="minorHAnsi"/>
          <w:sz w:val="18"/>
          <w:szCs w:val="18"/>
        </w:rPr>
        <w:t xml:space="preserve">See for instance Article 5 Directive 2013/33/EU (recast) read with Article 18(2)(a) and (b) Directive 2013/33/EU (recast) related to an applicant’s right to, inter alia, communication with UNHCR and other </w:t>
      </w:r>
      <w:proofErr w:type="spellStart"/>
      <w:r w:rsidR="003A2629" w:rsidRPr="00C6415C">
        <w:rPr>
          <w:rFonts w:cstheme="minorHAnsi"/>
          <w:sz w:val="18"/>
          <w:szCs w:val="18"/>
        </w:rPr>
        <w:t>organisations</w:t>
      </w:r>
      <w:proofErr w:type="spellEnd"/>
      <w:r w:rsidR="003A2629" w:rsidRPr="00C6415C">
        <w:rPr>
          <w:rFonts w:cstheme="minorHAnsi"/>
          <w:sz w:val="18"/>
          <w:szCs w:val="18"/>
        </w:rPr>
        <w:t xml:space="preserve"> (as listed in Article 18(2)(a) RCD (recast)), as well as relatives, and the applicant’s right that UNHCR and other actors, as mentioned in Article 18(2)(b) RCD (recast), shall have access to the applicant to ensure assistance.</w:t>
      </w:r>
    </w:p>
  </w:footnote>
  <w:footnote w:id="23">
    <w:p w:rsidR="005F1E6C" w:rsidRPr="00C6415C" w:rsidRDefault="005F1E6C"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General recommendation No. 32 (2014) (</w:t>
      </w:r>
      <w:r w:rsidRPr="00C6415C">
        <w:rPr>
          <w:rFonts w:cstheme="minorHAnsi"/>
          <w:color w:val="000000"/>
          <w:sz w:val="18"/>
          <w:szCs w:val="18"/>
        </w:rPr>
        <w:t xml:space="preserve">CEDAW/C/GC/32), paras. </w:t>
      </w:r>
      <w:r w:rsidRPr="00C6415C">
        <w:rPr>
          <w:rFonts w:cstheme="minorHAnsi"/>
          <w:sz w:val="18"/>
          <w:szCs w:val="18"/>
        </w:rPr>
        <w:t>44 and 46</w:t>
      </w:r>
      <w:r w:rsidRPr="00C6415C">
        <w:rPr>
          <w:rFonts w:cstheme="minorHAnsi"/>
          <w:color w:val="000000"/>
          <w:sz w:val="18"/>
          <w:szCs w:val="18"/>
        </w:rPr>
        <w:t xml:space="preserve">. </w:t>
      </w:r>
    </w:p>
  </w:footnote>
  <w:footnote w:id="24">
    <w:p w:rsidR="005F1E6C" w:rsidRPr="00C6415C" w:rsidRDefault="005F1E6C" w:rsidP="00B7657F">
      <w:pPr>
        <w:pStyle w:val="Funotentext"/>
        <w:rPr>
          <w:rFonts w:cstheme="minorHAnsi"/>
          <w:sz w:val="18"/>
          <w:szCs w:val="18"/>
        </w:rPr>
      </w:pPr>
      <w:r w:rsidRPr="00C6415C">
        <w:rPr>
          <w:rStyle w:val="Funotenzeichen"/>
          <w:rFonts w:cstheme="minorHAnsi"/>
          <w:sz w:val="18"/>
          <w:szCs w:val="18"/>
        </w:rPr>
        <w:footnoteRef/>
      </w:r>
      <w:r w:rsidRPr="00C6415C">
        <w:rPr>
          <w:rFonts w:cstheme="minorHAnsi"/>
          <w:sz w:val="18"/>
          <w:szCs w:val="18"/>
        </w:rPr>
        <w:t xml:space="preserve"> </w:t>
      </w:r>
      <w:r w:rsidRPr="00C6415C">
        <w:rPr>
          <w:rFonts w:cstheme="minorHAnsi"/>
          <w:color w:val="000000"/>
          <w:sz w:val="18"/>
          <w:szCs w:val="18"/>
        </w:rPr>
        <w:t xml:space="preserve">para. </w:t>
      </w:r>
      <w:r w:rsidRPr="00C6415C">
        <w:rPr>
          <w:rFonts w:cstheme="minorHAnsi"/>
          <w:sz w:val="18"/>
          <w:szCs w:val="18"/>
        </w:rPr>
        <w:t xml:space="preserve">26(b), </w:t>
      </w:r>
      <w:r w:rsidRPr="00C6415C">
        <w:rPr>
          <w:rFonts w:cstheme="minorHAnsi"/>
          <w:color w:val="000000"/>
          <w:sz w:val="18"/>
          <w:szCs w:val="18"/>
        </w:rPr>
        <w:t>CEDAW/C/QAT/CO/1.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2247"/>
    <w:multiLevelType w:val="hybridMultilevel"/>
    <w:tmpl w:val="E0A6E7FC"/>
    <w:lvl w:ilvl="0" w:tplc="FD94C994">
      <w:start w:val="4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24E98"/>
    <w:multiLevelType w:val="hybridMultilevel"/>
    <w:tmpl w:val="F46A0688"/>
    <w:lvl w:ilvl="0" w:tplc="FD94C994">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C57BF1"/>
    <w:multiLevelType w:val="hybridMultilevel"/>
    <w:tmpl w:val="E88E1986"/>
    <w:lvl w:ilvl="0" w:tplc="78E0B4A0">
      <w:numFmt w:val="bullet"/>
      <w:lvlText w:val="-"/>
      <w:lvlJc w:val="left"/>
      <w:pPr>
        <w:ind w:left="720" w:hanging="360"/>
      </w:pPr>
      <w:rPr>
        <w:rFonts w:ascii="Calibri" w:eastAsiaTheme="minorHAnsi"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956602"/>
    <w:multiLevelType w:val="hybridMultilevel"/>
    <w:tmpl w:val="D6AC1082"/>
    <w:lvl w:ilvl="0" w:tplc="DF58E91E">
      <w:start w:val="7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AF2BFD"/>
    <w:multiLevelType w:val="hybridMultilevel"/>
    <w:tmpl w:val="E0A6E7FC"/>
    <w:lvl w:ilvl="0" w:tplc="FD94C994">
      <w:start w:val="4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7424E1"/>
    <w:multiLevelType w:val="hybridMultilevel"/>
    <w:tmpl w:val="EB886B18"/>
    <w:lvl w:ilvl="0" w:tplc="78D61042">
      <w:start w:val="1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8B6373"/>
    <w:multiLevelType w:val="hybridMultilevel"/>
    <w:tmpl w:val="B99AD35C"/>
    <w:lvl w:ilvl="0" w:tplc="0F243466">
      <w:start w:val="9"/>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6A51"/>
    <w:multiLevelType w:val="hybridMultilevel"/>
    <w:tmpl w:val="A1BAD254"/>
    <w:lvl w:ilvl="0" w:tplc="0407000F">
      <w:start w:val="5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877457"/>
    <w:multiLevelType w:val="hybridMultilevel"/>
    <w:tmpl w:val="2612D7BE"/>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327600"/>
    <w:multiLevelType w:val="hybridMultilevel"/>
    <w:tmpl w:val="4E2A1B66"/>
    <w:lvl w:ilvl="0" w:tplc="92CAF256">
      <w:start w:val="4"/>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23C7D"/>
    <w:multiLevelType w:val="hybridMultilevel"/>
    <w:tmpl w:val="E3E21330"/>
    <w:lvl w:ilvl="0" w:tplc="04090017">
      <w:start w:val="1"/>
      <w:numFmt w:val="lowerLetter"/>
      <w:lvlText w:val="%1)"/>
      <w:lvlJc w:val="left"/>
      <w:pPr>
        <w:ind w:left="720" w:hanging="360"/>
      </w:pPr>
      <w:rPr>
        <w:rFonts w:hint="default"/>
      </w:rPr>
    </w:lvl>
    <w:lvl w:ilvl="1" w:tplc="8C8EC67C">
      <w:start w:val="1"/>
      <w:numFmt w:val="lowerLetter"/>
      <w:lvlText w:val="%2."/>
      <w:lvlJc w:val="left"/>
      <w:pPr>
        <w:ind w:left="1440" w:hanging="360"/>
      </w:pPr>
      <w:rPr>
        <w:b/>
        <w:color w:val="auto"/>
        <w:sz w:val="20"/>
        <w:szCs w:val="20"/>
      </w:r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750AA"/>
    <w:multiLevelType w:val="hybridMultilevel"/>
    <w:tmpl w:val="56FA16F8"/>
    <w:lvl w:ilvl="0" w:tplc="742AD3D6">
      <w:start w:val="5"/>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A2F7424"/>
    <w:multiLevelType w:val="hybridMultilevel"/>
    <w:tmpl w:val="2CCC09D2"/>
    <w:lvl w:ilvl="0" w:tplc="1FBAAA78">
      <w:start w:val="3"/>
      <w:numFmt w:val="lowerLetter"/>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61689"/>
    <w:multiLevelType w:val="hybridMultilevel"/>
    <w:tmpl w:val="0AAA864E"/>
    <w:lvl w:ilvl="0" w:tplc="04090017">
      <w:start w:val="1"/>
      <w:numFmt w:val="lowerLetter"/>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7A270E9F"/>
    <w:multiLevelType w:val="hybridMultilevel"/>
    <w:tmpl w:val="FF90F48A"/>
    <w:lvl w:ilvl="0" w:tplc="78D61042">
      <w:start w:val="1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11B88"/>
    <w:multiLevelType w:val="hybridMultilevel"/>
    <w:tmpl w:val="859C106C"/>
    <w:lvl w:ilvl="0" w:tplc="49000F7C">
      <w:start w:val="5"/>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7F425E49"/>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0"/>
  </w:num>
  <w:num w:numId="5">
    <w:abstractNumId w:val="5"/>
  </w:num>
  <w:num w:numId="6">
    <w:abstractNumId w:val="19"/>
  </w:num>
  <w:num w:numId="7">
    <w:abstractNumId w:val="18"/>
  </w:num>
  <w:num w:numId="8">
    <w:abstractNumId w:val="8"/>
  </w:num>
  <w:num w:numId="9">
    <w:abstractNumId w:val="6"/>
  </w:num>
  <w:num w:numId="10">
    <w:abstractNumId w:val="13"/>
  </w:num>
  <w:num w:numId="11">
    <w:abstractNumId w:val="3"/>
  </w:num>
  <w:num w:numId="12">
    <w:abstractNumId w:val="12"/>
  </w:num>
  <w:num w:numId="13">
    <w:abstractNumId w:val="21"/>
  </w:num>
  <w:num w:numId="14">
    <w:abstractNumId w:val="17"/>
  </w:num>
  <w:num w:numId="15">
    <w:abstractNumId w:val="23"/>
  </w:num>
  <w:num w:numId="16">
    <w:abstractNumId w:val="1"/>
  </w:num>
  <w:num w:numId="17">
    <w:abstractNumId w:val="0"/>
  </w:num>
  <w:num w:numId="18">
    <w:abstractNumId w:val="20"/>
  </w:num>
  <w:num w:numId="19">
    <w:abstractNumId w:val="7"/>
  </w:num>
  <w:num w:numId="20">
    <w:abstractNumId w:val="11"/>
  </w:num>
  <w:num w:numId="21">
    <w:abstractNumId w:val="4"/>
  </w:num>
  <w:num w:numId="22">
    <w:abstractNumId w:val="16"/>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11"/>
    <w:rsid w:val="00000327"/>
    <w:rsid w:val="000A7AE6"/>
    <w:rsid w:val="00133C74"/>
    <w:rsid w:val="0018170A"/>
    <w:rsid w:val="001C7E33"/>
    <w:rsid w:val="001D29DA"/>
    <w:rsid w:val="001D56A7"/>
    <w:rsid w:val="001F39AB"/>
    <w:rsid w:val="00291912"/>
    <w:rsid w:val="002B2FD4"/>
    <w:rsid w:val="002B73AC"/>
    <w:rsid w:val="002E1160"/>
    <w:rsid w:val="002E5CF1"/>
    <w:rsid w:val="00306387"/>
    <w:rsid w:val="00321A85"/>
    <w:rsid w:val="00342130"/>
    <w:rsid w:val="00353B9C"/>
    <w:rsid w:val="003A2629"/>
    <w:rsid w:val="003B11D7"/>
    <w:rsid w:val="003B759B"/>
    <w:rsid w:val="00424DD4"/>
    <w:rsid w:val="00426CF6"/>
    <w:rsid w:val="00440BBB"/>
    <w:rsid w:val="00477C99"/>
    <w:rsid w:val="00484743"/>
    <w:rsid w:val="00496B5D"/>
    <w:rsid w:val="004A76A0"/>
    <w:rsid w:val="004C30B9"/>
    <w:rsid w:val="004F3E30"/>
    <w:rsid w:val="005138F8"/>
    <w:rsid w:val="005A5C20"/>
    <w:rsid w:val="005D2916"/>
    <w:rsid w:val="005D3AF5"/>
    <w:rsid w:val="005E36DC"/>
    <w:rsid w:val="005E5444"/>
    <w:rsid w:val="005E59BA"/>
    <w:rsid w:val="005F1E6C"/>
    <w:rsid w:val="00660CD9"/>
    <w:rsid w:val="0067484F"/>
    <w:rsid w:val="006F3A9E"/>
    <w:rsid w:val="00721C11"/>
    <w:rsid w:val="00777998"/>
    <w:rsid w:val="007B0BF5"/>
    <w:rsid w:val="007D591D"/>
    <w:rsid w:val="0080703A"/>
    <w:rsid w:val="00807D3E"/>
    <w:rsid w:val="00821B4B"/>
    <w:rsid w:val="00843911"/>
    <w:rsid w:val="00875E37"/>
    <w:rsid w:val="008907D5"/>
    <w:rsid w:val="008B51B9"/>
    <w:rsid w:val="008C0288"/>
    <w:rsid w:val="00967ADD"/>
    <w:rsid w:val="009822F0"/>
    <w:rsid w:val="009835E1"/>
    <w:rsid w:val="009A7782"/>
    <w:rsid w:val="009C2CB5"/>
    <w:rsid w:val="009C7452"/>
    <w:rsid w:val="009E7104"/>
    <w:rsid w:val="00A14124"/>
    <w:rsid w:val="00AE5B75"/>
    <w:rsid w:val="00B16A86"/>
    <w:rsid w:val="00B41114"/>
    <w:rsid w:val="00B47E6B"/>
    <w:rsid w:val="00B72357"/>
    <w:rsid w:val="00B7657F"/>
    <w:rsid w:val="00B77053"/>
    <w:rsid w:val="00C352C1"/>
    <w:rsid w:val="00C560F4"/>
    <w:rsid w:val="00C637BC"/>
    <w:rsid w:val="00C6415C"/>
    <w:rsid w:val="00C73DEF"/>
    <w:rsid w:val="00CB5207"/>
    <w:rsid w:val="00CE5DB3"/>
    <w:rsid w:val="00D1502E"/>
    <w:rsid w:val="00DE1B9A"/>
    <w:rsid w:val="00E53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0013"/>
  <w15:chartTrackingRefBased/>
  <w15:docId w15:val="{145A4AD4-B007-4A44-8662-E854FB48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 Char Char Char Char,Footnote Text Char Char Char Char,Footnote reference,FA Fu,Footnote Text Char Char Char,Footnote Text Cha,FA Fußnotentext,FA Fuﬂnotentext,Texto nota pie Car,FA Fu?notentext,Footnotes,fn,Text,ft"/>
    <w:basedOn w:val="Standard"/>
    <w:link w:val="FunotentextZchn"/>
    <w:uiPriority w:val="99"/>
    <w:unhideWhenUsed/>
    <w:qFormat/>
    <w:rsid w:val="00843911"/>
    <w:pPr>
      <w:spacing w:after="0" w:line="240" w:lineRule="auto"/>
    </w:pPr>
    <w:rPr>
      <w:rFonts w:eastAsiaTheme="minorEastAsia"/>
      <w:sz w:val="24"/>
      <w:szCs w:val="24"/>
      <w:lang w:val="en-US"/>
    </w:rPr>
  </w:style>
  <w:style w:type="character" w:customStyle="1" w:styleId="FunotentextZchn">
    <w:name w:val="Fußnotentext Zchn"/>
    <w:aliases w:val="Footnote Text Char Char Char Char Char Zchn,Footnote Text Char Char Char Char Zchn,Footnote reference Zchn,FA Fu Zchn,Footnote Text Char Char Char Zchn,Footnote Text Cha Zchn,FA Fußnotentext Zchn,FA Fuﬂnotentext Zchn,Footnotes Zchn"/>
    <w:basedOn w:val="Absatz-Standardschriftart"/>
    <w:link w:val="Funotentext"/>
    <w:uiPriority w:val="99"/>
    <w:rsid w:val="00843911"/>
    <w:rPr>
      <w:rFonts w:eastAsiaTheme="minorEastAsia"/>
      <w:sz w:val="24"/>
      <w:szCs w:val="24"/>
      <w:lang w:val="en-US"/>
    </w:rPr>
  </w:style>
  <w:style w:type="character" w:styleId="Funotenzeichen">
    <w:name w:val="footnote reference"/>
    <w:aliases w:val="Footnote number"/>
    <w:basedOn w:val="Absatz-Standardschriftart"/>
    <w:uiPriority w:val="99"/>
    <w:unhideWhenUsed/>
    <w:rsid w:val="00843911"/>
    <w:rPr>
      <w:vertAlign w:val="superscript"/>
    </w:rPr>
  </w:style>
  <w:style w:type="paragraph" w:styleId="Listenabsatz">
    <w:name w:val="List Paragraph"/>
    <w:basedOn w:val="Standard"/>
    <w:uiPriority w:val="34"/>
    <w:qFormat/>
    <w:rsid w:val="00843911"/>
    <w:pPr>
      <w:spacing w:after="0" w:line="240" w:lineRule="auto"/>
      <w:ind w:left="720"/>
      <w:contextualSpacing/>
    </w:pPr>
    <w:rPr>
      <w:rFonts w:eastAsiaTheme="minorEastAsia"/>
      <w:sz w:val="24"/>
      <w:szCs w:val="24"/>
      <w:lang w:val="en-US"/>
    </w:rPr>
  </w:style>
  <w:style w:type="character" w:styleId="Hyperlink">
    <w:name w:val="Hyperlink"/>
    <w:basedOn w:val="Absatz-Standardschriftart"/>
    <w:uiPriority w:val="99"/>
    <w:unhideWhenUsed/>
    <w:rsid w:val="002E5CF1"/>
    <w:rPr>
      <w:color w:val="0563C1" w:themeColor="hyperlink"/>
      <w:u w:val="single"/>
    </w:rPr>
  </w:style>
  <w:style w:type="paragraph" w:customStyle="1" w:styleId="berschriftFett">
    <w:name w:val="Überschrift Fett"/>
    <w:basedOn w:val="Standard"/>
    <w:next w:val="Standard"/>
    <w:rsid w:val="000A7AE6"/>
    <w:pPr>
      <w:spacing w:before="240" w:after="120" w:line="276" w:lineRule="auto"/>
      <w:jc w:val="both"/>
    </w:pPr>
    <w:rPr>
      <w:rFonts w:eastAsia="Calibri" w:cs="Times New Roman"/>
      <w:b/>
      <w:sz w:val="24"/>
      <w:lang w:val="en-GB"/>
    </w:rPr>
  </w:style>
  <w:style w:type="character" w:styleId="Kommentarzeichen">
    <w:name w:val="annotation reference"/>
    <w:uiPriority w:val="99"/>
    <w:rsid w:val="000A7AE6"/>
    <w:rPr>
      <w:rFonts w:cs="Times New Roman"/>
      <w:sz w:val="16"/>
      <w:szCs w:val="16"/>
    </w:rPr>
  </w:style>
  <w:style w:type="paragraph" w:styleId="Kommentartext">
    <w:name w:val="annotation text"/>
    <w:basedOn w:val="Standard"/>
    <w:link w:val="KommentartextZchn"/>
    <w:uiPriority w:val="99"/>
    <w:rsid w:val="000A7AE6"/>
    <w:pPr>
      <w:spacing w:after="0" w:line="240" w:lineRule="auto"/>
      <w:jc w:val="both"/>
    </w:pPr>
    <w:rPr>
      <w:rFonts w:eastAsia="Calibri" w:cs="Times New Roman"/>
      <w:sz w:val="20"/>
      <w:szCs w:val="20"/>
      <w:lang w:val="en-GB"/>
    </w:rPr>
  </w:style>
  <w:style w:type="character" w:customStyle="1" w:styleId="KommentartextZchn">
    <w:name w:val="Kommentartext Zchn"/>
    <w:basedOn w:val="Absatz-Standardschriftart"/>
    <w:link w:val="Kommentartext"/>
    <w:uiPriority w:val="99"/>
    <w:rsid w:val="000A7AE6"/>
    <w:rPr>
      <w:rFonts w:eastAsia="Calibri" w:cs="Times New Roman"/>
      <w:sz w:val="20"/>
      <w:szCs w:val="20"/>
      <w:lang w:val="en-GB"/>
    </w:rPr>
  </w:style>
  <w:style w:type="character" w:styleId="BesuchterLink">
    <w:name w:val="FollowedHyperlink"/>
    <w:basedOn w:val="Absatz-Standardschriftart"/>
    <w:uiPriority w:val="99"/>
    <w:semiHidden/>
    <w:unhideWhenUsed/>
    <w:rsid w:val="00C63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nti-trafficking/sites/antitrafficking/files/study_on_comprehensive_policy_review.pdf" TargetMode="External"/><Relationship Id="rId3" Type="http://schemas.openxmlformats.org/officeDocument/2006/relationships/hyperlink" Target="https://rm.coe.int/16800d3812" TargetMode="External"/><Relationship Id="rId7" Type="http://schemas.openxmlformats.org/officeDocument/2006/relationships/hyperlink" Target="https://ec.europa.eu/anti-trafficking/sites/antitrafficking/files/study_on_comprehensive_policy_review.pdf" TargetMode="External"/><Relationship Id="rId2" Type="http://schemas.openxmlformats.org/officeDocument/2006/relationships/hyperlink" Target="https://www.unhcr.org/4b0bb83f9.pdf" TargetMode="External"/><Relationship Id="rId1" Type="http://schemas.openxmlformats.org/officeDocument/2006/relationships/hyperlink" Target="https://www.supremecourt.uk/cases/docs/uksc-2018-0159-judgment.pdf" TargetMode="External"/><Relationship Id="rId6" Type="http://schemas.openxmlformats.org/officeDocument/2006/relationships/hyperlink" Target="https://www.refworld.org/docid/42dd174b4.html" TargetMode="External"/><Relationship Id="rId5" Type="http://schemas.openxmlformats.org/officeDocument/2006/relationships/hyperlink" Target="https://www.ris.bka.gv.at/Dokument.wxe?ResultFunctionToken=11f8e890-08be-4d88-b267-6c5d72edc6f4&amp;Position=1&amp;Abfrage=Bvwg&amp;Entscheidungsart=Undefined&amp;SucheNachRechtssatz=True&amp;SucheNachText=True&amp;GZ=&amp;VonDatum=28.03.2017&amp;BisDatum=28.03.2017&amp;Norm=&amp;ImRisSeitVonDatum=&amp;ImRisSeitBisDatum=&amp;ImRisSeit=Undefined&amp;ResultPageSize=100&amp;Suchworte=menschenhandel&amp;Dokumentnummer=BVWGT_20170328_W161_2149730_1_00" TargetMode="External"/><Relationship Id="rId10" Type="http://schemas.openxmlformats.org/officeDocument/2006/relationships/hyperlink" Target="https://fra.europa.eu/en/publication/2015/guardianship-children-deprived-parental-care" TargetMode="External"/><Relationship Id="rId4" Type="http://schemas.openxmlformats.org/officeDocument/2006/relationships/hyperlink" Target="https://rm.coe.int/16800d3812" TargetMode="External"/><Relationship Id="rId9" Type="http://schemas.openxmlformats.org/officeDocument/2006/relationships/hyperlink" Target="https://childhub.org/sites/default/files/webinars/bridging_the_gap_between_migration_asylum_and_anti-trafficki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23D3EB-DF24-4EB2-84C8-87010CC331C8}">
  <ds:schemaRefs>
    <ds:schemaRef ds:uri="http://schemas.openxmlformats.org/officeDocument/2006/bibliography"/>
  </ds:schemaRefs>
</ds:datastoreItem>
</file>

<file path=customXml/itemProps2.xml><?xml version="1.0" encoding="utf-8"?>
<ds:datastoreItem xmlns:ds="http://schemas.openxmlformats.org/officeDocument/2006/customXml" ds:itemID="{72497544-CDD2-4831-8E80-C373313C4774}"/>
</file>

<file path=customXml/itemProps3.xml><?xml version="1.0" encoding="utf-8"?>
<ds:datastoreItem xmlns:ds="http://schemas.openxmlformats.org/officeDocument/2006/customXml" ds:itemID="{000A834F-F9A7-4AA2-B338-2D5A52FA7F5A}"/>
</file>

<file path=customXml/itemProps4.xml><?xml version="1.0" encoding="utf-8"?>
<ds:datastoreItem xmlns:ds="http://schemas.openxmlformats.org/officeDocument/2006/customXml" ds:itemID="{44AC29EC-181E-4A68-8406-C8EC77A61DDB}"/>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12234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Lücksmann</dc:creator>
  <cp:keywords/>
  <dc:description/>
  <cp:lastModifiedBy>Marie-Luise Möller</cp:lastModifiedBy>
  <cp:revision>7</cp:revision>
  <dcterms:created xsi:type="dcterms:W3CDTF">2020-05-12T20:01:00Z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