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4D" w:rsidRPr="0051195D" w:rsidRDefault="005E4663" w:rsidP="00EE69D4">
      <w:pPr>
        <w:pStyle w:val="Heading2"/>
        <w:shd w:val="clear" w:color="auto" w:fill="FFFFFF"/>
        <w:jc w:val="center"/>
        <w:rPr>
          <w:rFonts w:ascii="DepCentury Old Style" w:hAnsi="DepCentury Old Style" w:cstheme="minorHAnsi"/>
          <w:sz w:val="22"/>
          <w:szCs w:val="22"/>
          <w:lang w:val="en-GB"/>
        </w:rPr>
      </w:pPr>
      <w:r w:rsidRPr="0051195D">
        <w:rPr>
          <w:rFonts w:ascii="DepCentury Old Style" w:hAnsi="DepCentury Old Style" w:cstheme="minorHAnsi"/>
          <w:sz w:val="22"/>
          <w:szCs w:val="22"/>
          <w:lang w:val="en-GB"/>
        </w:rPr>
        <w:t>Submission by the Norw</w:t>
      </w:r>
      <w:r w:rsidR="00EE69D4" w:rsidRPr="0051195D">
        <w:rPr>
          <w:rFonts w:ascii="DepCentury Old Style" w:hAnsi="DepCentury Old Style" w:cstheme="minorHAnsi"/>
          <w:sz w:val="22"/>
          <w:szCs w:val="22"/>
          <w:lang w:val="en-GB"/>
        </w:rPr>
        <w:t xml:space="preserve">egian Government                                                          </w:t>
      </w:r>
      <w:r w:rsidR="0086334D" w:rsidRPr="0051195D">
        <w:rPr>
          <w:rFonts w:ascii="DepCentury Old Style" w:hAnsi="DepCentury Old Style" w:cstheme="minorHAnsi"/>
          <w:bCs w:val="0"/>
          <w:sz w:val="22"/>
          <w:szCs w:val="22"/>
          <w:lang w:val="en-GB"/>
        </w:rPr>
        <w:t>Draft General Recommendation on trafficking in women and girls in the context of global migration</w:t>
      </w:r>
    </w:p>
    <w:p w:rsidR="00123692" w:rsidRPr="0051195D" w:rsidRDefault="0086334D" w:rsidP="00123692">
      <w:pPr>
        <w:rPr>
          <w:rFonts w:ascii="DepCentury Old Style" w:hAnsi="DepCentury Old Style"/>
          <w:lang w:val="en-GB"/>
        </w:rPr>
      </w:pPr>
      <w:r w:rsidRPr="0051195D">
        <w:rPr>
          <w:rFonts w:ascii="DepCentury Old Style" w:hAnsi="DepCentury Old Style"/>
          <w:lang w:val="en-GB"/>
        </w:rPr>
        <w:t xml:space="preserve">The Norwegian Government refers </w:t>
      </w:r>
      <w:r w:rsidR="00322B6D" w:rsidRPr="0051195D">
        <w:rPr>
          <w:rFonts w:ascii="DepCentury Old Style" w:hAnsi="DepCentury Old Style"/>
          <w:lang w:val="en-GB"/>
        </w:rPr>
        <w:t>to the invitation from</w:t>
      </w:r>
      <w:r w:rsidR="00512A7D" w:rsidRPr="0051195D">
        <w:rPr>
          <w:rFonts w:ascii="DepCentury Old Style" w:hAnsi="DepCentury Old Style"/>
          <w:lang w:val="en-GB"/>
        </w:rPr>
        <w:t xml:space="preserve"> </w:t>
      </w:r>
      <w:r w:rsidR="00512A7D" w:rsidRPr="0051195D">
        <w:rPr>
          <w:rFonts w:ascii="DepCentury Old Style" w:hAnsi="DepCentury Old Style" w:cstheme="minorHAnsi"/>
          <w:lang w:val="en-GB"/>
        </w:rPr>
        <w:t xml:space="preserve">the </w:t>
      </w:r>
      <w:r w:rsidR="00512A7D" w:rsidRPr="0051195D">
        <w:rPr>
          <w:rFonts w:ascii="DepCentury Old Style" w:hAnsi="DepCentury Old Style"/>
          <w:lang w:val="en-GB"/>
        </w:rPr>
        <w:t>Committee on the Elimination of All Forms of Discrimination against Women (</w:t>
      </w:r>
      <w:r w:rsidR="00512A7D" w:rsidRPr="0051195D">
        <w:rPr>
          <w:rFonts w:ascii="DepCentury Old Style" w:hAnsi="DepCentury Old Style" w:cstheme="minorHAnsi"/>
          <w:lang w:val="en-GB"/>
        </w:rPr>
        <w:t xml:space="preserve">CEDAW) </w:t>
      </w:r>
      <w:r w:rsidR="0093735C" w:rsidRPr="0051195D">
        <w:rPr>
          <w:rFonts w:ascii="DepCentury Old Style" w:hAnsi="DepCentury Old Style" w:cstheme="minorHAnsi"/>
          <w:lang w:val="en-GB"/>
        </w:rPr>
        <w:t>to submit</w:t>
      </w:r>
      <w:r w:rsidR="00EE69D4" w:rsidRPr="0051195D">
        <w:rPr>
          <w:rFonts w:ascii="DepCentury Old Style" w:hAnsi="DepCentury Old Style" w:cstheme="minorHAnsi"/>
          <w:lang w:val="en-GB"/>
        </w:rPr>
        <w:t xml:space="preserve"> written comments</w:t>
      </w:r>
      <w:r w:rsidR="00123692" w:rsidRPr="0051195D">
        <w:rPr>
          <w:rFonts w:ascii="DepCentury Old Style" w:hAnsi="DepCentury Old Style"/>
          <w:lang w:val="en-GB"/>
        </w:rPr>
        <w:t xml:space="preserve"> on the </w:t>
      </w:r>
      <w:r w:rsidR="0093735C" w:rsidRPr="0051195D">
        <w:rPr>
          <w:rFonts w:ascii="DepCentury Old Style" w:hAnsi="DepCentury Old Style" w:cstheme="minorHAnsi"/>
          <w:lang w:val="en-GB"/>
        </w:rPr>
        <w:t>Draft General Recommendation on trafficking in women and girls in the context of global migration.</w:t>
      </w:r>
      <w:r w:rsidR="0093735C" w:rsidRPr="0051195D">
        <w:rPr>
          <w:rFonts w:ascii="DepCentury Old Style" w:hAnsi="DepCentury Old Style"/>
          <w:lang w:val="en-GB"/>
        </w:rPr>
        <w:t xml:space="preserve"> </w:t>
      </w:r>
    </w:p>
    <w:p w:rsidR="00251291" w:rsidRPr="0051195D" w:rsidRDefault="00251291" w:rsidP="00251291">
      <w:pPr>
        <w:rPr>
          <w:rFonts w:ascii="DepCentury Old Style" w:hAnsi="DepCentury Old Style"/>
          <w:szCs w:val="24"/>
          <w:lang w:val="en-GB"/>
        </w:rPr>
      </w:pPr>
      <w:r w:rsidRPr="0051195D">
        <w:rPr>
          <w:rFonts w:ascii="DepCentury Old Style" w:hAnsi="DepCentury Old Style"/>
          <w:szCs w:val="24"/>
          <w:lang w:val="en-GB"/>
        </w:rPr>
        <w:t xml:space="preserve">Norway has been a party to the Convention </w:t>
      </w:r>
      <w:r w:rsidRPr="0051195D">
        <w:rPr>
          <w:rFonts w:ascii="DepCentury Old Style" w:hAnsi="DepCentury Old Style" w:cs="Times New Roman"/>
          <w:lang w:val="en-GB"/>
        </w:rPr>
        <w:t xml:space="preserve">on the Elimination of All Forms of Discrimination Against Women </w:t>
      </w:r>
      <w:r w:rsidRPr="0051195D">
        <w:rPr>
          <w:rFonts w:ascii="DepCentury Old Style" w:hAnsi="DepCentury Old Style" w:cs="DepCentury Old Style"/>
          <w:color w:val="000000"/>
          <w:lang w:val="en-GB"/>
        </w:rPr>
        <w:t>(hereinafter referred to as the Convention) since 1981</w:t>
      </w:r>
      <w:r w:rsidRPr="0051195D">
        <w:rPr>
          <w:rFonts w:ascii="DepCentury Old Style" w:hAnsi="DepCentury Old Style"/>
          <w:szCs w:val="24"/>
          <w:lang w:val="en-GB"/>
        </w:rPr>
        <w:t xml:space="preserve">. The Norwegian Government would like to underline the importance it attaches to the Convention and </w:t>
      </w:r>
      <w:r w:rsidR="00F46E4A" w:rsidRPr="0051195D">
        <w:rPr>
          <w:rFonts w:ascii="DepCentury Old Style" w:hAnsi="DepCentury Old Style"/>
          <w:szCs w:val="24"/>
          <w:lang w:val="en-GB"/>
        </w:rPr>
        <w:t xml:space="preserve">to </w:t>
      </w:r>
      <w:r w:rsidRPr="0051195D">
        <w:rPr>
          <w:rFonts w:ascii="DepCentury Old Style" w:hAnsi="DepCentury Old Style"/>
          <w:szCs w:val="24"/>
          <w:lang w:val="en-GB"/>
        </w:rPr>
        <w:t xml:space="preserve">confirm its commitment to fully comply with Norway’s treaty obligations. </w:t>
      </w:r>
      <w:r w:rsidR="001247CA" w:rsidRPr="0051195D">
        <w:rPr>
          <w:rFonts w:ascii="DepCentury Old Style" w:hAnsi="DepCentury Old Style"/>
          <w:szCs w:val="24"/>
          <w:lang w:val="en-GB"/>
        </w:rPr>
        <w:t>According to the Norwegian Human Rights Act of 1999, the provisions of the Convention and its Optional Protocol have the force of Norwegian law with precedence over any other legislative provisions that conflict with them.</w:t>
      </w:r>
    </w:p>
    <w:p w:rsidR="000F0D35" w:rsidRDefault="00700AFB" w:rsidP="00244EAB">
      <w:pPr>
        <w:rPr>
          <w:rFonts w:ascii="DepCentury Old Style" w:hAnsi="DepCentury Old Style"/>
          <w:lang w:val="en-GB"/>
        </w:rPr>
      </w:pPr>
      <w:r w:rsidRPr="0051195D">
        <w:rPr>
          <w:rFonts w:ascii="DepCentury Old Style" w:hAnsi="DepCentury Old Style"/>
          <w:lang w:val="en-GB"/>
        </w:rPr>
        <w:t xml:space="preserve">Norway </w:t>
      </w:r>
      <w:r w:rsidR="0041587D" w:rsidRPr="0051195D">
        <w:rPr>
          <w:rFonts w:ascii="DepCentury Old Style" w:hAnsi="DepCentury Old Style"/>
          <w:lang w:val="en-GB"/>
        </w:rPr>
        <w:t>welcomes the Committee’s efforts to formulate the Draft General Recommendation and appreciates this opportunity to submit its observations on the draft.</w:t>
      </w:r>
      <w:r w:rsidR="00B42FCC">
        <w:rPr>
          <w:rFonts w:ascii="DepCentury Old Style" w:hAnsi="DepCentury Old Style"/>
          <w:lang w:val="en-GB"/>
        </w:rPr>
        <w:t xml:space="preserve"> </w:t>
      </w:r>
      <w:r w:rsidRPr="0051195D">
        <w:rPr>
          <w:rFonts w:ascii="DepCentury Old Style" w:hAnsi="DepCentury Old Style" w:cstheme="minorHAnsi"/>
          <w:lang w:val="en-GB"/>
        </w:rPr>
        <w:t>The Norwegian Government</w:t>
      </w:r>
      <w:r w:rsidR="000F0D35" w:rsidRPr="0051195D">
        <w:rPr>
          <w:rFonts w:ascii="DepCentury Old Style" w:hAnsi="DepCentury Old Style"/>
          <w:lang w:val="en-GB"/>
        </w:rPr>
        <w:t xml:space="preserve"> would like to submit its comments on the following part</w:t>
      </w:r>
      <w:r w:rsidR="00BD3941" w:rsidRPr="0051195D">
        <w:rPr>
          <w:rFonts w:ascii="DepCentury Old Style" w:hAnsi="DepCentury Old Style"/>
          <w:lang w:val="en-GB"/>
        </w:rPr>
        <w:t>s</w:t>
      </w:r>
      <w:r w:rsidR="000F0D35" w:rsidRPr="0051195D">
        <w:rPr>
          <w:rFonts w:ascii="DepCentury Old Style" w:hAnsi="DepCentury Old Style"/>
          <w:lang w:val="en-GB"/>
        </w:rPr>
        <w:t xml:space="preserve"> of the Draft General Recommendation </w:t>
      </w:r>
      <w:r w:rsidR="000F0D35" w:rsidRPr="0051195D">
        <w:rPr>
          <w:rFonts w:ascii="DepCentury Old Style" w:hAnsi="DepCentury Old Style" w:cstheme="minorHAnsi"/>
          <w:lang w:val="en-GB"/>
        </w:rPr>
        <w:t>on trafficking in women and girls in the context of global migration</w:t>
      </w:r>
      <w:r w:rsidR="000F0D35" w:rsidRPr="0051195D">
        <w:rPr>
          <w:rFonts w:ascii="DepCentury Old Style" w:hAnsi="DepCentury Old Style"/>
          <w:lang w:val="en-GB"/>
        </w:rPr>
        <w:t>:</w:t>
      </w:r>
    </w:p>
    <w:p w:rsidR="00B42FCC" w:rsidRPr="0051195D" w:rsidRDefault="00B42FCC" w:rsidP="00244EAB">
      <w:pPr>
        <w:rPr>
          <w:rFonts w:ascii="DepCentury Old Style" w:hAnsi="DepCentury Old Style"/>
          <w:lang w:val="en-GB"/>
        </w:rPr>
      </w:pPr>
    </w:p>
    <w:p w:rsidR="00EA12C8" w:rsidRPr="0051195D" w:rsidDel="00063CC9" w:rsidRDefault="00BD3941" w:rsidP="00244EAB">
      <w:pPr>
        <w:rPr>
          <w:rFonts w:ascii="DepCentury Old Style" w:hAnsi="DepCentury Old Style"/>
          <w:lang w:val="en-GB"/>
        </w:rPr>
      </w:pPr>
      <w:r w:rsidRPr="0051195D">
        <w:rPr>
          <w:rFonts w:ascii="DepCentury Old Style" w:hAnsi="DepCentury Old Style" w:cs="DepCentury Old Style"/>
          <w:color w:val="000000"/>
          <w:lang w:val="en-GB"/>
        </w:rPr>
        <w:t>Norway</w:t>
      </w:r>
      <w:r w:rsidR="00244EAB" w:rsidRPr="0051195D" w:rsidDel="00063CC9">
        <w:rPr>
          <w:rFonts w:ascii="DepCentury Old Style" w:hAnsi="DepCentury Old Style" w:cs="DepCentury Old Style"/>
          <w:color w:val="000000"/>
          <w:lang w:val="en-GB"/>
        </w:rPr>
        <w:t xml:space="preserve"> </w:t>
      </w:r>
      <w:r w:rsidR="00244EAB" w:rsidRPr="0051195D">
        <w:rPr>
          <w:rFonts w:ascii="DepCentury Old Style" w:hAnsi="DepCentury Old Style" w:cs="DepCentury Old Style"/>
          <w:color w:val="000000"/>
          <w:lang w:val="en-GB"/>
        </w:rPr>
        <w:t>is concerned</w:t>
      </w:r>
      <w:r w:rsidR="00244EAB" w:rsidRPr="0051195D" w:rsidDel="00063CC9">
        <w:rPr>
          <w:rFonts w:ascii="DepCentury Old Style" w:hAnsi="DepCentury Old Style" w:cs="DepCentury Old Style"/>
          <w:color w:val="000000"/>
          <w:lang w:val="en-GB"/>
        </w:rPr>
        <w:t xml:space="preserve"> that the </w:t>
      </w:r>
      <w:r w:rsidR="003F499D" w:rsidRPr="0051195D" w:rsidDel="00063CC9">
        <w:rPr>
          <w:rFonts w:ascii="DepCentury Old Style" w:hAnsi="DepCentury Old Style" w:cs="DepCentury Old Style"/>
          <w:color w:val="000000"/>
          <w:lang w:val="en-GB"/>
        </w:rPr>
        <w:t>Draft G</w:t>
      </w:r>
      <w:r w:rsidR="00244EAB" w:rsidRPr="0051195D" w:rsidDel="00063CC9">
        <w:rPr>
          <w:rFonts w:ascii="DepCentury Old Style" w:hAnsi="DepCentury Old Style" w:cs="DepCentury Old Style"/>
          <w:color w:val="000000"/>
          <w:lang w:val="en-GB"/>
        </w:rPr>
        <w:t xml:space="preserve">eneral </w:t>
      </w:r>
      <w:r w:rsidR="003F499D" w:rsidRPr="0051195D" w:rsidDel="00063CC9">
        <w:rPr>
          <w:rFonts w:ascii="DepCentury Old Style" w:hAnsi="DepCentury Old Style" w:cs="DepCentury Old Style"/>
          <w:color w:val="000000"/>
          <w:lang w:val="en-GB"/>
        </w:rPr>
        <w:t>R</w:t>
      </w:r>
      <w:r w:rsidR="008974EE" w:rsidRPr="0051195D" w:rsidDel="00063CC9">
        <w:rPr>
          <w:rFonts w:ascii="DepCentury Old Style" w:hAnsi="DepCentury Old Style" w:cs="DepCentury Old Style"/>
          <w:color w:val="000000"/>
          <w:lang w:val="en-GB"/>
        </w:rPr>
        <w:t>ecommendation</w:t>
      </w:r>
      <w:r w:rsidR="000B1099" w:rsidRPr="0051195D" w:rsidDel="00063CC9">
        <w:rPr>
          <w:rFonts w:ascii="DepCentury Old Style" w:hAnsi="DepCentury Old Style" w:cs="DepCentury Old Style"/>
          <w:color w:val="000000"/>
          <w:lang w:val="en-GB"/>
        </w:rPr>
        <w:t>’s</w:t>
      </w:r>
      <w:r w:rsidR="00244EAB" w:rsidRPr="0051195D" w:rsidDel="00063CC9">
        <w:rPr>
          <w:rFonts w:ascii="DepCentury Old Style" w:hAnsi="DepCentury Old Style" w:cs="DepCentury Old Style"/>
          <w:color w:val="000000"/>
          <w:lang w:val="en-GB"/>
        </w:rPr>
        <w:t xml:space="preserve"> </w:t>
      </w:r>
      <w:r w:rsidR="00A316C6" w:rsidRPr="00B42FCC" w:rsidDel="00063CC9">
        <w:rPr>
          <w:rFonts w:ascii="DepCentury Old Style" w:hAnsi="DepCentury Old Style" w:cs="DepCentury Old Style"/>
          <w:b/>
          <w:color w:val="000000"/>
          <w:lang w:val="en-GB"/>
        </w:rPr>
        <w:t>section</w:t>
      </w:r>
      <w:r w:rsidR="00322B6D" w:rsidRPr="00B42FCC" w:rsidDel="00063CC9">
        <w:rPr>
          <w:rFonts w:ascii="DepCentury Old Style" w:hAnsi="DepCentury Old Style" w:cs="DepCentury Old Style"/>
          <w:b/>
          <w:color w:val="000000"/>
          <w:lang w:val="en-GB"/>
        </w:rPr>
        <w:t xml:space="preserve"> </w:t>
      </w:r>
      <w:r w:rsidR="000638F6" w:rsidRPr="00B42FCC">
        <w:rPr>
          <w:rFonts w:ascii="DepCentury Old Style" w:hAnsi="DepCentury Old Style" w:cs="DepCentury Old Style"/>
          <w:b/>
          <w:color w:val="000000"/>
          <w:lang w:val="en-GB"/>
        </w:rPr>
        <w:t>IV, subsection c,</w:t>
      </w:r>
      <w:r w:rsidR="000638F6" w:rsidRPr="0051195D">
        <w:rPr>
          <w:rFonts w:ascii="DepCentury Old Style" w:hAnsi="DepCentury Old Style" w:cs="DepCentury Old Style"/>
          <w:color w:val="000000"/>
          <w:lang w:val="en-GB"/>
        </w:rPr>
        <w:t xml:space="preserve"> </w:t>
      </w:r>
      <w:r w:rsidR="00322B6D" w:rsidRPr="0051195D" w:rsidDel="00063CC9">
        <w:rPr>
          <w:rFonts w:ascii="DepCentury Old Style" w:hAnsi="DepCentury Old Style" w:cs="DepCentury Old Style"/>
          <w:color w:val="000000"/>
          <w:lang w:val="en-GB"/>
        </w:rPr>
        <w:t xml:space="preserve">on the scope of application of the </w:t>
      </w:r>
      <w:r w:rsidR="000F0D35" w:rsidRPr="0051195D" w:rsidDel="00063CC9">
        <w:rPr>
          <w:rFonts w:ascii="DepCentury Old Style" w:hAnsi="DepCentury Old Style" w:cs="Times New Roman"/>
          <w:lang w:val="en-GB"/>
        </w:rPr>
        <w:t xml:space="preserve">Convention </w:t>
      </w:r>
      <w:r w:rsidR="008B2FFB" w:rsidRPr="0051195D">
        <w:rPr>
          <w:rFonts w:ascii="DepCentury Old Style" w:hAnsi="DepCentury Old Style"/>
          <w:lang w:val="en-GB"/>
        </w:rPr>
        <w:t>contains wording that goes</w:t>
      </w:r>
      <w:r w:rsidR="00244EAB" w:rsidRPr="0051195D">
        <w:rPr>
          <w:rFonts w:ascii="DepCentury Old Style" w:hAnsi="DepCentury Old Style"/>
          <w:lang w:val="en-GB"/>
        </w:rPr>
        <w:t xml:space="preserve"> beyond </w:t>
      </w:r>
      <w:r w:rsidR="004715F7" w:rsidRPr="0051195D">
        <w:rPr>
          <w:rFonts w:ascii="DepCentury Old Style" w:hAnsi="DepCentury Old Style"/>
          <w:lang w:val="en-GB"/>
        </w:rPr>
        <w:t xml:space="preserve">the legal obligations of </w:t>
      </w:r>
      <w:r w:rsidR="00244EAB" w:rsidRPr="0051195D">
        <w:rPr>
          <w:rFonts w:ascii="DepCentury Old Style" w:hAnsi="DepCentury Old Style"/>
          <w:lang w:val="en-GB"/>
        </w:rPr>
        <w:t>the Convention</w:t>
      </w:r>
      <w:r w:rsidR="00322B6D" w:rsidRPr="0051195D" w:rsidDel="00063CC9">
        <w:rPr>
          <w:rFonts w:ascii="DepCentury Old Style" w:hAnsi="DepCentury Old Style"/>
          <w:lang w:val="en-GB"/>
        </w:rPr>
        <w:t xml:space="preserve">. </w:t>
      </w:r>
    </w:p>
    <w:p w:rsidR="000E4FFE" w:rsidRPr="0051195D" w:rsidRDefault="000E4FFE" w:rsidP="00244EAB">
      <w:pPr>
        <w:rPr>
          <w:rFonts w:ascii="DepCentury Old Style" w:hAnsi="DepCentury Old Style"/>
          <w:b/>
          <w:lang w:val="en-GB"/>
        </w:rPr>
      </w:pPr>
      <w:r w:rsidRPr="0051195D">
        <w:rPr>
          <w:rFonts w:ascii="DepCentury Old Style" w:hAnsi="DepCentury Old Style" w:cstheme="minorHAnsi"/>
          <w:b/>
          <w:lang w:val="en-GB"/>
        </w:rPr>
        <w:t>Paragraph 16</w:t>
      </w:r>
      <w:r w:rsidR="00774BFD" w:rsidRPr="0051195D">
        <w:rPr>
          <w:rFonts w:ascii="DepCentury Old Style" w:hAnsi="DepCentury Old Style"/>
          <w:b/>
          <w:lang w:val="en-GB"/>
        </w:rPr>
        <w:t xml:space="preserve">: </w:t>
      </w:r>
      <w:r w:rsidR="0087537A" w:rsidRPr="0051195D">
        <w:rPr>
          <w:rFonts w:ascii="DepCentury Old Style" w:hAnsi="DepCentury Old Style"/>
          <w:lang w:val="en-GB"/>
        </w:rPr>
        <w:t>I</w:t>
      </w:r>
      <w:r w:rsidR="00244EAB" w:rsidRPr="0051195D">
        <w:rPr>
          <w:rFonts w:ascii="DepCentury Old Style" w:hAnsi="DepCentury Old Style"/>
          <w:lang w:val="en-GB"/>
        </w:rPr>
        <w:t xml:space="preserve">n </w:t>
      </w:r>
      <w:r w:rsidR="00BD3941" w:rsidRPr="0051195D">
        <w:rPr>
          <w:rFonts w:ascii="DepCentury Old Style" w:hAnsi="DepCentury Old Style"/>
          <w:lang w:val="en-GB"/>
        </w:rPr>
        <w:t>the Norwegian Government’s o</w:t>
      </w:r>
      <w:r w:rsidR="00244EAB" w:rsidRPr="0051195D">
        <w:rPr>
          <w:rFonts w:ascii="DepCentury Old Style" w:hAnsi="DepCentury Old Style" w:cstheme="minorHAnsi"/>
          <w:lang w:val="en-GB"/>
        </w:rPr>
        <w:t>pinion</w:t>
      </w:r>
      <w:r w:rsidR="000B1099" w:rsidRPr="0051195D">
        <w:rPr>
          <w:rFonts w:ascii="DepCentury Old Style" w:hAnsi="DepCentury Old Style" w:cstheme="minorHAnsi"/>
          <w:lang w:val="en-GB"/>
        </w:rPr>
        <w:t>,</w:t>
      </w:r>
      <w:r w:rsidR="00244EAB" w:rsidRPr="0051195D">
        <w:rPr>
          <w:rFonts w:ascii="DepCentury Old Style" w:hAnsi="DepCentury Old Style" w:cstheme="minorHAnsi"/>
          <w:lang w:val="en-GB"/>
        </w:rPr>
        <w:t xml:space="preserve"> </w:t>
      </w:r>
      <w:r w:rsidR="009250FE" w:rsidRPr="0051195D">
        <w:rPr>
          <w:rFonts w:ascii="DepCentury Old Style" w:hAnsi="DepCentury Old Style" w:cstheme="minorHAnsi"/>
          <w:lang w:val="en-GB"/>
        </w:rPr>
        <w:t xml:space="preserve">the </w:t>
      </w:r>
      <w:r w:rsidR="0007355B" w:rsidRPr="0051195D">
        <w:rPr>
          <w:rFonts w:ascii="DepCentury Old Style" w:hAnsi="DepCentury Old Style" w:cstheme="minorHAnsi"/>
          <w:lang w:val="en-GB"/>
        </w:rPr>
        <w:t>Draft General Recommendation</w:t>
      </w:r>
      <w:r w:rsidR="009250FE" w:rsidRPr="0051195D">
        <w:rPr>
          <w:rFonts w:ascii="DepCentury Old Style" w:hAnsi="DepCentury Old Style" w:cstheme="minorHAnsi"/>
          <w:lang w:val="en-GB"/>
        </w:rPr>
        <w:t>’s</w:t>
      </w:r>
      <w:r w:rsidR="00A316C6" w:rsidRPr="0051195D">
        <w:rPr>
          <w:rFonts w:ascii="DepCentury Old Style" w:hAnsi="DepCentury Old Style" w:cstheme="minorHAnsi"/>
          <w:lang w:val="en-GB"/>
        </w:rPr>
        <w:t xml:space="preserve"> </w:t>
      </w:r>
      <w:r w:rsidR="00A316C6" w:rsidRPr="0051195D">
        <w:rPr>
          <w:rFonts w:ascii="DepCentury Old Style" w:hAnsi="DepCentury Old Style" w:cstheme="minorHAnsi"/>
          <w:b/>
          <w:lang w:val="en-GB"/>
        </w:rPr>
        <w:t>para</w:t>
      </w:r>
      <w:r w:rsidR="00B42FCC">
        <w:rPr>
          <w:rFonts w:ascii="DepCentury Old Style" w:hAnsi="DepCentury Old Style" w:cstheme="minorHAnsi"/>
          <w:b/>
          <w:lang w:val="en-GB"/>
        </w:rPr>
        <w:t>.</w:t>
      </w:r>
      <w:r w:rsidR="00A316C6" w:rsidRPr="0051195D">
        <w:rPr>
          <w:rFonts w:ascii="DepCentury Old Style" w:hAnsi="DepCentury Old Style" w:cstheme="minorHAnsi"/>
          <w:b/>
          <w:lang w:val="en-GB"/>
        </w:rPr>
        <w:t xml:space="preserve"> 16</w:t>
      </w:r>
      <w:r w:rsidR="0007355B" w:rsidRPr="0051195D">
        <w:rPr>
          <w:rFonts w:ascii="DepCentury Old Style" w:hAnsi="DepCentury Old Style" w:cstheme="minorHAnsi"/>
          <w:lang w:val="en-GB"/>
        </w:rPr>
        <w:t xml:space="preserve"> should specify</w:t>
      </w:r>
      <w:r w:rsidR="00BF5089" w:rsidRPr="0051195D">
        <w:rPr>
          <w:rFonts w:ascii="DepCentury Old Style" w:hAnsi="DepCentury Old Style" w:cstheme="minorHAnsi"/>
          <w:lang w:val="en-GB"/>
        </w:rPr>
        <w:t xml:space="preserve"> </w:t>
      </w:r>
      <w:r w:rsidR="00244EAB" w:rsidRPr="0051195D">
        <w:rPr>
          <w:rFonts w:ascii="DepCentury Old Style" w:hAnsi="DepCentury Old Style" w:cstheme="minorHAnsi"/>
          <w:lang w:val="en-GB"/>
        </w:rPr>
        <w:t xml:space="preserve">that States parties’ due diligence obligation </w:t>
      </w:r>
      <w:r w:rsidR="00322B6D" w:rsidRPr="0051195D">
        <w:rPr>
          <w:rFonts w:ascii="DepCentury Old Style" w:hAnsi="DepCentury Old Style" w:cstheme="minorHAnsi"/>
          <w:lang w:val="en-GB"/>
        </w:rPr>
        <w:t>is limited to</w:t>
      </w:r>
      <w:r w:rsidR="00FF7BCE" w:rsidRPr="0051195D">
        <w:rPr>
          <w:rFonts w:ascii="DepCentury Old Style" w:hAnsi="DepCentury Old Style" w:cstheme="minorHAnsi"/>
          <w:lang w:val="en-GB"/>
        </w:rPr>
        <w:t xml:space="preserve"> the acts or omissions</w:t>
      </w:r>
      <w:r w:rsidR="00322B6D" w:rsidRPr="0051195D">
        <w:rPr>
          <w:rFonts w:ascii="DepCentury Old Style" w:hAnsi="DepCentury Old Style" w:cstheme="minorHAnsi"/>
          <w:lang w:val="en-GB"/>
        </w:rPr>
        <w:t xml:space="preserve"> </w:t>
      </w:r>
      <w:r w:rsidR="009250FE" w:rsidRPr="0051195D">
        <w:rPr>
          <w:rFonts w:ascii="DepCentury Old Style" w:hAnsi="DepCentury Old Style" w:cstheme="minorHAnsi"/>
          <w:lang w:val="en-GB"/>
        </w:rPr>
        <w:t xml:space="preserve">of </w:t>
      </w:r>
      <w:r w:rsidR="000B1099" w:rsidRPr="0051195D">
        <w:rPr>
          <w:rFonts w:ascii="DepCentury Old Style" w:hAnsi="DepCentury Old Style" w:cstheme="minorHAnsi"/>
          <w:lang w:val="en-GB"/>
        </w:rPr>
        <w:t>per</w:t>
      </w:r>
      <w:r w:rsidR="009250FE" w:rsidRPr="0051195D">
        <w:rPr>
          <w:rFonts w:ascii="DepCentury Old Style" w:hAnsi="DepCentury Old Style" w:cstheme="minorHAnsi"/>
          <w:lang w:val="en-GB"/>
        </w:rPr>
        <w:t>petrators</w:t>
      </w:r>
      <w:r w:rsidR="0007355B" w:rsidRPr="0051195D">
        <w:rPr>
          <w:rFonts w:ascii="DepCentury Old Style" w:hAnsi="DepCentury Old Style" w:cstheme="minorHAnsi"/>
          <w:lang w:val="en-GB"/>
        </w:rPr>
        <w:t xml:space="preserve"> </w:t>
      </w:r>
      <w:r w:rsidR="000014E5" w:rsidRPr="0051195D">
        <w:rPr>
          <w:rFonts w:ascii="DepCentury Old Style" w:hAnsi="DepCentury Old Style" w:cstheme="minorHAnsi"/>
          <w:lang w:val="en-GB"/>
        </w:rPr>
        <w:t xml:space="preserve">within </w:t>
      </w:r>
      <w:r w:rsidR="00E07E0A" w:rsidRPr="0051195D">
        <w:rPr>
          <w:rFonts w:ascii="DepCentury Old Style" w:hAnsi="DepCentury Old Style" w:cstheme="minorHAnsi"/>
          <w:lang w:val="en-GB"/>
        </w:rPr>
        <w:t>their</w:t>
      </w:r>
      <w:r w:rsidR="002503DA" w:rsidRPr="0051195D">
        <w:rPr>
          <w:rFonts w:ascii="DepCentury Old Style" w:hAnsi="DepCentury Old Style" w:cstheme="minorHAnsi"/>
          <w:lang w:val="en-GB"/>
        </w:rPr>
        <w:t xml:space="preserve"> jurisdiction</w:t>
      </w:r>
      <w:r w:rsidR="00BF5089" w:rsidRPr="0051195D">
        <w:rPr>
          <w:rFonts w:ascii="DepCentury Old Style" w:hAnsi="DepCentury Old Style" w:cstheme="minorHAnsi"/>
          <w:lang w:val="en-GB"/>
        </w:rPr>
        <w:t>.</w:t>
      </w:r>
      <w:r w:rsidR="00244EAB" w:rsidRPr="0051195D">
        <w:rPr>
          <w:rFonts w:ascii="DepCentury Old Style" w:hAnsi="DepCentury Old Style" w:cstheme="minorHAnsi"/>
          <w:lang w:val="en-GB"/>
        </w:rPr>
        <w:t xml:space="preserve"> </w:t>
      </w:r>
    </w:p>
    <w:p w:rsidR="000E4FFE" w:rsidRPr="0051195D" w:rsidRDefault="000E4FFE" w:rsidP="000E4FFE">
      <w:pPr>
        <w:rPr>
          <w:rFonts w:ascii="DepCentury Old Style" w:hAnsi="DepCentury Old Style" w:cstheme="minorHAnsi"/>
          <w:lang w:val="en-GB"/>
        </w:rPr>
      </w:pPr>
      <w:r w:rsidRPr="0051195D">
        <w:rPr>
          <w:rFonts w:ascii="DepCentury Old Style" w:hAnsi="DepCentury Old Style" w:cstheme="minorHAnsi"/>
          <w:lang w:val="en-GB"/>
        </w:rPr>
        <w:t xml:space="preserve">In </w:t>
      </w:r>
      <w:r w:rsidR="00B42FCC">
        <w:rPr>
          <w:rFonts w:ascii="DepCentury Old Style" w:hAnsi="DepCentury Old Style" w:cstheme="minorHAnsi"/>
          <w:b/>
          <w:lang w:val="en-GB"/>
        </w:rPr>
        <w:t>para.</w:t>
      </w:r>
      <w:r w:rsidRPr="0051195D">
        <w:rPr>
          <w:rFonts w:ascii="DepCentury Old Style" w:hAnsi="DepCentury Old Style" w:cstheme="minorHAnsi"/>
          <w:b/>
          <w:lang w:val="en-GB"/>
        </w:rPr>
        <w:t xml:space="preserve"> 16</w:t>
      </w:r>
      <w:r w:rsidR="007306FB" w:rsidRPr="0051195D">
        <w:rPr>
          <w:rFonts w:ascii="DepCentury Old Style" w:hAnsi="DepCentury Old Style" w:cstheme="minorHAnsi"/>
          <w:b/>
          <w:lang w:val="en-GB"/>
        </w:rPr>
        <w:t xml:space="preserve"> </w:t>
      </w:r>
      <w:r w:rsidR="007306FB" w:rsidRPr="0051195D">
        <w:rPr>
          <w:rFonts w:ascii="DepCentury Old Style" w:hAnsi="DepCentury Old Style" w:cstheme="minorHAnsi"/>
          <w:lang w:val="en-GB"/>
        </w:rPr>
        <w:t>second sentence</w:t>
      </w:r>
      <w:r w:rsidRPr="0051195D">
        <w:rPr>
          <w:rFonts w:ascii="DepCentury Old Style" w:hAnsi="DepCentury Old Style" w:cstheme="minorHAnsi"/>
          <w:lang w:val="en-GB"/>
        </w:rPr>
        <w:t>, the Committee states, in general terms, that States parties’ due diligence obligation “includes the regulation of the activities of national corporations operating extraterritorially,</w:t>
      </w:r>
      <w:r w:rsidRPr="0051195D">
        <w:rPr>
          <w:lang w:val="en-GB"/>
        </w:rPr>
        <w:t xml:space="preserve"> </w:t>
      </w:r>
      <w:r w:rsidRPr="0051195D">
        <w:rPr>
          <w:rFonts w:ascii="DepCentury Old Style" w:hAnsi="DepCentury Old Style" w:cstheme="minorHAnsi"/>
          <w:lang w:val="en-GB"/>
        </w:rPr>
        <w:t xml:space="preserve">as affirmed in general recommendations No. 28 (2010) and No. 37 (2018) and reinforced in the United Nations Guiding Principles on Business and Human Rights”. As Norway expressed in its submission of 31 January 2017 to CEDAW’s </w:t>
      </w:r>
      <w:r w:rsidRPr="0051195D">
        <w:rPr>
          <w:rFonts w:ascii="DepCentury Old Style" w:hAnsi="DepCentury Old Style" w:cstheme="minorHAnsi"/>
          <w:i/>
          <w:lang w:val="en-GB"/>
        </w:rPr>
        <w:t xml:space="preserve">Draft General </w:t>
      </w:r>
      <w:r w:rsidR="00BD3941" w:rsidRPr="0051195D">
        <w:rPr>
          <w:rFonts w:ascii="DepCentury Old Style" w:hAnsi="DepCentury Old Style" w:cstheme="minorHAnsi"/>
          <w:i/>
          <w:lang w:val="en-GB"/>
        </w:rPr>
        <w:t>Recommendation</w:t>
      </w:r>
      <w:r w:rsidRPr="0051195D">
        <w:rPr>
          <w:rFonts w:ascii="DepCentury Old Style" w:hAnsi="DepCentury Old Style" w:cstheme="minorHAnsi"/>
          <w:i/>
          <w:lang w:val="en-GB"/>
        </w:rPr>
        <w:t xml:space="preserve"> on the Gender-related dimensions of Disaster Risk Reduction in a Changing Climate</w:t>
      </w:r>
      <w:r w:rsidRPr="0051195D">
        <w:rPr>
          <w:rFonts w:ascii="DepCentury Old Style" w:hAnsi="DepCentury Old Style" w:cstheme="minorHAnsi"/>
          <w:lang w:val="en-GB"/>
        </w:rPr>
        <w:t>, which contained a similar statement, it is the No</w:t>
      </w:r>
      <w:r w:rsidR="008B05CF" w:rsidRPr="0051195D">
        <w:rPr>
          <w:rFonts w:ascii="DepCentury Old Style" w:hAnsi="DepCentury Old Style" w:cstheme="minorHAnsi"/>
          <w:lang w:val="en-GB"/>
        </w:rPr>
        <w:t>rwegian Government’s view that P</w:t>
      </w:r>
      <w:r w:rsidRPr="0051195D">
        <w:rPr>
          <w:rFonts w:ascii="DepCentury Old Style" w:hAnsi="DepCentury Old Style" w:cstheme="minorHAnsi"/>
          <w:lang w:val="en-GB"/>
        </w:rPr>
        <w:t>rinciple 2 of the UN Guiding Principles on Business and Human Rights</w:t>
      </w:r>
      <w:r w:rsidR="008B05CF" w:rsidRPr="0051195D">
        <w:rPr>
          <w:rFonts w:ascii="DepCentury Old Style" w:hAnsi="DepCentury Old Style" w:cstheme="minorHAnsi"/>
          <w:lang w:val="en-GB"/>
        </w:rPr>
        <w:t xml:space="preserve"> (UNGP)</w:t>
      </w:r>
      <w:r w:rsidRPr="0051195D">
        <w:rPr>
          <w:rFonts w:ascii="DepCentury Old Style" w:hAnsi="DepCentury Old Style" w:cstheme="minorHAnsi"/>
          <w:lang w:val="en-GB"/>
        </w:rPr>
        <w:t xml:space="preserve"> more accurately reflects </w:t>
      </w:r>
      <w:r w:rsidR="008B05CF" w:rsidRPr="0051195D">
        <w:rPr>
          <w:rFonts w:ascii="DepCentury Old Style" w:hAnsi="DepCentury Old Style" w:cstheme="minorHAnsi"/>
          <w:lang w:val="en-GB"/>
        </w:rPr>
        <w:t>the present legal status</w:t>
      </w:r>
      <w:r w:rsidRPr="0051195D">
        <w:rPr>
          <w:rFonts w:ascii="DepCentury Old Style" w:hAnsi="DepCentury Old Style" w:cstheme="minorHAnsi"/>
          <w:lang w:val="en-GB"/>
        </w:rPr>
        <w:t>. In the commentary to UNGP 2 it is acknowledged that “[a]t present States are not generally required under international human rights law to regulate the extraterritorial activities of businesses domiciled in their territory and/or jurisdiction”. The Norwegian Government agrees with this latter statement.</w:t>
      </w:r>
    </w:p>
    <w:p w:rsidR="00244EAB" w:rsidRPr="0051195D" w:rsidRDefault="00244EAB" w:rsidP="00244EAB">
      <w:pPr>
        <w:rPr>
          <w:rFonts w:ascii="DepCentury Old Style" w:hAnsi="DepCentury Old Style"/>
          <w:lang w:val="en-GB"/>
        </w:rPr>
      </w:pPr>
      <w:r w:rsidRPr="0051195D">
        <w:rPr>
          <w:rFonts w:ascii="DepCentury Old Style" w:hAnsi="DepCentury Old Style" w:cstheme="minorHAnsi"/>
          <w:lang w:val="en-GB"/>
        </w:rPr>
        <w:t xml:space="preserve">Accordingly, Norway would like to suggest </w:t>
      </w:r>
      <w:r w:rsidRPr="0051195D">
        <w:rPr>
          <w:rFonts w:ascii="DepCentury Old Style" w:hAnsi="DepCentury Old Style" w:cstheme="minorHAnsi"/>
          <w:b/>
          <w:lang w:val="en-GB"/>
        </w:rPr>
        <w:t>para</w:t>
      </w:r>
      <w:r w:rsidR="00B42FCC">
        <w:rPr>
          <w:rFonts w:ascii="DepCentury Old Style" w:hAnsi="DepCentury Old Style" w:cstheme="minorHAnsi"/>
          <w:b/>
          <w:lang w:val="en-GB"/>
        </w:rPr>
        <w:t>.</w:t>
      </w:r>
      <w:r w:rsidRPr="0051195D">
        <w:rPr>
          <w:rFonts w:ascii="DepCentury Old Style" w:hAnsi="DepCentury Old Style" w:cstheme="minorHAnsi"/>
          <w:b/>
          <w:lang w:val="en-GB"/>
        </w:rPr>
        <w:t xml:space="preserve"> </w:t>
      </w:r>
      <w:r w:rsidR="008974EE" w:rsidRPr="0051195D">
        <w:rPr>
          <w:rFonts w:ascii="DepCentury Old Style" w:hAnsi="DepCentury Old Style" w:cstheme="minorHAnsi"/>
          <w:b/>
          <w:lang w:val="en-GB"/>
        </w:rPr>
        <w:t xml:space="preserve">16 </w:t>
      </w:r>
      <w:r w:rsidR="00BF5089" w:rsidRPr="0051195D">
        <w:rPr>
          <w:rFonts w:ascii="DepCentury Old Style" w:hAnsi="DepCentury Old Style" w:cstheme="minorHAnsi"/>
          <w:lang w:val="en-GB"/>
        </w:rPr>
        <w:t xml:space="preserve">of the Draft General Recommendation </w:t>
      </w:r>
      <w:r w:rsidRPr="0051195D">
        <w:rPr>
          <w:rFonts w:ascii="DepCentury Old Style" w:hAnsi="DepCentury Old Style" w:cstheme="minorHAnsi"/>
          <w:lang w:val="en-GB"/>
        </w:rPr>
        <w:t xml:space="preserve">be </w:t>
      </w:r>
      <w:r w:rsidR="00322B6D" w:rsidRPr="0051195D">
        <w:rPr>
          <w:rFonts w:ascii="DepCentury Old Style" w:hAnsi="DepCentury Old Style" w:cstheme="minorHAnsi"/>
          <w:lang w:val="en-GB"/>
        </w:rPr>
        <w:t>revised</w:t>
      </w:r>
      <w:r w:rsidR="00C47905" w:rsidRPr="0051195D">
        <w:rPr>
          <w:rFonts w:ascii="DepCentury Old Style" w:hAnsi="DepCentury Old Style" w:cstheme="minorHAnsi"/>
          <w:lang w:val="en-GB"/>
        </w:rPr>
        <w:t>, for instance to the</w:t>
      </w:r>
      <w:r w:rsidRPr="0051195D">
        <w:rPr>
          <w:rFonts w:ascii="DepCentury Old Style" w:hAnsi="DepCentury Old Style" w:cstheme="minorHAnsi"/>
          <w:lang w:val="en-GB"/>
        </w:rPr>
        <w:t xml:space="preserve"> following:</w:t>
      </w:r>
    </w:p>
    <w:p w:rsidR="00244EAB" w:rsidRPr="0051195D" w:rsidRDefault="00244EAB" w:rsidP="00244EAB">
      <w:pPr>
        <w:pStyle w:val="ListParagraph"/>
        <w:ind w:left="0"/>
        <w:jc w:val="both"/>
        <w:rPr>
          <w:rFonts w:ascii="DepCentury Old Style" w:hAnsi="DepCentury Old Style" w:cstheme="minorHAnsi"/>
          <w:i/>
          <w:sz w:val="22"/>
          <w:szCs w:val="22"/>
          <w:lang w:val="en-GB"/>
        </w:rPr>
      </w:pPr>
      <w:r w:rsidRPr="0051195D">
        <w:rPr>
          <w:rFonts w:ascii="DepCentury Old Style" w:hAnsi="DepCentury Old Style" w:cstheme="minorHAnsi"/>
          <w:i/>
          <w:sz w:val="22"/>
          <w:szCs w:val="22"/>
          <w:lang w:val="en-GB"/>
        </w:rPr>
        <w:t>“States parties’ obligation of due diligence to suppress all forms of trafficking in women and girls extends to the acts or omissions of all perpetrators, including private persons, intimate or extended family members and intimate partners, as well a</w:t>
      </w:r>
      <w:r w:rsidR="00AF071B" w:rsidRPr="0051195D">
        <w:rPr>
          <w:rFonts w:ascii="DepCentury Old Style" w:hAnsi="DepCentury Old Style" w:cstheme="minorHAnsi"/>
          <w:i/>
          <w:sz w:val="22"/>
          <w:szCs w:val="22"/>
          <w:lang w:val="en-GB"/>
        </w:rPr>
        <w:t xml:space="preserve">s organizations or enterprises, </w:t>
      </w:r>
      <w:r w:rsidRPr="0051195D">
        <w:rPr>
          <w:rFonts w:ascii="DepCentury Old Style" w:hAnsi="DepCentury Old Style" w:cstheme="minorHAnsi"/>
          <w:b/>
          <w:i/>
          <w:sz w:val="22"/>
          <w:szCs w:val="22"/>
          <w:lang w:val="en-GB"/>
        </w:rPr>
        <w:t>within Sta</w:t>
      </w:r>
      <w:r w:rsidR="008F0375" w:rsidRPr="0051195D">
        <w:rPr>
          <w:rFonts w:ascii="DepCentury Old Style" w:hAnsi="DepCentury Old Style" w:cstheme="minorHAnsi"/>
          <w:b/>
          <w:i/>
          <w:sz w:val="22"/>
          <w:szCs w:val="22"/>
          <w:lang w:val="en-GB"/>
        </w:rPr>
        <w:t>tes parties’ jurisdiction</w:t>
      </w:r>
      <w:r w:rsidRPr="0051195D">
        <w:rPr>
          <w:rFonts w:ascii="DepCentury Old Style" w:hAnsi="DepCentury Old Style" w:cstheme="minorHAnsi"/>
          <w:b/>
          <w:i/>
          <w:sz w:val="22"/>
          <w:szCs w:val="22"/>
          <w:lang w:val="en-GB"/>
        </w:rPr>
        <w:t xml:space="preserve">. </w:t>
      </w:r>
      <w:r w:rsidR="00BF5089" w:rsidRPr="0051195D">
        <w:rPr>
          <w:rFonts w:ascii="DepCentury Old Style" w:hAnsi="DepCentury Old Style" w:cstheme="minorHAnsi"/>
          <w:i/>
          <w:sz w:val="22"/>
          <w:szCs w:val="22"/>
          <w:lang w:val="en-GB"/>
        </w:rPr>
        <w:t>This</w:t>
      </w:r>
      <w:r w:rsidR="00C47905" w:rsidRPr="0051195D">
        <w:rPr>
          <w:rFonts w:ascii="DepCentury Old Style" w:hAnsi="DepCentury Old Style" w:cstheme="minorHAnsi"/>
          <w:i/>
          <w:sz w:val="22"/>
          <w:szCs w:val="22"/>
          <w:lang w:val="en-GB"/>
        </w:rPr>
        <w:t xml:space="preserve"> </w:t>
      </w:r>
      <w:r w:rsidR="00C47905" w:rsidRPr="0051195D">
        <w:rPr>
          <w:rFonts w:ascii="DepCentury Old Style" w:hAnsi="DepCentury Old Style" w:cstheme="minorHAnsi"/>
          <w:b/>
          <w:i/>
          <w:sz w:val="22"/>
          <w:szCs w:val="22"/>
          <w:lang w:val="en-GB"/>
        </w:rPr>
        <w:t>may include</w:t>
      </w:r>
      <w:r w:rsidR="00BF5089" w:rsidRPr="0051195D">
        <w:rPr>
          <w:rFonts w:ascii="DepCentury Old Style" w:hAnsi="DepCentury Old Style" w:cstheme="minorHAnsi"/>
          <w:b/>
          <w:i/>
          <w:sz w:val="22"/>
          <w:szCs w:val="22"/>
          <w:lang w:val="en-GB"/>
        </w:rPr>
        <w:t xml:space="preserve"> </w:t>
      </w:r>
      <w:r w:rsidRPr="0051195D">
        <w:rPr>
          <w:rFonts w:ascii="DepCentury Old Style" w:hAnsi="DepCentury Old Style" w:cstheme="minorHAnsi"/>
          <w:i/>
          <w:strike/>
          <w:sz w:val="22"/>
          <w:szCs w:val="22"/>
          <w:lang w:val="en-GB"/>
        </w:rPr>
        <w:t>include</w:t>
      </w:r>
      <w:r w:rsidR="00BF5089" w:rsidRPr="0051195D">
        <w:rPr>
          <w:rFonts w:ascii="DepCentury Old Style" w:hAnsi="DepCentury Old Style" w:cstheme="minorHAnsi"/>
          <w:i/>
          <w:strike/>
          <w:sz w:val="22"/>
          <w:szCs w:val="22"/>
          <w:lang w:val="en-GB"/>
        </w:rPr>
        <w:t>s</w:t>
      </w:r>
      <w:r w:rsidRPr="0051195D">
        <w:rPr>
          <w:rFonts w:ascii="DepCentury Old Style" w:hAnsi="DepCentury Old Style" w:cstheme="minorHAnsi"/>
          <w:i/>
          <w:sz w:val="22"/>
          <w:szCs w:val="22"/>
          <w:lang w:val="en-GB"/>
        </w:rPr>
        <w:t xml:space="preserve"> the regulation of the activities of national corporations operating extraterritorially as affirmed in general recommendations No. 28 (2010) and No. 37 (2018) and reinforced in the United Nations Guiding Principles on Business and Human Rights.”</w:t>
      </w:r>
    </w:p>
    <w:p w:rsidR="00123692" w:rsidRPr="0051195D" w:rsidRDefault="00123692" w:rsidP="00244EAB">
      <w:pPr>
        <w:pStyle w:val="ListParagraph"/>
        <w:ind w:left="0"/>
        <w:jc w:val="both"/>
        <w:rPr>
          <w:rFonts w:ascii="DepCentury Old Style" w:hAnsi="DepCentury Old Style" w:cstheme="minorHAnsi"/>
          <w:i/>
          <w:sz w:val="22"/>
          <w:szCs w:val="22"/>
          <w:lang w:val="en-GB"/>
        </w:rPr>
      </w:pPr>
    </w:p>
    <w:p w:rsidR="0051195D" w:rsidRDefault="0051195D" w:rsidP="00774BFD">
      <w:pPr>
        <w:pStyle w:val="ListParagraph"/>
        <w:ind w:left="0"/>
        <w:jc w:val="both"/>
        <w:rPr>
          <w:rFonts w:ascii="DepCentury Old Style" w:hAnsi="DepCentury Old Style" w:cstheme="minorHAnsi"/>
          <w:b/>
          <w:sz w:val="22"/>
          <w:szCs w:val="22"/>
          <w:lang w:val="en-GB"/>
        </w:rPr>
      </w:pPr>
    </w:p>
    <w:p w:rsidR="000B1099" w:rsidRPr="0051195D" w:rsidRDefault="00123692" w:rsidP="00774BFD">
      <w:pPr>
        <w:pStyle w:val="ListParagraph"/>
        <w:ind w:left="0"/>
        <w:jc w:val="both"/>
        <w:rPr>
          <w:rFonts w:ascii="DepCentury Old Style" w:hAnsi="DepCentury Old Style" w:cstheme="minorHAnsi"/>
          <w:lang w:val="en-GB"/>
        </w:rPr>
      </w:pPr>
      <w:r w:rsidRPr="0051195D">
        <w:rPr>
          <w:rFonts w:ascii="DepCentury Old Style" w:hAnsi="DepCentury Old Style" w:cstheme="minorHAnsi"/>
          <w:b/>
          <w:sz w:val="22"/>
          <w:szCs w:val="22"/>
          <w:lang w:val="en-GB"/>
        </w:rPr>
        <w:t>Para</w:t>
      </w:r>
      <w:r w:rsidR="00B42FCC">
        <w:rPr>
          <w:rFonts w:ascii="DepCentury Old Style" w:hAnsi="DepCentury Old Style" w:cstheme="minorHAnsi"/>
          <w:b/>
          <w:sz w:val="22"/>
          <w:szCs w:val="22"/>
          <w:lang w:val="en-GB"/>
        </w:rPr>
        <w:t>.</w:t>
      </w:r>
      <w:r w:rsidRPr="0051195D">
        <w:rPr>
          <w:rFonts w:ascii="DepCentury Old Style" w:hAnsi="DepCentury Old Style" w:cstheme="minorHAnsi"/>
          <w:b/>
          <w:sz w:val="22"/>
          <w:szCs w:val="22"/>
          <w:lang w:val="en-GB"/>
        </w:rPr>
        <w:t xml:space="preserve"> 17</w:t>
      </w:r>
      <w:r w:rsidR="00774BFD" w:rsidRPr="0051195D">
        <w:rPr>
          <w:rFonts w:ascii="DepCentury Old Style" w:hAnsi="DepCentury Old Style" w:cstheme="minorHAnsi"/>
          <w:b/>
          <w:sz w:val="22"/>
          <w:szCs w:val="22"/>
          <w:lang w:val="en-GB"/>
        </w:rPr>
        <w:t xml:space="preserve">: </w:t>
      </w:r>
      <w:r w:rsidR="00F36214" w:rsidRPr="0051195D">
        <w:rPr>
          <w:rFonts w:ascii="DepCentury Old Style" w:hAnsi="DepCentury Old Style" w:cstheme="minorHAnsi"/>
          <w:lang w:val="en-GB"/>
        </w:rPr>
        <w:t>Similarly, t</w:t>
      </w:r>
      <w:r w:rsidR="00FC6B01" w:rsidRPr="0051195D">
        <w:rPr>
          <w:rFonts w:ascii="DepCentury Old Style" w:hAnsi="DepCentury Old Style" w:cstheme="minorHAnsi"/>
          <w:lang w:val="en-GB"/>
        </w:rPr>
        <w:t>he Norwegian Government</w:t>
      </w:r>
      <w:r w:rsidR="00E622C8" w:rsidRPr="0051195D">
        <w:rPr>
          <w:rFonts w:ascii="DepCentury Old Style" w:hAnsi="DepCentury Old Style" w:cstheme="minorHAnsi"/>
          <w:lang w:val="en-GB"/>
        </w:rPr>
        <w:t xml:space="preserve"> is of the view that States parties’ human righ</w:t>
      </w:r>
      <w:r w:rsidR="00C51D19" w:rsidRPr="0051195D">
        <w:rPr>
          <w:rFonts w:ascii="DepCentury Old Style" w:hAnsi="DepCentury Old Style" w:cstheme="minorHAnsi"/>
          <w:lang w:val="en-GB"/>
        </w:rPr>
        <w:t>ts obligations are limited</w:t>
      </w:r>
      <w:r w:rsidR="00E622C8" w:rsidRPr="0051195D">
        <w:rPr>
          <w:rFonts w:ascii="DepCentury Old Style" w:hAnsi="DepCentury Old Style" w:cstheme="minorHAnsi"/>
          <w:lang w:val="en-GB"/>
        </w:rPr>
        <w:t xml:space="preserve"> to </w:t>
      </w:r>
      <w:r w:rsidR="007A33AE" w:rsidRPr="0051195D">
        <w:rPr>
          <w:rFonts w:ascii="DepCentury Old Style" w:hAnsi="DepCentury Old Style" w:cstheme="minorHAnsi"/>
          <w:lang w:val="en-GB"/>
        </w:rPr>
        <w:t xml:space="preserve">respecting and ensuring the rights of </w:t>
      </w:r>
      <w:r w:rsidR="00E622C8" w:rsidRPr="0051195D">
        <w:rPr>
          <w:rFonts w:ascii="DepCentury Old Style" w:hAnsi="DepCentury Old Style" w:cstheme="minorHAnsi"/>
          <w:lang w:val="en-GB"/>
        </w:rPr>
        <w:t xml:space="preserve">persons within </w:t>
      </w:r>
      <w:r w:rsidR="007A33AE" w:rsidRPr="0051195D">
        <w:rPr>
          <w:rFonts w:ascii="DepCentury Old Style" w:hAnsi="DepCentury Old Style" w:cstheme="minorHAnsi"/>
          <w:lang w:val="en-GB"/>
        </w:rPr>
        <w:t>their</w:t>
      </w:r>
      <w:r w:rsidR="00C826AF" w:rsidRPr="0051195D">
        <w:rPr>
          <w:rFonts w:ascii="DepCentury Old Style" w:hAnsi="DepCentury Old Style" w:cstheme="minorHAnsi"/>
          <w:lang w:val="en-GB"/>
        </w:rPr>
        <w:t xml:space="preserve"> jurisdiction, that is, within</w:t>
      </w:r>
      <w:r w:rsidR="007F2F6A" w:rsidRPr="0051195D">
        <w:rPr>
          <w:rFonts w:ascii="DepCentury Old Style" w:hAnsi="DepCentury Old Style" w:cstheme="minorHAnsi"/>
          <w:lang w:val="en-GB"/>
        </w:rPr>
        <w:t xml:space="preserve"> their</w:t>
      </w:r>
      <w:r w:rsidR="00E622C8" w:rsidRPr="0051195D">
        <w:rPr>
          <w:rFonts w:ascii="DepCentury Old Style" w:hAnsi="DepCentury Old Style" w:cstheme="minorHAnsi"/>
          <w:lang w:val="en-GB"/>
        </w:rPr>
        <w:t xml:space="preserve"> t</w:t>
      </w:r>
      <w:r w:rsidR="00C826AF" w:rsidRPr="0051195D">
        <w:rPr>
          <w:rFonts w:ascii="DepCentury Old Style" w:hAnsi="DepCentury Old Style" w:cstheme="minorHAnsi"/>
          <w:lang w:val="en-GB"/>
        </w:rPr>
        <w:t>erritories or</w:t>
      </w:r>
      <w:r w:rsidR="00FC6B01" w:rsidRPr="0051195D">
        <w:rPr>
          <w:rFonts w:ascii="DepCentury Old Style" w:hAnsi="DepCentury Old Style" w:cstheme="minorHAnsi"/>
          <w:lang w:val="en-GB"/>
        </w:rPr>
        <w:t xml:space="preserve"> </w:t>
      </w:r>
      <w:r w:rsidR="0033663B" w:rsidRPr="0051195D">
        <w:rPr>
          <w:rFonts w:ascii="DepCentury Old Style" w:hAnsi="DepCentury Old Style" w:cstheme="minorHAnsi"/>
          <w:lang w:val="en-GB"/>
        </w:rPr>
        <w:t xml:space="preserve">effective control. </w:t>
      </w:r>
      <w:r w:rsidR="00770FB6" w:rsidRPr="0051195D">
        <w:rPr>
          <w:rFonts w:ascii="DepCentury Old Style" w:hAnsi="DepCentury Old Style"/>
          <w:lang w:val="en-GB"/>
        </w:rPr>
        <w:t xml:space="preserve">In Norway’s opinion, </w:t>
      </w:r>
      <w:r w:rsidR="008974EE" w:rsidRPr="0051195D">
        <w:rPr>
          <w:rFonts w:ascii="DepCentury Old Style" w:hAnsi="DepCentury Old Style"/>
          <w:b/>
          <w:lang w:val="en-GB"/>
        </w:rPr>
        <w:t>para</w:t>
      </w:r>
      <w:r w:rsidR="00B42FCC">
        <w:rPr>
          <w:rFonts w:ascii="DepCentury Old Style" w:hAnsi="DepCentury Old Style"/>
          <w:b/>
          <w:lang w:val="en-GB"/>
        </w:rPr>
        <w:t>.</w:t>
      </w:r>
      <w:r w:rsidR="00770FB6" w:rsidRPr="0051195D">
        <w:rPr>
          <w:rFonts w:ascii="DepCentury Old Style" w:hAnsi="DepCentury Old Style"/>
          <w:b/>
          <w:lang w:val="en-GB"/>
        </w:rPr>
        <w:t xml:space="preserve"> 17</w:t>
      </w:r>
      <w:r w:rsidR="008974EE" w:rsidRPr="0051195D">
        <w:rPr>
          <w:rFonts w:ascii="DepCentury Old Style" w:hAnsi="DepCentury Old Style"/>
          <w:lang w:val="en-GB"/>
        </w:rPr>
        <w:t xml:space="preserve"> </w:t>
      </w:r>
      <w:r w:rsidR="00770FB6" w:rsidRPr="0051195D">
        <w:rPr>
          <w:rFonts w:ascii="DepCentury Old Style" w:hAnsi="DepCentury Old Style"/>
          <w:lang w:val="en-GB"/>
        </w:rPr>
        <w:t xml:space="preserve">is not sufficiently clear on this point and </w:t>
      </w:r>
      <w:r w:rsidR="008974EE" w:rsidRPr="0051195D">
        <w:rPr>
          <w:rFonts w:ascii="DepCentury Old Style" w:hAnsi="DepCentury Old Style"/>
          <w:lang w:val="en-GB"/>
        </w:rPr>
        <w:t>should</w:t>
      </w:r>
      <w:r w:rsidR="000B1099" w:rsidRPr="0051195D">
        <w:rPr>
          <w:rFonts w:ascii="DepCentury Old Style" w:hAnsi="DepCentury Old Style"/>
          <w:lang w:val="en-GB"/>
        </w:rPr>
        <w:t xml:space="preserve"> therefore</w:t>
      </w:r>
      <w:r w:rsidR="00FC6B01" w:rsidRPr="0051195D">
        <w:rPr>
          <w:rFonts w:ascii="DepCentury Old Style" w:hAnsi="DepCentury Old Style"/>
          <w:lang w:val="en-GB"/>
        </w:rPr>
        <w:t xml:space="preserve"> be revised, for example</w:t>
      </w:r>
      <w:r w:rsidR="008974EE" w:rsidRPr="0051195D">
        <w:rPr>
          <w:rFonts w:ascii="DepCentury Old Style" w:hAnsi="DepCentury Old Style"/>
          <w:lang w:val="en-GB"/>
        </w:rPr>
        <w:t xml:space="preserve"> to</w:t>
      </w:r>
      <w:r w:rsidR="008974EE" w:rsidRPr="0051195D">
        <w:rPr>
          <w:rFonts w:ascii="DepCentury Old Style" w:hAnsi="DepCentury Old Style" w:cstheme="minorHAnsi"/>
          <w:lang w:val="en-GB"/>
        </w:rPr>
        <w:t xml:space="preserve"> the following:</w:t>
      </w:r>
    </w:p>
    <w:p w:rsidR="0051195D" w:rsidRPr="0051195D" w:rsidRDefault="0051195D" w:rsidP="00774BFD">
      <w:pPr>
        <w:pStyle w:val="ListParagraph"/>
        <w:ind w:left="0"/>
        <w:jc w:val="both"/>
        <w:rPr>
          <w:rFonts w:ascii="DepCentury Old Style" w:hAnsi="DepCentury Old Style" w:cstheme="minorHAnsi"/>
          <w:b/>
          <w:sz w:val="22"/>
          <w:szCs w:val="22"/>
          <w:lang w:val="en-GB"/>
        </w:rPr>
      </w:pPr>
    </w:p>
    <w:p w:rsidR="00E96ED6" w:rsidRPr="0051195D" w:rsidRDefault="008974EE">
      <w:pPr>
        <w:rPr>
          <w:rFonts w:ascii="DepCentury Old Style" w:hAnsi="DepCentury Old Style" w:cstheme="minorHAnsi"/>
          <w:i/>
          <w:lang w:val="en-GB"/>
        </w:rPr>
      </w:pPr>
      <w:r w:rsidRPr="0051195D">
        <w:rPr>
          <w:rFonts w:ascii="DepCentury Old Style" w:hAnsi="DepCentury Old Style" w:cstheme="minorHAnsi"/>
          <w:i/>
          <w:lang w:val="en-GB"/>
        </w:rPr>
        <w:t xml:space="preserve">“States parties are responsible for all their actions affecting human rights, </w:t>
      </w:r>
      <w:r w:rsidRPr="0051195D">
        <w:rPr>
          <w:rFonts w:ascii="DepCentury Old Style" w:hAnsi="DepCentury Old Style" w:cstheme="minorHAnsi"/>
          <w:b/>
          <w:i/>
          <w:lang w:val="en-GB"/>
        </w:rPr>
        <w:t>within their jurisdiction,</w:t>
      </w:r>
      <w:r w:rsidRPr="0051195D">
        <w:rPr>
          <w:rFonts w:ascii="DepCentury Old Style" w:hAnsi="DepCentury Old Style" w:cstheme="minorHAnsi"/>
          <w:i/>
          <w:lang w:val="en-GB"/>
        </w:rPr>
        <w:t xml:space="preserve"> </w:t>
      </w:r>
      <w:r w:rsidRPr="0051195D">
        <w:rPr>
          <w:rFonts w:ascii="DepCentury Old Style" w:hAnsi="DepCentury Old Style" w:cstheme="minorHAnsi"/>
          <w:i/>
          <w:strike/>
          <w:lang w:val="en-GB"/>
        </w:rPr>
        <w:t>regardless of whether the affected persons are in their territory</w:t>
      </w:r>
      <w:r w:rsidRPr="0051195D">
        <w:rPr>
          <w:rFonts w:ascii="DepCentury Old Style" w:hAnsi="DepCentury Old Style" w:cstheme="minorHAnsi"/>
          <w:i/>
          <w:lang w:val="en-GB"/>
        </w:rPr>
        <w:t xml:space="preserve">. This </w:t>
      </w:r>
      <w:r w:rsidR="007E650F" w:rsidRPr="0051195D">
        <w:rPr>
          <w:rFonts w:ascii="DepCentury Old Style" w:hAnsi="DepCentury Old Style" w:cstheme="minorHAnsi"/>
          <w:b/>
          <w:i/>
          <w:lang w:val="en-GB"/>
        </w:rPr>
        <w:t>may</w:t>
      </w:r>
      <w:r w:rsidR="00191325" w:rsidRPr="0051195D">
        <w:rPr>
          <w:rFonts w:ascii="DepCentury Old Style" w:hAnsi="DepCentury Old Style" w:cstheme="minorHAnsi"/>
          <w:b/>
          <w:i/>
          <w:lang w:val="en-GB"/>
        </w:rPr>
        <w:t xml:space="preserve"> include</w:t>
      </w:r>
      <w:r w:rsidR="007E650F" w:rsidRPr="0051195D">
        <w:rPr>
          <w:rFonts w:ascii="DepCentury Old Style" w:hAnsi="DepCentury Old Style" w:cstheme="minorHAnsi"/>
          <w:b/>
          <w:i/>
          <w:lang w:val="en-GB"/>
        </w:rPr>
        <w:t xml:space="preserve"> </w:t>
      </w:r>
      <w:r w:rsidRPr="0051195D">
        <w:rPr>
          <w:rFonts w:ascii="DepCentury Old Style" w:hAnsi="DepCentury Old Style" w:cstheme="minorHAnsi"/>
          <w:i/>
          <w:strike/>
          <w:lang w:val="en-GB"/>
        </w:rPr>
        <w:t>include</w:t>
      </w:r>
      <w:r w:rsidR="00191325" w:rsidRPr="0051195D">
        <w:rPr>
          <w:rFonts w:ascii="DepCentury Old Style" w:hAnsi="DepCentury Old Style" w:cstheme="minorHAnsi"/>
          <w:i/>
          <w:strike/>
          <w:lang w:val="en-GB"/>
        </w:rPr>
        <w:t>s</w:t>
      </w:r>
      <w:r w:rsidRPr="0051195D">
        <w:rPr>
          <w:rFonts w:ascii="DepCentury Old Style" w:hAnsi="DepCentury Old Style" w:cstheme="minorHAnsi"/>
          <w:i/>
          <w:strike/>
          <w:lang w:val="en-GB"/>
        </w:rPr>
        <w:t xml:space="preserve"> </w:t>
      </w:r>
      <w:r w:rsidRPr="0051195D">
        <w:rPr>
          <w:rFonts w:ascii="DepCentury Old Style" w:hAnsi="DepCentury Old Style" w:cstheme="minorHAnsi"/>
          <w:i/>
          <w:lang w:val="en-GB"/>
        </w:rPr>
        <w:t>obligations towards States parties’ nationals who are trafficked abroad. The obligations of States parties under the Convention apply without discrimination both to citizens and non-citizens, including refugees, asylum-seekers, migrant workers, migrants with irregular status and stateless persons, within their territory or effective control, even if not situated within the territory.”</w:t>
      </w:r>
    </w:p>
    <w:p w:rsidR="00191325" w:rsidRPr="0051195D" w:rsidRDefault="00191325">
      <w:pPr>
        <w:rPr>
          <w:rFonts w:ascii="DepCentury Old Style" w:hAnsi="DepCentury Old Style" w:cstheme="minorHAnsi"/>
          <w:i/>
          <w:lang w:val="en-GB"/>
        </w:rPr>
      </w:pPr>
    </w:p>
    <w:p w:rsidR="00774BFD" w:rsidRPr="00774BFD" w:rsidRDefault="00774BFD" w:rsidP="00774BFD">
      <w:pPr>
        <w:autoSpaceDE w:val="0"/>
        <w:autoSpaceDN w:val="0"/>
        <w:adjustRightInd w:val="0"/>
        <w:spacing w:after="0" w:line="240" w:lineRule="auto"/>
        <w:rPr>
          <w:rFonts w:ascii="DepCentury Old Style" w:hAnsi="DepCentury Old Style" w:cs="DepCentury Old Style"/>
          <w:color w:val="000000"/>
          <w:sz w:val="23"/>
          <w:szCs w:val="23"/>
          <w:lang w:val="en-GB"/>
        </w:rPr>
      </w:pPr>
      <w:r w:rsidRPr="00774BFD">
        <w:rPr>
          <w:rFonts w:ascii="DepCentury Old Style" w:hAnsi="DepCentury Old Style" w:cs="DepCentury Old Style"/>
          <w:b/>
          <w:color w:val="000000"/>
          <w:sz w:val="23"/>
          <w:szCs w:val="23"/>
          <w:lang w:val="en-GB"/>
        </w:rPr>
        <w:t>As a general comment</w:t>
      </w:r>
      <w:r w:rsidRPr="00774BFD">
        <w:rPr>
          <w:rFonts w:ascii="DepCentury Old Style" w:hAnsi="DepCentury Old Style" w:cs="DepCentury Old Style"/>
          <w:color w:val="000000"/>
          <w:sz w:val="23"/>
          <w:szCs w:val="23"/>
          <w:lang w:val="en-GB"/>
        </w:rPr>
        <w:t xml:space="preserve">, we note that the draft recommendation paints a bleak picture of the global situation, without any mention of the many positive actions and gender sensitive measures taken by a number of countries to identify and assist women and girl victims, as well as preventive measures. </w:t>
      </w:r>
      <w:r w:rsidRPr="0051195D">
        <w:rPr>
          <w:rFonts w:ascii="DepCentury Old Style" w:hAnsi="DepCentury Old Style" w:cs="DepCentury Old Style"/>
          <w:color w:val="000000"/>
          <w:sz w:val="23"/>
          <w:szCs w:val="23"/>
          <w:lang w:val="en-GB"/>
        </w:rPr>
        <w:br/>
      </w:r>
    </w:p>
    <w:p w:rsidR="0051195D" w:rsidRPr="0051195D" w:rsidRDefault="00774BFD" w:rsidP="0051195D">
      <w:pPr>
        <w:autoSpaceDE w:val="0"/>
        <w:autoSpaceDN w:val="0"/>
        <w:adjustRightInd w:val="0"/>
        <w:spacing w:after="0" w:line="240" w:lineRule="auto"/>
        <w:rPr>
          <w:rFonts w:ascii="DepCentury Old Style" w:hAnsi="DepCentury Old Style" w:cs="DepCentury Old Style"/>
          <w:color w:val="000000"/>
          <w:sz w:val="20"/>
          <w:szCs w:val="20"/>
          <w:lang w:val="en-GB"/>
        </w:rPr>
      </w:pPr>
      <w:r w:rsidRPr="00774BFD">
        <w:rPr>
          <w:rFonts w:ascii="DepCentury Old Style" w:hAnsi="DepCentury Old Style" w:cs="DepCentury Old Style"/>
          <w:color w:val="000000"/>
          <w:sz w:val="23"/>
          <w:szCs w:val="23"/>
          <w:lang w:val="en-GB"/>
        </w:rPr>
        <w:t>We further wish to draw attention to current challenges facing a large number of Council of Europe member states. Countries of destination in this region have over the years developed comprehensive systems for the identification and assistance of women and girls trafficking for sexual exploitation. The same countries have recently seen an increase in trafficking for forced labour, where male migrant workers are the predominant victims. (Recent police investigations in labour exploitation cases in Norway have mainly involved male victims.)The identification and assistance system for male victims has however not been developed in a similar satisfying manner.</w:t>
      </w:r>
    </w:p>
    <w:p w:rsidR="00774BFD" w:rsidRPr="00774BFD" w:rsidRDefault="0051195D" w:rsidP="0051195D">
      <w:pPr>
        <w:autoSpaceDE w:val="0"/>
        <w:autoSpaceDN w:val="0"/>
        <w:adjustRightInd w:val="0"/>
        <w:spacing w:after="0" w:line="240" w:lineRule="auto"/>
        <w:rPr>
          <w:rFonts w:ascii="DepCentury Old Style" w:hAnsi="DepCentury Old Style"/>
          <w:sz w:val="23"/>
          <w:szCs w:val="23"/>
          <w:lang w:val="en-GB"/>
        </w:rPr>
      </w:pPr>
      <w:r w:rsidRPr="0051195D">
        <w:rPr>
          <w:rFonts w:ascii="DepCentury Old Style" w:hAnsi="DepCentury Old Style" w:cs="DepCentury Old Style"/>
          <w:color w:val="000000"/>
          <w:sz w:val="20"/>
          <w:szCs w:val="20"/>
          <w:lang w:val="en-GB"/>
        </w:rPr>
        <w:br/>
      </w:r>
      <w:r w:rsidRPr="0051195D">
        <w:rPr>
          <w:rFonts w:ascii="DepCentury Old Style" w:hAnsi="DepCentury Old Style"/>
          <w:sz w:val="23"/>
          <w:szCs w:val="23"/>
          <w:lang w:val="en-GB"/>
        </w:rPr>
        <w:t>We refer to the</w:t>
      </w:r>
      <w:r w:rsidR="00774BFD" w:rsidRPr="00774BFD">
        <w:rPr>
          <w:rFonts w:ascii="DepCentury Old Style" w:hAnsi="DepCentury Old Style"/>
          <w:sz w:val="23"/>
          <w:szCs w:val="23"/>
          <w:lang w:val="en-GB"/>
        </w:rPr>
        <w:t xml:space="preserve"> 7</w:t>
      </w:r>
      <w:r w:rsidR="00774BFD" w:rsidRPr="00774BFD">
        <w:rPr>
          <w:rFonts w:ascii="DepCentury Old Style" w:hAnsi="DepCentury Old Style"/>
          <w:sz w:val="16"/>
          <w:szCs w:val="16"/>
          <w:lang w:val="en-GB"/>
        </w:rPr>
        <w:t xml:space="preserve">th </w:t>
      </w:r>
      <w:r w:rsidR="00774BFD" w:rsidRPr="00774BFD">
        <w:rPr>
          <w:rFonts w:ascii="DepCentury Old Style" w:hAnsi="DepCentury Old Style"/>
          <w:sz w:val="23"/>
          <w:szCs w:val="23"/>
          <w:lang w:val="en-GB"/>
        </w:rPr>
        <w:t xml:space="preserve">General Report from the expert group GRETA, published in 2019, which provides more detail on this topic. We especially wish to highlight some excerpts from the executive summary: </w:t>
      </w:r>
      <w:r w:rsidRPr="0051195D">
        <w:rPr>
          <w:rFonts w:ascii="DepCentury Old Style" w:hAnsi="DepCentury Old Style"/>
          <w:sz w:val="23"/>
          <w:szCs w:val="23"/>
          <w:lang w:val="en-GB"/>
        </w:rPr>
        <w:br/>
      </w:r>
    </w:p>
    <w:p w:rsidR="00774BFD" w:rsidRPr="00774BFD" w:rsidRDefault="00774BFD" w:rsidP="00774BFD">
      <w:pPr>
        <w:autoSpaceDE w:val="0"/>
        <w:autoSpaceDN w:val="0"/>
        <w:adjustRightInd w:val="0"/>
        <w:spacing w:after="0" w:line="240" w:lineRule="auto"/>
        <w:rPr>
          <w:rFonts w:ascii="DepCentury Old Style" w:hAnsi="DepCentury Old Style" w:cs="DepCentury Old Style"/>
          <w:sz w:val="23"/>
          <w:szCs w:val="23"/>
          <w:lang w:val="en-GB"/>
        </w:rPr>
      </w:pPr>
      <w:r w:rsidRPr="00774BFD">
        <w:rPr>
          <w:rFonts w:ascii="DepCentury Old Style" w:hAnsi="DepCentury Old Style" w:cs="DepCentury Old Style"/>
          <w:i/>
          <w:iCs/>
          <w:sz w:val="23"/>
          <w:szCs w:val="23"/>
          <w:lang w:val="en-GB"/>
        </w:rPr>
        <w:t xml:space="preserve">The statistics included in GRETA’s country reports indicate that trafficking for the purpose of labour exploitation has been on the rise and has emerged as the predominant form of exploitation in some countries. Trafficking for the purpose of labour exploitation occurs in the formal and informal economies, with migrant workers particularly at risk. Men constitute most of the identified victims of labour trafficking, in sectors as diverse as agriculture, construction, hospitality and fisheries. Women are also victims of trafficking for labour exploitation, often in the more isolated setting of domestic and care work. The provision of assistance to victims of trafficking for the purpose of labour exploitation has specificities linked to the fact that the majority of these victims are men who may fear losing their jobs and any payments due, may feel responsible for what happened to them and not see themselves as victims. Providing support to victims of labour exploitation therefore requires an approach which addresses these particular factors. The second evaluation round has brought to light some improvements when it comes to assisting male victims of trafficking. However, in several countries, there are still no shelters or crisis centres providing assistance to male victims of trafficking. GRETA has urged States Parties to provide assistance, including safe accommodation, adapted to the specific needs of male victims of trafficking. </w:t>
      </w:r>
      <w:r w:rsidR="0051195D" w:rsidRPr="0051195D">
        <w:rPr>
          <w:rFonts w:ascii="DepCentury Old Style" w:hAnsi="DepCentury Old Style" w:cs="DepCentury Old Style"/>
          <w:i/>
          <w:iCs/>
          <w:sz w:val="23"/>
          <w:szCs w:val="23"/>
          <w:lang w:val="en-GB"/>
        </w:rPr>
        <w:br/>
      </w:r>
    </w:p>
    <w:p w:rsidR="00774BFD" w:rsidRPr="00774BFD" w:rsidRDefault="00774BFD" w:rsidP="00774BFD">
      <w:pPr>
        <w:autoSpaceDE w:val="0"/>
        <w:autoSpaceDN w:val="0"/>
        <w:adjustRightInd w:val="0"/>
        <w:spacing w:after="0" w:line="240" w:lineRule="auto"/>
        <w:rPr>
          <w:rFonts w:ascii="DepCentury Old Style" w:hAnsi="DepCentury Old Style" w:cs="DepCentury Old Style"/>
          <w:sz w:val="23"/>
          <w:szCs w:val="23"/>
          <w:lang w:val="en-GB"/>
        </w:rPr>
      </w:pPr>
      <w:r w:rsidRPr="00774BFD">
        <w:rPr>
          <w:rFonts w:ascii="DepCentury Old Style" w:hAnsi="DepCentury Old Style" w:cs="DepCentury Old Style"/>
          <w:sz w:val="23"/>
          <w:szCs w:val="23"/>
          <w:lang w:val="en-GB"/>
        </w:rPr>
        <w:t xml:space="preserve">In </w:t>
      </w:r>
      <w:r w:rsidRPr="00774BFD">
        <w:rPr>
          <w:rFonts w:ascii="DepCentury Old Style" w:hAnsi="DepCentury Old Style" w:cs="DepCentury Old Style"/>
          <w:b/>
          <w:sz w:val="23"/>
          <w:szCs w:val="23"/>
          <w:lang w:val="en-GB"/>
        </w:rPr>
        <w:t>chapter IV para. 12,</w:t>
      </w:r>
      <w:r w:rsidRPr="00774BFD">
        <w:rPr>
          <w:rFonts w:ascii="DepCentury Old Style" w:hAnsi="DepCentury Old Style" w:cs="DepCentury Old Style"/>
          <w:sz w:val="23"/>
          <w:szCs w:val="23"/>
          <w:lang w:val="en-GB"/>
        </w:rPr>
        <w:t xml:space="preserve"> the draft recommendation mentions that women and children are disproportionately affected by human trafficking. The figures provided in the UNODC Global Report do not, however, in any way purport to give accurate figures on the number of victims worldwide. The sharper focus that has existed on female victims could be assumed to be the reason that 72% of reported victims in 2016 were women and girls. </w:t>
      </w:r>
      <w:r w:rsidR="0051195D" w:rsidRPr="0051195D">
        <w:rPr>
          <w:rFonts w:ascii="DepCentury Old Style" w:hAnsi="DepCentury Old Style" w:cs="DepCentury Old Style"/>
          <w:sz w:val="23"/>
          <w:szCs w:val="23"/>
          <w:lang w:val="en-GB"/>
        </w:rPr>
        <w:br/>
      </w:r>
    </w:p>
    <w:p w:rsidR="00774BFD" w:rsidRPr="00774BFD" w:rsidRDefault="00774BFD" w:rsidP="00774BFD">
      <w:pPr>
        <w:autoSpaceDE w:val="0"/>
        <w:autoSpaceDN w:val="0"/>
        <w:adjustRightInd w:val="0"/>
        <w:spacing w:after="0" w:line="240" w:lineRule="auto"/>
        <w:rPr>
          <w:rFonts w:ascii="DepCentury Old Style" w:hAnsi="DepCentury Old Style" w:cs="DepCentury Old Style"/>
          <w:sz w:val="23"/>
          <w:szCs w:val="23"/>
          <w:lang w:val="en-GB"/>
        </w:rPr>
      </w:pPr>
      <w:r w:rsidRPr="00774BFD">
        <w:rPr>
          <w:rFonts w:ascii="DepCentury Old Style" w:hAnsi="DepCentury Old Style" w:cs="DepCentury Old Style"/>
          <w:b/>
          <w:sz w:val="23"/>
          <w:szCs w:val="23"/>
          <w:lang w:val="en-GB"/>
        </w:rPr>
        <w:t xml:space="preserve">Para. 20 </w:t>
      </w:r>
      <w:r w:rsidRPr="00774BFD">
        <w:rPr>
          <w:rFonts w:ascii="DepCentury Old Style" w:hAnsi="DepCentury Old Style" w:cs="DepCentury Old Style"/>
          <w:sz w:val="23"/>
          <w:szCs w:val="23"/>
          <w:lang w:val="en-GB"/>
        </w:rPr>
        <w:t xml:space="preserve">mentions the “feminisation of poverty” and states that women and girls continue to be “the prime targets of traffickers, especially for the purpose of sexual exploitation,..”. While there is no disagreement that victims of trafficking for sexual exploitation are predominantly female, we suggest a more balanced wording in order to reflect current realities. </w:t>
      </w:r>
      <w:r w:rsidR="0051195D" w:rsidRPr="0051195D">
        <w:rPr>
          <w:rFonts w:ascii="DepCentury Old Style" w:hAnsi="DepCentury Old Style" w:cs="DepCentury Old Style"/>
          <w:sz w:val="23"/>
          <w:szCs w:val="23"/>
          <w:lang w:val="en-GB"/>
        </w:rPr>
        <w:br/>
      </w:r>
    </w:p>
    <w:p w:rsidR="0051195D" w:rsidRPr="0051195D" w:rsidRDefault="00774BFD" w:rsidP="0051195D">
      <w:pPr>
        <w:autoSpaceDE w:val="0"/>
        <w:autoSpaceDN w:val="0"/>
        <w:adjustRightInd w:val="0"/>
        <w:spacing w:after="0" w:line="240" w:lineRule="auto"/>
        <w:rPr>
          <w:rFonts w:ascii="DepCentury Old Style" w:hAnsi="DepCentury Old Style" w:cs="DepCentury Old Style"/>
          <w:sz w:val="20"/>
          <w:szCs w:val="20"/>
          <w:lang w:val="en-GB"/>
        </w:rPr>
      </w:pPr>
      <w:r w:rsidRPr="00774BFD">
        <w:rPr>
          <w:rFonts w:ascii="DepCentury Old Style" w:hAnsi="DepCentury Old Style" w:cs="DepCentury Old Style"/>
          <w:sz w:val="23"/>
          <w:szCs w:val="23"/>
          <w:lang w:val="en-GB"/>
        </w:rPr>
        <w:t xml:space="preserve">We suggest to delete the word «penal» from </w:t>
      </w:r>
      <w:r w:rsidRPr="00774BFD">
        <w:rPr>
          <w:rFonts w:ascii="DepCentury Old Style" w:hAnsi="DepCentury Old Style" w:cs="DepCentury Old Style"/>
          <w:b/>
          <w:sz w:val="23"/>
          <w:szCs w:val="23"/>
          <w:lang w:val="en-GB"/>
        </w:rPr>
        <w:t>para. 27 (b)</w:t>
      </w:r>
      <w:r w:rsidRPr="00774BFD">
        <w:rPr>
          <w:rFonts w:ascii="DepCentury Old Style" w:hAnsi="DepCentury Old Style" w:cs="DepCentury Old Style"/>
          <w:sz w:val="23"/>
          <w:szCs w:val="23"/>
          <w:lang w:val="en-GB"/>
        </w:rPr>
        <w:t>. The act of consuming goods and services that result from trafficking in persons is potentially far removed from the primary offense of trafficking. Depending on the circumstances, different types of sanctions may be appropriate</w:t>
      </w:r>
      <w:r w:rsidR="0051195D">
        <w:rPr>
          <w:rFonts w:ascii="DepCentury Old Style" w:hAnsi="DepCentury Old Style" w:cs="DepCentury Old Style"/>
          <w:sz w:val="23"/>
          <w:szCs w:val="23"/>
          <w:lang w:val="en-GB"/>
        </w:rPr>
        <w:t>.</w:t>
      </w:r>
      <w:r w:rsidRPr="00774BFD">
        <w:rPr>
          <w:rFonts w:ascii="DepCentury Old Style" w:hAnsi="DepCentury Old Style" w:cs="DepCentury Old Style"/>
          <w:sz w:val="23"/>
          <w:szCs w:val="23"/>
          <w:lang w:val="en-GB"/>
        </w:rPr>
        <w:t xml:space="preserve"> </w:t>
      </w:r>
    </w:p>
    <w:p w:rsidR="0051195D" w:rsidRPr="0051195D" w:rsidRDefault="0051195D" w:rsidP="0051195D">
      <w:pPr>
        <w:autoSpaceDE w:val="0"/>
        <w:autoSpaceDN w:val="0"/>
        <w:adjustRightInd w:val="0"/>
        <w:spacing w:after="0" w:line="240" w:lineRule="auto"/>
        <w:rPr>
          <w:rFonts w:ascii="DepCentury Old Style" w:hAnsi="DepCentury Old Style" w:cs="DepCentury Old Style"/>
          <w:sz w:val="20"/>
          <w:szCs w:val="20"/>
          <w:lang w:val="en-GB"/>
        </w:rPr>
      </w:pPr>
    </w:p>
    <w:p w:rsidR="0051195D" w:rsidRPr="0051195D" w:rsidRDefault="0051195D" w:rsidP="0051195D">
      <w:pPr>
        <w:autoSpaceDE w:val="0"/>
        <w:autoSpaceDN w:val="0"/>
        <w:adjustRightInd w:val="0"/>
        <w:spacing w:after="0" w:line="240" w:lineRule="auto"/>
        <w:rPr>
          <w:rFonts w:ascii="DepCentury Old Style" w:hAnsi="DepCentury Old Style"/>
          <w:sz w:val="23"/>
          <w:szCs w:val="23"/>
          <w:lang w:val="en-GB"/>
        </w:rPr>
      </w:pPr>
      <w:r w:rsidRPr="00B42FCC">
        <w:rPr>
          <w:rFonts w:ascii="DepCentury Old Style" w:hAnsi="DepCentury Old Style" w:cs="DepCentury Old Style"/>
          <w:sz w:val="20"/>
          <w:szCs w:val="20"/>
          <w:lang w:val="en-GB"/>
        </w:rPr>
        <w:t>C</w:t>
      </w:r>
      <w:r w:rsidR="00774BFD" w:rsidRPr="00774BFD">
        <w:rPr>
          <w:rFonts w:ascii="DepCentury Old Style" w:hAnsi="DepCentury Old Style"/>
          <w:sz w:val="23"/>
          <w:szCs w:val="23"/>
          <w:lang w:val="en-GB"/>
        </w:rPr>
        <w:t xml:space="preserve">oncerning </w:t>
      </w:r>
      <w:r w:rsidR="00774BFD" w:rsidRPr="00774BFD">
        <w:rPr>
          <w:rFonts w:ascii="DepCentury Old Style" w:hAnsi="DepCentury Old Style"/>
          <w:b/>
          <w:sz w:val="23"/>
          <w:szCs w:val="23"/>
          <w:lang w:val="en-GB"/>
        </w:rPr>
        <w:t>para. 29 (h):</w:t>
      </w:r>
      <w:r w:rsidR="00774BFD" w:rsidRPr="00774BFD">
        <w:rPr>
          <w:rFonts w:ascii="DepCentury Old Style" w:hAnsi="DepCentury Old Style"/>
          <w:sz w:val="23"/>
          <w:szCs w:val="23"/>
          <w:lang w:val="en-GB"/>
        </w:rPr>
        <w:t xml:space="preserve"> The judicial power in Norway consists of ordinary courts and some specialized courts. The ordinary courts deal with disputes in all jurisdictions. Norway has no plans to establish new specialized tribunals at this time, nor a specialized tribunal for human trafficking cases. Due to this, we suggest to formulate the recommendation less strictly. </w:t>
      </w:r>
    </w:p>
    <w:p w:rsidR="0051195D" w:rsidRPr="0051195D" w:rsidRDefault="0051195D" w:rsidP="0051195D">
      <w:pPr>
        <w:autoSpaceDE w:val="0"/>
        <w:autoSpaceDN w:val="0"/>
        <w:adjustRightInd w:val="0"/>
        <w:spacing w:after="0" w:line="240" w:lineRule="auto"/>
        <w:rPr>
          <w:rFonts w:ascii="DepCentury Old Style" w:hAnsi="DepCentury Old Style"/>
          <w:sz w:val="23"/>
          <w:szCs w:val="23"/>
          <w:lang w:val="en-GB"/>
        </w:rPr>
      </w:pPr>
    </w:p>
    <w:p w:rsidR="00191325" w:rsidRPr="0051195D" w:rsidRDefault="00774BFD" w:rsidP="0051195D">
      <w:pPr>
        <w:autoSpaceDE w:val="0"/>
        <w:autoSpaceDN w:val="0"/>
        <w:adjustRightInd w:val="0"/>
        <w:spacing w:after="0" w:line="240" w:lineRule="auto"/>
        <w:rPr>
          <w:rFonts w:ascii="DepCentury Old Style" w:hAnsi="DepCentury Old Style"/>
          <w:sz w:val="23"/>
          <w:szCs w:val="23"/>
          <w:lang w:val="en-GB"/>
        </w:rPr>
      </w:pPr>
      <w:r w:rsidRPr="00B42FCC">
        <w:rPr>
          <w:rFonts w:ascii="DepCentury Old Style" w:hAnsi="DepCentury Old Style"/>
          <w:sz w:val="23"/>
          <w:szCs w:val="23"/>
          <w:lang w:val="en-GB"/>
        </w:rPr>
        <w:t>Concerning</w:t>
      </w:r>
      <w:r w:rsidRPr="0051195D">
        <w:rPr>
          <w:rFonts w:ascii="DepCentury Old Style" w:hAnsi="DepCentury Old Style"/>
          <w:b/>
          <w:sz w:val="23"/>
          <w:szCs w:val="23"/>
          <w:lang w:val="en-GB"/>
        </w:rPr>
        <w:t xml:space="preserve"> para. 29 (j):</w:t>
      </w:r>
      <w:r w:rsidRPr="0051195D">
        <w:rPr>
          <w:rFonts w:ascii="DepCentury Old Style" w:hAnsi="DepCentury Old Style"/>
          <w:sz w:val="23"/>
          <w:szCs w:val="23"/>
          <w:lang w:val="en-GB"/>
        </w:rPr>
        <w:t xml:space="preserve"> As a general comment, we want to emphasize that the Norwegian courts according to our Constitution, are independent. It is the Norwegian Courts Administration and the individual courts who decide what the training should consist of, and how to do this. It is also a general principle in Norway that the counsel, the prosecutor and the counsel of </w:t>
      </w:r>
      <w:r w:rsidR="0051195D" w:rsidRPr="0051195D">
        <w:rPr>
          <w:rFonts w:ascii="DepCentury Old Style" w:hAnsi="DepCentury Old Style"/>
          <w:sz w:val="23"/>
          <w:szCs w:val="23"/>
          <w:lang w:val="en-GB"/>
        </w:rPr>
        <w:t>defense</w:t>
      </w:r>
      <w:r w:rsidRPr="0051195D">
        <w:rPr>
          <w:rFonts w:ascii="DepCentury Old Style" w:hAnsi="DepCentury Old Style"/>
          <w:sz w:val="23"/>
          <w:szCs w:val="23"/>
          <w:lang w:val="en-GB"/>
        </w:rPr>
        <w:t>, should introduce relevant provisions of laws and international</w:t>
      </w:r>
      <w:r w:rsidR="0051195D" w:rsidRPr="0051195D">
        <w:rPr>
          <w:rFonts w:ascii="DepCentury Old Style" w:hAnsi="DepCentury Old Style"/>
          <w:sz w:val="23"/>
          <w:szCs w:val="23"/>
          <w:lang w:val="en-GB"/>
        </w:rPr>
        <w:br/>
      </w:r>
    </w:p>
    <w:p w:rsidR="007F2F6A" w:rsidRPr="0051195D" w:rsidRDefault="001247CA">
      <w:pPr>
        <w:rPr>
          <w:rFonts w:ascii="DepCentury Old Style" w:hAnsi="DepCentury Old Style" w:cstheme="minorHAnsi"/>
          <w:lang w:val="en-GB"/>
        </w:rPr>
      </w:pPr>
      <w:r w:rsidRPr="0051195D">
        <w:rPr>
          <w:rFonts w:ascii="DepCentury Old Style" w:hAnsi="DepCentury Old Style" w:cstheme="minorHAnsi"/>
          <w:lang w:val="en-GB"/>
        </w:rPr>
        <w:t>Finally, concerning issues raised in the draft General Recommendation on which Norway has not provided specific comments, this should not be interpreted as either agreement or disagreement with its substance.</w:t>
      </w:r>
    </w:p>
    <w:p w:rsidR="00A071AA" w:rsidRDefault="00A071AA">
      <w:pPr>
        <w:rPr>
          <w:rFonts w:ascii="DepCentury Old Style" w:hAnsi="DepCentury Old Style" w:cstheme="minorHAnsi"/>
          <w:lang w:val="en-GB"/>
        </w:rPr>
      </w:pPr>
    </w:p>
    <w:p w:rsidR="0051195D" w:rsidRPr="0051195D" w:rsidRDefault="0051195D">
      <w:pPr>
        <w:rPr>
          <w:rFonts w:ascii="DepCentury Old Style" w:hAnsi="DepCentury Old Style" w:cstheme="minorHAnsi"/>
          <w:lang w:val="en-GB"/>
        </w:rPr>
      </w:pPr>
    </w:p>
    <w:p w:rsidR="00A071AA" w:rsidRPr="0051195D" w:rsidRDefault="00774BFD" w:rsidP="00392C19">
      <w:pPr>
        <w:rPr>
          <w:rFonts w:ascii="DepCentury Old Style" w:hAnsi="DepCentury Old Style" w:cstheme="minorHAnsi"/>
          <w:i/>
          <w:lang w:val="en-GB"/>
        </w:rPr>
      </w:pPr>
      <w:r w:rsidRPr="0051195D">
        <w:rPr>
          <w:rFonts w:ascii="DepCentury Old Style" w:hAnsi="DepCentury Old Style" w:cstheme="minorHAnsi"/>
          <w:i/>
          <w:lang w:val="en-GB"/>
        </w:rPr>
        <w:t>Oslo, 12</w:t>
      </w:r>
      <w:r w:rsidR="0083294C" w:rsidRPr="0051195D">
        <w:rPr>
          <w:rFonts w:ascii="DepCentury Old Style" w:hAnsi="DepCentury Old Style" w:cstheme="minorHAnsi"/>
          <w:i/>
          <w:lang w:val="en-GB"/>
        </w:rPr>
        <w:t xml:space="preserve"> May 2020</w:t>
      </w:r>
    </w:p>
    <w:sectPr w:rsidR="00A071AA" w:rsidRPr="005119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95" w:rsidRDefault="00863895" w:rsidP="00000AE8">
      <w:pPr>
        <w:spacing w:after="0" w:line="240" w:lineRule="auto"/>
      </w:pPr>
      <w:r>
        <w:separator/>
      </w:r>
    </w:p>
  </w:endnote>
  <w:endnote w:type="continuationSeparator" w:id="0">
    <w:p w:rsidR="00863895" w:rsidRDefault="00863895" w:rsidP="0000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DepCentury Old Style">
    <w:altName w:val="Century Old Style"/>
    <w:panose1 w:val="0203060306040503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95" w:rsidRDefault="00863895" w:rsidP="00000AE8">
      <w:pPr>
        <w:spacing w:after="0" w:line="240" w:lineRule="auto"/>
      </w:pPr>
      <w:r>
        <w:separator/>
      </w:r>
    </w:p>
  </w:footnote>
  <w:footnote w:type="continuationSeparator" w:id="0">
    <w:p w:rsidR="00863895" w:rsidRDefault="00863895" w:rsidP="00000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E8"/>
    <w:rsid w:val="00000AE8"/>
    <w:rsid w:val="000014E5"/>
    <w:rsid w:val="000040FE"/>
    <w:rsid w:val="00034A4E"/>
    <w:rsid w:val="000638F6"/>
    <w:rsid w:val="00063CC9"/>
    <w:rsid w:val="0007355B"/>
    <w:rsid w:val="00074BF1"/>
    <w:rsid w:val="0009289D"/>
    <w:rsid w:val="000B1099"/>
    <w:rsid w:val="000E4FFE"/>
    <w:rsid w:val="000E5866"/>
    <w:rsid w:val="000F0D35"/>
    <w:rsid w:val="000F466A"/>
    <w:rsid w:val="00123692"/>
    <w:rsid w:val="001247CA"/>
    <w:rsid w:val="001250A2"/>
    <w:rsid w:val="00191325"/>
    <w:rsid w:val="001A551F"/>
    <w:rsid w:val="001C5C8E"/>
    <w:rsid w:val="001D48E1"/>
    <w:rsid w:val="00244EAB"/>
    <w:rsid w:val="002503DA"/>
    <w:rsid w:val="00251291"/>
    <w:rsid w:val="0026665A"/>
    <w:rsid w:val="002A3D28"/>
    <w:rsid w:val="002D3AE5"/>
    <w:rsid w:val="00300AEC"/>
    <w:rsid w:val="00322B6D"/>
    <w:rsid w:val="00334845"/>
    <w:rsid w:val="0033663B"/>
    <w:rsid w:val="00392C19"/>
    <w:rsid w:val="003D5078"/>
    <w:rsid w:val="003F499D"/>
    <w:rsid w:val="0041587D"/>
    <w:rsid w:val="00415F31"/>
    <w:rsid w:val="00432654"/>
    <w:rsid w:val="004715F7"/>
    <w:rsid w:val="0051195D"/>
    <w:rsid w:val="00512A7D"/>
    <w:rsid w:val="005253C7"/>
    <w:rsid w:val="00595A62"/>
    <w:rsid w:val="005B3446"/>
    <w:rsid w:val="005B453A"/>
    <w:rsid w:val="005E4663"/>
    <w:rsid w:val="005F299E"/>
    <w:rsid w:val="005F38C5"/>
    <w:rsid w:val="0065021C"/>
    <w:rsid w:val="006C2AC5"/>
    <w:rsid w:val="006E6115"/>
    <w:rsid w:val="00700AFB"/>
    <w:rsid w:val="007306FB"/>
    <w:rsid w:val="00770FB6"/>
    <w:rsid w:val="00774BFD"/>
    <w:rsid w:val="0079362A"/>
    <w:rsid w:val="007A33AE"/>
    <w:rsid w:val="007E45FB"/>
    <w:rsid w:val="007E4F6A"/>
    <w:rsid w:val="007E650F"/>
    <w:rsid w:val="007F2F6A"/>
    <w:rsid w:val="00813B1F"/>
    <w:rsid w:val="008325E3"/>
    <w:rsid w:val="0083294C"/>
    <w:rsid w:val="00834BD6"/>
    <w:rsid w:val="00841E6D"/>
    <w:rsid w:val="0086334D"/>
    <w:rsid w:val="00863895"/>
    <w:rsid w:val="0087537A"/>
    <w:rsid w:val="008974EE"/>
    <w:rsid w:val="008B05CF"/>
    <w:rsid w:val="008B2FFB"/>
    <w:rsid w:val="008C600B"/>
    <w:rsid w:val="008D47B3"/>
    <w:rsid w:val="008F0375"/>
    <w:rsid w:val="009250FE"/>
    <w:rsid w:val="009346BA"/>
    <w:rsid w:val="0093735C"/>
    <w:rsid w:val="00966650"/>
    <w:rsid w:val="009E32F5"/>
    <w:rsid w:val="00A071AA"/>
    <w:rsid w:val="00A139FD"/>
    <w:rsid w:val="00A16C5B"/>
    <w:rsid w:val="00A24085"/>
    <w:rsid w:val="00A316C6"/>
    <w:rsid w:val="00A364DB"/>
    <w:rsid w:val="00A67EA5"/>
    <w:rsid w:val="00AC3467"/>
    <w:rsid w:val="00AF071B"/>
    <w:rsid w:val="00B031C3"/>
    <w:rsid w:val="00B10505"/>
    <w:rsid w:val="00B42FCC"/>
    <w:rsid w:val="00B46E54"/>
    <w:rsid w:val="00B65368"/>
    <w:rsid w:val="00BD3941"/>
    <w:rsid w:val="00BE7229"/>
    <w:rsid w:val="00BF5089"/>
    <w:rsid w:val="00C47905"/>
    <w:rsid w:val="00C51D19"/>
    <w:rsid w:val="00C77437"/>
    <w:rsid w:val="00C826AF"/>
    <w:rsid w:val="00CD3645"/>
    <w:rsid w:val="00CF23ED"/>
    <w:rsid w:val="00D571A0"/>
    <w:rsid w:val="00D73471"/>
    <w:rsid w:val="00D92376"/>
    <w:rsid w:val="00DA24FC"/>
    <w:rsid w:val="00DF2B89"/>
    <w:rsid w:val="00E07E0A"/>
    <w:rsid w:val="00E4599F"/>
    <w:rsid w:val="00E55BA4"/>
    <w:rsid w:val="00E622C8"/>
    <w:rsid w:val="00E65C29"/>
    <w:rsid w:val="00E86090"/>
    <w:rsid w:val="00E96ED6"/>
    <w:rsid w:val="00EA12C8"/>
    <w:rsid w:val="00ED0D04"/>
    <w:rsid w:val="00EE69D4"/>
    <w:rsid w:val="00F36214"/>
    <w:rsid w:val="00F44A17"/>
    <w:rsid w:val="00F46E4A"/>
    <w:rsid w:val="00F67E5F"/>
    <w:rsid w:val="00FC6B01"/>
    <w:rsid w:val="00FF5654"/>
    <w:rsid w:val="00FF7BC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1E58"/>
  <w15:chartTrackingRefBased/>
  <w15:docId w15:val="{2E62BEBC-48D6-47A5-BD0E-59D5A03D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334D"/>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0AE8"/>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000AE8"/>
    <w:rPr>
      <w:rFonts w:eastAsiaTheme="minorEastAsia"/>
      <w:sz w:val="24"/>
      <w:szCs w:val="24"/>
      <w:lang w:val="en-US"/>
    </w:rPr>
  </w:style>
  <w:style w:type="character" w:styleId="FootnoteReference">
    <w:name w:val="footnote reference"/>
    <w:basedOn w:val="DefaultParagraphFont"/>
    <w:uiPriority w:val="99"/>
    <w:unhideWhenUsed/>
    <w:rsid w:val="00000AE8"/>
    <w:rPr>
      <w:vertAlign w:val="superscript"/>
    </w:rPr>
  </w:style>
  <w:style w:type="paragraph" w:styleId="ListParagraph">
    <w:name w:val="List Paragraph"/>
    <w:basedOn w:val="Normal"/>
    <w:uiPriority w:val="34"/>
    <w:qFormat/>
    <w:rsid w:val="00000AE8"/>
    <w:pPr>
      <w:spacing w:after="0" w:line="240" w:lineRule="auto"/>
      <w:ind w:left="720"/>
      <w:contextualSpacing/>
    </w:pPr>
    <w:rPr>
      <w:rFonts w:eastAsiaTheme="minorEastAsia"/>
      <w:sz w:val="24"/>
      <w:szCs w:val="24"/>
      <w:lang w:val="en-US"/>
    </w:rPr>
  </w:style>
  <w:style w:type="character" w:styleId="CommentReference">
    <w:name w:val="annotation reference"/>
    <w:basedOn w:val="DefaultParagraphFont"/>
    <w:uiPriority w:val="99"/>
    <w:semiHidden/>
    <w:unhideWhenUsed/>
    <w:rsid w:val="00000AE8"/>
    <w:rPr>
      <w:sz w:val="18"/>
      <w:szCs w:val="18"/>
    </w:rPr>
  </w:style>
  <w:style w:type="paragraph" w:styleId="CommentText">
    <w:name w:val="annotation text"/>
    <w:basedOn w:val="Normal"/>
    <w:link w:val="CommentTextChar"/>
    <w:uiPriority w:val="99"/>
    <w:unhideWhenUsed/>
    <w:rsid w:val="00000AE8"/>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rsid w:val="00000AE8"/>
    <w:rPr>
      <w:rFonts w:eastAsiaTheme="minorEastAsia"/>
      <w:sz w:val="24"/>
      <w:szCs w:val="24"/>
      <w:lang w:val="en-US"/>
    </w:rPr>
  </w:style>
  <w:style w:type="paragraph" w:styleId="BalloonText">
    <w:name w:val="Balloon Text"/>
    <w:basedOn w:val="Normal"/>
    <w:link w:val="BalloonTextChar"/>
    <w:uiPriority w:val="99"/>
    <w:semiHidden/>
    <w:unhideWhenUsed/>
    <w:rsid w:val="00000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E8"/>
    <w:rPr>
      <w:rFonts w:ascii="Segoe UI" w:hAnsi="Segoe UI" w:cs="Segoe UI"/>
      <w:sz w:val="18"/>
      <w:szCs w:val="18"/>
    </w:rPr>
  </w:style>
  <w:style w:type="character" w:customStyle="1" w:styleId="Heading2Char">
    <w:name w:val="Heading 2 Char"/>
    <w:basedOn w:val="DefaultParagraphFont"/>
    <w:link w:val="Heading2"/>
    <w:uiPriority w:val="9"/>
    <w:rsid w:val="0086334D"/>
    <w:rPr>
      <w:rFonts w:ascii="Times New Roman" w:eastAsia="Times New Roman" w:hAnsi="Times New Roman" w:cs="Times New Roman"/>
      <w:b/>
      <w:bCs/>
      <w:sz w:val="36"/>
      <w:szCs w:val="36"/>
      <w:lang w:eastAsia="nb-NO"/>
    </w:rPr>
  </w:style>
  <w:style w:type="paragraph" w:customStyle="1" w:styleId="Default">
    <w:name w:val="Default"/>
    <w:rsid w:val="0086334D"/>
    <w:pPr>
      <w:autoSpaceDE w:val="0"/>
      <w:autoSpaceDN w:val="0"/>
      <w:adjustRightInd w:val="0"/>
      <w:spacing w:after="0" w:line="240" w:lineRule="auto"/>
    </w:pPr>
    <w:rPr>
      <w:rFonts w:ascii="DepCentury Old Style" w:hAnsi="DepCentury Old Style" w:cs="DepCentury Old Style"/>
      <w:color w:val="000000"/>
      <w:sz w:val="24"/>
      <w:szCs w:val="24"/>
    </w:rPr>
  </w:style>
  <w:style w:type="paragraph" w:styleId="CommentSubject">
    <w:name w:val="annotation subject"/>
    <w:basedOn w:val="CommentText"/>
    <w:next w:val="CommentText"/>
    <w:link w:val="CommentSubjectChar"/>
    <w:uiPriority w:val="99"/>
    <w:semiHidden/>
    <w:unhideWhenUsed/>
    <w:rsid w:val="00E55BA4"/>
    <w:pPr>
      <w:spacing w:after="160"/>
    </w:pPr>
    <w:rPr>
      <w:rFonts w:eastAsiaTheme="minorHAnsi"/>
      <w:b/>
      <w:bCs/>
      <w:sz w:val="20"/>
      <w:szCs w:val="20"/>
      <w:lang w:val="nb-NO"/>
    </w:rPr>
  </w:style>
  <w:style w:type="character" w:customStyle="1" w:styleId="CommentSubjectChar">
    <w:name w:val="Comment Subject Char"/>
    <w:basedOn w:val="CommentTextChar"/>
    <w:link w:val="CommentSubject"/>
    <w:uiPriority w:val="99"/>
    <w:semiHidden/>
    <w:rsid w:val="00E55BA4"/>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727363">
      <w:bodyDiv w:val="1"/>
      <w:marLeft w:val="0"/>
      <w:marRight w:val="0"/>
      <w:marTop w:val="0"/>
      <w:marBottom w:val="0"/>
      <w:divBdr>
        <w:top w:val="none" w:sz="0" w:space="0" w:color="auto"/>
        <w:left w:val="none" w:sz="0" w:space="0" w:color="auto"/>
        <w:bottom w:val="none" w:sz="0" w:space="0" w:color="auto"/>
        <w:right w:val="none" w:sz="0" w:space="0" w:color="auto"/>
      </w:divBdr>
    </w:div>
    <w:div w:id="1581021193">
      <w:bodyDiv w:val="1"/>
      <w:marLeft w:val="0"/>
      <w:marRight w:val="0"/>
      <w:marTop w:val="0"/>
      <w:marBottom w:val="0"/>
      <w:divBdr>
        <w:top w:val="none" w:sz="0" w:space="0" w:color="auto"/>
        <w:left w:val="none" w:sz="0" w:space="0" w:color="auto"/>
        <w:bottom w:val="none" w:sz="0" w:space="0" w:color="auto"/>
        <w:right w:val="none" w:sz="0" w:space="0" w:color="auto"/>
      </w:divBdr>
    </w:div>
    <w:div w:id="1736197636">
      <w:bodyDiv w:val="1"/>
      <w:marLeft w:val="0"/>
      <w:marRight w:val="0"/>
      <w:marTop w:val="0"/>
      <w:marBottom w:val="0"/>
      <w:divBdr>
        <w:top w:val="none" w:sz="0" w:space="0" w:color="auto"/>
        <w:left w:val="none" w:sz="0" w:space="0" w:color="auto"/>
        <w:bottom w:val="none" w:sz="0" w:space="0" w:color="auto"/>
        <w:right w:val="none" w:sz="0" w:space="0" w:color="auto"/>
      </w:divBdr>
    </w:div>
    <w:div w:id="21387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F4BDB6-ACEC-4CB8-91CD-84C04E322991}">
  <ds:schemaRefs>
    <ds:schemaRef ds:uri="http://schemas.openxmlformats.org/officeDocument/2006/bibliography"/>
  </ds:schemaRefs>
</ds:datastoreItem>
</file>

<file path=customXml/itemProps2.xml><?xml version="1.0" encoding="utf-8"?>
<ds:datastoreItem xmlns:ds="http://schemas.openxmlformats.org/officeDocument/2006/customXml" ds:itemID="{77C916A1-CE65-448F-8D70-56D92980B89C}"/>
</file>

<file path=customXml/itemProps3.xml><?xml version="1.0" encoding="utf-8"?>
<ds:datastoreItem xmlns:ds="http://schemas.openxmlformats.org/officeDocument/2006/customXml" ds:itemID="{463C63BF-63AC-4A04-BEC4-E082E53A150F}"/>
</file>

<file path=customXml/itemProps4.xml><?xml version="1.0" encoding="utf-8"?>
<ds:datastoreItem xmlns:ds="http://schemas.openxmlformats.org/officeDocument/2006/customXml" ds:itemID="{5B058A1F-3D8A-4171-9A58-90ADD30F7C8C}"/>
</file>

<file path=docProps/app.xml><?xml version="1.0" encoding="utf-8"?>
<Properties xmlns="http://schemas.openxmlformats.org/officeDocument/2006/extended-properties" xmlns:vt="http://schemas.openxmlformats.org/officeDocument/2006/docPropsVTypes">
  <Template>Normal</Template>
  <TotalTime>6</TotalTime>
  <Pages>1</Pages>
  <Words>1482</Words>
  <Characters>7858</Characters>
  <Application>Microsoft Office Word</Application>
  <DocSecurity>0</DocSecurity>
  <Lines>65</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MFA</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Norway</dc:creator>
  <cp:keywords/>
  <dc:description/>
  <cp:lastModifiedBy>Oseid, Knut Arne</cp:lastModifiedBy>
  <cp:revision>3</cp:revision>
  <dcterms:created xsi:type="dcterms:W3CDTF">2020-05-12T13:18:00Z</dcterms:created>
  <dcterms:modified xsi:type="dcterms:W3CDTF">2020-05-12T13:22:00Z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