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0B" w:rsidRDefault="00DF700B" w:rsidP="00B23FC6">
      <w:pPr>
        <w:pStyle w:val="H1GC"/>
      </w:pPr>
      <w:r>
        <w:br w:type="page"/>
      </w:r>
      <w:r>
        <w:rPr>
          <w:rFonts w:hint="eastAsia"/>
        </w:rPr>
        <w:tab/>
      </w:r>
      <w:r>
        <w:rPr>
          <w:rFonts w:hint="eastAsia"/>
        </w:rPr>
        <w:tab/>
      </w:r>
      <w:r w:rsidRPr="00F009E1">
        <w:rPr>
          <w:rFonts w:hint="eastAsia"/>
        </w:rPr>
        <w:t>阿列克谢</w:t>
      </w:r>
      <w:r>
        <w:rPr>
          <w:rFonts w:ascii="SimSun" w:eastAsia="SimSun" w:hAnsi="SimSun" w:cs="SimSun" w:hint="eastAsia"/>
        </w:rPr>
        <w:t>·</w:t>
      </w:r>
      <w:r w:rsidRPr="00F009E1">
        <w:rPr>
          <w:rFonts w:hint="eastAsia"/>
        </w:rPr>
        <w:t>S</w:t>
      </w:r>
      <w:r>
        <w:rPr>
          <w:rFonts w:ascii="SimSun" w:eastAsia="SimSun" w:hAnsi="SimSun" w:cs="SimSun" w:hint="eastAsia"/>
        </w:rPr>
        <w:t>·</w:t>
      </w:r>
      <w:r w:rsidRPr="00F009E1">
        <w:rPr>
          <w:rFonts w:ascii="SimHei" w:hAnsi="SimHei" w:cs="SimHei" w:hint="eastAsia"/>
        </w:rPr>
        <w:t>阿夫托诺莫夫先生</w:t>
      </w:r>
      <w:r w:rsidRPr="00F009E1">
        <w:rPr>
          <w:rFonts w:hint="eastAsia"/>
        </w:rPr>
        <w:t>(</w:t>
      </w:r>
      <w:r w:rsidRPr="00F009E1">
        <w:rPr>
          <w:rFonts w:hint="eastAsia"/>
        </w:rPr>
        <w:t>俄罗斯</w:t>
      </w:r>
      <w:r w:rsidRPr="00F009E1">
        <w:rPr>
          <w:rFonts w:hint="eastAsia"/>
        </w:rPr>
        <w:t>)</w:t>
      </w:r>
    </w:p>
    <w:p w:rsidR="00DF700B" w:rsidRDefault="00DF700B" w:rsidP="00F009E1">
      <w:pPr>
        <w:pStyle w:val="SingleTxtGC"/>
      </w:pPr>
      <w:r w:rsidRPr="00F009E1">
        <w:rPr>
          <w:rFonts w:eastAsia="SimHei" w:hint="eastAsia"/>
        </w:rPr>
        <w:t>出生日期和地点</w:t>
      </w:r>
      <w:r>
        <w:rPr>
          <w:rFonts w:hint="eastAsia"/>
        </w:rPr>
        <w:t>：</w:t>
      </w:r>
      <w:r w:rsidRPr="00F009E1">
        <w:rPr>
          <w:rFonts w:hint="eastAsia"/>
        </w:rPr>
        <w:t>1959</w:t>
      </w:r>
      <w:r w:rsidRPr="00F009E1">
        <w:rPr>
          <w:rFonts w:hint="eastAsia"/>
        </w:rPr>
        <w:t>年</w:t>
      </w:r>
      <w:r w:rsidRPr="00F009E1">
        <w:rPr>
          <w:rFonts w:hint="eastAsia"/>
        </w:rPr>
        <w:t>3</w:t>
      </w:r>
      <w:r w:rsidRPr="00F009E1">
        <w:rPr>
          <w:rFonts w:hint="eastAsia"/>
        </w:rPr>
        <w:t>月</w:t>
      </w:r>
      <w:r w:rsidRPr="00F009E1">
        <w:rPr>
          <w:rFonts w:hint="eastAsia"/>
        </w:rPr>
        <w:t>9</w:t>
      </w:r>
      <w:r w:rsidRPr="00F009E1">
        <w:rPr>
          <w:rFonts w:hint="eastAsia"/>
        </w:rPr>
        <w:t>日，莫斯科</w:t>
      </w:r>
    </w:p>
    <w:p w:rsidR="00DF700B" w:rsidRDefault="00DF700B" w:rsidP="00F009E1">
      <w:pPr>
        <w:pStyle w:val="SingleTxtGC"/>
      </w:pPr>
      <w:r w:rsidRPr="00F009E1">
        <w:rPr>
          <w:rFonts w:eastAsia="SimHei" w:hint="eastAsia"/>
        </w:rPr>
        <w:t>工作语言</w:t>
      </w:r>
      <w:r>
        <w:rPr>
          <w:rFonts w:hint="eastAsia"/>
        </w:rPr>
        <w:t>：</w:t>
      </w:r>
      <w:r w:rsidRPr="00F009E1">
        <w:rPr>
          <w:rFonts w:hint="eastAsia"/>
        </w:rPr>
        <w:t>俄语、英语、法语、西班牙语</w:t>
      </w:r>
    </w:p>
    <w:p w:rsidR="00DF700B" w:rsidRPr="00F009E1" w:rsidRDefault="00DF700B" w:rsidP="00F009E1">
      <w:pPr>
        <w:pStyle w:val="SingleTxtGC"/>
        <w:rPr>
          <w:rFonts w:eastAsia="SimHei"/>
        </w:rPr>
      </w:pPr>
      <w:r w:rsidRPr="00F009E1">
        <w:rPr>
          <w:rFonts w:eastAsia="SimHei" w:hint="eastAsia"/>
        </w:rPr>
        <w:t>现任职位</w:t>
      </w:r>
      <w:r w:rsidRPr="00F009E1">
        <w:rPr>
          <w:rFonts w:eastAsia="SimHei" w:hint="eastAsia"/>
        </w:rPr>
        <w:t>/</w:t>
      </w:r>
      <w:r w:rsidRPr="00F009E1">
        <w:rPr>
          <w:rFonts w:eastAsia="SimHei" w:hint="eastAsia"/>
        </w:rPr>
        <w:t>职务</w:t>
      </w:r>
    </w:p>
    <w:p w:rsidR="00DF700B" w:rsidRDefault="00DF700B" w:rsidP="00F009E1">
      <w:pPr>
        <w:pStyle w:val="SingleTxtGC"/>
      </w:pPr>
      <w:r>
        <w:rPr>
          <w:rFonts w:hint="eastAsia"/>
        </w:rPr>
        <w:t>2003</w:t>
      </w:r>
      <w:r>
        <w:rPr>
          <w:rFonts w:hint="eastAsia"/>
        </w:rPr>
        <w:t>年至今：消除种族歧视委员会委员</w:t>
      </w:r>
    </w:p>
    <w:p w:rsidR="00DF700B" w:rsidRDefault="00DF700B" w:rsidP="00F009E1">
      <w:pPr>
        <w:pStyle w:val="SingleTxtGC"/>
      </w:pPr>
      <w:r>
        <w:rPr>
          <w:rFonts w:hint="eastAsia"/>
        </w:rPr>
        <w:t>1994</w:t>
      </w:r>
      <w:r>
        <w:rPr>
          <w:rFonts w:hint="eastAsia"/>
        </w:rPr>
        <w:t>年至今：国家与法律研究所首席研究员</w:t>
      </w:r>
      <w:r>
        <w:rPr>
          <w:rFonts w:hint="eastAsia"/>
        </w:rPr>
        <w:t>(</w:t>
      </w:r>
      <w:r>
        <w:rPr>
          <w:rFonts w:hint="eastAsia"/>
        </w:rPr>
        <w:t>俄罗斯科学院</w:t>
      </w:r>
      <w:r>
        <w:rPr>
          <w:rFonts w:hint="eastAsia"/>
        </w:rPr>
        <w:t>)</w:t>
      </w:r>
    </w:p>
    <w:p w:rsidR="00DF700B" w:rsidRDefault="00DF700B" w:rsidP="00F009E1">
      <w:pPr>
        <w:pStyle w:val="SingleTxtGC"/>
      </w:pPr>
      <w:r>
        <w:rPr>
          <w:rFonts w:hint="eastAsia"/>
        </w:rPr>
        <w:t>2007</w:t>
      </w:r>
      <w:r>
        <w:rPr>
          <w:rFonts w:hint="eastAsia"/>
        </w:rPr>
        <w:t>年至今：高等经济学院比较法中心主任</w:t>
      </w:r>
    </w:p>
    <w:p w:rsidR="00DF700B" w:rsidRDefault="00DF700B" w:rsidP="00F009E1">
      <w:pPr>
        <w:pStyle w:val="SingleTxtGC"/>
      </w:pPr>
      <w:r>
        <w:rPr>
          <w:rFonts w:hint="eastAsia"/>
        </w:rPr>
        <w:t>律师</w:t>
      </w:r>
      <w:r>
        <w:rPr>
          <w:rFonts w:hint="eastAsia"/>
          <w:spacing w:val="-50"/>
        </w:rPr>
        <w:t>―</w:t>
      </w:r>
      <w:r>
        <w:rPr>
          <w:rFonts w:hint="eastAsia"/>
        </w:rPr>
        <w:t>―出庭律师</w:t>
      </w:r>
      <w:r>
        <w:rPr>
          <w:rFonts w:hint="eastAsia"/>
        </w:rPr>
        <w:t>(2011</w:t>
      </w:r>
      <w:r>
        <w:rPr>
          <w:rFonts w:hint="eastAsia"/>
        </w:rPr>
        <w:t>年至今的正式身份</w:t>
      </w:r>
      <w:r>
        <w:rPr>
          <w:rFonts w:hint="eastAsia"/>
        </w:rPr>
        <w:t>)</w:t>
      </w:r>
    </w:p>
    <w:p w:rsidR="00DF700B" w:rsidRDefault="00DF700B" w:rsidP="00F009E1">
      <w:pPr>
        <w:pStyle w:val="SingleTxtGC"/>
      </w:pPr>
      <w:r>
        <w:rPr>
          <w:rFonts w:hint="eastAsia"/>
        </w:rPr>
        <w:t>2007</w:t>
      </w:r>
      <w:r>
        <w:rPr>
          <w:rFonts w:hint="eastAsia"/>
        </w:rPr>
        <w:t>年至今：法律科学杂志“国家与法律”总编辑</w:t>
      </w:r>
    </w:p>
    <w:p w:rsidR="00DF700B" w:rsidRPr="00F009E1" w:rsidRDefault="00DF700B" w:rsidP="00F009E1">
      <w:pPr>
        <w:pStyle w:val="SingleTxtGC"/>
        <w:rPr>
          <w:rFonts w:eastAsia="SimHei"/>
        </w:rPr>
      </w:pPr>
      <w:r w:rsidRPr="00F009E1">
        <w:rPr>
          <w:rFonts w:eastAsia="SimHei" w:hint="eastAsia"/>
        </w:rPr>
        <w:t>主要职业活动</w:t>
      </w:r>
    </w:p>
    <w:p w:rsidR="00DF700B" w:rsidRDefault="00DF700B" w:rsidP="00F009E1">
      <w:pPr>
        <w:pStyle w:val="SingleTxtGC"/>
      </w:pPr>
      <w:r>
        <w:rPr>
          <w:rFonts w:hint="eastAsia"/>
        </w:rPr>
        <w:t>在大部分消除种族歧视委员会</w:t>
      </w:r>
      <w:r>
        <w:rPr>
          <w:rFonts w:hint="eastAsia"/>
        </w:rPr>
        <w:t>(</w:t>
      </w:r>
      <w:r>
        <w:rPr>
          <w:rFonts w:hint="eastAsia"/>
        </w:rPr>
        <w:t>消歧委</w:t>
      </w:r>
      <w:r>
        <w:rPr>
          <w:rFonts w:hint="eastAsia"/>
        </w:rPr>
        <w:t>)</w:t>
      </w:r>
      <w:r>
        <w:rPr>
          <w:rFonts w:hint="eastAsia"/>
        </w:rPr>
        <w:t>会议上任国家报告员</w:t>
      </w:r>
    </w:p>
    <w:p w:rsidR="00DF700B" w:rsidRDefault="00DF700B" w:rsidP="00F009E1">
      <w:pPr>
        <w:pStyle w:val="SingleTxtGC"/>
      </w:pPr>
      <w:r>
        <w:rPr>
          <w:rFonts w:hint="eastAsia"/>
        </w:rPr>
        <w:t>消歧委预警和紧急措施工作组成员</w:t>
      </w:r>
    </w:p>
    <w:p w:rsidR="00DF700B" w:rsidRDefault="00DF700B" w:rsidP="00F009E1">
      <w:pPr>
        <w:pStyle w:val="SingleTxtGC"/>
      </w:pPr>
      <w:r>
        <w:rPr>
          <w:rFonts w:hint="eastAsia"/>
        </w:rPr>
        <w:t>高等经济学院法律系本科生和研究生班</w:t>
      </w:r>
    </w:p>
    <w:p w:rsidR="00DF700B" w:rsidRDefault="00DF700B" w:rsidP="00F009E1">
      <w:pPr>
        <w:pStyle w:val="SingleTxtGC"/>
      </w:pPr>
      <w:r>
        <w:rPr>
          <w:rFonts w:hint="eastAsia"/>
        </w:rPr>
        <w:t>人权和国际法研究工作</w:t>
      </w:r>
    </w:p>
    <w:p w:rsidR="00DF700B" w:rsidRDefault="00DF700B" w:rsidP="00F009E1">
      <w:pPr>
        <w:pStyle w:val="SingleTxtGC"/>
      </w:pPr>
      <w:r>
        <w:rPr>
          <w:rFonts w:hint="eastAsia"/>
        </w:rPr>
        <w:t>法律、非政府组织活动和人权方面学术界和从业人员的各种会议和讲习班</w:t>
      </w:r>
    </w:p>
    <w:p w:rsidR="00DF700B" w:rsidRDefault="00DF700B" w:rsidP="00F009E1">
      <w:pPr>
        <w:pStyle w:val="SingleTxtGC"/>
      </w:pPr>
      <w:r>
        <w:rPr>
          <w:rFonts w:hint="eastAsia"/>
        </w:rPr>
        <w:t>撰文著书</w:t>
      </w:r>
    </w:p>
    <w:p w:rsidR="00DF700B" w:rsidRDefault="00DF700B" w:rsidP="00F009E1">
      <w:pPr>
        <w:pStyle w:val="SingleTxtGC"/>
      </w:pPr>
      <w:r>
        <w:rPr>
          <w:rFonts w:hint="eastAsia"/>
        </w:rPr>
        <w:t>法律杂志总编辑的各种义务</w:t>
      </w:r>
    </w:p>
    <w:p w:rsidR="00DF700B" w:rsidRDefault="00DF700B" w:rsidP="00F009E1">
      <w:pPr>
        <w:pStyle w:val="SingleTxtGC"/>
      </w:pPr>
      <w:r>
        <w:rPr>
          <w:rFonts w:hint="eastAsia"/>
        </w:rPr>
        <w:t>为个人和实体提供法律咨询</w:t>
      </w:r>
    </w:p>
    <w:p w:rsidR="00DF700B" w:rsidRDefault="00DF700B" w:rsidP="00F009E1">
      <w:pPr>
        <w:pStyle w:val="SingleTxtGC"/>
      </w:pPr>
      <w:r>
        <w:rPr>
          <w:rFonts w:hint="eastAsia"/>
        </w:rPr>
        <w:t>出庭担任法律代理</w:t>
      </w:r>
    </w:p>
    <w:p w:rsidR="00DF700B" w:rsidRDefault="00DF700B" w:rsidP="00F009E1">
      <w:pPr>
        <w:pStyle w:val="SingleTxtGC"/>
      </w:pPr>
      <w:r>
        <w:rPr>
          <w:rFonts w:hint="eastAsia"/>
        </w:rPr>
        <w:t>为俄罗斯和外国法院提供法律意见</w:t>
      </w:r>
    </w:p>
    <w:p w:rsidR="00DF700B" w:rsidRPr="00F009E1" w:rsidRDefault="00DF700B" w:rsidP="00F009E1">
      <w:pPr>
        <w:pStyle w:val="SingleTxtGC"/>
        <w:rPr>
          <w:rFonts w:eastAsia="SimHei"/>
        </w:rPr>
      </w:pPr>
      <w:r w:rsidRPr="00F009E1">
        <w:rPr>
          <w:rFonts w:eastAsia="SimHei" w:hint="eastAsia"/>
        </w:rPr>
        <w:t>学历</w:t>
      </w:r>
    </w:p>
    <w:p w:rsidR="00DF700B" w:rsidRDefault="00DF700B" w:rsidP="00F009E1">
      <w:pPr>
        <w:pStyle w:val="SingleTxtGC"/>
      </w:pPr>
      <w:r>
        <w:rPr>
          <w:rFonts w:hint="eastAsia"/>
        </w:rPr>
        <w:t>1981</w:t>
      </w:r>
      <w:r>
        <w:rPr>
          <w:rFonts w:hint="eastAsia"/>
        </w:rPr>
        <w:t>年：在国际关系学院国际法系接受高等法律教育</w:t>
      </w:r>
    </w:p>
    <w:p w:rsidR="00DF700B" w:rsidRDefault="00DF700B" w:rsidP="00F009E1">
      <w:pPr>
        <w:pStyle w:val="SingleTxtGC"/>
      </w:pPr>
      <w:r>
        <w:rPr>
          <w:rFonts w:hint="eastAsia"/>
        </w:rPr>
        <w:t>1984</w:t>
      </w:r>
      <w:r>
        <w:rPr>
          <w:rFonts w:hint="eastAsia"/>
        </w:rPr>
        <w:t>年：国际关系学院法律博士</w:t>
      </w:r>
    </w:p>
    <w:p w:rsidR="00DF700B" w:rsidRDefault="00DF700B" w:rsidP="00F009E1">
      <w:pPr>
        <w:pStyle w:val="SingleTxtGC"/>
      </w:pPr>
      <w:r>
        <w:rPr>
          <w:rFonts w:hint="eastAsia"/>
        </w:rPr>
        <w:t>1999</w:t>
      </w:r>
      <w:r>
        <w:rPr>
          <w:rFonts w:hint="eastAsia"/>
        </w:rPr>
        <w:t>年：俄罗斯科学院国家与法律研究所，法学博士</w:t>
      </w:r>
    </w:p>
    <w:p w:rsidR="00DF700B" w:rsidRDefault="00DF700B" w:rsidP="00F009E1">
      <w:pPr>
        <w:pStyle w:val="SingleTxtGC"/>
      </w:pPr>
      <w:r>
        <w:rPr>
          <w:rFonts w:hint="eastAsia"/>
        </w:rPr>
        <w:t>2003</w:t>
      </w:r>
      <w:r>
        <w:rPr>
          <w:rFonts w:hint="eastAsia"/>
        </w:rPr>
        <w:t>年：</w:t>
      </w:r>
      <w:r>
        <w:rPr>
          <w:rFonts w:hint="eastAsia"/>
        </w:rPr>
        <w:t>M.</w:t>
      </w:r>
      <w:r>
        <w:rPr>
          <w:rFonts w:hint="eastAsia"/>
        </w:rPr>
        <w:t>罗蒙诺索夫的名字命名的莫斯科国立大学法学教授的学位</w:t>
      </w:r>
    </w:p>
    <w:p w:rsidR="00DF700B" w:rsidRDefault="00DF700B" w:rsidP="00F009E1">
      <w:pPr>
        <w:pStyle w:val="SingleTxtGC"/>
      </w:pPr>
      <w:r>
        <w:rPr>
          <w:rFonts w:hint="eastAsia"/>
        </w:rPr>
        <w:t>1992</w:t>
      </w:r>
      <w:r>
        <w:rPr>
          <w:rFonts w:hint="eastAsia"/>
        </w:rPr>
        <w:t>年：萨尔茨堡研讨会，</w:t>
      </w:r>
      <w:r>
        <w:rPr>
          <w:rFonts w:hint="eastAsia"/>
        </w:rPr>
        <w:t>292</w:t>
      </w:r>
      <w:r>
        <w:rPr>
          <w:rFonts w:hint="eastAsia"/>
        </w:rPr>
        <w:t>次会议，“跨国法律和机构”</w:t>
      </w:r>
    </w:p>
    <w:p w:rsidR="00DF700B" w:rsidRPr="00F009E1" w:rsidRDefault="00DF700B" w:rsidP="00F009E1">
      <w:pPr>
        <w:pStyle w:val="SingleTxtGC"/>
        <w:rPr>
          <w:rFonts w:eastAsia="SimHei"/>
        </w:rPr>
      </w:pPr>
      <w:r w:rsidRPr="00F009E1">
        <w:rPr>
          <w:rFonts w:eastAsia="SimHei" w:hint="eastAsia"/>
        </w:rPr>
        <w:t>在与所涉条约机构职责有关的领域内其他主要活动</w:t>
      </w:r>
    </w:p>
    <w:p w:rsidR="00DF700B" w:rsidRDefault="00DF700B" w:rsidP="00F009E1">
      <w:pPr>
        <w:pStyle w:val="SingleTxtGC"/>
      </w:pPr>
      <w:r>
        <w:rPr>
          <w:rFonts w:hint="eastAsia"/>
        </w:rPr>
        <w:t>参加人权高专办反歧视股举办的讲习班和研讨会</w:t>
      </w:r>
    </w:p>
    <w:p w:rsidR="00DF700B" w:rsidRDefault="00DF700B" w:rsidP="00F009E1">
      <w:pPr>
        <w:pStyle w:val="SingleTxtGC"/>
      </w:pPr>
      <w:r>
        <w:rPr>
          <w:rFonts w:hint="eastAsia"/>
        </w:rPr>
        <w:t>参加联合国毒品和犯罪问题办事处组织进行的起草联合国少年司法法范本的工作</w:t>
      </w:r>
    </w:p>
    <w:p w:rsidR="00DF700B" w:rsidRDefault="00DF700B" w:rsidP="00F009E1">
      <w:pPr>
        <w:pStyle w:val="SingleTxtGC"/>
      </w:pPr>
      <w:r>
        <w:rPr>
          <w:rFonts w:hint="eastAsia"/>
        </w:rPr>
        <w:t>莫斯科民间社会磋商委员会委员</w:t>
      </w:r>
      <w:r>
        <w:rPr>
          <w:rFonts w:hint="eastAsia"/>
        </w:rPr>
        <w:t>(</w:t>
      </w:r>
      <w:r>
        <w:rPr>
          <w:rFonts w:hint="eastAsia"/>
        </w:rPr>
        <w:t>族裔和移徙政策委员会</w:t>
      </w:r>
      <w:r>
        <w:rPr>
          <w:rFonts w:hint="eastAsia"/>
        </w:rPr>
        <w:t>)</w:t>
      </w:r>
    </w:p>
    <w:p w:rsidR="00DF700B" w:rsidRDefault="00DF700B" w:rsidP="00F009E1">
      <w:pPr>
        <w:pStyle w:val="SingleTxtGC"/>
      </w:pPr>
      <w:r>
        <w:rPr>
          <w:rFonts w:hint="eastAsia"/>
        </w:rPr>
        <w:t>与俄罗斯人数很少的土著人民的非政府组织合作</w:t>
      </w:r>
    </w:p>
    <w:p w:rsidR="00DF700B" w:rsidRDefault="00DF700B" w:rsidP="00F009E1">
      <w:pPr>
        <w:pStyle w:val="SingleTxtGC"/>
      </w:pPr>
      <w:r>
        <w:rPr>
          <w:rFonts w:hint="eastAsia"/>
        </w:rPr>
        <w:t>参加知识产权组织举办的土著人民知识产权工作组和学术讨论会的活动</w:t>
      </w:r>
    </w:p>
    <w:p w:rsidR="00DF700B" w:rsidRDefault="00DF700B" w:rsidP="00F009E1">
      <w:pPr>
        <w:pStyle w:val="SingleTxtGC"/>
      </w:pPr>
      <w:r>
        <w:rPr>
          <w:rFonts w:hint="eastAsia"/>
        </w:rPr>
        <w:t>俄国国家杜马和联邦委员会若干委员会的编外专家</w:t>
      </w:r>
    </w:p>
    <w:p w:rsidR="00DF700B" w:rsidRDefault="00DF700B" w:rsidP="00F009E1">
      <w:pPr>
        <w:pStyle w:val="SingleTxtGC"/>
      </w:pPr>
      <w:r>
        <w:rPr>
          <w:rFonts w:hint="eastAsia"/>
        </w:rPr>
        <w:t>组织比较法和国际法学生暑期学院</w:t>
      </w:r>
    </w:p>
    <w:p w:rsidR="00DF700B" w:rsidRDefault="00DF700B" w:rsidP="00F009E1">
      <w:pPr>
        <w:pStyle w:val="SingleTxtGC"/>
      </w:pPr>
      <w:r>
        <w:rPr>
          <w:rFonts w:hint="eastAsia"/>
        </w:rPr>
        <w:t>独联体国家的技术援助计划若干项目</w:t>
      </w:r>
      <w:r>
        <w:rPr>
          <w:rFonts w:hint="eastAsia"/>
        </w:rPr>
        <w:t>(</w:t>
      </w:r>
      <w:r>
        <w:rPr>
          <w:rFonts w:hint="eastAsia"/>
        </w:rPr>
        <w:t>实际上关于俄罗斯监察员人权评估问题的</w:t>
      </w:r>
      <w:r>
        <w:rPr>
          <w:rFonts w:hint="eastAsia"/>
        </w:rPr>
        <w:t>)</w:t>
      </w:r>
      <w:r>
        <w:rPr>
          <w:rFonts w:hint="eastAsia"/>
        </w:rPr>
        <w:t>的专家</w:t>
      </w:r>
    </w:p>
    <w:p w:rsidR="00DF700B" w:rsidRDefault="00DF700B" w:rsidP="00F009E1">
      <w:pPr>
        <w:pStyle w:val="SingleTxtGC"/>
      </w:pPr>
      <w:r>
        <w:rPr>
          <w:rFonts w:hint="eastAsia"/>
        </w:rPr>
        <w:t>作为独立专家参加莫斯科政府起草非政府组织和人权机构法的工作</w:t>
      </w:r>
    </w:p>
    <w:p w:rsidR="00DF700B" w:rsidRDefault="00DF700B" w:rsidP="00F009E1">
      <w:pPr>
        <w:pStyle w:val="SingleTxtGC"/>
      </w:pPr>
      <w:r>
        <w:rPr>
          <w:rFonts w:hint="eastAsia"/>
        </w:rPr>
        <w:t>国际法协会会员</w:t>
      </w:r>
    </w:p>
    <w:p w:rsidR="00DF700B" w:rsidRPr="00F009E1" w:rsidRDefault="00DF700B" w:rsidP="00F009E1">
      <w:pPr>
        <w:pStyle w:val="SingleTxtGC"/>
        <w:rPr>
          <w:rFonts w:eastAsia="SimHei"/>
        </w:rPr>
      </w:pPr>
      <w:r w:rsidRPr="00F009E1">
        <w:rPr>
          <w:rFonts w:eastAsia="SimHei" w:hint="eastAsia"/>
        </w:rPr>
        <w:t>在该领域内的最近出版物</w:t>
      </w:r>
    </w:p>
    <w:p w:rsidR="00DF700B" w:rsidRDefault="00DF700B" w:rsidP="00F009E1">
      <w:pPr>
        <w:pStyle w:val="SingleTxtGC"/>
      </w:pPr>
      <w:r>
        <w:rPr>
          <w:rFonts w:hint="eastAsia"/>
        </w:rPr>
        <w:t>《外国宪法法》</w:t>
      </w:r>
      <w:r>
        <w:rPr>
          <w:rFonts w:hint="eastAsia"/>
        </w:rPr>
        <w:t>(</w:t>
      </w:r>
      <w:r>
        <w:rPr>
          <w:rFonts w:hint="eastAsia"/>
        </w:rPr>
        <w:t>俄文课本</w:t>
      </w:r>
      <w:r>
        <w:rPr>
          <w:rFonts w:hint="eastAsia"/>
        </w:rPr>
        <w:t>)</w:t>
      </w:r>
      <w:r>
        <w:rPr>
          <w:rFonts w:hint="eastAsia"/>
        </w:rPr>
        <w:t>，</w:t>
      </w:r>
      <w:r>
        <w:rPr>
          <w:rFonts w:hint="eastAsia"/>
        </w:rPr>
        <w:t>2011</w:t>
      </w:r>
      <w:r>
        <w:rPr>
          <w:rFonts w:hint="eastAsia"/>
        </w:rPr>
        <w:t>年，莫斯科</w:t>
      </w:r>
      <w:r>
        <w:rPr>
          <w:rFonts w:hint="eastAsia"/>
        </w:rPr>
        <w:t>(416</w:t>
      </w:r>
      <w:r>
        <w:rPr>
          <w:rFonts w:hint="eastAsia"/>
        </w:rPr>
        <w:t>页</w:t>
      </w:r>
      <w:r>
        <w:rPr>
          <w:rFonts w:hint="eastAsia"/>
        </w:rPr>
        <w:t>)</w:t>
      </w:r>
    </w:p>
    <w:p w:rsidR="00DF700B" w:rsidRDefault="00DF700B" w:rsidP="00F009E1">
      <w:pPr>
        <w:pStyle w:val="SingleTxtGC"/>
      </w:pPr>
      <w:r>
        <w:rPr>
          <w:rFonts w:hint="eastAsia"/>
        </w:rPr>
        <w:t>《</w:t>
      </w:r>
      <w:r>
        <w:rPr>
          <w:rFonts w:hint="eastAsia"/>
        </w:rPr>
        <w:t>European Crossroads and Contradictions in Global Policy Forum</w:t>
      </w:r>
      <w:r>
        <w:rPr>
          <w:rFonts w:hint="eastAsia"/>
        </w:rPr>
        <w:t>》，</w:t>
      </w:r>
      <w:r>
        <w:rPr>
          <w:rFonts w:hint="eastAsia"/>
        </w:rPr>
        <w:t>2011</w:t>
      </w:r>
      <w:r>
        <w:rPr>
          <w:rFonts w:hint="eastAsia"/>
        </w:rPr>
        <w:t>年</w:t>
      </w:r>
      <w:r>
        <w:rPr>
          <w:rFonts w:hint="eastAsia"/>
        </w:rPr>
        <w:t>5</w:t>
      </w:r>
      <w:r>
        <w:rPr>
          <w:rFonts w:hint="eastAsia"/>
        </w:rPr>
        <w:t>月</w:t>
      </w:r>
      <w:r>
        <w:rPr>
          <w:rFonts w:hint="eastAsia"/>
        </w:rPr>
        <w:t>16</w:t>
      </w:r>
      <w:r>
        <w:rPr>
          <w:rFonts w:hint="eastAsia"/>
        </w:rPr>
        <w:t>日</w:t>
      </w:r>
      <w:r>
        <w:rPr>
          <w:rFonts w:hint="eastAsia"/>
        </w:rPr>
        <w:t>(</w:t>
      </w:r>
      <w:r>
        <w:rPr>
          <w:rFonts w:hint="eastAsia"/>
        </w:rPr>
        <w:t>第</w:t>
      </w:r>
      <w:r>
        <w:rPr>
          <w:rFonts w:hint="eastAsia"/>
        </w:rPr>
        <w:t>14</w:t>
      </w:r>
      <w:r>
        <w:rPr>
          <w:rFonts w:hint="eastAsia"/>
        </w:rPr>
        <w:t>至</w:t>
      </w:r>
      <w:r>
        <w:rPr>
          <w:rFonts w:hint="eastAsia"/>
        </w:rPr>
        <w:t>15</w:t>
      </w:r>
      <w:r>
        <w:rPr>
          <w:rFonts w:hint="eastAsia"/>
        </w:rPr>
        <w:t>页</w:t>
      </w:r>
      <w:r>
        <w:rPr>
          <w:rFonts w:hint="eastAsia"/>
        </w:rPr>
        <w:t>)</w:t>
      </w:r>
    </w:p>
    <w:p w:rsidR="00DF700B" w:rsidRDefault="00DF700B" w:rsidP="00F009E1">
      <w:pPr>
        <w:pStyle w:val="SingleTxtGC"/>
      </w:pPr>
      <w:r>
        <w:rPr>
          <w:rFonts w:hint="eastAsia"/>
        </w:rPr>
        <w:t>《人权、人权保护和人权法的执行》</w:t>
      </w:r>
      <w:r>
        <w:rPr>
          <w:rFonts w:hint="eastAsia"/>
        </w:rPr>
        <w:t>(</w:t>
      </w:r>
      <w:r>
        <w:rPr>
          <w:rFonts w:hint="eastAsia"/>
        </w:rPr>
        <w:t>俄文专刊</w:t>
      </w:r>
      <w:r>
        <w:rPr>
          <w:rFonts w:hint="eastAsia"/>
        </w:rPr>
        <w:t>)</w:t>
      </w:r>
      <w:r>
        <w:rPr>
          <w:rFonts w:hint="eastAsia"/>
        </w:rPr>
        <w:t>，</w:t>
      </w:r>
      <w:r>
        <w:rPr>
          <w:rFonts w:hint="eastAsia"/>
        </w:rPr>
        <w:t>2009</w:t>
      </w:r>
      <w:r>
        <w:rPr>
          <w:rFonts w:hint="eastAsia"/>
        </w:rPr>
        <w:t>年，莫斯科</w:t>
      </w:r>
      <w:r>
        <w:rPr>
          <w:rFonts w:hint="eastAsia"/>
        </w:rPr>
        <w:t>(448</w:t>
      </w:r>
      <w:r>
        <w:rPr>
          <w:rFonts w:hint="eastAsia"/>
        </w:rPr>
        <w:t>页</w:t>
      </w:r>
      <w:r>
        <w:rPr>
          <w:rFonts w:hint="eastAsia"/>
        </w:rPr>
        <w:t>)</w:t>
      </w:r>
    </w:p>
    <w:p w:rsidR="00DF700B" w:rsidRDefault="00DF700B" w:rsidP="00F009E1">
      <w:pPr>
        <w:pStyle w:val="SingleTxtGC"/>
      </w:pPr>
      <w:r>
        <w:rPr>
          <w:rFonts w:hint="eastAsia"/>
        </w:rPr>
        <w:t>《少年司法》</w:t>
      </w:r>
      <w:r>
        <w:rPr>
          <w:rFonts w:hint="eastAsia"/>
        </w:rPr>
        <w:t>(</w:t>
      </w:r>
      <w:r>
        <w:rPr>
          <w:rFonts w:hint="eastAsia"/>
        </w:rPr>
        <w:t>俄文课本</w:t>
      </w:r>
      <w:r>
        <w:rPr>
          <w:rFonts w:hint="eastAsia"/>
        </w:rPr>
        <w:t>)</w:t>
      </w:r>
      <w:r>
        <w:rPr>
          <w:rFonts w:hint="eastAsia"/>
        </w:rPr>
        <w:t>，</w:t>
      </w:r>
      <w:r>
        <w:rPr>
          <w:rFonts w:hint="eastAsia"/>
        </w:rPr>
        <w:t>2009</w:t>
      </w:r>
      <w:r>
        <w:rPr>
          <w:rFonts w:hint="eastAsia"/>
        </w:rPr>
        <w:t>年，莫斯科</w:t>
      </w:r>
      <w:r>
        <w:rPr>
          <w:rFonts w:hint="eastAsia"/>
        </w:rPr>
        <w:t>(186</w:t>
      </w:r>
      <w:r>
        <w:rPr>
          <w:rFonts w:hint="eastAsia"/>
        </w:rPr>
        <w:t>页</w:t>
      </w:r>
      <w:r>
        <w:rPr>
          <w:rFonts w:hint="eastAsia"/>
        </w:rPr>
        <w:t>)</w:t>
      </w:r>
    </w:p>
    <w:p w:rsidR="00DF700B" w:rsidRDefault="00DF700B" w:rsidP="00F009E1">
      <w:pPr>
        <w:pStyle w:val="SingleTxtGC"/>
      </w:pPr>
      <w:r>
        <w:rPr>
          <w:rFonts w:hint="eastAsia"/>
        </w:rPr>
        <w:t>《</w:t>
      </w:r>
      <w:r>
        <w:rPr>
          <w:rFonts w:hint="eastAsia"/>
        </w:rPr>
        <w:t>Federation and Ethnic Relations in Russia in Ethnic Issue and State Building</w:t>
      </w:r>
      <w:r>
        <w:rPr>
          <w:rFonts w:hint="eastAsia"/>
        </w:rPr>
        <w:t>》</w:t>
      </w:r>
      <w:r>
        <w:rPr>
          <w:rFonts w:hint="eastAsia"/>
        </w:rPr>
        <w:t>(</w:t>
      </w:r>
      <w:r>
        <w:rPr>
          <w:rFonts w:hint="eastAsia"/>
        </w:rPr>
        <w:t>俄文撰写</w:t>
      </w:r>
      <w:r>
        <w:rPr>
          <w:rFonts w:hint="eastAsia"/>
        </w:rPr>
        <w:t>)</w:t>
      </w:r>
      <w:r>
        <w:rPr>
          <w:rFonts w:hint="eastAsia"/>
        </w:rPr>
        <w:t>，</w:t>
      </w:r>
      <w:r>
        <w:rPr>
          <w:rFonts w:hint="eastAsia"/>
        </w:rPr>
        <w:t>2001</w:t>
      </w:r>
      <w:r>
        <w:rPr>
          <w:rFonts w:hint="eastAsia"/>
        </w:rPr>
        <w:t>年，莫斯科</w:t>
      </w:r>
      <w:r>
        <w:rPr>
          <w:rFonts w:hint="eastAsia"/>
        </w:rPr>
        <w:t>(29-35</w:t>
      </w:r>
      <w:r>
        <w:rPr>
          <w:rFonts w:hint="eastAsia"/>
        </w:rPr>
        <w:t>页</w:t>
      </w:r>
      <w:r>
        <w:rPr>
          <w:rFonts w:hint="eastAsia"/>
        </w:rPr>
        <w:t xml:space="preserve">) </w:t>
      </w:r>
    </w:p>
    <w:p w:rsidR="00DF700B" w:rsidRDefault="00DF700B" w:rsidP="00DF5C28">
      <w:pPr>
        <w:sectPr w:rsidR="00DF700B" w:rsidSect="00DF5C28">
          <w:endnotePr>
            <w:numFmt w:val="decimal"/>
          </w:endnotePr>
          <w:type w:val="continuous"/>
          <w:pgSz w:w="11906" w:h="16838" w:code="9"/>
          <w:pgMar w:top="1701" w:right="1134" w:bottom="2268" w:left="1134" w:header="1134" w:footer="1701" w:gutter="0"/>
          <w:cols w:space="425"/>
          <w:titlePg/>
          <w:docGrid w:type="lines" w:linePitch="326"/>
        </w:sectPr>
      </w:pPr>
    </w:p>
    <w:p w:rsidR="001F5BBE" w:rsidRDefault="001F5BBE"/>
    <w:sectPr w:rsidR="001F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0B"/>
    <w:rsid w:val="001F5BBE"/>
    <w:rsid w:val="00DF700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DF700B"/>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DF700B"/>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DF700B"/>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DF700B"/>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DF700B"/>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DF700B"/>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25AF0-2181-41B8-AC0C-CEDEA1EA676D}"/>
</file>

<file path=customXml/itemProps2.xml><?xml version="1.0" encoding="utf-8"?>
<ds:datastoreItem xmlns:ds="http://schemas.openxmlformats.org/officeDocument/2006/customXml" ds:itemID="{F018ACD0-81A5-44EB-B268-DD3B7A14DC10}"/>
</file>

<file path=customXml/itemProps3.xml><?xml version="1.0" encoding="utf-8"?>
<ds:datastoreItem xmlns:ds="http://schemas.openxmlformats.org/officeDocument/2006/customXml" ds:itemID="{C598FF7C-7C1E-4A1A-948E-137D425C335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913</Characters>
  <Application>Microsoft Office Word</Application>
  <DocSecurity>0</DocSecurity>
  <Lines>7</Lines>
  <Paragraphs>2</Paragraphs>
  <ScaleCrop>false</ScaleCrop>
  <Company>OHCHR</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阿列克谢•S•阿夫托诺莫夫先生（Alexei S. AVTONOMOV）</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