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C3" w:rsidRPr="00277729" w:rsidRDefault="00D66AC3" w:rsidP="00F92D6C">
      <w:pPr>
        <w:pStyle w:val="H1GC"/>
        <w:rPr>
          <w:lang w:val="es-ES"/>
        </w:rPr>
      </w:pPr>
      <w:r w:rsidRPr="00277729">
        <w:rPr>
          <w:lang w:val="es-ES"/>
        </w:rPr>
        <w:tab/>
      </w:r>
      <w:r w:rsidRPr="00277729">
        <w:rPr>
          <w:lang w:val="es-ES"/>
        </w:rPr>
        <w:tab/>
      </w:r>
      <w:r>
        <w:rPr>
          <w:rFonts w:hint="eastAsia"/>
        </w:rPr>
        <w:t>阿菲瓦</w:t>
      </w:r>
      <w:r>
        <w:rPr>
          <w:rFonts w:hint="eastAsia"/>
          <w:lang w:val="es-ES"/>
        </w:rPr>
        <w:t>－</w:t>
      </w:r>
      <w:r>
        <w:rPr>
          <w:rFonts w:hint="eastAsia"/>
        </w:rPr>
        <w:t>金德纳</w:t>
      </w:r>
      <w:r w:rsidRPr="00022069">
        <w:rPr>
          <w:rFonts w:hint="eastAsia"/>
          <w:lang w:val="es-ES"/>
        </w:rPr>
        <w:t>·</w:t>
      </w:r>
      <w:r>
        <w:rPr>
          <w:rFonts w:hint="eastAsia"/>
        </w:rPr>
        <w:t>侯胡埃多女士</w:t>
      </w:r>
      <w:r w:rsidRPr="00277729">
        <w:rPr>
          <w:lang w:val="es-ES"/>
        </w:rPr>
        <w:t>(</w:t>
      </w:r>
      <w:r>
        <w:t>多哥</w:t>
      </w:r>
      <w:r w:rsidRPr="00277729">
        <w:rPr>
          <w:lang w:val="es-ES"/>
        </w:rPr>
        <w:t>)</w:t>
      </w:r>
    </w:p>
    <w:p w:rsidR="00D66AC3" w:rsidRPr="00AC4ED8" w:rsidRDefault="00D66AC3" w:rsidP="00F92D6C">
      <w:pPr>
        <w:pStyle w:val="SingleTxtGC"/>
      </w:pPr>
      <w:r w:rsidRPr="00AC30BC">
        <w:rPr>
          <w:rFonts w:eastAsia="SimHei" w:hint="eastAsia"/>
        </w:rPr>
        <w:t>出生日期和地点</w:t>
      </w:r>
      <w:r>
        <w:rPr>
          <w:rFonts w:hint="eastAsia"/>
        </w:rPr>
        <w:t>：</w:t>
      </w:r>
      <w:r>
        <w:t>1956</w:t>
      </w:r>
      <w:r>
        <w:t>年</w:t>
      </w:r>
      <w:r>
        <w:t>11</w:t>
      </w:r>
      <w:r>
        <w:t>月</w:t>
      </w:r>
      <w:r>
        <w:t>23</w:t>
      </w:r>
      <w:r>
        <w:t>日</w:t>
      </w:r>
      <w:r>
        <w:rPr>
          <w:rFonts w:hint="eastAsia"/>
        </w:rPr>
        <w:t>，科特迪瓦阿比让</w:t>
      </w:r>
    </w:p>
    <w:p w:rsidR="00D66AC3" w:rsidRPr="00AC4ED8" w:rsidRDefault="00D66AC3" w:rsidP="00F92D6C">
      <w:pPr>
        <w:pStyle w:val="SingleTxtGC"/>
      </w:pPr>
      <w:r w:rsidRPr="00AC30BC">
        <w:rPr>
          <w:rFonts w:eastAsia="SimHei" w:hint="eastAsia"/>
        </w:rPr>
        <w:t>工作语言</w:t>
      </w:r>
      <w:r>
        <w:rPr>
          <w:rFonts w:hint="eastAsia"/>
        </w:rPr>
        <w:t>：流利使用法文读、写、说；可用英文读、写，口语较为流利</w:t>
      </w:r>
    </w:p>
    <w:p w:rsidR="00D66AC3" w:rsidRDefault="00D66AC3" w:rsidP="00F92D6C">
      <w:pPr>
        <w:pStyle w:val="SingleTxtGC"/>
        <w:rPr>
          <w:rFonts w:eastAsia="SimHei"/>
        </w:rPr>
      </w:pPr>
      <w:r w:rsidRPr="00603EDC">
        <w:rPr>
          <w:rFonts w:eastAsia="SimHei" w:hint="eastAsia"/>
        </w:rPr>
        <w:t>现任职位</w:t>
      </w:r>
      <w:r>
        <w:rPr>
          <w:rFonts w:eastAsia="SimHei" w:hint="eastAsia"/>
        </w:rPr>
        <w:t>/</w:t>
      </w:r>
      <w:r w:rsidRPr="00603EDC">
        <w:rPr>
          <w:rFonts w:eastAsia="SimHei" w:hint="eastAsia"/>
        </w:rPr>
        <w:t>职务</w:t>
      </w:r>
      <w:r>
        <w:rPr>
          <w:rFonts w:eastAsia="SimHei" w:hint="eastAsia"/>
        </w:rPr>
        <w:t>：</w:t>
      </w:r>
    </w:p>
    <w:p w:rsidR="00D66AC3" w:rsidRPr="00AC4ED8" w:rsidRDefault="00D66AC3" w:rsidP="00F92D6C">
      <w:pPr>
        <w:pStyle w:val="SingleTxtGC"/>
      </w:pPr>
      <w:r>
        <w:rPr>
          <w:rFonts w:hint="eastAsia"/>
        </w:rPr>
        <w:t>高级法官</w:t>
      </w:r>
    </w:p>
    <w:p w:rsidR="00D66AC3" w:rsidRPr="00BD442D" w:rsidRDefault="00D66AC3" w:rsidP="00F92D6C">
      <w:pPr>
        <w:pStyle w:val="SingleTxtGC"/>
        <w:rPr>
          <w:rFonts w:eastAsia="SimHei"/>
        </w:rPr>
      </w:pPr>
      <w:r w:rsidRPr="00BD442D">
        <w:rPr>
          <w:rFonts w:eastAsia="SimHei" w:hint="eastAsia"/>
        </w:rPr>
        <w:t>大学学历：</w:t>
      </w:r>
    </w:p>
    <w:p w:rsidR="00D66AC3" w:rsidRPr="00AC4ED8" w:rsidRDefault="00D66AC3" w:rsidP="00F92D6C">
      <w:pPr>
        <w:pStyle w:val="SingleTxtGC"/>
      </w:pPr>
      <w:r>
        <w:t>2</w:t>
      </w:r>
      <w:r w:rsidRPr="00AC4ED8">
        <w:t>00</w:t>
      </w:r>
      <w:r>
        <w:t>4</w:t>
      </w:r>
      <w:r>
        <w:rPr>
          <w:rFonts w:hint="eastAsia"/>
        </w:rPr>
        <w:t>年－</w:t>
      </w:r>
      <w:r>
        <w:t>法国</w:t>
      </w:r>
      <w:r>
        <w:rPr>
          <w:rFonts w:hint="eastAsia"/>
        </w:rPr>
        <w:t>南特大学基本权利研究生学位</w:t>
      </w:r>
    </w:p>
    <w:p w:rsidR="00D66AC3" w:rsidRPr="00AC4ED8" w:rsidRDefault="00D66AC3" w:rsidP="00F92D6C">
      <w:pPr>
        <w:pStyle w:val="SingleTxtGC"/>
      </w:pPr>
      <w:r>
        <w:t>2</w:t>
      </w:r>
      <w:r w:rsidRPr="00AC4ED8">
        <w:t>00</w:t>
      </w:r>
      <w:r>
        <w:t>3</w:t>
      </w:r>
      <w:r>
        <w:rPr>
          <w:rFonts w:hint="eastAsia"/>
        </w:rPr>
        <w:t>年－</w:t>
      </w:r>
      <w:proofErr w:type="gramStart"/>
      <w:r>
        <w:rPr>
          <w:rFonts w:hint="eastAsia"/>
        </w:rPr>
        <w:t>非洲商法协调组织</w:t>
      </w:r>
      <w:r>
        <w:rPr>
          <w:rFonts w:hint="eastAsia"/>
        </w:rPr>
        <w:t>(</w:t>
      </w:r>
      <w:proofErr w:type="gramEnd"/>
      <w:r>
        <w:rPr>
          <w:rFonts w:hint="eastAsia"/>
        </w:rPr>
        <w:t>OHADA)</w:t>
      </w:r>
      <w:r>
        <w:rPr>
          <w:rFonts w:hint="eastAsia"/>
        </w:rPr>
        <w:t>区域法律教育证书</w:t>
      </w:r>
    </w:p>
    <w:p w:rsidR="00D66AC3" w:rsidRPr="00AC4ED8" w:rsidRDefault="00D66AC3" w:rsidP="00F92D6C">
      <w:pPr>
        <w:pStyle w:val="SingleTxtGC"/>
      </w:pPr>
      <w:r>
        <w:t>2</w:t>
      </w:r>
      <w:r w:rsidRPr="00AC4ED8">
        <w:t>000</w:t>
      </w:r>
      <w:r>
        <w:rPr>
          <w:rFonts w:hint="eastAsia"/>
        </w:rPr>
        <w:t>年－</w:t>
      </w:r>
      <w:proofErr w:type="gramStart"/>
      <w:r>
        <w:rPr>
          <w:rFonts w:hint="eastAsia"/>
        </w:rPr>
        <w:t>国际行动研究培训中心</w:t>
      </w:r>
      <w:r>
        <w:rPr>
          <w:rFonts w:hint="eastAsia"/>
        </w:rPr>
        <w:t>(</w:t>
      </w:r>
      <w:proofErr w:type="gramEnd"/>
      <w:r>
        <w:rPr>
          <w:rFonts w:hint="eastAsia"/>
        </w:rPr>
        <w:t>CIFRA)</w:t>
      </w:r>
      <w:r>
        <w:rPr>
          <w:rFonts w:hint="eastAsia"/>
        </w:rPr>
        <w:t>－德国技术合作机构</w:t>
      </w:r>
      <w:r>
        <w:rPr>
          <w:rFonts w:hint="eastAsia"/>
        </w:rPr>
        <w:t>(GTZ)</w:t>
      </w:r>
      <w:r>
        <w:rPr>
          <w:rFonts w:hint="eastAsia"/>
        </w:rPr>
        <w:t>提供的行动研究专门培训课程，布基纳法索</w:t>
      </w:r>
      <w:r>
        <w:t>瓦加杜古</w:t>
      </w:r>
    </w:p>
    <w:p w:rsidR="00D66AC3" w:rsidRPr="00AC4ED8" w:rsidRDefault="00D66AC3" w:rsidP="00F92D6C">
      <w:pPr>
        <w:pStyle w:val="SingleTxtGC"/>
      </w:pPr>
      <w:r>
        <w:t>1984</w:t>
      </w:r>
      <w:r>
        <w:rPr>
          <w:rFonts w:hint="eastAsia"/>
        </w:rPr>
        <w:t>年－</w:t>
      </w:r>
      <w:r>
        <w:t>法国</w:t>
      </w:r>
      <w:r>
        <w:rPr>
          <w:rFonts w:hint="eastAsia"/>
        </w:rPr>
        <w:t>国家司法官学院司法学毕业证书，法国巴黎</w:t>
      </w:r>
    </w:p>
    <w:p w:rsidR="00D66AC3" w:rsidRPr="00AC4ED8" w:rsidRDefault="00D66AC3" w:rsidP="00F92D6C">
      <w:pPr>
        <w:pStyle w:val="SingleTxtGC"/>
      </w:pPr>
      <w:r>
        <w:t>1983</w:t>
      </w:r>
      <w:r>
        <w:rPr>
          <w:rFonts w:hint="eastAsia"/>
        </w:rPr>
        <w:t>年－国家行政学院－第三级毕业证书，</w:t>
      </w:r>
      <w:r>
        <w:t>多哥</w:t>
      </w:r>
      <w:r>
        <w:rPr>
          <w:rFonts w:hint="eastAsia"/>
        </w:rPr>
        <w:t>洛美</w:t>
      </w:r>
    </w:p>
    <w:p w:rsidR="00D66AC3" w:rsidRPr="00AC4ED8" w:rsidRDefault="00D66AC3" w:rsidP="00F92D6C">
      <w:pPr>
        <w:pStyle w:val="SingleTxtGC"/>
      </w:pPr>
      <w:r>
        <w:t>198</w:t>
      </w:r>
      <w:r w:rsidRPr="00AC4ED8">
        <w:t>0</w:t>
      </w:r>
      <w:r>
        <w:rPr>
          <w:rFonts w:hint="eastAsia"/>
        </w:rPr>
        <w:t>－法学硕士学位</w:t>
      </w:r>
    </w:p>
    <w:p w:rsidR="00D66AC3" w:rsidRPr="00BD442D" w:rsidRDefault="00D66AC3" w:rsidP="00F92D6C">
      <w:pPr>
        <w:pStyle w:val="SingleTxtGC"/>
        <w:rPr>
          <w:rFonts w:eastAsia="SimHei"/>
        </w:rPr>
      </w:pPr>
      <w:r w:rsidRPr="00BD442D">
        <w:rPr>
          <w:rFonts w:eastAsia="SimHei" w:hint="eastAsia"/>
        </w:rPr>
        <w:t>职业经历：</w:t>
      </w:r>
    </w:p>
    <w:p w:rsidR="00D66AC3" w:rsidRPr="00AC4ED8" w:rsidRDefault="00D66AC3" w:rsidP="00D66AC3">
      <w:pPr>
        <w:pStyle w:val="Bullet1GC"/>
        <w:numPr>
          <w:ilvl w:val="0"/>
          <w:numId w:val="2"/>
        </w:numPr>
      </w:pPr>
      <w:r>
        <w:rPr>
          <w:rFonts w:hint="eastAsia"/>
        </w:rPr>
        <w:t>非洲商法协调组织国家委员会协调员</w:t>
      </w:r>
      <w:r>
        <w:rPr>
          <w:rFonts w:hint="eastAsia"/>
        </w:rPr>
        <w:t>(</w:t>
      </w:r>
      <w:r>
        <w:rPr>
          <w:rFonts w:hint="eastAsia"/>
        </w:rPr>
        <w:t>自</w:t>
      </w:r>
      <w:r>
        <w:rPr>
          <w:rFonts w:hint="eastAsia"/>
        </w:rPr>
        <w:t>2012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月起</w:t>
      </w:r>
      <w:r>
        <w:rPr>
          <w:rFonts w:hint="eastAsia"/>
        </w:rPr>
        <w:t>)</w:t>
      </w:r>
      <w:r>
        <w:rPr>
          <w:rFonts w:hint="eastAsia"/>
        </w:rPr>
        <w:t>；</w:t>
      </w:r>
    </w:p>
    <w:p w:rsidR="00D66AC3" w:rsidRPr="00AC4ED8" w:rsidRDefault="00D66AC3" w:rsidP="00D66AC3">
      <w:pPr>
        <w:pStyle w:val="Bullet1GC"/>
        <w:numPr>
          <w:ilvl w:val="0"/>
          <w:numId w:val="2"/>
        </w:numPr>
      </w:pPr>
      <w:r>
        <w:rPr>
          <w:rFonts w:hint="eastAsia"/>
        </w:rPr>
        <w:t>多哥司法职业培训中心董事会主席</w:t>
      </w:r>
      <w:r>
        <w:rPr>
          <w:rFonts w:hint="eastAsia"/>
        </w:rPr>
        <w:t>(</w:t>
      </w:r>
      <w:r>
        <w:rPr>
          <w:rFonts w:hint="eastAsia"/>
        </w:rPr>
        <w:t>自</w:t>
      </w:r>
      <w:r>
        <w:rPr>
          <w:rFonts w:hint="eastAsia"/>
        </w:rPr>
        <w:t>2010</w:t>
      </w:r>
      <w:r>
        <w:rPr>
          <w:rFonts w:hint="eastAsia"/>
        </w:rPr>
        <w:t>年起</w:t>
      </w:r>
      <w:r>
        <w:rPr>
          <w:rFonts w:hint="eastAsia"/>
        </w:rPr>
        <w:t>)</w:t>
      </w:r>
    </w:p>
    <w:p w:rsidR="00D66AC3" w:rsidRPr="00AC4ED8" w:rsidRDefault="00D66AC3" w:rsidP="00D66AC3">
      <w:pPr>
        <w:pStyle w:val="Bullet1GC"/>
        <w:numPr>
          <w:ilvl w:val="0"/>
          <w:numId w:val="2"/>
        </w:numPr>
      </w:pPr>
      <w:r>
        <w:rPr>
          <w:rFonts w:hint="eastAsia"/>
        </w:rPr>
        <w:t>多哥“司法系统现代化国家方案”协调员</w:t>
      </w:r>
      <w:r>
        <w:rPr>
          <w:rFonts w:hint="eastAsia"/>
        </w:rPr>
        <w:t>(2006-2012</w:t>
      </w:r>
      <w:r>
        <w:rPr>
          <w:rFonts w:hint="eastAsia"/>
        </w:rPr>
        <w:t>年</w:t>
      </w:r>
      <w:r>
        <w:rPr>
          <w:rFonts w:hint="eastAsia"/>
        </w:rPr>
        <w:t>)</w:t>
      </w:r>
    </w:p>
    <w:p w:rsidR="00D66AC3" w:rsidRPr="00AC4ED8" w:rsidRDefault="00D66AC3" w:rsidP="00D66AC3">
      <w:pPr>
        <w:pStyle w:val="Bullet1GC"/>
        <w:numPr>
          <w:ilvl w:val="0"/>
          <w:numId w:val="2"/>
        </w:numPr>
      </w:pPr>
      <w:r>
        <w:rPr>
          <w:rFonts w:hint="eastAsia"/>
        </w:rPr>
        <w:t>研究和司法现代化部门负责人</w:t>
      </w:r>
      <w:r>
        <w:t>(2</w:t>
      </w:r>
      <w:r w:rsidRPr="00AC4ED8">
        <w:t>00</w:t>
      </w:r>
      <w:r>
        <w:t>8</w:t>
      </w:r>
      <w:r>
        <w:rPr>
          <w:rFonts w:hint="eastAsia"/>
        </w:rPr>
        <w:t>-</w:t>
      </w:r>
      <w:r>
        <w:t>2</w:t>
      </w:r>
      <w:r w:rsidRPr="00AC4ED8">
        <w:t>0</w:t>
      </w:r>
      <w:r>
        <w:t>12</w:t>
      </w:r>
      <w:r>
        <w:rPr>
          <w:rFonts w:hint="eastAsia"/>
        </w:rPr>
        <w:t>年</w:t>
      </w:r>
      <w:r>
        <w:t>)</w:t>
      </w:r>
      <w:r>
        <w:t>；</w:t>
      </w:r>
    </w:p>
    <w:p w:rsidR="00D66AC3" w:rsidRPr="00AC4ED8" w:rsidRDefault="00D66AC3" w:rsidP="00D66AC3">
      <w:pPr>
        <w:pStyle w:val="Bullet1GC"/>
        <w:numPr>
          <w:ilvl w:val="0"/>
          <w:numId w:val="2"/>
        </w:numPr>
      </w:pPr>
      <w:r>
        <w:rPr>
          <w:rFonts w:hint="eastAsia"/>
        </w:rPr>
        <w:t>多哥司法部司法事务司监察主任</w:t>
      </w:r>
      <w:r>
        <w:t>(2</w:t>
      </w:r>
      <w:r w:rsidRPr="00AC4ED8">
        <w:t>00</w:t>
      </w:r>
      <w:r>
        <w:t>3</w:t>
      </w:r>
      <w:r>
        <w:rPr>
          <w:rFonts w:hint="eastAsia"/>
        </w:rPr>
        <w:t>-</w:t>
      </w:r>
      <w:r>
        <w:t>2</w:t>
      </w:r>
      <w:r w:rsidRPr="00AC4ED8">
        <w:t>00</w:t>
      </w:r>
      <w:r>
        <w:t>7</w:t>
      </w:r>
      <w:r>
        <w:rPr>
          <w:rFonts w:hint="eastAsia"/>
        </w:rPr>
        <w:t>年</w:t>
      </w:r>
      <w:r>
        <w:t>)</w:t>
      </w:r>
      <w:r>
        <w:t>；</w:t>
      </w:r>
    </w:p>
    <w:p w:rsidR="00D66AC3" w:rsidRPr="00AC4ED8" w:rsidRDefault="00D66AC3" w:rsidP="00D66AC3">
      <w:pPr>
        <w:pStyle w:val="Bullet1GC"/>
        <w:numPr>
          <w:ilvl w:val="0"/>
          <w:numId w:val="2"/>
        </w:numPr>
      </w:pPr>
      <w:r>
        <w:rPr>
          <w:rFonts w:hint="eastAsia"/>
        </w:rPr>
        <w:t>多哥司法部司法事务司助理监察主任</w:t>
      </w:r>
      <w:r>
        <w:t>(2</w:t>
      </w:r>
      <w:r w:rsidRPr="00AC4ED8">
        <w:t>00</w:t>
      </w:r>
      <w:r>
        <w:t>1</w:t>
      </w:r>
      <w:r>
        <w:rPr>
          <w:rFonts w:hint="eastAsia"/>
        </w:rPr>
        <w:t>-</w:t>
      </w:r>
      <w:r>
        <w:t>2</w:t>
      </w:r>
      <w:r w:rsidRPr="00AC4ED8">
        <w:t>00</w:t>
      </w:r>
      <w:r>
        <w:t>3</w:t>
      </w:r>
      <w:r>
        <w:rPr>
          <w:rFonts w:hint="eastAsia"/>
        </w:rPr>
        <w:t>年</w:t>
      </w:r>
      <w:r>
        <w:t>)</w:t>
      </w:r>
      <w:r>
        <w:t>；</w:t>
      </w:r>
    </w:p>
    <w:p w:rsidR="00D66AC3" w:rsidRPr="00AC4ED8" w:rsidRDefault="00D66AC3" w:rsidP="00D66AC3">
      <w:pPr>
        <w:pStyle w:val="Bullet1GC"/>
        <w:numPr>
          <w:ilvl w:val="0"/>
          <w:numId w:val="2"/>
        </w:numPr>
      </w:pPr>
      <w:r>
        <w:rPr>
          <w:rFonts w:hint="eastAsia"/>
        </w:rPr>
        <w:t>多哥最高法院法官</w:t>
      </w:r>
      <w:r>
        <w:t>(1997</w:t>
      </w:r>
      <w:r>
        <w:rPr>
          <w:rFonts w:hint="eastAsia"/>
        </w:rPr>
        <w:t>-</w:t>
      </w:r>
      <w:r>
        <w:t>2</w:t>
      </w:r>
      <w:r w:rsidRPr="00AC4ED8">
        <w:t>00</w:t>
      </w:r>
      <w:r>
        <w:t>1</w:t>
      </w:r>
      <w:r>
        <w:rPr>
          <w:rFonts w:hint="eastAsia"/>
        </w:rPr>
        <w:t>年</w:t>
      </w:r>
      <w:r>
        <w:t>)</w:t>
      </w:r>
      <w:r>
        <w:t>；</w:t>
      </w:r>
    </w:p>
    <w:p w:rsidR="00D66AC3" w:rsidRPr="00AC4ED8" w:rsidRDefault="00D66AC3" w:rsidP="00D66AC3">
      <w:pPr>
        <w:pStyle w:val="Bullet1GC"/>
        <w:numPr>
          <w:ilvl w:val="0"/>
          <w:numId w:val="2"/>
        </w:numPr>
      </w:pPr>
      <w:r>
        <w:rPr>
          <w:rFonts w:hint="eastAsia"/>
        </w:rPr>
        <w:t>洛美上诉法院助理检察官</w:t>
      </w:r>
      <w:r>
        <w:t>(1996</w:t>
      </w:r>
      <w:r w:rsidRPr="00AC4ED8">
        <w:t>–</w:t>
      </w:r>
      <w:r>
        <w:t>1997</w:t>
      </w:r>
      <w:r>
        <w:rPr>
          <w:rFonts w:hint="eastAsia"/>
        </w:rPr>
        <w:t>年</w:t>
      </w:r>
      <w:r>
        <w:t>)</w:t>
      </w:r>
      <w:r>
        <w:t>；</w:t>
      </w:r>
    </w:p>
    <w:p w:rsidR="00D66AC3" w:rsidRPr="00AC4ED8" w:rsidRDefault="00D66AC3" w:rsidP="00D66AC3">
      <w:pPr>
        <w:pStyle w:val="Bullet1GC"/>
        <w:numPr>
          <w:ilvl w:val="0"/>
          <w:numId w:val="2"/>
        </w:numPr>
      </w:pPr>
      <w:r>
        <w:rPr>
          <w:rFonts w:hint="eastAsia"/>
        </w:rPr>
        <w:t>洛美上诉法院法官</w:t>
      </w:r>
      <w:r>
        <w:t>(1993</w:t>
      </w:r>
      <w:r>
        <w:rPr>
          <w:rFonts w:hint="eastAsia"/>
        </w:rPr>
        <w:t>-</w:t>
      </w:r>
      <w:r>
        <w:t>1996</w:t>
      </w:r>
      <w:r>
        <w:rPr>
          <w:rFonts w:hint="eastAsia"/>
        </w:rPr>
        <w:t>年</w:t>
      </w:r>
      <w:r>
        <w:t>)</w:t>
      </w:r>
      <w:r>
        <w:t>；</w:t>
      </w:r>
    </w:p>
    <w:p w:rsidR="00D66AC3" w:rsidRPr="00AC4ED8" w:rsidRDefault="00D66AC3" w:rsidP="00D66AC3">
      <w:pPr>
        <w:pStyle w:val="Bullet1GC"/>
        <w:numPr>
          <w:ilvl w:val="0"/>
          <w:numId w:val="2"/>
        </w:numPr>
      </w:pPr>
      <w:r>
        <w:rPr>
          <w:rFonts w:hint="eastAsia"/>
        </w:rPr>
        <w:t>高级审查法官</w:t>
      </w:r>
      <w:r>
        <w:t>(199</w:t>
      </w:r>
      <w:r w:rsidRPr="00AC4ED8">
        <w:t>0</w:t>
      </w:r>
      <w:r>
        <w:rPr>
          <w:rFonts w:hint="eastAsia"/>
        </w:rPr>
        <w:t>-</w:t>
      </w:r>
      <w:r>
        <w:t>1993</w:t>
      </w:r>
      <w:r>
        <w:rPr>
          <w:rFonts w:hint="eastAsia"/>
        </w:rPr>
        <w:t>年</w:t>
      </w:r>
      <w:r>
        <w:t>)</w:t>
      </w:r>
      <w:r>
        <w:t>；</w:t>
      </w:r>
    </w:p>
    <w:p w:rsidR="00D66AC3" w:rsidRPr="00AC4ED8" w:rsidRDefault="00D66AC3" w:rsidP="00D66AC3">
      <w:pPr>
        <w:pStyle w:val="Bullet1GC"/>
        <w:numPr>
          <w:ilvl w:val="0"/>
          <w:numId w:val="2"/>
        </w:numPr>
      </w:pPr>
      <w:r>
        <w:rPr>
          <w:rFonts w:hint="eastAsia"/>
        </w:rPr>
        <w:t>洛美一审一级法院第一刑事庭庭长</w:t>
      </w:r>
      <w:r>
        <w:t>(1987</w:t>
      </w:r>
      <w:r>
        <w:rPr>
          <w:rFonts w:hint="eastAsia"/>
        </w:rPr>
        <w:t>-</w:t>
      </w:r>
      <w:r>
        <w:t>199</w:t>
      </w:r>
      <w:r w:rsidRPr="00AC4ED8">
        <w:t>0</w:t>
      </w:r>
      <w:r>
        <w:rPr>
          <w:rFonts w:hint="eastAsia"/>
        </w:rPr>
        <w:t>年</w:t>
      </w:r>
      <w:r>
        <w:t>)</w:t>
      </w:r>
      <w:r>
        <w:t>；</w:t>
      </w:r>
    </w:p>
    <w:p w:rsidR="00D66AC3" w:rsidRPr="00AC4ED8" w:rsidRDefault="00D66AC3" w:rsidP="00D66AC3">
      <w:pPr>
        <w:pStyle w:val="Bullet1GC"/>
        <w:numPr>
          <w:ilvl w:val="0"/>
          <w:numId w:val="2"/>
        </w:numPr>
      </w:pPr>
      <w:r>
        <w:rPr>
          <w:rFonts w:hint="eastAsia"/>
        </w:rPr>
        <w:t>入职，多哥司法机构</w:t>
      </w:r>
      <w:r>
        <w:rPr>
          <w:rFonts w:hint="eastAsia"/>
        </w:rPr>
        <w:t>(1985</w:t>
      </w:r>
      <w:r>
        <w:rPr>
          <w:rFonts w:hint="eastAsia"/>
        </w:rPr>
        <w:t>年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D66AC3" w:rsidRPr="00BD442D" w:rsidRDefault="00D66AC3" w:rsidP="00F92D6C">
      <w:pPr>
        <w:pStyle w:val="SingleTxtGC"/>
        <w:rPr>
          <w:rFonts w:eastAsia="SimHei"/>
        </w:rPr>
      </w:pPr>
      <w:r>
        <w:rPr>
          <w:rFonts w:eastAsia="SimHei"/>
        </w:rPr>
        <w:br w:type="page"/>
      </w:r>
      <w:r w:rsidRPr="00BD442D">
        <w:rPr>
          <w:rFonts w:eastAsia="SimHei" w:hint="eastAsia"/>
        </w:rPr>
        <w:lastRenderedPageBreak/>
        <w:t>专门知识领域：</w:t>
      </w:r>
    </w:p>
    <w:p w:rsidR="00D66AC3" w:rsidRPr="00BD442D" w:rsidRDefault="00D66AC3" w:rsidP="00F92D6C">
      <w:pPr>
        <w:pStyle w:val="SingleTxtGC"/>
        <w:rPr>
          <w:rFonts w:eastAsia="KaiTi_GB2312"/>
        </w:rPr>
      </w:pPr>
      <w:r w:rsidRPr="00BD442D">
        <w:rPr>
          <w:rFonts w:eastAsia="KaiTi_GB2312" w:hint="eastAsia"/>
        </w:rPr>
        <w:t>司法部联络人</w:t>
      </w:r>
    </w:p>
    <w:p w:rsidR="00D66AC3" w:rsidRPr="00AC4ED8" w:rsidRDefault="00D66AC3" w:rsidP="00D66AC3">
      <w:pPr>
        <w:pStyle w:val="Bullet1GC"/>
        <w:numPr>
          <w:ilvl w:val="0"/>
          <w:numId w:val="2"/>
        </w:numPr>
      </w:pPr>
      <w:r>
        <w:rPr>
          <w:rFonts w:hint="eastAsia"/>
        </w:rPr>
        <w:t>代表司法部参与制订和撰写《减贫战略文件》</w:t>
      </w:r>
      <w:r>
        <w:rPr>
          <w:rFonts w:hint="eastAsia"/>
        </w:rPr>
        <w:t>(</w:t>
      </w:r>
      <w:r>
        <w:t>PRSP</w:t>
      </w:r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>)</w:t>
      </w:r>
      <w:r>
        <w:rPr>
          <w:rFonts w:hint="eastAsia"/>
        </w:rPr>
        <w:t>；</w:t>
      </w:r>
    </w:p>
    <w:p w:rsidR="00D66AC3" w:rsidRPr="00AC4ED8" w:rsidRDefault="00D66AC3" w:rsidP="00D66AC3">
      <w:pPr>
        <w:pStyle w:val="Bullet1GC"/>
        <w:numPr>
          <w:ilvl w:val="0"/>
          <w:numId w:val="2"/>
        </w:numPr>
      </w:pPr>
      <w:r>
        <w:rPr>
          <w:rFonts w:hint="eastAsia"/>
        </w:rPr>
        <w:t>代表司法部参与制订和撰写《为促进就业加快增长战略》</w:t>
      </w:r>
      <w:r>
        <w:rPr>
          <w:rFonts w:hint="eastAsia"/>
        </w:rPr>
        <w:t>(SCAPE)</w:t>
      </w:r>
      <w:r>
        <w:rPr>
          <w:rFonts w:hint="eastAsia"/>
        </w:rPr>
        <w:t>；</w:t>
      </w:r>
    </w:p>
    <w:p w:rsidR="00D66AC3" w:rsidRPr="00AC4ED8" w:rsidRDefault="00D66AC3" w:rsidP="00D66AC3">
      <w:pPr>
        <w:pStyle w:val="Bullet1GC"/>
        <w:numPr>
          <w:ilvl w:val="0"/>
          <w:numId w:val="2"/>
        </w:numPr>
      </w:pPr>
      <w:r>
        <w:rPr>
          <w:rFonts w:hint="eastAsia"/>
        </w:rPr>
        <w:t>代表司法部参与制订和撰写所有与次区域经济融合、西非国家中央银行</w:t>
      </w:r>
      <w:r>
        <w:rPr>
          <w:rFonts w:hint="eastAsia"/>
        </w:rPr>
        <w:t>/</w:t>
      </w:r>
      <w:r>
        <w:rPr>
          <w:rFonts w:hint="eastAsia"/>
        </w:rPr>
        <w:t>西非经济和货币联盟相关的文书</w:t>
      </w:r>
      <w:r>
        <w:rPr>
          <w:rFonts w:hint="eastAsia"/>
        </w:rPr>
        <w:t>(WAEMU)</w:t>
      </w:r>
      <w:r>
        <w:rPr>
          <w:rFonts w:hint="eastAsia"/>
        </w:rPr>
        <w:t>；</w:t>
      </w:r>
    </w:p>
    <w:p w:rsidR="00D66AC3" w:rsidRPr="00AC4ED8" w:rsidRDefault="00D66AC3" w:rsidP="00D66AC3">
      <w:pPr>
        <w:pStyle w:val="Bullet1GC"/>
        <w:numPr>
          <w:ilvl w:val="0"/>
          <w:numId w:val="2"/>
        </w:numPr>
      </w:pPr>
      <w:r>
        <w:rPr>
          <w:rFonts w:hint="eastAsia"/>
        </w:rPr>
        <w:t>司法职业培训中心</w:t>
      </w:r>
      <w:r>
        <w:rPr>
          <w:rFonts w:hint="eastAsia"/>
        </w:rPr>
        <w:t>(CFPJ)</w:t>
      </w:r>
      <w:r>
        <w:rPr>
          <w:rFonts w:hint="eastAsia"/>
        </w:rPr>
        <w:t>作为临时执委会开展工作的工作组主席。</w:t>
      </w:r>
    </w:p>
    <w:p w:rsidR="00D66AC3" w:rsidRPr="00BD442D" w:rsidRDefault="00D66AC3" w:rsidP="00F92D6C">
      <w:pPr>
        <w:pStyle w:val="SingleTxtGC"/>
        <w:rPr>
          <w:rFonts w:eastAsia="KaiTi_GB2312"/>
        </w:rPr>
      </w:pPr>
      <w:r w:rsidRPr="00BD442D">
        <w:rPr>
          <w:rFonts w:eastAsia="KaiTi_GB2312" w:hint="eastAsia"/>
        </w:rPr>
        <w:t>法律顾问</w:t>
      </w:r>
    </w:p>
    <w:p w:rsidR="00D66AC3" w:rsidRPr="00AC4ED8" w:rsidRDefault="00D66AC3" w:rsidP="00D66AC3">
      <w:pPr>
        <w:pStyle w:val="Bullet1GC"/>
        <w:numPr>
          <w:ilvl w:val="0"/>
          <w:numId w:val="2"/>
        </w:numPr>
      </w:pPr>
      <w:r>
        <w:rPr>
          <w:rFonts w:hint="eastAsia"/>
        </w:rPr>
        <w:t>难民地位资格国家委员会成员</w:t>
      </w:r>
      <w:r>
        <w:rPr>
          <w:rFonts w:hint="eastAsia"/>
        </w:rPr>
        <w:t>(</w:t>
      </w:r>
      <w:r>
        <w:rPr>
          <w:rFonts w:hint="eastAsia"/>
        </w:rPr>
        <w:t>联合国难民署</w:t>
      </w:r>
      <w:r>
        <w:rPr>
          <w:rFonts w:hint="eastAsia"/>
        </w:rPr>
        <w:t>)</w:t>
      </w:r>
      <w:r>
        <w:rPr>
          <w:rFonts w:hint="eastAsia"/>
        </w:rPr>
        <w:t>；</w:t>
      </w:r>
    </w:p>
    <w:p w:rsidR="00D66AC3" w:rsidRPr="00AC4ED8" w:rsidRDefault="00D66AC3" w:rsidP="00D66AC3">
      <w:pPr>
        <w:pStyle w:val="Bullet1GC"/>
        <w:numPr>
          <w:ilvl w:val="0"/>
          <w:numId w:val="2"/>
        </w:numPr>
      </w:pPr>
      <w:r>
        <w:rPr>
          <w:rFonts w:hint="eastAsia"/>
        </w:rPr>
        <w:t>非洲和平与解决冲突战略咨询师－非洲战略研究中心</w:t>
      </w:r>
      <w:r>
        <w:t>(ACSS)</w:t>
      </w:r>
      <w:r>
        <w:rPr>
          <w:rFonts w:hint="eastAsia"/>
        </w:rPr>
        <w:t>多哥成员；</w:t>
      </w:r>
    </w:p>
    <w:p w:rsidR="00D66AC3" w:rsidRPr="00AC4ED8" w:rsidRDefault="00D66AC3" w:rsidP="00D66AC3">
      <w:pPr>
        <w:pStyle w:val="Bullet1GC"/>
        <w:numPr>
          <w:ilvl w:val="0"/>
          <w:numId w:val="2"/>
        </w:numPr>
      </w:pPr>
      <w:r>
        <w:rPr>
          <w:rFonts w:hint="eastAsia"/>
        </w:rPr>
        <w:t>国家性别和发展问题培训师团队成员－担任以下机构性别和发展问题方面的培训师和顾问：</w:t>
      </w:r>
    </w:p>
    <w:p w:rsidR="00D66AC3" w:rsidRPr="00AC4ED8" w:rsidRDefault="00D66AC3" w:rsidP="00D66AC3">
      <w:pPr>
        <w:pStyle w:val="Bullet1GC"/>
        <w:numPr>
          <w:ilvl w:val="0"/>
          <w:numId w:val="2"/>
        </w:numPr>
        <w:tabs>
          <w:tab w:val="left" w:pos="2366"/>
        </w:tabs>
        <w:ind w:firstLine="6"/>
      </w:pPr>
      <w:r>
        <w:rPr>
          <w:rFonts w:hint="eastAsia"/>
        </w:rPr>
        <w:t>联合国开发计划署</w:t>
      </w:r>
      <w:r>
        <w:t>(</w:t>
      </w:r>
      <w:r>
        <w:rPr>
          <w:rFonts w:hint="eastAsia"/>
        </w:rPr>
        <w:t>开发署</w:t>
      </w:r>
      <w:r>
        <w:t>)</w:t>
      </w:r>
      <w:r>
        <w:t>；</w:t>
      </w:r>
    </w:p>
    <w:p w:rsidR="00D66AC3" w:rsidRPr="00AC4ED8" w:rsidRDefault="00D66AC3" w:rsidP="00D66AC3">
      <w:pPr>
        <w:pStyle w:val="Bullet1GC"/>
        <w:numPr>
          <w:ilvl w:val="0"/>
          <w:numId w:val="2"/>
        </w:numPr>
        <w:tabs>
          <w:tab w:val="left" w:pos="2366"/>
        </w:tabs>
        <w:ind w:firstLine="6"/>
      </w:pPr>
      <w:r>
        <w:rPr>
          <w:rFonts w:hint="eastAsia"/>
        </w:rPr>
        <w:t>联合国人口基金</w:t>
      </w:r>
      <w:r>
        <w:t>(</w:t>
      </w:r>
      <w:r>
        <w:rPr>
          <w:rFonts w:hint="eastAsia"/>
        </w:rPr>
        <w:t>人口基金</w:t>
      </w:r>
      <w:r>
        <w:t>)</w:t>
      </w:r>
      <w:r>
        <w:t>；</w:t>
      </w:r>
    </w:p>
    <w:p w:rsidR="00D66AC3" w:rsidRPr="00AC4ED8" w:rsidRDefault="00D66AC3" w:rsidP="00D66AC3">
      <w:pPr>
        <w:pStyle w:val="Bullet1GC"/>
        <w:numPr>
          <w:ilvl w:val="0"/>
          <w:numId w:val="2"/>
        </w:numPr>
        <w:tabs>
          <w:tab w:val="left" w:pos="2366"/>
        </w:tabs>
        <w:ind w:firstLine="6"/>
      </w:pPr>
      <w:r>
        <w:rPr>
          <w:rFonts w:hint="eastAsia"/>
        </w:rPr>
        <w:t>联合国儿童基金会</w:t>
      </w:r>
      <w:r>
        <w:t>(</w:t>
      </w:r>
      <w:r>
        <w:rPr>
          <w:rFonts w:hint="eastAsia"/>
        </w:rPr>
        <w:t>儿童基金会</w:t>
      </w:r>
      <w:r>
        <w:t>)</w:t>
      </w:r>
      <w:r>
        <w:t>；</w:t>
      </w:r>
    </w:p>
    <w:p w:rsidR="00D66AC3" w:rsidRPr="000748BD" w:rsidRDefault="00D66AC3" w:rsidP="00D66AC3">
      <w:pPr>
        <w:pStyle w:val="Bullet1GC"/>
        <w:numPr>
          <w:ilvl w:val="0"/>
          <w:numId w:val="2"/>
        </w:numPr>
        <w:tabs>
          <w:tab w:val="left" w:pos="2366"/>
        </w:tabs>
        <w:ind w:firstLine="6"/>
      </w:pPr>
      <w:r w:rsidRPr="000748BD">
        <w:rPr>
          <w:rFonts w:hint="eastAsia"/>
        </w:rPr>
        <w:t>多哥家庭福利协会</w:t>
      </w:r>
      <w:r w:rsidRPr="000748BD">
        <w:t>(ATBEF)</w:t>
      </w:r>
      <w:r w:rsidRPr="000748BD">
        <w:t>；</w:t>
      </w:r>
    </w:p>
    <w:p w:rsidR="00D66AC3" w:rsidRPr="00AC4ED8" w:rsidRDefault="00D66AC3" w:rsidP="00D66AC3">
      <w:pPr>
        <w:pStyle w:val="Bullet1GC"/>
        <w:numPr>
          <w:ilvl w:val="0"/>
          <w:numId w:val="2"/>
        </w:numPr>
        <w:tabs>
          <w:tab w:val="left" w:pos="2366"/>
        </w:tabs>
        <w:ind w:firstLine="6"/>
      </w:pPr>
      <w:r>
        <w:rPr>
          <w:rFonts w:hint="eastAsia"/>
        </w:rPr>
        <w:t>非洲家庭研究中心</w:t>
      </w:r>
      <w:r>
        <w:t>(CAFS)</w:t>
      </w:r>
      <w:r>
        <w:t>；</w:t>
      </w:r>
    </w:p>
    <w:p w:rsidR="00D66AC3" w:rsidRPr="00AC4ED8" w:rsidRDefault="00D66AC3" w:rsidP="00D66AC3">
      <w:pPr>
        <w:pStyle w:val="Bullet1GC"/>
        <w:numPr>
          <w:ilvl w:val="0"/>
          <w:numId w:val="2"/>
        </w:numPr>
        <w:tabs>
          <w:tab w:val="left" w:pos="2366"/>
        </w:tabs>
        <w:ind w:firstLine="6"/>
      </w:pPr>
      <w:r>
        <w:rPr>
          <w:rFonts w:hint="eastAsia"/>
        </w:rPr>
        <w:t>卫生部家庭健康处</w:t>
      </w:r>
      <w:r>
        <w:t>；</w:t>
      </w:r>
    </w:p>
    <w:p w:rsidR="00D66AC3" w:rsidRPr="00AC4ED8" w:rsidRDefault="00D66AC3" w:rsidP="00D66AC3">
      <w:pPr>
        <w:pStyle w:val="Bullet1GC"/>
        <w:numPr>
          <w:ilvl w:val="0"/>
          <w:numId w:val="2"/>
        </w:numPr>
        <w:tabs>
          <w:tab w:val="left" w:pos="2366"/>
        </w:tabs>
        <w:ind w:firstLine="6"/>
      </w:pPr>
      <w:r>
        <w:rPr>
          <w:rFonts w:hint="eastAsia"/>
        </w:rPr>
        <w:t>规划部规划和人口司</w:t>
      </w:r>
      <w:r>
        <w:t>；</w:t>
      </w:r>
    </w:p>
    <w:p w:rsidR="00D66AC3" w:rsidRPr="00AC4ED8" w:rsidRDefault="00D66AC3" w:rsidP="00D66AC3">
      <w:pPr>
        <w:pStyle w:val="Bullet1GC"/>
        <w:numPr>
          <w:ilvl w:val="0"/>
          <w:numId w:val="2"/>
        </w:numPr>
        <w:tabs>
          <w:tab w:val="left" w:pos="2366"/>
        </w:tabs>
        <w:ind w:firstLine="6"/>
      </w:pPr>
      <w:r>
        <w:rPr>
          <w:rFonts w:hint="eastAsia"/>
        </w:rPr>
        <w:t>社会事务、提高妇女地位和保护儿童司。</w:t>
      </w:r>
    </w:p>
    <w:p w:rsidR="00D66AC3" w:rsidRPr="00BD442D" w:rsidRDefault="00D66AC3" w:rsidP="00F92D6C">
      <w:pPr>
        <w:pStyle w:val="SingleTxtGC"/>
        <w:rPr>
          <w:rFonts w:eastAsia="KaiTi_GB2312"/>
        </w:rPr>
      </w:pPr>
      <w:r w:rsidRPr="00BD442D">
        <w:rPr>
          <w:rFonts w:eastAsia="KaiTi_GB2312" w:hint="eastAsia"/>
        </w:rPr>
        <w:t>法律专门知识，非洲商法协调组织</w:t>
      </w:r>
    </w:p>
    <w:p w:rsidR="00D66AC3" w:rsidRPr="00AC4ED8" w:rsidRDefault="00D66AC3" w:rsidP="00D66AC3">
      <w:pPr>
        <w:pStyle w:val="Bullet1GC"/>
        <w:numPr>
          <w:ilvl w:val="0"/>
          <w:numId w:val="2"/>
        </w:numPr>
      </w:pPr>
      <w:r>
        <w:rPr>
          <w:rFonts w:hint="eastAsia"/>
        </w:rPr>
        <w:t>非洲商法协调组织区域高等司法学院理事</w:t>
      </w:r>
      <w:r>
        <w:rPr>
          <w:rFonts w:hint="eastAsia"/>
        </w:rPr>
        <w:t>(</w:t>
      </w:r>
      <w:r>
        <w:rPr>
          <w:rFonts w:hint="eastAsia"/>
        </w:rPr>
        <w:t>自</w:t>
      </w:r>
      <w:r>
        <w:rPr>
          <w:rFonts w:hint="eastAsia"/>
        </w:rPr>
        <w:t>2011</w:t>
      </w:r>
      <w:r>
        <w:rPr>
          <w:rFonts w:hint="eastAsia"/>
        </w:rPr>
        <w:t>年起</w:t>
      </w:r>
      <w:r>
        <w:rPr>
          <w:rFonts w:hint="eastAsia"/>
        </w:rPr>
        <w:t>)</w:t>
      </w:r>
      <w:r>
        <w:rPr>
          <w:rFonts w:hint="eastAsia"/>
        </w:rPr>
        <w:t>；</w:t>
      </w:r>
    </w:p>
    <w:p w:rsidR="00D66AC3" w:rsidRPr="00AC4ED8" w:rsidRDefault="00D66AC3" w:rsidP="00D66AC3">
      <w:pPr>
        <w:pStyle w:val="Bullet1GC"/>
        <w:numPr>
          <w:ilvl w:val="0"/>
          <w:numId w:val="2"/>
        </w:numPr>
      </w:pPr>
      <w:r>
        <w:rPr>
          <w:rFonts w:hint="eastAsia"/>
        </w:rPr>
        <w:t>非洲商法协调组织成员国专家委员会成员；</w:t>
      </w:r>
    </w:p>
    <w:p w:rsidR="00D66AC3" w:rsidRPr="00AC4ED8" w:rsidRDefault="00D66AC3" w:rsidP="00D66AC3">
      <w:pPr>
        <w:pStyle w:val="Bullet1GC"/>
        <w:numPr>
          <w:ilvl w:val="0"/>
          <w:numId w:val="2"/>
        </w:numPr>
      </w:pPr>
      <w:r>
        <w:rPr>
          <w:rFonts w:hint="eastAsia"/>
        </w:rPr>
        <w:t>非洲商法协调组织审查《有关一般商法的统一法》和《证券统一法》的成员国专家委员会前主席</w:t>
      </w:r>
      <w:r>
        <w:t>(2</w:t>
      </w:r>
      <w:r w:rsidRPr="00AC4ED8">
        <w:t>0</w:t>
      </w:r>
      <w:r>
        <w:t>1</w:t>
      </w:r>
      <w:r w:rsidRPr="00AC4ED8">
        <w:t>0</w:t>
      </w:r>
      <w:r>
        <w:rPr>
          <w:rFonts w:hint="eastAsia"/>
        </w:rPr>
        <w:t>年</w:t>
      </w:r>
      <w:r>
        <w:t>)</w:t>
      </w:r>
      <w:r>
        <w:rPr>
          <w:rFonts w:hint="eastAsia"/>
        </w:rPr>
        <w:t>；</w:t>
      </w:r>
    </w:p>
    <w:p w:rsidR="00D66AC3" w:rsidRPr="00AC4ED8" w:rsidRDefault="00D66AC3" w:rsidP="00D66AC3">
      <w:pPr>
        <w:pStyle w:val="Bullet1GC"/>
        <w:numPr>
          <w:ilvl w:val="0"/>
          <w:numId w:val="2"/>
        </w:numPr>
      </w:pPr>
      <w:r>
        <w:rPr>
          <w:rFonts w:hint="eastAsia"/>
        </w:rPr>
        <w:t>非洲商法协调组织国家委员会协调员</w:t>
      </w:r>
      <w:r>
        <w:t>(2</w:t>
      </w:r>
      <w:r w:rsidRPr="00AC4ED8">
        <w:t>00</w:t>
      </w:r>
      <w:r>
        <w:t>3</w:t>
      </w:r>
      <w:r>
        <w:rPr>
          <w:rFonts w:hint="eastAsia"/>
        </w:rPr>
        <w:t>至</w:t>
      </w:r>
      <w:r>
        <w:t>2</w:t>
      </w:r>
      <w:r w:rsidRPr="00AC4ED8">
        <w:t>00</w:t>
      </w:r>
      <w:r>
        <w:t>5</w:t>
      </w:r>
      <w:r>
        <w:rPr>
          <w:rFonts w:hint="eastAsia"/>
        </w:rPr>
        <w:t>年，以及自</w:t>
      </w:r>
      <w:r>
        <w:t>2</w:t>
      </w:r>
      <w:r w:rsidRPr="00AC4ED8">
        <w:t>0</w:t>
      </w:r>
      <w:r>
        <w:t>12</w:t>
      </w:r>
      <w:r>
        <w:rPr>
          <w:rFonts w:hint="eastAsia"/>
        </w:rPr>
        <w:t>年起</w:t>
      </w:r>
      <w:r>
        <w:t>)</w:t>
      </w:r>
      <w:r>
        <w:rPr>
          <w:rFonts w:hint="eastAsia"/>
        </w:rPr>
        <w:t>；</w:t>
      </w:r>
    </w:p>
    <w:p w:rsidR="003E09EA" w:rsidRDefault="00D66AC3" w:rsidP="00D45721">
      <w:pPr>
        <w:pStyle w:val="Bullet1GC"/>
        <w:numPr>
          <w:ilvl w:val="0"/>
          <w:numId w:val="2"/>
        </w:numPr>
      </w:pPr>
      <w:r>
        <w:rPr>
          <w:rFonts w:hint="eastAsia"/>
        </w:rPr>
        <w:t>非洲商法协调组织区域和国家法律培训师。</w:t>
      </w:r>
      <w:bookmarkStart w:id="0" w:name="_GoBack"/>
      <w:bookmarkEnd w:id="0"/>
    </w:p>
    <w:sectPr w:rsidR="003E09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6AAA"/>
    <w:multiLevelType w:val="hybridMultilevel"/>
    <w:tmpl w:val="1AA6C0DC"/>
    <w:lvl w:ilvl="0" w:tplc="59602048">
      <w:start w:val="1"/>
      <w:numFmt w:val="bullet"/>
      <w:pStyle w:val="Bullet2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1">
    <w:nsid w:val="7CF349BD"/>
    <w:multiLevelType w:val="singleLevel"/>
    <w:tmpl w:val="51D4BF5A"/>
    <w:lvl w:ilvl="0">
      <w:start w:val="1"/>
      <w:numFmt w:val="lowerRoman"/>
      <w:pStyle w:val="Bullet1GC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C3"/>
    <w:rsid w:val="003E09EA"/>
    <w:rsid w:val="00D45721"/>
    <w:rsid w:val="00D6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GC">
    <w:name w:val="_Bullet 1_GC"/>
    <w:basedOn w:val="Normal"/>
    <w:rsid w:val="00D66AC3"/>
    <w:pPr>
      <w:numPr>
        <w:numId w:val="1"/>
      </w:numPr>
      <w:tabs>
        <w:tab w:val="left" w:pos="431"/>
      </w:tabs>
      <w:overflowPunct w:val="0"/>
      <w:adjustRightInd w:val="0"/>
      <w:snapToGrid w:val="0"/>
      <w:spacing w:after="120" w:line="320" w:lineRule="exact"/>
      <w:ind w:right="1134"/>
      <w:jc w:val="both"/>
    </w:pPr>
    <w:rPr>
      <w:rFonts w:ascii="Times New Roman" w:eastAsia="SimSun" w:hAnsi="Times New Roman" w:cs="Times New Roman"/>
      <w:snapToGrid w:val="0"/>
      <w:sz w:val="21"/>
      <w:szCs w:val="20"/>
      <w:lang w:val="en-US"/>
    </w:rPr>
  </w:style>
  <w:style w:type="paragraph" w:customStyle="1" w:styleId="Bullet2GC">
    <w:name w:val="_Bullet 2_GC"/>
    <w:basedOn w:val="Normal"/>
    <w:rsid w:val="00D66AC3"/>
    <w:pPr>
      <w:numPr>
        <w:numId w:val="2"/>
      </w:numPr>
      <w:tabs>
        <w:tab w:val="left" w:pos="431"/>
        <w:tab w:val="left" w:pos="1134"/>
        <w:tab w:val="left" w:pos="1565"/>
        <w:tab w:val="left" w:pos="1996"/>
        <w:tab w:val="num" w:pos="2427"/>
      </w:tabs>
      <w:overflowPunct w:val="0"/>
      <w:adjustRightInd w:val="0"/>
      <w:snapToGrid w:val="0"/>
      <w:spacing w:after="120" w:line="320" w:lineRule="exact"/>
      <w:ind w:left="2427" w:right="1134"/>
      <w:jc w:val="both"/>
    </w:pPr>
    <w:rPr>
      <w:rFonts w:ascii="Times New Roman" w:eastAsia="SimSun" w:hAnsi="Times New Roman" w:cs="Times New Roman"/>
      <w:snapToGrid w:val="0"/>
      <w:sz w:val="21"/>
      <w:szCs w:val="20"/>
      <w:lang w:val="en-US"/>
    </w:rPr>
  </w:style>
  <w:style w:type="paragraph" w:customStyle="1" w:styleId="H1GC">
    <w:name w:val="_ H_1_GC"/>
    <w:basedOn w:val="Normal"/>
    <w:next w:val="SingleTxtGC"/>
    <w:rsid w:val="00D66AC3"/>
    <w:pPr>
      <w:keepNext/>
      <w:keepLines/>
      <w:tabs>
        <w:tab w:val="right" w:pos="851"/>
      </w:tabs>
      <w:overflowPunct w:val="0"/>
      <w:adjustRightInd w:val="0"/>
      <w:snapToGrid w:val="0"/>
      <w:spacing w:before="360" w:after="240" w:line="320" w:lineRule="exact"/>
      <w:ind w:left="1134" w:right="1134" w:hanging="1134"/>
      <w:jc w:val="both"/>
      <w:outlineLvl w:val="2"/>
    </w:pPr>
    <w:rPr>
      <w:rFonts w:ascii="Times New Roman" w:eastAsia="SimHei" w:hAnsi="Times New Roman" w:cs="Times New Roman"/>
      <w:snapToGrid w:val="0"/>
      <w:sz w:val="24"/>
      <w:szCs w:val="20"/>
      <w:lang w:val="en-US"/>
    </w:rPr>
  </w:style>
  <w:style w:type="paragraph" w:customStyle="1" w:styleId="SingleTxtGC">
    <w:name w:val="_ Single Txt_GC"/>
    <w:basedOn w:val="Normal"/>
    <w:link w:val="SingleTxtGCChar"/>
    <w:rsid w:val="00D66AC3"/>
    <w:pPr>
      <w:tabs>
        <w:tab w:val="left" w:pos="431"/>
        <w:tab w:val="left" w:pos="1134"/>
        <w:tab w:val="left" w:pos="1565"/>
        <w:tab w:val="left" w:pos="1996"/>
        <w:tab w:val="left" w:pos="2427"/>
      </w:tabs>
      <w:overflowPunct w:val="0"/>
      <w:adjustRightInd w:val="0"/>
      <w:snapToGrid w:val="0"/>
      <w:spacing w:after="120" w:line="320" w:lineRule="exact"/>
      <w:ind w:left="1134" w:right="1134"/>
      <w:jc w:val="both"/>
    </w:pPr>
    <w:rPr>
      <w:rFonts w:ascii="Times New Roman" w:eastAsia="SimSun" w:hAnsi="Times New Roman" w:cs="Times New Roman"/>
      <w:snapToGrid w:val="0"/>
      <w:sz w:val="21"/>
      <w:szCs w:val="20"/>
      <w:lang w:val="en-US"/>
    </w:rPr>
  </w:style>
  <w:style w:type="character" w:customStyle="1" w:styleId="SingleTxtGCChar">
    <w:name w:val="_ Single Txt_GC Char"/>
    <w:link w:val="SingleTxtGC"/>
    <w:rsid w:val="00D66AC3"/>
    <w:rPr>
      <w:rFonts w:ascii="Times New Roman" w:eastAsia="SimSun" w:hAnsi="Times New Roman" w:cs="Times New Roman"/>
      <w:snapToGrid w:val="0"/>
      <w:sz w:val="21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GC">
    <w:name w:val="_Bullet 1_GC"/>
    <w:basedOn w:val="Normal"/>
    <w:rsid w:val="00D66AC3"/>
    <w:pPr>
      <w:numPr>
        <w:numId w:val="1"/>
      </w:numPr>
      <w:tabs>
        <w:tab w:val="left" w:pos="431"/>
      </w:tabs>
      <w:overflowPunct w:val="0"/>
      <w:adjustRightInd w:val="0"/>
      <w:snapToGrid w:val="0"/>
      <w:spacing w:after="120" w:line="320" w:lineRule="exact"/>
      <w:ind w:right="1134"/>
      <w:jc w:val="both"/>
    </w:pPr>
    <w:rPr>
      <w:rFonts w:ascii="Times New Roman" w:eastAsia="SimSun" w:hAnsi="Times New Roman" w:cs="Times New Roman"/>
      <w:snapToGrid w:val="0"/>
      <w:sz w:val="21"/>
      <w:szCs w:val="20"/>
      <w:lang w:val="en-US"/>
    </w:rPr>
  </w:style>
  <w:style w:type="paragraph" w:customStyle="1" w:styleId="Bullet2GC">
    <w:name w:val="_Bullet 2_GC"/>
    <w:basedOn w:val="Normal"/>
    <w:rsid w:val="00D66AC3"/>
    <w:pPr>
      <w:numPr>
        <w:numId w:val="2"/>
      </w:numPr>
      <w:tabs>
        <w:tab w:val="left" w:pos="431"/>
        <w:tab w:val="left" w:pos="1134"/>
        <w:tab w:val="left" w:pos="1565"/>
        <w:tab w:val="left" w:pos="1996"/>
        <w:tab w:val="num" w:pos="2427"/>
      </w:tabs>
      <w:overflowPunct w:val="0"/>
      <w:adjustRightInd w:val="0"/>
      <w:snapToGrid w:val="0"/>
      <w:spacing w:after="120" w:line="320" w:lineRule="exact"/>
      <w:ind w:left="2427" w:right="1134"/>
      <w:jc w:val="both"/>
    </w:pPr>
    <w:rPr>
      <w:rFonts w:ascii="Times New Roman" w:eastAsia="SimSun" w:hAnsi="Times New Roman" w:cs="Times New Roman"/>
      <w:snapToGrid w:val="0"/>
      <w:sz w:val="21"/>
      <w:szCs w:val="20"/>
      <w:lang w:val="en-US"/>
    </w:rPr>
  </w:style>
  <w:style w:type="paragraph" w:customStyle="1" w:styleId="H1GC">
    <w:name w:val="_ H_1_GC"/>
    <w:basedOn w:val="Normal"/>
    <w:next w:val="SingleTxtGC"/>
    <w:rsid w:val="00D66AC3"/>
    <w:pPr>
      <w:keepNext/>
      <w:keepLines/>
      <w:tabs>
        <w:tab w:val="right" w:pos="851"/>
      </w:tabs>
      <w:overflowPunct w:val="0"/>
      <w:adjustRightInd w:val="0"/>
      <w:snapToGrid w:val="0"/>
      <w:spacing w:before="360" w:after="240" w:line="320" w:lineRule="exact"/>
      <w:ind w:left="1134" w:right="1134" w:hanging="1134"/>
      <w:jc w:val="both"/>
      <w:outlineLvl w:val="2"/>
    </w:pPr>
    <w:rPr>
      <w:rFonts w:ascii="Times New Roman" w:eastAsia="SimHei" w:hAnsi="Times New Roman" w:cs="Times New Roman"/>
      <w:snapToGrid w:val="0"/>
      <w:sz w:val="24"/>
      <w:szCs w:val="20"/>
      <w:lang w:val="en-US"/>
    </w:rPr>
  </w:style>
  <w:style w:type="paragraph" w:customStyle="1" w:styleId="SingleTxtGC">
    <w:name w:val="_ Single Txt_GC"/>
    <w:basedOn w:val="Normal"/>
    <w:link w:val="SingleTxtGCChar"/>
    <w:rsid w:val="00D66AC3"/>
    <w:pPr>
      <w:tabs>
        <w:tab w:val="left" w:pos="431"/>
        <w:tab w:val="left" w:pos="1134"/>
        <w:tab w:val="left" w:pos="1565"/>
        <w:tab w:val="left" w:pos="1996"/>
        <w:tab w:val="left" w:pos="2427"/>
      </w:tabs>
      <w:overflowPunct w:val="0"/>
      <w:adjustRightInd w:val="0"/>
      <w:snapToGrid w:val="0"/>
      <w:spacing w:after="120" w:line="320" w:lineRule="exact"/>
      <w:ind w:left="1134" w:right="1134"/>
      <w:jc w:val="both"/>
    </w:pPr>
    <w:rPr>
      <w:rFonts w:ascii="Times New Roman" w:eastAsia="SimSun" w:hAnsi="Times New Roman" w:cs="Times New Roman"/>
      <w:snapToGrid w:val="0"/>
      <w:sz w:val="21"/>
      <w:szCs w:val="20"/>
      <w:lang w:val="en-US"/>
    </w:rPr>
  </w:style>
  <w:style w:type="character" w:customStyle="1" w:styleId="SingleTxtGCChar">
    <w:name w:val="_ Single Txt_GC Char"/>
    <w:link w:val="SingleTxtGC"/>
    <w:rsid w:val="00D66AC3"/>
    <w:rPr>
      <w:rFonts w:ascii="Times New Roman" w:eastAsia="SimSun" w:hAnsi="Times New Roman" w:cs="Times New Roman"/>
      <w:snapToGrid w:val="0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B23672-520E-4086-A57C-93E50FCE9233}"/>
</file>

<file path=customXml/itemProps2.xml><?xml version="1.0" encoding="utf-8"?>
<ds:datastoreItem xmlns:ds="http://schemas.openxmlformats.org/officeDocument/2006/customXml" ds:itemID="{D3DF7FD5-099A-4E35-B4C0-CA498BE432CB}"/>
</file>

<file path=customXml/itemProps3.xml><?xml version="1.0" encoding="utf-8"?>
<ds:datastoreItem xmlns:ds="http://schemas.openxmlformats.org/officeDocument/2006/customXml" ds:itemID="{5E9EAFC8-FB04-4D3F-AA4A-7852762E67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982</Characters>
  <Application>Microsoft Office Word</Application>
  <DocSecurity>0</DocSecurity>
  <Lines>8</Lines>
  <Paragraphs>2</Paragraphs>
  <ScaleCrop>false</ScaleCrop>
  <Company>OHCHR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阿菲瓦－金德纳•侯胡埃多女士（Afiwa-Kindena HOHOUETO）</dc:title>
  <dc:subject/>
  <dc:creator>Yan</dc:creator>
  <cp:keywords/>
  <dc:description/>
  <cp:lastModifiedBy>Yan</cp:lastModifiedBy>
  <cp:revision>2</cp:revision>
  <dcterms:created xsi:type="dcterms:W3CDTF">2014-02-11T15:13:00Z</dcterms:created>
  <dcterms:modified xsi:type="dcterms:W3CDTF">2014-02-11T15:15:00Z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2230600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