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05" w:rsidRPr="00856887" w:rsidRDefault="00FE5D05" w:rsidP="00F92D6C">
      <w:pPr>
        <w:pStyle w:val="H1GC"/>
        <w:spacing w:before="240"/>
      </w:pPr>
      <w:r w:rsidRPr="00AC4ED8">
        <w:tab/>
      </w:r>
      <w:r w:rsidRPr="00AC4ED8">
        <w:tab/>
      </w:r>
      <w:r w:rsidRPr="00856887">
        <w:rPr>
          <w:rFonts w:ascii="MS Mincho" w:hAnsi="MS Mincho" w:cs="MS Mincho" w:hint="eastAsia"/>
        </w:rPr>
        <w:t>穆勒哈姆</w:t>
      </w:r>
      <w:r w:rsidRPr="00856887">
        <w:rPr>
          <w:rFonts w:hint="eastAsia"/>
        </w:rPr>
        <w:t>·</w:t>
      </w:r>
      <w:r w:rsidRPr="00856887">
        <w:rPr>
          <w:rFonts w:ascii="MS Mincho" w:hAnsi="MS Mincho" w:cs="MS Mincho" w:hint="eastAsia"/>
        </w:rPr>
        <w:t>哈拉夫先生</w:t>
      </w:r>
      <w:r w:rsidRPr="00856887">
        <w:t>(</w:t>
      </w:r>
      <w:r w:rsidRPr="00856887">
        <w:t>黎巴嫩</w:t>
      </w:r>
      <w:r w:rsidRPr="00856887">
        <w:t>)</w:t>
      </w:r>
    </w:p>
    <w:p w:rsidR="00FE5D05" w:rsidRPr="00FA2CE5" w:rsidRDefault="00FE5D05" w:rsidP="00F92D6C">
      <w:pPr>
        <w:pStyle w:val="SingleTxtGC"/>
        <w:rPr>
          <w:lang w:val="en-GB"/>
        </w:rPr>
      </w:pPr>
      <w:r w:rsidRPr="00BD442D">
        <w:rPr>
          <w:rFonts w:eastAsia="SimHei" w:hint="eastAsia"/>
        </w:rPr>
        <w:t>出生日期和地点</w:t>
      </w:r>
      <w:r w:rsidRPr="00BD442D">
        <w:rPr>
          <w:rFonts w:eastAsia="SimHei"/>
        </w:rPr>
        <w:t>：</w:t>
      </w:r>
      <w:r>
        <w:rPr>
          <w:rFonts w:hint="eastAsia"/>
          <w:bCs/>
          <w:lang w:val="fr-FR"/>
        </w:rPr>
        <w:t>1962</w:t>
      </w:r>
      <w:r w:rsidRPr="002946C0">
        <w:rPr>
          <w:rFonts w:hint="eastAsia"/>
          <w:bCs/>
          <w:lang w:val="en-GB"/>
        </w:rPr>
        <w:t>年</w:t>
      </w:r>
      <w:r>
        <w:rPr>
          <w:rFonts w:hint="eastAsia"/>
          <w:bCs/>
          <w:lang w:val="fr-FR"/>
        </w:rPr>
        <w:t>1</w:t>
      </w:r>
      <w:r w:rsidRPr="002946C0">
        <w:rPr>
          <w:rFonts w:hint="eastAsia"/>
          <w:bCs/>
          <w:lang w:val="en-GB"/>
        </w:rPr>
        <w:t>月</w:t>
      </w:r>
      <w:r>
        <w:rPr>
          <w:rFonts w:hint="eastAsia"/>
          <w:bCs/>
          <w:lang w:val="fr-FR"/>
        </w:rPr>
        <w:t>20</w:t>
      </w:r>
      <w:r w:rsidRPr="002946C0">
        <w:rPr>
          <w:rFonts w:hint="eastAsia"/>
          <w:bCs/>
          <w:lang w:val="en-GB"/>
        </w:rPr>
        <w:t>日</w:t>
      </w:r>
      <w:r>
        <w:rPr>
          <w:rFonts w:hint="eastAsia"/>
          <w:bCs/>
          <w:lang w:val="en-GB"/>
        </w:rPr>
        <w:t>，</w:t>
      </w:r>
      <w:r>
        <w:rPr>
          <w:rFonts w:hint="eastAsia"/>
          <w:lang w:val="fr-FR"/>
        </w:rPr>
        <w:t>黎巴嫩贝鲁特</w:t>
      </w:r>
    </w:p>
    <w:p w:rsidR="00FE5D05" w:rsidRPr="00E742DA" w:rsidRDefault="00FE5D05" w:rsidP="00F92D6C">
      <w:pPr>
        <w:pStyle w:val="SingleTxtGC"/>
        <w:rPr>
          <w:lang w:val="fr-FR"/>
        </w:rPr>
      </w:pPr>
      <w:r w:rsidRPr="00BD442D">
        <w:rPr>
          <w:rFonts w:eastAsia="SimHei"/>
        </w:rPr>
        <w:t>工作语言：</w:t>
      </w:r>
      <w:r w:rsidRPr="00E742DA">
        <w:rPr>
          <w:rFonts w:hint="eastAsia"/>
          <w:lang w:val="fr-FR"/>
        </w:rPr>
        <w:t>阿拉伯语与法语流利</w:t>
      </w:r>
      <w:r>
        <w:rPr>
          <w:rFonts w:hint="eastAsia"/>
          <w:lang w:val="fr-FR"/>
        </w:rPr>
        <w:t>，</w:t>
      </w:r>
      <w:r w:rsidRPr="00E742DA">
        <w:rPr>
          <w:rFonts w:hint="eastAsia"/>
          <w:lang w:val="fr-FR"/>
        </w:rPr>
        <w:t>英语达到中等水平</w:t>
      </w:r>
    </w:p>
    <w:p w:rsidR="00FE5D05" w:rsidRPr="00BD442D" w:rsidRDefault="00FE5D05" w:rsidP="00F92D6C">
      <w:pPr>
        <w:pStyle w:val="SingleTxtGC"/>
        <w:rPr>
          <w:rFonts w:eastAsia="SimHei"/>
        </w:rPr>
      </w:pPr>
      <w:r w:rsidRPr="00BD442D">
        <w:rPr>
          <w:rFonts w:eastAsia="SimHei"/>
        </w:rPr>
        <w:t>现任职位</w:t>
      </w:r>
      <w:r w:rsidRPr="00BD442D">
        <w:rPr>
          <w:rFonts w:eastAsia="SimHei"/>
        </w:rPr>
        <w:t>/</w:t>
      </w:r>
      <w:r w:rsidRPr="00BD442D">
        <w:rPr>
          <w:rFonts w:eastAsia="SimHei"/>
        </w:rPr>
        <w:t>职务：</w:t>
      </w:r>
    </w:p>
    <w:p w:rsidR="00FE5D05" w:rsidRPr="00AC4ED8" w:rsidRDefault="00FE5D05" w:rsidP="00F92D6C">
      <w:pPr>
        <w:pStyle w:val="SingleTxtGC"/>
      </w:pPr>
      <w:r>
        <w:rPr>
          <w:rFonts w:hint="eastAsia"/>
        </w:rPr>
        <w:t>律师、大学教授、民间社会活动家</w:t>
      </w:r>
    </w:p>
    <w:p w:rsidR="00FE5D05" w:rsidRPr="00BD442D" w:rsidRDefault="00FE5D05" w:rsidP="00F92D6C">
      <w:pPr>
        <w:pStyle w:val="SingleTxtGC"/>
        <w:rPr>
          <w:rFonts w:eastAsia="SimHei"/>
        </w:rPr>
      </w:pPr>
      <w:r w:rsidRPr="00BD442D">
        <w:rPr>
          <w:rFonts w:eastAsia="SimHei"/>
        </w:rPr>
        <w:t>职业经历：</w:t>
      </w:r>
    </w:p>
    <w:p w:rsidR="00FE5D05" w:rsidRPr="00AC4ED8" w:rsidRDefault="00FE5D05" w:rsidP="00F92D6C">
      <w:pPr>
        <w:pStyle w:val="SingleTxtGC"/>
        <w:spacing w:line="300" w:lineRule="exact"/>
      </w:pPr>
      <w:r>
        <w:t>2</w:t>
      </w:r>
      <w:r w:rsidRPr="00AC4ED8">
        <w:t>00</w:t>
      </w:r>
      <w:r>
        <w:t>5</w:t>
      </w:r>
      <w:r>
        <w:rPr>
          <w:rFonts w:hint="eastAsia"/>
        </w:rPr>
        <w:t>年</w:t>
      </w:r>
      <w:r>
        <w:rPr>
          <w:rFonts w:hint="eastAsia"/>
        </w:rPr>
        <w:t>1</w:t>
      </w:r>
      <w:r>
        <w:rPr>
          <w:rFonts w:hint="eastAsia"/>
        </w:rPr>
        <w:t>月至今：</w:t>
      </w:r>
      <w:r w:rsidRPr="008229DD">
        <w:rPr>
          <w:rFonts w:ascii="MS Mincho" w:eastAsia="MS Mincho" w:hAnsi="MS Mincho" w:cs="MS Mincho" w:hint="eastAsia"/>
          <w:szCs w:val="24"/>
        </w:rPr>
        <w:t>哈拉夫</w:t>
      </w:r>
      <w:r>
        <w:rPr>
          <w:rFonts w:ascii="SimSun" w:hAnsi="SimSun" w:cs="MS Mincho" w:hint="eastAsia"/>
          <w:szCs w:val="24"/>
        </w:rPr>
        <w:t>律师事务所创始合伙人，</w:t>
      </w:r>
      <w:r>
        <w:t>黎巴嫩</w:t>
      </w:r>
      <w:r>
        <w:rPr>
          <w:rFonts w:hint="eastAsia"/>
        </w:rPr>
        <w:t>贝鲁特</w:t>
      </w:r>
    </w:p>
    <w:p w:rsidR="00FE5D05" w:rsidRPr="00AC4ED8" w:rsidRDefault="00FE5D05" w:rsidP="00F92D6C">
      <w:pPr>
        <w:pStyle w:val="SingleTxtGC"/>
        <w:spacing w:line="300" w:lineRule="exact"/>
      </w:pPr>
      <w:r w:rsidRPr="005F5964">
        <w:rPr>
          <w:rFonts w:ascii="MS Mincho" w:hAnsi="MS Mincho" w:cs="MS Mincho" w:hint="eastAsia"/>
          <w:szCs w:val="24"/>
        </w:rPr>
        <w:t>哈拉夫</w:t>
      </w:r>
      <w:r>
        <w:rPr>
          <w:rFonts w:ascii="SimSun" w:hAnsi="SimSun" w:cs="MS Mincho" w:hint="eastAsia"/>
          <w:szCs w:val="24"/>
        </w:rPr>
        <w:t>律师事务所是一家知名律师事务所，其执业重点领域包括以下方面：</w:t>
      </w:r>
    </w:p>
    <w:p w:rsidR="00FE5D05" w:rsidRPr="00AC4ED8" w:rsidRDefault="00FE5D05" w:rsidP="00FE5D05">
      <w:pPr>
        <w:pStyle w:val="Bullet1GC"/>
        <w:numPr>
          <w:ilvl w:val="0"/>
          <w:numId w:val="2"/>
        </w:numPr>
      </w:pPr>
      <w:r>
        <w:rPr>
          <w:rFonts w:hint="eastAsia"/>
        </w:rPr>
        <w:t>公司法、民法、房地产法、知识产权法、劳动法；</w:t>
      </w:r>
    </w:p>
    <w:p w:rsidR="00FE5D05" w:rsidRPr="00AC4ED8" w:rsidRDefault="00FE5D05" w:rsidP="00FE5D05">
      <w:pPr>
        <w:pStyle w:val="Bullet1GC"/>
        <w:numPr>
          <w:ilvl w:val="0"/>
          <w:numId w:val="2"/>
        </w:numPr>
      </w:pPr>
      <w:r>
        <w:rPr>
          <w:rFonts w:hint="eastAsia"/>
        </w:rPr>
        <w:t>互联网和技术法；</w:t>
      </w:r>
    </w:p>
    <w:p w:rsidR="00FE5D05" w:rsidRPr="00AC4ED8" w:rsidRDefault="00FE5D05" w:rsidP="00FE5D05">
      <w:pPr>
        <w:pStyle w:val="Bullet1GC"/>
        <w:numPr>
          <w:ilvl w:val="0"/>
          <w:numId w:val="2"/>
        </w:numPr>
      </w:pPr>
      <w:r>
        <w:rPr>
          <w:rFonts w:hint="eastAsia"/>
        </w:rPr>
        <w:t>刑法</w:t>
      </w:r>
      <w:r>
        <w:t>(</w:t>
      </w:r>
      <w:r>
        <w:rPr>
          <w:rFonts w:hint="eastAsia"/>
        </w:rPr>
        <w:t>儿童权利、囚犯的权利</w:t>
      </w:r>
      <w:r>
        <w:rPr>
          <w:rFonts w:hint="eastAsia"/>
        </w:rPr>
        <w:t>)</w:t>
      </w:r>
      <w:r>
        <w:rPr>
          <w:rFonts w:hint="eastAsia"/>
        </w:rPr>
        <w:t>；</w:t>
      </w:r>
    </w:p>
    <w:p w:rsidR="00FE5D05" w:rsidRPr="00AC4ED8" w:rsidRDefault="00FE5D05" w:rsidP="00FE5D05">
      <w:pPr>
        <w:pStyle w:val="Bullet1GC"/>
        <w:numPr>
          <w:ilvl w:val="0"/>
          <w:numId w:val="2"/>
        </w:numPr>
      </w:pPr>
      <w:r>
        <w:rPr>
          <w:rFonts w:hint="eastAsia"/>
        </w:rPr>
        <w:t>海外公司服务。</w:t>
      </w:r>
    </w:p>
    <w:p w:rsidR="00FE5D05" w:rsidRPr="00AC4ED8" w:rsidRDefault="00FE5D05" w:rsidP="00F92D6C">
      <w:pPr>
        <w:pStyle w:val="SingleTxtGC"/>
        <w:spacing w:line="300" w:lineRule="exact"/>
      </w:pPr>
      <w:r>
        <w:t>1991</w:t>
      </w:r>
      <w:r>
        <w:rPr>
          <w:rFonts w:hint="eastAsia"/>
        </w:rPr>
        <w:t>年</w:t>
      </w:r>
      <w:r>
        <w:rPr>
          <w:rFonts w:hint="eastAsia"/>
        </w:rPr>
        <w:t>-</w:t>
      </w:r>
      <w:r>
        <w:t>2</w:t>
      </w:r>
      <w:r w:rsidRPr="00AC4ED8">
        <w:t>00</w:t>
      </w:r>
      <w:r>
        <w:t>4</w:t>
      </w:r>
      <w:r>
        <w:rPr>
          <w:rFonts w:hint="eastAsia"/>
        </w:rPr>
        <w:t>年</w:t>
      </w:r>
      <w:r>
        <w:rPr>
          <w:rFonts w:hint="eastAsia"/>
        </w:rPr>
        <w:t>12</w:t>
      </w:r>
      <w:r>
        <w:rPr>
          <w:rFonts w:hint="eastAsia"/>
        </w:rPr>
        <w:t>月：</w:t>
      </w:r>
      <w:r>
        <w:t>Fayez</w:t>
      </w:r>
      <w:r w:rsidRPr="00AC4ED8">
        <w:t xml:space="preserve"> </w:t>
      </w:r>
      <w:r>
        <w:t>Hajj</w:t>
      </w:r>
      <w:r w:rsidRPr="00AC4ED8">
        <w:t xml:space="preserve"> </w:t>
      </w:r>
      <w:proofErr w:type="spellStart"/>
      <w:r>
        <w:t>Chahine</w:t>
      </w:r>
      <w:proofErr w:type="spellEnd"/>
      <w:r>
        <w:rPr>
          <w:rFonts w:hint="eastAsia"/>
        </w:rPr>
        <w:t>律师事务所高级顾问，</w:t>
      </w:r>
      <w:r>
        <w:t>黎巴嫩</w:t>
      </w:r>
      <w:r>
        <w:rPr>
          <w:rFonts w:hint="eastAsia"/>
        </w:rPr>
        <w:t>贝鲁特</w:t>
      </w:r>
    </w:p>
    <w:p w:rsidR="00FE5D05" w:rsidRPr="00AC4ED8" w:rsidRDefault="00FE5D05" w:rsidP="00F92D6C">
      <w:pPr>
        <w:pStyle w:val="SingleTxtGC"/>
        <w:spacing w:line="300" w:lineRule="exact"/>
      </w:pPr>
      <w:r>
        <w:t>Fayez</w:t>
      </w:r>
      <w:r w:rsidRPr="00AC4ED8">
        <w:t xml:space="preserve"> </w:t>
      </w:r>
      <w:r>
        <w:t>Hajj</w:t>
      </w:r>
      <w:r w:rsidRPr="00AC4ED8">
        <w:t xml:space="preserve"> </w:t>
      </w:r>
      <w:proofErr w:type="spellStart"/>
      <w:r>
        <w:t>Chahine</w:t>
      </w:r>
      <w:proofErr w:type="spellEnd"/>
      <w:r>
        <w:rPr>
          <w:rFonts w:hint="eastAsia"/>
        </w:rPr>
        <w:t>教授律师事务所是黎巴嫩的知名律师事务所，该事务所的两名主要合伙人都分别担任过贝鲁特圣约瑟夫大学法律和政治科学系系主任这一重要职务。参与诉讼部门事务。</w:t>
      </w:r>
    </w:p>
    <w:p w:rsidR="00FE5D05" w:rsidRPr="00AC4ED8" w:rsidRDefault="00FE5D05" w:rsidP="00F92D6C">
      <w:pPr>
        <w:pStyle w:val="SingleTxtGC"/>
        <w:spacing w:line="300" w:lineRule="exact"/>
      </w:pPr>
      <w:r>
        <w:t>1989</w:t>
      </w:r>
      <w:r>
        <w:rPr>
          <w:rFonts w:hint="eastAsia"/>
        </w:rPr>
        <w:t>年：</w:t>
      </w:r>
      <w:proofErr w:type="gramStart"/>
      <w:r>
        <w:rPr>
          <w:rFonts w:hint="eastAsia"/>
        </w:rPr>
        <w:t>在法国国家科研中心</w:t>
      </w:r>
      <w:r>
        <w:rPr>
          <w:rFonts w:hint="eastAsia"/>
        </w:rPr>
        <w:t>(</w:t>
      </w:r>
      <w:proofErr w:type="gramEnd"/>
      <w:r>
        <w:t>CNRS</w:t>
      </w:r>
      <w:r>
        <w:rPr>
          <w:rFonts w:hint="eastAsia"/>
        </w:rPr>
        <w:t>)</w:t>
      </w:r>
      <w:r>
        <w:rPr>
          <w:rFonts w:hint="eastAsia"/>
        </w:rPr>
        <w:t>实习，法国巴黎</w:t>
      </w:r>
    </w:p>
    <w:p w:rsidR="00FE5D05" w:rsidRPr="00AC4ED8" w:rsidRDefault="00FE5D05" w:rsidP="00F92D6C">
      <w:pPr>
        <w:pStyle w:val="SingleTxtGC"/>
        <w:spacing w:line="300" w:lineRule="exact"/>
      </w:pPr>
      <w:r>
        <w:rPr>
          <w:rFonts w:hint="eastAsia"/>
        </w:rPr>
        <w:t>法国国家科研中心是一家公共研究机构，由法国政府提供资金，进行涉及科学、人文、社会和法律等广泛门类的各种研究。</w:t>
      </w:r>
    </w:p>
    <w:p w:rsidR="00FE5D05" w:rsidRPr="00BD442D" w:rsidRDefault="00FE5D05" w:rsidP="00F92D6C">
      <w:pPr>
        <w:pStyle w:val="SingleTxtGC"/>
        <w:rPr>
          <w:rFonts w:eastAsia="SimHei"/>
        </w:rPr>
      </w:pPr>
      <w:r w:rsidRPr="00BD442D">
        <w:rPr>
          <w:rFonts w:eastAsia="SimHei" w:hint="eastAsia"/>
        </w:rPr>
        <w:t>学术经历：</w:t>
      </w:r>
    </w:p>
    <w:p w:rsidR="00FE5D05" w:rsidRPr="00AC4ED8" w:rsidRDefault="00FE5D05" w:rsidP="00F92D6C">
      <w:pPr>
        <w:pStyle w:val="SingleTxtGC"/>
        <w:spacing w:line="300" w:lineRule="exact"/>
      </w:pPr>
      <w:r>
        <w:t>2</w:t>
      </w:r>
      <w:r w:rsidRPr="00AC4ED8">
        <w:t>00</w:t>
      </w:r>
      <w:r>
        <w:t>5</w:t>
      </w:r>
      <w:r>
        <w:rPr>
          <w:rFonts w:hint="eastAsia"/>
        </w:rPr>
        <w:t>年至今：阿拉伯国家法律课程讲师，圣约瑟夫大学法律和政治科学系，黎巴嫩贝鲁特</w:t>
      </w:r>
    </w:p>
    <w:p w:rsidR="00FE5D05" w:rsidRDefault="00FE5D05" w:rsidP="00F92D6C">
      <w:pPr>
        <w:pStyle w:val="SingleTxtGC"/>
        <w:spacing w:line="300" w:lineRule="exact"/>
      </w:pPr>
      <w:r>
        <w:t>2</w:t>
      </w:r>
      <w:r w:rsidRPr="00AC4ED8">
        <w:t>00</w:t>
      </w:r>
      <w:r>
        <w:t>1</w:t>
      </w:r>
      <w:r>
        <w:rPr>
          <w:rFonts w:hint="eastAsia"/>
        </w:rPr>
        <w:t>-</w:t>
      </w:r>
      <w:r>
        <w:t>2</w:t>
      </w:r>
      <w:r w:rsidRPr="00AC4ED8">
        <w:t>00</w:t>
      </w:r>
      <w:r>
        <w:t>9</w:t>
      </w:r>
      <w:r>
        <w:rPr>
          <w:rFonts w:hint="eastAsia"/>
        </w:rPr>
        <w:t>年：信息技术合同研究生课程讲师，圣约瑟夫大学工商管理学院，黎巴嫩贝鲁特</w:t>
      </w:r>
    </w:p>
    <w:p w:rsidR="00FE5D05" w:rsidRPr="00AC4ED8" w:rsidRDefault="00FE5D05" w:rsidP="00F92D6C">
      <w:pPr>
        <w:pStyle w:val="SingleTxtGC"/>
        <w:spacing w:line="300" w:lineRule="exact"/>
      </w:pPr>
      <w:r>
        <w:t>2</w:t>
      </w:r>
      <w:r w:rsidRPr="00AC4ED8">
        <w:t>00</w:t>
      </w:r>
      <w:r>
        <w:t>6</w:t>
      </w:r>
      <w:r>
        <w:rPr>
          <w:rFonts w:hint="eastAsia"/>
        </w:rPr>
        <w:t>-</w:t>
      </w:r>
      <w:r>
        <w:t>2</w:t>
      </w:r>
      <w:r w:rsidRPr="00AC4ED8">
        <w:t>00</w:t>
      </w:r>
      <w:r>
        <w:t>7</w:t>
      </w:r>
      <w:r>
        <w:rPr>
          <w:rFonts w:hint="eastAsia"/>
        </w:rPr>
        <w:t>年：</w:t>
      </w:r>
      <w:proofErr w:type="gramStart"/>
      <w:r>
        <w:rPr>
          <w:rFonts w:hint="eastAsia"/>
        </w:rPr>
        <w:t>人权法和人道主义法课程</w:t>
      </w:r>
      <w:r>
        <w:rPr>
          <w:rFonts w:hint="eastAsia"/>
        </w:rPr>
        <w:t>(</w:t>
      </w:r>
      <w:proofErr w:type="gramEnd"/>
      <w:r>
        <w:rPr>
          <w:rFonts w:hint="eastAsia"/>
        </w:rPr>
        <w:t>上述两个院系的联合课程</w:t>
      </w:r>
      <w:r>
        <w:rPr>
          <w:rFonts w:hint="eastAsia"/>
        </w:rPr>
        <w:t>)</w:t>
      </w:r>
      <w:r>
        <w:rPr>
          <w:rFonts w:hint="eastAsia"/>
        </w:rPr>
        <w:t>讲师，圣约瑟夫大学宗教科学系和文学及人类科学系，</w:t>
      </w:r>
      <w:r>
        <w:t>黎巴嫩</w:t>
      </w:r>
      <w:r>
        <w:rPr>
          <w:rFonts w:hint="eastAsia"/>
        </w:rPr>
        <w:t>贝鲁特</w:t>
      </w:r>
    </w:p>
    <w:p w:rsidR="00FE5D05" w:rsidRPr="00AC4ED8" w:rsidRDefault="00FE5D05" w:rsidP="00F92D6C">
      <w:pPr>
        <w:pStyle w:val="SingleTxtGC"/>
        <w:spacing w:line="300" w:lineRule="exact"/>
      </w:pPr>
      <w:r>
        <w:t>1995</w:t>
      </w:r>
      <w:r>
        <w:rPr>
          <w:rFonts w:hint="eastAsia"/>
        </w:rPr>
        <w:t>-</w:t>
      </w:r>
      <w:r>
        <w:t>2</w:t>
      </w:r>
      <w:r w:rsidRPr="00AC4ED8">
        <w:t>00</w:t>
      </w:r>
      <w:r>
        <w:t>4</w:t>
      </w:r>
      <w:r>
        <w:rPr>
          <w:rFonts w:hint="eastAsia"/>
        </w:rPr>
        <w:t>年：法国蒙彼利埃大学和黎巴嫩贝鲁特圣约瑟夫大学法律和政治科学系合办的“法律和信息技术大学文凭”创始人</w:t>
      </w:r>
    </w:p>
    <w:p w:rsidR="00FE5D05" w:rsidRPr="00AC4ED8" w:rsidRDefault="00FE5D05" w:rsidP="00F92D6C">
      <w:pPr>
        <w:pStyle w:val="SingleTxtGC"/>
        <w:spacing w:line="300" w:lineRule="exact"/>
      </w:pPr>
      <w:r>
        <w:t>199</w:t>
      </w:r>
      <w:r w:rsidRPr="00AC4ED8">
        <w:t>0</w:t>
      </w:r>
      <w:r>
        <w:rPr>
          <w:rFonts w:hint="eastAsia"/>
        </w:rPr>
        <w:t>-</w:t>
      </w:r>
      <w:r>
        <w:t>1996</w:t>
      </w:r>
      <w:r>
        <w:rPr>
          <w:rFonts w:hint="eastAsia"/>
        </w:rPr>
        <w:t>年</w:t>
      </w:r>
      <w:r>
        <w:t>：</w:t>
      </w:r>
      <w:r>
        <w:rPr>
          <w:rFonts w:hint="eastAsia"/>
        </w:rPr>
        <w:t>民法和特殊合同课程讲师，圣约瑟夫大学法律和政治科学系，黎巴嫩贝鲁特</w:t>
      </w:r>
    </w:p>
    <w:p w:rsidR="00FE5D05" w:rsidRPr="00AC4ED8" w:rsidRDefault="00FE5D05" w:rsidP="00F92D6C">
      <w:pPr>
        <w:pStyle w:val="SingleTxtGC"/>
        <w:spacing w:line="300" w:lineRule="exact"/>
      </w:pPr>
      <w:r>
        <w:t>2</w:t>
      </w:r>
      <w:r w:rsidRPr="00AC4ED8">
        <w:t>0</w:t>
      </w:r>
      <w:r>
        <w:t>11</w:t>
      </w:r>
      <w:r>
        <w:rPr>
          <w:rFonts w:hint="eastAsia"/>
        </w:rPr>
        <w:t>年</w:t>
      </w:r>
      <w:r>
        <w:rPr>
          <w:rFonts w:hint="eastAsia"/>
        </w:rPr>
        <w:t>12</w:t>
      </w:r>
      <w:r>
        <w:rPr>
          <w:rFonts w:hint="eastAsia"/>
        </w:rPr>
        <w:t>月：法律博士学位评审团成员，论文题目：不同类型电子合同，</w:t>
      </w:r>
      <w:r w:rsidRPr="009B23F5">
        <w:t>普瓦提埃大学</w:t>
      </w:r>
      <w:r>
        <w:rPr>
          <w:rFonts w:hint="eastAsia"/>
        </w:rPr>
        <w:t>法律系，法国普瓦提埃</w:t>
      </w:r>
    </w:p>
    <w:p w:rsidR="00FE5D05" w:rsidRPr="00AC4ED8" w:rsidRDefault="00FE5D05" w:rsidP="00F92D6C">
      <w:pPr>
        <w:pStyle w:val="SingleTxtGC"/>
        <w:spacing w:line="300" w:lineRule="exact"/>
      </w:pPr>
      <w:r>
        <w:lastRenderedPageBreak/>
        <w:t>2</w:t>
      </w:r>
      <w:r w:rsidRPr="00AC4ED8">
        <w:t>0</w:t>
      </w:r>
      <w:r>
        <w:t>1</w:t>
      </w:r>
      <w:r w:rsidRPr="00AC4ED8">
        <w:t>0</w:t>
      </w:r>
      <w:r>
        <w:rPr>
          <w:rFonts w:hint="eastAsia"/>
        </w:rPr>
        <w:t>年</w:t>
      </w:r>
      <w:r>
        <w:rPr>
          <w:rFonts w:hint="eastAsia"/>
        </w:rPr>
        <w:t>4</w:t>
      </w:r>
      <w:r>
        <w:rPr>
          <w:rFonts w:hint="eastAsia"/>
        </w:rPr>
        <w:t>月：法律博士学位评审团成员，论文题目：国际社会的演变对民主化进程的影响，圣约瑟夫大学法律和政治科学系，黎巴嫩贝鲁特</w:t>
      </w:r>
    </w:p>
    <w:p w:rsidR="00FE5D05" w:rsidRPr="00AC4ED8" w:rsidRDefault="00FE5D05" w:rsidP="00F92D6C">
      <w:pPr>
        <w:pStyle w:val="SingleTxtGC"/>
        <w:spacing w:line="300" w:lineRule="exact"/>
      </w:pPr>
      <w:r>
        <w:t>2</w:t>
      </w:r>
      <w:r w:rsidRPr="00AC4ED8">
        <w:t>00</w:t>
      </w:r>
      <w:r>
        <w:t>8</w:t>
      </w:r>
      <w:r>
        <w:rPr>
          <w:rFonts w:hint="eastAsia"/>
        </w:rPr>
        <w:t>年</w:t>
      </w:r>
      <w:r>
        <w:rPr>
          <w:rFonts w:hint="eastAsia"/>
        </w:rPr>
        <w:t>7</w:t>
      </w:r>
      <w:r>
        <w:rPr>
          <w:rFonts w:hint="eastAsia"/>
        </w:rPr>
        <w:t>月：法律博士学位评审团成员，论文题目：法国和黎巴嫩司法体系中的少年司法问题，先贤祠</w:t>
      </w:r>
      <w:r>
        <w:rPr>
          <w:rFonts w:hint="eastAsia"/>
        </w:rPr>
        <w:t>-</w:t>
      </w:r>
      <w:r>
        <w:rPr>
          <w:rFonts w:hint="eastAsia"/>
        </w:rPr>
        <w:t>索邦巴黎第一大学，</w:t>
      </w:r>
      <w:r>
        <w:t>法国</w:t>
      </w:r>
      <w:r>
        <w:rPr>
          <w:rFonts w:hint="eastAsia"/>
        </w:rPr>
        <w:t>巴黎</w:t>
      </w:r>
    </w:p>
    <w:p w:rsidR="00FE5D05" w:rsidRPr="00AC4ED8" w:rsidRDefault="00FE5D05" w:rsidP="00F92D6C">
      <w:pPr>
        <w:pStyle w:val="SingleTxtGC"/>
        <w:spacing w:line="300" w:lineRule="exact"/>
      </w:pPr>
      <w:r>
        <w:t>2</w:t>
      </w:r>
      <w:r w:rsidRPr="00AC4ED8">
        <w:t>00</w:t>
      </w:r>
      <w:r>
        <w:t>3</w:t>
      </w:r>
      <w:r>
        <w:rPr>
          <w:rFonts w:hint="eastAsia"/>
        </w:rPr>
        <w:t>年</w:t>
      </w:r>
      <w:r>
        <w:rPr>
          <w:rFonts w:hint="eastAsia"/>
        </w:rPr>
        <w:t>1</w:t>
      </w:r>
      <w:r>
        <w:rPr>
          <w:rFonts w:hint="eastAsia"/>
        </w:rPr>
        <w:t>月：法律博士学位评审团成员，论文题目：商标法律制度，里尔第二大学，</w:t>
      </w:r>
      <w:r>
        <w:t>法国</w:t>
      </w:r>
      <w:r>
        <w:rPr>
          <w:rFonts w:hint="eastAsia"/>
        </w:rPr>
        <w:t>里尔</w:t>
      </w:r>
    </w:p>
    <w:p w:rsidR="00FE5D05" w:rsidRPr="00AC4ED8" w:rsidRDefault="00FE5D05" w:rsidP="00F92D6C">
      <w:pPr>
        <w:pStyle w:val="SingleTxtGC"/>
        <w:spacing w:line="300" w:lineRule="exact"/>
      </w:pPr>
      <w:r>
        <w:t>1997</w:t>
      </w:r>
      <w:r>
        <w:rPr>
          <w:rFonts w:hint="eastAsia"/>
        </w:rPr>
        <w:t>-</w:t>
      </w:r>
      <w:r>
        <w:t>2</w:t>
      </w:r>
      <w:r w:rsidRPr="00AC4ED8">
        <w:t>00</w:t>
      </w:r>
      <w:r>
        <w:t>2</w:t>
      </w:r>
      <w:r>
        <w:rPr>
          <w:rFonts w:hint="eastAsia"/>
        </w:rPr>
        <w:t>年：由</w:t>
      </w:r>
      <w:r>
        <w:t>Michel</w:t>
      </w:r>
      <w:r w:rsidRPr="00AC4ED8">
        <w:t xml:space="preserve"> </w:t>
      </w:r>
      <w:r>
        <w:t>BIBENT</w:t>
      </w:r>
      <w:r>
        <w:rPr>
          <w:rFonts w:hint="eastAsia"/>
        </w:rPr>
        <w:t>教授牵头的关于“法律和信息技术”研究小组成员，蒙彼利埃大学，法国蒙彼利埃</w:t>
      </w:r>
    </w:p>
    <w:p w:rsidR="00FE5D05" w:rsidRPr="00AC4ED8" w:rsidRDefault="00FE5D05" w:rsidP="00F92D6C">
      <w:pPr>
        <w:pStyle w:val="SingleTxtGC"/>
        <w:spacing w:line="300" w:lineRule="exact"/>
      </w:pPr>
      <w:r>
        <w:t>1994</w:t>
      </w:r>
      <w:r>
        <w:rPr>
          <w:rFonts w:hint="eastAsia"/>
        </w:rPr>
        <w:t>年</w:t>
      </w:r>
      <w:r>
        <w:rPr>
          <w:rFonts w:hint="eastAsia"/>
        </w:rPr>
        <w:t>6</w:t>
      </w:r>
      <w:r>
        <w:rPr>
          <w:rFonts w:hint="eastAsia"/>
        </w:rPr>
        <w:t>月：法律博士学位评审团成员，论文题目：知识代表性和电子百科全书：了解穆斯林婚姻法的电子模式，蒙彼利埃大学，法国蒙彼利埃</w:t>
      </w:r>
    </w:p>
    <w:p w:rsidR="00FE5D05" w:rsidRPr="00BD442D" w:rsidRDefault="00FE5D05" w:rsidP="00F92D6C">
      <w:pPr>
        <w:pStyle w:val="SingleTxtGC"/>
        <w:rPr>
          <w:rFonts w:eastAsia="SimHei"/>
        </w:rPr>
      </w:pPr>
      <w:r w:rsidRPr="00BD442D">
        <w:rPr>
          <w:rFonts w:eastAsia="SimHei" w:hint="eastAsia"/>
        </w:rPr>
        <w:t>学历：</w:t>
      </w:r>
    </w:p>
    <w:p w:rsidR="00FE5D05" w:rsidRPr="00AC4ED8" w:rsidRDefault="00FE5D05" w:rsidP="005F5964">
      <w:pPr>
        <w:pStyle w:val="SingleTxtGC"/>
        <w:spacing w:line="300" w:lineRule="exact"/>
      </w:pPr>
      <w:r>
        <w:t>199</w:t>
      </w:r>
      <w:r w:rsidRPr="00AC4ED8">
        <w:t>0</w:t>
      </w:r>
      <w:r>
        <w:rPr>
          <w:rFonts w:hint="eastAsia"/>
        </w:rPr>
        <w:t>年</w:t>
      </w:r>
      <w:r>
        <w:t>：</w:t>
      </w:r>
      <w:r>
        <w:rPr>
          <w:rFonts w:hint="eastAsia"/>
        </w:rPr>
        <w:t>蒙彼利埃第一大学，法学博士优等毕业。以计算机自动化方式研究伊斯兰继承法</w:t>
      </w:r>
    </w:p>
    <w:p w:rsidR="00FE5D05" w:rsidRPr="00AC4ED8" w:rsidRDefault="00FE5D05" w:rsidP="005F5964">
      <w:pPr>
        <w:pStyle w:val="SingleTxtGC"/>
        <w:spacing w:line="300" w:lineRule="exact"/>
      </w:pPr>
      <w:r>
        <w:t>1986</w:t>
      </w:r>
      <w:r>
        <w:rPr>
          <w:rFonts w:hint="eastAsia"/>
        </w:rPr>
        <w:t>年</w:t>
      </w:r>
      <w:r>
        <w:t>：</w:t>
      </w:r>
      <w:r>
        <w:rPr>
          <w:rFonts w:hint="eastAsia"/>
        </w:rPr>
        <w:t>蒙彼利埃第一大学，信息技术法硕士</w:t>
      </w:r>
    </w:p>
    <w:p w:rsidR="00FE5D05" w:rsidRPr="00AC4ED8" w:rsidRDefault="00FE5D05" w:rsidP="005F5964">
      <w:pPr>
        <w:pStyle w:val="SingleTxtGC"/>
        <w:spacing w:line="300" w:lineRule="exact"/>
      </w:pPr>
      <w:r>
        <w:t>1985</w:t>
      </w:r>
      <w:r>
        <w:rPr>
          <w:rFonts w:hint="eastAsia"/>
        </w:rPr>
        <w:t>年</w:t>
      </w:r>
      <w:r>
        <w:t>：</w:t>
      </w:r>
      <w:r>
        <w:rPr>
          <w:rFonts w:hint="eastAsia"/>
        </w:rPr>
        <w:t>圣约瑟夫大学法律和政治科学系，法学硕士</w:t>
      </w:r>
    </w:p>
    <w:p w:rsidR="00FE5D05" w:rsidRDefault="00FE5D05" w:rsidP="005F5964">
      <w:pPr>
        <w:pStyle w:val="SingleTxtGC"/>
        <w:spacing w:line="300" w:lineRule="exact"/>
        <w:rPr>
          <w:lang w:val="fr-FR"/>
        </w:rPr>
      </w:pPr>
      <w:r>
        <w:rPr>
          <w:lang w:val="fr-FR"/>
        </w:rPr>
        <w:t>198</w:t>
      </w:r>
      <w:r w:rsidRPr="00DB41E7">
        <w:rPr>
          <w:lang w:val="fr-FR"/>
        </w:rPr>
        <w:t>0</w:t>
      </w:r>
      <w:r>
        <w:rPr>
          <w:rFonts w:hint="eastAsia"/>
        </w:rPr>
        <w:t>年</w:t>
      </w:r>
      <w:r>
        <w:rPr>
          <w:lang w:val="fr-FR"/>
        </w:rPr>
        <w:t>：</w:t>
      </w:r>
      <w:proofErr w:type="spellStart"/>
      <w:r>
        <w:rPr>
          <w:lang w:val="fr-FR"/>
        </w:rPr>
        <w:t>Jamhour</w:t>
      </w:r>
      <w:proofErr w:type="spellEnd"/>
      <w:r>
        <w:rPr>
          <w:rFonts w:hint="eastAsia"/>
          <w:lang w:val="fr-FR"/>
        </w:rPr>
        <w:t>圣母学院，高中毕业证书</w:t>
      </w:r>
    </w:p>
    <w:p w:rsidR="00FE5D05" w:rsidRPr="00BD442D" w:rsidRDefault="00FE5D05" w:rsidP="00F92D6C">
      <w:pPr>
        <w:pStyle w:val="SingleTxtGC"/>
        <w:rPr>
          <w:rFonts w:eastAsia="SimHei"/>
          <w:lang w:val="fr-FR"/>
        </w:rPr>
      </w:pPr>
      <w:r w:rsidRPr="00BD442D">
        <w:rPr>
          <w:rFonts w:eastAsia="SimHei" w:hint="eastAsia"/>
        </w:rPr>
        <w:t>各种和平倡议：</w:t>
      </w:r>
    </w:p>
    <w:p w:rsidR="00FE5D05" w:rsidRPr="005F5964" w:rsidRDefault="00FE5D05" w:rsidP="00FE5D05">
      <w:pPr>
        <w:pStyle w:val="Bullet1GC"/>
        <w:numPr>
          <w:ilvl w:val="0"/>
          <w:numId w:val="2"/>
        </w:numPr>
        <w:spacing w:line="300" w:lineRule="exact"/>
      </w:pPr>
      <w:r>
        <w:rPr>
          <w:rFonts w:hint="eastAsia"/>
        </w:rPr>
        <w:t>组织黎巴嫩所有宗教团体代表共同祷告活动</w:t>
      </w:r>
      <w:r w:rsidRPr="005F5964">
        <w:t>(</w:t>
      </w:r>
      <w:r w:rsidRPr="005F5964">
        <w:rPr>
          <w:rFonts w:hint="eastAsia"/>
        </w:rPr>
        <w:t>自</w:t>
      </w:r>
      <w:r w:rsidRPr="005F5964">
        <w:rPr>
          <w:rFonts w:hint="eastAsia"/>
        </w:rPr>
        <w:t>2005</w:t>
      </w:r>
      <w:r w:rsidRPr="005F5964">
        <w:rPr>
          <w:rFonts w:hint="eastAsia"/>
        </w:rPr>
        <w:t>年以来作为公共活动，每年在所有国家电视台直播</w:t>
      </w:r>
      <w:r w:rsidRPr="005F5964">
        <w:rPr>
          <w:rFonts w:hint="eastAsia"/>
        </w:rPr>
        <w:t>)</w:t>
      </w:r>
      <w:r w:rsidRPr="005F5964">
        <w:rPr>
          <w:rFonts w:hint="eastAsia"/>
        </w:rPr>
        <w:t>；</w:t>
      </w:r>
    </w:p>
    <w:p w:rsidR="00FE5D05" w:rsidRPr="00AC4ED8" w:rsidRDefault="00FE5D05" w:rsidP="00FE5D05">
      <w:pPr>
        <w:pStyle w:val="Bullet1GC"/>
        <w:numPr>
          <w:ilvl w:val="0"/>
          <w:numId w:val="2"/>
        </w:numPr>
        <w:spacing w:line="300" w:lineRule="exact"/>
      </w:pPr>
      <w:r>
        <w:rPr>
          <w:rFonts w:hint="eastAsia"/>
        </w:rPr>
        <w:t>在黎巴嫩处于严重政治危机期间组织“为和平行走”活动；</w:t>
      </w:r>
    </w:p>
    <w:p w:rsidR="00FE5D05" w:rsidRPr="00AC4ED8" w:rsidRDefault="00FE5D05" w:rsidP="00FE5D05">
      <w:pPr>
        <w:pStyle w:val="Bullet1GC"/>
        <w:numPr>
          <w:ilvl w:val="0"/>
          <w:numId w:val="2"/>
        </w:numPr>
        <w:spacing w:line="300" w:lineRule="exact"/>
      </w:pPr>
      <w:r>
        <w:rPr>
          <w:rFonts w:hint="eastAsia"/>
        </w:rPr>
        <w:t>推出题为“团结才能解放”的以志愿者为导向的运动，由几百名志愿者在黎巴嫩战争和政治危机的不同关键时点开展实地活动；</w:t>
      </w:r>
    </w:p>
    <w:p w:rsidR="00FE5D05" w:rsidRPr="00AC4ED8" w:rsidRDefault="00FE5D05" w:rsidP="00FE5D05">
      <w:pPr>
        <w:pStyle w:val="Bullet1GC"/>
        <w:numPr>
          <w:ilvl w:val="0"/>
          <w:numId w:val="2"/>
        </w:numPr>
        <w:spacing w:line="300" w:lineRule="exact"/>
      </w:pPr>
      <w:r>
        <w:rPr>
          <w:rFonts w:hint="eastAsia"/>
        </w:rPr>
        <w:t>在汽车炸弹袭击或自然灾害之后进行某些区域的重建工作。</w:t>
      </w:r>
    </w:p>
    <w:p w:rsidR="00FE5D05" w:rsidRPr="00BD442D" w:rsidRDefault="00FE5D05" w:rsidP="00F92D6C">
      <w:pPr>
        <w:pStyle w:val="SingleTxtGC"/>
        <w:rPr>
          <w:rFonts w:eastAsia="SimHei"/>
        </w:rPr>
      </w:pPr>
      <w:r w:rsidRPr="00BD442D">
        <w:rPr>
          <w:rFonts w:eastAsia="SimHei" w:hint="eastAsia"/>
        </w:rPr>
        <w:t>获奖情况：</w:t>
      </w:r>
    </w:p>
    <w:p w:rsidR="00FE5D05" w:rsidRPr="00AC4ED8" w:rsidRDefault="00FE5D05" w:rsidP="00FE5D05">
      <w:pPr>
        <w:pStyle w:val="Bullet1GC"/>
        <w:numPr>
          <w:ilvl w:val="0"/>
          <w:numId w:val="2"/>
        </w:numPr>
        <w:spacing w:line="300" w:lineRule="exact"/>
      </w:pPr>
      <w:r>
        <w:t>2</w:t>
      </w:r>
      <w:r w:rsidRPr="00AC4ED8">
        <w:t>00</w:t>
      </w:r>
      <w:r>
        <w:t>1</w:t>
      </w:r>
      <w:r>
        <w:rPr>
          <w:rFonts w:hint="eastAsia"/>
        </w:rPr>
        <w:t>年</w:t>
      </w:r>
      <w:r>
        <w:t>：</w:t>
      </w:r>
      <w:r>
        <w:rPr>
          <w:rFonts w:hint="eastAsia"/>
        </w:rPr>
        <w:t>因与联合国的信息和联络工作获得法国非政府组织委员会授予的“公民主义和团结奖”；</w:t>
      </w:r>
    </w:p>
    <w:p w:rsidR="00FE5D05" w:rsidRPr="005F5964" w:rsidRDefault="00FE5D05" w:rsidP="00FE5D05">
      <w:pPr>
        <w:pStyle w:val="Bullet1GC"/>
        <w:numPr>
          <w:ilvl w:val="0"/>
          <w:numId w:val="2"/>
        </w:numPr>
        <w:spacing w:line="300" w:lineRule="exact"/>
      </w:pPr>
      <w:r w:rsidRPr="005F5964">
        <w:t>2005</w:t>
      </w:r>
      <w:r w:rsidRPr="005F5964">
        <w:rPr>
          <w:rFonts w:hint="eastAsia"/>
        </w:rPr>
        <w:t>年</w:t>
      </w:r>
      <w:r w:rsidRPr="005F5964">
        <w:t>：</w:t>
      </w:r>
      <w:r w:rsidRPr="005F5964">
        <w:rPr>
          <w:rFonts w:hint="eastAsia"/>
        </w:rPr>
        <w:t>被黎巴嫩周刊“</w:t>
      </w:r>
      <w:r w:rsidRPr="005F5964">
        <w:t>Magazine</w:t>
      </w:r>
      <w:r w:rsidRPr="005F5964">
        <w:rPr>
          <w:rFonts w:hint="eastAsia"/>
        </w:rPr>
        <w:t>”选为黎巴嫩最有影响力的</w:t>
      </w:r>
      <w:r w:rsidRPr="005F5964">
        <w:rPr>
          <w:rFonts w:hint="eastAsia"/>
        </w:rPr>
        <w:t>100</w:t>
      </w:r>
      <w:r w:rsidRPr="005F5964">
        <w:rPr>
          <w:rFonts w:hint="eastAsia"/>
        </w:rPr>
        <w:t>位人物之一；</w:t>
      </w:r>
    </w:p>
    <w:p w:rsidR="00FE5D05" w:rsidRPr="00AC4ED8" w:rsidRDefault="00FE5D05" w:rsidP="00FE5D05">
      <w:pPr>
        <w:pStyle w:val="Bullet1GC"/>
        <w:numPr>
          <w:ilvl w:val="0"/>
          <w:numId w:val="2"/>
        </w:numPr>
        <w:spacing w:line="300" w:lineRule="exact"/>
      </w:pPr>
      <w:r>
        <w:t>2</w:t>
      </w:r>
      <w:r w:rsidRPr="00AC4ED8">
        <w:t>00</w:t>
      </w:r>
      <w:r>
        <w:t>8</w:t>
      </w:r>
      <w:r>
        <w:rPr>
          <w:rFonts w:hint="eastAsia"/>
        </w:rPr>
        <w:t>年</w:t>
      </w:r>
      <w:r>
        <w:t>：</w:t>
      </w:r>
      <w:r>
        <w:rPr>
          <w:rFonts w:hint="eastAsia"/>
        </w:rPr>
        <w:t>获黎巴嫩美国大学和平和正义教育学院</w:t>
      </w:r>
      <w:r>
        <w:rPr>
          <w:rFonts w:hint="eastAsia"/>
        </w:rPr>
        <w:t>2008</w:t>
      </w:r>
      <w:r>
        <w:rPr>
          <w:rFonts w:hint="eastAsia"/>
        </w:rPr>
        <w:t>年“无名英雄奖”</w:t>
      </w:r>
      <w:r>
        <w:rPr>
          <w:rFonts w:hint="eastAsia"/>
        </w:rPr>
        <w:t>(</w:t>
      </w:r>
      <w:r>
        <w:rPr>
          <w:rFonts w:hint="eastAsia"/>
        </w:rPr>
        <w:t>“</w:t>
      </w:r>
      <w:r>
        <w:t>UNSUNG</w:t>
      </w:r>
      <w:r w:rsidRPr="00AC4ED8">
        <w:t xml:space="preserve"> </w:t>
      </w:r>
      <w:r>
        <w:t>HERO</w:t>
      </w:r>
      <w:r w:rsidRPr="00AC4ED8">
        <w:t xml:space="preserve"> </w:t>
      </w:r>
      <w:r>
        <w:t>AWARD</w:t>
      </w:r>
      <w:r>
        <w:rPr>
          <w:rFonts w:hint="eastAsia"/>
        </w:rPr>
        <w:t>”</w:t>
      </w:r>
      <w:r>
        <w:t>2</w:t>
      </w:r>
      <w:r w:rsidRPr="00AC4ED8">
        <w:t>00</w:t>
      </w:r>
      <w:r>
        <w:t>8</w:t>
      </w:r>
      <w:r>
        <w:rPr>
          <w:rFonts w:hint="eastAsia"/>
        </w:rPr>
        <w:t>)</w:t>
      </w:r>
      <w:r>
        <w:rPr>
          <w:rFonts w:hint="eastAsia"/>
        </w:rPr>
        <w:t>；</w:t>
      </w:r>
    </w:p>
    <w:p w:rsidR="00FE5D05" w:rsidRPr="00AC4ED8" w:rsidRDefault="00FE5D05" w:rsidP="00FE5D05">
      <w:pPr>
        <w:pStyle w:val="Bullet1GC"/>
        <w:numPr>
          <w:ilvl w:val="0"/>
          <w:numId w:val="2"/>
        </w:numPr>
        <w:spacing w:line="300" w:lineRule="exact"/>
      </w:pPr>
      <w:r>
        <w:t>2</w:t>
      </w:r>
      <w:r w:rsidRPr="00AC4ED8">
        <w:t>0</w:t>
      </w:r>
      <w:r>
        <w:t>1</w:t>
      </w:r>
      <w:r w:rsidRPr="00AC4ED8">
        <w:t>0</w:t>
      </w:r>
      <w:r>
        <w:rPr>
          <w:rFonts w:hint="eastAsia"/>
        </w:rPr>
        <w:t>年</w:t>
      </w:r>
      <w:r>
        <w:t>：</w:t>
      </w:r>
      <w:r>
        <w:rPr>
          <w:rFonts w:hint="eastAsia"/>
        </w:rPr>
        <w:t>获圣约瑟夫大学工商管理学院校友会颁发的奖励</w:t>
      </w:r>
      <w:r w:rsidRPr="00AC4ED8">
        <w:t xml:space="preserve"> </w:t>
      </w:r>
      <w:r>
        <w:rPr>
          <w:rFonts w:hint="eastAsia"/>
        </w:rPr>
        <w:t>；</w:t>
      </w:r>
    </w:p>
    <w:p w:rsidR="00FE5D05" w:rsidRPr="00F92D6C" w:rsidRDefault="00FE5D05" w:rsidP="00CD661C">
      <w:pPr>
        <w:pStyle w:val="Bullet1GC"/>
        <w:numPr>
          <w:ilvl w:val="0"/>
          <w:numId w:val="2"/>
        </w:numPr>
        <w:spacing w:line="300" w:lineRule="exact"/>
      </w:pPr>
      <w:r>
        <w:t>2</w:t>
      </w:r>
      <w:r w:rsidRPr="00AC4ED8">
        <w:t>0</w:t>
      </w:r>
      <w:r>
        <w:t>12</w:t>
      </w:r>
      <w:r>
        <w:rPr>
          <w:rFonts w:hint="eastAsia"/>
        </w:rPr>
        <w:t>年</w:t>
      </w:r>
      <w:r>
        <w:t>：</w:t>
      </w:r>
      <w:r>
        <w:rPr>
          <w:rFonts w:hint="eastAsia"/>
        </w:rPr>
        <w:t>获“</w:t>
      </w:r>
      <w:r>
        <w:t>ADYAN</w:t>
      </w:r>
      <w:r>
        <w:rPr>
          <w:rFonts w:hint="eastAsia"/>
        </w:rPr>
        <w:t>”协会颁发的奖励。</w:t>
      </w:r>
      <w:bookmarkStart w:id="0" w:name="_GoBack"/>
      <w:bookmarkEnd w:id="0"/>
    </w:p>
    <w:sectPr w:rsidR="00FE5D05" w:rsidRPr="00F92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AA"/>
    <w:multiLevelType w:val="hybridMultilevel"/>
    <w:tmpl w:val="1AA6C0DC"/>
    <w:lvl w:ilvl="0" w:tplc="59602048">
      <w:start w:val="1"/>
      <w:numFmt w:val="bullet"/>
      <w:pStyle w:val="Bullet2GC"/>
      <w:lvlText w:val=""/>
      <w:lvlJc w:val="left"/>
      <w:pPr>
        <w:tabs>
          <w:tab w:val="num" w:pos="1996"/>
        </w:tabs>
        <w:ind w:left="1996" w:hanging="380"/>
      </w:pPr>
      <w:rPr>
        <w:rFonts w:ascii="Symbol" w:hAnsi="Symbol" w:hint="default"/>
        <w:sz w:val="18"/>
        <w:szCs w:val="18"/>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
    <w:nsid w:val="7CF349BD"/>
    <w:multiLevelType w:val="singleLevel"/>
    <w:tmpl w:val="51D4BF5A"/>
    <w:lvl w:ilvl="0">
      <w:start w:val="1"/>
      <w:numFmt w:val="lowerRoman"/>
      <w:pStyle w:val="Bullet1GC"/>
      <w:lvlText w:val="(%1)"/>
      <w:lvlJc w:val="right"/>
      <w:pPr>
        <w:tabs>
          <w:tab w:val="num" w:pos="1440"/>
        </w:tabs>
        <w:ind w:left="1440" w:hanging="5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05"/>
    <w:rsid w:val="003B4AB9"/>
    <w:rsid w:val="00CD661C"/>
    <w:rsid w:val="00FE5D0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C">
    <w:name w:val="_Bullet 1_GC"/>
    <w:basedOn w:val="Normal"/>
    <w:rsid w:val="00FE5D05"/>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Bullet2GC">
    <w:name w:val="_Bullet 2_GC"/>
    <w:basedOn w:val="Normal"/>
    <w:rsid w:val="00FE5D05"/>
    <w:pPr>
      <w:numPr>
        <w:numId w:val="2"/>
      </w:numPr>
      <w:tabs>
        <w:tab w:val="left" w:pos="431"/>
        <w:tab w:val="left" w:pos="1134"/>
        <w:tab w:val="left" w:pos="1565"/>
        <w:tab w:val="left" w:pos="1996"/>
        <w:tab w:val="num" w:pos="2427"/>
      </w:tabs>
      <w:overflowPunct w:val="0"/>
      <w:adjustRightInd w:val="0"/>
      <w:snapToGrid w:val="0"/>
      <w:spacing w:after="120" w:line="320" w:lineRule="exact"/>
      <w:ind w:left="2427" w:right="1134"/>
      <w:jc w:val="both"/>
    </w:pPr>
    <w:rPr>
      <w:rFonts w:ascii="Times New Roman" w:eastAsia="SimSun" w:hAnsi="Times New Roman" w:cs="Times New Roman"/>
      <w:snapToGrid w:val="0"/>
      <w:sz w:val="21"/>
      <w:szCs w:val="20"/>
      <w:lang w:val="en-US"/>
    </w:rPr>
  </w:style>
  <w:style w:type="paragraph" w:customStyle="1" w:styleId="H1GC">
    <w:name w:val="_ H_1_GC"/>
    <w:basedOn w:val="Normal"/>
    <w:next w:val="SingleTxtGC"/>
    <w:rsid w:val="00FE5D05"/>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FE5D05"/>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FE5D05"/>
    <w:rPr>
      <w:rFonts w:ascii="Times New Roman" w:eastAsia="SimSun" w:hAnsi="Times New Roman" w:cs="Times New Roman"/>
      <w:snapToGrid w:val="0"/>
      <w:sz w:val="21"/>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C">
    <w:name w:val="_Bullet 1_GC"/>
    <w:basedOn w:val="Normal"/>
    <w:rsid w:val="00FE5D05"/>
    <w:pPr>
      <w:numPr>
        <w:numId w:val="1"/>
      </w:numPr>
      <w:tabs>
        <w:tab w:val="left" w:pos="431"/>
      </w:tabs>
      <w:overflowPunct w:val="0"/>
      <w:adjustRightInd w:val="0"/>
      <w:snapToGrid w:val="0"/>
      <w:spacing w:after="120" w:line="320" w:lineRule="exact"/>
      <w:ind w:right="1134"/>
      <w:jc w:val="both"/>
    </w:pPr>
    <w:rPr>
      <w:rFonts w:ascii="Times New Roman" w:eastAsia="SimSun" w:hAnsi="Times New Roman" w:cs="Times New Roman"/>
      <w:snapToGrid w:val="0"/>
      <w:sz w:val="21"/>
      <w:szCs w:val="20"/>
      <w:lang w:val="en-US"/>
    </w:rPr>
  </w:style>
  <w:style w:type="paragraph" w:customStyle="1" w:styleId="Bullet2GC">
    <w:name w:val="_Bullet 2_GC"/>
    <w:basedOn w:val="Normal"/>
    <w:rsid w:val="00FE5D05"/>
    <w:pPr>
      <w:numPr>
        <w:numId w:val="2"/>
      </w:numPr>
      <w:tabs>
        <w:tab w:val="left" w:pos="431"/>
        <w:tab w:val="left" w:pos="1134"/>
        <w:tab w:val="left" w:pos="1565"/>
        <w:tab w:val="left" w:pos="1996"/>
        <w:tab w:val="num" w:pos="2427"/>
      </w:tabs>
      <w:overflowPunct w:val="0"/>
      <w:adjustRightInd w:val="0"/>
      <w:snapToGrid w:val="0"/>
      <w:spacing w:after="120" w:line="320" w:lineRule="exact"/>
      <w:ind w:left="2427" w:right="1134"/>
      <w:jc w:val="both"/>
    </w:pPr>
    <w:rPr>
      <w:rFonts w:ascii="Times New Roman" w:eastAsia="SimSun" w:hAnsi="Times New Roman" w:cs="Times New Roman"/>
      <w:snapToGrid w:val="0"/>
      <w:sz w:val="21"/>
      <w:szCs w:val="20"/>
      <w:lang w:val="en-US"/>
    </w:rPr>
  </w:style>
  <w:style w:type="paragraph" w:customStyle="1" w:styleId="H1GC">
    <w:name w:val="_ H_1_GC"/>
    <w:basedOn w:val="Normal"/>
    <w:next w:val="SingleTxtGC"/>
    <w:rsid w:val="00FE5D05"/>
    <w:pPr>
      <w:keepNext/>
      <w:keepLines/>
      <w:tabs>
        <w:tab w:val="right" w:pos="851"/>
      </w:tabs>
      <w:overflowPunct w:val="0"/>
      <w:adjustRightInd w:val="0"/>
      <w:snapToGrid w:val="0"/>
      <w:spacing w:before="360" w:after="240" w:line="320" w:lineRule="exact"/>
      <w:ind w:left="1134" w:right="1134" w:hanging="1134"/>
      <w:jc w:val="both"/>
      <w:outlineLvl w:val="2"/>
    </w:pPr>
    <w:rPr>
      <w:rFonts w:ascii="Times New Roman" w:eastAsia="SimHei" w:hAnsi="Times New Roman" w:cs="Times New Roman"/>
      <w:snapToGrid w:val="0"/>
      <w:sz w:val="24"/>
      <w:szCs w:val="20"/>
      <w:lang w:val="en-US"/>
    </w:rPr>
  </w:style>
  <w:style w:type="paragraph" w:customStyle="1" w:styleId="SingleTxtGC">
    <w:name w:val="_ Single Txt_GC"/>
    <w:basedOn w:val="Normal"/>
    <w:link w:val="SingleTxtGCChar"/>
    <w:rsid w:val="00FE5D05"/>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rFonts w:ascii="Times New Roman" w:eastAsia="SimSun" w:hAnsi="Times New Roman" w:cs="Times New Roman"/>
      <w:snapToGrid w:val="0"/>
      <w:sz w:val="21"/>
      <w:szCs w:val="20"/>
      <w:lang w:val="en-US"/>
    </w:rPr>
  </w:style>
  <w:style w:type="character" w:customStyle="1" w:styleId="SingleTxtGCChar">
    <w:name w:val="_ Single Txt_GC Char"/>
    <w:link w:val="SingleTxtGC"/>
    <w:rsid w:val="00FE5D05"/>
    <w:rPr>
      <w:rFonts w:ascii="Times New Roman" w:eastAsia="SimSun" w:hAnsi="Times New Roman"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3FED4-AB68-494E-B18F-295CE46F8D1D}"/>
</file>

<file path=customXml/itemProps2.xml><?xml version="1.0" encoding="utf-8"?>
<ds:datastoreItem xmlns:ds="http://schemas.openxmlformats.org/officeDocument/2006/customXml" ds:itemID="{E48A0EEE-67AE-4DC5-89F2-865E5BB26B01}"/>
</file>

<file path=customXml/itemProps3.xml><?xml version="1.0" encoding="utf-8"?>
<ds:datastoreItem xmlns:ds="http://schemas.openxmlformats.org/officeDocument/2006/customXml" ds:itemID="{4972EF81-B4B5-4254-9D08-4ABF44C62CB2}"/>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1320</Characters>
  <Application>Microsoft Office Word</Application>
  <DocSecurity>0</DocSecurity>
  <Lines>11</Lines>
  <Paragraphs>3</Paragraphs>
  <ScaleCrop>false</ScaleCrop>
  <Company>OHCHR</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穆勒哈姆•哈拉夫先生（Melhem KHALAF）</dc:title>
  <dc:subject/>
  <dc:creator>Yan</dc:creator>
  <cp:keywords/>
  <dc:description/>
  <cp:lastModifiedBy>Yan</cp:lastModifiedBy>
  <cp:revision>2</cp:revision>
  <dcterms:created xsi:type="dcterms:W3CDTF">2014-02-11T15:13:00Z</dcterms:created>
  <dcterms:modified xsi:type="dcterms:W3CDTF">2014-02-11T15:15:00Z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2230000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