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27" w:rsidRPr="004C3427" w:rsidRDefault="004C3427" w:rsidP="00B67FF9">
      <w:pPr>
        <w:jc w:val="center"/>
        <w:rPr>
          <w:b/>
          <w:lang w:val="en-US" w:eastAsia="en-US"/>
        </w:rPr>
      </w:pPr>
      <w:r w:rsidRPr="004C3427">
        <w:rPr>
          <w:b/>
          <w:lang w:val="en-US" w:eastAsia="en-US"/>
        </w:rPr>
        <w:t>O</w:t>
      </w:r>
      <w:r w:rsidRPr="004C3427">
        <w:rPr>
          <w:b/>
          <w:lang w:val="en-US" w:eastAsia="en-US"/>
        </w:rPr>
        <w:t>bservations</w:t>
      </w:r>
      <w:r w:rsidRPr="004C3427">
        <w:rPr>
          <w:b/>
          <w:lang w:val="en-US" w:eastAsia="en-US"/>
        </w:rPr>
        <w:t xml:space="preserve"> of t</w:t>
      </w:r>
      <w:r w:rsidRPr="004C3427">
        <w:rPr>
          <w:b/>
          <w:lang w:val="en-US" w:eastAsia="en-US"/>
        </w:rPr>
        <w:t>he S</w:t>
      </w:r>
      <w:bookmarkStart w:id="0" w:name="_GoBack"/>
      <w:bookmarkEnd w:id="0"/>
      <w:r w:rsidRPr="004C3427">
        <w:rPr>
          <w:b/>
          <w:lang w:val="en-US" w:eastAsia="en-US"/>
        </w:rPr>
        <w:t>ecretariat of the European Commission against Racism and Intolerance (ECRI)</w:t>
      </w:r>
      <w:r w:rsidRPr="004C3427">
        <w:rPr>
          <w:b/>
          <w:lang w:val="en-US" w:eastAsia="en-US"/>
        </w:rPr>
        <w:t xml:space="preserve"> on </w:t>
      </w:r>
      <w:r w:rsidRPr="004C3427">
        <w:rPr>
          <w:b/>
          <w:lang w:val="en-US" w:eastAsia="en-US"/>
        </w:rPr>
        <w:t>Draft GR N° 36 on preventing and combating racial profiling</w:t>
      </w:r>
    </w:p>
    <w:p w:rsidR="004C3427" w:rsidRDefault="004C3427" w:rsidP="004C3427">
      <w:pPr>
        <w:rPr>
          <w:lang w:val="en-US" w:eastAsia="en-US"/>
        </w:rPr>
      </w:pPr>
    </w:p>
    <w:p w:rsidR="004C3427" w:rsidRPr="004C3427" w:rsidRDefault="004C3427" w:rsidP="004C3427">
      <w:pPr>
        <w:numPr>
          <w:ilvl w:val="0"/>
          <w:numId w:val="1"/>
        </w:numPr>
        <w:rPr>
          <w:rFonts w:eastAsia="Times New Roman"/>
          <w:lang w:val="en-GB" w:eastAsia="en-US"/>
        </w:rPr>
      </w:pPr>
      <w:r>
        <w:rPr>
          <w:rFonts w:eastAsia="Times New Roman"/>
          <w:lang w:val="en-GB" w:eastAsia="en-US"/>
        </w:rPr>
        <w:t xml:space="preserve">Section II (§ 5) mentions “international human rights mechanisms” which may provide scope for highlighting relevant developments of regional mechanisms. An </w:t>
      </w:r>
      <w:r>
        <w:rPr>
          <w:rFonts w:eastAsia="Times New Roman"/>
          <w:lang w:val="en-US" w:eastAsia="en-US"/>
        </w:rPr>
        <w:t xml:space="preserve">important “European” benchmark is the case law of the </w:t>
      </w:r>
      <w:r>
        <w:rPr>
          <w:rFonts w:eastAsia="Times New Roman"/>
          <w:b/>
          <w:bCs/>
          <w:lang w:val="en-US" w:eastAsia="en-US"/>
        </w:rPr>
        <w:t>European Court of Human Rights</w:t>
      </w:r>
      <w:r>
        <w:rPr>
          <w:rFonts w:eastAsia="Times New Roman"/>
          <w:lang w:val="en-US" w:eastAsia="en-US"/>
        </w:rPr>
        <w:t xml:space="preserve"> (ECtHR). On 16 April 2019, in its judgment </w:t>
      </w:r>
      <w:proofErr w:type="spellStart"/>
      <w:r>
        <w:rPr>
          <w:rFonts w:eastAsia="Times New Roman"/>
          <w:b/>
          <w:bCs/>
          <w:i/>
          <w:iCs/>
          <w:lang w:val="en-US" w:eastAsia="en-US"/>
        </w:rPr>
        <w:t>Lingurar</w:t>
      </w:r>
      <w:proofErr w:type="spellEnd"/>
      <w:r>
        <w:rPr>
          <w:rFonts w:eastAsia="Times New Roman"/>
          <w:b/>
          <w:bCs/>
          <w:i/>
          <w:iCs/>
          <w:lang w:val="en-US" w:eastAsia="en-US"/>
        </w:rPr>
        <w:t xml:space="preserve"> v Romania</w:t>
      </w:r>
      <w:r>
        <w:rPr>
          <w:rFonts w:eastAsia="Times New Roman"/>
          <w:lang w:val="en-US" w:eastAsia="en-US"/>
        </w:rPr>
        <w:t xml:space="preserve"> (no. 48474/14), the Court held, for the first time, that the applicants had been targeted because the authorities had perceived the Roma community in general as criminal, which had amounted to </w:t>
      </w:r>
      <w:r>
        <w:rPr>
          <w:rFonts w:eastAsia="Times New Roman"/>
          <w:b/>
          <w:bCs/>
          <w:lang w:val="en-US" w:eastAsia="en-US"/>
        </w:rPr>
        <w:t>ethnic profiling</w:t>
      </w:r>
      <w:r>
        <w:rPr>
          <w:rFonts w:eastAsia="Times New Roman"/>
          <w:lang w:val="en-US" w:eastAsia="en-US"/>
        </w:rPr>
        <w:t xml:space="preserve"> and had been discriminatory.</w:t>
      </w:r>
    </w:p>
    <w:p w:rsidR="004C3427" w:rsidRDefault="004C3427" w:rsidP="004C3427">
      <w:pPr>
        <w:ind w:left="720"/>
        <w:rPr>
          <w:rFonts w:eastAsia="Times New Roman"/>
          <w:lang w:val="en-GB" w:eastAsia="en-US"/>
        </w:rPr>
      </w:pPr>
    </w:p>
    <w:p w:rsidR="004C3427" w:rsidRDefault="004C3427" w:rsidP="004C3427">
      <w:pPr>
        <w:numPr>
          <w:ilvl w:val="0"/>
          <w:numId w:val="1"/>
        </w:numPr>
        <w:rPr>
          <w:rFonts w:eastAsia="Times New Roman"/>
          <w:lang w:val="en-GB" w:eastAsia="en-US"/>
        </w:rPr>
      </w:pPr>
      <w:r>
        <w:rPr>
          <w:rFonts w:eastAsia="Times New Roman"/>
          <w:lang w:val="en-US" w:eastAsia="en-US"/>
        </w:rPr>
        <w:t xml:space="preserve">In addition to the ECtHR, </w:t>
      </w:r>
      <w:r>
        <w:rPr>
          <w:rFonts w:eastAsia="Times New Roman"/>
          <w:b/>
          <w:bCs/>
          <w:lang w:val="en-GB" w:eastAsia="en-US"/>
        </w:rPr>
        <w:t>ECRI’s General Policy Recommendation (GPR) GPR No. 11 on combating racism and racial discrimination in policing</w:t>
      </w:r>
      <w:r>
        <w:rPr>
          <w:rFonts w:eastAsia="Times New Roman"/>
          <w:lang w:val="en-GB" w:eastAsia="en-US"/>
        </w:rPr>
        <w:t xml:space="preserve"> (2007) provides a definition of racial profiling and the reasonable suspicion standard, which ECRI continues to promote in its country monitoring reports where relevant. The GPR also has a very detailed and comprehensive explanatory memorandum.</w:t>
      </w:r>
    </w:p>
    <w:p w:rsidR="004C3427" w:rsidRDefault="004C3427" w:rsidP="004C3427">
      <w:pPr>
        <w:rPr>
          <w:rFonts w:eastAsia="Times New Roman"/>
          <w:lang w:val="en-GB" w:eastAsia="en-US"/>
        </w:rPr>
      </w:pPr>
    </w:p>
    <w:p w:rsidR="004C3427" w:rsidRDefault="004C3427" w:rsidP="004C3427">
      <w:pPr>
        <w:numPr>
          <w:ilvl w:val="0"/>
          <w:numId w:val="1"/>
        </w:numPr>
        <w:rPr>
          <w:rFonts w:eastAsia="Times New Roman"/>
          <w:lang w:val="en-US" w:eastAsia="en-US"/>
        </w:rPr>
      </w:pPr>
      <w:r>
        <w:rPr>
          <w:rFonts w:eastAsia="Times New Roman"/>
          <w:lang w:val="en-US" w:eastAsia="en-US"/>
        </w:rPr>
        <w:t xml:space="preserve">In § 23 concerns could be raised about </w:t>
      </w:r>
      <w:r>
        <w:rPr>
          <w:rFonts w:eastAsia="Times New Roman"/>
          <w:b/>
          <w:bCs/>
          <w:lang w:val="en-US" w:eastAsia="en-US"/>
        </w:rPr>
        <w:t>lack of transparency</w:t>
      </w:r>
      <w:r>
        <w:rPr>
          <w:rFonts w:eastAsia="Times New Roman"/>
          <w:lang w:val="en-US" w:eastAsia="en-US"/>
        </w:rPr>
        <w:t xml:space="preserve"> behind how the algorithms function. As AI systems become more sophisticated, it will become increasingly difficult for even the engineers who created these systems to explain the choices they made. That opaque decision-making, with little accountability, also makes it harder to discover discrimination.  </w:t>
      </w:r>
    </w:p>
    <w:p w:rsidR="004C3427" w:rsidRDefault="004C3427" w:rsidP="004C3427">
      <w:pPr>
        <w:rPr>
          <w:rFonts w:eastAsia="Times New Roman"/>
          <w:lang w:val="en-US" w:eastAsia="en-US"/>
        </w:rPr>
      </w:pPr>
    </w:p>
    <w:p w:rsidR="004C3427" w:rsidRDefault="004C3427" w:rsidP="004C3427">
      <w:pPr>
        <w:numPr>
          <w:ilvl w:val="0"/>
          <w:numId w:val="1"/>
        </w:numPr>
        <w:rPr>
          <w:rFonts w:eastAsia="Times New Roman"/>
          <w:lang w:val="en-US" w:eastAsia="en-US"/>
        </w:rPr>
      </w:pPr>
      <w:r>
        <w:rPr>
          <w:rFonts w:eastAsia="Times New Roman"/>
          <w:lang w:val="en-US" w:eastAsia="en-US"/>
        </w:rPr>
        <w:t xml:space="preserve">In § 24, the notion of </w:t>
      </w:r>
      <w:r>
        <w:rPr>
          <w:rFonts w:eastAsia="Times New Roman"/>
          <w:b/>
          <w:bCs/>
          <w:lang w:val="en-US" w:eastAsia="en-US"/>
        </w:rPr>
        <w:t>predictive policing</w:t>
      </w:r>
      <w:r>
        <w:rPr>
          <w:rFonts w:eastAsia="Times New Roman"/>
          <w:lang w:val="en-US" w:eastAsia="en-US"/>
        </w:rPr>
        <w:t xml:space="preserve"> could be used. It is becoming a generic term now. </w:t>
      </w:r>
    </w:p>
    <w:p w:rsidR="004C3427" w:rsidRDefault="004C3427" w:rsidP="004C3427">
      <w:pPr>
        <w:rPr>
          <w:rFonts w:eastAsia="Times New Roman"/>
          <w:lang w:val="en-US" w:eastAsia="en-US"/>
        </w:rPr>
      </w:pPr>
    </w:p>
    <w:p w:rsidR="004C3427" w:rsidRDefault="004C3427" w:rsidP="004C3427">
      <w:pPr>
        <w:numPr>
          <w:ilvl w:val="0"/>
          <w:numId w:val="1"/>
        </w:numPr>
        <w:rPr>
          <w:rFonts w:eastAsia="Times New Roman"/>
          <w:lang w:val="en-GB" w:eastAsia="en-US"/>
        </w:rPr>
      </w:pPr>
      <w:r>
        <w:rPr>
          <w:rFonts w:eastAsia="Times New Roman"/>
          <w:lang w:val="en-GB" w:eastAsia="en-US"/>
        </w:rPr>
        <w:t xml:space="preserve">In § 34, it could be made clear that a complaints mechanism should be independent not only of the police but also of the </w:t>
      </w:r>
      <w:r>
        <w:rPr>
          <w:rFonts w:eastAsia="Times New Roman"/>
          <w:b/>
          <w:bCs/>
          <w:lang w:val="en-GB" w:eastAsia="en-US"/>
        </w:rPr>
        <w:t>prosecution service</w:t>
      </w:r>
      <w:r>
        <w:rPr>
          <w:rFonts w:eastAsia="Times New Roman"/>
          <w:lang w:val="en-GB" w:eastAsia="en-US"/>
        </w:rPr>
        <w:t xml:space="preserve"> (see ECRI’s GPR No. 11 § 10). Victims are reluctant to report cases of police misconduct to institutions which cooperate closely and </w:t>
      </w:r>
      <w:proofErr w:type="gramStart"/>
      <w:r>
        <w:rPr>
          <w:rFonts w:eastAsia="Times New Roman"/>
          <w:lang w:val="en-GB" w:eastAsia="en-US"/>
        </w:rPr>
        <w:t>on a daily basis</w:t>
      </w:r>
      <w:proofErr w:type="gramEnd"/>
      <w:r>
        <w:rPr>
          <w:rFonts w:eastAsia="Times New Roman"/>
          <w:lang w:val="en-GB" w:eastAsia="en-US"/>
        </w:rPr>
        <w:t xml:space="preserve"> with the police, such as the prosecution authorities. It is necessary to create a system where victims can bring a complaint in full confidence to an independent body whose main task is to control the activities of the police (§ 58 of the explanatory memorandum). </w:t>
      </w:r>
    </w:p>
    <w:p w:rsidR="004C3427" w:rsidRDefault="004C3427" w:rsidP="004C3427">
      <w:pPr>
        <w:rPr>
          <w:lang w:val="en-US" w:eastAsia="en-US"/>
        </w:rPr>
      </w:pPr>
    </w:p>
    <w:p w:rsidR="006A1D6F" w:rsidRPr="004C3427" w:rsidRDefault="006A1D6F">
      <w:pPr>
        <w:rPr>
          <w:lang w:val="en-US"/>
        </w:rPr>
      </w:pPr>
    </w:p>
    <w:sectPr w:rsidR="006A1D6F" w:rsidRPr="004C3427">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80A1C"/>
    <w:multiLevelType w:val="hybridMultilevel"/>
    <w:tmpl w:val="38708E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27"/>
    <w:rsid w:val="000229A0"/>
    <w:rsid w:val="001D40A0"/>
    <w:rsid w:val="00264765"/>
    <w:rsid w:val="00424030"/>
    <w:rsid w:val="004C3427"/>
    <w:rsid w:val="005E0EF5"/>
    <w:rsid w:val="006A1D6F"/>
    <w:rsid w:val="006A2CA1"/>
    <w:rsid w:val="008B3F32"/>
    <w:rsid w:val="00AF32D8"/>
    <w:rsid w:val="00B67FF9"/>
    <w:rsid w:val="00D20EFE"/>
    <w:rsid w:val="00DB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C66C8"/>
  <w15:chartTrackingRefBased/>
  <w15:docId w15:val="{A54ABEBD-63AB-4C40-8749-92F52E0F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427"/>
    <w:rPr>
      <w:rFonts w:ascii="Calibri" w:eastAsia="Calibri" w:hAnsi="Calibri" w:cs="Calibri"/>
      <w:sz w:val="22"/>
      <w:szCs w:val="22"/>
      <w:lang w:val="fr-FR" w:eastAsia="fr-FR"/>
    </w:rPr>
  </w:style>
  <w:style w:type="paragraph" w:styleId="Heading1">
    <w:name w:val="heading 1"/>
    <w:basedOn w:val="Normal"/>
    <w:next w:val="Normal"/>
    <w:qFormat/>
    <w:pPr>
      <w:spacing w:before="100" w:beforeAutospacing="1" w:after="100" w:afterAutospacing="1"/>
      <w:outlineLvl w:val="0"/>
    </w:pPr>
    <w:rPr>
      <w:rFonts w:ascii="Times New Roman" w:hAnsi="Times New Roman"/>
      <w:b/>
      <w:bCs/>
      <w:kern w:val="36"/>
      <w:sz w:val="48"/>
      <w:szCs w:val="48"/>
      <w:lang w:val="en-US" w:eastAsia="en-US"/>
    </w:rPr>
  </w:style>
  <w:style w:type="paragraph" w:styleId="Heading2">
    <w:name w:val="heading 2"/>
    <w:basedOn w:val="Normal"/>
    <w:next w:val="Normal"/>
    <w:qFormat/>
    <w:pPr>
      <w:keepNext/>
      <w:spacing w:before="240" w:after="60"/>
      <w:jc w:val="both"/>
      <w:outlineLvl w:val="1"/>
    </w:pPr>
    <w:rPr>
      <w:rFonts w:cs="Arial"/>
      <w:b/>
      <w:bCs/>
      <w:iCs/>
      <w:sz w:val="3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COEBullet">
    <w:name w:val="COE_Bullet"/>
    <w:basedOn w:val="Normal"/>
    <w:rPr>
      <w:rFonts w:ascii="Times New Roman" w:hAnsi="Times New Roman"/>
      <w:sz w:val="24"/>
    </w:rPr>
  </w:style>
  <w:style w:type="paragraph" w:customStyle="1" w:styleId="COECote">
    <w:name w:val="COE_Cote"/>
    <w:rPr>
      <w:bCs/>
      <w:iCs/>
      <w:sz w:val="24"/>
      <w:lang w:eastAsia="en-US"/>
    </w:rPr>
  </w:style>
  <w:style w:type="paragraph" w:customStyle="1" w:styleId="COEDirectory">
    <w:name w:val="COE_Directory"/>
    <w:basedOn w:val="Normal"/>
    <w:next w:val="Normal"/>
    <w:rPr>
      <w:rFonts w:ascii="Times New Roman" w:hAnsi="Times New Roman"/>
      <w:color w:val="808080"/>
      <w:sz w:val="24"/>
    </w:rPr>
  </w:style>
  <w:style w:type="paragraph" w:customStyle="1" w:styleId="COEHeading1">
    <w:name w:val="COE_Heading1"/>
    <w:basedOn w:val="Normal"/>
    <w:next w:val="Normal"/>
    <w:rPr>
      <w:rFonts w:ascii="Times New Roman" w:hAnsi="Times New Roman"/>
      <w:b/>
      <w:sz w:val="28"/>
    </w:rPr>
  </w:style>
  <w:style w:type="paragraph" w:customStyle="1" w:styleId="COEHeading2">
    <w:name w:val="COE_Heading2"/>
    <w:rPr>
      <w:b/>
      <w:sz w:val="26"/>
      <w:lang w:eastAsia="en-US"/>
    </w:rPr>
  </w:style>
  <w:style w:type="paragraph" w:customStyle="1" w:styleId="COEHeading3">
    <w:name w:val="COE_Heading3"/>
    <w:basedOn w:val="Normal"/>
    <w:rPr>
      <w:rFonts w:ascii="Times New Roman" w:hAnsi="Times New Roman"/>
      <w:b/>
      <w:sz w:val="24"/>
    </w:rPr>
  </w:style>
  <w:style w:type="paragraph" w:customStyle="1" w:styleId="COEIntro">
    <w:name w:val="COE_Intro"/>
    <w:basedOn w:val="Normal"/>
    <w:rPr>
      <w:rFonts w:ascii="Times New Roman" w:hAnsi="Times New Roman"/>
      <w:sz w:val="24"/>
    </w:rPr>
  </w:style>
  <w:style w:type="paragraph" w:customStyle="1" w:styleId="COEList">
    <w:name w:val="COE_List"/>
    <w:basedOn w:val="Normal"/>
    <w:next w:val="Normal"/>
    <w:rPr>
      <w:rFonts w:ascii="Times New Roman" w:hAnsi="Times New Roman"/>
      <w:sz w:val="24"/>
    </w:rPr>
  </w:style>
  <w:style w:type="paragraph" w:customStyle="1" w:styleId="COENoLignes">
    <w:name w:val="COE_NoLignes"/>
    <w:rPr>
      <w:sz w:val="24"/>
      <w:lang w:val="en-US" w:eastAsia="en-US"/>
    </w:rPr>
  </w:style>
  <w:style w:type="paragraph" w:customStyle="1" w:styleId="COESummary">
    <w:name w:val="COE_Summary"/>
    <w:basedOn w:val="Normal"/>
    <w:rPr>
      <w:rFonts w:ascii="Times New Roman" w:hAnsi="Times New Roman"/>
      <w:sz w:val="24"/>
    </w:rPr>
  </w:style>
  <w:style w:type="paragraph" w:customStyle="1" w:styleId="COETitleSytem">
    <w:name w:val="COE_Title(Sytem)"/>
    <w:basedOn w:val="Normal"/>
    <w:next w:val="Normal"/>
    <w:rPr>
      <w:rFonts w:ascii="Times New Roman" w:hAnsi="Times New Roman"/>
      <w:color w:val="808080"/>
      <w:sz w:val="28"/>
    </w:rPr>
  </w:style>
  <w:style w:type="paragraph" w:customStyle="1" w:styleId="COETitre">
    <w:name w:val="COE_Titre"/>
    <w:basedOn w:val="Normal"/>
    <w:rPr>
      <w:rFonts w:ascii="Times New Roman" w:hAnsi="Times New Roman"/>
      <w:sz w:val="28"/>
    </w:rPr>
  </w:style>
  <w:style w:type="paragraph" w:customStyle="1" w:styleId="COEType">
    <w:name w:val="COE_Type"/>
    <w:basedOn w:val="Normal"/>
    <w:next w:val="Normal"/>
    <w:rPr>
      <w:rFonts w:ascii="Times New Roman" w:hAnsi="Times New Roman"/>
      <w:b/>
    </w:rPr>
  </w:style>
  <w:style w:type="paragraph" w:styleId="BodyText">
    <w:name w:val="Body Text"/>
    <w:basedOn w:val="Normal"/>
    <w:rPr>
      <w:rFonts w:ascii="Times New Roman" w:hAnsi="Times New Roman"/>
      <w:b/>
      <w:bCs/>
      <w:sz w:val="24"/>
      <w:lang w:val="da-DK" w:eastAsia="da-DK"/>
    </w:rPr>
  </w:style>
  <w:style w:type="paragraph" w:styleId="ListParagraph">
    <w:name w:val="List Paragraph"/>
    <w:basedOn w:val="Normal"/>
    <w:uiPriority w:val="34"/>
    <w:qFormat/>
    <w:rsid w:val="004C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4BA30C-821A-4FD7-AE11-9215B049C840}"/>
</file>

<file path=customXml/itemProps2.xml><?xml version="1.0" encoding="utf-8"?>
<ds:datastoreItem xmlns:ds="http://schemas.openxmlformats.org/officeDocument/2006/customXml" ds:itemID="{9352E959-80AE-45A4-817B-3562DC5FD2B1}"/>
</file>

<file path=customXml/itemProps3.xml><?xml version="1.0" encoding="utf-8"?>
<ds:datastoreItem xmlns:ds="http://schemas.openxmlformats.org/officeDocument/2006/customXml" ds:itemID="{D9FC8C2E-7DA2-4D67-81BD-E73798630402}"/>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 Racism Intolerance</dc:title>
  <dc:subject/>
  <dc:creator>TESSENYI Camilla</dc:creator>
  <cp:keywords/>
  <dc:description/>
  <cp:lastModifiedBy>TESSENYI Camilla</cp:lastModifiedBy>
  <cp:revision>2</cp:revision>
  <dcterms:created xsi:type="dcterms:W3CDTF">2019-06-04T15:05:00Z</dcterms:created>
  <dcterms:modified xsi:type="dcterms:W3CDTF">2019-06-04T15:08:00Z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