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355F" w14:textId="77777777" w:rsidR="00132B9C" w:rsidRDefault="00132B9C" w:rsidP="005765E4">
      <w:pPr>
        <w:spacing w:after="0" w:line="240" w:lineRule="auto"/>
        <w:jc w:val="center"/>
        <w:rPr>
          <w:rFonts w:ascii="Arial" w:hAnsi="Arial" w:cs="Arial"/>
          <w:b/>
          <w:bCs/>
          <w:kern w:val="28"/>
          <w:lang w:val="en-GB"/>
        </w:rPr>
      </w:pPr>
    </w:p>
    <w:p w14:paraId="352F4C4A" w14:textId="52D332C9" w:rsidR="008D35B3" w:rsidRPr="00C409D4" w:rsidRDefault="008D35B3" w:rsidP="005765E4">
      <w:pPr>
        <w:spacing w:after="0" w:line="240" w:lineRule="auto"/>
        <w:jc w:val="center"/>
        <w:rPr>
          <w:rFonts w:ascii="Arial" w:hAnsi="Arial" w:cs="Arial"/>
          <w:b/>
          <w:bCs/>
          <w:kern w:val="28"/>
          <w:lang w:val="en-GB"/>
        </w:rPr>
      </w:pPr>
      <w:r w:rsidRPr="00C409D4">
        <w:rPr>
          <w:rFonts w:ascii="Arial" w:hAnsi="Arial" w:cs="Arial"/>
          <w:b/>
          <w:bCs/>
          <w:kern w:val="28"/>
          <w:lang w:val="en-GB"/>
        </w:rPr>
        <w:t>IDA submission on</w:t>
      </w:r>
      <w:r w:rsidRPr="00C409D4">
        <w:rPr>
          <w:rFonts w:ascii="Arial" w:hAnsi="Arial" w:cs="Arial"/>
          <w:lang w:val="en-US"/>
        </w:rPr>
        <w:t xml:space="preserve"> </w:t>
      </w:r>
      <w:r w:rsidRPr="00C409D4">
        <w:rPr>
          <w:rFonts w:ascii="Arial" w:hAnsi="Arial" w:cs="Arial"/>
          <w:b/>
          <w:bCs/>
          <w:kern w:val="28"/>
          <w:lang w:val="en-GB"/>
        </w:rPr>
        <w:t>the CERD Committee</w:t>
      </w:r>
      <w:r w:rsidR="00C314E4" w:rsidRPr="00C409D4">
        <w:rPr>
          <w:rFonts w:ascii="Arial" w:hAnsi="Arial" w:cs="Arial"/>
          <w:b/>
          <w:bCs/>
          <w:kern w:val="28"/>
          <w:lang w:val="en-GB"/>
        </w:rPr>
        <w:t>’</w:t>
      </w:r>
      <w:r w:rsidRPr="00C409D4">
        <w:rPr>
          <w:rFonts w:ascii="Arial" w:hAnsi="Arial" w:cs="Arial"/>
          <w:b/>
          <w:bCs/>
          <w:kern w:val="28"/>
          <w:lang w:val="en-GB"/>
        </w:rPr>
        <w:t xml:space="preserve">s draft general recommendation 36 </w:t>
      </w:r>
    </w:p>
    <w:p w14:paraId="2CD5CDB3" w14:textId="0955A1DD" w:rsidR="008D35B3" w:rsidRPr="00C409D4" w:rsidRDefault="008D35B3" w:rsidP="005765E4">
      <w:pPr>
        <w:spacing w:after="0" w:line="240" w:lineRule="auto"/>
        <w:jc w:val="center"/>
        <w:rPr>
          <w:rFonts w:ascii="Arial" w:hAnsi="Arial" w:cs="Arial"/>
          <w:b/>
          <w:bCs/>
          <w:kern w:val="28"/>
          <w:lang w:val="en-GB"/>
        </w:rPr>
      </w:pPr>
      <w:r w:rsidRPr="00C409D4">
        <w:rPr>
          <w:rFonts w:ascii="Arial" w:hAnsi="Arial" w:cs="Arial"/>
          <w:b/>
          <w:bCs/>
          <w:kern w:val="28"/>
          <w:lang w:val="en-GB"/>
        </w:rPr>
        <w:t xml:space="preserve">“Preventing and combating racial profiling” </w:t>
      </w:r>
    </w:p>
    <w:p w14:paraId="3A8C20DF" w14:textId="77777777" w:rsidR="008D35B3" w:rsidRPr="00C409D4" w:rsidRDefault="008D35B3" w:rsidP="00DA087F">
      <w:pPr>
        <w:pStyle w:val="ListBullet"/>
        <w:numPr>
          <w:ilvl w:val="0"/>
          <w:numId w:val="0"/>
        </w:numPr>
        <w:spacing w:after="0" w:line="240" w:lineRule="auto"/>
        <w:rPr>
          <w:rFonts w:ascii="Arial" w:hAnsi="Arial" w:cs="Arial"/>
          <w:lang w:val="en-GB"/>
        </w:rPr>
      </w:pPr>
    </w:p>
    <w:p w14:paraId="052FBD72" w14:textId="4D2EECA3" w:rsidR="00D66751" w:rsidRPr="00C409D4" w:rsidRDefault="0095177B" w:rsidP="005765E4">
      <w:pPr>
        <w:pStyle w:val="ListBullet"/>
        <w:numPr>
          <w:ilvl w:val="0"/>
          <w:numId w:val="8"/>
        </w:numPr>
        <w:spacing w:after="0" w:line="240" w:lineRule="auto"/>
        <w:rPr>
          <w:rFonts w:ascii="Arial" w:hAnsi="Arial" w:cs="Arial"/>
          <w:b/>
          <w:bCs/>
          <w:lang w:val="en-GB"/>
        </w:rPr>
      </w:pPr>
      <w:r w:rsidRPr="00C409D4">
        <w:rPr>
          <w:rFonts w:ascii="Arial" w:hAnsi="Arial" w:cs="Arial"/>
          <w:b/>
          <w:bCs/>
          <w:lang w:val="en-GB"/>
        </w:rPr>
        <w:t>INTRODUCTION</w:t>
      </w:r>
    </w:p>
    <w:p w14:paraId="598A8954" w14:textId="77777777" w:rsidR="00D66751" w:rsidRPr="00C409D4" w:rsidRDefault="00D66751" w:rsidP="005765E4">
      <w:pPr>
        <w:pStyle w:val="ListBullet"/>
        <w:numPr>
          <w:ilvl w:val="0"/>
          <w:numId w:val="0"/>
        </w:numPr>
        <w:spacing w:after="0" w:line="240" w:lineRule="auto"/>
        <w:ind w:left="1080"/>
        <w:rPr>
          <w:rFonts w:ascii="Arial" w:hAnsi="Arial" w:cs="Arial"/>
          <w:lang w:val="en-GB"/>
        </w:rPr>
      </w:pPr>
    </w:p>
    <w:p w14:paraId="1C48C40E" w14:textId="14589DE1" w:rsidR="00D66751" w:rsidRPr="00C409D4" w:rsidRDefault="008D35B3"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 xml:space="preserve">The International Disability Alliance (IDA) is a unique, international network of eight global and six regional organisations of persons with disabilities (OPDs). 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 IDA’s mission is to advance the human rights of persons with disabilities as a united voice of </w:t>
      </w:r>
      <w:r w:rsidR="002C26C1">
        <w:rPr>
          <w:rFonts w:ascii="Arial" w:hAnsi="Arial" w:cs="Arial"/>
          <w:lang w:val="en-GB"/>
        </w:rPr>
        <w:t>OPDs</w:t>
      </w:r>
      <w:r w:rsidRPr="00C409D4">
        <w:rPr>
          <w:rFonts w:ascii="Arial" w:hAnsi="Arial" w:cs="Arial"/>
          <w:lang w:val="en-GB"/>
        </w:rPr>
        <w:t xml:space="preserve"> utilising the Convention on the Rights of Persons with Disabilities (CRPD) and other human rights instruments. </w:t>
      </w:r>
    </w:p>
    <w:p w14:paraId="3D4BC3CC" w14:textId="77777777" w:rsidR="002E6278" w:rsidRPr="00C409D4" w:rsidRDefault="002E6278" w:rsidP="00C409D4">
      <w:pPr>
        <w:pStyle w:val="ListBullet"/>
        <w:numPr>
          <w:ilvl w:val="0"/>
          <w:numId w:val="0"/>
        </w:numPr>
        <w:spacing w:after="0" w:line="240" w:lineRule="auto"/>
        <w:ind w:left="709"/>
        <w:jc w:val="both"/>
        <w:rPr>
          <w:rFonts w:ascii="Arial" w:hAnsi="Arial" w:cs="Arial"/>
        </w:rPr>
      </w:pPr>
    </w:p>
    <w:p w14:paraId="31A7EE66" w14:textId="26AD7BA2" w:rsidR="005B2B80" w:rsidRPr="00C409D4" w:rsidRDefault="008D35B3"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 xml:space="preserve">IDA </w:t>
      </w:r>
      <w:r w:rsidR="000C47B4" w:rsidRPr="00C409D4">
        <w:rPr>
          <w:rFonts w:ascii="Arial" w:hAnsi="Arial" w:cs="Arial"/>
          <w:lang w:val="en-GB"/>
        </w:rPr>
        <w:t>appreciates</w:t>
      </w:r>
      <w:r w:rsidRPr="00C409D4">
        <w:rPr>
          <w:rFonts w:ascii="Arial" w:hAnsi="Arial" w:cs="Arial"/>
          <w:lang w:val="en-GB"/>
        </w:rPr>
        <w:t xml:space="preserve"> the initiative </w:t>
      </w:r>
      <w:r w:rsidR="000C47B4" w:rsidRPr="00C409D4">
        <w:rPr>
          <w:rFonts w:ascii="Arial" w:hAnsi="Arial" w:cs="Arial"/>
          <w:lang w:val="en-GB"/>
        </w:rPr>
        <w:t>by</w:t>
      </w:r>
      <w:r w:rsidRPr="00C409D4">
        <w:rPr>
          <w:rFonts w:ascii="Arial" w:hAnsi="Arial" w:cs="Arial"/>
          <w:lang w:val="en-GB"/>
        </w:rPr>
        <w:t xml:space="preserve"> the Committee on the Elimination of Racial Discrimination (</w:t>
      </w:r>
      <w:r w:rsidRPr="00C409D4">
        <w:rPr>
          <w:rFonts w:ascii="Arial" w:hAnsi="Arial" w:cs="Arial"/>
          <w:i/>
          <w:lang w:val="en-GB"/>
        </w:rPr>
        <w:t xml:space="preserve">hereinafter </w:t>
      </w:r>
      <w:r w:rsidRPr="00C409D4">
        <w:rPr>
          <w:rFonts w:ascii="Arial" w:hAnsi="Arial" w:cs="Arial"/>
          <w:lang w:val="en-GB"/>
        </w:rPr>
        <w:t xml:space="preserve">“the Committee”) </w:t>
      </w:r>
      <w:r w:rsidR="000C47B4" w:rsidRPr="00C409D4">
        <w:rPr>
          <w:rFonts w:ascii="Arial" w:hAnsi="Arial" w:cs="Arial"/>
          <w:lang w:val="en-GB"/>
        </w:rPr>
        <w:t>to call</w:t>
      </w:r>
      <w:r w:rsidRPr="00C409D4">
        <w:rPr>
          <w:rFonts w:ascii="Arial" w:hAnsi="Arial" w:cs="Arial"/>
          <w:lang w:val="en-GB"/>
        </w:rPr>
        <w:t xml:space="preserve"> for comments on its draft general recommendation 36. </w:t>
      </w:r>
      <w:r w:rsidR="000C47B4" w:rsidRPr="00C409D4">
        <w:rPr>
          <w:rFonts w:ascii="Arial" w:hAnsi="Arial" w:cs="Arial"/>
          <w:lang w:val="en-GB"/>
        </w:rPr>
        <w:t>Indeed</w:t>
      </w:r>
      <w:r w:rsidRPr="00C409D4">
        <w:rPr>
          <w:rFonts w:ascii="Arial" w:hAnsi="Arial" w:cs="Arial"/>
          <w:lang w:val="en-GB"/>
        </w:rPr>
        <w:t>, racial profiling by law enforcement agents is a pervasive discriminatory practice leading to severe human rights violations, including polic</w:t>
      </w:r>
      <w:r w:rsidR="002C26C1">
        <w:rPr>
          <w:rFonts w:ascii="Arial" w:hAnsi="Arial" w:cs="Arial"/>
          <w:lang w:val="en-GB"/>
        </w:rPr>
        <w:t>e</w:t>
      </w:r>
      <w:r w:rsidRPr="00C409D4">
        <w:rPr>
          <w:rFonts w:ascii="Arial" w:hAnsi="Arial" w:cs="Arial"/>
          <w:lang w:val="en-GB"/>
        </w:rPr>
        <w:t xml:space="preserve"> brutality and extrajudicial executions</w:t>
      </w:r>
      <w:r w:rsidR="005B2B80" w:rsidRPr="00C409D4">
        <w:rPr>
          <w:rFonts w:ascii="Arial" w:hAnsi="Arial" w:cs="Arial"/>
          <w:lang w:val="en-GB"/>
        </w:rPr>
        <w:t>, which needs to be addressed.</w:t>
      </w:r>
      <w:r w:rsidR="000C47B4" w:rsidRPr="00C409D4">
        <w:rPr>
          <w:rFonts w:ascii="Arial" w:hAnsi="Arial" w:cs="Arial"/>
          <w:lang w:val="en-GB"/>
        </w:rPr>
        <w:t xml:space="preserve"> </w:t>
      </w:r>
    </w:p>
    <w:p w14:paraId="23117F37" w14:textId="77777777" w:rsidR="005B2B80" w:rsidRPr="00C409D4" w:rsidRDefault="005B2B80" w:rsidP="00C409D4">
      <w:pPr>
        <w:pStyle w:val="ListBullet"/>
        <w:numPr>
          <w:ilvl w:val="0"/>
          <w:numId w:val="0"/>
        </w:numPr>
        <w:spacing w:after="0" w:line="240" w:lineRule="auto"/>
        <w:ind w:left="709"/>
        <w:jc w:val="both"/>
        <w:rPr>
          <w:rFonts w:ascii="Arial" w:hAnsi="Arial" w:cs="Arial"/>
          <w:lang w:val="en-GB"/>
        </w:rPr>
      </w:pPr>
    </w:p>
    <w:p w14:paraId="61C98A86" w14:textId="55426571" w:rsidR="000C47B4" w:rsidRPr="00C409D4" w:rsidRDefault="000C47B4"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However, IDA highly regrets that the current draft:</w:t>
      </w:r>
    </w:p>
    <w:p w14:paraId="239CDFFE" w14:textId="39F7AFF5" w:rsidR="00132B9C" w:rsidRPr="00C409D4" w:rsidRDefault="000C47B4" w:rsidP="00F56EB2">
      <w:pPr>
        <w:pStyle w:val="ListBullet"/>
        <w:numPr>
          <w:ilvl w:val="0"/>
          <w:numId w:val="11"/>
        </w:numPr>
        <w:spacing w:after="0" w:line="240" w:lineRule="auto"/>
        <w:ind w:left="709"/>
        <w:jc w:val="both"/>
        <w:rPr>
          <w:rFonts w:ascii="Arial" w:hAnsi="Arial" w:cs="Arial"/>
          <w:lang w:val="en-GB"/>
        </w:rPr>
      </w:pPr>
      <w:r w:rsidRPr="00C409D4">
        <w:rPr>
          <w:rFonts w:ascii="Arial" w:hAnsi="Arial" w:cs="Arial"/>
          <w:lang w:val="en-GB"/>
        </w:rPr>
        <w:t>does not thoroughly elaborate on the notion of intersectionality</w:t>
      </w:r>
      <w:r w:rsidR="005B2B80" w:rsidRPr="00C409D4">
        <w:rPr>
          <w:rFonts w:ascii="Arial" w:hAnsi="Arial" w:cs="Arial"/>
          <w:lang w:val="en-GB"/>
        </w:rPr>
        <w:t>;</w:t>
      </w:r>
      <w:r w:rsidR="00132B9C" w:rsidRPr="00C409D4">
        <w:rPr>
          <w:rStyle w:val="EndnoteReference"/>
          <w:rFonts w:ascii="Arial" w:hAnsi="Arial" w:cs="Arial"/>
          <w:lang w:val="en-GB"/>
        </w:rPr>
        <w:endnoteReference w:id="1"/>
      </w:r>
      <w:r w:rsidR="00132B9C" w:rsidRPr="00C409D4">
        <w:rPr>
          <w:rFonts w:ascii="Arial" w:hAnsi="Arial" w:cs="Arial"/>
          <w:lang w:val="en-GB"/>
        </w:rPr>
        <w:t xml:space="preserve"> </w:t>
      </w:r>
    </w:p>
    <w:p w14:paraId="146AE088" w14:textId="387EFAAC" w:rsidR="00132B9C" w:rsidRPr="00C409D4" w:rsidRDefault="00132B9C" w:rsidP="00F56EB2">
      <w:pPr>
        <w:pStyle w:val="ListBullet"/>
        <w:numPr>
          <w:ilvl w:val="0"/>
          <w:numId w:val="11"/>
        </w:numPr>
        <w:spacing w:after="0" w:line="240" w:lineRule="auto"/>
        <w:ind w:left="709"/>
        <w:jc w:val="both"/>
        <w:rPr>
          <w:rFonts w:ascii="Arial" w:hAnsi="Arial" w:cs="Arial"/>
          <w:lang w:val="en-GB"/>
        </w:rPr>
      </w:pPr>
      <w:r w:rsidRPr="00C409D4">
        <w:rPr>
          <w:rFonts w:ascii="Arial" w:hAnsi="Arial" w:cs="Arial"/>
          <w:lang w:val="en-GB"/>
        </w:rPr>
        <w:t>does not elaborate on and/or refer to “disability” and/or “persons with disabilities”;</w:t>
      </w:r>
    </w:p>
    <w:p w14:paraId="1BCDA676" w14:textId="5B07489A" w:rsidR="00F56EB2" w:rsidRPr="00F56EB2" w:rsidRDefault="00132B9C" w:rsidP="00F56EB2">
      <w:pPr>
        <w:pStyle w:val="ListBullet"/>
        <w:numPr>
          <w:ilvl w:val="0"/>
          <w:numId w:val="11"/>
        </w:numPr>
        <w:spacing w:after="0" w:line="240" w:lineRule="auto"/>
        <w:ind w:left="709"/>
        <w:jc w:val="both"/>
        <w:rPr>
          <w:rFonts w:ascii="Arial" w:hAnsi="Arial" w:cs="Arial"/>
          <w:lang w:val="en-GB"/>
        </w:rPr>
      </w:pPr>
      <w:r w:rsidRPr="00C409D4">
        <w:rPr>
          <w:rFonts w:ascii="Arial" w:hAnsi="Arial" w:cs="Arial"/>
          <w:lang w:val="en-GB"/>
        </w:rPr>
        <w:t xml:space="preserve">does not consider </w:t>
      </w:r>
      <w:r w:rsidR="00F56EB2">
        <w:rPr>
          <w:rFonts w:ascii="Arial" w:hAnsi="Arial" w:cs="Arial"/>
          <w:lang w:val="en-GB"/>
        </w:rPr>
        <w:t xml:space="preserve">neither </w:t>
      </w:r>
      <w:r w:rsidRPr="00C409D4">
        <w:rPr>
          <w:rFonts w:ascii="Arial" w:hAnsi="Arial" w:cs="Arial"/>
          <w:lang w:val="en-GB"/>
        </w:rPr>
        <w:t>negative stereotypes on persons with disabilities (e.g. dangerousness</w:t>
      </w:r>
      <w:r w:rsidR="00344FBF">
        <w:rPr>
          <w:rFonts w:ascii="Arial" w:hAnsi="Arial" w:cs="Arial"/>
          <w:lang w:val="en-GB"/>
        </w:rPr>
        <w:t xml:space="preserve"> of persons with psychosocial disabilities</w:t>
      </w:r>
      <w:r w:rsidRPr="00C409D4">
        <w:rPr>
          <w:rFonts w:ascii="Arial" w:hAnsi="Arial" w:cs="Arial"/>
          <w:lang w:val="en-GB"/>
        </w:rPr>
        <w:t>)</w:t>
      </w:r>
      <w:r w:rsidR="00F56EB2">
        <w:rPr>
          <w:rFonts w:ascii="Arial" w:hAnsi="Arial" w:cs="Arial"/>
          <w:lang w:val="en-GB"/>
        </w:rPr>
        <w:t xml:space="preserve">, nor </w:t>
      </w:r>
      <w:r w:rsidR="00F56EB2" w:rsidRPr="00F56EB2">
        <w:rPr>
          <w:rFonts w:ascii="Arial" w:hAnsi="Arial" w:cs="Arial"/>
          <w:lang w:val="en-GB"/>
        </w:rPr>
        <w:t>barriers of communications</w:t>
      </w:r>
      <w:r w:rsidR="00F56EB2">
        <w:rPr>
          <w:rFonts w:ascii="Arial" w:hAnsi="Arial" w:cs="Arial"/>
          <w:lang w:val="en-GB"/>
        </w:rPr>
        <w:t xml:space="preserve"> faced based persons with disabilities (e.g. deaf persons),</w:t>
      </w:r>
      <w:r w:rsidR="00F56EB2" w:rsidRPr="00F56EB2">
        <w:rPr>
          <w:rFonts w:ascii="Arial" w:hAnsi="Arial" w:cs="Arial"/>
          <w:lang w:val="en-GB"/>
        </w:rPr>
        <w:t xml:space="preserve"> that concur </w:t>
      </w:r>
      <w:r w:rsidR="00344FBF">
        <w:rPr>
          <w:rFonts w:ascii="Arial" w:hAnsi="Arial" w:cs="Arial"/>
          <w:lang w:val="en-GB"/>
        </w:rPr>
        <w:t xml:space="preserve">in practice </w:t>
      </w:r>
      <w:r w:rsidR="00F56EB2" w:rsidRPr="00F56EB2">
        <w:rPr>
          <w:rFonts w:ascii="Arial" w:hAnsi="Arial" w:cs="Arial"/>
          <w:lang w:val="en-GB"/>
        </w:rPr>
        <w:t xml:space="preserve">with race-based stereotyping </w:t>
      </w:r>
      <w:r w:rsidR="00344FBF">
        <w:rPr>
          <w:rFonts w:ascii="Arial" w:hAnsi="Arial" w:cs="Arial"/>
          <w:lang w:val="en-GB"/>
        </w:rPr>
        <w:t xml:space="preserve">and </w:t>
      </w:r>
      <w:r w:rsidR="00F56EB2" w:rsidRPr="00F56EB2">
        <w:rPr>
          <w:rFonts w:ascii="Arial" w:hAnsi="Arial" w:cs="Arial"/>
          <w:lang w:val="en-GB"/>
        </w:rPr>
        <w:t xml:space="preserve">profiling; and </w:t>
      </w:r>
    </w:p>
    <w:p w14:paraId="42904BE4" w14:textId="21577242" w:rsidR="00132B9C" w:rsidRPr="00F56EB2" w:rsidRDefault="00F56EB2" w:rsidP="00F56EB2">
      <w:pPr>
        <w:pStyle w:val="ListBullet"/>
        <w:numPr>
          <w:ilvl w:val="0"/>
          <w:numId w:val="11"/>
        </w:numPr>
        <w:spacing w:after="0" w:line="240" w:lineRule="auto"/>
        <w:ind w:left="709"/>
        <w:jc w:val="both"/>
        <w:rPr>
          <w:rFonts w:ascii="Arial" w:hAnsi="Arial" w:cs="Arial"/>
          <w:lang w:val="en-GB"/>
        </w:rPr>
      </w:pPr>
      <w:r w:rsidRPr="00F56EB2">
        <w:rPr>
          <w:rFonts w:ascii="Arial" w:hAnsi="Arial" w:cs="Arial"/>
          <w:lang w:val="en-GB"/>
        </w:rPr>
        <w:t xml:space="preserve">consequently, ignores the increasingly visible disproportionate impact of law enforcement agents' activity on persons with </w:t>
      </w:r>
      <w:r>
        <w:rPr>
          <w:rFonts w:ascii="Arial" w:hAnsi="Arial" w:cs="Arial"/>
          <w:lang w:val="en-GB"/>
        </w:rPr>
        <w:t xml:space="preserve">disabilities, including those with </w:t>
      </w:r>
      <w:r w:rsidRPr="00F56EB2">
        <w:rPr>
          <w:rFonts w:ascii="Arial" w:hAnsi="Arial" w:cs="Arial"/>
          <w:lang w:val="en-GB"/>
        </w:rPr>
        <w:t>psychosocial disabilities and deaf people</w:t>
      </w:r>
      <w:r>
        <w:rPr>
          <w:rFonts w:ascii="Arial" w:hAnsi="Arial" w:cs="Arial"/>
          <w:lang w:val="en-GB"/>
        </w:rPr>
        <w:t>.</w:t>
      </w:r>
      <w:r w:rsidRPr="00F56EB2">
        <w:rPr>
          <w:rFonts w:ascii="Arial" w:hAnsi="Arial" w:cs="Arial"/>
          <w:lang w:val="en-GB"/>
        </w:rPr>
        <w:t xml:space="preserve">      </w:t>
      </w:r>
    </w:p>
    <w:p w14:paraId="2A985AB4" w14:textId="236613B5" w:rsidR="00132B9C" w:rsidRPr="00C409D4" w:rsidRDefault="00132B9C" w:rsidP="00C409D4">
      <w:pPr>
        <w:pStyle w:val="ListBullet"/>
        <w:numPr>
          <w:ilvl w:val="0"/>
          <w:numId w:val="0"/>
        </w:numPr>
        <w:spacing w:after="0" w:line="240" w:lineRule="auto"/>
        <w:ind w:left="709"/>
        <w:jc w:val="both"/>
        <w:rPr>
          <w:rFonts w:ascii="Arial" w:hAnsi="Arial" w:cs="Arial"/>
          <w:lang w:val="en-GB"/>
        </w:rPr>
      </w:pPr>
    </w:p>
    <w:p w14:paraId="32BA360E" w14:textId="27A392DE" w:rsidR="00132B9C" w:rsidRPr="00C409D4"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 xml:space="preserve">This submission </w:t>
      </w:r>
      <w:r w:rsidR="00344FBF">
        <w:rPr>
          <w:rFonts w:ascii="Arial" w:hAnsi="Arial" w:cs="Arial"/>
          <w:lang w:val="en-GB"/>
        </w:rPr>
        <w:t>elaborates on</w:t>
      </w:r>
      <w:r w:rsidRPr="00C409D4">
        <w:rPr>
          <w:rFonts w:ascii="Arial" w:hAnsi="Arial" w:cs="Arial"/>
          <w:lang w:val="en-GB"/>
        </w:rPr>
        <w:t xml:space="preserve"> the impact of the criminal and mental health systems on persons with disabilities, in particular </w:t>
      </w:r>
      <w:r w:rsidR="00344FBF">
        <w:rPr>
          <w:rFonts w:ascii="Arial" w:hAnsi="Arial" w:cs="Arial"/>
          <w:lang w:val="en-GB"/>
        </w:rPr>
        <w:t>those</w:t>
      </w:r>
      <w:r w:rsidRPr="00C409D4">
        <w:rPr>
          <w:rFonts w:ascii="Arial" w:hAnsi="Arial" w:cs="Arial"/>
          <w:lang w:val="en-GB"/>
        </w:rPr>
        <w:t xml:space="preserve"> with psychosocial disabilities</w:t>
      </w:r>
      <w:r w:rsidR="00F56EB2">
        <w:rPr>
          <w:rFonts w:ascii="Arial" w:hAnsi="Arial" w:cs="Arial"/>
          <w:lang w:val="en-GB"/>
        </w:rPr>
        <w:t xml:space="preserve"> and deaf persons</w:t>
      </w:r>
      <w:r w:rsidRPr="00C409D4">
        <w:rPr>
          <w:rFonts w:ascii="Arial" w:hAnsi="Arial" w:cs="Arial"/>
          <w:lang w:val="en-GB"/>
        </w:rPr>
        <w:t xml:space="preserve">, highlighting </w:t>
      </w:r>
      <w:r w:rsidR="00344FBF" w:rsidRPr="00C409D4">
        <w:rPr>
          <w:rFonts w:ascii="Arial" w:hAnsi="Arial" w:cs="Arial"/>
          <w:lang w:val="en-GB"/>
        </w:rPr>
        <w:t>intersectionalit</w:t>
      </w:r>
      <w:r w:rsidR="00344FBF">
        <w:rPr>
          <w:rFonts w:ascii="Arial" w:hAnsi="Arial" w:cs="Arial"/>
          <w:lang w:val="en-GB"/>
        </w:rPr>
        <w:t>ies</w:t>
      </w:r>
      <w:r w:rsidRPr="00C409D4">
        <w:rPr>
          <w:rFonts w:ascii="Arial" w:hAnsi="Arial" w:cs="Arial"/>
          <w:lang w:val="en-GB"/>
        </w:rPr>
        <w:t xml:space="preserve"> with race and ethnic origin. Law enforcement agents play a key role through surveillance</w:t>
      </w:r>
      <w:r w:rsidR="00344FBF">
        <w:rPr>
          <w:rFonts w:ascii="Arial" w:hAnsi="Arial" w:cs="Arial"/>
          <w:lang w:val="en-GB"/>
        </w:rPr>
        <w:t>,</w:t>
      </w:r>
      <w:r w:rsidRPr="00C409D4">
        <w:rPr>
          <w:rFonts w:ascii="Arial" w:hAnsi="Arial" w:cs="Arial"/>
          <w:lang w:val="en-GB"/>
        </w:rPr>
        <w:t xml:space="preserve"> detentions and custody. </w:t>
      </w:r>
      <w:r w:rsidR="00344FBF">
        <w:rPr>
          <w:rFonts w:ascii="Arial" w:hAnsi="Arial" w:cs="Arial"/>
          <w:lang w:val="en-GB"/>
        </w:rPr>
        <w:t>It</w:t>
      </w:r>
      <w:r w:rsidRPr="00C409D4">
        <w:rPr>
          <w:rFonts w:ascii="Arial" w:hAnsi="Arial" w:cs="Arial"/>
          <w:lang w:val="en-GB"/>
        </w:rPr>
        <w:t xml:space="preserve"> also </w:t>
      </w:r>
      <w:r w:rsidR="00344FBF">
        <w:rPr>
          <w:rFonts w:ascii="Arial" w:hAnsi="Arial" w:cs="Arial"/>
          <w:lang w:val="en-GB"/>
        </w:rPr>
        <w:t>puts forward</w:t>
      </w:r>
      <w:r w:rsidRPr="00C409D4">
        <w:rPr>
          <w:rFonts w:ascii="Arial" w:hAnsi="Arial" w:cs="Arial"/>
          <w:lang w:val="en-GB"/>
        </w:rPr>
        <w:t xml:space="preserve"> key human rights standards </w:t>
      </w:r>
      <w:r w:rsidR="00344FBF">
        <w:rPr>
          <w:rFonts w:ascii="Arial" w:hAnsi="Arial" w:cs="Arial"/>
          <w:lang w:val="en-GB"/>
        </w:rPr>
        <w:t xml:space="preserve">on discrimination, </w:t>
      </w:r>
      <w:r w:rsidRPr="00C409D4">
        <w:rPr>
          <w:rFonts w:ascii="Arial" w:hAnsi="Arial" w:cs="Arial"/>
          <w:lang w:val="en-GB"/>
        </w:rPr>
        <w:t>intersectionality and access to justice recognised by this Committee and the Committee on the Rights of Persons with Disabilities (</w:t>
      </w:r>
      <w:r w:rsidRPr="00C409D4">
        <w:rPr>
          <w:rFonts w:ascii="Arial" w:hAnsi="Arial" w:cs="Arial"/>
          <w:i/>
          <w:lang w:val="en-GB"/>
        </w:rPr>
        <w:t xml:space="preserve">hereinafter </w:t>
      </w:r>
      <w:r w:rsidRPr="00C409D4">
        <w:rPr>
          <w:rFonts w:ascii="Arial" w:hAnsi="Arial" w:cs="Arial"/>
          <w:lang w:val="en-GB"/>
        </w:rPr>
        <w:t xml:space="preserve">“the CRPD Committee”). </w:t>
      </w:r>
    </w:p>
    <w:p w14:paraId="47608205" w14:textId="5C68CFC2" w:rsidR="00132B9C" w:rsidRPr="00C409D4" w:rsidRDefault="00132B9C" w:rsidP="005765E4">
      <w:pPr>
        <w:pStyle w:val="ListBullet"/>
        <w:numPr>
          <w:ilvl w:val="0"/>
          <w:numId w:val="0"/>
        </w:numPr>
        <w:spacing w:after="0" w:line="240" w:lineRule="auto"/>
        <w:ind w:left="360"/>
        <w:rPr>
          <w:rFonts w:ascii="Arial" w:hAnsi="Arial" w:cs="Arial"/>
        </w:rPr>
      </w:pPr>
    </w:p>
    <w:p w14:paraId="3C55D574" w14:textId="03A9147C" w:rsidR="00132B9C" w:rsidRPr="00C409D4" w:rsidRDefault="00132B9C" w:rsidP="005765E4">
      <w:pPr>
        <w:pStyle w:val="ListBullet"/>
        <w:numPr>
          <w:ilvl w:val="0"/>
          <w:numId w:val="8"/>
        </w:numPr>
        <w:spacing w:after="0" w:line="240" w:lineRule="auto"/>
        <w:jc w:val="both"/>
        <w:rPr>
          <w:rFonts w:ascii="Arial" w:hAnsi="Arial" w:cs="Arial"/>
          <w:b/>
          <w:bCs/>
        </w:rPr>
      </w:pPr>
      <w:r w:rsidRPr="00C409D4">
        <w:rPr>
          <w:rFonts w:ascii="Arial" w:hAnsi="Arial" w:cs="Arial"/>
          <w:b/>
          <w:bCs/>
        </w:rPr>
        <w:t>PERSONS WITH DISABILITIES AND LAW ENFORCEMENT AGENTS: NEGATIVE STEREOTYPING, INTERSECTIONALITY AND HUMAN RIGHTS VIOLATIONS</w:t>
      </w:r>
    </w:p>
    <w:p w14:paraId="02F1A324" w14:textId="77777777" w:rsidR="00132B9C" w:rsidRPr="00C409D4" w:rsidRDefault="00132B9C" w:rsidP="005765E4">
      <w:pPr>
        <w:pStyle w:val="ListBullet"/>
        <w:numPr>
          <w:ilvl w:val="0"/>
          <w:numId w:val="0"/>
        </w:numPr>
        <w:spacing w:after="0" w:line="240" w:lineRule="auto"/>
        <w:rPr>
          <w:rFonts w:ascii="Arial" w:hAnsi="Arial" w:cs="Arial"/>
        </w:rPr>
      </w:pPr>
    </w:p>
    <w:p w14:paraId="669E00F2" w14:textId="7F420A78" w:rsidR="00132B9C" w:rsidRPr="00C409D4"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Persons with disabilities, especially those with psychosocial disabilities and intellectual disabilities, are typical “clients” of the criminal and mental health systems</w:t>
      </w:r>
      <w:r w:rsidR="003778AF">
        <w:rPr>
          <w:rFonts w:ascii="Arial" w:hAnsi="Arial" w:cs="Arial"/>
          <w:lang w:val="en-GB"/>
        </w:rPr>
        <w:t>. Others, such as deaf persons,</w:t>
      </w:r>
      <w:r w:rsidRPr="00C409D4">
        <w:rPr>
          <w:rFonts w:ascii="Arial" w:hAnsi="Arial" w:cs="Arial"/>
          <w:lang w:val="en-GB"/>
        </w:rPr>
        <w:t xml:space="preserve"> </w:t>
      </w:r>
      <w:r w:rsidR="00F56EB2">
        <w:rPr>
          <w:rFonts w:ascii="Arial" w:hAnsi="Arial" w:cs="Arial"/>
          <w:lang w:val="en-GB"/>
        </w:rPr>
        <w:t>face communication barriers when interacting with law enforcement agents</w:t>
      </w:r>
      <w:r w:rsidR="003778AF">
        <w:rPr>
          <w:rFonts w:ascii="Arial" w:hAnsi="Arial" w:cs="Arial"/>
          <w:lang w:val="en-GB"/>
        </w:rPr>
        <w:t>.</w:t>
      </w:r>
      <w:r w:rsidR="00F56EB2">
        <w:rPr>
          <w:rFonts w:ascii="Arial" w:hAnsi="Arial" w:cs="Arial"/>
          <w:lang w:val="en-GB"/>
        </w:rPr>
        <w:t xml:space="preserve"> </w:t>
      </w:r>
      <w:r w:rsidR="003778AF">
        <w:rPr>
          <w:rFonts w:ascii="Arial" w:hAnsi="Arial" w:cs="Arial"/>
          <w:lang w:val="en-GB"/>
        </w:rPr>
        <w:t>Hence, persons with disabilities are</w:t>
      </w:r>
      <w:r w:rsidR="00F56EB2">
        <w:rPr>
          <w:rFonts w:ascii="Arial" w:hAnsi="Arial" w:cs="Arial"/>
          <w:lang w:val="en-GB"/>
        </w:rPr>
        <w:t xml:space="preserve"> more prone to </w:t>
      </w:r>
      <w:r w:rsidRPr="00C409D4">
        <w:rPr>
          <w:rFonts w:ascii="Arial" w:hAnsi="Arial" w:cs="Arial"/>
          <w:lang w:val="en-GB"/>
        </w:rPr>
        <w:t>suffer abuses and human rights violations by law enforcement agents, ranging from discriminatory detentions on the basis of actual and perceived impairments to extrajudicial killings.</w:t>
      </w:r>
      <w:r w:rsidR="003778AF">
        <w:rPr>
          <w:rStyle w:val="EndnoteReference"/>
          <w:rFonts w:ascii="Arial" w:hAnsi="Arial" w:cs="Arial"/>
          <w:lang w:val="en-GB"/>
        </w:rPr>
        <w:endnoteReference w:id="2"/>
      </w:r>
      <w:r w:rsidRPr="00C409D4">
        <w:rPr>
          <w:rFonts w:ascii="Arial" w:hAnsi="Arial" w:cs="Arial"/>
          <w:lang w:val="en-GB"/>
        </w:rPr>
        <w:t xml:space="preserve"> </w:t>
      </w:r>
      <w:r w:rsidR="00F56EB2">
        <w:rPr>
          <w:rFonts w:ascii="Arial" w:hAnsi="Arial" w:cs="Arial"/>
          <w:lang w:val="en-GB"/>
        </w:rPr>
        <w:t>For instance</w:t>
      </w:r>
      <w:r w:rsidRPr="00C409D4">
        <w:rPr>
          <w:rFonts w:ascii="Arial" w:hAnsi="Arial" w:cs="Arial"/>
          <w:lang w:val="en-GB"/>
        </w:rPr>
        <w:t>, media coverage studies show that from one-third to half of all cases reported of persons killed by the United States’ police were persons with psychosocial disabilities.</w:t>
      </w:r>
      <w:r w:rsidRPr="00D159F3">
        <w:rPr>
          <w:rFonts w:ascii="Arial" w:hAnsi="Arial" w:cs="Arial"/>
          <w:vertAlign w:val="superscript"/>
          <w:lang w:val="en-GB"/>
        </w:rPr>
        <w:endnoteReference w:id="3"/>
      </w:r>
      <w:r w:rsidRPr="00C409D4">
        <w:rPr>
          <w:rFonts w:ascii="Arial" w:hAnsi="Arial" w:cs="Arial"/>
          <w:lang w:val="en-GB"/>
        </w:rPr>
        <w:t xml:space="preserve"> Available information also shows the relevance of intersectionality as persons with psychosocial disabilities from racial and ethnic minorities are disproportionately impacted: mental health detention is four times higher for black British than for their white peers.</w:t>
      </w:r>
      <w:r w:rsidRPr="00D159F3">
        <w:rPr>
          <w:rFonts w:ascii="Arial" w:hAnsi="Arial" w:cs="Arial"/>
          <w:vertAlign w:val="superscript"/>
          <w:lang w:val="en-GB"/>
        </w:rPr>
        <w:endnoteReference w:id="4"/>
      </w:r>
      <w:r w:rsidRPr="00C409D4">
        <w:rPr>
          <w:rFonts w:ascii="Arial" w:hAnsi="Arial" w:cs="Arial"/>
          <w:lang w:val="en-GB"/>
        </w:rPr>
        <w:t xml:space="preserve">  </w:t>
      </w:r>
    </w:p>
    <w:p w14:paraId="5522B126" w14:textId="77777777" w:rsidR="00132B9C" w:rsidRPr="00C409D4" w:rsidRDefault="00132B9C" w:rsidP="00C409D4">
      <w:pPr>
        <w:pStyle w:val="ListBullet"/>
        <w:numPr>
          <w:ilvl w:val="0"/>
          <w:numId w:val="0"/>
        </w:numPr>
        <w:spacing w:after="0" w:line="240" w:lineRule="auto"/>
        <w:ind w:left="709"/>
        <w:jc w:val="both"/>
        <w:rPr>
          <w:rFonts w:ascii="Arial" w:hAnsi="Arial" w:cs="Arial"/>
          <w:lang w:val="en-GB"/>
        </w:rPr>
      </w:pPr>
    </w:p>
    <w:p w14:paraId="153D2461" w14:textId="4DB455E9" w:rsidR="00132B9C" w:rsidRPr="00C409D4"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lastRenderedPageBreak/>
        <w:t>Societies stigmatize persons with disabilities based on their actual or perceived impairments. Stereotypes and prejudice against them result in their exclusion and discrimination in all aspects of their lives.</w:t>
      </w:r>
      <w:r w:rsidRPr="00D159F3">
        <w:rPr>
          <w:vertAlign w:val="superscript"/>
          <w:lang w:val="en-GB"/>
        </w:rPr>
        <w:endnoteReference w:id="5"/>
      </w:r>
      <w:r w:rsidRPr="00C409D4">
        <w:rPr>
          <w:rFonts w:ascii="Arial" w:hAnsi="Arial" w:cs="Arial"/>
          <w:lang w:val="en-GB"/>
        </w:rPr>
        <w:t xml:space="preserve"> In particular, persons with psychosocial disabilities are deemed to be prone to violence or even “dangerous” for themselves or society.</w:t>
      </w:r>
      <w:r w:rsidRPr="00D159F3">
        <w:rPr>
          <w:vertAlign w:val="superscript"/>
          <w:lang w:val="en-GB"/>
        </w:rPr>
        <w:endnoteReference w:id="6"/>
      </w:r>
      <w:r w:rsidRPr="00D159F3">
        <w:rPr>
          <w:vertAlign w:val="superscript"/>
          <w:lang w:val="en-GB"/>
        </w:rPr>
        <w:t xml:space="preserve"> </w:t>
      </w:r>
      <w:r w:rsidRPr="00C409D4">
        <w:rPr>
          <w:rFonts w:ascii="Arial" w:hAnsi="Arial" w:cs="Arial"/>
          <w:lang w:val="en-GB"/>
        </w:rPr>
        <w:t>This scenario is aggravated by the structural and systemic discrimination and multiple and intersecting forms of discrimination persons with disabilities face, including on the basis of age, gender, ethnic, indigenous, national or social origin, and race.</w:t>
      </w:r>
      <w:r w:rsidRPr="00D159F3">
        <w:rPr>
          <w:vertAlign w:val="superscript"/>
          <w:lang w:val="en-GB"/>
        </w:rPr>
        <w:endnoteReference w:id="7"/>
      </w:r>
      <w:r w:rsidRPr="00D159F3">
        <w:rPr>
          <w:vertAlign w:val="superscript"/>
          <w:lang w:val="en-GB"/>
        </w:rPr>
        <w:t xml:space="preserve"> </w:t>
      </w:r>
    </w:p>
    <w:p w14:paraId="1A50A57C" w14:textId="77777777" w:rsidR="00132B9C" w:rsidRPr="00C409D4" w:rsidRDefault="00132B9C" w:rsidP="00C409D4">
      <w:pPr>
        <w:pStyle w:val="ListBullet"/>
        <w:numPr>
          <w:ilvl w:val="0"/>
          <w:numId w:val="0"/>
        </w:numPr>
        <w:spacing w:after="0" w:line="240" w:lineRule="auto"/>
        <w:ind w:left="709"/>
        <w:jc w:val="both"/>
        <w:rPr>
          <w:rFonts w:ascii="Arial" w:hAnsi="Arial" w:cs="Arial"/>
          <w:lang w:val="en-GB"/>
        </w:rPr>
      </w:pPr>
    </w:p>
    <w:p w14:paraId="69CBDEEB" w14:textId="31D4D8DC" w:rsidR="00132B9C" w:rsidRPr="00C409D4"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Law enforcement agents, if not properly trained, and like anybody else, are likely to incorporate and reproduce disability stereotypes and prejudice when performing their functions, especially street-policing. Hence, they may incur in the unlawful profiling of persons not only based on their race and ethnic, indigenous, national or social origin, but in concurrence with disability-based stereotypes. For instance, police and social services commonly rely on the criterion of “dangerousness” of persons with psychosocial disabilities to assess the need for the imposition of detention and security measures.</w:t>
      </w:r>
      <w:r w:rsidRPr="00D159F3">
        <w:rPr>
          <w:vertAlign w:val="superscript"/>
          <w:lang w:val="en-GB"/>
        </w:rPr>
        <w:endnoteReference w:id="8"/>
      </w:r>
      <w:r w:rsidR="00946426">
        <w:rPr>
          <w:rFonts w:ascii="Arial" w:hAnsi="Arial" w:cs="Arial"/>
          <w:lang w:val="en-GB"/>
        </w:rPr>
        <w:t xml:space="preserve"> </w:t>
      </w:r>
      <w:r w:rsidR="00946426" w:rsidRPr="00946426">
        <w:rPr>
          <w:rFonts w:ascii="Arial" w:hAnsi="Arial" w:cs="Arial"/>
          <w:lang w:val="en-GB"/>
        </w:rPr>
        <w:t xml:space="preserve">Furthermore, law enforcement agents might not </w:t>
      </w:r>
      <w:r w:rsidR="00946426">
        <w:rPr>
          <w:rFonts w:ascii="Arial" w:hAnsi="Arial" w:cs="Arial"/>
          <w:lang w:val="en-GB"/>
        </w:rPr>
        <w:t>consider the</w:t>
      </w:r>
      <w:r w:rsidR="00946426" w:rsidRPr="00946426">
        <w:rPr>
          <w:rFonts w:ascii="Arial" w:hAnsi="Arial" w:cs="Arial"/>
          <w:lang w:val="en-GB"/>
        </w:rPr>
        <w:t xml:space="preserve"> accessibility requirements of persons with disabilities, including </w:t>
      </w:r>
      <w:r w:rsidR="0020792D">
        <w:rPr>
          <w:rFonts w:ascii="Arial" w:hAnsi="Arial" w:cs="Arial"/>
          <w:lang w:val="en-GB"/>
        </w:rPr>
        <w:t xml:space="preserve">of </w:t>
      </w:r>
      <w:r w:rsidR="00946426" w:rsidRPr="00946426">
        <w:rPr>
          <w:rFonts w:ascii="Arial" w:hAnsi="Arial" w:cs="Arial"/>
          <w:lang w:val="en-GB"/>
        </w:rPr>
        <w:t>deaf people (e.g. sign language interpret</w:t>
      </w:r>
      <w:r w:rsidR="00946426">
        <w:rPr>
          <w:rFonts w:ascii="Arial" w:hAnsi="Arial" w:cs="Arial"/>
          <w:lang w:val="en-GB"/>
        </w:rPr>
        <w:t>ation</w:t>
      </w:r>
      <w:r w:rsidR="00946426" w:rsidRPr="00946426">
        <w:rPr>
          <w:rFonts w:ascii="Arial" w:hAnsi="Arial" w:cs="Arial"/>
          <w:lang w:val="en-GB"/>
        </w:rPr>
        <w:t>)</w:t>
      </w:r>
      <w:r w:rsidR="0020792D">
        <w:rPr>
          <w:rFonts w:ascii="Arial" w:hAnsi="Arial" w:cs="Arial"/>
          <w:lang w:val="en-GB"/>
        </w:rPr>
        <w:t>.</w:t>
      </w:r>
    </w:p>
    <w:p w14:paraId="56FD5B86" w14:textId="77777777" w:rsidR="00132B9C" w:rsidRPr="00C409D4" w:rsidRDefault="00132B9C" w:rsidP="00C409D4">
      <w:pPr>
        <w:pStyle w:val="ListBullet"/>
        <w:numPr>
          <w:ilvl w:val="0"/>
          <w:numId w:val="0"/>
        </w:numPr>
        <w:spacing w:after="0" w:line="240" w:lineRule="auto"/>
        <w:ind w:left="709"/>
        <w:jc w:val="both"/>
        <w:rPr>
          <w:rFonts w:ascii="Arial" w:hAnsi="Arial" w:cs="Arial"/>
          <w:lang w:val="en-GB"/>
        </w:rPr>
      </w:pPr>
    </w:p>
    <w:p w14:paraId="0F64E77D" w14:textId="4D9040B2" w:rsidR="00132B9C"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Moreover, persons with psychosocial disabilities are typically criminali</w:t>
      </w:r>
      <w:r w:rsidR="001108C0">
        <w:rPr>
          <w:rFonts w:ascii="Arial" w:hAnsi="Arial" w:cs="Arial"/>
          <w:lang w:val="en-GB"/>
        </w:rPr>
        <w:t>s</w:t>
      </w:r>
      <w:r w:rsidRPr="00C409D4">
        <w:rPr>
          <w:rFonts w:ascii="Arial" w:hAnsi="Arial" w:cs="Arial"/>
          <w:lang w:val="en-GB"/>
        </w:rPr>
        <w:t>ed on the basis of their so-called “atypical behaviors” in public spaces. When non-compliant behavio</w:t>
      </w:r>
      <w:r w:rsidR="001108C0">
        <w:rPr>
          <w:rFonts w:ascii="Arial" w:hAnsi="Arial" w:cs="Arial"/>
          <w:lang w:val="en-GB"/>
        </w:rPr>
        <w:t>u</w:t>
      </w:r>
      <w:r w:rsidRPr="00C409D4">
        <w:rPr>
          <w:rFonts w:ascii="Arial" w:hAnsi="Arial" w:cs="Arial"/>
          <w:lang w:val="en-GB"/>
        </w:rPr>
        <w:t xml:space="preserve">rs mix with codes of conduct, surveillance measures, and coercive actions taken by the police, persons with psychosocial disabilities might end up </w:t>
      </w:r>
      <w:r w:rsidR="001108C0">
        <w:rPr>
          <w:rFonts w:ascii="Arial" w:hAnsi="Arial" w:cs="Arial"/>
          <w:lang w:val="en-GB"/>
        </w:rPr>
        <w:t xml:space="preserve">being </w:t>
      </w:r>
      <w:r w:rsidRPr="00C409D4">
        <w:rPr>
          <w:rFonts w:ascii="Arial" w:hAnsi="Arial" w:cs="Arial"/>
          <w:lang w:val="en-GB"/>
        </w:rPr>
        <w:t>deprived of their liberty.</w:t>
      </w:r>
      <w:r w:rsidRPr="00D159F3">
        <w:rPr>
          <w:vertAlign w:val="superscript"/>
          <w:lang w:val="en-GB"/>
        </w:rPr>
        <w:endnoteReference w:id="9"/>
      </w:r>
      <w:r w:rsidRPr="00D159F3">
        <w:rPr>
          <w:vertAlign w:val="superscript"/>
          <w:lang w:val="en-GB"/>
        </w:rPr>
        <w:t xml:space="preserve"> </w:t>
      </w:r>
      <w:r w:rsidRPr="00C409D4">
        <w:rPr>
          <w:rFonts w:ascii="Arial" w:hAnsi="Arial" w:cs="Arial"/>
          <w:lang w:val="en-GB"/>
        </w:rPr>
        <w:t>Even worse was the tragic case of Nathaniel Julius, a 16-year-old child with intellectual disability (Down syndrome), who was killed by the South African Police in August for not answering officers’ questions. As IDA publicly stated, “this senseless killing is an example of the lack of awareness and understanding among the public, but most worryingly, among forces which serve to protect people”.</w:t>
      </w:r>
      <w:r w:rsidRPr="00D159F3">
        <w:rPr>
          <w:vertAlign w:val="superscript"/>
          <w:lang w:val="en-GB"/>
        </w:rPr>
        <w:endnoteReference w:id="10"/>
      </w:r>
    </w:p>
    <w:p w14:paraId="491F374B" w14:textId="77777777" w:rsidR="00946426" w:rsidRDefault="00946426" w:rsidP="00946426">
      <w:pPr>
        <w:pStyle w:val="ListBullet"/>
        <w:numPr>
          <w:ilvl w:val="0"/>
          <w:numId w:val="0"/>
        </w:numPr>
        <w:spacing w:after="0" w:line="240" w:lineRule="auto"/>
        <w:ind w:left="709"/>
        <w:jc w:val="both"/>
        <w:rPr>
          <w:rFonts w:ascii="Arial" w:hAnsi="Arial" w:cs="Arial"/>
          <w:lang w:val="en-GB"/>
        </w:rPr>
      </w:pPr>
    </w:p>
    <w:p w14:paraId="646CC73A" w14:textId="513365CD" w:rsidR="00946426" w:rsidRPr="001467D0" w:rsidRDefault="00DB153E" w:rsidP="001467D0">
      <w:pPr>
        <w:pStyle w:val="ListBullet"/>
        <w:numPr>
          <w:ilvl w:val="0"/>
          <w:numId w:val="9"/>
        </w:numPr>
        <w:spacing w:after="0" w:line="240" w:lineRule="auto"/>
        <w:ind w:left="709"/>
        <w:jc w:val="both"/>
        <w:rPr>
          <w:rFonts w:ascii="Arial" w:hAnsi="Arial" w:cs="Arial"/>
          <w:lang w:val="en-GB"/>
        </w:rPr>
      </w:pPr>
      <w:r>
        <w:rPr>
          <w:rFonts w:ascii="Arial" w:hAnsi="Arial" w:cs="Arial"/>
          <w:lang w:val="en-GB"/>
        </w:rPr>
        <w:t xml:space="preserve">Communicational barriers and lack of training of </w:t>
      </w:r>
      <w:r w:rsidRPr="00946426">
        <w:rPr>
          <w:rFonts w:ascii="Arial" w:hAnsi="Arial" w:cs="Arial"/>
          <w:lang w:val="en-GB"/>
        </w:rPr>
        <w:t>law enforcements officers</w:t>
      </w:r>
      <w:r>
        <w:rPr>
          <w:rFonts w:ascii="Arial" w:hAnsi="Arial" w:cs="Arial"/>
          <w:lang w:val="en-GB"/>
        </w:rPr>
        <w:t xml:space="preserve"> on their regard</w:t>
      </w:r>
      <w:r w:rsidRPr="00946426">
        <w:rPr>
          <w:rFonts w:ascii="Arial" w:hAnsi="Arial" w:cs="Arial"/>
          <w:lang w:val="en-GB"/>
        </w:rPr>
        <w:t xml:space="preserve"> </w:t>
      </w:r>
      <w:r>
        <w:rPr>
          <w:rFonts w:ascii="Arial" w:hAnsi="Arial" w:cs="Arial"/>
          <w:lang w:val="en-GB"/>
        </w:rPr>
        <w:t>can lead to discrimination of persons with disabilities. For instance</w:t>
      </w:r>
      <w:r w:rsidRPr="00DB153E">
        <w:rPr>
          <w:rFonts w:ascii="Arial" w:hAnsi="Arial" w:cs="Arial"/>
          <w:lang w:val="en-GB"/>
        </w:rPr>
        <w:t>, d</w:t>
      </w:r>
      <w:r w:rsidR="00946426" w:rsidRPr="00DB153E">
        <w:rPr>
          <w:rFonts w:ascii="Arial" w:hAnsi="Arial" w:cs="Arial"/>
          <w:lang w:val="en-GB"/>
        </w:rPr>
        <w:t xml:space="preserve">eaf people are usually unable to fully access spoken languages and exclusively </w:t>
      </w:r>
      <w:r>
        <w:rPr>
          <w:rFonts w:ascii="Arial" w:hAnsi="Arial" w:cs="Arial"/>
          <w:lang w:val="en-GB"/>
        </w:rPr>
        <w:t>utilise</w:t>
      </w:r>
      <w:r w:rsidR="00946426" w:rsidRPr="00DB153E">
        <w:rPr>
          <w:rFonts w:ascii="Arial" w:hAnsi="Arial" w:cs="Arial"/>
          <w:lang w:val="en-GB"/>
        </w:rPr>
        <w:t xml:space="preserve"> sign language</w:t>
      </w:r>
      <w:r>
        <w:rPr>
          <w:rFonts w:ascii="Arial" w:hAnsi="Arial" w:cs="Arial"/>
          <w:lang w:val="en-GB"/>
        </w:rPr>
        <w:t>s, which</w:t>
      </w:r>
      <w:r w:rsidR="00946426" w:rsidRPr="00DB153E">
        <w:rPr>
          <w:rFonts w:ascii="Arial" w:hAnsi="Arial" w:cs="Arial"/>
          <w:lang w:val="en-GB"/>
        </w:rPr>
        <w:t xml:space="preserve"> are the primary means of</w:t>
      </w:r>
      <w:r>
        <w:rPr>
          <w:rFonts w:ascii="Arial" w:hAnsi="Arial" w:cs="Arial"/>
          <w:lang w:val="en-GB"/>
        </w:rPr>
        <w:t xml:space="preserve"> their</w:t>
      </w:r>
      <w:r w:rsidR="00946426" w:rsidRPr="00DB153E">
        <w:rPr>
          <w:rFonts w:ascii="Arial" w:hAnsi="Arial" w:cs="Arial"/>
          <w:lang w:val="en-GB"/>
        </w:rPr>
        <w:t xml:space="preserve"> communication. </w:t>
      </w:r>
      <w:r>
        <w:rPr>
          <w:rFonts w:ascii="Arial" w:hAnsi="Arial" w:cs="Arial"/>
          <w:lang w:val="en-GB"/>
        </w:rPr>
        <w:t>As b</w:t>
      </w:r>
      <w:r w:rsidR="00946426" w:rsidRPr="00DB153E">
        <w:rPr>
          <w:rFonts w:ascii="Arial" w:hAnsi="Arial" w:cs="Arial"/>
          <w:lang w:val="en-GB"/>
        </w:rPr>
        <w:t>ody language and facial expression are key</w:t>
      </w:r>
      <w:r>
        <w:rPr>
          <w:rFonts w:ascii="Arial" w:hAnsi="Arial" w:cs="Arial"/>
          <w:lang w:val="en-GB"/>
        </w:rPr>
        <w:t xml:space="preserve"> in sign language</w:t>
      </w:r>
      <w:r w:rsidR="00946426" w:rsidRPr="00DB153E">
        <w:rPr>
          <w:rFonts w:ascii="Arial" w:hAnsi="Arial" w:cs="Arial"/>
          <w:lang w:val="en-GB"/>
        </w:rPr>
        <w:t xml:space="preserve">, </w:t>
      </w:r>
      <w:r>
        <w:rPr>
          <w:rFonts w:ascii="Arial" w:hAnsi="Arial" w:cs="Arial"/>
          <w:lang w:val="en-GB"/>
        </w:rPr>
        <w:t xml:space="preserve">deaf persons tend </w:t>
      </w:r>
      <w:r w:rsidR="00946426" w:rsidRPr="00DB153E">
        <w:rPr>
          <w:rFonts w:ascii="Arial" w:hAnsi="Arial" w:cs="Arial"/>
          <w:lang w:val="en-GB"/>
        </w:rPr>
        <w:t xml:space="preserve">to create space to ensure that </w:t>
      </w:r>
      <w:r>
        <w:rPr>
          <w:rFonts w:ascii="Arial" w:hAnsi="Arial" w:cs="Arial"/>
          <w:lang w:val="en-GB"/>
        </w:rPr>
        <w:t>other</w:t>
      </w:r>
      <w:r w:rsidR="001108C0">
        <w:rPr>
          <w:rFonts w:ascii="Arial" w:hAnsi="Arial" w:cs="Arial"/>
          <w:lang w:val="en-GB"/>
        </w:rPr>
        <w:t>s</w:t>
      </w:r>
      <w:r>
        <w:rPr>
          <w:rFonts w:ascii="Arial" w:hAnsi="Arial" w:cs="Arial"/>
          <w:lang w:val="en-GB"/>
        </w:rPr>
        <w:t xml:space="preserve"> </w:t>
      </w:r>
      <w:r w:rsidR="00946426" w:rsidRPr="00DB153E">
        <w:rPr>
          <w:rFonts w:ascii="Arial" w:hAnsi="Arial" w:cs="Arial"/>
          <w:lang w:val="en-GB"/>
        </w:rPr>
        <w:t>ha</w:t>
      </w:r>
      <w:r w:rsidR="001108C0">
        <w:rPr>
          <w:rFonts w:ascii="Arial" w:hAnsi="Arial" w:cs="Arial"/>
          <w:lang w:val="en-GB"/>
        </w:rPr>
        <w:t>ve</w:t>
      </w:r>
      <w:r w:rsidR="00946426" w:rsidRPr="00DB153E">
        <w:rPr>
          <w:rFonts w:ascii="Arial" w:hAnsi="Arial" w:cs="Arial"/>
          <w:lang w:val="en-GB"/>
        </w:rPr>
        <w:t xml:space="preserve"> full view of the</w:t>
      </w:r>
      <w:r w:rsidR="001108C0">
        <w:rPr>
          <w:rFonts w:ascii="Arial" w:hAnsi="Arial" w:cs="Arial"/>
          <w:lang w:val="en-GB"/>
        </w:rPr>
        <w:t>ir</w:t>
      </w:r>
      <w:r w:rsidR="00946426" w:rsidRPr="00DB153E">
        <w:rPr>
          <w:rFonts w:ascii="Arial" w:hAnsi="Arial" w:cs="Arial"/>
          <w:lang w:val="en-GB"/>
        </w:rPr>
        <w:t xml:space="preserve"> hands, body and face. </w:t>
      </w:r>
      <w:r w:rsidR="001467D0">
        <w:rPr>
          <w:rFonts w:ascii="Arial" w:hAnsi="Arial" w:cs="Arial"/>
          <w:lang w:val="en-GB"/>
        </w:rPr>
        <w:t>In this sense, t</w:t>
      </w:r>
      <w:r w:rsidR="001467D0" w:rsidRPr="00DB153E">
        <w:rPr>
          <w:rFonts w:ascii="Arial" w:hAnsi="Arial" w:cs="Arial"/>
          <w:lang w:val="en-GB"/>
        </w:rPr>
        <w:t>he use of handcuffs</w:t>
      </w:r>
      <w:r w:rsidR="001467D0">
        <w:rPr>
          <w:rFonts w:ascii="Arial" w:hAnsi="Arial" w:cs="Arial"/>
          <w:lang w:val="en-GB"/>
        </w:rPr>
        <w:t xml:space="preserve"> and similar practices</w:t>
      </w:r>
      <w:r w:rsidR="001467D0" w:rsidRPr="00DB153E">
        <w:rPr>
          <w:rFonts w:ascii="Arial" w:hAnsi="Arial" w:cs="Arial"/>
          <w:lang w:val="en-GB"/>
        </w:rPr>
        <w:t xml:space="preserve"> limit the person’s ability to communicate.</w:t>
      </w:r>
      <w:r w:rsidR="001467D0">
        <w:rPr>
          <w:rFonts w:ascii="Arial" w:hAnsi="Arial" w:cs="Arial"/>
          <w:lang w:val="en-GB"/>
        </w:rPr>
        <w:t xml:space="preserve"> </w:t>
      </w:r>
      <w:r w:rsidR="001467D0" w:rsidRPr="001467D0">
        <w:rPr>
          <w:rFonts w:ascii="Arial" w:hAnsi="Arial" w:cs="Arial"/>
          <w:lang w:val="en-GB"/>
        </w:rPr>
        <w:t>Unaware o</w:t>
      </w:r>
      <w:r w:rsidR="00946426" w:rsidRPr="001467D0">
        <w:rPr>
          <w:rFonts w:ascii="Arial" w:hAnsi="Arial" w:cs="Arial"/>
          <w:lang w:val="en-GB"/>
        </w:rPr>
        <w:t xml:space="preserve">fficers </w:t>
      </w:r>
      <w:r w:rsidR="001467D0" w:rsidRPr="001467D0">
        <w:rPr>
          <w:rFonts w:ascii="Arial" w:hAnsi="Arial" w:cs="Arial"/>
          <w:lang w:val="en-GB"/>
        </w:rPr>
        <w:t>might</w:t>
      </w:r>
      <w:r w:rsidR="00946426" w:rsidRPr="001467D0">
        <w:rPr>
          <w:rFonts w:ascii="Arial" w:hAnsi="Arial" w:cs="Arial"/>
          <w:lang w:val="en-GB"/>
        </w:rPr>
        <w:t xml:space="preserve"> misunderstand </w:t>
      </w:r>
      <w:r w:rsidR="001467D0" w:rsidRPr="001467D0">
        <w:rPr>
          <w:rFonts w:ascii="Arial" w:hAnsi="Arial" w:cs="Arial"/>
          <w:lang w:val="en-GB"/>
        </w:rPr>
        <w:t>th</w:t>
      </w:r>
      <w:r w:rsidR="001467D0">
        <w:rPr>
          <w:rFonts w:ascii="Arial" w:hAnsi="Arial" w:cs="Arial"/>
          <w:lang w:val="en-GB"/>
        </w:rPr>
        <w:t>ese</w:t>
      </w:r>
      <w:r w:rsidR="001467D0" w:rsidRPr="001467D0">
        <w:rPr>
          <w:rFonts w:ascii="Arial" w:hAnsi="Arial" w:cs="Arial"/>
          <w:lang w:val="en-GB"/>
        </w:rPr>
        <w:t xml:space="preserve"> </w:t>
      </w:r>
      <w:r w:rsidR="001467D0">
        <w:rPr>
          <w:rFonts w:ascii="Arial" w:hAnsi="Arial" w:cs="Arial"/>
          <w:lang w:val="en-GB"/>
        </w:rPr>
        <w:t>elem</w:t>
      </w:r>
      <w:r w:rsidR="001467D0" w:rsidRPr="001467D0">
        <w:rPr>
          <w:rFonts w:ascii="Arial" w:hAnsi="Arial" w:cs="Arial"/>
          <w:lang w:val="en-GB"/>
        </w:rPr>
        <w:t>ents</w:t>
      </w:r>
      <w:r w:rsidR="00946426" w:rsidRPr="001467D0">
        <w:rPr>
          <w:rFonts w:ascii="Arial" w:hAnsi="Arial" w:cs="Arial"/>
          <w:lang w:val="en-GB"/>
        </w:rPr>
        <w:t xml:space="preserve"> </w:t>
      </w:r>
      <w:r w:rsidR="001467D0">
        <w:rPr>
          <w:rFonts w:ascii="Arial" w:hAnsi="Arial" w:cs="Arial"/>
          <w:lang w:val="en-GB"/>
        </w:rPr>
        <w:t xml:space="preserve">and </w:t>
      </w:r>
      <w:r w:rsidR="00946426" w:rsidRPr="001467D0">
        <w:rPr>
          <w:rFonts w:ascii="Arial" w:hAnsi="Arial" w:cs="Arial"/>
          <w:lang w:val="en-GB"/>
        </w:rPr>
        <w:t>feel threatened</w:t>
      </w:r>
      <w:r w:rsidR="001467D0">
        <w:rPr>
          <w:rFonts w:ascii="Arial" w:hAnsi="Arial" w:cs="Arial"/>
          <w:lang w:val="en-GB"/>
        </w:rPr>
        <w:t xml:space="preserve">, </w:t>
      </w:r>
      <w:r w:rsidR="00946426" w:rsidRPr="001467D0">
        <w:rPr>
          <w:rFonts w:ascii="Arial" w:hAnsi="Arial" w:cs="Arial"/>
          <w:lang w:val="en-GB"/>
        </w:rPr>
        <w:t>choos</w:t>
      </w:r>
      <w:r w:rsidR="001467D0">
        <w:rPr>
          <w:rFonts w:ascii="Arial" w:hAnsi="Arial" w:cs="Arial"/>
          <w:lang w:val="en-GB"/>
        </w:rPr>
        <w:t>ing</w:t>
      </w:r>
      <w:r w:rsidR="00946426" w:rsidRPr="001467D0">
        <w:rPr>
          <w:rFonts w:ascii="Arial" w:hAnsi="Arial" w:cs="Arial"/>
          <w:lang w:val="en-GB"/>
        </w:rPr>
        <w:t xml:space="preserve"> to retaliate against a deaf person.</w:t>
      </w:r>
      <w:r w:rsidR="003925ED">
        <w:rPr>
          <w:rStyle w:val="EndnoteReference"/>
          <w:rFonts w:ascii="Arial" w:hAnsi="Arial" w:cs="Arial"/>
          <w:lang w:val="en-GB"/>
        </w:rPr>
        <w:endnoteReference w:id="11"/>
      </w:r>
      <w:r w:rsidR="00946426" w:rsidRPr="001467D0">
        <w:rPr>
          <w:rFonts w:ascii="Arial" w:hAnsi="Arial" w:cs="Arial"/>
          <w:lang w:val="en-GB"/>
        </w:rPr>
        <w:t xml:space="preserve"> </w:t>
      </w:r>
      <w:r w:rsidR="001467D0">
        <w:rPr>
          <w:rFonts w:ascii="Arial" w:hAnsi="Arial" w:cs="Arial"/>
          <w:lang w:val="en-GB"/>
        </w:rPr>
        <w:t>Further,</w:t>
      </w:r>
      <w:r w:rsidR="00946426" w:rsidRPr="001467D0">
        <w:rPr>
          <w:rFonts w:ascii="Arial" w:hAnsi="Arial" w:cs="Arial"/>
          <w:lang w:val="en-GB"/>
        </w:rPr>
        <w:t xml:space="preserve"> the sound of deaf voices </w:t>
      </w:r>
      <w:r w:rsidR="001467D0">
        <w:rPr>
          <w:rFonts w:ascii="Arial" w:hAnsi="Arial" w:cs="Arial"/>
          <w:lang w:val="en-GB"/>
        </w:rPr>
        <w:t>might be mis</w:t>
      </w:r>
      <w:r w:rsidR="001108C0">
        <w:rPr>
          <w:rFonts w:ascii="Arial" w:hAnsi="Arial" w:cs="Arial"/>
          <w:lang w:val="en-GB"/>
        </w:rPr>
        <w:t>interpreted</w:t>
      </w:r>
      <w:r w:rsidR="001467D0">
        <w:rPr>
          <w:rFonts w:ascii="Arial" w:hAnsi="Arial" w:cs="Arial"/>
          <w:lang w:val="en-GB"/>
        </w:rPr>
        <w:t xml:space="preserve"> by police officers</w:t>
      </w:r>
      <w:r w:rsidR="00946426" w:rsidRPr="001467D0">
        <w:rPr>
          <w:rFonts w:ascii="Arial" w:hAnsi="Arial" w:cs="Arial"/>
          <w:lang w:val="en-GB"/>
        </w:rPr>
        <w:t xml:space="preserve"> </w:t>
      </w:r>
      <w:r w:rsidR="001467D0">
        <w:rPr>
          <w:rFonts w:ascii="Arial" w:hAnsi="Arial" w:cs="Arial"/>
          <w:lang w:val="en-GB"/>
        </w:rPr>
        <w:t>leading to</w:t>
      </w:r>
      <w:r w:rsidR="00946426" w:rsidRPr="001467D0">
        <w:rPr>
          <w:rFonts w:ascii="Arial" w:hAnsi="Arial" w:cs="Arial"/>
          <w:lang w:val="en-GB"/>
        </w:rPr>
        <w:t xml:space="preserve"> mistreatments</w:t>
      </w:r>
      <w:r w:rsidR="001467D0">
        <w:rPr>
          <w:rFonts w:ascii="Arial" w:hAnsi="Arial" w:cs="Arial"/>
          <w:lang w:val="en-GB"/>
        </w:rPr>
        <w:t xml:space="preserve"> (e.g.</w:t>
      </w:r>
      <w:r w:rsidR="00946426" w:rsidRPr="001467D0">
        <w:rPr>
          <w:rFonts w:ascii="Arial" w:hAnsi="Arial" w:cs="Arial"/>
          <w:lang w:val="en-GB"/>
        </w:rPr>
        <w:t xml:space="preserve"> they may think the person is under drug or alcohol influence or experiencing a psychotic episode</w:t>
      </w:r>
      <w:r w:rsidR="001467D0">
        <w:rPr>
          <w:rFonts w:ascii="Arial" w:hAnsi="Arial" w:cs="Arial"/>
          <w:lang w:val="en-GB"/>
        </w:rPr>
        <w:t>)</w:t>
      </w:r>
      <w:r w:rsidR="00946426" w:rsidRPr="001467D0">
        <w:rPr>
          <w:rFonts w:ascii="Arial" w:hAnsi="Arial" w:cs="Arial"/>
          <w:lang w:val="en-GB"/>
        </w:rPr>
        <w:t>.</w:t>
      </w:r>
    </w:p>
    <w:p w14:paraId="49C6CF0A" w14:textId="77777777" w:rsidR="00132B9C" w:rsidRPr="00C409D4" w:rsidRDefault="00132B9C" w:rsidP="00C409D4">
      <w:pPr>
        <w:pStyle w:val="ListBullet"/>
        <w:numPr>
          <w:ilvl w:val="0"/>
          <w:numId w:val="0"/>
        </w:numPr>
        <w:spacing w:after="0" w:line="240" w:lineRule="auto"/>
        <w:ind w:left="709"/>
        <w:jc w:val="both"/>
        <w:rPr>
          <w:rFonts w:ascii="Arial" w:hAnsi="Arial" w:cs="Arial"/>
          <w:lang w:val="en-GB"/>
        </w:rPr>
      </w:pPr>
    </w:p>
    <w:p w14:paraId="08A1A47D" w14:textId="091C3D71" w:rsidR="001467D0" w:rsidRPr="00240336" w:rsidRDefault="00132B9C" w:rsidP="00240336">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Worrisome data and analyses confirm that persons with disabilities are particularly vulnerable when interacting with law enforcement officials, as the first daily face of the criminal system.</w:t>
      </w:r>
      <w:r w:rsidRPr="00D159F3">
        <w:rPr>
          <w:vertAlign w:val="superscript"/>
          <w:lang w:val="en-GB"/>
        </w:rPr>
        <w:endnoteReference w:id="12"/>
      </w:r>
      <w:r w:rsidRPr="00D159F3">
        <w:rPr>
          <w:vertAlign w:val="superscript"/>
          <w:lang w:val="en-GB"/>
        </w:rPr>
        <w:t xml:space="preserve"> </w:t>
      </w:r>
      <w:r w:rsidR="001108C0">
        <w:rPr>
          <w:rFonts w:ascii="Arial" w:hAnsi="Arial" w:cs="Arial"/>
          <w:lang w:val="en-GB"/>
        </w:rPr>
        <w:t>A</w:t>
      </w:r>
      <w:r w:rsidRPr="00C409D4">
        <w:rPr>
          <w:rFonts w:ascii="Arial" w:hAnsi="Arial" w:cs="Arial"/>
          <w:lang w:val="en-GB"/>
        </w:rPr>
        <w:t>s mentioned, media coverage studies show that from one-third to half of all persons killed by the United States police are persons with psychosocial disabilities.</w:t>
      </w:r>
      <w:r w:rsidRPr="00D159F3">
        <w:rPr>
          <w:vertAlign w:val="superscript"/>
          <w:lang w:val="en-GB"/>
        </w:rPr>
        <w:endnoteReference w:id="13"/>
      </w:r>
      <w:r w:rsidRPr="00D159F3">
        <w:rPr>
          <w:vertAlign w:val="superscript"/>
          <w:lang w:val="en-GB"/>
        </w:rPr>
        <w:t xml:space="preserve"> </w:t>
      </w:r>
      <w:r w:rsidRPr="00C409D4">
        <w:rPr>
          <w:rFonts w:ascii="Arial" w:hAnsi="Arial" w:cs="Arial"/>
          <w:lang w:val="en-GB"/>
        </w:rPr>
        <w:t>Apart from police brutality, persons with both physical and psychosocial disabilities in the United States are 44% more likely to be arrested by age 28, whereas their non-disabled peers have a lower 30% probability of arrest.</w:t>
      </w:r>
      <w:r w:rsidRPr="00D159F3">
        <w:rPr>
          <w:vertAlign w:val="superscript"/>
          <w:lang w:val="en-GB"/>
        </w:rPr>
        <w:endnoteReference w:id="14"/>
      </w:r>
      <w:r w:rsidR="00240336">
        <w:rPr>
          <w:rFonts w:ascii="Arial" w:hAnsi="Arial" w:cs="Arial"/>
          <w:lang w:val="en-GB"/>
        </w:rPr>
        <w:t xml:space="preserve"> Given communicational barriers</w:t>
      </w:r>
      <w:r w:rsidR="001467D0" w:rsidRPr="00011427">
        <w:rPr>
          <w:rFonts w:ascii="Arial" w:hAnsi="Arial" w:cs="Arial"/>
          <w:lang w:val="en-GB"/>
        </w:rPr>
        <w:t xml:space="preserve"> when interacting with law enforcement officers or when placed in prisons </w:t>
      </w:r>
      <w:r w:rsidR="00240336">
        <w:rPr>
          <w:rFonts w:ascii="Arial" w:hAnsi="Arial" w:cs="Arial"/>
          <w:lang w:val="en-GB"/>
        </w:rPr>
        <w:t>without being provided</w:t>
      </w:r>
      <w:r w:rsidR="001467D0" w:rsidRPr="00011427">
        <w:rPr>
          <w:rFonts w:ascii="Arial" w:hAnsi="Arial" w:cs="Arial"/>
          <w:lang w:val="en-GB"/>
        </w:rPr>
        <w:t xml:space="preserve"> sign language interpret</w:t>
      </w:r>
      <w:r w:rsidR="00240336">
        <w:rPr>
          <w:rFonts w:ascii="Arial" w:hAnsi="Arial" w:cs="Arial"/>
          <w:lang w:val="en-GB"/>
        </w:rPr>
        <w:t xml:space="preserve">ation, deaf persons </w:t>
      </w:r>
      <w:r w:rsidR="00EB4E5B">
        <w:rPr>
          <w:rFonts w:ascii="Arial" w:hAnsi="Arial" w:cs="Arial"/>
          <w:lang w:val="en-GB"/>
        </w:rPr>
        <w:t xml:space="preserve">also </w:t>
      </w:r>
      <w:r w:rsidR="00240336">
        <w:rPr>
          <w:rFonts w:ascii="Arial" w:hAnsi="Arial" w:cs="Arial"/>
          <w:lang w:val="en-GB"/>
        </w:rPr>
        <w:t xml:space="preserve">remain vulnerable to mistreatments. </w:t>
      </w:r>
    </w:p>
    <w:p w14:paraId="7F2B26CD" w14:textId="5B10C16E" w:rsidR="00132B9C" w:rsidRPr="00C409D4" w:rsidRDefault="00132B9C" w:rsidP="003925ED">
      <w:pPr>
        <w:pStyle w:val="ListBullet"/>
        <w:numPr>
          <w:ilvl w:val="0"/>
          <w:numId w:val="0"/>
        </w:numPr>
        <w:spacing w:after="0" w:line="240" w:lineRule="auto"/>
        <w:ind w:left="360" w:hanging="360"/>
        <w:jc w:val="both"/>
        <w:rPr>
          <w:rFonts w:ascii="Arial" w:hAnsi="Arial" w:cs="Arial"/>
          <w:lang w:val="en-GB"/>
        </w:rPr>
      </w:pPr>
      <w:r w:rsidRPr="00D159F3">
        <w:rPr>
          <w:vertAlign w:val="superscript"/>
          <w:lang w:val="en-GB"/>
        </w:rPr>
        <w:t xml:space="preserve"> </w:t>
      </w:r>
    </w:p>
    <w:p w14:paraId="24EC6FFD" w14:textId="5C17C361" w:rsidR="00132B9C" w:rsidRPr="00C409D4"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Available data also suggests that the intersection between disability and race, ethnic, indigenous or national origin, brings negative disproportionate impacts. For instance, in the United Kingdom, where the Mental Health Act allows police to detain persons who “appear” to be suffering from a “mental health disorder” and take them to special detention facilities,</w:t>
      </w:r>
      <w:r w:rsidRPr="00FB11BF">
        <w:rPr>
          <w:vertAlign w:val="superscript"/>
          <w:lang w:val="en-GB"/>
        </w:rPr>
        <w:endnoteReference w:id="15"/>
      </w:r>
      <w:r w:rsidRPr="00C409D4">
        <w:rPr>
          <w:rFonts w:ascii="Arial" w:hAnsi="Arial" w:cs="Arial"/>
          <w:lang w:val="en-GB"/>
        </w:rPr>
        <w:t xml:space="preserve"> the Care Quality Commission reported that such detentions are over four times higher for black British than for their white peers.</w:t>
      </w:r>
      <w:r w:rsidRPr="00D159F3">
        <w:rPr>
          <w:vertAlign w:val="superscript"/>
          <w:lang w:val="en-GB"/>
        </w:rPr>
        <w:endnoteReference w:id="16"/>
      </w:r>
      <w:r w:rsidRPr="00D159F3">
        <w:rPr>
          <w:vertAlign w:val="superscript"/>
          <w:lang w:val="en-GB"/>
        </w:rPr>
        <w:t xml:space="preserve"> </w:t>
      </w:r>
      <w:r w:rsidRPr="00C409D4">
        <w:rPr>
          <w:rFonts w:ascii="Arial" w:hAnsi="Arial" w:cs="Arial"/>
          <w:lang w:val="en-GB"/>
        </w:rPr>
        <w:t>Additionally, Black Caribbean, African and, to a lesser extent, Asian patients are more likely to be compulsory admitted to mental health centr</w:t>
      </w:r>
      <w:r w:rsidR="001108C0">
        <w:rPr>
          <w:rFonts w:ascii="Arial" w:hAnsi="Arial" w:cs="Arial"/>
          <w:lang w:val="en-GB"/>
        </w:rPr>
        <w:t>e</w:t>
      </w:r>
      <w:r w:rsidRPr="00C409D4">
        <w:rPr>
          <w:rFonts w:ascii="Arial" w:hAnsi="Arial" w:cs="Arial"/>
          <w:lang w:val="en-GB"/>
        </w:rPr>
        <w:t>s than white ethnic groups.</w:t>
      </w:r>
      <w:r w:rsidRPr="00D159F3">
        <w:rPr>
          <w:vertAlign w:val="superscript"/>
          <w:lang w:val="en-GB"/>
        </w:rPr>
        <w:endnoteReference w:id="17"/>
      </w:r>
      <w:r w:rsidRPr="00D159F3">
        <w:rPr>
          <w:vertAlign w:val="superscript"/>
          <w:lang w:val="en-GB"/>
        </w:rPr>
        <w:t xml:space="preserve"> </w:t>
      </w:r>
      <w:r w:rsidRPr="00C409D4">
        <w:rPr>
          <w:rFonts w:ascii="Arial" w:hAnsi="Arial" w:cs="Arial"/>
          <w:lang w:val="en-GB"/>
        </w:rPr>
        <w:t>Research has explained that among</w:t>
      </w:r>
      <w:r w:rsidR="00171852">
        <w:rPr>
          <w:rFonts w:ascii="Arial" w:hAnsi="Arial" w:cs="Arial"/>
          <w:lang w:val="en-GB"/>
        </w:rPr>
        <w:t>st</w:t>
      </w:r>
      <w:r w:rsidRPr="00C409D4">
        <w:rPr>
          <w:rFonts w:ascii="Arial" w:hAnsi="Arial" w:cs="Arial"/>
          <w:lang w:val="en-GB"/>
        </w:rPr>
        <w:t xml:space="preserve"> “the most common explanations for the increased risk of detainment in BAME [Black, Asian and Minority Ethnic] populations [there are] […] increased perceived risk of violence, increased police contact, absence of or mistrust of general practitioners, and ethnic disadvantages”.</w:t>
      </w:r>
      <w:r w:rsidRPr="00D159F3">
        <w:rPr>
          <w:vertAlign w:val="superscript"/>
          <w:lang w:val="en-GB"/>
        </w:rPr>
        <w:endnoteReference w:id="18"/>
      </w:r>
      <w:r w:rsidR="003925ED">
        <w:rPr>
          <w:rFonts w:ascii="Arial" w:hAnsi="Arial" w:cs="Arial"/>
          <w:lang w:val="en-GB"/>
        </w:rPr>
        <w:t xml:space="preserve"> In regards to deaf persons, in the USA, </w:t>
      </w:r>
      <w:r w:rsidR="003925ED" w:rsidRPr="003925ED">
        <w:rPr>
          <w:rFonts w:ascii="Arial" w:hAnsi="Arial" w:cs="Arial"/>
          <w:lang w:val="en-GB"/>
        </w:rPr>
        <w:t xml:space="preserve">The Helping Educate to Advance the Rights of Deaf Communities </w:t>
      </w:r>
      <w:r w:rsidR="003925ED" w:rsidRPr="003925ED">
        <w:rPr>
          <w:rFonts w:ascii="Arial" w:hAnsi="Arial" w:cs="Arial"/>
          <w:lang w:val="en-GB"/>
        </w:rPr>
        <w:lastRenderedPageBreak/>
        <w:t>(HEARD) gathers data on cases police brutality that highlight the intersectionality with African or Latin descent.</w:t>
      </w:r>
      <w:r w:rsidR="003925ED" w:rsidRPr="003925ED">
        <w:rPr>
          <w:rFonts w:ascii="Arial" w:hAnsi="Arial" w:cs="Arial"/>
          <w:vertAlign w:val="superscript"/>
          <w:lang w:val="en-GB"/>
        </w:rPr>
        <w:endnoteReference w:id="19"/>
      </w:r>
      <w:r w:rsidR="003925ED" w:rsidRPr="003925ED">
        <w:rPr>
          <w:rFonts w:ascii="Arial" w:hAnsi="Arial" w:cs="Arial"/>
          <w:lang w:val="en-GB"/>
        </w:rPr>
        <w:t xml:space="preserve"> This can be illustrated by the case of Magdiel Sanchez, a deaf man who was killed in front of his Oklahoma City home by police.</w:t>
      </w:r>
      <w:r w:rsidR="003925ED" w:rsidRPr="003925ED">
        <w:rPr>
          <w:rFonts w:ascii="Arial" w:hAnsi="Arial" w:cs="Arial"/>
          <w:vertAlign w:val="superscript"/>
          <w:lang w:val="en-GB"/>
        </w:rPr>
        <w:endnoteReference w:id="20"/>
      </w:r>
      <w:r w:rsidR="003925ED">
        <w:rPr>
          <w:rFonts w:ascii="Arial" w:hAnsi="Arial" w:cs="Arial"/>
          <w:lang w:val="en-GB"/>
        </w:rPr>
        <w:t xml:space="preserve"> </w:t>
      </w:r>
      <w:r w:rsidR="00470F9C">
        <w:rPr>
          <w:rFonts w:ascii="Arial" w:hAnsi="Arial" w:cs="Arial"/>
          <w:lang w:val="en-GB"/>
        </w:rPr>
        <w:t xml:space="preserve">This shows that lack of training and competencies of agents can </w:t>
      </w:r>
      <w:r w:rsidR="00171852">
        <w:rPr>
          <w:rFonts w:ascii="Arial" w:hAnsi="Arial" w:cs="Arial"/>
          <w:lang w:val="en-GB"/>
        </w:rPr>
        <w:t xml:space="preserve">produce </w:t>
      </w:r>
      <w:r w:rsidR="00470F9C">
        <w:rPr>
          <w:rFonts w:ascii="Arial" w:hAnsi="Arial" w:cs="Arial"/>
          <w:lang w:val="en-GB"/>
        </w:rPr>
        <w:t>fatal consequences for deaf persons.</w:t>
      </w:r>
      <w:r w:rsidR="003925ED">
        <w:rPr>
          <w:rStyle w:val="EndnoteReference"/>
          <w:rFonts w:ascii="Arial" w:hAnsi="Arial" w:cs="Arial"/>
          <w:lang w:val="en-GB"/>
        </w:rPr>
        <w:endnoteReference w:id="21"/>
      </w:r>
    </w:p>
    <w:p w14:paraId="3D16D16E" w14:textId="77777777" w:rsidR="00132B9C" w:rsidRPr="00C409D4" w:rsidRDefault="00132B9C" w:rsidP="00C409D4">
      <w:pPr>
        <w:pStyle w:val="ListBullet"/>
        <w:numPr>
          <w:ilvl w:val="0"/>
          <w:numId w:val="0"/>
        </w:numPr>
        <w:spacing w:after="0" w:line="240" w:lineRule="auto"/>
        <w:ind w:left="709"/>
        <w:jc w:val="both"/>
        <w:rPr>
          <w:rFonts w:ascii="Arial" w:hAnsi="Arial" w:cs="Arial"/>
          <w:lang w:val="en-GB"/>
        </w:rPr>
      </w:pPr>
    </w:p>
    <w:p w14:paraId="2AB703EE" w14:textId="39587EA7" w:rsidR="00470F9C" w:rsidRDefault="00132B9C" w:rsidP="00C409D4">
      <w:pPr>
        <w:pStyle w:val="ListBullet"/>
        <w:numPr>
          <w:ilvl w:val="0"/>
          <w:numId w:val="9"/>
        </w:numPr>
        <w:spacing w:after="0" w:line="240" w:lineRule="auto"/>
        <w:ind w:left="709"/>
        <w:jc w:val="both"/>
        <w:rPr>
          <w:rFonts w:ascii="Arial" w:hAnsi="Arial" w:cs="Arial"/>
          <w:lang w:val="en-GB"/>
        </w:rPr>
      </w:pPr>
      <w:r w:rsidRPr="00C409D4">
        <w:rPr>
          <w:rFonts w:ascii="Arial" w:hAnsi="Arial" w:cs="Arial"/>
          <w:lang w:val="en-GB"/>
        </w:rPr>
        <w:t>Such disadvantages faced by persons with disabilities, including on account of their race and ethnic background</w:t>
      </w:r>
      <w:r w:rsidR="00171852">
        <w:rPr>
          <w:rFonts w:ascii="Arial" w:hAnsi="Arial" w:cs="Arial"/>
          <w:lang w:val="en-GB"/>
        </w:rPr>
        <w:t>s</w:t>
      </w:r>
      <w:r w:rsidRPr="00C409D4">
        <w:rPr>
          <w:rFonts w:ascii="Arial" w:hAnsi="Arial" w:cs="Arial"/>
          <w:lang w:val="en-GB"/>
        </w:rPr>
        <w:t>, contribute to explain why they are disproportionately overrepresented in prisons, institutions and mental health centr</w:t>
      </w:r>
      <w:r w:rsidR="00171852">
        <w:rPr>
          <w:rFonts w:ascii="Arial" w:hAnsi="Arial" w:cs="Arial"/>
          <w:lang w:val="en-GB"/>
        </w:rPr>
        <w:t>e</w:t>
      </w:r>
      <w:r w:rsidRPr="00C409D4">
        <w:rPr>
          <w:rFonts w:ascii="Arial" w:hAnsi="Arial" w:cs="Arial"/>
          <w:lang w:val="en-GB"/>
        </w:rPr>
        <w:t>s.</w:t>
      </w:r>
      <w:r w:rsidRPr="00D159F3">
        <w:rPr>
          <w:vertAlign w:val="superscript"/>
          <w:lang w:val="en-GB"/>
        </w:rPr>
        <w:endnoteReference w:id="22"/>
      </w:r>
      <w:r w:rsidRPr="00D159F3">
        <w:rPr>
          <w:vertAlign w:val="superscript"/>
          <w:lang w:val="en-GB"/>
        </w:rPr>
        <w:t xml:space="preserve"> </w:t>
      </w:r>
      <w:r w:rsidRPr="00C409D4">
        <w:rPr>
          <w:rFonts w:ascii="Arial" w:hAnsi="Arial" w:cs="Arial"/>
          <w:lang w:val="en-GB"/>
        </w:rPr>
        <w:t>In the United States, at least 17% of all persons living in prisons are persons with psychosocial disabilit</w:t>
      </w:r>
      <w:r w:rsidR="00171852">
        <w:rPr>
          <w:rFonts w:ascii="Arial" w:hAnsi="Arial" w:cs="Arial"/>
          <w:lang w:val="en-GB"/>
        </w:rPr>
        <w:t>ies</w:t>
      </w:r>
      <w:r w:rsidRPr="00C409D4">
        <w:rPr>
          <w:rFonts w:ascii="Arial" w:hAnsi="Arial" w:cs="Arial"/>
          <w:lang w:val="en-GB"/>
        </w:rPr>
        <w:t>.</w:t>
      </w:r>
      <w:r w:rsidRPr="00D159F3">
        <w:rPr>
          <w:vertAlign w:val="superscript"/>
          <w:lang w:val="en-GB"/>
        </w:rPr>
        <w:endnoteReference w:id="23"/>
      </w:r>
      <w:r w:rsidRPr="00D159F3">
        <w:rPr>
          <w:vertAlign w:val="superscript"/>
          <w:lang w:val="en-GB"/>
        </w:rPr>
        <w:t xml:space="preserve"> </w:t>
      </w:r>
      <w:r w:rsidRPr="00C409D4">
        <w:rPr>
          <w:rFonts w:ascii="Arial" w:hAnsi="Arial" w:cs="Arial"/>
          <w:lang w:val="en-GB"/>
        </w:rPr>
        <w:t>Moreover, persons with disabilities, particularly those with psychosocial disabilities, are overrepresented in Australia’s criminal justice system, constituting 18% of the States’ population, but almost 50% of those entering prison.</w:t>
      </w:r>
      <w:r w:rsidRPr="00D159F3">
        <w:rPr>
          <w:vertAlign w:val="superscript"/>
          <w:lang w:val="en-GB"/>
        </w:rPr>
        <w:endnoteReference w:id="24"/>
      </w:r>
      <w:r w:rsidRPr="00D159F3">
        <w:rPr>
          <w:vertAlign w:val="superscript"/>
          <w:lang w:val="en-GB"/>
        </w:rPr>
        <w:t xml:space="preserve"> </w:t>
      </w:r>
      <w:r w:rsidR="00EB4E5B">
        <w:rPr>
          <w:rFonts w:ascii="Arial" w:hAnsi="Arial" w:cs="Arial"/>
          <w:lang w:val="en-GB"/>
        </w:rPr>
        <w:t>According to the</w:t>
      </w:r>
      <w:r w:rsidRPr="00C409D4">
        <w:rPr>
          <w:rFonts w:ascii="Arial" w:hAnsi="Arial" w:cs="Arial"/>
          <w:lang w:val="en-GB"/>
        </w:rPr>
        <w:t xml:space="preserve"> Office of the High Commissioner for Human Rights</w:t>
      </w:r>
      <w:r w:rsidR="00EB4E5B">
        <w:rPr>
          <w:rFonts w:ascii="Arial" w:hAnsi="Arial" w:cs="Arial"/>
          <w:lang w:val="en-GB"/>
        </w:rPr>
        <w:t>,</w:t>
      </w:r>
      <w:r w:rsidRPr="00C409D4">
        <w:rPr>
          <w:rFonts w:ascii="Arial" w:hAnsi="Arial" w:cs="Arial"/>
          <w:lang w:val="en-GB"/>
        </w:rPr>
        <w:t xml:space="preserve"> stereotyping persons with disabilities as dangerous and reactions</w:t>
      </w:r>
      <w:r w:rsidR="00EB4E5B">
        <w:rPr>
          <w:rFonts w:ascii="Arial" w:hAnsi="Arial" w:cs="Arial"/>
          <w:lang w:val="en-GB"/>
        </w:rPr>
        <w:t xml:space="preserve"> based on fear</w:t>
      </w:r>
      <w:r w:rsidRPr="00C409D4">
        <w:rPr>
          <w:rFonts w:ascii="Arial" w:hAnsi="Arial" w:cs="Arial"/>
          <w:lang w:val="en-GB"/>
        </w:rPr>
        <w:t xml:space="preserve"> increase </w:t>
      </w:r>
      <w:r w:rsidR="00EB4E5B">
        <w:rPr>
          <w:rFonts w:ascii="Arial" w:hAnsi="Arial" w:cs="Arial"/>
          <w:lang w:val="en-GB"/>
        </w:rPr>
        <w:t xml:space="preserve">the number of </w:t>
      </w:r>
      <w:r w:rsidRPr="00C409D4">
        <w:rPr>
          <w:rFonts w:ascii="Arial" w:hAnsi="Arial" w:cs="Arial"/>
          <w:lang w:val="en-GB"/>
        </w:rPr>
        <w:t>arbitrary detention</w:t>
      </w:r>
      <w:r w:rsidR="00EB4E5B">
        <w:rPr>
          <w:rFonts w:ascii="Arial" w:hAnsi="Arial" w:cs="Arial"/>
          <w:lang w:val="en-GB"/>
        </w:rPr>
        <w:t xml:space="preserve">s and </w:t>
      </w:r>
      <w:r w:rsidR="00EB4E5B" w:rsidRPr="00C409D4">
        <w:rPr>
          <w:rFonts w:ascii="Arial" w:hAnsi="Arial" w:cs="Arial"/>
          <w:lang w:val="en-GB"/>
        </w:rPr>
        <w:t xml:space="preserve">violations of </w:t>
      </w:r>
      <w:r w:rsidR="00EB4E5B">
        <w:rPr>
          <w:rFonts w:ascii="Arial" w:hAnsi="Arial" w:cs="Arial"/>
          <w:lang w:val="en-GB"/>
        </w:rPr>
        <w:t>the</w:t>
      </w:r>
      <w:r w:rsidR="00EB4E5B" w:rsidRPr="00C409D4">
        <w:rPr>
          <w:rFonts w:ascii="Arial" w:hAnsi="Arial" w:cs="Arial"/>
          <w:lang w:val="en-GB"/>
        </w:rPr>
        <w:t xml:space="preserve"> right to due process</w:t>
      </w:r>
      <w:r w:rsidRPr="00C409D4">
        <w:rPr>
          <w:rFonts w:ascii="Arial" w:hAnsi="Arial" w:cs="Arial"/>
          <w:lang w:val="en-GB"/>
        </w:rPr>
        <w:t>,</w:t>
      </w:r>
      <w:r w:rsidR="00EB4E5B">
        <w:rPr>
          <w:rFonts w:ascii="Arial" w:hAnsi="Arial" w:cs="Arial"/>
          <w:lang w:val="en-GB"/>
        </w:rPr>
        <w:t xml:space="preserve"> and</w:t>
      </w:r>
      <w:r w:rsidRPr="00C409D4">
        <w:rPr>
          <w:rFonts w:ascii="Arial" w:hAnsi="Arial" w:cs="Arial"/>
          <w:lang w:val="en-GB"/>
        </w:rPr>
        <w:t xml:space="preserve"> the ratio of persons with psychosocial disabilities in prisons.</w:t>
      </w:r>
      <w:r w:rsidRPr="00FB11BF">
        <w:rPr>
          <w:vertAlign w:val="superscript"/>
          <w:lang w:val="en-GB"/>
        </w:rPr>
        <w:endnoteReference w:id="25"/>
      </w:r>
    </w:p>
    <w:p w14:paraId="0F1C99FB" w14:textId="77777777" w:rsidR="00470F9C" w:rsidRDefault="00470F9C" w:rsidP="00470F9C">
      <w:pPr>
        <w:pStyle w:val="ListBullet"/>
        <w:numPr>
          <w:ilvl w:val="0"/>
          <w:numId w:val="0"/>
        </w:numPr>
        <w:spacing w:after="0" w:line="240" w:lineRule="auto"/>
        <w:ind w:left="709"/>
        <w:jc w:val="both"/>
        <w:rPr>
          <w:rFonts w:ascii="Arial" w:hAnsi="Arial" w:cs="Arial"/>
          <w:lang w:val="en-GB"/>
        </w:rPr>
      </w:pPr>
    </w:p>
    <w:p w14:paraId="2F6D4D37" w14:textId="347F9CCE" w:rsidR="00132B9C" w:rsidRPr="00A31620" w:rsidRDefault="00470F9C" w:rsidP="00A31620">
      <w:pPr>
        <w:pStyle w:val="ListBullet"/>
        <w:numPr>
          <w:ilvl w:val="0"/>
          <w:numId w:val="9"/>
        </w:numPr>
        <w:spacing w:after="0" w:line="240" w:lineRule="auto"/>
        <w:ind w:left="709"/>
        <w:jc w:val="both"/>
        <w:rPr>
          <w:rFonts w:ascii="Arial" w:hAnsi="Arial" w:cs="Arial"/>
          <w:lang w:val="en-GB"/>
        </w:rPr>
      </w:pPr>
      <w:r>
        <w:rPr>
          <w:rFonts w:ascii="Arial" w:hAnsi="Arial" w:cs="Arial"/>
          <w:lang w:val="en-GB"/>
        </w:rPr>
        <w:t>In addition, while data are not systematically collected</w:t>
      </w:r>
      <w:r w:rsidR="008065B0">
        <w:rPr>
          <w:rFonts w:ascii="Arial" w:hAnsi="Arial" w:cs="Arial"/>
          <w:lang w:val="en-GB"/>
        </w:rPr>
        <w:t xml:space="preserve"> around the world</w:t>
      </w:r>
      <w:r>
        <w:rPr>
          <w:rFonts w:ascii="Arial" w:hAnsi="Arial" w:cs="Arial"/>
          <w:lang w:val="en-GB"/>
        </w:rPr>
        <w:t>,</w:t>
      </w:r>
      <w:r w:rsidRPr="00470F9C">
        <w:rPr>
          <w:rFonts w:ascii="Arial" w:hAnsi="Arial" w:cs="Arial"/>
          <w:lang w:val="en-GB"/>
        </w:rPr>
        <w:t xml:space="preserve"> </w:t>
      </w:r>
      <w:r>
        <w:rPr>
          <w:rFonts w:ascii="Arial" w:hAnsi="Arial" w:cs="Arial"/>
          <w:lang w:val="en-GB"/>
        </w:rPr>
        <w:t xml:space="preserve">some available </w:t>
      </w:r>
      <w:r w:rsidR="00171852">
        <w:rPr>
          <w:rFonts w:ascii="Arial" w:hAnsi="Arial" w:cs="Arial"/>
          <w:lang w:val="en-GB"/>
        </w:rPr>
        <w:t xml:space="preserve">figures </w:t>
      </w:r>
      <w:r>
        <w:rPr>
          <w:rFonts w:ascii="Arial" w:hAnsi="Arial" w:cs="Arial"/>
          <w:lang w:val="en-GB"/>
        </w:rPr>
        <w:t xml:space="preserve">suggest that great numbers of </w:t>
      </w:r>
      <w:r w:rsidRPr="00470F9C">
        <w:rPr>
          <w:rFonts w:ascii="Arial" w:hAnsi="Arial" w:cs="Arial"/>
          <w:lang w:val="en-GB"/>
        </w:rPr>
        <w:t xml:space="preserve">deaf people </w:t>
      </w:r>
      <w:r>
        <w:rPr>
          <w:rFonts w:ascii="Arial" w:hAnsi="Arial" w:cs="Arial"/>
          <w:lang w:val="en-GB"/>
        </w:rPr>
        <w:t xml:space="preserve">can be found </w:t>
      </w:r>
      <w:r w:rsidRPr="00470F9C">
        <w:rPr>
          <w:rFonts w:ascii="Arial" w:hAnsi="Arial" w:cs="Arial"/>
          <w:lang w:val="en-GB"/>
        </w:rPr>
        <w:t>in jails and prisons in the US</w:t>
      </w:r>
      <w:r>
        <w:rPr>
          <w:rFonts w:ascii="Arial" w:hAnsi="Arial" w:cs="Arial"/>
          <w:lang w:val="en-GB"/>
        </w:rPr>
        <w:t>A,</w:t>
      </w:r>
      <w:r w:rsidR="00A31620">
        <w:rPr>
          <w:rStyle w:val="EndnoteReference"/>
          <w:rFonts w:ascii="Arial" w:hAnsi="Arial" w:cs="Arial"/>
          <w:lang w:val="en-GB"/>
        </w:rPr>
        <w:endnoteReference w:id="26"/>
      </w:r>
      <w:r w:rsidRPr="00470F9C">
        <w:rPr>
          <w:rFonts w:ascii="Arial" w:hAnsi="Arial" w:cs="Arial"/>
          <w:lang w:val="en-GB"/>
        </w:rPr>
        <w:t xml:space="preserve"> </w:t>
      </w:r>
      <w:r>
        <w:rPr>
          <w:rFonts w:ascii="Arial" w:hAnsi="Arial" w:cs="Arial"/>
          <w:lang w:val="en-GB"/>
        </w:rPr>
        <w:t>where</w:t>
      </w:r>
      <w:r w:rsidRPr="00470F9C">
        <w:rPr>
          <w:rFonts w:ascii="Arial" w:hAnsi="Arial" w:cs="Arial"/>
          <w:lang w:val="en-GB"/>
        </w:rPr>
        <w:t xml:space="preserve"> </w:t>
      </w:r>
      <w:r>
        <w:rPr>
          <w:rFonts w:ascii="Arial" w:hAnsi="Arial" w:cs="Arial"/>
          <w:lang w:val="en-GB"/>
        </w:rPr>
        <w:t>they are</w:t>
      </w:r>
      <w:r w:rsidRPr="00470F9C">
        <w:rPr>
          <w:rFonts w:ascii="Arial" w:hAnsi="Arial" w:cs="Arial"/>
          <w:lang w:val="en-GB"/>
        </w:rPr>
        <w:t xml:space="preserve"> denied sign language interpret</w:t>
      </w:r>
      <w:r>
        <w:rPr>
          <w:rFonts w:ascii="Arial" w:hAnsi="Arial" w:cs="Arial"/>
          <w:lang w:val="en-GB"/>
        </w:rPr>
        <w:t xml:space="preserve">ation and </w:t>
      </w:r>
      <w:r w:rsidRPr="00470F9C">
        <w:rPr>
          <w:rFonts w:ascii="Arial" w:hAnsi="Arial" w:cs="Arial"/>
          <w:lang w:val="en-GB"/>
        </w:rPr>
        <w:t xml:space="preserve">healthcare and </w:t>
      </w:r>
      <w:r>
        <w:rPr>
          <w:rFonts w:ascii="Arial" w:hAnsi="Arial" w:cs="Arial"/>
          <w:lang w:val="en-GB"/>
        </w:rPr>
        <w:t xml:space="preserve">face </w:t>
      </w:r>
      <w:r w:rsidRPr="00470F9C">
        <w:rPr>
          <w:rFonts w:ascii="Arial" w:hAnsi="Arial" w:cs="Arial"/>
          <w:lang w:val="en-GB"/>
        </w:rPr>
        <w:t xml:space="preserve">violence </w:t>
      </w:r>
      <w:r w:rsidR="00171852">
        <w:rPr>
          <w:rFonts w:ascii="Arial" w:hAnsi="Arial" w:cs="Arial"/>
          <w:lang w:val="en-GB"/>
        </w:rPr>
        <w:t xml:space="preserve">committed </w:t>
      </w:r>
      <w:r>
        <w:rPr>
          <w:rFonts w:ascii="Arial" w:hAnsi="Arial" w:cs="Arial"/>
          <w:lang w:val="en-GB"/>
        </w:rPr>
        <w:t xml:space="preserve">by </w:t>
      </w:r>
      <w:r w:rsidR="00171852">
        <w:rPr>
          <w:rFonts w:ascii="Arial" w:hAnsi="Arial" w:cs="Arial"/>
          <w:lang w:val="en-GB"/>
        </w:rPr>
        <w:t xml:space="preserve">State </w:t>
      </w:r>
      <w:r>
        <w:rPr>
          <w:rFonts w:ascii="Arial" w:hAnsi="Arial" w:cs="Arial"/>
          <w:lang w:val="en-GB"/>
        </w:rPr>
        <w:t>agents</w:t>
      </w:r>
      <w:r w:rsidR="00A31620">
        <w:rPr>
          <w:rFonts w:ascii="Arial" w:hAnsi="Arial" w:cs="Arial"/>
          <w:lang w:val="en-GB"/>
        </w:rPr>
        <w:t>. R</w:t>
      </w:r>
      <w:r w:rsidRPr="00A31620">
        <w:rPr>
          <w:rFonts w:ascii="Arial" w:hAnsi="Arial" w:cs="Arial"/>
          <w:lang w:val="en-GB"/>
        </w:rPr>
        <w:t>ace, ethnicity and class</w:t>
      </w:r>
      <w:r w:rsidR="00A31620">
        <w:rPr>
          <w:rFonts w:ascii="Arial" w:hAnsi="Arial" w:cs="Arial"/>
          <w:lang w:val="en-GB"/>
        </w:rPr>
        <w:t xml:space="preserve"> are considered as compounding factors leading to worse</w:t>
      </w:r>
      <w:r w:rsidRPr="00A31620">
        <w:rPr>
          <w:rFonts w:ascii="Arial" w:hAnsi="Arial" w:cs="Arial"/>
          <w:lang w:val="en-GB"/>
        </w:rPr>
        <w:t xml:space="preserve"> rates of </w:t>
      </w:r>
      <w:r w:rsidR="00A31620">
        <w:rPr>
          <w:rFonts w:ascii="Arial" w:hAnsi="Arial" w:cs="Arial"/>
          <w:lang w:val="en-GB"/>
        </w:rPr>
        <w:t>criminalisation and victimisation.</w:t>
      </w:r>
      <w:r w:rsidR="00A31620">
        <w:rPr>
          <w:rStyle w:val="EndnoteReference"/>
          <w:rFonts w:ascii="Arial" w:hAnsi="Arial" w:cs="Arial"/>
          <w:lang w:val="en-GB"/>
        </w:rPr>
        <w:endnoteReference w:id="27"/>
      </w:r>
      <w:r w:rsidRPr="00A31620">
        <w:rPr>
          <w:rFonts w:ascii="Arial" w:hAnsi="Arial" w:cs="Arial"/>
          <w:lang w:val="en-GB"/>
        </w:rPr>
        <w:t xml:space="preserve"> </w:t>
      </w:r>
      <w:r w:rsidR="00A31620">
        <w:rPr>
          <w:rFonts w:ascii="Arial" w:hAnsi="Arial" w:cs="Arial"/>
          <w:lang w:val="en-GB"/>
        </w:rPr>
        <w:t>Finally, t</w:t>
      </w:r>
      <w:r w:rsidRPr="00A31620">
        <w:rPr>
          <w:rFonts w:ascii="Arial" w:hAnsi="Arial" w:cs="Arial"/>
          <w:lang w:val="en-GB"/>
        </w:rPr>
        <w:t xml:space="preserve">he lack of accessible information and services and of sign language </w:t>
      </w:r>
      <w:r w:rsidR="00EB4E5B">
        <w:rPr>
          <w:rFonts w:ascii="Arial" w:hAnsi="Arial" w:cs="Arial"/>
          <w:lang w:val="en-GB"/>
        </w:rPr>
        <w:t>interpretation</w:t>
      </w:r>
      <w:r w:rsidR="00A31620">
        <w:rPr>
          <w:rFonts w:ascii="Arial" w:hAnsi="Arial" w:cs="Arial"/>
          <w:lang w:val="en-GB"/>
        </w:rPr>
        <w:t xml:space="preserve"> prevent</w:t>
      </w:r>
      <w:r w:rsidRPr="00A31620">
        <w:rPr>
          <w:rFonts w:ascii="Arial" w:hAnsi="Arial" w:cs="Arial"/>
          <w:lang w:val="en-GB"/>
        </w:rPr>
        <w:t xml:space="preserve"> deaf prisoners </w:t>
      </w:r>
      <w:r w:rsidR="00EB4E5B">
        <w:rPr>
          <w:rFonts w:ascii="Arial" w:hAnsi="Arial" w:cs="Arial"/>
          <w:lang w:val="en-GB"/>
        </w:rPr>
        <w:t xml:space="preserve">from </w:t>
      </w:r>
      <w:r w:rsidR="00A31620">
        <w:rPr>
          <w:rFonts w:ascii="Arial" w:hAnsi="Arial" w:cs="Arial"/>
          <w:lang w:val="en-GB"/>
        </w:rPr>
        <w:t>report</w:t>
      </w:r>
      <w:r w:rsidR="00EB4E5B">
        <w:rPr>
          <w:rFonts w:ascii="Arial" w:hAnsi="Arial" w:cs="Arial"/>
          <w:lang w:val="en-GB"/>
        </w:rPr>
        <w:t>ing</w:t>
      </w:r>
      <w:r w:rsidR="00A31620">
        <w:rPr>
          <w:rFonts w:ascii="Arial" w:hAnsi="Arial" w:cs="Arial"/>
          <w:lang w:val="en-GB"/>
        </w:rPr>
        <w:t xml:space="preserve"> abuses suffered in detention.</w:t>
      </w:r>
      <w:r w:rsidR="00A31620">
        <w:rPr>
          <w:rStyle w:val="EndnoteReference"/>
          <w:rFonts w:ascii="Arial" w:hAnsi="Arial" w:cs="Arial"/>
          <w:lang w:val="en-GB"/>
        </w:rPr>
        <w:endnoteReference w:id="28"/>
      </w:r>
      <w:r w:rsidR="00132B9C" w:rsidRPr="00A31620">
        <w:rPr>
          <w:rFonts w:ascii="Arial" w:hAnsi="Arial" w:cs="Arial"/>
          <w:lang w:val="en-GB"/>
        </w:rPr>
        <w:t xml:space="preserve"> </w:t>
      </w:r>
    </w:p>
    <w:p w14:paraId="0DE21EC4" w14:textId="77777777" w:rsidR="008D27A1" w:rsidRPr="00C409D4" w:rsidRDefault="008D27A1" w:rsidP="00C409D4">
      <w:pPr>
        <w:pStyle w:val="ListBullet"/>
        <w:numPr>
          <w:ilvl w:val="0"/>
          <w:numId w:val="0"/>
        </w:numPr>
        <w:spacing w:after="0" w:line="240" w:lineRule="auto"/>
        <w:rPr>
          <w:rFonts w:ascii="Arial" w:hAnsi="Arial" w:cs="Arial"/>
          <w:b/>
          <w:bCs/>
          <w:lang w:val="en-GB"/>
        </w:rPr>
      </w:pPr>
    </w:p>
    <w:p w14:paraId="7A756ABE" w14:textId="7650064D" w:rsidR="00132B9C" w:rsidRPr="00C409D4" w:rsidRDefault="00132B9C" w:rsidP="00DB157F">
      <w:pPr>
        <w:pStyle w:val="ListBullet"/>
        <w:numPr>
          <w:ilvl w:val="0"/>
          <w:numId w:val="8"/>
        </w:numPr>
        <w:spacing w:after="0" w:line="240" w:lineRule="auto"/>
        <w:jc w:val="both"/>
        <w:rPr>
          <w:rFonts w:ascii="Arial" w:hAnsi="Arial" w:cs="Arial"/>
          <w:b/>
          <w:bCs/>
          <w:lang w:val="en-GB"/>
        </w:rPr>
      </w:pPr>
      <w:r w:rsidRPr="00C409D4">
        <w:rPr>
          <w:rFonts w:ascii="Arial" w:hAnsi="Arial" w:cs="Arial"/>
          <w:b/>
          <w:bCs/>
          <w:lang w:val="en-GB"/>
        </w:rPr>
        <w:t>HUMAN RIGHTS STANDARDS ON DISCRIMINATION</w:t>
      </w:r>
      <w:r w:rsidR="008D27A1">
        <w:rPr>
          <w:rFonts w:ascii="Arial" w:hAnsi="Arial" w:cs="Arial"/>
          <w:b/>
          <w:bCs/>
          <w:lang w:val="en-GB"/>
        </w:rPr>
        <w:t xml:space="preserve"> ON THE BASIS OF DISABILITY, INTERSECTIONAL DISCRIMINATION</w:t>
      </w:r>
      <w:r w:rsidRPr="00C409D4">
        <w:rPr>
          <w:rFonts w:ascii="Arial" w:hAnsi="Arial" w:cs="Arial"/>
          <w:b/>
          <w:bCs/>
          <w:lang w:val="en-GB"/>
        </w:rPr>
        <w:t xml:space="preserve"> AND ON THE RIGHTS OF PERSONS WITH DISABILITIES UNDER THE </w:t>
      </w:r>
      <w:r w:rsidR="008D27A1">
        <w:rPr>
          <w:rFonts w:ascii="Arial" w:hAnsi="Arial" w:cs="Arial"/>
          <w:b/>
          <w:bCs/>
          <w:lang w:val="en-GB"/>
        </w:rPr>
        <w:t>CRPD</w:t>
      </w:r>
    </w:p>
    <w:p w14:paraId="26635674" w14:textId="53F33757" w:rsidR="00132B9C" w:rsidRPr="00C409D4" w:rsidRDefault="00132B9C" w:rsidP="005765E4">
      <w:pPr>
        <w:pStyle w:val="ListBullet"/>
        <w:numPr>
          <w:ilvl w:val="0"/>
          <w:numId w:val="0"/>
        </w:numPr>
        <w:spacing w:after="0" w:line="240" w:lineRule="auto"/>
        <w:ind w:left="360" w:hanging="360"/>
        <w:rPr>
          <w:rFonts w:ascii="Arial" w:hAnsi="Arial" w:cs="Arial"/>
          <w:lang w:val="en-GB"/>
        </w:rPr>
      </w:pPr>
    </w:p>
    <w:p w14:paraId="349EE052" w14:textId="3CA55F70" w:rsidR="00132B9C" w:rsidRPr="00C409D4" w:rsidRDefault="00132B9C" w:rsidP="008D3144">
      <w:pPr>
        <w:pStyle w:val="ListBullet"/>
        <w:numPr>
          <w:ilvl w:val="0"/>
          <w:numId w:val="16"/>
        </w:numPr>
        <w:spacing w:after="0" w:line="240" w:lineRule="auto"/>
        <w:jc w:val="both"/>
        <w:rPr>
          <w:rFonts w:ascii="Arial" w:hAnsi="Arial" w:cs="Arial"/>
          <w:b/>
          <w:bCs/>
          <w:lang w:val="en-GB"/>
        </w:rPr>
      </w:pPr>
      <w:r>
        <w:rPr>
          <w:rFonts w:ascii="Arial" w:hAnsi="Arial" w:cs="Arial"/>
          <w:b/>
          <w:bCs/>
          <w:lang w:val="en-GB"/>
        </w:rPr>
        <w:t xml:space="preserve">Combatting </w:t>
      </w:r>
      <w:r w:rsidRPr="00C409D4">
        <w:rPr>
          <w:rFonts w:ascii="Arial" w:hAnsi="Arial" w:cs="Arial"/>
          <w:b/>
          <w:bCs/>
          <w:lang w:val="en-GB"/>
        </w:rPr>
        <w:t>discrimination and profiling: “disability” as prohibited ground of discrimination</w:t>
      </w:r>
      <w:r>
        <w:rPr>
          <w:rFonts w:ascii="Arial" w:hAnsi="Arial" w:cs="Arial"/>
          <w:b/>
          <w:bCs/>
          <w:lang w:val="en-GB"/>
        </w:rPr>
        <w:t xml:space="preserve"> and awareness raising</w:t>
      </w:r>
    </w:p>
    <w:p w14:paraId="0750ADEA" w14:textId="19D19C77" w:rsidR="00132B9C" w:rsidRPr="00C409D4" w:rsidRDefault="00132B9C" w:rsidP="00FB11BF">
      <w:pPr>
        <w:pStyle w:val="ListBullet"/>
        <w:numPr>
          <w:ilvl w:val="0"/>
          <w:numId w:val="0"/>
        </w:numPr>
        <w:spacing w:after="0" w:line="240" w:lineRule="auto"/>
        <w:ind w:left="851" w:hanging="360"/>
        <w:rPr>
          <w:rFonts w:ascii="Arial" w:hAnsi="Arial" w:cs="Arial"/>
          <w:lang w:val="en-GB"/>
        </w:rPr>
      </w:pPr>
    </w:p>
    <w:p w14:paraId="2E00C8DC" w14:textId="1EAF5624" w:rsidR="00132B9C" w:rsidRPr="00C409D4" w:rsidRDefault="00132B9C" w:rsidP="00FB11BF">
      <w:pPr>
        <w:pStyle w:val="ListBullet"/>
        <w:numPr>
          <w:ilvl w:val="0"/>
          <w:numId w:val="9"/>
        </w:numPr>
        <w:spacing w:after="0" w:line="240" w:lineRule="auto"/>
        <w:ind w:left="851"/>
        <w:jc w:val="both"/>
        <w:rPr>
          <w:rFonts w:ascii="Arial" w:hAnsi="Arial" w:cs="Arial"/>
          <w:lang w:val="en-GB"/>
        </w:rPr>
      </w:pPr>
      <w:r w:rsidRPr="00C409D4">
        <w:rPr>
          <w:rFonts w:ascii="Arial" w:hAnsi="Arial" w:cs="Arial"/>
        </w:rPr>
        <w:t>This Committee has repeatedly stressed the need to combat intersectional discrimination pertaining to race and ethnic or indigenous background, and other grounds of discrimination such as age,</w:t>
      </w:r>
      <w:r w:rsidRPr="00C409D4">
        <w:rPr>
          <w:rStyle w:val="EndnoteReference"/>
          <w:rFonts w:ascii="Arial" w:hAnsi="Arial" w:cs="Arial"/>
        </w:rPr>
        <w:endnoteReference w:id="29"/>
      </w:r>
      <w:r w:rsidRPr="00C409D4">
        <w:rPr>
          <w:rFonts w:ascii="Arial" w:hAnsi="Arial" w:cs="Arial"/>
        </w:rPr>
        <w:t xml:space="preserve"> gender,</w:t>
      </w:r>
      <w:r w:rsidRPr="00C409D4">
        <w:rPr>
          <w:rStyle w:val="EndnoteReference"/>
          <w:rFonts w:ascii="Arial" w:hAnsi="Arial" w:cs="Arial"/>
        </w:rPr>
        <w:endnoteReference w:id="30"/>
      </w:r>
      <w:r w:rsidRPr="00C409D4">
        <w:rPr>
          <w:rFonts w:ascii="Arial" w:hAnsi="Arial" w:cs="Arial"/>
        </w:rPr>
        <w:t xml:space="preserve"> including in connection with nationality,</w:t>
      </w:r>
      <w:r w:rsidRPr="00C409D4">
        <w:rPr>
          <w:rStyle w:val="EndnoteReference"/>
          <w:rFonts w:ascii="Arial" w:hAnsi="Arial" w:cs="Arial"/>
        </w:rPr>
        <w:endnoteReference w:id="31"/>
      </w:r>
      <w:r w:rsidRPr="00C409D4">
        <w:rPr>
          <w:rFonts w:ascii="Arial" w:hAnsi="Arial" w:cs="Arial"/>
        </w:rPr>
        <w:t xml:space="preserve"> religion,</w:t>
      </w:r>
      <w:r w:rsidRPr="00C409D4">
        <w:rPr>
          <w:rStyle w:val="EndnoteReference"/>
          <w:rFonts w:ascii="Arial" w:hAnsi="Arial" w:cs="Arial"/>
        </w:rPr>
        <w:endnoteReference w:id="32"/>
      </w:r>
      <w:r w:rsidRPr="00C409D4">
        <w:rPr>
          <w:rFonts w:ascii="Arial" w:hAnsi="Arial" w:cs="Arial"/>
        </w:rPr>
        <w:t xml:space="preserve"> and sexual orientation.</w:t>
      </w:r>
      <w:r w:rsidRPr="00C409D4">
        <w:rPr>
          <w:rStyle w:val="EndnoteReference"/>
          <w:rFonts w:ascii="Arial" w:hAnsi="Arial" w:cs="Arial"/>
        </w:rPr>
        <w:endnoteReference w:id="33"/>
      </w:r>
      <w:r w:rsidRPr="00C409D4">
        <w:rPr>
          <w:rFonts w:ascii="Arial" w:hAnsi="Arial" w:cs="Arial"/>
        </w:rPr>
        <w:t xml:space="preserve"> </w:t>
      </w:r>
      <w:r w:rsidRPr="00C409D4">
        <w:rPr>
          <w:rFonts w:ascii="Arial" w:hAnsi="Arial" w:cs="Arial"/>
          <w:lang w:val="en-GB"/>
        </w:rPr>
        <w:t>Regarding “disability” as a ground contributing to intersectional discrimination, this Committee has stressed the lack of available information</w:t>
      </w:r>
      <w:r w:rsidRPr="00C409D4">
        <w:rPr>
          <w:rStyle w:val="EndnoteReference"/>
          <w:rFonts w:ascii="Arial" w:hAnsi="Arial" w:cs="Arial"/>
          <w:lang w:val="en-GB"/>
        </w:rPr>
        <w:endnoteReference w:id="34"/>
      </w:r>
      <w:r w:rsidRPr="00C409D4">
        <w:rPr>
          <w:rFonts w:ascii="Arial" w:hAnsi="Arial" w:cs="Arial"/>
          <w:lang w:val="en-GB"/>
        </w:rPr>
        <w:t xml:space="preserve"> and more recently has called to </w:t>
      </w:r>
      <w:r w:rsidRPr="0096716F">
        <w:rPr>
          <w:rFonts w:ascii="Arial" w:hAnsi="Arial" w:cs="Arial"/>
          <w:b/>
          <w:bCs/>
          <w:lang w:val="en-GB"/>
        </w:rPr>
        <w:t xml:space="preserve"> </w:t>
      </w:r>
      <w:r w:rsidRPr="00C409D4">
        <w:rPr>
          <w:rFonts w:ascii="Arial" w:hAnsi="Arial" w:cs="Arial"/>
          <w:lang w:val="en-GB"/>
        </w:rPr>
        <w:t>“</w:t>
      </w:r>
      <w:r w:rsidRPr="0096716F">
        <w:rPr>
          <w:rFonts w:ascii="Arial" w:hAnsi="Arial" w:cs="Arial"/>
          <w:lang w:val="en-GB"/>
        </w:rPr>
        <w:t>take the necessary steps to combat the multiple forms of discrimination faced by persons with disabilities, including by mainstreaming an ethnic dimension in the measures it takes to combat discrimination on the basis of disability</w:t>
      </w:r>
      <w:r w:rsidRPr="00C409D4">
        <w:rPr>
          <w:rFonts w:ascii="Arial" w:hAnsi="Arial" w:cs="Arial"/>
          <w:lang w:val="en-GB"/>
        </w:rPr>
        <w:t>.”</w:t>
      </w:r>
      <w:r w:rsidRPr="00C409D4">
        <w:rPr>
          <w:rStyle w:val="EndnoteReference"/>
          <w:rFonts w:ascii="Arial" w:hAnsi="Arial" w:cs="Arial"/>
          <w:lang w:val="en-GB"/>
        </w:rPr>
        <w:endnoteReference w:id="35"/>
      </w:r>
      <w:r w:rsidRPr="00C409D4">
        <w:rPr>
          <w:rFonts w:ascii="Arial" w:hAnsi="Arial" w:cs="Arial"/>
          <w:lang w:val="en-GB"/>
        </w:rPr>
        <w:t xml:space="preserve"> </w:t>
      </w:r>
    </w:p>
    <w:p w14:paraId="5A5999C9" w14:textId="4B123899" w:rsidR="00132B9C" w:rsidRPr="00C409D4" w:rsidRDefault="00132B9C" w:rsidP="00FB11BF">
      <w:pPr>
        <w:pStyle w:val="ListBullet"/>
        <w:numPr>
          <w:ilvl w:val="0"/>
          <w:numId w:val="0"/>
        </w:numPr>
        <w:spacing w:after="0" w:line="240" w:lineRule="auto"/>
        <w:ind w:left="851"/>
        <w:jc w:val="both"/>
        <w:rPr>
          <w:rFonts w:ascii="Arial" w:hAnsi="Arial" w:cs="Arial"/>
          <w:lang w:val="en-GB"/>
        </w:rPr>
      </w:pPr>
    </w:p>
    <w:p w14:paraId="2EBC751E" w14:textId="0D0393A5" w:rsidR="00132B9C" w:rsidRPr="00C409D4" w:rsidRDefault="00132B9C" w:rsidP="00FB11BF">
      <w:pPr>
        <w:pStyle w:val="ListBullet"/>
        <w:numPr>
          <w:ilvl w:val="0"/>
          <w:numId w:val="9"/>
        </w:numPr>
        <w:spacing w:after="0" w:line="240" w:lineRule="auto"/>
        <w:ind w:left="851"/>
        <w:jc w:val="both"/>
        <w:rPr>
          <w:rFonts w:ascii="Arial" w:hAnsi="Arial" w:cs="Arial"/>
          <w:lang w:val="en-GB"/>
        </w:rPr>
      </w:pPr>
      <w:r w:rsidRPr="00C409D4">
        <w:rPr>
          <w:rFonts w:ascii="Arial" w:hAnsi="Arial" w:cs="Arial"/>
          <w:lang w:val="en-GB"/>
        </w:rPr>
        <w:t>As the defined in the draft,</w:t>
      </w:r>
      <w:r w:rsidRPr="00C409D4">
        <w:rPr>
          <w:rStyle w:val="EndnoteReference"/>
          <w:rFonts w:ascii="Arial" w:hAnsi="Arial" w:cs="Arial"/>
          <w:lang w:val="en-GB"/>
        </w:rPr>
        <w:endnoteReference w:id="36"/>
      </w:r>
      <w:r w:rsidRPr="00C409D4">
        <w:rPr>
          <w:rFonts w:ascii="Arial" w:hAnsi="Arial" w:cs="Arial"/>
          <w:lang w:val="en-GB"/>
        </w:rPr>
        <w:t xml:space="preserve"> racial profiling, as a discriminatory practice, covers several grounds of discrimination. This Committee also briefly acknowledges in paragraph 17 of the draft that “profiling can also be biased on the basis of sex, gender, age, or religion or other prohibited </w:t>
      </w:r>
      <w:r w:rsidRPr="00C409D4">
        <w:rPr>
          <w:rFonts w:ascii="Arial" w:hAnsi="Arial" w:cs="Arial"/>
          <w:i/>
          <w:iCs/>
          <w:lang w:val="en-GB"/>
        </w:rPr>
        <w:t>or intersecting grounds</w:t>
      </w:r>
      <w:r w:rsidRPr="00C409D4">
        <w:rPr>
          <w:rFonts w:ascii="Arial" w:hAnsi="Arial" w:cs="Arial"/>
          <w:lang w:val="en-GB"/>
        </w:rPr>
        <w:t>”. IDA believes that this draft general comment constitutes a unique opportunity to include explicitly “disability” (and “actual and perceived impairment”) to be consistent with its developments related to “intersectional discrimination” and, more importantly, to acknowledge the serious impacts that profiling, street-policing, surveillance and criminalization have on persons with disabilities, on account of their disability but also of their race and ethnic background</w:t>
      </w:r>
      <w:r w:rsidR="00EB4E5B">
        <w:rPr>
          <w:rFonts w:ascii="Arial" w:hAnsi="Arial" w:cs="Arial"/>
          <w:lang w:val="en-GB"/>
        </w:rPr>
        <w:t>.</w:t>
      </w:r>
      <w:r w:rsidRPr="00C409D4">
        <w:rPr>
          <w:rFonts w:ascii="Arial" w:hAnsi="Arial" w:cs="Arial"/>
          <w:lang w:val="en-GB"/>
        </w:rPr>
        <w:t xml:space="preserve"> </w:t>
      </w:r>
    </w:p>
    <w:p w14:paraId="4B875B9D" w14:textId="77777777" w:rsidR="00132B9C" w:rsidRPr="00C409D4" w:rsidRDefault="00132B9C" w:rsidP="00FB11BF">
      <w:pPr>
        <w:pStyle w:val="ListBullet"/>
        <w:numPr>
          <w:ilvl w:val="0"/>
          <w:numId w:val="0"/>
        </w:numPr>
        <w:spacing w:after="0" w:line="240" w:lineRule="auto"/>
        <w:ind w:left="851"/>
        <w:jc w:val="both"/>
        <w:rPr>
          <w:rFonts w:ascii="Arial" w:hAnsi="Arial" w:cs="Arial"/>
          <w:lang w:val="en-GB"/>
        </w:rPr>
      </w:pPr>
    </w:p>
    <w:p w14:paraId="08DA80B7" w14:textId="08724628" w:rsidR="008D27A1" w:rsidRDefault="00132B9C" w:rsidP="00271BCD">
      <w:pPr>
        <w:pStyle w:val="ListBullet"/>
        <w:numPr>
          <w:ilvl w:val="0"/>
          <w:numId w:val="9"/>
        </w:numPr>
        <w:spacing w:after="0" w:line="240" w:lineRule="auto"/>
        <w:ind w:left="851"/>
        <w:jc w:val="both"/>
        <w:rPr>
          <w:rFonts w:ascii="Arial" w:hAnsi="Arial" w:cs="Arial"/>
          <w:lang w:val="en-GB"/>
        </w:rPr>
      </w:pPr>
      <w:r w:rsidRPr="00C409D4">
        <w:rPr>
          <w:rFonts w:ascii="Arial" w:hAnsi="Arial" w:cs="Arial"/>
          <w:lang w:val="en-GB"/>
        </w:rPr>
        <w:t>In this vein, the CRPD Committee provide</w:t>
      </w:r>
      <w:r w:rsidR="00171852">
        <w:rPr>
          <w:rFonts w:ascii="Arial" w:hAnsi="Arial" w:cs="Arial"/>
          <w:lang w:val="en-GB"/>
        </w:rPr>
        <w:t>s</w:t>
      </w:r>
      <w:r w:rsidRPr="00C409D4">
        <w:rPr>
          <w:rFonts w:ascii="Arial" w:hAnsi="Arial" w:cs="Arial"/>
          <w:lang w:val="en-GB"/>
        </w:rPr>
        <w:t xml:space="preserve"> some elements that can nurture and enhance the draft and its impact </w:t>
      </w:r>
      <w:r w:rsidR="008D27A1">
        <w:rPr>
          <w:rFonts w:ascii="Arial" w:hAnsi="Arial" w:cs="Arial"/>
          <w:lang w:val="en-GB"/>
        </w:rPr>
        <w:t>o</w:t>
      </w:r>
      <w:r w:rsidRPr="00C409D4">
        <w:rPr>
          <w:rFonts w:ascii="Arial" w:hAnsi="Arial" w:cs="Arial"/>
          <w:lang w:val="en-GB"/>
        </w:rPr>
        <w:t xml:space="preserve">n national policy making </w:t>
      </w:r>
      <w:r w:rsidR="008D27A1">
        <w:rPr>
          <w:rFonts w:ascii="Arial" w:hAnsi="Arial" w:cs="Arial"/>
          <w:lang w:val="en-GB"/>
        </w:rPr>
        <w:t>in respect to</w:t>
      </w:r>
      <w:r w:rsidRPr="00C409D4">
        <w:rPr>
          <w:rFonts w:ascii="Arial" w:hAnsi="Arial" w:cs="Arial"/>
          <w:lang w:val="en-GB"/>
        </w:rPr>
        <w:t xml:space="preserve"> persons with disabilities. To begin with, </w:t>
      </w:r>
      <w:r w:rsidR="00271BCD">
        <w:rPr>
          <w:rFonts w:ascii="Arial" w:hAnsi="Arial" w:cs="Arial"/>
          <w:lang w:val="en-GB"/>
        </w:rPr>
        <w:t>under Articles 2 and 5 of the CRPD, “discrimination on the basis of disability” includes “the denial of reasonable accommodation”. Article 2 of the CRPD defines “reasonable accommodation” as the “</w:t>
      </w:r>
      <w:r w:rsidR="00271BCD" w:rsidRPr="00271BCD">
        <w:rPr>
          <w:rFonts w:ascii="Arial" w:hAnsi="Arial" w:cs="Arial"/>
          <w:lang w:val="en-GB"/>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271BCD">
        <w:rPr>
          <w:rFonts w:ascii="Arial" w:hAnsi="Arial" w:cs="Arial"/>
          <w:lang w:val="en-GB"/>
        </w:rPr>
        <w:t>.”</w:t>
      </w:r>
      <w:r w:rsidR="00271BCD">
        <w:rPr>
          <w:rStyle w:val="EndnoteReference"/>
          <w:rFonts w:ascii="Arial" w:hAnsi="Arial" w:cs="Arial"/>
          <w:lang w:val="en-GB"/>
        </w:rPr>
        <w:endnoteReference w:id="37"/>
      </w:r>
      <w:r w:rsidR="00271BCD">
        <w:rPr>
          <w:rFonts w:ascii="Arial" w:hAnsi="Arial" w:cs="Arial"/>
          <w:lang w:val="en-GB"/>
        </w:rPr>
        <w:t xml:space="preserve"> </w:t>
      </w:r>
    </w:p>
    <w:p w14:paraId="32BD9C8C" w14:textId="77777777" w:rsidR="008D27A1" w:rsidRDefault="008D27A1" w:rsidP="008D27A1">
      <w:pPr>
        <w:pStyle w:val="ListBullet"/>
        <w:numPr>
          <w:ilvl w:val="0"/>
          <w:numId w:val="0"/>
        </w:numPr>
        <w:spacing w:after="0" w:line="240" w:lineRule="auto"/>
        <w:ind w:left="851"/>
        <w:jc w:val="both"/>
        <w:rPr>
          <w:rFonts w:ascii="Arial" w:hAnsi="Arial" w:cs="Arial"/>
          <w:lang w:val="en-GB"/>
        </w:rPr>
      </w:pPr>
    </w:p>
    <w:p w14:paraId="2D2B98A7" w14:textId="294FF7B7" w:rsidR="00271BCD" w:rsidRPr="008D27A1" w:rsidRDefault="008D27A1" w:rsidP="008D27A1">
      <w:pPr>
        <w:pStyle w:val="ListBullet"/>
        <w:numPr>
          <w:ilvl w:val="0"/>
          <w:numId w:val="9"/>
        </w:numPr>
        <w:spacing w:after="0" w:line="240" w:lineRule="auto"/>
        <w:ind w:left="851"/>
        <w:jc w:val="both"/>
        <w:rPr>
          <w:rFonts w:ascii="Arial" w:hAnsi="Arial" w:cs="Arial"/>
          <w:lang w:val="en-GB"/>
        </w:rPr>
      </w:pPr>
      <w:r>
        <w:rPr>
          <w:rFonts w:ascii="Arial" w:hAnsi="Arial" w:cs="Arial"/>
          <w:lang w:val="en-GB"/>
        </w:rPr>
        <w:t>Importantly, distinguishing from “reasonable accommodation”, “</w:t>
      </w:r>
      <w:r w:rsidRPr="00EB4E5B">
        <w:rPr>
          <w:rFonts w:ascii="Arial" w:hAnsi="Arial" w:cs="Arial"/>
          <w:i/>
          <w:iCs/>
          <w:lang w:val="en-GB"/>
        </w:rPr>
        <w:t>procedural</w:t>
      </w:r>
      <w:r>
        <w:rPr>
          <w:rFonts w:ascii="Arial" w:hAnsi="Arial" w:cs="Arial"/>
          <w:lang w:val="en-GB"/>
        </w:rPr>
        <w:t xml:space="preserve"> accommodation” applies in the context of access to justice (Article 13 of the CRPD) and it is not limited by the concept of </w:t>
      </w:r>
      <w:r>
        <w:rPr>
          <w:rFonts w:ascii="Arial" w:hAnsi="Arial" w:cs="Arial"/>
          <w:lang w:val="en-GB"/>
        </w:rPr>
        <w:lastRenderedPageBreak/>
        <w:t>disproportionality.</w:t>
      </w:r>
      <w:r>
        <w:rPr>
          <w:rStyle w:val="EndnoteReference"/>
          <w:rFonts w:ascii="Arial" w:hAnsi="Arial" w:cs="Arial"/>
          <w:lang w:val="en-GB"/>
        </w:rPr>
        <w:endnoteReference w:id="38"/>
      </w:r>
      <w:r>
        <w:rPr>
          <w:rFonts w:ascii="Arial" w:hAnsi="Arial" w:cs="Arial"/>
          <w:lang w:val="en-GB"/>
        </w:rPr>
        <w:t xml:space="preserve"> In the context of law enforcement activity, an example of procedural accommodation would be to make available sign language interpretation in police stations for police officials to communicate with deaf persons.  </w:t>
      </w:r>
    </w:p>
    <w:p w14:paraId="4F69CC00" w14:textId="77777777" w:rsidR="00271BCD" w:rsidRDefault="00271BCD" w:rsidP="008D27A1">
      <w:pPr>
        <w:pStyle w:val="ListBullet"/>
        <w:numPr>
          <w:ilvl w:val="0"/>
          <w:numId w:val="0"/>
        </w:numPr>
        <w:spacing w:after="0" w:line="240" w:lineRule="auto"/>
        <w:jc w:val="both"/>
        <w:rPr>
          <w:rFonts w:ascii="Arial" w:hAnsi="Arial" w:cs="Arial"/>
          <w:lang w:val="en-GB"/>
        </w:rPr>
      </w:pPr>
    </w:p>
    <w:p w14:paraId="6EC6BBE9" w14:textId="34EF1394" w:rsidR="00132B9C" w:rsidRPr="00271BCD" w:rsidRDefault="008D27A1" w:rsidP="00271BCD">
      <w:pPr>
        <w:pStyle w:val="ListBullet"/>
        <w:numPr>
          <w:ilvl w:val="0"/>
          <w:numId w:val="9"/>
        </w:numPr>
        <w:spacing w:after="0" w:line="240" w:lineRule="auto"/>
        <w:ind w:left="851"/>
        <w:jc w:val="both"/>
        <w:rPr>
          <w:rFonts w:ascii="Arial" w:hAnsi="Arial" w:cs="Arial"/>
          <w:lang w:val="en-GB"/>
        </w:rPr>
      </w:pPr>
      <w:r>
        <w:rPr>
          <w:rFonts w:ascii="Arial" w:hAnsi="Arial" w:cs="Arial"/>
          <w:lang w:val="en-GB"/>
        </w:rPr>
        <w:t>T</w:t>
      </w:r>
      <w:r w:rsidR="00132B9C" w:rsidRPr="00271BCD">
        <w:rPr>
          <w:rFonts w:ascii="Arial" w:hAnsi="Arial" w:cs="Arial"/>
          <w:lang w:val="en-GB"/>
        </w:rPr>
        <w:t>he CRPD Committee has thoroughly elaborated on intersectional discrimination, from its perspective:</w:t>
      </w:r>
    </w:p>
    <w:p w14:paraId="77C02C80" w14:textId="77777777" w:rsidR="00132B9C" w:rsidRPr="00C409D4" w:rsidRDefault="00132B9C" w:rsidP="00FB11BF">
      <w:pPr>
        <w:pStyle w:val="ListBullet"/>
        <w:numPr>
          <w:ilvl w:val="0"/>
          <w:numId w:val="0"/>
        </w:numPr>
        <w:spacing w:after="0" w:line="240" w:lineRule="auto"/>
        <w:ind w:left="851"/>
        <w:jc w:val="both"/>
        <w:rPr>
          <w:rFonts w:ascii="Arial" w:hAnsi="Arial" w:cs="Arial"/>
          <w:lang w:val="en-GB"/>
        </w:rPr>
      </w:pPr>
    </w:p>
    <w:p w14:paraId="1E9AABC5" w14:textId="027F9927" w:rsidR="00132B9C" w:rsidRPr="0096716F" w:rsidRDefault="00132B9C" w:rsidP="00FB11BF">
      <w:pPr>
        <w:pStyle w:val="ListBullet"/>
        <w:numPr>
          <w:ilvl w:val="0"/>
          <w:numId w:val="0"/>
        </w:numPr>
        <w:spacing w:after="0" w:line="240" w:lineRule="auto"/>
        <w:ind w:left="1560" w:right="1110"/>
        <w:jc w:val="both"/>
        <w:rPr>
          <w:rFonts w:ascii="Arial" w:hAnsi="Arial" w:cs="Arial"/>
          <w:sz w:val="18"/>
          <w:szCs w:val="18"/>
          <w:lang w:val="en-GB"/>
        </w:rPr>
      </w:pPr>
      <w:r w:rsidRPr="00FB11BF">
        <w:rPr>
          <w:rFonts w:ascii="Arial" w:hAnsi="Arial" w:cs="Arial"/>
          <w:sz w:val="18"/>
          <w:szCs w:val="18"/>
          <w:lang w:val="en-GB"/>
        </w:rPr>
        <w:t>“</w:t>
      </w:r>
      <w:r w:rsidRPr="00FB11BF">
        <w:rPr>
          <w:rFonts w:ascii="Arial" w:hAnsi="Arial" w:cs="Arial"/>
          <w:sz w:val="18"/>
          <w:szCs w:val="18"/>
          <w:u w:val="single"/>
        </w:rPr>
        <w:t>Intersectional discrimination” occurs when a person with a disability or associated to disability suffers discrimination of any form on the basis of disability, combined with, colour, sex, language, religion, ethnic, gender or other status.</w:t>
      </w:r>
      <w:r w:rsidRPr="00FB11BF">
        <w:rPr>
          <w:rFonts w:ascii="Arial" w:hAnsi="Arial" w:cs="Arial"/>
          <w:sz w:val="18"/>
          <w:szCs w:val="18"/>
        </w:rPr>
        <w:t xml:space="preserve"> Intersectional discrimination can appear as direct or indirect discrimination, denial of reasonable accommodation or harassment. […] Intersectional discrimination refers to a situation where several grounds operate and interact with each other at the same time in such a way that they are inseparable and thereby expose relevant individuals to unique types of disadvantage and discrimination.”</w:t>
      </w:r>
      <w:r w:rsidRPr="00FB11BF">
        <w:rPr>
          <w:rStyle w:val="EndnoteReference"/>
          <w:rFonts w:ascii="Arial" w:hAnsi="Arial" w:cs="Arial"/>
          <w:sz w:val="18"/>
          <w:szCs w:val="18"/>
        </w:rPr>
        <w:endnoteReference w:id="39"/>
      </w:r>
    </w:p>
    <w:p w14:paraId="14CE14EF" w14:textId="7BED8374" w:rsidR="00132B9C" w:rsidRPr="00C409D4" w:rsidRDefault="00132B9C" w:rsidP="00FB11BF">
      <w:pPr>
        <w:pStyle w:val="ListBullet"/>
        <w:numPr>
          <w:ilvl w:val="0"/>
          <w:numId w:val="0"/>
        </w:numPr>
        <w:spacing w:after="0" w:line="240" w:lineRule="auto"/>
        <w:ind w:left="851"/>
        <w:jc w:val="both"/>
        <w:rPr>
          <w:rFonts w:ascii="Arial" w:hAnsi="Arial" w:cs="Arial"/>
          <w:lang w:val="en-GB"/>
        </w:rPr>
      </w:pPr>
    </w:p>
    <w:p w14:paraId="61D900C2" w14:textId="579BBCED" w:rsidR="00132B9C" w:rsidRPr="00C409D4" w:rsidRDefault="00132B9C" w:rsidP="00FB11BF">
      <w:pPr>
        <w:pStyle w:val="ListBullet"/>
        <w:numPr>
          <w:ilvl w:val="0"/>
          <w:numId w:val="9"/>
        </w:numPr>
        <w:spacing w:after="0" w:line="240" w:lineRule="auto"/>
        <w:ind w:left="851"/>
        <w:jc w:val="both"/>
        <w:rPr>
          <w:rFonts w:ascii="Arial" w:hAnsi="Arial" w:cs="Arial"/>
          <w:lang w:val="en-GB"/>
        </w:rPr>
      </w:pPr>
      <w:r>
        <w:rPr>
          <w:rFonts w:ascii="Arial" w:hAnsi="Arial" w:cs="Arial"/>
          <w:lang w:val="en-GB"/>
        </w:rPr>
        <w:t>In this regards, under Article 8 of the CRPD (awareness raising), the CRPD Committee has called States to adopt awareness raising strategies “</w:t>
      </w:r>
      <w:r w:rsidRPr="008D3144">
        <w:rPr>
          <w:rFonts w:ascii="Arial" w:hAnsi="Arial" w:cs="Arial"/>
          <w:lang w:val="en-GB"/>
        </w:rPr>
        <w:t xml:space="preserve">to effectively address stereotypes related to disability and stigmatization based on negative beliefs to prevent and address discrimination, including </w:t>
      </w:r>
      <w:r w:rsidRPr="008D3144">
        <w:rPr>
          <w:rFonts w:ascii="Arial" w:hAnsi="Arial" w:cs="Arial"/>
          <w:i/>
          <w:iCs/>
          <w:lang w:val="en-GB"/>
        </w:rPr>
        <w:t>multiple and intersectional discrimination</w:t>
      </w:r>
      <w:r>
        <w:rPr>
          <w:rFonts w:ascii="Arial" w:hAnsi="Arial" w:cs="Arial"/>
          <w:i/>
          <w:iCs/>
          <w:lang w:val="en-GB"/>
        </w:rPr>
        <w:t>.</w:t>
      </w:r>
      <w:r>
        <w:rPr>
          <w:rFonts w:ascii="Arial" w:hAnsi="Arial" w:cs="Arial"/>
          <w:lang w:val="en-GB"/>
        </w:rPr>
        <w:t>”</w:t>
      </w:r>
      <w:r>
        <w:rPr>
          <w:rStyle w:val="EndnoteReference"/>
          <w:rFonts w:ascii="Arial" w:hAnsi="Arial" w:cs="Arial"/>
          <w:lang w:val="en-GB"/>
        </w:rPr>
        <w:endnoteReference w:id="40"/>
      </w:r>
      <w:r>
        <w:rPr>
          <w:rFonts w:ascii="Arial" w:hAnsi="Arial" w:cs="Arial"/>
          <w:lang w:val="en-GB"/>
        </w:rPr>
        <w:t xml:space="preserve"> It has also identified law enforcements agents as a relevant target audience of awareness raising efforts.</w:t>
      </w:r>
      <w:r>
        <w:rPr>
          <w:rStyle w:val="EndnoteReference"/>
          <w:rFonts w:ascii="Arial" w:hAnsi="Arial" w:cs="Arial"/>
          <w:lang w:val="en-GB"/>
        </w:rPr>
        <w:endnoteReference w:id="41"/>
      </w:r>
      <w:r>
        <w:rPr>
          <w:rFonts w:ascii="Arial" w:hAnsi="Arial" w:cs="Arial"/>
          <w:lang w:val="en-GB"/>
        </w:rPr>
        <w:t xml:space="preserve"> </w:t>
      </w:r>
      <w:r w:rsidRPr="008D3144">
        <w:rPr>
          <w:rFonts w:ascii="Arial" w:hAnsi="Arial" w:cs="Arial"/>
          <w:lang w:val="en-GB"/>
        </w:rPr>
        <w:t xml:space="preserve"> </w:t>
      </w:r>
    </w:p>
    <w:p w14:paraId="17DF4F43" w14:textId="5BEAEE7C" w:rsidR="00132B9C" w:rsidRPr="00C409D4" w:rsidRDefault="00132B9C" w:rsidP="00C409D4">
      <w:pPr>
        <w:pStyle w:val="ListBullet"/>
        <w:numPr>
          <w:ilvl w:val="0"/>
          <w:numId w:val="0"/>
        </w:numPr>
        <w:spacing w:after="0" w:line="240" w:lineRule="auto"/>
        <w:jc w:val="both"/>
        <w:rPr>
          <w:rFonts w:ascii="Arial" w:hAnsi="Arial" w:cs="Arial"/>
          <w:lang w:val="en-GB"/>
        </w:rPr>
      </w:pPr>
    </w:p>
    <w:p w14:paraId="48A4C779" w14:textId="26D7F902" w:rsidR="00132B9C" w:rsidRPr="00C409D4" w:rsidRDefault="00132B9C" w:rsidP="00D159F3">
      <w:pPr>
        <w:pStyle w:val="ListBullet"/>
        <w:numPr>
          <w:ilvl w:val="0"/>
          <w:numId w:val="16"/>
        </w:numPr>
        <w:spacing w:after="0" w:line="240" w:lineRule="auto"/>
        <w:jc w:val="both"/>
        <w:rPr>
          <w:rFonts w:ascii="Arial" w:hAnsi="Arial" w:cs="Arial"/>
          <w:b/>
          <w:bCs/>
          <w:lang w:val="en-GB"/>
        </w:rPr>
      </w:pPr>
      <w:r w:rsidRPr="00C409D4">
        <w:rPr>
          <w:rFonts w:ascii="Arial" w:hAnsi="Arial" w:cs="Arial"/>
          <w:b/>
          <w:bCs/>
          <w:lang w:val="en-GB"/>
        </w:rPr>
        <w:t>Participation of persons with disabilities in decision making and implementation of legislation and policies (draft GR para</w:t>
      </w:r>
      <w:r>
        <w:rPr>
          <w:rFonts w:ascii="Arial" w:hAnsi="Arial" w:cs="Arial"/>
          <w:b/>
          <w:bCs/>
          <w:lang w:val="en-GB"/>
        </w:rPr>
        <w:t>.</w:t>
      </w:r>
      <w:r w:rsidRPr="00C409D4">
        <w:rPr>
          <w:rFonts w:ascii="Arial" w:hAnsi="Arial" w:cs="Arial"/>
          <w:b/>
          <w:bCs/>
          <w:lang w:val="en-GB"/>
        </w:rPr>
        <w:t xml:space="preserve"> 30)</w:t>
      </w:r>
    </w:p>
    <w:p w14:paraId="3E4AB704" w14:textId="77777777" w:rsidR="00132B9C" w:rsidRPr="00C409D4" w:rsidRDefault="00132B9C" w:rsidP="00AE5414">
      <w:pPr>
        <w:pStyle w:val="ListBullet"/>
        <w:numPr>
          <w:ilvl w:val="0"/>
          <w:numId w:val="0"/>
        </w:numPr>
        <w:spacing w:after="0" w:line="240" w:lineRule="auto"/>
        <w:rPr>
          <w:rFonts w:ascii="Arial" w:hAnsi="Arial" w:cs="Arial"/>
          <w:lang w:val="en-GB"/>
        </w:rPr>
      </w:pPr>
    </w:p>
    <w:p w14:paraId="7D15D6D1" w14:textId="717C94F4" w:rsidR="00132B9C" w:rsidRPr="00C409D4" w:rsidRDefault="00132B9C" w:rsidP="00FB11BF">
      <w:pPr>
        <w:pStyle w:val="ListBullet"/>
        <w:numPr>
          <w:ilvl w:val="0"/>
          <w:numId w:val="9"/>
        </w:numPr>
        <w:spacing w:after="0" w:line="240" w:lineRule="auto"/>
        <w:ind w:left="851"/>
        <w:jc w:val="both"/>
        <w:rPr>
          <w:rFonts w:ascii="Arial" w:hAnsi="Arial" w:cs="Arial"/>
          <w:lang w:val="en-GB"/>
        </w:rPr>
      </w:pPr>
      <w:r w:rsidRPr="00C409D4">
        <w:rPr>
          <w:rFonts w:ascii="Arial" w:hAnsi="Arial" w:cs="Arial"/>
        </w:rPr>
        <w:t>Article 4(3) of the CRPD requires States to ensure the close consultation and active involvement of persons with disabilities, through their representative organizations, in the development and implementation of legislation and policies to implement the Convention and on issues concerning them. The CRPD Committee has further elaborated on its general comment 7.</w:t>
      </w:r>
      <w:r w:rsidRPr="00C409D4">
        <w:rPr>
          <w:rStyle w:val="EndnoteReference"/>
          <w:rFonts w:ascii="Arial" w:hAnsi="Arial" w:cs="Arial"/>
        </w:rPr>
        <w:endnoteReference w:id="42"/>
      </w:r>
    </w:p>
    <w:p w14:paraId="0DBF90A2" w14:textId="77777777" w:rsidR="00132B9C" w:rsidRPr="00C409D4" w:rsidRDefault="00132B9C" w:rsidP="00FB11BF">
      <w:pPr>
        <w:pStyle w:val="ListBullet"/>
        <w:numPr>
          <w:ilvl w:val="0"/>
          <w:numId w:val="0"/>
        </w:numPr>
        <w:spacing w:after="0" w:line="240" w:lineRule="auto"/>
        <w:ind w:left="851"/>
        <w:jc w:val="both"/>
        <w:rPr>
          <w:rFonts w:ascii="Arial" w:hAnsi="Arial" w:cs="Arial"/>
          <w:lang w:val="en-GB"/>
        </w:rPr>
      </w:pPr>
    </w:p>
    <w:p w14:paraId="7E59FF84" w14:textId="5C2782C3" w:rsidR="00132B9C" w:rsidRPr="00C409D4" w:rsidRDefault="00132B9C" w:rsidP="00FB11BF">
      <w:pPr>
        <w:pStyle w:val="ListBullet"/>
        <w:numPr>
          <w:ilvl w:val="0"/>
          <w:numId w:val="9"/>
        </w:numPr>
        <w:spacing w:after="0" w:line="240" w:lineRule="auto"/>
        <w:ind w:left="851"/>
        <w:jc w:val="both"/>
        <w:rPr>
          <w:rFonts w:ascii="Arial" w:hAnsi="Arial" w:cs="Arial"/>
          <w:lang w:val="en-GB"/>
        </w:rPr>
      </w:pPr>
      <w:r w:rsidRPr="00C409D4">
        <w:rPr>
          <w:rFonts w:ascii="Arial" w:hAnsi="Arial" w:cs="Arial"/>
        </w:rPr>
        <w:t xml:space="preserve">Given the tremendous impact that legislation and policies on surveillance and law enforcement’s activity have on them, the participation of persons with disabilities, especially those with psychosocial disabilities, is crucial. In this </w:t>
      </w:r>
      <w:r w:rsidRPr="002C244F">
        <w:rPr>
          <w:rFonts w:ascii="Arial" w:hAnsi="Arial" w:cs="Arial"/>
        </w:rPr>
        <w:t>sense, paragraph 30 of the draft general recommendation should be enhanced by explicitly referring to persons with disabilities and their representative organizations. In this way, racial</w:t>
      </w:r>
      <w:r w:rsidRPr="00C409D4">
        <w:rPr>
          <w:rFonts w:ascii="Arial" w:hAnsi="Arial" w:cs="Arial"/>
        </w:rPr>
        <w:t xml:space="preserve"> profiling and the intersectionality with disability could be tackled and prevented with the adequate input of persons with disabilities. </w:t>
      </w:r>
    </w:p>
    <w:p w14:paraId="3872A7E8" w14:textId="77777777" w:rsidR="00132B9C" w:rsidRPr="00C409D4" w:rsidRDefault="00132B9C" w:rsidP="005765E4">
      <w:pPr>
        <w:pStyle w:val="ListBullet"/>
        <w:numPr>
          <w:ilvl w:val="0"/>
          <w:numId w:val="0"/>
        </w:numPr>
        <w:spacing w:after="0" w:line="240" w:lineRule="auto"/>
        <w:ind w:left="1440"/>
        <w:jc w:val="both"/>
        <w:rPr>
          <w:rFonts w:ascii="Arial" w:hAnsi="Arial" w:cs="Arial"/>
          <w:lang w:val="en-GB"/>
        </w:rPr>
      </w:pPr>
    </w:p>
    <w:p w14:paraId="5369FACD" w14:textId="34182EEF" w:rsidR="00132B9C" w:rsidRPr="00C409D4" w:rsidRDefault="00132B9C" w:rsidP="00AE5414">
      <w:pPr>
        <w:pStyle w:val="ListBullet"/>
        <w:numPr>
          <w:ilvl w:val="0"/>
          <w:numId w:val="16"/>
        </w:numPr>
        <w:spacing w:after="0" w:line="240" w:lineRule="auto"/>
        <w:jc w:val="both"/>
        <w:rPr>
          <w:rFonts w:ascii="Arial" w:hAnsi="Arial" w:cs="Arial"/>
          <w:b/>
          <w:bCs/>
          <w:lang w:val="en-GB"/>
        </w:rPr>
      </w:pPr>
      <w:r w:rsidRPr="00C409D4">
        <w:rPr>
          <w:rFonts w:ascii="Arial" w:hAnsi="Arial" w:cs="Arial"/>
          <w:b/>
          <w:bCs/>
          <w:lang w:val="en-GB"/>
        </w:rPr>
        <w:t>Training of law enforcement agents on disability and access to justice (draft GR para</w:t>
      </w:r>
      <w:r>
        <w:rPr>
          <w:rFonts w:ascii="Arial" w:hAnsi="Arial" w:cs="Arial"/>
          <w:b/>
          <w:bCs/>
          <w:lang w:val="en-GB"/>
        </w:rPr>
        <w:t>.</w:t>
      </w:r>
      <w:r w:rsidRPr="00C409D4">
        <w:rPr>
          <w:rFonts w:ascii="Arial" w:hAnsi="Arial" w:cs="Arial"/>
          <w:b/>
          <w:bCs/>
          <w:lang w:val="en-GB"/>
        </w:rPr>
        <w:t xml:space="preserve"> </w:t>
      </w:r>
      <w:r>
        <w:rPr>
          <w:rFonts w:ascii="Arial" w:hAnsi="Arial" w:cs="Arial"/>
          <w:b/>
          <w:bCs/>
          <w:lang w:val="en-GB"/>
        </w:rPr>
        <w:t>28</w:t>
      </w:r>
      <w:r w:rsidRPr="00C409D4">
        <w:rPr>
          <w:rFonts w:ascii="Arial" w:hAnsi="Arial" w:cs="Arial"/>
          <w:b/>
          <w:bCs/>
          <w:lang w:val="en-GB"/>
        </w:rPr>
        <w:t>)</w:t>
      </w:r>
    </w:p>
    <w:p w14:paraId="1730FD84" w14:textId="77777777" w:rsidR="00132B9C" w:rsidRPr="00C409D4" w:rsidRDefault="00132B9C" w:rsidP="005765E4">
      <w:pPr>
        <w:pStyle w:val="ListBullet"/>
        <w:numPr>
          <w:ilvl w:val="0"/>
          <w:numId w:val="0"/>
        </w:numPr>
        <w:spacing w:after="0" w:line="240" w:lineRule="auto"/>
        <w:rPr>
          <w:rFonts w:ascii="Arial" w:hAnsi="Arial" w:cs="Arial"/>
          <w:lang w:val="en-GB"/>
        </w:rPr>
      </w:pPr>
    </w:p>
    <w:p w14:paraId="2906A4A7" w14:textId="74231EB1" w:rsidR="00C635EA" w:rsidRDefault="00132B9C" w:rsidP="00C635EA">
      <w:pPr>
        <w:pStyle w:val="ListBullet"/>
        <w:numPr>
          <w:ilvl w:val="0"/>
          <w:numId w:val="9"/>
        </w:numPr>
        <w:spacing w:after="0" w:line="240" w:lineRule="auto"/>
        <w:ind w:left="851"/>
        <w:jc w:val="both"/>
        <w:rPr>
          <w:rFonts w:ascii="Arial" w:hAnsi="Arial" w:cs="Arial"/>
          <w:lang w:val="en-GB"/>
        </w:rPr>
      </w:pPr>
      <w:r w:rsidRPr="00C409D4">
        <w:rPr>
          <w:rFonts w:ascii="Arial" w:hAnsi="Arial" w:cs="Arial"/>
          <w:lang w:val="en-GB"/>
        </w:rPr>
        <w:t>Article 13 of the CRPD (Access to justice), paragraph 2, requires States to “promote appropriate training for those working in the field of administration of justice, including police and prison staff”, in order to enhance their skills and awareness to work with persons with disabilities.</w:t>
      </w:r>
      <w:r>
        <w:rPr>
          <w:rStyle w:val="EndnoteReference"/>
          <w:rFonts w:ascii="Arial" w:hAnsi="Arial" w:cs="Arial"/>
          <w:lang w:val="en-GB"/>
        </w:rPr>
        <w:endnoteReference w:id="43"/>
      </w:r>
      <w:r w:rsidRPr="00C409D4">
        <w:rPr>
          <w:rFonts w:ascii="Arial" w:hAnsi="Arial" w:cs="Arial"/>
          <w:lang w:val="en-GB"/>
        </w:rPr>
        <w:t xml:space="preserve"> Any training to prevent racial profiling and intersectional discrimination by law enforcement agents should contemplate the disability perspective to </w:t>
      </w:r>
      <w:r>
        <w:rPr>
          <w:rFonts w:ascii="Arial" w:hAnsi="Arial" w:cs="Arial"/>
          <w:lang w:val="en-GB"/>
        </w:rPr>
        <w:t>support implementation of</w:t>
      </w:r>
      <w:r w:rsidRPr="00C409D4">
        <w:rPr>
          <w:rFonts w:ascii="Arial" w:hAnsi="Arial" w:cs="Arial"/>
          <w:lang w:val="en-GB"/>
        </w:rPr>
        <w:t xml:space="preserve"> Article 13(2) of the CRPD. </w:t>
      </w:r>
    </w:p>
    <w:p w14:paraId="0FC3D888" w14:textId="77777777" w:rsidR="00C635EA" w:rsidRDefault="00C635EA" w:rsidP="00C635EA">
      <w:pPr>
        <w:pStyle w:val="ListBullet"/>
        <w:numPr>
          <w:ilvl w:val="0"/>
          <w:numId w:val="0"/>
        </w:numPr>
        <w:spacing w:after="0" w:line="240" w:lineRule="auto"/>
        <w:ind w:left="851"/>
        <w:jc w:val="both"/>
        <w:rPr>
          <w:rFonts w:ascii="Arial" w:hAnsi="Arial" w:cs="Arial"/>
          <w:lang w:val="en-GB"/>
        </w:rPr>
      </w:pPr>
    </w:p>
    <w:p w14:paraId="6ABFDB2D" w14:textId="567C8539" w:rsidR="00C635EA" w:rsidRPr="00C635EA" w:rsidRDefault="00C635EA" w:rsidP="00C635EA">
      <w:pPr>
        <w:pStyle w:val="ListBullet"/>
        <w:numPr>
          <w:ilvl w:val="0"/>
          <w:numId w:val="9"/>
        </w:numPr>
        <w:spacing w:after="0" w:line="240" w:lineRule="auto"/>
        <w:ind w:left="851"/>
        <w:jc w:val="both"/>
        <w:rPr>
          <w:rFonts w:ascii="Arial" w:hAnsi="Arial" w:cs="Arial"/>
          <w:lang w:val="en-GB"/>
        </w:rPr>
      </w:pPr>
      <w:r w:rsidRPr="00C635EA">
        <w:rPr>
          <w:rFonts w:ascii="Arial" w:hAnsi="Arial" w:cs="Arial"/>
          <w:lang w:val="en-GB"/>
        </w:rPr>
        <w:t>In particular, police and prison staff should be t</w:t>
      </w:r>
      <w:r w:rsidR="00132B9C" w:rsidRPr="00C635EA">
        <w:rPr>
          <w:rFonts w:ascii="Arial" w:hAnsi="Arial" w:cs="Arial"/>
          <w:lang w:val="en-GB"/>
        </w:rPr>
        <w:t>rain</w:t>
      </w:r>
      <w:r w:rsidRPr="00C635EA">
        <w:rPr>
          <w:rFonts w:ascii="Arial" w:hAnsi="Arial" w:cs="Arial"/>
          <w:lang w:val="en-GB"/>
        </w:rPr>
        <w:t>ed</w:t>
      </w:r>
      <w:r w:rsidR="00132B9C" w:rsidRPr="00C635EA">
        <w:rPr>
          <w:rFonts w:ascii="Arial" w:hAnsi="Arial" w:cs="Arial"/>
          <w:lang w:val="en-GB"/>
        </w:rPr>
        <w:t xml:space="preserve"> on</w:t>
      </w:r>
      <w:r w:rsidRPr="00C635EA">
        <w:rPr>
          <w:rFonts w:ascii="Arial" w:hAnsi="Arial" w:cs="Arial"/>
          <w:lang w:val="en-GB"/>
        </w:rPr>
        <w:t xml:space="preserve"> how to engage with persons with disabilities from the different constituencies, their accessibility requirements and on </w:t>
      </w:r>
      <w:r w:rsidR="00712E01">
        <w:rPr>
          <w:rFonts w:ascii="Arial" w:hAnsi="Arial" w:cs="Arial"/>
          <w:lang w:val="en-GB"/>
        </w:rPr>
        <w:t>identifying</w:t>
      </w:r>
      <w:r w:rsidRPr="00C635EA">
        <w:rPr>
          <w:rFonts w:ascii="Arial" w:hAnsi="Arial" w:cs="Arial"/>
          <w:lang w:val="en-GB"/>
        </w:rPr>
        <w:t xml:space="preserve"> the need to provide</w:t>
      </w:r>
      <w:r w:rsidR="00132B9C" w:rsidRPr="00C635EA">
        <w:rPr>
          <w:rFonts w:ascii="Arial" w:hAnsi="Arial" w:cs="Arial"/>
          <w:lang w:val="en-GB"/>
        </w:rPr>
        <w:t xml:space="preserve"> procedural accommodation</w:t>
      </w:r>
      <w:r w:rsidRPr="00C635EA">
        <w:rPr>
          <w:rFonts w:ascii="Arial" w:hAnsi="Arial" w:cs="Arial"/>
          <w:lang w:val="en-GB"/>
        </w:rPr>
        <w:t xml:space="preserve"> (article 13 of the CRPD) in a particular case for the person to be able to engage during administrative procedures and interaction, e.g. sign language interpretation provided to a deaf detainee, and reasonable accommodation to ensure proper conditions of detention (article 14(2) of the CRPD). In this sense,</w:t>
      </w:r>
      <w:r w:rsidR="00C27B5B" w:rsidRPr="00C635EA">
        <w:rPr>
          <w:rFonts w:ascii="Arial" w:hAnsi="Arial" w:cs="Arial"/>
          <w:lang w:val="en-GB"/>
        </w:rPr>
        <w:t xml:space="preserve"> </w:t>
      </w:r>
      <w:r w:rsidRPr="00C635EA">
        <w:rPr>
          <w:rFonts w:ascii="Arial" w:eastAsia="Arial" w:hAnsi="Arial" w:cs="Arial"/>
          <w:lang w:val="en-GB"/>
        </w:rPr>
        <w:t xml:space="preserve">trainings </w:t>
      </w:r>
      <w:r w:rsidR="008065B0" w:rsidRPr="00C635EA">
        <w:rPr>
          <w:rFonts w:ascii="Arial" w:eastAsia="Arial" w:hAnsi="Arial" w:cs="Arial"/>
          <w:lang w:val="en-GB"/>
        </w:rPr>
        <w:t xml:space="preserve">should </w:t>
      </w:r>
      <w:r w:rsidRPr="00C635EA">
        <w:rPr>
          <w:rFonts w:ascii="Arial" w:eastAsia="Arial" w:hAnsi="Arial" w:cs="Arial"/>
          <w:lang w:val="en-GB"/>
        </w:rPr>
        <w:t>cover the main elements of</w:t>
      </w:r>
      <w:r w:rsidR="008065B0" w:rsidRPr="00C635EA">
        <w:rPr>
          <w:rFonts w:ascii="Arial" w:eastAsia="Arial" w:hAnsi="Arial" w:cs="Arial"/>
          <w:lang w:val="en-GB"/>
        </w:rPr>
        <w:t xml:space="preserve"> Article 9 of the CRPD</w:t>
      </w:r>
      <w:r w:rsidRPr="00C635EA">
        <w:rPr>
          <w:rFonts w:ascii="Arial" w:eastAsia="Arial" w:hAnsi="Arial" w:cs="Arial"/>
          <w:lang w:val="en-GB"/>
        </w:rPr>
        <w:t xml:space="preserve"> on</w:t>
      </w:r>
      <w:r w:rsidR="008065B0" w:rsidRPr="00C635EA">
        <w:rPr>
          <w:rFonts w:ascii="Arial" w:eastAsia="Arial" w:hAnsi="Arial" w:cs="Arial"/>
          <w:lang w:val="en-GB"/>
        </w:rPr>
        <w:t xml:space="preserve"> accessibility. Such training</w:t>
      </w:r>
      <w:r w:rsidRPr="00C635EA">
        <w:rPr>
          <w:rFonts w:ascii="Arial" w:eastAsia="Arial" w:hAnsi="Arial" w:cs="Arial"/>
          <w:lang w:val="en-GB"/>
        </w:rPr>
        <w:t>s</w:t>
      </w:r>
      <w:r w:rsidR="008065B0" w:rsidRPr="00C635EA">
        <w:rPr>
          <w:rFonts w:ascii="Arial" w:eastAsia="Arial" w:hAnsi="Arial" w:cs="Arial"/>
          <w:lang w:val="en-GB"/>
        </w:rPr>
        <w:t xml:space="preserve"> would </w:t>
      </w:r>
      <w:r w:rsidRPr="00C635EA">
        <w:rPr>
          <w:rFonts w:ascii="Arial" w:eastAsia="Arial" w:hAnsi="Arial" w:cs="Arial"/>
          <w:lang w:val="en-GB"/>
        </w:rPr>
        <w:t>allow</w:t>
      </w:r>
      <w:r w:rsidR="008065B0" w:rsidRPr="00C635EA">
        <w:rPr>
          <w:rFonts w:ascii="Arial" w:eastAsia="Arial" w:hAnsi="Arial" w:cs="Arial"/>
          <w:lang w:val="en-GB"/>
        </w:rPr>
        <w:t xml:space="preserve"> law enforcement officers and prisons staff</w:t>
      </w:r>
      <w:r w:rsidRPr="00C635EA">
        <w:rPr>
          <w:rFonts w:ascii="Arial" w:eastAsia="Arial" w:hAnsi="Arial" w:cs="Arial"/>
          <w:lang w:val="en-GB"/>
        </w:rPr>
        <w:t xml:space="preserve"> to perform more efficiently and clearly vis-à-vis persons with disabilities,</w:t>
      </w:r>
      <w:r w:rsidR="008065B0" w:rsidRPr="00C635EA">
        <w:rPr>
          <w:rFonts w:ascii="Arial" w:eastAsia="Arial" w:hAnsi="Arial" w:cs="Arial"/>
          <w:lang w:val="en-GB"/>
        </w:rPr>
        <w:t xml:space="preserve"> including </w:t>
      </w:r>
      <w:r w:rsidRPr="00C635EA">
        <w:rPr>
          <w:rFonts w:ascii="Arial" w:eastAsia="Arial" w:hAnsi="Arial" w:cs="Arial"/>
          <w:lang w:val="en-GB"/>
        </w:rPr>
        <w:t>e.g. knowing when and how</w:t>
      </w:r>
      <w:r w:rsidR="008065B0" w:rsidRPr="00C635EA">
        <w:rPr>
          <w:rFonts w:ascii="Arial" w:eastAsia="Arial" w:hAnsi="Arial" w:cs="Arial"/>
          <w:lang w:val="en-GB"/>
        </w:rPr>
        <w:t xml:space="preserve"> to book a sign language interpreter</w:t>
      </w:r>
      <w:r w:rsidRPr="00C635EA">
        <w:rPr>
          <w:rFonts w:ascii="Arial" w:eastAsia="Arial" w:hAnsi="Arial" w:cs="Arial"/>
          <w:lang w:val="en-GB"/>
        </w:rPr>
        <w:t xml:space="preserve"> for deaf persons.</w:t>
      </w:r>
    </w:p>
    <w:p w14:paraId="6AA8D867" w14:textId="17CE91E6" w:rsidR="00132B9C" w:rsidRPr="00C635EA" w:rsidRDefault="008065B0" w:rsidP="00C635EA">
      <w:pPr>
        <w:pStyle w:val="ListBullet"/>
        <w:numPr>
          <w:ilvl w:val="0"/>
          <w:numId w:val="0"/>
        </w:numPr>
        <w:spacing w:after="0" w:line="240" w:lineRule="auto"/>
        <w:ind w:left="851"/>
        <w:jc w:val="both"/>
        <w:rPr>
          <w:rFonts w:ascii="Arial" w:hAnsi="Arial" w:cs="Arial"/>
          <w:highlight w:val="yellow"/>
          <w:lang w:val="en-GB"/>
        </w:rPr>
      </w:pPr>
      <w:r w:rsidRPr="00C635EA">
        <w:rPr>
          <w:rFonts w:ascii="Arial" w:eastAsia="Arial" w:hAnsi="Arial" w:cs="Arial"/>
          <w:highlight w:val="yellow"/>
          <w:lang w:val="en-GB"/>
        </w:rPr>
        <w:t xml:space="preserve"> </w:t>
      </w:r>
    </w:p>
    <w:p w14:paraId="6C4337EE" w14:textId="0B591F7B" w:rsidR="00132B9C" w:rsidRPr="002C244F" w:rsidRDefault="00C635EA" w:rsidP="00FB11BF">
      <w:pPr>
        <w:pStyle w:val="ListBullet"/>
        <w:numPr>
          <w:ilvl w:val="0"/>
          <w:numId w:val="9"/>
        </w:numPr>
        <w:spacing w:after="0" w:line="240" w:lineRule="auto"/>
        <w:ind w:left="851"/>
        <w:jc w:val="both"/>
        <w:rPr>
          <w:rFonts w:ascii="Arial" w:hAnsi="Arial" w:cs="Arial"/>
          <w:lang w:val="en-GB"/>
        </w:rPr>
      </w:pPr>
      <w:r w:rsidRPr="002C244F">
        <w:rPr>
          <w:rFonts w:ascii="Arial" w:hAnsi="Arial" w:cs="Arial"/>
          <w:lang w:val="en-GB"/>
        </w:rPr>
        <w:t>To sum up, p</w:t>
      </w:r>
      <w:r w:rsidR="00132B9C" w:rsidRPr="002C244F">
        <w:rPr>
          <w:rFonts w:ascii="Arial" w:hAnsi="Arial" w:cs="Arial"/>
          <w:lang w:val="en-GB"/>
        </w:rPr>
        <w:t>aragraph 28 of the draft general recommendation should include explicit references to the biases and negative stereotypes faced by persons with disabilities, including from racial and ethnic minorities,</w:t>
      </w:r>
      <w:r w:rsidR="00C27B5B" w:rsidRPr="002C244F">
        <w:rPr>
          <w:rFonts w:ascii="Arial" w:hAnsi="Arial" w:cs="Arial"/>
          <w:lang w:val="en-GB"/>
        </w:rPr>
        <w:t xml:space="preserve"> and</w:t>
      </w:r>
      <w:r w:rsidR="00132B9C" w:rsidRPr="002C244F">
        <w:rPr>
          <w:rFonts w:ascii="Arial" w:hAnsi="Arial" w:cs="Arial"/>
          <w:lang w:val="en-GB"/>
        </w:rPr>
        <w:t xml:space="preserve"> the need to </w:t>
      </w:r>
      <w:r w:rsidR="00C27B5B" w:rsidRPr="002C244F">
        <w:rPr>
          <w:rFonts w:ascii="Arial" w:hAnsi="Arial" w:cs="Arial"/>
          <w:lang w:val="en-GB"/>
        </w:rPr>
        <w:t>train public agents to enhance their skills vis-à-vis persons with disabilities, including on</w:t>
      </w:r>
      <w:r w:rsidRPr="002C244F">
        <w:rPr>
          <w:rFonts w:ascii="Arial" w:hAnsi="Arial" w:cs="Arial"/>
          <w:lang w:val="en-GB"/>
        </w:rPr>
        <w:t xml:space="preserve"> general accessibility, and</w:t>
      </w:r>
      <w:r w:rsidR="00C27B5B" w:rsidRPr="002C244F">
        <w:rPr>
          <w:rFonts w:ascii="Arial" w:hAnsi="Arial" w:cs="Arial"/>
          <w:lang w:val="en-GB"/>
        </w:rPr>
        <w:t xml:space="preserve"> the provision of procedural accommodation, and </w:t>
      </w:r>
      <w:r w:rsidR="00C27B5B" w:rsidRPr="002C244F">
        <w:rPr>
          <w:rFonts w:ascii="Arial" w:hAnsi="Arial" w:cs="Arial"/>
          <w:lang w:val="en-GB"/>
        </w:rPr>
        <w:lastRenderedPageBreak/>
        <w:t>reasonable accommodation in detention.</w:t>
      </w:r>
      <w:r w:rsidR="00132B9C" w:rsidRPr="002C244F">
        <w:rPr>
          <w:rFonts w:ascii="Arial" w:hAnsi="Arial" w:cs="Arial"/>
          <w:lang w:val="en-GB"/>
        </w:rPr>
        <w:t xml:space="preserve"> In addition, it should be stated that persons with disabilities should be engaged in the development and delivery of training (in line with their right to participation referred above). </w:t>
      </w:r>
    </w:p>
    <w:p w14:paraId="625A43AC" w14:textId="77777777" w:rsidR="00132B9C" w:rsidRPr="00C409D4" w:rsidRDefault="00132B9C" w:rsidP="005765E4">
      <w:pPr>
        <w:pStyle w:val="ListBullet"/>
        <w:numPr>
          <w:ilvl w:val="0"/>
          <w:numId w:val="0"/>
        </w:numPr>
        <w:spacing w:after="0" w:line="240" w:lineRule="auto"/>
        <w:ind w:left="1440"/>
        <w:jc w:val="both"/>
        <w:rPr>
          <w:rFonts w:ascii="Arial" w:hAnsi="Arial" w:cs="Arial"/>
          <w:lang w:val="en-GB"/>
        </w:rPr>
      </w:pPr>
    </w:p>
    <w:p w14:paraId="6426534F" w14:textId="77700260" w:rsidR="00132B9C" w:rsidRPr="00C409D4" w:rsidRDefault="00132B9C" w:rsidP="00B04958">
      <w:pPr>
        <w:pStyle w:val="ListBullet"/>
        <w:numPr>
          <w:ilvl w:val="0"/>
          <w:numId w:val="16"/>
        </w:numPr>
        <w:spacing w:after="0" w:line="240" w:lineRule="auto"/>
        <w:jc w:val="both"/>
        <w:rPr>
          <w:rFonts w:ascii="Arial" w:hAnsi="Arial" w:cs="Arial"/>
          <w:b/>
          <w:bCs/>
          <w:lang w:val="en-GB"/>
        </w:rPr>
      </w:pPr>
      <w:r w:rsidRPr="00C409D4">
        <w:rPr>
          <w:rFonts w:ascii="Arial" w:hAnsi="Arial" w:cs="Arial"/>
          <w:b/>
          <w:bCs/>
          <w:lang w:val="en-GB"/>
        </w:rPr>
        <w:t xml:space="preserve">Data disaggregation </w:t>
      </w:r>
      <w:r>
        <w:rPr>
          <w:rFonts w:ascii="Arial" w:hAnsi="Arial" w:cs="Arial"/>
          <w:b/>
          <w:bCs/>
          <w:lang w:val="en-GB"/>
        </w:rPr>
        <w:t>by disability</w:t>
      </w:r>
      <w:r w:rsidRPr="00C409D4">
        <w:rPr>
          <w:rFonts w:ascii="Arial" w:hAnsi="Arial" w:cs="Arial"/>
          <w:b/>
          <w:bCs/>
          <w:lang w:val="en-GB"/>
        </w:rPr>
        <w:t xml:space="preserve"> </w:t>
      </w:r>
      <w:r>
        <w:rPr>
          <w:rFonts w:ascii="Arial" w:hAnsi="Arial" w:cs="Arial"/>
          <w:b/>
          <w:bCs/>
          <w:lang w:val="en-GB"/>
        </w:rPr>
        <w:t>(</w:t>
      </w:r>
      <w:r w:rsidRPr="00C409D4">
        <w:rPr>
          <w:rFonts w:ascii="Arial" w:hAnsi="Arial" w:cs="Arial"/>
          <w:b/>
          <w:bCs/>
          <w:lang w:val="en-GB"/>
        </w:rPr>
        <w:t>draft GR para</w:t>
      </w:r>
      <w:r>
        <w:rPr>
          <w:rFonts w:ascii="Arial" w:hAnsi="Arial" w:cs="Arial"/>
          <w:b/>
          <w:bCs/>
          <w:lang w:val="en-GB"/>
        </w:rPr>
        <w:t>.</w:t>
      </w:r>
      <w:r w:rsidRPr="00C409D4">
        <w:rPr>
          <w:rFonts w:ascii="Arial" w:hAnsi="Arial" w:cs="Arial"/>
          <w:b/>
          <w:bCs/>
          <w:lang w:val="en-GB"/>
        </w:rPr>
        <w:t xml:space="preserve"> 3</w:t>
      </w:r>
      <w:r>
        <w:rPr>
          <w:rFonts w:ascii="Arial" w:hAnsi="Arial" w:cs="Arial"/>
          <w:b/>
          <w:bCs/>
          <w:lang w:val="en-GB"/>
        </w:rPr>
        <w:t>1</w:t>
      </w:r>
      <w:r w:rsidRPr="00C409D4">
        <w:rPr>
          <w:rFonts w:ascii="Arial" w:hAnsi="Arial" w:cs="Arial"/>
          <w:b/>
          <w:bCs/>
          <w:lang w:val="en-GB"/>
        </w:rPr>
        <w:t>)</w:t>
      </w:r>
    </w:p>
    <w:p w14:paraId="5BDD3044" w14:textId="4F918C39" w:rsidR="00132B9C" w:rsidRPr="00C409D4" w:rsidRDefault="00132B9C" w:rsidP="00B04958">
      <w:pPr>
        <w:pStyle w:val="ListBullet"/>
        <w:numPr>
          <w:ilvl w:val="0"/>
          <w:numId w:val="0"/>
        </w:numPr>
        <w:spacing w:after="0" w:line="240" w:lineRule="auto"/>
        <w:ind w:left="720"/>
        <w:jc w:val="both"/>
        <w:rPr>
          <w:rFonts w:ascii="Arial" w:hAnsi="Arial" w:cs="Arial"/>
          <w:b/>
          <w:bCs/>
          <w:lang w:val="en-GB"/>
        </w:rPr>
      </w:pPr>
    </w:p>
    <w:p w14:paraId="04250136" w14:textId="020FC7D5" w:rsidR="00B04958" w:rsidRPr="00C409D4" w:rsidRDefault="00132B9C" w:rsidP="00FB11BF">
      <w:pPr>
        <w:pStyle w:val="ListBullet"/>
        <w:numPr>
          <w:ilvl w:val="0"/>
          <w:numId w:val="9"/>
        </w:numPr>
        <w:spacing w:after="0" w:line="240" w:lineRule="auto"/>
        <w:ind w:left="851"/>
        <w:jc w:val="both"/>
        <w:rPr>
          <w:rFonts w:ascii="Arial" w:hAnsi="Arial" w:cs="Arial"/>
          <w:lang w:val="en-GB"/>
        </w:rPr>
      </w:pPr>
      <w:r w:rsidRPr="00C409D4">
        <w:rPr>
          <w:rFonts w:ascii="Arial" w:hAnsi="Arial" w:cs="Arial"/>
          <w:lang w:val="en-GB"/>
        </w:rPr>
        <w:t>Article 31 of the CRPD (</w:t>
      </w:r>
      <w:r>
        <w:rPr>
          <w:rFonts w:ascii="Arial" w:hAnsi="Arial" w:cs="Arial"/>
          <w:lang w:val="en-GB"/>
        </w:rPr>
        <w:t>Statistics and data collection</w:t>
      </w:r>
      <w:r w:rsidRPr="00C409D4">
        <w:rPr>
          <w:rFonts w:ascii="Arial" w:hAnsi="Arial" w:cs="Arial"/>
          <w:lang w:val="en-GB"/>
        </w:rPr>
        <w:t>)</w:t>
      </w:r>
      <w:r>
        <w:rPr>
          <w:rFonts w:ascii="Arial" w:hAnsi="Arial" w:cs="Arial"/>
          <w:lang w:val="en-GB"/>
        </w:rPr>
        <w:t xml:space="preserve"> requires States “to collect appropriate information, including statistical and research data, to enable them to formulate and implement policies to give effect” to the Convention. This includes data disaggregation by disability (Article 31, paragraph 2). The CRPD Committee has systematically suggested the </w:t>
      </w:r>
      <w:r w:rsidRPr="00D159F3">
        <w:rPr>
          <w:rFonts w:ascii="Arial" w:hAnsi="Arial" w:cs="Arial"/>
          <w:lang w:val="en-GB"/>
        </w:rPr>
        <w:t>use of the methodology of</w:t>
      </w:r>
      <w:r w:rsidRPr="00D159F3">
        <w:rPr>
          <w:rFonts w:ascii="Arial" w:hAnsi="Arial" w:cs="Arial"/>
          <w:b/>
          <w:lang w:val="en-GB"/>
        </w:rPr>
        <w:t xml:space="preserve"> </w:t>
      </w:r>
      <w:r w:rsidRPr="00D159F3">
        <w:rPr>
          <w:rFonts w:ascii="Arial" w:hAnsi="Arial" w:cs="Arial"/>
          <w:bCs/>
          <w:lang w:val="en-GB"/>
        </w:rPr>
        <w:t>the Washington Group on Disability Statistics</w:t>
      </w:r>
      <w:r>
        <w:rPr>
          <w:rFonts w:ascii="Arial" w:hAnsi="Arial" w:cs="Arial"/>
          <w:bCs/>
          <w:lang w:val="en-GB"/>
        </w:rPr>
        <w:t>,</w:t>
      </w:r>
      <w:r w:rsidRPr="00D159F3">
        <w:rPr>
          <w:rStyle w:val="EndnoteReference"/>
          <w:rFonts w:ascii="Arial" w:hAnsi="Arial" w:cs="Arial"/>
          <w:bCs/>
          <w:lang w:val="en-GB"/>
        </w:rPr>
        <w:endnoteReference w:id="44"/>
      </w:r>
      <w:r>
        <w:rPr>
          <w:rFonts w:ascii="Arial" w:hAnsi="Arial" w:cs="Arial"/>
          <w:bCs/>
          <w:lang w:val="en-GB"/>
        </w:rPr>
        <w:t xml:space="preserve"> </w:t>
      </w:r>
      <w:r w:rsidR="00D159F3">
        <w:rPr>
          <w:rFonts w:ascii="Arial" w:hAnsi="Arial" w:cs="Arial"/>
          <w:bCs/>
          <w:lang w:val="en-GB"/>
        </w:rPr>
        <w:t>which proposes different tools.</w:t>
      </w:r>
      <w:r w:rsidR="00DB157F">
        <w:rPr>
          <w:rFonts w:ascii="Arial" w:hAnsi="Arial" w:cs="Arial"/>
          <w:lang w:val="en-GB"/>
        </w:rPr>
        <w:t xml:space="preserve"> </w:t>
      </w:r>
    </w:p>
    <w:p w14:paraId="1AAC282C" w14:textId="77777777" w:rsidR="00B04958" w:rsidRPr="00C409D4" w:rsidRDefault="00B04958" w:rsidP="00FB11BF">
      <w:pPr>
        <w:pStyle w:val="ListBullet"/>
        <w:numPr>
          <w:ilvl w:val="0"/>
          <w:numId w:val="0"/>
        </w:numPr>
        <w:spacing w:after="0" w:line="240" w:lineRule="auto"/>
        <w:ind w:left="851"/>
        <w:jc w:val="both"/>
        <w:rPr>
          <w:rFonts w:ascii="Arial" w:hAnsi="Arial" w:cs="Arial"/>
          <w:lang w:val="en-GB"/>
        </w:rPr>
      </w:pPr>
    </w:p>
    <w:p w14:paraId="51A94422" w14:textId="7FE7566B" w:rsidR="007E65A7" w:rsidRDefault="00B04958" w:rsidP="00C27B5B">
      <w:pPr>
        <w:pStyle w:val="ListBullet"/>
        <w:numPr>
          <w:ilvl w:val="0"/>
          <w:numId w:val="9"/>
        </w:numPr>
        <w:spacing w:after="0" w:line="240" w:lineRule="auto"/>
        <w:ind w:left="851"/>
        <w:jc w:val="both"/>
        <w:rPr>
          <w:rFonts w:ascii="Arial" w:hAnsi="Arial" w:cs="Arial"/>
          <w:lang w:val="en-GB"/>
        </w:rPr>
      </w:pPr>
      <w:r w:rsidRPr="00DB157F">
        <w:rPr>
          <w:rFonts w:ascii="Arial" w:hAnsi="Arial" w:cs="Arial"/>
          <w:lang w:val="en-GB"/>
        </w:rPr>
        <w:t xml:space="preserve">In this vein, </w:t>
      </w:r>
      <w:r w:rsidR="00DB157F">
        <w:rPr>
          <w:rFonts w:ascii="Arial" w:hAnsi="Arial" w:cs="Arial"/>
          <w:lang w:val="en-GB"/>
        </w:rPr>
        <w:t>the required attempts to improve information systems and facilitate rigorous assessments of the activity of law enforcement agents must allow for intersectional analysis by disaggregating by disability. Only measuring disability in th</w:t>
      </w:r>
      <w:r w:rsidR="00A55A74">
        <w:rPr>
          <w:rFonts w:ascii="Arial" w:hAnsi="Arial" w:cs="Arial"/>
          <w:lang w:val="en-GB"/>
        </w:rPr>
        <w:t>ese</w:t>
      </w:r>
      <w:r w:rsidR="00DB157F">
        <w:rPr>
          <w:rFonts w:ascii="Arial" w:hAnsi="Arial" w:cs="Arial"/>
          <w:lang w:val="en-GB"/>
        </w:rPr>
        <w:t xml:space="preserve"> contexts, disproportionate impacts can be confirmed in specific contexts and measures to correct them can be adopted.  </w:t>
      </w:r>
    </w:p>
    <w:p w14:paraId="68EB43A0" w14:textId="77777777" w:rsidR="00C27B5B" w:rsidRPr="00C27B5B" w:rsidRDefault="00C27B5B" w:rsidP="00C27B5B">
      <w:pPr>
        <w:pStyle w:val="ListBullet"/>
        <w:numPr>
          <w:ilvl w:val="0"/>
          <w:numId w:val="0"/>
        </w:numPr>
        <w:spacing w:after="0" w:line="240" w:lineRule="auto"/>
        <w:ind w:left="851"/>
        <w:jc w:val="both"/>
        <w:rPr>
          <w:rFonts w:ascii="Arial" w:hAnsi="Arial" w:cs="Arial"/>
          <w:lang w:val="en-GB"/>
        </w:rPr>
      </w:pPr>
    </w:p>
    <w:p w14:paraId="34BD1BD0" w14:textId="6AE9BB8E" w:rsidR="007E65A7" w:rsidRDefault="007E65A7" w:rsidP="00C409D4">
      <w:pPr>
        <w:pStyle w:val="ListBullet"/>
        <w:numPr>
          <w:ilvl w:val="0"/>
          <w:numId w:val="8"/>
        </w:numPr>
        <w:spacing w:after="0" w:line="240" w:lineRule="auto"/>
        <w:rPr>
          <w:rFonts w:ascii="Arial" w:hAnsi="Arial" w:cs="Arial"/>
          <w:b/>
          <w:bCs/>
          <w:lang w:val="en-GB"/>
        </w:rPr>
      </w:pPr>
      <w:r w:rsidRPr="00C409D4">
        <w:rPr>
          <w:rFonts w:ascii="Arial" w:hAnsi="Arial" w:cs="Arial"/>
          <w:b/>
          <w:bCs/>
          <w:lang w:val="en-GB"/>
        </w:rPr>
        <w:t xml:space="preserve">Recommendations  </w:t>
      </w:r>
    </w:p>
    <w:p w14:paraId="23CD2ABA" w14:textId="77777777" w:rsidR="00C409D4" w:rsidRPr="00C409D4" w:rsidRDefault="00C409D4" w:rsidP="00C409D4">
      <w:pPr>
        <w:pStyle w:val="ListBullet"/>
        <w:numPr>
          <w:ilvl w:val="0"/>
          <w:numId w:val="0"/>
        </w:numPr>
        <w:spacing w:after="0" w:line="240" w:lineRule="auto"/>
        <w:ind w:left="1080"/>
        <w:rPr>
          <w:rFonts w:ascii="Arial" w:hAnsi="Arial" w:cs="Arial"/>
          <w:b/>
          <w:bCs/>
          <w:lang w:val="en-GB"/>
        </w:rPr>
      </w:pPr>
    </w:p>
    <w:p w14:paraId="09CBD4C5" w14:textId="48EBA561" w:rsidR="007E65A7" w:rsidRPr="00C409D4" w:rsidRDefault="007E65A7" w:rsidP="00FB11BF">
      <w:pPr>
        <w:pStyle w:val="ListBullet"/>
        <w:numPr>
          <w:ilvl w:val="0"/>
          <w:numId w:val="9"/>
        </w:numPr>
        <w:spacing w:after="0" w:line="240" w:lineRule="auto"/>
        <w:ind w:left="851"/>
        <w:jc w:val="both"/>
        <w:rPr>
          <w:rFonts w:ascii="Arial" w:hAnsi="Arial" w:cs="Arial"/>
          <w:lang w:val="en-GB"/>
        </w:rPr>
      </w:pPr>
      <w:r w:rsidRPr="00C409D4">
        <w:rPr>
          <w:rFonts w:ascii="Arial" w:hAnsi="Arial" w:cs="Arial"/>
          <w:lang w:val="en-GB"/>
        </w:rPr>
        <w:t xml:space="preserve"> Based on the previous considerations, IDA encourages the Committee to:</w:t>
      </w:r>
    </w:p>
    <w:p w14:paraId="133450EF" w14:textId="77777777" w:rsidR="007E65A7" w:rsidRPr="00C409D4" w:rsidRDefault="007E65A7" w:rsidP="00FB11BF">
      <w:pPr>
        <w:pStyle w:val="ListBullet"/>
        <w:numPr>
          <w:ilvl w:val="0"/>
          <w:numId w:val="0"/>
        </w:numPr>
        <w:spacing w:after="0" w:line="240" w:lineRule="auto"/>
        <w:ind w:left="851"/>
        <w:jc w:val="both"/>
        <w:rPr>
          <w:rFonts w:ascii="Arial" w:hAnsi="Arial" w:cs="Arial"/>
          <w:lang w:val="en-GB"/>
        </w:rPr>
      </w:pPr>
    </w:p>
    <w:p w14:paraId="1F13026F" w14:textId="2A14FFBC" w:rsidR="007E65A7" w:rsidRPr="00C409D4" w:rsidRDefault="007E65A7" w:rsidP="00FB11BF">
      <w:pPr>
        <w:pStyle w:val="ListBullet"/>
        <w:numPr>
          <w:ilvl w:val="1"/>
          <w:numId w:val="9"/>
        </w:numPr>
        <w:spacing w:after="0" w:line="240" w:lineRule="auto"/>
        <w:ind w:left="851"/>
        <w:jc w:val="both"/>
        <w:rPr>
          <w:rFonts w:ascii="Arial" w:hAnsi="Arial" w:cs="Arial"/>
          <w:lang w:val="en-GB"/>
        </w:rPr>
      </w:pPr>
      <w:r w:rsidRPr="00C409D4">
        <w:rPr>
          <w:rFonts w:ascii="Arial" w:hAnsi="Arial" w:cs="Arial"/>
          <w:lang w:val="en-GB"/>
        </w:rPr>
        <w:t xml:space="preserve">Further elaborate in the text of the draft on the notions of intersectional discrimination in connection to racial profiling, in order to: </w:t>
      </w:r>
    </w:p>
    <w:p w14:paraId="18FA9E7C" w14:textId="3271EDFA" w:rsidR="007E65A7" w:rsidRPr="00C409D4" w:rsidRDefault="007E65A7" w:rsidP="00FB11BF">
      <w:pPr>
        <w:pStyle w:val="ListBullet"/>
        <w:numPr>
          <w:ilvl w:val="2"/>
          <w:numId w:val="9"/>
        </w:numPr>
        <w:spacing w:after="0" w:line="240" w:lineRule="auto"/>
        <w:ind w:left="1134"/>
        <w:jc w:val="both"/>
        <w:rPr>
          <w:rFonts w:ascii="Arial" w:hAnsi="Arial" w:cs="Arial"/>
          <w:lang w:val="en-GB"/>
        </w:rPr>
      </w:pPr>
      <w:r w:rsidRPr="00C409D4">
        <w:rPr>
          <w:rFonts w:ascii="Arial" w:hAnsi="Arial" w:cs="Arial"/>
          <w:lang w:val="en-GB"/>
        </w:rPr>
        <w:t>Acknowledge the negative stereotypes and prejudice faced by persons with disabilities and the consequent disproportionate impact that law enforcement</w:t>
      </w:r>
      <w:r w:rsidR="0059175E">
        <w:rPr>
          <w:rFonts w:ascii="Arial" w:hAnsi="Arial" w:cs="Arial"/>
          <w:lang w:val="en-GB"/>
        </w:rPr>
        <w:t>’</w:t>
      </w:r>
      <w:r w:rsidRPr="00C409D4">
        <w:rPr>
          <w:rFonts w:ascii="Arial" w:hAnsi="Arial" w:cs="Arial"/>
          <w:lang w:val="en-GB"/>
        </w:rPr>
        <w:t>s activity can have on account of their disability and their race and ethnic background;</w:t>
      </w:r>
    </w:p>
    <w:p w14:paraId="6F090AAE" w14:textId="6779A595" w:rsidR="007E65A7" w:rsidRPr="00C409D4" w:rsidRDefault="007E65A7" w:rsidP="00FB11BF">
      <w:pPr>
        <w:pStyle w:val="ListBullet"/>
        <w:numPr>
          <w:ilvl w:val="2"/>
          <w:numId w:val="9"/>
        </w:numPr>
        <w:spacing w:after="0" w:line="240" w:lineRule="auto"/>
        <w:ind w:left="1134"/>
        <w:jc w:val="both"/>
        <w:rPr>
          <w:rFonts w:ascii="Arial" w:hAnsi="Arial" w:cs="Arial"/>
          <w:lang w:val="en-GB"/>
        </w:rPr>
      </w:pPr>
      <w:r w:rsidRPr="00C409D4">
        <w:rPr>
          <w:rFonts w:ascii="Arial" w:hAnsi="Arial" w:cs="Arial"/>
          <w:lang w:val="en-GB"/>
        </w:rPr>
        <w:t xml:space="preserve">include explicitly “disability” as a forbidden ground for intersectional discrimination and as an intersecting ground for racial </w:t>
      </w:r>
      <w:r w:rsidR="00C635EA" w:rsidRPr="00C409D4">
        <w:rPr>
          <w:rFonts w:ascii="Arial" w:hAnsi="Arial" w:cs="Arial"/>
          <w:lang w:val="en-GB"/>
        </w:rPr>
        <w:t>profiling</w:t>
      </w:r>
      <w:r w:rsidR="00C635EA">
        <w:rPr>
          <w:rFonts w:ascii="Arial" w:hAnsi="Arial" w:cs="Arial"/>
          <w:lang w:val="en-GB"/>
        </w:rPr>
        <w:t xml:space="preserve"> and</w:t>
      </w:r>
      <w:r w:rsidR="00CF58A0">
        <w:rPr>
          <w:rFonts w:ascii="Arial" w:hAnsi="Arial" w:cs="Arial"/>
          <w:lang w:val="en-GB"/>
        </w:rPr>
        <w:t xml:space="preserve"> add references to persons with disabilities throughout the draft where appropriate.</w:t>
      </w:r>
      <w:r w:rsidRPr="00C409D4">
        <w:rPr>
          <w:rFonts w:ascii="Arial" w:hAnsi="Arial" w:cs="Arial"/>
          <w:lang w:val="en-GB"/>
        </w:rPr>
        <w:t xml:space="preserve">    </w:t>
      </w:r>
    </w:p>
    <w:p w14:paraId="2266E136" w14:textId="77777777" w:rsidR="007E65A7" w:rsidRPr="00C409D4" w:rsidRDefault="007E65A7" w:rsidP="00FB11BF">
      <w:pPr>
        <w:pStyle w:val="ListBullet"/>
        <w:numPr>
          <w:ilvl w:val="0"/>
          <w:numId w:val="0"/>
        </w:numPr>
        <w:spacing w:after="0" w:line="240" w:lineRule="auto"/>
        <w:ind w:left="851"/>
        <w:jc w:val="both"/>
        <w:rPr>
          <w:rFonts w:ascii="Arial" w:hAnsi="Arial" w:cs="Arial"/>
          <w:lang w:val="en-GB"/>
        </w:rPr>
      </w:pPr>
    </w:p>
    <w:p w14:paraId="284FF209" w14:textId="70D21379" w:rsidR="00F863C0" w:rsidRPr="00C409D4" w:rsidRDefault="007E65A7" w:rsidP="00FB11BF">
      <w:pPr>
        <w:pStyle w:val="ListBullet"/>
        <w:numPr>
          <w:ilvl w:val="1"/>
          <w:numId w:val="9"/>
        </w:numPr>
        <w:spacing w:after="0" w:line="240" w:lineRule="auto"/>
        <w:ind w:left="851"/>
        <w:jc w:val="both"/>
        <w:rPr>
          <w:rFonts w:ascii="Arial" w:hAnsi="Arial" w:cs="Arial"/>
          <w:lang w:val="en-GB"/>
        </w:rPr>
      </w:pPr>
      <w:r w:rsidRPr="00C409D4">
        <w:rPr>
          <w:rFonts w:ascii="Arial" w:hAnsi="Arial" w:cs="Arial"/>
          <w:lang w:val="en-GB"/>
        </w:rPr>
        <w:t>Call States to ensure the close consultation and active involvement of persons with disabilities, through their representative organisations, in the development of legislation and policies guiding the activity of law enforcement agents</w:t>
      </w:r>
      <w:r w:rsidR="00F863C0" w:rsidRPr="00C409D4">
        <w:rPr>
          <w:rFonts w:ascii="Arial" w:hAnsi="Arial" w:cs="Arial"/>
          <w:lang w:val="en-GB"/>
        </w:rPr>
        <w:t xml:space="preserve"> and seeking to prevent profiling based on race or ethnic background, and disability;</w:t>
      </w:r>
    </w:p>
    <w:p w14:paraId="43B95E2C" w14:textId="395EA683" w:rsidR="00F863C0" w:rsidRPr="00C409D4" w:rsidRDefault="00F863C0" w:rsidP="00FB11BF">
      <w:pPr>
        <w:pStyle w:val="ListBullet"/>
        <w:numPr>
          <w:ilvl w:val="0"/>
          <w:numId w:val="0"/>
        </w:numPr>
        <w:spacing w:after="0" w:line="240" w:lineRule="auto"/>
        <w:ind w:left="851" w:hanging="360"/>
        <w:jc w:val="both"/>
        <w:rPr>
          <w:rFonts w:ascii="Arial" w:hAnsi="Arial" w:cs="Arial"/>
          <w:lang w:val="en-GB"/>
        </w:rPr>
      </w:pPr>
    </w:p>
    <w:p w14:paraId="5892C1EA" w14:textId="453F3062" w:rsidR="00F863C0" w:rsidRPr="00171852" w:rsidRDefault="00F863C0" w:rsidP="00FB11BF">
      <w:pPr>
        <w:pStyle w:val="ListBullet"/>
        <w:numPr>
          <w:ilvl w:val="1"/>
          <w:numId w:val="9"/>
        </w:numPr>
        <w:spacing w:after="0" w:line="240" w:lineRule="auto"/>
        <w:ind w:left="851"/>
        <w:jc w:val="both"/>
        <w:rPr>
          <w:rFonts w:ascii="Arial" w:hAnsi="Arial" w:cs="Arial"/>
          <w:lang w:val="en-GB"/>
        </w:rPr>
      </w:pPr>
      <w:r w:rsidRPr="00C409D4">
        <w:rPr>
          <w:rFonts w:ascii="Arial" w:hAnsi="Arial" w:cs="Arial"/>
          <w:lang w:val="en-GB"/>
        </w:rPr>
        <w:t xml:space="preserve">Call </w:t>
      </w:r>
      <w:r w:rsidR="00DA087F" w:rsidRPr="00C409D4">
        <w:rPr>
          <w:rFonts w:ascii="Arial" w:hAnsi="Arial" w:cs="Arial"/>
          <w:lang w:val="en-GB"/>
        </w:rPr>
        <w:t>S</w:t>
      </w:r>
      <w:r w:rsidRPr="00C409D4">
        <w:rPr>
          <w:rFonts w:ascii="Arial" w:hAnsi="Arial" w:cs="Arial"/>
          <w:lang w:val="en-GB"/>
        </w:rPr>
        <w:t>tates to ensure trainings provided to law enforcement agents</w:t>
      </w:r>
      <w:r w:rsidR="00C27B5B">
        <w:rPr>
          <w:rFonts w:ascii="Arial" w:hAnsi="Arial" w:cs="Arial"/>
          <w:lang w:val="en-GB"/>
        </w:rPr>
        <w:t xml:space="preserve">, </w:t>
      </w:r>
      <w:r w:rsidR="00712E01">
        <w:rPr>
          <w:rFonts w:ascii="Arial" w:hAnsi="Arial" w:cs="Arial"/>
          <w:lang w:val="en-GB"/>
        </w:rPr>
        <w:t>including</w:t>
      </w:r>
      <w:r w:rsidR="00C27B5B" w:rsidRPr="00C27B5B">
        <w:rPr>
          <w:rFonts w:ascii="Arial" w:hAnsi="Arial" w:cs="Arial"/>
          <w:lang w:val="en-GB"/>
        </w:rPr>
        <w:t xml:space="preserve"> </w:t>
      </w:r>
      <w:r w:rsidR="00712E01" w:rsidRPr="00C27B5B">
        <w:rPr>
          <w:rFonts w:ascii="Arial" w:hAnsi="Arial" w:cs="Arial"/>
          <w:lang w:val="en-GB"/>
        </w:rPr>
        <w:t>p</w:t>
      </w:r>
      <w:r w:rsidR="00712E01">
        <w:rPr>
          <w:rFonts w:ascii="Arial" w:hAnsi="Arial" w:cs="Arial"/>
          <w:lang w:val="en-GB"/>
        </w:rPr>
        <w:t>enitentiary</w:t>
      </w:r>
      <w:r w:rsidR="00C27B5B" w:rsidRPr="00C27B5B">
        <w:rPr>
          <w:rFonts w:ascii="Arial" w:hAnsi="Arial" w:cs="Arial"/>
          <w:lang w:val="en-GB"/>
        </w:rPr>
        <w:t xml:space="preserve"> staff</w:t>
      </w:r>
      <w:r w:rsidR="00C27B5B">
        <w:rPr>
          <w:rFonts w:ascii="Arial" w:hAnsi="Arial" w:cs="Arial"/>
          <w:lang w:val="en-GB"/>
        </w:rPr>
        <w:t xml:space="preserve">, </w:t>
      </w:r>
      <w:r w:rsidRPr="00C409D4">
        <w:rPr>
          <w:rFonts w:ascii="Arial" w:hAnsi="Arial" w:cs="Arial"/>
          <w:lang w:val="en-GB"/>
        </w:rPr>
        <w:t xml:space="preserve">to prevent racial profiling include an intersectional perspective addressing persons with disabilities and </w:t>
      </w:r>
      <w:r w:rsidR="00DA087F" w:rsidRPr="00C409D4">
        <w:rPr>
          <w:rFonts w:ascii="Arial" w:hAnsi="Arial" w:cs="Arial"/>
          <w:lang w:val="en-GB"/>
        </w:rPr>
        <w:t>contribute to enhance agents’ capacities and skills to perform their functions in full respects of the rights of persons with disabilities</w:t>
      </w:r>
      <w:r w:rsidR="00C27B5B">
        <w:rPr>
          <w:rFonts w:ascii="Arial" w:hAnsi="Arial" w:cs="Arial"/>
          <w:lang w:val="en-GB"/>
        </w:rPr>
        <w:t xml:space="preserve">, including on the provision of </w:t>
      </w:r>
      <w:r w:rsidR="00C27B5B" w:rsidRPr="00171852">
        <w:rPr>
          <w:rFonts w:ascii="Arial" w:hAnsi="Arial" w:cs="Arial"/>
          <w:lang w:val="en-GB"/>
        </w:rPr>
        <w:t>procedural accommodation (Article 13 CRPD) and reasonable accommodation in detention (Article 14.2 of the CRPD)</w:t>
      </w:r>
      <w:r w:rsidR="00171852">
        <w:rPr>
          <w:rFonts w:ascii="Arial" w:hAnsi="Arial" w:cs="Arial"/>
          <w:lang w:val="en-GB"/>
        </w:rPr>
        <w:t>; and</w:t>
      </w:r>
    </w:p>
    <w:p w14:paraId="69FA4A05" w14:textId="77777777" w:rsidR="00DA087F" w:rsidRPr="00171852" w:rsidRDefault="00DA087F" w:rsidP="00FB11BF">
      <w:pPr>
        <w:pStyle w:val="ListBullet"/>
        <w:numPr>
          <w:ilvl w:val="0"/>
          <w:numId w:val="0"/>
        </w:numPr>
        <w:spacing w:after="0" w:line="240" w:lineRule="auto"/>
        <w:ind w:left="851"/>
        <w:jc w:val="both"/>
        <w:rPr>
          <w:rFonts w:ascii="Arial" w:hAnsi="Arial" w:cs="Arial"/>
          <w:lang w:val="en-GB"/>
        </w:rPr>
      </w:pPr>
    </w:p>
    <w:p w14:paraId="615A3655" w14:textId="238C6B77" w:rsidR="00AE5414" w:rsidRPr="00C409D4" w:rsidRDefault="00DA087F" w:rsidP="00B55E85">
      <w:pPr>
        <w:pStyle w:val="ListBullet"/>
        <w:numPr>
          <w:ilvl w:val="1"/>
          <w:numId w:val="9"/>
        </w:numPr>
        <w:spacing w:after="0" w:line="240" w:lineRule="auto"/>
        <w:ind w:left="851"/>
        <w:jc w:val="both"/>
        <w:rPr>
          <w:rFonts w:ascii="Arial" w:hAnsi="Arial" w:cs="Arial"/>
          <w:b/>
        </w:rPr>
      </w:pPr>
      <w:r w:rsidRPr="00171852">
        <w:rPr>
          <w:rFonts w:ascii="Arial" w:hAnsi="Arial" w:cs="Arial"/>
          <w:lang w:val="en-GB"/>
        </w:rPr>
        <w:t xml:space="preserve">Call States to </w:t>
      </w:r>
      <w:r w:rsidR="00FB11BF" w:rsidRPr="00171852">
        <w:rPr>
          <w:rFonts w:ascii="Arial" w:hAnsi="Arial" w:cs="Arial"/>
          <w:lang w:val="en-GB"/>
        </w:rPr>
        <w:t xml:space="preserve">ensure that data collection efforts on relevant law enforcements practices (identity </w:t>
      </w:r>
      <w:r w:rsidR="00FB11BF">
        <w:rPr>
          <w:rFonts w:ascii="Arial" w:hAnsi="Arial" w:cs="Arial"/>
          <w:lang w:val="en-GB"/>
        </w:rPr>
        <w:t xml:space="preserve">checks, traffic stops, etc.) include disability disaggregation in order to better assess the impact of those practices on persons with disabilities and identify and correct patterns of </w:t>
      </w:r>
      <w:r w:rsidR="00D159F3">
        <w:rPr>
          <w:rFonts w:ascii="Arial" w:hAnsi="Arial" w:cs="Arial"/>
          <w:lang w:val="en-GB"/>
        </w:rPr>
        <w:t xml:space="preserve">intersectional </w:t>
      </w:r>
      <w:r w:rsidR="00FB11BF">
        <w:rPr>
          <w:rFonts w:ascii="Arial" w:hAnsi="Arial" w:cs="Arial"/>
          <w:lang w:val="en-GB"/>
        </w:rPr>
        <w:t>discrimination and profiling by law enforcement agents.</w:t>
      </w:r>
    </w:p>
    <w:p w14:paraId="69603D63" w14:textId="77777777" w:rsidR="00B55E85" w:rsidRDefault="00B55E85">
      <w:pPr>
        <w:spacing w:after="0" w:line="240" w:lineRule="auto"/>
        <w:rPr>
          <w:rFonts w:ascii="Arial" w:hAnsi="Arial" w:cs="Arial"/>
          <w:b/>
          <w:lang w:val="en-US"/>
        </w:rPr>
      </w:pPr>
      <w:r>
        <w:rPr>
          <w:rFonts w:ascii="Arial" w:hAnsi="Arial" w:cs="Arial"/>
          <w:b/>
          <w:lang w:val="en-US"/>
        </w:rPr>
        <w:br w:type="page"/>
      </w:r>
    </w:p>
    <w:p w14:paraId="57400159" w14:textId="760D75C9" w:rsidR="00B620B2" w:rsidRPr="00C409D4" w:rsidRDefault="00B620B2" w:rsidP="005765E4">
      <w:pPr>
        <w:spacing w:after="0" w:line="240" w:lineRule="auto"/>
        <w:jc w:val="both"/>
        <w:rPr>
          <w:rFonts w:ascii="Arial" w:hAnsi="Arial" w:cs="Arial"/>
          <w:b/>
          <w:lang w:val="en-US"/>
        </w:rPr>
      </w:pPr>
      <w:r w:rsidRPr="00C409D4">
        <w:rPr>
          <w:rFonts w:ascii="Arial" w:hAnsi="Arial" w:cs="Arial"/>
          <w:b/>
          <w:lang w:val="en-US"/>
        </w:rPr>
        <w:lastRenderedPageBreak/>
        <w:t xml:space="preserve">Contact information: </w:t>
      </w:r>
    </w:p>
    <w:p w14:paraId="75A3DA1F" w14:textId="77777777" w:rsidR="00B620B2" w:rsidRPr="00C409D4" w:rsidRDefault="00B620B2" w:rsidP="005765E4">
      <w:pPr>
        <w:spacing w:after="0" w:line="240" w:lineRule="auto"/>
        <w:jc w:val="both"/>
        <w:rPr>
          <w:rFonts w:ascii="Arial" w:hAnsi="Arial" w:cs="Arial"/>
          <w:lang w:val="en-GB"/>
        </w:rPr>
      </w:pPr>
      <w:r w:rsidRPr="00C409D4">
        <w:rPr>
          <w:rFonts w:ascii="Arial" w:hAnsi="Arial" w:cs="Arial"/>
          <w:lang w:val="en-GB"/>
        </w:rPr>
        <w:t xml:space="preserve">Juan Ignacio Pérez Bello, Human Rights Advisor, </w:t>
      </w:r>
      <w:hyperlink r:id="rId8" w:history="1">
        <w:r w:rsidRPr="00C409D4">
          <w:rPr>
            <w:rStyle w:val="Hyperlink"/>
            <w:rFonts w:ascii="Arial" w:hAnsi="Arial" w:cs="Arial"/>
            <w:lang w:val="en-GB"/>
          </w:rPr>
          <w:t>jiperezbello@ida-secretariat.org</w:t>
        </w:r>
      </w:hyperlink>
      <w:r w:rsidRPr="00C409D4">
        <w:rPr>
          <w:rFonts w:ascii="Arial" w:hAnsi="Arial" w:cs="Arial"/>
          <w:lang w:val="en-GB"/>
        </w:rPr>
        <w:t xml:space="preserve">  </w:t>
      </w:r>
    </w:p>
    <w:p w14:paraId="29F3DD03" w14:textId="77777777" w:rsidR="00B620B2" w:rsidRPr="00C409D4" w:rsidRDefault="00B620B2" w:rsidP="005765E4">
      <w:pPr>
        <w:spacing w:after="0" w:line="240" w:lineRule="auto"/>
        <w:jc w:val="both"/>
        <w:rPr>
          <w:rFonts w:ascii="Arial" w:hAnsi="Arial" w:cs="Arial"/>
          <w:lang w:val="en-GB"/>
        </w:rPr>
      </w:pPr>
      <w:r w:rsidRPr="00C409D4">
        <w:rPr>
          <w:rFonts w:ascii="Arial" w:hAnsi="Arial" w:cs="Arial"/>
          <w:lang w:val="en-GB"/>
        </w:rPr>
        <w:t>International Disability Alliance (IDA)</w:t>
      </w:r>
    </w:p>
    <w:p w14:paraId="35B001D2" w14:textId="5A6B3189" w:rsidR="00B620B2" w:rsidRPr="00C409D4" w:rsidRDefault="00B620B2" w:rsidP="005765E4">
      <w:pPr>
        <w:spacing w:after="0" w:line="240" w:lineRule="auto"/>
        <w:jc w:val="both"/>
        <w:rPr>
          <w:rFonts w:ascii="Arial" w:hAnsi="Arial" w:cs="Arial"/>
          <w:lang w:val="en-GB"/>
        </w:rPr>
      </w:pPr>
      <w:r w:rsidRPr="00C409D4">
        <w:rPr>
          <w:rFonts w:ascii="Arial" w:hAnsi="Arial" w:cs="Arial"/>
          <w:lang w:val="en-GB"/>
        </w:rPr>
        <w:t>150 Route de Ferney</w:t>
      </w:r>
      <w:r w:rsidR="00C33503">
        <w:rPr>
          <w:rFonts w:ascii="Arial" w:hAnsi="Arial" w:cs="Arial"/>
          <w:lang w:val="en-GB"/>
        </w:rPr>
        <w:t xml:space="preserve">, </w:t>
      </w:r>
      <w:r w:rsidRPr="00C409D4">
        <w:rPr>
          <w:rFonts w:ascii="Arial" w:hAnsi="Arial" w:cs="Arial"/>
          <w:lang w:val="en-GB"/>
        </w:rPr>
        <w:t>Case postale 2100</w:t>
      </w:r>
      <w:r w:rsidR="00C33503">
        <w:rPr>
          <w:rFonts w:ascii="Arial" w:hAnsi="Arial" w:cs="Arial"/>
          <w:lang w:val="en-GB"/>
        </w:rPr>
        <w:t xml:space="preserve">, </w:t>
      </w:r>
      <w:r w:rsidRPr="00C409D4">
        <w:rPr>
          <w:rFonts w:ascii="Arial" w:hAnsi="Arial" w:cs="Arial"/>
          <w:lang w:val="en-GB"/>
        </w:rPr>
        <w:t>CH-1211 Genève 2, Switzerland</w:t>
      </w:r>
    </w:p>
    <w:p w14:paraId="11572556" w14:textId="77777777" w:rsidR="00B620B2" w:rsidRPr="00C409D4" w:rsidRDefault="00B620B2" w:rsidP="005765E4">
      <w:pPr>
        <w:pStyle w:val="ListBullet"/>
        <w:numPr>
          <w:ilvl w:val="0"/>
          <w:numId w:val="0"/>
        </w:numPr>
        <w:spacing w:after="0" w:line="240" w:lineRule="auto"/>
        <w:rPr>
          <w:rFonts w:ascii="Arial" w:hAnsi="Arial" w:cs="Arial"/>
          <w:lang w:val="en-GB"/>
        </w:rPr>
      </w:pPr>
    </w:p>
    <w:sectPr w:rsidR="00B620B2" w:rsidRPr="00C409D4" w:rsidSect="002C63DA">
      <w:headerReference w:type="default" r:id="rId9"/>
      <w:footerReference w:type="even" r:id="rId10"/>
      <w:footerReference w:type="default" r:id="rId11"/>
      <w:headerReference w:type="first" r:id="rId12"/>
      <w:endnotePr>
        <w:numFmt w:val="decimal"/>
      </w:endnotePr>
      <w:pgSz w:w="11906" w:h="16838"/>
      <w:pgMar w:top="720" w:right="720" w:bottom="720" w:left="720" w:header="49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7A065" w14:textId="77777777" w:rsidR="008844B2" w:rsidRDefault="008844B2" w:rsidP="003837A5">
      <w:pPr>
        <w:spacing w:after="0" w:line="240" w:lineRule="auto"/>
      </w:pPr>
      <w:r>
        <w:separator/>
      </w:r>
    </w:p>
  </w:endnote>
  <w:endnote w:type="continuationSeparator" w:id="0">
    <w:p w14:paraId="58BA8A88" w14:textId="77777777" w:rsidR="008844B2" w:rsidRDefault="008844B2" w:rsidP="003837A5">
      <w:pPr>
        <w:spacing w:after="0" w:line="240" w:lineRule="auto"/>
      </w:pPr>
      <w:r>
        <w:continuationSeparator/>
      </w:r>
    </w:p>
  </w:endnote>
  <w:endnote w:id="1">
    <w:p w14:paraId="0C0B016F" w14:textId="77F58C95"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There is only a passing mention to “</w:t>
      </w:r>
      <w:r w:rsidRPr="0020792D">
        <w:rPr>
          <w:rFonts w:ascii="Arial" w:hAnsi="Arial" w:cs="Arial"/>
          <w:sz w:val="17"/>
          <w:szCs w:val="17"/>
          <w:lang w:val="en-GB"/>
        </w:rPr>
        <w:t>intersecting grounds” in paragraph 17, which remains very scarce.</w:t>
      </w:r>
    </w:p>
  </w:endnote>
  <w:endnote w:id="2">
    <w:p w14:paraId="2398A178" w14:textId="5C6494A6" w:rsidR="00C635EA" w:rsidRPr="0020792D" w:rsidRDefault="00C635EA">
      <w:pPr>
        <w:pStyle w:val="EndnoteText"/>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for instance the case of two deaf black advocates shot by the police in the USA, at </w:t>
      </w:r>
      <w:hyperlink r:id="rId1" w:history="1">
        <w:r w:rsidRPr="0020792D">
          <w:rPr>
            <w:rStyle w:val="Hyperlink"/>
            <w:rFonts w:ascii="Arial" w:hAnsi="Arial" w:cs="Arial"/>
            <w:sz w:val="17"/>
            <w:szCs w:val="17"/>
            <w:lang w:val="en-US"/>
          </w:rPr>
          <w:t>https://www.nbda.org/news/nbda-statement-on-ferguson-incident</w:t>
        </w:r>
      </w:hyperlink>
      <w:r w:rsidRPr="0020792D">
        <w:rPr>
          <w:rFonts w:ascii="Arial" w:hAnsi="Arial" w:cs="Arial"/>
          <w:sz w:val="17"/>
          <w:szCs w:val="17"/>
          <w:lang w:val="en-US"/>
        </w:rPr>
        <w:t xml:space="preserve">.  </w:t>
      </w:r>
    </w:p>
  </w:endnote>
  <w:endnote w:id="3">
    <w:p w14:paraId="5A634772" w14:textId="6102B8FF"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David M. Perry, PhD Lawrence Carter-Long, </w:t>
      </w:r>
      <w:r w:rsidRPr="0020792D">
        <w:rPr>
          <w:rFonts w:ascii="Arial" w:hAnsi="Arial" w:cs="Arial"/>
          <w:i/>
          <w:sz w:val="17"/>
          <w:szCs w:val="17"/>
          <w:lang w:val="en-US"/>
        </w:rPr>
        <w:t xml:space="preserve">The Ruderman </w:t>
      </w:r>
      <w:hyperlink r:id="rId2" w:history="1">
        <w:r w:rsidRPr="0020792D">
          <w:rPr>
            <w:rStyle w:val="Hyperlink"/>
            <w:rFonts w:ascii="Arial" w:hAnsi="Arial" w:cs="Arial"/>
            <w:i/>
            <w:sz w:val="17"/>
            <w:szCs w:val="17"/>
            <w:lang w:val="en-US"/>
          </w:rPr>
          <w:t>white paper</w:t>
        </w:r>
      </w:hyperlink>
      <w:r w:rsidRPr="0020792D">
        <w:rPr>
          <w:rFonts w:ascii="Arial" w:hAnsi="Arial" w:cs="Arial"/>
          <w:i/>
          <w:sz w:val="17"/>
          <w:szCs w:val="17"/>
          <w:lang w:val="en-US"/>
        </w:rPr>
        <w:t xml:space="preserve"> on media coverage of law enforcement use of force and disability: a Media Study (2013-2015) and Overview, </w:t>
      </w:r>
      <w:r w:rsidRPr="0020792D">
        <w:rPr>
          <w:rFonts w:ascii="Arial" w:hAnsi="Arial" w:cs="Arial"/>
          <w:sz w:val="17"/>
          <w:szCs w:val="17"/>
          <w:lang w:val="en-US"/>
        </w:rPr>
        <w:t xml:space="preserve">Ruderman Family Foundation, March 2016; Kelley Bouchard, </w:t>
      </w:r>
      <w:hyperlink r:id="rId3" w:history="1">
        <w:r w:rsidRPr="0020792D">
          <w:rPr>
            <w:rStyle w:val="Hyperlink"/>
            <w:rFonts w:ascii="Arial" w:hAnsi="Arial" w:cs="Arial"/>
            <w:i/>
            <w:sz w:val="17"/>
            <w:szCs w:val="17"/>
            <w:lang w:val="en-US"/>
          </w:rPr>
          <w:t>Across nation</w:t>
        </w:r>
      </w:hyperlink>
      <w:r w:rsidRPr="0020792D">
        <w:rPr>
          <w:rFonts w:ascii="Arial" w:hAnsi="Arial" w:cs="Arial"/>
          <w:i/>
          <w:sz w:val="17"/>
          <w:szCs w:val="17"/>
          <w:lang w:val="en-US"/>
        </w:rPr>
        <w:t>, unsettling acceptance when mentally ill in crisis are killed</w:t>
      </w:r>
      <w:r w:rsidRPr="0020792D">
        <w:rPr>
          <w:rFonts w:ascii="Arial" w:hAnsi="Arial" w:cs="Arial"/>
          <w:sz w:val="17"/>
          <w:szCs w:val="17"/>
          <w:lang w:val="en-US"/>
        </w:rPr>
        <w:t>, Portland Press Herald, 9 December 2012</w:t>
      </w:r>
    </w:p>
  </w:endnote>
  <w:endnote w:id="4">
    <w:p w14:paraId="2DB8CA70" w14:textId="392CCA62"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hyperlink r:id="rId4" w:history="1">
        <w:r w:rsidRPr="0020792D">
          <w:rPr>
            <w:rStyle w:val="Hyperlink"/>
            <w:rFonts w:ascii="Arial" w:hAnsi="Arial" w:cs="Arial"/>
            <w:sz w:val="17"/>
            <w:szCs w:val="17"/>
            <w:lang w:val="en-US"/>
          </w:rPr>
          <w:t>Report</w:t>
        </w:r>
      </w:hyperlink>
      <w:r w:rsidRPr="0020792D">
        <w:rPr>
          <w:rFonts w:ascii="Arial" w:hAnsi="Arial" w:cs="Arial"/>
          <w:sz w:val="17"/>
          <w:szCs w:val="17"/>
          <w:lang w:val="en-US"/>
        </w:rPr>
        <w:t xml:space="preserve"> of the Care Quality Commission Monitoring the Mental Health Act in 2018/19, Presented to Parliament pursuant to Section 120D (3) of the Mental Health Act 1983, 2020, pp. 13</w:t>
      </w:r>
    </w:p>
  </w:endnote>
  <w:endnote w:id="5">
    <w:p w14:paraId="65A966BE" w14:textId="15798B7B"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OHCHR, </w:t>
      </w:r>
      <w:hyperlink r:id="rId5" w:history="1">
        <w:r w:rsidRPr="0020792D">
          <w:rPr>
            <w:rStyle w:val="Hyperlink"/>
            <w:rFonts w:ascii="Arial" w:hAnsi="Arial" w:cs="Arial"/>
            <w:sz w:val="17"/>
            <w:szCs w:val="17"/>
            <w:lang w:val="en-US"/>
          </w:rPr>
          <w:t>A/HRC/43/27</w:t>
        </w:r>
      </w:hyperlink>
      <w:r w:rsidRPr="0020792D">
        <w:rPr>
          <w:rFonts w:ascii="Arial" w:hAnsi="Arial" w:cs="Arial"/>
          <w:sz w:val="17"/>
          <w:szCs w:val="17"/>
          <w:lang w:val="en-US"/>
        </w:rPr>
        <w:t>, paras.16-17</w:t>
      </w:r>
    </w:p>
  </w:endnote>
  <w:endnote w:id="6">
    <w:p w14:paraId="2ED76822" w14:textId="08E640E3"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Special Rapporteur on the rights of persons with disabilities, </w:t>
      </w:r>
      <w:hyperlink r:id="rId6" w:history="1">
        <w:r w:rsidRPr="0020792D">
          <w:rPr>
            <w:rStyle w:val="Hyperlink"/>
            <w:rFonts w:ascii="Arial" w:hAnsi="Arial" w:cs="Arial"/>
            <w:sz w:val="17"/>
            <w:szCs w:val="17"/>
            <w:lang w:val="en-US"/>
          </w:rPr>
          <w:t>A/HRC/40/54</w:t>
        </w:r>
      </w:hyperlink>
      <w:r w:rsidRPr="0020792D">
        <w:rPr>
          <w:rFonts w:ascii="Arial" w:hAnsi="Arial" w:cs="Arial"/>
          <w:sz w:val="17"/>
          <w:szCs w:val="17"/>
          <w:lang w:val="en-US"/>
        </w:rPr>
        <w:t>, paras. 27, 41. See also (CRPD/C/ESP/CO/2-3, para. 14(b)</w:t>
      </w:r>
    </w:p>
  </w:endnote>
  <w:endnote w:id="7">
    <w:p w14:paraId="18C2A36A" w14:textId="0547BFFB"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OHCHR, </w:t>
      </w:r>
      <w:hyperlink r:id="rId7" w:history="1">
        <w:r w:rsidRPr="0020792D">
          <w:rPr>
            <w:rStyle w:val="Hyperlink"/>
            <w:rFonts w:ascii="Arial" w:hAnsi="Arial" w:cs="Arial"/>
            <w:sz w:val="17"/>
            <w:szCs w:val="17"/>
            <w:lang w:val="en-US"/>
          </w:rPr>
          <w:t>A/HRC/43/27</w:t>
        </w:r>
      </w:hyperlink>
      <w:r w:rsidRPr="0020792D">
        <w:rPr>
          <w:rFonts w:ascii="Arial" w:hAnsi="Arial" w:cs="Arial"/>
          <w:sz w:val="17"/>
          <w:szCs w:val="17"/>
          <w:lang w:val="en-US"/>
        </w:rPr>
        <w:t>, paras. 26, 29</w:t>
      </w:r>
    </w:p>
  </w:endnote>
  <w:endnote w:id="8">
    <w:p w14:paraId="49878819" w14:textId="7437D34B"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Special Rapporteur on the rights of persons with disabilities, </w:t>
      </w:r>
      <w:hyperlink r:id="rId8" w:history="1">
        <w:r w:rsidRPr="0020792D">
          <w:rPr>
            <w:rStyle w:val="Hyperlink"/>
            <w:rFonts w:ascii="Arial" w:hAnsi="Arial" w:cs="Arial"/>
            <w:sz w:val="17"/>
            <w:szCs w:val="17"/>
            <w:lang w:val="en-US"/>
          </w:rPr>
          <w:t>A/HRC/40/54</w:t>
        </w:r>
      </w:hyperlink>
      <w:r w:rsidRPr="0020792D">
        <w:rPr>
          <w:rFonts w:ascii="Arial" w:hAnsi="Arial" w:cs="Arial"/>
          <w:sz w:val="17"/>
          <w:szCs w:val="17"/>
          <w:lang w:val="en-US"/>
        </w:rPr>
        <w:t>, para. 20</w:t>
      </w:r>
    </w:p>
  </w:endnote>
  <w:endnote w:id="9">
    <w:p w14:paraId="0DE5E8D0" w14:textId="1CB1EB58"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Special Rapporteur on the rights of persons with disabilities, </w:t>
      </w:r>
      <w:hyperlink r:id="rId9" w:history="1">
        <w:r w:rsidRPr="0020792D">
          <w:rPr>
            <w:rStyle w:val="Hyperlink"/>
            <w:rFonts w:ascii="Arial" w:hAnsi="Arial" w:cs="Arial"/>
            <w:sz w:val="17"/>
            <w:szCs w:val="17"/>
            <w:lang w:val="en-US"/>
          </w:rPr>
          <w:t>A/HRC/40/54</w:t>
        </w:r>
      </w:hyperlink>
      <w:r w:rsidRPr="0020792D">
        <w:rPr>
          <w:rFonts w:ascii="Arial" w:hAnsi="Arial" w:cs="Arial"/>
          <w:sz w:val="17"/>
          <w:szCs w:val="17"/>
          <w:lang w:val="en-US"/>
        </w:rPr>
        <w:t>, para. 34</w:t>
      </w:r>
    </w:p>
  </w:endnote>
  <w:endnote w:id="10">
    <w:p w14:paraId="3B33F8AF" w14:textId="23EF9ACB"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hyperlink r:id="rId10" w:history="1">
        <w:r w:rsidRPr="0020792D">
          <w:rPr>
            <w:rStyle w:val="Hyperlink"/>
            <w:rFonts w:ascii="Arial" w:hAnsi="Arial" w:cs="Arial"/>
            <w:sz w:val="17"/>
            <w:szCs w:val="17"/>
            <w:lang w:val="en-US"/>
          </w:rPr>
          <w:t>Message</w:t>
        </w:r>
      </w:hyperlink>
      <w:r w:rsidRPr="0020792D">
        <w:rPr>
          <w:rFonts w:ascii="Arial" w:hAnsi="Arial" w:cs="Arial"/>
          <w:sz w:val="17"/>
          <w:szCs w:val="17"/>
          <w:lang w:val="en-US"/>
        </w:rPr>
        <w:t xml:space="preserve"> from the International Disability Alliance on the killing of Nathaniel Julius in South Africa, 1 September 2020 </w:t>
      </w:r>
    </w:p>
  </w:endnote>
  <w:endnote w:id="11">
    <w:p w14:paraId="6522A91C" w14:textId="62E81AA2" w:rsidR="00C635EA" w:rsidRPr="0020792D" w:rsidRDefault="00C635EA" w:rsidP="003925ED">
      <w:pPr>
        <w:pBdr>
          <w:top w:val="nil"/>
          <w:left w:val="nil"/>
          <w:bottom w:val="nil"/>
          <w:right w:val="nil"/>
          <w:between w:val="nil"/>
        </w:pBdr>
        <w:spacing w:after="0" w:line="240" w:lineRule="auto"/>
        <w:rPr>
          <w:rFonts w:ascii="Arial" w:hAnsi="Arial" w:cs="Arial"/>
          <w:color w:val="000000"/>
          <w:sz w:val="17"/>
          <w:szCs w:val="17"/>
          <w:lang w:val="en-GB"/>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r w:rsidRPr="0020792D">
        <w:rPr>
          <w:rFonts w:ascii="Arial" w:hAnsi="Arial" w:cs="Arial"/>
          <w:color w:val="000000"/>
          <w:sz w:val="17"/>
          <w:szCs w:val="17"/>
          <w:lang w:val="en-GB"/>
        </w:rPr>
        <w:t xml:space="preserve">Talila A. Lewis, </w:t>
      </w:r>
      <w:hyperlink r:id="rId11" w:history="1">
        <w:r w:rsidRPr="0020792D">
          <w:rPr>
            <w:rFonts w:ascii="Arial" w:hAnsi="Arial" w:cs="Arial"/>
            <w:color w:val="000000"/>
            <w:sz w:val="17"/>
            <w:szCs w:val="17"/>
            <w:lang w:val="en-GB"/>
          </w:rPr>
          <w:t>Police Brutality and Deaf People</w:t>
        </w:r>
      </w:hyperlink>
      <w:r w:rsidRPr="0020792D">
        <w:rPr>
          <w:rFonts w:ascii="Arial" w:hAnsi="Arial" w:cs="Arial"/>
          <w:color w:val="000000"/>
          <w:sz w:val="17"/>
          <w:szCs w:val="17"/>
          <w:lang w:val="en-GB"/>
        </w:rPr>
        <w:t>, A</w:t>
      </w:r>
      <w:r w:rsidRPr="0020792D">
        <w:rPr>
          <w:rFonts w:ascii="Arial" w:eastAsia="Arial" w:hAnsi="Arial" w:cs="Arial"/>
          <w:color w:val="000000"/>
          <w:sz w:val="17"/>
          <w:szCs w:val="17"/>
          <w:lang w:val="en-GB"/>
        </w:rPr>
        <w:t xml:space="preserve">merican </w:t>
      </w:r>
      <w:r w:rsidRPr="0020792D">
        <w:rPr>
          <w:rFonts w:ascii="Arial" w:hAnsi="Arial" w:cs="Arial"/>
          <w:color w:val="000000"/>
          <w:sz w:val="17"/>
          <w:szCs w:val="17"/>
          <w:lang w:val="en-GB"/>
        </w:rPr>
        <w:t>C</w:t>
      </w:r>
      <w:r w:rsidRPr="0020792D">
        <w:rPr>
          <w:rFonts w:ascii="Arial" w:eastAsia="Arial" w:hAnsi="Arial" w:cs="Arial"/>
          <w:color w:val="000000"/>
          <w:sz w:val="17"/>
          <w:szCs w:val="17"/>
          <w:lang w:val="en-GB"/>
        </w:rPr>
        <w:t xml:space="preserve">ivil </w:t>
      </w:r>
      <w:r w:rsidRPr="0020792D">
        <w:rPr>
          <w:rFonts w:ascii="Arial" w:hAnsi="Arial" w:cs="Arial"/>
          <w:color w:val="000000"/>
          <w:sz w:val="17"/>
          <w:szCs w:val="17"/>
          <w:lang w:val="en-GB"/>
        </w:rPr>
        <w:t>L</w:t>
      </w:r>
      <w:r w:rsidRPr="0020792D">
        <w:rPr>
          <w:rFonts w:ascii="Arial" w:eastAsia="Arial" w:hAnsi="Arial" w:cs="Arial"/>
          <w:color w:val="000000"/>
          <w:sz w:val="17"/>
          <w:szCs w:val="17"/>
          <w:lang w:val="en-GB"/>
        </w:rPr>
        <w:t xml:space="preserve">iberties </w:t>
      </w:r>
      <w:r w:rsidRPr="0020792D">
        <w:rPr>
          <w:rFonts w:ascii="Arial" w:hAnsi="Arial" w:cs="Arial"/>
          <w:color w:val="000000"/>
          <w:sz w:val="17"/>
          <w:szCs w:val="17"/>
          <w:lang w:val="en-GB"/>
        </w:rPr>
        <w:t>U</w:t>
      </w:r>
      <w:r w:rsidRPr="0020792D">
        <w:rPr>
          <w:rFonts w:ascii="Arial" w:eastAsia="Arial" w:hAnsi="Arial" w:cs="Arial"/>
          <w:color w:val="000000"/>
          <w:sz w:val="17"/>
          <w:szCs w:val="17"/>
          <w:lang w:val="en-GB"/>
        </w:rPr>
        <w:t>nion</w:t>
      </w:r>
      <w:r w:rsidRPr="0020792D">
        <w:rPr>
          <w:rFonts w:ascii="Arial" w:hAnsi="Arial" w:cs="Arial"/>
          <w:color w:val="000000"/>
          <w:sz w:val="17"/>
          <w:szCs w:val="17"/>
          <w:lang w:val="en-GB"/>
        </w:rPr>
        <w:t xml:space="preserve">, 13 March 2014. </w:t>
      </w:r>
    </w:p>
  </w:endnote>
  <w:endnote w:id="12">
    <w:p w14:paraId="12E41010" w14:textId="76191E4C"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Angela Frederick and Dara Shifrer</w:t>
      </w:r>
      <w:r w:rsidRPr="0020792D">
        <w:rPr>
          <w:rFonts w:ascii="Arial" w:hAnsi="Arial" w:cs="Arial"/>
          <w:i/>
          <w:sz w:val="17"/>
          <w:szCs w:val="17"/>
          <w:lang w:val="en-US"/>
        </w:rPr>
        <w:t xml:space="preserve">, </w:t>
      </w:r>
      <w:hyperlink r:id="rId12" w:history="1">
        <w:r w:rsidRPr="0020792D">
          <w:rPr>
            <w:rStyle w:val="Hyperlink"/>
            <w:rFonts w:ascii="Arial" w:hAnsi="Arial" w:cs="Arial"/>
            <w:i/>
            <w:sz w:val="17"/>
            <w:szCs w:val="17"/>
            <w:lang w:val="en-US"/>
          </w:rPr>
          <w:t>Race and Disability</w:t>
        </w:r>
      </w:hyperlink>
      <w:r w:rsidRPr="0020792D">
        <w:rPr>
          <w:rFonts w:ascii="Arial" w:hAnsi="Arial" w:cs="Arial"/>
          <w:i/>
          <w:sz w:val="17"/>
          <w:szCs w:val="17"/>
          <w:lang w:val="en-US"/>
        </w:rPr>
        <w:t xml:space="preserve">: From Analogy to Intersectionality, </w:t>
      </w:r>
      <w:r w:rsidRPr="0020792D">
        <w:rPr>
          <w:rFonts w:ascii="Arial" w:hAnsi="Arial" w:cs="Arial"/>
          <w:sz w:val="17"/>
          <w:szCs w:val="17"/>
          <w:lang w:val="en-US"/>
        </w:rPr>
        <w:t>Sociology of Race and Ethnicity 5(2) 200-214, July 2019, p. 201, 209 ("disabled people experience unique, yet often hidden, patterns of hate crimes and police brutality")</w:t>
      </w:r>
    </w:p>
  </w:endnote>
  <w:endnote w:id="13">
    <w:p w14:paraId="5248DFFF" w14:textId="31730DEB"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David M. Perry, PhD Lawrence Carter-Long, </w:t>
      </w:r>
      <w:r w:rsidRPr="0020792D">
        <w:rPr>
          <w:rFonts w:ascii="Arial" w:hAnsi="Arial" w:cs="Arial"/>
          <w:i/>
          <w:sz w:val="17"/>
          <w:szCs w:val="17"/>
          <w:lang w:val="en-US"/>
        </w:rPr>
        <w:t xml:space="preserve">The Ruderman </w:t>
      </w:r>
      <w:hyperlink r:id="rId13" w:history="1">
        <w:r w:rsidRPr="0020792D">
          <w:rPr>
            <w:rStyle w:val="Hyperlink"/>
            <w:rFonts w:ascii="Arial" w:hAnsi="Arial" w:cs="Arial"/>
            <w:i/>
            <w:sz w:val="17"/>
            <w:szCs w:val="17"/>
            <w:lang w:val="en-US"/>
          </w:rPr>
          <w:t>white paper</w:t>
        </w:r>
      </w:hyperlink>
      <w:r w:rsidRPr="0020792D">
        <w:rPr>
          <w:rFonts w:ascii="Arial" w:hAnsi="Arial" w:cs="Arial"/>
          <w:i/>
          <w:sz w:val="17"/>
          <w:szCs w:val="17"/>
          <w:lang w:val="en-US"/>
        </w:rPr>
        <w:t xml:space="preserve"> on media coverage of law enforcement use of force and disability: a Media Study (2013-2015) and Overview, </w:t>
      </w:r>
      <w:r w:rsidRPr="0020792D">
        <w:rPr>
          <w:rFonts w:ascii="Arial" w:hAnsi="Arial" w:cs="Arial"/>
          <w:sz w:val="17"/>
          <w:szCs w:val="17"/>
          <w:lang w:val="en-US"/>
        </w:rPr>
        <w:t xml:space="preserve">Ruderman Family Foundation, March 2016; Kelley Bouchard, </w:t>
      </w:r>
      <w:r w:rsidRPr="0020792D">
        <w:rPr>
          <w:rFonts w:ascii="Arial" w:hAnsi="Arial" w:cs="Arial"/>
          <w:i/>
          <w:sz w:val="17"/>
          <w:szCs w:val="17"/>
          <w:lang w:val="en-US"/>
        </w:rPr>
        <w:t>Across nation, unsettling acceptance when mentally ill in crisis are killed</w:t>
      </w:r>
      <w:r w:rsidRPr="0020792D">
        <w:rPr>
          <w:rFonts w:ascii="Arial" w:hAnsi="Arial" w:cs="Arial"/>
          <w:sz w:val="17"/>
          <w:szCs w:val="17"/>
          <w:lang w:val="en-US"/>
        </w:rPr>
        <w:t>, Portland Press Herald, 9 December 2012</w:t>
      </w:r>
    </w:p>
  </w:endnote>
  <w:endnote w:id="14">
    <w:p w14:paraId="50C61D97" w14:textId="0149C88E"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Susan Kelley, Cornell Chronic: </w:t>
      </w:r>
      <w:r w:rsidRPr="0020792D">
        <w:rPr>
          <w:rFonts w:ascii="Arial" w:hAnsi="Arial" w:cs="Arial"/>
          <w:i/>
          <w:sz w:val="17"/>
          <w:szCs w:val="17"/>
          <w:lang w:val="en-US"/>
        </w:rPr>
        <w:t>People with disabilities more likely to be arrested</w:t>
      </w:r>
      <w:r w:rsidRPr="0020792D">
        <w:rPr>
          <w:rFonts w:ascii="Arial" w:hAnsi="Arial" w:cs="Arial"/>
          <w:sz w:val="17"/>
          <w:szCs w:val="17"/>
          <w:lang w:val="en-US"/>
        </w:rPr>
        <w:t xml:space="preserve"> in </w:t>
      </w:r>
      <w:r w:rsidRPr="0020792D">
        <w:rPr>
          <w:rFonts w:ascii="Arial" w:hAnsi="Arial" w:cs="Arial"/>
          <w:sz w:val="17"/>
          <w:szCs w:val="17"/>
          <w:lang w:val="en-GB"/>
        </w:rPr>
        <w:t>the </w:t>
      </w:r>
      <w:hyperlink r:id="rId14" w:history="1">
        <w:r w:rsidRPr="0020792D">
          <w:rPr>
            <w:rStyle w:val="Hyperlink"/>
            <w:rFonts w:ascii="Arial" w:hAnsi="Arial" w:cs="Arial"/>
            <w:sz w:val="17"/>
            <w:szCs w:val="17"/>
            <w:lang w:val="en-GB"/>
          </w:rPr>
          <w:t>American Journal of Public Health</w:t>
        </w:r>
      </w:hyperlink>
      <w:r w:rsidRPr="0020792D">
        <w:rPr>
          <w:rFonts w:ascii="Arial" w:hAnsi="Arial" w:cs="Arial"/>
          <w:sz w:val="17"/>
          <w:szCs w:val="17"/>
          <w:lang w:val="en-US"/>
        </w:rPr>
        <w:t>, 30 November 2017.</w:t>
      </w:r>
    </w:p>
  </w:endnote>
  <w:endnote w:id="15">
    <w:p w14:paraId="65F047E6" w14:textId="5C6807EC"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Mental Health Act 1983, </w:t>
      </w:r>
      <w:hyperlink r:id="rId15" w:history="1">
        <w:r w:rsidRPr="0020792D">
          <w:rPr>
            <w:rStyle w:val="Hyperlink"/>
            <w:rFonts w:ascii="Arial" w:hAnsi="Arial" w:cs="Arial"/>
            <w:sz w:val="17"/>
            <w:szCs w:val="17"/>
            <w:lang w:val="en-US"/>
          </w:rPr>
          <w:t>Section 136</w:t>
        </w:r>
      </w:hyperlink>
      <w:r w:rsidRPr="0020792D">
        <w:rPr>
          <w:rFonts w:ascii="Arial" w:hAnsi="Arial" w:cs="Arial"/>
          <w:sz w:val="17"/>
          <w:szCs w:val="17"/>
          <w:lang w:val="en-US"/>
        </w:rPr>
        <w:t xml:space="preserve">. </w:t>
      </w:r>
    </w:p>
  </w:endnote>
  <w:endnote w:id="16">
    <w:p w14:paraId="4E033A4A" w14:textId="500C5509"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hyperlink r:id="rId16" w:history="1">
        <w:r w:rsidRPr="0020792D">
          <w:rPr>
            <w:rStyle w:val="Hyperlink"/>
            <w:rFonts w:ascii="Arial" w:hAnsi="Arial" w:cs="Arial"/>
            <w:sz w:val="17"/>
            <w:szCs w:val="17"/>
            <w:lang w:val="en-US"/>
          </w:rPr>
          <w:t>Report</w:t>
        </w:r>
      </w:hyperlink>
      <w:r w:rsidRPr="0020792D">
        <w:rPr>
          <w:rFonts w:ascii="Arial" w:hAnsi="Arial" w:cs="Arial"/>
          <w:sz w:val="17"/>
          <w:szCs w:val="17"/>
          <w:lang w:val="en-US"/>
        </w:rPr>
        <w:t xml:space="preserve"> of the Care Quality Commission Monitoring the Mental Health Act in 2018/19, Presented to Parliament pursuant to Section 120D (3) of the Mental Health Act 1983, 2020, pp. 13</w:t>
      </w:r>
    </w:p>
  </w:endnote>
  <w:endnote w:id="17">
    <w:p w14:paraId="6CE00CC3" w14:textId="223D3D09"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Phoebe Barnett, Euan Mackay, et al, </w:t>
      </w:r>
      <w:hyperlink r:id="rId17" w:history="1">
        <w:r w:rsidRPr="0020792D">
          <w:rPr>
            <w:rStyle w:val="Hyperlink"/>
            <w:rFonts w:ascii="Arial" w:hAnsi="Arial" w:cs="Arial"/>
            <w:i/>
            <w:sz w:val="17"/>
            <w:szCs w:val="17"/>
            <w:lang w:val="en-US"/>
          </w:rPr>
          <w:t>Ethnic variations in compulsory detention under the Mental Health Act</w:t>
        </w:r>
      </w:hyperlink>
      <w:r w:rsidRPr="0020792D">
        <w:rPr>
          <w:rFonts w:ascii="Arial" w:hAnsi="Arial" w:cs="Arial"/>
          <w:i/>
          <w:sz w:val="17"/>
          <w:szCs w:val="17"/>
          <w:lang w:val="en-US"/>
        </w:rPr>
        <w:t>: a systematic review and meta-analysis of international data</w:t>
      </w:r>
      <w:r w:rsidRPr="0020792D">
        <w:rPr>
          <w:rFonts w:ascii="Arial" w:hAnsi="Arial" w:cs="Arial"/>
          <w:sz w:val="17"/>
          <w:szCs w:val="17"/>
          <w:lang w:val="en-US"/>
        </w:rPr>
        <w:t>, Lancet Psychiatry 2019; 6: 305–17, 4 March 2019, p. 305</w:t>
      </w:r>
    </w:p>
  </w:endnote>
  <w:endnote w:id="18">
    <w:p w14:paraId="6A56738C" w14:textId="7AD8EA26"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Phoebe Barnett, Euan Mackay, et al, </w:t>
      </w:r>
      <w:hyperlink r:id="rId18" w:history="1">
        <w:r w:rsidRPr="0020792D">
          <w:rPr>
            <w:rStyle w:val="Hyperlink"/>
            <w:rFonts w:ascii="Arial" w:hAnsi="Arial" w:cs="Arial"/>
            <w:i/>
            <w:sz w:val="17"/>
            <w:szCs w:val="17"/>
            <w:lang w:val="en-US"/>
          </w:rPr>
          <w:t>Ethnic variations in compulsory detention under the Mental Health Act</w:t>
        </w:r>
      </w:hyperlink>
      <w:r w:rsidRPr="0020792D">
        <w:rPr>
          <w:rFonts w:ascii="Arial" w:hAnsi="Arial" w:cs="Arial"/>
          <w:i/>
          <w:sz w:val="17"/>
          <w:szCs w:val="17"/>
          <w:lang w:val="en-US"/>
        </w:rPr>
        <w:t>: a systematic review and meta-analysis of international data</w:t>
      </w:r>
      <w:r w:rsidRPr="0020792D">
        <w:rPr>
          <w:rFonts w:ascii="Arial" w:hAnsi="Arial" w:cs="Arial"/>
          <w:sz w:val="17"/>
          <w:szCs w:val="17"/>
          <w:lang w:val="en-US"/>
        </w:rPr>
        <w:t xml:space="preserve">, Lancet Psychiatry 2019; 6: 305–17, </w:t>
      </w:r>
      <w:r w:rsidRPr="0020792D">
        <w:rPr>
          <w:rFonts w:ascii="Arial" w:eastAsia="MS Gothic" w:hAnsi="Arial" w:cs="Arial"/>
          <w:sz w:val="17"/>
          <w:szCs w:val="17"/>
          <w:lang w:val="en-US"/>
        </w:rPr>
        <w:t xml:space="preserve">4 </w:t>
      </w:r>
      <w:r w:rsidRPr="0020792D">
        <w:rPr>
          <w:rFonts w:ascii="Arial" w:hAnsi="Arial" w:cs="Arial"/>
          <w:sz w:val="17"/>
          <w:szCs w:val="17"/>
          <w:lang w:val="en-US"/>
        </w:rPr>
        <w:t>March 2019, p. 305. Emphasis added.</w:t>
      </w:r>
    </w:p>
  </w:endnote>
  <w:endnote w:id="19">
    <w:p w14:paraId="6ED5ECF5" w14:textId="77777777" w:rsidR="00C635EA" w:rsidRPr="0020792D" w:rsidRDefault="00C635EA" w:rsidP="003925ED">
      <w:pPr>
        <w:pStyle w:val="EndnoteText"/>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hyperlink r:id="rId19" w:anchor="gid=1519942027" w:history="1">
        <w:r w:rsidRPr="0020792D">
          <w:rPr>
            <w:rStyle w:val="Hyperlink"/>
            <w:rFonts w:ascii="Arial" w:hAnsi="Arial" w:cs="Arial"/>
            <w:sz w:val="17"/>
            <w:szCs w:val="17"/>
            <w:lang w:val="en-GB"/>
          </w:rPr>
          <w:t>Log of Police Violence Against Deaf People</w:t>
        </w:r>
      </w:hyperlink>
      <w:r w:rsidRPr="0020792D">
        <w:rPr>
          <w:rFonts w:ascii="Arial" w:hAnsi="Arial" w:cs="Arial"/>
          <w:sz w:val="17"/>
          <w:szCs w:val="17"/>
          <w:lang w:val="en-GB"/>
        </w:rPr>
        <w:t>,  in</w:t>
      </w:r>
      <w:r w:rsidRPr="0020792D">
        <w:rPr>
          <w:rFonts w:ascii="Arial" w:hAnsi="Arial" w:cs="Arial"/>
          <w:i/>
          <w:sz w:val="17"/>
          <w:szCs w:val="17"/>
          <w:lang w:val="en-GB"/>
        </w:rPr>
        <w:t xml:space="preserve"> </w:t>
      </w:r>
      <w:r w:rsidRPr="0020792D">
        <w:rPr>
          <w:rFonts w:ascii="Arial" w:hAnsi="Arial" w:cs="Arial"/>
          <w:sz w:val="17"/>
          <w:szCs w:val="17"/>
          <w:lang w:val="en-GB"/>
        </w:rPr>
        <w:t>Helping Educate to Advance the Rights of Deaf Communities (</w:t>
      </w:r>
      <w:hyperlink r:id="rId20" w:history="1">
        <w:r w:rsidRPr="0020792D">
          <w:rPr>
            <w:rStyle w:val="Hyperlink"/>
            <w:rFonts w:ascii="Arial" w:hAnsi="Arial" w:cs="Arial"/>
            <w:sz w:val="17"/>
            <w:szCs w:val="17"/>
            <w:lang w:val="en-GB"/>
          </w:rPr>
          <w:t>HEARD</w:t>
        </w:r>
      </w:hyperlink>
      <w:r w:rsidRPr="0020792D">
        <w:rPr>
          <w:rFonts w:ascii="Arial" w:hAnsi="Arial" w:cs="Arial"/>
          <w:sz w:val="17"/>
          <w:szCs w:val="17"/>
          <w:lang w:val="en-GB"/>
        </w:rPr>
        <w:t>)</w:t>
      </w:r>
    </w:p>
  </w:endnote>
  <w:endnote w:id="20">
    <w:p w14:paraId="1FF075FB" w14:textId="77777777" w:rsidR="00C635EA" w:rsidRPr="0020792D" w:rsidRDefault="00C635EA" w:rsidP="003925ED">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r w:rsidRPr="0020792D">
        <w:rPr>
          <w:rFonts w:ascii="Arial" w:hAnsi="Arial" w:cs="Arial"/>
          <w:sz w:val="17"/>
          <w:szCs w:val="17"/>
          <w:lang w:val="en-GB"/>
        </w:rPr>
        <w:t>Sanchez, who often used a short metal pipe to communicate, waved it in the air after an officer arrived at his home to investigate a hit-and-run incident. The officer ordered Sanchez to drop the pipe and he did not comply. A second officer appeared to provide backup, and he discharged his gun. When it comes to the deaf community, officers’ gaps in cultural competency have led to strain and miscommunication—and, at times, the use of deadly force.</w:t>
      </w:r>
    </w:p>
  </w:endnote>
  <w:endnote w:id="21">
    <w:p w14:paraId="426C366A" w14:textId="29DAF20A" w:rsidR="00C635EA" w:rsidRPr="0020792D" w:rsidRDefault="00C635EA">
      <w:pPr>
        <w:pStyle w:val="EndnoteText"/>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w:t>
      </w:r>
      <w:r w:rsidRPr="0020792D">
        <w:rPr>
          <w:rFonts w:ascii="Arial" w:hAnsi="Arial" w:cs="Arial"/>
          <w:sz w:val="17"/>
          <w:szCs w:val="17"/>
          <w:lang w:val="en-GB"/>
        </w:rPr>
        <w:t xml:space="preserve">Amiel Fields-Meyer, </w:t>
      </w:r>
      <w:hyperlink r:id="rId21" w:history="1">
        <w:r w:rsidRPr="0020792D">
          <w:rPr>
            <w:rStyle w:val="Hyperlink"/>
            <w:rFonts w:ascii="Arial" w:hAnsi="Arial" w:cs="Arial"/>
            <w:i/>
            <w:sz w:val="17"/>
            <w:szCs w:val="17"/>
            <w:lang w:val="en-GB"/>
          </w:rPr>
          <w:t>When the Police Officers Don’t Know About the ADA</w:t>
        </w:r>
      </w:hyperlink>
      <w:r w:rsidRPr="0020792D">
        <w:rPr>
          <w:rFonts w:ascii="Arial" w:hAnsi="Arial" w:cs="Arial"/>
          <w:i/>
          <w:sz w:val="17"/>
          <w:szCs w:val="17"/>
          <w:lang w:val="en-GB"/>
        </w:rPr>
        <w:t xml:space="preserve">, </w:t>
      </w:r>
      <w:r w:rsidRPr="0020792D">
        <w:rPr>
          <w:rFonts w:ascii="Arial" w:hAnsi="Arial" w:cs="Arial"/>
          <w:sz w:val="17"/>
          <w:szCs w:val="17"/>
          <w:lang w:val="en-GB"/>
        </w:rPr>
        <w:t>The Atlantic, 26 September 2017.</w:t>
      </w:r>
    </w:p>
  </w:endnote>
  <w:endnote w:id="22">
    <w:p w14:paraId="0F38122C" w14:textId="1A247968" w:rsidR="00C635EA" w:rsidRPr="0020792D" w:rsidRDefault="00C635EA" w:rsidP="0096716F">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Samantha Calero, Kristina Kopić, et al, </w:t>
      </w:r>
      <w:r w:rsidRPr="0020792D">
        <w:rPr>
          <w:rFonts w:ascii="Arial" w:hAnsi="Arial" w:cs="Arial"/>
          <w:i/>
          <w:sz w:val="17"/>
          <w:szCs w:val="17"/>
          <w:lang w:val="en-US"/>
        </w:rPr>
        <w:t xml:space="preserve">The Ruderman </w:t>
      </w:r>
      <w:hyperlink r:id="rId22" w:history="1">
        <w:r w:rsidRPr="0020792D">
          <w:rPr>
            <w:rStyle w:val="Hyperlink"/>
            <w:rFonts w:ascii="Arial" w:hAnsi="Arial" w:cs="Arial"/>
            <w:i/>
            <w:sz w:val="17"/>
            <w:szCs w:val="17"/>
            <w:lang w:val="en-US"/>
          </w:rPr>
          <w:t>white paper</w:t>
        </w:r>
      </w:hyperlink>
      <w:r w:rsidRPr="0020792D">
        <w:rPr>
          <w:rFonts w:ascii="Arial" w:hAnsi="Arial" w:cs="Arial"/>
          <w:i/>
          <w:sz w:val="17"/>
          <w:szCs w:val="17"/>
          <w:lang w:val="en-US"/>
        </w:rPr>
        <w:t xml:space="preserve"> on the problematization and criminalization of children and young adults with non-apparent disabilities,</w:t>
      </w:r>
      <w:r w:rsidRPr="0020792D">
        <w:rPr>
          <w:rFonts w:ascii="Arial" w:hAnsi="Arial" w:cs="Arial"/>
          <w:sz w:val="17"/>
          <w:szCs w:val="17"/>
          <w:lang w:val="en-US"/>
        </w:rPr>
        <w:t xml:space="preserve"> Ruderman Family Foundation, August 2017, p. 1</w:t>
      </w:r>
    </w:p>
  </w:endnote>
  <w:endnote w:id="23">
    <w:p w14:paraId="751DD7A1" w14:textId="03B20E47"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Kelley Bouchard, </w:t>
      </w:r>
      <w:hyperlink r:id="rId23" w:history="1">
        <w:r w:rsidRPr="0020792D">
          <w:rPr>
            <w:rStyle w:val="Hyperlink"/>
            <w:rFonts w:ascii="Arial" w:hAnsi="Arial" w:cs="Arial"/>
            <w:i/>
            <w:sz w:val="17"/>
            <w:szCs w:val="17"/>
            <w:lang w:val="en-US"/>
          </w:rPr>
          <w:t>Across nation</w:t>
        </w:r>
      </w:hyperlink>
      <w:r w:rsidRPr="0020792D">
        <w:rPr>
          <w:rFonts w:ascii="Arial" w:hAnsi="Arial" w:cs="Arial"/>
          <w:i/>
          <w:sz w:val="17"/>
          <w:szCs w:val="17"/>
          <w:lang w:val="en-US"/>
        </w:rPr>
        <w:t>, unsettling acceptance when mentally ill in crisis are killed</w:t>
      </w:r>
      <w:r w:rsidRPr="0020792D">
        <w:rPr>
          <w:rFonts w:ascii="Arial" w:hAnsi="Arial" w:cs="Arial"/>
          <w:sz w:val="17"/>
          <w:szCs w:val="17"/>
          <w:lang w:val="en-US"/>
        </w:rPr>
        <w:t>, Portland Press Herald, 9 December 2012</w:t>
      </w:r>
    </w:p>
  </w:endnote>
  <w:endnote w:id="24">
    <w:p w14:paraId="14E63DCB" w14:textId="33CAC690"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Human Rights Watch, </w:t>
      </w:r>
      <w:r w:rsidRPr="0020792D">
        <w:rPr>
          <w:rFonts w:ascii="Arial" w:hAnsi="Arial" w:cs="Arial"/>
          <w:i/>
          <w:sz w:val="17"/>
          <w:szCs w:val="17"/>
          <w:lang w:val="en-US"/>
        </w:rPr>
        <w:t xml:space="preserve">“I Needed Help, Instead I Was Punished” Abuse and Neglect of Prisoners with Disabilities in Australia”, </w:t>
      </w:r>
      <w:r w:rsidRPr="0020792D">
        <w:rPr>
          <w:rFonts w:ascii="Arial" w:hAnsi="Arial" w:cs="Arial"/>
          <w:sz w:val="17"/>
          <w:szCs w:val="17"/>
          <w:lang w:val="en-US"/>
        </w:rPr>
        <w:t>2018, p. 1.</w:t>
      </w:r>
    </w:p>
  </w:endnote>
  <w:endnote w:id="25">
    <w:p w14:paraId="5FDD436D" w14:textId="7E68D50C"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OHCHR, </w:t>
      </w:r>
      <w:hyperlink r:id="rId24" w:history="1">
        <w:r w:rsidRPr="0020792D">
          <w:rPr>
            <w:rStyle w:val="Hyperlink"/>
            <w:rFonts w:ascii="Arial" w:hAnsi="Arial" w:cs="Arial"/>
            <w:sz w:val="17"/>
            <w:szCs w:val="17"/>
            <w:lang w:val="en-US"/>
          </w:rPr>
          <w:t>A/HRC/43/27</w:t>
        </w:r>
      </w:hyperlink>
      <w:r w:rsidRPr="0020792D">
        <w:rPr>
          <w:rFonts w:ascii="Arial" w:hAnsi="Arial" w:cs="Arial"/>
          <w:sz w:val="17"/>
          <w:szCs w:val="17"/>
          <w:lang w:val="en-US"/>
        </w:rPr>
        <w:t>, para. 4</w:t>
      </w:r>
    </w:p>
  </w:endnote>
  <w:endnote w:id="26">
    <w:p w14:paraId="09474AEB" w14:textId="60A87A61" w:rsidR="00C635EA" w:rsidRPr="0020792D" w:rsidRDefault="00C635EA">
      <w:pPr>
        <w:pStyle w:val="EndnoteText"/>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hyperlink r:id="rId25">
        <w:r w:rsidRPr="0020792D">
          <w:rPr>
            <w:rStyle w:val="Hyperlink"/>
            <w:rFonts w:ascii="Arial" w:hAnsi="Arial" w:cs="Arial"/>
            <w:sz w:val="17"/>
            <w:szCs w:val="17"/>
            <w:lang w:val="en-GB"/>
          </w:rPr>
          <w:t>Deaf in Prisons Fact Sheets</w:t>
        </w:r>
      </w:hyperlink>
      <w:r w:rsidRPr="0020792D">
        <w:rPr>
          <w:rFonts w:ascii="Arial" w:hAnsi="Arial" w:cs="Arial"/>
          <w:sz w:val="17"/>
          <w:szCs w:val="17"/>
          <w:lang w:val="en-GB"/>
        </w:rPr>
        <w:t>, Helping Education to Advance the Rights of the Deaf (HEARD).</w:t>
      </w:r>
    </w:p>
  </w:endnote>
  <w:endnote w:id="27">
    <w:p w14:paraId="3D1CD736" w14:textId="5353E4A4" w:rsidR="00C635EA" w:rsidRPr="0020792D" w:rsidRDefault="00C635EA">
      <w:pPr>
        <w:pStyle w:val="EndnoteText"/>
        <w:rPr>
          <w:rFonts w:ascii="Arial" w:hAnsi="Arial" w:cs="Arial"/>
          <w:color w:val="000000"/>
          <w:sz w:val="17"/>
          <w:szCs w:val="17"/>
          <w:lang w:val="en-GB"/>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r w:rsidRPr="0020792D">
        <w:rPr>
          <w:rFonts w:ascii="Arial" w:hAnsi="Arial" w:cs="Arial"/>
          <w:color w:val="000000"/>
          <w:sz w:val="17"/>
          <w:szCs w:val="17"/>
          <w:lang w:val="en-GB"/>
        </w:rPr>
        <w:t xml:space="preserve">Sara Novic, </w:t>
      </w:r>
      <w:hyperlink r:id="rId26" w:anchor=":~:text=Being%20a%20deaf%20inmate%20is,inmates%2C%20guards%20or%20their%20families." w:history="1">
        <w:r w:rsidRPr="0020792D">
          <w:rPr>
            <w:rFonts w:ascii="Arial" w:hAnsi="Arial" w:cs="Arial"/>
            <w:i/>
            <w:color w:val="000000"/>
            <w:sz w:val="17"/>
            <w:szCs w:val="17"/>
            <w:lang w:val="en-GB"/>
          </w:rPr>
          <w:t>Deaf prisoners are trapped in frightening isolation</w:t>
        </w:r>
      </w:hyperlink>
      <w:r w:rsidRPr="0020792D">
        <w:rPr>
          <w:rFonts w:ascii="Arial" w:hAnsi="Arial" w:cs="Arial"/>
          <w:i/>
          <w:color w:val="000000"/>
          <w:sz w:val="17"/>
          <w:szCs w:val="17"/>
          <w:lang w:val="en-GB"/>
        </w:rPr>
        <w:t>,</w:t>
      </w:r>
      <w:r w:rsidRPr="0020792D">
        <w:rPr>
          <w:rFonts w:ascii="Arial" w:hAnsi="Arial" w:cs="Arial"/>
          <w:color w:val="000000"/>
          <w:sz w:val="17"/>
          <w:szCs w:val="17"/>
          <w:lang w:val="en-GB"/>
        </w:rPr>
        <w:t xml:space="preserve"> CNN, 21 June 2018. </w:t>
      </w:r>
    </w:p>
  </w:endnote>
  <w:endnote w:id="28">
    <w:p w14:paraId="0BCE57D4" w14:textId="73A9AA8F" w:rsidR="00C635EA" w:rsidRPr="0020792D" w:rsidRDefault="00C635EA" w:rsidP="00A31620">
      <w:pPr>
        <w:pStyle w:val="EndnoteText"/>
        <w:rPr>
          <w:rFonts w:ascii="Arial" w:hAnsi="Arial" w:cs="Arial"/>
          <w:sz w:val="17"/>
          <w:szCs w:val="17"/>
          <w:lang w:val="en-GB"/>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hyperlink r:id="rId27">
        <w:r w:rsidRPr="0020792D">
          <w:rPr>
            <w:rStyle w:val="Hyperlink"/>
            <w:rFonts w:ascii="Arial" w:hAnsi="Arial" w:cs="Arial"/>
            <w:sz w:val="17"/>
            <w:szCs w:val="17"/>
            <w:lang w:val="en-GB"/>
          </w:rPr>
          <w:t>Deaf in Prisons Fact Sheets</w:t>
        </w:r>
      </w:hyperlink>
      <w:r w:rsidRPr="0020792D">
        <w:rPr>
          <w:rFonts w:ascii="Arial" w:hAnsi="Arial" w:cs="Arial"/>
          <w:sz w:val="17"/>
          <w:szCs w:val="17"/>
          <w:lang w:val="en-GB"/>
        </w:rPr>
        <w:t>, Helping Education to Advance the Rights of the Deaf (HEARD)</w:t>
      </w:r>
      <w:r w:rsidRPr="0020792D">
        <w:rPr>
          <w:rFonts w:ascii="Arial" w:hAnsi="Arial" w:cs="Arial"/>
          <w:i/>
          <w:sz w:val="17"/>
          <w:szCs w:val="17"/>
          <w:lang w:val="en-GB"/>
        </w:rPr>
        <w:t>;</w:t>
      </w:r>
      <w:r w:rsidRPr="0020792D">
        <w:rPr>
          <w:rFonts w:ascii="Arial" w:hAnsi="Arial" w:cs="Arial"/>
          <w:sz w:val="17"/>
          <w:szCs w:val="17"/>
          <w:lang w:val="en-GB"/>
        </w:rPr>
        <w:t xml:space="preserve"> Vernon, McCay. "</w:t>
      </w:r>
      <w:hyperlink r:id="rId28" w:history="1">
        <w:r w:rsidRPr="0020792D">
          <w:rPr>
            <w:rStyle w:val="Hyperlink"/>
            <w:rFonts w:ascii="Arial" w:hAnsi="Arial" w:cs="Arial"/>
            <w:i/>
            <w:sz w:val="17"/>
            <w:szCs w:val="17"/>
            <w:lang w:val="en-US"/>
          </w:rPr>
          <w:t>The Horror of Being Deaf and in Prison."</w:t>
        </w:r>
      </w:hyperlink>
      <w:r w:rsidRPr="0020792D">
        <w:rPr>
          <w:rFonts w:ascii="Arial" w:hAnsi="Arial" w:cs="Arial"/>
          <w:sz w:val="17"/>
          <w:szCs w:val="17"/>
          <w:lang w:val="en-GB"/>
        </w:rPr>
        <w:t xml:space="preserve"> American Annals of the Deaf 155, no. 3 (2010): 311-21. Accessed October 19, 2020. </w:t>
      </w:r>
    </w:p>
    <w:p w14:paraId="315681A9" w14:textId="060C1B83" w:rsidR="00C635EA" w:rsidRPr="0020792D" w:rsidRDefault="00C635EA" w:rsidP="00A31620">
      <w:pPr>
        <w:pStyle w:val="EndnoteText"/>
        <w:rPr>
          <w:rFonts w:ascii="Arial" w:hAnsi="Arial" w:cs="Arial"/>
          <w:sz w:val="17"/>
          <w:szCs w:val="17"/>
          <w:lang w:val="en-US"/>
        </w:rPr>
      </w:pPr>
      <w:r w:rsidRPr="0020792D">
        <w:rPr>
          <w:rFonts w:ascii="Arial" w:hAnsi="Arial" w:cs="Arial"/>
          <w:sz w:val="17"/>
          <w:szCs w:val="17"/>
          <w:vertAlign w:val="superscript"/>
        </w:rPr>
        <w:endnoteRef/>
      </w:r>
      <w:r w:rsidRPr="0020792D">
        <w:rPr>
          <w:rFonts w:ascii="Arial" w:hAnsi="Arial" w:cs="Arial"/>
          <w:sz w:val="17"/>
          <w:szCs w:val="17"/>
          <w:lang w:val="en-GB"/>
        </w:rPr>
        <w:t xml:space="preserve"> “</w:t>
      </w:r>
      <w:hyperlink r:id="rId29" w:history="1">
        <w:r w:rsidRPr="0020792D">
          <w:rPr>
            <w:rStyle w:val="Hyperlink"/>
            <w:rFonts w:ascii="Arial" w:hAnsi="Arial" w:cs="Arial"/>
            <w:i/>
            <w:sz w:val="17"/>
            <w:szCs w:val="17"/>
            <w:lang w:val="en-GB"/>
          </w:rPr>
          <w:t>Throw away the key? How Britain’s prisons don’t rehabilitate Deaf people</w:t>
        </w:r>
      </w:hyperlink>
      <w:r w:rsidRPr="0020792D">
        <w:rPr>
          <w:rFonts w:ascii="Arial" w:hAnsi="Arial" w:cs="Arial"/>
          <w:i/>
          <w:sz w:val="17"/>
          <w:szCs w:val="17"/>
          <w:lang w:val="en-GB"/>
        </w:rPr>
        <w:t>”,</w:t>
      </w:r>
      <w:r w:rsidRPr="0020792D">
        <w:rPr>
          <w:rFonts w:ascii="Arial" w:hAnsi="Arial" w:cs="Arial"/>
          <w:sz w:val="17"/>
          <w:szCs w:val="17"/>
          <w:lang w:val="en-GB"/>
        </w:rPr>
        <w:t xml:space="preserve"> report of the British Deaf Association, 2016</w:t>
      </w:r>
    </w:p>
  </w:endnote>
  <w:endnote w:id="29">
    <w:p w14:paraId="24EE392E" w14:textId="2CD59E6C"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CERD/C/KGZ/CO/8-10, para. 16.</w:t>
      </w:r>
    </w:p>
  </w:endnote>
  <w:endnote w:id="30">
    <w:p w14:paraId="6C4E954B" w14:textId="17220B7A" w:rsidR="00C635EA" w:rsidRPr="0020792D" w:rsidRDefault="00C635EA" w:rsidP="00FB4A49">
      <w:pPr>
        <w:pStyle w:val="EndnoteText"/>
        <w:jc w:val="both"/>
        <w:rPr>
          <w:rFonts w:ascii="Arial" w:hAnsi="Arial" w:cs="Arial"/>
          <w:sz w:val="17"/>
          <w:szCs w:val="17"/>
          <w:lang w:val="en-GB"/>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CERD/C/PER/CO/22-23, para. </w:t>
      </w:r>
      <w:r w:rsidRPr="0020792D">
        <w:rPr>
          <w:rFonts w:ascii="Arial" w:hAnsi="Arial" w:cs="Arial"/>
          <w:sz w:val="17"/>
          <w:szCs w:val="17"/>
          <w:lang w:val="en-GB"/>
        </w:rPr>
        <w:t xml:space="preserve">35. See also CERD </w:t>
      </w:r>
      <w:bookmarkStart w:id="0" w:name="_Toc70517010"/>
      <w:bookmarkStart w:id="1" w:name="_Toc70389052"/>
      <w:bookmarkStart w:id="2" w:name="_Toc481083453"/>
      <w:r w:rsidRPr="0020792D">
        <w:rPr>
          <w:rFonts w:ascii="Arial" w:hAnsi="Arial" w:cs="Arial"/>
          <w:sz w:val="17"/>
          <w:szCs w:val="17"/>
          <w:lang w:val="en-GB"/>
        </w:rPr>
        <w:t>General recommendation XXV on gender-related dimensions</w:t>
      </w:r>
      <w:r w:rsidRPr="0020792D">
        <w:rPr>
          <w:rFonts w:ascii="Arial" w:hAnsi="Arial" w:cs="Arial"/>
          <w:sz w:val="17"/>
          <w:szCs w:val="17"/>
          <w:lang w:val="en-GB"/>
        </w:rPr>
        <w:br/>
        <w:t>of racial discrimination</w:t>
      </w:r>
      <w:bookmarkEnd w:id="0"/>
      <w:bookmarkEnd w:id="1"/>
      <w:bookmarkEnd w:id="2"/>
      <w:r w:rsidRPr="0020792D">
        <w:rPr>
          <w:rFonts w:ascii="Arial" w:hAnsi="Arial" w:cs="Arial"/>
          <w:sz w:val="17"/>
          <w:szCs w:val="17"/>
          <w:lang w:val="en-GB"/>
        </w:rPr>
        <w:t>, notably para. 2.</w:t>
      </w:r>
    </w:p>
  </w:endnote>
  <w:endnote w:id="31">
    <w:p w14:paraId="4169CB81" w14:textId="5F5F618E" w:rsidR="00C635EA" w:rsidRPr="0020792D" w:rsidRDefault="00C635EA" w:rsidP="00FB4A49">
      <w:pPr>
        <w:pStyle w:val="EndnoteText"/>
        <w:jc w:val="both"/>
        <w:rPr>
          <w:rFonts w:ascii="Arial" w:hAnsi="Arial" w:cs="Arial"/>
          <w:sz w:val="17"/>
          <w:szCs w:val="17"/>
          <w:lang w:val="en-GB"/>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w:t>
      </w:r>
      <w:r w:rsidRPr="0020792D">
        <w:rPr>
          <w:rFonts w:ascii="Arial" w:hAnsi="Arial" w:cs="Arial"/>
          <w:sz w:val="17"/>
          <w:szCs w:val="17"/>
          <w:lang w:val="en-GB"/>
        </w:rPr>
        <w:t>CERD/C/JPN/CO/10-11, para. 26. See also CERD General recommendation XXX on discrimination against non-citizens.</w:t>
      </w:r>
    </w:p>
  </w:endnote>
  <w:endnote w:id="32">
    <w:p w14:paraId="3135AF1A" w14:textId="052108E8" w:rsidR="00C635EA" w:rsidRPr="0020792D" w:rsidRDefault="00C635EA" w:rsidP="00FB4A49">
      <w:pPr>
        <w:pStyle w:val="EndnoteText"/>
        <w:jc w:val="both"/>
        <w:rPr>
          <w:rFonts w:ascii="Arial" w:hAnsi="Arial" w:cs="Arial"/>
          <w:sz w:val="17"/>
          <w:szCs w:val="17"/>
          <w:lang w:val="en-CH"/>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w:t>
      </w:r>
      <w:r w:rsidRPr="0020792D">
        <w:rPr>
          <w:rFonts w:ascii="Arial" w:hAnsi="Arial" w:cs="Arial"/>
          <w:sz w:val="17"/>
          <w:szCs w:val="17"/>
          <w:lang w:val="en-CH"/>
        </w:rPr>
        <w:t>CERD/C/IRL/CO/5-9</w:t>
      </w:r>
      <w:r w:rsidRPr="0020792D">
        <w:rPr>
          <w:rFonts w:ascii="Arial" w:hAnsi="Arial" w:cs="Arial"/>
          <w:sz w:val="17"/>
          <w:szCs w:val="17"/>
          <w:lang w:val="en-US"/>
        </w:rPr>
        <w:t>, para. 30.</w:t>
      </w:r>
      <w:r w:rsidRPr="0020792D">
        <w:rPr>
          <w:rFonts w:ascii="Arial" w:hAnsi="Arial" w:cs="Arial"/>
          <w:sz w:val="17"/>
          <w:szCs w:val="17"/>
          <w:lang w:val="en-CH"/>
        </w:rPr>
        <w:t xml:space="preserve"> </w:t>
      </w:r>
    </w:p>
  </w:endnote>
  <w:endnote w:id="33">
    <w:p w14:paraId="2B3B1F27" w14:textId="7C4D83E9"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CERD/C/KGZ/CO/8-10, para. 16.</w:t>
      </w:r>
    </w:p>
  </w:endnote>
  <w:endnote w:id="34">
    <w:p w14:paraId="186ED0CA" w14:textId="7D782499"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w:t>
      </w:r>
      <w:r w:rsidRPr="0020792D">
        <w:rPr>
          <w:rFonts w:ascii="Arial" w:hAnsi="Arial" w:cs="Arial"/>
          <w:sz w:val="17"/>
          <w:szCs w:val="17"/>
          <w:lang w:val="en-GB"/>
        </w:rPr>
        <w:t>CERD/C/SWE/CO/22-23, para. 10; and CERD/C/GTM/CO/16-17, para. 35.</w:t>
      </w:r>
    </w:p>
  </w:endnote>
  <w:endnote w:id="35">
    <w:p w14:paraId="11C9C726" w14:textId="5A8E208D"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w:t>
      </w:r>
      <w:r w:rsidRPr="0020792D">
        <w:rPr>
          <w:rFonts w:ascii="Arial" w:hAnsi="Arial" w:cs="Arial"/>
          <w:sz w:val="17"/>
          <w:szCs w:val="17"/>
          <w:lang w:val="en-GB"/>
        </w:rPr>
        <w:t>CERD/C/GTM/CO/16-17, para. 35.</w:t>
      </w:r>
    </w:p>
  </w:endnote>
  <w:endnote w:id="36">
    <w:p w14:paraId="7CE407C4" w14:textId="05303F75" w:rsidR="00C635EA" w:rsidRPr="0020792D" w:rsidRDefault="00C635EA" w:rsidP="00FB4A49">
      <w:pPr>
        <w:pStyle w:val="EndnoteText"/>
        <w:jc w:val="both"/>
        <w:rPr>
          <w:rFonts w:ascii="Arial" w:hAnsi="Arial" w:cs="Arial"/>
          <w:sz w:val="17"/>
          <w:szCs w:val="17"/>
          <w:lang w:val="en-GB"/>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w:t>
      </w:r>
      <w:r w:rsidRPr="0020792D">
        <w:rPr>
          <w:rFonts w:ascii="Arial" w:hAnsi="Arial" w:cs="Arial"/>
          <w:sz w:val="17"/>
          <w:szCs w:val="17"/>
          <w:lang w:val="en-GB"/>
        </w:rPr>
        <w:t xml:space="preserve">CERD Committee’s draft general recommendation 36 “Preventing and combating racial profiling”, para. 16. </w:t>
      </w:r>
    </w:p>
  </w:endnote>
  <w:endnote w:id="37">
    <w:p w14:paraId="0AB8117A" w14:textId="118A5900"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CRPD Committee, General comment No. 6 (2018) on equality and nondiscrimination (26 April 2018) CRPD/C/GC/6, paras. 25 and 26.</w:t>
      </w:r>
    </w:p>
  </w:endnote>
  <w:endnote w:id="38">
    <w:p w14:paraId="38428100" w14:textId="2E6637EC" w:rsidR="00C635EA" w:rsidRPr="0020792D" w:rsidRDefault="00C635EA" w:rsidP="00FB4A49">
      <w:pPr>
        <w:pStyle w:val="EndnoteText"/>
        <w:jc w:val="both"/>
        <w:rPr>
          <w:rFonts w:ascii="Arial" w:hAnsi="Arial" w:cs="Arial"/>
          <w:sz w:val="17"/>
          <w:szCs w:val="17"/>
          <w:lang w:val="en-CH"/>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CRPD Committee, General comment No. 6 (2018) on equality and nondiscrimination (26 April 2018) CRPD/C/GC/6, para. 25(d) and 51. See also, CRPD Committee, UN Special Envoy on Disability and Accessibility and Special Rapporteur on the rights of persons with disabilities, </w:t>
      </w:r>
      <w:r w:rsidRPr="0020792D">
        <w:rPr>
          <w:rFonts w:ascii="Arial" w:hAnsi="Arial" w:cs="Arial"/>
          <w:i/>
          <w:iCs/>
          <w:sz w:val="17"/>
          <w:szCs w:val="17"/>
          <w:lang w:val="en-CH"/>
        </w:rPr>
        <w:t>International Principles</w:t>
      </w:r>
      <w:r w:rsidRPr="0020792D">
        <w:rPr>
          <w:rFonts w:ascii="Arial" w:hAnsi="Arial" w:cs="Arial"/>
          <w:i/>
          <w:iCs/>
          <w:sz w:val="17"/>
          <w:szCs w:val="17"/>
          <w:lang w:val="en-US"/>
        </w:rPr>
        <w:t xml:space="preserve"> </w:t>
      </w:r>
      <w:r w:rsidRPr="0020792D">
        <w:rPr>
          <w:rFonts w:ascii="Arial" w:hAnsi="Arial" w:cs="Arial"/>
          <w:i/>
          <w:iCs/>
          <w:sz w:val="17"/>
          <w:szCs w:val="17"/>
          <w:lang w:val="en-CH"/>
        </w:rPr>
        <w:t>and Guidelines on Access to Justice for Persons with Disabilities</w:t>
      </w:r>
      <w:r w:rsidRPr="0020792D">
        <w:rPr>
          <w:rFonts w:ascii="Arial" w:hAnsi="Arial" w:cs="Arial"/>
          <w:sz w:val="17"/>
          <w:szCs w:val="17"/>
          <w:lang w:val="en-US"/>
        </w:rPr>
        <w:t>, Principle 3.</w:t>
      </w:r>
      <w:r w:rsidRPr="0020792D">
        <w:rPr>
          <w:rFonts w:ascii="Arial" w:hAnsi="Arial" w:cs="Arial"/>
          <w:sz w:val="17"/>
          <w:szCs w:val="17"/>
          <w:lang w:val="en-CH"/>
        </w:rPr>
        <w:t xml:space="preserve"> </w:t>
      </w:r>
    </w:p>
  </w:endnote>
  <w:endnote w:id="39">
    <w:p w14:paraId="1CD930E3" w14:textId="2122841B"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CRPD Committee, General comment No. 6 (2018) on equality and nondiscrimination (26 April 2018) CRPD/C/GC/6, para. 19.</w:t>
      </w:r>
    </w:p>
  </w:endnote>
  <w:endnote w:id="40">
    <w:p w14:paraId="03F3638F" w14:textId="1475C2EA"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CRPD/C/HTI/CO/1, para. 15 (b).</w:t>
      </w:r>
    </w:p>
  </w:endnote>
  <w:endnote w:id="41">
    <w:p w14:paraId="0C7262B4" w14:textId="04C3345F"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w:t>
      </w:r>
      <w:r w:rsidRPr="0020792D">
        <w:rPr>
          <w:rFonts w:ascii="Arial" w:hAnsi="Arial" w:cs="Arial"/>
          <w:sz w:val="17"/>
          <w:szCs w:val="17"/>
          <w:lang w:val="x-none"/>
        </w:rPr>
        <w:t>CRPD/C/IND/CO/1</w:t>
      </w:r>
      <w:r w:rsidRPr="0020792D">
        <w:rPr>
          <w:rFonts w:ascii="Arial" w:hAnsi="Arial" w:cs="Arial"/>
          <w:sz w:val="17"/>
          <w:szCs w:val="17"/>
          <w:lang w:val="en-US"/>
        </w:rPr>
        <w:t>, para. 19(b).</w:t>
      </w:r>
    </w:p>
  </w:endnote>
  <w:endnote w:id="42">
    <w:p w14:paraId="6DED5BB1" w14:textId="6E261FA5"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CRPD Committee, General comment No. 7 (2018) </w:t>
      </w:r>
      <w:r w:rsidRPr="0020792D">
        <w:rPr>
          <w:rFonts w:ascii="Arial" w:hAnsi="Arial" w:cs="Arial"/>
          <w:sz w:val="17"/>
          <w:szCs w:val="17"/>
          <w:lang w:val="en-CH"/>
        </w:rPr>
        <w:t>on the participation of persons with disabilities, including children with disabilities, through their representative organizations, in the implementation and monitoring of the Convention</w:t>
      </w:r>
      <w:r w:rsidRPr="0020792D">
        <w:rPr>
          <w:rFonts w:ascii="Arial" w:hAnsi="Arial" w:cs="Arial"/>
          <w:sz w:val="17"/>
          <w:szCs w:val="17"/>
          <w:lang w:val="en-US"/>
        </w:rPr>
        <w:t>.</w:t>
      </w:r>
    </w:p>
  </w:endnote>
  <w:endnote w:id="43">
    <w:p w14:paraId="02F8611D" w14:textId="63B194FE"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CRPD/C/AUS/CO/2-3, para. 26(f), identifying </w:t>
      </w:r>
      <w:r w:rsidRPr="0020792D">
        <w:rPr>
          <w:rFonts w:ascii="Arial" w:hAnsi="Arial" w:cs="Arial"/>
          <w:sz w:val="17"/>
          <w:szCs w:val="17"/>
          <w:lang w:val="en-GB"/>
        </w:rPr>
        <w:t>police and prison officers</w:t>
      </w:r>
      <w:r w:rsidRPr="0020792D">
        <w:rPr>
          <w:rFonts w:ascii="Arial" w:hAnsi="Arial" w:cs="Arial"/>
          <w:sz w:val="17"/>
          <w:szCs w:val="17"/>
          <w:lang w:val="en-US"/>
        </w:rPr>
        <w:t xml:space="preserve"> as target audience of this kind of trainings. See also CRPD/C/MMR/CO/1, 26(f).</w:t>
      </w:r>
    </w:p>
  </w:endnote>
  <w:endnote w:id="44">
    <w:p w14:paraId="67C3339A" w14:textId="6176B5C1" w:rsidR="00C635EA" w:rsidRPr="0020792D" w:rsidRDefault="00C635EA" w:rsidP="00FB4A49">
      <w:pPr>
        <w:pStyle w:val="EndnoteText"/>
        <w:jc w:val="both"/>
        <w:rPr>
          <w:rFonts w:ascii="Arial" w:hAnsi="Arial" w:cs="Arial"/>
          <w:sz w:val="17"/>
          <w:szCs w:val="17"/>
          <w:lang w:val="en-US"/>
        </w:rPr>
      </w:pPr>
      <w:r w:rsidRPr="0020792D">
        <w:rPr>
          <w:rStyle w:val="EndnoteReference"/>
          <w:rFonts w:ascii="Arial" w:hAnsi="Arial" w:cs="Arial"/>
          <w:sz w:val="17"/>
          <w:szCs w:val="17"/>
        </w:rPr>
        <w:endnoteRef/>
      </w:r>
      <w:r w:rsidRPr="0020792D">
        <w:rPr>
          <w:rFonts w:ascii="Arial" w:hAnsi="Arial" w:cs="Arial"/>
          <w:sz w:val="17"/>
          <w:szCs w:val="17"/>
          <w:lang w:val="en-US"/>
        </w:rPr>
        <w:t xml:space="preserve"> See e.g. CRPD/C/ALB/CO/1, para. 52(b).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0137318"/>
      <w:docPartObj>
        <w:docPartGallery w:val="Page Numbers (Bottom of Page)"/>
        <w:docPartUnique/>
      </w:docPartObj>
    </w:sdtPr>
    <w:sdtEndPr>
      <w:rPr>
        <w:rStyle w:val="PageNumber"/>
      </w:rPr>
    </w:sdtEndPr>
    <w:sdtContent>
      <w:p w14:paraId="3158E779" w14:textId="44CAE690" w:rsidR="00C635EA" w:rsidRDefault="00C635EA" w:rsidP="00C63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BBD46" w14:textId="77777777" w:rsidR="00C635EA" w:rsidRDefault="00C635EA" w:rsidP="00132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4095358"/>
      <w:docPartObj>
        <w:docPartGallery w:val="Page Numbers (Bottom of Page)"/>
        <w:docPartUnique/>
      </w:docPartObj>
    </w:sdtPr>
    <w:sdtEndPr>
      <w:rPr>
        <w:rStyle w:val="PageNumber"/>
      </w:rPr>
    </w:sdtEndPr>
    <w:sdtContent>
      <w:p w14:paraId="010298DF" w14:textId="2DC4F9D3" w:rsidR="00C635EA" w:rsidRDefault="00C635EA" w:rsidP="00C63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AF5A4" w14:textId="5F347AD4" w:rsidR="00C635EA" w:rsidRPr="00CB03D3" w:rsidRDefault="00C635EA" w:rsidP="00132B9C">
    <w:pPr>
      <w:pStyle w:val="Footer"/>
      <w:ind w:left="-630" w:right="360"/>
      <w:jc w:val="center"/>
      <w:rPr>
        <w:rFonts w:ascii="Arial" w:hAnsi="Arial" w:cs="Arial"/>
        <w:b/>
        <w:color w:val="808080" w:themeColor="background1" w:themeShade="8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ED2A" w14:textId="77777777" w:rsidR="008844B2" w:rsidRDefault="008844B2" w:rsidP="003837A5">
      <w:pPr>
        <w:spacing w:after="0" w:line="240" w:lineRule="auto"/>
      </w:pPr>
      <w:r>
        <w:separator/>
      </w:r>
    </w:p>
  </w:footnote>
  <w:footnote w:type="continuationSeparator" w:id="0">
    <w:p w14:paraId="62F1D144" w14:textId="77777777" w:rsidR="008844B2" w:rsidRDefault="008844B2" w:rsidP="0038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418B" w14:textId="77777777" w:rsidR="00C635EA" w:rsidRDefault="00C635EA">
    <w:pPr>
      <w:pStyle w:val="Header"/>
    </w:pPr>
    <w:r>
      <w:rPr>
        <w:noProof/>
        <w:lang w:val="es-ES" w:eastAsia="es-ES"/>
      </w:rPr>
      <w:drawing>
        <wp:anchor distT="0" distB="0" distL="114300" distR="114300" simplePos="0" relativeHeight="251659264" behindDoc="0" locked="0" layoutInCell="1" allowOverlap="1" wp14:anchorId="78408914" wp14:editId="0713DB60">
          <wp:simplePos x="0" y="0"/>
          <wp:positionH relativeFrom="column">
            <wp:posOffset>-457200</wp:posOffset>
          </wp:positionH>
          <wp:positionV relativeFrom="paragraph">
            <wp:posOffset>-286789</wp:posOffset>
          </wp:positionV>
          <wp:extent cx="2286000" cy="952500"/>
          <wp:effectExtent l="0" t="0" r="0" b="0"/>
          <wp:wrapTight wrapText="bothSides">
            <wp:wrapPolygon edited="0">
              <wp:start x="4080" y="1728"/>
              <wp:lineTo x="1200" y="4608"/>
              <wp:lineTo x="960" y="11520"/>
              <wp:lineTo x="1920" y="12096"/>
              <wp:lineTo x="1200" y="14976"/>
              <wp:lineTo x="1440" y="17280"/>
              <wp:lineTo x="3600" y="19584"/>
              <wp:lineTo x="4800" y="19584"/>
              <wp:lineTo x="13680" y="18432"/>
              <wp:lineTo x="18000" y="16128"/>
              <wp:lineTo x="17760" y="12096"/>
              <wp:lineTo x="20880" y="6912"/>
              <wp:lineTo x="20160" y="4032"/>
              <wp:lineTo x="5760" y="1728"/>
              <wp:lineTo x="4080" y="1728"/>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p>
  <w:p w14:paraId="04FD5441" w14:textId="77777777" w:rsidR="00C635EA" w:rsidRDefault="00C635EA" w:rsidP="00955ACE">
    <w:pPr>
      <w:spacing w:after="0" w:line="240" w:lineRule="auto"/>
      <w:jc w:val="right"/>
      <w:rPr>
        <w:rFonts w:ascii="Arial" w:hAnsi="Arial" w:cs="Arial"/>
        <w:sz w:val="18"/>
        <w:szCs w:val="28"/>
        <w:lang w:val="en-US"/>
      </w:rPr>
    </w:pPr>
    <w:bookmarkStart w:id="3" w:name="_top"/>
    <w:bookmarkEnd w:id="3"/>
  </w:p>
  <w:p w14:paraId="05960487" w14:textId="77777777" w:rsidR="00C635EA" w:rsidRDefault="00C635EA" w:rsidP="00955ACE">
    <w:pPr>
      <w:spacing w:after="0" w:line="240" w:lineRule="auto"/>
      <w:jc w:val="right"/>
      <w:rPr>
        <w:rFonts w:ascii="Arial" w:hAnsi="Arial" w:cs="Arial"/>
        <w:sz w:val="18"/>
        <w:szCs w:val="28"/>
        <w:lang w:val="en-US"/>
      </w:rPr>
    </w:pPr>
  </w:p>
  <w:p w14:paraId="67386A62" w14:textId="77777777" w:rsidR="00C635EA" w:rsidRPr="00CB03D3" w:rsidRDefault="00C635EA" w:rsidP="00955ACE">
    <w:pPr>
      <w:spacing w:after="0" w:line="240" w:lineRule="auto"/>
      <w:jc w:val="right"/>
      <w:rPr>
        <w:rFonts w:ascii="Arial" w:hAnsi="Arial" w:cs="Arial"/>
        <w:color w:val="808080" w:themeColor="background1" w:themeShade="80"/>
        <w:sz w:val="18"/>
        <w:szCs w:val="28"/>
        <w:lang w:val="en-US"/>
      </w:rPr>
    </w:pPr>
  </w:p>
  <w:p w14:paraId="7A562C68" w14:textId="77777777" w:rsidR="00C635EA" w:rsidRDefault="00C6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9B3D" w14:textId="2CA6967C" w:rsidR="00C635EA" w:rsidRDefault="00C635EA" w:rsidP="00B334E1">
    <w:pPr>
      <w:pStyle w:val="Footer"/>
      <w:tabs>
        <w:tab w:val="clear" w:pos="9026"/>
        <w:tab w:val="right" w:pos="8931"/>
      </w:tabs>
      <w:ind w:left="-426" w:right="-334"/>
      <w:jc w:val="center"/>
      <w:rPr>
        <w:rFonts w:ascii="Arial" w:hAnsi="Arial" w:cs="Arial"/>
        <w:color w:val="2E52A3"/>
        <w:sz w:val="24"/>
        <w:szCs w:val="24"/>
        <w:lang w:val="en-US"/>
      </w:rPr>
    </w:pPr>
    <w:r>
      <w:rPr>
        <w:noProof/>
        <w:lang w:val="es-ES" w:eastAsia="es-ES"/>
      </w:rPr>
      <w:drawing>
        <wp:anchor distT="0" distB="0" distL="114300" distR="114300" simplePos="0" relativeHeight="251661312" behindDoc="0" locked="0" layoutInCell="1" allowOverlap="1" wp14:anchorId="01BF2EF0" wp14:editId="76B4AE40">
          <wp:simplePos x="0" y="0"/>
          <wp:positionH relativeFrom="column">
            <wp:posOffset>2118338</wp:posOffset>
          </wp:positionH>
          <wp:positionV relativeFrom="paragraph">
            <wp:posOffset>-296129</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558096E2" w14:textId="3A668D9E" w:rsidR="00C635EA" w:rsidRDefault="00C635EA" w:rsidP="00B334E1">
    <w:pPr>
      <w:pStyle w:val="Footer"/>
      <w:tabs>
        <w:tab w:val="clear" w:pos="9026"/>
        <w:tab w:val="right" w:pos="8931"/>
      </w:tabs>
      <w:ind w:left="-426" w:right="-334"/>
      <w:jc w:val="center"/>
      <w:rPr>
        <w:rFonts w:ascii="Arial" w:hAnsi="Arial" w:cs="Arial"/>
        <w:color w:val="2E52A3"/>
        <w:sz w:val="24"/>
        <w:szCs w:val="24"/>
        <w:lang w:val="en-US"/>
      </w:rPr>
    </w:pPr>
  </w:p>
  <w:p w14:paraId="68378B7E" w14:textId="77777777" w:rsidR="00C635EA" w:rsidRDefault="00C635EA" w:rsidP="00B334E1">
    <w:pPr>
      <w:pStyle w:val="Footer"/>
      <w:tabs>
        <w:tab w:val="clear" w:pos="9026"/>
        <w:tab w:val="right" w:pos="8931"/>
      </w:tabs>
      <w:ind w:left="-426" w:right="-334"/>
      <w:jc w:val="center"/>
      <w:rPr>
        <w:rFonts w:ascii="Arial" w:hAnsi="Arial" w:cs="Arial"/>
        <w:color w:val="2E52A3"/>
        <w:sz w:val="24"/>
        <w:szCs w:val="24"/>
        <w:lang w:val="en-US"/>
      </w:rPr>
    </w:pPr>
  </w:p>
  <w:p w14:paraId="148BDCBF" w14:textId="77777777" w:rsidR="00C635EA" w:rsidRDefault="00C635EA" w:rsidP="00B334E1">
    <w:pPr>
      <w:pStyle w:val="Footer"/>
      <w:tabs>
        <w:tab w:val="clear" w:pos="9026"/>
        <w:tab w:val="right" w:pos="8931"/>
      </w:tabs>
      <w:ind w:left="-426" w:right="-334"/>
      <w:jc w:val="center"/>
      <w:rPr>
        <w:rFonts w:ascii="Arial" w:hAnsi="Arial" w:cs="Arial"/>
        <w:color w:val="2E52A3"/>
        <w:sz w:val="24"/>
        <w:szCs w:val="24"/>
        <w:lang w:val="en-US"/>
      </w:rPr>
    </w:pPr>
  </w:p>
  <w:p w14:paraId="1ECD1B18" w14:textId="0DE7E6BF" w:rsidR="00C635EA" w:rsidRDefault="00C635EA"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African Disability Forum, Arab Organization of Persons with Disabilities,</w:t>
    </w:r>
    <w:r>
      <w:rPr>
        <w:rFonts w:ascii="Arial" w:hAnsi="Arial" w:cs="Arial"/>
        <w:color w:val="2E52A3"/>
        <w:sz w:val="24"/>
        <w:szCs w:val="24"/>
        <w:lang w:val="en-US"/>
      </w:rPr>
      <w:t xml:space="preserve"> ASEAN Disability Forum, </w:t>
    </w:r>
    <w:r w:rsidRPr="0012004C">
      <w:rPr>
        <w:rFonts w:ascii="Arial" w:hAnsi="Arial" w:cs="Arial"/>
        <w:color w:val="2E52A3"/>
        <w:sz w:val="24"/>
        <w:szCs w:val="24"/>
        <w:lang w:val="en-US"/>
      </w:rPr>
      <w:t>Down Syndrome International,</w:t>
    </w:r>
    <w:r>
      <w:rPr>
        <w:rFonts w:ascii="Arial" w:hAnsi="Arial" w:cs="Arial"/>
        <w:color w:val="2E52A3"/>
        <w:sz w:val="24"/>
        <w:szCs w:val="24"/>
        <w:lang w:val="en-US"/>
      </w:rPr>
      <w:t xml:space="preserve"> European Disability Forum, Inclusion International,</w:t>
    </w:r>
  </w:p>
  <w:p w14:paraId="3D9527DC" w14:textId="0218D073" w:rsidR="00C635EA" w:rsidRDefault="00C635EA"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International Federation of Hard of Hearing People,</w:t>
    </w:r>
    <w:r>
      <w:rPr>
        <w:rFonts w:ascii="Arial" w:hAnsi="Arial" w:cs="Arial"/>
        <w:color w:val="2E52A3"/>
        <w:sz w:val="24"/>
        <w:szCs w:val="24"/>
        <w:lang w:val="en-US"/>
      </w:rPr>
      <w:t xml:space="preserve"> </w:t>
    </w:r>
    <w:r w:rsidRPr="0012004C">
      <w:rPr>
        <w:rFonts w:ascii="Arial" w:hAnsi="Arial" w:cs="Arial"/>
        <w:bCs/>
        <w:color w:val="2E52A3"/>
        <w:sz w:val="24"/>
        <w:szCs w:val="24"/>
        <w:lang w:val="en-US"/>
      </w:rPr>
      <w:t>International Federation for Spina Bifida and Hydrocephalus</w:t>
    </w:r>
    <w:r w:rsidRPr="0012004C">
      <w:rPr>
        <w:rFonts w:ascii="Arial" w:hAnsi="Arial" w:cs="Arial"/>
        <w:color w:val="2E52A3"/>
        <w:sz w:val="24"/>
        <w:szCs w:val="24"/>
        <w:lang w:val="en-US"/>
      </w:rPr>
      <w:t>, Latin American Network of Non-Governmental Organizations of Persons with Disabilities and their Families, Pacific Disability Forum, World Blind Union, World Federation of the Deaf,</w:t>
    </w:r>
    <w:r>
      <w:rPr>
        <w:rFonts w:ascii="Arial" w:hAnsi="Arial" w:cs="Arial"/>
        <w:color w:val="2E52A3"/>
        <w:sz w:val="24"/>
        <w:szCs w:val="24"/>
        <w:lang w:val="en-US"/>
      </w:rPr>
      <w:t xml:space="preserve"> </w:t>
    </w:r>
    <w:r w:rsidRPr="0012004C">
      <w:rPr>
        <w:rFonts w:ascii="Arial" w:hAnsi="Arial" w:cs="Arial"/>
        <w:color w:val="2E52A3"/>
        <w:sz w:val="24"/>
        <w:szCs w:val="24"/>
        <w:lang w:val="en-US"/>
      </w:rPr>
      <w:t>World Federation of the DeafBlind,</w:t>
    </w:r>
    <w:r>
      <w:rPr>
        <w:rFonts w:ascii="Arial" w:hAnsi="Arial" w:cs="Arial"/>
        <w:color w:val="2E52A3"/>
        <w:sz w:val="24"/>
        <w:szCs w:val="24"/>
        <w:lang w:val="en-US"/>
      </w:rPr>
      <w:t xml:space="preserve"> </w:t>
    </w:r>
    <w:r w:rsidRPr="0012004C">
      <w:rPr>
        <w:rFonts w:ascii="Arial" w:hAnsi="Arial" w:cs="Arial"/>
        <w:color w:val="2E52A3"/>
        <w:sz w:val="24"/>
        <w:szCs w:val="24"/>
        <w:lang w:val="en-US"/>
      </w:rPr>
      <w:t>World Network of Users and Survivors of Psychiatry</w:t>
    </w:r>
  </w:p>
  <w:p w14:paraId="2A1E98A3" w14:textId="6A7B2F19" w:rsidR="00C635EA" w:rsidRPr="0012004C" w:rsidRDefault="00C635EA" w:rsidP="0012004C">
    <w:pPr>
      <w:spacing w:after="0" w:line="240" w:lineRule="auto"/>
      <w:jc w:val="right"/>
      <w:rPr>
        <w:rFonts w:ascii="Arial" w:hAnsi="Arial" w:cs="Arial"/>
        <w:color w:val="808080" w:themeColor="background1" w:themeShade="80"/>
        <w:sz w:val="1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6B2AB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C3625"/>
    <w:multiLevelType w:val="hybridMultilevel"/>
    <w:tmpl w:val="78EC8DA8"/>
    <w:lvl w:ilvl="0" w:tplc="74B84A3E">
      <w:start w:val="1"/>
      <w:numFmt w:val="bullet"/>
      <w:lvlText w:val="-"/>
      <w:lvlJc w:val="left"/>
      <w:pPr>
        <w:ind w:left="76" w:hanging="360"/>
      </w:pPr>
      <w:rPr>
        <w:rFonts w:ascii="Calibri" w:eastAsia="Calibri" w:hAnsi="Calibri"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12197A52"/>
    <w:multiLevelType w:val="hybridMultilevel"/>
    <w:tmpl w:val="D5D25B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C77983"/>
    <w:multiLevelType w:val="hybridMultilevel"/>
    <w:tmpl w:val="D28E1F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19B02A20"/>
    <w:multiLevelType w:val="hybridMultilevel"/>
    <w:tmpl w:val="824E785A"/>
    <w:lvl w:ilvl="0" w:tplc="4D089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D1B52"/>
    <w:multiLevelType w:val="hybridMultilevel"/>
    <w:tmpl w:val="FE56DF78"/>
    <w:lvl w:ilvl="0" w:tplc="1A048D32">
      <w:start w:val="1"/>
      <w:numFmt w:val="decimal"/>
      <w:lvlText w:val="%1."/>
      <w:lvlJc w:val="left"/>
      <w:pPr>
        <w:ind w:left="1440" w:hanging="360"/>
      </w:pPr>
      <w:rPr>
        <w:rFonts w:hint="default"/>
      </w:rPr>
    </w:lvl>
    <w:lvl w:ilvl="1" w:tplc="9E7C63CA">
      <w:start w:val="1"/>
      <w:numFmt w:val="lowerLetter"/>
      <w:lvlText w:val="%2."/>
      <w:lvlJc w:val="left"/>
      <w:pPr>
        <w:ind w:left="2160" w:hanging="360"/>
      </w:pPr>
      <w:rPr>
        <w:b w:val="0"/>
        <w:bCs/>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C709F1"/>
    <w:multiLevelType w:val="hybridMultilevel"/>
    <w:tmpl w:val="62B667B2"/>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D355E99"/>
    <w:multiLevelType w:val="hybridMultilevel"/>
    <w:tmpl w:val="4564793C"/>
    <w:lvl w:ilvl="0" w:tplc="1D06C8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B540C"/>
    <w:multiLevelType w:val="hybridMultilevel"/>
    <w:tmpl w:val="CC2AE51E"/>
    <w:lvl w:ilvl="0" w:tplc="637846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7A5BF8"/>
    <w:multiLevelType w:val="hybridMultilevel"/>
    <w:tmpl w:val="5868EDDA"/>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8E3D19"/>
    <w:multiLevelType w:val="hybridMultilevel"/>
    <w:tmpl w:val="6A0CE1EA"/>
    <w:lvl w:ilvl="0" w:tplc="0E3C896A">
      <w:start w:val="2"/>
      <w:numFmt w:val="bullet"/>
      <w:lvlText w:val="-"/>
      <w:lvlJc w:val="left"/>
      <w:pPr>
        <w:ind w:left="791" w:hanging="360"/>
      </w:pPr>
      <w:rPr>
        <w:rFonts w:ascii="Arial" w:eastAsiaTheme="minorHAnsi"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2" w15:restartNumberingAfterBreak="0">
    <w:nsid w:val="60EA48E3"/>
    <w:multiLevelType w:val="hybridMultilevel"/>
    <w:tmpl w:val="F1B2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42520"/>
    <w:multiLevelType w:val="multilevel"/>
    <w:tmpl w:val="F4666D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CF537CA"/>
    <w:multiLevelType w:val="hybridMultilevel"/>
    <w:tmpl w:val="24A65516"/>
    <w:lvl w:ilvl="0" w:tplc="FEB05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8"/>
  </w:num>
  <w:num w:numId="6">
    <w:abstractNumId w:val="3"/>
  </w:num>
  <w:num w:numId="7">
    <w:abstractNumId w:val="12"/>
  </w:num>
  <w:num w:numId="8">
    <w:abstractNumId w:val="14"/>
  </w:num>
  <w:num w:numId="9">
    <w:abstractNumId w:val="6"/>
  </w:num>
  <w:num w:numId="10">
    <w:abstractNumId w:val="4"/>
  </w:num>
  <w:num w:numId="11">
    <w:abstractNumId w:val="11"/>
  </w:num>
  <w:num w:numId="12">
    <w:abstractNumId w:val="1"/>
  </w:num>
  <w:num w:numId="13">
    <w:abstractNumId w:val="1"/>
  </w:num>
  <w:num w:numId="14">
    <w:abstractNumId w:val="1"/>
  </w:num>
  <w:num w:numId="15">
    <w:abstractNumId w:val="1"/>
  </w:num>
  <w:num w:numId="16">
    <w:abstractNumId w:val="9"/>
  </w:num>
  <w:num w:numId="17">
    <w:abstractNumId w:val="10"/>
  </w:num>
  <w:num w:numId="18">
    <w:abstractNumId w:val="1"/>
  </w:num>
  <w:num w:numId="19">
    <w:abstractNumId w:val="1"/>
  </w:num>
  <w:num w:numId="20">
    <w:abstractNumId w:val="7"/>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C854B8-CC6E-40A4-848F-6447842896C1}"/>
    <w:docVar w:name="dgnword-eventsink" w:val="1634218367072"/>
  </w:docVars>
  <w:rsids>
    <w:rsidRoot w:val="00471BE8"/>
    <w:rsid w:val="00006D39"/>
    <w:rsid w:val="00011427"/>
    <w:rsid w:val="00025F49"/>
    <w:rsid w:val="000370A7"/>
    <w:rsid w:val="000578A2"/>
    <w:rsid w:val="00064FFE"/>
    <w:rsid w:val="00072DA5"/>
    <w:rsid w:val="000731D2"/>
    <w:rsid w:val="00075D3A"/>
    <w:rsid w:val="000843FF"/>
    <w:rsid w:val="000928BB"/>
    <w:rsid w:val="000970B0"/>
    <w:rsid w:val="000B76C5"/>
    <w:rsid w:val="000C4037"/>
    <w:rsid w:val="000C47B4"/>
    <w:rsid w:val="000C653F"/>
    <w:rsid w:val="000D65BF"/>
    <w:rsid w:val="00104A65"/>
    <w:rsid w:val="001108C0"/>
    <w:rsid w:val="0012004C"/>
    <w:rsid w:val="00132B9C"/>
    <w:rsid w:val="00134216"/>
    <w:rsid w:val="00135BD5"/>
    <w:rsid w:val="00136502"/>
    <w:rsid w:val="00140C25"/>
    <w:rsid w:val="001467D0"/>
    <w:rsid w:val="00152F44"/>
    <w:rsid w:val="00154F9C"/>
    <w:rsid w:val="001578AC"/>
    <w:rsid w:val="00160001"/>
    <w:rsid w:val="00171852"/>
    <w:rsid w:val="001816D9"/>
    <w:rsid w:val="0019178C"/>
    <w:rsid w:val="00192968"/>
    <w:rsid w:val="001B6E4D"/>
    <w:rsid w:val="001D68A3"/>
    <w:rsid w:val="00202F0A"/>
    <w:rsid w:val="0020792D"/>
    <w:rsid w:val="00214590"/>
    <w:rsid w:val="002166A5"/>
    <w:rsid w:val="00240336"/>
    <w:rsid w:val="00271BCD"/>
    <w:rsid w:val="00273F15"/>
    <w:rsid w:val="00275C1E"/>
    <w:rsid w:val="00277649"/>
    <w:rsid w:val="00283219"/>
    <w:rsid w:val="00293BF6"/>
    <w:rsid w:val="002A519F"/>
    <w:rsid w:val="002B0ECC"/>
    <w:rsid w:val="002C0B1B"/>
    <w:rsid w:val="002C1DD4"/>
    <w:rsid w:val="002C244F"/>
    <w:rsid w:val="002C26C1"/>
    <w:rsid w:val="002C63DA"/>
    <w:rsid w:val="002C76F7"/>
    <w:rsid w:val="002D27ED"/>
    <w:rsid w:val="002D2EA3"/>
    <w:rsid w:val="002D75A1"/>
    <w:rsid w:val="002E261C"/>
    <w:rsid w:val="002E6278"/>
    <w:rsid w:val="002E713B"/>
    <w:rsid w:val="00312296"/>
    <w:rsid w:val="00321CB7"/>
    <w:rsid w:val="00327EAB"/>
    <w:rsid w:val="00344FBF"/>
    <w:rsid w:val="00351918"/>
    <w:rsid w:val="0036097C"/>
    <w:rsid w:val="00362533"/>
    <w:rsid w:val="00365260"/>
    <w:rsid w:val="003778AF"/>
    <w:rsid w:val="003837A5"/>
    <w:rsid w:val="003925ED"/>
    <w:rsid w:val="00392F34"/>
    <w:rsid w:val="003A6CF7"/>
    <w:rsid w:val="003B2DCF"/>
    <w:rsid w:val="003B3EFC"/>
    <w:rsid w:val="003B5573"/>
    <w:rsid w:val="003D3800"/>
    <w:rsid w:val="003D645F"/>
    <w:rsid w:val="00412B90"/>
    <w:rsid w:val="00424948"/>
    <w:rsid w:val="00425B5C"/>
    <w:rsid w:val="004331DC"/>
    <w:rsid w:val="00433FE2"/>
    <w:rsid w:val="00434240"/>
    <w:rsid w:val="004614C3"/>
    <w:rsid w:val="00464F96"/>
    <w:rsid w:val="00470F9C"/>
    <w:rsid w:val="00471BE8"/>
    <w:rsid w:val="004932F1"/>
    <w:rsid w:val="00497DDD"/>
    <w:rsid w:val="004A5808"/>
    <w:rsid w:val="004A5A4D"/>
    <w:rsid w:val="004D7065"/>
    <w:rsid w:val="004E0B23"/>
    <w:rsid w:val="004E34AD"/>
    <w:rsid w:val="004E3AA6"/>
    <w:rsid w:val="004E7850"/>
    <w:rsid w:val="004F3067"/>
    <w:rsid w:val="00502DEC"/>
    <w:rsid w:val="00504898"/>
    <w:rsid w:val="00512159"/>
    <w:rsid w:val="00514F77"/>
    <w:rsid w:val="00517247"/>
    <w:rsid w:val="00544BAF"/>
    <w:rsid w:val="00545A80"/>
    <w:rsid w:val="00552E08"/>
    <w:rsid w:val="00557D9D"/>
    <w:rsid w:val="005743A5"/>
    <w:rsid w:val="005765E4"/>
    <w:rsid w:val="0059175E"/>
    <w:rsid w:val="00597570"/>
    <w:rsid w:val="005A0E8C"/>
    <w:rsid w:val="005A25F1"/>
    <w:rsid w:val="005B2B80"/>
    <w:rsid w:val="005C438E"/>
    <w:rsid w:val="005C72DA"/>
    <w:rsid w:val="005D07F9"/>
    <w:rsid w:val="005D1FF9"/>
    <w:rsid w:val="005D5283"/>
    <w:rsid w:val="00605C0A"/>
    <w:rsid w:val="00614132"/>
    <w:rsid w:val="00622CA2"/>
    <w:rsid w:val="00625256"/>
    <w:rsid w:val="006341AD"/>
    <w:rsid w:val="006655D1"/>
    <w:rsid w:val="00672589"/>
    <w:rsid w:val="00676B4C"/>
    <w:rsid w:val="0069066D"/>
    <w:rsid w:val="00691481"/>
    <w:rsid w:val="006B2523"/>
    <w:rsid w:val="006B2A44"/>
    <w:rsid w:val="006D58C8"/>
    <w:rsid w:val="006F2636"/>
    <w:rsid w:val="006F37FF"/>
    <w:rsid w:val="00712E01"/>
    <w:rsid w:val="00725B34"/>
    <w:rsid w:val="00736275"/>
    <w:rsid w:val="0073772E"/>
    <w:rsid w:val="00741F16"/>
    <w:rsid w:val="007443B4"/>
    <w:rsid w:val="0074480F"/>
    <w:rsid w:val="00756D47"/>
    <w:rsid w:val="00770BF3"/>
    <w:rsid w:val="00791428"/>
    <w:rsid w:val="00792302"/>
    <w:rsid w:val="007A5C37"/>
    <w:rsid w:val="007A7001"/>
    <w:rsid w:val="007B1384"/>
    <w:rsid w:val="007B2017"/>
    <w:rsid w:val="007C533F"/>
    <w:rsid w:val="007D1338"/>
    <w:rsid w:val="007E65A7"/>
    <w:rsid w:val="008065B0"/>
    <w:rsid w:val="008172C3"/>
    <w:rsid w:val="00822E94"/>
    <w:rsid w:val="00836F3E"/>
    <w:rsid w:val="00853B0C"/>
    <w:rsid w:val="00874E23"/>
    <w:rsid w:val="008844B2"/>
    <w:rsid w:val="00886E93"/>
    <w:rsid w:val="008878AB"/>
    <w:rsid w:val="00890C3E"/>
    <w:rsid w:val="008A0B46"/>
    <w:rsid w:val="008A5836"/>
    <w:rsid w:val="008B358B"/>
    <w:rsid w:val="008D27A1"/>
    <w:rsid w:val="008D3144"/>
    <w:rsid w:val="008D35B3"/>
    <w:rsid w:val="008E0CDC"/>
    <w:rsid w:val="008F763A"/>
    <w:rsid w:val="00901CC7"/>
    <w:rsid w:val="00905889"/>
    <w:rsid w:val="009373F8"/>
    <w:rsid w:val="00946426"/>
    <w:rsid w:val="0095177B"/>
    <w:rsid w:val="00955ACE"/>
    <w:rsid w:val="009663F0"/>
    <w:rsid w:val="0096716F"/>
    <w:rsid w:val="00970944"/>
    <w:rsid w:val="00984A3C"/>
    <w:rsid w:val="00997636"/>
    <w:rsid w:val="009A09FE"/>
    <w:rsid w:val="009B2287"/>
    <w:rsid w:val="009B65A9"/>
    <w:rsid w:val="009C25F6"/>
    <w:rsid w:val="009C5526"/>
    <w:rsid w:val="009E05FE"/>
    <w:rsid w:val="00A10412"/>
    <w:rsid w:val="00A31620"/>
    <w:rsid w:val="00A3238A"/>
    <w:rsid w:val="00A3270D"/>
    <w:rsid w:val="00A55A74"/>
    <w:rsid w:val="00A61305"/>
    <w:rsid w:val="00A67B6C"/>
    <w:rsid w:val="00A727E4"/>
    <w:rsid w:val="00A72CEA"/>
    <w:rsid w:val="00A73EF4"/>
    <w:rsid w:val="00A7405C"/>
    <w:rsid w:val="00A909D2"/>
    <w:rsid w:val="00A91263"/>
    <w:rsid w:val="00AA4C13"/>
    <w:rsid w:val="00AC5417"/>
    <w:rsid w:val="00AD2FE2"/>
    <w:rsid w:val="00AE520F"/>
    <w:rsid w:val="00AE5414"/>
    <w:rsid w:val="00AE6176"/>
    <w:rsid w:val="00AF7827"/>
    <w:rsid w:val="00B04958"/>
    <w:rsid w:val="00B07353"/>
    <w:rsid w:val="00B11F6B"/>
    <w:rsid w:val="00B16189"/>
    <w:rsid w:val="00B20AAF"/>
    <w:rsid w:val="00B32298"/>
    <w:rsid w:val="00B331DE"/>
    <w:rsid w:val="00B334E1"/>
    <w:rsid w:val="00B5258E"/>
    <w:rsid w:val="00B537EE"/>
    <w:rsid w:val="00B55E85"/>
    <w:rsid w:val="00B620B2"/>
    <w:rsid w:val="00B6417B"/>
    <w:rsid w:val="00B66034"/>
    <w:rsid w:val="00B770C5"/>
    <w:rsid w:val="00BA2B11"/>
    <w:rsid w:val="00BA3A9E"/>
    <w:rsid w:val="00BB5D3F"/>
    <w:rsid w:val="00BB7D61"/>
    <w:rsid w:val="00BB7EBB"/>
    <w:rsid w:val="00BC0D4F"/>
    <w:rsid w:val="00BC275E"/>
    <w:rsid w:val="00BC6C5D"/>
    <w:rsid w:val="00BD232C"/>
    <w:rsid w:val="00BD4C3C"/>
    <w:rsid w:val="00BF1413"/>
    <w:rsid w:val="00BF7269"/>
    <w:rsid w:val="00C0090C"/>
    <w:rsid w:val="00C01EB2"/>
    <w:rsid w:val="00C241D0"/>
    <w:rsid w:val="00C27B5B"/>
    <w:rsid w:val="00C314E4"/>
    <w:rsid w:val="00C33503"/>
    <w:rsid w:val="00C3440B"/>
    <w:rsid w:val="00C35A54"/>
    <w:rsid w:val="00C409D4"/>
    <w:rsid w:val="00C5115E"/>
    <w:rsid w:val="00C635EA"/>
    <w:rsid w:val="00C74C67"/>
    <w:rsid w:val="00C82C8C"/>
    <w:rsid w:val="00C96223"/>
    <w:rsid w:val="00CA5A7B"/>
    <w:rsid w:val="00CB03D3"/>
    <w:rsid w:val="00CC1D44"/>
    <w:rsid w:val="00CC5B52"/>
    <w:rsid w:val="00CD00C2"/>
    <w:rsid w:val="00CF58A0"/>
    <w:rsid w:val="00CF5C46"/>
    <w:rsid w:val="00D13A70"/>
    <w:rsid w:val="00D159F3"/>
    <w:rsid w:val="00D20073"/>
    <w:rsid w:val="00D26E65"/>
    <w:rsid w:val="00D323AD"/>
    <w:rsid w:val="00D41B8B"/>
    <w:rsid w:val="00D4488D"/>
    <w:rsid w:val="00D45F86"/>
    <w:rsid w:val="00D52611"/>
    <w:rsid w:val="00D57618"/>
    <w:rsid w:val="00D57997"/>
    <w:rsid w:val="00D613D8"/>
    <w:rsid w:val="00D62943"/>
    <w:rsid w:val="00D66751"/>
    <w:rsid w:val="00D91A75"/>
    <w:rsid w:val="00D9536D"/>
    <w:rsid w:val="00DA087F"/>
    <w:rsid w:val="00DA3698"/>
    <w:rsid w:val="00DB153E"/>
    <w:rsid w:val="00DB157F"/>
    <w:rsid w:val="00DB3DF9"/>
    <w:rsid w:val="00DB5A31"/>
    <w:rsid w:val="00DB6374"/>
    <w:rsid w:val="00DC67DB"/>
    <w:rsid w:val="00DD2A6D"/>
    <w:rsid w:val="00DD449B"/>
    <w:rsid w:val="00DF291E"/>
    <w:rsid w:val="00DF4C79"/>
    <w:rsid w:val="00E2586D"/>
    <w:rsid w:val="00E3270A"/>
    <w:rsid w:val="00E37596"/>
    <w:rsid w:val="00E479FC"/>
    <w:rsid w:val="00E5610A"/>
    <w:rsid w:val="00E565D4"/>
    <w:rsid w:val="00E82E4A"/>
    <w:rsid w:val="00E83E2F"/>
    <w:rsid w:val="00E91F17"/>
    <w:rsid w:val="00E97158"/>
    <w:rsid w:val="00EA5EEB"/>
    <w:rsid w:val="00EA7BE4"/>
    <w:rsid w:val="00EB1FEB"/>
    <w:rsid w:val="00EB4E5B"/>
    <w:rsid w:val="00EB5000"/>
    <w:rsid w:val="00EB588E"/>
    <w:rsid w:val="00EB7941"/>
    <w:rsid w:val="00EC7506"/>
    <w:rsid w:val="00ED0F04"/>
    <w:rsid w:val="00ED2E1B"/>
    <w:rsid w:val="00EE6B84"/>
    <w:rsid w:val="00EF6927"/>
    <w:rsid w:val="00F12111"/>
    <w:rsid w:val="00F25375"/>
    <w:rsid w:val="00F52A5B"/>
    <w:rsid w:val="00F56EB2"/>
    <w:rsid w:val="00F73B71"/>
    <w:rsid w:val="00F863C0"/>
    <w:rsid w:val="00F86DC9"/>
    <w:rsid w:val="00F91649"/>
    <w:rsid w:val="00F91C27"/>
    <w:rsid w:val="00FA779B"/>
    <w:rsid w:val="00FB11BF"/>
    <w:rsid w:val="00FB3945"/>
    <w:rsid w:val="00FB4A49"/>
    <w:rsid w:val="00FC1AEE"/>
    <w:rsid w:val="00FE172E"/>
    <w:rsid w:val="00FE7FDD"/>
    <w:rsid w:val="00FF3475"/>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36302"/>
  <w15:docId w15:val="{8A523B33-EA8E-B54E-883D-8E3E2B25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ECC"/>
    <w:pPr>
      <w:spacing w:after="200" w:line="276" w:lineRule="auto"/>
    </w:pPr>
    <w:rPr>
      <w:rFonts w:ascii="Calibri" w:eastAsia="Calibri" w:hAnsi="Calibri"/>
      <w:sz w:val="22"/>
      <w:szCs w:val="22"/>
      <w:lang w:val="fr-FR"/>
    </w:rPr>
  </w:style>
  <w:style w:type="paragraph" w:styleId="Heading2">
    <w:name w:val="heading 2"/>
    <w:basedOn w:val="Normal"/>
    <w:next w:val="Normal"/>
    <w:link w:val="Heading2Char"/>
    <w:semiHidden/>
    <w:unhideWhenUsed/>
    <w:qFormat/>
    <w:rsid w:val="00BD2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rsid w:val="003837A5"/>
    <w:pPr>
      <w:tabs>
        <w:tab w:val="center" w:pos="4513"/>
        <w:tab w:val="right" w:pos="9026"/>
      </w:tabs>
      <w:spacing w:after="0" w:line="240" w:lineRule="auto"/>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67"/>
    <w:rsid w:val="00C35A54"/>
    <w:pPr>
      <w:ind w:left="720"/>
      <w:contextualSpacing/>
    </w:pPr>
  </w:style>
  <w:style w:type="paragraph" w:styleId="Date">
    <w:name w:val="Date"/>
    <w:basedOn w:val="Normal"/>
    <w:next w:val="Normal"/>
    <w:link w:val="DateChar"/>
    <w:semiHidden/>
    <w:unhideWhenUsed/>
    <w:rsid w:val="006655D1"/>
  </w:style>
  <w:style w:type="character" w:customStyle="1" w:styleId="DateChar">
    <w:name w:val="Date Char"/>
    <w:basedOn w:val="DefaultParagraphFont"/>
    <w:link w:val="Date"/>
    <w:semiHidden/>
    <w:rsid w:val="006655D1"/>
    <w:rPr>
      <w:rFonts w:ascii="Calibri" w:eastAsia="Calibri" w:hAnsi="Calibri"/>
      <w:sz w:val="22"/>
      <w:szCs w:val="22"/>
      <w:lang w:val="fr-FR"/>
    </w:rPr>
  </w:style>
  <w:style w:type="character" w:styleId="CommentReference">
    <w:name w:val="annotation reference"/>
    <w:basedOn w:val="DefaultParagraphFont"/>
    <w:uiPriority w:val="99"/>
    <w:semiHidden/>
    <w:unhideWhenUsed/>
    <w:rsid w:val="006D58C8"/>
    <w:rPr>
      <w:sz w:val="16"/>
      <w:szCs w:val="16"/>
    </w:rPr>
  </w:style>
  <w:style w:type="paragraph" w:styleId="CommentText">
    <w:name w:val="annotation text"/>
    <w:basedOn w:val="Normal"/>
    <w:link w:val="CommentTextChar"/>
    <w:uiPriority w:val="99"/>
    <w:unhideWhenUsed/>
    <w:rsid w:val="006D58C8"/>
    <w:pPr>
      <w:spacing w:line="240" w:lineRule="auto"/>
    </w:pPr>
    <w:rPr>
      <w:sz w:val="20"/>
      <w:szCs w:val="20"/>
    </w:rPr>
  </w:style>
  <w:style w:type="character" w:customStyle="1" w:styleId="CommentTextChar">
    <w:name w:val="Comment Text Char"/>
    <w:basedOn w:val="DefaultParagraphFont"/>
    <w:link w:val="CommentText"/>
    <w:uiPriority w:val="99"/>
    <w:rsid w:val="006D58C8"/>
    <w:rPr>
      <w:rFonts w:ascii="Calibri" w:eastAsia="Calibri" w:hAnsi="Calibri"/>
      <w:lang w:val="fr-FR"/>
    </w:rPr>
  </w:style>
  <w:style w:type="paragraph" w:styleId="CommentSubject">
    <w:name w:val="annotation subject"/>
    <w:basedOn w:val="CommentText"/>
    <w:next w:val="CommentText"/>
    <w:link w:val="CommentSubjectChar"/>
    <w:semiHidden/>
    <w:unhideWhenUsed/>
    <w:rsid w:val="006D58C8"/>
    <w:rPr>
      <w:b/>
      <w:bCs/>
    </w:rPr>
  </w:style>
  <w:style w:type="character" w:customStyle="1" w:styleId="CommentSubjectChar">
    <w:name w:val="Comment Subject Char"/>
    <w:basedOn w:val="CommentTextChar"/>
    <w:link w:val="CommentSubject"/>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TableGrid">
    <w:name w:val="Table Grid"/>
    <w:basedOn w:val="TableNormal"/>
    <w:uiPriority w:val="39"/>
    <w:rsid w:val="00D57997"/>
    <w:rPr>
      <w:rFonts w:asciiTheme="minorHAnsi" w:eastAsiaTheme="minorEastAsia" w:hAnsiTheme="minorHAnsi" w:cstheme="minorBidi"/>
      <w:sz w:val="22"/>
      <w:szCs w:val="22"/>
      <w:lang w:val="en-GB"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C1AEE"/>
    <w:pPr>
      <w:numPr>
        <w:numId w:val="3"/>
      </w:numPr>
      <w:spacing w:after="160" w:line="259" w:lineRule="auto"/>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0C47B4"/>
    <w:pPr>
      <w:spacing w:after="0" w:line="240" w:lineRule="auto"/>
    </w:pPr>
    <w:rPr>
      <w:sz w:val="20"/>
      <w:szCs w:val="20"/>
    </w:rPr>
  </w:style>
  <w:style w:type="character" w:customStyle="1" w:styleId="FootnoteTextChar">
    <w:name w:val="Footnote Text Char"/>
    <w:basedOn w:val="DefaultParagraphFont"/>
    <w:link w:val="FootnoteText"/>
    <w:uiPriority w:val="99"/>
    <w:rsid w:val="000C47B4"/>
    <w:rPr>
      <w:rFonts w:ascii="Calibri" w:eastAsia="Calibri" w:hAnsi="Calibri"/>
      <w:lang w:val="fr-FR"/>
    </w:rPr>
  </w:style>
  <w:style w:type="character" w:styleId="FootnoteReference">
    <w:name w:val="footnote reference"/>
    <w:basedOn w:val="DefaultParagraphFont"/>
    <w:uiPriority w:val="99"/>
    <w:unhideWhenUsed/>
    <w:rsid w:val="000C47B4"/>
    <w:rPr>
      <w:vertAlign w:val="superscript"/>
    </w:rPr>
  </w:style>
  <w:style w:type="paragraph" w:styleId="EndnoteText">
    <w:name w:val="endnote text"/>
    <w:basedOn w:val="Normal"/>
    <w:link w:val="EndnoteTextChar"/>
    <w:semiHidden/>
    <w:unhideWhenUsed/>
    <w:rsid w:val="00D41B8B"/>
    <w:pPr>
      <w:spacing w:after="0" w:line="240" w:lineRule="auto"/>
    </w:pPr>
    <w:rPr>
      <w:sz w:val="20"/>
      <w:szCs w:val="20"/>
    </w:rPr>
  </w:style>
  <w:style w:type="character" w:customStyle="1" w:styleId="EndnoteTextChar">
    <w:name w:val="Endnote Text Char"/>
    <w:basedOn w:val="DefaultParagraphFont"/>
    <w:link w:val="EndnoteText"/>
    <w:semiHidden/>
    <w:rsid w:val="00D41B8B"/>
    <w:rPr>
      <w:rFonts w:ascii="Calibri" w:eastAsia="Calibri" w:hAnsi="Calibri"/>
      <w:lang w:val="fr-FR"/>
    </w:rPr>
  </w:style>
  <w:style w:type="character" w:styleId="EndnoteReference">
    <w:name w:val="endnote reference"/>
    <w:basedOn w:val="DefaultParagraphFont"/>
    <w:semiHidden/>
    <w:unhideWhenUsed/>
    <w:rsid w:val="00D41B8B"/>
    <w:rPr>
      <w:vertAlign w:val="superscript"/>
    </w:rPr>
  </w:style>
  <w:style w:type="character" w:styleId="FollowedHyperlink">
    <w:name w:val="FollowedHyperlink"/>
    <w:basedOn w:val="DefaultParagraphFont"/>
    <w:rsid w:val="00F86DC9"/>
    <w:rPr>
      <w:color w:val="954F72" w:themeColor="followedHyperlink"/>
      <w:u w:val="single"/>
    </w:rPr>
  </w:style>
  <w:style w:type="character" w:customStyle="1" w:styleId="Heading2Char">
    <w:name w:val="Heading 2 Char"/>
    <w:basedOn w:val="DefaultParagraphFont"/>
    <w:link w:val="Heading2"/>
    <w:semiHidden/>
    <w:rsid w:val="00BD232C"/>
    <w:rPr>
      <w:rFonts w:asciiTheme="majorHAnsi" w:eastAsiaTheme="majorEastAsia" w:hAnsiTheme="majorHAnsi" w:cstheme="majorBidi"/>
      <w:color w:val="2E74B5" w:themeColor="accent1" w:themeShade="BF"/>
      <w:sz w:val="26"/>
      <w:szCs w:val="26"/>
      <w:lang w:val="fr-FR"/>
    </w:rPr>
  </w:style>
  <w:style w:type="character" w:styleId="PageNumber">
    <w:name w:val="page number"/>
    <w:basedOn w:val="DefaultParagraphFont"/>
    <w:semiHidden/>
    <w:unhideWhenUsed/>
    <w:rsid w:val="00132B9C"/>
  </w:style>
  <w:style w:type="character" w:styleId="UnresolvedMention">
    <w:name w:val="Unresolved Mention"/>
    <w:basedOn w:val="DefaultParagraphFont"/>
    <w:uiPriority w:val="99"/>
    <w:semiHidden/>
    <w:unhideWhenUsed/>
    <w:rsid w:val="00377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3547">
      <w:bodyDiv w:val="1"/>
      <w:marLeft w:val="0"/>
      <w:marRight w:val="0"/>
      <w:marTop w:val="0"/>
      <w:marBottom w:val="0"/>
      <w:divBdr>
        <w:top w:val="none" w:sz="0" w:space="0" w:color="auto"/>
        <w:left w:val="none" w:sz="0" w:space="0" w:color="auto"/>
        <w:bottom w:val="none" w:sz="0" w:space="0" w:color="auto"/>
        <w:right w:val="none" w:sz="0" w:space="0" w:color="auto"/>
      </w:divBdr>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585576696">
      <w:bodyDiv w:val="1"/>
      <w:marLeft w:val="0"/>
      <w:marRight w:val="0"/>
      <w:marTop w:val="0"/>
      <w:marBottom w:val="0"/>
      <w:divBdr>
        <w:top w:val="none" w:sz="0" w:space="0" w:color="auto"/>
        <w:left w:val="none" w:sz="0" w:space="0" w:color="auto"/>
        <w:bottom w:val="none" w:sz="0" w:space="0" w:color="auto"/>
        <w:right w:val="none" w:sz="0" w:space="0" w:color="auto"/>
      </w:divBdr>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737">
      <w:bodyDiv w:val="1"/>
      <w:marLeft w:val="0"/>
      <w:marRight w:val="0"/>
      <w:marTop w:val="0"/>
      <w:marBottom w:val="0"/>
      <w:divBdr>
        <w:top w:val="none" w:sz="0" w:space="0" w:color="auto"/>
        <w:left w:val="none" w:sz="0" w:space="0" w:color="auto"/>
        <w:bottom w:val="none" w:sz="0" w:space="0" w:color="auto"/>
        <w:right w:val="none" w:sz="0" w:space="0" w:color="auto"/>
      </w:divBdr>
      <w:divsChild>
        <w:div w:id="1276719436">
          <w:marLeft w:val="0"/>
          <w:marRight w:val="0"/>
          <w:marTop w:val="0"/>
          <w:marBottom w:val="0"/>
          <w:divBdr>
            <w:top w:val="none" w:sz="0" w:space="0" w:color="auto"/>
            <w:left w:val="none" w:sz="0" w:space="0" w:color="auto"/>
            <w:bottom w:val="none" w:sz="0" w:space="0" w:color="auto"/>
            <w:right w:val="none" w:sz="0" w:space="0" w:color="auto"/>
          </w:divBdr>
          <w:divsChild>
            <w:div w:id="1089883877">
              <w:marLeft w:val="0"/>
              <w:marRight w:val="0"/>
              <w:marTop w:val="0"/>
              <w:marBottom w:val="0"/>
              <w:divBdr>
                <w:top w:val="none" w:sz="0" w:space="0" w:color="auto"/>
                <w:left w:val="none" w:sz="0" w:space="0" w:color="auto"/>
                <w:bottom w:val="none" w:sz="0" w:space="0" w:color="auto"/>
                <w:right w:val="none" w:sz="0" w:space="0" w:color="auto"/>
              </w:divBdr>
              <w:divsChild>
                <w:div w:id="313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0871">
      <w:bodyDiv w:val="1"/>
      <w:marLeft w:val="0"/>
      <w:marRight w:val="0"/>
      <w:marTop w:val="0"/>
      <w:marBottom w:val="0"/>
      <w:divBdr>
        <w:top w:val="none" w:sz="0" w:space="0" w:color="auto"/>
        <w:left w:val="none" w:sz="0" w:space="0" w:color="auto"/>
        <w:bottom w:val="none" w:sz="0" w:space="0" w:color="auto"/>
        <w:right w:val="none" w:sz="0" w:space="0" w:color="auto"/>
      </w:divBdr>
      <w:divsChild>
        <w:div w:id="668217359">
          <w:marLeft w:val="0"/>
          <w:marRight w:val="0"/>
          <w:marTop w:val="0"/>
          <w:marBottom w:val="0"/>
          <w:divBdr>
            <w:top w:val="none" w:sz="0" w:space="0" w:color="auto"/>
            <w:left w:val="none" w:sz="0" w:space="0" w:color="auto"/>
            <w:bottom w:val="none" w:sz="0" w:space="0" w:color="auto"/>
            <w:right w:val="none" w:sz="0" w:space="0" w:color="auto"/>
          </w:divBdr>
          <w:divsChild>
            <w:div w:id="1148202138">
              <w:marLeft w:val="0"/>
              <w:marRight w:val="0"/>
              <w:marTop w:val="0"/>
              <w:marBottom w:val="0"/>
              <w:divBdr>
                <w:top w:val="none" w:sz="0" w:space="0" w:color="auto"/>
                <w:left w:val="none" w:sz="0" w:space="0" w:color="auto"/>
                <w:bottom w:val="none" w:sz="0" w:space="0" w:color="auto"/>
                <w:right w:val="none" w:sz="0" w:space="0" w:color="auto"/>
              </w:divBdr>
              <w:divsChild>
                <w:div w:id="8829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207277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perezbello@ida-secretaria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undocs.org/en/A/HRC/40/54" TargetMode="External"/><Relationship Id="rId13" Type="http://schemas.openxmlformats.org/officeDocument/2006/relationships/hyperlink" Target="https://rudermanfoundation.org/wp-content/uploads/2017/08/MediaStudy-PoliceDisability_final-final.pdf" TargetMode="External"/><Relationship Id="rId18" Type="http://schemas.openxmlformats.org/officeDocument/2006/relationships/hyperlink" Target="https://www.thelancet.com/journals/lanpsy/article/PIIS2215-0366(19)30027-6/fulltext" TargetMode="External"/><Relationship Id="rId26" Type="http://schemas.openxmlformats.org/officeDocument/2006/relationships/hyperlink" Target="https://edition.cnn.com/2018/06/21/opinions/aclu-georgia-deaf-abuse-lawsuit-novic/index.html" TargetMode="External"/><Relationship Id="rId3" Type="http://schemas.openxmlformats.org/officeDocument/2006/relationships/hyperlink" Target="https://www.pressherald.com/2012/12/09/shoot-across-nation-a-grim-acceptance-when-mentally-ill-shot-down/" TargetMode="External"/><Relationship Id="rId21" Type="http://schemas.openxmlformats.org/officeDocument/2006/relationships/hyperlink" Target="https://www.theatlantic.com/politics/archive/2017/09/the-steadily-problematic-interactions-between-deaf-americans-and-police/541083/" TargetMode="External"/><Relationship Id="rId7" Type="http://schemas.openxmlformats.org/officeDocument/2006/relationships/hyperlink" Target="https://undocs.org/en/A/HRC/43/27" TargetMode="External"/><Relationship Id="rId12" Type="http://schemas.openxmlformats.org/officeDocument/2006/relationships/hyperlink" Target="https://www.researchgate.net/publication/326330829_Race_and_Disability_From_Analogy_to_Intersectionality" TargetMode="External"/><Relationship Id="rId17" Type="http://schemas.openxmlformats.org/officeDocument/2006/relationships/hyperlink" Target="https://www.thelancet.com/journals/lanpsy/article/PIIS2215-0366(19)30027-6/fulltext" TargetMode="External"/><Relationship Id="rId25" Type="http://schemas.openxmlformats.org/officeDocument/2006/relationships/hyperlink" Target="https://behearddc.org/wp-content/uploads/2018/11/DeafInPrison-Fact-Sheet-.pdf" TargetMode="External"/><Relationship Id="rId2" Type="http://schemas.openxmlformats.org/officeDocument/2006/relationships/hyperlink" Target="https://rudermanfoundation.org/wp-content/uploads/2017/08/MediaStudy-PoliceDisability_final-final.pdf" TargetMode="External"/><Relationship Id="rId16" Type="http://schemas.openxmlformats.org/officeDocument/2006/relationships/hyperlink" Target="https://www.cqc.org.uk/sites/default/files/20200206_mhareport1819_report.pdf" TargetMode="External"/><Relationship Id="rId20" Type="http://schemas.openxmlformats.org/officeDocument/2006/relationships/hyperlink" Target="https://behearddc.org/police-violence/" TargetMode="External"/><Relationship Id="rId29" Type="http://schemas.openxmlformats.org/officeDocument/2006/relationships/hyperlink" Target="https://bda.org.uk/wp-content/uploads/2017/03/BDA-Deaf-Prisoners-Report-2016.pdf" TargetMode="External"/><Relationship Id="rId1" Type="http://schemas.openxmlformats.org/officeDocument/2006/relationships/hyperlink" Target="https://www.nbda.org/news/nbda-statement-on-ferguson-incident" TargetMode="External"/><Relationship Id="rId6" Type="http://schemas.openxmlformats.org/officeDocument/2006/relationships/hyperlink" Target="https://undocs.org/en/A/HRC/40/54" TargetMode="External"/><Relationship Id="rId11" Type="http://schemas.openxmlformats.org/officeDocument/2006/relationships/hyperlink" Target="https://www.aclu.org/blog/national-security/police-brutality-and-deaf-people?redirect=blog/police-brutality-and-deaf-people" TargetMode="External"/><Relationship Id="rId24" Type="http://schemas.openxmlformats.org/officeDocument/2006/relationships/hyperlink" Target="https://undocs.org/en/A/HRC/43/27" TargetMode="External"/><Relationship Id="rId5" Type="http://schemas.openxmlformats.org/officeDocument/2006/relationships/hyperlink" Target="https://undocs.org/en/A/HRC/43/27" TargetMode="External"/><Relationship Id="rId15" Type="http://schemas.openxmlformats.org/officeDocument/2006/relationships/hyperlink" Target="https://www.legislation.gov.uk/ukpga/1983/20/section/136" TargetMode="External"/><Relationship Id="rId23" Type="http://schemas.openxmlformats.org/officeDocument/2006/relationships/hyperlink" Target="https://www.pressherald.com/2012/12/09/shoot-across-nation-a-grim-acceptance-when-mentally-ill-shot-down/" TargetMode="External"/><Relationship Id="rId28" Type="http://schemas.openxmlformats.org/officeDocument/2006/relationships/hyperlink" Target="http://www.jstor.org/stable/26235070." TargetMode="External"/><Relationship Id="rId10" Type="http://schemas.openxmlformats.org/officeDocument/2006/relationships/hyperlink" Target="https://www.internationaldisabilityalliance.org/ida-statement-nathaniel-julius" TargetMode="External"/><Relationship Id="rId19" Type="http://schemas.openxmlformats.org/officeDocument/2006/relationships/hyperlink" Target="https://docs.google.com/spreadsheets/d/1HZ6YLtXzRNiEsu2RCfEUb1WmsCwM4Pn89ikpAwE4b-Q/edit" TargetMode="External"/><Relationship Id="rId4" Type="http://schemas.openxmlformats.org/officeDocument/2006/relationships/hyperlink" Target="https://www.cqc.org.uk/sites/default/files/20200206_mhareport1819_report.pdf" TargetMode="External"/><Relationship Id="rId9" Type="http://schemas.openxmlformats.org/officeDocument/2006/relationships/hyperlink" Target="https://undocs.org/en/A/HRC/40/54" TargetMode="External"/><Relationship Id="rId14" Type="http://schemas.openxmlformats.org/officeDocument/2006/relationships/hyperlink" Target="http://ajph.aphapublications.org/doi/10.2105/AJPH.2017.304095" TargetMode="External"/><Relationship Id="rId22" Type="http://schemas.openxmlformats.org/officeDocument/2006/relationships/hyperlink" Target="https://rudermanfoundation.org/white_papers/criminalization-of-children-with-non-apparent-disabilities/" TargetMode="External"/><Relationship Id="rId27" Type="http://schemas.openxmlformats.org/officeDocument/2006/relationships/hyperlink" Target="https://behearddc.org/wp-content/uploads/2018/11/DeafInPrison-Fac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F4DF2E-1512-A144-98A9-06C8A859C210}">
  <ds:schemaRefs>
    <ds:schemaRef ds:uri="http://schemas.openxmlformats.org/officeDocument/2006/bibliography"/>
  </ds:schemaRefs>
</ds:datastoreItem>
</file>

<file path=customXml/itemProps2.xml><?xml version="1.0" encoding="utf-8"?>
<ds:datastoreItem xmlns:ds="http://schemas.openxmlformats.org/officeDocument/2006/customXml" ds:itemID="{AEE2D444-EB0E-4DE8-A5F1-3EB71A6F491D}"/>
</file>

<file path=customXml/itemProps3.xml><?xml version="1.0" encoding="utf-8"?>
<ds:datastoreItem xmlns:ds="http://schemas.openxmlformats.org/officeDocument/2006/customXml" ds:itemID="{1CF2D61F-4B84-4B17-AE79-3C076EB356EF}"/>
</file>

<file path=customXml/itemProps4.xml><?xml version="1.0" encoding="utf-8"?>
<ds:datastoreItem xmlns:ds="http://schemas.openxmlformats.org/officeDocument/2006/customXml" ds:itemID="{985E7DB6-7B34-4F3F-A989-A5636555CF30}"/>
</file>

<file path=docProps/app.xml><?xml version="1.0" encoding="utf-8"?>
<Properties xmlns="http://schemas.openxmlformats.org/officeDocument/2006/extended-properties" xmlns:vt="http://schemas.openxmlformats.org/officeDocument/2006/docPropsVTypes">
  <Template>C:\Users\Guest\Downloads\IDA Letterhead Template (4).dotx</Template>
  <TotalTime>46</TotalTime>
  <Pages>6</Pages>
  <Words>3083</Words>
  <Characters>17579</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FUNDACION ONCE</Company>
  <LinksUpToDate>false</LinksUpToDate>
  <CharactersWithSpaces>20621</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juan ignacio  perez bello</cp:lastModifiedBy>
  <cp:revision>6</cp:revision>
  <cp:lastPrinted>2017-01-11T15:04:00Z</cp:lastPrinted>
  <dcterms:created xsi:type="dcterms:W3CDTF">2020-10-19T12:23:00Z</dcterms:created>
  <dcterms:modified xsi:type="dcterms:W3CDTF">2020-10-19T13:14:00Z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