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4D7" w:rsidRDefault="0067583D" w:rsidP="0067583D">
      <w:pPr>
        <w:jc w:val="center"/>
        <w:rPr>
          <w:rFonts w:ascii="Courier New" w:hAnsi="Courier New" w:cs="Courier New"/>
          <w:b/>
          <w:sz w:val="24"/>
          <w:szCs w:val="24"/>
        </w:rPr>
      </w:pPr>
      <w:r w:rsidRPr="00254654">
        <w:rPr>
          <w:rFonts w:ascii="Courier New" w:hAnsi="Courier New" w:cs="Courier New"/>
          <w:b/>
          <w:sz w:val="24"/>
          <w:szCs w:val="24"/>
        </w:rPr>
        <w:t>APORTES DE LA PROCURADURÍA PARA LA DEFENSA DE LOS DERECHOS HUMANOS DE LA REPÚBLICA DE NICARAGUA SOBRE EL BORRADOR DE RECOMENDACIÓN GENERAL NO. 36 DEL COMITÉ SOBRE LA ELIMINACIÓN DE LA DISCRIMINACIÓN RACIAL: “PREVENCIÓN Y COMBATE DEL PERFIL RACIAL”</w:t>
      </w:r>
    </w:p>
    <w:p w:rsidR="00254654" w:rsidRDefault="00254654" w:rsidP="00254654">
      <w:pPr>
        <w:jc w:val="both"/>
        <w:rPr>
          <w:rFonts w:ascii="Courier New" w:hAnsi="Courier New" w:cs="Courier New"/>
          <w:b/>
          <w:sz w:val="24"/>
          <w:szCs w:val="24"/>
        </w:rPr>
      </w:pPr>
      <w:r>
        <w:rPr>
          <w:rFonts w:ascii="Courier New" w:hAnsi="Courier New" w:cs="Courier New"/>
          <w:b/>
          <w:sz w:val="24"/>
          <w:szCs w:val="24"/>
        </w:rPr>
        <w:t>Contexto:</w:t>
      </w:r>
    </w:p>
    <w:p w:rsidR="00254654" w:rsidRDefault="00254654" w:rsidP="00254654">
      <w:pPr>
        <w:jc w:val="both"/>
        <w:rPr>
          <w:rFonts w:ascii="Courier New" w:hAnsi="Courier New" w:cs="Courier New"/>
          <w:sz w:val="24"/>
          <w:szCs w:val="24"/>
        </w:rPr>
      </w:pPr>
      <w:r>
        <w:rPr>
          <w:rFonts w:ascii="Courier New" w:hAnsi="Courier New" w:cs="Courier New"/>
          <w:sz w:val="24"/>
          <w:szCs w:val="24"/>
        </w:rPr>
        <w:t xml:space="preserve">La Procuraduría para la Defensa de los Derechos Humanos de la República de Nicaragua recibió comunicación de la Oficina de la Alta Comisionada de las Naciones Unidas para los Derechos Humanos en la que le pide comentarios al </w:t>
      </w:r>
      <w:r w:rsidR="001829C6">
        <w:rPr>
          <w:rFonts w:ascii="Courier New" w:hAnsi="Courier New" w:cs="Courier New"/>
          <w:sz w:val="24"/>
          <w:szCs w:val="24"/>
        </w:rPr>
        <w:t xml:space="preserve">borrador de </w:t>
      </w:r>
      <w:r w:rsidR="007A7114">
        <w:rPr>
          <w:rFonts w:ascii="Courier New" w:hAnsi="Courier New" w:cs="Courier New"/>
          <w:sz w:val="24"/>
          <w:szCs w:val="24"/>
        </w:rPr>
        <w:t>R</w:t>
      </w:r>
      <w:r w:rsidR="001829C6">
        <w:rPr>
          <w:rFonts w:ascii="Courier New" w:hAnsi="Courier New" w:cs="Courier New"/>
          <w:sz w:val="24"/>
          <w:szCs w:val="24"/>
        </w:rPr>
        <w:t xml:space="preserve">ecomendación </w:t>
      </w:r>
      <w:r w:rsidR="007A7114">
        <w:rPr>
          <w:rFonts w:ascii="Courier New" w:hAnsi="Courier New" w:cs="Courier New"/>
          <w:sz w:val="24"/>
          <w:szCs w:val="24"/>
        </w:rPr>
        <w:t>G</w:t>
      </w:r>
      <w:r w:rsidR="001829C6">
        <w:rPr>
          <w:rFonts w:ascii="Courier New" w:hAnsi="Courier New" w:cs="Courier New"/>
          <w:sz w:val="24"/>
          <w:szCs w:val="24"/>
        </w:rPr>
        <w:t xml:space="preserve">eneral No. 36 del Comité sobre la eliminación de la discriminación racial </w:t>
      </w:r>
      <w:r w:rsidR="001829C6" w:rsidRPr="007A7114">
        <w:rPr>
          <w:rFonts w:ascii="Courier New" w:hAnsi="Courier New" w:cs="Courier New"/>
          <w:i/>
          <w:sz w:val="24"/>
          <w:szCs w:val="24"/>
        </w:rPr>
        <w:t>“Prevención y combate del perfil racial”</w:t>
      </w:r>
      <w:r w:rsidR="001829C6">
        <w:rPr>
          <w:rFonts w:ascii="Courier New" w:hAnsi="Courier New" w:cs="Courier New"/>
          <w:sz w:val="24"/>
          <w:szCs w:val="24"/>
        </w:rPr>
        <w:t xml:space="preserve">. A continuación, </w:t>
      </w:r>
      <w:r w:rsidR="007A7114">
        <w:rPr>
          <w:rFonts w:ascii="Courier New" w:hAnsi="Courier New" w:cs="Courier New"/>
          <w:sz w:val="24"/>
          <w:szCs w:val="24"/>
        </w:rPr>
        <w:t>se detallan l</w:t>
      </w:r>
      <w:r w:rsidR="001829C6">
        <w:rPr>
          <w:rFonts w:ascii="Courier New" w:hAnsi="Courier New" w:cs="Courier New"/>
          <w:sz w:val="24"/>
          <w:szCs w:val="24"/>
        </w:rPr>
        <w:t>os aportes:</w:t>
      </w:r>
    </w:p>
    <w:p w:rsidR="001829C6" w:rsidRPr="00254654" w:rsidRDefault="00C400CF" w:rsidP="00254654">
      <w:pPr>
        <w:jc w:val="both"/>
        <w:rPr>
          <w:rFonts w:ascii="Courier New" w:hAnsi="Courier New" w:cs="Courier New"/>
          <w:sz w:val="24"/>
          <w:szCs w:val="24"/>
        </w:rPr>
      </w:pPr>
      <w:r>
        <w:rPr>
          <w:rFonts w:ascii="Courier New" w:hAnsi="Courier New" w:cs="Courier New"/>
          <w:sz w:val="24"/>
          <w:szCs w:val="24"/>
        </w:rPr>
        <w:t>En general, recomendamos que se homologuen los términos agencias de aplicación de la ley u organismos encargados de hacer cumplir la ley, esta INDH sugiere utilizar el término organismos encargados de hacer cumplir la ley.</w:t>
      </w:r>
    </w:p>
    <w:p w:rsidR="00CF3F58" w:rsidRDefault="00CD2F02" w:rsidP="0067583D">
      <w:pPr>
        <w:pStyle w:val="Prrafodelista"/>
        <w:numPr>
          <w:ilvl w:val="0"/>
          <w:numId w:val="3"/>
        </w:numPr>
        <w:jc w:val="both"/>
        <w:rPr>
          <w:rFonts w:ascii="Courier New" w:hAnsi="Courier New" w:cs="Courier New"/>
          <w:sz w:val="24"/>
          <w:szCs w:val="24"/>
        </w:rPr>
      </w:pPr>
      <w:r w:rsidRPr="001829C6">
        <w:rPr>
          <w:rFonts w:ascii="Courier New" w:hAnsi="Courier New" w:cs="Courier New"/>
          <w:b/>
          <w:sz w:val="24"/>
          <w:szCs w:val="24"/>
        </w:rPr>
        <w:t>Párrafo No. 15:</w:t>
      </w:r>
      <w:r>
        <w:rPr>
          <w:rFonts w:ascii="Courier New" w:hAnsi="Courier New" w:cs="Courier New"/>
          <w:sz w:val="24"/>
          <w:szCs w:val="24"/>
        </w:rPr>
        <w:t xml:space="preserve"> </w:t>
      </w:r>
      <w:r w:rsidR="00E416FF">
        <w:rPr>
          <w:rFonts w:ascii="Courier New" w:hAnsi="Courier New" w:cs="Courier New"/>
          <w:sz w:val="24"/>
          <w:szCs w:val="24"/>
        </w:rPr>
        <w:t>Consideramos que ot</w:t>
      </w:r>
      <w:r>
        <w:rPr>
          <w:rFonts w:ascii="Courier New" w:hAnsi="Courier New" w:cs="Courier New"/>
          <w:sz w:val="24"/>
          <w:szCs w:val="24"/>
        </w:rPr>
        <w:t>ro impacto negativo del perfil racial en el disfrute de los Derechos Humanos</w:t>
      </w:r>
      <w:r w:rsidR="00CF3F58">
        <w:rPr>
          <w:rFonts w:ascii="Courier New" w:hAnsi="Courier New" w:cs="Courier New"/>
          <w:sz w:val="24"/>
          <w:szCs w:val="24"/>
        </w:rPr>
        <w:t xml:space="preserve"> que</w:t>
      </w:r>
      <w:r w:rsidR="007A7114">
        <w:rPr>
          <w:rFonts w:ascii="Courier New" w:hAnsi="Courier New" w:cs="Courier New"/>
          <w:sz w:val="24"/>
          <w:szCs w:val="24"/>
        </w:rPr>
        <w:t xml:space="preserve"> se debe añadir es que:</w:t>
      </w:r>
      <w:r w:rsidR="00CF3F58">
        <w:rPr>
          <w:rFonts w:ascii="Courier New" w:hAnsi="Courier New" w:cs="Courier New"/>
          <w:sz w:val="24"/>
          <w:szCs w:val="24"/>
        </w:rPr>
        <w:t xml:space="preserve"> </w:t>
      </w:r>
      <w:r w:rsidR="00CF3F58" w:rsidRPr="007A7114">
        <w:rPr>
          <w:rFonts w:ascii="Courier New" w:hAnsi="Courier New" w:cs="Courier New"/>
          <w:i/>
          <w:sz w:val="24"/>
          <w:szCs w:val="24"/>
        </w:rPr>
        <w:t>fomenta el odio en la sociedad</w:t>
      </w:r>
      <w:r w:rsidR="00CF3F58">
        <w:rPr>
          <w:rFonts w:ascii="Courier New" w:hAnsi="Courier New" w:cs="Courier New"/>
          <w:sz w:val="24"/>
          <w:szCs w:val="24"/>
        </w:rPr>
        <w:t xml:space="preserve">, </w:t>
      </w:r>
      <w:r w:rsidR="00CF3F58" w:rsidRPr="007A7114">
        <w:rPr>
          <w:rFonts w:ascii="Courier New" w:hAnsi="Courier New" w:cs="Courier New"/>
          <w:i/>
          <w:sz w:val="24"/>
          <w:szCs w:val="24"/>
        </w:rPr>
        <w:t>institucionaliza la discriminación y crea una consciencia de impunidad y trato indigno</w:t>
      </w:r>
      <w:r w:rsidR="00CF3F58">
        <w:rPr>
          <w:rFonts w:ascii="Courier New" w:hAnsi="Courier New" w:cs="Courier New"/>
          <w:sz w:val="24"/>
          <w:szCs w:val="24"/>
        </w:rPr>
        <w:t xml:space="preserve"> </w:t>
      </w:r>
      <w:r w:rsidR="00CF3F58" w:rsidRPr="007A7114">
        <w:rPr>
          <w:rFonts w:ascii="Courier New" w:hAnsi="Courier New" w:cs="Courier New"/>
          <w:i/>
          <w:sz w:val="24"/>
          <w:szCs w:val="24"/>
        </w:rPr>
        <w:t>que debe ser respetada por los miembros de la sociedad</w:t>
      </w:r>
      <w:r w:rsidR="00CF3F58">
        <w:rPr>
          <w:rFonts w:ascii="Courier New" w:hAnsi="Courier New" w:cs="Courier New"/>
          <w:sz w:val="24"/>
          <w:szCs w:val="24"/>
        </w:rPr>
        <w:t>.</w:t>
      </w:r>
    </w:p>
    <w:p w:rsidR="001829C6" w:rsidRDefault="001829C6" w:rsidP="001829C6">
      <w:pPr>
        <w:pStyle w:val="Prrafodelista"/>
        <w:jc w:val="both"/>
        <w:rPr>
          <w:rFonts w:ascii="Courier New" w:hAnsi="Courier New" w:cs="Courier New"/>
          <w:sz w:val="24"/>
          <w:szCs w:val="24"/>
        </w:rPr>
      </w:pPr>
    </w:p>
    <w:p w:rsidR="00CF3F58" w:rsidRPr="00C400CF" w:rsidRDefault="00CF3F58" w:rsidP="0067583D">
      <w:pPr>
        <w:pStyle w:val="Prrafodelista"/>
        <w:numPr>
          <w:ilvl w:val="0"/>
          <w:numId w:val="3"/>
        </w:numPr>
        <w:jc w:val="both"/>
        <w:rPr>
          <w:rFonts w:ascii="Courier New" w:hAnsi="Courier New" w:cs="Courier New"/>
          <w:sz w:val="24"/>
          <w:szCs w:val="24"/>
        </w:rPr>
      </w:pPr>
      <w:r w:rsidRPr="001829C6">
        <w:rPr>
          <w:rFonts w:ascii="Courier New" w:hAnsi="Courier New" w:cs="Courier New"/>
          <w:b/>
          <w:sz w:val="24"/>
          <w:szCs w:val="24"/>
        </w:rPr>
        <w:t>Párrafo No. 17:</w:t>
      </w:r>
      <w:r>
        <w:rPr>
          <w:rFonts w:ascii="Courier New" w:hAnsi="Courier New" w:cs="Courier New"/>
          <w:sz w:val="24"/>
          <w:szCs w:val="24"/>
        </w:rPr>
        <w:t xml:space="preserve"> Consideramos que se debe agregar en la lista de perfil racial, los sesgos por</w:t>
      </w:r>
      <w:r w:rsidR="007A7114">
        <w:rPr>
          <w:rFonts w:ascii="Courier New" w:hAnsi="Courier New" w:cs="Courier New"/>
          <w:sz w:val="24"/>
          <w:szCs w:val="24"/>
        </w:rPr>
        <w:t>:</w:t>
      </w:r>
      <w:r>
        <w:rPr>
          <w:rFonts w:ascii="Courier New" w:hAnsi="Courier New" w:cs="Courier New"/>
          <w:sz w:val="24"/>
          <w:szCs w:val="24"/>
        </w:rPr>
        <w:t xml:space="preserve"> </w:t>
      </w:r>
      <w:r w:rsidRPr="007A7114">
        <w:rPr>
          <w:rFonts w:ascii="Courier New" w:hAnsi="Courier New" w:cs="Courier New"/>
          <w:i/>
          <w:sz w:val="24"/>
          <w:szCs w:val="24"/>
        </w:rPr>
        <w:t>orientación sexual.</w:t>
      </w:r>
    </w:p>
    <w:p w:rsidR="00C400CF" w:rsidRPr="00C400CF" w:rsidRDefault="00C400CF" w:rsidP="00C400CF">
      <w:pPr>
        <w:pStyle w:val="Prrafodelista"/>
        <w:rPr>
          <w:rFonts w:ascii="Courier New" w:hAnsi="Courier New" w:cs="Courier New"/>
          <w:sz w:val="24"/>
          <w:szCs w:val="24"/>
        </w:rPr>
      </w:pPr>
    </w:p>
    <w:p w:rsidR="00C400CF" w:rsidRDefault="00C400CF" w:rsidP="0067583D">
      <w:pPr>
        <w:pStyle w:val="Prrafodelista"/>
        <w:numPr>
          <w:ilvl w:val="0"/>
          <w:numId w:val="3"/>
        </w:numPr>
        <w:jc w:val="both"/>
        <w:rPr>
          <w:rFonts w:ascii="Courier New" w:hAnsi="Courier New" w:cs="Courier New"/>
          <w:sz w:val="24"/>
          <w:szCs w:val="24"/>
        </w:rPr>
      </w:pPr>
      <w:r>
        <w:rPr>
          <w:rFonts w:ascii="Courier New" w:hAnsi="Courier New" w:cs="Courier New"/>
          <w:b/>
          <w:sz w:val="24"/>
          <w:szCs w:val="24"/>
        </w:rPr>
        <w:t xml:space="preserve">Párrafo No. 25: </w:t>
      </w:r>
      <w:r>
        <w:rPr>
          <w:rFonts w:ascii="Courier New" w:hAnsi="Courier New" w:cs="Courier New"/>
          <w:sz w:val="24"/>
          <w:szCs w:val="24"/>
        </w:rPr>
        <w:t xml:space="preserve">Consideramos </w:t>
      </w:r>
      <w:proofErr w:type="gramStart"/>
      <w:r>
        <w:rPr>
          <w:rFonts w:ascii="Courier New" w:hAnsi="Courier New" w:cs="Courier New"/>
          <w:sz w:val="24"/>
          <w:szCs w:val="24"/>
        </w:rPr>
        <w:t>que</w:t>
      </w:r>
      <w:proofErr w:type="gramEnd"/>
      <w:r>
        <w:rPr>
          <w:rFonts w:ascii="Courier New" w:hAnsi="Courier New" w:cs="Courier New"/>
          <w:sz w:val="24"/>
          <w:szCs w:val="24"/>
        </w:rPr>
        <w:t xml:space="preserve"> al hacer referencia a los Gobiernos, se debe sustituir por Estados, que son los obligados a cumplir con los Instrumentos Internacionales y los planes y programes que se implementen para dar cumplimiento a los mismos. </w:t>
      </w:r>
    </w:p>
    <w:p w:rsidR="001829C6" w:rsidRPr="001829C6" w:rsidRDefault="001829C6" w:rsidP="001829C6">
      <w:pPr>
        <w:pStyle w:val="Prrafodelista"/>
        <w:rPr>
          <w:rFonts w:ascii="Courier New" w:hAnsi="Courier New" w:cs="Courier New"/>
          <w:sz w:val="24"/>
          <w:szCs w:val="24"/>
        </w:rPr>
      </w:pPr>
    </w:p>
    <w:p w:rsidR="00CF3F58" w:rsidRDefault="00CF3F58" w:rsidP="0067583D">
      <w:pPr>
        <w:pStyle w:val="Prrafodelista"/>
        <w:numPr>
          <w:ilvl w:val="0"/>
          <w:numId w:val="3"/>
        </w:numPr>
        <w:jc w:val="both"/>
        <w:rPr>
          <w:rFonts w:ascii="Courier New" w:hAnsi="Courier New" w:cs="Courier New"/>
          <w:sz w:val="24"/>
          <w:szCs w:val="24"/>
        </w:rPr>
      </w:pPr>
      <w:r w:rsidRPr="001829C6">
        <w:rPr>
          <w:rFonts w:ascii="Courier New" w:hAnsi="Courier New" w:cs="Courier New"/>
          <w:b/>
          <w:sz w:val="24"/>
          <w:szCs w:val="24"/>
        </w:rPr>
        <w:t>Párrafo No. 28:</w:t>
      </w:r>
      <w:r>
        <w:rPr>
          <w:rFonts w:ascii="Courier New" w:hAnsi="Courier New" w:cs="Courier New"/>
          <w:sz w:val="24"/>
          <w:szCs w:val="24"/>
        </w:rPr>
        <w:t xml:space="preserve"> Consideramos que las Instituciones Nacionales de Derechos Humanos ju</w:t>
      </w:r>
      <w:r w:rsidR="00C400CF">
        <w:rPr>
          <w:rFonts w:ascii="Courier New" w:hAnsi="Courier New" w:cs="Courier New"/>
          <w:sz w:val="24"/>
          <w:szCs w:val="24"/>
        </w:rPr>
        <w:t>e</w:t>
      </w:r>
      <w:r>
        <w:rPr>
          <w:rFonts w:ascii="Courier New" w:hAnsi="Courier New" w:cs="Courier New"/>
          <w:sz w:val="24"/>
          <w:szCs w:val="24"/>
        </w:rPr>
        <w:t>ga</w:t>
      </w:r>
      <w:r w:rsidR="00C400CF">
        <w:rPr>
          <w:rFonts w:ascii="Courier New" w:hAnsi="Courier New" w:cs="Courier New"/>
          <w:sz w:val="24"/>
          <w:szCs w:val="24"/>
        </w:rPr>
        <w:t>n</w:t>
      </w:r>
      <w:r>
        <w:rPr>
          <w:rFonts w:ascii="Courier New" w:hAnsi="Courier New" w:cs="Courier New"/>
          <w:sz w:val="24"/>
          <w:szCs w:val="24"/>
        </w:rPr>
        <w:t xml:space="preserve"> un rol importante para capacitar/educar a los encargados de hacer cumplir la Ley, como parte de su naturaleza y en cumplimiento de los Principios de París</w:t>
      </w:r>
      <w:r w:rsidR="007A7114">
        <w:rPr>
          <w:rFonts w:ascii="Courier New" w:hAnsi="Courier New" w:cs="Courier New"/>
          <w:sz w:val="24"/>
          <w:szCs w:val="24"/>
        </w:rPr>
        <w:t xml:space="preserve">, por lo que creemos oportuno que se mencione el rol que pueden tener en los procesos de formación a las autoridades que deben aplicar la ley. </w:t>
      </w:r>
    </w:p>
    <w:p w:rsidR="00472A88" w:rsidRPr="00472A88" w:rsidRDefault="00472A88" w:rsidP="00472A88">
      <w:pPr>
        <w:pStyle w:val="Prrafodelista"/>
        <w:rPr>
          <w:rFonts w:ascii="Courier New" w:hAnsi="Courier New" w:cs="Courier New"/>
          <w:sz w:val="24"/>
          <w:szCs w:val="24"/>
        </w:rPr>
      </w:pPr>
    </w:p>
    <w:p w:rsidR="00472A88" w:rsidRDefault="00472A88" w:rsidP="00472A88">
      <w:pPr>
        <w:pStyle w:val="Prrafodelista"/>
        <w:jc w:val="both"/>
        <w:rPr>
          <w:rFonts w:ascii="Courier New" w:hAnsi="Courier New" w:cs="Courier New"/>
          <w:sz w:val="24"/>
          <w:szCs w:val="24"/>
        </w:rPr>
      </w:pPr>
      <w:r>
        <w:rPr>
          <w:rFonts w:ascii="Courier New" w:hAnsi="Courier New" w:cs="Courier New"/>
          <w:sz w:val="24"/>
          <w:szCs w:val="24"/>
        </w:rPr>
        <w:t xml:space="preserve">Esta INDH considera que no son las agencias de aplicación de la ley las que deben desarrollar los programas de capacitación, debe reflejarse de manera expresa que son los Estados los garantes de realizar dichos programas, de tal forma que se podría reflejar a los Estados y las </w:t>
      </w:r>
      <w:r>
        <w:rPr>
          <w:rFonts w:ascii="Courier New" w:hAnsi="Courier New" w:cs="Courier New"/>
          <w:sz w:val="24"/>
          <w:szCs w:val="24"/>
        </w:rPr>
        <w:lastRenderedPageBreak/>
        <w:t>agencias de aplicación de la ley de manera conjunta. Esta recomendación debe tomarse en consideración para los demás acápites.</w:t>
      </w:r>
    </w:p>
    <w:p w:rsidR="00472A88" w:rsidRDefault="00472A88" w:rsidP="00472A88">
      <w:pPr>
        <w:pStyle w:val="Prrafodelista"/>
        <w:jc w:val="both"/>
        <w:rPr>
          <w:rFonts w:ascii="Courier New" w:hAnsi="Courier New" w:cs="Courier New"/>
          <w:sz w:val="24"/>
          <w:szCs w:val="24"/>
        </w:rPr>
      </w:pPr>
    </w:p>
    <w:p w:rsidR="00472A88" w:rsidRDefault="00472A88" w:rsidP="00472A88">
      <w:pPr>
        <w:pStyle w:val="Prrafodelista"/>
        <w:jc w:val="both"/>
        <w:rPr>
          <w:rFonts w:ascii="Courier New" w:hAnsi="Courier New" w:cs="Courier New"/>
          <w:sz w:val="24"/>
          <w:szCs w:val="24"/>
        </w:rPr>
      </w:pPr>
      <w:r>
        <w:rPr>
          <w:rFonts w:ascii="Courier New" w:hAnsi="Courier New" w:cs="Courier New"/>
          <w:sz w:val="24"/>
          <w:szCs w:val="24"/>
        </w:rPr>
        <w:t>Esta INDH considera necesario dejar reflejado a como lo expresa el subtítulo de la Recomendación que se deben desarrollar programas de capacitación en materia de Derechos Humanos, a fin de evitar posibles violaciones a los Derechos Humanos por motivos de raza, color, linaje y origen étnico. Así mismo, educar a la población sobre lo que es el perfil racial y sus consecuencias en el pleno goce de los Derechos Humanos.</w:t>
      </w:r>
    </w:p>
    <w:p w:rsidR="00C400CF" w:rsidRDefault="00C400CF" w:rsidP="00C400CF">
      <w:pPr>
        <w:pStyle w:val="Prrafodelista"/>
        <w:rPr>
          <w:rFonts w:ascii="Courier New" w:hAnsi="Courier New" w:cs="Courier New"/>
          <w:sz w:val="24"/>
          <w:szCs w:val="24"/>
        </w:rPr>
      </w:pPr>
    </w:p>
    <w:p w:rsidR="001829C6" w:rsidRDefault="00C400CF" w:rsidP="001829C6">
      <w:pPr>
        <w:pStyle w:val="Prrafodelista"/>
        <w:numPr>
          <w:ilvl w:val="0"/>
          <w:numId w:val="3"/>
        </w:numPr>
        <w:jc w:val="both"/>
        <w:rPr>
          <w:rFonts w:ascii="Courier New" w:hAnsi="Courier New" w:cs="Courier New"/>
          <w:sz w:val="24"/>
          <w:szCs w:val="24"/>
        </w:rPr>
      </w:pPr>
      <w:r w:rsidRPr="00C400CF">
        <w:rPr>
          <w:rFonts w:ascii="Courier New" w:hAnsi="Courier New" w:cs="Courier New"/>
          <w:b/>
          <w:sz w:val="24"/>
          <w:szCs w:val="24"/>
        </w:rPr>
        <w:t>Párrafo No. 30:</w:t>
      </w:r>
      <w:r w:rsidRPr="00C400CF">
        <w:rPr>
          <w:rFonts w:ascii="Courier New" w:hAnsi="Courier New" w:cs="Courier New"/>
          <w:sz w:val="24"/>
          <w:szCs w:val="24"/>
        </w:rPr>
        <w:t xml:space="preserve"> En lo referido al diálogo con las comunidades, consideramos que se debe mejorar el ejemplo clave que expresa el Comité, podría expresarse de la siguiente manera: Un ejemplo clave sería los jóvenes que la policía suele detener e investigar.</w:t>
      </w:r>
    </w:p>
    <w:p w:rsidR="00C400CF" w:rsidRPr="00C400CF" w:rsidRDefault="00C400CF" w:rsidP="00C400CF">
      <w:pPr>
        <w:pStyle w:val="Prrafodelista"/>
        <w:jc w:val="both"/>
        <w:rPr>
          <w:rFonts w:ascii="Courier New" w:hAnsi="Courier New" w:cs="Courier New"/>
          <w:sz w:val="24"/>
          <w:szCs w:val="24"/>
        </w:rPr>
      </w:pPr>
    </w:p>
    <w:p w:rsidR="00472A88" w:rsidRDefault="00CF3F58" w:rsidP="0067583D">
      <w:pPr>
        <w:pStyle w:val="Prrafodelista"/>
        <w:numPr>
          <w:ilvl w:val="0"/>
          <w:numId w:val="3"/>
        </w:numPr>
        <w:jc w:val="both"/>
        <w:rPr>
          <w:rFonts w:ascii="Courier New" w:hAnsi="Courier New" w:cs="Courier New"/>
          <w:sz w:val="24"/>
          <w:szCs w:val="24"/>
        </w:rPr>
      </w:pPr>
      <w:r w:rsidRPr="001829C6">
        <w:rPr>
          <w:rFonts w:ascii="Courier New" w:hAnsi="Courier New" w:cs="Courier New"/>
          <w:b/>
          <w:sz w:val="24"/>
          <w:szCs w:val="24"/>
        </w:rPr>
        <w:t>Párrafo No. 33:</w:t>
      </w:r>
      <w:r>
        <w:rPr>
          <w:rFonts w:ascii="Courier New" w:hAnsi="Courier New" w:cs="Courier New"/>
          <w:sz w:val="24"/>
          <w:szCs w:val="24"/>
        </w:rPr>
        <w:t xml:space="preserve"> No compartimos el sentido </w:t>
      </w:r>
      <w:r w:rsidR="007A7114">
        <w:rPr>
          <w:rFonts w:ascii="Courier New" w:hAnsi="Courier New" w:cs="Courier New"/>
          <w:sz w:val="24"/>
          <w:szCs w:val="24"/>
        </w:rPr>
        <w:t xml:space="preserve">del </w:t>
      </w:r>
      <w:r>
        <w:rPr>
          <w:rFonts w:ascii="Courier New" w:hAnsi="Courier New" w:cs="Courier New"/>
          <w:sz w:val="24"/>
          <w:szCs w:val="24"/>
        </w:rPr>
        <w:t xml:space="preserve">presente párrafo, ya que previamente se juzga a un incumplimiento por parte de las autoridades que deben hacer cumplir la ley y se promueve en sentido negativo el rol que debe tener la sociedad civil. Consideramos que se debe cambiar el sentido y que </w:t>
      </w:r>
      <w:r w:rsidRPr="007A7114">
        <w:rPr>
          <w:rFonts w:ascii="Courier New" w:hAnsi="Courier New" w:cs="Courier New"/>
          <w:i/>
          <w:sz w:val="24"/>
          <w:szCs w:val="24"/>
        </w:rPr>
        <w:t xml:space="preserve">se aliente a los grupos de la sociedad civil a que colaboren con las autoridades para hacer cumplir la ley, esto implica, desarrollando programas educativos, de forma preventiva, así como </w:t>
      </w:r>
      <w:r w:rsidR="007A7114">
        <w:rPr>
          <w:rFonts w:ascii="Courier New" w:hAnsi="Courier New" w:cs="Courier New"/>
          <w:i/>
          <w:sz w:val="24"/>
          <w:szCs w:val="24"/>
        </w:rPr>
        <w:t xml:space="preserve">informar </w:t>
      </w:r>
      <w:r w:rsidRPr="007A7114">
        <w:rPr>
          <w:rFonts w:ascii="Courier New" w:hAnsi="Courier New" w:cs="Courier New"/>
          <w:i/>
          <w:sz w:val="24"/>
          <w:szCs w:val="24"/>
        </w:rPr>
        <w:t>los Derechos que tienen las personas, en virtud de la presente recomendación</w:t>
      </w:r>
      <w:r>
        <w:rPr>
          <w:rFonts w:ascii="Courier New" w:hAnsi="Courier New" w:cs="Courier New"/>
          <w:sz w:val="24"/>
          <w:szCs w:val="24"/>
        </w:rPr>
        <w:t>.</w:t>
      </w:r>
    </w:p>
    <w:p w:rsidR="00472A88" w:rsidRPr="00472A88" w:rsidRDefault="00472A88" w:rsidP="00472A88">
      <w:pPr>
        <w:pStyle w:val="Prrafodelista"/>
        <w:rPr>
          <w:rFonts w:ascii="Courier New" w:hAnsi="Courier New" w:cs="Courier New"/>
          <w:sz w:val="24"/>
          <w:szCs w:val="24"/>
        </w:rPr>
      </w:pPr>
    </w:p>
    <w:p w:rsidR="0067583D" w:rsidRPr="0067583D" w:rsidRDefault="00472A88" w:rsidP="00472A88">
      <w:pPr>
        <w:pStyle w:val="Prrafodelista"/>
        <w:jc w:val="both"/>
        <w:rPr>
          <w:rFonts w:ascii="Courier New" w:hAnsi="Courier New" w:cs="Courier New"/>
          <w:sz w:val="24"/>
          <w:szCs w:val="24"/>
        </w:rPr>
      </w:pPr>
      <w:r>
        <w:rPr>
          <w:rFonts w:ascii="Courier New" w:hAnsi="Courier New" w:cs="Courier New"/>
          <w:sz w:val="24"/>
          <w:szCs w:val="24"/>
        </w:rPr>
        <w:t>Se reafirma que los Estado ya cuentan con mecanismos interno para hacer cumplir la ley de manera efectiva e investigar y sancionar a los servidores públicos que la incumplan, como son los Recursos Administrativos, sin embargo, se considera oportuna que los Estados tomen las  medidas necesarias para desarrollar mecanismos para que la población interponga denuncias por sentirse víctimas de perfil racial.</w:t>
      </w:r>
      <w:bookmarkStart w:id="0" w:name="_GoBack"/>
      <w:bookmarkEnd w:id="0"/>
      <w:r>
        <w:rPr>
          <w:rFonts w:ascii="Courier New" w:hAnsi="Courier New" w:cs="Courier New"/>
          <w:sz w:val="24"/>
          <w:szCs w:val="24"/>
        </w:rPr>
        <w:t xml:space="preserve"> </w:t>
      </w:r>
      <w:r w:rsidR="00CF3F58">
        <w:rPr>
          <w:rFonts w:ascii="Courier New" w:hAnsi="Courier New" w:cs="Courier New"/>
          <w:sz w:val="24"/>
          <w:szCs w:val="24"/>
        </w:rPr>
        <w:t xml:space="preserve">  </w:t>
      </w:r>
      <w:r w:rsidR="00CD2F02">
        <w:rPr>
          <w:rFonts w:ascii="Courier New" w:hAnsi="Courier New" w:cs="Courier New"/>
          <w:sz w:val="24"/>
          <w:szCs w:val="24"/>
        </w:rPr>
        <w:t xml:space="preserve">  </w:t>
      </w:r>
    </w:p>
    <w:sectPr w:rsidR="0067583D" w:rsidRPr="0067583D" w:rsidSect="001639F4">
      <w:pgSz w:w="12240" w:h="15840"/>
      <w:pgMar w:top="709"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43246"/>
    <w:multiLevelType w:val="hybridMultilevel"/>
    <w:tmpl w:val="FE6E8B40"/>
    <w:lvl w:ilvl="0" w:tplc="5634A45C">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4AB41D6D"/>
    <w:multiLevelType w:val="hybridMultilevel"/>
    <w:tmpl w:val="6C240D22"/>
    <w:lvl w:ilvl="0" w:tplc="166C9C1C">
      <w:start w:val="1"/>
      <w:numFmt w:val="low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15:restartNumberingAfterBreak="0">
    <w:nsid w:val="51E91B52"/>
    <w:multiLevelType w:val="hybridMultilevel"/>
    <w:tmpl w:val="95741296"/>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3D"/>
    <w:rsid w:val="001639F4"/>
    <w:rsid w:val="001829C6"/>
    <w:rsid w:val="00254654"/>
    <w:rsid w:val="00472A88"/>
    <w:rsid w:val="006564D7"/>
    <w:rsid w:val="0067583D"/>
    <w:rsid w:val="007A7114"/>
    <w:rsid w:val="009A7B34"/>
    <w:rsid w:val="00C400CF"/>
    <w:rsid w:val="00CD2F02"/>
    <w:rsid w:val="00CF3F58"/>
    <w:rsid w:val="00E416FF"/>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5620"/>
  <w15:chartTrackingRefBased/>
  <w15:docId w15:val="{9134318D-9D89-4FFB-99FA-83FF29A6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5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20B1CC-5CAB-4906-8D7B-4BF18958CEE3}"/>
</file>

<file path=customXml/itemProps2.xml><?xml version="1.0" encoding="utf-8"?>
<ds:datastoreItem xmlns:ds="http://schemas.openxmlformats.org/officeDocument/2006/customXml" ds:itemID="{AA7E5930-29B3-4CDC-935C-AD946CB00763}"/>
</file>

<file path=customXml/itemProps3.xml><?xml version="1.0" encoding="utf-8"?>
<ds:datastoreItem xmlns:ds="http://schemas.openxmlformats.org/officeDocument/2006/customXml" ds:itemID="{81426644-F67A-496B-BBB0-6C5704CA6C7E}"/>
</file>

<file path=docProps/app.xml><?xml version="1.0" encoding="utf-8"?>
<Properties xmlns="http://schemas.openxmlformats.org/officeDocument/2006/extended-properties" xmlns:vt="http://schemas.openxmlformats.org/officeDocument/2006/docPropsVTypes">
  <Template>Normal</Template>
  <TotalTime>77</TotalTime>
  <Pages>2</Pages>
  <Words>619</Words>
  <Characters>3410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Maynor Aragon</dc:creator>
  <cp:keywords/>
  <dc:description/>
  <cp:lastModifiedBy>Maynor Aragon</cp:lastModifiedBy>
  <cp:revision>6</cp:revision>
  <dcterms:created xsi:type="dcterms:W3CDTF">2019-06-24T19:15:00Z</dcterms:created>
  <dcterms:modified xsi:type="dcterms:W3CDTF">2019-06-28T18:26:00Z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