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59A8D" w14:textId="259ED89C" w:rsidR="00283563" w:rsidRPr="008D144A" w:rsidRDefault="00283563" w:rsidP="00283563">
      <w:pPr>
        <w:jc w:val="center"/>
        <w:rPr>
          <w:b/>
        </w:rPr>
      </w:pPr>
      <w:r w:rsidRPr="008D144A">
        <w:rPr>
          <w:b/>
        </w:rPr>
        <w:t>Committee on Economic Social and Cultural Rights</w:t>
      </w:r>
    </w:p>
    <w:p w14:paraId="023AF0F4" w14:textId="5FEB0037" w:rsidR="00283563" w:rsidRPr="008D144A" w:rsidRDefault="00283563" w:rsidP="00283563">
      <w:pPr>
        <w:jc w:val="center"/>
        <w:rPr>
          <w:b/>
        </w:rPr>
      </w:pPr>
      <w:r w:rsidRPr="008D144A">
        <w:rPr>
          <w:b/>
        </w:rPr>
        <w:t>Draft General Comment: Science and economic, social and cultural rights Art. 15: 15.1b, 15.2, 15.3 and 15.4 | 2 January 2020 draft</w:t>
      </w:r>
    </w:p>
    <w:p w14:paraId="3F8B28EA" w14:textId="77777777" w:rsidR="00283563" w:rsidRPr="008D144A" w:rsidRDefault="00283563" w:rsidP="00283563">
      <w:pPr>
        <w:jc w:val="center"/>
        <w:rPr>
          <w:b/>
        </w:rPr>
      </w:pPr>
    </w:p>
    <w:p w14:paraId="5D3AD020" w14:textId="230654F3" w:rsidR="00262A48" w:rsidRDefault="00283563" w:rsidP="00283563">
      <w:pPr>
        <w:jc w:val="center"/>
        <w:rPr>
          <w:b/>
        </w:rPr>
      </w:pPr>
      <w:r w:rsidRPr="008D144A">
        <w:rPr>
          <w:b/>
        </w:rPr>
        <w:t>Feedback</w:t>
      </w:r>
      <w:r w:rsidR="00320B76" w:rsidRPr="008D144A">
        <w:rPr>
          <w:b/>
        </w:rPr>
        <w:t xml:space="preserve"> from </w:t>
      </w:r>
      <w:bookmarkStart w:id="0" w:name="_GoBack"/>
      <w:r w:rsidR="00320B76" w:rsidRPr="008D144A">
        <w:rPr>
          <w:b/>
        </w:rPr>
        <w:t>Treatment Action Group</w:t>
      </w:r>
      <w:bookmarkEnd w:id="0"/>
    </w:p>
    <w:p w14:paraId="44F5ABA5" w14:textId="77777777" w:rsidR="00D62499" w:rsidRDefault="00D62499" w:rsidP="00283563">
      <w:pPr>
        <w:jc w:val="center"/>
        <w:rPr>
          <w:b/>
        </w:rPr>
      </w:pPr>
    </w:p>
    <w:p w14:paraId="11F7E387" w14:textId="600F6CE9" w:rsidR="00D62499" w:rsidRPr="00D62499" w:rsidRDefault="00D62499" w:rsidP="00D62499">
      <w:pPr>
        <w:pStyle w:val="ListParagraph"/>
        <w:numPr>
          <w:ilvl w:val="0"/>
          <w:numId w:val="4"/>
        </w:numPr>
        <w:rPr>
          <w:sz w:val="22"/>
          <w:szCs w:val="22"/>
        </w:rPr>
      </w:pPr>
      <w:r w:rsidRPr="00D62499">
        <w:rPr>
          <w:sz w:val="22"/>
          <w:szCs w:val="22"/>
        </w:rPr>
        <w:t xml:space="preserve">Treatment Action Group (TAG) congratulates the Committee on Economic, Social, and Cultural Rights (CESCR) on the publication of the General Comment (GC) draft. TAG is grateful for the opportunity to contribute to the very strong </w:t>
      </w:r>
      <w:r>
        <w:rPr>
          <w:sz w:val="22"/>
          <w:szCs w:val="22"/>
        </w:rPr>
        <w:t>content</w:t>
      </w:r>
      <w:r w:rsidR="00AC2CC5">
        <w:rPr>
          <w:sz w:val="22"/>
          <w:szCs w:val="22"/>
        </w:rPr>
        <w:t xml:space="preserve"> and analysis of the right to science.</w:t>
      </w:r>
    </w:p>
    <w:p w14:paraId="40E89056" w14:textId="4E1E545F" w:rsidR="00D62499" w:rsidRDefault="00D62499" w:rsidP="00D62499">
      <w:pPr>
        <w:pStyle w:val="ListParagraph"/>
        <w:numPr>
          <w:ilvl w:val="0"/>
          <w:numId w:val="4"/>
        </w:numPr>
        <w:rPr>
          <w:sz w:val="22"/>
          <w:szCs w:val="22"/>
        </w:rPr>
      </w:pPr>
      <w:r>
        <w:rPr>
          <w:sz w:val="22"/>
          <w:szCs w:val="22"/>
        </w:rPr>
        <w:t>The draft GC analysis illustrates the many concrete</w:t>
      </w:r>
      <w:r w:rsidRPr="00D62499">
        <w:rPr>
          <w:sz w:val="22"/>
          <w:szCs w:val="22"/>
        </w:rPr>
        <w:t xml:space="preserve"> ways t</w:t>
      </w:r>
      <w:r>
        <w:rPr>
          <w:sz w:val="22"/>
          <w:szCs w:val="22"/>
        </w:rPr>
        <w:t xml:space="preserve">hat </w:t>
      </w:r>
      <w:r w:rsidRPr="00D62499">
        <w:rPr>
          <w:sz w:val="22"/>
          <w:szCs w:val="22"/>
        </w:rPr>
        <w:t>the right to science</w:t>
      </w:r>
      <w:r>
        <w:rPr>
          <w:sz w:val="22"/>
          <w:szCs w:val="22"/>
        </w:rPr>
        <w:t xml:space="preserve"> is interrelated, interdependent, and indivisible from other human rights</w:t>
      </w:r>
      <w:r w:rsidRPr="00D62499">
        <w:rPr>
          <w:sz w:val="22"/>
          <w:szCs w:val="22"/>
        </w:rPr>
        <w:t>.</w:t>
      </w:r>
      <w:r>
        <w:rPr>
          <w:sz w:val="22"/>
          <w:szCs w:val="22"/>
        </w:rPr>
        <w:t xml:space="preserve"> The right to science is a human right, which is clear not least because of its inclusion in the</w:t>
      </w:r>
      <w:r w:rsidR="00863350">
        <w:rPr>
          <w:sz w:val="22"/>
          <w:szCs w:val="22"/>
        </w:rPr>
        <w:t xml:space="preserve"> Universal Declaration of Human Rights</w:t>
      </w:r>
      <w:r>
        <w:rPr>
          <w:sz w:val="22"/>
          <w:szCs w:val="22"/>
        </w:rPr>
        <w:t xml:space="preserve"> </w:t>
      </w:r>
      <w:r w:rsidR="00863350">
        <w:rPr>
          <w:sz w:val="22"/>
          <w:szCs w:val="22"/>
        </w:rPr>
        <w:t>(</w:t>
      </w:r>
      <w:r>
        <w:rPr>
          <w:sz w:val="22"/>
          <w:szCs w:val="22"/>
        </w:rPr>
        <w:t>UDHR</w:t>
      </w:r>
      <w:r w:rsidR="00863350">
        <w:rPr>
          <w:sz w:val="22"/>
          <w:szCs w:val="22"/>
        </w:rPr>
        <w:t>)</w:t>
      </w:r>
      <w:r w:rsidR="001E2CAF">
        <w:rPr>
          <w:sz w:val="22"/>
          <w:szCs w:val="22"/>
        </w:rPr>
        <w:t>, and existing real-world application</w:t>
      </w:r>
      <w:r w:rsidR="00CC3E4E">
        <w:rPr>
          <w:sz w:val="22"/>
          <w:szCs w:val="22"/>
        </w:rPr>
        <w:t xml:space="preserve"> within the human rights framework</w:t>
      </w:r>
      <w:r>
        <w:rPr>
          <w:sz w:val="22"/>
          <w:szCs w:val="22"/>
        </w:rPr>
        <w:t>.</w:t>
      </w:r>
    </w:p>
    <w:p w14:paraId="459CAA2D" w14:textId="76845003" w:rsidR="00D62499" w:rsidRDefault="00D62499" w:rsidP="00D62499">
      <w:pPr>
        <w:pStyle w:val="ListParagraph"/>
        <w:numPr>
          <w:ilvl w:val="0"/>
          <w:numId w:val="4"/>
        </w:numPr>
        <w:rPr>
          <w:sz w:val="22"/>
          <w:szCs w:val="22"/>
        </w:rPr>
      </w:pPr>
      <w:r>
        <w:rPr>
          <w:sz w:val="22"/>
          <w:szCs w:val="22"/>
        </w:rPr>
        <w:t xml:space="preserve">TAG strongly supports </w:t>
      </w:r>
      <w:r w:rsidR="04B72D69" w:rsidRPr="00D62499">
        <w:rPr>
          <w:sz w:val="22"/>
          <w:szCs w:val="22"/>
        </w:rPr>
        <w:t>the articulation of the 3AQ framework detailing the four interrelated and essential elements of the right</w:t>
      </w:r>
      <w:r w:rsidR="00AC2CC5">
        <w:rPr>
          <w:sz w:val="22"/>
          <w:szCs w:val="22"/>
        </w:rPr>
        <w:t>.</w:t>
      </w:r>
      <w:r w:rsidR="04B72D69" w:rsidRPr="00D62499">
        <w:rPr>
          <w:sz w:val="22"/>
          <w:szCs w:val="22"/>
        </w:rPr>
        <w:t xml:space="preserve"> </w:t>
      </w:r>
      <w:r>
        <w:rPr>
          <w:sz w:val="22"/>
          <w:szCs w:val="22"/>
        </w:rPr>
        <w:t>TAG</w:t>
      </w:r>
      <w:r w:rsidR="04B72D69" w:rsidRPr="00D62499">
        <w:rPr>
          <w:sz w:val="22"/>
          <w:szCs w:val="22"/>
        </w:rPr>
        <w:t xml:space="preserve"> encourage</w:t>
      </w:r>
      <w:r>
        <w:rPr>
          <w:sz w:val="22"/>
          <w:szCs w:val="22"/>
        </w:rPr>
        <w:t>s</w:t>
      </w:r>
      <w:r w:rsidR="04B72D69" w:rsidRPr="00D62499">
        <w:rPr>
          <w:sz w:val="22"/>
          <w:szCs w:val="22"/>
        </w:rPr>
        <w:t xml:space="preserve"> CESCR to expand the discussion of what constitutes availability under the right and </w:t>
      </w:r>
      <w:r w:rsidR="00AC2CC5">
        <w:rPr>
          <w:sz w:val="22"/>
          <w:szCs w:val="22"/>
        </w:rPr>
        <w:t xml:space="preserve">the </w:t>
      </w:r>
      <w:r w:rsidR="04B72D69" w:rsidRPr="00D62499">
        <w:rPr>
          <w:sz w:val="22"/>
          <w:szCs w:val="22"/>
        </w:rPr>
        <w:t xml:space="preserve">corresponding state obligations. </w:t>
      </w:r>
    </w:p>
    <w:p w14:paraId="2834C514" w14:textId="602EABF2" w:rsidR="00D62499" w:rsidRPr="00D62499" w:rsidRDefault="00BA424F" w:rsidP="00D62499">
      <w:pPr>
        <w:pStyle w:val="ListParagraph"/>
        <w:numPr>
          <w:ilvl w:val="0"/>
          <w:numId w:val="4"/>
        </w:numPr>
        <w:rPr>
          <w:sz w:val="22"/>
          <w:szCs w:val="22"/>
        </w:rPr>
      </w:pPr>
      <w:r w:rsidRPr="00D62499">
        <w:rPr>
          <w:sz w:val="22"/>
          <w:szCs w:val="22"/>
        </w:rPr>
        <w:lastRenderedPageBreak/>
        <w:t xml:space="preserve">The current text of the </w:t>
      </w:r>
      <w:r w:rsidR="008C0608" w:rsidRPr="00D62499">
        <w:rPr>
          <w:sz w:val="22"/>
          <w:szCs w:val="22"/>
        </w:rPr>
        <w:t xml:space="preserve">GC </w:t>
      </w:r>
      <w:r w:rsidRPr="00D62499">
        <w:rPr>
          <w:sz w:val="22"/>
          <w:szCs w:val="22"/>
        </w:rPr>
        <w:t xml:space="preserve">does not define the “steps to be taken by states parties to achieve the full realization of the right,” namely the </w:t>
      </w:r>
      <w:r w:rsidRPr="00D62499">
        <w:rPr>
          <w:i/>
          <w:sz w:val="22"/>
          <w:szCs w:val="22"/>
        </w:rPr>
        <w:t>conservation</w:t>
      </w:r>
      <w:r w:rsidRPr="00D62499">
        <w:rPr>
          <w:sz w:val="22"/>
          <w:szCs w:val="22"/>
        </w:rPr>
        <w:t xml:space="preserve">, </w:t>
      </w:r>
      <w:r w:rsidRPr="00D62499">
        <w:rPr>
          <w:i/>
          <w:sz w:val="22"/>
          <w:szCs w:val="22"/>
        </w:rPr>
        <w:t>development</w:t>
      </w:r>
      <w:r w:rsidRPr="00D62499">
        <w:rPr>
          <w:sz w:val="22"/>
          <w:szCs w:val="22"/>
        </w:rPr>
        <w:t xml:space="preserve">, and </w:t>
      </w:r>
      <w:r w:rsidRPr="00D62499">
        <w:rPr>
          <w:i/>
          <w:sz w:val="22"/>
          <w:szCs w:val="22"/>
        </w:rPr>
        <w:t>diffusion</w:t>
      </w:r>
      <w:r w:rsidRPr="00D62499">
        <w:rPr>
          <w:sz w:val="22"/>
          <w:szCs w:val="22"/>
        </w:rPr>
        <w:t xml:space="preserve"> of science and culture (Art 15.2). </w:t>
      </w:r>
      <w:r w:rsidR="00AC2CC5">
        <w:rPr>
          <w:sz w:val="22"/>
          <w:szCs w:val="22"/>
        </w:rPr>
        <w:t>TAG</w:t>
      </w:r>
      <w:r w:rsidRPr="00D62499">
        <w:rPr>
          <w:sz w:val="22"/>
          <w:szCs w:val="22"/>
        </w:rPr>
        <w:t xml:space="preserve"> strongly encourage</w:t>
      </w:r>
      <w:r w:rsidR="00AC2CC5">
        <w:rPr>
          <w:sz w:val="22"/>
          <w:szCs w:val="22"/>
        </w:rPr>
        <w:t>s</w:t>
      </w:r>
      <w:r w:rsidRPr="00D62499">
        <w:rPr>
          <w:sz w:val="22"/>
          <w:szCs w:val="22"/>
        </w:rPr>
        <w:t xml:space="preserve"> CESCR to define these terms in the GC so that </w:t>
      </w:r>
      <w:r w:rsidR="00AC2CC5">
        <w:rPr>
          <w:sz w:val="22"/>
          <w:szCs w:val="22"/>
        </w:rPr>
        <w:t>S</w:t>
      </w:r>
      <w:r w:rsidRPr="00D62499">
        <w:rPr>
          <w:sz w:val="22"/>
          <w:szCs w:val="22"/>
        </w:rPr>
        <w:t>tate</w:t>
      </w:r>
      <w:r w:rsidR="00AC2CC5">
        <w:rPr>
          <w:sz w:val="22"/>
          <w:szCs w:val="22"/>
        </w:rPr>
        <w:t>s</w:t>
      </w:r>
      <w:r w:rsidRPr="00D62499">
        <w:rPr>
          <w:sz w:val="22"/>
          <w:szCs w:val="22"/>
        </w:rPr>
        <w:t xml:space="preserve"> may better understand their obligations and </w:t>
      </w:r>
      <w:r w:rsidR="00E40750" w:rsidRPr="00D62499">
        <w:rPr>
          <w:sz w:val="22"/>
          <w:szCs w:val="22"/>
        </w:rPr>
        <w:t xml:space="preserve">the </w:t>
      </w:r>
      <w:r w:rsidRPr="00D62499">
        <w:rPr>
          <w:sz w:val="22"/>
          <w:szCs w:val="22"/>
        </w:rPr>
        <w:t>range of possible action</w:t>
      </w:r>
      <w:r w:rsidR="00E40750" w:rsidRPr="00D62499">
        <w:rPr>
          <w:sz w:val="22"/>
          <w:szCs w:val="22"/>
        </w:rPr>
        <w:t>s</w:t>
      </w:r>
      <w:r w:rsidRPr="00D62499">
        <w:rPr>
          <w:sz w:val="22"/>
          <w:szCs w:val="22"/>
        </w:rPr>
        <w:t>.</w:t>
      </w:r>
      <w:r w:rsidR="00863350">
        <w:rPr>
          <w:sz w:val="22"/>
          <w:szCs w:val="22"/>
        </w:rPr>
        <w:t xml:space="preserve"> CESCR could adopt the definitions</w:t>
      </w:r>
      <w:r w:rsidRPr="00D62499">
        <w:rPr>
          <w:sz w:val="22"/>
          <w:szCs w:val="22"/>
        </w:rPr>
        <w:t xml:space="preserve"> in the 2012 report of Special Rapporteur </w:t>
      </w:r>
      <w:r w:rsidR="00D62499">
        <w:rPr>
          <w:sz w:val="22"/>
          <w:szCs w:val="22"/>
        </w:rPr>
        <w:t xml:space="preserve">(SR) </w:t>
      </w:r>
      <w:r w:rsidRPr="00D62499">
        <w:rPr>
          <w:sz w:val="22"/>
          <w:szCs w:val="22"/>
        </w:rPr>
        <w:t>Farida Shaheed</w:t>
      </w:r>
      <w:r w:rsidR="00AC2CC5">
        <w:rPr>
          <w:sz w:val="22"/>
          <w:szCs w:val="22"/>
        </w:rPr>
        <w:t>:</w:t>
      </w:r>
      <w:r w:rsidR="00D62499">
        <w:rPr>
          <w:rStyle w:val="FootnoteReference"/>
          <w:szCs w:val="22"/>
        </w:rPr>
        <w:footnoteReference w:id="1"/>
      </w:r>
      <w:r w:rsidRPr="00D62499">
        <w:rPr>
          <w:rFonts w:ascii="Calibri" w:eastAsia="Calibri" w:hAnsi="Calibri" w:cs="Times New Roman"/>
        </w:rPr>
        <w:t xml:space="preserve"> </w:t>
      </w:r>
    </w:p>
    <w:p w14:paraId="5EC4B049" w14:textId="6D2368CC" w:rsidR="00D62499" w:rsidRDefault="00AC2CC5" w:rsidP="00AC2CC5">
      <w:pPr>
        <w:pStyle w:val="ListParagraph"/>
        <w:numPr>
          <w:ilvl w:val="1"/>
          <w:numId w:val="4"/>
        </w:numPr>
        <w:rPr>
          <w:sz w:val="22"/>
          <w:szCs w:val="22"/>
        </w:rPr>
      </w:pPr>
      <w:r>
        <w:rPr>
          <w:sz w:val="22"/>
          <w:szCs w:val="22"/>
        </w:rPr>
        <w:t>C</w:t>
      </w:r>
      <w:r w:rsidR="00556CE9" w:rsidRPr="00D62499">
        <w:rPr>
          <w:sz w:val="22"/>
          <w:szCs w:val="22"/>
        </w:rPr>
        <w:t xml:space="preserve">onservation </w:t>
      </w:r>
      <w:r>
        <w:rPr>
          <w:sz w:val="22"/>
          <w:szCs w:val="22"/>
        </w:rPr>
        <w:t>r</w:t>
      </w:r>
      <w:r w:rsidR="00556CE9" w:rsidRPr="00D62499">
        <w:rPr>
          <w:sz w:val="22"/>
          <w:szCs w:val="22"/>
        </w:rPr>
        <w:t>equir</w:t>
      </w:r>
      <w:r>
        <w:rPr>
          <w:sz w:val="22"/>
          <w:szCs w:val="22"/>
        </w:rPr>
        <w:t>es</w:t>
      </w:r>
      <w:r w:rsidR="00556CE9" w:rsidRPr="00D62499">
        <w:rPr>
          <w:sz w:val="22"/>
          <w:szCs w:val="22"/>
        </w:rPr>
        <w:t xml:space="preserve"> “the identification and safeguarding of scientific knowledge, products and tools, </w:t>
      </w:r>
      <w:r>
        <w:rPr>
          <w:sz w:val="22"/>
          <w:szCs w:val="22"/>
        </w:rPr>
        <w:t>[…]</w:t>
      </w:r>
      <w:r w:rsidR="00556CE9" w:rsidRPr="00D62499">
        <w:rPr>
          <w:sz w:val="22"/>
          <w:szCs w:val="22"/>
        </w:rPr>
        <w:t xml:space="preserve">.” To this </w:t>
      </w:r>
      <w:r w:rsidR="00D62499">
        <w:rPr>
          <w:sz w:val="22"/>
          <w:szCs w:val="22"/>
        </w:rPr>
        <w:t>TAG</w:t>
      </w:r>
      <w:r w:rsidR="00556CE9" w:rsidRPr="00D62499">
        <w:rPr>
          <w:sz w:val="22"/>
          <w:szCs w:val="22"/>
        </w:rPr>
        <w:t xml:space="preserve"> would add that conservation </w:t>
      </w:r>
      <w:r w:rsidRPr="00D62499">
        <w:rPr>
          <w:sz w:val="22"/>
          <w:szCs w:val="22"/>
        </w:rPr>
        <w:t>demands</w:t>
      </w:r>
      <w:r w:rsidR="00556CE9" w:rsidRPr="00D62499">
        <w:rPr>
          <w:sz w:val="22"/>
          <w:szCs w:val="22"/>
        </w:rPr>
        <w:t xml:space="preserve"> ensuring that the benefits and applications of science are lasting i.e., available </w:t>
      </w:r>
      <w:r w:rsidR="008D144A" w:rsidRPr="00D62499">
        <w:rPr>
          <w:sz w:val="22"/>
          <w:szCs w:val="22"/>
        </w:rPr>
        <w:t xml:space="preserve">for the enjoyment of present and future generations. </w:t>
      </w:r>
    </w:p>
    <w:p w14:paraId="2671ADFB" w14:textId="4F03BA7F" w:rsidR="00D62499" w:rsidRDefault="00AC2CC5" w:rsidP="00AC2CC5">
      <w:pPr>
        <w:pStyle w:val="ListParagraph"/>
        <w:numPr>
          <w:ilvl w:val="1"/>
          <w:numId w:val="4"/>
        </w:numPr>
        <w:rPr>
          <w:sz w:val="22"/>
          <w:szCs w:val="22"/>
        </w:rPr>
      </w:pPr>
      <w:r>
        <w:rPr>
          <w:sz w:val="22"/>
          <w:szCs w:val="22"/>
        </w:rPr>
        <w:t>D</w:t>
      </w:r>
      <w:r w:rsidR="008D144A" w:rsidRPr="00D62499">
        <w:rPr>
          <w:sz w:val="22"/>
          <w:szCs w:val="22"/>
        </w:rPr>
        <w:t>evelopment demand</w:t>
      </w:r>
      <w:r>
        <w:rPr>
          <w:sz w:val="22"/>
          <w:szCs w:val="22"/>
        </w:rPr>
        <w:t>s</w:t>
      </w:r>
      <w:r w:rsidR="008D144A" w:rsidRPr="00D62499">
        <w:rPr>
          <w:sz w:val="22"/>
          <w:szCs w:val="22"/>
        </w:rPr>
        <w:t xml:space="preserve"> “an explicit commitment to the development of science and technology for human benefit […] which implies the adoption of programs to support and strengthen publicly funded research.” </w:t>
      </w:r>
      <w:r w:rsidR="00D62499">
        <w:rPr>
          <w:sz w:val="22"/>
          <w:szCs w:val="22"/>
        </w:rPr>
        <w:t>TAG</w:t>
      </w:r>
      <w:r w:rsidR="008C0608" w:rsidRPr="00D62499">
        <w:rPr>
          <w:sz w:val="22"/>
          <w:szCs w:val="22"/>
        </w:rPr>
        <w:t xml:space="preserve"> encourage</w:t>
      </w:r>
      <w:r w:rsidR="00D62499">
        <w:rPr>
          <w:sz w:val="22"/>
          <w:szCs w:val="22"/>
        </w:rPr>
        <w:t>s</w:t>
      </w:r>
      <w:r w:rsidR="008C0608" w:rsidRPr="00D62499">
        <w:rPr>
          <w:sz w:val="22"/>
          <w:szCs w:val="22"/>
        </w:rPr>
        <w:t xml:space="preserve"> CESCR to strengthen the discussion of public funding for research within the GC</w:t>
      </w:r>
      <w:r>
        <w:rPr>
          <w:sz w:val="22"/>
          <w:szCs w:val="22"/>
        </w:rPr>
        <w:t xml:space="preserve"> as per </w:t>
      </w:r>
      <w:r w:rsidR="008C0608" w:rsidRPr="00D62499">
        <w:rPr>
          <w:sz w:val="22"/>
          <w:szCs w:val="22"/>
        </w:rPr>
        <w:t xml:space="preserve">suggested edits </w:t>
      </w:r>
      <w:r w:rsidR="00437A0B">
        <w:rPr>
          <w:sz w:val="22"/>
          <w:szCs w:val="22"/>
        </w:rPr>
        <w:t xml:space="preserve">noted </w:t>
      </w:r>
      <w:r w:rsidR="008C0608" w:rsidRPr="00D62499">
        <w:rPr>
          <w:sz w:val="22"/>
          <w:szCs w:val="22"/>
        </w:rPr>
        <w:t xml:space="preserve">below related to the “purposive development” of science and technology. </w:t>
      </w:r>
    </w:p>
    <w:p w14:paraId="37240741" w14:textId="6A5EAB89" w:rsidR="008D144A" w:rsidRDefault="00782BA3" w:rsidP="00AC2CC5">
      <w:pPr>
        <w:pStyle w:val="ListParagraph"/>
        <w:numPr>
          <w:ilvl w:val="1"/>
          <w:numId w:val="4"/>
        </w:numPr>
        <w:rPr>
          <w:sz w:val="22"/>
          <w:szCs w:val="22"/>
        </w:rPr>
      </w:pPr>
      <w:r>
        <w:rPr>
          <w:sz w:val="22"/>
          <w:szCs w:val="22"/>
        </w:rPr>
        <w:t>D</w:t>
      </w:r>
      <w:r w:rsidR="008D144A" w:rsidRPr="00D62499">
        <w:rPr>
          <w:sz w:val="22"/>
          <w:szCs w:val="22"/>
        </w:rPr>
        <w:t>iffusion encompass</w:t>
      </w:r>
      <w:r>
        <w:rPr>
          <w:sz w:val="22"/>
          <w:szCs w:val="22"/>
        </w:rPr>
        <w:t>es</w:t>
      </w:r>
      <w:r w:rsidR="00F445A6">
        <w:rPr>
          <w:sz w:val="22"/>
          <w:szCs w:val="22"/>
        </w:rPr>
        <w:t xml:space="preserve"> </w:t>
      </w:r>
      <w:r w:rsidR="008D144A" w:rsidRPr="00D62499">
        <w:rPr>
          <w:sz w:val="22"/>
          <w:szCs w:val="22"/>
        </w:rPr>
        <w:t xml:space="preserve">“the dissemination of scientific knowledge and applications both within the scientific community and in society at large…” The GC draft already contains a strong discussion </w:t>
      </w:r>
      <w:r w:rsidR="008D144A" w:rsidRPr="00D62499">
        <w:rPr>
          <w:sz w:val="22"/>
          <w:szCs w:val="22"/>
        </w:rPr>
        <w:lastRenderedPageBreak/>
        <w:t xml:space="preserve">of diffusion; </w:t>
      </w:r>
      <w:r w:rsidR="00D62499">
        <w:rPr>
          <w:sz w:val="22"/>
          <w:szCs w:val="22"/>
        </w:rPr>
        <w:t>TAG</w:t>
      </w:r>
      <w:r w:rsidR="008D144A" w:rsidRPr="00D62499">
        <w:rPr>
          <w:sz w:val="22"/>
          <w:szCs w:val="22"/>
        </w:rPr>
        <w:t xml:space="preserve"> draw</w:t>
      </w:r>
      <w:r w:rsidR="00D62499">
        <w:rPr>
          <w:sz w:val="22"/>
          <w:szCs w:val="22"/>
        </w:rPr>
        <w:t>s</w:t>
      </w:r>
      <w:r w:rsidR="008D144A" w:rsidRPr="00D62499">
        <w:rPr>
          <w:sz w:val="22"/>
          <w:szCs w:val="22"/>
        </w:rPr>
        <w:t xml:space="preserve"> CESCR’s attention to the SR’s point that “The diffusion of science is a precondition for public participation in decision-making and essential for fostering further research, development, and applications.” This last aspect of diffusion </w:t>
      </w:r>
      <w:r w:rsidR="00D62499">
        <w:rPr>
          <w:sz w:val="22"/>
          <w:szCs w:val="22"/>
        </w:rPr>
        <w:t xml:space="preserve">would benefit from stronger </w:t>
      </w:r>
      <w:r w:rsidR="008D144A" w:rsidRPr="00D62499">
        <w:rPr>
          <w:sz w:val="22"/>
          <w:szCs w:val="22"/>
        </w:rPr>
        <w:t>emphasi</w:t>
      </w:r>
      <w:r w:rsidR="00D62499">
        <w:rPr>
          <w:sz w:val="22"/>
          <w:szCs w:val="22"/>
        </w:rPr>
        <w:t>s</w:t>
      </w:r>
      <w:r w:rsidR="008D144A" w:rsidRPr="00D62499">
        <w:rPr>
          <w:sz w:val="22"/>
          <w:szCs w:val="22"/>
        </w:rPr>
        <w:t xml:space="preserve">.  </w:t>
      </w:r>
    </w:p>
    <w:p w14:paraId="2530BFEC" w14:textId="25926E62" w:rsidR="00FF46B5" w:rsidRDefault="00D62499" w:rsidP="00FF46B5">
      <w:pPr>
        <w:pStyle w:val="ListParagraph"/>
        <w:numPr>
          <w:ilvl w:val="0"/>
          <w:numId w:val="4"/>
        </w:numPr>
        <w:rPr>
          <w:sz w:val="22"/>
          <w:szCs w:val="22"/>
        </w:rPr>
      </w:pPr>
      <w:r>
        <w:rPr>
          <w:sz w:val="22"/>
          <w:szCs w:val="22"/>
        </w:rPr>
        <w:t>Below</w:t>
      </w:r>
      <w:r w:rsidR="00AC2CC5">
        <w:rPr>
          <w:sz w:val="22"/>
          <w:szCs w:val="22"/>
        </w:rPr>
        <w:t>,</w:t>
      </w:r>
      <w:r>
        <w:rPr>
          <w:sz w:val="22"/>
          <w:szCs w:val="22"/>
        </w:rPr>
        <w:t xml:space="preserve"> TAG presents </w:t>
      </w:r>
      <w:r w:rsidR="00AC2CC5">
        <w:rPr>
          <w:sz w:val="22"/>
          <w:szCs w:val="22"/>
        </w:rPr>
        <w:t xml:space="preserve">concrete </w:t>
      </w:r>
      <w:r>
        <w:rPr>
          <w:sz w:val="22"/>
          <w:szCs w:val="22"/>
        </w:rPr>
        <w:t>suggested amendments to the GC</w:t>
      </w:r>
      <w:r w:rsidR="00437A0B">
        <w:rPr>
          <w:sz w:val="22"/>
          <w:szCs w:val="22"/>
        </w:rPr>
        <w:t xml:space="preserve"> draft</w:t>
      </w:r>
      <w:r>
        <w:rPr>
          <w:sz w:val="22"/>
          <w:szCs w:val="22"/>
        </w:rPr>
        <w:t xml:space="preserve"> for CESCR’s consideration. </w:t>
      </w:r>
      <w:r w:rsidR="00AC2CC5">
        <w:rPr>
          <w:sz w:val="22"/>
          <w:szCs w:val="22"/>
        </w:rPr>
        <w:t xml:space="preserve">New/revised text is presented in </w:t>
      </w:r>
      <w:r w:rsidR="00AC2CC5" w:rsidRPr="00AC2CC5">
        <w:rPr>
          <w:color w:val="4472C4" w:themeColor="accent1"/>
          <w:sz w:val="22"/>
          <w:szCs w:val="22"/>
          <w:u w:val="single"/>
        </w:rPr>
        <w:t>blue underscore</w:t>
      </w:r>
      <w:r w:rsidR="00AC2CC5">
        <w:rPr>
          <w:sz w:val="22"/>
          <w:szCs w:val="22"/>
        </w:rPr>
        <w:t>.</w:t>
      </w:r>
    </w:p>
    <w:p w14:paraId="44B92978" w14:textId="77777777" w:rsidR="00437A0B" w:rsidRPr="00FF46B5" w:rsidRDefault="00437A0B" w:rsidP="00C000D1">
      <w:pPr>
        <w:pStyle w:val="ListParagraph"/>
        <w:rPr>
          <w:sz w:val="22"/>
          <w:szCs w:val="22"/>
        </w:rPr>
      </w:pPr>
    </w:p>
    <w:tbl>
      <w:tblPr>
        <w:tblStyle w:val="TableGrid"/>
        <w:tblW w:w="9895" w:type="dxa"/>
        <w:tblLook w:val="04A0" w:firstRow="1" w:lastRow="0" w:firstColumn="1" w:lastColumn="0" w:noHBand="0" w:noVBand="1"/>
      </w:tblPr>
      <w:tblGrid>
        <w:gridCol w:w="983"/>
        <w:gridCol w:w="4592"/>
        <w:gridCol w:w="4320"/>
      </w:tblGrid>
      <w:tr w:rsidR="00283563" w:rsidRPr="00D62499" w14:paraId="6138D9D3" w14:textId="77777777" w:rsidTr="001D713B">
        <w:tc>
          <w:tcPr>
            <w:tcW w:w="983" w:type="dxa"/>
          </w:tcPr>
          <w:p w14:paraId="45FBD182" w14:textId="63A70ABC" w:rsidR="00283563" w:rsidRPr="00D62499" w:rsidRDefault="00283563" w:rsidP="00AC2CC5">
            <w:pPr>
              <w:jc w:val="center"/>
              <w:rPr>
                <w:b/>
                <w:sz w:val="22"/>
                <w:szCs w:val="22"/>
              </w:rPr>
            </w:pPr>
            <w:r w:rsidRPr="00D62499">
              <w:rPr>
                <w:b/>
                <w:sz w:val="22"/>
                <w:szCs w:val="22"/>
              </w:rPr>
              <w:t>Para.no.</w:t>
            </w:r>
          </w:p>
        </w:tc>
        <w:tc>
          <w:tcPr>
            <w:tcW w:w="4592" w:type="dxa"/>
          </w:tcPr>
          <w:p w14:paraId="68A13ACC" w14:textId="36E5CCEB" w:rsidR="00283563" w:rsidRPr="00D62499" w:rsidRDefault="00283563" w:rsidP="00AC2CC5">
            <w:pPr>
              <w:jc w:val="center"/>
              <w:rPr>
                <w:b/>
                <w:sz w:val="22"/>
                <w:szCs w:val="22"/>
              </w:rPr>
            </w:pPr>
            <w:r w:rsidRPr="00D62499">
              <w:rPr>
                <w:b/>
                <w:sz w:val="22"/>
                <w:szCs w:val="22"/>
              </w:rPr>
              <w:t>Comment</w:t>
            </w:r>
          </w:p>
        </w:tc>
        <w:tc>
          <w:tcPr>
            <w:tcW w:w="4320" w:type="dxa"/>
            <w:vAlign w:val="center"/>
          </w:tcPr>
          <w:p w14:paraId="0C598465" w14:textId="519AF5BA" w:rsidR="0019167A" w:rsidRPr="00D62499" w:rsidRDefault="00283563" w:rsidP="00AC2CC5">
            <w:pPr>
              <w:jc w:val="center"/>
              <w:rPr>
                <w:b/>
                <w:sz w:val="22"/>
                <w:szCs w:val="22"/>
              </w:rPr>
            </w:pPr>
            <w:r w:rsidRPr="00D62499">
              <w:rPr>
                <w:b/>
                <w:sz w:val="22"/>
                <w:szCs w:val="22"/>
              </w:rPr>
              <w:t>Suggested Amendment</w:t>
            </w:r>
          </w:p>
        </w:tc>
      </w:tr>
      <w:tr w:rsidR="008C0608" w14:paraId="22F88067" w14:textId="77777777" w:rsidTr="001D713B">
        <w:tc>
          <w:tcPr>
            <w:tcW w:w="983" w:type="dxa"/>
          </w:tcPr>
          <w:p w14:paraId="04FA356C" w14:textId="0A0B8AA6" w:rsidR="008C0608" w:rsidRPr="007D1800" w:rsidRDefault="008C0608" w:rsidP="00283563">
            <w:pPr>
              <w:jc w:val="center"/>
              <w:rPr>
                <w:rFonts w:ascii="Calibri" w:eastAsia="Calibri" w:hAnsi="Calibri" w:cs="Times New Roman"/>
                <w:sz w:val="21"/>
                <w:szCs w:val="21"/>
              </w:rPr>
            </w:pPr>
            <w:r w:rsidRPr="007D1800">
              <w:rPr>
                <w:rFonts w:ascii="Calibri" w:eastAsia="Calibri" w:hAnsi="Calibri" w:cs="Times New Roman"/>
                <w:sz w:val="21"/>
                <w:szCs w:val="21"/>
              </w:rPr>
              <w:t>¶19</w:t>
            </w:r>
          </w:p>
        </w:tc>
        <w:tc>
          <w:tcPr>
            <w:tcW w:w="4592" w:type="dxa"/>
          </w:tcPr>
          <w:p w14:paraId="0DE026B6" w14:textId="75A1BA17" w:rsidR="008C0608" w:rsidRPr="007D1800" w:rsidRDefault="008C0608" w:rsidP="00A0675D">
            <w:pPr>
              <w:rPr>
                <w:sz w:val="21"/>
                <w:szCs w:val="21"/>
              </w:rPr>
            </w:pPr>
            <w:r w:rsidRPr="007D1800">
              <w:rPr>
                <w:sz w:val="21"/>
                <w:szCs w:val="21"/>
              </w:rPr>
              <w:t xml:space="preserve">The paragraph regarding interdependence with other rights should more explicitly link to General Comments 13 and 15 on the rights to education and water, respectively, to frame the right to science in similar ways as a public good. </w:t>
            </w:r>
          </w:p>
        </w:tc>
        <w:tc>
          <w:tcPr>
            <w:tcW w:w="4320" w:type="dxa"/>
          </w:tcPr>
          <w:p w14:paraId="6B39C99D" w14:textId="37181C61" w:rsidR="008C0608" w:rsidRPr="007D1800" w:rsidRDefault="00AC2CC5" w:rsidP="00A0675D">
            <w:pPr>
              <w:rPr>
                <w:sz w:val="21"/>
                <w:szCs w:val="21"/>
              </w:rPr>
            </w:pPr>
            <w:r>
              <w:rPr>
                <w:sz w:val="21"/>
                <w:szCs w:val="21"/>
              </w:rPr>
              <w:t>“</w:t>
            </w:r>
            <w:r w:rsidR="008C0608" w:rsidRPr="007D1800">
              <w:rPr>
                <w:sz w:val="21"/>
                <w:szCs w:val="21"/>
              </w:rPr>
              <w:t xml:space="preserve">The development of science is also strongly linked with the enjoyment of the right to education, </w:t>
            </w:r>
            <w:r w:rsidR="008C0608" w:rsidRPr="00D62499">
              <w:rPr>
                <w:color w:val="0070C0"/>
                <w:sz w:val="21"/>
                <w:szCs w:val="21"/>
                <w:u w:val="single"/>
              </w:rPr>
              <w:t>General Comment 13, and to the right to water</w:t>
            </w:r>
            <w:r>
              <w:rPr>
                <w:color w:val="0070C0"/>
                <w:sz w:val="21"/>
                <w:szCs w:val="21"/>
                <w:u w:val="single"/>
              </w:rPr>
              <w:t>,</w:t>
            </w:r>
            <w:r w:rsidR="008C0608" w:rsidRPr="00D62499">
              <w:rPr>
                <w:color w:val="0070C0"/>
                <w:sz w:val="21"/>
                <w:szCs w:val="21"/>
                <w:u w:val="single"/>
              </w:rPr>
              <w:t xml:space="preserve"> General Comment 15, in which both rights protect public goods. Benefits </w:t>
            </w:r>
            <w:r w:rsidR="008C0608" w:rsidRPr="00A21728">
              <w:rPr>
                <w:color w:val="4472C4" w:themeColor="accent1"/>
                <w:sz w:val="21"/>
                <w:szCs w:val="21"/>
                <w:u w:val="single"/>
              </w:rPr>
              <w:t>from</w:t>
            </w:r>
            <w:r w:rsidR="008C0608" w:rsidRPr="00D62499">
              <w:rPr>
                <w:color w:val="0070C0"/>
                <w:sz w:val="21"/>
                <w:szCs w:val="21"/>
                <w:u w:val="single"/>
              </w:rPr>
              <w:t xml:space="preserve"> scientific progress are public goods.</w:t>
            </w:r>
            <w:r>
              <w:rPr>
                <w:color w:val="0070C0"/>
                <w:sz w:val="21"/>
                <w:szCs w:val="21"/>
                <w:u w:val="single"/>
              </w:rPr>
              <w:t>”</w:t>
            </w:r>
          </w:p>
        </w:tc>
      </w:tr>
      <w:tr w:rsidR="00F15F44" w14:paraId="6931F539" w14:textId="77777777" w:rsidTr="001D713B">
        <w:tc>
          <w:tcPr>
            <w:tcW w:w="983" w:type="dxa"/>
          </w:tcPr>
          <w:p w14:paraId="193F2EB1" w14:textId="0403A7F9" w:rsidR="00F15F44" w:rsidRPr="007D1800" w:rsidRDefault="00F15F44" w:rsidP="00283563">
            <w:pPr>
              <w:jc w:val="center"/>
              <w:rPr>
                <w:rFonts w:ascii="Calibri" w:eastAsia="Calibri" w:hAnsi="Calibri" w:cs="Times New Roman"/>
                <w:sz w:val="21"/>
                <w:szCs w:val="21"/>
              </w:rPr>
            </w:pPr>
            <w:r w:rsidRPr="007D1800">
              <w:rPr>
                <w:rFonts w:ascii="Calibri" w:eastAsia="Calibri" w:hAnsi="Calibri" w:cs="Times New Roman"/>
                <w:sz w:val="21"/>
                <w:szCs w:val="21"/>
              </w:rPr>
              <w:t>¶21</w:t>
            </w:r>
          </w:p>
        </w:tc>
        <w:tc>
          <w:tcPr>
            <w:tcW w:w="4592" w:type="dxa"/>
          </w:tcPr>
          <w:p w14:paraId="27EF0702" w14:textId="57576593" w:rsidR="00F15F44" w:rsidRPr="007D1800" w:rsidRDefault="00F15F44" w:rsidP="00A0675D">
            <w:pPr>
              <w:rPr>
                <w:sz w:val="21"/>
                <w:szCs w:val="21"/>
              </w:rPr>
            </w:pPr>
            <w:r w:rsidRPr="007D1800">
              <w:rPr>
                <w:sz w:val="21"/>
                <w:szCs w:val="21"/>
              </w:rPr>
              <w:t xml:space="preserve">The discussion of availability is not nearly comprehensive enough and should be expanded. </w:t>
            </w:r>
            <w:r w:rsidR="000F649B" w:rsidRPr="007D1800">
              <w:rPr>
                <w:sz w:val="21"/>
                <w:szCs w:val="21"/>
              </w:rPr>
              <w:t>As written, availability only references “the services ensuring access to scientific knowledge” and focuses on dissemination</w:t>
            </w:r>
            <w:r w:rsidR="00AC2CC5">
              <w:rPr>
                <w:sz w:val="21"/>
                <w:szCs w:val="21"/>
              </w:rPr>
              <w:t xml:space="preserve"> of knowledge without explicit</w:t>
            </w:r>
            <w:r w:rsidR="002B6999">
              <w:rPr>
                <w:sz w:val="21"/>
                <w:szCs w:val="21"/>
              </w:rPr>
              <w:t xml:space="preserve"> </w:t>
            </w:r>
            <w:r w:rsidR="00AC2CC5">
              <w:rPr>
                <w:sz w:val="21"/>
                <w:szCs w:val="21"/>
              </w:rPr>
              <w:t xml:space="preserve">mention that scientific knowledge includes the methodologies as well as tangible </w:t>
            </w:r>
            <w:r w:rsidR="00AC2CC5" w:rsidRPr="002B6999">
              <w:rPr>
                <w:i/>
                <w:sz w:val="21"/>
                <w:szCs w:val="21"/>
              </w:rPr>
              <w:t>benefits</w:t>
            </w:r>
            <w:r w:rsidR="00AC2CC5">
              <w:rPr>
                <w:sz w:val="21"/>
                <w:szCs w:val="21"/>
              </w:rPr>
              <w:t xml:space="preserve"> or </w:t>
            </w:r>
            <w:r w:rsidR="00AC2CC5" w:rsidRPr="002B6999">
              <w:rPr>
                <w:i/>
                <w:sz w:val="21"/>
                <w:szCs w:val="21"/>
              </w:rPr>
              <w:t>applications</w:t>
            </w:r>
            <w:r w:rsidR="00AC2CC5">
              <w:rPr>
                <w:sz w:val="21"/>
                <w:szCs w:val="21"/>
              </w:rPr>
              <w:t xml:space="preserve"> of science,</w:t>
            </w:r>
            <w:r w:rsidR="00FF46B5">
              <w:rPr>
                <w:sz w:val="21"/>
                <w:szCs w:val="21"/>
              </w:rPr>
              <w:t xml:space="preserve"> i.e. products and tools,</w:t>
            </w:r>
            <w:r w:rsidR="00AC2CC5">
              <w:rPr>
                <w:sz w:val="21"/>
                <w:szCs w:val="21"/>
              </w:rPr>
              <w:t xml:space="preserve"> as defined in </w:t>
            </w:r>
            <w:r w:rsidR="00AC2CC5" w:rsidRPr="007D1800">
              <w:rPr>
                <w:rFonts w:ascii="Calibri" w:eastAsia="Calibri" w:hAnsi="Calibri" w:cs="Times New Roman"/>
                <w:sz w:val="21"/>
                <w:szCs w:val="21"/>
              </w:rPr>
              <w:t>¶</w:t>
            </w:r>
            <w:r w:rsidR="00AC2CC5">
              <w:rPr>
                <w:rFonts w:ascii="Calibri" w:eastAsia="Calibri" w:hAnsi="Calibri" w:cs="Times New Roman"/>
                <w:sz w:val="21"/>
                <w:szCs w:val="21"/>
              </w:rPr>
              <w:t>7</w:t>
            </w:r>
            <w:r w:rsidR="000F649B" w:rsidRPr="007D1800">
              <w:rPr>
                <w:sz w:val="21"/>
                <w:szCs w:val="21"/>
              </w:rPr>
              <w:t xml:space="preserve">. The development and conservation elements of the right should be addressed here. For development, availability requires funding </w:t>
            </w:r>
            <w:r w:rsidR="00AC2CC5">
              <w:rPr>
                <w:sz w:val="21"/>
                <w:szCs w:val="21"/>
              </w:rPr>
              <w:t xml:space="preserve">R&amp;D, including that which is not purely market-driven </w:t>
            </w:r>
            <w:r w:rsidR="000F649B" w:rsidRPr="007D1800">
              <w:rPr>
                <w:sz w:val="21"/>
                <w:szCs w:val="21"/>
              </w:rPr>
              <w:t>(since solutions for many problems are unavailable because they are nonexistent or have not yet been developed—e.g., new medicines for resistant forms of TB</w:t>
            </w:r>
            <w:r w:rsidR="00E40750" w:rsidRPr="007D1800">
              <w:rPr>
                <w:sz w:val="21"/>
                <w:szCs w:val="21"/>
              </w:rPr>
              <w:t xml:space="preserve"> or a</w:t>
            </w:r>
            <w:r w:rsidR="0067080F" w:rsidRPr="007D1800">
              <w:rPr>
                <w:sz w:val="21"/>
                <w:szCs w:val="21"/>
              </w:rPr>
              <w:t xml:space="preserve"> </w:t>
            </w:r>
            <w:r w:rsidR="00F60409" w:rsidRPr="007D1800">
              <w:rPr>
                <w:sz w:val="21"/>
                <w:szCs w:val="21"/>
              </w:rPr>
              <w:t>preventive</w:t>
            </w:r>
            <w:r w:rsidR="0067080F" w:rsidRPr="007D1800">
              <w:rPr>
                <w:sz w:val="21"/>
                <w:szCs w:val="21"/>
              </w:rPr>
              <w:t xml:space="preserve"> vaccine</w:t>
            </w:r>
            <w:r w:rsidR="00E40750" w:rsidRPr="007D1800">
              <w:rPr>
                <w:sz w:val="21"/>
                <w:szCs w:val="21"/>
              </w:rPr>
              <w:t xml:space="preserve"> for HCV</w:t>
            </w:r>
            <w:r w:rsidR="000F649B" w:rsidRPr="007D1800">
              <w:rPr>
                <w:sz w:val="21"/>
                <w:szCs w:val="21"/>
              </w:rPr>
              <w:t xml:space="preserve">). For conservation, availability requires ensuring that the </w:t>
            </w:r>
            <w:r w:rsidR="000F649B" w:rsidRPr="002B6999">
              <w:rPr>
                <w:i/>
                <w:sz w:val="21"/>
                <w:szCs w:val="21"/>
              </w:rPr>
              <w:t>benefits</w:t>
            </w:r>
            <w:r w:rsidR="000F649B" w:rsidRPr="007D1800">
              <w:rPr>
                <w:sz w:val="21"/>
                <w:szCs w:val="21"/>
              </w:rPr>
              <w:t xml:space="preserve"> of science are available to present and future generations. </w:t>
            </w:r>
          </w:p>
        </w:tc>
        <w:tc>
          <w:tcPr>
            <w:tcW w:w="4320" w:type="dxa"/>
          </w:tcPr>
          <w:p w14:paraId="46683392" w14:textId="17D8ABE3" w:rsidR="00A21728" w:rsidRPr="00AC2CC5" w:rsidRDefault="00AC2CC5" w:rsidP="00AC2CC5">
            <w:pPr>
              <w:pStyle w:val="SingleTxtG"/>
              <w:suppressAutoHyphens w:val="0"/>
              <w:spacing w:line="240" w:lineRule="auto"/>
              <w:ind w:left="0" w:right="0"/>
              <w:jc w:val="left"/>
              <w:rPr>
                <w:rFonts w:asciiTheme="minorHAnsi" w:hAnsiTheme="minorHAnsi"/>
                <w:sz w:val="21"/>
                <w:szCs w:val="21"/>
              </w:rPr>
            </w:pPr>
            <w:r>
              <w:rPr>
                <w:rFonts w:asciiTheme="minorHAnsi" w:hAnsiTheme="minorHAnsi"/>
                <w:sz w:val="21"/>
                <w:szCs w:val="21"/>
              </w:rPr>
              <w:t>“</w:t>
            </w:r>
            <w:r w:rsidR="00A21728" w:rsidRPr="00AC2CC5">
              <w:rPr>
                <w:rFonts w:asciiTheme="minorHAnsi" w:hAnsiTheme="minorHAnsi"/>
                <w:sz w:val="21"/>
                <w:szCs w:val="21"/>
              </w:rPr>
              <w:t xml:space="preserve">Availability refers to the services ensuring access to scientific knowledge </w:t>
            </w:r>
            <w:r w:rsidRPr="00AC2CC5">
              <w:rPr>
                <w:rFonts w:asciiTheme="minorHAnsi" w:hAnsiTheme="minorHAnsi"/>
                <w:color w:val="4472C4" w:themeColor="accent1"/>
                <w:sz w:val="21"/>
                <w:szCs w:val="21"/>
                <w:u w:val="single"/>
              </w:rPr>
              <w:t>and methodologies</w:t>
            </w:r>
            <w:r>
              <w:rPr>
                <w:rFonts w:asciiTheme="minorHAnsi" w:hAnsiTheme="minorHAnsi"/>
                <w:sz w:val="21"/>
                <w:szCs w:val="21"/>
              </w:rPr>
              <w:t xml:space="preserve"> </w:t>
            </w:r>
            <w:r w:rsidR="00A21728" w:rsidRPr="00AC2CC5">
              <w:rPr>
                <w:rFonts w:asciiTheme="minorHAnsi" w:hAnsiTheme="minorHAnsi"/>
                <w:sz w:val="21"/>
                <w:szCs w:val="21"/>
              </w:rPr>
              <w:t>which everyone can enjoy and use, e.g. libraries, museums, universities, exhibitions, internet networks, etc.</w:t>
            </w:r>
            <w:r>
              <w:rPr>
                <w:rFonts w:asciiTheme="minorHAnsi" w:hAnsiTheme="minorHAnsi"/>
                <w:sz w:val="21"/>
                <w:szCs w:val="21"/>
              </w:rPr>
              <w:t xml:space="preserve">; </w:t>
            </w:r>
            <w:r w:rsidRPr="00AC2CC5">
              <w:rPr>
                <w:rFonts w:asciiTheme="minorHAnsi" w:hAnsiTheme="minorHAnsi"/>
                <w:color w:val="4472C4" w:themeColor="accent1"/>
                <w:sz w:val="21"/>
                <w:szCs w:val="21"/>
                <w:u w:val="single"/>
              </w:rPr>
              <w:t>as well as</w:t>
            </w:r>
            <w:r>
              <w:rPr>
                <w:rFonts w:asciiTheme="minorHAnsi" w:hAnsiTheme="minorHAnsi"/>
                <w:color w:val="4472C4" w:themeColor="accent1"/>
                <w:sz w:val="21"/>
                <w:szCs w:val="21"/>
                <w:u w:val="single"/>
              </w:rPr>
              <w:t xml:space="preserve"> applications and tangible benefits resulting from science</w:t>
            </w:r>
            <w:r w:rsidR="00FF46B5" w:rsidRPr="00C000D1">
              <w:rPr>
                <w:rFonts w:asciiTheme="minorHAnsi" w:hAnsiTheme="minorHAnsi"/>
                <w:color w:val="4472C4" w:themeColor="accent1"/>
                <w:sz w:val="21"/>
                <w:szCs w:val="21"/>
                <w:u w:val="single"/>
              </w:rPr>
              <w:t xml:space="preserve">, e.g. </w:t>
            </w:r>
            <w:r w:rsidR="00AE53E6" w:rsidRPr="00C000D1">
              <w:rPr>
                <w:rFonts w:asciiTheme="minorHAnsi" w:hAnsiTheme="minorHAnsi"/>
                <w:color w:val="4472C4" w:themeColor="accent1"/>
                <w:sz w:val="21"/>
                <w:szCs w:val="21"/>
                <w:u w:val="single"/>
              </w:rPr>
              <w:t>effective, simpler</w:t>
            </w:r>
            <w:r w:rsidR="002B6999" w:rsidRPr="00C000D1">
              <w:rPr>
                <w:rFonts w:asciiTheme="minorHAnsi" w:hAnsiTheme="minorHAnsi"/>
                <w:color w:val="4472C4" w:themeColor="accent1"/>
                <w:sz w:val="21"/>
                <w:szCs w:val="21"/>
                <w:u w:val="single"/>
              </w:rPr>
              <w:t xml:space="preserve"> diagnostics and treatment</w:t>
            </w:r>
            <w:r>
              <w:rPr>
                <w:rFonts w:asciiTheme="minorHAnsi" w:hAnsiTheme="minorHAnsi"/>
                <w:color w:val="4472C4" w:themeColor="accent1"/>
                <w:sz w:val="21"/>
                <w:szCs w:val="21"/>
                <w:u w:val="single"/>
              </w:rPr>
              <w:t>.</w:t>
            </w:r>
            <w:r w:rsidR="00A21728" w:rsidRPr="00AC2CC5">
              <w:rPr>
                <w:rFonts w:asciiTheme="minorHAnsi" w:hAnsiTheme="minorHAnsi"/>
                <w:color w:val="4472C4" w:themeColor="accent1"/>
                <w:sz w:val="21"/>
                <w:szCs w:val="21"/>
              </w:rPr>
              <w:t xml:space="preserve"> </w:t>
            </w:r>
            <w:r w:rsidR="00A21728" w:rsidRPr="00AC2CC5">
              <w:rPr>
                <w:rFonts w:asciiTheme="minorHAnsi" w:hAnsiTheme="minorHAnsi"/>
                <w:sz w:val="21"/>
                <w:szCs w:val="21"/>
              </w:rPr>
              <w:t xml:space="preserve">State </w:t>
            </w:r>
            <w:r>
              <w:rPr>
                <w:rFonts w:asciiTheme="minorHAnsi" w:hAnsiTheme="minorHAnsi"/>
                <w:sz w:val="21"/>
                <w:szCs w:val="21"/>
              </w:rPr>
              <w:t>p</w:t>
            </w:r>
            <w:r w:rsidR="00A21728" w:rsidRPr="00AC2CC5">
              <w:rPr>
                <w:rFonts w:asciiTheme="minorHAnsi" w:hAnsiTheme="minorHAnsi"/>
                <w:sz w:val="21"/>
                <w:szCs w:val="21"/>
              </w:rPr>
              <w:t>arties are expected to provide adequate support to scientific research</w:t>
            </w:r>
            <w:r>
              <w:rPr>
                <w:rFonts w:asciiTheme="minorHAnsi" w:hAnsiTheme="minorHAnsi"/>
                <w:sz w:val="21"/>
                <w:szCs w:val="21"/>
              </w:rPr>
              <w:t xml:space="preserve">, </w:t>
            </w:r>
            <w:r>
              <w:rPr>
                <w:rFonts w:asciiTheme="minorHAnsi" w:hAnsiTheme="minorHAnsi"/>
                <w:color w:val="4472C4" w:themeColor="accent1"/>
                <w:sz w:val="21"/>
                <w:szCs w:val="21"/>
                <w:u w:val="single"/>
              </w:rPr>
              <w:t>including</w:t>
            </w:r>
            <w:r w:rsidR="00571B99">
              <w:rPr>
                <w:rFonts w:asciiTheme="minorHAnsi" w:hAnsiTheme="minorHAnsi"/>
                <w:color w:val="4472C4" w:themeColor="accent1"/>
                <w:sz w:val="21"/>
                <w:szCs w:val="21"/>
                <w:u w:val="single"/>
              </w:rPr>
              <w:t>,</w:t>
            </w:r>
            <w:r>
              <w:rPr>
                <w:rFonts w:asciiTheme="minorHAnsi" w:hAnsiTheme="minorHAnsi"/>
                <w:color w:val="4472C4" w:themeColor="accent1"/>
                <w:sz w:val="21"/>
                <w:szCs w:val="21"/>
                <w:u w:val="single"/>
              </w:rPr>
              <w:t xml:space="preserve"> for example</w:t>
            </w:r>
            <w:r w:rsidR="00571B99">
              <w:rPr>
                <w:rFonts w:asciiTheme="minorHAnsi" w:hAnsiTheme="minorHAnsi"/>
                <w:color w:val="4472C4" w:themeColor="accent1"/>
                <w:sz w:val="21"/>
                <w:szCs w:val="21"/>
                <w:u w:val="single"/>
              </w:rPr>
              <w:t>,</w:t>
            </w:r>
            <w:r>
              <w:rPr>
                <w:rFonts w:asciiTheme="minorHAnsi" w:hAnsiTheme="minorHAnsi"/>
                <w:color w:val="4472C4" w:themeColor="accent1"/>
                <w:sz w:val="21"/>
                <w:szCs w:val="21"/>
                <w:u w:val="single"/>
              </w:rPr>
              <w:t xml:space="preserve"> research and development for under-resourced and neglected disease areas. State parties are also expected to provide funding</w:t>
            </w:r>
            <w:r w:rsidR="00A21728" w:rsidRPr="00AC2CC5">
              <w:rPr>
                <w:rFonts w:asciiTheme="minorHAnsi" w:hAnsiTheme="minorHAnsi"/>
                <w:sz w:val="21"/>
                <w:szCs w:val="21"/>
              </w:rPr>
              <w:t xml:space="preserve"> to the</w:t>
            </w:r>
            <w:r>
              <w:rPr>
                <w:rFonts w:asciiTheme="minorHAnsi" w:hAnsiTheme="minorHAnsi"/>
                <w:sz w:val="21"/>
                <w:szCs w:val="21"/>
              </w:rPr>
              <w:t xml:space="preserve"> </w:t>
            </w:r>
            <w:r>
              <w:rPr>
                <w:rFonts w:asciiTheme="minorHAnsi" w:hAnsiTheme="minorHAnsi"/>
                <w:color w:val="4472C4" w:themeColor="accent1"/>
                <w:sz w:val="21"/>
                <w:szCs w:val="21"/>
                <w:u w:val="single"/>
              </w:rPr>
              <w:t>long-term conservation and</w:t>
            </w:r>
            <w:r w:rsidR="00A21728" w:rsidRPr="00AC2CC5">
              <w:rPr>
                <w:rFonts w:asciiTheme="minorHAnsi" w:hAnsiTheme="minorHAnsi"/>
                <w:sz w:val="21"/>
                <w:szCs w:val="21"/>
              </w:rPr>
              <w:t xml:space="preserve"> dissemination of scientific knowledge</w:t>
            </w:r>
            <w:r>
              <w:rPr>
                <w:rFonts w:asciiTheme="minorHAnsi" w:hAnsiTheme="minorHAnsi"/>
                <w:sz w:val="21"/>
                <w:szCs w:val="21"/>
              </w:rPr>
              <w:t xml:space="preserve"> </w:t>
            </w:r>
            <w:r>
              <w:rPr>
                <w:rFonts w:asciiTheme="minorHAnsi" w:hAnsiTheme="minorHAnsi"/>
                <w:color w:val="4472C4" w:themeColor="accent1"/>
                <w:sz w:val="21"/>
                <w:szCs w:val="21"/>
                <w:u w:val="single"/>
              </w:rPr>
              <w:t>and benefits</w:t>
            </w:r>
            <w:r w:rsidR="00A21728" w:rsidRPr="00AC2CC5">
              <w:rPr>
                <w:rFonts w:asciiTheme="minorHAnsi" w:hAnsiTheme="minorHAnsi"/>
                <w:sz w:val="21"/>
                <w:szCs w:val="21"/>
              </w:rPr>
              <w:t xml:space="preserve"> in order to ensure that such knowledge </w:t>
            </w:r>
            <w:r>
              <w:rPr>
                <w:rFonts w:asciiTheme="minorHAnsi" w:hAnsiTheme="minorHAnsi"/>
                <w:color w:val="4472C4" w:themeColor="accent1"/>
                <w:sz w:val="21"/>
                <w:szCs w:val="21"/>
                <w:u w:val="single"/>
              </w:rPr>
              <w:t xml:space="preserve">and benefits </w:t>
            </w:r>
            <w:r w:rsidR="00A21728" w:rsidRPr="00AC2CC5">
              <w:rPr>
                <w:rFonts w:asciiTheme="minorHAnsi" w:hAnsiTheme="minorHAnsi"/>
                <w:sz w:val="21"/>
                <w:szCs w:val="21"/>
              </w:rPr>
              <w:t xml:space="preserve">can effectively be relied upon by </w:t>
            </w:r>
            <w:r>
              <w:rPr>
                <w:rFonts w:asciiTheme="minorHAnsi" w:hAnsiTheme="minorHAnsi"/>
                <w:color w:val="4472C4" w:themeColor="accent1"/>
                <w:sz w:val="21"/>
                <w:szCs w:val="21"/>
                <w:u w:val="single"/>
              </w:rPr>
              <w:t>current and future generations</w:t>
            </w:r>
            <w:r w:rsidR="00A21728" w:rsidRPr="00AC2CC5">
              <w:rPr>
                <w:rFonts w:asciiTheme="minorHAnsi" w:hAnsiTheme="minorHAnsi"/>
                <w:sz w:val="21"/>
                <w:szCs w:val="21"/>
              </w:rPr>
              <w:t>.</w:t>
            </w:r>
          </w:p>
          <w:p w14:paraId="17EC8EE0" w14:textId="156E743F" w:rsidR="00F15F44" w:rsidRPr="00A21728" w:rsidRDefault="00F15F44" w:rsidP="00A0675D">
            <w:pPr>
              <w:rPr>
                <w:sz w:val="21"/>
                <w:szCs w:val="21"/>
                <w:lang w:val="en-GB"/>
              </w:rPr>
            </w:pPr>
          </w:p>
        </w:tc>
      </w:tr>
      <w:tr w:rsidR="00320B76" w14:paraId="5929CFFF" w14:textId="77777777" w:rsidTr="001D713B">
        <w:tc>
          <w:tcPr>
            <w:tcW w:w="983" w:type="dxa"/>
          </w:tcPr>
          <w:p w14:paraId="24B67C7B" w14:textId="63472A66" w:rsidR="00320B76" w:rsidRPr="007D1800" w:rsidRDefault="00320B76" w:rsidP="00283563">
            <w:pPr>
              <w:jc w:val="center"/>
              <w:rPr>
                <w:rFonts w:ascii="Calibri" w:eastAsia="Calibri" w:hAnsi="Calibri" w:cs="Times New Roman"/>
                <w:sz w:val="21"/>
                <w:szCs w:val="21"/>
              </w:rPr>
            </w:pPr>
            <w:r w:rsidRPr="007D1800">
              <w:rPr>
                <w:rFonts w:ascii="Calibri" w:eastAsia="Calibri" w:hAnsi="Calibri" w:cs="Times New Roman"/>
                <w:sz w:val="21"/>
                <w:szCs w:val="21"/>
              </w:rPr>
              <w:t>¶22</w:t>
            </w:r>
          </w:p>
        </w:tc>
        <w:tc>
          <w:tcPr>
            <w:tcW w:w="4592" w:type="dxa"/>
          </w:tcPr>
          <w:p w14:paraId="5E76CA96" w14:textId="32ED8672" w:rsidR="00320B76" w:rsidRPr="007D1800" w:rsidRDefault="00320B76" w:rsidP="00A0675D">
            <w:pPr>
              <w:rPr>
                <w:sz w:val="21"/>
                <w:szCs w:val="21"/>
              </w:rPr>
            </w:pPr>
            <w:r w:rsidRPr="007D1800">
              <w:rPr>
                <w:sz w:val="21"/>
                <w:szCs w:val="21"/>
              </w:rPr>
              <w:t xml:space="preserve">This paragraph refers to the physical, financial, and cultural accessibility of “assets and services.” The word assets appears for the first time here, and would be better replaced by the term “benefits” </w:t>
            </w:r>
            <w:r w:rsidR="00DF50FC" w:rsidRPr="007D1800">
              <w:rPr>
                <w:sz w:val="21"/>
                <w:szCs w:val="21"/>
              </w:rPr>
              <w:t xml:space="preserve">throughout the </w:t>
            </w:r>
            <w:r w:rsidR="00A21728">
              <w:rPr>
                <w:sz w:val="21"/>
                <w:szCs w:val="21"/>
              </w:rPr>
              <w:t xml:space="preserve">GC in order to use </w:t>
            </w:r>
            <w:r w:rsidR="002B6999">
              <w:rPr>
                <w:sz w:val="21"/>
                <w:szCs w:val="21"/>
              </w:rPr>
              <w:t>terminology</w:t>
            </w:r>
            <w:r w:rsidR="00A21728">
              <w:rPr>
                <w:sz w:val="21"/>
                <w:szCs w:val="21"/>
              </w:rPr>
              <w:t xml:space="preserve"> that the GC has defined</w:t>
            </w:r>
            <w:r w:rsidRPr="007D1800">
              <w:rPr>
                <w:sz w:val="21"/>
                <w:szCs w:val="21"/>
              </w:rPr>
              <w:t xml:space="preserve">. </w:t>
            </w:r>
          </w:p>
          <w:p w14:paraId="4B0CBE32" w14:textId="77777777" w:rsidR="00320B76" w:rsidRPr="007D1800" w:rsidRDefault="00320B76" w:rsidP="00A0675D">
            <w:pPr>
              <w:rPr>
                <w:sz w:val="21"/>
                <w:szCs w:val="21"/>
              </w:rPr>
            </w:pPr>
          </w:p>
          <w:p w14:paraId="5B1111D1" w14:textId="6D0FF7FE" w:rsidR="00DF50FC" w:rsidRDefault="00320B76" w:rsidP="00A0675D">
            <w:pPr>
              <w:rPr>
                <w:sz w:val="21"/>
                <w:szCs w:val="21"/>
              </w:rPr>
            </w:pPr>
            <w:r w:rsidRPr="007D1800">
              <w:rPr>
                <w:sz w:val="21"/>
                <w:szCs w:val="21"/>
              </w:rPr>
              <w:t xml:space="preserve">The discussion of accessibility refers to “fair access.” </w:t>
            </w:r>
            <w:r w:rsidR="002B6999">
              <w:rPr>
                <w:sz w:val="21"/>
                <w:szCs w:val="21"/>
              </w:rPr>
              <w:t>TAG</w:t>
            </w:r>
            <w:r w:rsidR="002B6999" w:rsidRPr="007D1800">
              <w:rPr>
                <w:sz w:val="21"/>
                <w:szCs w:val="21"/>
              </w:rPr>
              <w:t xml:space="preserve"> </w:t>
            </w:r>
            <w:r w:rsidRPr="007D1800">
              <w:rPr>
                <w:sz w:val="21"/>
                <w:szCs w:val="21"/>
              </w:rPr>
              <w:t>note</w:t>
            </w:r>
            <w:r w:rsidR="002B6999">
              <w:rPr>
                <w:sz w:val="21"/>
                <w:szCs w:val="21"/>
              </w:rPr>
              <w:t>s</w:t>
            </w:r>
            <w:r w:rsidRPr="007D1800">
              <w:rPr>
                <w:sz w:val="21"/>
                <w:szCs w:val="21"/>
              </w:rPr>
              <w:t xml:space="preserve"> that “fairness” as a concept and term is not defined within the GC. Among civil society and within UN reports and </w:t>
            </w:r>
            <w:r w:rsidR="00654C73" w:rsidRPr="007D1800">
              <w:rPr>
                <w:sz w:val="21"/>
                <w:szCs w:val="21"/>
              </w:rPr>
              <w:t xml:space="preserve">political declarations, the term “equitable access” is more </w:t>
            </w:r>
            <w:r w:rsidR="00654C73" w:rsidRPr="007D1800">
              <w:rPr>
                <w:sz w:val="21"/>
                <w:szCs w:val="21"/>
              </w:rPr>
              <w:lastRenderedPageBreak/>
              <w:t xml:space="preserve">common than “fair access” (e.g., see political declarations of recent UN High-Level Meetings on Tuberculosis and Antimicrobial Resistance and the final report of the UN Secretary-General’s High-Level Panel on Access to Medicines). </w:t>
            </w:r>
          </w:p>
          <w:p w14:paraId="18A9B886" w14:textId="77777777" w:rsidR="002B6999" w:rsidRPr="007D1800" w:rsidRDefault="002B6999" w:rsidP="00A0675D">
            <w:pPr>
              <w:rPr>
                <w:sz w:val="21"/>
                <w:szCs w:val="21"/>
              </w:rPr>
            </w:pPr>
          </w:p>
          <w:p w14:paraId="07D242C5" w14:textId="498F6CAA" w:rsidR="00DF50FC" w:rsidRPr="007D1800" w:rsidRDefault="00E40750" w:rsidP="00A0675D">
            <w:pPr>
              <w:rPr>
                <w:sz w:val="21"/>
                <w:szCs w:val="21"/>
              </w:rPr>
            </w:pPr>
            <w:r w:rsidRPr="007D1800">
              <w:rPr>
                <w:sz w:val="21"/>
                <w:szCs w:val="21"/>
              </w:rPr>
              <w:t xml:space="preserve">The discussion of the </w:t>
            </w:r>
            <w:r w:rsidR="00DF50FC" w:rsidRPr="007D1800">
              <w:rPr>
                <w:sz w:val="21"/>
                <w:szCs w:val="21"/>
              </w:rPr>
              <w:t>”financial</w:t>
            </w:r>
            <w:r w:rsidRPr="007D1800">
              <w:rPr>
                <w:sz w:val="21"/>
                <w:szCs w:val="21"/>
              </w:rPr>
              <w:t xml:space="preserve"> </w:t>
            </w:r>
            <w:r w:rsidR="00DF50FC" w:rsidRPr="007D1800">
              <w:rPr>
                <w:sz w:val="21"/>
                <w:szCs w:val="21"/>
              </w:rPr>
              <w:t>accessibility</w:t>
            </w:r>
            <w:r w:rsidRPr="007D1800">
              <w:rPr>
                <w:sz w:val="21"/>
                <w:szCs w:val="21"/>
              </w:rPr>
              <w:t>”</w:t>
            </w:r>
            <w:r w:rsidR="00DF50FC" w:rsidRPr="007D1800">
              <w:rPr>
                <w:sz w:val="21"/>
                <w:szCs w:val="21"/>
              </w:rPr>
              <w:t xml:space="preserve"> of benefits and services</w:t>
            </w:r>
            <w:r w:rsidRPr="007D1800">
              <w:rPr>
                <w:sz w:val="21"/>
                <w:szCs w:val="21"/>
              </w:rPr>
              <w:t xml:space="preserve"> </w:t>
            </w:r>
            <w:r w:rsidR="00DF50FC" w:rsidRPr="007D1800">
              <w:rPr>
                <w:sz w:val="21"/>
                <w:szCs w:val="21"/>
              </w:rPr>
              <w:t>should further emphasize affordability</w:t>
            </w:r>
            <w:r w:rsidRPr="007D1800">
              <w:rPr>
                <w:sz w:val="21"/>
                <w:szCs w:val="21"/>
              </w:rPr>
              <w:t>. By comparison, GC 14 on the right to health includes the word “affordability” when introducing “economic accessibility (affordability).”</w:t>
            </w:r>
          </w:p>
        </w:tc>
        <w:tc>
          <w:tcPr>
            <w:tcW w:w="4320" w:type="dxa"/>
          </w:tcPr>
          <w:p w14:paraId="5666C8E8" w14:textId="0045307A" w:rsidR="00320B76" w:rsidRPr="007D1800" w:rsidRDefault="00320B76" w:rsidP="00A0675D">
            <w:pPr>
              <w:rPr>
                <w:color w:val="000000" w:themeColor="text1"/>
                <w:sz w:val="21"/>
                <w:szCs w:val="21"/>
              </w:rPr>
            </w:pPr>
            <w:r w:rsidRPr="007D1800">
              <w:rPr>
                <w:sz w:val="21"/>
                <w:szCs w:val="21"/>
              </w:rPr>
              <w:lastRenderedPageBreak/>
              <w:t>“Accessibility consists in these</w:t>
            </w:r>
            <w:r w:rsidRPr="007D1800">
              <w:rPr>
                <w:color w:val="0070C0"/>
                <w:sz w:val="21"/>
                <w:szCs w:val="21"/>
              </w:rPr>
              <w:t xml:space="preserve"> </w:t>
            </w:r>
            <w:r w:rsidRPr="00D62499">
              <w:rPr>
                <w:color w:val="0070C0"/>
                <w:sz w:val="21"/>
                <w:szCs w:val="21"/>
                <w:u w:val="single"/>
              </w:rPr>
              <w:t>benefits</w:t>
            </w:r>
            <w:r w:rsidRPr="007D1800">
              <w:rPr>
                <w:color w:val="0070C0"/>
                <w:sz w:val="21"/>
                <w:szCs w:val="21"/>
              </w:rPr>
              <w:t xml:space="preserve"> </w:t>
            </w:r>
            <w:r w:rsidRPr="007D1800">
              <w:rPr>
                <w:color w:val="000000" w:themeColor="text1"/>
                <w:sz w:val="21"/>
                <w:szCs w:val="21"/>
              </w:rPr>
              <w:t>and service</w:t>
            </w:r>
            <w:r w:rsidR="00DF50FC" w:rsidRPr="007D1800">
              <w:rPr>
                <w:color w:val="000000" w:themeColor="text1"/>
                <w:sz w:val="21"/>
                <w:szCs w:val="21"/>
              </w:rPr>
              <w:t xml:space="preserve">s </w:t>
            </w:r>
            <w:r w:rsidR="00DF50FC" w:rsidRPr="00A21728">
              <w:rPr>
                <w:color w:val="000000" w:themeColor="text1"/>
                <w:sz w:val="21"/>
                <w:szCs w:val="21"/>
              </w:rPr>
              <w:t xml:space="preserve">being physically, financially, </w:t>
            </w:r>
            <w:r w:rsidR="00E40750" w:rsidRPr="00A21728">
              <w:rPr>
                <w:color w:val="000000" w:themeColor="text1"/>
                <w:sz w:val="21"/>
                <w:szCs w:val="21"/>
              </w:rPr>
              <w:t xml:space="preserve">and </w:t>
            </w:r>
            <w:r w:rsidR="00DF50FC" w:rsidRPr="00A21728">
              <w:rPr>
                <w:color w:val="000000" w:themeColor="text1"/>
                <w:sz w:val="21"/>
                <w:szCs w:val="21"/>
              </w:rPr>
              <w:t>culturally</w:t>
            </w:r>
            <w:r w:rsidR="00E40750" w:rsidRPr="00A21728">
              <w:rPr>
                <w:color w:val="000000" w:themeColor="text1"/>
                <w:sz w:val="21"/>
                <w:szCs w:val="21"/>
              </w:rPr>
              <w:t xml:space="preserve"> </w:t>
            </w:r>
            <w:r w:rsidR="00DF50FC" w:rsidRPr="00A21728">
              <w:rPr>
                <w:color w:val="000000" w:themeColor="text1"/>
                <w:sz w:val="21"/>
                <w:szCs w:val="21"/>
              </w:rPr>
              <w:t>accessible without discrimination, both in urban and in rural areas, in the majority and in the minority languages, and for all groups and persons</w:t>
            </w:r>
            <w:r w:rsidR="00E40750" w:rsidRPr="00A21728">
              <w:rPr>
                <w:color w:val="000000" w:themeColor="text1"/>
                <w:sz w:val="21"/>
                <w:szCs w:val="21"/>
              </w:rPr>
              <w:t>.</w:t>
            </w:r>
            <w:r w:rsidR="00E40750" w:rsidRPr="00A21728">
              <w:rPr>
                <w:color w:val="000000" w:themeColor="text1"/>
                <w:sz w:val="21"/>
                <w:szCs w:val="21"/>
                <w:u w:val="single"/>
              </w:rPr>
              <w:t xml:space="preserve"> </w:t>
            </w:r>
            <w:r w:rsidR="00E40750" w:rsidRPr="00D62499">
              <w:rPr>
                <w:color w:val="0070C0"/>
                <w:sz w:val="21"/>
                <w:szCs w:val="21"/>
                <w:u w:val="single"/>
              </w:rPr>
              <w:t>Financial accessibility (affordability) requires that these benefits and services be affordable for all</w:t>
            </w:r>
            <w:r w:rsidR="00E40750" w:rsidRPr="00D62499">
              <w:rPr>
                <w:color w:val="000000" w:themeColor="text1"/>
                <w:sz w:val="21"/>
                <w:szCs w:val="21"/>
                <w:u w:val="single"/>
              </w:rPr>
              <w:t>.</w:t>
            </w:r>
            <w:r w:rsidRPr="00D62499">
              <w:rPr>
                <w:color w:val="000000" w:themeColor="text1"/>
                <w:sz w:val="21"/>
                <w:szCs w:val="21"/>
                <w:u w:val="single"/>
              </w:rPr>
              <w:t>”</w:t>
            </w:r>
          </w:p>
          <w:p w14:paraId="7DD0BD8F" w14:textId="77777777" w:rsidR="00654C73" w:rsidRPr="007D1800" w:rsidRDefault="00654C73" w:rsidP="00A0675D">
            <w:pPr>
              <w:rPr>
                <w:color w:val="0070C0"/>
                <w:sz w:val="21"/>
                <w:szCs w:val="21"/>
              </w:rPr>
            </w:pPr>
          </w:p>
          <w:p w14:paraId="28582901" w14:textId="6E46F25D" w:rsidR="00DF50FC" w:rsidRPr="007D1800" w:rsidRDefault="00654C73" w:rsidP="00A0675D">
            <w:pPr>
              <w:rPr>
                <w:color w:val="000000" w:themeColor="text1"/>
                <w:sz w:val="21"/>
                <w:szCs w:val="21"/>
              </w:rPr>
            </w:pPr>
            <w:r w:rsidRPr="007D1800">
              <w:rPr>
                <w:color w:val="000000" w:themeColor="text1"/>
                <w:sz w:val="21"/>
                <w:szCs w:val="21"/>
              </w:rPr>
              <w:t>Replace “fair access” with “</w:t>
            </w:r>
            <w:r w:rsidRPr="00A21728">
              <w:rPr>
                <w:color w:val="4472C4" w:themeColor="accent1"/>
                <w:sz w:val="21"/>
                <w:szCs w:val="21"/>
                <w:u w:val="single"/>
              </w:rPr>
              <w:t>equitable</w:t>
            </w:r>
            <w:r w:rsidRPr="007D1800">
              <w:rPr>
                <w:color w:val="000000" w:themeColor="text1"/>
                <w:sz w:val="21"/>
                <w:szCs w:val="21"/>
              </w:rPr>
              <w:t xml:space="preserve"> access.” We encourage the same change for relevant text in </w:t>
            </w:r>
            <w:r w:rsidRPr="007D1800">
              <w:rPr>
                <w:rFonts w:ascii="Calibri" w:eastAsia="Calibri" w:hAnsi="Calibri" w:cs="Times New Roman"/>
                <w:sz w:val="21"/>
                <w:szCs w:val="21"/>
              </w:rPr>
              <w:t>¶23.</w:t>
            </w:r>
            <w:r w:rsidRPr="007D1800">
              <w:rPr>
                <w:color w:val="0070C0"/>
                <w:sz w:val="21"/>
                <w:szCs w:val="21"/>
              </w:rPr>
              <w:t xml:space="preserve">  </w:t>
            </w:r>
            <w:r w:rsidRPr="007D1800">
              <w:rPr>
                <w:color w:val="000000" w:themeColor="text1"/>
                <w:sz w:val="21"/>
                <w:szCs w:val="21"/>
              </w:rPr>
              <w:t xml:space="preserve">E.g., “States parties should take </w:t>
            </w:r>
            <w:r w:rsidRPr="007D1800">
              <w:rPr>
                <w:color w:val="000000" w:themeColor="text1"/>
                <w:sz w:val="21"/>
                <w:szCs w:val="21"/>
              </w:rPr>
              <w:lastRenderedPageBreak/>
              <w:t xml:space="preserve">measures to ensure </w:t>
            </w:r>
            <w:r w:rsidRPr="00D62499">
              <w:rPr>
                <w:color w:val="0070C0"/>
                <w:sz w:val="21"/>
                <w:szCs w:val="21"/>
                <w:u w:val="single"/>
              </w:rPr>
              <w:t>equitable access</w:t>
            </w:r>
            <w:r w:rsidRPr="007D1800">
              <w:rPr>
                <w:color w:val="0070C0"/>
                <w:sz w:val="21"/>
                <w:szCs w:val="21"/>
              </w:rPr>
              <w:t xml:space="preserve"> </w:t>
            </w:r>
            <w:r w:rsidRPr="007D1800">
              <w:rPr>
                <w:color w:val="000000" w:themeColor="text1"/>
                <w:sz w:val="21"/>
                <w:szCs w:val="21"/>
              </w:rPr>
              <w:t>by everyone, not only to the process of producing science, but also to its applications and products.”</w:t>
            </w:r>
          </w:p>
        </w:tc>
      </w:tr>
      <w:tr w:rsidR="00283563" w14:paraId="25387CED" w14:textId="77777777" w:rsidTr="001D713B">
        <w:tc>
          <w:tcPr>
            <w:tcW w:w="983" w:type="dxa"/>
          </w:tcPr>
          <w:p w14:paraId="5D096A43" w14:textId="22EBF6D2" w:rsidR="00283563" w:rsidRPr="007D1800" w:rsidRDefault="00283563" w:rsidP="00283563">
            <w:pPr>
              <w:jc w:val="center"/>
              <w:rPr>
                <w:sz w:val="21"/>
                <w:szCs w:val="21"/>
              </w:rPr>
            </w:pPr>
            <w:r w:rsidRPr="007D1800">
              <w:rPr>
                <w:rFonts w:ascii="Calibri" w:eastAsia="Calibri" w:hAnsi="Calibri" w:cs="Times New Roman"/>
                <w:sz w:val="21"/>
                <w:szCs w:val="21"/>
              </w:rPr>
              <w:lastRenderedPageBreak/>
              <w:t>¶29</w:t>
            </w:r>
          </w:p>
        </w:tc>
        <w:tc>
          <w:tcPr>
            <w:tcW w:w="4592" w:type="dxa"/>
          </w:tcPr>
          <w:p w14:paraId="4D3E7AC9" w14:textId="107CA9A2" w:rsidR="00283563" w:rsidRPr="007D1800" w:rsidRDefault="00283563" w:rsidP="00A0675D">
            <w:pPr>
              <w:rPr>
                <w:sz w:val="21"/>
                <w:szCs w:val="21"/>
              </w:rPr>
            </w:pPr>
            <w:r w:rsidRPr="007D1800">
              <w:rPr>
                <w:sz w:val="21"/>
                <w:szCs w:val="21"/>
              </w:rPr>
              <w:t xml:space="preserve">The current </w:t>
            </w:r>
            <w:r w:rsidR="009F5FFD">
              <w:rPr>
                <w:sz w:val="21"/>
                <w:szCs w:val="21"/>
              </w:rPr>
              <w:t>draft</w:t>
            </w:r>
            <w:r w:rsidRPr="007D1800">
              <w:rPr>
                <w:sz w:val="21"/>
                <w:szCs w:val="21"/>
              </w:rPr>
              <w:t xml:space="preserve"> refers to protecting the “free, prior and informed consent” </w:t>
            </w:r>
            <w:r w:rsidR="009F5FFD">
              <w:rPr>
                <w:sz w:val="21"/>
                <w:szCs w:val="21"/>
              </w:rPr>
              <w:t xml:space="preserve">of </w:t>
            </w:r>
            <w:r w:rsidRPr="007D1800">
              <w:rPr>
                <w:sz w:val="21"/>
                <w:szCs w:val="21"/>
              </w:rPr>
              <w:t>Indigenous Peoples and ethnic minorities in research. Respecting free, prior and informed consent</w:t>
            </w:r>
            <w:r w:rsidR="007D4D51" w:rsidRPr="007D1800">
              <w:rPr>
                <w:sz w:val="21"/>
                <w:szCs w:val="21"/>
              </w:rPr>
              <w:t xml:space="preserve"> (FPIC)</w:t>
            </w:r>
            <w:r w:rsidR="008470DB" w:rsidRPr="007D1800">
              <w:rPr>
                <w:sz w:val="21"/>
                <w:szCs w:val="21"/>
              </w:rPr>
              <w:t xml:space="preserve">, in accordance </w:t>
            </w:r>
            <w:r w:rsidR="007D4D51" w:rsidRPr="007D1800">
              <w:rPr>
                <w:sz w:val="21"/>
                <w:szCs w:val="21"/>
              </w:rPr>
              <w:t>with</w:t>
            </w:r>
            <w:r w:rsidR="008470DB" w:rsidRPr="007D1800">
              <w:rPr>
                <w:sz w:val="21"/>
                <w:szCs w:val="21"/>
              </w:rPr>
              <w:t xml:space="preserve"> community-determined protocols that outline the FPIC standards and procedures within customary, national, and international laws and policies, </w:t>
            </w:r>
            <w:r w:rsidRPr="007D1800">
              <w:rPr>
                <w:sz w:val="21"/>
                <w:szCs w:val="21"/>
              </w:rPr>
              <w:t>is one of two responsibilities states hold concerning research affecting Indigenous Peoples. The second is that any such research should occur under “mutually agreed terms.” The text should mention both of these principles, which are recognized in the Bonn Guidelines (2002) adopted by the Convention on Biological Diversity</w:t>
            </w:r>
            <w:r w:rsidR="00A0675D" w:rsidRPr="007D1800">
              <w:rPr>
                <w:sz w:val="21"/>
                <w:szCs w:val="21"/>
              </w:rPr>
              <w:t xml:space="preserve"> (CBD)</w:t>
            </w:r>
            <w:r w:rsidRPr="007D1800">
              <w:rPr>
                <w:sz w:val="21"/>
                <w:szCs w:val="21"/>
              </w:rPr>
              <w:t>.</w:t>
            </w:r>
            <w:r w:rsidR="00AC071A">
              <w:rPr>
                <w:rStyle w:val="FootnoteReference"/>
                <w:szCs w:val="21"/>
              </w:rPr>
              <w:t xml:space="preserve"> </w:t>
            </w:r>
            <w:r w:rsidR="00AC071A">
              <w:rPr>
                <w:rStyle w:val="FootnoteReference"/>
                <w:szCs w:val="21"/>
              </w:rPr>
              <w:footnoteReference w:id="2"/>
            </w:r>
            <w:r w:rsidRPr="007D1800">
              <w:rPr>
                <w:sz w:val="21"/>
                <w:szCs w:val="21"/>
              </w:rPr>
              <w:t xml:space="preserve"> </w:t>
            </w:r>
          </w:p>
        </w:tc>
        <w:tc>
          <w:tcPr>
            <w:tcW w:w="4320" w:type="dxa"/>
          </w:tcPr>
          <w:p w14:paraId="70F940D1" w14:textId="6E7FFA60" w:rsidR="00283563" w:rsidRPr="007D1800" w:rsidRDefault="00A0675D" w:rsidP="00A0675D">
            <w:pPr>
              <w:rPr>
                <w:sz w:val="21"/>
                <w:szCs w:val="21"/>
              </w:rPr>
            </w:pPr>
            <w:r w:rsidRPr="007D1800">
              <w:rPr>
                <w:sz w:val="21"/>
                <w:szCs w:val="21"/>
              </w:rPr>
              <w:t xml:space="preserve">“When this research affects specific populations, such as </w:t>
            </w:r>
            <w:r w:rsidR="00571B99" w:rsidRPr="00571B99">
              <w:rPr>
                <w:color w:val="0070C0"/>
                <w:sz w:val="21"/>
                <w:szCs w:val="21"/>
                <w:u w:val="single"/>
              </w:rPr>
              <w:t>I</w:t>
            </w:r>
            <w:r w:rsidRPr="00571B99">
              <w:rPr>
                <w:color w:val="000000" w:themeColor="text1"/>
                <w:sz w:val="21"/>
                <w:szCs w:val="21"/>
              </w:rPr>
              <w:t>n</w:t>
            </w:r>
            <w:r w:rsidRPr="007D1800">
              <w:rPr>
                <w:sz w:val="21"/>
                <w:szCs w:val="21"/>
              </w:rPr>
              <w:t xml:space="preserve">digenous </w:t>
            </w:r>
            <w:r w:rsidR="00571B99" w:rsidRPr="00571B99">
              <w:rPr>
                <w:color w:val="0070C0"/>
                <w:sz w:val="21"/>
                <w:szCs w:val="21"/>
                <w:u w:val="single"/>
              </w:rPr>
              <w:t>P</w:t>
            </w:r>
            <w:r w:rsidRPr="007D1800">
              <w:rPr>
                <w:sz w:val="21"/>
                <w:szCs w:val="21"/>
              </w:rPr>
              <w:t>eoples or ethnic minorities, their right to free, prior and informed consent must be protected</w:t>
            </w:r>
            <w:r w:rsidR="005915CB" w:rsidRPr="007D1800">
              <w:rPr>
                <w:color w:val="0070C0"/>
                <w:sz w:val="21"/>
                <w:szCs w:val="21"/>
              </w:rPr>
              <w:t xml:space="preserve"> </w:t>
            </w:r>
            <w:r w:rsidR="005915CB" w:rsidRPr="00D62499">
              <w:rPr>
                <w:color w:val="0070C0"/>
                <w:sz w:val="21"/>
                <w:szCs w:val="21"/>
                <w:u w:val="single"/>
              </w:rPr>
              <w:t>in accordance to community-defined protocols</w:t>
            </w:r>
            <w:r w:rsidRPr="00D62499">
              <w:rPr>
                <w:sz w:val="21"/>
                <w:szCs w:val="21"/>
                <w:u w:val="single"/>
              </w:rPr>
              <w:t xml:space="preserve">, </w:t>
            </w:r>
            <w:r w:rsidRPr="00D62499">
              <w:rPr>
                <w:color w:val="0070C0"/>
                <w:sz w:val="21"/>
                <w:szCs w:val="21"/>
                <w:u w:val="single"/>
              </w:rPr>
              <w:t>and states must ensure any such research proceeds under mutually agreed terms</w:t>
            </w:r>
            <w:r w:rsidRPr="007D1800">
              <w:rPr>
                <w:sz w:val="21"/>
                <w:szCs w:val="21"/>
              </w:rPr>
              <w:t>.”</w:t>
            </w:r>
          </w:p>
        </w:tc>
      </w:tr>
      <w:tr w:rsidR="00283563" w14:paraId="5F20E437" w14:textId="77777777" w:rsidTr="001D713B">
        <w:tc>
          <w:tcPr>
            <w:tcW w:w="983" w:type="dxa"/>
          </w:tcPr>
          <w:p w14:paraId="031D5243" w14:textId="4F6D845F" w:rsidR="00283563" w:rsidRPr="007D1800" w:rsidRDefault="00283563" w:rsidP="00283563">
            <w:pPr>
              <w:jc w:val="center"/>
              <w:rPr>
                <w:sz w:val="21"/>
                <w:szCs w:val="21"/>
              </w:rPr>
            </w:pPr>
            <w:r w:rsidRPr="007D1800">
              <w:rPr>
                <w:rFonts w:ascii="Calibri" w:eastAsia="Calibri" w:hAnsi="Calibri" w:cs="Times New Roman"/>
                <w:sz w:val="21"/>
                <w:szCs w:val="21"/>
              </w:rPr>
              <w:t>¶</w:t>
            </w:r>
            <w:r w:rsidR="00654C73" w:rsidRPr="007D1800">
              <w:rPr>
                <w:rFonts w:ascii="Calibri" w:eastAsia="Calibri" w:hAnsi="Calibri" w:cs="Times New Roman"/>
                <w:sz w:val="21"/>
                <w:szCs w:val="21"/>
              </w:rPr>
              <w:t>33–35</w:t>
            </w:r>
          </w:p>
        </w:tc>
        <w:tc>
          <w:tcPr>
            <w:tcW w:w="4592" w:type="dxa"/>
          </w:tcPr>
          <w:p w14:paraId="16E996BB" w14:textId="753B4B3D" w:rsidR="005915CB" w:rsidRPr="007D1800" w:rsidRDefault="00C31DC6" w:rsidP="00C31DC6">
            <w:pPr>
              <w:rPr>
                <w:sz w:val="21"/>
                <w:szCs w:val="21"/>
              </w:rPr>
            </w:pPr>
            <w:r w:rsidRPr="007D1800">
              <w:rPr>
                <w:sz w:val="21"/>
                <w:szCs w:val="21"/>
              </w:rPr>
              <w:t xml:space="preserve">An important part of ensuring non-discrimination under the right is action by States to support the “purposive development” (Chapman 2009) of science to meet the needs of vulnerable and marginalized groups, which may not draw industry </w:t>
            </w:r>
            <w:r w:rsidR="00556CE9" w:rsidRPr="007D1800">
              <w:rPr>
                <w:sz w:val="21"/>
                <w:szCs w:val="21"/>
              </w:rPr>
              <w:t>investment</w:t>
            </w:r>
            <w:r w:rsidRPr="007D1800">
              <w:rPr>
                <w:sz w:val="21"/>
                <w:szCs w:val="21"/>
              </w:rPr>
              <w:t xml:space="preserve"> without state intervention. Similarly, the 2012 report of SR Farida Shaheed discuss</w:t>
            </w:r>
            <w:r w:rsidR="00556CE9" w:rsidRPr="007D1800">
              <w:rPr>
                <w:sz w:val="21"/>
                <w:szCs w:val="21"/>
              </w:rPr>
              <w:t xml:space="preserve">es </w:t>
            </w:r>
            <w:r w:rsidRPr="007D1800">
              <w:rPr>
                <w:sz w:val="21"/>
                <w:szCs w:val="21"/>
              </w:rPr>
              <w:t xml:space="preserve">the obligation of non-discrimination </w:t>
            </w:r>
            <w:r w:rsidR="00556CE9" w:rsidRPr="007D1800">
              <w:rPr>
                <w:sz w:val="21"/>
                <w:szCs w:val="21"/>
              </w:rPr>
              <w:t xml:space="preserve">by </w:t>
            </w:r>
            <w:r w:rsidRPr="007D1800">
              <w:rPr>
                <w:sz w:val="21"/>
                <w:szCs w:val="21"/>
              </w:rPr>
              <w:t>highlight</w:t>
            </w:r>
            <w:r w:rsidR="00556CE9" w:rsidRPr="007D1800">
              <w:rPr>
                <w:sz w:val="21"/>
                <w:szCs w:val="21"/>
              </w:rPr>
              <w:t>ing</w:t>
            </w:r>
            <w:r w:rsidRPr="007D1800">
              <w:rPr>
                <w:sz w:val="21"/>
                <w:szCs w:val="21"/>
              </w:rPr>
              <w:t xml:space="preserve"> specific measures, including “facilitating targeted research by both public and private sector institutions.” </w:t>
            </w:r>
          </w:p>
        </w:tc>
        <w:tc>
          <w:tcPr>
            <w:tcW w:w="4320" w:type="dxa"/>
          </w:tcPr>
          <w:p w14:paraId="1A4834DE" w14:textId="64458720" w:rsidR="00283563" w:rsidRPr="007D1800" w:rsidRDefault="002B6999" w:rsidP="00EA5AA5">
            <w:pPr>
              <w:rPr>
                <w:sz w:val="21"/>
                <w:szCs w:val="21"/>
              </w:rPr>
            </w:pPr>
            <w:r>
              <w:rPr>
                <w:sz w:val="21"/>
                <w:szCs w:val="21"/>
              </w:rPr>
              <w:t>TAG</w:t>
            </w:r>
            <w:r w:rsidR="00EA5AA5" w:rsidRPr="007D1800">
              <w:rPr>
                <w:sz w:val="21"/>
                <w:szCs w:val="21"/>
              </w:rPr>
              <w:t xml:space="preserve"> encourage</w:t>
            </w:r>
            <w:r>
              <w:rPr>
                <w:sz w:val="21"/>
                <w:szCs w:val="21"/>
              </w:rPr>
              <w:t>s</w:t>
            </w:r>
            <w:r w:rsidR="00EA5AA5" w:rsidRPr="007D1800">
              <w:rPr>
                <w:sz w:val="21"/>
                <w:szCs w:val="21"/>
              </w:rPr>
              <w:t xml:space="preserve"> CESCR to add the notion of purposive or targeted development of science to section B. Non-discrimination. For instance, in </w:t>
            </w:r>
            <w:r w:rsidR="00EA5AA5" w:rsidRPr="007D1800">
              <w:rPr>
                <w:rFonts w:ascii="Calibri" w:eastAsia="Calibri" w:hAnsi="Calibri" w:cs="Times New Roman"/>
                <w:sz w:val="21"/>
                <w:szCs w:val="21"/>
              </w:rPr>
              <w:t xml:space="preserve">¶35 add the sentence: </w:t>
            </w:r>
            <w:r w:rsidR="00EA5AA5" w:rsidRPr="00D62499">
              <w:rPr>
                <w:rFonts w:ascii="Calibri" w:eastAsia="Calibri" w:hAnsi="Calibri" w:cs="Times New Roman"/>
                <w:color w:val="0070C0"/>
                <w:sz w:val="21"/>
                <w:szCs w:val="21"/>
                <w:u w:val="single"/>
              </w:rPr>
              <w:t>“States should facilitate targeted research and purposively develop science to meet the needs of vulnerable and marginalized groups, ensuring the full and equal participation of such groups in any research directed toward their needs</w:t>
            </w:r>
            <w:r w:rsidR="00EA5AA5" w:rsidRPr="00D62499">
              <w:rPr>
                <w:rFonts w:ascii="Calibri" w:eastAsia="Calibri" w:hAnsi="Calibri" w:cs="Times New Roman"/>
                <w:color w:val="000000" w:themeColor="text1"/>
                <w:sz w:val="21"/>
                <w:szCs w:val="21"/>
                <w:u w:val="single"/>
              </w:rPr>
              <w:t>.</w:t>
            </w:r>
            <w:r w:rsidR="00EA5AA5" w:rsidRPr="007D1800">
              <w:rPr>
                <w:rFonts w:ascii="Calibri" w:eastAsia="Calibri" w:hAnsi="Calibri" w:cs="Times New Roman"/>
                <w:color w:val="000000" w:themeColor="text1"/>
                <w:sz w:val="21"/>
                <w:szCs w:val="21"/>
              </w:rPr>
              <w:t>”</w:t>
            </w:r>
          </w:p>
        </w:tc>
      </w:tr>
      <w:tr w:rsidR="00556CE9" w14:paraId="62D02D8A" w14:textId="77777777" w:rsidTr="001D713B">
        <w:tc>
          <w:tcPr>
            <w:tcW w:w="983" w:type="dxa"/>
          </w:tcPr>
          <w:p w14:paraId="4C815D19" w14:textId="5A850435" w:rsidR="00556CE9" w:rsidRPr="007D1800" w:rsidRDefault="00556CE9" w:rsidP="00283563">
            <w:pPr>
              <w:jc w:val="center"/>
              <w:rPr>
                <w:rFonts w:ascii="Calibri" w:eastAsia="Calibri" w:hAnsi="Calibri" w:cs="Times New Roman"/>
                <w:sz w:val="21"/>
                <w:szCs w:val="21"/>
              </w:rPr>
            </w:pPr>
            <w:r w:rsidRPr="007D1800">
              <w:rPr>
                <w:rFonts w:ascii="Calibri" w:eastAsia="Calibri" w:hAnsi="Calibri" w:cs="Times New Roman"/>
                <w:sz w:val="21"/>
                <w:szCs w:val="21"/>
              </w:rPr>
              <w:t>¶36</w:t>
            </w:r>
          </w:p>
        </w:tc>
        <w:tc>
          <w:tcPr>
            <w:tcW w:w="4592" w:type="dxa"/>
          </w:tcPr>
          <w:p w14:paraId="19DD5556" w14:textId="37BFF99A" w:rsidR="00556CE9" w:rsidRPr="007D1800" w:rsidRDefault="009F5FFD" w:rsidP="00C31DC6">
            <w:pPr>
              <w:rPr>
                <w:sz w:val="21"/>
                <w:szCs w:val="21"/>
              </w:rPr>
            </w:pPr>
            <w:r>
              <w:rPr>
                <w:sz w:val="21"/>
                <w:szCs w:val="21"/>
              </w:rPr>
              <w:t>The lead paragraph on special protections lacks</w:t>
            </w:r>
            <w:r w:rsidR="00556CE9" w:rsidRPr="007D1800">
              <w:rPr>
                <w:sz w:val="21"/>
                <w:szCs w:val="21"/>
              </w:rPr>
              <w:t xml:space="preserve"> specific reference to exclusion of people of color to remediate and mitigate historical harms and exclusions in the scientific field</w:t>
            </w:r>
            <w:r>
              <w:rPr>
                <w:sz w:val="21"/>
                <w:szCs w:val="21"/>
              </w:rPr>
              <w:t>.</w:t>
            </w:r>
          </w:p>
        </w:tc>
        <w:tc>
          <w:tcPr>
            <w:tcW w:w="4320" w:type="dxa"/>
          </w:tcPr>
          <w:p w14:paraId="5B1F8222" w14:textId="045E67EE" w:rsidR="00556CE9" w:rsidRPr="007D1800" w:rsidRDefault="00556CE9" w:rsidP="00EA5AA5">
            <w:pPr>
              <w:rPr>
                <w:sz w:val="21"/>
                <w:szCs w:val="21"/>
              </w:rPr>
            </w:pPr>
            <w:r w:rsidRPr="007D1800">
              <w:rPr>
                <w:sz w:val="21"/>
                <w:szCs w:val="21"/>
              </w:rPr>
              <w:t xml:space="preserve">“Temporary special measures are necessary to remediate past inequalities and patterns of exclusion of these groups, actively encourage women, </w:t>
            </w:r>
            <w:r w:rsidRPr="00D62499">
              <w:rPr>
                <w:rFonts w:ascii="Calibri" w:eastAsia="Calibri" w:hAnsi="Calibri" w:cs="Times New Roman"/>
                <w:color w:val="0070C0"/>
                <w:sz w:val="21"/>
                <w:szCs w:val="21"/>
                <w:u w:val="single"/>
              </w:rPr>
              <w:t>persons of color</w:t>
            </w:r>
            <w:r w:rsidRPr="007D1800">
              <w:rPr>
                <w:sz w:val="21"/>
                <w:szCs w:val="21"/>
              </w:rPr>
              <w:t xml:space="preserve">, and persons of other underrepresented groups to consider careers in sciences, and to eliminate biases against these groups. Without prejudice to the duty of States to eliminate discrimination in relation to all groups, special attention should be paid to women, </w:t>
            </w:r>
            <w:r w:rsidRPr="00D62499">
              <w:rPr>
                <w:rFonts w:ascii="Calibri" w:eastAsia="Calibri" w:hAnsi="Calibri" w:cs="Times New Roman"/>
                <w:color w:val="0070C0"/>
                <w:sz w:val="21"/>
                <w:szCs w:val="21"/>
                <w:u w:val="single"/>
              </w:rPr>
              <w:t>persons of color</w:t>
            </w:r>
            <w:r w:rsidRPr="007D1800">
              <w:rPr>
                <w:sz w:val="21"/>
                <w:szCs w:val="21"/>
              </w:rPr>
              <w:t xml:space="preserve">, persons with disabilities, and low-income persons.” </w:t>
            </w:r>
          </w:p>
        </w:tc>
      </w:tr>
      <w:tr w:rsidR="00AB13FC" w14:paraId="516EC4E7" w14:textId="77777777" w:rsidTr="001D713B">
        <w:tc>
          <w:tcPr>
            <w:tcW w:w="983" w:type="dxa"/>
          </w:tcPr>
          <w:p w14:paraId="4A347C07" w14:textId="46785CFA" w:rsidR="00AB13FC" w:rsidRPr="007D1800" w:rsidRDefault="00AB13FC" w:rsidP="00283563">
            <w:pPr>
              <w:jc w:val="center"/>
              <w:rPr>
                <w:rFonts w:ascii="Calibri" w:eastAsia="Calibri" w:hAnsi="Calibri" w:cs="Times New Roman"/>
                <w:sz w:val="21"/>
                <w:szCs w:val="21"/>
              </w:rPr>
            </w:pPr>
            <w:r w:rsidRPr="007D1800">
              <w:rPr>
                <w:rFonts w:ascii="Calibri" w:eastAsia="Calibri" w:hAnsi="Calibri" w:cs="Times New Roman"/>
                <w:sz w:val="21"/>
                <w:szCs w:val="21"/>
              </w:rPr>
              <w:lastRenderedPageBreak/>
              <w:t>¶37–40</w:t>
            </w:r>
          </w:p>
        </w:tc>
        <w:tc>
          <w:tcPr>
            <w:tcW w:w="4592" w:type="dxa"/>
          </w:tcPr>
          <w:p w14:paraId="2A602034" w14:textId="0286A3EF" w:rsidR="00AB13FC" w:rsidRPr="007D1800" w:rsidRDefault="00556CE9" w:rsidP="006C3749">
            <w:pPr>
              <w:rPr>
                <w:sz w:val="21"/>
                <w:szCs w:val="21"/>
              </w:rPr>
            </w:pPr>
            <w:r w:rsidRPr="007D1800">
              <w:rPr>
                <w:sz w:val="21"/>
                <w:szCs w:val="21"/>
              </w:rPr>
              <w:t>The section on special protections for women should i</w:t>
            </w:r>
            <w:r w:rsidR="00AB13FC" w:rsidRPr="007D1800">
              <w:rPr>
                <w:sz w:val="21"/>
                <w:szCs w:val="21"/>
              </w:rPr>
              <w:t xml:space="preserve">nclude cis- and trans-gender people, with recognition of </w:t>
            </w:r>
            <w:r w:rsidRPr="007D1800">
              <w:rPr>
                <w:sz w:val="21"/>
                <w:szCs w:val="21"/>
              </w:rPr>
              <w:t xml:space="preserve">the </w:t>
            </w:r>
            <w:r w:rsidR="00AB13FC" w:rsidRPr="007D1800">
              <w:rPr>
                <w:sz w:val="21"/>
                <w:szCs w:val="21"/>
              </w:rPr>
              <w:t>specific exclusion and marginalization of women’s needs, throughout these paragraphs</w:t>
            </w:r>
            <w:r w:rsidRPr="007D1800">
              <w:rPr>
                <w:sz w:val="21"/>
                <w:szCs w:val="21"/>
              </w:rPr>
              <w:t xml:space="preserve">. </w:t>
            </w:r>
          </w:p>
          <w:p w14:paraId="5A86FF58" w14:textId="6576F038" w:rsidR="00AB13FC" w:rsidRPr="007D1800" w:rsidRDefault="00556CE9" w:rsidP="006C3749">
            <w:pPr>
              <w:rPr>
                <w:sz w:val="21"/>
                <w:szCs w:val="21"/>
              </w:rPr>
            </w:pPr>
            <w:r w:rsidRPr="007D1800">
              <w:rPr>
                <w:rFonts w:ascii="Calibri" w:eastAsia="Calibri" w:hAnsi="Calibri" w:cs="Times New Roman"/>
                <w:sz w:val="21"/>
                <w:szCs w:val="21"/>
              </w:rPr>
              <w:t>¶</w:t>
            </w:r>
            <w:r w:rsidRPr="007D1800">
              <w:rPr>
                <w:sz w:val="21"/>
                <w:szCs w:val="21"/>
              </w:rPr>
              <w:t>40 should</w:t>
            </w:r>
            <w:r w:rsidR="00AB13FC" w:rsidRPr="007D1800">
              <w:rPr>
                <w:sz w:val="21"/>
                <w:szCs w:val="21"/>
              </w:rPr>
              <w:t xml:space="preserve"> reference</w:t>
            </w:r>
            <w:r w:rsidRPr="007D1800">
              <w:rPr>
                <w:sz w:val="21"/>
                <w:szCs w:val="21"/>
              </w:rPr>
              <w:t xml:space="preserve"> the</w:t>
            </w:r>
            <w:r w:rsidR="00AB13FC" w:rsidRPr="007D1800">
              <w:rPr>
                <w:sz w:val="21"/>
                <w:szCs w:val="21"/>
              </w:rPr>
              <w:t xml:space="preserve"> inclusion and needs of pregnant individuals</w:t>
            </w:r>
            <w:r w:rsidRPr="007D1800">
              <w:rPr>
                <w:sz w:val="21"/>
                <w:szCs w:val="21"/>
              </w:rPr>
              <w:t xml:space="preserve">. </w:t>
            </w:r>
          </w:p>
        </w:tc>
        <w:tc>
          <w:tcPr>
            <w:tcW w:w="4320" w:type="dxa"/>
          </w:tcPr>
          <w:p w14:paraId="07FEB4E7" w14:textId="5208F935" w:rsidR="00AB13FC" w:rsidRPr="007D1800" w:rsidRDefault="00556CE9" w:rsidP="006C3749">
            <w:pPr>
              <w:rPr>
                <w:color w:val="0070C0"/>
                <w:sz w:val="21"/>
                <w:szCs w:val="21"/>
              </w:rPr>
            </w:pPr>
            <w:r w:rsidRPr="007D1800">
              <w:rPr>
                <w:sz w:val="21"/>
                <w:szCs w:val="21"/>
              </w:rPr>
              <w:t>Amend ¶40: “</w:t>
            </w:r>
            <w:r w:rsidR="00AB13FC" w:rsidRPr="007D1800">
              <w:rPr>
                <w:sz w:val="21"/>
                <w:szCs w:val="21"/>
              </w:rPr>
              <w:t xml:space="preserve">A gender-sensitive approach is not a luxury for scientific research but a crucial tool in order that scientific progress and new technologies adequately take into account the special characteristics and needs of </w:t>
            </w:r>
            <w:r w:rsidR="003E441C" w:rsidRPr="007D1800">
              <w:rPr>
                <w:sz w:val="21"/>
                <w:szCs w:val="21"/>
              </w:rPr>
              <w:t xml:space="preserve">all </w:t>
            </w:r>
            <w:r w:rsidR="00AB13FC" w:rsidRPr="007D1800">
              <w:rPr>
                <w:sz w:val="21"/>
                <w:szCs w:val="21"/>
              </w:rPr>
              <w:t xml:space="preserve">women and girls, </w:t>
            </w:r>
            <w:r w:rsidR="00AB13FC" w:rsidRPr="00D62499">
              <w:rPr>
                <w:color w:val="0070C0"/>
                <w:sz w:val="21"/>
                <w:szCs w:val="21"/>
                <w:u w:val="single"/>
              </w:rPr>
              <w:t>including pregnant individual</w:t>
            </w:r>
            <w:r w:rsidRPr="00D62499">
              <w:rPr>
                <w:color w:val="0070C0"/>
                <w:sz w:val="21"/>
                <w:szCs w:val="21"/>
                <w:u w:val="single"/>
              </w:rPr>
              <w:t>s</w:t>
            </w:r>
            <w:r w:rsidRPr="007D1800">
              <w:rPr>
                <w:color w:val="000000" w:themeColor="text1"/>
                <w:sz w:val="21"/>
                <w:szCs w:val="21"/>
              </w:rPr>
              <w:t>.”</w:t>
            </w:r>
          </w:p>
        </w:tc>
      </w:tr>
      <w:tr w:rsidR="00283563" w14:paraId="6293C0AC" w14:textId="77777777" w:rsidTr="001D713B">
        <w:tc>
          <w:tcPr>
            <w:tcW w:w="983" w:type="dxa"/>
          </w:tcPr>
          <w:p w14:paraId="0BDFFB55" w14:textId="0F05BC6C" w:rsidR="00283563" w:rsidRPr="007D1800" w:rsidRDefault="003A4E61" w:rsidP="00283563">
            <w:pPr>
              <w:jc w:val="center"/>
              <w:rPr>
                <w:sz w:val="21"/>
                <w:szCs w:val="21"/>
              </w:rPr>
            </w:pPr>
            <w:r w:rsidRPr="007D1800">
              <w:rPr>
                <w:rFonts w:ascii="Calibri" w:eastAsia="Calibri" w:hAnsi="Calibri" w:cs="Times New Roman"/>
                <w:sz w:val="21"/>
                <w:szCs w:val="21"/>
              </w:rPr>
              <w:t>¶44</w:t>
            </w:r>
          </w:p>
        </w:tc>
        <w:tc>
          <w:tcPr>
            <w:tcW w:w="4592" w:type="dxa"/>
          </w:tcPr>
          <w:p w14:paraId="2AB9AE31" w14:textId="7E6B4DFE" w:rsidR="00283563" w:rsidRPr="007D1800" w:rsidRDefault="006C3749" w:rsidP="006C3749">
            <w:pPr>
              <w:rPr>
                <w:sz w:val="21"/>
                <w:szCs w:val="21"/>
              </w:rPr>
            </w:pPr>
            <w:r w:rsidRPr="007D1800">
              <w:rPr>
                <w:sz w:val="21"/>
                <w:szCs w:val="21"/>
              </w:rPr>
              <w:t xml:space="preserve">The discussion of equality in this paragraph is another place where CESCR </w:t>
            </w:r>
            <w:r w:rsidR="009F5FFD">
              <w:rPr>
                <w:sz w:val="21"/>
                <w:szCs w:val="21"/>
              </w:rPr>
              <w:t>should</w:t>
            </w:r>
            <w:r w:rsidRPr="007D1800">
              <w:rPr>
                <w:sz w:val="21"/>
                <w:szCs w:val="21"/>
              </w:rPr>
              <w:t xml:space="preserve"> link equitable access to the purposive development of science to meet the needs of vulnerable and marginalized groups left behind by market-driven innovation.</w:t>
            </w:r>
            <w:r w:rsidR="003E441C" w:rsidRPr="007D1800">
              <w:rPr>
                <w:sz w:val="21"/>
                <w:szCs w:val="21"/>
              </w:rPr>
              <w:t xml:space="preserve"> </w:t>
            </w:r>
          </w:p>
        </w:tc>
        <w:tc>
          <w:tcPr>
            <w:tcW w:w="4320" w:type="dxa"/>
          </w:tcPr>
          <w:p w14:paraId="305C5E20" w14:textId="7CAEAFE0" w:rsidR="00283563" w:rsidRPr="007D1800" w:rsidRDefault="006C3749" w:rsidP="006C3749">
            <w:pPr>
              <w:rPr>
                <w:sz w:val="21"/>
                <w:szCs w:val="21"/>
              </w:rPr>
            </w:pPr>
            <w:r w:rsidRPr="007D1800">
              <w:rPr>
                <w:sz w:val="21"/>
                <w:szCs w:val="21"/>
              </w:rPr>
              <w:t xml:space="preserve">Add a fourth element to the three-pronged strategy outlined—e.g., </w:t>
            </w:r>
            <w:r w:rsidRPr="00D62499">
              <w:rPr>
                <w:color w:val="0070C0"/>
                <w:sz w:val="21"/>
                <w:szCs w:val="21"/>
                <w:u w:val="single"/>
              </w:rPr>
              <w:t xml:space="preserve">“Fourth, since market-driven approaches to innovation can leave the needs of marginalized groups unaddressed, </w:t>
            </w:r>
            <w:r w:rsidR="009F5FFD">
              <w:rPr>
                <w:color w:val="0070C0"/>
                <w:sz w:val="21"/>
                <w:szCs w:val="21"/>
                <w:u w:val="single"/>
              </w:rPr>
              <w:t>S</w:t>
            </w:r>
            <w:r w:rsidRPr="00D62499">
              <w:rPr>
                <w:color w:val="0070C0"/>
                <w:sz w:val="21"/>
                <w:szCs w:val="21"/>
                <w:u w:val="single"/>
              </w:rPr>
              <w:t>tates should support a purposive development of science and technology to ensure that all persons can benefit from scientific progress</w:t>
            </w:r>
            <w:r w:rsidRPr="00D62499">
              <w:rPr>
                <w:color w:val="000000" w:themeColor="text1"/>
                <w:sz w:val="21"/>
                <w:szCs w:val="21"/>
                <w:u w:val="single"/>
              </w:rPr>
              <w:t>.”</w:t>
            </w:r>
            <w:r w:rsidRPr="007D1800">
              <w:rPr>
                <w:color w:val="000000" w:themeColor="text1"/>
                <w:sz w:val="21"/>
                <w:szCs w:val="21"/>
              </w:rPr>
              <w:t xml:space="preserve"> </w:t>
            </w:r>
          </w:p>
        </w:tc>
      </w:tr>
      <w:tr w:rsidR="007F2685" w14:paraId="6FEA5983" w14:textId="77777777" w:rsidTr="001D713B">
        <w:tc>
          <w:tcPr>
            <w:tcW w:w="983" w:type="dxa"/>
          </w:tcPr>
          <w:p w14:paraId="0E83BB12" w14:textId="45AFD834" w:rsidR="007F2685" w:rsidRPr="007D1800" w:rsidRDefault="007F2685" w:rsidP="00283563">
            <w:pPr>
              <w:jc w:val="center"/>
              <w:rPr>
                <w:rFonts w:ascii="Calibri" w:eastAsia="Calibri" w:hAnsi="Calibri" w:cs="Times New Roman"/>
                <w:sz w:val="21"/>
                <w:szCs w:val="21"/>
              </w:rPr>
            </w:pPr>
            <w:r w:rsidRPr="007D1800">
              <w:rPr>
                <w:rFonts w:ascii="Calibri" w:eastAsia="Calibri" w:hAnsi="Calibri" w:cs="Times New Roman"/>
                <w:sz w:val="21"/>
                <w:szCs w:val="21"/>
              </w:rPr>
              <w:t>¶49-5</w:t>
            </w:r>
            <w:r w:rsidR="00D05DAC" w:rsidRPr="007D1800">
              <w:rPr>
                <w:rFonts w:ascii="Calibri" w:eastAsia="Calibri" w:hAnsi="Calibri" w:cs="Times New Roman"/>
                <w:sz w:val="21"/>
                <w:szCs w:val="21"/>
              </w:rPr>
              <w:t>1</w:t>
            </w:r>
          </w:p>
        </w:tc>
        <w:tc>
          <w:tcPr>
            <w:tcW w:w="4592" w:type="dxa"/>
          </w:tcPr>
          <w:p w14:paraId="6EAC58D5" w14:textId="0ACE6D99" w:rsidR="004B7AC8" w:rsidRPr="007D1800" w:rsidRDefault="007F2685" w:rsidP="006D14F1">
            <w:pPr>
              <w:rPr>
                <w:sz w:val="21"/>
                <w:szCs w:val="21"/>
              </w:rPr>
            </w:pPr>
            <w:r w:rsidRPr="007D1800">
              <w:rPr>
                <w:sz w:val="21"/>
                <w:szCs w:val="21"/>
              </w:rPr>
              <w:t xml:space="preserve">These paragraphs discuss the need for </w:t>
            </w:r>
            <w:r w:rsidR="001014F8" w:rsidRPr="007D1800">
              <w:rPr>
                <w:sz w:val="21"/>
                <w:szCs w:val="21"/>
              </w:rPr>
              <w:t>State Parties</w:t>
            </w:r>
            <w:r w:rsidRPr="007D1800">
              <w:rPr>
                <w:sz w:val="21"/>
                <w:szCs w:val="21"/>
              </w:rPr>
              <w:t xml:space="preserve"> to </w:t>
            </w:r>
            <w:r w:rsidR="001014F8" w:rsidRPr="007D1800">
              <w:rPr>
                <w:sz w:val="21"/>
                <w:szCs w:val="21"/>
              </w:rPr>
              <w:t xml:space="preserve">fulfill the right by </w:t>
            </w:r>
            <w:r w:rsidRPr="007D1800">
              <w:rPr>
                <w:sz w:val="21"/>
                <w:szCs w:val="21"/>
              </w:rPr>
              <w:t>adopt</w:t>
            </w:r>
            <w:r w:rsidR="001014F8" w:rsidRPr="007D1800">
              <w:rPr>
                <w:sz w:val="21"/>
                <w:szCs w:val="21"/>
              </w:rPr>
              <w:t>ing</w:t>
            </w:r>
            <w:r w:rsidRPr="007D1800">
              <w:rPr>
                <w:sz w:val="21"/>
                <w:szCs w:val="21"/>
              </w:rPr>
              <w:t xml:space="preserve"> measures through legislation, budgetary allocations, or participation in global schemes to ensure </w:t>
            </w:r>
            <w:r w:rsidR="001014F8" w:rsidRPr="007D1800">
              <w:rPr>
                <w:sz w:val="21"/>
                <w:szCs w:val="21"/>
              </w:rPr>
              <w:t xml:space="preserve">the </w:t>
            </w:r>
            <w:r w:rsidRPr="007D1800">
              <w:rPr>
                <w:sz w:val="21"/>
                <w:szCs w:val="21"/>
              </w:rPr>
              <w:t>financing and dissemination of science. This sections’ recommendation</w:t>
            </w:r>
            <w:r w:rsidR="001014F8" w:rsidRPr="007D1800">
              <w:rPr>
                <w:sz w:val="21"/>
                <w:szCs w:val="21"/>
              </w:rPr>
              <w:t>s</w:t>
            </w:r>
            <w:r w:rsidRPr="007D1800">
              <w:rPr>
                <w:sz w:val="21"/>
                <w:szCs w:val="21"/>
              </w:rPr>
              <w:t xml:space="preserve"> could be strengthened</w:t>
            </w:r>
            <w:r w:rsidR="00F2260E" w:rsidRPr="007D1800">
              <w:rPr>
                <w:sz w:val="21"/>
                <w:szCs w:val="21"/>
              </w:rPr>
              <w:t xml:space="preserve"> with specificity on such mechanisms to guide state action on how to legislate in support of the right to science, and consider the breadth of legislative strategies that could shift resources or strengthen a states’ </w:t>
            </w:r>
            <w:r w:rsidR="004C1351" w:rsidRPr="007D1800">
              <w:rPr>
                <w:sz w:val="21"/>
                <w:szCs w:val="21"/>
              </w:rPr>
              <w:t>dissemination of</w:t>
            </w:r>
            <w:r w:rsidR="00F2260E" w:rsidRPr="007D1800">
              <w:rPr>
                <w:sz w:val="21"/>
                <w:szCs w:val="21"/>
              </w:rPr>
              <w:t xml:space="preserve"> science.</w:t>
            </w:r>
            <w:r w:rsidR="004B7AC8" w:rsidRPr="007D1800">
              <w:rPr>
                <w:sz w:val="21"/>
                <w:szCs w:val="21"/>
              </w:rPr>
              <w:t xml:space="preserve"> Model legislation </w:t>
            </w:r>
            <w:r w:rsidR="00AD1C54" w:rsidRPr="007D1800">
              <w:rPr>
                <w:sz w:val="21"/>
                <w:szCs w:val="21"/>
              </w:rPr>
              <w:t>and innovative models, for example can be used</w:t>
            </w:r>
            <w:r w:rsidR="000B210A">
              <w:rPr>
                <w:sz w:val="21"/>
                <w:szCs w:val="21"/>
              </w:rPr>
              <w:t xml:space="preserve"> to</w:t>
            </w:r>
            <w:r w:rsidR="00AD1C54" w:rsidRPr="007D1800">
              <w:rPr>
                <w:sz w:val="21"/>
                <w:szCs w:val="21"/>
              </w:rPr>
              <w:t xml:space="preserve"> </w:t>
            </w:r>
            <w:r w:rsidR="000B210A">
              <w:rPr>
                <w:sz w:val="21"/>
                <w:szCs w:val="21"/>
              </w:rPr>
              <w:t xml:space="preserve">guide science </w:t>
            </w:r>
            <w:r w:rsidR="00AD1C54" w:rsidRPr="007D1800">
              <w:rPr>
                <w:sz w:val="21"/>
                <w:szCs w:val="21"/>
              </w:rPr>
              <w:t xml:space="preserve">funding </w:t>
            </w:r>
            <w:r w:rsidR="00D15C3E" w:rsidRPr="007D1800">
              <w:rPr>
                <w:sz w:val="21"/>
                <w:szCs w:val="21"/>
              </w:rPr>
              <w:t>in accordance with seeing science as a public good and with respect to States’ other human rights obligations.</w:t>
            </w:r>
            <w:r w:rsidR="00207E58" w:rsidRPr="007D1800">
              <w:rPr>
                <w:sz w:val="21"/>
                <w:szCs w:val="21"/>
              </w:rPr>
              <w:t xml:space="preserve"> </w:t>
            </w:r>
            <w:r w:rsidR="003E441C" w:rsidRPr="007D1800">
              <w:rPr>
                <w:sz w:val="21"/>
                <w:szCs w:val="21"/>
              </w:rPr>
              <w:t xml:space="preserve">Similarly, </w:t>
            </w:r>
            <w:r w:rsidR="00207E58" w:rsidRPr="007D1800">
              <w:rPr>
                <w:sz w:val="21"/>
                <w:szCs w:val="21"/>
              </w:rPr>
              <w:t>fulfilling the right to science will require creating space for public and</w:t>
            </w:r>
            <w:r w:rsidR="004B7AC8" w:rsidRPr="007D1800">
              <w:rPr>
                <w:sz w:val="21"/>
                <w:szCs w:val="21"/>
              </w:rPr>
              <w:t xml:space="preserve"> community involvement in</w:t>
            </w:r>
            <w:r w:rsidR="00207E58" w:rsidRPr="007D1800">
              <w:rPr>
                <w:sz w:val="21"/>
                <w:szCs w:val="21"/>
              </w:rPr>
              <w:t xml:space="preserve"> </w:t>
            </w:r>
            <w:r w:rsidR="004B7AC8" w:rsidRPr="007D1800">
              <w:rPr>
                <w:sz w:val="21"/>
                <w:szCs w:val="21"/>
              </w:rPr>
              <w:t xml:space="preserve">developing legislation, </w:t>
            </w:r>
            <w:r w:rsidR="00207E58" w:rsidRPr="007D1800">
              <w:rPr>
                <w:sz w:val="21"/>
                <w:szCs w:val="21"/>
              </w:rPr>
              <w:t xml:space="preserve">setting </w:t>
            </w:r>
            <w:r w:rsidR="004B7AC8" w:rsidRPr="007D1800">
              <w:rPr>
                <w:sz w:val="21"/>
                <w:szCs w:val="21"/>
              </w:rPr>
              <w:t xml:space="preserve">priorities, and </w:t>
            </w:r>
            <w:r w:rsidR="00AD1C54" w:rsidRPr="007D1800">
              <w:rPr>
                <w:sz w:val="21"/>
                <w:szCs w:val="21"/>
              </w:rPr>
              <w:t>allocatin</w:t>
            </w:r>
            <w:r w:rsidR="00207E58" w:rsidRPr="007D1800">
              <w:rPr>
                <w:sz w:val="21"/>
                <w:szCs w:val="21"/>
              </w:rPr>
              <w:t xml:space="preserve">g budgets. </w:t>
            </w:r>
          </w:p>
        </w:tc>
        <w:tc>
          <w:tcPr>
            <w:tcW w:w="4320" w:type="dxa"/>
          </w:tcPr>
          <w:p w14:paraId="49E901B2" w14:textId="1C6E639D" w:rsidR="009B1F69" w:rsidRPr="007D1800" w:rsidRDefault="00E77661" w:rsidP="009B1F69">
            <w:pPr>
              <w:rPr>
                <w:sz w:val="21"/>
                <w:szCs w:val="21"/>
              </w:rPr>
            </w:pPr>
            <w:r w:rsidRPr="007D1800">
              <w:rPr>
                <w:sz w:val="21"/>
                <w:szCs w:val="21"/>
              </w:rPr>
              <w:t xml:space="preserve">To the end of </w:t>
            </w:r>
            <w:r w:rsidRPr="007D1800">
              <w:rPr>
                <w:rFonts w:ascii="Calibri" w:eastAsia="Calibri" w:hAnsi="Calibri" w:cs="Times New Roman"/>
                <w:sz w:val="21"/>
                <w:szCs w:val="21"/>
              </w:rPr>
              <w:t>¶</w:t>
            </w:r>
            <w:r w:rsidR="00207E58" w:rsidRPr="007D1800">
              <w:rPr>
                <w:rFonts w:ascii="Calibri" w:eastAsia="Calibri" w:hAnsi="Calibri" w:cs="Times New Roman"/>
                <w:sz w:val="21"/>
                <w:szCs w:val="21"/>
              </w:rPr>
              <w:t>49</w:t>
            </w:r>
            <w:r w:rsidRPr="007D1800">
              <w:rPr>
                <w:rFonts w:ascii="Calibri" w:eastAsia="Calibri" w:hAnsi="Calibri" w:cs="Times New Roman"/>
                <w:sz w:val="21"/>
                <w:szCs w:val="21"/>
              </w:rPr>
              <w:t xml:space="preserve"> add: </w:t>
            </w:r>
            <w:r w:rsidRPr="007D1800">
              <w:rPr>
                <w:rFonts w:ascii="Calibri" w:eastAsia="Calibri" w:hAnsi="Calibri" w:cs="Times New Roman"/>
                <w:color w:val="000000" w:themeColor="text1"/>
                <w:sz w:val="21"/>
                <w:szCs w:val="21"/>
              </w:rPr>
              <w:t>“</w:t>
            </w:r>
            <w:r w:rsidR="009B1F69" w:rsidRPr="00D62499">
              <w:rPr>
                <w:color w:val="0070C0"/>
                <w:sz w:val="21"/>
                <w:szCs w:val="21"/>
                <w:u w:val="single"/>
              </w:rPr>
              <w:t xml:space="preserve">The </w:t>
            </w:r>
            <w:r w:rsidRPr="00D62499">
              <w:rPr>
                <w:color w:val="0070C0"/>
                <w:sz w:val="21"/>
                <w:szCs w:val="21"/>
                <w:u w:val="single"/>
              </w:rPr>
              <w:t>development of m</w:t>
            </w:r>
            <w:r w:rsidR="008F2B7F" w:rsidRPr="00D62499">
              <w:rPr>
                <w:color w:val="0070C0"/>
                <w:sz w:val="21"/>
                <w:szCs w:val="21"/>
                <w:u w:val="single"/>
              </w:rPr>
              <w:t>odel legislation and guidance</w:t>
            </w:r>
            <w:r w:rsidR="00433BE1" w:rsidRPr="00D62499">
              <w:rPr>
                <w:color w:val="0070C0"/>
                <w:sz w:val="21"/>
                <w:szCs w:val="21"/>
                <w:u w:val="single"/>
              </w:rPr>
              <w:t xml:space="preserve"> on such measures</w:t>
            </w:r>
            <w:r w:rsidR="008F2B7F" w:rsidRPr="00D62499">
              <w:rPr>
                <w:color w:val="0070C0"/>
                <w:sz w:val="21"/>
                <w:szCs w:val="21"/>
                <w:u w:val="single"/>
              </w:rPr>
              <w:t xml:space="preserve">, particularly for </w:t>
            </w:r>
            <w:r w:rsidR="00433BE1" w:rsidRPr="00D62499">
              <w:rPr>
                <w:color w:val="0070C0"/>
                <w:sz w:val="21"/>
                <w:szCs w:val="21"/>
                <w:u w:val="single"/>
              </w:rPr>
              <w:t xml:space="preserve">States </w:t>
            </w:r>
            <w:r w:rsidR="008F2B7F" w:rsidRPr="00D62499">
              <w:rPr>
                <w:color w:val="0070C0"/>
                <w:sz w:val="21"/>
                <w:szCs w:val="21"/>
                <w:u w:val="single"/>
              </w:rPr>
              <w:t>with nascent scien</w:t>
            </w:r>
            <w:r w:rsidR="00433BE1" w:rsidRPr="00D62499">
              <w:rPr>
                <w:color w:val="0070C0"/>
                <w:sz w:val="21"/>
                <w:szCs w:val="21"/>
                <w:u w:val="single"/>
              </w:rPr>
              <w:t>tific</w:t>
            </w:r>
            <w:r w:rsidR="008F2B7F" w:rsidRPr="00D62499">
              <w:rPr>
                <w:color w:val="0070C0"/>
                <w:sz w:val="21"/>
                <w:szCs w:val="21"/>
                <w:u w:val="single"/>
              </w:rPr>
              <w:t xml:space="preserve"> infrastructure, </w:t>
            </w:r>
            <w:r w:rsidR="00433BE1" w:rsidRPr="00D62499">
              <w:rPr>
                <w:color w:val="0070C0"/>
                <w:sz w:val="21"/>
                <w:szCs w:val="21"/>
                <w:u w:val="single"/>
              </w:rPr>
              <w:t xml:space="preserve">would guide States on </w:t>
            </w:r>
            <w:r w:rsidRPr="00D62499">
              <w:rPr>
                <w:color w:val="0070C0"/>
                <w:sz w:val="21"/>
                <w:szCs w:val="21"/>
                <w:u w:val="single"/>
              </w:rPr>
              <w:t xml:space="preserve">the steps to be taken </w:t>
            </w:r>
            <w:r w:rsidR="00433BE1" w:rsidRPr="00D62499">
              <w:rPr>
                <w:color w:val="0070C0"/>
                <w:sz w:val="21"/>
                <w:szCs w:val="21"/>
                <w:u w:val="single"/>
              </w:rPr>
              <w:t>to fulfill the right to science</w:t>
            </w:r>
            <w:r w:rsidRPr="00D62499">
              <w:rPr>
                <w:color w:val="0070C0"/>
                <w:sz w:val="21"/>
                <w:szCs w:val="21"/>
                <w:u w:val="single"/>
              </w:rPr>
              <w:t>.</w:t>
            </w:r>
            <w:r w:rsidR="00433BE1" w:rsidRPr="00D62499">
              <w:rPr>
                <w:color w:val="0070C0"/>
                <w:sz w:val="21"/>
                <w:szCs w:val="21"/>
                <w:u w:val="single"/>
              </w:rPr>
              <w:t xml:space="preserve"> </w:t>
            </w:r>
            <w:r w:rsidRPr="00D62499">
              <w:rPr>
                <w:color w:val="0070C0"/>
                <w:sz w:val="21"/>
                <w:szCs w:val="21"/>
                <w:u w:val="single"/>
              </w:rPr>
              <w:t>The development of model legislation and guidance c</w:t>
            </w:r>
            <w:r w:rsidR="00433BE1" w:rsidRPr="00D62499">
              <w:rPr>
                <w:color w:val="0070C0"/>
                <w:sz w:val="21"/>
                <w:szCs w:val="21"/>
                <w:u w:val="single"/>
              </w:rPr>
              <w:t>ould articulate the norms, values, and principles</w:t>
            </w:r>
            <w:r w:rsidR="008F2B7F" w:rsidRPr="00D62499">
              <w:rPr>
                <w:color w:val="0070C0"/>
                <w:sz w:val="21"/>
                <w:szCs w:val="21"/>
                <w:u w:val="single"/>
              </w:rPr>
              <w:t xml:space="preserve"> </w:t>
            </w:r>
            <w:r w:rsidR="00433BE1" w:rsidRPr="00D62499">
              <w:rPr>
                <w:color w:val="0070C0"/>
                <w:sz w:val="21"/>
                <w:szCs w:val="21"/>
                <w:u w:val="single"/>
              </w:rPr>
              <w:t>inherent in approaching science as a human right placing both positive and negative obligations on states</w:t>
            </w:r>
            <w:r w:rsidR="00433BE1" w:rsidRPr="007D1800">
              <w:rPr>
                <w:color w:val="000000" w:themeColor="text1"/>
                <w:sz w:val="21"/>
                <w:szCs w:val="21"/>
              </w:rPr>
              <w:t>.</w:t>
            </w:r>
            <w:r w:rsidRPr="007D1800">
              <w:rPr>
                <w:color w:val="000000" w:themeColor="text1"/>
                <w:sz w:val="21"/>
                <w:szCs w:val="21"/>
              </w:rPr>
              <w:t>”</w:t>
            </w:r>
          </w:p>
          <w:p w14:paraId="3791F1AF" w14:textId="77777777" w:rsidR="009B1F69" w:rsidRPr="007D1800" w:rsidRDefault="009B1F69" w:rsidP="00207E58">
            <w:pPr>
              <w:rPr>
                <w:sz w:val="21"/>
                <w:szCs w:val="21"/>
              </w:rPr>
            </w:pPr>
          </w:p>
          <w:p w14:paraId="64D8E587" w14:textId="2C4F44A0" w:rsidR="007F2685" w:rsidRPr="007D1800" w:rsidRDefault="00207E58" w:rsidP="00B343A9">
            <w:pPr>
              <w:rPr>
                <w:sz w:val="21"/>
                <w:szCs w:val="21"/>
              </w:rPr>
            </w:pPr>
            <w:r w:rsidRPr="007D1800">
              <w:rPr>
                <w:sz w:val="21"/>
                <w:szCs w:val="21"/>
              </w:rPr>
              <w:t xml:space="preserve">Amend </w:t>
            </w:r>
            <w:r w:rsidRPr="007D1800">
              <w:rPr>
                <w:rFonts w:ascii="Calibri" w:eastAsia="Calibri" w:hAnsi="Calibri" w:cs="Times New Roman"/>
                <w:sz w:val="21"/>
                <w:szCs w:val="21"/>
              </w:rPr>
              <w:t>¶5</w:t>
            </w:r>
            <w:r w:rsidR="00D97DFE">
              <w:rPr>
                <w:rFonts w:ascii="Calibri" w:eastAsia="Calibri" w:hAnsi="Calibri" w:cs="Times New Roman"/>
                <w:sz w:val="21"/>
                <w:szCs w:val="21"/>
              </w:rPr>
              <w:t>0</w:t>
            </w:r>
            <w:r w:rsidRPr="007D1800">
              <w:rPr>
                <w:rFonts w:ascii="Calibri" w:eastAsia="Calibri" w:hAnsi="Calibri" w:cs="Times New Roman"/>
                <w:sz w:val="21"/>
                <w:szCs w:val="21"/>
              </w:rPr>
              <w:t>:</w:t>
            </w:r>
            <w:r w:rsidRPr="007D1800">
              <w:rPr>
                <w:sz w:val="21"/>
                <w:szCs w:val="21"/>
              </w:rPr>
              <w:t xml:space="preserve"> </w:t>
            </w:r>
            <w:r w:rsidR="00D97DFE">
              <w:rPr>
                <w:sz w:val="21"/>
                <w:szCs w:val="21"/>
              </w:rPr>
              <w:t>“</w:t>
            </w:r>
            <w:r w:rsidR="009B1F69" w:rsidRPr="007D1800">
              <w:rPr>
                <w:sz w:val="21"/>
                <w:szCs w:val="21"/>
              </w:rPr>
              <w:t xml:space="preserve">This includes </w:t>
            </w:r>
            <w:r w:rsidR="008F2B7F" w:rsidRPr="00D62499">
              <w:rPr>
                <w:color w:val="0070C0"/>
                <w:sz w:val="21"/>
                <w:szCs w:val="21"/>
                <w:u w:val="single"/>
              </w:rPr>
              <w:t xml:space="preserve">engaging communities </w:t>
            </w:r>
            <w:r w:rsidRPr="00D62499">
              <w:rPr>
                <w:color w:val="0070C0"/>
                <w:sz w:val="21"/>
                <w:szCs w:val="21"/>
                <w:u w:val="single"/>
              </w:rPr>
              <w:t xml:space="preserve">and the broader public </w:t>
            </w:r>
            <w:r w:rsidR="008F2B7F" w:rsidRPr="00D62499">
              <w:rPr>
                <w:color w:val="0070C0"/>
                <w:sz w:val="21"/>
                <w:szCs w:val="21"/>
                <w:u w:val="single"/>
              </w:rPr>
              <w:t>in</w:t>
            </w:r>
            <w:r w:rsidR="008F2B7F" w:rsidRPr="007D1800">
              <w:rPr>
                <w:color w:val="0070C0"/>
                <w:sz w:val="21"/>
                <w:szCs w:val="21"/>
              </w:rPr>
              <w:t xml:space="preserve"> </w:t>
            </w:r>
            <w:r w:rsidR="009B1F69" w:rsidRPr="007D1800">
              <w:rPr>
                <w:sz w:val="21"/>
                <w:szCs w:val="21"/>
              </w:rPr>
              <w:t>approving policies and regulations which foster scientific research, allocating appropriate resources in the budgets and, in general, creating an enabling and participatory environment for the conservation, development and diffusion of science and technology,</w:t>
            </w:r>
            <w:r w:rsidRPr="007D1800">
              <w:rPr>
                <w:sz w:val="21"/>
                <w:szCs w:val="21"/>
              </w:rPr>
              <w:t xml:space="preserve"> […]</w:t>
            </w:r>
            <w:r w:rsidR="009F5FFD">
              <w:rPr>
                <w:sz w:val="21"/>
                <w:szCs w:val="21"/>
              </w:rPr>
              <w:t>.</w:t>
            </w:r>
            <w:r w:rsidRPr="007D1800">
              <w:rPr>
                <w:sz w:val="21"/>
                <w:szCs w:val="21"/>
              </w:rPr>
              <w:t>”</w:t>
            </w:r>
          </w:p>
        </w:tc>
      </w:tr>
      <w:tr w:rsidR="00B343A9" w14:paraId="25441F0F" w14:textId="77777777" w:rsidTr="001D713B">
        <w:tc>
          <w:tcPr>
            <w:tcW w:w="983" w:type="dxa"/>
          </w:tcPr>
          <w:p w14:paraId="0F0970CB" w14:textId="5F57BFED" w:rsidR="00B343A9" w:rsidRPr="007D1800" w:rsidRDefault="00B343A9" w:rsidP="00283563">
            <w:pPr>
              <w:jc w:val="center"/>
              <w:rPr>
                <w:rFonts w:ascii="Calibri" w:eastAsia="Calibri" w:hAnsi="Calibri" w:cs="Times New Roman"/>
                <w:sz w:val="21"/>
                <w:szCs w:val="21"/>
              </w:rPr>
            </w:pPr>
            <w:r w:rsidRPr="007D1800">
              <w:rPr>
                <w:rFonts w:ascii="Calibri" w:eastAsia="Calibri" w:hAnsi="Calibri" w:cs="Times New Roman"/>
                <w:sz w:val="21"/>
                <w:szCs w:val="21"/>
              </w:rPr>
              <w:t>¶51</w:t>
            </w:r>
          </w:p>
        </w:tc>
        <w:tc>
          <w:tcPr>
            <w:tcW w:w="4592" w:type="dxa"/>
          </w:tcPr>
          <w:p w14:paraId="77D5D494" w14:textId="4A7264AD" w:rsidR="00B343A9" w:rsidRPr="007D1800" w:rsidRDefault="00B343A9" w:rsidP="006D14F1">
            <w:pPr>
              <w:rPr>
                <w:sz w:val="21"/>
                <w:szCs w:val="21"/>
              </w:rPr>
            </w:pPr>
            <w:r w:rsidRPr="007D1800">
              <w:rPr>
                <w:sz w:val="21"/>
                <w:szCs w:val="21"/>
              </w:rPr>
              <w:t xml:space="preserve">The GC laudably states that all </w:t>
            </w:r>
            <w:r w:rsidR="009F5FFD">
              <w:rPr>
                <w:sz w:val="21"/>
                <w:szCs w:val="21"/>
              </w:rPr>
              <w:t>States</w:t>
            </w:r>
            <w:r w:rsidRPr="007D1800">
              <w:rPr>
                <w:sz w:val="21"/>
                <w:szCs w:val="21"/>
              </w:rPr>
              <w:t xml:space="preserve"> should contribute towards the common task of developing science within their budgetary means, calling on poorer countries to spend at least 1% and advanced countries 3% of GDP on R&amp;D. </w:t>
            </w:r>
            <w:r w:rsidR="009F5FFD">
              <w:rPr>
                <w:sz w:val="21"/>
                <w:szCs w:val="21"/>
              </w:rPr>
              <w:t>TAG</w:t>
            </w:r>
            <w:r w:rsidRPr="007D1800">
              <w:rPr>
                <w:sz w:val="21"/>
                <w:szCs w:val="21"/>
              </w:rPr>
              <w:t xml:space="preserve"> recommend</w:t>
            </w:r>
            <w:r w:rsidR="009F5FFD">
              <w:rPr>
                <w:sz w:val="21"/>
                <w:szCs w:val="21"/>
              </w:rPr>
              <w:t>s</w:t>
            </w:r>
            <w:r w:rsidRPr="007D1800">
              <w:rPr>
                <w:sz w:val="21"/>
                <w:szCs w:val="21"/>
              </w:rPr>
              <w:t xml:space="preserve"> also considering calls to set aside a specific proportion of overall R&amp;D spending to address urgent global challenges or </w:t>
            </w:r>
            <w:r w:rsidR="006D14F1" w:rsidRPr="007D1800">
              <w:rPr>
                <w:sz w:val="21"/>
                <w:szCs w:val="21"/>
              </w:rPr>
              <w:t xml:space="preserve">the </w:t>
            </w:r>
            <w:r w:rsidRPr="007D1800">
              <w:rPr>
                <w:sz w:val="21"/>
                <w:szCs w:val="21"/>
              </w:rPr>
              <w:t>specific needs</w:t>
            </w:r>
            <w:r w:rsidR="006D14F1" w:rsidRPr="007D1800">
              <w:rPr>
                <w:sz w:val="21"/>
                <w:szCs w:val="21"/>
              </w:rPr>
              <w:t xml:space="preserve"> of marginalized groups</w:t>
            </w:r>
            <w:r w:rsidRPr="007D1800">
              <w:rPr>
                <w:sz w:val="21"/>
                <w:szCs w:val="21"/>
              </w:rPr>
              <w:t xml:space="preserve">, including through global cooperative frameworks that would pool funding across States. In health, generally, </w:t>
            </w:r>
            <w:r w:rsidR="002F2378" w:rsidRPr="007D1800">
              <w:rPr>
                <w:sz w:val="21"/>
                <w:szCs w:val="21"/>
              </w:rPr>
              <w:t xml:space="preserve">this is backed by the recommendation of the World Health Organization </w:t>
            </w:r>
            <w:r w:rsidR="006D14F1" w:rsidRPr="007D1800">
              <w:rPr>
                <w:sz w:val="21"/>
                <w:szCs w:val="21"/>
              </w:rPr>
              <w:t>Consultative Expert Working Group on Research and Development report that: “</w:t>
            </w:r>
            <w:r w:rsidR="006D14F1" w:rsidRPr="007D1800">
              <w:rPr>
                <w:i/>
                <w:sz w:val="21"/>
                <w:szCs w:val="21"/>
              </w:rPr>
              <w:t>1) Developing countries with a potential research capacity should aim to commit 0.</w:t>
            </w:r>
            <w:r w:rsidR="00D97DFE">
              <w:rPr>
                <w:i/>
                <w:sz w:val="21"/>
                <w:szCs w:val="21"/>
              </w:rPr>
              <w:t>0</w:t>
            </w:r>
            <w:r w:rsidR="006D14F1" w:rsidRPr="007D1800">
              <w:rPr>
                <w:i/>
                <w:sz w:val="21"/>
                <w:szCs w:val="21"/>
              </w:rPr>
              <w:t>5–0.1% of GDP to government-funded health research of all kinds, 2) Developed countries should aim to commit 0.</w:t>
            </w:r>
            <w:r w:rsidR="00D97DFE">
              <w:rPr>
                <w:i/>
                <w:sz w:val="21"/>
                <w:szCs w:val="21"/>
              </w:rPr>
              <w:t>1</w:t>
            </w:r>
            <w:r w:rsidR="006D14F1" w:rsidRPr="007D1800">
              <w:rPr>
                <w:i/>
                <w:sz w:val="21"/>
                <w:szCs w:val="21"/>
              </w:rPr>
              <w:t>5–0.2% of GDP to government-funded health research of all kinds</w:t>
            </w:r>
            <w:r w:rsidR="006D14F1" w:rsidRPr="007D1800">
              <w:rPr>
                <w:sz w:val="21"/>
                <w:szCs w:val="21"/>
              </w:rPr>
              <w:t xml:space="preserve">.” </w:t>
            </w:r>
            <w:r w:rsidRPr="007D1800">
              <w:rPr>
                <w:sz w:val="21"/>
                <w:szCs w:val="21"/>
              </w:rPr>
              <w:t>In the TB response, specifically, this has resulted in the ‘fair share’ funding targets calling on all states to devote 0.1% of their overall spending on R&amp;D to research on TB</w:t>
            </w:r>
            <w:r w:rsidR="006D14F1" w:rsidRPr="007D1800">
              <w:rPr>
                <w:sz w:val="21"/>
                <w:szCs w:val="21"/>
              </w:rPr>
              <w:t>, recognizing that TB research efforts are a “share</w:t>
            </w:r>
            <w:r w:rsidR="00D97DFE">
              <w:rPr>
                <w:sz w:val="21"/>
                <w:szCs w:val="21"/>
              </w:rPr>
              <w:t>d</w:t>
            </w:r>
            <w:r w:rsidR="006D14F1" w:rsidRPr="007D1800">
              <w:rPr>
                <w:sz w:val="21"/>
                <w:szCs w:val="21"/>
              </w:rPr>
              <w:t xml:space="preserve"> </w:t>
            </w:r>
            <w:r w:rsidR="006D14F1" w:rsidRPr="007D1800">
              <w:rPr>
                <w:sz w:val="21"/>
                <w:szCs w:val="21"/>
              </w:rPr>
              <w:lastRenderedPageBreak/>
              <w:t>responsibility” (see political declaration of the UN High-Level Meeting on TB)</w:t>
            </w:r>
            <w:r w:rsidRPr="007D1800">
              <w:rPr>
                <w:sz w:val="21"/>
                <w:szCs w:val="21"/>
              </w:rPr>
              <w:t xml:space="preserve">. </w:t>
            </w:r>
          </w:p>
          <w:p w14:paraId="4E655BFB" w14:textId="77777777" w:rsidR="006D14F1" w:rsidRPr="007D1800" w:rsidRDefault="006D14F1" w:rsidP="006D14F1">
            <w:pPr>
              <w:rPr>
                <w:sz w:val="21"/>
                <w:szCs w:val="21"/>
              </w:rPr>
            </w:pPr>
          </w:p>
          <w:p w14:paraId="7838C1F5" w14:textId="41F8FBD2" w:rsidR="006D14F1" w:rsidRPr="007D1800" w:rsidRDefault="009F5FFD" w:rsidP="006D14F1">
            <w:pPr>
              <w:rPr>
                <w:sz w:val="21"/>
                <w:szCs w:val="21"/>
              </w:rPr>
            </w:pPr>
            <w:r>
              <w:rPr>
                <w:sz w:val="21"/>
                <w:szCs w:val="21"/>
              </w:rPr>
              <w:t>TAG</w:t>
            </w:r>
            <w:r w:rsidR="006D14F1" w:rsidRPr="007D1800">
              <w:rPr>
                <w:sz w:val="21"/>
                <w:szCs w:val="21"/>
              </w:rPr>
              <w:t xml:space="preserve"> caution</w:t>
            </w:r>
            <w:r>
              <w:rPr>
                <w:sz w:val="21"/>
                <w:szCs w:val="21"/>
              </w:rPr>
              <w:t>s</w:t>
            </w:r>
            <w:r w:rsidR="006D14F1" w:rsidRPr="007D1800">
              <w:rPr>
                <w:sz w:val="21"/>
                <w:szCs w:val="21"/>
              </w:rPr>
              <w:t xml:space="preserve"> here that </w:t>
            </w:r>
            <w:r>
              <w:rPr>
                <w:sz w:val="21"/>
                <w:szCs w:val="21"/>
              </w:rPr>
              <w:t>S</w:t>
            </w:r>
            <w:r w:rsidR="006D14F1" w:rsidRPr="007D1800">
              <w:rPr>
                <w:sz w:val="21"/>
                <w:szCs w:val="21"/>
              </w:rPr>
              <w:t xml:space="preserve">tate fiscal contributions to science should not justify the unilateral implementation of policies, laws, and measures to limit the diffusion of the benefits of science </w:t>
            </w:r>
            <w:r w:rsidR="00D15C3E" w:rsidRPr="007D1800">
              <w:rPr>
                <w:sz w:val="21"/>
                <w:szCs w:val="21"/>
              </w:rPr>
              <w:t xml:space="preserve">to other States </w:t>
            </w:r>
            <w:r w:rsidR="006D14F1" w:rsidRPr="007D1800">
              <w:rPr>
                <w:sz w:val="21"/>
                <w:szCs w:val="21"/>
              </w:rPr>
              <w:t xml:space="preserve">in the name of protecting </w:t>
            </w:r>
            <w:r w:rsidR="00D15C3E" w:rsidRPr="007D1800">
              <w:rPr>
                <w:sz w:val="21"/>
                <w:szCs w:val="21"/>
              </w:rPr>
              <w:t>IP, national interest, or domestic</w:t>
            </w:r>
            <w:r w:rsidR="006D14F1" w:rsidRPr="007D1800">
              <w:rPr>
                <w:sz w:val="21"/>
                <w:szCs w:val="21"/>
              </w:rPr>
              <w:t xml:space="preserve"> investments</w:t>
            </w:r>
            <w:r w:rsidR="00D15C3E" w:rsidRPr="007D1800">
              <w:rPr>
                <w:sz w:val="21"/>
                <w:szCs w:val="21"/>
              </w:rPr>
              <w:t xml:space="preserve"> (through e.g., trade agreements)</w:t>
            </w:r>
            <w:r w:rsidR="006D14F1" w:rsidRPr="007D1800">
              <w:rPr>
                <w:sz w:val="21"/>
                <w:szCs w:val="21"/>
              </w:rPr>
              <w:t xml:space="preserve">. </w:t>
            </w:r>
          </w:p>
        </w:tc>
        <w:tc>
          <w:tcPr>
            <w:tcW w:w="4320" w:type="dxa"/>
          </w:tcPr>
          <w:p w14:paraId="3475C645" w14:textId="780870E2" w:rsidR="00B343A9" w:rsidRPr="007D1800" w:rsidRDefault="00B343A9" w:rsidP="00D15C3E">
            <w:pPr>
              <w:rPr>
                <w:sz w:val="21"/>
                <w:szCs w:val="21"/>
              </w:rPr>
            </w:pPr>
            <w:r w:rsidRPr="007D1800">
              <w:rPr>
                <w:sz w:val="21"/>
                <w:szCs w:val="21"/>
              </w:rPr>
              <w:lastRenderedPageBreak/>
              <w:t xml:space="preserve">To the end of </w:t>
            </w:r>
            <w:r w:rsidRPr="007D1800">
              <w:rPr>
                <w:rFonts w:ascii="Calibri" w:eastAsia="Calibri" w:hAnsi="Calibri" w:cs="Times New Roman"/>
                <w:sz w:val="21"/>
                <w:szCs w:val="21"/>
              </w:rPr>
              <w:t>¶51 add: “</w:t>
            </w:r>
            <w:r w:rsidRPr="00D62499">
              <w:rPr>
                <w:color w:val="0070C0"/>
                <w:sz w:val="21"/>
                <w:szCs w:val="21"/>
                <w:u w:val="single"/>
              </w:rPr>
              <w:t>Other targeted funding frameworks aimed at enhancing international cooperation on funding science-based solutions to address specific and urgent global challenges can also be considered.</w:t>
            </w:r>
            <w:r w:rsidR="006D14F1" w:rsidRPr="00D62499">
              <w:rPr>
                <w:color w:val="0070C0"/>
                <w:sz w:val="21"/>
                <w:szCs w:val="21"/>
                <w:u w:val="single"/>
              </w:rPr>
              <w:t xml:space="preserve"> For example, States can consider devoting a certain percentage of overall R&amp;D spending for health research or research </w:t>
            </w:r>
            <w:r w:rsidR="002A362F" w:rsidRPr="00D62499">
              <w:rPr>
                <w:color w:val="0070C0"/>
                <w:sz w:val="21"/>
                <w:szCs w:val="21"/>
                <w:u w:val="single"/>
              </w:rPr>
              <w:t>directed toward a particular health concern of global importance, e.g., HIV, TB, or hepatitis C virus</w:t>
            </w:r>
            <w:r w:rsidR="002A362F" w:rsidRPr="007D1800">
              <w:rPr>
                <w:color w:val="0070C0"/>
                <w:sz w:val="21"/>
                <w:szCs w:val="21"/>
              </w:rPr>
              <w:t>.</w:t>
            </w:r>
            <w:r w:rsidR="00047F75">
              <w:rPr>
                <w:color w:val="0070C0"/>
                <w:sz w:val="21"/>
                <w:szCs w:val="21"/>
              </w:rPr>
              <w:t>”</w:t>
            </w:r>
            <w:r w:rsidR="002A362F" w:rsidRPr="007D1800">
              <w:rPr>
                <w:color w:val="0070C0"/>
                <w:sz w:val="21"/>
                <w:szCs w:val="21"/>
              </w:rPr>
              <w:t xml:space="preserve"> </w:t>
            </w:r>
            <w:r w:rsidRPr="007D1800">
              <w:rPr>
                <w:color w:val="0070C0"/>
                <w:sz w:val="21"/>
                <w:szCs w:val="21"/>
              </w:rPr>
              <w:t xml:space="preserve"> </w:t>
            </w:r>
          </w:p>
        </w:tc>
      </w:tr>
      <w:tr w:rsidR="003D688D" w14:paraId="76257817" w14:textId="77777777" w:rsidTr="001D713B">
        <w:tc>
          <w:tcPr>
            <w:tcW w:w="983" w:type="dxa"/>
          </w:tcPr>
          <w:p w14:paraId="58EFD4DD" w14:textId="6A4D0AC4" w:rsidR="003D688D" w:rsidRPr="007D1800" w:rsidRDefault="003D688D" w:rsidP="00283563">
            <w:pPr>
              <w:jc w:val="center"/>
              <w:rPr>
                <w:rFonts w:ascii="Calibri" w:eastAsia="Calibri" w:hAnsi="Calibri" w:cs="Times New Roman"/>
                <w:sz w:val="21"/>
                <w:szCs w:val="21"/>
              </w:rPr>
            </w:pPr>
            <w:r w:rsidRPr="007D1800">
              <w:rPr>
                <w:rFonts w:ascii="Calibri" w:eastAsia="Calibri" w:hAnsi="Calibri" w:cs="Times New Roman"/>
                <w:sz w:val="21"/>
                <w:szCs w:val="21"/>
              </w:rPr>
              <w:lastRenderedPageBreak/>
              <w:t>¶62–66</w:t>
            </w:r>
          </w:p>
        </w:tc>
        <w:tc>
          <w:tcPr>
            <w:tcW w:w="4592" w:type="dxa"/>
          </w:tcPr>
          <w:p w14:paraId="03C6002D" w14:textId="2738ADC2" w:rsidR="003D688D" w:rsidRPr="007D1800" w:rsidRDefault="009F5FFD" w:rsidP="006C3749">
            <w:pPr>
              <w:rPr>
                <w:sz w:val="21"/>
                <w:szCs w:val="21"/>
              </w:rPr>
            </w:pPr>
            <w:r>
              <w:rPr>
                <w:sz w:val="21"/>
                <w:szCs w:val="21"/>
              </w:rPr>
              <w:t>TAG</w:t>
            </w:r>
            <w:r w:rsidR="003D688D" w:rsidRPr="007D1800">
              <w:rPr>
                <w:sz w:val="21"/>
                <w:szCs w:val="21"/>
              </w:rPr>
              <w:t xml:space="preserve"> commend</w:t>
            </w:r>
            <w:r>
              <w:rPr>
                <w:sz w:val="21"/>
                <w:szCs w:val="21"/>
              </w:rPr>
              <w:t>s</w:t>
            </w:r>
            <w:r w:rsidR="003D688D" w:rsidRPr="007D1800">
              <w:rPr>
                <w:sz w:val="21"/>
                <w:szCs w:val="21"/>
              </w:rPr>
              <w:t xml:space="preserve"> CESCR for the clear and nuanced discussion of IP and the privatization of research in these paragraphs. We encourage the Committee to think beyond IP barriers, which focuses the discussion on patents, to recognize that the right to science must embody values, norms, and principles that prevent other forms of monopoly, exclusivity, and anti-competitive practice that are detrimental to the conservation, development, and diffusion of science and technology in accordance with the duty to non-discrimination. </w:t>
            </w:r>
          </w:p>
        </w:tc>
        <w:tc>
          <w:tcPr>
            <w:tcW w:w="4320" w:type="dxa"/>
          </w:tcPr>
          <w:p w14:paraId="5E016250" w14:textId="3A171FC9" w:rsidR="003D688D" w:rsidRPr="007D1800" w:rsidRDefault="003D688D" w:rsidP="006C66E6">
            <w:pPr>
              <w:rPr>
                <w:sz w:val="21"/>
                <w:szCs w:val="21"/>
              </w:rPr>
            </w:pPr>
            <w:r w:rsidRPr="007D1800">
              <w:rPr>
                <w:sz w:val="21"/>
                <w:szCs w:val="21"/>
              </w:rPr>
              <w:t xml:space="preserve">To </w:t>
            </w:r>
            <w:r w:rsidRPr="007D1800">
              <w:rPr>
                <w:rFonts w:ascii="Calibri" w:eastAsia="Calibri" w:hAnsi="Calibri" w:cs="Times New Roman"/>
                <w:sz w:val="21"/>
                <w:szCs w:val="21"/>
              </w:rPr>
              <w:t>¶66 add: “</w:t>
            </w:r>
            <w:r w:rsidRPr="00D62499">
              <w:rPr>
                <w:rFonts w:ascii="Calibri" w:eastAsia="Calibri" w:hAnsi="Calibri" w:cs="Times New Roman"/>
                <w:color w:val="0070C0"/>
                <w:sz w:val="21"/>
                <w:szCs w:val="21"/>
                <w:u w:val="single"/>
              </w:rPr>
              <w:t xml:space="preserve">States should recognize IP </w:t>
            </w:r>
            <w:r w:rsidR="009F5FFD">
              <w:rPr>
                <w:rFonts w:ascii="Calibri" w:eastAsia="Calibri" w:hAnsi="Calibri" w:cs="Times New Roman"/>
                <w:color w:val="0070C0"/>
                <w:sz w:val="21"/>
                <w:szCs w:val="21"/>
                <w:u w:val="single"/>
              </w:rPr>
              <w:t>a</w:t>
            </w:r>
            <w:r w:rsidRPr="00D62499">
              <w:rPr>
                <w:rFonts w:ascii="Calibri" w:eastAsia="Calibri" w:hAnsi="Calibri" w:cs="Times New Roman"/>
                <w:color w:val="0070C0"/>
                <w:sz w:val="21"/>
                <w:szCs w:val="21"/>
                <w:u w:val="single"/>
              </w:rPr>
              <w:t>s one of several ways that scientific research is privatized and should take measures to prevent monopolies and anti-competitive practices that limit the sharing of scientific knowledge and access to the benefits of science, e.g. exclusive licensing, trade secret</w:t>
            </w:r>
            <w:r w:rsidR="00433BE1" w:rsidRPr="00D62499">
              <w:rPr>
                <w:rFonts w:ascii="Calibri" w:eastAsia="Calibri" w:hAnsi="Calibri" w:cs="Times New Roman"/>
                <w:color w:val="0070C0"/>
                <w:sz w:val="21"/>
                <w:szCs w:val="21"/>
                <w:u w:val="single"/>
              </w:rPr>
              <w:t>s</w:t>
            </w:r>
            <w:r w:rsidRPr="00D62499">
              <w:rPr>
                <w:rFonts w:ascii="Calibri" w:eastAsia="Calibri" w:hAnsi="Calibri" w:cs="Times New Roman"/>
                <w:color w:val="0070C0"/>
                <w:sz w:val="21"/>
                <w:szCs w:val="21"/>
                <w:u w:val="single"/>
              </w:rPr>
              <w:t>, or other anti-competitive behavior</w:t>
            </w:r>
            <w:r w:rsidRPr="007D1800">
              <w:rPr>
                <w:rFonts w:ascii="Calibri" w:eastAsia="Calibri" w:hAnsi="Calibri" w:cs="Times New Roman"/>
                <w:sz w:val="21"/>
                <w:szCs w:val="21"/>
              </w:rPr>
              <w:t xml:space="preserve">.” </w:t>
            </w:r>
          </w:p>
        </w:tc>
      </w:tr>
      <w:tr w:rsidR="00345448" w14:paraId="049080F5" w14:textId="77777777" w:rsidTr="001D713B">
        <w:tc>
          <w:tcPr>
            <w:tcW w:w="983" w:type="dxa"/>
          </w:tcPr>
          <w:p w14:paraId="351F6482" w14:textId="7E14BC94" w:rsidR="00345448" w:rsidRPr="007D1800" w:rsidRDefault="00345448" w:rsidP="00283563">
            <w:pPr>
              <w:jc w:val="center"/>
              <w:rPr>
                <w:rFonts w:ascii="Calibri" w:eastAsia="Calibri" w:hAnsi="Calibri" w:cs="Times New Roman"/>
                <w:sz w:val="21"/>
                <w:szCs w:val="21"/>
              </w:rPr>
            </w:pPr>
            <w:r w:rsidRPr="007D1800">
              <w:rPr>
                <w:rFonts w:ascii="Calibri" w:eastAsia="Calibri" w:hAnsi="Calibri" w:cs="Times New Roman"/>
                <w:sz w:val="21"/>
                <w:szCs w:val="21"/>
              </w:rPr>
              <w:t>¶68</w:t>
            </w:r>
          </w:p>
        </w:tc>
        <w:tc>
          <w:tcPr>
            <w:tcW w:w="4592" w:type="dxa"/>
          </w:tcPr>
          <w:p w14:paraId="105FA732" w14:textId="24B86FB7" w:rsidR="00345448" w:rsidRPr="007D1800" w:rsidRDefault="00345448" w:rsidP="006C3749">
            <w:pPr>
              <w:rPr>
                <w:sz w:val="21"/>
                <w:szCs w:val="21"/>
              </w:rPr>
            </w:pPr>
            <w:r w:rsidRPr="007D1800">
              <w:rPr>
                <w:sz w:val="21"/>
                <w:szCs w:val="21"/>
              </w:rPr>
              <w:t xml:space="preserve">Similar to </w:t>
            </w:r>
            <w:r w:rsidR="001014F8" w:rsidRPr="007D1800">
              <w:rPr>
                <w:rFonts w:ascii="Calibri" w:eastAsia="Calibri" w:hAnsi="Calibri" w:cs="Times New Roman"/>
                <w:sz w:val="21"/>
                <w:szCs w:val="21"/>
              </w:rPr>
              <w:t>¶</w:t>
            </w:r>
            <w:r w:rsidRPr="007D1800">
              <w:rPr>
                <w:sz w:val="21"/>
                <w:szCs w:val="21"/>
              </w:rPr>
              <w:t>29</w:t>
            </w:r>
            <w:r w:rsidR="001014F8" w:rsidRPr="007D1800">
              <w:rPr>
                <w:sz w:val="21"/>
                <w:szCs w:val="21"/>
              </w:rPr>
              <w:t xml:space="preserve">, the </w:t>
            </w:r>
            <w:r w:rsidR="009F5FFD">
              <w:rPr>
                <w:sz w:val="21"/>
                <w:szCs w:val="21"/>
              </w:rPr>
              <w:t>GC draft</w:t>
            </w:r>
            <w:r w:rsidR="001014F8" w:rsidRPr="007D1800">
              <w:rPr>
                <w:sz w:val="21"/>
                <w:szCs w:val="21"/>
              </w:rPr>
              <w:t xml:space="preserve"> would be strengthened by pairing the existing reference to </w:t>
            </w:r>
            <w:r w:rsidR="009F5FFD">
              <w:rPr>
                <w:sz w:val="21"/>
                <w:szCs w:val="21"/>
              </w:rPr>
              <w:t xml:space="preserve">FPIC </w:t>
            </w:r>
            <w:r w:rsidR="001014F8" w:rsidRPr="007D1800">
              <w:rPr>
                <w:sz w:val="21"/>
                <w:szCs w:val="21"/>
              </w:rPr>
              <w:t xml:space="preserve">with references to </w:t>
            </w:r>
            <w:r w:rsidR="001014F8" w:rsidRPr="007D1800">
              <w:rPr>
                <w:i/>
                <w:sz w:val="21"/>
                <w:szCs w:val="21"/>
              </w:rPr>
              <w:t>mutually agreed terms</w:t>
            </w:r>
            <w:r w:rsidR="001014F8" w:rsidRPr="007D1800">
              <w:rPr>
                <w:sz w:val="21"/>
                <w:szCs w:val="21"/>
              </w:rPr>
              <w:t xml:space="preserve"> and </w:t>
            </w:r>
            <w:r w:rsidR="001014F8" w:rsidRPr="007D1800">
              <w:rPr>
                <w:i/>
                <w:sz w:val="21"/>
                <w:szCs w:val="21"/>
              </w:rPr>
              <w:t>access and benefit sharing</w:t>
            </w:r>
            <w:r w:rsidR="001014F8" w:rsidRPr="007D1800">
              <w:rPr>
                <w:sz w:val="21"/>
                <w:szCs w:val="21"/>
              </w:rPr>
              <w:t xml:space="preserve">. Currently, this paragraph </w:t>
            </w:r>
            <w:r w:rsidR="006C66E6" w:rsidRPr="007D1800">
              <w:rPr>
                <w:sz w:val="21"/>
                <w:szCs w:val="21"/>
              </w:rPr>
              <w:t xml:space="preserve">only </w:t>
            </w:r>
            <w:r w:rsidR="001014F8" w:rsidRPr="007D1800">
              <w:rPr>
                <w:sz w:val="21"/>
                <w:szCs w:val="21"/>
              </w:rPr>
              <w:t>cites</w:t>
            </w:r>
            <w:r w:rsidR="006C66E6" w:rsidRPr="007D1800">
              <w:rPr>
                <w:sz w:val="21"/>
                <w:szCs w:val="21"/>
              </w:rPr>
              <w:t xml:space="preserve"> a set of disciplinary-specific guidelines</w:t>
            </w:r>
            <w:r w:rsidR="00D97DFE">
              <w:rPr>
                <w:sz w:val="21"/>
                <w:szCs w:val="21"/>
              </w:rPr>
              <w:t xml:space="preserve"> from the American Anthropological Association</w:t>
            </w:r>
            <w:r w:rsidR="001014F8" w:rsidRPr="007D1800">
              <w:rPr>
                <w:sz w:val="21"/>
                <w:szCs w:val="21"/>
              </w:rPr>
              <w:t xml:space="preserve">. The </w:t>
            </w:r>
            <w:r w:rsidR="009F5FFD" w:rsidRPr="007D1800">
              <w:rPr>
                <w:sz w:val="21"/>
                <w:szCs w:val="21"/>
              </w:rPr>
              <w:t>argument</w:t>
            </w:r>
            <w:r w:rsidR="001014F8" w:rsidRPr="007D1800">
              <w:rPr>
                <w:sz w:val="21"/>
                <w:szCs w:val="21"/>
              </w:rPr>
              <w:t xml:space="preserve"> would be strengthened by referencing international law on this subject, including the </w:t>
            </w:r>
            <w:r w:rsidR="006C66E6" w:rsidRPr="007D1800">
              <w:rPr>
                <w:sz w:val="21"/>
                <w:szCs w:val="21"/>
              </w:rPr>
              <w:t xml:space="preserve">Bonn Guidelines </w:t>
            </w:r>
            <w:r w:rsidR="001014F8" w:rsidRPr="007D1800">
              <w:rPr>
                <w:sz w:val="21"/>
                <w:szCs w:val="21"/>
              </w:rPr>
              <w:t>and the Nagoya Protocol</w:t>
            </w:r>
            <w:r w:rsidR="006C66E6" w:rsidRPr="007D1800">
              <w:rPr>
                <w:sz w:val="21"/>
                <w:szCs w:val="21"/>
              </w:rPr>
              <w:t xml:space="preserve"> to the Convention on Biological Diversity.</w:t>
            </w:r>
            <w:r w:rsidR="00AC071A">
              <w:rPr>
                <w:rStyle w:val="FootnoteReference"/>
                <w:color w:val="000000" w:themeColor="text1"/>
                <w:szCs w:val="21"/>
              </w:rPr>
              <w:footnoteReference w:id="3"/>
            </w:r>
            <w:r w:rsidR="00AC071A">
              <w:rPr>
                <w:color w:val="000000" w:themeColor="text1"/>
                <w:sz w:val="21"/>
                <w:szCs w:val="21"/>
                <w:vertAlign w:val="superscript"/>
              </w:rPr>
              <w:t>,</w:t>
            </w:r>
            <w:r w:rsidR="00AC071A">
              <w:rPr>
                <w:rStyle w:val="FootnoteReference"/>
                <w:color w:val="000000" w:themeColor="text1"/>
                <w:szCs w:val="21"/>
              </w:rPr>
              <w:footnoteReference w:id="4"/>
            </w:r>
            <w:r w:rsidR="00AC071A" w:rsidRPr="007D1800">
              <w:rPr>
                <w:color w:val="000000" w:themeColor="text1"/>
                <w:sz w:val="21"/>
                <w:szCs w:val="21"/>
              </w:rPr>
              <w:t xml:space="preserve"> </w:t>
            </w:r>
            <w:r w:rsidR="001014F8" w:rsidRPr="007D1800">
              <w:rPr>
                <w:sz w:val="21"/>
                <w:szCs w:val="21"/>
              </w:rPr>
              <w:t xml:space="preserve"> </w:t>
            </w:r>
          </w:p>
        </w:tc>
        <w:tc>
          <w:tcPr>
            <w:tcW w:w="4320" w:type="dxa"/>
          </w:tcPr>
          <w:p w14:paraId="1CED7862" w14:textId="76DF883B" w:rsidR="006C66E6" w:rsidRPr="007D1800" w:rsidRDefault="00D97DFE" w:rsidP="006C66E6">
            <w:pPr>
              <w:rPr>
                <w:sz w:val="21"/>
                <w:szCs w:val="21"/>
              </w:rPr>
            </w:pPr>
            <w:r>
              <w:rPr>
                <w:sz w:val="21"/>
                <w:szCs w:val="21"/>
              </w:rPr>
              <w:t xml:space="preserve">Amend </w:t>
            </w:r>
            <w:r w:rsidRPr="007D1800">
              <w:rPr>
                <w:rFonts w:ascii="Calibri" w:eastAsia="Calibri" w:hAnsi="Calibri" w:cs="Times New Roman"/>
                <w:sz w:val="21"/>
                <w:szCs w:val="21"/>
              </w:rPr>
              <w:t>¶</w:t>
            </w:r>
            <w:r>
              <w:rPr>
                <w:rFonts w:ascii="Calibri" w:eastAsia="Calibri" w:hAnsi="Calibri" w:cs="Times New Roman"/>
                <w:sz w:val="21"/>
                <w:szCs w:val="21"/>
              </w:rPr>
              <w:t>68:</w:t>
            </w:r>
            <w:r>
              <w:rPr>
                <w:sz w:val="21"/>
                <w:szCs w:val="21"/>
              </w:rPr>
              <w:t xml:space="preserve"> “</w:t>
            </w:r>
            <w:r w:rsidR="00345448" w:rsidRPr="007D1800">
              <w:rPr>
                <w:sz w:val="21"/>
                <w:szCs w:val="21"/>
              </w:rPr>
              <w:t xml:space="preserve">Consultation in order to obtain free, prior and informed consent, </w:t>
            </w:r>
            <w:r w:rsidR="00345448" w:rsidRPr="00D62499">
              <w:rPr>
                <w:color w:val="0070C0"/>
                <w:sz w:val="21"/>
                <w:szCs w:val="21"/>
                <w:u w:val="single"/>
              </w:rPr>
              <w:t xml:space="preserve">in accordance </w:t>
            </w:r>
            <w:r w:rsidR="001014F8" w:rsidRPr="00D62499">
              <w:rPr>
                <w:color w:val="0070C0"/>
                <w:sz w:val="21"/>
                <w:szCs w:val="21"/>
                <w:u w:val="single"/>
              </w:rPr>
              <w:t>with</w:t>
            </w:r>
            <w:r w:rsidR="00345448" w:rsidRPr="00D62499">
              <w:rPr>
                <w:color w:val="0070C0"/>
                <w:sz w:val="21"/>
                <w:szCs w:val="21"/>
                <w:u w:val="single"/>
              </w:rPr>
              <w:t xml:space="preserve"> community-defined protocols</w:t>
            </w:r>
            <w:r w:rsidR="00345448" w:rsidRPr="007D1800">
              <w:rPr>
                <w:color w:val="0070C0"/>
                <w:sz w:val="21"/>
                <w:szCs w:val="21"/>
              </w:rPr>
              <w:t>,</w:t>
            </w:r>
            <w:r w:rsidR="00345448" w:rsidRPr="007D1800">
              <w:rPr>
                <w:sz w:val="21"/>
                <w:szCs w:val="21"/>
              </w:rPr>
              <w:t xml:space="preserve"> is necessary, whenever the State party or non-state actors make decisions or create policies related to science that have an impact on indigenous peoples</w:t>
            </w:r>
            <w:r w:rsidR="006C66E6" w:rsidRPr="007D1800">
              <w:rPr>
                <w:sz w:val="21"/>
                <w:szCs w:val="21"/>
              </w:rPr>
              <w:t>.”</w:t>
            </w:r>
            <w:r w:rsidR="00345448" w:rsidRPr="007D1800">
              <w:rPr>
                <w:sz w:val="21"/>
                <w:szCs w:val="21"/>
              </w:rPr>
              <w:t xml:space="preserve"> </w:t>
            </w:r>
          </w:p>
          <w:p w14:paraId="3D340DA4" w14:textId="77777777" w:rsidR="006C66E6" w:rsidRPr="007D1800" w:rsidRDefault="006C66E6" w:rsidP="006C66E6">
            <w:pPr>
              <w:rPr>
                <w:sz w:val="21"/>
                <w:szCs w:val="21"/>
              </w:rPr>
            </w:pPr>
          </w:p>
          <w:p w14:paraId="409DE615" w14:textId="787A42A1" w:rsidR="00345448" w:rsidRPr="007D1800" w:rsidRDefault="006C66E6" w:rsidP="00AC071A">
            <w:pPr>
              <w:rPr>
                <w:sz w:val="21"/>
                <w:szCs w:val="21"/>
              </w:rPr>
            </w:pPr>
            <w:r w:rsidRPr="007D1800">
              <w:rPr>
                <w:sz w:val="21"/>
                <w:szCs w:val="21"/>
              </w:rPr>
              <w:t xml:space="preserve">To the end of the </w:t>
            </w:r>
            <w:r w:rsidRPr="007D1800">
              <w:rPr>
                <w:rFonts w:eastAsia="Times New Roman"/>
                <w:sz w:val="21"/>
                <w:szCs w:val="21"/>
              </w:rPr>
              <w:t>¶</w:t>
            </w:r>
            <w:r w:rsidR="00D97DFE">
              <w:rPr>
                <w:rFonts w:eastAsia="Times New Roman"/>
                <w:sz w:val="21"/>
                <w:szCs w:val="21"/>
              </w:rPr>
              <w:t>68</w:t>
            </w:r>
            <w:r w:rsidRPr="007D1800">
              <w:rPr>
                <w:rFonts w:eastAsia="Times New Roman"/>
                <w:sz w:val="21"/>
                <w:szCs w:val="21"/>
              </w:rPr>
              <w:t xml:space="preserve"> add:</w:t>
            </w:r>
            <w:r w:rsidRPr="007D1800">
              <w:rPr>
                <w:sz w:val="21"/>
                <w:szCs w:val="21"/>
              </w:rPr>
              <w:t xml:space="preserve"> “</w:t>
            </w:r>
            <w:r w:rsidR="001014F8" w:rsidRPr="00D62499">
              <w:rPr>
                <w:color w:val="0070C0"/>
                <w:sz w:val="21"/>
                <w:szCs w:val="21"/>
                <w:u w:val="single"/>
              </w:rPr>
              <w:t>Any research involving traditional knowledge held by Indigenous Peoples should proceed under mutually agreed terms</w:t>
            </w:r>
            <w:r w:rsidRPr="00D62499">
              <w:rPr>
                <w:color w:val="0070C0"/>
                <w:sz w:val="21"/>
                <w:szCs w:val="21"/>
                <w:u w:val="single"/>
              </w:rPr>
              <w:t xml:space="preserve"> and in the context of access and benefit sharing agreements between traditional knowledge holders and those that use such knowledge, whether for academic study or commercialization</w:t>
            </w:r>
            <w:r w:rsidRPr="007D1800">
              <w:rPr>
                <w:color w:val="000000" w:themeColor="text1"/>
                <w:sz w:val="21"/>
                <w:szCs w:val="21"/>
              </w:rPr>
              <w:t xml:space="preserve">.” </w:t>
            </w:r>
          </w:p>
        </w:tc>
      </w:tr>
      <w:tr w:rsidR="001053D3" w14:paraId="75B7ABCC" w14:textId="77777777" w:rsidTr="001D713B">
        <w:tc>
          <w:tcPr>
            <w:tcW w:w="983" w:type="dxa"/>
          </w:tcPr>
          <w:p w14:paraId="6DA4F2A1" w14:textId="43F515C4" w:rsidR="001053D3" w:rsidRPr="007D1800" w:rsidRDefault="001053D3" w:rsidP="00283563">
            <w:pPr>
              <w:jc w:val="center"/>
              <w:rPr>
                <w:rFonts w:ascii="Calibri" w:eastAsia="Calibri" w:hAnsi="Calibri" w:cs="Times New Roman"/>
                <w:sz w:val="21"/>
                <w:szCs w:val="21"/>
              </w:rPr>
            </w:pPr>
            <w:r w:rsidRPr="007D1800">
              <w:rPr>
                <w:rFonts w:ascii="Calibri" w:eastAsia="Calibri" w:hAnsi="Calibri" w:cs="Times New Roman"/>
                <w:sz w:val="21"/>
                <w:szCs w:val="21"/>
              </w:rPr>
              <w:t>¶85</w:t>
            </w:r>
          </w:p>
        </w:tc>
        <w:tc>
          <w:tcPr>
            <w:tcW w:w="4592" w:type="dxa"/>
          </w:tcPr>
          <w:p w14:paraId="6BFCF2C9" w14:textId="136C466E" w:rsidR="001053D3" w:rsidRPr="007D1800" w:rsidRDefault="001053D3" w:rsidP="006C3749">
            <w:pPr>
              <w:rPr>
                <w:color w:val="0070C0"/>
                <w:sz w:val="21"/>
                <w:szCs w:val="21"/>
              </w:rPr>
            </w:pPr>
            <w:r w:rsidRPr="007D1800">
              <w:rPr>
                <w:sz w:val="21"/>
                <w:szCs w:val="21"/>
              </w:rPr>
              <w:t xml:space="preserve">Beyond IP barriers, </w:t>
            </w:r>
            <w:r w:rsidR="002A362F" w:rsidRPr="007D1800">
              <w:rPr>
                <w:sz w:val="21"/>
                <w:szCs w:val="21"/>
              </w:rPr>
              <w:t xml:space="preserve">the </w:t>
            </w:r>
            <w:r w:rsidRPr="007D1800">
              <w:rPr>
                <w:sz w:val="21"/>
                <w:szCs w:val="21"/>
              </w:rPr>
              <w:t>right to science must embody principles, values</w:t>
            </w:r>
            <w:r w:rsidR="00D97DFE">
              <w:rPr>
                <w:sz w:val="21"/>
                <w:szCs w:val="21"/>
              </w:rPr>
              <w:t>,</w:t>
            </w:r>
            <w:r w:rsidRPr="007D1800">
              <w:rPr>
                <w:sz w:val="21"/>
                <w:szCs w:val="21"/>
              </w:rPr>
              <w:t xml:space="preserve"> and norms that prevent other </w:t>
            </w:r>
            <w:r w:rsidR="00D97DFE">
              <w:rPr>
                <w:sz w:val="21"/>
                <w:szCs w:val="21"/>
              </w:rPr>
              <w:t xml:space="preserve">forms of </w:t>
            </w:r>
            <w:r w:rsidRPr="007D1800">
              <w:rPr>
                <w:sz w:val="21"/>
                <w:szCs w:val="21"/>
              </w:rPr>
              <w:t>monopol</w:t>
            </w:r>
            <w:r w:rsidR="00D97DFE">
              <w:rPr>
                <w:sz w:val="21"/>
                <w:szCs w:val="21"/>
              </w:rPr>
              <w:t>y</w:t>
            </w:r>
            <w:r w:rsidRPr="007D1800">
              <w:rPr>
                <w:sz w:val="21"/>
                <w:szCs w:val="21"/>
              </w:rPr>
              <w:t>, exclusivity, and anti-competiti</w:t>
            </w:r>
            <w:r w:rsidR="00D97DFE">
              <w:rPr>
                <w:sz w:val="21"/>
                <w:szCs w:val="21"/>
              </w:rPr>
              <w:t>ve practice</w:t>
            </w:r>
            <w:r w:rsidRPr="007D1800">
              <w:rPr>
                <w:sz w:val="21"/>
                <w:szCs w:val="21"/>
              </w:rPr>
              <w:t xml:space="preserve"> that are detrimental to</w:t>
            </w:r>
            <w:r w:rsidR="002A362F" w:rsidRPr="007D1800">
              <w:rPr>
                <w:sz w:val="21"/>
                <w:szCs w:val="21"/>
              </w:rPr>
              <w:t xml:space="preserve"> the</w:t>
            </w:r>
            <w:r w:rsidRPr="007D1800">
              <w:rPr>
                <w:sz w:val="21"/>
                <w:szCs w:val="21"/>
              </w:rPr>
              <w:t xml:space="preserve"> development and diffusion of the benefits of scientific progress.</w:t>
            </w:r>
          </w:p>
        </w:tc>
        <w:tc>
          <w:tcPr>
            <w:tcW w:w="4320" w:type="dxa"/>
          </w:tcPr>
          <w:p w14:paraId="61FB033A" w14:textId="32E726ED" w:rsidR="001053D3" w:rsidRPr="007D1800" w:rsidRDefault="002A362F" w:rsidP="00433BE1">
            <w:pPr>
              <w:rPr>
                <w:sz w:val="21"/>
                <w:szCs w:val="21"/>
              </w:rPr>
            </w:pPr>
            <w:r w:rsidRPr="007D1800">
              <w:rPr>
                <w:sz w:val="21"/>
                <w:szCs w:val="21"/>
              </w:rPr>
              <w:t xml:space="preserve">To the description of the normative framework introduced in </w:t>
            </w:r>
            <w:r w:rsidRPr="007D1800">
              <w:rPr>
                <w:rFonts w:ascii="Calibri" w:eastAsia="Calibri" w:hAnsi="Calibri" w:cs="Times New Roman"/>
                <w:sz w:val="21"/>
                <w:szCs w:val="21"/>
              </w:rPr>
              <w:t>¶85, add:</w:t>
            </w:r>
            <w:r w:rsidR="00433BE1" w:rsidRPr="007D1800">
              <w:rPr>
                <w:rFonts w:ascii="Calibri" w:eastAsia="Calibri" w:hAnsi="Calibri" w:cs="Times New Roman"/>
                <w:sz w:val="21"/>
                <w:szCs w:val="21"/>
              </w:rPr>
              <w:t xml:space="preserve"> </w:t>
            </w:r>
            <w:r w:rsidRPr="007D1800">
              <w:rPr>
                <w:sz w:val="21"/>
                <w:szCs w:val="21"/>
              </w:rPr>
              <w:t>“…</w:t>
            </w:r>
            <w:r w:rsidR="001053D3" w:rsidRPr="007D1800">
              <w:rPr>
                <w:sz w:val="21"/>
                <w:szCs w:val="21"/>
              </w:rPr>
              <w:t xml:space="preserve">measures to harmonize intellectual property with the right of all persons to access science and its benefits; </w:t>
            </w:r>
            <w:r w:rsidRPr="00D62499">
              <w:rPr>
                <w:color w:val="0070C0"/>
                <w:sz w:val="21"/>
                <w:szCs w:val="21"/>
                <w:u w:val="single"/>
              </w:rPr>
              <w:t>measures to</w:t>
            </w:r>
            <w:r w:rsidRPr="00D62499">
              <w:rPr>
                <w:sz w:val="21"/>
                <w:szCs w:val="21"/>
                <w:u w:val="single"/>
              </w:rPr>
              <w:t xml:space="preserve"> </w:t>
            </w:r>
            <w:r w:rsidRPr="00D62499">
              <w:rPr>
                <w:color w:val="0070C0"/>
                <w:sz w:val="21"/>
                <w:szCs w:val="21"/>
                <w:u w:val="single"/>
              </w:rPr>
              <w:t>prevent monopolies, exclusive licensing, and other anti-competitive behavior and practices</w:t>
            </w:r>
            <w:r w:rsidRPr="00D62499">
              <w:rPr>
                <w:sz w:val="21"/>
                <w:szCs w:val="21"/>
                <w:u w:val="single"/>
              </w:rPr>
              <w:t xml:space="preserve"> </w:t>
            </w:r>
            <w:r w:rsidRPr="00D62499">
              <w:rPr>
                <w:color w:val="0070C0"/>
                <w:sz w:val="21"/>
                <w:szCs w:val="21"/>
                <w:u w:val="single"/>
              </w:rPr>
              <w:t>that can privatize science</w:t>
            </w:r>
            <w:r w:rsidRPr="00D62499">
              <w:rPr>
                <w:sz w:val="21"/>
                <w:szCs w:val="21"/>
                <w:u w:val="single"/>
              </w:rPr>
              <w:t>;</w:t>
            </w:r>
            <w:r w:rsidRPr="007D1800">
              <w:rPr>
                <w:sz w:val="21"/>
                <w:szCs w:val="21"/>
              </w:rPr>
              <w:t xml:space="preserve"> </w:t>
            </w:r>
            <w:r w:rsidR="001053D3" w:rsidRPr="007D1800">
              <w:rPr>
                <w:sz w:val="21"/>
                <w:szCs w:val="21"/>
              </w:rPr>
              <w:t>and adequate protection against all forms of discrimination.</w:t>
            </w:r>
            <w:r w:rsidR="00433BE1" w:rsidRPr="007D1800">
              <w:rPr>
                <w:sz w:val="21"/>
                <w:szCs w:val="21"/>
              </w:rPr>
              <w:t>”</w:t>
            </w:r>
            <w:r w:rsidR="001053D3" w:rsidRPr="007D1800">
              <w:rPr>
                <w:sz w:val="21"/>
                <w:szCs w:val="21"/>
              </w:rPr>
              <w:t xml:space="preserve"> </w:t>
            </w:r>
          </w:p>
        </w:tc>
      </w:tr>
      <w:tr w:rsidR="00FA3FBB" w14:paraId="461AE392" w14:textId="77777777" w:rsidTr="001D713B">
        <w:tc>
          <w:tcPr>
            <w:tcW w:w="983" w:type="dxa"/>
          </w:tcPr>
          <w:p w14:paraId="5AE54616" w14:textId="030E16C9" w:rsidR="00FA3FBB" w:rsidRPr="007D1800" w:rsidRDefault="00FA3FBB" w:rsidP="00283563">
            <w:pPr>
              <w:jc w:val="center"/>
              <w:rPr>
                <w:rFonts w:ascii="Calibri" w:eastAsia="Calibri" w:hAnsi="Calibri" w:cs="Times New Roman"/>
                <w:sz w:val="21"/>
                <w:szCs w:val="21"/>
              </w:rPr>
            </w:pPr>
            <w:r w:rsidRPr="007D1800">
              <w:rPr>
                <w:rFonts w:ascii="Calibri" w:eastAsia="Calibri" w:hAnsi="Calibri" w:cs="Times New Roman"/>
                <w:sz w:val="21"/>
                <w:szCs w:val="21"/>
              </w:rPr>
              <w:lastRenderedPageBreak/>
              <w:t>¶89</w:t>
            </w:r>
          </w:p>
        </w:tc>
        <w:tc>
          <w:tcPr>
            <w:tcW w:w="4592" w:type="dxa"/>
          </w:tcPr>
          <w:p w14:paraId="740457C1" w14:textId="175FE9CA" w:rsidR="001E2CAF" w:rsidRDefault="001E2CAF" w:rsidP="006C3749">
            <w:pPr>
              <w:rPr>
                <w:sz w:val="21"/>
                <w:szCs w:val="21"/>
              </w:rPr>
            </w:pPr>
            <w:r>
              <w:rPr>
                <w:sz w:val="21"/>
                <w:szCs w:val="21"/>
              </w:rPr>
              <w:t xml:space="preserve">The closing paragraph should reference the right’s grounding in the UDHR. </w:t>
            </w:r>
          </w:p>
          <w:p w14:paraId="5598B96E" w14:textId="77777777" w:rsidR="00912F19" w:rsidRDefault="00912F19" w:rsidP="006C3749">
            <w:pPr>
              <w:rPr>
                <w:sz w:val="21"/>
                <w:szCs w:val="21"/>
              </w:rPr>
            </w:pPr>
          </w:p>
          <w:p w14:paraId="28BE9DCC" w14:textId="244DE1AB" w:rsidR="001E2CAF" w:rsidRPr="007D1800" w:rsidRDefault="001E2CAF" w:rsidP="006C3749">
            <w:pPr>
              <w:rPr>
                <w:sz w:val="21"/>
                <w:szCs w:val="21"/>
              </w:rPr>
            </w:pPr>
            <w:r w:rsidRPr="001E2CAF">
              <w:rPr>
                <w:sz w:val="21"/>
                <w:szCs w:val="21"/>
              </w:rPr>
              <w:t xml:space="preserve">TAG’s history of working at the intersection of AIDS research, policy, and community mobilization demonstrates the power of recognizing a human right to science. AIDS teaches us that science policy is human rights policy, and that policies that attack human rights threaten science. </w:t>
            </w:r>
            <w:r>
              <w:rPr>
                <w:sz w:val="21"/>
                <w:szCs w:val="21"/>
              </w:rPr>
              <w:t>TAG’s</w:t>
            </w:r>
            <w:r w:rsidRPr="001E2CAF">
              <w:rPr>
                <w:sz w:val="21"/>
                <w:szCs w:val="21"/>
              </w:rPr>
              <w:t xml:space="preserve"> work on HIV, TB</w:t>
            </w:r>
            <w:r w:rsidR="00912F19">
              <w:rPr>
                <w:sz w:val="21"/>
                <w:szCs w:val="21"/>
              </w:rPr>
              <w:t>,</w:t>
            </w:r>
            <w:r w:rsidRPr="001E2CAF">
              <w:rPr>
                <w:sz w:val="21"/>
                <w:szCs w:val="21"/>
              </w:rPr>
              <w:t xml:space="preserve"> and HCV demonstrates that the value</w:t>
            </w:r>
            <w:r w:rsidR="00912F19">
              <w:rPr>
                <w:sz w:val="21"/>
                <w:szCs w:val="21"/>
              </w:rPr>
              <w:t>s</w:t>
            </w:r>
            <w:r w:rsidRPr="001E2CAF">
              <w:rPr>
                <w:sz w:val="21"/>
                <w:szCs w:val="21"/>
              </w:rPr>
              <w:t xml:space="preserve">, entitlements, and obligations under the right to science discussed in the GC cohere into a single </w:t>
            </w:r>
            <w:r w:rsidR="00912F19">
              <w:rPr>
                <w:sz w:val="21"/>
                <w:szCs w:val="21"/>
              </w:rPr>
              <w:t xml:space="preserve">and conceptually distinct </w:t>
            </w:r>
            <w:r w:rsidRPr="001E2CAF">
              <w:rPr>
                <w:sz w:val="21"/>
                <w:szCs w:val="21"/>
              </w:rPr>
              <w:t>“right to science.”</w:t>
            </w:r>
          </w:p>
        </w:tc>
        <w:tc>
          <w:tcPr>
            <w:tcW w:w="4320" w:type="dxa"/>
          </w:tcPr>
          <w:p w14:paraId="33B872DA" w14:textId="3BD6A3A8" w:rsidR="00FA3FBB" w:rsidRPr="00AC2CC5" w:rsidRDefault="00912F19" w:rsidP="00AC2CC5">
            <w:pPr>
              <w:pStyle w:val="SingleTxtG"/>
              <w:suppressAutoHyphens w:val="0"/>
              <w:spacing w:line="240" w:lineRule="auto"/>
              <w:ind w:left="0" w:right="-19"/>
              <w:jc w:val="left"/>
              <w:rPr>
                <w:rFonts w:asciiTheme="minorHAnsi" w:hAnsiTheme="minorHAnsi" w:cstheme="minorHAnsi"/>
                <w:color w:val="4472C4" w:themeColor="accent1"/>
                <w:sz w:val="21"/>
                <w:szCs w:val="21"/>
                <w:u w:val="single"/>
              </w:rPr>
            </w:pPr>
            <w:r>
              <w:rPr>
                <w:rFonts w:asciiTheme="minorHAnsi" w:hAnsiTheme="minorHAnsi" w:cstheme="minorHAnsi"/>
                <w:sz w:val="21"/>
                <w:szCs w:val="21"/>
              </w:rPr>
              <w:t xml:space="preserve">Amend </w:t>
            </w:r>
            <w:r w:rsidRPr="007D1800">
              <w:rPr>
                <w:rFonts w:ascii="Calibri" w:eastAsia="Calibri" w:hAnsi="Calibri"/>
                <w:sz w:val="21"/>
                <w:szCs w:val="21"/>
              </w:rPr>
              <w:t>¶</w:t>
            </w:r>
            <w:r>
              <w:rPr>
                <w:rFonts w:ascii="Calibri" w:eastAsia="Calibri" w:hAnsi="Calibri"/>
                <w:sz w:val="21"/>
                <w:szCs w:val="21"/>
              </w:rPr>
              <w:t>89:</w:t>
            </w:r>
            <w:r>
              <w:rPr>
                <w:rFonts w:asciiTheme="minorHAnsi" w:hAnsiTheme="minorHAnsi" w:cstheme="minorHAnsi"/>
                <w:sz w:val="21"/>
                <w:szCs w:val="21"/>
              </w:rPr>
              <w:t xml:space="preserve"> </w:t>
            </w:r>
            <w:r w:rsidR="001E2CAF" w:rsidRPr="001E2CAF">
              <w:rPr>
                <w:rFonts w:asciiTheme="minorHAnsi" w:hAnsiTheme="minorHAnsi" w:cstheme="minorHAnsi"/>
                <w:sz w:val="21"/>
                <w:szCs w:val="21"/>
              </w:rPr>
              <w:t>“This set of rights, entitlements, liberties, duties or obligations related to science, analy</w:t>
            </w:r>
            <w:r w:rsidR="00FF46B5">
              <w:rPr>
                <w:rFonts w:asciiTheme="minorHAnsi" w:hAnsiTheme="minorHAnsi" w:cstheme="minorHAnsi"/>
                <w:sz w:val="21"/>
                <w:szCs w:val="21"/>
              </w:rPr>
              <w:t>s</w:t>
            </w:r>
            <w:r w:rsidR="001E2CAF" w:rsidRPr="001E2CAF">
              <w:rPr>
                <w:rFonts w:asciiTheme="minorHAnsi" w:hAnsiTheme="minorHAnsi" w:cstheme="minorHAnsi"/>
                <w:sz w:val="21"/>
                <w:szCs w:val="21"/>
              </w:rPr>
              <w:t xml:space="preserve">ed in this General Comment </w:t>
            </w:r>
            <w:r w:rsidR="001E2CAF" w:rsidRPr="001E2CAF">
              <w:rPr>
                <w:rFonts w:asciiTheme="minorHAnsi" w:hAnsiTheme="minorHAnsi" w:cstheme="minorHAnsi"/>
                <w:color w:val="4472C4" w:themeColor="accent1"/>
                <w:sz w:val="21"/>
                <w:szCs w:val="21"/>
                <w:u w:val="single"/>
              </w:rPr>
              <w:t>and originating in the UDHR</w:t>
            </w:r>
            <w:r w:rsidR="001E2CAF" w:rsidRPr="001E2CAF">
              <w:rPr>
                <w:rFonts w:asciiTheme="minorHAnsi" w:hAnsiTheme="minorHAnsi" w:cstheme="minorHAnsi"/>
                <w:sz w:val="21"/>
                <w:szCs w:val="21"/>
              </w:rPr>
              <w:t>, might be br</w:t>
            </w:r>
            <w:r w:rsidR="001E2CAF" w:rsidRPr="001E2CAF">
              <w:rPr>
                <w:rFonts w:asciiTheme="minorHAnsi" w:hAnsiTheme="minorHAnsi" w:cstheme="minorHAnsi"/>
                <w:color w:val="4472C4" w:themeColor="accent1"/>
                <w:sz w:val="21"/>
                <w:szCs w:val="21"/>
                <w:u w:val="single"/>
              </w:rPr>
              <w:t>ought</w:t>
            </w:r>
            <w:r w:rsidR="001E2CAF" w:rsidRPr="001E2CAF">
              <w:rPr>
                <w:rFonts w:asciiTheme="minorHAnsi" w:hAnsiTheme="minorHAnsi" w:cstheme="minorHAnsi"/>
                <w:sz w:val="21"/>
                <w:szCs w:val="21"/>
              </w:rPr>
              <w:t xml:space="preserve"> together in a single broad concept named the human right to science, […]. This approach and name has already been adopted by the Special Rapporteur on Cultural Rights</w:t>
            </w:r>
            <w:r w:rsidR="001E2CAF">
              <w:rPr>
                <w:rFonts w:asciiTheme="minorHAnsi" w:hAnsiTheme="minorHAnsi" w:cstheme="minorHAnsi"/>
                <w:sz w:val="21"/>
                <w:szCs w:val="21"/>
              </w:rPr>
              <w:t>,</w:t>
            </w:r>
            <w:r w:rsidR="001E2CAF" w:rsidRPr="001E2CAF">
              <w:rPr>
                <w:rFonts w:asciiTheme="minorHAnsi" w:hAnsiTheme="minorHAnsi" w:cstheme="minorHAnsi"/>
                <w:sz w:val="21"/>
                <w:szCs w:val="21"/>
              </w:rPr>
              <w:t xml:space="preserve"> by UNESCO, by some international conferences and</w:t>
            </w:r>
            <w:r w:rsidR="001E2CAF" w:rsidRPr="001E2CAF">
              <w:rPr>
                <w:rFonts w:cstheme="minorHAnsi"/>
                <w:sz w:val="21"/>
                <w:szCs w:val="21"/>
              </w:rPr>
              <w:t xml:space="preserve"> </w:t>
            </w:r>
            <w:r w:rsidR="001E2CAF" w:rsidRPr="001E2CAF">
              <w:rPr>
                <w:rFonts w:asciiTheme="minorHAnsi" w:hAnsiTheme="minorHAnsi" w:cstheme="minorHAnsi"/>
                <w:sz w:val="21"/>
                <w:szCs w:val="21"/>
              </w:rPr>
              <w:t>summits</w:t>
            </w:r>
            <w:r w:rsidR="001E2CAF">
              <w:rPr>
                <w:rFonts w:asciiTheme="minorHAnsi" w:hAnsiTheme="minorHAnsi" w:cstheme="minorHAnsi"/>
                <w:sz w:val="21"/>
                <w:szCs w:val="21"/>
              </w:rPr>
              <w:t>,</w:t>
            </w:r>
            <w:r>
              <w:rPr>
                <w:rFonts w:asciiTheme="minorHAnsi" w:hAnsiTheme="minorHAnsi" w:cstheme="minorHAnsi"/>
                <w:sz w:val="21"/>
                <w:szCs w:val="21"/>
              </w:rPr>
              <w:t xml:space="preserve"> by civil society, </w:t>
            </w:r>
            <w:r w:rsidR="001E2CAF" w:rsidRPr="001E2CAF">
              <w:rPr>
                <w:rFonts w:asciiTheme="minorHAnsi" w:hAnsiTheme="minorHAnsi" w:cstheme="minorHAnsi"/>
                <w:sz w:val="21"/>
                <w:szCs w:val="21"/>
              </w:rPr>
              <w:t>and by some important scientific organizations and publications.</w:t>
            </w:r>
            <w:r w:rsidR="001E2CAF">
              <w:rPr>
                <w:rFonts w:asciiTheme="minorHAnsi" w:hAnsiTheme="minorHAnsi" w:cstheme="minorHAnsi"/>
                <w:sz w:val="21"/>
                <w:szCs w:val="21"/>
              </w:rPr>
              <w:t xml:space="preserve"> </w:t>
            </w:r>
            <w:r w:rsidR="001E2CAF">
              <w:rPr>
                <w:rFonts w:asciiTheme="minorHAnsi" w:hAnsiTheme="minorHAnsi" w:cstheme="minorHAnsi"/>
                <w:color w:val="4472C4" w:themeColor="accent1"/>
                <w:sz w:val="21"/>
                <w:szCs w:val="21"/>
                <w:u w:val="single"/>
              </w:rPr>
              <w:t>The legitimacy and applicability of a human right to science has been established through the right’s utilization to address human rights challenges ranging from health, environment, food</w:t>
            </w:r>
            <w:r w:rsidR="00C209B1">
              <w:rPr>
                <w:rFonts w:asciiTheme="minorHAnsi" w:hAnsiTheme="minorHAnsi" w:cstheme="minorHAnsi"/>
                <w:color w:val="4472C4" w:themeColor="accent1"/>
                <w:sz w:val="21"/>
                <w:szCs w:val="21"/>
                <w:u w:val="single"/>
              </w:rPr>
              <w:t>,</w:t>
            </w:r>
            <w:r w:rsidR="001E2CAF">
              <w:rPr>
                <w:rFonts w:asciiTheme="minorHAnsi" w:hAnsiTheme="minorHAnsi" w:cstheme="minorHAnsi"/>
                <w:color w:val="4472C4" w:themeColor="accent1"/>
                <w:sz w:val="21"/>
                <w:szCs w:val="21"/>
                <w:u w:val="single"/>
              </w:rPr>
              <w:t xml:space="preserve"> and water rights; thus demonstrating how the right to science is interrelated and interdependent, and indivisible from these other human rights.</w:t>
            </w:r>
          </w:p>
        </w:tc>
      </w:tr>
    </w:tbl>
    <w:p w14:paraId="5B1EF9B0" w14:textId="77777777" w:rsidR="00283563" w:rsidRPr="00283563" w:rsidRDefault="00283563" w:rsidP="002B6999"/>
    <w:sectPr w:rsidR="00283563" w:rsidRPr="00283563" w:rsidSect="008D144A">
      <w:footerReference w:type="even"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70871" w14:textId="77777777" w:rsidR="00E32BEE" w:rsidRDefault="00E32BEE" w:rsidP="00345448">
      <w:r>
        <w:separator/>
      </w:r>
    </w:p>
  </w:endnote>
  <w:endnote w:type="continuationSeparator" w:id="0">
    <w:p w14:paraId="5C373400" w14:textId="77777777" w:rsidR="00E32BEE" w:rsidRDefault="00E32BEE" w:rsidP="0034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57759921"/>
      <w:docPartObj>
        <w:docPartGallery w:val="Page Numbers (Bottom of Page)"/>
        <w:docPartUnique/>
      </w:docPartObj>
    </w:sdtPr>
    <w:sdtEndPr>
      <w:rPr>
        <w:rStyle w:val="PageNumber"/>
      </w:rPr>
    </w:sdtEndPr>
    <w:sdtContent>
      <w:p w14:paraId="5C30D240" w14:textId="627331FE" w:rsidR="00D62499" w:rsidRDefault="00D62499" w:rsidP="002769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537EB5" w14:textId="77777777" w:rsidR="00D62499" w:rsidRDefault="00D62499" w:rsidP="00D624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4937147"/>
      <w:docPartObj>
        <w:docPartGallery w:val="Page Numbers (Bottom of Page)"/>
        <w:docPartUnique/>
      </w:docPartObj>
    </w:sdtPr>
    <w:sdtEndPr>
      <w:rPr>
        <w:rStyle w:val="PageNumber"/>
      </w:rPr>
    </w:sdtEndPr>
    <w:sdtContent>
      <w:p w14:paraId="1B51DE9A" w14:textId="217C8C10" w:rsidR="00D62499" w:rsidRDefault="00D62499" w:rsidP="002769A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C17CD">
          <w:rPr>
            <w:rStyle w:val="PageNumber"/>
            <w:noProof/>
          </w:rPr>
          <w:t>2</w:t>
        </w:r>
        <w:r>
          <w:rPr>
            <w:rStyle w:val="PageNumber"/>
          </w:rPr>
          <w:fldChar w:fldCharType="end"/>
        </w:r>
      </w:p>
    </w:sdtContent>
  </w:sdt>
  <w:p w14:paraId="296824A0" w14:textId="77777777" w:rsidR="00D62499" w:rsidRDefault="00D62499" w:rsidP="00D624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4FE02" w14:textId="77777777" w:rsidR="00E32BEE" w:rsidRDefault="00E32BEE" w:rsidP="00345448">
      <w:r>
        <w:separator/>
      </w:r>
    </w:p>
  </w:footnote>
  <w:footnote w:type="continuationSeparator" w:id="0">
    <w:p w14:paraId="1EF8AD56" w14:textId="77777777" w:rsidR="00E32BEE" w:rsidRDefault="00E32BEE" w:rsidP="00345448">
      <w:r>
        <w:continuationSeparator/>
      </w:r>
    </w:p>
  </w:footnote>
  <w:footnote w:id="1">
    <w:p w14:paraId="41A5F7C4" w14:textId="519E0753" w:rsidR="00D62499" w:rsidRPr="00D62499" w:rsidRDefault="00D62499">
      <w:pPr>
        <w:pStyle w:val="FootnoteText"/>
        <w:rPr>
          <w:lang w:val="en-US"/>
        </w:rPr>
      </w:pPr>
      <w:r>
        <w:rPr>
          <w:rStyle w:val="FootnoteReference"/>
        </w:rPr>
        <w:footnoteRef/>
      </w:r>
      <w:r>
        <w:t xml:space="preserve"> </w:t>
      </w:r>
      <w:r w:rsidRPr="00601104">
        <w:rPr>
          <w:shd w:val="clear" w:color="auto" w:fill="FFFFFF"/>
        </w:rPr>
        <w:t>A/ HRC/20/26</w:t>
      </w:r>
    </w:p>
  </w:footnote>
  <w:footnote w:id="2">
    <w:p w14:paraId="223CC5CA" w14:textId="72723C3F" w:rsidR="00AC071A" w:rsidRPr="001E2CAF" w:rsidRDefault="00AC071A" w:rsidP="001E2CAF">
      <w:pPr>
        <w:pStyle w:val="FootnoteText"/>
        <w:ind w:left="0" w:firstLine="0"/>
        <w:rPr>
          <w:rFonts w:asciiTheme="minorHAnsi" w:hAnsiTheme="minorHAnsi"/>
        </w:rPr>
      </w:pPr>
      <w:r>
        <w:rPr>
          <w:rStyle w:val="FootnoteReference"/>
        </w:rPr>
        <w:footnoteRef/>
      </w:r>
      <w:r>
        <w:t xml:space="preserve"> </w:t>
      </w:r>
      <w:r w:rsidRPr="009F5FFD">
        <w:rPr>
          <w:rFonts w:asciiTheme="minorHAnsi" w:hAnsiTheme="minorHAnsi"/>
          <w:szCs w:val="18"/>
        </w:rPr>
        <w:t xml:space="preserve">Bonn Guidelines on Access to Genetic Resources and Fair and Equitable Sharing of the Benefits Arising out of their Utilization. </w:t>
      </w:r>
      <w:hyperlink r:id="rId1" w:history="1">
        <w:r w:rsidRPr="009F5FFD">
          <w:rPr>
            <w:rStyle w:val="Hyperlink"/>
            <w:rFonts w:asciiTheme="minorHAnsi" w:hAnsiTheme="minorHAnsi"/>
            <w:szCs w:val="18"/>
          </w:rPr>
          <w:t>https://www.cbd.int/decision/cop/?id=7198</w:t>
        </w:r>
      </w:hyperlink>
    </w:p>
  </w:footnote>
  <w:footnote w:id="3">
    <w:p w14:paraId="49368412" w14:textId="345138A0" w:rsidR="00AC071A" w:rsidRPr="00C000D1" w:rsidRDefault="00AC071A" w:rsidP="00AC071A">
      <w:r w:rsidRPr="009F5FFD">
        <w:rPr>
          <w:rStyle w:val="FootnoteReference"/>
          <w:rFonts w:asciiTheme="minorHAnsi" w:hAnsiTheme="minorHAnsi"/>
          <w:szCs w:val="18"/>
        </w:rPr>
        <w:footnoteRef/>
      </w:r>
      <w:r w:rsidRPr="009F5FFD">
        <w:rPr>
          <w:sz w:val="18"/>
          <w:szCs w:val="18"/>
        </w:rPr>
        <w:t xml:space="preserve"> Bonn Guidelines on Access to Genetic Resources and Fair and Equitable Sharing of the Benefits Arising out of their Utilization. </w:t>
      </w:r>
      <w:hyperlink r:id="rId2" w:history="1">
        <w:r w:rsidR="00571B99" w:rsidRPr="00CC3E4E">
          <w:rPr>
            <w:rStyle w:val="Hyperlink"/>
            <w:rFonts w:eastAsia="Times New Roman" w:cs="Times New Roman"/>
            <w:sz w:val="18"/>
            <w:szCs w:val="18"/>
            <w:lang w:eastAsia="en-US"/>
          </w:rPr>
          <w:t>https://www.cbd.int/doc/publications/cbd-bonn-gdls-en.pdf</w:t>
        </w:r>
      </w:hyperlink>
    </w:p>
  </w:footnote>
  <w:footnote w:id="4">
    <w:p w14:paraId="7512E32F" w14:textId="75623ADE" w:rsidR="00AC071A" w:rsidRPr="001E2CAF" w:rsidRDefault="00AC071A" w:rsidP="001E2CAF">
      <w:pPr>
        <w:pStyle w:val="FootnoteText"/>
        <w:rPr>
          <w:rFonts w:asciiTheme="minorHAnsi" w:hAnsiTheme="minorHAnsi"/>
          <w:szCs w:val="18"/>
          <w:lang w:val="en-US"/>
        </w:rPr>
      </w:pPr>
      <w:r w:rsidRPr="009F5FFD">
        <w:rPr>
          <w:rStyle w:val="FootnoteReference"/>
          <w:rFonts w:asciiTheme="minorHAnsi" w:hAnsiTheme="minorHAnsi"/>
          <w:szCs w:val="18"/>
        </w:rPr>
        <w:footnoteRef/>
      </w:r>
      <w:r w:rsidRPr="009F5FFD">
        <w:rPr>
          <w:rFonts w:asciiTheme="minorHAnsi" w:hAnsiTheme="minorHAnsi"/>
          <w:szCs w:val="18"/>
        </w:rPr>
        <w:t xml:space="preserve"> Nagoya Protocol. </w:t>
      </w:r>
      <w:hyperlink r:id="rId3" w:history="1">
        <w:r w:rsidRPr="009F5FFD">
          <w:rPr>
            <w:rStyle w:val="Hyperlink"/>
            <w:rFonts w:asciiTheme="minorHAnsi" w:hAnsiTheme="minorHAnsi"/>
            <w:szCs w:val="18"/>
            <w:lang w:val="en-US"/>
          </w:rPr>
          <w:t>https://www.cbd.int/abs/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6398F"/>
    <w:multiLevelType w:val="hybridMultilevel"/>
    <w:tmpl w:val="C5221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DD1839"/>
    <w:multiLevelType w:val="hybridMultilevel"/>
    <w:tmpl w:val="1C3EEDF8"/>
    <w:lvl w:ilvl="0" w:tplc="D3A62ECE">
      <w:start w:val="1"/>
      <w:numFmt w:val="decimal"/>
      <w:lvlText w:val="%1."/>
      <w:lvlJc w:val="left"/>
      <w:pPr>
        <w:ind w:left="1689" w:hanging="555"/>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nsid w:val="6DDF5896"/>
    <w:multiLevelType w:val="hybridMultilevel"/>
    <w:tmpl w:val="7C067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AD4264"/>
    <w:multiLevelType w:val="hybridMultilevel"/>
    <w:tmpl w:val="07300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63"/>
    <w:rsid w:val="00042DDF"/>
    <w:rsid w:val="00047F75"/>
    <w:rsid w:val="000A7920"/>
    <w:rsid w:val="000B210A"/>
    <w:rsid w:val="000F649B"/>
    <w:rsid w:val="001014F8"/>
    <w:rsid w:val="001053D3"/>
    <w:rsid w:val="00130569"/>
    <w:rsid w:val="0019167A"/>
    <w:rsid w:val="001A549C"/>
    <w:rsid w:val="001C17CD"/>
    <w:rsid w:val="001C272C"/>
    <w:rsid w:val="001D713B"/>
    <w:rsid w:val="001E2CAF"/>
    <w:rsid w:val="001F0CC8"/>
    <w:rsid w:val="00207E58"/>
    <w:rsid w:val="00262A48"/>
    <w:rsid w:val="00283563"/>
    <w:rsid w:val="002A362F"/>
    <w:rsid w:val="002A5E9E"/>
    <w:rsid w:val="002B5CC2"/>
    <w:rsid w:val="002B6999"/>
    <w:rsid w:val="002F2378"/>
    <w:rsid w:val="00320B76"/>
    <w:rsid w:val="00345448"/>
    <w:rsid w:val="003A4E61"/>
    <w:rsid w:val="003D688D"/>
    <w:rsid w:val="003E441C"/>
    <w:rsid w:val="00433BE1"/>
    <w:rsid w:val="00437A0B"/>
    <w:rsid w:val="004B7AC8"/>
    <w:rsid w:val="004C1351"/>
    <w:rsid w:val="00556CE9"/>
    <w:rsid w:val="00571B99"/>
    <w:rsid w:val="005915CB"/>
    <w:rsid w:val="005E6767"/>
    <w:rsid w:val="00654C73"/>
    <w:rsid w:val="0067080F"/>
    <w:rsid w:val="006C3749"/>
    <w:rsid w:val="006C66E6"/>
    <w:rsid w:val="006D14F1"/>
    <w:rsid w:val="006D5F12"/>
    <w:rsid w:val="007157DF"/>
    <w:rsid w:val="0073120C"/>
    <w:rsid w:val="00782BA3"/>
    <w:rsid w:val="007D1800"/>
    <w:rsid w:val="007D4D51"/>
    <w:rsid w:val="007F2685"/>
    <w:rsid w:val="00813A9C"/>
    <w:rsid w:val="008470DB"/>
    <w:rsid w:val="00863350"/>
    <w:rsid w:val="008C0608"/>
    <w:rsid w:val="008D144A"/>
    <w:rsid w:val="008F2B7F"/>
    <w:rsid w:val="00912F19"/>
    <w:rsid w:val="00917BC6"/>
    <w:rsid w:val="009A6D06"/>
    <w:rsid w:val="009B1F69"/>
    <w:rsid w:val="009F5FFD"/>
    <w:rsid w:val="00A0675D"/>
    <w:rsid w:val="00A21728"/>
    <w:rsid w:val="00A34297"/>
    <w:rsid w:val="00AA59D3"/>
    <w:rsid w:val="00AB13FC"/>
    <w:rsid w:val="00AC071A"/>
    <w:rsid w:val="00AC2CC5"/>
    <w:rsid w:val="00AC40C6"/>
    <w:rsid w:val="00AD1C54"/>
    <w:rsid w:val="00AE53E6"/>
    <w:rsid w:val="00B343A9"/>
    <w:rsid w:val="00B65580"/>
    <w:rsid w:val="00BA424F"/>
    <w:rsid w:val="00BC4265"/>
    <w:rsid w:val="00C000D1"/>
    <w:rsid w:val="00C209B1"/>
    <w:rsid w:val="00C31DC6"/>
    <w:rsid w:val="00C341A7"/>
    <w:rsid w:val="00CA081A"/>
    <w:rsid w:val="00CC3E4E"/>
    <w:rsid w:val="00D05DAC"/>
    <w:rsid w:val="00D15C3E"/>
    <w:rsid w:val="00D33FEB"/>
    <w:rsid w:val="00D62499"/>
    <w:rsid w:val="00D979C3"/>
    <w:rsid w:val="00D97DFE"/>
    <w:rsid w:val="00DD38C3"/>
    <w:rsid w:val="00DF50FC"/>
    <w:rsid w:val="00E32BEE"/>
    <w:rsid w:val="00E40750"/>
    <w:rsid w:val="00E77661"/>
    <w:rsid w:val="00EA5AA5"/>
    <w:rsid w:val="00EE54BD"/>
    <w:rsid w:val="00F15F44"/>
    <w:rsid w:val="00F2260E"/>
    <w:rsid w:val="00F445A6"/>
    <w:rsid w:val="00F60409"/>
    <w:rsid w:val="00F76943"/>
    <w:rsid w:val="00FA3FBB"/>
    <w:rsid w:val="00FF46B5"/>
    <w:rsid w:val="04B72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75ED"/>
  <w15:chartTrackingRefBased/>
  <w15:docId w15:val="{E5671555-127E-CA4F-8A3A-AA3BE38B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5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qFormat/>
    <w:rsid w:val="00283563"/>
    <w:rPr>
      <w:sz w:val="16"/>
      <w:szCs w:val="16"/>
    </w:rPr>
  </w:style>
  <w:style w:type="paragraph" w:styleId="CommentText">
    <w:name w:val="annotation text"/>
    <w:basedOn w:val="Normal"/>
    <w:link w:val="CommentTextChar"/>
    <w:semiHidden/>
    <w:unhideWhenUsed/>
    <w:rsid w:val="00283563"/>
    <w:rPr>
      <w:sz w:val="20"/>
      <w:szCs w:val="20"/>
    </w:rPr>
  </w:style>
  <w:style w:type="character" w:customStyle="1" w:styleId="CommentTextChar">
    <w:name w:val="Comment Text Char"/>
    <w:basedOn w:val="DefaultParagraphFont"/>
    <w:link w:val="CommentText"/>
    <w:semiHidden/>
    <w:rsid w:val="00283563"/>
    <w:rPr>
      <w:sz w:val="20"/>
      <w:szCs w:val="20"/>
    </w:rPr>
  </w:style>
  <w:style w:type="paragraph" w:styleId="CommentSubject">
    <w:name w:val="annotation subject"/>
    <w:basedOn w:val="CommentText"/>
    <w:next w:val="CommentText"/>
    <w:link w:val="CommentSubjectChar"/>
    <w:uiPriority w:val="99"/>
    <w:semiHidden/>
    <w:unhideWhenUsed/>
    <w:rsid w:val="00283563"/>
    <w:rPr>
      <w:b/>
      <w:bCs/>
    </w:rPr>
  </w:style>
  <w:style w:type="character" w:customStyle="1" w:styleId="CommentSubjectChar">
    <w:name w:val="Comment Subject Char"/>
    <w:basedOn w:val="CommentTextChar"/>
    <w:link w:val="CommentSubject"/>
    <w:uiPriority w:val="99"/>
    <w:semiHidden/>
    <w:rsid w:val="00283563"/>
    <w:rPr>
      <w:b/>
      <w:bCs/>
      <w:sz w:val="20"/>
      <w:szCs w:val="20"/>
    </w:rPr>
  </w:style>
  <w:style w:type="paragraph" w:styleId="BalloonText">
    <w:name w:val="Balloon Text"/>
    <w:basedOn w:val="Normal"/>
    <w:link w:val="BalloonTextChar"/>
    <w:uiPriority w:val="99"/>
    <w:semiHidden/>
    <w:unhideWhenUsed/>
    <w:rsid w:val="002835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3563"/>
    <w:rPr>
      <w:rFonts w:ascii="Times New Roman" w:hAnsi="Times New Roman" w:cs="Times New Roman"/>
      <w:sz w:val="18"/>
      <w:szCs w:val="18"/>
    </w:rPr>
  </w:style>
  <w:style w:type="paragraph" w:styleId="ListParagraph">
    <w:name w:val="List Paragraph"/>
    <w:basedOn w:val="Normal"/>
    <w:uiPriority w:val="34"/>
    <w:qFormat/>
    <w:rsid w:val="00320B76"/>
    <w:pPr>
      <w:ind w:left="720"/>
      <w:contextualSpacing/>
    </w:pPr>
  </w:style>
  <w:style w:type="paragraph" w:customStyle="1" w:styleId="H23G">
    <w:name w:val="_ H_2/3_G"/>
    <w:basedOn w:val="Normal"/>
    <w:next w:val="Normal"/>
    <w:qFormat/>
    <w:rsid w:val="00CA081A"/>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n-GB" w:eastAsia="en-US"/>
    </w:rPr>
  </w:style>
  <w:style w:type="paragraph" w:customStyle="1" w:styleId="SingleTxtG">
    <w:name w:val="_ Single Txt_G"/>
    <w:basedOn w:val="Normal"/>
    <w:qFormat/>
    <w:rsid w:val="005915CB"/>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character" w:styleId="FootnoteReference">
    <w:name w:val="footnote reference"/>
    <w:aliases w:val="4_G,16 Point,Superscript 6 Point,callout,Footnotes refss,Ref,de nota al pie,Footnote Ref"/>
    <w:basedOn w:val="DefaultParagraphFont"/>
    <w:uiPriority w:val="99"/>
    <w:qFormat/>
    <w:rsid w:val="00345448"/>
    <w:rPr>
      <w:rFonts w:ascii="Times New Roman" w:hAnsi="Times New Roman"/>
      <w:sz w:val="18"/>
      <w:vertAlign w:val="superscript"/>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to"/>
    <w:basedOn w:val="Normal"/>
    <w:link w:val="FootnoteTextChar"/>
    <w:uiPriority w:val="99"/>
    <w:qFormat/>
    <w:rsid w:val="00345448"/>
    <w:pPr>
      <w:tabs>
        <w:tab w:val="right" w:pos="1021"/>
      </w:tabs>
      <w:suppressAutoHyphens/>
      <w:spacing w:line="220" w:lineRule="exact"/>
      <w:ind w:left="1134" w:right="1134" w:hanging="1134"/>
    </w:pPr>
    <w:rPr>
      <w:rFonts w:ascii="Times New Roman" w:eastAsia="Times New Roman" w:hAnsi="Times New Roman" w:cs="Times New Roman"/>
      <w:sz w:val="18"/>
      <w:szCs w:val="20"/>
      <w:lang w:val="en-GB" w:eastAsia="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345448"/>
    <w:rPr>
      <w:rFonts w:ascii="Times New Roman" w:eastAsia="Times New Roman" w:hAnsi="Times New Roman" w:cs="Times New Roman"/>
      <w:sz w:val="18"/>
      <w:szCs w:val="20"/>
      <w:lang w:val="en-GB" w:eastAsia="en-US"/>
    </w:rPr>
  </w:style>
  <w:style w:type="character" w:styleId="Hyperlink">
    <w:name w:val="Hyperlink"/>
    <w:basedOn w:val="DefaultParagraphFont"/>
    <w:uiPriority w:val="99"/>
    <w:unhideWhenUsed/>
    <w:rsid w:val="00F2260E"/>
    <w:rPr>
      <w:color w:val="0563C1" w:themeColor="hyperlink"/>
      <w:u w:val="single"/>
    </w:rPr>
  </w:style>
  <w:style w:type="character" w:customStyle="1" w:styleId="UnresolvedMention">
    <w:name w:val="Unresolved Mention"/>
    <w:basedOn w:val="DefaultParagraphFont"/>
    <w:uiPriority w:val="99"/>
    <w:semiHidden/>
    <w:unhideWhenUsed/>
    <w:rsid w:val="00F2260E"/>
    <w:rPr>
      <w:color w:val="605E5C"/>
      <w:shd w:val="clear" w:color="auto" w:fill="E1DFDD"/>
    </w:rPr>
  </w:style>
  <w:style w:type="paragraph" w:styleId="Footer">
    <w:name w:val="footer"/>
    <w:basedOn w:val="Normal"/>
    <w:link w:val="FooterChar"/>
    <w:uiPriority w:val="99"/>
    <w:unhideWhenUsed/>
    <w:rsid w:val="00D62499"/>
    <w:pPr>
      <w:tabs>
        <w:tab w:val="center" w:pos="4680"/>
        <w:tab w:val="right" w:pos="9360"/>
      </w:tabs>
    </w:pPr>
  </w:style>
  <w:style w:type="character" w:customStyle="1" w:styleId="FooterChar">
    <w:name w:val="Footer Char"/>
    <w:basedOn w:val="DefaultParagraphFont"/>
    <w:link w:val="Footer"/>
    <w:uiPriority w:val="99"/>
    <w:rsid w:val="00D62499"/>
  </w:style>
  <w:style w:type="character" w:styleId="PageNumber">
    <w:name w:val="page number"/>
    <w:basedOn w:val="DefaultParagraphFont"/>
    <w:uiPriority w:val="99"/>
    <w:semiHidden/>
    <w:unhideWhenUsed/>
    <w:rsid w:val="00D62499"/>
  </w:style>
  <w:style w:type="character" w:styleId="FollowedHyperlink">
    <w:name w:val="FollowedHyperlink"/>
    <w:basedOn w:val="DefaultParagraphFont"/>
    <w:uiPriority w:val="99"/>
    <w:semiHidden/>
    <w:unhideWhenUsed/>
    <w:rsid w:val="009F5F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3218">
      <w:bodyDiv w:val="1"/>
      <w:marLeft w:val="0"/>
      <w:marRight w:val="0"/>
      <w:marTop w:val="0"/>
      <w:marBottom w:val="0"/>
      <w:divBdr>
        <w:top w:val="none" w:sz="0" w:space="0" w:color="auto"/>
        <w:left w:val="none" w:sz="0" w:space="0" w:color="auto"/>
        <w:bottom w:val="none" w:sz="0" w:space="0" w:color="auto"/>
        <w:right w:val="none" w:sz="0" w:space="0" w:color="auto"/>
      </w:divBdr>
    </w:div>
    <w:div w:id="59642739">
      <w:bodyDiv w:val="1"/>
      <w:marLeft w:val="0"/>
      <w:marRight w:val="0"/>
      <w:marTop w:val="0"/>
      <w:marBottom w:val="0"/>
      <w:divBdr>
        <w:top w:val="none" w:sz="0" w:space="0" w:color="auto"/>
        <w:left w:val="none" w:sz="0" w:space="0" w:color="auto"/>
        <w:bottom w:val="none" w:sz="0" w:space="0" w:color="auto"/>
        <w:right w:val="none" w:sz="0" w:space="0" w:color="auto"/>
      </w:divBdr>
    </w:div>
    <w:div w:id="394007849">
      <w:bodyDiv w:val="1"/>
      <w:marLeft w:val="0"/>
      <w:marRight w:val="0"/>
      <w:marTop w:val="0"/>
      <w:marBottom w:val="0"/>
      <w:divBdr>
        <w:top w:val="none" w:sz="0" w:space="0" w:color="auto"/>
        <w:left w:val="none" w:sz="0" w:space="0" w:color="auto"/>
        <w:bottom w:val="none" w:sz="0" w:space="0" w:color="auto"/>
        <w:right w:val="none" w:sz="0" w:space="0" w:color="auto"/>
      </w:divBdr>
    </w:div>
    <w:div w:id="536045474">
      <w:bodyDiv w:val="1"/>
      <w:marLeft w:val="0"/>
      <w:marRight w:val="0"/>
      <w:marTop w:val="0"/>
      <w:marBottom w:val="0"/>
      <w:divBdr>
        <w:top w:val="none" w:sz="0" w:space="0" w:color="auto"/>
        <w:left w:val="none" w:sz="0" w:space="0" w:color="auto"/>
        <w:bottom w:val="none" w:sz="0" w:space="0" w:color="auto"/>
        <w:right w:val="none" w:sz="0" w:space="0" w:color="auto"/>
      </w:divBdr>
    </w:div>
    <w:div w:id="821656439">
      <w:bodyDiv w:val="1"/>
      <w:marLeft w:val="0"/>
      <w:marRight w:val="0"/>
      <w:marTop w:val="0"/>
      <w:marBottom w:val="0"/>
      <w:divBdr>
        <w:top w:val="none" w:sz="0" w:space="0" w:color="auto"/>
        <w:left w:val="none" w:sz="0" w:space="0" w:color="auto"/>
        <w:bottom w:val="none" w:sz="0" w:space="0" w:color="auto"/>
        <w:right w:val="none" w:sz="0" w:space="0" w:color="auto"/>
      </w:divBdr>
    </w:div>
    <w:div w:id="844593045">
      <w:bodyDiv w:val="1"/>
      <w:marLeft w:val="0"/>
      <w:marRight w:val="0"/>
      <w:marTop w:val="0"/>
      <w:marBottom w:val="0"/>
      <w:divBdr>
        <w:top w:val="none" w:sz="0" w:space="0" w:color="auto"/>
        <w:left w:val="none" w:sz="0" w:space="0" w:color="auto"/>
        <w:bottom w:val="none" w:sz="0" w:space="0" w:color="auto"/>
        <w:right w:val="none" w:sz="0" w:space="0" w:color="auto"/>
      </w:divBdr>
    </w:div>
    <w:div w:id="939534371">
      <w:bodyDiv w:val="1"/>
      <w:marLeft w:val="0"/>
      <w:marRight w:val="0"/>
      <w:marTop w:val="0"/>
      <w:marBottom w:val="0"/>
      <w:divBdr>
        <w:top w:val="none" w:sz="0" w:space="0" w:color="auto"/>
        <w:left w:val="none" w:sz="0" w:space="0" w:color="auto"/>
        <w:bottom w:val="none" w:sz="0" w:space="0" w:color="auto"/>
        <w:right w:val="none" w:sz="0" w:space="0" w:color="auto"/>
      </w:divBdr>
    </w:div>
    <w:div w:id="970786541">
      <w:bodyDiv w:val="1"/>
      <w:marLeft w:val="0"/>
      <w:marRight w:val="0"/>
      <w:marTop w:val="0"/>
      <w:marBottom w:val="0"/>
      <w:divBdr>
        <w:top w:val="none" w:sz="0" w:space="0" w:color="auto"/>
        <w:left w:val="none" w:sz="0" w:space="0" w:color="auto"/>
        <w:bottom w:val="none" w:sz="0" w:space="0" w:color="auto"/>
        <w:right w:val="none" w:sz="0" w:space="0" w:color="auto"/>
      </w:divBdr>
    </w:div>
    <w:div w:id="1288315661">
      <w:bodyDiv w:val="1"/>
      <w:marLeft w:val="0"/>
      <w:marRight w:val="0"/>
      <w:marTop w:val="0"/>
      <w:marBottom w:val="0"/>
      <w:divBdr>
        <w:top w:val="none" w:sz="0" w:space="0" w:color="auto"/>
        <w:left w:val="none" w:sz="0" w:space="0" w:color="auto"/>
        <w:bottom w:val="none" w:sz="0" w:space="0" w:color="auto"/>
        <w:right w:val="none" w:sz="0" w:space="0" w:color="auto"/>
      </w:divBdr>
    </w:div>
    <w:div w:id="1318343371">
      <w:bodyDiv w:val="1"/>
      <w:marLeft w:val="0"/>
      <w:marRight w:val="0"/>
      <w:marTop w:val="0"/>
      <w:marBottom w:val="0"/>
      <w:divBdr>
        <w:top w:val="none" w:sz="0" w:space="0" w:color="auto"/>
        <w:left w:val="none" w:sz="0" w:space="0" w:color="auto"/>
        <w:bottom w:val="none" w:sz="0" w:space="0" w:color="auto"/>
        <w:right w:val="none" w:sz="0" w:space="0" w:color="auto"/>
      </w:divBdr>
    </w:div>
    <w:div w:id="1378360638">
      <w:bodyDiv w:val="1"/>
      <w:marLeft w:val="0"/>
      <w:marRight w:val="0"/>
      <w:marTop w:val="0"/>
      <w:marBottom w:val="0"/>
      <w:divBdr>
        <w:top w:val="none" w:sz="0" w:space="0" w:color="auto"/>
        <w:left w:val="none" w:sz="0" w:space="0" w:color="auto"/>
        <w:bottom w:val="none" w:sz="0" w:space="0" w:color="auto"/>
        <w:right w:val="none" w:sz="0" w:space="0" w:color="auto"/>
      </w:divBdr>
    </w:div>
    <w:div w:id="1816871981">
      <w:bodyDiv w:val="1"/>
      <w:marLeft w:val="0"/>
      <w:marRight w:val="0"/>
      <w:marTop w:val="0"/>
      <w:marBottom w:val="0"/>
      <w:divBdr>
        <w:top w:val="none" w:sz="0" w:space="0" w:color="auto"/>
        <w:left w:val="none" w:sz="0" w:space="0" w:color="auto"/>
        <w:bottom w:val="none" w:sz="0" w:space="0" w:color="auto"/>
        <w:right w:val="none" w:sz="0" w:space="0" w:color="auto"/>
      </w:divBdr>
    </w:div>
    <w:div w:id="1852723125">
      <w:bodyDiv w:val="1"/>
      <w:marLeft w:val="0"/>
      <w:marRight w:val="0"/>
      <w:marTop w:val="0"/>
      <w:marBottom w:val="0"/>
      <w:divBdr>
        <w:top w:val="none" w:sz="0" w:space="0" w:color="auto"/>
        <w:left w:val="none" w:sz="0" w:space="0" w:color="auto"/>
        <w:bottom w:val="none" w:sz="0" w:space="0" w:color="auto"/>
        <w:right w:val="none" w:sz="0" w:space="0" w:color="auto"/>
      </w:divBdr>
    </w:div>
    <w:div w:id="1992521194">
      <w:bodyDiv w:val="1"/>
      <w:marLeft w:val="0"/>
      <w:marRight w:val="0"/>
      <w:marTop w:val="0"/>
      <w:marBottom w:val="0"/>
      <w:divBdr>
        <w:top w:val="none" w:sz="0" w:space="0" w:color="auto"/>
        <w:left w:val="none" w:sz="0" w:space="0" w:color="auto"/>
        <w:bottom w:val="none" w:sz="0" w:space="0" w:color="auto"/>
        <w:right w:val="none" w:sz="0" w:space="0" w:color="auto"/>
      </w:divBdr>
    </w:div>
    <w:div w:id="205129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abs/" TargetMode="External"/><Relationship Id="rId2" Type="http://schemas.openxmlformats.org/officeDocument/2006/relationships/hyperlink" Target="https://www.cbd.int/doc/publications/cbd-bonn-gdls-en.pdf" TargetMode="External"/><Relationship Id="rId1" Type="http://schemas.openxmlformats.org/officeDocument/2006/relationships/hyperlink" Target="https://www.cbd.int/decision/cop/?id=7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B183BA-8A51-448D-9153-BF0D5A7B5C2C}"/>
</file>

<file path=customXml/itemProps2.xml><?xml version="1.0" encoding="utf-8"?>
<ds:datastoreItem xmlns:ds="http://schemas.openxmlformats.org/officeDocument/2006/customXml" ds:itemID="{33504EEF-1026-4D3F-93AA-D09AFE63C47F}"/>
</file>

<file path=customXml/itemProps3.xml><?xml version="1.0" encoding="utf-8"?>
<ds:datastoreItem xmlns:ds="http://schemas.openxmlformats.org/officeDocument/2006/customXml" ds:itemID="{C30C11F7-40DE-4EC5-8DDD-EE620DE17EBC}"/>
</file>

<file path=docProps/app.xml><?xml version="1.0" encoding="utf-8"?>
<Properties xmlns="http://schemas.openxmlformats.org/officeDocument/2006/extended-properties" xmlns:vt="http://schemas.openxmlformats.org/officeDocument/2006/docPropsVTypes">
  <Template>Normal.dotm</Template>
  <TotalTime>1</TotalTime>
  <Pages>5</Pages>
  <Words>2707</Words>
  <Characters>15430</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Frick</dc:creator>
  <cp:keywords/>
  <dc:description/>
  <cp:lastModifiedBy>SONJAK SARF Zala</cp:lastModifiedBy>
  <cp:revision>2</cp:revision>
  <dcterms:created xsi:type="dcterms:W3CDTF">2020-02-13T13:02:00Z</dcterms:created>
  <dcterms:modified xsi:type="dcterms:W3CDTF">2020-02-13T13:02:00Z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