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D7558" w14:textId="77777777" w:rsidR="003D64C6" w:rsidRPr="00C82C5B" w:rsidRDefault="003D64C6" w:rsidP="003D64C6">
      <w:pPr>
        <w:rPr>
          <w:rFonts w:ascii="Times New Roman" w:hAnsi="Times New Roman" w:cs="Times New Roman"/>
          <w:color w:val="1F497D"/>
          <w:lang w:val="en-US"/>
        </w:rPr>
      </w:pPr>
    </w:p>
    <w:p w14:paraId="0DDB8C03" w14:textId="77777777" w:rsidR="00E01FBA" w:rsidRPr="006A16CF" w:rsidRDefault="00E01FBA" w:rsidP="00E01FBA">
      <w:pPr>
        <w:jc w:val="center"/>
        <w:rPr>
          <w:rFonts w:ascii="Times New Roman" w:hAnsi="Times New Roman" w:cs="Times New Roman"/>
          <w:b/>
        </w:rPr>
      </w:pPr>
      <w:r w:rsidRPr="006A16CF">
        <w:rPr>
          <w:rFonts w:ascii="Times New Roman" w:hAnsi="Times New Roman" w:cs="Times New Roman"/>
          <w:b/>
        </w:rPr>
        <w:t>Committee</w:t>
      </w:r>
      <w:r w:rsidR="0023221F" w:rsidRPr="006A16CF">
        <w:rPr>
          <w:rFonts w:ascii="Times New Roman" w:hAnsi="Times New Roman" w:cs="Times New Roman"/>
          <w:b/>
        </w:rPr>
        <w:t xml:space="preserve"> on Economic, Social and Cultural Rights, Draft General Comment No. 2</w:t>
      </w:r>
      <w:r w:rsidRPr="006A16CF">
        <w:rPr>
          <w:rFonts w:ascii="Times New Roman" w:hAnsi="Times New Roman" w:cs="Times New Roman"/>
          <w:b/>
        </w:rPr>
        <w:t>6</w:t>
      </w:r>
    </w:p>
    <w:p w14:paraId="3A96F6CD" w14:textId="77777777" w:rsidR="00E01FBA" w:rsidRPr="006A16CF" w:rsidRDefault="0023221F" w:rsidP="00E01FBA">
      <w:pPr>
        <w:jc w:val="center"/>
        <w:rPr>
          <w:rFonts w:ascii="Times New Roman" w:hAnsi="Times New Roman" w:cs="Times New Roman"/>
          <w:b/>
        </w:rPr>
      </w:pPr>
      <w:r w:rsidRPr="006A16CF">
        <w:rPr>
          <w:rFonts w:ascii="Times New Roman" w:hAnsi="Times New Roman" w:cs="Times New Roman"/>
          <w:b/>
        </w:rPr>
        <w:t>on Land and Economic, Social and Cultural Rights</w:t>
      </w:r>
    </w:p>
    <w:p w14:paraId="4C86FAA7" w14:textId="77777777" w:rsidR="00E01FBA" w:rsidRPr="006A16CF" w:rsidRDefault="00E01FBA" w:rsidP="00E01FBA">
      <w:pPr>
        <w:jc w:val="center"/>
        <w:rPr>
          <w:rFonts w:ascii="Times New Roman" w:hAnsi="Times New Roman" w:cs="Times New Roman"/>
          <w:b/>
        </w:rPr>
      </w:pPr>
    </w:p>
    <w:p w14:paraId="714AACE2" w14:textId="2525E134" w:rsidR="00E01FBA" w:rsidRPr="006A16CF" w:rsidRDefault="00E01FBA" w:rsidP="00E01FBA">
      <w:pPr>
        <w:jc w:val="center"/>
        <w:rPr>
          <w:rFonts w:ascii="Times New Roman" w:hAnsi="Times New Roman" w:cs="Times New Roman"/>
          <w:b/>
        </w:rPr>
      </w:pPr>
      <w:r w:rsidRPr="006A16CF">
        <w:rPr>
          <w:rFonts w:ascii="Times New Roman" w:hAnsi="Times New Roman" w:cs="Times New Roman"/>
          <w:b/>
        </w:rPr>
        <w:t>CO</w:t>
      </w:r>
      <w:r w:rsidR="00180BDC" w:rsidRPr="006A16CF">
        <w:rPr>
          <w:rFonts w:ascii="Times New Roman" w:hAnsi="Times New Roman" w:cs="Times New Roman"/>
          <w:b/>
        </w:rPr>
        <w:t>NTRIBUTION</w:t>
      </w:r>
      <w:r w:rsidRPr="006A16CF">
        <w:rPr>
          <w:rFonts w:ascii="Times New Roman" w:hAnsi="Times New Roman" w:cs="Times New Roman"/>
          <w:b/>
        </w:rPr>
        <w:t xml:space="preserve"> BY THE GOVERNMENT OF CANADA</w:t>
      </w:r>
    </w:p>
    <w:p w14:paraId="58D76099" w14:textId="77777777" w:rsidR="00E01FBA" w:rsidRPr="006A16CF" w:rsidRDefault="00E01FBA" w:rsidP="00E01FBA">
      <w:pPr>
        <w:rPr>
          <w:rFonts w:ascii="Times New Roman" w:hAnsi="Times New Roman" w:cs="Times New Roman"/>
          <w:b/>
        </w:rPr>
      </w:pPr>
    </w:p>
    <w:p w14:paraId="59A1A938" w14:textId="77777777" w:rsidR="00E01FBA" w:rsidRPr="006A16CF" w:rsidRDefault="00E01FBA" w:rsidP="00630A6E">
      <w:pPr>
        <w:pStyle w:val="ListParagraph"/>
        <w:numPr>
          <w:ilvl w:val="0"/>
          <w:numId w:val="1"/>
        </w:numPr>
        <w:rPr>
          <w:sz w:val="22"/>
          <w:szCs w:val="22"/>
        </w:rPr>
      </w:pPr>
      <w:r w:rsidRPr="006A16CF">
        <w:rPr>
          <w:sz w:val="22"/>
          <w:szCs w:val="22"/>
        </w:rPr>
        <w:t>The Government of Canada appreciat</w:t>
      </w:r>
      <w:r w:rsidR="0023221F" w:rsidRPr="006A16CF">
        <w:rPr>
          <w:sz w:val="22"/>
          <w:szCs w:val="22"/>
        </w:rPr>
        <w:t xml:space="preserve">es the work of the </w:t>
      </w:r>
      <w:r w:rsidRPr="006A16CF">
        <w:rPr>
          <w:sz w:val="22"/>
          <w:szCs w:val="22"/>
        </w:rPr>
        <w:t>Committee</w:t>
      </w:r>
      <w:r w:rsidR="0023221F" w:rsidRPr="006A16CF">
        <w:rPr>
          <w:sz w:val="22"/>
          <w:szCs w:val="22"/>
        </w:rPr>
        <w:t xml:space="preserve"> on Economic, Social and Cultural rights</w:t>
      </w:r>
      <w:r w:rsidRPr="006A16CF">
        <w:rPr>
          <w:sz w:val="22"/>
          <w:szCs w:val="22"/>
        </w:rPr>
        <w:t xml:space="preserve"> in monitoring States Parties’ implementation of the </w:t>
      </w:r>
      <w:r w:rsidRPr="006A16CF">
        <w:rPr>
          <w:i/>
          <w:sz w:val="22"/>
          <w:szCs w:val="22"/>
        </w:rPr>
        <w:t>International</w:t>
      </w:r>
      <w:r w:rsidR="0023221F" w:rsidRPr="006A16CF">
        <w:rPr>
          <w:i/>
          <w:sz w:val="22"/>
          <w:szCs w:val="22"/>
        </w:rPr>
        <w:t xml:space="preserve"> Covenant on Economic, Social and Cultural</w:t>
      </w:r>
      <w:r w:rsidRPr="006A16CF">
        <w:rPr>
          <w:i/>
          <w:sz w:val="22"/>
          <w:szCs w:val="22"/>
        </w:rPr>
        <w:t xml:space="preserve"> Rights</w:t>
      </w:r>
      <w:r w:rsidRPr="006A16CF">
        <w:rPr>
          <w:sz w:val="22"/>
          <w:szCs w:val="22"/>
        </w:rPr>
        <w:t xml:space="preserve"> (“the Covenant”). Canada wishes to thank the Committee for the opportunity to commen</w:t>
      </w:r>
      <w:r w:rsidR="0023221F" w:rsidRPr="006A16CF">
        <w:rPr>
          <w:sz w:val="22"/>
          <w:szCs w:val="22"/>
        </w:rPr>
        <w:t>t on Draft G</w:t>
      </w:r>
      <w:bookmarkStart w:id="0" w:name="_GoBack"/>
      <w:bookmarkEnd w:id="0"/>
      <w:r w:rsidR="0023221F" w:rsidRPr="006A16CF">
        <w:rPr>
          <w:sz w:val="22"/>
          <w:szCs w:val="22"/>
        </w:rPr>
        <w:t>eneral Comment No. 26 on Land and Economic, Social and Cultural Rights</w:t>
      </w:r>
      <w:r w:rsidRPr="006A16CF">
        <w:rPr>
          <w:sz w:val="22"/>
          <w:szCs w:val="22"/>
        </w:rPr>
        <w:t xml:space="preserve"> (“the Draft General Comment”).</w:t>
      </w:r>
      <w:r w:rsidR="0023221F" w:rsidRPr="006A16CF">
        <w:rPr>
          <w:sz w:val="22"/>
          <w:szCs w:val="22"/>
        </w:rPr>
        <w:t xml:space="preserve">  </w:t>
      </w:r>
      <w:r w:rsidRPr="006A16CF">
        <w:rPr>
          <w:sz w:val="22"/>
          <w:szCs w:val="22"/>
        </w:rPr>
        <w:t>Canada welcomes constructive dialogue and engagement between the United Nations treaty bodies and States Parties on issues such as the content of General Comments.</w:t>
      </w:r>
    </w:p>
    <w:p w14:paraId="29E5A8CE" w14:textId="77777777" w:rsidR="00E01FBA" w:rsidRPr="006A16CF" w:rsidRDefault="00E01FBA" w:rsidP="00630A6E">
      <w:pPr>
        <w:pStyle w:val="ListParagraph"/>
        <w:ind w:left="360"/>
        <w:rPr>
          <w:sz w:val="22"/>
          <w:szCs w:val="22"/>
        </w:rPr>
      </w:pPr>
    </w:p>
    <w:p w14:paraId="6A89AA0B" w14:textId="77777777" w:rsidR="00E01FBA" w:rsidRPr="006A16CF" w:rsidRDefault="00E01FBA" w:rsidP="00630A6E">
      <w:pPr>
        <w:pStyle w:val="ListParagraph"/>
        <w:numPr>
          <w:ilvl w:val="0"/>
          <w:numId w:val="1"/>
        </w:numPr>
        <w:rPr>
          <w:sz w:val="22"/>
          <w:szCs w:val="22"/>
        </w:rPr>
      </w:pPr>
      <w:r w:rsidRPr="006A16CF">
        <w:rPr>
          <w:sz w:val="22"/>
          <w:szCs w:val="22"/>
        </w:rPr>
        <w:t xml:space="preserve">Canada recognises the independence and impartiality of the Committee, and its ability to issue General Comments. Canada reiterates, however, that General Comments are capable only of providing guidance to States Parties in their interpretation of their obligations. The Comments do not create binding legal obligations in and of themselves, nor do they reflect an interpretation of the Covenant that is necessarily agreed upon by States Parties. </w:t>
      </w:r>
    </w:p>
    <w:p w14:paraId="3E4D6594" w14:textId="77777777" w:rsidR="00E01FBA" w:rsidRPr="006A16CF" w:rsidRDefault="00E01FBA" w:rsidP="00630A6E">
      <w:pPr>
        <w:pStyle w:val="ListParagraph"/>
        <w:rPr>
          <w:sz w:val="22"/>
          <w:szCs w:val="22"/>
        </w:rPr>
      </w:pPr>
    </w:p>
    <w:p w14:paraId="3A3EA2BA" w14:textId="77777777" w:rsidR="00E01FBA" w:rsidRPr="006A16CF" w:rsidRDefault="00E01FBA" w:rsidP="00630A6E">
      <w:pPr>
        <w:pStyle w:val="ListParagraph"/>
        <w:numPr>
          <w:ilvl w:val="0"/>
          <w:numId w:val="1"/>
        </w:numPr>
        <w:rPr>
          <w:sz w:val="22"/>
          <w:szCs w:val="22"/>
        </w:rPr>
      </w:pPr>
      <w:r w:rsidRPr="006A16CF">
        <w:rPr>
          <w:sz w:val="22"/>
          <w:szCs w:val="22"/>
        </w:rPr>
        <w:t>The specific comments below are not exhaustive, but rather highlight areas of concern.  Silence in respect of other areas does not constitute acquiescence in the Committee’s interpretation of States</w:t>
      </w:r>
      <w:r w:rsidR="00D63FAC" w:rsidRPr="006A16CF">
        <w:rPr>
          <w:sz w:val="22"/>
          <w:szCs w:val="22"/>
        </w:rPr>
        <w:t xml:space="preserve">’ obligations.  Canada has four </w:t>
      </w:r>
      <w:r w:rsidRPr="006A16CF">
        <w:rPr>
          <w:sz w:val="22"/>
          <w:szCs w:val="22"/>
        </w:rPr>
        <w:t>main</w:t>
      </w:r>
      <w:r w:rsidRPr="006A16CF">
        <w:rPr>
          <w:b/>
          <w:sz w:val="22"/>
          <w:szCs w:val="22"/>
        </w:rPr>
        <w:t xml:space="preserve"> </w:t>
      </w:r>
      <w:r w:rsidR="009905FF" w:rsidRPr="006A16CF">
        <w:rPr>
          <w:sz w:val="22"/>
          <w:szCs w:val="22"/>
        </w:rPr>
        <w:t>areas of concern</w:t>
      </w:r>
      <w:r w:rsidRPr="006A16CF">
        <w:rPr>
          <w:sz w:val="22"/>
          <w:szCs w:val="22"/>
        </w:rPr>
        <w:t xml:space="preserve"> in relation to the Draft General Comment. </w:t>
      </w:r>
    </w:p>
    <w:p w14:paraId="0FF589BF" w14:textId="77777777" w:rsidR="007A746D" w:rsidRPr="006A16CF" w:rsidRDefault="007A746D" w:rsidP="00D63FAC">
      <w:pPr>
        <w:rPr>
          <w:rFonts w:ascii="Times New Roman" w:hAnsi="Times New Roman" w:cs="Times New Roman"/>
          <w:i/>
        </w:rPr>
      </w:pPr>
    </w:p>
    <w:p w14:paraId="59B22580" w14:textId="77777777" w:rsidR="006D0030" w:rsidRPr="006A16CF" w:rsidRDefault="006D0030" w:rsidP="00630A6E">
      <w:pPr>
        <w:pStyle w:val="ListParagraph"/>
        <w:numPr>
          <w:ilvl w:val="0"/>
          <w:numId w:val="2"/>
        </w:numPr>
        <w:spacing w:line="276" w:lineRule="auto"/>
        <w:rPr>
          <w:b/>
          <w:i/>
          <w:sz w:val="22"/>
          <w:szCs w:val="22"/>
        </w:rPr>
      </w:pPr>
      <w:r w:rsidRPr="006A16CF">
        <w:rPr>
          <w:b/>
          <w:i/>
          <w:sz w:val="22"/>
          <w:szCs w:val="22"/>
        </w:rPr>
        <w:t>Comments concern</w:t>
      </w:r>
      <w:r w:rsidR="001837A4" w:rsidRPr="006A16CF">
        <w:rPr>
          <w:b/>
          <w:i/>
          <w:sz w:val="22"/>
          <w:szCs w:val="22"/>
        </w:rPr>
        <w:t>ing free, prior and informed consent (F</w:t>
      </w:r>
      <w:r w:rsidRPr="006A16CF">
        <w:rPr>
          <w:b/>
          <w:i/>
          <w:sz w:val="22"/>
          <w:szCs w:val="22"/>
        </w:rPr>
        <w:t>PIC</w:t>
      </w:r>
      <w:r w:rsidR="001837A4" w:rsidRPr="006A16CF">
        <w:rPr>
          <w:b/>
          <w:i/>
          <w:sz w:val="22"/>
          <w:szCs w:val="22"/>
        </w:rPr>
        <w:t>)</w:t>
      </w:r>
    </w:p>
    <w:p w14:paraId="2255736C" w14:textId="77777777" w:rsidR="00D63FAC" w:rsidRPr="006A16CF" w:rsidRDefault="00D63FAC" w:rsidP="00D63FAC">
      <w:pPr>
        <w:pStyle w:val="ListParagraph"/>
        <w:ind w:left="360"/>
        <w:rPr>
          <w:sz w:val="22"/>
          <w:szCs w:val="22"/>
        </w:rPr>
      </w:pPr>
    </w:p>
    <w:p w14:paraId="555A203C" w14:textId="77777777" w:rsidR="000A0631" w:rsidRPr="006A16CF" w:rsidRDefault="000A0631" w:rsidP="000A0631">
      <w:pPr>
        <w:pStyle w:val="SingleTxtG"/>
        <w:numPr>
          <w:ilvl w:val="0"/>
          <w:numId w:val="1"/>
        </w:numPr>
        <w:ind w:right="4"/>
        <w:jc w:val="left"/>
        <w:rPr>
          <w:rFonts w:eastAsia="Times New Roman"/>
          <w:sz w:val="22"/>
          <w:szCs w:val="22"/>
        </w:rPr>
      </w:pPr>
      <w:r w:rsidRPr="006A16CF">
        <w:rPr>
          <w:sz w:val="22"/>
          <w:szCs w:val="22"/>
          <w:lang w:val="en-US"/>
        </w:rPr>
        <w:t>In paragraph 18 it is stated that “</w:t>
      </w:r>
      <w:r w:rsidRPr="006A16CF">
        <w:rPr>
          <w:sz w:val="22"/>
          <w:szCs w:val="22"/>
        </w:rPr>
        <w:t>The standards for indigenous peoples recognized in the international legal developments in relation to indigenous peoples and also in the VGGT (9.9) is that of free, prior and informed consent.”  </w:t>
      </w:r>
      <w:r w:rsidRPr="006A16CF">
        <w:rPr>
          <w:sz w:val="22"/>
          <w:szCs w:val="22"/>
          <w:lang w:val="en-US"/>
        </w:rPr>
        <w:t xml:space="preserve">Canada would like to have it clarified that the concept of </w:t>
      </w:r>
      <w:r w:rsidRPr="006A16CF">
        <w:rPr>
          <w:sz w:val="22"/>
          <w:szCs w:val="22"/>
        </w:rPr>
        <w:t xml:space="preserve">free, prior and informed consent </w:t>
      </w:r>
      <w:r w:rsidRPr="006A16CF">
        <w:rPr>
          <w:sz w:val="22"/>
          <w:szCs w:val="22"/>
          <w:lang w:val="en-US"/>
        </w:rPr>
        <w:t xml:space="preserve">is not </w:t>
      </w:r>
      <w:r w:rsidRPr="006A16CF">
        <w:rPr>
          <w:sz w:val="22"/>
          <w:szCs w:val="22"/>
        </w:rPr>
        <w:t>legally binding in international law.</w:t>
      </w:r>
      <w:r w:rsidRPr="006A16CF">
        <w:rPr>
          <w:color w:val="1F497D"/>
          <w:sz w:val="22"/>
          <w:szCs w:val="22"/>
        </w:rPr>
        <w:t xml:space="preserve"> </w:t>
      </w:r>
    </w:p>
    <w:p w14:paraId="2CAE18FC" w14:textId="77777777" w:rsidR="000A0631" w:rsidRPr="006A16CF" w:rsidRDefault="000A0631" w:rsidP="000A0631">
      <w:pPr>
        <w:pStyle w:val="SingleTxtG"/>
        <w:numPr>
          <w:ilvl w:val="0"/>
          <w:numId w:val="1"/>
        </w:numPr>
        <w:ind w:right="4"/>
        <w:jc w:val="left"/>
        <w:rPr>
          <w:rFonts w:eastAsia="Times New Roman"/>
          <w:sz w:val="22"/>
          <w:szCs w:val="22"/>
        </w:rPr>
      </w:pPr>
      <w:r w:rsidRPr="006A16CF">
        <w:rPr>
          <w:sz w:val="22"/>
          <w:szCs w:val="22"/>
        </w:rPr>
        <w:t xml:space="preserve">In 2016 Canada announced its full and unqualified support for the </w:t>
      </w:r>
      <w:r w:rsidRPr="006A16CF">
        <w:rPr>
          <w:sz w:val="22"/>
          <w:szCs w:val="22"/>
          <w:lang w:val="en-US"/>
        </w:rPr>
        <w:t xml:space="preserve">UN </w:t>
      </w:r>
      <w:r w:rsidRPr="006A16CF">
        <w:rPr>
          <w:sz w:val="22"/>
          <w:szCs w:val="22"/>
        </w:rPr>
        <w:t>Declaration on the Rights of Indigenous Peoples (UNDRIP</w:t>
      </w:r>
      <w:r w:rsidRPr="006A16CF">
        <w:rPr>
          <w:color w:val="1F497D"/>
          <w:sz w:val="22"/>
          <w:szCs w:val="22"/>
        </w:rPr>
        <w:t>)</w:t>
      </w:r>
      <w:r w:rsidRPr="006A16CF">
        <w:rPr>
          <w:sz w:val="22"/>
          <w:szCs w:val="22"/>
        </w:rPr>
        <w:t xml:space="preserve"> as well as a commitment to implement it domestically, which would include the concept of free, prior and informed consent.  In furtherance of the objective to implement the Declaration, Parliament has enacted legislation, </w:t>
      </w:r>
      <w:r w:rsidRPr="006A16CF">
        <w:rPr>
          <w:i/>
          <w:iCs/>
          <w:sz w:val="22"/>
          <w:szCs w:val="22"/>
        </w:rPr>
        <w:t>United Nations Declaration on the Rights of Indigenous Peoples Act</w:t>
      </w:r>
      <w:r w:rsidRPr="006A16CF">
        <w:rPr>
          <w:sz w:val="22"/>
          <w:szCs w:val="22"/>
        </w:rPr>
        <w:t>, S.C. 2021, c. 14 which provides a framework for implementation of the Declaration by the federal Government.</w:t>
      </w:r>
    </w:p>
    <w:p w14:paraId="1A8B5E47" w14:textId="77777777" w:rsidR="000A0631" w:rsidRPr="006A16CF" w:rsidRDefault="000A0631" w:rsidP="000A0631">
      <w:pPr>
        <w:pStyle w:val="SingleTxtG"/>
        <w:numPr>
          <w:ilvl w:val="0"/>
          <w:numId w:val="1"/>
        </w:numPr>
        <w:ind w:right="4"/>
        <w:jc w:val="left"/>
        <w:rPr>
          <w:rFonts w:eastAsia="Times New Roman"/>
          <w:sz w:val="22"/>
          <w:szCs w:val="22"/>
        </w:rPr>
      </w:pPr>
      <w:r w:rsidRPr="006A16CF">
        <w:rPr>
          <w:sz w:val="22"/>
          <w:szCs w:val="22"/>
        </w:rPr>
        <w:t xml:space="preserve">Consistent with UNDRIP and the concept of free, prior and informed consent, both section 35 of the </w:t>
      </w:r>
      <w:r w:rsidRPr="006A16CF">
        <w:rPr>
          <w:i/>
          <w:iCs/>
          <w:sz w:val="22"/>
          <w:szCs w:val="22"/>
        </w:rPr>
        <w:t xml:space="preserve">Constitution Act, 1982 </w:t>
      </w:r>
      <w:r w:rsidRPr="006A16CF">
        <w:rPr>
          <w:sz w:val="22"/>
          <w:szCs w:val="22"/>
        </w:rPr>
        <w:t>and the common law duty to consult serve to protect rights held by Indigenous peoples in Canada from federal, provincial and territorial government actions which might adversely impact them and their potential or established Aboriginal or Treaty rights, including rights over their lands, territories and resources. Under Canadian law, such consultation does not give Indigenous peoples a veto over government conduct, but guarantees a meaningful process for the reconciliation of Indigenous interests and other societal interests.</w:t>
      </w:r>
      <w:r w:rsidRPr="006A16CF">
        <w:rPr>
          <w:sz w:val="22"/>
          <w:szCs w:val="22"/>
          <w:lang w:val="en-US"/>
        </w:rPr>
        <w:t xml:space="preserve">  </w:t>
      </w:r>
    </w:p>
    <w:p w14:paraId="4529897C" w14:textId="2B5943D0" w:rsidR="000A0631" w:rsidRPr="006A16CF" w:rsidRDefault="000A0631" w:rsidP="000A0631">
      <w:pPr>
        <w:pStyle w:val="SingleTxtG"/>
        <w:numPr>
          <w:ilvl w:val="0"/>
          <w:numId w:val="1"/>
        </w:numPr>
        <w:ind w:right="4"/>
        <w:jc w:val="left"/>
        <w:rPr>
          <w:rFonts w:eastAsia="Times New Roman"/>
          <w:sz w:val="22"/>
          <w:szCs w:val="22"/>
        </w:rPr>
      </w:pPr>
      <w:r w:rsidRPr="006A16CF">
        <w:rPr>
          <w:sz w:val="22"/>
          <w:szCs w:val="22"/>
        </w:rPr>
        <w:t xml:space="preserve">Further engagement with Indigenous peoples, as well as other interested stakeholders, will be undertaken, including through the Recognition and Implementation of Rights Framework engagement process, to develop a made-in-Canada approach to free, prior and informed consent and the various means through which Canada may seek to implement this concept in various contexts, across levels of government and in partnership with Indigenous peoples. </w:t>
      </w:r>
    </w:p>
    <w:p w14:paraId="7C117D7C" w14:textId="77777777" w:rsidR="007A746D" w:rsidRPr="006A16CF" w:rsidRDefault="007A746D" w:rsidP="00630A6E">
      <w:pPr>
        <w:pStyle w:val="ListParagraph"/>
        <w:spacing w:line="276" w:lineRule="auto"/>
        <w:ind w:left="408"/>
        <w:rPr>
          <w:b/>
          <w:i/>
          <w:sz w:val="22"/>
          <w:szCs w:val="22"/>
          <w:lang w:val="en-US"/>
        </w:rPr>
      </w:pPr>
    </w:p>
    <w:p w14:paraId="4607FC00" w14:textId="1DB9E212" w:rsidR="008873D2" w:rsidRPr="006A16CF" w:rsidRDefault="008873D2" w:rsidP="00630A6E">
      <w:pPr>
        <w:pStyle w:val="ListParagraph"/>
        <w:numPr>
          <w:ilvl w:val="0"/>
          <w:numId w:val="2"/>
        </w:numPr>
        <w:spacing w:line="276" w:lineRule="auto"/>
        <w:rPr>
          <w:b/>
          <w:i/>
          <w:sz w:val="22"/>
          <w:szCs w:val="22"/>
        </w:rPr>
      </w:pPr>
      <w:r w:rsidRPr="006A16CF">
        <w:rPr>
          <w:b/>
          <w:i/>
          <w:sz w:val="22"/>
          <w:szCs w:val="22"/>
        </w:rPr>
        <w:lastRenderedPageBreak/>
        <w:t xml:space="preserve">Comments concerning the obligations of States parties under the Covenant as </w:t>
      </w:r>
      <w:r w:rsidR="00A25FE3" w:rsidRPr="006A16CF">
        <w:rPr>
          <w:b/>
          <w:i/>
          <w:sz w:val="22"/>
          <w:szCs w:val="22"/>
        </w:rPr>
        <w:t>related to l</w:t>
      </w:r>
      <w:r w:rsidRPr="006A16CF">
        <w:rPr>
          <w:b/>
          <w:i/>
          <w:sz w:val="22"/>
          <w:szCs w:val="22"/>
        </w:rPr>
        <w:t>and</w:t>
      </w:r>
    </w:p>
    <w:p w14:paraId="7F227F0A" w14:textId="69708CCE" w:rsidR="00EA1E25" w:rsidRPr="006A16CF" w:rsidRDefault="00EA1E25" w:rsidP="008B00CC">
      <w:pPr>
        <w:pStyle w:val="ListParagraph"/>
        <w:spacing w:line="276" w:lineRule="auto"/>
        <w:ind w:left="408"/>
        <w:rPr>
          <w:b/>
          <w:i/>
          <w:sz w:val="22"/>
          <w:szCs w:val="22"/>
        </w:rPr>
      </w:pPr>
    </w:p>
    <w:p w14:paraId="33C0CD6B" w14:textId="143FDEA2" w:rsidR="00AD3549" w:rsidRPr="006A16CF" w:rsidRDefault="00EA1E25" w:rsidP="00C926D6">
      <w:pPr>
        <w:keepNext/>
        <w:rPr>
          <w:rFonts w:ascii="Times New Roman" w:hAnsi="Times New Roman" w:cs="Times New Roman"/>
          <w:i/>
          <w:lang w:val="en-US"/>
        </w:rPr>
      </w:pPr>
      <w:r w:rsidRPr="006A16CF">
        <w:rPr>
          <w:rFonts w:ascii="Times New Roman" w:hAnsi="Times New Roman" w:cs="Times New Roman"/>
          <w:i/>
          <w:lang w:val="en-US"/>
        </w:rPr>
        <w:t xml:space="preserve">Paragraphs 19 </w:t>
      </w:r>
      <w:r w:rsidR="00C926D6" w:rsidRPr="006A16CF">
        <w:rPr>
          <w:rFonts w:ascii="Times New Roman" w:hAnsi="Times New Roman" w:cs="Times New Roman"/>
          <w:i/>
          <w:lang w:val="en-US"/>
        </w:rPr>
        <w:t>–</w:t>
      </w:r>
      <w:r w:rsidRPr="006A16CF">
        <w:rPr>
          <w:rFonts w:ascii="Times New Roman" w:hAnsi="Times New Roman" w:cs="Times New Roman"/>
          <w:i/>
          <w:lang w:val="en-US"/>
        </w:rPr>
        <w:t xml:space="preserve"> 37</w:t>
      </w:r>
    </w:p>
    <w:p w14:paraId="310338B5" w14:textId="714CB5FB" w:rsidR="00EA1E25" w:rsidRPr="006A16CF" w:rsidRDefault="00EA1E25" w:rsidP="008B00CC">
      <w:pPr>
        <w:pStyle w:val="ListParagraph"/>
        <w:ind w:left="360"/>
        <w:rPr>
          <w:sz w:val="22"/>
          <w:szCs w:val="22"/>
          <w:lang w:val="en-US"/>
        </w:rPr>
      </w:pPr>
    </w:p>
    <w:p w14:paraId="7ED3D677" w14:textId="710D2D3B" w:rsidR="00EA1E25" w:rsidRPr="006A16CF" w:rsidRDefault="00F66080" w:rsidP="008B00CC">
      <w:pPr>
        <w:pStyle w:val="ListParagraph"/>
        <w:numPr>
          <w:ilvl w:val="0"/>
          <w:numId w:val="1"/>
        </w:numPr>
        <w:rPr>
          <w:sz w:val="22"/>
          <w:szCs w:val="22"/>
          <w:lang w:val="en-US"/>
        </w:rPr>
      </w:pPr>
      <w:r w:rsidRPr="006A16CF">
        <w:rPr>
          <w:sz w:val="22"/>
          <w:szCs w:val="22"/>
          <w:lang w:val="en-US"/>
        </w:rPr>
        <w:t xml:space="preserve">In paragraph 19, it is stated that “States shall refrain from any infringement of legitimate tenure rights”.  Under Canadian law, Aboriginal and Treaty rights that are protected by Canada’s constitution, including Aboriginal title, may be infringed in the public interest provided that the infringement is justified in line with the stringent legal test set out by the Supreme Court of </w:t>
      </w:r>
      <w:r w:rsidR="001837A4" w:rsidRPr="006A16CF">
        <w:rPr>
          <w:sz w:val="22"/>
          <w:szCs w:val="22"/>
          <w:lang w:val="en-US"/>
        </w:rPr>
        <w:t>Canada.</w:t>
      </w:r>
      <w:r w:rsidR="001837A4" w:rsidRPr="006A16CF">
        <w:rPr>
          <w:rStyle w:val="FootnoteReference"/>
          <w:sz w:val="22"/>
          <w:szCs w:val="22"/>
          <w:lang w:val="en-US"/>
        </w:rPr>
        <w:footnoteReference w:id="1"/>
      </w:r>
      <w:r w:rsidR="001837A4" w:rsidRPr="006A16CF">
        <w:rPr>
          <w:sz w:val="22"/>
          <w:szCs w:val="22"/>
          <w:lang w:val="en-US"/>
        </w:rPr>
        <w:t xml:space="preserve"> </w:t>
      </w:r>
    </w:p>
    <w:p w14:paraId="31D1B958" w14:textId="77777777" w:rsidR="00EA1E25" w:rsidRPr="006A16CF" w:rsidRDefault="00EA1E25" w:rsidP="008B00CC">
      <w:pPr>
        <w:pStyle w:val="ListParagraph"/>
        <w:ind w:left="360"/>
        <w:rPr>
          <w:sz w:val="22"/>
          <w:szCs w:val="22"/>
          <w:lang w:val="en-US"/>
        </w:rPr>
      </w:pPr>
    </w:p>
    <w:p w14:paraId="2E620280" w14:textId="201A3E8D" w:rsidR="00EA1E25" w:rsidRPr="006A16CF" w:rsidRDefault="006D0030" w:rsidP="008B00CC">
      <w:pPr>
        <w:pStyle w:val="ListParagraph"/>
        <w:numPr>
          <w:ilvl w:val="0"/>
          <w:numId w:val="1"/>
        </w:numPr>
        <w:rPr>
          <w:sz w:val="22"/>
          <w:szCs w:val="22"/>
        </w:rPr>
      </w:pPr>
      <w:r w:rsidRPr="006A16CF">
        <w:rPr>
          <w:sz w:val="22"/>
          <w:szCs w:val="22"/>
        </w:rPr>
        <w:t xml:space="preserve">In paragraph 23 it is stated that </w:t>
      </w:r>
      <w:r w:rsidR="00205306" w:rsidRPr="006A16CF">
        <w:rPr>
          <w:sz w:val="22"/>
          <w:szCs w:val="22"/>
        </w:rPr>
        <w:t>i</w:t>
      </w:r>
      <w:r w:rsidRPr="006A16CF">
        <w:rPr>
          <w:sz w:val="22"/>
          <w:szCs w:val="22"/>
        </w:rPr>
        <w:t xml:space="preserve">nternational human rights law </w:t>
      </w:r>
      <w:r w:rsidR="00FA1752" w:rsidRPr="006A16CF">
        <w:rPr>
          <w:sz w:val="22"/>
          <w:szCs w:val="22"/>
        </w:rPr>
        <w:t>“</w:t>
      </w:r>
      <w:r w:rsidRPr="006A16CF">
        <w:rPr>
          <w:sz w:val="22"/>
          <w:szCs w:val="22"/>
        </w:rPr>
        <w:t>respects and protects</w:t>
      </w:r>
      <w:r w:rsidR="00FA1752" w:rsidRPr="006A16CF">
        <w:rPr>
          <w:sz w:val="22"/>
          <w:szCs w:val="22"/>
        </w:rPr>
        <w:t>”</w:t>
      </w:r>
      <w:r w:rsidRPr="006A16CF">
        <w:rPr>
          <w:sz w:val="22"/>
          <w:szCs w:val="22"/>
        </w:rPr>
        <w:t xml:space="preserve"> the relationship of indigenous communities with their lands, territories and resources</w:t>
      </w:r>
      <w:r w:rsidR="00AC1EF9" w:rsidRPr="006A16CF">
        <w:rPr>
          <w:sz w:val="22"/>
          <w:szCs w:val="22"/>
        </w:rPr>
        <w:t xml:space="preserve">, </w:t>
      </w:r>
      <w:r w:rsidR="00205306" w:rsidRPr="006A16CF">
        <w:rPr>
          <w:sz w:val="22"/>
          <w:szCs w:val="22"/>
        </w:rPr>
        <w:t xml:space="preserve">employing </w:t>
      </w:r>
      <w:r w:rsidR="00FA1752" w:rsidRPr="006A16CF">
        <w:rPr>
          <w:sz w:val="22"/>
          <w:szCs w:val="22"/>
        </w:rPr>
        <w:t xml:space="preserve">terminology that </w:t>
      </w:r>
      <w:r w:rsidR="008B00CC" w:rsidRPr="006A16CF">
        <w:rPr>
          <w:sz w:val="22"/>
          <w:szCs w:val="22"/>
          <w:lang w:val="en-US"/>
        </w:rPr>
        <w:t>is</w:t>
      </w:r>
      <w:r w:rsidR="00AC1EF9" w:rsidRPr="006A16CF">
        <w:rPr>
          <w:sz w:val="22"/>
          <w:szCs w:val="22"/>
          <w:lang w:val="en-US"/>
        </w:rPr>
        <w:t xml:space="preserve"> normally </w:t>
      </w:r>
      <w:r w:rsidR="00DF1907" w:rsidRPr="006A16CF">
        <w:rPr>
          <w:sz w:val="22"/>
          <w:szCs w:val="22"/>
          <w:lang w:val="en-US"/>
        </w:rPr>
        <w:t xml:space="preserve">used </w:t>
      </w:r>
      <w:r w:rsidR="00AC1EF9" w:rsidRPr="006A16CF">
        <w:rPr>
          <w:sz w:val="22"/>
          <w:szCs w:val="22"/>
          <w:lang w:val="en-US"/>
        </w:rPr>
        <w:t>to describe the nature of States’ human rights obligations.</w:t>
      </w:r>
      <w:r w:rsidR="00AC1EF9" w:rsidRPr="006A16CF">
        <w:rPr>
          <w:sz w:val="22"/>
          <w:szCs w:val="22"/>
        </w:rPr>
        <w:t xml:space="preserve"> </w:t>
      </w:r>
      <w:r w:rsidRPr="006A16CF">
        <w:rPr>
          <w:sz w:val="22"/>
          <w:szCs w:val="22"/>
        </w:rPr>
        <w:t>Canada</w:t>
      </w:r>
      <w:r w:rsidR="00461EC6" w:rsidRPr="006A16CF">
        <w:rPr>
          <w:sz w:val="22"/>
          <w:szCs w:val="22"/>
        </w:rPr>
        <w:t xml:space="preserve"> </w:t>
      </w:r>
      <w:r w:rsidR="00DF1907" w:rsidRPr="006A16CF">
        <w:rPr>
          <w:sz w:val="22"/>
          <w:szCs w:val="22"/>
        </w:rPr>
        <w:t>suggests</w:t>
      </w:r>
      <w:r w:rsidR="00FA1752" w:rsidRPr="006A16CF">
        <w:rPr>
          <w:sz w:val="22"/>
          <w:szCs w:val="22"/>
        </w:rPr>
        <w:t xml:space="preserve"> </w:t>
      </w:r>
      <w:r w:rsidRPr="006A16CF">
        <w:rPr>
          <w:sz w:val="22"/>
          <w:szCs w:val="22"/>
          <w:lang w:val="en-US"/>
        </w:rPr>
        <w:t xml:space="preserve">using alternative wording </w:t>
      </w:r>
      <w:r w:rsidR="00461EC6" w:rsidRPr="006A16CF">
        <w:rPr>
          <w:sz w:val="22"/>
          <w:szCs w:val="22"/>
          <w:lang w:val="en-US"/>
        </w:rPr>
        <w:t xml:space="preserve">such as </w:t>
      </w:r>
      <w:r w:rsidR="009905FF" w:rsidRPr="006A16CF">
        <w:rPr>
          <w:sz w:val="22"/>
          <w:szCs w:val="22"/>
        </w:rPr>
        <w:t xml:space="preserve">“International human rights law </w:t>
      </w:r>
      <w:r w:rsidR="009905FF" w:rsidRPr="006A16CF">
        <w:rPr>
          <w:b/>
          <w:sz w:val="22"/>
          <w:szCs w:val="22"/>
          <w:u w:val="single"/>
        </w:rPr>
        <w:t>affirms</w:t>
      </w:r>
      <w:r w:rsidR="009905FF" w:rsidRPr="006A16CF">
        <w:rPr>
          <w:sz w:val="22"/>
          <w:szCs w:val="22"/>
        </w:rPr>
        <w:t xml:space="preserve"> the relationship of indigenous communities with their lands, territories and resources…”.   </w:t>
      </w:r>
    </w:p>
    <w:p w14:paraId="2B9E566F" w14:textId="77777777" w:rsidR="006D0030" w:rsidRPr="006A16CF" w:rsidRDefault="006D0030" w:rsidP="008B00CC">
      <w:pPr>
        <w:pStyle w:val="ListParagraph"/>
        <w:ind w:left="360"/>
        <w:rPr>
          <w:sz w:val="22"/>
          <w:szCs w:val="22"/>
        </w:rPr>
      </w:pPr>
    </w:p>
    <w:p w14:paraId="74669AC4" w14:textId="13D96599" w:rsidR="00877EC9" w:rsidRPr="006A16CF" w:rsidRDefault="006D0030" w:rsidP="005709FC">
      <w:pPr>
        <w:pStyle w:val="SingleTxtG"/>
        <w:numPr>
          <w:ilvl w:val="0"/>
          <w:numId w:val="1"/>
        </w:numPr>
        <w:ind w:right="4"/>
        <w:jc w:val="left"/>
        <w:rPr>
          <w:rFonts w:eastAsia="Times New Roman"/>
          <w:sz w:val="22"/>
          <w:szCs w:val="22"/>
        </w:rPr>
      </w:pPr>
      <w:r w:rsidRPr="006A16CF">
        <w:rPr>
          <w:rFonts w:eastAsia="Times New Roman"/>
          <w:sz w:val="22"/>
          <w:szCs w:val="22"/>
          <w:lang w:val="en-CA"/>
        </w:rPr>
        <w:t>Paragraph 23 also states that “</w:t>
      </w:r>
      <w:r w:rsidRPr="006A16CF">
        <w:rPr>
          <w:sz w:val="22"/>
          <w:szCs w:val="22"/>
        </w:rPr>
        <w:t>Regional human rights courts have also</w:t>
      </w:r>
      <w:r w:rsidR="00461EC6" w:rsidRPr="006A16CF">
        <w:rPr>
          <w:sz w:val="22"/>
          <w:szCs w:val="22"/>
        </w:rPr>
        <w:t xml:space="preserve"> contributed to strengthening of</w:t>
      </w:r>
      <w:r w:rsidRPr="006A16CF">
        <w:rPr>
          <w:sz w:val="22"/>
          <w:szCs w:val="22"/>
        </w:rPr>
        <w:t xml:space="preserve"> the rights of indigenous peoples to their lands and territories</w:t>
      </w:r>
      <w:r w:rsidR="00461EC6" w:rsidRPr="006A16CF">
        <w:rPr>
          <w:sz w:val="22"/>
          <w:szCs w:val="22"/>
        </w:rPr>
        <w:t>.</w:t>
      </w:r>
      <w:r w:rsidR="005709FC" w:rsidRPr="006A16CF">
        <w:rPr>
          <w:sz w:val="22"/>
          <w:szCs w:val="22"/>
        </w:rPr>
        <w:t>”</w:t>
      </w:r>
      <w:r w:rsidR="00461EC6" w:rsidRPr="006A16CF">
        <w:rPr>
          <w:sz w:val="22"/>
          <w:szCs w:val="22"/>
        </w:rPr>
        <w:t xml:space="preserve">  While Canada agrees that </w:t>
      </w:r>
      <w:r w:rsidR="00461EC6" w:rsidRPr="006A16CF">
        <w:rPr>
          <w:sz w:val="22"/>
          <w:szCs w:val="22"/>
          <w:lang w:val="en-CA"/>
        </w:rPr>
        <w:t>certain rulings have been made</w:t>
      </w:r>
      <w:r w:rsidR="005709FC" w:rsidRPr="006A16CF">
        <w:rPr>
          <w:sz w:val="22"/>
          <w:szCs w:val="22"/>
          <w:lang w:val="en-CA"/>
        </w:rPr>
        <w:t xml:space="preserve"> by regional human rights courts</w:t>
      </w:r>
      <w:r w:rsidR="00461EC6" w:rsidRPr="006A16CF">
        <w:rPr>
          <w:sz w:val="22"/>
          <w:szCs w:val="22"/>
          <w:lang w:val="en-CA"/>
        </w:rPr>
        <w:t xml:space="preserve">, the principles enunciated </w:t>
      </w:r>
      <w:r w:rsidR="009905FF" w:rsidRPr="006A16CF">
        <w:rPr>
          <w:sz w:val="22"/>
          <w:szCs w:val="22"/>
          <w:lang w:val="en-CA"/>
        </w:rPr>
        <w:t xml:space="preserve">in these rulings are </w:t>
      </w:r>
      <w:r w:rsidR="005709FC" w:rsidRPr="006A16CF">
        <w:rPr>
          <w:sz w:val="22"/>
          <w:szCs w:val="22"/>
          <w:lang w:val="en-CA"/>
        </w:rPr>
        <w:t xml:space="preserve">not </w:t>
      </w:r>
      <w:r w:rsidR="000E1918" w:rsidRPr="006A16CF">
        <w:rPr>
          <w:sz w:val="22"/>
          <w:szCs w:val="22"/>
          <w:lang w:val="en-CA"/>
        </w:rPr>
        <w:t xml:space="preserve">necessarily </w:t>
      </w:r>
      <w:r w:rsidR="00461EC6" w:rsidRPr="006A16CF">
        <w:rPr>
          <w:sz w:val="22"/>
          <w:szCs w:val="22"/>
          <w:lang w:val="en-CA"/>
        </w:rPr>
        <w:t xml:space="preserve">considered customary international law and </w:t>
      </w:r>
      <w:r w:rsidR="000E1918" w:rsidRPr="006A16CF">
        <w:rPr>
          <w:sz w:val="22"/>
          <w:szCs w:val="22"/>
          <w:lang w:val="en-CA"/>
        </w:rPr>
        <w:t>may</w:t>
      </w:r>
      <w:r w:rsidR="005709FC" w:rsidRPr="006A16CF">
        <w:rPr>
          <w:sz w:val="22"/>
          <w:szCs w:val="22"/>
          <w:lang w:val="en-CA"/>
        </w:rPr>
        <w:t xml:space="preserve"> not </w:t>
      </w:r>
      <w:r w:rsidR="009905FF" w:rsidRPr="006A16CF">
        <w:rPr>
          <w:sz w:val="22"/>
          <w:szCs w:val="22"/>
          <w:lang w:val="en-CA"/>
        </w:rPr>
        <w:t>binding on all S</w:t>
      </w:r>
      <w:r w:rsidR="00461EC6" w:rsidRPr="006A16CF">
        <w:rPr>
          <w:sz w:val="22"/>
          <w:szCs w:val="22"/>
          <w:lang w:val="en-CA"/>
        </w:rPr>
        <w:t>tates.  Canada suggests that th</w:t>
      </w:r>
      <w:r w:rsidR="00DE0CF7" w:rsidRPr="006A16CF">
        <w:rPr>
          <w:sz w:val="22"/>
          <w:szCs w:val="22"/>
          <w:lang w:val="en-CA"/>
        </w:rPr>
        <w:t>is sentence be made more factual</w:t>
      </w:r>
      <w:r w:rsidR="00461EC6" w:rsidRPr="006A16CF">
        <w:rPr>
          <w:sz w:val="22"/>
          <w:szCs w:val="22"/>
          <w:lang w:val="en-CA"/>
        </w:rPr>
        <w:t xml:space="preserve"> by stating that “Regional human rights courts have also </w:t>
      </w:r>
      <w:r w:rsidR="00461EC6" w:rsidRPr="006A16CF">
        <w:rPr>
          <w:b/>
          <w:sz w:val="22"/>
          <w:szCs w:val="22"/>
          <w:u w:val="single"/>
          <w:lang w:val="en-CA"/>
        </w:rPr>
        <w:t>made rulings concerning</w:t>
      </w:r>
      <w:r w:rsidR="00461EC6" w:rsidRPr="006A16CF">
        <w:rPr>
          <w:sz w:val="22"/>
          <w:szCs w:val="22"/>
          <w:lang w:val="en-CA"/>
        </w:rPr>
        <w:t xml:space="preserve"> the rights of indigenous peoples to their lands and territories”.</w:t>
      </w:r>
      <w:r w:rsidR="00461EC6" w:rsidRPr="006A16CF">
        <w:rPr>
          <w:sz w:val="22"/>
          <w:szCs w:val="22"/>
          <w:lang w:bidi="fr-FR"/>
        </w:rPr>
        <w:t xml:space="preserve"> </w:t>
      </w:r>
    </w:p>
    <w:p w14:paraId="1F4C451F" w14:textId="77777777" w:rsidR="00877EC9" w:rsidRPr="006A16CF" w:rsidRDefault="00877EC9" w:rsidP="00630A6E">
      <w:pPr>
        <w:pStyle w:val="ListParagraph"/>
        <w:rPr>
          <w:sz w:val="22"/>
          <w:szCs w:val="22"/>
        </w:rPr>
      </w:pPr>
    </w:p>
    <w:p w14:paraId="4C0469BD" w14:textId="69286937" w:rsidR="00877EC9" w:rsidRPr="006A16CF" w:rsidRDefault="00877EC9" w:rsidP="005709FC">
      <w:pPr>
        <w:pStyle w:val="SingleTxtG"/>
        <w:numPr>
          <w:ilvl w:val="0"/>
          <w:numId w:val="1"/>
        </w:numPr>
        <w:ind w:right="4"/>
        <w:jc w:val="left"/>
        <w:rPr>
          <w:rFonts w:eastAsia="Times New Roman"/>
          <w:sz w:val="22"/>
          <w:szCs w:val="22"/>
        </w:rPr>
      </w:pPr>
      <w:r w:rsidRPr="006A16CF">
        <w:rPr>
          <w:rFonts w:eastAsia="Times New Roman"/>
          <w:sz w:val="22"/>
          <w:szCs w:val="22"/>
        </w:rPr>
        <w:t xml:space="preserve">Paragraph 25 sets </w:t>
      </w:r>
      <w:r w:rsidR="00702CD1" w:rsidRPr="006A16CF">
        <w:rPr>
          <w:rFonts w:eastAsia="Times New Roman"/>
          <w:sz w:val="22"/>
          <w:szCs w:val="22"/>
        </w:rPr>
        <w:t xml:space="preserve">out </w:t>
      </w:r>
      <w:r w:rsidRPr="006A16CF">
        <w:rPr>
          <w:rFonts w:eastAsia="Times New Roman"/>
          <w:sz w:val="22"/>
          <w:szCs w:val="22"/>
        </w:rPr>
        <w:t>a list of requirements for an eviction to be justifiable</w:t>
      </w:r>
      <w:r w:rsidR="00702CD1" w:rsidRPr="006A16CF">
        <w:rPr>
          <w:rFonts w:eastAsia="Times New Roman"/>
          <w:sz w:val="22"/>
          <w:szCs w:val="22"/>
        </w:rPr>
        <w:t xml:space="preserve">, and in this regard makes reference to </w:t>
      </w:r>
      <w:r w:rsidR="00255462" w:rsidRPr="006A16CF">
        <w:rPr>
          <w:rFonts w:eastAsia="Times New Roman"/>
          <w:sz w:val="22"/>
          <w:szCs w:val="22"/>
        </w:rPr>
        <w:t xml:space="preserve">the Basic Principles and Guidelines on Development-Based Evictions and Displacement </w:t>
      </w:r>
      <w:r w:rsidR="00A25A8C" w:rsidRPr="006A16CF">
        <w:rPr>
          <w:rFonts w:eastAsia="Times New Roman"/>
          <w:sz w:val="22"/>
          <w:szCs w:val="22"/>
        </w:rPr>
        <w:t xml:space="preserve">(“Basic Principles and Guidelines”) </w:t>
      </w:r>
      <w:r w:rsidR="00255462" w:rsidRPr="006A16CF">
        <w:rPr>
          <w:rFonts w:eastAsia="Times New Roman"/>
          <w:sz w:val="22"/>
          <w:szCs w:val="22"/>
        </w:rPr>
        <w:t xml:space="preserve">developed </w:t>
      </w:r>
      <w:r w:rsidR="00702CD1" w:rsidRPr="006A16CF">
        <w:rPr>
          <w:rFonts w:eastAsia="Times New Roman"/>
          <w:sz w:val="22"/>
          <w:szCs w:val="22"/>
        </w:rPr>
        <w:t xml:space="preserve">by the Special Rapporteur on </w:t>
      </w:r>
      <w:r w:rsidR="006E2624" w:rsidRPr="006A16CF">
        <w:rPr>
          <w:rFonts w:eastAsia="Times New Roman"/>
          <w:sz w:val="22"/>
          <w:szCs w:val="22"/>
        </w:rPr>
        <w:t xml:space="preserve">the right to </w:t>
      </w:r>
      <w:r w:rsidR="00702CD1" w:rsidRPr="006A16CF">
        <w:rPr>
          <w:rFonts w:eastAsia="Times New Roman"/>
          <w:sz w:val="22"/>
          <w:szCs w:val="22"/>
        </w:rPr>
        <w:t>adequate housing</w:t>
      </w:r>
      <w:r w:rsidR="00255462" w:rsidRPr="006A16CF">
        <w:rPr>
          <w:rFonts w:eastAsia="Times New Roman"/>
          <w:sz w:val="22"/>
          <w:szCs w:val="22"/>
        </w:rPr>
        <w:t>.</w:t>
      </w:r>
      <w:r w:rsidRPr="006A16CF">
        <w:rPr>
          <w:rFonts w:eastAsia="Times New Roman"/>
          <w:sz w:val="22"/>
          <w:szCs w:val="22"/>
        </w:rPr>
        <w:t xml:space="preserve"> </w:t>
      </w:r>
      <w:r w:rsidR="00B81A05" w:rsidRPr="006A16CF">
        <w:rPr>
          <w:rFonts w:eastAsia="Times New Roman"/>
          <w:sz w:val="22"/>
          <w:szCs w:val="22"/>
        </w:rPr>
        <w:t xml:space="preserve"> The list of requirements in paragraph 25 </w:t>
      </w:r>
      <w:r w:rsidRPr="006A16CF">
        <w:rPr>
          <w:rFonts w:eastAsia="Times New Roman"/>
          <w:sz w:val="22"/>
          <w:szCs w:val="22"/>
        </w:rPr>
        <w:t xml:space="preserve">differs in certain respects from the criteria </w:t>
      </w:r>
      <w:r w:rsidR="00B81A05" w:rsidRPr="006A16CF">
        <w:rPr>
          <w:rFonts w:eastAsia="Times New Roman"/>
          <w:sz w:val="22"/>
          <w:szCs w:val="22"/>
        </w:rPr>
        <w:t xml:space="preserve">identified in the </w:t>
      </w:r>
      <w:r w:rsidR="005D11F3" w:rsidRPr="006A16CF">
        <w:rPr>
          <w:rFonts w:eastAsia="Times New Roman"/>
          <w:sz w:val="22"/>
          <w:szCs w:val="22"/>
        </w:rPr>
        <w:t>Basic Principles and Guidelines</w:t>
      </w:r>
      <w:r w:rsidRPr="006A16CF">
        <w:rPr>
          <w:rFonts w:eastAsia="Times New Roman"/>
          <w:sz w:val="22"/>
          <w:szCs w:val="22"/>
        </w:rPr>
        <w:t xml:space="preserve">, </w:t>
      </w:r>
      <w:r w:rsidR="00B81A05" w:rsidRPr="006A16CF">
        <w:rPr>
          <w:rFonts w:eastAsia="Times New Roman"/>
          <w:sz w:val="22"/>
          <w:szCs w:val="22"/>
        </w:rPr>
        <w:t xml:space="preserve">and </w:t>
      </w:r>
      <w:r w:rsidRPr="006A16CF">
        <w:rPr>
          <w:sz w:val="22"/>
          <w:szCs w:val="22"/>
          <w:lang w:val="en-US"/>
        </w:rPr>
        <w:t xml:space="preserve">also goes beyond what the Committee has stated in relation to forced evictions in its General Comment 7.  In particular, there is no reference in these other </w:t>
      </w:r>
      <w:r w:rsidR="00A439BB" w:rsidRPr="006A16CF">
        <w:rPr>
          <w:sz w:val="22"/>
          <w:szCs w:val="22"/>
          <w:lang w:val="en-US"/>
        </w:rPr>
        <w:t>instruments or documents or in Article</w:t>
      </w:r>
      <w:r w:rsidRPr="006A16CF">
        <w:rPr>
          <w:sz w:val="22"/>
          <w:szCs w:val="22"/>
          <w:lang w:val="en-US"/>
        </w:rPr>
        <w:t xml:space="preserve"> 4 of the</w:t>
      </w:r>
      <w:r w:rsidR="00A439BB" w:rsidRPr="006A16CF">
        <w:rPr>
          <w:sz w:val="22"/>
          <w:szCs w:val="22"/>
          <w:lang w:val="en-US"/>
        </w:rPr>
        <w:t xml:space="preserve"> Covenant to the “common good”</w:t>
      </w:r>
      <w:r w:rsidR="005D11F3" w:rsidRPr="006A16CF">
        <w:rPr>
          <w:sz w:val="22"/>
          <w:szCs w:val="22"/>
          <w:lang w:val="en-US"/>
        </w:rPr>
        <w:t xml:space="preserve">: </w:t>
      </w:r>
      <w:r w:rsidR="00A25A8C" w:rsidRPr="006A16CF">
        <w:rPr>
          <w:sz w:val="22"/>
          <w:szCs w:val="22"/>
          <w:lang w:val="en-US"/>
        </w:rPr>
        <w:t>rather, the Basic Principles and Guidel</w:t>
      </w:r>
      <w:r w:rsidR="00C926D6" w:rsidRPr="006A16CF">
        <w:rPr>
          <w:sz w:val="22"/>
          <w:szCs w:val="22"/>
          <w:lang w:val="en-US"/>
        </w:rPr>
        <w:t>ines and Article 4 of the Covena</w:t>
      </w:r>
      <w:r w:rsidR="00A25A8C" w:rsidRPr="006A16CF">
        <w:rPr>
          <w:sz w:val="22"/>
          <w:szCs w:val="22"/>
          <w:lang w:val="en-US"/>
        </w:rPr>
        <w:t>nt refer to</w:t>
      </w:r>
      <w:r w:rsidR="00A439BB" w:rsidRPr="006A16CF">
        <w:rPr>
          <w:sz w:val="22"/>
          <w:szCs w:val="22"/>
          <w:lang w:val="en-US"/>
        </w:rPr>
        <w:t xml:space="preserve"> the “</w:t>
      </w:r>
      <w:r w:rsidRPr="006A16CF">
        <w:rPr>
          <w:sz w:val="22"/>
          <w:szCs w:val="22"/>
          <w:lang w:val="en-US"/>
        </w:rPr>
        <w:t>general welfar</w:t>
      </w:r>
      <w:r w:rsidR="00A439BB" w:rsidRPr="006A16CF">
        <w:rPr>
          <w:sz w:val="22"/>
          <w:szCs w:val="22"/>
          <w:lang w:val="en-US"/>
        </w:rPr>
        <w:t>e”</w:t>
      </w:r>
      <w:r w:rsidRPr="006A16CF">
        <w:rPr>
          <w:sz w:val="22"/>
          <w:szCs w:val="22"/>
          <w:lang w:val="en-US"/>
        </w:rPr>
        <w:t>.</w:t>
      </w:r>
      <w:r w:rsidR="00A439BB" w:rsidRPr="006A16CF">
        <w:rPr>
          <w:sz w:val="22"/>
          <w:szCs w:val="22"/>
          <w:lang w:val="en-US"/>
        </w:rPr>
        <w:t xml:space="preserve">  </w:t>
      </w:r>
      <w:r w:rsidR="00AB1867" w:rsidRPr="006A16CF">
        <w:rPr>
          <w:sz w:val="22"/>
          <w:szCs w:val="22"/>
          <w:lang w:val="en-US"/>
        </w:rPr>
        <w:t>Canada also notes that</w:t>
      </w:r>
      <w:r w:rsidR="00807A6E" w:rsidRPr="006A16CF">
        <w:rPr>
          <w:sz w:val="22"/>
          <w:szCs w:val="22"/>
          <w:lang w:val="en-US"/>
        </w:rPr>
        <w:t xml:space="preserve"> </w:t>
      </w:r>
      <w:r w:rsidR="00A439BB" w:rsidRPr="006A16CF">
        <w:rPr>
          <w:sz w:val="22"/>
          <w:szCs w:val="22"/>
          <w:lang w:val="en-US"/>
        </w:rPr>
        <w:t>Article</w:t>
      </w:r>
      <w:r w:rsidRPr="006A16CF">
        <w:rPr>
          <w:sz w:val="22"/>
          <w:szCs w:val="22"/>
          <w:lang w:val="en-US"/>
        </w:rPr>
        <w:t xml:space="preserve"> 4</w:t>
      </w:r>
      <w:r w:rsidR="00807A6E" w:rsidRPr="006A16CF">
        <w:rPr>
          <w:sz w:val="22"/>
          <w:szCs w:val="22"/>
          <w:lang w:val="en-US"/>
        </w:rPr>
        <w:t xml:space="preserve"> of the Covenant</w:t>
      </w:r>
      <w:r w:rsidRPr="006A16CF">
        <w:rPr>
          <w:sz w:val="22"/>
          <w:szCs w:val="22"/>
          <w:lang w:val="en-US"/>
        </w:rPr>
        <w:t xml:space="preserve"> does not </w:t>
      </w:r>
      <w:r w:rsidR="006E2624" w:rsidRPr="006A16CF">
        <w:rPr>
          <w:sz w:val="22"/>
          <w:szCs w:val="22"/>
          <w:lang w:val="en-US"/>
        </w:rPr>
        <w:t xml:space="preserve">require that the benefits of </w:t>
      </w:r>
      <w:r w:rsidR="002B2D46" w:rsidRPr="006A16CF">
        <w:rPr>
          <w:sz w:val="22"/>
          <w:szCs w:val="22"/>
          <w:lang w:val="en-US"/>
        </w:rPr>
        <w:t>a</w:t>
      </w:r>
      <w:r w:rsidR="006E2624" w:rsidRPr="006A16CF">
        <w:rPr>
          <w:sz w:val="22"/>
          <w:szCs w:val="22"/>
          <w:lang w:val="en-US"/>
        </w:rPr>
        <w:t xml:space="preserve"> </w:t>
      </w:r>
      <w:r w:rsidRPr="006A16CF">
        <w:rPr>
          <w:sz w:val="22"/>
          <w:szCs w:val="22"/>
          <w:lang w:val="en-US"/>
        </w:rPr>
        <w:t xml:space="preserve">limitation on a Covenant right </w:t>
      </w:r>
      <w:r w:rsidR="006E2624" w:rsidRPr="006A16CF">
        <w:rPr>
          <w:sz w:val="22"/>
          <w:szCs w:val="22"/>
          <w:lang w:val="en-US"/>
        </w:rPr>
        <w:t>in promoting</w:t>
      </w:r>
      <w:r w:rsidRPr="006A16CF">
        <w:rPr>
          <w:sz w:val="22"/>
          <w:szCs w:val="22"/>
          <w:lang w:val="en-US"/>
        </w:rPr>
        <w:t xml:space="preserve"> the common good</w:t>
      </w:r>
      <w:r w:rsidR="006E2624" w:rsidRPr="006A16CF">
        <w:rPr>
          <w:sz w:val="22"/>
          <w:szCs w:val="22"/>
          <w:lang w:val="en-US"/>
        </w:rPr>
        <w:t xml:space="preserve"> ‘outweigh’ the impacts on the enjoyment of the right being limited;</w:t>
      </w:r>
      <w:r w:rsidRPr="006A16CF">
        <w:rPr>
          <w:sz w:val="22"/>
          <w:szCs w:val="22"/>
          <w:lang w:val="en-US"/>
        </w:rPr>
        <w:t xml:space="preserve"> rather, it stipulates that any limitations imposed </w:t>
      </w:r>
      <w:r w:rsidR="005D11F3" w:rsidRPr="006A16CF">
        <w:rPr>
          <w:sz w:val="22"/>
          <w:szCs w:val="22"/>
          <w:lang w:val="en-US"/>
        </w:rPr>
        <w:t xml:space="preserve">on a Covenant right </w:t>
      </w:r>
      <w:r w:rsidRPr="006A16CF">
        <w:rPr>
          <w:sz w:val="22"/>
          <w:szCs w:val="22"/>
          <w:lang w:val="en-US"/>
        </w:rPr>
        <w:t>must be solely for the purpose of promoting the general welfare.</w:t>
      </w:r>
    </w:p>
    <w:p w14:paraId="60594955" w14:textId="77777777" w:rsidR="008250E6" w:rsidRPr="006A16CF" w:rsidRDefault="008250E6" w:rsidP="008250E6">
      <w:pPr>
        <w:pStyle w:val="ListParagraph"/>
        <w:rPr>
          <w:sz w:val="22"/>
          <w:szCs w:val="22"/>
        </w:rPr>
      </w:pPr>
    </w:p>
    <w:p w14:paraId="5C5F1B44" w14:textId="17803722" w:rsidR="008250E6" w:rsidRPr="006A16CF" w:rsidRDefault="008250E6" w:rsidP="005709FC">
      <w:pPr>
        <w:pStyle w:val="SingleTxtG"/>
        <w:numPr>
          <w:ilvl w:val="0"/>
          <w:numId w:val="1"/>
        </w:numPr>
        <w:ind w:right="4"/>
        <w:jc w:val="left"/>
        <w:rPr>
          <w:rFonts w:eastAsia="Times New Roman"/>
          <w:sz w:val="22"/>
          <w:szCs w:val="22"/>
        </w:rPr>
      </w:pPr>
      <w:r w:rsidRPr="006A16CF">
        <w:rPr>
          <w:sz w:val="22"/>
          <w:szCs w:val="22"/>
          <w:lang w:val="en-US"/>
        </w:rPr>
        <w:t>Paragraph 36 states that “</w:t>
      </w:r>
      <w:r w:rsidRPr="006A16CF">
        <w:rPr>
          <w:sz w:val="22"/>
          <w:szCs w:val="22"/>
        </w:rPr>
        <w:t xml:space="preserve">States should use the maximum of available resources to progressively realise the right to access productive resources for individuals and groups, whose right to an adequate standard of living would otherwise be violated”.  Canada’s position is that </w:t>
      </w:r>
      <w:r w:rsidRPr="006A16CF">
        <w:rPr>
          <w:sz w:val="22"/>
          <w:szCs w:val="22"/>
          <w:lang w:val="en-US"/>
        </w:rPr>
        <w:t>while access to productive resources may be integral to realization of the right to an adequate standard of living in certain circumstances, no specific “right to access productive resources” has been recognized in international law. Accordingly, Canada suggests that this statement be amended to “</w:t>
      </w:r>
      <w:r w:rsidRPr="006A16CF">
        <w:rPr>
          <w:sz w:val="22"/>
          <w:szCs w:val="22"/>
        </w:rPr>
        <w:t>States should</w:t>
      </w:r>
      <w:r w:rsidRPr="006A16CF">
        <w:rPr>
          <w:b/>
          <w:sz w:val="22"/>
          <w:szCs w:val="22"/>
          <w:u w:val="single"/>
        </w:rPr>
        <w:t xml:space="preserve"> </w:t>
      </w:r>
      <w:r w:rsidR="008B00CC" w:rsidRPr="006A16CF">
        <w:rPr>
          <w:b/>
          <w:sz w:val="22"/>
          <w:szCs w:val="22"/>
          <w:u w:val="single"/>
        </w:rPr>
        <w:t>facilitate</w:t>
      </w:r>
      <w:r w:rsidR="008B00CC" w:rsidRPr="006A16CF">
        <w:rPr>
          <w:sz w:val="22"/>
          <w:szCs w:val="22"/>
        </w:rPr>
        <w:t xml:space="preserve"> a</w:t>
      </w:r>
      <w:r w:rsidRPr="006A16CF">
        <w:rPr>
          <w:sz w:val="22"/>
          <w:szCs w:val="22"/>
        </w:rPr>
        <w:t xml:space="preserve">ccess </w:t>
      </w:r>
      <w:r w:rsidRPr="006A16CF">
        <w:rPr>
          <w:b/>
          <w:sz w:val="22"/>
          <w:szCs w:val="22"/>
          <w:u w:val="single"/>
        </w:rPr>
        <w:lastRenderedPageBreak/>
        <w:t>to</w:t>
      </w:r>
      <w:r w:rsidRPr="006A16CF">
        <w:rPr>
          <w:sz w:val="22"/>
          <w:szCs w:val="22"/>
        </w:rPr>
        <w:t xml:space="preserve"> productive resources for individuals and groups, whose right to an adequate standard of living would otherwise be violated”.  </w:t>
      </w:r>
    </w:p>
    <w:p w14:paraId="47A5F44B" w14:textId="77777777" w:rsidR="00877EC9" w:rsidRPr="006A16CF" w:rsidRDefault="00877EC9" w:rsidP="00630A6E">
      <w:pPr>
        <w:pStyle w:val="ListParagraph"/>
        <w:rPr>
          <w:sz w:val="22"/>
          <w:szCs w:val="22"/>
        </w:rPr>
      </w:pPr>
    </w:p>
    <w:p w14:paraId="4499AD00" w14:textId="77777777" w:rsidR="00E01FBA" w:rsidRPr="006A16CF" w:rsidRDefault="00E01FBA" w:rsidP="00630A6E">
      <w:pPr>
        <w:pStyle w:val="ListParagraph"/>
        <w:numPr>
          <w:ilvl w:val="0"/>
          <w:numId w:val="2"/>
        </w:numPr>
        <w:spacing w:line="276" w:lineRule="auto"/>
        <w:rPr>
          <w:sz w:val="22"/>
          <w:szCs w:val="22"/>
        </w:rPr>
      </w:pPr>
      <w:r w:rsidRPr="006A16CF">
        <w:rPr>
          <w:b/>
          <w:i/>
          <w:sz w:val="22"/>
          <w:szCs w:val="22"/>
        </w:rPr>
        <w:t>Comments concerning the extraterritorial application of the Covenant</w:t>
      </w:r>
    </w:p>
    <w:p w14:paraId="568EA4FA" w14:textId="77777777" w:rsidR="00E01FBA" w:rsidRPr="006A16CF" w:rsidRDefault="00E01FBA" w:rsidP="00630A6E">
      <w:pPr>
        <w:keepNext/>
        <w:rPr>
          <w:rFonts w:ascii="Times New Roman" w:hAnsi="Times New Roman" w:cs="Times New Roman"/>
          <w:i/>
        </w:rPr>
      </w:pPr>
    </w:p>
    <w:p w14:paraId="395BEBB4" w14:textId="77777777" w:rsidR="00E01FBA" w:rsidRPr="006A16CF" w:rsidRDefault="0023221F" w:rsidP="00630A6E">
      <w:pPr>
        <w:keepNext/>
        <w:rPr>
          <w:rFonts w:ascii="Times New Roman" w:hAnsi="Times New Roman" w:cs="Times New Roman"/>
          <w:i/>
          <w:lang w:val="en-US"/>
        </w:rPr>
      </w:pPr>
      <w:r w:rsidRPr="006A16CF">
        <w:rPr>
          <w:rFonts w:ascii="Times New Roman" w:hAnsi="Times New Roman" w:cs="Times New Roman"/>
          <w:i/>
          <w:lang w:val="en-US"/>
        </w:rPr>
        <w:t xml:space="preserve">Paragraphs </w:t>
      </w:r>
      <w:r w:rsidR="00842B32" w:rsidRPr="006A16CF">
        <w:rPr>
          <w:rFonts w:ascii="Times New Roman" w:hAnsi="Times New Roman" w:cs="Times New Roman"/>
          <w:i/>
          <w:lang w:val="en-US"/>
        </w:rPr>
        <w:t>38 - 44</w:t>
      </w:r>
    </w:p>
    <w:p w14:paraId="166E2CEA" w14:textId="77777777" w:rsidR="00E01FBA" w:rsidRPr="006A16CF" w:rsidRDefault="00E01FBA" w:rsidP="00630A6E">
      <w:pPr>
        <w:pStyle w:val="ListParagraph"/>
        <w:rPr>
          <w:sz w:val="22"/>
          <w:szCs w:val="22"/>
        </w:rPr>
      </w:pPr>
    </w:p>
    <w:p w14:paraId="1BBDBC4A" w14:textId="377F5AC5" w:rsidR="00A439BB" w:rsidRPr="006A16CF" w:rsidRDefault="00A439BB" w:rsidP="00630A6E">
      <w:pPr>
        <w:pStyle w:val="ListParagraph"/>
        <w:numPr>
          <w:ilvl w:val="0"/>
          <w:numId w:val="1"/>
        </w:numPr>
        <w:rPr>
          <w:sz w:val="22"/>
          <w:szCs w:val="22"/>
        </w:rPr>
      </w:pPr>
      <w:r w:rsidRPr="006A16CF">
        <w:rPr>
          <w:sz w:val="22"/>
          <w:szCs w:val="22"/>
          <w:lang w:val="en-US"/>
        </w:rPr>
        <w:t xml:space="preserve">While </w:t>
      </w:r>
      <w:r w:rsidR="002D15CE" w:rsidRPr="006A16CF">
        <w:rPr>
          <w:sz w:val="22"/>
          <w:szCs w:val="22"/>
          <w:lang w:val="en-US"/>
        </w:rPr>
        <w:t>t</w:t>
      </w:r>
      <w:r w:rsidRPr="006A16CF">
        <w:rPr>
          <w:sz w:val="22"/>
          <w:szCs w:val="22"/>
          <w:lang w:val="en-US"/>
        </w:rPr>
        <w:t xml:space="preserve">here is no </w:t>
      </w:r>
      <w:r w:rsidR="00AA3BF5" w:rsidRPr="006A16CF">
        <w:rPr>
          <w:sz w:val="22"/>
          <w:szCs w:val="22"/>
          <w:lang w:val="en-US"/>
        </w:rPr>
        <w:t xml:space="preserve">overarching </w:t>
      </w:r>
      <w:r w:rsidR="005709FC" w:rsidRPr="006A16CF">
        <w:rPr>
          <w:sz w:val="22"/>
          <w:szCs w:val="22"/>
          <w:lang w:val="en-US"/>
        </w:rPr>
        <w:t>provision in the Covenant</w:t>
      </w:r>
      <w:r w:rsidR="00854E62" w:rsidRPr="006A16CF">
        <w:rPr>
          <w:sz w:val="22"/>
          <w:szCs w:val="22"/>
          <w:lang w:val="en-US"/>
        </w:rPr>
        <w:t xml:space="preserve"> pertaining to the scope of its application</w:t>
      </w:r>
      <w:r w:rsidRPr="006A16CF">
        <w:rPr>
          <w:sz w:val="22"/>
          <w:szCs w:val="22"/>
          <w:lang w:val="en-US"/>
        </w:rPr>
        <w:t>, Canada cannot support</w:t>
      </w:r>
      <w:r w:rsidR="005709FC" w:rsidRPr="006A16CF">
        <w:rPr>
          <w:sz w:val="22"/>
          <w:szCs w:val="22"/>
          <w:lang w:val="en-US"/>
        </w:rPr>
        <w:t xml:space="preserve"> an interpretation of the </w:t>
      </w:r>
      <w:r w:rsidR="009905FF" w:rsidRPr="006A16CF">
        <w:rPr>
          <w:sz w:val="22"/>
          <w:szCs w:val="22"/>
          <w:lang w:val="en-US"/>
        </w:rPr>
        <w:t>Covenant</w:t>
      </w:r>
      <w:r w:rsidRPr="006A16CF">
        <w:rPr>
          <w:sz w:val="22"/>
          <w:szCs w:val="22"/>
          <w:lang w:val="en-US"/>
        </w:rPr>
        <w:t xml:space="preserve"> that affirms the general existence of extraterritorial obligations in relation to this instrument.  </w:t>
      </w:r>
    </w:p>
    <w:p w14:paraId="58ED2DF6" w14:textId="77777777" w:rsidR="00A439BB" w:rsidRPr="006A16CF" w:rsidRDefault="00A439BB" w:rsidP="00630A6E">
      <w:pPr>
        <w:pStyle w:val="ListParagraph"/>
        <w:ind w:left="360"/>
        <w:rPr>
          <w:sz w:val="22"/>
          <w:szCs w:val="22"/>
        </w:rPr>
      </w:pPr>
    </w:p>
    <w:p w14:paraId="5CC552AA" w14:textId="3212922F" w:rsidR="00281465" w:rsidRPr="006A16CF" w:rsidRDefault="001D1A1F" w:rsidP="008B00CC">
      <w:pPr>
        <w:pStyle w:val="ListParagraph"/>
        <w:numPr>
          <w:ilvl w:val="0"/>
          <w:numId w:val="1"/>
        </w:numPr>
        <w:rPr>
          <w:sz w:val="22"/>
          <w:szCs w:val="22"/>
        </w:rPr>
      </w:pPr>
      <w:r w:rsidRPr="006A16CF">
        <w:rPr>
          <w:sz w:val="22"/>
          <w:szCs w:val="22"/>
        </w:rPr>
        <w:t>The Committee</w:t>
      </w:r>
      <w:r w:rsidR="005709FC" w:rsidRPr="006A16CF">
        <w:rPr>
          <w:sz w:val="22"/>
          <w:szCs w:val="22"/>
        </w:rPr>
        <w:t xml:space="preserve">’s interpretation of the </w:t>
      </w:r>
      <w:r w:rsidR="009905FF" w:rsidRPr="006A16CF">
        <w:rPr>
          <w:sz w:val="22"/>
          <w:szCs w:val="22"/>
        </w:rPr>
        <w:t>Covenant</w:t>
      </w:r>
      <w:r w:rsidR="005709FC" w:rsidRPr="006A16CF">
        <w:rPr>
          <w:sz w:val="22"/>
          <w:szCs w:val="22"/>
        </w:rPr>
        <w:t xml:space="preserve"> </w:t>
      </w:r>
      <w:r w:rsidR="002D15CE" w:rsidRPr="006A16CF">
        <w:rPr>
          <w:sz w:val="22"/>
          <w:szCs w:val="22"/>
        </w:rPr>
        <w:t>in paragraphs 3</w:t>
      </w:r>
      <w:r w:rsidR="00E528B4" w:rsidRPr="006A16CF">
        <w:rPr>
          <w:sz w:val="22"/>
          <w:szCs w:val="22"/>
        </w:rPr>
        <w:t>8</w:t>
      </w:r>
      <w:r w:rsidR="002D15CE" w:rsidRPr="006A16CF">
        <w:rPr>
          <w:sz w:val="22"/>
          <w:szCs w:val="22"/>
        </w:rPr>
        <w:t xml:space="preserve">-44 </w:t>
      </w:r>
      <w:r w:rsidRPr="006A16CF">
        <w:rPr>
          <w:sz w:val="22"/>
          <w:szCs w:val="22"/>
        </w:rPr>
        <w:t xml:space="preserve">attempts to expand the scope of the Covenant beyond the territory under the jurisdiction of the State.  Such an interpretation would impinge on well-established principles of sovereignty. </w:t>
      </w:r>
      <w:r w:rsidR="00A020A6" w:rsidRPr="006A16CF">
        <w:rPr>
          <w:sz w:val="22"/>
          <w:szCs w:val="22"/>
        </w:rPr>
        <w:t xml:space="preserve">Canada notes that </w:t>
      </w:r>
      <w:r w:rsidR="00E01FBA" w:rsidRPr="006A16CF">
        <w:rPr>
          <w:sz w:val="22"/>
          <w:szCs w:val="22"/>
        </w:rPr>
        <w:t xml:space="preserve">Article 2(1) of the </w:t>
      </w:r>
      <w:r w:rsidR="00A020A6" w:rsidRPr="006A16CF">
        <w:rPr>
          <w:i/>
          <w:sz w:val="22"/>
          <w:szCs w:val="22"/>
        </w:rPr>
        <w:t xml:space="preserve">International Covenant on Civil and Political Rights </w:t>
      </w:r>
      <w:r w:rsidR="00A020A6" w:rsidRPr="006A16CF">
        <w:rPr>
          <w:sz w:val="22"/>
          <w:szCs w:val="22"/>
        </w:rPr>
        <w:t>(</w:t>
      </w:r>
      <w:r w:rsidR="00A439BB" w:rsidRPr="006A16CF">
        <w:rPr>
          <w:sz w:val="22"/>
          <w:szCs w:val="22"/>
        </w:rPr>
        <w:t>ICCPR</w:t>
      </w:r>
      <w:r w:rsidR="00A020A6" w:rsidRPr="006A16CF">
        <w:rPr>
          <w:sz w:val="22"/>
          <w:szCs w:val="22"/>
        </w:rPr>
        <w:t xml:space="preserve">), </w:t>
      </w:r>
      <w:r w:rsidR="00205306" w:rsidRPr="006A16CF">
        <w:rPr>
          <w:sz w:val="22"/>
          <w:szCs w:val="22"/>
        </w:rPr>
        <w:t>to</w:t>
      </w:r>
      <w:r w:rsidR="00A020A6" w:rsidRPr="006A16CF">
        <w:rPr>
          <w:sz w:val="22"/>
          <w:szCs w:val="22"/>
        </w:rPr>
        <w:t xml:space="preserve"> which Canada is a </w:t>
      </w:r>
      <w:r w:rsidR="00205306" w:rsidRPr="006A16CF">
        <w:rPr>
          <w:sz w:val="22"/>
          <w:szCs w:val="22"/>
        </w:rPr>
        <w:t>P</w:t>
      </w:r>
      <w:r w:rsidR="00A020A6" w:rsidRPr="006A16CF">
        <w:rPr>
          <w:sz w:val="22"/>
          <w:szCs w:val="22"/>
        </w:rPr>
        <w:t>arty,</w:t>
      </w:r>
      <w:r w:rsidR="00A439BB" w:rsidRPr="006A16CF">
        <w:rPr>
          <w:sz w:val="22"/>
          <w:szCs w:val="22"/>
        </w:rPr>
        <w:t xml:space="preserve"> </w:t>
      </w:r>
      <w:r w:rsidR="00E528B4" w:rsidRPr="006A16CF">
        <w:rPr>
          <w:sz w:val="22"/>
          <w:szCs w:val="22"/>
        </w:rPr>
        <w:t>provides</w:t>
      </w:r>
      <w:r w:rsidR="00E01FBA" w:rsidRPr="006A16CF">
        <w:rPr>
          <w:sz w:val="22"/>
          <w:szCs w:val="22"/>
        </w:rPr>
        <w:t xml:space="preserve"> that a State Party has the obligation to </w:t>
      </w:r>
      <w:r w:rsidR="00A439BB" w:rsidRPr="006A16CF">
        <w:rPr>
          <w:sz w:val="22"/>
          <w:szCs w:val="22"/>
        </w:rPr>
        <w:t xml:space="preserve">respect and ensure </w:t>
      </w:r>
      <w:r w:rsidR="00E528B4" w:rsidRPr="006A16CF">
        <w:rPr>
          <w:sz w:val="22"/>
          <w:szCs w:val="22"/>
        </w:rPr>
        <w:t>the rights recognized in that instrument for “</w:t>
      </w:r>
      <w:r w:rsidR="00E01FBA" w:rsidRPr="006A16CF">
        <w:rPr>
          <w:sz w:val="22"/>
          <w:szCs w:val="22"/>
        </w:rPr>
        <w:t>all individuals within its territory and subject to its jurisdiction</w:t>
      </w:r>
      <w:r w:rsidR="00E528B4" w:rsidRPr="006A16CF">
        <w:rPr>
          <w:sz w:val="22"/>
          <w:szCs w:val="22"/>
        </w:rPr>
        <w:t>”</w:t>
      </w:r>
      <w:r w:rsidR="00E01FBA" w:rsidRPr="006A16CF">
        <w:rPr>
          <w:sz w:val="22"/>
          <w:szCs w:val="22"/>
        </w:rPr>
        <w:t>.  Article 2(1) reflects the principle that the jurisdictional competence of a State is primarily territorial.  Exceptions to that general rule are generally defined and limited by the sovereign territorial rights</w:t>
      </w:r>
      <w:r w:rsidRPr="006A16CF">
        <w:rPr>
          <w:sz w:val="22"/>
          <w:szCs w:val="22"/>
        </w:rPr>
        <w:t xml:space="preserve"> of the other relevant States</w:t>
      </w:r>
      <w:r w:rsidR="00E01FBA" w:rsidRPr="006A16CF">
        <w:rPr>
          <w:sz w:val="22"/>
          <w:szCs w:val="22"/>
        </w:rPr>
        <w:t xml:space="preserve">. </w:t>
      </w:r>
      <w:r w:rsidR="00F45906" w:rsidRPr="006A16CF">
        <w:rPr>
          <w:sz w:val="22"/>
          <w:szCs w:val="22"/>
        </w:rPr>
        <w:t>I</w:t>
      </w:r>
      <w:r w:rsidR="00C148D2" w:rsidRPr="006A16CF">
        <w:rPr>
          <w:sz w:val="22"/>
          <w:szCs w:val="22"/>
        </w:rPr>
        <w:t>t</w:t>
      </w:r>
      <w:r w:rsidR="00F45906" w:rsidRPr="006A16CF">
        <w:rPr>
          <w:sz w:val="22"/>
          <w:szCs w:val="22"/>
        </w:rPr>
        <w:t xml:space="preserve"> </w:t>
      </w:r>
      <w:r w:rsidR="00C148D2" w:rsidRPr="006A16CF">
        <w:rPr>
          <w:sz w:val="22"/>
          <w:szCs w:val="22"/>
        </w:rPr>
        <w:t xml:space="preserve">is </w:t>
      </w:r>
      <w:r w:rsidR="00F45906" w:rsidRPr="006A16CF">
        <w:rPr>
          <w:sz w:val="22"/>
          <w:szCs w:val="22"/>
        </w:rPr>
        <w:t>Canada’s view</w:t>
      </w:r>
      <w:r w:rsidR="00C148D2" w:rsidRPr="006A16CF">
        <w:rPr>
          <w:sz w:val="22"/>
          <w:szCs w:val="22"/>
        </w:rPr>
        <w:t xml:space="preserve"> that, consistent with</w:t>
      </w:r>
      <w:r w:rsidR="00F45906" w:rsidRPr="006A16CF">
        <w:rPr>
          <w:sz w:val="22"/>
          <w:szCs w:val="22"/>
        </w:rPr>
        <w:t xml:space="preserve"> the </w:t>
      </w:r>
      <w:r w:rsidR="00C148D2" w:rsidRPr="006A16CF">
        <w:rPr>
          <w:sz w:val="22"/>
          <w:szCs w:val="22"/>
        </w:rPr>
        <w:t>abovementioned principle, the obligations of State</w:t>
      </w:r>
      <w:r w:rsidR="00A47CA4" w:rsidRPr="006A16CF">
        <w:rPr>
          <w:sz w:val="22"/>
          <w:szCs w:val="22"/>
        </w:rPr>
        <w:t>s</w:t>
      </w:r>
      <w:r w:rsidR="00C148D2" w:rsidRPr="006A16CF">
        <w:rPr>
          <w:sz w:val="22"/>
          <w:szCs w:val="22"/>
        </w:rPr>
        <w:t xml:space="preserve"> Parties under the </w:t>
      </w:r>
      <w:r w:rsidR="00F45906" w:rsidRPr="006A16CF">
        <w:rPr>
          <w:sz w:val="22"/>
          <w:szCs w:val="22"/>
        </w:rPr>
        <w:t xml:space="preserve">Covenant </w:t>
      </w:r>
      <w:r w:rsidR="00C148D2" w:rsidRPr="006A16CF">
        <w:rPr>
          <w:sz w:val="22"/>
          <w:szCs w:val="22"/>
        </w:rPr>
        <w:t>are</w:t>
      </w:r>
      <w:r w:rsidR="00F45906" w:rsidRPr="006A16CF">
        <w:rPr>
          <w:sz w:val="22"/>
          <w:szCs w:val="22"/>
        </w:rPr>
        <w:t xml:space="preserve"> primarily territorial.  </w:t>
      </w:r>
      <w:r w:rsidR="00E01FBA" w:rsidRPr="006A16CF">
        <w:rPr>
          <w:sz w:val="22"/>
          <w:szCs w:val="22"/>
        </w:rPr>
        <w:t xml:space="preserve">Canada </w:t>
      </w:r>
      <w:r w:rsidR="00A47CA4" w:rsidRPr="006A16CF">
        <w:rPr>
          <w:sz w:val="22"/>
          <w:szCs w:val="22"/>
        </w:rPr>
        <w:t xml:space="preserve">accordingly </w:t>
      </w:r>
      <w:r w:rsidR="00B37F8B" w:rsidRPr="006A16CF">
        <w:rPr>
          <w:sz w:val="22"/>
          <w:szCs w:val="22"/>
        </w:rPr>
        <w:t>suggests</w:t>
      </w:r>
      <w:r w:rsidR="00E01FBA" w:rsidRPr="006A16CF">
        <w:rPr>
          <w:sz w:val="22"/>
          <w:szCs w:val="22"/>
        </w:rPr>
        <w:t xml:space="preserve"> that the</w:t>
      </w:r>
      <w:r w:rsidR="00AA3BF5" w:rsidRPr="006A16CF">
        <w:rPr>
          <w:sz w:val="22"/>
          <w:szCs w:val="22"/>
        </w:rPr>
        <w:t>se paragraphs in the</w:t>
      </w:r>
      <w:r w:rsidR="00E01FBA" w:rsidRPr="006A16CF">
        <w:rPr>
          <w:sz w:val="22"/>
          <w:szCs w:val="22"/>
        </w:rPr>
        <w:t xml:space="preserve"> </w:t>
      </w:r>
      <w:r w:rsidR="00E766B0" w:rsidRPr="006A16CF">
        <w:rPr>
          <w:sz w:val="22"/>
          <w:szCs w:val="22"/>
        </w:rPr>
        <w:t xml:space="preserve">Draft </w:t>
      </w:r>
      <w:r w:rsidR="00E01FBA" w:rsidRPr="006A16CF">
        <w:rPr>
          <w:sz w:val="22"/>
          <w:szCs w:val="22"/>
        </w:rPr>
        <w:t>General Com</w:t>
      </w:r>
      <w:r w:rsidR="002D15CE" w:rsidRPr="006A16CF">
        <w:rPr>
          <w:sz w:val="22"/>
          <w:szCs w:val="22"/>
        </w:rPr>
        <w:t>ment b</w:t>
      </w:r>
      <w:r w:rsidR="00516A2F" w:rsidRPr="006A16CF">
        <w:rPr>
          <w:sz w:val="22"/>
          <w:szCs w:val="22"/>
        </w:rPr>
        <w:t xml:space="preserve">e </w:t>
      </w:r>
      <w:r w:rsidR="00AA3BF5" w:rsidRPr="006A16CF">
        <w:rPr>
          <w:sz w:val="22"/>
          <w:szCs w:val="22"/>
        </w:rPr>
        <w:t>reconsidered.</w:t>
      </w:r>
    </w:p>
    <w:p w14:paraId="5F4B950A" w14:textId="77777777" w:rsidR="0023221F" w:rsidRPr="006A16CF" w:rsidRDefault="0023221F" w:rsidP="00630A6E">
      <w:pPr>
        <w:rPr>
          <w:rFonts w:ascii="Times New Roman" w:hAnsi="Times New Roman" w:cs="Times New Roman"/>
        </w:rPr>
      </w:pPr>
    </w:p>
    <w:p w14:paraId="71A18BB4" w14:textId="77777777" w:rsidR="00E01FBA" w:rsidRPr="006A16CF" w:rsidRDefault="001D6E7D" w:rsidP="001D6E7D">
      <w:pPr>
        <w:pStyle w:val="ListParagraph"/>
        <w:numPr>
          <w:ilvl w:val="0"/>
          <w:numId w:val="2"/>
        </w:numPr>
        <w:rPr>
          <w:b/>
          <w:i/>
          <w:sz w:val="22"/>
          <w:szCs w:val="22"/>
        </w:rPr>
      </w:pPr>
      <w:r w:rsidRPr="006A16CF">
        <w:rPr>
          <w:b/>
          <w:i/>
          <w:sz w:val="22"/>
          <w:szCs w:val="22"/>
        </w:rPr>
        <w:t>Comments concerning climate change</w:t>
      </w:r>
    </w:p>
    <w:p w14:paraId="3CC0F324" w14:textId="77777777" w:rsidR="00EA1E25" w:rsidRPr="006A16CF" w:rsidRDefault="00EA1E25" w:rsidP="008B00CC">
      <w:pPr>
        <w:keepNext/>
        <w:rPr>
          <w:rFonts w:ascii="Times New Roman" w:hAnsi="Times New Roman" w:cs="Times New Roman"/>
          <w:i/>
          <w:lang w:val="en-US"/>
        </w:rPr>
      </w:pPr>
    </w:p>
    <w:p w14:paraId="411DBA1A" w14:textId="5200D40E" w:rsidR="00EA1E25" w:rsidRPr="006A16CF" w:rsidRDefault="00EA1E25" w:rsidP="008B00CC">
      <w:pPr>
        <w:keepNext/>
        <w:rPr>
          <w:rFonts w:ascii="Times New Roman" w:hAnsi="Times New Roman" w:cs="Times New Roman"/>
          <w:i/>
          <w:lang w:val="en-US"/>
        </w:rPr>
      </w:pPr>
      <w:r w:rsidRPr="006A16CF">
        <w:rPr>
          <w:rFonts w:ascii="Times New Roman" w:hAnsi="Times New Roman" w:cs="Times New Roman"/>
          <w:i/>
          <w:lang w:val="en-US"/>
        </w:rPr>
        <w:t>Paragraphs 54-55</w:t>
      </w:r>
    </w:p>
    <w:p w14:paraId="5D7967E2" w14:textId="77777777" w:rsidR="001D6E7D" w:rsidRPr="006A16CF" w:rsidRDefault="001D6E7D" w:rsidP="001D6E7D">
      <w:pPr>
        <w:pStyle w:val="ListParagraph"/>
        <w:ind w:left="408"/>
        <w:rPr>
          <w:b/>
          <w:i/>
          <w:sz w:val="22"/>
          <w:szCs w:val="22"/>
        </w:rPr>
      </w:pPr>
    </w:p>
    <w:p w14:paraId="15932DBC" w14:textId="77777777" w:rsidR="001D6E7D" w:rsidRPr="006A16CF" w:rsidRDefault="009D24B8" w:rsidP="001D6E7D">
      <w:pPr>
        <w:pStyle w:val="ListParagraph"/>
        <w:numPr>
          <w:ilvl w:val="0"/>
          <w:numId w:val="1"/>
        </w:numPr>
        <w:contextualSpacing w:val="0"/>
        <w:rPr>
          <w:sz w:val="22"/>
          <w:szCs w:val="22"/>
        </w:rPr>
      </w:pPr>
      <w:r w:rsidRPr="006A16CF">
        <w:rPr>
          <w:sz w:val="22"/>
          <w:szCs w:val="22"/>
        </w:rPr>
        <w:t xml:space="preserve">In paragraph 54, </w:t>
      </w:r>
      <w:r w:rsidR="001D6E7D" w:rsidRPr="006A16CF">
        <w:rPr>
          <w:sz w:val="22"/>
          <w:szCs w:val="22"/>
        </w:rPr>
        <w:t>the</w:t>
      </w:r>
      <w:r w:rsidRPr="006A16CF">
        <w:rPr>
          <w:sz w:val="22"/>
          <w:szCs w:val="22"/>
        </w:rPr>
        <w:t xml:space="preserve"> last sentence states “Moreover, States have the obligation to design adaptation policies to climate change at the national level sensitive to all forms of land use change induced by climate change and to register all affected persons and to use maximum available resources to address its impacts, particularly on disadvantaged groups”.   This goes beyond what is required in the Paris Agreement, which is referenced earlier in the paragraph.  </w:t>
      </w:r>
      <w:r w:rsidR="001D6E7D" w:rsidRPr="006A16CF">
        <w:rPr>
          <w:sz w:val="22"/>
          <w:szCs w:val="22"/>
        </w:rPr>
        <w:t xml:space="preserve">Canada suggests the </w:t>
      </w:r>
      <w:r w:rsidR="005E6D0E" w:rsidRPr="006A16CF">
        <w:rPr>
          <w:sz w:val="22"/>
          <w:szCs w:val="22"/>
        </w:rPr>
        <w:t xml:space="preserve">last </w:t>
      </w:r>
      <w:r w:rsidRPr="006A16CF">
        <w:rPr>
          <w:sz w:val="22"/>
          <w:szCs w:val="22"/>
        </w:rPr>
        <w:t xml:space="preserve">sentence be changed to </w:t>
      </w:r>
      <w:r w:rsidR="009905FF" w:rsidRPr="006A16CF">
        <w:rPr>
          <w:sz w:val="22"/>
          <w:szCs w:val="22"/>
        </w:rPr>
        <w:t>read “</w:t>
      </w:r>
      <w:r w:rsidR="001D6E7D" w:rsidRPr="006A16CF">
        <w:rPr>
          <w:sz w:val="22"/>
          <w:szCs w:val="22"/>
        </w:rPr>
        <w:t xml:space="preserve">Moreover, States </w:t>
      </w:r>
      <w:r w:rsidR="00E766B0" w:rsidRPr="006A16CF">
        <w:rPr>
          <w:b/>
          <w:sz w:val="22"/>
          <w:szCs w:val="22"/>
          <w:u w:val="single"/>
        </w:rPr>
        <w:t>should</w:t>
      </w:r>
      <w:r w:rsidR="001D6E7D" w:rsidRPr="006A16CF">
        <w:rPr>
          <w:sz w:val="22"/>
          <w:szCs w:val="22"/>
        </w:rPr>
        <w:t xml:space="preserve"> </w:t>
      </w:r>
      <w:r w:rsidR="005E6D0E" w:rsidRPr="006A16CF">
        <w:rPr>
          <w:sz w:val="22"/>
          <w:szCs w:val="22"/>
        </w:rPr>
        <w:t>d</w:t>
      </w:r>
      <w:r w:rsidR="001D6E7D" w:rsidRPr="006A16CF">
        <w:rPr>
          <w:sz w:val="22"/>
          <w:szCs w:val="22"/>
        </w:rPr>
        <w:t>esign adaptation poli</w:t>
      </w:r>
      <w:r w:rsidRPr="006A16CF">
        <w:rPr>
          <w:sz w:val="22"/>
          <w:szCs w:val="22"/>
        </w:rPr>
        <w:t>cies….” in order to reflect the non-binding nature of the recommendation.</w:t>
      </w:r>
    </w:p>
    <w:p w14:paraId="4A4E3699" w14:textId="77777777" w:rsidR="001D6E7D" w:rsidRPr="006A16CF" w:rsidRDefault="001D6E7D" w:rsidP="001D6E7D">
      <w:pPr>
        <w:pStyle w:val="ListParagraph"/>
        <w:ind w:left="360"/>
        <w:contextualSpacing w:val="0"/>
        <w:rPr>
          <w:sz w:val="22"/>
          <w:szCs w:val="22"/>
        </w:rPr>
      </w:pPr>
    </w:p>
    <w:p w14:paraId="3591795A" w14:textId="7EC7CCF8" w:rsidR="00926A40" w:rsidRPr="006A16CF" w:rsidRDefault="001D6E7D" w:rsidP="001D6E7D">
      <w:pPr>
        <w:pStyle w:val="ListParagraph"/>
        <w:numPr>
          <w:ilvl w:val="0"/>
          <w:numId w:val="1"/>
        </w:numPr>
        <w:contextualSpacing w:val="0"/>
        <w:rPr>
          <w:sz w:val="22"/>
          <w:szCs w:val="22"/>
        </w:rPr>
      </w:pPr>
      <w:r w:rsidRPr="006A16CF">
        <w:rPr>
          <w:sz w:val="22"/>
          <w:szCs w:val="22"/>
        </w:rPr>
        <w:t>In para</w:t>
      </w:r>
      <w:r w:rsidR="005E6D0E" w:rsidRPr="006A16CF">
        <w:rPr>
          <w:sz w:val="22"/>
          <w:szCs w:val="22"/>
        </w:rPr>
        <w:t xml:space="preserve">graph 55, climate financing </w:t>
      </w:r>
      <w:r w:rsidRPr="006A16CF">
        <w:rPr>
          <w:sz w:val="22"/>
          <w:szCs w:val="22"/>
        </w:rPr>
        <w:t>usually flow</w:t>
      </w:r>
      <w:r w:rsidR="005E6D0E" w:rsidRPr="006A16CF">
        <w:rPr>
          <w:sz w:val="22"/>
          <w:szCs w:val="22"/>
        </w:rPr>
        <w:t>s</w:t>
      </w:r>
      <w:r w:rsidRPr="006A16CF">
        <w:rPr>
          <w:sz w:val="22"/>
          <w:szCs w:val="22"/>
        </w:rPr>
        <w:t xml:space="preserve"> to</w:t>
      </w:r>
      <w:r w:rsidR="00E766B0" w:rsidRPr="006A16CF">
        <w:rPr>
          <w:sz w:val="22"/>
          <w:szCs w:val="22"/>
        </w:rPr>
        <w:t xml:space="preserve"> where developing countries indicate that </w:t>
      </w:r>
      <w:r w:rsidRPr="006A16CF">
        <w:rPr>
          <w:sz w:val="22"/>
          <w:szCs w:val="22"/>
        </w:rPr>
        <w:t xml:space="preserve">they </w:t>
      </w:r>
      <w:r w:rsidR="00E766B0" w:rsidRPr="006A16CF">
        <w:rPr>
          <w:sz w:val="22"/>
          <w:szCs w:val="22"/>
        </w:rPr>
        <w:t xml:space="preserve">most need support. As such, Canada </w:t>
      </w:r>
      <w:r w:rsidRPr="006A16CF">
        <w:rPr>
          <w:sz w:val="22"/>
          <w:szCs w:val="22"/>
        </w:rPr>
        <w:t xml:space="preserve">would suggest that the first sentence be modified to read </w:t>
      </w:r>
      <w:r w:rsidR="00926A40" w:rsidRPr="006A16CF">
        <w:rPr>
          <w:sz w:val="22"/>
          <w:szCs w:val="22"/>
        </w:rPr>
        <w:t>as</w:t>
      </w:r>
      <w:r w:rsidR="00E766B0" w:rsidRPr="006A16CF">
        <w:rPr>
          <w:sz w:val="22"/>
          <w:szCs w:val="22"/>
        </w:rPr>
        <w:t xml:space="preserve"> follows (</w:t>
      </w:r>
      <w:r w:rsidR="000E1918" w:rsidRPr="006A16CF">
        <w:rPr>
          <w:sz w:val="22"/>
          <w:szCs w:val="22"/>
        </w:rPr>
        <w:t xml:space="preserve">suggested </w:t>
      </w:r>
      <w:r w:rsidR="00E766B0" w:rsidRPr="006A16CF">
        <w:rPr>
          <w:sz w:val="22"/>
          <w:szCs w:val="22"/>
        </w:rPr>
        <w:t>additions underlined</w:t>
      </w:r>
      <w:r w:rsidR="000E1918" w:rsidRPr="006A16CF">
        <w:rPr>
          <w:sz w:val="22"/>
          <w:szCs w:val="22"/>
        </w:rPr>
        <w:t xml:space="preserve"> and bolded</w:t>
      </w:r>
      <w:r w:rsidR="00E766B0" w:rsidRPr="006A16CF">
        <w:rPr>
          <w:sz w:val="22"/>
          <w:szCs w:val="22"/>
        </w:rPr>
        <w:t>)</w:t>
      </w:r>
    </w:p>
    <w:p w14:paraId="28E94F82" w14:textId="77777777" w:rsidR="00926A40" w:rsidRPr="006A16CF" w:rsidRDefault="00926A40" w:rsidP="00926A40">
      <w:pPr>
        <w:pStyle w:val="ListParagraph"/>
        <w:rPr>
          <w:sz w:val="22"/>
          <w:szCs w:val="22"/>
        </w:rPr>
      </w:pPr>
    </w:p>
    <w:p w14:paraId="199BF197" w14:textId="1F0AB4E6" w:rsidR="001D6E7D" w:rsidRPr="006A16CF" w:rsidRDefault="001D6E7D" w:rsidP="00926A40">
      <w:pPr>
        <w:pStyle w:val="ListParagraph"/>
        <w:ind w:left="360"/>
        <w:contextualSpacing w:val="0"/>
        <w:rPr>
          <w:sz w:val="22"/>
          <w:szCs w:val="22"/>
        </w:rPr>
      </w:pPr>
      <w:r w:rsidRPr="006A16CF">
        <w:rPr>
          <w:sz w:val="22"/>
          <w:szCs w:val="22"/>
        </w:rPr>
        <w:t>“Since climate change also impacts the countries that may have contributed the least to it, those countries that historically contributed most to climate change and those who contrib</w:t>
      </w:r>
      <w:r w:rsidR="005E6D0E" w:rsidRPr="006A16CF">
        <w:rPr>
          <w:sz w:val="22"/>
          <w:szCs w:val="22"/>
        </w:rPr>
        <w:t xml:space="preserve">ute mainly today </w:t>
      </w:r>
      <w:r w:rsidR="000E1918" w:rsidRPr="006A16CF">
        <w:rPr>
          <w:b/>
          <w:sz w:val="22"/>
          <w:szCs w:val="22"/>
          <w:u w:val="single"/>
        </w:rPr>
        <w:t>should</w:t>
      </w:r>
      <w:r w:rsidR="005E6D0E" w:rsidRPr="006A16CF">
        <w:rPr>
          <w:b/>
          <w:sz w:val="22"/>
          <w:szCs w:val="22"/>
          <w:u w:val="single"/>
        </w:rPr>
        <w:t xml:space="preserve"> </w:t>
      </w:r>
      <w:r w:rsidR="005E6D0E" w:rsidRPr="006A16CF">
        <w:rPr>
          <w:sz w:val="22"/>
          <w:szCs w:val="22"/>
        </w:rPr>
        <w:t>assist</w:t>
      </w:r>
      <w:r w:rsidRPr="006A16CF">
        <w:rPr>
          <w:sz w:val="22"/>
          <w:szCs w:val="22"/>
        </w:rPr>
        <w:t xml:space="preserve"> those that are most affected but are hardly</w:t>
      </w:r>
      <w:r w:rsidR="00926A40" w:rsidRPr="006A16CF">
        <w:rPr>
          <w:sz w:val="22"/>
          <w:szCs w:val="22"/>
        </w:rPr>
        <w:t xml:space="preserve"> able to cope with its impacts, </w:t>
      </w:r>
      <w:r w:rsidRPr="006A16CF">
        <w:rPr>
          <w:b/>
          <w:sz w:val="22"/>
          <w:szCs w:val="22"/>
          <w:u w:val="single"/>
        </w:rPr>
        <w:t>in line with the needs and priorities identified by those affected</w:t>
      </w:r>
      <w:r w:rsidR="00E766B0" w:rsidRPr="006A16CF">
        <w:rPr>
          <w:b/>
          <w:sz w:val="22"/>
          <w:szCs w:val="22"/>
          <w:u w:val="single"/>
        </w:rPr>
        <w:t xml:space="preserve"> which may include</w:t>
      </w:r>
      <w:r w:rsidR="009905FF" w:rsidRPr="006A16CF">
        <w:rPr>
          <w:sz w:val="22"/>
          <w:szCs w:val="22"/>
        </w:rPr>
        <w:t xml:space="preserve"> </w:t>
      </w:r>
      <w:r w:rsidR="00E766B0" w:rsidRPr="006A16CF">
        <w:rPr>
          <w:sz w:val="22"/>
          <w:szCs w:val="22"/>
        </w:rPr>
        <w:t>supporting and financing land-related adapt</w:t>
      </w:r>
      <w:r w:rsidR="009D24B8" w:rsidRPr="006A16CF">
        <w:rPr>
          <w:sz w:val="22"/>
          <w:szCs w:val="22"/>
        </w:rPr>
        <w:t>at</w:t>
      </w:r>
      <w:r w:rsidR="00E766B0" w:rsidRPr="006A16CF">
        <w:rPr>
          <w:sz w:val="22"/>
          <w:szCs w:val="22"/>
        </w:rPr>
        <w:t>ion measures</w:t>
      </w:r>
      <w:r w:rsidR="003F280B" w:rsidRPr="006A16CF">
        <w:rPr>
          <w:sz w:val="22"/>
          <w:szCs w:val="22"/>
        </w:rPr>
        <w:t>….”</w:t>
      </w:r>
    </w:p>
    <w:p w14:paraId="0E8FECA6" w14:textId="77777777" w:rsidR="001D6E7D" w:rsidRPr="006A16CF" w:rsidRDefault="001D6E7D" w:rsidP="001D6E7D">
      <w:pPr>
        <w:rPr>
          <w:rFonts w:ascii="Times New Roman" w:hAnsi="Times New Roman" w:cs="Times New Roman"/>
          <w:b/>
          <w:i/>
        </w:rPr>
      </w:pPr>
    </w:p>
    <w:p w14:paraId="42765806" w14:textId="77777777" w:rsidR="001D6E7D" w:rsidRPr="006A16CF" w:rsidRDefault="001D6E7D" w:rsidP="001D6E7D">
      <w:pPr>
        <w:rPr>
          <w:rFonts w:ascii="Times New Roman" w:hAnsi="Times New Roman" w:cs="Times New Roman"/>
          <w:b/>
          <w:i/>
        </w:rPr>
      </w:pPr>
    </w:p>
    <w:p w14:paraId="511BAF1A" w14:textId="77777777" w:rsidR="001D6E7D" w:rsidRPr="006A16CF" w:rsidRDefault="001D6E7D" w:rsidP="001D6E7D">
      <w:pPr>
        <w:pStyle w:val="ListParagraph"/>
        <w:numPr>
          <w:ilvl w:val="0"/>
          <w:numId w:val="2"/>
        </w:numPr>
        <w:rPr>
          <w:b/>
          <w:i/>
          <w:sz w:val="22"/>
          <w:szCs w:val="22"/>
        </w:rPr>
      </w:pPr>
      <w:r w:rsidRPr="006A16CF">
        <w:rPr>
          <w:b/>
          <w:i/>
          <w:sz w:val="22"/>
          <w:szCs w:val="22"/>
        </w:rPr>
        <w:t>Other comments</w:t>
      </w:r>
    </w:p>
    <w:p w14:paraId="2E1958E1" w14:textId="77777777" w:rsidR="00E01FBA" w:rsidRPr="006A16CF" w:rsidRDefault="00E01FBA" w:rsidP="00630A6E">
      <w:pPr>
        <w:rPr>
          <w:rFonts w:ascii="Times New Roman" w:hAnsi="Times New Roman" w:cs="Times New Roman"/>
        </w:rPr>
      </w:pPr>
    </w:p>
    <w:p w14:paraId="1D7380D0" w14:textId="3218029F" w:rsidR="00842B32" w:rsidRPr="006A16CF" w:rsidRDefault="0039557F" w:rsidP="00630A6E">
      <w:pPr>
        <w:pStyle w:val="ListParagraph"/>
        <w:numPr>
          <w:ilvl w:val="0"/>
          <w:numId w:val="1"/>
        </w:numPr>
        <w:rPr>
          <w:sz w:val="22"/>
          <w:szCs w:val="22"/>
        </w:rPr>
      </w:pPr>
      <w:r w:rsidRPr="006A16CF">
        <w:rPr>
          <w:sz w:val="22"/>
          <w:szCs w:val="22"/>
        </w:rPr>
        <w:t xml:space="preserve">As a general comment, Canada recommends for greater certainty and clarity that the Committee, when referring to Covenant rights, consistently use wording that is aligned with the wording used in </w:t>
      </w:r>
      <w:r w:rsidRPr="006A16CF">
        <w:rPr>
          <w:sz w:val="22"/>
          <w:szCs w:val="22"/>
        </w:rPr>
        <w:lastRenderedPageBreak/>
        <w:t xml:space="preserve">the Covenant to describe those rights.  This would be relevant to references in the Draft General Comment to the rights to “adequate food”, “adequate housing” and the “highest attainable standard of health” </w:t>
      </w:r>
      <w:r w:rsidR="00075528" w:rsidRPr="006A16CF">
        <w:rPr>
          <w:sz w:val="22"/>
          <w:szCs w:val="22"/>
        </w:rPr>
        <w:t xml:space="preserve">as per the following </w:t>
      </w:r>
      <w:r w:rsidRPr="006A16CF">
        <w:rPr>
          <w:sz w:val="22"/>
          <w:szCs w:val="22"/>
        </w:rPr>
        <w:t xml:space="preserve">illustrative </w:t>
      </w:r>
      <w:r w:rsidR="00075528" w:rsidRPr="006A16CF">
        <w:rPr>
          <w:sz w:val="22"/>
          <w:szCs w:val="22"/>
        </w:rPr>
        <w:t>examples</w:t>
      </w:r>
      <w:r w:rsidR="000E1918" w:rsidRPr="006A16CF">
        <w:rPr>
          <w:sz w:val="22"/>
          <w:szCs w:val="22"/>
        </w:rPr>
        <w:t xml:space="preserve"> (suggested additions underlined and bolded)</w:t>
      </w:r>
      <w:r w:rsidR="008250E6" w:rsidRPr="006A16CF">
        <w:rPr>
          <w:sz w:val="22"/>
          <w:szCs w:val="22"/>
        </w:rPr>
        <w:t>;</w:t>
      </w:r>
    </w:p>
    <w:p w14:paraId="73217391" w14:textId="77777777" w:rsidR="00842B32" w:rsidRPr="006A16CF" w:rsidRDefault="00842B32" w:rsidP="00630A6E">
      <w:pPr>
        <w:pStyle w:val="ListParagraph"/>
        <w:ind w:left="360"/>
        <w:rPr>
          <w:sz w:val="22"/>
          <w:szCs w:val="22"/>
        </w:rPr>
      </w:pPr>
    </w:p>
    <w:p w14:paraId="655B70DE" w14:textId="77777777" w:rsidR="00212A5C" w:rsidRPr="006A16CF" w:rsidRDefault="00842B32" w:rsidP="009905FF">
      <w:pPr>
        <w:pStyle w:val="ListParagraph"/>
        <w:numPr>
          <w:ilvl w:val="1"/>
          <w:numId w:val="1"/>
        </w:numPr>
        <w:rPr>
          <w:sz w:val="22"/>
          <w:szCs w:val="22"/>
        </w:rPr>
      </w:pPr>
      <w:r w:rsidRPr="006A16CF">
        <w:rPr>
          <w:sz w:val="22"/>
          <w:szCs w:val="22"/>
        </w:rPr>
        <w:t>In paragraph 1</w:t>
      </w:r>
    </w:p>
    <w:p w14:paraId="0005E3C5" w14:textId="77777777" w:rsidR="009905FF" w:rsidRPr="006A16CF" w:rsidRDefault="009905FF" w:rsidP="009905FF">
      <w:pPr>
        <w:rPr>
          <w:rFonts w:ascii="Times New Roman" w:hAnsi="Times New Roman" w:cs="Times New Roman"/>
        </w:rPr>
      </w:pPr>
    </w:p>
    <w:p w14:paraId="7CFFBE5A" w14:textId="77777777" w:rsidR="00E01FBA" w:rsidRPr="006A16CF" w:rsidRDefault="00212A5C" w:rsidP="009905FF">
      <w:pPr>
        <w:pStyle w:val="SingleTxtG"/>
        <w:rPr>
          <w:sz w:val="22"/>
          <w:szCs w:val="22"/>
        </w:rPr>
      </w:pPr>
      <w:r w:rsidRPr="006A16CF">
        <w:rPr>
          <w:sz w:val="22"/>
          <w:szCs w:val="22"/>
        </w:rPr>
        <w:t xml:space="preserve">“Access to land is an important precondition for the realisation of several Covenant rights, particularly the rights to adequate food, water and housing as part of the right to an adequate standard of living, and the right </w:t>
      </w:r>
      <w:r w:rsidRPr="006A16CF">
        <w:rPr>
          <w:b/>
          <w:sz w:val="22"/>
          <w:szCs w:val="22"/>
          <w:u w:val="single"/>
        </w:rPr>
        <w:t>to</w:t>
      </w:r>
      <w:r w:rsidR="00926A40" w:rsidRPr="006A16CF">
        <w:rPr>
          <w:b/>
          <w:sz w:val="22"/>
          <w:szCs w:val="22"/>
          <w:u w:val="single"/>
        </w:rPr>
        <w:t xml:space="preserve"> the highest attainable standard of</w:t>
      </w:r>
      <w:r w:rsidR="00926A40" w:rsidRPr="006A16CF">
        <w:rPr>
          <w:sz w:val="22"/>
          <w:szCs w:val="22"/>
        </w:rPr>
        <w:t xml:space="preserve"> h</w:t>
      </w:r>
      <w:r w:rsidRPr="006A16CF">
        <w:rPr>
          <w:sz w:val="22"/>
          <w:szCs w:val="22"/>
        </w:rPr>
        <w:t>ealth, the protection against non-discrimination in several of the Covenant Rights</w:t>
      </w:r>
      <w:r w:rsidR="008810EC" w:rsidRPr="006A16CF">
        <w:rPr>
          <w:sz w:val="22"/>
          <w:szCs w:val="22"/>
        </w:rPr>
        <w:t>…”</w:t>
      </w:r>
    </w:p>
    <w:p w14:paraId="7A366EF7" w14:textId="77777777" w:rsidR="00212A5C" w:rsidRPr="006A16CF" w:rsidRDefault="00212A5C" w:rsidP="00630A6E">
      <w:pPr>
        <w:pStyle w:val="SingleTxtG"/>
        <w:ind w:left="360"/>
        <w:jc w:val="left"/>
        <w:rPr>
          <w:sz w:val="22"/>
          <w:szCs w:val="22"/>
        </w:rPr>
      </w:pPr>
    </w:p>
    <w:p w14:paraId="154BF37E" w14:textId="77777777" w:rsidR="0011237E" w:rsidRPr="006A16CF" w:rsidRDefault="0011237E" w:rsidP="00630A6E">
      <w:pPr>
        <w:pStyle w:val="ListParagraph"/>
        <w:numPr>
          <w:ilvl w:val="1"/>
          <w:numId w:val="1"/>
        </w:numPr>
        <w:rPr>
          <w:sz w:val="22"/>
          <w:szCs w:val="22"/>
        </w:rPr>
      </w:pPr>
      <w:r w:rsidRPr="006A16CF">
        <w:rPr>
          <w:sz w:val="22"/>
          <w:szCs w:val="22"/>
        </w:rPr>
        <w:t>In paragraph 9</w:t>
      </w:r>
    </w:p>
    <w:p w14:paraId="1DC8E2B2" w14:textId="77777777" w:rsidR="0011237E" w:rsidRPr="006A16CF" w:rsidRDefault="0011237E" w:rsidP="00630A6E">
      <w:pPr>
        <w:rPr>
          <w:rFonts w:ascii="Times New Roman" w:hAnsi="Times New Roman" w:cs="Times New Roman"/>
        </w:rPr>
      </w:pPr>
    </w:p>
    <w:p w14:paraId="3EAD89CD" w14:textId="77777777" w:rsidR="0011237E" w:rsidRPr="006A16CF" w:rsidRDefault="00842B32" w:rsidP="00630A6E">
      <w:pPr>
        <w:pStyle w:val="SingleTxtG"/>
        <w:rPr>
          <w:sz w:val="22"/>
          <w:szCs w:val="22"/>
        </w:rPr>
      </w:pPr>
      <w:r w:rsidRPr="006A16CF">
        <w:rPr>
          <w:sz w:val="22"/>
          <w:szCs w:val="22"/>
        </w:rPr>
        <w:t>“</w:t>
      </w:r>
      <w:r w:rsidR="0011237E" w:rsidRPr="006A16CF">
        <w:rPr>
          <w:sz w:val="22"/>
          <w:szCs w:val="22"/>
        </w:rPr>
        <w:t>Secure access to land is a preconditions for the enjoyment of several rights under the Covenant. The right to</w:t>
      </w:r>
      <w:r w:rsidR="00926A40" w:rsidRPr="006A16CF">
        <w:rPr>
          <w:sz w:val="22"/>
          <w:szCs w:val="22"/>
        </w:rPr>
        <w:t xml:space="preserve"> </w:t>
      </w:r>
      <w:r w:rsidR="00926A40" w:rsidRPr="006A16CF">
        <w:rPr>
          <w:b/>
          <w:sz w:val="22"/>
          <w:szCs w:val="22"/>
          <w:u w:val="single"/>
        </w:rPr>
        <w:t>adequate</w:t>
      </w:r>
      <w:r w:rsidR="0011237E" w:rsidRPr="006A16CF">
        <w:rPr>
          <w:sz w:val="22"/>
          <w:szCs w:val="22"/>
        </w:rPr>
        <w:t xml:space="preserve"> housing i.e. the availability, accessibility and affordability of housing. may be violated where people are evicted from land where they had built housing, whether informally or not. Such evictions can be done without respecting the requirements established by the Covenant, t</w:t>
      </w:r>
      <w:r w:rsidR="009905FF" w:rsidRPr="006A16CF">
        <w:rPr>
          <w:sz w:val="22"/>
          <w:szCs w:val="22"/>
        </w:rPr>
        <w:t>hat the Committee clarified in General C</w:t>
      </w:r>
      <w:r w:rsidR="0011237E" w:rsidRPr="006A16CF">
        <w:rPr>
          <w:sz w:val="22"/>
          <w:szCs w:val="22"/>
        </w:rPr>
        <w:t xml:space="preserve">omments No. 4 (1992) and No. 7 (1997). These standards have been further developed in the </w:t>
      </w:r>
      <w:r w:rsidR="0011237E" w:rsidRPr="006A16CF">
        <w:rPr>
          <w:rStyle w:val="Emphasis"/>
          <w:rFonts w:eastAsia="Times New Roman"/>
          <w:sz w:val="22"/>
          <w:szCs w:val="22"/>
        </w:rPr>
        <w:t>basic principles</w:t>
      </w:r>
      <w:r w:rsidR="0011237E" w:rsidRPr="006A16CF">
        <w:rPr>
          <w:rStyle w:val="st"/>
          <w:rFonts w:eastAsia="Times New Roman"/>
          <w:sz w:val="22"/>
          <w:szCs w:val="22"/>
        </w:rPr>
        <w:t xml:space="preserve"> and guidelines on </w:t>
      </w:r>
      <w:r w:rsidR="0011237E" w:rsidRPr="006A16CF">
        <w:rPr>
          <w:rStyle w:val="Emphasis"/>
          <w:rFonts w:eastAsia="Times New Roman"/>
          <w:sz w:val="22"/>
          <w:szCs w:val="22"/>
        </w:rPr>
        <w:t>development</w:t>
      </w:r>
      <w:r w:rsidR="0011237E" w:rsidRPr="006A16CF">
        <w:rPr>
          <w:rStyle w:val="st"/>
          <w:rFonts w:eastAsia="Times New Roman"/>
          <w:i/>
          <w:sz w:val="22"/>
          <w:szCs w:val="22"/>
        </w:rPr>
        <w:t>-</w:t>
      </w:r>
      <w:r w:rsidR="0011237E" w:rsidRPr="006A16CF">
        <w:rPr>
          <w:rStyle w:val="Emphasis"/>
          <w:rFonts w:eastAsia="Times New Roman"/>
          <w:sz w:val="22"/>
          <w:szCs w:val="22"/>
        </w:rPr>
        <w:t>based evictions</w:t>
      </w:r>
      <w:r w:rsidR="0011237E" w:rsidRPr="006A16CF">
        <w:rPr>
          <w:rStyle w:val="st"/>
          <w:rFonts w:eastAsia="Times New Roman"/>
          <w:sz w:val="22"/>
          <w:szCs w:val="22"/>
        </w:rPr>
        <w:t xml:space="preserve"> and displacement presented in 2007 by the Special Rapporteur on the right to adequate housing</w:t>
      </w:r>
      <w:r w:rsidR="0011237E" w:rsidRPr="006A16CF">
        <w:rPr>
          <w:sz w:val="22"/>
          <w:szCs w:val="22"/>
        </w:rPr>
        <w:t>.</w:t>
      </w:r>
      <w:r w:rsidR="00457166" w:rsidRPr="006A16CF">
        <w:rPr>
          <w:sz w:val="22"/>
          <w:szCs w:val="22"/>
        </w:rPr>
        <w:t xml:space="preserve">  </w:t>
      </w:r>
      <w:r w:rsidR="0011237E" w:rsidRPr="006A16CF">
        <w:rPr>
          <w:sz w:val="22"/>
          <w:szCs w:val="22"/>
        </w:rPr>
        <w:t>Access to land in urban areas is providing not only space for a shelter; household related areas and potentially a garden can also be a place for domestic work in the informal and formal economy as well as non-domestic work done in contexts at home. Houses in rural areas are built normally on the land plot which is also used for production purposes. The loss of such land therefore often affects the right to</w:t>
      </w:r>
      <w:r w:rsidR="00516A2F" w:rsidRPr="006A16CF">
        <w:rPr>
          <w:sz w:val="22"/>
          <w:szCs w:val="22"/>
        </w:rPr>
        <w:t xml:space="preserve"> </w:t>
      </w:r>
      <w:r w:rsidR="00926A40" w:rsidRPr="006A16CF">
        <w:rPr>
          <w:b/>
          <w:sz w:val="22"/>
          <w:szCs w:val="22"/>
          <w:u w:val="single"/>
        </w:rPr>
        <w:t>adequate</w:t>
      </w:r>
      <w:r w:rsidR="00926A40" w:rsidRPr="006A16CF">
        <w:rPr>
          <w:sz w:val="22"/>
          <w:szCs w:val="22"/>
        </w:rPr>
        <w:t xml:space="preserve"> h</w:t>
      </w:r>
      <w:r w:rsidR="0011237E" w:rsidRPr="006A16CF">
        <w:rPr>
          <w:sz w:val="22"/>
          <w:szCs w:val="22"/>
        </w:rPr>
        <w:t>ousing, the right t</w:t>
      </w:r>
      <w:r w:rsidR="00926A40" w:rsidRPr="006A16CF">
        <w:rPr>
          <w:sz w:val="22"/>
          <w:szCs w:val="22"/>
        </w:rPr>
        <w:t xml:space="preserve">o </w:t>
      </w:r>
      <w:r w:rsidR="00926A40" w:rsidRPr="006A16CF">
        <w:rPr>
          <w:b/>
          <w:sz w:val="22"/>
          <w:szCs w:val="22"/>
          <w:u w:val="single"/>
        </w:rPr>
        <w:t>adequate</w:t>
      </w:r>
      <w:r w:rsidR="00516A2F" w:rsidRPr="006A16CF">
        <w:rPr>
          <w:sz w:val="22"/>
          <w:szCs w:val="22"/>
        </w:rPr>
        <w:t xml:space="preserve"> </w:t>
      </w:r>
      <w:r w:rsidR="0011237E" w:rsidRPr="006A16CF">
        <w:rPr>
          <w:sz w:val="22"/>
          <w:szCs w:val="22"/>
        </w:rPr>
        <w:t xml:space="preserve">food </w:t>
      </w:r>
      <w:r w:rsidR="00212A5C" w:rsidRPr="006A16CF">
        <w:rPr>
          <w:sz w:val="22"/>
          <w:szCs w:val="22"/>
        </w:rPr>
        <w:t xml:space="preserve">or access to employment.” </w:t>
      </w:r>
    </w:p>
    <w:p w14:paraId="228C4DB9" w14:textId="77777777" w:rsidR="0011237E" w:rsidRPr="006A16CF" w:rsidRDefault="0011237E" w:rsidP="00630A6E">
      <w:pPr>
        <w:pStyle w:val="ListParagraph"/>
        <w:rPr>
          <w:sz w:val="22"/>
          <w:szCs w:val="22"/>
        </w:rPr>
      </w:pPr>
    </w:p>
    <w:p w14:paraId="7B8E7A49" w14:textId="77777777" w:rsidR="00212A5C" w:rsidRPr="006A16CF" w:rsidRDefault="0011237E" w:rsidP="00630A6E">
      <w:pPr>
        <w:pStyle w:val="ListParagraph"/>
        <w:numPr>
          <w:ilvl w:val="1"/>
          <w:numId w:val="1"/>
        </w:numPr>
        <w:rPr>
          <w:sz w:val="22"/>
          <w:szCs w:val="22"/>
        </w:rPr>
      </w:pPr>
      <w:r w:rsidRPr="006A16CF">
        <w:rPr>
          <w:sz w:val="22"/>
          <w:szCs w:val="22"/>
        </w:rPr>
        <w:t>In paragraph 10</w:t>
      </w:r>
      <w:r w:rsidR="00212A5C" w:rsidRPr="006A16CF">
        <w:rPr>
          <w:sz w:val="22"/>
          <w:szCs w:val="22"/>
        </w:rPr>
        <w:t xml:space="preserve"> </w:t>
      </w:r>
    </w:p>
    <w:p w14:paraId="23F638AF" w14:textId="77777777" w:rsidR="00212A5C" w:rsidRPr="006A16CF" w:rsidRDefault="00212A5C" w:rsidP="00630A6E">
      <w:pPr>
        <w:pStyle w:val="ListParagraph"/>
        <w:ind w:left="1080"/>
        <w:rPr>
          <w:sz w:val="22"/>
          <w:szCs w:val="22"/>
        </w:rPr>
      </w:pPr>
    </w:p>
    <w:p w14:paraId="37E95649" w14:textId="77777777" w:rsidR="0011237E" w:rsidRPr="006A16CF" w:rsidRDefault="00212A5C" w:rsidP="00630A6E">
      <w:pPr>
        <w:pStyle w:val="ListParagraph"/>
        <w:tabs>
          <w:tab w:val="left" w:pos="8222"/>
        </w:tabs>
        <w:ind w:left="1080" w:right="1138"/>
        <w:jc w:val="both"/>
        <w:rPr>
          <w:sz w:val="22"/>
          <w:szCs w:val="22"/>
        </w:rPr>
      </w:pPr>
      <w:r w:rsidRPr="006A16CF">
        <w:rPr>
          <w:sz w:val="22"/>
          <w:szCs w:val="22"/>
        </w:rPr>
        <w:t xml:space="preserve">“Ensuring secure access to land and related productive resources is crucial for guaranteeing the enjoyment of the right to adequate food. The enjoyment of right to </w:t>
      </w:r>
      <w:r w:rsidR="000D704D" w:rsidRPr="006A16CF">
        <w:rPr>
          <w:b/>
          <w:sz w:val="22"/>
          <w:szCs w:val="22"/>
          <w:u w:val="single"/>
        </w:rPr>
        <w:t>adequate</w:t>
      </w:r>
      <w:r w:rsidR="00516A2F" w:rsidRPr="006A16CF">
        <w:rPr>
          <w:sz w:val="22"/>
          <w:szCs w:val="22"/>
        </w:rPr>
        <w:t xml:space="preserve"> </w:t>
      </w:r>
      <w:r w:rsidRPr="006A16CF">
        <w:rPr>
          <w:sz w:val="22"/>
          <w:szCs w:val="22"/>
        </w:rPr>
        <w:t xml:space="preserve">food would be at risk where land users are deprived of the land on which they rely either to produce food for their own consumption, to feed their communities, or to produce for the markets.  </w:t>
      </w:r>
      <w:r w:rsidRPr="006A16CF" w:rsidDel="00531B1B">
        <w:rPr>
          <w:sz w:val="22"/>
          <w:szCs w:val="22"/>
        </w:rPr>
        <w:t>A</w:t>
      </w:r>
      <w:r w:rsidRPr="006A16CF">
        <w:rPr>
          <w:sz w:val="22"/>
          <w:szCs w:val="22"/>
        </w:rPr>
        <w:t xml:space="preserve">rticle 11 paragraph 2 (a) of the Covenant recognizes the connection between the right to </w:t>
      </w:r>
      <w:r w:rsidR="000D704D" w:rsidRPr="006A16CF">
        <w:rPr>
          <w:b/>
          <w:sz w:val="22"/>
          <w:szCs w:val="22"/>
          <w:u w:val="single"/>
        </w:rPr>
        <w:t>adequate</w:t>
      </w:r>
      <w:r w:rsidR="00516A2F" w:rsidRPr="006A16CF">
        <w:rPr>
          <w:sz w:val="22"/>
          <w:szCs w:val="22"/>
        </w:rPr>
        <w:t xml:space="preserve"> </w:t>
      </w:r>
      <w:r w:rsidRPr="006A16CF">
        <w:rPr>
          <w:sz w:val="22"/>
          <w:szCs w:val="22"/>
        </w:rPr>
        <w:t>food and the u</w:t>
      </w:r>
      <w:r w:rsidR="00075528" w:rsidRPr="006A16CF">
        <w:rPr>
          <w:sz w:val="22"/>
          <w:szCs w:val="22"/>
        </w:rPr>
        <w:t>tilization of natural resources…”</w:t>
      </w:r>
    </w:p>
    <w:p w14:paraId="0D9FF7A7" w14:textId="77777777" w:rsidR="00E01FBA" w:rsidRPr="006A16CF" w:rsidRDefault="00E01FBA" w:rsidP="00630A6E">
      <w:pPr>
        <w:rPr>
          <w:rFonts w:ascii="Times New Roman" w:hAnsi="Times New Roman" w:cs="Times New Roman"/>
        </w:rPr>
      </w:pPr>
    </w:p>
    <w:p w14:paraId="4CEC7FEF" w14:textId="77777777" w:rsidR="00867E5D" w:rsidRPr="006A16CF" w:rsidRDefault="0011237E" w:rsidP="00630A6E">
      <w:pPr>
        <w:pStyle w:val="ListParagraph"/>
        <w:numPr>
          <w:ilvl w:val="1"/>
          <w:numId w:val="1"/>
        </w:numPr>
        <w:rPr>
          <w:sz w:val="22"/>
          <w:szCs w:val="22"/>
        </w:rPr>
      </w:pPr>
      <w:r w:rsidRPr="006A16CF">
        <w:rPr>
          <w:sz w:val="22"/>
          <w:szCs w:val="22"/>
        </w:rPr>
        <w:t>In paragraph 11</w:t>
      </w:r>
    </w:p>
    <w:p w14:paraId="27F4CB7E" w14:textId="77777777" w:rsidR="00867E5D" w:rsidRPr="006A16CF" w:rsidRDefault="00867E5D" w:rsidP="00630A6E">
      <w:pPr>
        <w:pStyle w:val="ListParagraph"/>
        <w:ind w:left="1080"/>
        <w:rPr>
          <w:sz w:val="22"/>
          <w:szCs w:val="22"/>
        </w:rPr>
      </w:pPr>
    </w:p>
    <w:p w14:paraId="752F682D" w14:textId="77777777" w:rsidR="0011237E" w:rsidRPr="006A16CF" w:rsidRDefault="00867E5D" w:rsidP="00630A6E">
      <w:pPr>
        <w:pStyle w:val="ListParagraph"/>
        <w:ind w:left="1080" w:right="1138"/>
        <w:jc w:val="both"/>
        <w:rPr>
          <w:sz w:val="22"/>
          <w:szCs w:val="22"/>
        </w:rPr>
      </w:pPr>
      <w:r w:rsidRPr="006A16CF">
        <w:rPr>
          <w:sz w:val="22"/>
          <w:szCs w:val="22"/>
        </w:rPr>
        <w:t xml:space="preserve">“The right to water is infringed where communal grounds are enclosed, depriving people from access to water sources necessary to meet their daily needs. The right to </w:t>
      </w:r>
      <w:r w:rsidR="000D704D" w:rsidRPr="006A16CF">
        <w:rPr>
          <w:b/>
          <w:sz w:val="22"/>
          <w:szCs w:val="22"/>
          <w:u w:val="single"/>
        </w:rPr>
        <w:t>the highest attainable standard of</w:t>
      </w:r>
      <w:r w:rsidR="00516A2F" w:rsidRPr="006A16CF">
        <w:rPr>
          <w:color w:val="FF0000"/>
          <w:sz w:val="22"/>
          <w:szCs w:val="22"/>
        </w:rPr>
        <w:t xml:space="preserve"> </w:t>
      </w:r>
      <w:r w:rsidRPr="006A16CF">
        <w:rPr>
          <w:sz w:val="22"/>
          <w:szCs w:val="22"/>
        </w:rPr>
        <w:t xml:space="preserve">health may be affected where land is cultivated by industrial means, in particular with the use of pesticides. Other airborne compounds found on farms, such as dust, fertilizers and plant growth regulators, pollen, animal waste, and other micro-organisms, have been found to contribute to various respiratory diseases. When the loss of access to productive </w:t>
      </w:r>
      <w:r w:rsidRPr="006A16CF">
        <w:rPr>
          <w:sz w:val="22"/>
          <w:szCs w:val="22"/>
        </w:rPr>
        <w:lastRenderedPageBreak/>
        <w:t>resources reduces income and sufficient social security benefits are not available, several rights of the Covenant may be at risk, such as rights to</w:t>
      </w:r>
      <w:r w:rsidR="00516A2F" w:rsidRPr="006A16CF">
        <w:rPr>
          <w:sz w:val="22"/>
          <w:szCs w:val="22"/>
        </w:rPr>
        <w:t xml:space="preserve"> </w:t>
      </w:r>
      <w:r w:rsidR="000D704D" w:rsidRPr="006A16CF">
        <w:rPr>
          <w:b/>
          <w:sz w:val="22"/>
          <w:szCs w:val="22"/>
          <w:u w:val="single"/>
        </w:rPr>
        <w:t>adequate</w:t>
      </w:r>
      <w:r w:rsidRPr="006A16CF">
        <w:rPr>
          <w:sz w:val="22"/>
          <w:szCs w:val="22"/>
        </w:rPr>
        <w:t xml:space="preserve"> food, access to healthcare or social services that require payments.”</w:t>
      </w:r>
    </w:p>
    <w:p w14:paraId="36BC8A86" w14:textId="77777777" w:rsidR="0011237E" w:rsidRPr="006A16CF" w:rsidRDefault="0011237E" w:rsidP="00630A6E">
      <w:pPr>
        <w:rPr>
          <w:rFonts w:ascii="Times New Roman" w:hAnsi="Times New Roman" w:cs="Times New Roman"/>
        </w:rPr>
      </w:pPr>
    </w:p>
    <w:p w14:paraId="7A1AFA09" w14:textId="77777777" w:rsidR="00867E5D" w:rsidRPr="006A16CF" w:rsidRDefault="0011237E" w:rsidP="00630A6E">
      <w:pPr>
        <w:pStyle w:val="ListParagraph"/>
        <w:numPr>
          <w:ilvl w:val="1"/>
          <w:numId w:val="1"/>
        </w:numPr>
        <w:rPr>
          <w:sz w:val="22"/>
          <w:szCs w:val="22"/>
        </w:rPr>
      </w:pPr>
      <w:r w:rsidRPr="006A16CF">
        <w:rPr>
          <w:sz w:val="22"/>
          <w:szCs w:val="22"/>
        </w:rPr>
        <w:t>In paragraph</w:t>
      </w:r>
      <w:r w:rsidR="00867E5D" w:rsidRPr="006A16CF">
        <w:rPr>
          <w:sz w:val="22"/>
          <w:szCs w:val="22"/>
        </w:rPr>
        <w:t xml:space="preserve"> 19</w:t>
      </w:r>
    </w:p>
    <w:p w14:paraId="77F736C8" w14:textId="77777777" w:rsidR="00867E5D" w:rsidRPr="006A16CF" w:rsidRDefault="00867E5D" w:rsidP="00630A6E">
      <w:pPr>
        <w:pStyle w:val="ListParagraph"/>
        <w:ind w:left="1080"/>
        <w:rPr>
          <w:sz w:val="22"/>
          <w:szCs w:val="22"/>
        </w:rPr>
      </w:pPr>
    </w:p>
    <w:p w14:paraId="61FD9F40" w14:textId="77777777" w:rsidR="0011237E" w:rsidRPr="006A16CF" w:rsidRDefault="00867E5D" w:rsidP="00630A6E">
      <w:pPr>
        <w:pStyle w:val="ListParagraph"/>
        <w:ind w:left="1080" w:right="1138"/>
        <w:jc w:val="both"/>
        <w:rPr>
          <w:sz w:val="22"/>
          <w:szCs w:val="22"/>
        </w:rPr>
      </w:pPr>
      <w:r w:rsidRPr="006A16CF">
        <w:rPr>
          <w:sz w:val="22"/>
          <w:szCs w:val="22"/>
        </w:rPr>
        <w:t xml:space="preserve">“States parties shall recognize and respect existing access to land of all legitimate tenure right holders given that secure access to productive resources such as land is crucial to realize their right to </w:t>
      </w:r>
      <w:r w:rsidR="000D704D" w:rsidRPr="006A16CF">
        <w:rPr>
          <w:b/>
          <w:sz w:val="22"/>
          <w:szCs w:val="22"/>
          <w:u w:val="single"/>
        </w:rPr>
        <w:t>adequate</w:t>
      </w:r>
      <w:r w:rsidR="00516A2F" w:rsidRPr="006A16CF">
        <w:rPr>
          <w:sz w:val="22"/>
          <w:szCs w:val="22"/>
        </w:rPr>
        <w:t xml:space="preserve"> </w:t>
      </w:r>
      <w:r w:rsidRPr="006A16CF">
        <w:rPr>
          <w:sz w:val="22"/>
          <w:szCs w:val="22"/>
        </w:rPr>
        <w:t>food and</w:t>
      </w:r>
      <w:r w:rsidR="00075528" w:rsidRPr="006A16CF">
        <w:rPr>
          <w:sz w:val="22"/>
          <w:szCs w:val="22"/>
        </w:rPr>
        <w:t xml:space="preserve"> their right to</w:t>
      </w:r>
      <w:r w:rsidRPr="006A16CF">
        <w:rPr>
          <w:sz w:val="22"/>
          <w:szCs w:val="22"/>
        </w:rPr>
        <w:t xml:space="preserve"> </w:t>
      </w:r>
      <w:r w:rsidR="000D704D" w:rsidRPr="006A16CF">
        <w:rPr>
          <w:b/>
          <w:sz w:val="22"/>
          <w:szCs w:val="22"/>
          <w:u w:val="single"/>
        </w:rPr>
        <w:t>adequate</w:t>
      </w:r>
      <w:r w:rsidR="00516A2F" w:rsidRPr="006A16CF">
        <w:rPr>
          <w:sz w:val="22"/>
          <w:szCs w:val="22"/>
        </w:rPr>
        <w:t xml:space="preserve"> </w:t>
      </w:r>
      <w:r w:rsidRPr="006A16CF">
        <w:rPr>
          <w:sz w:val="22"/>
          <w:szCs w:val="22"/>
        </w:rPr>
        <w:t>housing, which requires safe access to a place or shelter…”</w:t>
      </w:r>
    </w:p>
    <w:p w14:paraId="59D3392F" w14:textId="77777777" w:rsidR="008810EC" w:rsidRPr="006A16CF" w:rsidRDefault="008810EC" w:rsidP="00630A6E">
      <w:pPr>
        <w:pStyle w:val="ListParagraph"/>
        <w:ind w:left="1080" w:right="1138"/>
        <w:jc w:val="both"/>
        <w:rPr>
          <w:sz w:val="22"/>
          <w:szCs w:val="22"/>
        </w:rPr>
      </w:pPr>
    </w:p>
    <w:p w14:paraId="17459F3C" w14:textId="77777777" w:rsidR="0011237E" w:rsidRPr="006A16CF" w:rsidRDefault="0011237E" w:rsidP="00630A6E">
      <w:pPr>
        <w:rPr>
          <w:rFonts w:ascii="Times New Roman" w:hAnsi="Times New Roman" w:cs="Times New Roman"/>
        </w:rPr>
      </w:pPr>
    </w:p>
    <w:p w14:paraId="64FA8E7F" w14:textId="77777777" w:rsidR="00075528" w:rsidRPr="006A16CF" w:rsidRDefault="00075528" w:rsidP="00630A6E">
      <w:pPr>
        <w:pStyle w:val="ListParagraph"/>
        <w:numPr>
          <w:ilvl w:val="1"/>
          <w:numId w:val="1"/>
        </w:numPr>
        <w:rPr>
          <w:sz w:val="22"/>
          <w:szCs w:val="22"/>
        </w:rPr>
      </w:pPr>
      <w:r w:rsidRPr="006A16CF">
        <w:rPr>
          <w:sz w:val="22"/>
          <w:szCs w:val="22"/>
        </w:rPr>
        <w:t>In paragraph 34</w:t>
      </w:r>
    </w:p>
    <w:p w14:paraId="7B3985D6" w14:textId="77777777" w:rsidR="00075528" w:rsidRPr="006A16CF" w:rsidRDefault="00075528" w:rsidP="00630A6E">
      <w:pPr>
        <w:pStyle w:val="ListParagraph"/>
        <w:ind w:left="1080"/>
        <w:rPr>
          <w:sz w:val="22"/>
          <w:szCs w:val="22"/>
        </w:rPr>
      </w:pPr>
    </w:p>
    <w:p w14:paraId="68D04B91" w14:textId="77777777" w:rsidR="00457166" w:rsidRPr="006A16CF" w:rsidRDefault="00457166" w:rsidP="00457166">
      <w:pPr>
        <w:pStyle w:val="ListParagraph"/>
        <w:ind w:left="1080" w:right="1138"/>
        <w:jc w:val="both"/>
        <w:rPr>
          <w:color w:val="FF0000"/>
          <w:sz w:val="22"/>
          <w:szCs w:val="22"/>
        </w:rPr>
      </w:pPr>
      <w:r w:rsidRPr="006A16CF">
        <w:rPr>
          <w:sz w:val="22"/>
          <w:szCs w:val="22"/>
          <w:lang w:eastAsia="de-DE"/>
        </w:rPr>
        <w:t xml:space="preserve">“States parties must </w:t>
      </w:r>
      <w:r w:rsidRPr="006A16CF">
        <w:rPr>
          <w:sz w:val="22"/>
          <w:szCs w:val="22"/>
        </w:rPr>
        <w:t xml:space="preserve">facilitate secure, equitable and sustainable access to, use of and control over land </w:t>
      </w:r>
      <w:r w:rsidRPr="006A16CF">
        <w:rPr>
          <w:sz w:val="22"/>
          <w:szCs w:val="22"/>
          <w:lang w:eastAsia="de-DE"/>
        </w:rPr>
        <w:t xml:space="preserve">for those who are landless or live in poverty, especially women and marginalised sections of society, who depend on them to realise their economic, social and cultural rights, such as the rights to </w:t>
      </w:r>
      <w:r w:rsidRPr="006A16CF">
        <w:rPr>
          <w:b/>
          <w:sz w:val="22"/>
          <w:szCs w:val="22"/>
          <w:u w:val="single"/>
          <w:lang w:eastAsia="de-DE"/>
        </w:rPr>
        <w:t>adequate</w:t>
      </w:r>
      <w:r w:rsidRPr="006A16CF">
        <w:rPr>
          <w:sz w:val="22"/>
          <w:szCs w:val="22"/>
          <w:lang w:eastAsia="de-DE"/>
        </w:rPr>
        <w:t xml:space="preserve"> food, </w:t>
      </w:r>
      <w:r w:rsidRPr="006A16CF">
        <w:rPr>
          <w:b/>
          <w:sz w:val="22"/>
          <w:szCs w:val="22"/>
          <w:u w:val="single"/>
          <w:lang w:eastAsia="de-DE"/>
        </w:rPr>
        <w:t>adequate</w:t>
      </w:r>
      <w:r w:rsidRPr="006A16CF">
        <w:rPr>
          <w:sz w:val="22"/>
          <w:szCs w:val="22"/>
          <w:lang w:eastAsia="de-DE"/>
        </w:rPr>
        <w:t xml:space="preserve"> housing </w:t>
      </w:r>
      <w:r w:rsidRPr="006A16CF">
        <w:rPr>
          <w:sz w:val="22"/>
          <w:szCs w:val="22"/>
        </w:rPr>
        <w:t>and adequate standard of living…”</w:t>
      </w:r>
    </w:p>
    <w:p w14:paraId="19EFD803" w14:textId="77777777" w:rsidR="00075528" w:rsidRPr="006A16CF" w:rsidRDefault="00075528" w:rsidP="00630A6E">
      <w:pPr>
        <w:pStyle w:val="ListParagraph"/>
        <w:ind w:left="1080" w:right="1138"/>
        <w:jc w:val="both"/>
        <w:rPr>
          <w:color w:val="FF0000"/>
          <w:sz w:val="22"/>
          <w:szCs w:val="22"/>
        </w:rPr>
      </w:pPr>
    </w:p>
    <w:p w14:paraId="213EB8DE" w14:textId="77777777" w:rsidR="001D6E7D" w:rsidRPr="006A16CF" w:rsidRDefault="001D6E7D" w:rsidP="003F280B">
      <w:pPr>
        <w:rPr>
          <w:rFonts w:ascii="Times New Roman" w:hAnsi="Times New Roman" w:cs="Times New Roman"/>
        </w:rPr>
      </w:pPr>
    </w:p>
    <w:p w14:paraId="7E46E4F3" w14:textId="77777777" w:rsidR="003F280B" w:rsidRPr="006A16CF" w:rsidRDefault="003F280B" w:rsidP="005C5914">
      <w:pPr>
        <w:pStyle w:val="ListParagraph"/>
        <w:numPr>
          <w:ilvl w:val="0"/>
          <w:numId w:val="1"/>
        </w:numPr>
        <w:rPr>
          <w:rFonts w:eastAsia="Arial Unicode MS"/>
          <w:sz w:val="22"/>
          <w:szCs w:val="22"/>
        </w:rPr>
      </w:pPr>
      <w:r w:rsidRPr="006A16CF">
        <w:rPr>
          <w:rFonts w:eastAsia="Arial Unicode MS"/>
          <w:sz w:val="22"/>
          <w:szCs w:val="22"/>
        </w:rPr>
        <w:t xml:space="preserve">Right to Water:  </w:t>
      </w:r>
      <w:r w:rsidR="00516A2F" w:rsidRPr="006A16CF">
        <w:rPr>
          <w:rFonts w:eastAsia="Arial Unicode MS"/>
          <w:sz w:val="22"/>
          <w:szCs w:val="22"/>
        </w:rPr>
        <w:t>As the right to water is referenced in paragraph 11,</w:t>
      </w:r>
      <w:r w:rsidR="000D704D" w:rsidRPr="006A16CF">
        <w:rPr>
          <w:rFonts w:eastAsia="Arial Unicode MS"/>
          <w:sz w:val="22"/>
          <w:szCs w:val="22"/>
        </w:rPr>
        <w:t xml:space="preserve"> </w:t>
      </w:r>
      <w:r w:rsidRPr="006A16CF">
        <w:rPr>
          <w:rFonts w:eastAsia="Arial Unicode MS"/>
          <w:sz w:val="22"/>
          <w:szCs w:val="22"/>
        </w:rPr>
        <w:t>Canada</w:t>
      </w:r>
      <w:r w:rsidR="00516A2F" w:rsidRPr="006A16CF">
        <w:rPr>
          <w:rFonts w:eastAsia="Arial Unicode MS"/>
          <w:sz w:val="22"/>
          <w:szCs w:val="22"/>
        </w:rPr>
        <w:t xml:space="preserve"> would like to clarify that it</w:t>
      </w:r>
      <w:r w:rsidRPr="006A16CF">
        <w:rPr>
          <w:rFonts w:eastAsia="Arial Unicode MS"/>
          <w:sz w:val="22"/>
          <w:szCs w:val="22"/>
        </w:rPr>
        <w:t xml:space="preserve"> </w:t>
      </w:r>
      <w:r w:rsidR="005C5914" w:rsidRPr="006A16CF">
        <w:rPr>
          <w:rFonts w:eastAsia="Arial Unicode MS"/>
          <w:sz w:val="22"/>
          <w:szCs w:val="22"/>
        </w:rPr>
        <w:t>interprets the right to water to mean the</w:t>
      </w:r>
      <w:r w:rsidRPr="006A16CF">
        <w:rPr>
          <w:rFonts w:eastAsia="Arial Unicode MS"/>
          <w:sz w:val="22"/>
          <w:szCs w:val="22"/>
        </w:rPr>
        <w:t xml:space="preserve"> human right of everyone to safe drinking water and basic sanitation as essential to the right to an adequate standard of living, and therefore, implicit under Article 11 of the Covenant.  Canada interprets the right to safe drinking water and basic sanitation as the right to a sufficient quantity and safe quality of reasonably affordable and accessible water for personal and domestic uses and to basic sanitation that is safe and hygienic. Canada further recognizes that the right to safe drinking water and basic sanitation does not encompass trans-boundary water issues including bulk water trade, nor any mandatory allocation of international development assistance.   Canada undertakes to continue efforts </w:t>
      </w:r>
      <w:r w:rsidR="00516A2F" w:rsidRPr="006A16CF">
        <w:rPr>
          <w:rFonts w:eastAsia="Arial Unicode MS"/>
          <w:sz w:val="22"/>
          <w:szCs w:val="22"/>
        </w:rPr>
        <w:t xml:space="preserve">domestically </w:t>
      </w:r>
      <w:r w:rsidRPr="006A16CF">
        <w:rPr>
          <w:rFonts w:eastAsia="Arial Unicode MS"/>
          <w:sz w:val="22"/>
          <w:szCs w:val="22"/>
        </w:rPr>
        <w:t>towards the progr</w:t>
      </w:r>
      <w:r w:rsidR="00516A2F" w:rsidRPr="006A16CF">
        <w:rPr>
          <w:rFonts w:eastAsia="Arial Unicode MS"/>
          <w:sz w:val="22"/>
          <w:szCs w:val="22"/>
        </w:rPr>
        <w:t xml:space="preserve">essive realization </w:t>
      </w:r>
      <w:r w:rsidRPr="006A16CF">
        <w:rPr>
          <w:rFonts w:eastAsia="Arial Unicode MS"/>
          <w:sz w:val="22"/>
          <w:szCs w:val="22"/>
        </w:rPr>
        <w:t>of the human right to safe dri</w:t>
      </w:r>
      <w:r w:rsidR="00516A2F" w:rsidRPr="006A16CF">
        <w:rPr>
          <w:rFonts w:eastAsia="Arial Unicode MS"/>
          <w:sz w:val="22"/>
          <w:szCs w:val="22"/>
        </w:rPr>
        <w:t>nking water and basic sanitation</w:t>
      </w:r>
      <w:r w:rsidRPr="006A16CF">
        <w:rPr>
          <w:rFonts w:eastAsia="Arial Unicode MS"/>
          <w:sz w:val="22"/>
          <w:szCs w:val="22"/>
        </w:rPr>
        <w:t xml:space="preserve">.  </w:t>
      </w:r>
    </w:p>
    <w:p w14:paraId="00CA4959" w14:textId="77777777" w:rsidR="001D6E7D" w:rsidRPr="006A16CF" w:rsidRDefault="001D6E7D" w:rsidP="001D6E7D">
      <w:pPr>
        <w:pStyle w:val="ListParagraph"/>
        <w:ind w:left="360"/>
        <w:rPr>
          <w:sz w:val="22"/>
          <w:szCs w:val="22"/>
        </w:rPr>
      </w:pPr>
    </w:p>
    <w:p w14:paraId="6B6C939A" w14:textId="77777777" w:rsidR="007A746D" w:rsidRPr="006A16CF" w:rsidRDefault="007A746D" w:rsidP="00630A6E">
      <w:pPr>
        <w:pStyle w:val="ListParagraph"/>
        <w:numPr>
          <w:ilvl w:val="0"/>
          <w:numId w:val="1"/>
        </w:numPr>
        <w:rPr>
          <w:sz w:val="22"/>
          <w:szCs w:val="22"/>
        </w:rPr>
      </w:pPr>
      <w:r w:rsidRPr="006A16CF">
        <w:rPr>
          <w:sz w:val="22"/>
          <w:szCs w:val="22"/>
        </w:rPr>
        <w:t>Livelihood rights</w:t>
      </w:r>
      <w:r w:rsidR="00877EC9" w:rsidRPr="006A16CF">
        <w:rPr>
          <w:sz w:val="22"/>
          <w:szCs w:val="22"/>
        </w:rPr>
        <w:t xml:space="preserve">: </w:t>
      </w:r>
      <w:r w:rsidR="001D6E7D" w:rsidRPr="006A16CF">
        <w:rPr>
          <w:sz w:val="22"/>
          <w:szCs w:val="22"/>
        </w:rPr>
        <w:t>There is no agreed concept or definition of</w:t>
      </w:r>
      <w:r w:rsidR="00C432DF" w:rsidRPr="006A16CF">
        <w:rPr>
          <w:sz w:val="22"/>
          <w:szCs w:val="22"/>
        </w:rPr>
        <w:t xml:space="preserve"> livelihood rights in international</w:t>
      </w:r>
      <w:r w:rsidR="001D6E7D" w:rsidRPr="006A16CF">
        <w:rPr>
          <w:sz w:val="22"/>
          <w:szCs w:val="22"/>
        </w:rPr>
        <w:t xml:space="preserve"> human rights</w:t>
      </w:r>
      <w:r w:rsidR="00C432DF" w:rsidRPr="006A16CF">
        <w:rPr>
          <w:sz w:val="22"/>
          <w:szCs w:val="22"/>
        </w:rPr>
        <w:t xml:space="preserve"> law.  Canada suggest removing the word “rights” after livelihood in paragraphs 18 and 52</w:t>
      </w:r>
      <w:r w:rsidR="00926A40" w:rsidRPr="006A16CF">
        <w:rPr>
          <w:sz w:val="22"/>
          <w:szCs w:val="22"/>
        </w:rPr>
        <w:t>, which is also consistent with the other r</w:t>
      </w:r>
      <w:r w:rsidR="009D24B8" w:rsidRPr="006A16CF">
        <w:rPr>
          <w:sz w:val="22"/>
          <w:szCs w:val="22"/>
        </w:rPr>
        <w:t>eferences to livelihood in the D</w:t>
      </w:r>
      <w:r w:rsidR="00926A40" w:rsidRPr="006A16CF">
        <w:rPr>
          <w:sz w:val="22"/>
          <w:szCs w:val="22"/>
        </w:rPr>
        <w:t>raft General Comment.</w:t>
      </w:r>
    </w:p>
    <w:p w14:paraId="3F676499" w14:textId="77777777" w:rsidR="007A746D" w:rsidRPr="006A16CF" w:rsidRDefault="007A746D" w:rsidP="00630A6E">
      <w:pPr>
        <w:rPr>
          <w:rFonts w:ascii="Times New Roman" w:hAnsi="Times New Roman" w:cs="Times New Roman"/>
          <w:b/>
          <w:i/>
        </w:rPr>
      </w:pPr>
    </w:p>
    <w:p w14:paraId="7C8B04F0" w14:textId="77777777" w:rsidR="007A746D" w:rsidRPr="006A16CF" w:rsidRDefault="001D6E7D" w:rsidP="00630A6E">
      <w:pPr>
        <w:rPr>
          <w:rFonts w:ascii="Times New Roman" w:hAnsi="Times New Roman" w:cs="Times New Roman"/>
          <w:b/>
          <w:i/>
        </w:rPr>
      </w:pPr>
      <w:r w:rsidRPr="006A16CF">
        <w:rPr>
          <w:rFonts w:ascii="Times New Roman" w:hAnsi="Times New Roman" w:cs="Times New Roman"/>
          <w:b/>
          <w:i/>
        </w:rPr>
        <w:t>Concl</w:t>
      </w:r>
      <w:r w:rsidR="007A746D" w:rsidRPr="006A16CF">
        <w:rPr>
          <w:rFonts w:ascii="Times New Roman" w:hAnsi="Times New Roman" w:cs="Times New Roman"/>
          <w:b/>
          <w:i/>
        </w:rPr>
        <w:t>usion</w:t>
      </w:r>
    </w:p>
    <w:p w14:paraId="7C4976B3" w14:textId="77777777" w:rsidR="007A746D" w:rsidRPr="006A16CF" w:rsidRDefault="007A746D" w:rsidP="00630A6E">
      <w:pPr>
        <w:rPr>
          <w:rFonts w:ascii="Times New Roman" w:hAnsi="Times New Roman" w:cs="Times New Roman"/>
        </w:rPr>
      </w:pPr>
    </w:p>
    <w:p w14:paraId="295BB9A0" w14:textId="77777777" w:rsidR="00E01FBA" w:rsidRPr="006A16CF" w:rsidRDefault="00E01FBA" w:rsidP="00630A6E">
      <w:pPr>
        <w:pStyle w:val="ListParagraph"/>
        <w:numPr>
          <w:ilvl w:val="0"/>
          <w:numId w:val="1"/>
        </w:numPr>
        <w:rPr>
          <w:sz w:val="22"/>
          <w:szCs w:val="22"/>
        </w:rPr>
      </w:pPr>
      <w:r w:rsidRPr="006A16CF">
        <w:rPr>
          <w:sz w:val="22"/>
          <w:szCs w:val="22"/>
        </w:rPr>
        <w:t>In conclusion, Canada reiterates its appreciation of the opportunity to review the Draft General Comment, and more generally its support for the work of the Committee. Canada avails itself of the opportunity to renew to the Committee the assurances of its highest consideration.</w:t>
      </w:r>
    </w:p>
    <w:p w14:paraId="218176D3" w14:textId="2FC3460A" w:rsidR="00E01FBA" w:rsidRPr="006A16CF" w:rsidRDefault="00E01FBA" w:rsidP="00630A6E">
      <w:pPr>
        <w:rPr>
          <w:rFonts w:ascii="Times New Roman" w:hAnsi="Times New Roman" w:cs="Times New Roman"/>
        </w:rPr>
      </w:pPr>
    </w:p>
    <w:p w14:paraId="7EB84A59" w14:textId="77777777" w:rsidR="00E01FBA" w:rsidRPr="006A16CF" w:rsidRDefault="00E01FBA" w:rsidP="00630A6E">
      <w:pPr>
        <w:ind w:left="5040" w:firstLine="720"/>
        <w:rPr>
          <w:rFonts w:ascii="Times New Roman" w:hAnsi="Times New Roman" w:cs="Times New Roman"/>
          <w:b/>
        </w:rPr>
      </w:pPr>
      <w:r w:rsidRPr="006A16CF">
        <w:rPr>
          <w:rFonts w:ascii="Times New Roman" w:hAnsi="Times New Roman" w:cs="Times New Roman"/>
        </w:rPr>
        <w:t>Ottawa</w:t>
      </w:r>
      <w:r w:rsidRPr="006A16CF">
        <w:rPr>
          <w:rFonts w:ascii="Times New Roman" w:hAnsi="Times New Roman" w:cs="Times New Roman"/>
        </w:rPr>
        <w:tab/>
      </w:r>
      <w:r w:rsidRPr="006A16CF">
        <w:rPr>
          <w:rFonts w:ascii="Times New Roman" w:hAnsi="Times New Roman" w:cs="Times New Roman"/>
        </w:rPr>
        <w:tab/>
      </w:r>
      <w:r w:rsidRPr="006A16CF">
        <w:rPr>
          <w:rFonts w:ascii="Times New Roman" w:hAnsi="Times New Roman" w:cs="Times New Roman"/>
        </w:rPr>
        <w:tab/>
      </w:r>
    </w:p>
    <w:p w14:paraId="7F094664" w14:textId="78063456" w:rsidR="00E01FBA" w:rsidRPr="006A16CF" w:rsidRDefault="00B37F8B" w:rsidP="00630A6E">
      <w:pPr>
        <w:ind w:left="5040" w:firstLine="720"/>
        <w:rPr>
          <w:rFonts w:ascii="Times New Roman" w:hAnsi="Times New Roman" w:cs="Times New Roman"/>
        </w:rPr>
      </w:pPr>
      <w:r w:rsidRPr="006A16CF">
        <w:rPr>
          <w:rFonts w:ascii="Times New Roman" w:hAnsi="Times New Roman" w:cs="Times New Roman"/>
        </w:rPr>
        <w:t>14 August</w:t>
      </w:r>
      <w:r w:rsidR="00A25FE3" w:rsidRPr="006A16CF">
        <w:rPr>
          <w:rFonts w:ascii="Times New Roman" w:hAnsi="Times New Roman" w:cs="Times New Roman"/>
        </w:rPr>
        <w:t xml:space="preserve"> 2021</w:t>
      </w:r>
      <w:r w:rsidR="00E01FBA" w:rsidRPr="006A16CF">
        <w:rPr>
          <w:rFonts w:ascii="Times New Roman" w:hAnsi="Times New Roman" w:cs="Times New Roman"/>
        </w:rPr>
        <w:tab/>
      </w:r>
    </w:p>
    <w:p w14:paraId="21DE7985" w14:textId="77777777" w:rsidR="00E01FBA" w:rsidRPr="00457166" w:rsidRDefault="00E01FBA">
      <w:pPr>
        <w:rPr>
          <w:rFonts w:ascii="Times New Roman" w:hAnsi="Times New Roman" w:cs="Times New Roman"/>
        </w:rPr>
      </w:pPr>
    </w:p>
    <w:p w14:paraId="6EE89B49" w14:textId="77777777" w:rsidR="00461EC6" w:rsidRPr="00877EC9" w:rsidRDefault="00461EC6">
      <w:pPr>
        <w:rPr>
          <w:rFonts w:ascii="Times New Roman" w:hAnsi="Times New Roman" w:cs="Times New Roman"/>
          <w:lang w:val="en-US"/>
        </w:rPr>
      </w:pPr>
    </w:p>
    <w:sectPr w:rsidR="00461EC6" w:rsidRPr="00877E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F51B3" w14:textId="77777777" w:rsidR="008E1BB9" w:rsidRDefault="008E1BB9" w:rsidP="00E01FBA">
      <w:r>
        <w:separator/>
      </w:r>
    </w:p>
  </w:endnote>
  <w:endnote w:type="continuationSeparator" w:id="0">
    <w:p w14:paraId="3034B543" w14:textId="77777777" w:rsidR="008E1BB9" w:rsidRDefault="008E1BB9" w:rsidP="00E0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FB1F" w14:textId="77777777" w:rsidR="008E1BB9" w:rsidRDefault="008E1BB9" w:rsidP="00E01FBA">
      <w:r>
        <w:separator/>
      </w:r>
    </w:p>
  </w:footnote>
  <w:footnote w:type="continuationSeparator" w:id="0">
    <w:p w14:paraId="5D0B2D60" w14:textId="77777777" w:rsidR="008E1BB9" w:rsidRDefault="008E1BB9" w:rsidP="00E01FBA">
      <w:r>
        <w:continuationSeparator/>
      </w:r>
    </w:p>
  </w:footnote>
  <w:footnote w:id="1">
    <w:p w14:paraId="5BEDECEA" w14:textId="37544FAF" w:rsidR="001837A4" w:rsidRPr="008B34B3" w:rsidRDefault="001837A4" w:rsidP="008B34B3">
      <w:pPr>
        <w:pStyle w:val="ListParagraph"/>
        <w:ind w:left="360"/>
        <w:rPr>
          <w:rFonts w:ascii="Calibri" w:hAnsi="Calibri"/>
          <w:sz w:val="20"/>
          <w:szCs w:val="20"/>
          <w:lang w:val="en-US"/>
        </w:rPr>
      </w:pPr>
      <w:r w:rsidRPr="008B34B3">
        <w:rPr>
          <w:rStyle w:val="FootnoteReference"/>
          <w:sz w:val="20"/>
          <w:szCs w:val="20"/>
        </w:rPr>
        <w:footnoteRef/>
      </w:r>
      <w:r w:rsidRPr="008B34B3">
        <w:rPr>
          <w:sz w:val="20"/>
          <w:szCs w:val="20"/>
        </w:rPr>
        <w:t xml:space="preserve"> </w:t>
      </w:r>
      <w:r w:rsidRPr="008B34B3">
        <w:rPr>
          <w:sz w:val="20"/>
          <w:szCs w:val="20"/>
          <w:lang w:val="en-US"/>
        </w:rPr>
        <w:t xml:space="preserve">In </w:t>
      </w:r>
      <w:r w:rsidRPr="008B34B3">
        <w:rPr>
          <w:i/>
          <w:iCs/>
          <w:sz w:val="20"/>
          <w:szCs w:val="20"/>
          <w:lang w:val="en-US"/>
        </w:rPr>
        <w:t>Tsilhqot’in</w:t>
      </w:r>
      <w:r w:rsidR="008B34B3" w:rsidRPr="008B34B3">
        <w:rPr>
          <w:i/>
          <w:iCs/>
          <w:sz w:val="20"/>
          <w:szCs w:val="20"/>
          <w:lang w:val="en-US"/>
        </w:rPr>
        <w:t xml:space="preserve"> Nation v. British Columbia</w:t>
      </w:r>
      <w:r w:rsidRPr="008B34B3">
        <w:rPr>
          <w:sz w:val="20"/>
          <w:szCs w:val="20"/>
          <w:lang w:val="en-US"/>
        </w:rPr>
        <w:t xml:space="preserve">, </w:t>
      </w:r>
      <w:r w:rsidR="008B34B3" w:rsidRPr="008B34B3">
        <w:rPr>
          <w:sz w:val="20"/>
          <w:szCs w:val="20"/>
          <w:lang w:val="en-US"/>
        </w:rPr>
        <w:t xml:space="preserve">2014 SCC 44, </w:t>
      </w:r>
      <w:r w:rsidRPr="008B34B3">
        <w:rPr>
          <w:sz w:val="20"/>
          <w:szCs w:val="20"/>
          <w:lang w:val="en-US"/>
        </w:rPr>
        <w:t xml:space="preserve">the Supreme Court of Canada held that where Aboriginal title is established, government must aim to see the consent of title holders to proceed with activities on Aboriginal title lands. If consent cannot be obtained, government can only proceed </w:t>
      </w:r>
      <w:r w:rsidR="008B34B3" w:rsidRPr="008B34B3">
        <w:rPr>
          <w:sz w:val="20"/>
          <w:szCs w:val="20"/>
          <w:lang w:val="en-US"/>
        </w:rPr>
        <w:t xml:space="preserve">if an infringement is justified in the public interest. </w:t>
      </w:r>
      <w:r w:rsidRPr="008B34B3">
        <w:rPr>
          <w:sz w:val="20"/>
          <w:szCs w:val="20"/>
          <w:lang w:val="en-US"/>
        </w:rPr>
        <w:t>As part o</w:t>
      </w:r>
      <w:r w:rsidR="000E1918">
        <w:rPr>
          <w:sz w:val="20"/>
          <w:szCs w:val="20"/>
          <w:lang w:val="en-US"/>
        </w:rPr>
        <w:t xml:space="preserve">f that justification, the Government </w:t>
      </w:r>
      <w:r w:rsidR="008B34B3" w:rsidRPr="008B34B3">
        <w:rPr>
          <w:sz w:val="20"/>
          <w:szCs w:val="20"/>
          <w:lang w:val="en-US"/>
        </w:rPr>
        <w:t xml:space="preserve">must </w:t>
      </w:r>
      <w:r w:rsidRPr="008B34B3">
        <w:rPr>
          <w:sz w:val="20"/>
          <w:szCs w:val="20"/>
          <w:lang w:val="en-US"/>
        </w:rPr>
        <w:t>demonstrate that it eng</w:t>
      </w:r>
      <w:r w:rsidR="008B34B3" w:rsidRPr="008B34B3">
        <w:rPr>
          <w:sz w:val="20"/>
          <w:szCs w:val="20"/>
          <w:lang w:val="en-US"/>
        </w:rPr>
        <w:t>aged in meaningful consultation and accommodation,</w:t>
      </w:r>
      <w:r w:rsidRPr="008B34B3">
        <w:rPr>
          <w:sz w:val="20"/>
          <w:szCs w:val="20"/>
          <w:lang w:val="en-US"/>
        </w:rPr>
        <w:t xml:space="preserve"> </w:t>
      </w:r>
      <w:r w:rsidR="008B34B3" w:rsidRPr="008B34B3">
        <w:rPr>
          <w:sz w:val="20"/>
          <w:szCs w:val="20"/>
          <w:lang w:val="en-US"/>
        </w:rPr>
        <w:t>that its actions must be supported by a compelling and substantial objective, and that its actions must be consistent with its fiduciary obligation to the Aboriginal body in question.</w:t>
      </w:r>
    </w:p>
    <w:p w14:paraId="51A6A2A6" w14:textId="77777777" w:rsidR="001837A4" w:rsidRPr="001837A4" w:rsidRDefault="001837A4">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831"/>
    <w:multiLevelType w:val="hybridMultilevel"/>
    <w:tmpl w:val="E730AAD4"/>
    <w:lvl w:ilvl="0" w:tplc="AD6EEF7C">
      <w:start w:val="1"/>
      <w:numFmt w:val="decimal"/>
      <w:lvlText w:val="(%1)"/>
      <w:lvlJc w:val="left"/>
      <w:pPr>
        <w:ind w:left="408" w:hanging="360"/>
      </w:pPr>
      <w:rPr>
        <w:rFonts w:hint="default"/>
        <w:i w:val="0"/>
      </w:rPr>
    </w:lvl>
    <w:lvl w:ilvl="1" w:tplc="10090019" w:tentative="1">
      <w:start w:val="1"/>
      <w:numFmt w:val="lowerLetter"/>
      <w:lvlText w:val="%2."/>
      <w:lvlJc w:val="left"/>
      <w:pPr>
        <w:ind w:left="1128" w:hanging="360"/>
      </w:pPr>
    </w:lvl>
    <w:lvl w:ilvl="2" w:tplc="1009001B" w:tentative="1">
      <w:start w:val="1"/>
      <w:numFmt w:val="lowerRoman"/>
      <w:lvlText w:val="%3."/>
      <w:lvlJc w:val="right"/>
      <w:pPr>
        <w:ind w:left="1848" w:hanging="180"/>
      </w:pPr>
    </w:lvl>
    <w:lvl w:ilvl="3" w:tplc="1009000F" w:tentative="1">
      <w:start w:val="1"/>
      <w:numFmt w:val="decimal"/>
      <w:lvlText w:val="%4."/>
      <w:lvlJc w:val="left"/>
      <w:pPr>
        <w:ind w:left="2568" w:hanging="360"/>
      </w:pPr>
    </w:lvl>
    <w:lvl w:ilvl="4" w:tplc="10090019" w:tentative="1">
      <w:start w:val="1"/>
      <w:numFmt w:val="lowerLetter"/>
      <w:lvlText w:val="%5."/>
      <w:lvlJc w:val="left"/>
      <w:pPr>
        <w:ind w:left="3288" w:hanging="360"/>
      </w:pPr>
    </w:lvl>
    <w:lvl w:ilvl="5" w:tplc="1009001B" w:tentative="1">
      <w:start w:val="1"/>
      <w:numFmt w:val="lowerRoman"/>
      <w:lvlText w:val="%6."/>
      <w:lvlJc w:val="right"/>
      <w:pPr>
        <w:ind w:left="4008" w:hanging="180"/>
      </w:pPr>
    </w:lvl>
    <w:lvl w:ilvl="6" w:tplc="1009000F" w:tentative="1">
      <w:start w:val="1"/>
      <w:numFmt w:val="decimal"/>
      <w:lvlText w:val="%7."/>
      <w:lvlJc w:val="left"/>
      <w:pPr>
        <w:ind w:left="4728" w:hanging="360"/>
      </w:pPr>
    </w:lvl>
    <w:lvl w:ilvl="7" w:tplc="10090019" w:tentative="1">
      <w:start w:val="1"/>
      <w:numFmt w:val="lowerLetter"/>
      <w:lvlText w:val="%8."/>
      <w:lvlJc w:val="left"/>
      <w:pPr>
        <w:ind w:left="5448" w:hanging="360"/>
      </w:pPr>
    </w:lvl>
    <w:lvl w:ilvl="8" w:tplc="1009001B" w:tentative="1">
      <w:start w:val="1"/>
      <w:numFmt w:val="lowerRoman"/>
      <w:lvlText w:val="%9."/>
      <w:lvlJc w:val="right"/>
      <w:pPr>
        <w:ind w:left="6168" w:hanging="180"/>
      </w:pPr>
    </w:lvl>
  </w:abstractNum>
  <w:abstractNum w:abstractNumId="1" w15:restartNumberingAfterBreak="0">
    <w:nsid w:val="089D271B"/>
    <w:multiLevelType w:val="hybridMultilevel"/>
    <w:tmpl w:val="0688EBA2"/>
    <w:lvl w:ilvl="0" w:tplc="675473B2">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E1565AE"/>
    <w:multiLevelType w:val="hybridMultilevel"/>
    <w:tmpl w:val="69C08104"/>
    <w:lvl w:ilvl="0" w:tplc="178466E4">
      <w:start w:val="1"/>
      <w:numFmt w:val="decimal"/>
      <w:lvlText w:val="%1."/>
      <w:lvlJc w:val="left"/>
      <w:pPr>
        <w:ind w:left="360" w:hanging="360"/>
      </w:pPr>
      <w:rPr>
        <w:b w:val="0"/>
        <w:i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5299063D"/>
    <w:multiLevelType w:val="hybridMultilevel"/>
    <w:tmpl w:val="F4F275A0"/>
    <w:lvl w:ilvl="0" w:tplc="10090001">
      <w:start w:val="1"/>
      <w:numFmt w:val="bullet"/>
      <w:lvlText w:val=""/>
      <w:lvlJc w:val="left"/>
      <w:pPr>
        <w:ind w:left="720" w:hanging="360"/>
      </w:pPr>
      <w:rPr>
        <w:rFonts w:ascii="Symbol" w:hAnsi="Symbol" w:hint="default"/>
        <w:b w:val="0"/>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C6"/>
    <w:rsid w:val="00060C60"/>
    <w:rsid w:val="00075528"/>
    <w:rsid w:val="000A0631"/>
    <w:rsid w:val="000C5466"/>
    <w:rsid w:val="000D704D"/>
    <w:rsid w:val="000E1918"/>
    <w:rsid w:val="0011237E"/>
    <w:rsid w:val="00180BDC"/>
    <w:rsid w:val="001837A4"/>
    <w:rsid w:val="001D1A1F"/>
    <w:rsid w:val="001D6E7D"/>
    <w:rsid w:val="00205306"/>
    <w:rsid w:val="00212A5C"/>
    <w:rsid w:val="0023221F"/>
    <w:rsid w:val="00255462"/>
    <w:rsid w:val="00281465"/>
    <w:rsid w:val="002B2D46"/>
    <w:rsid w:val="002D15CE"/>
    <w:rsid w:val="002E2E19"/>
    <w:rsid w:val="002E7095"/>
    <w:rsid w:val="0038233F"/>
    <w:rsid w:val="0039557F"/>
    <w:rsid w:val="003C7ACE"/>
    <w:rsid w:val="003D64C6"/>
    <w:rsid w:val="003F280B"/>
    <w:rsid w:val="00457166"/>
    <w:rsid w:val="00461EC6"/>
    <w:rsid w:val="00464C76"/>
    <w:rsid w:val="004663AB"/>
    <w:rsid w:val="00480F75"/>
    <w:rsid w:val="00516A2F"/>
    <w:rsid w:val="005709FC"/>
    <w:rsid w:val="00584E14"/>
    <w:rsid w:val="005A3A15"/>
    <w:rsid w:val="005C5914"/>
    <w:rsid w:val="005D11F3"/>
    <w:rsid w:val="005D287E"/>
    <w:rsid w:val="005E6D0E"/>
    <w:rsid w:val="005E7F73"/>
    <w:rsid w:val="005F4754"/>
    <w:rsid w:val="00624DFD"/>
    <w:rsid w:val="00630A6E"/>
    <w:rsid w:val="0063152E"/>
    <w:rsid w:val="00650518"/>
    <w:rsid w:val="00680335"/>
    <w:rsid w:val="006A16CF"/>
    <w:rsid w:val="006D0030"/>
    <w:rsid w:val="006E2624"/>
    <w:rsid w:val="00702CD1"/>
    <w:rsid w:val="007901ED"/>
    <w:rsid w:val="007A746D"/>
    <w:rsid w:val="007D3AD8"/>
    <w:rsid w:val="0080294E"/>
    <w:rsid w:val="00807A6E"/>
    <w:rsid w:val="00810575"/>
    <w:rsid w:val="008250E6"/>
    <w:rsid w:val="008331C2"/>
    <w:rsid w:val="00842B32"/>
    <w:rsid w:val="008520CA"/>
    <w:rsid w:val="00853B6B"/>
    <w:rsid w:val="00854E62"/>
    <w:rsid w:val="00867E5D"/>
    <w:rsid w:val="00877EC9"/>
    <w:rsid w:val="008810EC"/>
    <w:rsid w:val="008873D2"/>
    <w:rsid w:val="008A2283"/>
    <w:rsid w:val="008B00CC"/>
    <w:rsid w:val="008B34B3"/>
    <w:rsid w:val="008D2EDC"/>
    <w:rsid w:val="008E1BB9"/>
    <w:rsid w:val="00926A40"/>
    <w:rsid w:val="009515AB"/>
    <w:rsid w:val="0098745C"/>
    <w:rsid w:val="009905FF"/>
    <w:rsid w:val="009D24B8"/>
    <w:rsid w:val="00A020A6"/>
    <w:rsid w:val="00A12FFA"/>
    <w:rsid w:val="00A15EC4"/>
    <w:rsid w:val="00A25A8C"/>
    <w:rsid w:val="00A25FE3"/>
    <w:rsid w:val="00A439BB"/>
    <w:rsid w:val="00A47CA4"/>
    <w:rsid w:val="00AA3BF5"/>
    <w:rsid w:val="00AB1867"/>
    <w:rsid w:val="00AC1EF9"/>
    <w:rsid w:val="00AD0BFA"/>
    <w:rsid w:val="00AD3549"/>
    <w:rsid w:val="00B37F8B"/>
    <w:rsid w:val="00B63191"/>
    <w:rsid w:val="00B73DD7"/>
    <w:rsid w:val="00B81A05"/>
    <w:rsid w:val="00B976B3"/>
    <w:rsid w:val="00C01F1E"/>
    <w:rsid w:val="00C0329F"/>
    <w:rsid w:val="00C148D2"/>
    <w:rsid w:val="00C432DF"/>
    <w:rsid w:val="00C82C5B"/>
    <w:rsid w:val="00C91E66"/>
    <w:rsid w:val="00C926D6"/>
    <w:rsid w:val="00D32924"/>
    <w:rsid w:val="00D63FAC"/>
    <w:rsid w:val="00DC2767"/>
    <w:rsid w:val="00DE0CF7"/>
    <w:rsid w:val="00DF1907"/>
    <w:rsid w:val="00E01FBA"/>
    <w:rsid w:val="00E47169"/>
    <w:rsid w:val="00E528B4"/>
    <w:rsid w:val="00E766B0"/>
    <w:rsid w:val="00EA1E25"/>
    <w:rsid w:val="00EA6012"/>
    <w:rsid w:val="00EE1DA4"/>
    <w:rsid w:val="00F27EF8"/>
    <w:rsid w:val="00F32ACD"/>
    <w:rsid w:val="00F45906"/>
    <w:rsid w:val="00F66080"/>
    <w:rsid w:val="00FA175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7A7D"/>
  <w15:chartTrackingRefBased/>
  <w15:docId w15:val="{721E39BC-6779-48F0-939E-06C68C4E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4C6"/>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5_G Char,Char Char,Footnote Text Char Char Char Char Char Char,Footnote Text Char Char Char Char Char1,Footnote reference Char,FA Fu Char,Footnote Text Char Char Char Char1,ft Char,Style 27 Char,Char Char Char Char Char Char,fn Char"/>
    <w:basedOn w:val="DefaultParagraphFont"/>
    <w:link w:val="FootnoteText"/>
    <w:locked/>
    <w:rsid w:val="00E01FBA"/>
    <w:rPr>
      <w:rFonts w:ascii="Times New Roman" w:eastAsia="Times New Roman" w:hAnsi="Times New Roman" w:cs="Times New Roman"/>
      <w:sz w:val="20"/>
      <w:szCs w:val="20"/>
      <w:lang w:eastAsia="en-CA"/>
    </w:rPr>
  </w:style>
  <w:style w:type="paragraph" w:styleId="FootnoteText">
    <w:name w:val="footnote text"/>
    <w:aliases w:val="5_G,Char,Footnote Text Char Char Char Char Char,Footnote Text Char Char Char Char,Footnote reference,FA Fu,Footnote Text Char Char Char,ft,Style 27,Char Char Char Char Char,Style 11,Char Char Char,Footnotes,Note de bas de page2,fn"/>
    <w:basedOn w:val="Normal"/>
    <w:link w:val="FootnoteTextChar"/>
    <w:unhideWhenUsed/>
    <w:qFormat/>
    <w:rsid w:val="00E01FBA"/>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E01FBA"/>
    <w:rPr>
      <w:rFonts w:ascii="Calibri" w:hAnsi="Calibri" w:cs="Calibri"/>
      <w:sz w:val="20"/>
      <w:szCs w:val="20"/>
      <w:lang w:eastAsia="en-CA"/>
    </w:rPr>
  </w:style>
  <w:style w:type="paragraph" w:styleId="ListParagraph">
    <w:name w:val="List Paragraph"/>
    <w:basedOn w:val="Normal"/>
    <w:uiPriority w:val="34"/>
    <w:qFormat/>
    <w:rsid w:val="00E01FBA"/>
    <w:pPr>
      <w:ind w:left="720"/>
      <w:contextualSpacing/>
    </w:pPr>
    <w:rPr>
      <w:rFonts w:ascii="Times New Roman" w:eastAsia="Times New Roman" w:hAnsi="Times New Roman" w:cs="Times New Roman"/>
      <w:sz w:val="24"/>
      <w:szCs w:val="24"/>
    </w:rPr>
  </w:style>
  <w:style w:type="character" w:styleId="FootnoteReference">
    <w:name w:val="footnote reference"/>
    <w:aliases w:val="4_G,Footnote number,Footnotes refss,Style 10,ftref,4_G Zchn Zchn,Footnote Zchn Zchn,callout Zchn Zchn,Footnote Refernece Zchn Zchn,Footnote Reference Number Zchn Zchn,Fußnotenzeichen_Raxen Zchn Zchn,BVI fnr Zchn Zchn,callout,Ref,fr"/>
    <w:basedOn w:val="DefaultParagraphFont"/>
    <w:link w:val="4GZchn"/>
    <w:unhideWhenUsed/>
    <w:qFormat/>
    <w:rsid w:val="00E01FBA"/>
    <w:rPr>
      <w:vertAlign w:val="superscript"/>
    </w:rPr>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E01FBA"/>
    <w:pPr>
      <w:spacing w:after="160" w:line="240" w:lineRule="exact"/>
    </w:pPr>
    <w:rPr>
      <w:rFonts w:asciiTheme="minorHAnsi" w:hAnsiTheme="minorHAnsi" w:cstheme="minorBidi"/>
      <w:vertAlign w:val="superscript"/>
      <w:lang w:eastAsia="en-US"/>
    </w:rPr>
  </w:style>
  <w:style w:type="paragraph" w:styleId="CommentText">
    <w:name w:val="annotation text"/>
    <w:basedOn w:val="Normal"/>
    <w:link w:val="CommentTextChar"/>
    <w:semiHidden/>
    <w:rsid w:val="00842B32"/>
    <w:rPr>
      <w:rFonts w:ascii="Times New Roman" w:eastAsia="PMingLiU" w:hAnsi="Times New Roman" w:cs="Times New Roman"/>
      <w:noProof/>
      <w:sz w:val="20"/>
      <w:szCs w:val="20"/>
      <w:lang w:val="x-none" w:eastAsia="fr-FR"/>
    </w:rPr>
  </w:style>
  <w:style w:type="character" w:customStyle="1" w:styleId="CommentTextChar">
    <w:name w:val="Comment Text Char"/>
    <w:basedOn w:val="DefaultParagraphFont"/>
    <w:link w:val="CommentText"/>
    <w:semiHidden/>
    <w:rsid w:val="00842B32"/>
    <w:rPr>
      <w:rFonts w:ascii="Times New Roman" w:eastAsia="PMingLiU" w:hAnsi="Times New Roman" w:cs="Times New Roman"/>
      <w:noProof/>
      <w:sz w:val="20"/>
      <w:szCs w:val="20"/>
      <w:lang w:val="x-none" w:eastAsia="fr-FR"/>
    </w:rPr>
  </w:style>
  <w:style w:type="character" w:styleId="CommentReference">
    <w:name w:val="annotation reference"/>
    <w:basedOn w:val="DefaultParagraphFont"/>
    <w:uiPriority w:val="99"/>
    <w:semiHidden/>
    <w:unhideWhenUsed/>
    <w:rsid w:val="00842B32"/>
    <w:rPr>
      <w:sz w:val="16"/>
      <w:szCs w:val="16"/>
    </w:rPr>
  </w:style>
  <w:style w:type="paragraph" w:styleId="BalloonText">
    <w:name w:val="Balloon Text"/>
    <w:basedOn w:val="Normal"/>
    <w:link w:val="BalloonTextChar"/>
    <w:uiPriority w:val="99"/>
    <w:semiHidden/>
    <w:unhideWhenUsed/>
    <w:rsid w:val="00842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32"/>
    <w:rPr>
      <w:rFonts w:ascii="Segoe UI" w:hAnsi="Segoe UI" w:cs="Segoe UI"/>
      <w:sz w:val="18"/>
      <w:szCs w:val="18"/>
      <w:lang w:eastAsia="en-CA"/>
    </w:rPr>
  </w:style>
  <w:style w:type="paragraph" w:customStyle="1" w:styleId="SingleTxtG">
    <w:name w:val="_ Single Txt_G"/>
    <w:basedOn w:val="Normal"/>
    <w:link w:val="SingleTxtGChar"/>
    <w:qFormat/>
    <w:rsid w:val="0011237E"/>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lang w:val="en-GB" w:eastAsia="en-US"/>
    </w:rPr>
  </w:style>
  <w:style w:type="character" w:customStyle="1" w:styleId="SingleTxtGChar">
    <w:name w:val="_ Single Txt_G Char"/>
    <w:link w:val="SingleTxtG"/>
    <w:locked/>
    <w:rsid w:val="0011237E"/>
    <w:rPr>
      <w:rFonts w:ascii="Times New Roman" w:hAnsi="Times New Roman" w:cs="Times New Roman"/>
      <w:sz w:val="20"/>
      <w:szCs w:val="20"/>
      <w:lang w:val="en-GB"/>
    </w:rPr>
  </w:style>
  <w:style w:type="character" w:customStyle="1" w:styleId="st">
    <w:name w:val="st"/>
    <w:basedOn w:val="DefaultParagraphFont"/>
    <w:rsid w:val="0011237E"/>
  </w:style>
  <w:style w:type="character" w:styleId="Emphasis">
    <w:name w:val="Emphasis"/>
    <w:basedOn w:val="DefaultParagraphFont"/>
    <w:uiPriority w:val="20"/>
    <w:qFormat/>
    <w:rsid w:val="0011237E"/>
    <w:rPr>
      <w:i/>
      <w:iCs/>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rsid w:val="0011237E"/>
    <w:pPr>
      <w:spacing w:after="160" w:line="240" w:lineRule="exact"/>
    </w:pPr>
    <w:rPr>
      <w:rFonts w:ascii="Times New Roman" w:hAnsi="Times New Roman" w:cstheme="minorBidi"/>
      <w:sz w:val="18"/>
      <w:vertAlign w:val="superscript"/>
      <w:lang w:val="en-GB" w:eastAsia="en-US"/>
    </w:rPr>
  </w:style>
  <w:style w:type="character" w:styleId="Strong">
    <w:name w:val="Strong"/>
    <w:basedOn w:val="DefaultParagraphFont"/>
    <w:qFormat/>
    <w:rsid w:val="006D0030"/>
    <w:rPr>
      <w:b/>
    </w:rPr>
  </w:style>
  <w:style w:type="paragraph" w:styleId="EndnoteText">
    <w:name w:val="endnote text"/>
    <w:basedOn w:val="Normal"/>
    <w:link w:val="EndnoteTextChar"/>
    <w:uiPriority w:val="99"/>
    <w:semiHidden/>
    <w:unhideWhenUsed/>
    <w:rsid w:val="001837A4"/>
    <w:rPr>
      <w:sz w:val="20"/>
      <w:szCs w:val="20"/>
    </w:rPr>
  </w:style>
  <w:style w:type="character" w:customStyle="1" w:styleId="EndnoteTextChar">
    <w:name w:val="Endnote Text Char"/>
    <w:basedOn w:val="DefaultParagraphFont"/>
    <w:link w:val="EndnoteText"/>
    <w:uiPriority w:val="99"/>
    <w:semiHidden/>
    <w:rsid w:val="001837A4"/>
    <w:rPr>
      <w:rFonts w:ascii="Calibri" w:hAnsi="Calibri" w:cs="Calibri"/>
      <w:sz w:val="20"/>
      <w:szCs w:val="20"/>
      <w:lang w:eastAsia="en-CA"/>
    </w:rPr>
  </w:style>
  <w:style w:type="character" w:styleId="EndnoteReference">
    <w:name w:val="endnote reference"/>
    <w:basedOn w:val="DefaultParagraphFont"/>
    <w:uiPriority w:val="99"/>
    <w:semiHidden/>
    <w:unhideWhenUsed/>
    <w:rsid w:val="001837A4"/>
    <w:rPr>
      <w:vertAlign w:val="superscript"/>
    </w:rPr>
  </w:style>
  <w:style w:type="paragraph" w:styleId="CommentSubject">
    <w:name w:val="annotation subject"/>
    <w:basedOn w:val="CommentText"/>
    <w:next w:val="CommentText"/>
    <w:link w:val="CommentSubjectChar"/>
    <w:uiPriority w:val="99"/>
    <w:semiHidden/>
    <w:unhideWhenUsed/>
    <w:rsid w:val="00AD0BFA"/>
    <w:rPr>
      <w:rFonts w:ascii="Calibri" w:eastAsiaTheme="minorHAnsi" w:hAnsi="Calibri" w:cs="Calibri"/>
      <w:b/>
      <w:bCs/>
      <w:noProof w:val="0"/>
      <w:lang w:val="en-CA" w:eastAsia="en-CA"/>
    </w:rPr>
  </w:style>
  <w:style w:type="character" w:customStyle="1" w:styleId="CommentSubjectChar">
    <w:name w:val="Comment Subject Char"/>
    <w:basedOn w:val="CommentTextChar"/>
    <w:link w:val="CommentSubject"/>
    <w:uiPriority w:val="99"/>
    <w:semiHidden/>
    <w:rsid w:val="00AD0BFA"/>
    <w:rPr>
      <w:rFonts w:ascii="Calibri" w:eastAsia="PMingLiU" w:hAnsi="Calibri" w:cs="Calibri"/>
      <w:b/>
      <w:bCs/>
      <w:noProof/>
      <w:sz w:val="20"/>
      <w:szCs w:val="20"/>
      <w:lang w:val="x-none"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428">
      <w:bodyDiv w:val="1"/>
      <w:marLeft w:val="0"/>
      <w:marRight w:val="0"/>
      <w:marTop w:val="0"/>
      <w:marBottom w:val="0"/>
      <w:divBdr>
        <w:top w:val="none" w:sz="0" w:space="0" w:color="auto"/>
        <w:left w:val="none" w:sz="0" w:space="0" w:color="auto"/>
        <w:bottom w:val="none" w:sz="0" w:space="0" w:color="auto"/>
        <w:right w:val="none" w:sz="0" w:space="0" w:color="auto"/>
      </w:divBdr>
    </w:div>
    <w:div w:id="609777489">
      <w:bodyDiv w:val="1"/>
      <w:marLeft w:val="0"/>
      <w:marRight w:val="0"/>
      <w:marTop w:val="0"/>
      <w:marBottom w:val="0"/>
      <w:divBdr>
        <w:top w:val="none" w:sz="0" w:space="0" w:color="auto"/>
        <w:left w:val="none" w:sz="0" w:space="0" w:color="auto"/>
        <w:bottom w:val="none" w:sz="0" w:space="0" w:color="auto"/>
        <w:right w:val="none" w:sz="0" w:space="0" w:color="auto"/>
      </w:divBdr>
    </w:div>
    <w:div w:id="736591016">
      <w:bodyDiv w:val="1"/>
      <w:marLeft w:val="0"/>
      <w:marRight w:val="0"/>
      <w:marTop w:val="0"/>
      <w:marBottom w:val="0"/>
      <w:divBdr>
        <w:top w:val="none" w:sz="0" w:space="0" w:color="auto"/>
        <w:left w:val="none" w:sz="0" w:space="0" w:color="auto"/>
        <w:bottom w:val="none" w:sz="0" w:space="0" w:color="auto"/>
        <w:right w:val="none" w:sz="0" w:space="0" w:color="auto"/>
      </w:divBdr>
    </w:div>
    <w:div w:id="1057700517">
      <w:bodyDiv w:val="1"/>
      <w:marLeft w:val="0"/>
      <w:marRight w:val="0"/>
      <w:marTop w:val="0"/>
      <w:marBottom w:val="0"/>
      <w:divBdr>
        <w:top w:val="none" w:sz="0" w:space="0" w:color="auto"/>
        <w:left w:val="none" w:sz="0" w:space="0" w:color="auto"/>
        <w:bottom w:val="none" w:sz="0" w:space="0" w:color="auto"/>
        <w:right w:val="none" w:sz="0" w:space="0" w:color="auto"/>
      </w:divBdr>
    </w:div>
    <w:div w:id="1131047600">
      <w:bodyDiv w:val="1"/>
      <w:marLeft w:val="0"/>
      <w:marRight w:val="0"/>
      <w:marTop w:val="0"/>
      <w:marBottom w:val="0"/>
      <w:divBdr>
        <w:top w:val="none" w:sz="0" w:space="0" w:color="auto"/>
        <w:left w:val="none" w:sz="0" w:space="0" w:color="auto"/>
        <w:bottom w:val="none" w:sz="0" w:space="0" w:color="auto"/>
        <w:right w:val="none" w:sz="0" w:space="0" w:color="auto"/>
      </w:divBdr>
    </w:div>
    <w:div w:id="1189635405">
      <w:bodyDiv w:val="1"/>
      <w:marLeft w:val="0"/>
      <w:marRight w:val="0"/>
      <w:marTop w:val="0"/>
      <w:marBottom w:val="0"/>
      <w:divBdr>
        <w:top w:val="none" w:sz="0" w:space="0" w:color="auto"/>
        <w:left w:val="none" w:sz="0" w:space="0" w:color="auto"/>
        <w:bottom w:val="none" w:sz="0" w:space="0" w:color="auto"/>
        <w:right w:val="none" w:sz="0" w:space="0" w:color="auto"/>
      </w:divBdr>
    </w:div>
    <w:div w:id="1623876942">
      <w:bodyDiv w:val="1"/>
      <w:marLeft w:val="0"/>
      <w:marRight w:val="0"/>
      <w:marTop w:val="0"/>
      <w:marBottom w:val="0"/>
      <w:divBdr>
        <w:top w:val="none" w:sz="0" w:space="0" w:color="auto"/>
        <w:left w:val="none" w:sz="0" w:space="0" w:color="auto"/>
        <w:bottom w:val="none" w:sz="0" w:space="0" w:color="auto"/>
        <w:right w:val="none" w:sz="0" w:space="0" w:color="auto"/>
      </w:divBdr>
    </w:div>
    <w:div w:id="1726755614">
      <w:bodyDiv w:val="1"/>
      <w:marLeft w:val="0"/>
      <w:marRight w:val="0"/>
      <w:marTop w:val="0"/>
      <w:marBottom w:val="0"/>
      <w:divBdr>
        <w:top w:val="none" w:sz="0" w:space="0" w:color="auto"/>
        <w:left w:val="none" w:sz="0" w:space="0" w:color="auto"/>
        <w:bottom w:val="none" w:sz="0" w:space="0" w:color="auto"/>
        <w:right w:val="none" w:sz="0" w:space="0" w:color="auto"/>
      </w:divBdr>
    </w:div>
    <w:div w:id="1774545832">
      <w:bodyDiv w:val="1"/>
      <w:marLeft w:val="0"/>
      <w:marRight w:val="0"/>
      <w:marTop w:val="0"/>
      <w:marBottom w:val="0"/>
      <w:divBdr>
        <w:top w:val="none" w:sz="0" w:space="0" w:color="auto"/>
        <w:left w:val="none" w:sz="0" w:space="0" w:color="auto"/>
        <w:bottom w:val="none" w:sz="0" w:space="0" w:color="auto"/>
        <w:right w:val="none" w:sz="0" w:space="0" w:color="auto"/>
      </w:divBdr>
    </w:div>
    <w:div w:id="20756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75D55B-E76F-4FCF-BE6E-C5E2F5B30D12}">
  <ds:schemaRefs>
    <ds:schemaRef ds:uri="http://schemas.openxmlformats.org/officeDocument/2006/bibliography"/>
  </ds:schemaRefs>
</ds:datastoreItem>
</file>

<file path=customXml/itemProps2.xml><?xml version="1.0" encoding="utf-8"?>
<ds:datastoreItem xmlns:ds="http://schemas.openxmlformats.org/officeDocument/2006/customXml" ds:itemID="{44CD7B9C-AE57-4189-871F-F7A0EA8FEC07}"/>
</file>

<file path=customXml/itemProps3.xml><?xml version="1.0" encoding="utf-8"?>
<ds:datastoreItem xmlns:ds="http://schemas.openxmlformats.org/officeDocument/2006/customXml" ds:itemID="{5D996D62-1BC4-41CC-9F95-14362788FF79}"/>
</file>

<file path=customXml/itemProps4.xml><?xml version="1.0" encoding="utf-8"?>
<ds:datastoreItem xmlns:ds="http://schemas.openxmlformats.org/officeDocument/2006/customXml" ds:itemID="{144C34E7-6DF3-416E-A6BA-D71ACB39B345}"/>
</file>

<file path=docProps/app.xml><?xml version="1.0" encoding="utf-8"?>
<Properties xmlns="http://schemas.openxmlformats.org/officeDocument/2006/extended-properties" xmlns:vt="http://schemas.openxmlformats.org/officeDocument/2006/docPropsVTypes">
  <Template>Normal.dotm</Template>
  <TotalTime>0</TotalTime>
  <Pages>5</Pages>
  <Words>2313</Words>
  <Characters>13190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Borlé, Cyril -MMBAI -TD</dc:creator>
  <cp:keywords/>
  <dc:description/>
  <cp:lastModifiedBy>KIM Jung Rin</cp:lastModifiedBy>
  <cp:revision>2</cp:revision>
  <dcterms:created xsi:type="dcterms:W3CDTF">2021-08-16T13:06:00Z</dcterms:created>
  <dcterms:modified xsi:type="dcterms:W3CDTF">2021-08-16T13:06:00Z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