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078A8" w14:textId="23E1E79E" w:rsidR="00F461FE" w:rsidRPr="00490A8F" w:rsidRDefault="00F461FE" w:rsidP="00F461FE">
      <w:pPr>
        <w:jc w:val="center"/>
        <w:rPr>
          <w:b/>
          <w:bCs/>
          <w:sz w:val="28"/>
          <w:szCs w:val="28"/>
          <w:lang w:val="en-US"/>
        </w:rPr>
      </w:pPr>
      <w:bookmarkStart w:id="0" w:name="_GoBack"/>
      <w:bookmarkEnd w:id="0"/>
      <w:r w:rsidRPr="00490A8F">
        <w:rPr>
          <w:b/>
          <w:bCs/>
          <w:sz w:val="28"/>
          <w:szCs w:val="28"/>
          <w:lang w:val="en-US"/>
        </w:rPr>
        <w:t xml:space="preserve">Indigenous Peoples’ Submission to the draft </w:t>
      </w:r>
      <w:r w:rsidR="00490A8F">
        <w:rPr>
          <w:b/>
          <w:bCs/>
          <w:sz w:val="28"/>
          <w:szCs w:val="28"/>
          <w:lang w:val="en-US"/>
        </w:rPr>
        <w:t>G</w:t>
      </w:r>
      <w:r w:rsidRPr="00490A8F">
        <w:rPr>
          <w:b/>
          <w:bCs/>
          <w:sz w:val="28"/>
          <w:szCs w:val="28"/>
          <w:lang w:val="en-US"/>
        </w:rPr>
        <w:t xml:space="preserve">eneral </w:t>
      </w:r>
      <w:r w:rsidR="00490A8F">
        <w:rPr>
          <w:b/>
          <w:bCs/>
          <w:sz w:val="28"/>
          <w:szCs w:val="28"/>
          <w:lang w:val="en-US"/>
        </w:rPr>
        <w:t>C</w:t>
      </w:r>
      <w:r w:rsidRPr="00490A8F">
        <w:rPr>
          <w:b/>
          <w:bCs/>
          <w:sz w:val="28"/>
          <w:szCs w:val="28"/>
          <w:lang w:val="en-US"/>
        </w:rPr>
        <w:t>omment on Land and Economic, Social and Cultural Rights</w:t>
      </w:r>
      <w:r w:rsidR="00EC24C4">
        <w:rPr>
          <w:rStyle w:val="FootnoteReference"/>
          <w:b/>
          <w:bCs/>
          <w:sz w:val="28"/>
          <w:szCs w:val="28"/>
          <w:lang w:val="en-US"/>
        </w:rPr>
        <w:footnoteReference w:id="2"/>
      </w:r>
    </w:p>
    <w:p w14:paraId="5341797B" w14:textId="77777777" w:rsidR="00F461FE" w:rsidRPr="00C314E9" w:rsidRDefault="00F461FE" w:rsidP="00F461FE">
      <w:pPr>
        <w:jc w:val="center"/>
        <w:rPr>
          <w:b/>
          <w:bCs/>
          <w:sz w:val="28"/>
          <w:szCs w:val="28"/>
          <w:lang w:val="en-US"/>
        </w:rPr>
      </w:pPr>
    </w:p>
    <w:p w14:paraId="46A5614A" w14:textId="6BB8F977" w:rsidR="00F461FE" w:rsidRDefault="00F461FE" w:rsidP="00F461FE">
      <w:pPr>
        <w:rPr>
          <w:lang w:val="en-US"/>
        </w:rPr>
      </w:pPr>
      <w:r w:rsidRPr="00C314E9">
        <w:rPr>
          <w:lang w:val="en-US"/>
        </w:rPr>
        <w:t>Indigenous Peoples Rights International (IPRI)</w:t>
      </w:r>
      <w:r w:rsidR="00692F0F">
        <w:rPr>
          <w:lang w:val="en-US"/>
        </w:rPr>
        <w:t xml:space="preserve"> convened</w:t>
      </w:r>
      <w:r w:rsidRPr="00C314E9">
        <w:rPr>
          <w:lang w:val="en-US"/>
        </w:rPr>
        <w:t xml:space="preserve"> </w:t>
      </w:r>
      <w:r w:rsidR="00692F0F">
        <w:rPr>
          <w:lang w:val="en-US"/>
        </w:rPr>
        <w:t>a</w:t>
      </w:r>
      <w:r w:rsidRPr="00C314E9">
        <w:rPr>
          <w:lang w:val="en-US"/>
        </w:rPr>
        <w:t xml:space="preserve"> working session </w:t>
      </w:r>
      <w:r w:rsidR="00692F0F">
        <w:rPr>
          <w:lang w:val="en-US"/>
        </w:rPr>
        <w:t xml:space="preserve">with indigenous </w:t>
      </w:r>
      <w:r w:rsidR="003655F2">
        <w:rPr>
          <w:lang w:val="en-US"/>
        </w:rPr>
        <w:t xml:space="preserve">experts and </w:t>
      </w:r>
      <w:r w:rsidR="00692F0F">
        <w:rPr>
          <w:lang w:val="en-US"/>
        </w:rPr>
        <w:t>representatives</w:t>
      </w:r>
      <w:r w:rsidR="003655F2">
        <w:rPr>
          <w:lang w:val="en-US"/>
        </w:rPr>
        <w:t xml:space="preserve"> to </w:t>
      </w:r>
      <w:r w:rsidR="00515112">
        <w:rPr>
          <w:lang w:val="en-US"/>
        </w:rPr>
        <w:t xml:space="preserve">get their perspectives regarding </w:t>
      </w:r>
      <w:r w:rsidR="003655F2">
        <w:rPr>
          <w:lang w:val="en-US"/>
        </w:rPr>
        <w:t>the Draft General Comment and provide inputs to the</w:t>
      </w:r>
      <w:r w:rsidR="00A34494">
        <w:rPr>
          <w:lang w:val="en-US"/>
        </w:rPr>
        <w:t xml:space="preserve"> CESCR</w:t>
      </w:r>
      <w:r w:rsidR="00FC0DC7">
        <w:rPr>
          <w:lang w:val="en-US"/>
        </w:rPr>
        <w:t xml:space="preserve"> to ensure </w:t>
      </w:r>
      <w:r w:rsidRPr="00C314E9">
        <w:rPr>
          <w:lang w:val="en-US"/>
        </w:rPr>
        <w:t>coherence</w:t>
      </w:r>
      <w:r w:rsidR="00692F0F">
        <w:rPr>
          <w:lang w:val="en-US"/>
        </w:rPr>
        <w:t xml:space="preserve"> and </w:t>
      </w:r>
      <w:r w:rsidRPr="00C314E9">
        <w:rPr>
          <w:lang w:val="en-US"/>
        </w:rPr>
        <w:t xml:space="preserve">consistency of the </w:t>
      </w:r>
      <w:r w:rsidR="00A12F9B">
        <w:rPr>
          <w:lang w:val="en-US"/>
        </w:rPr>
        <w:t xml:space="preserve">Draft </w:t>
      </w:r>
      <w:r w:rsidRPr="00C314E9">
        <w:rPr>
          <w:lang w:val="en-US"/>
        </w:rPr>
        <w:t xml:space="preserve">General Comment with </w:t>
      </w:r>
      <w:r w:rsidR="006E070D">
        <w:rPr>
          <w:lang w:val="en-US"/>
        </w:rPr>
        <w:t xml:space="preserve">international </w:t>
      </w:r>
      <w:r w:rsidR="00855DD0">
        <w:rPr>
          <w:lang w:val="en-US"/>
        </w:rPr>
        <w:t xml:space="preserve">standards </w:t>
      </w:r>
      <w:r w:rsidR="006E070D">
        <w:rPr>
          <w:lang w:val="en-US"/>
        </w:rPr>
        <w:t>on</w:t>
      </w:r>
      <w:r w:rsidR="00855DD0">
        <w:rPr>
          <w:lang w:val="en-US"/>
        </w:rPr>
        <w:t xml:space="preserve"> the rights </w:t>
      </w:r>
      <w:r w:rsidRPr="00C314E9">
        <w:rPr>
          <w:lang w:val="en-US"/>
        </w:rPr>
        <w:t>of indigenous peoples</w:t>
      </w:r>
      <w:r w:rsidR="007B2CAB">
        <w:rPr>
          <w:lang w:val="en-US"/>
        </w:rPr>
        <w:t>.</w:t>
      </w:r>
    </w:p>
    <w:p w14:paraId="36C2289C" w14:textId="49AD5A32" w:rsidR="00770BB1" w:rsidRDefault="00770BB1" w:rsidP="00F461FE">
      <w:pPr>
        <w:rPr>
          <w:lang w:val="en-US"/>
        </w:rPr>
      </w:pPr>
    </w:p>
    <w:p w14:paraId="38DECEF4" w14:textId="4C884631" w:rsidR="00F10D44" w:rsidRDefault="00770BB1" w:rsidP="00770BB1">
      <w:pPr>
        <w:rPr>
          <w:rFonts w:eastAsia="Times New Roman" w:cs="Calibri"/>
          <w:szCs w:val="22"/>
          <w:lang w:val="en-US" w:eastAsia="en-GB"/>
        </w:rPr>
      </w:pPr>
      <w:r>
        <w:rPr>
          <w:rFonts w:eastAsia="Times New Roman" w:cs="Calibri"/>
          <w:szCs w:val="22"/>
          <w:lang w:val="en-US" w:eastAsia="en-GB"/>
        </w:rPr>
        <w:t xml:space="preserve">The outcomes of the </w:t>
      </w:r>
      <w:r w:rsidR="00490A8F">
        <w:rPr>
          <w:rFonts w:eastAsia="Times New Roman" w:cs="Calibri"/>
          <w:szCs w:val="22"/>
          <w:lang w:val="en-US" w:eastAsia="en-GB"/>
        </w:rPr>
        <w:t xml:space="preserve">process </w:t>
      </w:r>
      <w:r>
        <w:rPr>
          <w:rFonts w:eastAsia="Times New Roman" w:cs="Calibri"/>
          <w:szCs w:val="22"/>
          <w:lang w:val="en-US" w:eastAsia="en-GB"/>
        </w:rPr>
        <w:t>are synthesized in the following sections:</w:t>
      </w:r>
      <w:r w:rsidR="00457AD8">
        <w:rPr>
          <w:rFonts w:eastAsia="Times New Roman" w:cs="Calibri"/>
          <w:szCs w:val="22"/>
          <w:lang w:val="en-US" w:eastAsia="en-GB"/>
        </w:rPr>
        <w:t xml:space="preserve"> </w:t>
      </w:r>
      <w:r>
        <w:rPr>
          <w:rFonts w:eastAsia="Times New Roman" w:cs="Calibri"/>
          <w:szCs w:val="22"/>
          <w:lang w:val="en-US" w:eastAsia="en-GB"/>
        </w:rPr>
        <w:t xml:space="preserve">i) </w:t>
      </w:r>
      <w:r w:rsidR="0060350F">
        <w:rPr>
          <w:rFonts w:eastAsia="Times New Roman" w:cs="Calibri"/>
          <w:szCs w:val="22"/>
          <w:lang w:val="en-US" w:eastAsia="en-GB"/>
        </w:rPr>
        <w:fldChar w:fldCharType="begin"/>
      </w:r>
      <w:r w:rsidR="0060350F">
        <w:rPr>
          <w:rFonts w:eastAsia="Times New Roman" w:cs="Calibri"/>
          <w:szCs w:val="22"/>
          <w:lang w:val="en-US" w:eastAsia="en-GB"/>
        </w:rPr>
        <w:instrText xml:space="preserve"> REF _Ref79006198 \h </w:instrText>
      </w:r>
      <w:r w:rsidR="0060350F">
        <w:rPr>
          <w:rFonts w:eastAsia="Times New Roman" w:cs="Calibri"/>
          <w:szCs w:val="22"/>
          <w:lang w:val="en-US" w:eastAsia="en-GB"/>
        </w:rPr>
      </w:r>
      <w:r w:rsidR="0060350F">
        <w:rPr>
          <w:rFonts w:eastAsia="Times New Roman" w:cs="Calibri"/>
          <w:szCs w:val="22"/>
          <w:lang w:val="en-US" w:eastAsia="en-GB"/>
        </w:rPr>
        <w:fldChar w:fldCharType="separate"/>
      </w:r>
      <w:r w:rsidR="0060350F">
        <w:t>Operationalization of Key Provisions Related to Indigenous Peoples Right to Self-Determination and rights on lands, territories and resources</w:t>
      </w:r>
      <w:r w:rsidR="0060350F">
        <w:rPr>
          <w:rFonts w:eastAsia="Times New Roman" w:cs="Calibri"/>
          <w:szCs w:val="22"/>
          <w:lang w:val="en-US" w:eastAsia="en-GB"/>
        </w:rPr>
        <w:fldChar w:fldCharType="end"/>
      </w:r>
      <w:r w:rsidR="00691EA6">
        <w:rPr>
          <w:rFonts w:eastAsia="Times New Roman" w:cs="Calibri"/>
          <w:szCs w:val="22"/>
          <w:lang w:val="en-US" w:eastAsia="en-GB"/>
        </w:rPr>
        <w:t xml:space="preserve">; ii) </w:t>
      </w:r>
      <w:r w:rsidR="0060350F">
        <w:rPr>
          <w:rFonts w:eastAsia="Times New Roman" w:cs="Calibri"/>
          <w:szCs w:val="22"/>
          <w:lang w:val="en-US" w:eastAsia="en-GB"/>
        </w:rPr>
        <w:fldChar w:fldCharType="begin"/>
      </w:r>
      <w:r w:rsidR="0060350F">
        <w:rPr>
          <w:rFonts w:eastAsia="Times New Roman" w:cs="Calibri"/>
          <w:szCs w:val="22"/>
          <w:lang w:val="en-US" w:eastAsia="en-GB"/>
        </w:rPr>
        <w:instrText xml:space="preserve"> REF _Ref79006206 \h </w:instrText>
      </w:r>
      <w:r w:rsidR="0060350F">
        <w:rPr>
          <w:rFonts w:eastAsia="Times New Roman" w:cs="Calibri"/>
          <w:szCs w:val="22"/>
          <w:lang w:val="en-US" w:eastAsia="en-GB"/>
        </w:rPr>
      </w:r>
      <w:r w:rsidR="0060350F">
        <w:rPr>
          <w:rFonts w:eastAsia="Times New Roman" w:cs="Calibri"/>
          <w:szCs w:val="22"/>
          <w:lang w:val="en-US" w:eastAsia="en-GB"/>
        </w:rPr>
        <w:fldChar w:fldCharType="separate"/>
      </w:r>
      <w:r w:rsidR="0060350F">
        <w:t>The need for coherence with UNDRIP and other relevant international human rights instruments and standards</w:t>
      </w:r>
      <w:r w:rsidR="0060350F">
        <w:rPr>
          <w:rFonts w:eastAsia="Times New Roman" w:cs="Calibri"/>
          <w:szCs w:val="22"/>
          <w:lang w:val="en-US" w:eastAsia="en-GB"/>
        </w:rPr>
        <w:fldChar w:fldCharType="end"/>
      </w:r>
      <w:r>
        <w:rPr>
          <w:rFonts w:eastAsia="Times New Roman" w:cs="Calibri"/>
          <w:szCs w:val="22"/>
          <w:lang w:val="en-US" w:eastAsia="en-GB"/>
        </w:rPr>
        <w:t>; iii)</w:t>
      </w:r>
      <w:r w:rsidR="00FF54C8">
        <w:rPr>
          <w:rFonts w:eastAsia="Times New Roman" w:cs="Calibri"/>
          <w:szCs w:val="22"/>
          <w:lang w:val="en-US" w:eastAsia="en-GB"/>
        </w:rPr>
        <w:t xml:space="preserve"> </w:t>
      </w:r>
      <w:r w:rsidR="00691EA6">
        <w:rPr>
          <w:rFonts w:eastAsia="Times New Roman" w:cs="Calibri"/>
          <w:szCs w:val="22"/>
          <w:lang w:val="en-US" w:eastAsia="en-GB"/>
        </w:rPr>
        <w:fldChar w:fldCharType="begin"/>
      </w:r>
      <w:r w:rsidR="00691EA6">
        <w:rPr>
          <w:rFonts w:eastAsia="Times New Roman" w:cs="Calibri"/>
          <w:szCs w:val="22"/>
          <w:lang w:val="en-US" w:eastAsia="en-GB"/>
        </w:rPr>
        <w:instrText xml:space="preserve"> REF _Ref79006281 \h </w:instrText>
      </w:r>
      <w:r w:rsidR="00691EA6">
        <w:rPr>
          <w:rFonts w:eastAsia="Times New Roman" w:cs="Calibri"/>
          <w:szCs w:val="22"/>
          <w:lang w:val="en-US" w:eastAsia="en-GB"/>
        </w:rPr>
      </w:r>
      <w:r w:rsidR="00691EA6">
        <w:rPr>
          <w:rFonts w:eastAsia="Times New Roman" w:cs="Calibri"/>
          <w:szCs w:val="22"/>
          <w:lang w:val="en-US" w:eastAsia="en-GB"/>
        </w:rPr>
        <w:fldChar w:fldCharType="separate"/>
      </w:r>
      <w:r w:rsidR="00691EA6">
        <w:t>Other Observations</w:t>
      </w:r>
      <w:r w:rsidR="00691EA6">
        <w:rPr>
          <w:rFonts w:eastAsia="Times New Roman" w:cs="Calibri"/>
          <w:szCs w:val="22"/>
          <w:lang w:val="en-US" w:eastAsia="en-GB"/>
        </w:rPr>
        <w:fldChar w:fldCharType="end"/>
      </w:r>
      <w:r>
        <w:rPr>
          <w:rFonts w:eastAsia="Times New Roman" w:cs="Calibri"/>
          <w:szCs w:val="22"/>
          <w:lang w:val="en-US" w:eastAsia="en-GB"/>
        </w:rPr>
        <w:t xml:space="preserve">; iv) </w:t>
      </w:r>
      <w:r w:rsidR="00FF54C8">
        <w:rPr>
          <w:rFonts w:eastAsia="Times New Roman" w:cs="Calibri"/>
          <w:szCs w:val="22"/>
          <w:lang w:val="en-US" w:eastAsia="en-GB"/>
        </w:rPr>
        <w:fldChar w:fldCharType="begin"/>
      </w:r>
      <w:r w:rsidR="00FF54C8">
        <w:rPr>
          <w:rFonts w:eastAsia="Times New Roman" w:cs="Calibri"/>
          <w:szCs w:val="22"/>
          <w:lang w:val="en-US" w:eastAsia="en-GB"/>
        </w:rPr>
        <w:instrText xml:space="preserve"> REF _Ref79006374 \h </w:instrText>
      </w:r>
      <w:r w:rsidR="00FF54C8">
        <w:rPr>
          <w:rFonts w:eastAsia="Times New Roman" w:cs="Calibri"/>
          <w:szCs w:val="22"/>
          <w:lang w:val="en-US" w:eastAsia="en-GB"/>
        </w:rPr>
      </w:r>
      <w:r w:rsidR="00FF54C8">
        <w:rPr>
          <w:rFonts w:eastAsia="Times New Roman" w:cs="Calibri"/>
          <w:szCs w:val="22"/>
          <w:lang w:val="en-US" w:eastAsia="en-GB"/>
        </w:rPr>
        <w:fldChar w:fldCharType="separate"/>
      </w:r>
      <w:r w:rsidR="00FF54C8">
        <w:t>Conclusions</w:t>
      </w:r>
      <w:r w:rsidR="00FF54C8">
        <w:rPr>
          <w:rFonts w:eastAsia="Times New Roman" w:cs="Calibri"/>
          <w:szCs w:val="22"/>
          <w:lang w:val="en-US" w:eastAsia="en-GB"/>
        </w:rPr>
        <w:fldChar w:fldCharType="end"/>
      </w:r>
      <w:r w:rsidR="002B21BA">
        <w:rPr>
          <w:rFonts w:eastAsia="Times New Roman" w:cs="Calibri"/>
          <w:szCs w:val="22"/>
          <w:lang w:val="en-US" w:eastAsia="en-GB"/>
        </w:rPr>
        <w:t xml:space="preserve">; and v) </w:t>
      </w:r>
      <w:r w:rsidR="002A33C8">
        <w:rPr>
          <w:rFonts w:eastAsia="Times New Roman" w:cs="Calibri"/>
          <w:szCs w:val="22"/>
          <w:lang w:val="en-US" w:eastAsia="en-GB"/>
        </w:rPr>
        <w:fldChar w:fldCharType="begin"/>
      </w:r>
      <w:r w:rsidR="002A33C8">
        <w:rPr>
          <w:rFonts w:eastAsia="Times New Roman" w:cs="Calibri"/>
          <w:szCs w:val="22"/>
          <w:lang w:val="en-US" w:eastAsia="en-GB"/>
        </w:rPr>
        <w:instrText xml:space="preserve"> REF _Ref79007289 \h </w:instrText>
      </w:r>
      <w:r w:rsidR="002A33C8">
        <w:rPr>
          <w:rFonts w:eastAsia="Times New Roman" w:cs="Calibri"/>
          <w:szCs w:val="22"/>
          <w:lang w:val="en-US" w:eastAsia="en-GB"/>
        </w:rPr>
      </w:r>
      <w:r w:rsidR="002A33C8">
        <w:rPr>
          <w:rFonts w:eastAsia="Times New Roman" w:cs="Calibri"/>
          <w:szCs w:val="22"/>
          <w:lang w:val="en-US" w:eastAsia="en-GB"/>
        </w:rPr>
        <w:fldChar w:fldCharType="separate"/>
      </w:r>
      <w:r w:rsidR="002A33C8" w:rsidRPr="00622CBD">
        <w:t>Recommendations</w:t>
      </w:r>
      <w:r w:rsidR="002A33C8">
        <w:rPr>
          <w:rFonts w:eastAsia="Times New Roman" w:cs="Calibri"/>
          <w:szCs w:val="22"/>
          <w:lang w:val="en-US" w:eastAsia="en-GB"/>
        </w:rPr>
        <w:fldChar w:fldCharType="end"/>
      </w:r>
      <w:r w:rsidR="002A33C8">
        <w:rPr>
          <w:rFonts w:eastAsia="Times New Roman" w:cs="Calibri"/>
          <w:szCs w:val="22"/>
          <w:lang w:val="en-US" w:eastAsia="en-GB"/>
        </w:rPr>
        <w:t>.</w:t>
      </w:r>
    </w:p>
    <w:p w14:paraId="4BD209C2" w14:textId="77777777" w:rsidR="000701EB" w:rsidRDefault="000701EB" w:rsidP="001B7F20">
      <w:pPr>
        <w:rPr>
          <w:rFonts w:eastAsia="Times New Roman" w:cs="Calibri"/>
          <w:b/>
          <w:bCs/>
          <w:szCs w:val="22"/>
          <w:lang w:val="en-US" w:eastAsia="en-GB"/>
        </w:rPr>
      </w:pPr>
    </w:p>
    <w:p w14:paraId="22E0F2FE" w14:textId="233F04E2" w:rsidR="003D11FA" w:rsidRDefault="003D11FA" w:rsidP="00DC0955">
      <w:pPr>
        <w:pStyle w:val="Heading3"/>
      </w:pPr>
      <w:bookmarkStart w:id="1" w:name="_Ref79006198"/>
      <w:r>
        <w:t>Operationalization of Key Provisions Related to Indigenous Peoples Right to Self-Determination</w:t>
      </w:r>
      <w:r w:rsidR="003B349D">
        <w:t xml:space="preserve"> and rights </w:t>
      </w:r>
      <w:r w:rsidR="00D04AA8">
        <w:t>on lands, territories and resources</w:t>
      </w:r>
      <w:bookmarkEnd w:id="1"/>
    </w:p>
    <w:p w14:paraId="4E6E9EFC" w14:textId="77777777" w:rsidR="001046ED" w:rsidRPr="001046ED" w:rsidRDefault="001046ED" w:rsidP="001B7F20">
      <w:pPr>
        <w:rPr>
          <w:rFonts w:eastAsia="Times New Roman" w:cs="Calibri"/>
          <w:szCs w:val="22"/>
          <w:lang w:val="en-US" w:eastAsia="en-GB"/>
        </w:rPr>
      </w:pPr>
    </w:p>
    <w:p w14:paraId="26D8EB44" w14:textId="2F128CB0" w:rsidR="00E72454" w:rsidRPr="00DF6362" w:rsidRDefault="004A18FA" w:rsidP="00E72454">
      <w:pPr>
        <w:rPr>
          <w:rFonts w:eastAsia="Times New Roman" w:cs="Calibri"/>
          <w:szCs w:val="22"/>
          <w:lang w:val="en-US" w:eastAsia="en-GB"/>
        </w:rPr>
      </w:pPr>
      <w:r>
        <w:rPr>
          <w:rFonts w:eastAsia="Times New Roman" w:cs="Calibri"/>
          <w:szCs w:val="22"/>
          <w:lang w:val="en-US" w:eastAsia="en-GB"/>
        </w:rPr>
        <w:t>T</w:t>
      </w:r>
      <w:r w:rsidR="0008042D">
        <w:rPr>
          <w:rFonts w:eastAsia="Times New Roman" w:cs="Calibri"/>
          <w:szCs w:val="22"/>
          <w:lang w:val="en-US" w:eastAsia="en-GB"/>
        </w:rPr>
        <w:t xml:space="preserve">he obligations under </w:t>
      </w:r>
      <w:r w:rsidR="00E72454" w:rsidRPr="00DF6362">
        <w:rPr>
          <w:rFonts w:eastAsia="Times New Roman" w:cs="Calibri"/>
          <w:szCs w:val="22"/>
          <w:lang w:val="en-US" w:eastAsia="en-GB"/>
        </w:rPr>
        <w:t xml:space="preserve">Article 1 </w:t>
      </w:r>
      <w:r w:rsidR="0008042D">
        <w:rPr>
          <w:rFonts w:eastAsia="Times New Roman" w:cs="Calibri"/>
          <w:szCs w:val="22"/>
          <w:lang w:val="en-US" w:eastAsia="en-GB"/>
        </w:rPr>
        <w:t>on the right to Self-Determination</w:t>
      </w:r>
      <w:r>
        <w:rPr>
          <w:rFonts w:eastAsia="Times New Roman" w:cs="Calibri"/>
          <w:szCs w:val="22"/>
          <w:lang w:val="en-US" w:eastAsia="en-GB"/>
        </w:rPr>
        <w:t xml:space="preserve"> can be better articulated to </w:t>
      </w:r>
      <w:r w:rsidR="004B2022">
        <w:rPr>
          <w:rFonts w:eastAsia="Times New Roman" w:cs="Calibri"/>
          <w:szCs w:val="22"/>
          <w:lang w:val="en-US" w:eastAsia="en-GB"/>
        </w:rPr>
        <w:t xml:space="preserve">reaffirm the rights enshrined in </w:t>
      </w:r>
      <w:r w:rsidR="00DB7A37">
        <w:rPr>
          <w:rFonts w:eastAsia="Times New Roman" w:cs="Calibri"/>
          <w:szCs w:val="22"/>
          <w:lang w:val="en-US" w:eastAsia="en-GB"/>
        </w:rPr>
        <w:t>the UN Declaration on the Rights of Indigenous Peoples (UNDRIP)</w:t>
      </w:r>
      <w:r w:rsidR="00582901">
        <w:rPr>
          <w:rFonts w:eastAsia="Times New Roman" w:cs="Calibri"/>
          <w:szCs w:val="22"/>
          <w:lang w:val="en-US" w:eastAsia="en-GB"/>
        </w:rPr>
        <w:t xml:space="preserve"> and </w:t>
      </w:r>
      <w:r w:rsidR="002714D2">
        <w:rPr>
          <w:rFonts w:eastAsia="Times New Roman" w:cs="Calibri"/>
          <w:szCs w:val="22"/>
          <w:lang w:val="en-US" w:eastAsia="en-GB"/>
        </w:rPr>
        <w:t>advancing on</w:t>
      </w:r>
      <w:r w:rsidR="008A72C9">
        <w:rPr>
          <w:rFonts w:eastAsia="Times New Roman" w:cs="Calibri"/>
          <w:szCs w:val="22"/>
          <w:lang w:val="en-US" w:eastAsia="en-GB"/>
        </w:rPr>
        <w:t xml:space="preserve"> </w:t>
      </w:r>
      <w:r w:rsidR="00582901">
        <w:rPr>
          <w:rFonts w:eastAsia="Times New Roman" w:cs="Calibri"/>
          <w:szCs w:val="22"/>
          <w:lang w:val="en-US" w:eastAsia="en-GB"/>
        </w:rPr>
        <w:t xml:space="preserve">issues related to the right to Self-Determination and </w:t>
      </w:r>
      <w:r w:rsidR="00156FEF">
        <w:rPr>
          <w:rFonts w:eastAsia="Times New Roman" w:cs="Calibri"/>
          <w:szCs w:val="22"/>
          <w:lang w:val="en-US" w:eastAsia="en-GB"/>
        </w:rPr>
        <w:t xml:space="preserve">the rights of </w:t>
      </w:r>
      <w:r w:rsidR="00582901">
        <w:rPr>
          <w:rFonts w:eastAsia="Times New Roman" w:cs="Calibri"/>
          <w:szCs w:val="22"/>
          <w:lang w:val="en-US" w:eastAsia="en-GB"/>
        </w:rPr>
        <w:t>Indigenous Peoples</w:t>
      </w:r>
      <w:r w:rsidR="00156FEF">
        <w:rPr>
          <w:rFonts w:eastAsia="Times New Roman" w:cs="Calibri"/>
          <w:szCs w:val="22"/>
          <w:lang w:val="en-US" w:eastAsia="en-GB"/>
        </w:rPr>
        <w:t xml:space="preserve"> </w:t>
      </w:r>
      <w:r w:rsidR="00AE6FBA">
        <w:rPr>
          <w:rFonts w:eastAsia="Times New Roman" w:cs="Calibri"/>
          <w:szCs w:val="22"/>
          <w:lang w:val="en-US" w:eastAsia="en-GB"/>
        </w:rPr>
        <w:t xml:space="preserve">to </w:t>
      </w:r>
      <w:r w:rsidR="00156FEF">
        <w:rPr>
          <w:rFonts w:eastAsia="Times New Roman" w:cs="Calibri"/>
          <w:szCs w:val="22"/>
          <w:lang w:val="en-US" w:eastAsia="en-GB"/>
        </w:rPr>
        <w:t xml:space="preserve">their lands, territories and resources. </w:t>
      </w:r>
    </w:p>
    <w:p w14:paraId="6AC65828" w14:textId="77777777" w:rsidR="00E72454" w:rsidRPr="00156FEF" w:rsidRDefault="00E72454" w:rsidP="00E72454">
      <w:pPr>
        <w:rPr>
          <w:rFonts w:eastAsia="Times New Roman" w:cs="Calibri"/>
          <w:szCs w:val="22"/>
          <w:lang w:val="en-US" w:eastAsia="en-GB"/>
        </w:rPr>
      </w:pPr>
    </w:p>
    <w:p w14:paraId="47CCB1D1" w14:textId="373650C5" w:rsidR="0014586C" w:rsidRDefault="004736C5" w:rsidP="006B0E61">
      <w:pPr>
        <w:textAlignment w:val="center"/>
        <w:rPr>
          <w:rFonts w:eastAsia="Times New Roman" w:cs="Calibri"/>
          <w:szCs w:val="22"/>
          <w:lang w:val="en-US" w:eastAsia="en-GB"/>
        </w:rPr>
      </w:pPr>
      <w:r>
        <w:rPr>
          <w:rFonts w:eastAsia="Times New Roman" w:cs="Calibri"/>
          <w:szCs w:val="22"/>
          <w:lang w:val="en-US" w:eastAsia="en-GB"/>
        </w:rPr>
        <w:t>In relation to the right to Self-Determination,</w:t>
      </w:r>
      <w:r w:rsidR="00E61975">
        <w:rPr>
          <w:rFonts w:eastAsia="Times New Roman" w:cs="Calibri"/>
          <w:szCs w:val="22"/>
          <w:lang w:val="en-US" w:eastAsia="en-GB"/>
        </w:rPr>
        <w:t xml:space="preserve"> </w:t>
      </w:r>
      <w:r>
        <w:rPr>
          <w:rFonts w:eastAsia="Times New Roman" w:cs="Calibri"/>
          <w:szCs w:val="22"/>
          <w:lang w:val="en-US" w:eastAsia="en-GB"/>
        </w:rPr>
        <w:t>t</w:t>
      </w:r>
      <w:r w:rsidR="004A18FA">
        <w:rPr>
          <w:rFonts w:eastAsia="Times New Roman" w:cs="Calibri"/>
          <w:szCs w:val="22"/>
          <w:lang w:val="en-US" w:eastAsia="en-GB"/>
        </w:rPr>
        <w:t>he</w:t>
      </w:r>
      <w:r w:rsidR="00E61975">
        <w:rPr>
          <w:rFonts w:eastAsia="Times New Roman" w:cs="Calibri"/>
          <w:szCs w:val="22"/>
          <w:lang w:val="en-US" w:eastAsia="en-GB"/>
        </w:rPr>
        <w:t xml:space="preserve"> </w:t>
      </w:r>
      <w:r w:rsidR="004A18FA">
        <w:rPr>
          <w:rFonts w:eastAsia="Times New Roman" w:cs="Calibri"/>
          <w:szCs w:val="22"/>
          <w:lang w:val="en-US" w:eastAsia="en-GB"/>
        </w:rPr>
        <w:t xml:space="preserve">Draft General Comment should </w:t>
      </w:r>
      <w:r w:rsidR="00301B52">
        <w:rPr>
          <w:rFonts w:eastAsia="Times New Roman" w:cs="Calibri"/>
          <w:szCs w:val="22"/>
          <w:lang w:val="en-US" w:eastAsia="en-GB"/>
        </w:rPr>
        <w:t>reference core obligations addr</w:t>
      </w:r>
      <w:r w:rsidR="009772A5">
        <w:rPr>
          <w:rFonts w:eastAsia="Times New Roman" w:cs="Calibri"/>
          <w:szCs w:val="22"/>
          <w:lang w:val="en-US" w:eastAsia="en-GB"/>
        </w:rPr>
        <w:t xml:space="preserve">essed in various of its Concluding Observations since 2013. It should also </w:t>
      </w:r>
      <w:r w:rsidR="006B0E61">
        <w:rPr>
          <w:rFonts w:eastAsia="Times New Roman" w:cs="Calibri"/>
          <w:szCs w:val="22"/>
          <w:lang w:val="en-US" w:eastAsia="en-GB"/>
        </w:rPr>
        <w:t xml:space="preserve">reference </w:t>
      </w:r>
      <w:r w:rsidR="008E76E9">
        <w:rPr>
          <w:rFonts w:eastAsia="Times New Roman" w:cs="Calibri"/>
          <w:szCs w:val="22"/>
          <w:lang w:val="en-US" w:eastAsia="en-GB"/>
        </w:rPr>
        <w:t>jurisprudence</w:t>
      </w:r>
      <w:r w:rsidR="002C6061">
        <w:rPr>
          <w:rFonts w:eastAsia="Times New Roman" w:cs="Calibri"/>
          <w:szCs w:val="22"/>
          <w:lang w:val="en-US" w:eastAsia="en-GB"/>
        </w:rPr>
        <w:t xml:space="preserve"> of indigenous peoples</w:t>
      </w:r>
      <w:r w:rsidR="008E76E9">
        <w:rPr>
          <w:rFonts w:eastAsia="Times New Roman" w:cs="Calibri"/>
          <w:szCs w:val="22"/>
          <w:lang w:val="en-US" w:eastAsia="en-GB"/>
        </w:rPr>
        <w:t xml:space="preserve"> regarding Article 1</w:t>
      </w:r>
      <w:r w:rsidR="006B0E61">
        <w:rPr>
          <w:rFonts w:eastAsia="Times New Roman" w:cs="Calibri"/>
          <w:szCs w:val="22"/>
          <w:lang w:val="en-US" w:eastAsia="en-GB"/>
        </w:rPr>
        <w:t xml:space="preserve">. </w:t>
      </w:r>
      <w:r>
        <w:rPr>
          <w:rFonts w:eastAsia="Times New Roman" w:cs="Calibri"/>
          <w:szCs w:val="22"/>
          <w:lang w:val="en-US" w:eastAsia="en-GB"/>
        </w:rPr>
        <w:t xml:space="preserve">There is an opportunity </w:t>
      </w:r>
      <w:r w:rsidR="00EE6888">
        <w:rPr>
          <w:rFonts w:eastAsia="Times New Roman" w:cs="Calibri"/>
          <w:szCs w:val="22"/>
          <w:lang w:val="en-US" w:eastAsia="en-GB"/>
        </w:rPr>
        <w:t xml:space="preserve">to </w:t>
      </w:r>
      <w:r w:rsidR="00EE6888" w:rsidRPr="00EE6888">
        <w:rPr>
          <w:rFonts w:eastAsia="Times New Roman" w:cs="Calibri"/>
          <w:szCs w:val="22"/>
          <w:lang w:val="en-US" w:eastAsia="en-GB"/>
        </w:rPr>
        <w:t xml:space="preserve">memorialize the </w:t>
      </w:r>
      <w:r w:rsidR="00EE6888">
        <w:rPr>
          <w:rFonts w:eastAsia="Times New Roman" w:cs="Calibri"/>
          <w:szCs w:val="22"/>
          <w:lang w:val="en-US" w:eastAsia="en-GB"/>
        </w:rPr>
        <w:t>C</w:t>
      </w:r>
      <w:r w:rsidR="00EE6888" w:rsidRPr="00EE6888">
        <w:rPr>
          <w:rFonts w:eastAsia="Times New Roman" w:cs="Calibri"/>
          <w:szCs w:val="22"/>
          <w:lang w:val="en-US" w:eastAsia="en-GB"/>
        </w:rPr>
        <w:t xml:space="preserve">oncluding </w:t>
      </w:r>
      <w:r w:rsidR="00EE6888">
        <w:rPr>
          <w:rFonts w:eastAsia="Times New Roman" w:cs="Calibri"/>
          <w:szCs w:val="22"/>
          <w:lang w:val="en-US" w:eastAsia="en-GB"/>
        </w:rPr>
        <w:t>O</w:t>
      </w:r>
      <w:r w:rsidR="00EE6888" w:rsidRPr="00EE6888">
        <w:rPr>
          <w:rFonts w:eastAsia="Times New Roman" w:cs="Calibri"/>
          <w:szCs w:val="22"/>
          <w:lang w:val="en-US" w:eastAsia="en-GB"/>
        </w:rPr>
        <w:t>bservations under Article 1</w:t>
      </w:r>
      <w:r w:rsidR="00481E8B">
        <w:rPr>
          <w:rFonts w:eastAsia="Times New Roman" w:cs="Calibri"/>
          <w:szCs w:val="22"/>
          <w:lang w:val="en-US" w:eastAsia="en-GB"/>
        </w:rPr>
        <w:t>.</w:t>
      </w:r>
    </w:p>
    <w:p w14:paraId="55DFCE66" w14:textId="05FE1299" w:rsidR="006B0E61" w:rsidRDefault="006B0E61" w:rsidP="006B0E61">
      <w:pPr>
        <w:textAlignment w:val="center"/>
        <w:rPr>
          <w:rFonts w:eastAsia="Times New Roman" w:cs="Calibri"/>
          <w:szCs w:val="22"/>
          <w:lang w:val="en-US" w:eastAsia="en-GB"/>
        </w:rPr>
      </w:pPr>
    </w:p>
    <w:p w14:paraId="7C1FA0BC" w14:textId="4A3A1F87" w:rsidR="00756DAD" w:rsidRPr="00756DAD" w:rsidRDefault="00E75C50" w:rsidP="00756DAD">
      <w:pPr>
        <w:textAlignment w:val="center"/>
        <w:rPr>
          <w:rFonts w:eastAsia="Times New Roman" w:cs="Calibri"/>
          <w:szCs w:val="22"/>
          <w:lang w:val="en-US" w:eastAsia="en-GB"/>
        </w:rPr>
      </w:pPr>
      <w:r>
        <w:rPr>
          <w:rFonts w:eastAsia="Times New Roman" w:cs="Calibri"/>
          <w:szCs w:val="22"/>
          <w:lang w:val="en-US" w:eastAsia="en-GB"/>
        </w:rPr>
        <w:lastRenderedPageBreak/>
        <w:t>Moreover, t</w:t>
      </w:r>
      <w:r w:rsidR="00DE0432" w:rsidRPr="00C314E9">
        <w:rPr>
          <w:rFonts w:eastAsia="Times New Roman" w:cs="Calibri"/>
          <w:szCs w:val="22"/>
          <w:lang w:val="en-US" w:eastAsia="en-GB"/>
        </w:rPr>
        <w:t xml:space="preserve">he Committee </w:t>
      </w:r>
      <w:r w:rsidR="00DE0432">
        <w:rPr>
          <w:rFonts w:eastAsia="Times New Roman" w:cs="Calibri"/>
          <w:szCs w:val="22"/>
          <w:lang w:val="en-US" w:eastAsia="en-GB"/>
        </w:rPr>
        <w:t xml:space="preserve">addresses </w:t>
      </w:r>
      <w:r w:rsidR="00DE0432" w:rsidRPr="00C314E9">
        <w:rPr>
          <w:rFonts w:eastAsia="Times New Roman" w:cs="Calibri"/>
          <w:szCs w:val="22"/>
          <w:lang w:val="en-US" w:eastAsia="en-GB"/>
        </w:rPr>
        <w:t>land</w:t>
      </w:r>
      <w:r>
        <w:rPr>
          <w:rFonts w:eastAsia="Times New Roman" w:cs="Calibri"/>
          <w:szCs w:val="22"/>
          <w:lang w:val="en-US" w:eastAsia="en-GB"/>
        </w:rPr>
        <w:t xml:space="preserve"> rights</w:t>
      </w:r>
      <w:r w:rsidR="00DE0432" w:rsidRPr="00C314E9">
        <w:rPr>
          <w:rFonts w:eastAsia="Times New Roman" w:cs="Calibri"/>
          <w:szCs w:val="22"/>
          <w:lang w:val="en-US" w:eastAsia="en-GB"/>
        </w:rPr>
        <w:t xml:space="preserve"> </w:t>
      </w:r>
      <w:r w:rsidR="00DE0432" w:rsidRPr="00996B55">
        <w:rPr>
          <w:rFonts w:eastAsia="Times New Roman" w:cs="Calibri"/>
          <w:szCs w:val="22"/>
          <w:lang w:val="en-US" w:eastAsia="en-GB"/>
        </w:rPr>
        <w:t>issues under Article 1</w:t>
      </w:r>
      <w:r w:rsidR="003B1B9F">
        <w:rPr>
          <w:rFonts w:eastAsia="Times New Roman" w:cs="Calibri"/>
          <w:szCs w:val="22"/>
          <w:lang w:val="en-US" w:eastAsia="en-GB"/>
        </w:rPr>
        <w:t xml:space="preserve">, </w:t>
      </w:r>
      <w:r w:rsidR="00DE0432" w:rsidRPr="00C314E9">
        <w:rPr>
          <w:rFonts w:eastAsia="Times New Roman" w:cs="Calibri"/>
          <w:szCs w:val="22"/>
          <w:lang w:val="en-US" w:eastAsia="en-GB"/>
        </w:rPr>
        <w:t>i.e. under the right to self-determination, and in particular Article 1(2)</w:t>
      </w:r>
      <w:r w:rsidR="00C54670">
        <w:rPr>
          <w:rFonts w:eastAsia="Times New Roman" w:cs="Calibri"/>
          <w:szCs w:val="22"/>
          <w:lang w:val="en-US" w:eastAsia="en-GB"/>
        </w:rPr>
        <w:t>.</w:t>
      </w:r>
      <w:r w:rsidR="00105279" w:rsidRPr="00C314E9">
        <w:rPr>
          <w:rStyle w:val="FootnoteReference"/>
          <w:rFonts w:eastAsia="Times New Roman" w:cs="Calibri"/>
          <w:szCs w:val="22"/>
          <w:lang w:val="en-US" w:eastAsia="en-GB"/>
        </w:rPr>
        <w:footnoteReference w:id="3"/>
      </w:r>
      <w:r w:rsidR="00C54670">
        <w:rPr>
          <w:rFonts w:eastAsia="Times New Roman" w:cs="Calibri"/>
          <w:szCs w:val="22"/>
          <w:lang w:val="en-US" w:eastAsia="en-GB"/>
        </w:rPr>
        <w:t xml:space="preserve"> The Draft General Comment should</w:t>
      </w:r>
      <w:r w:rsidR="00773791">
        <w:rPr>
          <w:rFonts w:eastAsia="Times New Roman" w:cs="Calibri"/>
          <w:szCs w:val="22"/>
          <w:lang w:val="en-US" w:eastAsia="en-GB"/>
        </w:rPr>
        <w:t xml:space="preserve"> </w:t>
      </w:r>
      <w:r w:rsidR="007F2832">
        <w:rPr>
          <w:rFonts w:eastAsia="Times New Roman" w:cs="Calibri"/>
          <w:szCs w:val="22"/>
          <w:lang w:val="en-US" w:eastAsia="en-GB"/>
        </w:rPr>
        <w:t xml:space="preserve">reference relevant jurisprudence such as </w:t>
      </w:r>
      <w:r w:rsidR="007F2832" w:rsidRPr="007F2832">
        <w:rPr>
          <w:rFonts w:eastAsia="Times New Roman" w:cs="Calibri"/>
          <w:i/>
          <w:iCs/>
          <w:szCs w:val="22"/>
          <w:lang w:val="en-US" w:eastAsia="en-GB"/>
        </w:rPr>
        <w:t>Mahuika v. New Zealand</w:t>
      </w:r>
      <w:r w:rsidR="00854159">
        <w:rPr>
          <w:rFonts w:eastAsia="Times New Roman" w:cs="Calibri"/>
          <w:szCs w:val="22"/>
          <w:lang w:val="en-US" w:eastAsia="en-GB"/>
        </w:rPr>
        <w:t>.</w:t>
      </w:r>
      <w:r w:rsidR="009C078B">
        <w:rPr>
          <w:rStyle w:val="FootnoteReference"/>
          <w:rFonts w:eastAsia="Times New Roman" w:cs="Calibri"/>
          <w:szCs w:val="22"/>
          <w:lang w:val="en-US" w:eastAsia="en-GB"/>
        </w:rPr>
        <w:footnoteReference w:id="4"/>
      </w:r>
      <w:r w:rsidR="00DF40D7">
        <w:rPr>
          <w:rFonts w:eastAsia="Times New Roman" w:cs="Calibri"/>
          <w:szCs w:val="22"/>
          <w:lang w:val="en-US" w:eastAsia="en-GB"/>
        </w:rPr>
        <w:t xml:space="preserve"> </w:t>
      </w:r>
    </w:p>
    <w:p w14:paraId="55BE31FC" w14:textId="665DACA6" w:rsidR="00516185" w:rsidRDefault="00516185" w:rsidP="008324D0">
      <w:pPr>
        <w:textAlignment w:val="center"/>
        <w:rPr>
          <w:rFonts w:eastAsia="Times New Roman" w:cs="Calibri"/>
          <w:szCs w:val="22"/>
          <w:lang w:val="en-US" w:eastAsia="en-GB"/>
        </w:rPr>
      </w:pPr>
    </w:p>
    <w:p w14:paraId="6D0CD3C8" w14:textId="21DE35F5" w:rsidR="00B85F7A" w:rsidRPr="007E4865" w:rsidRDefault="00B85F7A" w:rsidP="007E4865">
      <w:pPr>
        <w:textAlignment w:val="center"/>
        <w:rPr>
          <w:rFonts w:eastAsia="Times New Roman" w:cs="Calibri"/>
          <w:szCs w:val="22"/>
          <w:lang w:val="en-US" w:eastAsia="en-GB"/>
        </w:rPr>
      </w:pPr>
      <w:r>
        <w:rPr>
          <w:rFonts w:eastAsia="Times New Roman" w:cs="Calibri"/>
          <w:szCs w:val="22"/>
          <w:lang w:val="en-US" w:eastAsia="en-GB"/>
        </w:rPr>
        <w:t xml:space="preserve">Article 1 </w:t>
      </w:r>
      <w:r w:rsidR="003B1B9F">
        <w:rPr>
          <w:rFonts w:eastAsia="Times New Roman" w:cs="Calibri"/>
          <w:szCs w:val="22"/>
          <w:lang w:val="en-US" w:eastAsia="en-GB"/>
        </w:rPr>
        <w:t xml:space="preserve">can </w:t>
      </w:r>
      <w:r w:rsidR="00707269">
        <w:rPr>
          <w:rFonts w:eastAsia="Times New Roman" w:cs="Calibri"/>
          <w:szCs w:val="22"/>
          <w:lang w:val="en-US" w:eastAsia="en-GB"/>
        </w:rPr>
        <w:t xml:space="preserve">be further and properly </w:t>
      </w:r>
      <w:r>
        <w:rPr>
          <w:rFonts w:eastAsia="Times New Roman" w:cs="Calibri"/>
          <w:szCs w:val="22"/>
          <w:lang w:val="en-US" w:eastAsia="en-GB"/>
        </w:rPr>
        <w:t>elaborated</w:t>
      </w:r>
      <w:r w:rsidR="007E4865">
        <w:rPr>
          <w:rFonts w:eastAsia="Times New Roman" w:cs="Calibri"/>
          <w:szCs w:val="22"/>
          <w:lang w:val="en-US" w:eastAsia="en-GB"/>
        </w:rPr>
        <w:t xml:space="preserve"> because t</w:t>
      </w:r>
      <w:r w:rsidR="00707269">
        <w:rPr>
          <w:rFonts w:eastAsia="Times New Roman" w:cs="Calibri"/>
          <w:szCs w:val="22"/>
          <w:lang w:val="en-US" w:eastAsia="en-GB"/>
        </w:rPr>
        <w:t>he Covenant cannot be interpreted as impairing the right to enjoy and fully utilize the resources</w:t>
      </w:r>
      <w:r w:rsidR="00EA5F04">
        <w:rPr>
          <w:rFonts w:eastAsia="Times New Roman" w:cs="Calibri"/>
          <w:szCs w:val="22"/>
          <w:lang w:val="en-US" w:eastAsia="en-GB"/>
        </w:rPr>
        <w:t>.</w:t>
      </w:r>
      <w:r>
        <w:rPr>
          <w:rStyle w:val="FootnoteReference"/>
          <w:rFonts w:eastAsia="Times New Roman" w:cs="Calibri"/>
          <w:i/>
          <w:iCs/>
          <w:szCs w:val="22"/>
          <w:lang w:val="en-US" w:eastAsia="en-GB"/>
        </w:rPr>
        <w:footnoteReference w:id="5"/>
      </w:r>
      <w:r w:rsidR="003B1B9F">
        <w:rPr>
          <w:rFonts w:eastAsia="Times New Roman" w:cs="Calibri"/>
          <w:szCs w:val="22"/>
          <w:lang w:val="en-US" w:eastAsia="en-GB"/>
        </w:rPr>
        <w:t xml:space="preserve"> </w:t>
      </w:r>
      <w:r w:rsidR="0036058A">
        <w:rPr>
          <w:rFonts w:eastAsia="Times New Roman" w:cs="Calibri"/>
          <w:szCs w:val="22"/>
          <w:lang w:val="en-US" w:eastAsia="en-GB"/>
        </w:rPr>
        <w:t xml:space="preserve">Securing indigenous peoples’ territorial rights should be clearly reflected in the Draft General Comment. </w:t>
      </w:r>
      <w:r w:rsidR="007C5524">
        <w:rPr>
          <w:rFonts w:eastAsia="Times New Roman" w:cs="Calibri"/>
          <w:szCs w:val="22"/>
          <w:lang w:val="en-US" w:eastAsia="en-GB"/>
        </w:rPr>
        <w:t xml:space="preserve">This includes the </w:t>
      </w:r>
      <w:r w:rsidR="00CD4F7E">
        <w:rPr>
          <w:rFonts w:eastAsia="Times New Roman" w:cs="Calibri"/>
          <w:szCs w:val="22"/>
          <w:lang w:val="en-US" w:eastAsia="en-GB"/>
        </w:rPr>
        <w:t xml:space="preserve">profound and </w:t>
      </w:r>
      <w:r w:rsidR="007C5524">
        <w:rPr>
          <w:rFonts w:eastAsia="Times New Roman" w:cs="Calibri"/>
          <w:szCs w:val="22"/>
          <w:lang w:val="en-US" w:eastAsia="en-GB"/>
        </w:rPr>
        <w:t>special cultural, economic and spiritual relationship that indigenous peoples have with the</w:t>
      </w:r>
      <w:r w:rsidR="00CD4F7E">
        <w:rPr>
          <w:rFonts w:eastAsia="Times New Roman" w:cs="Calibri"/>
          <w:szCs w:val="22"/>
          <w:lang w:val="en-US" w:eastAsia="en-GB"/>
        </w:rPr>
        <w:t xml:space="preserve"> </w:t>
      </w:r>
      <w:r w:rsidR="007C5524">
        <w:rPr>
          <w:rFonts w:eastAsia="Times New Roman" w:cs="Calibri"/>
          <w:szCs w:val="22"/>
          <w:lang w:val="en-US" w:eastAsia="en-GB"/>
        </w:rPr>
        <w:t>lands, territories and resources</w:t>
      </w:r>
      <w:r w:rsidR="00CD4F7E">
        <w:rPr>
          <w:rFonts w:eastAsia="Times New Roman" w:cs="Calibri"/>
          <w:szCs w:val="22"/>
          <w:lang w:val="en-US" w:eastAsia="en-GB"/>
        </w:rPr>
        <w:t xml:space="preserve"> they have traditionally </w:t>
      </w:r>
      <w:r w:rsidR="00DE3233">
        <w:rPr>
          <w:rFonts w:eastAsia="Times New Roman" w:cs="Calibri"/>
          <w:szCs w:val="22"/>
          <w:lang w:val="en-US" w:eastAsia="en-GB"/>
        </w:rPr>
        <w:t xml:space="preserve">owned or otherwise </w:t>
      </w:r>
      <w:r w:rsidR="00E609AC">
        <w:rPr>
          <w:rFonts w:eastAsia="Times New Roman" w:cs="Calibri"/>
          <w:szCs w:val="22"/>
          <w:lang w:val="en-US" w:eastAsia="en-GB"/>
        </w:rPr>
        <w:t xml:space="preserve">occupied or </w:t>
      </w:r>
      <w:r w:rsidR="00DE3233">
        <w:rPr>
          <w:rFonts w:eastAsia="Times New Roman" w:cs="Calibri"/>
          <w:szCs w:val="22"/>
          <w:lang w:val="en-US" w:eastAsia="en-GB"/>
        </w:rPr>
        <w:t>used</w:t>
      </w:r>
      <w:r w:rsidR="00CD4F7E">
        <w:rPr>
          <w:rFonts w:eastAsia="Times New Roman" w:cs="Calibri"/>
          <w:szCs w:val="22"/>
          <w:lang w:val="en-US" w:eastAsia="en-GB"/>
        </w:rPr>
        <w:t>.</w:t>
      </w:r>
      <w:r w:rsidR="00AD74EA">
        <w:rPr>
          <w:rStyle w:val="FootnoteReference"/>
          <w:rFonts w:eastAsia="Times New Roman" w:cs="Calibri"/>
          <w:szCs w:val="22"/>
          <w:lang w:val="en-US" w:eastAsia="en-GB"/>
        </w:rPr>
        <w:footnoteReference w:id="6"/>
      </w:r>
      <w:r w:rsidR="00CD4F7E">
        <w:rPr>
          <w:rFonts w:eastAsia="Times New Roman" w:cs="Calibri"/>
          <w:szCs w:val="22"/>
          <w:lang w:val="en-US" w:eastAsia="en-GB"/>
        </w:rPr>
        <w:t xml:space="preserve"> </w:t>
      </w:r>
    </w:p>
    <w:p w14:paraId="32B55431" w14:textId="4B277CBE" w:rsidR="00B85F7A" w:rsidRDefault="00B85F7A" w:rsidP="008324D0">
      <w:pPr>
        <w:textAlignment w:val="center"/>
        <w:rPr>
          <w:rFonts w:eastAsia="Times New Roman" w:cs="Calibri"/>
          <w:szCs w:val="22"/>
          <w:lang w:val="en-US" w:eastAsia="en-GB"/>
        </w:rPr>
      </w:pPr>
    </w:p>
    <w:p w14:paraId="44E955DF" w14:textId="780707FB" w:rsidR="00707269" w:rsidRDefault="00B7711F" w:rsidP="008324D0">
      <w:pPr>
        <w:textAlignment w:val="center"/>
        <w:rPr>
          <w:rFonts w:eastAsia="Times New Roman" w:cs="Calibri"/>
          <w:szCs w:val="22"/>
          <w:lang w:val="en-US" w:eastAsia="en-GB"/>
        </w:rPr>
      </w:pPr>
      <w:r>
        <w:rPr>
          <w:rFonts w:eastAsia="Times New Roman" w:cs="Calibri"/>
          <w:szCs w:val="22"/>
          <w:lang w:val="en-US" w:eastAsia="en-GB"/>
        </w:rPr>
        <w:t>A</w:t>
      </w:r>
      <w:r w:rsidR="001D31FA">
        <w:rPr>
          <w:rFonts w:eastAsia="Times New Roman" w:cs="Calibri"/>
          <w:szCs w:val="22"/>
          <w:lang w:val="en-US" w:eastAsia="en-GB"/>
        </w:rPr>
        <w:t xml:space="preserve">lthough reference is made to </w:t>
      </w:r>
      <w:r w:rsidR="00707269" w:rsidRPr="00756DAD">
        <w:rPr>
          <w:rFonts w:eastAsia="Times New Roman" w:cs="Calibri"/>
          <w:szCs w:val="22"/>
          <w:lang w:val="en-US" w:eastAsia="en-GB"/>
        </w:rPr>
        <w:t>self-governance</w:t>
      </w:r>
      <w:r w:rsidR="001D31FA">
        <w:rPr>
          <w:rFonts w:eastAsia="Times New Roman" w:cs="Calibri"/>
          <w:szCs w:val="22"/>
          <w:lang w:val="en-US" w:eastAsia="en-GB"/>
        </w:rPr>
        <w:t xml:space="preserve">, </w:t>
      </w:r>
      <w:r w:rsidR="00295EBA">
        <w:rPr>
          <w:rFonts w:eastAsia="Times New Roman" w:cs="Calibri"/>
          <w:szCs w:val="22"/>
          <w:lang w:val="en-US" w:eastAsia="en-GB"/>
        </w:rPr>
        <w:t xml:space="preserve">the </w:t>
      </w:r>
      <w:r w:rsidR="009558BF">
        <w:rPr>
          <w:rFonts w:eastAsia="Times New Roman" w:cs="Calibri"/>
          <w:szCs w:val="22"/>
          <w:lang w:val="en-US" w:eastAsia="en-GB"/>
        </w:rPr>
        <w:t xml:space="preserve">nexus </w:t>
      </w:r>
      <w:r w:rsidR="00707269" w:rsidRPr="00756DAD">
        <w:rPr>
          <w:rFonts w:eastAsia="Times New Roman" w:cs="Calibri"/>
          <w:szCs w:val="22"/>
          <w:lang w:val="en-US" w:eastAsia="en-GB"/>
        </w:rPr>
        <w:t>between self-government and control of</w:t>
      </w:r>
      <w:r w:rsidR="00462921">
        <w:rPr>
          <w:rFonts w:eastAsia="Times New Roman" w:cs="Calibri"/>
          <w:szCs w:val="22"/>
          <w:lang w:val="en-US" w:eastAsia="en-GB"/>
        </w:rPr>
        <w:t xml:space="preserve"> the</w:t>
      </w:r>
      <w:r w:rsidR="00707269" w:rsidRPr="00756DAD">
        <w:rPr>
          <w:rFonts w:eastAsia="Times New Roman" w:cs="Calibri"/>
          <w:szCs w:val="22"/>
          <w:lang w:val="en-US" w:eastAsia="en-GB"/>
        </w:rPr>
        <w:t xml:space="preserve"> land</w:t>
      </w:r>
      <w:r>
        <w:rPr>
          <w:rFonts w:eastAsia="Times New Roman" w:cs="Calibri"/>
          <w:szCs w:val="22"/>
          <w:lang w:val="en-US" w:eastAsia="en-GB"/>
        </w:rPr>
        <w:t xml:space="preserve"> </w:t>
      </w:r>
      <w:r w:rsidR="00745885">
        <w:rPr>
          <w:rFonts w:eastAsia="Times New Roman" w:cs="Calibri"/>
          <w:szCs w:val="22"/>
          <w:lang w:val="en-US" w:eastAsia="en-GB"/>
        </w:rPr>
        <w:t xml:space="preserve">should be </w:t>
      </w:r>
      <w:r>
        <w:rPr>
          <w:rFonts w:eastAsia="Times New Roman" w:cs="Calibri"/>
          <w:szCs w:val="22"/>
          <w:lang w:val="en-US" w:eastAsia="en-GB"/>
        </w:rPr>
        <w:t>made</w:t>
      </w:r>
      <w:r w:rsidR="00745885">
        <w:rPr>
          <w:rFonts w:eastAsia="Times New Roman" w:cs="Calibri"/>
          <w:szCs w:val="22"/>
          <w:lang w:val="en-US" w:eastAsia="en-GB"/>
        </w:rPr>
        <w:t>, as it is not yet addressed</w:t>
      </w:r>
      <w:r w:rsidR="00707269" w:rsidRPr="00756DAD">
        <w:rPr>
          <w:rFonts w:eastAsia="Times New Roman" w:cs="Calibri"/>
          <w:szCs w:val="22"/>
          <w:lang w:val="en-US" w:eastAsia="en-GB"/>
        </w:rPr>
        <w:t xml:space="preserve">. </w:t>
      </w:r>
      <w:r w:rsidR="008A163F">
        <w:rPr>
          <w:lang w:val="en-US"/>
        </w:rPr>
        <w:t xml:space="preserve">Also, </w:t>
      </w:r>
      <w:r w:rsidR="00966A5E">
        <w:rPr>
          <w:lang w:val="en-US"/>
        </w:rPr>
        <w:t xml:space="preserve">in the references made of </w:t>
      </w:r>
      <w:r w:rsidR="008A163F">
        <w:rPr>
          <w:rFonts w:eastAsia="Times New Roman" w:cs="Calibri"/>
          <w:szCs w:val="22"/>
          <w:lang w:val="en-US" w:eastAsia="en-GB"/>
        </w:rPr>
        <w:t>“</w:t>
      </w:r>
      <w:r w:rsidR="002E7185" w:rsidRPr="002E7185">
        <w:rPr>
          <w:rFonts w:eastAsia="Times New Roman" w:cs="Calibri"/>
          <w:szCs w:val="22"/>
          <w:lang w:val="en-US" w:eastAsia="en-GB"/>
        </w:rPr>
        <w:t>control over land and resources</w:t>
      </w:r>
      <w:r w:rsidR="008A163F">
        <w:rPr>
          <w:rFonts w:eastAsia="Times New Roman" w:cs="Calibri"/>
          <w:szCs w:val="22"/>
          <w:lang w:val="en-US" w:eastAsia="en-GB"/>
        </w:rPr>
        <w:t>”</w:t>
      </w:r>
      <w:r w:rsidR="004B4642">
        <w:rPr>
          <w:rFonts w:eastAsia="Times New Roman" w:cs="Calibri"/>
          <w:szCs w:val="22"/>
          <w:lang w:val="en-US" w:eastAsia="en-GB"/>
        </w:rPr>
        <w:t xml:space="preserve"> it is important to clarify </w:t>
      </w:r>
      <w:r w:rsidR="002E7185" w:rsidRPr="002E7185">
        <w:rPr>
          <w:rFonts w:eastAsia="Times New Roman" w:cs="Calibri"/>
          <w:szCs w:val="22"/>
          <w:lang w:val="en-US" w:eastAsia="en-GB"/>
        </w:rPr>
        <w:t xml:space="preserve">how the </w:t>
      </w:r>
      <w:r w:rsidR="00ED564D">
        <w:rPr>
          <w:rFonts w:eastAsia="Times New Roman" w:cs="Calibri"/>
          <w:szCs w:val="22"/>
          <w:lang w:val="en-US" w:eastAsia="en-GB"/>
        </w:rPr>
        <w:t>“</w:t>
      </w:r>
      <w:r w:rsidR="002E7185" w:rsidRPr="002E7185">
        <w:rPr>
          <w:rFonts w:eastAsia="Times New Roman" w:cs="Calibri"/>
          <w:szCs w:val="22"/>
          <w:lang w:val="en-US" w:eastAsia="en-GB"/>
        </w:rPr>
        <w:t>control</w:t>
      </w:r>
      <w:r w:rsidR="00ED564D">
        <w:rPr>
          <w:rFonts w:eastAsia="Times New Roman" w:cs="Calibri"/>
          <w:szCs w:val="22"/>
          <w:lang w:val="en-US" w:eastAsia="en-GB"/>
        </w:rPr>
        <w:t>”</w:t>
      </w:r>
      <w:r w:rsidR="002E7185" w:rsidRPr="002E7185">
        <w:rPr>
          <w:rFonts w:eastAsia="Times New Roman" w:cs="Calibri"/>
          <w:szCs w:val="22"/>
          <w:lang w:val="en-US" w:eastAsia="en-GB"/>
        </w:rPr>
        <w:t xml:space="preserve"> will be exercised.</w:t>
      </w:r>
      <w:r w:rsidR="00BE47FF">
        <w:rPr>
          <w:rFonts w:eastAsia="Times New Roman" w:cs="Calibri"/>
          <w:szCs w:val="22"/>
          <w:lang w:val="en-US" w:eastAsia="en-GB"/>
        </w:rPr>
        <w:t xml:space="preserve"> </w:t>
      </w:r>
      <w:r w:rsidR="004B4642">
        <w:rPr>
          <w:rFonts w:eastAsia="Times New Roman" w:cs="Calibri"/>
          <w:szCs w:val="22"/>
          <w:lang w:val="en-US" w:eastAsia="en-GB"/>
        </w:rPr>
        <w:t xml:space="preserve">The latter is paramount for indigenous </w:t>
      </w:r>
      <w:r w:rsidR="00BE47FF">
        <w:rPr>
          <w:rFonts w:eastAsia="Times New Roman" w:cs="Calibri"/>
          <w:szCs w:val="22"/>
          <w:lang w:val="en-US" w:eastAsia="en-GB"/>
        </w:rPr>
        <w:t xml:space="preserve">peoples, </w:t>
      </w:r>
      <w:r w:rsidR="004B4642">
        <w:rPr>
          <w:rFonts w:eastAsia="Times New Roman" w:cs="Calibri"/>
          <w:szCs w:val="22"/>
          <w:lang w:val="en-US" w:eastAsia="en-GB"/>
        </w:rPr>
        <w:t xml:space="preserve">since </w:t>
      </w:r>
      <w:r w:rsidR="00BE47FF">
        <w:rPr>
          <w:rFonts w:eastAsia="Times New Roman" w:cs="Calibri"/>
          <w:szCs w:val="22"/>
          <w:lang w:val="en-US" w:eastAsia="en-GB"/>
        </w:rPr>
        <w:t>g</w:t>
      </w:r>
      <w:r w:rsidR="00BE47FF" w:rsidRPr="00BE47FF">
        <w:rPr>
          <w:rFonts w:eastAsia="Times New Roman" w:cs="Calibri"/>
          <w:szCs w:val="22"/>
          <w:lang w:val="en-US" w:eastAsia="en-GB"/>
        </w:rPr>
        <w:t xml:space="preserve">overnance </w:t>
      </w:r>
      <w:r w:rsidR="00BE47FF">
        <w:rPr>
          <w:rFonts w:eastAsia="Times New Roman" w:cs="Calibri"/>
          <w:szCs w:val="22"/>
          <w:lang w:val="en-US" w:eastAsia="en-GB"/>
        </w:rPr>
        <w:t xml:space="preserve">also </w:t>
      </w:r>
      <w:r w:rsidR="00BE47FF" w:rsidRPr="00BE47FF">
        <w:rPr>
          <w:rFonts w:eastAsia="Times New Roman" w:cs="Calibri"/>
          <w:szCs w:val="22"/>
          <w:lang w:val="en-US" w:eastAsia="en-GB"/>
        </w:rPr>
        <w:t>relates to customary law, spiritual and cultural relations to the land</w:t>
      </w:r>
      <w:r w:rsidR="005730D4">
        <w:rPr>
          <w:rFonts w:eastAsia="Times New Roman" w:cs="Calibri"/>
          <w:szCs w:val="22"/>
          <w:lang w:val="en-US" w:eastAsia="en-GB"/>
        </w:rPr>
        <w:t xml:space="preserve"> which </w:t>
      </w:r>
      <w:r>
        <w:rPr>
          <w:rFonts w:eastAsia="Times New Roman" w:cs="Calibri"/>
          <w:szCs w:val="22"/>
          <w:lang w:val="en-US" w:eastAsia="en-GB"/>
        </w:rPr>
        <w:t xml:space="preserve">could be adequately </w:t>
      </w:r>
      <w:r w:rsidR="00BE47FF" w:rsidRPr="00BE47FF">
        <w:rPr>
          <w:rFonts w:eastAsia="Times New Roman" w:cs="Calibri"/>
          <w:szCs w:val="22"/>
          <w:lang w:val="en-US" w:eastAsia="en-GB"/>
        </w:rPr>
        <w:t xml:space="preserve">mentioned. </w:t>
      </w:r>
    </w:p>
    <w:p w14:paraId="4CD36F32" w14:textId="77777777" w:rsidR="00B85F7A" w:rsidRDefault="00B85F7A" w:rsidP="008324D0">
      <w:pPr>
        <w:textAlignment w:val="center"/>
        <w:rPr>
          <w:rFonts w:eastAsia="Times New Roman" w:cs="Calibri"/>
          <w:szCs w:val="22"/>
          <w:lang w:val="en-US" w:eastAsia="en-GB"/>
        </w:rPr>
      </w:pPr>
    </w:p>
    <w:p w14:paraId="6A6AA996" w14:textId="2A5EC74D" w:rsidR="00A85A2E" w:rsidRPr="005D6863" w:rsidRDefault="00A85A2E" w:rsidP="00A85A2E">
      <w:pPr>
        <w:textAlignment w:val="center"/>
        <w:rPr>
          <w:rFonts w:eastAsia="Times New Roman" w:cs="Calibri"/>
          <w:szCs w:val="22"/>
          <w:lang w:val="es-ES" w:eastAsia="en-GB"/>
        </w:rPr>
      </w:pPr>
      <w:r>
        <w:rPr>
          <w:rFonts w:eastAsia="Times New Roman" w:cs="Calibri"/>
          <w:szCs w:val="22"/>
          <w:lang w:val="en-US" w:eastAsia="en-GB"/>
        </w:rPr>
        <w:t>T</w:t>
      </w:r>
      <w:r w:rsidRPr="00C314E9">
        <w:rPr>
          <w:rFonts w:eastAsia="Times New Roman" w:cs="Calibri"/>
          <w:szCs w:val="22"/>
          <w:lang w:val="en-US" w:eastAsia="en-GB"/>
        </w:rPr>
        <w:t>here is a r</w:t>
      </w:r>
      <w:r w:rsidRPr="00996B55">
        <w:rPr>
          <w:rFonts w:eastAsia="Times New Roman" w:cs="Calibri"/>
          <w:szCs w:val="22"/>
          <w:lang w:val="en-US" w:eastAsia="en-GB"/>
        </w:rPr>
        <w:t>epeated promotion of Agrarian Reform</w:t>
      </w:r>
      <w:r w:rsidRPr="00C314E9">
        <w:rPr>
          <w:rFonts w:eastAsia="Times New Roman" w:cs="Calibri"/>
          <w:szCs w:val="22"/>
          <w:lang w:val="en-US" w:eastAsia="en-GB"/>
        </w:rPr>
        <w:t xml:space="preserve">. </w:t>
      </w:r>
      <w:r w:rsidR="00CE6978">
        <w:rPr>
          <w:rFonts w:eastAsia="Times New Roman" w:cs="Calibri"/>
          <w:szCs w:val="22"/>
          <w:lang w:val="en-US" w:eastAsia="en-GB"/>
        </w:rPr>
        <w:t xml:space="preserve">Concerns were expressed since there </w:t>
      </w:r>
      <w:r w:rsidR="00E60AF2">
        <w:rPr>
          <w:rFonts w:eastAsia="Times New Roman" w:cs="Calibri"/>
          <w:szCs w:val="22"/>
          <w:lang w:val="en-US" w:eastAsia="en-GB"/>
        </w:rPr>
        <w:t>are numerous examples whereby</w:t>
      </w:r>
      <w:r w:rsidR="00526B46">
        <w:rPr>
          <w:rFonts w:eastAsia="Times New Roman" w:cs="Calibri"/>
          <w:szCs w:val="22"/>
          <w:lang w:val="en-US" w:eastAsia="en-GB"/>
        </w:rPr>
        <w:t xml:space="preserve"> </w:t>
      </w:r>
      <w:r w:rsidRPr="00C314E9">
        <w:rPr>
          <w:rFonts w:eastAsia="Times New Roman" w:cs="Calibri"/>
          <w:szCs w:val="22"/>
          <w:lang w:val="en-US" w:eastAsia="en-GB"/>
        </w:rPr>
        <w:t xml:space="preserve">Agrarian Reform </w:t>
      </w:r>
      <w:r w:rsidR="005D398D">
        <w:rPr>
          <w:rFonts w:eastAsia="Times New Roman" w:cs="Calibri"/>
          <w:szCs w:val="22"/>
          <w:lang w:val="en-US" w:eastAsia="en-GB"/>
        </w:rPr>
        <w:t xml:space="preserve">served as means to dispossess </w:t>
      </w:r>
      <w:r w:rsidRPr="00C314E9">
        <w:rPr>
          <w:rFonts w:eastAsia="Times New Roman" w:cs="Calibri"/>
          <w:szCs w:val="22"/>
          <w:lang w:val="en-US" w:eastAsia="en-GB"/>
        </w:rPr>
        <w:t xml:space="preserve">indigenous peoples </w:t>
      </w:r>
      <w:r w:rsidR="005D398D">
        <w:rPr>
          <w:rFonts w:eastAsia="Times New Roman" w:cs="Calibri"/>
          <w:szCs w:val="22"/>
          <w:lang w:val="en-US" w:eastAsia="en-GB"/>
        </w:rPr>
        <w:t>from their land</w:t>
      </w:r>
      <w:r w:rsidR="00A668EE">
        <w:rPr>
          <w:rFonts w:eastAsia="Times New Roman" w:cs="Calibri"/>
          <w:szCs w:val="22"/>
          <w:lang w:val="en-US" w:eastAsia="en-GB"/>
        </w:rPr>
        <w:t>s and territories,</w:t>
      </w:r>
      <w:r w:rsidR="00D8786F">
        <w:rPr>
          <w:rFonts w:eastAsia="Times New Roman" w:cs="Calibri"/>
          <w:szCs w:val="22"/>
          <w:lang w:val="en-US" w:eastAsia="en-GB"/>
        </w:rPr>
        <w:t xml:space="preserve"> </w:t>
      </w:r>
      <w:r w:rsidR="00A668EE">
        <w:rPr>
          <w:rFonts w:eastAsia="Times New Roman" w:cs="Calibri"/>
          <w:szCs w:val="22"/>
          <w:lang w:val="en-US" w:eastAsia="en-GB"/>
        </w:rPr>
        <w:t>and distributing these among third parties.</w:t>
      </w:r>
      <w:r w:rsidRPr="00C314E9">
        <w:rPr>
          <w:rFonts w:eastAsia="Times New Roman" w:cs="Calibri"/>
          <w:szCs w:val="22"/>
          <w:lang w:val="en-US" w:eastAsia="en-GB"/>
        </w:rPr>
        <w:t xml:space="preserve"> </w:t>
      </w:r>
      <w:r w:rsidR="00404E00">
        <w:rPr>
          <w:rFonts w:eastAsia="Times New Roman" w:cs="Calibri"/>
          <w:szCs w:val="22"/>
          <w:lang w:val="en-US" w:eastAsia="en-GB"/>
        </w:rPr>
        <w:t>R</w:t>
      </w:r>
      <w:r w:rsidRPr="00C314E9">
        <w:rPr>
          <w:rFonts w:eastAsia="Times New Roman" w:cs="Calibri"/>
          <w:szCs w:val="22"/>
          <w:lang w:val="en-US" w:eastAsia="en-GB"/>
        </w:rPr>
        <w:t>edistributi</w:t>
      </w:r>
      <w:r w:rsidR="00404E00">
        <w:rPr>
          <w:rFonts w:eastAsia="Times New Roman" w:cs="Calibri"/>
          <w:szCs w:val="22"/>
          <w:lang w:val="en-US" w:eastAsia="en-GB"/>
        </w:rPr>
        <w:t xml:space="preserve">on of land through Agrarian Reforms may serve a </w:t>
      </w:r>
      <w:r w:rsidR="00E82939">
        <w:rPr>
          <w:rFonts w:eastAsia="Times New Roman" w:cs="Calibri"/>
          <w:szCs w:val="22"/>
          <w:lang w:val="en-US" w:eastAsia="en-GB"/>
        </w:rPr>
        <w:t>good purpose and may be considered harmless</w:t>
      </w:r>
      <w:r w:rsidR="009B35D5">
        <w:rPr>
          <w:rFonts w:eastAsia="Times New Roman" w:cs="Calibri"/>
          <w:szCs w:val="22"/>
          <w:lang w:val="en-US" w:eastAsia="en-GB"/>
        </w:rPr>
        <w:t>;</w:t>
      </w:r>
      <w:r w:rsidR="00E82939">
        <w:rPr>
          <w:rFonts w:eastAsia="Times New Roman" w:cs="Calibri"/>
          <w:szCs w:val="22"/>
          <w:lang w:val="en-US" w:eastAsia="en-GB"/>
        </w:rPr>
        <w:t xml:space="preserve"> </w:t>
      </w:r>
      <w:r w:rsidRPr="00C314E9">
        <w:rPr>
          <w:rFonts w:eastAsia="Times New Roman" w:cs="Calibri"/>
          <w:szCs w:val="22"/>
          <w:lang w:val="en-US" w:eastAsia="en-GB"/>
        </w:rPr>
        <w:t xml:space="preserve">nonetheless, </w:t>
      </w:r>
      <w:r w:rsidR="00DB309C">
        <w:rPr>
          <w:rFonts w:eastAsia="Times New Roman" w:cs="Calibri"/>
          <w:szCs w:val="22"/>
          <w:lang w:val="en-US" w:eastAsia="en-GB"/>
        </w:rPr>
        <w:t>it</w:t>
      </w:r>
      <w:r w:rsidR="00E82939">
        <w:rPr>
          <w:rFonts w:eastAsia="Times New Roman" w:cs="Calibri"/>
          <w:szCs w:val="22"/>
          <w:lang w:val="en-US" w:eastAsia="en-GB"/>
        </w:rPr>
        <w:t xml:space="preserve"> </w:t>
      </w:r>
      <w:r w:rsidRPr="00C314E9">
        <w:rPr>
          <w:rFonts w:eastAsia="Times New Roman" w:cs="Calibri"/>
          <w:szCs w:val="22"/>
          <w:lang w:val="en-US" w:eastAsia="en-GB"/>
        </w:rPr>
        <w:t xml:space="preserve">may prejudice indigenous peoples and </w:t>
      </w:r>
      <w:r w:rsidR="00864F62">
        <w:rPr>
          <w:rFonts w:eastAsia="Times New Roman" w:cs="Calibri"/>
          <w:szCs w:val="22"/>
          <w:lang w:val="en-US" w:eastAsia="en-GB"/>
        </w:rPr>
        <w:t xml:space="preserve">the General Comment provides </w:t>
      </w:r>
      <w:r w:rsidRPr="00C314E9">
        <w:rPr>
          <w:rFonts w:eastAsia="Times New Roman" w:cs="Calibri"/>
          <w:szCs w:val="22"/>
          <w:lang w:val="en-US" w:eastAsia="en-GB"/>
        </w:rPr>
        <w:t>no tools to address these conflicts</w:t>
      </w:r>
      <w:r w:rsidR="00673D7A">
        <w:rPr>
          <w:rFonts w:eastAsia="Times New Roman" w:cs="Calibri"/>
          <w:szCs w:val="22"/>
          <w:lang w:val="en-US" w:eastAsia="en-GB"/>
        </w:rPr>
        <w:t xml:space="preserve">. </w:t>
      </w:r>
    </w:p>
    <w:p w14:paraId="0006FC7B" w14:textId="77777777" w:rsidR="00CE0A45" w:rsidRDefault="00CE0A45" w:rsidP="00A85A2E">
      <w:pPr>
        <w:textAlignment w:val="center"/>
        <w:rPr>
          <w:rFonts w:eastAsia="Times New Roman" w:cs="Calibri"/>
          <w:szCs w:val="22"/>
          <w:lang w:val="en-US" w:eastAsia="en-GB"/>
        </w:rPr>
      </w:pPr>
    </w:p>
    <w:p w14:paraId="0AC048BF" w14:textId="5778E0B9" w:rsidR="00663481" w:rsidRDefault="00CE6978" w:rsidP="00925067">
      <w:pPr>
        <w:textAlignment w:val="center"/>
        <w:rPr>
          <w:rFonts w:eastAsia="Times New Roman" w:cs="Calibri"/>
          <w:szCs w:val="22"/>
          <w:lang w:val="en-US" w:eastAsia="en-GB"/>
        </w:rPr>
      </w:pPr>
      <w:r>
        <w:rPr>
          <w:rFonts w:eastAsia="Times New Roman" w:cs="Calibri"/>
          <w:szCs w:val="22"/>
          <w:lang w:val="en-US" w:eastAsia="en-GB"/>
        </w:rPr>
        <w:t>Furthermore, reference should be made to treaties, agreements and other constructive arr</w:t>
      </w:r>
      <w:r w:rsidR="007C5A89">
        <w:rPr>
          <w:rFonts w:eastAsia="Times New Roman" w:cs="Calibri"/>
          <w:szCs w:val="22"/>
          <w:lang w:val="en-US" w:eastAsia="en-GB"/>
        </w:rPr>
        <w:t xml:space="preserve">angements. Treaties are hard law. </w:t>
      </w:r>
      <w:r w:rsidR="00663481">
        <w:rPr>
          <w:rFonts w:eastAsia="Times New Roman" w:cs="Calibri"/>
          <w:szCs w:val="22"/>
          <w:lang w:val="en-US" w:eastAsia="en-GB"/>
        </w:rPr>
        <w:t>In general, for indigenous peoples, treaties pertain to land rights.</w:t>
      </w:r>
      <w:r w:rsidR="005D6863">
        <w:rPr>
          <w:rFonts w:eastAsia="Times New Roman" w:cs="Calibri"/>
          <w:szCs w:val="22"/>
          <w:lang w:val="en-US" w:eastAsia="en-GB"/>
        </w:rPr>
        <w:t>. Therefore, these should be referenced.</w:t>
      </w:r>
    </w:p>
    <w:p w14:paraId="6571999E" w14:textId="77777777" w:rsidR="007F2832" w:rsidRDefault="007F2832" w:rsidP="007F2832">
      <w:pPr>
        <w:textAlignment w:val="center"/>
        <w:rPr>
          <w:rFonts w:eastAsia="Times New Roman" w:cs="Calibri"/>
          <w:szCs w:val="22"/>
          <w:lang w:val="en-US" w:eastAsia="en-GB"/>
        </w:rPr>
      </w:pPr>
    </w:p>
    <w:p w14:paraId="521F20CF" w14:textId="3558E693" w:rsidR="007F2832" w:rsidRDefault="006145C9" w:rsidP="007F2832">
      <w:pPr>
        <w:textAlignment w:val="center"/>
        <w:rPr>
          <w:rFonts w:eastAsia="Times New Roman" w:cs="Calibri"/>
          <w:szCs w:val="22"/>
          <w:lang w:val="en-US" w:eastAsia="en-GB"/>
        </w:rPr>
      </w:pPr>
      <w:r>
        <w:rPr>
          <w:rFonts w:eastAsia="Times New Roman" w:cs="Calibri"/>
          <w:szCs w:val="22"/>
          <w:lang w:val="en-US" w:eastAsia="en-GB"/>
        </w:rPr>
        <w:t>T</w:t>
      </w:r>
      <w:r w:rsidR="007924CE">
        <w:rPr>
          <w:rFonts w:eastAsia="Times New Roman" w:cs="Calibri"/>
          <w:szCs w:val="22"/>
          <w:lang w:val="en-US" w:eastAsia="en-GB"/>
        </w:rPr>
        <w:t xml:space="preserve">he </w:t>
      </w:r>
      <w:r w:rsidR="002C124F">
        <w:rPr>
          <w:rFonts w:eastAsia="Times New Roman" w:cs="Calibri"/>
          <w:szCs w:val="22"/>
          <w:lang w:val="en-US" w:eastAsia="en-GB"/>
        </w:rPr>
        <w:t>General Comment</w:t>
      </w:r>
      <w:r>
        <w:rPr>
          <w:rFonts w:eastAsia="Times New Roman" w:cs="Calibri"/>
          <w:szCs w:val="22"/>
          <w:lang w:val="en-US" w:eastAsia="en-GB"/>
        </w:rPr>
        <w:t xml:space="preserve"> should </w:t>
      </w:r>
      <w:r w:rsidR="002C124F">
        <w:rPr>
          <w:rFonts w:eastAsia="Times New Roman" w:cs="Calibri"/>
          <w:szCs w:val="22"/>
          <w:lang w:val="en-US" w:eastAsia="en-GB"/>
        </w:rPr>
        <w:t xml:space="preserve">uphold and further develop </w:t>
      </w:r>
      <w:r w:rsidR="007924CE">
        <w:rPr>
          <w:rFonts w:eastAsia="Times New Roman" w:cs="Calibri"/>
          <w:szCs w:val="22"/>
          <w:lang w:val="en-US" w:eastAsia="en-GB"/>
        </w:rPr>
        <w:t xml:space="preserve">standards to properly </w:t>
      </w:r>
      <w:r w:rsidR="007F2832">
        <w:rPr>
          <w:rFonts w:eastAsia="Times New Roman" w:cs="Calibri"/>
          <w:szCs w:val="22"/>
          <w:lang w:val="en-US" w:eastAsia="en-GB"/>
        </w:rPr>
        <w:t>protect indigenous peoples’ rights to lands, territories and resources</w:t>
      </w:r>
      <w:r w:rsidR="00E40673">
        <w:rPr>
          <w:rFonts w:eastAsia="Times New Roman" w:cs="Calibri"/>
          <w:szCs w:val="22"/>
          <w:lang w:val="en-US" w:eastAsia="en-GB"/>
        </w:rPr>
        <w:t xml:space="preserve"> and their livelihoods</w:t>
      </w:r>
      <w:r w:rsidR="00FF69E5">
        <w:rPr>
          <w:rFonts w:eastAsia="Times New Roman" w:cs="Calibri"/>
          <w:szCs w:val="22"/>
          <w:lang w:val="en-US" w:eastAsia="en-GB"/>
        </w:rPr>
        <w:t xml:space="preserve">. This is of great importance since the identity and survival of indigenous peoples </w:t>
      </w:r>
      <w:r w:rsidR="00297AAC">
        <w:rPr>
          <w:rFonts w:eastAsia="Times New Roman" w:cs="Calibri"/>
          <w:szCs w:val="22"/>
          <w:lang w:val="en-US" w:eastAsia="en-GB"/>
        </w:rPr>
        <w:t xml:space="preserve">relates directly </w:t>
      </w:r>
      <w:r w:rsidR="00933E39">
        <w:rPr>
          <w:rFonts w:eastAsia="Times New Roman" w:cs="Calibri"/>
          <w:szCs w:val="22"/>
          <w:lang w:val="en-US" w:eastAsia="en-GB"/>
        </w:rPr>
        <w:t>these.</w:t>
      </w:r>
    </w:p>
    <w:p w14:paraId="3A458991" w14:textId="77777777" w:rsidR="007F2832" w:rsidRPr="00C314E9" w:rsidRDefault="007F2832" w:rsidP="00A85A2E">
      <w:pPr>
        <w:textAlignment w:val="center"/>
        <w:rPr>
          <w:rFonts w:eastAsia="Times New Roman" w:cs="Calibri"/>
          <w:szCs w:val="22"/>
          <w:lang w:val="en-US" w:eastAsia="en-GB"/>
        </w:rPr>
      </w:pPr>
    </w:p>
    <w:p w14:paraId="0B104515" w14:textId="54D0CCF8" w:rsidR="003B349D" w:rsidRDefault="007C5A89" w:rsidP="00DC0955">
      <w:pPr>
        <w:pStyle w:val="Heading3"/>
      </w:pPr>
      <w:bookmarkStart w:id="2" w:name="_Ref75807449"/>
      <w:bookmarkStart w:id="3" w:name="_Ref79006206"/>
      <w:r>
        <w:t xml:space="preserve">The need for coherence with </w:t>
      </w:r>
      <w:r w:rsidR="001046ED">
        <w:t>UNDRIP</w:t>
      </w:r>
      <w:bookmarkEnd w:id="2"/>
      <w:r>
        <w:t xml:space="preserve"> and other relevant international human rights instruments and standar</w:t>
      </w:r>
      <w:r w:rsidR="00775DE8">
        <w:t>d</w:t>
      </w:r>
      <w:r>
        <w:t>s</w:t>
      </w:r>
      <w:bookmarkEnd w:id="3"/>
    </w:p>
    <w:p w14:paraId="6F6DC2FD" w14:textId="77E57CAC" w:rsidR="001046ED" w:rsidRDefault="001046ED" w:rsidP="001B7F20">
      <w:pPr>
        <w:rPr>
          <w:rFonts w:eastAsia="Times New Roman" w:cs="Calibri"/>
          <w:szCs w:val="22"/>
          <w:lang w:val="en-US" w:eastAsia="en-GB"/>
        </w:rPr>
      </w:pPr>
    </w:p>
    <w:p w14:paraId="7B84B1E9" w14:textId="55A7F725" w:rsidR="00303178" w:rsidRDefault="00933E39" w:rsidP="00303178">
      <w:pPr>
        <w:rPr>
          <w:lang w:val="en-US"/>
        </w:rPr>
      </w:pPr>
      <w:r>
        <w:rPr>
          <w:rFonts w:eastAsia="Times New Roman" w:cs="Calibri"/>
          <w:szCs w:val="22"/>
          <w:lang w:val="en-US" w:eastAsia="en-GB"/>
        </w:rPr>
        <w:t>A</w:t>
      </w:r>
      <w:r w:rsidR="009B35D5">
        <w:rPr>
          <w:rFonts w:eastAsia="Times New Roman" w:cs="Calibri"/>
          <w:szCs w:val="22"/>
          <w:lang w:val="en-US" w:eastAsia="en-GB"/>
        </w:rPr>
        <w:t xml:space="preserve"> </w:t>
      </w:r>
      <w:r w:rsidR="005941FF">
        <w:rPr>
          <w:rFonts w:eastAsia="Times New Roman" w:cs="Calibri"/>
          <w:szCs w:val="22"/>
          <w:lang w:val="en-US" w:eastAsia="en-GB"/>
        </w:rPr>
        <w:t xml:space="preserve">strong emphasis was made on the need to uphold international standards enshrined </w:t>
      </w:r>
      <w:r w:rsidR="005941FF" w:rsidRPr="00C314E9">
        <w:rPr>
          <w:lang w:val="en-US"/>
        </w:rPr>
        <w:t>in the UN</w:t>
      </w:r>
      <w:r>
        <w:rPr>
          <w:lang w:val="en-US"/>
        </w:rPr>
        <w:t>DRIP</w:t>
      </w:r>
      <w:r w:rsidR="005941FF" w:rsidRPr="00C314E9">
        <w:rPr>
          <w:lang w:val="en-US"/>
        </w:rPr>
        <w:t xml:space="preserve"> and other relevant international human rights instruments and jurisprudence.</w:t>
      </w:r>
      <w:r w:rsidR="00303178">
        <w:rPr>
          <w:lang w:val="en-US"/>
        </w:rPr>
        <w:t xml:space="preserve"> </w:t>
      </w:r>
    </w:p>
    <w:p w14:paraId="04F9C490" w14:textId="77777777" w:rsidR="00A12F9B" w:rsidRPr="00996B55" w:rsidRDefault="00A12F9B" w:rsidP="00303178">
      <w:pPr>
        <w:rPr>
          <w:rFonts w:eastAsia="Times New Roman" w:cs="Calibri"/>
          <w:szCs w:val="22"/>
          <w:lang w:val="en-US" w:eastAsia="en-GB"/>
        </w:rPr>
      </w:pPr>
    </w:p>
    <w:p w14:paraId="647B5491" w14:textId="408A3B46" w:rsidR="00F8164D" w:rsidRPr="00996B55" w:rsidRDefault="00096783" w:rsidP="00F8164D">
      <w:pPr>
        <w:rPr>
          <w:rFonts w:eastAsia="Times New Roman" w:cs="Calibri"/>
          <w:szCs w:val="22"/>
          <w:lang w:val="en-US" w:eastAsia="en-GB"/>
        </w:rPr>
      </w:pPr>
      <w:r>
        <w:rPr>
          <w:rFonts w:eastAsia="Times New Roman" w:cs="Calibri"/>
          <w:szCs w:val="22"/>
          <w:lang w:val="en-US" w:eastAsia="en-GB"/>
        </w:rPr>
        <w:t>T</w:t>
      </w:r>
      <w:r w:rsidR="00061056">
        <w:rPr>
          <w:rFonts w:eastAsia="Times New Roman" w:cs="Calibri"/>
          <w:szCs w:val="22"/>
          <w:lang w:val="en-US" w:eastAsia="en-GB"/>
        </w:rPr>
        <w:t>he Draft</w:t>
      </w:r>
      <w:r w:rsidR="00A12F9B">
        <w:rPr>
          <w:rFonts w:eastAsia="Times New Roman" w:cs="Calibri"/>
          <w:szCs w:val="22"/>
          <w:lang w:val="en-US" w:eastAsia="en-GB"/>
        </w:rPr>
        <w:t xml:space="preserve"> General</w:t>
      </w:r>
      <w:r w:rsidR="00061056">
        <w:rPr>
          <w:rFonts w:eastAsia="Times New Roman" w:cs="Calibri"/>
          <w:szCs w:val="22"/>
          <w:lang w:val="en-US" w:eastAsia="en-GB"/>
        </w:rPr>
        <w:t xml:space="preserve"> Comment should </w:t>
      </w:r>
      <w:r>
        <w:rPr>
          <w:rFonts w:eastAsia="Times New Roman" w:cs="Calibri"/>
          <w:szCs w:val="22"/>
          <w:lang w:val="en-US" w:eastAsia="en-GB"/>
        </w:rPr>
        <w:t xml:space="preserve">properly </w:t>
      </w:r>
      <w:r w:rsidR="00061056">
        <w:rPr>
          <w:rFonts w:eastAsia="Times New Roman" w:cs="Calibri"/>
          <w:szCs w:val="22"/>
          <w:lang w:val="en-US" w:eastAsia="en-GB"/>
        </w:rPr>
        <w:t xml:space="preserve">use </w:t>
      </w:r>
      <w:r w:rsidR="002815F2">
        <w:rPr>
          <w:rFonts w:eastAsia="Times New Roman" w:cs="Calibri"/>
          <w:szCs w:val="22"/>
          <w:lang w:val="en-US" w:eastAsia="en-GB"/>
        </w:rPr>
        <w:t xml:space="preserve">UNDRIP as a framework in the </w:t>
      </w:r>
      <w:r w:rsidR="00303178">
        <w:rPr>
          <w:rFonts w:eastAsia="Times New Roman" w:cs="Calibri"/>
          <w:szCs w:val="22"/>
          <w:lang w:val="en-US" w:eastAsia="en-GB"/>
        </w:rPr>
        <w:t>analysis</w:t>
      </w:r>
      <w:r w:rsidR="004F4DC1">
        <w:rPr>
          <w:rFonts w:eastAsia="Times New Roman" w:cs="Calibri"/>
          <w:szCs w:val="22"/>
          <w:lang w:val="en-US" w:eastAsia="en-GB"/>
        </w:rPr>
        <w:t xml:space="preserve">, </w:t>
      </w:r>
      <w:r w:rsidR="00303178">
        <w:rPr>
          <w:rFonts w:eastAsia="Times New Roman" w:cs="Calibri"/>
          <w:szCs w:val="22"/>
          <w:lang w:val="en-US" w:eastAsia="en-GB"/>
        </w:rPr>
        <w:t>interpretation</w:t>
      </w:r>
      <w:r w:rsidR="009B1F26">
        <w:rPr>
          <w:rFonts w:eastAsia="Times New Roman" w:cs="Calibri"/>
          <w:szCs w:val="22"/>
          <w:lang w:val="en-US" w:eastAsia="en-GB"/>
        </w:rPr>
        <w:t xml:space="preserve"> </w:t>
      </w:r>
      <w:r w:rsidR="004F4DC1">
        <w:rPr>
          <w:rFonts w:eastAsia="Times New Roman" w:cs="Calibri"/>
          <w:szCs w:val="22"/>
          <w:lang w:val="en-US" w:eastAsia="en-GB"/>
        </w:rPr>
        <w:t xml:space="preserve">and clarification of </w:t>
      </w:r>
      <w:r w:rsidR="009B1F26">
        <w:rPr>
          <w:rFonts w:eastAsia="Times New Roman" w:cs="Calibri"/>
          <w:szCs w:val="22"/>
          <w:lang w:val="en-US" w:eastAsia="en-GB"/>
        </w:rPr>
        <w:t xml:space="preserve">the </w:t>
      </w:r>
      <w:r w:rsidR="00284A5A" w:rsidRPr="00284A5A">
        <w:rPr>
          <w:rFonts w:eastAsia="Times New Roman" w:cs="Calibri"/>
          <w:szCs w:val="22"/>
          <w:lang w:val="en-US" w:eastAsia="en-GB"/>
        </w:rPr>
        <w:t>State obligations under the Covenant.</w:t>
      </w:r>
      <w:r>
        <w:rPr>
          <w:rStyle w:val="FootnoteReference"/>
          <w:rFonts w:eastAsia="Times New Roman" w:cs="Calibri"/>
          <w:szCs w:val="22"/>
          <w:lang w:val="en-US" w:eastAsia="en-GB"/>
        </w:rPr>
        <w:footnoteReference w:id="7"/>
      </w:r>
      <w:r w:rsidR="009B1F26">
        <w:rPr>
          <w:rFonts w:eastAsia="Times New Roman" w:cs="Calibri"/>
          <w:szCs w:val="22"/>
          <w:lang w:val="en-US" w:eastAsia="en-GB"/>
        </w:rPr>
        <w:t xml:space="preserve"> </w:t>
      </w:r>
      <w:r w:rsidR="00FF5B98">
        <w:rPr>
          <w:rFonts w:eastAsia="Times New Roman" w:cs="Calibri"/>
          <w:szCs w:val="22"/>
          <w:lang w:val="en-US" w:eastAsia="en-GB"/>
        </w:rPr>
        <w:t xml:space="preserve">In addition, </w:t>
      </w:r>
      <w:r w:rsidR="00F8164D">
        <w:rPr>
          <w:rFonts w:eastAsia="Times New Roman" w:cs="Calibri"/>
          <w:szCs w:val="22"/>
          <w:lang w:val="en-US" w:eastAsia="en-GB"/>
        </w:rPr>
        <w:t xml:space="preserve">it is important to emphasize that </w:t>
      </w:r>
      <w:r w:rsidR="00F8164D">
        <w:rPr>
          <w:lang w:val="en-US"/>
        </w:rPr>
        <w:t>UNDRIP is a universally</w:t>
      </w:r>
      <w:r w:rsidR="000A73BA">
        <w:rPr>
          <w:lang w:val="en-US"/>
        </w:rPr>
        <w:t>-</w:t>
      </w:r>
      <w:r w:rsidR="00F8164D">
        <w:rPr>
          <w:lang w:val="en-US"/>
        </w:rPr>
        <w:t xml:space="preserve">recognized standard and it </w:t>
      </w:r>
      <w:r w:rsidR="00F8164D" w:rsidRPr="00996B55">
        <w:rPr>
          <w:rFonts w:eastAsia="Times New Roman" w:cs="Calibri"/>
          <w:szCs w:val="22"/>
          <w:lang w:val="en-US" w:eastAsia="en-GB"/>
        </w:rPr>
        <w:t xml:space="preserve">restates existing </w:t>
      </w:r>
      <w:r w:rsidR="00F8164D">
        <w:rPr>
          <w:rFonts w:eastAsia="Times New Roman" w:cs="Calibri"/>
          <w:szCs w:val="22"/>
          <w:lang w:val="en-US" w:eastAsia="en-GB"/>
        </w:rPr>
        <w:t xml:space="preserve">binding law. </w:t>
      </w:r>
    </w:p>
    <w:p w14:paraId="34D786E2" w14:textId="77777777" w:rsidR="001F4CCF" w:rsidRPr="00CB4ECE" w:rsidRDefault="001F4CCF" w:rsidP="00CB4ECE">
      <w:pPr>
        <w:textAlignment w:val="center"/>
        <w:rPr>
          <w:rFonts w:eastAsia="Times New Roman" w:cs="Calibri"/>
          <w:szCs w:val="22"/>
          <w:lang w:val="en-US" w:eastAsia="en-GB"/>
        </w:rPr>
      </w:pPr>
    </w:p>
    <w:p w14:paraId="722BAFB5" w14:textId="07785150" w:rsidR="00A4606E" w:rsidRPr="00CB4ECE" w:rsidRDefault="007C5A89" w:rsidP="00CB4ECE">
      <w:pPr>
        <w:textAlignment w:val="center"/>
        <w:rPr>
          <w:rFonts w:eastAsia="Times New Roman" w:cs="Calibri"/>
          <w:szCs w:val="22"/>
          <w:lang w:val="en-US" w:eastAsia="en-GB"/>
        </w:rPr>
      </w:pPr>
      <w:r>
        <w:rPr>
          <w:rFonts w:eastAsia="Times New Roman" w:cs="Calibri"/>
          <w:szCs w:val="22"/>
          <w:lang w:val="en-US" w:eastAsia="en-GB"/>
        </w:rPr>
        <w:t xml:space="preserve">Some issues were raised </w:t>
      </w:r>
      <w:r w:rsidR="00A40814">
        <w:rPr>
          <w:rFonts w:eastAsia="Times New Roman" w:cs="Calibri"/>
          <w:szCs w:val="22"/>
          <w:lang w:val="en-US" w:eastAsia="en-GB"/>
        </w:rPr>
        <w:t xml:space="preserve">regarding </w:t>
      </w:r>
      <w:r w:rsidR="00CB4ECE">
        <w:rPr>
          <w:rFonts w:eastAsia="Times New Roman" w:cs="Calibri"/>
          <w:szCs w:val="22"/>
          <w:lang w:val="en-US" w:eastAsia="en-GB"/>
        </w:rPr>
        <w:t>the right to Free, Prior and Informed Consent (FPIC)</w:t>
      </w:r>
      <w:r w:rsidR="000A73BA">
        <w:rPr>
          <w:rFonts w:eastAsia="Times New Roman" w:cs="Calibri"/>
          <w:szCs w:val="22"/>
          <w:lang w:val="en-US" w:eastAsia="en-GB"/>
        </w:rPr>
        <w:t>.</w:t>
      </w:r>
      <w:r w:rsidR="00CB4ECE">
        <w:rPr>
          <w:rFonts w:eastAsia="Times New Roman" w:cs="Calibri"/>
          <w:szCs w:val="22"/>
          <w:lang w:val="en-US" w:eastAsia="en-GB"/>
        </w:rPr>
        <w:t xml:space="preserve"> </w:t>
      </w:r>
      <w:r w:rsidR="000A73BA">
        <w:rPr>
          <w:rFonts w:eastAsia="Times New Roman" w:cs="Calibri"/>
          <w:szCs w:val="22"/>
          <w:lang w:val="en-US" w:eastAsia="en-GB"/>
        </w:rPr>
        <w:t>T</w:t>
      </w:r>
      <w:r w:rsidR="00CB4ECE">
        <w:rPr>
          <w:rFonts w:eastAsia="Times New Roman" w:cs="Calibri"/>
          <w:szCs w:val="22"/>
          <w:lang w:val="en-US" w:eastAsia="en-GB"/>
        </w:rPr>
        <w:t xml:space="preserve">he </w:t>
      </w:r>
      <w:r w:rsidR="00A12F9B">
        <w:rPr>
          <w:rFonts w:eastAsia="Times New Roman" w:cs="Calibri"/>
          <w:szCs w:val="22"/>
          <w:lang w:val="en-US" w:eastAsia="en-GB"/>
        </w:rPr>
        <w:t xml:space="preserve">Draft </w:t>
      </w:r>
      <w:r w:rsidR="00CB4ECE">
        <w:rPr>
          <w:rFonts w:eastAsia="Times New Roman" w:cs="Calibri"/>
          <w:szCs w:val="22"/>
          <w:lang w:val="en-US" w:eastAsia="en-GB"/>
        </w:rPr>
        <w:t xml:space="preserve">General Comment recognizes </w:t>
      </w:r>
      <w:r w:rsidR="000A73BA">
        <w:rPr>
          <w:rFonts w:eastAsia="Times New Roman" w:cs="Calibri"/>
          <w:szCs w:val="22"/>
          <w:lang w:val="en-US" w:eastAsia="en-GB"/>
        </w:rPr>
        <w:t>FPIC</w:t>
      </w:r>
      <w:r w:rsidR="000A7E41">
        <w:rPr>
          <w:rFonts w:eastAsia="Times New Roman" w:cs="Calibri"/>
          <w:szCs w:val="22"/>
          <w:lang w:val="en-US" w:eastAsia="en-GB"/>
        </w:rPr>
        <w:t xml:space="preserve"> as </w:t>
      </w:r>
      <w:r w:rsidR="00CB4ECE">
        <w:rPr>
          <w:rFonts w:eastAsia="Times New Roman" w:cs="Calibri"/>
          <w:szCs w:val="22"/>
          <w:lang w:val="en-US" w:eastAsia="en-GB"/>
        </w:rPr>
        <w:t xml:space="preserve">an </w:t>
      </w:r>
      <w:r w:rsidR="00557546" w:rsidRPr="00CB4ECE">
        <w:rPr>
          <w:rFonts w:eastAsia="Times New Roman" w:cs="Calibri"/>
          <w:szCs w:val="22"/>
          <w:lang w:val="en-US" w:eastAsia="en-GB"/>
        </w:rPr>
        <w:t xml:space="preserve">appropriate standard of engagement with </w:t>
      </w:r>
      <w:r w:rsidR="00CB4ECE">
        <w:rPr>
          <w:rFonts w:eastAsia="Times New Roman" w:cs="Calibri"/>
          <w:szCs w:val="22"/>
          <w:lang w:val="en-US" w:eastAsia="en-GB"/>
        </w:rPr>
        <w:t>indigenous peoples; nonetheless</w:t>
      </w:r>
      <w:r w:rsidR="003B7602">
        <w:rPr>
          <w:rFonts w:eastAsia="Times New Roman" w:cs="Calibri"/>
          <w:szCs w:val="22"/>
          <w:lang w:val="en-US" w:eastAsia="en-GB"/>
        </w:rPr>
        <w:t>,</w:t>
      </w:r>
      <w:r w:rsidR="00557546" w:rsidRPr="00CB4ECE">
        <w:rPr>
          <w:rFonts w:eastAsia="Times New Roman" w:cs="Calibri"/>
          <w:szCs w:val="22"/>
          <w:lang w:val="en-US" w:eastAsia="en-GB"/>
        </w:rPr>
        <w:t xml:space="preserve"> </w:t>
      </w:r>
      <w:r w:rsidR="00CB4ECE">
        <w:rPr>
          <w:rFonts w:eastAsia="Times New Roman" w:cs="Calibri"/>
          <w:szCs w:val="22"/>
          <w:lang w:val="en-US" w:eastAsia="en-GB"/>
        </w:rPr>
        <w:t xml:space="preserve">it is </w:t>
      </w:r>
      <w:r w:rsidR="00557546" w:rsidRPr="00CB4ECE">
        <w:rPr>
          <w:rFonts w:eastAsia="Times New Roman" w:cs="Calibri"/>
          <w:szCs w:val="22"/>
          <w:lang w:val="en-US" w:eastAsia="en-GB"/>
        </w:rPr>
        <w:t xml:space="preserve">ambiguous with regards to </w:t>
      </w:r>
      <w:r w:rsidR="00211DE4">
        <w:rPr>
          <w:rFonts w:eastAsia="Times New Roman" w:cs="Calibri"/>
          <w:szCs w:val="22"/>
          <w:lang w:val="en-US" w:eastAsia="en-GB"/>
        </w:rPr>
        <w:t xml:space="preserve">FPIC and </w:t>
      </w:r>
      <w:r w:rsidR="00557546" w:rsidRPr="00CB4ECE">
        <w:rPr>
          <w:rFonts w:eastAsia="Times New Roman" w:cs="Calibri"/>
          <w:szCs w:val="22"/>
          <w:lang w:val="en-US" w:eastAsia="en-GB"/>
        </w:rPr>
        <w:t>relocation</w:t>
      </w:r>
      <w:r w:rsidR="00211DE4">
        <w:rPr>
          <w:rFonts w:eastAsia="Times New Roman" w:cs="Calibri"/>
          <w:szCs w:val="22"/>
          <w:lang w:val="en-US" w:eastAsia="en-GB"/>
        </w:rPr>
        <w:t xml:space="preserve">, </w:t>
      </w:r>
      <w:r w:rsidR="000A7E41">
        <w:rPr>
          <w:rFonts w:eastAsia="Times New Roman" w:cs="Calibri"/>
          <w:szCs w:val="22"/>
          <w:lang w:val="en-US" w:eastAsia="en-GB"/>
        </w:rPr>
        <w:t xml:space="preserve">resulting in </w:t>
      </w:r>
      <w:r w:rsidR="00A55576">
        <w:rPr>
          <w:rFonts w:eastAsia="Times New Roman" w:cs="Calibri"/>
          <w:szCs w:val="22"/>
          <w:lang w:val="en-US" w:eastAsia="en-GB"/>
        </w:rPr>
        <w:t xml:space="preserve">contradiction with </w:t>
      </w:r>
      <w:r w:rsidR="00557546" w:rsidRPr="00CB4ECE">
        <w:rPr>
          <w:rFonts w:eastAsia="Times New Roman" w:cs="Calibri"/>
          <w:szCs w:val="22"/>
          <w:lang w:val="en-US" w:eastAsia="en-GB"/>
        </w:rPr>
        <w:t>UNDRIP</w:t>
      </w:r>
      <w:r w:rsidR="00910797">
        <w:rPr>
          <w:rFonts w:eastAsia="Times New Roman" w:cs="Calibri"/>
          <w:szCs w:val="22"/>
          <w:lang w:val="en-US" w:eastAsia="en-GB"/>
        </w:rPr>
        <w:t>.</w:t>
      </w:r>
      <w:r w:rsidR="000E041A">
        <w:rPr>
          <w:rStyle w:val="FootnoteReference"/>
          <w:rFonts w:eastAsia="Times New Roman" w:cs="Calibri"/>
          <w:szCs w:val="22"/>
          <w:lang w:val="en-US" w:eastAsia="en-GB"/>
        </w:rPr>
        <w:footnoteReference w:id="8"/>
      </w:r>
      <w:r w:rsidR="00AB346A">
        <w:rPr>
          <w:rFonts w:eastAsia="Times New Roman" w:cs="Calibri"/>
          <w:szCs w:val="22"/>
          <w:lang w:val="en-US" w:eastAsia="en-GB"/>
        </w:rPr>
        <w:t xml:space="preserve"> </w:t>
      </w:r>
      <w:r w:rsidR="00C86C8F">
        <w:rPr>
          <w:rFonts w:eastAsia="Times New Roman" w:cs="Calibri"/>
          <w:szCs w:val="22"/>
          <w:lang w:val="en-US" w:eastAsia="en-GB"/>
        </w:rPr>
        <w:t xml:space="preserve">It is important to </w:t>
      </w:r>
      <w:r w:rsidR="00910797">
        <w:rPr>
          <w:rFonts w:eastAsia="Times New Roman" w:cs="Calibri"/>
          <w:szCs w:val="22"/>
          <w:lang w:val="en-US" w:eastAsia="en-GB"/>
        </w:rPr>
        <w:t xml:space="preserve">define </w:t>
      </w:r>
      <w:r w:rsidR="00910797" w:rsidRPr="00910797">
        <w:rPr>
          <w:rFonts w:eastAsia="Times New Roman" w:cs="Calibri"/>
          <w:szCs w:val="22"/>
          <w:lang w:val="en-US" w:eastAsia="en-GB"/>
        </w:rPr>
        <w:t xml:space="preserve">what are “narrowly defined circumstances” </w:t>
      </w:r>
      <w:r w:rsidR="00C86C8F">
        <w:rPr>
          <w:rFonts w:eastAsia="Times New Roman" w:cs="Calibri"/>
          <w:szCs w:val="22"/>
          <w:lang w:val="en-US" w:eastAsia="en-GB"/>
        </w:rPr>
        <w:t xml:space="preserve">and correct the reference that </w:t>
      </w:r>
      <w:r w:rsidR="00910797" w:rsidRPr="00910797">
        <w:rPr>
          <w:rFonts w:eastAsia="Times New Roman" w:cs="Calibri"/>
          <w:szCs w:val="22"/>
          <w:lang w:val="en-US" w:eastAsia="en-GB"/>
        </w:rPr>
        <w:t>“in principle” it must be done with FPIC. UNDRIP</w:t>
      </w:r>
      <w:r w:rsidR="00922A1E">
        <w:rPr>
          <w:rStyle w:val="FootnoteReference"/>
          <w:rFonts w:eastAsia="Times New Roman" w:cs="Calibri"/>
          <w:szCs w:val="22"/>
          <w:lang w:val="en-US" w:eastAsia="en-GB"/>
        </w:rPr>
        <w:footnoteReference w:id="9"/>
      </w:r>
      <w:r w:rsidR="00910797" w:rsidRPr="00910797">
        <w:rPr>
          <w:rFonts w:eastAsia="Times New Roman" w:cs="Calibri"/>
          <w:szCs w:val="22"/>
          <w:lang w:val="en-US" w:eastAsia="en-GB"/>
        </w:rPr>
        <w:t xml:space="preserve"> </w:t>
      </w:r>
      <w:r w:rsidR="00D66B5B">
        <w:rPr>
          <w:rFonts w:eastAsia="Times New Roman" w:cs="Calibri"/>
          <w:szCs w:val="22"/>
          <w:lang w:val="en-US" w:eastAsia="en-GB"/>
        </w:rPr>
        <w:t xml:space="preserve">and </w:t>
      </w:r>
      <w:r w:rsidR="00910797" w:rsidRPr="00910797">
        <w:rPr>
          <w:rFonts w:eastAsia="Times New Roman" w:cs="Calibri"/>
          <w:szCs w:val="22"/>
          <w:lang w:val="en-US" w:eastAsia="en-GB"/>
        </w:rPr>
        <w:t xml:space="preserve">other jurisprudence </w:t>
      </w:r>
      <w:r w:rsidR="00D73D4A">
        <w:rPr>
          <w:rFonts w:eastAsia="Times New Roman" w:cs="Calibri"/>
          <w:szCs w:val="22"/>
          <w:lang w:val="en-US" w:eastAsia="en-GB"/>
        </w:rPr>
        <w:t xml:space="preserve">explicitly </w:t>
      </w:r>
      <w:r w:rsidR="00910797" w:rsidRPr="00910797">
        <w:rPr>
          <w:rFonts w:eastAsia="Times New Roman" w:cs="Calibri"/>
          <w:szCs w:val="22"/>
          <w:lang w:val="en-US" w:eastAsia="en-GB"/>
        </w:rPr>
        <w:t>state that under no circumstances will indigenous peoples be forcibly relocated without their</w:t>
      </w:r>
      <w:r w:rsidR="00922A1E">
        <w:rPr>
          <w:rFonts w:eastAsia="Times New Roman" w:cs="Calibri"/>
          <w:szCs w:val="22"/>
          <w:lang w:val="en-US" w:eastAsia="en-GB"/>
        </w:rPr>
        <w:t xml:space="preserve"> consent</w:t>
      </w:r>
      <w:r w:rsidR="00910797" w:rsidRPr="00910797">
        <w:rPr>
          <w:rFonts w:eastAsia="Times New Roman" w:cs="Calibri"/>
          <w:szCs w:val="22"/>
          <w:lang w:val="en-US" w:eastAsia="en-GB"/>
        </w:rPr>
        <w:t xml:space="preserve">. </w:t>
      </w:r>
      <w:r w:rsidR="00A4606E">
        <w:t xml:space="preserve">The right of Indigenous peoples </w:t>
      </w:r>
      <w:r w:rsidR="00946CB5" w:rsidRPr="008F2BDB">
        <w:rPr>
          <w:lang w:val="en-US"/>
        </w:rPr>
        <w:t>redress</w:t>
      </w:r>
      <w:r w:rsidR="008F2BDB" w:rsidRPr="008F2BDB">
        <w:rPr>
          <w:lang w:val="en-US"/>
        </w:rPr>
        <w:t>, and when not pos</w:t>
      </w:r>
      <w:r w:rsidR="008F2BDB">
        <w:rPr>
          <w:lang w:val="en-US"/>
        </w:rPr>
        <w:t>sib</w:t>
      </w:r>
      <w:r w:rsidR="008F2BDB" w:rsidRPr="008F2BDB">
        <w:rPr>
          <w:lang w:val="en-US"/>
        </w:rPr>
        <w:t xml:space="preserve">le, to </w:t>
      </w:r>
      <w:r w:rsidR="008F2BDB">
        <w:rPr>
          <w:lang w:val="en-US"/>
        </w:rPr>
        <w:t xml:space="preserve">just, fair and equitable compensation </w:t>
      </w:r>
      <w:r w:rsidR="00A4606E">
        <w:t xml:space="preserve">should be guaranteed, pursuant to </w:t>
      </w:r>
      <w:r w:rsidR="000E23E2" w:rsidRPr="000E23E2">
        <w:rPr>
          <w:lang w:val="en-US"/>
        </w:rPr>
        <w:t>UNDRIP</w:t>
      </w:r>
      <w:r w:rsidR="000E23E2">
        <w:rPr>
          <w:lang w:val="en-US"/>
        </w:rPr>
        <w:t xml:space="preserve"> Article</w:t>
      </w:r>
      <w:r w:rsidR="00A4606E">
        <w:t xml:space="preserve"> 28.</w:t>
      </w:r>
      <w:r w:rsidR="008F2BDB">
        <w:rPr>
          <w:rStyle w:val="FootnoteReference"/>
        </w:rPr>
        <w:footnoteReference w:id="10"/>
      </w:r>
    </w:p>
    <w:p w14:paraId="4545BF75" w14:textId="77777777" w:rsidR="00557546" w:rsidRPr="00922A1E" w:rsidRDefault="00557546" w:rsidP="00557546">
      <w:pPr>
        <w:textAlignment w:val="center"/>
        <w:rPr>
          <w:rFonts w:eastAsia="Times New Roman" w:cs="Calibri"/>
          <w:szCs w:val="22"/>
          <w:lang w:val="en-US" w:eastAsia="en-GB"/>
        </w:rPr>
      </w:pPr>
    </w:p>
    <w:p w14:paraId="236FDC30" w14:textId="1B90304B" w:rsidR="00C15986" w:rsidRPr="00756BBE" w:rsidRDefault="00D73D4A" w:rsidP="005333B7">
      <w:pPr>
        <w:textAlignment w:val="center"/>
        <w:rPr>
          <w:rFonts w:eastAsia="Times New Roman" w:cs="Calibri"/>
          <w:szCs w:val="22"/>
          <w:lang w:val="en-US" w:eastAsia="en-GB"/>
        </w:rPr>
      </w:pPr>
      <w:r>
        <w:rPr>
          <w:rFonts w:eastAsia="Times New Roman" w:cs="Calibri"/>
          <w:szCs w:val="22"/>
          <w:lang w:val="en-US" w:eastAsia="en-GB"/>
        </w:rPr>
        <w:t xml:space="preserve">The Draft Comment contains </w:t>
      </w:r>
      <w:r w:rsidR="00C15986" w:rsidRPr="005333B7">
        <w:rPr>
          <w:rFonts w:eastAsia="Times New Roman" w:cs="Calibri"/>
          <w:szCs w:val="22"/>
          <w:lang w:val="en-US" w:eastAsia="en-GB"/>
        </w:rPr>
        <w:t xml:space="preserve">language </w:t>
      </w:r>
      <w:r w:rsidR="000E34FC">
        <w:rPr>
          <w:rFonts w:eastAsia="Times New Roman" w:cs="Calibri"/>
          <w:szCs w:val="22"/>
          <w:lang w:val="en-US" w:eastAsia="en-GB"/>
        </w:rPr>
        <w:t>could result in</w:t>
      </w:r>
      <w:r w:rsidR="00C15986" w:rsidRPr="005333B7">
        <w:rPr>
          <w:rFonts w:eastAsia="Times New Roman" w:cs="Calibri"/>
          <w:szCs w:val="22"/>
          <w:lang w:val="en-US" w:eastAsia="en-GB"/>
        </w:rPr>
        <w:t xml:space="preserve"> </w:t>
      </w:r>
      <w:r w:rsidR="000E34FC">
        <w:rPr>
          <w:rFonts w:eastAsia="Times New Roman" w:cs="Calibri"/>
          <w:szCs w:val="22"/>
          <w:lang w:val="en-US" w:eastAsia="en-GB"/>
        </w:rPr>
        <w:t xml:space="preserve">denying </w:t>
      </w:r>
      <w:r w:rsidR="00C15986" w:rsidRPr="005333B7">
        <w:rPr>
          <w:rFonts w:eastAsia="Times New Roman" w:cs="Calibri"/>
          <w:szCs w:val="22"/>
          <w:lang w:val="en-US" w:eastAsia="en-GB"/>
        </w:rPr>
        <w:t xml:space="preserve">agency and </w:t>
      </w:r>
      <w:r w:rsidR="00832C69">
        <w:rPr>
          <w:rFonts w:eastAsia="Times New Roman" w:cs="Calibri"/>
          <w:szCs w:val="22"/>
          <w:lang w:val="en-US" w:eastAsia="en-GB"/>
        </w:rPr>
        <w:t>indigenous peoples’</w:t>
      </w:r>
      <w:r w:rsidR="00C15986" w:rsidRPr="005333B7">
        <w:rPr>
          <w:rFonts w:eastAsia="Times New Roman" w:cs="Calibri"/>
          <w:szCs w:val="22"/>
          <w:lang w:val="en-US" w:eastAsia="en-GB"/>
        </w:rPr>
        <w:t xml:space="preserve"> distinct rights-holder status. </w:t>
      </w:r>
      <w:r w:rsidR="00B423BC">
        <w:rPr>
          <w:rFonts w:eastAsia="Times New Roman" w:cs="Calibri"/>
          <w:szCs w:val="22"/>
          <w:lang w:val="en-US" w:eastAsia="en-GB"/>
        </w:rPr>
        <w:t xml:space="preserve">Statements such as </w:t>
      </w:r>
      <w:r w:rsidR="005333B7" w:rsidRPr="005333B7">
        <w:rPr>
          <w:rFonts w:eastAsia="Times New Roman" w:cs="Calibri"/>
          <w:szCs w:val="22"/>
          <w:lang w:val="en-US" w:eastAsia="en-GB"/>
        </w:rPr>
        <w:t xml:space="preserve">“indigenous and other traditional communities rely on the natural resources on their lands for subsistence and the conduct of traditional cultural practices” </w:t>
      </w:r>
      <w:r w:rsidR="00300FF0">
        <w:rPr>
          <w:rFonts w:eastAsia="Times New Roman" w:cs="Calibri"/>
          <w:szCs w:val="22"/>
          <w:lang w:val="en-US" w:eastAsia="en-GB"/>
        </w:rPr>
        <w:lastRenderedPageBreak/>
        <w:t xml:space="preserve">limits the right to Self-Determination as </w:t>
      </w:r>
      <w:r w:rsidR="005A2D58">
        <w:rPr>
          <w:rFonts w:eastAsia="Times New Roman" w:cs="Calibri"/>
          <w:szCs w:val="22"/>
          <w:lang w:val="en-US" w:eastAsia="en-GB"/>
        </w:rPr>
        <w:t xml:space="preserve">it </w:t>
      </w:r>
      <w:r w:rsidR="00300FF0">
        <w:rPr>
          <w:rFonts w:eastAsia="Times New Roman" w:cs="Calibri"/>
          <w:szCs w:val="22"/>
          <w:lang w:val="en-US" w:eastAsia="en-GB"/>
        </w:rPr>
        <w:t xml:space="preserve">states </w:t>
      </w:r>
      <w:r w:rsidR="005333B7" w:rsidRPr="005333B7">
        <w:rPr>
          <w:rFonts w:eastAsia="Times New Roman" w:cs="Calibri"/>
          <w:szCs w:val="22"/>
          <w:lang w:val="en-US" w:eastAsia="en-GB"/>
        </w:rPr>
        <w:t>that indigenous peoples use their resources for subsistence activities</w:t>
      </w:r>
      <w:r w:rsidR="00300FF0">
        <w:rPr>
          <w:rFonts w:eastAsia="Times New Roman" w:cs="Calibri"/>
          <w:szCs w:val="22"/>
          <w:lang w:val="en-US" w:eastAsia="en-GB"/>
        </w:rPr>
        <w:t xml:space="preserve"> only</w:t>
      </w:r>
      <w:r w:rsidR="005333B7" w:rsidRPr="005333B7">
        <w:rPr>
          <w:rFonts w:eastAsia="Times New Roman" w:cs="Calibri"/>
          <w:szCs w:val="22"/>
          <w:lang w:val="en-US" w:eastAsia="en-GB"/>
        </w:rPr>
        <w:t>.</w:t>
      </w:r>
      <w:r w:rsidR="009B2AA8">
        <w:rPr>
          <w:rFonts w:eastAsia="Times New Roman" w:cs="Calibri"/>
          <w:szCs w:val="22"/>
          <w:lang w:val="en-US" w:eastAsia="en-GB"/>
        </w:rPr>
        <w:t xml:space="preserve"> </w:t>
      </w:r>
      <w:r w:rsidR="004910E0">
        <w:rPr>
          <w:rFonts w:eastAsia="Times New Roman" w:cs="Calibri"/>
          <w:szCs w:val="22"/>
          <w:lang w:val="en-US" w:eastAsia="en-GB"/>
        </w:rPr>
        <w:t>This is important since n</w:t>
      </w:r>
      <w:r w:rsidR="009B2AA8">
        <w:rPr>
          <w:rFonts w:eastAsia="Times New Roman" w:cs="Calibri"/>
          <w:szCs w:val="22"/>
          <w:lang w:val="en-US" w:eastAsia="en-GB"/>
        </w:rPr>
        <w:t xml:space="preserve">ot all indigenous peoples practice </w:t>
      </w:r>
      <w:r w:rsidR="004910E0">
        <w:rPr>
          <w:rFonts w:eastAsia="Times New Roman" w:cs="Calibri"/>
          <w:szCs w:val="22"/>
          <w:lang w:val="en-US" w:eastAsia="en-GB"/>
        </w:rPr>
        <w:t>only subsistence activities</w:t>
      </w:r>
      <w:r w:rsidR="00A96AE7">
        <w:rPr>
          <w:rFonts w:eastAsia="Times New Roman" w:cs="Calibri"/>
          <w:szCs w:val="22"/>
          <w:lang w:val="en-US" w:eastAsia="en-GB"/>
        </w:rPr>
        <w:t xml:space="preserve">. </w:t>
      </w:r>
      <w:r w:rsidR="005333B7" w:rsidRPr="005333B7">
        <w:rPr>
          <w:rFonts w:eastAsia="Times New Roman" w:cs="Calibri"/>
          <w:szCs w:val="22"/>
          <w:lang w:val="en-US" w:eastAsia="en-GB"/>
        </w:rPr>
        <w:t>This creates a standard that the use of resources has to be attached to traditional practice</w:t>
      </w:r>
      <w:r>
        <w:rPr>
          <w:rFonts w:eastAsia="Times New Roman" w:cs="Calibri"/>
          <w:szCs w:val="22"/>
          <w:lang w:val="en-US" w:eastAsia="en-GB"/>
        </w:rPr>
        <w:t>s</w:t>
      </w:r>
      <w:r w:rsidR="004910E0">
        <w:rPr>
          <w:rFonts w:eastAsia="Times New Roman" w:cs="Calibri"/>
          <w:szCs w:val="22"/>
          <w:lang w:val="en-US" w:eastAsia="en-GB"/>
        </w:rPr>
        <w:t xml:space="preserve"> contravening UNDRIP.</w:t>
      </w:r>
      <w:r w:rsidR="00DF40D7">
        <w:rPr>
          <w:rFonts w:eastAsia="Times New Roman" w:cs="Calibri"/>
          <w:szCs w:val="22"/>
          <w:lang w:val="en-US" w:eastAsia="en-GB"/>
        </w:rPr>
        <w:t xml:space="preserve"> </w:t>
      </w:r>
    </w:p>
    <w:p w14:paraId="242F7D67" w14:textId="44DB108E" w:rsidR="001046ED" w:rsidRDefault="001046ED" w:rsidP="001B7F20">
      <w:pPr>
        <w:rPr>
          <w:rFonts w:eastAsia="Times New Roman" w:cs="Calibri"/>
          <w:szCs w:val="22"/>
          <w:lang w:val="en-US" w:eastAsia="en-GB"/>
        </w:rPr>
      </w:pPr>
    </w:p>
    <w:p w14:paraId="0B1FEB2D" w14:textId="2726FD2E" w:rsidR="003007CE" w:rsidRPr="000B2CEB" w:rsidRDefault="00A86473" w:rsidP="003007CE">
      <w:pPr>
        <w:textAlignment w:val="center"/>
        <w:rPr>
          <w:rFonts w:eastAsia="Times New Roman" w:cs="Calibri"/>
          <w:szCs w:val="22"/>
          <w:lang w:val="en-US" w:eastAsia="en-GB"/>
        </w:rPr>
      </w:pPr>
      <w:r>
        <w:rPr>
          <w:rFonts w:eastAsia="Times New Roman" w:cs="Calibri"/>
          <w:szCs w:val="22"/>
          <w:lang w:val="en-US" w:eastAsia="en-GB"/>
        </w:rPr>
        <w:t>It is important to note that certain rights and standards that</w:t>
      </w:r>
      <w:r w:rsidR="00F75F29">
        <w:rPr>
          <w:rFonts w:eastAsia="Times New Roman" w:cs="Calibri"/>
          <w:szCs w:val="22"/>
          <w:lang w:val="en-US" w:eastAsia="en-GB"/>
        </w:rPr>
        <w:t xml:space="preserve"> are inherent to</w:t>
      </w:r>
      <w:r>
        <w:rPr>
          <w:rFonts w:eastAsia="Times New Roman" w:cs="Calibri"/>
          <w:szCs w:val="22"/>
          <w:lang w:val="en-US" w:eastAsia="en-GB"/>
        </w:rPr>
        <w:t xml:space="preserve"> </w:t>
      </w:r>
      <w:r w:rsidR="00C15986" w:rsidRPr="0051648E">
        <w:rPr>
          <w:rFonts w:eastAsia="Times New Roman" w:cs="Calibri"/>
          <w:szCs w:val="22"/>
          <w:lang w:val="en-US" w:eastAsia="en-GB"/>
        </w:rPr>
        <w:t xml:space="preserve">indigenous peoples </w:t>
      </w:r>
      <w:r w:rsidR="00F75F29">
        <w:rPr>
          <w:rFonts w:eastAsia="Times New Roman" w:cs="Calibri"/>
          <w:szCs w:val="22"/>
          <w:lang w:val="en-US" w:eastAsia="en-GB"/>
        </w:rPr>
        <w:t xml:space="preserve">that </w:t>
      </w:r>
      <w:r>
        <w:rPr>
          <w:rFonts w:eastAsia="Times New Roman" w:cs="Calibri"/>
          <w:szCs w:val="22"/>
          <w:lang w:val="en-US" w:eastAsia="en-GB"/>
        </w:rPr>
        <w:t xml:space="preserve">do not necessarily apply in the context of other </w:t>
      </w:r>
      <w:r w:rsidR="00A43031">
        <w:rPr>
          <w:rFonts w:eastAsia="Times New Roman" w:cs="Calibri"/>
          <w:szCs w:val="22"/>
          <w:lang w:val="en-US" w:eastAsia="en-GB"/>
        </w:rPr>
        <w:t>groups.</w:t>
      </w:r>
      <w:r w:rsidR="003007CE">
        <w:rPr>
          <w:rFonts w:eastAsia="Times New Roman" w:cs="Calibri"/>
          <w:szCs w:val="22"/>
          <w:lang w:val="en-US" w:eastAsia="en-GB"/>
        </w:rPr>
        <w:t xml:space="preserve"> For example, in </w:t>
      </w:r>
      <w:r w:rsidR="003007CE" w:rsidRPr="003007CE">
        <w:rPr>
          <w:rFonts w:eastAsia="Times New Roman" w:cs="Calibri"/>
          <w:szCs w:val="22"/>
          <w:lang w:val="en-US" w:eastAsia="en-GB"/>
        </w:rPr>
        <w:t xml:space="preserve">paragraph 23 </w:t>
      </w:r>
      <w:r w:rsidR="00C61D79">
        <w:rPr>
          <w:rFonts w:eastAsia="Times New Roman" w:cs="Calibri"/>
          <w:szCs w:val="22"/>
          <w:lang w:val="en-US" w:eastAsia="en-GB"/>
        </w:rPr>
        <w:t xml:space="preserve">related to </w:t>
      </w:r>
      <w:r w:rsidR="00F72325">
        <w:rPr>
          <w:rFonts w:eastAsia="Times New Roman" w:cs="Calibri"/>
          <w:szCs w:val="22"/>
          <w:lang w:val="en-US" w:eastAsia="en-GB"/>
        </w:rPr>
        <w:t xml:space="preserve">the </w:t>
      </w:r>
      <w:r w:rsidR="00864B15">
        <w:rPr>
          <w:rFonts w:eastAsia="Times New Roman" w:cs="Calibri"/>
          <w:szCs w:val="22"/>
          <w:lang w:val="en-US" w:eastAsia="en-GB"/>
        </w:rPr>
        <w:t xml:space="preserve">judgments of </w:t>
      </w:r>
      <w:r w:rsidR="00F72325">
        <w:rPr>
          <w:rFonts w:eastAsia="Times New Roman" w:cs="Calibri"/>
          <w:szCs w:val="22"/>
          <w:lang w:val="en-US" w:eastAsia="en-GB"/>
        </w:rPr>
        <w:t>the Inter-American Court o</w:t>
      </w:r>
      <w:r w:rsidR="008502E9">
        <w:rPr>
          <w:rFonts w:eastAsia="Times New Roman" w:cs="Calibri"/>
          <w:szCs w:val="22"/>
          <w:lang w:val="en-US" w:eastAsia="en-GB"/>
        </w:rPr>
        <w:t>n</w:t>
      </w:r>
      <w:r w:rsidR="00F72325">
        <w:rPr>
          <w:rFonts w:eastAsia="Times New Roman" w:cs="Calibri"/>
          <w:szCs w:val="22"/>
          <w:lang w:val="en-US" w:eastAsia="en-GB"/>
        </w:rPr>
        <w:t xml:space="preserve"> Human Rights</w:t>
      </w:r>
      <w:r w:rsidR="00C61D79">
        <w:rPr>
          <w:rFonts w:eastAsia="Times New Roman" w:cs="Calibri"/>
          <w:szCs w:val="22"/>
          <w:lang w:val="en-US" w:eastAsia="en-GB"/>
        </w:rPr>
        <w:t xml:space="preserve"> extend </w:t>
      </w:r>
      <w:r w:rsidR="000B2CEB">
        <w:rPr>
          <w:rFonts w:eastAsia="Times New Roman" w:cs="Calibri"/>
          <w:szCs w:val="22"/>
          <w:lang w:val="en-US" w:eastAsia="en-GB"/>
        </w:rPr>
        <w:t xml:space="preserve">these </w:t>
      </w:r>
      <w:r w:rsidR="003007CE" w:rsidRPr="003007CE">
        <w:rPr>
          <w:rFonts w:eastAsia="Times New Roman" w:cs="Calibri"/>
          <w:szCs w:val="22"/>
          <w:lang w:val="en-US" w:eastAsia="en-GB"/>
        </w:rPr>
        <w:t>rights to other</w:t>
      </w:r>
      <w:r w:rsidR="000B2CEB">
        <w:rPr>
          <w:rFonts w:eastAsia="Times New Roman" w:cs="Calibri"/>
          <w:szCs w:val="22"/>
          <w:lang w:val="en-US" w:eastAsia="en-GB"/>
        </w:rPr>
        <w:t xml:space="preserve"> “traditional communities”</w:t>
      </w:r>
      <w:r w:rsidR="00C61D79">
        <w:rPr>
          <w:rFonts w:eastAsia="Times New Roman" w:cs="Calibri"/>
          <w:szCs w:val="22"/>
          <w:lang w:val="en-US" w:eastAsia="en-GB"/>
        </w:rPr>
        <w:t xml:space="preserve">, which, in </w:t>
      </w:r>
      <w:r w:rsidR="00965A15">
        <w:rPr>
          <w:rFonts w:eastAsia="Times New Roman" w:cs="Calibri"/>
          <w:szCs w:val="22"/>
          <w:lang w:val="en-US" w:eastAsia="en-GB"/>
        </w:rPr>
        <w:t xml:space="preserve">the referenced </w:t>
      </w:r>
      <w:r w:rsidR="00C61D79">
        <w:rPr>
          <w:rFonts w:eastAsia="Times New Roman" w:cs="Calibri"/>
          <w:szCs w:val="22"/>
          <w:lang w:val="en-US" w:eastAsia="en-GB"/>
        </w:rPr>
        <w:t>cases related to indigenous and tribal peoples only</w:t>
      </w:r>
      <w:r w:rsidR="00864B15">
        <w:rPr>
          <w:rFonts w:eastAsia="Times New Roman" w:cs="Calibri"/>
          <w:szCs w:val="22"/>
          <w:lang w:val="en-US" w:eastAsia="en-GB"/>
        </w:rPr>
        <w:t>.</w:t>
      </w:r>
      <w:r w:rsidR="005372ED">
        <w:rPr>
          <w:rStyle w:val="FootnoteReference"/>
          <w:rFonts w:eastAsia="Times New Roman" w:cs="Calibri"/>
          <w:szCs w:val="22"/>
          <w:lang w:val="en-US" w:eastAsia="en-GB"/>
        </w:rPr>
        <w:footnoteReference w:id="11"/>
      </w:r>
      <w:r w:rsidR="00864B15">
        <w:rPr>
          <w:rFonts w:eastAsia="Times New Roman" w:cs="Calibri"/>
          <w:szCs w:val="22"/>
          <w:lang w:val="en-US" w:eastAsia="en-GB"/>
        </w:rPr>
        <w:t xml:space="preserve"> </w:t>
      </w:r>
    </w:p>
    <w:p w14:paraId="0A3CD1D4" w14:textId="5A4A6497" w:rsidR="00DF4BCF" w:rsidRDefault="00DF4BCF" w:rsidP="003007CE">
      <w:pPr>
        <w:textAlignment w:val="center"/>
        <w:rPr>
          <w:rFonts w:eastAsia="Times New Roman" w:cs="Calibri"/>
          <w:szCs w:val="22"/>
          <w:lang w:val="en-US" w:eastAsia="en-GB"/>
        </w:rPr>
      </w:pPr>
    </w:p>
    <w:p w14:paraId="0653FFDB" w14:textId="1C5C5DE3" w:rsidR="003356F2" w:rsidRPr="00366EF5" w:rsidRDefault="00622CBD" w:rsidP="00366EF5">
      <w:pPr>
        <w:textAlignment w:val="center"/>
        <w:rPr>
          <w:rFonts w:eastAsia="Times New Roman" w:cs="Calibri"/>
          <w:szCs w:val="22"/>
          <w:lang w:val="en-US" w:eastAsia="en-GB"/>
        </w:rPr>
      </w:pPr>
      <w:r w:rsidRPr="00996B55">
        <w:rPr>
          <w:rFonts w:eastAsia="Times New Roman" w:cs="Calibri"/>
          <w:szCs w:val="22"/>
          <w:lang w:val="en-US" w:eastAsia="en-GB"/>
        </w:rPr>
        <w:t>The Committee</w:t>
      </w:r>
      <w:r w:rsidR="00750848">
        <w:rPr>
          <w:rFonts w:eastAsia="Times New Roman" w:cs="Calibri"/>
          <w:szCs w:val="22"/>
          <w:lang w:val="en-US" w:eastAsia="en-GB"/>
        </w:rPr>
        <w:t xml:space="preserve"> </w:t>
      </w:r>
      <w:r w:rsidR="00EE668F">
        <w:rPr>
          <w:rFonts w:eastAsia="Times New Roman" w:cs="Calibri"/>
          <w:szCs w:val="22"/>
          <w:lang w:val="en-US" w:eastAsia="en-GB"/>
        </w:rPr>
        <w:t>has the opportunity to properly address indigenous peoples issues</w:t>
      </w:r>
      <w:r w:rsidR="00EE3156">
        <w:rPr>
          <w:rFonts w:eastAsia="Times New Roman" w:cs="Calibri"/>
          <w:szCs w:val="22"/>
          <w:lang w:val="en-US" w:eastAsia="en-GB"/>
        </w:rPr>
        <w:t xml:space="preserve">, and further elaborate on the interconnected nature of human rights. </w:t>
      </w:r>
      <w:r w:rsidR="000202E7">
        <w:rPr>
          <w:rFonts w:eastAsia="Times New Roman" w:cs="Calibri"/>
          <w:szCs w:val="22"/>
          <w:lang w:val="en-US" w:eastAsia="en-GB"/>
        </w:rPr>
        <w:t xml:space="preserve">For </w:t>
      </w:r>
      <w:r w:rsidR="003356F2" w:rsidRPr="00C314E9">
        <w:rPr>
          <w:rFonts w:eastAsia="Times New Roman" w:cs="Calibri"/>
          <w:szCs w:val="22"/>
          <w:lang w:val="en-US" w:eastAsia="en-GB"/>
        </w:rPr>
        <w:t>instance</w:t>
      </w:r>
      <w:r w:rsidR="000202E7">
        <w:rPr>
          <w:rFonts w:eastAsia="Times New Roman" w:cs="Calibri"/>
          <w:szCs w:val="22"/>
          <w:lang w:val="en-US" w:eastAsia="en-GB"/>
        </w:rPr>
        <w:t xml:space="preserve">, </w:t>
      </w:r>
      <w:r w:rsidR="00941097">
        <w:rPr>
          <w:rFonts w:eastAsia="Times New Roman" w:cs="Calibri"/>
          <w:szCs w:val="22"/>
          <w:lang w:val="en-US" w:eastAsia="en-GB"/>
        </w:rPr>
        <w:t xml:space="preserve">referencing </w:t>
      </w:r>
      <w:r w:rsidR="000202E7">
        <w:rPr>
          <w:rFonts w:eastAsia="Times New Roman" w:cs="Calibri"/>
          <w:szCs w:val="22"/>
          <w:lang w:val="en-US" w:eastAsia="en-GB"/>
        </w:rPr>
        <w:t xml:space="preserve">the </w:t>
      </w:r>
      <w:r w:rsidR="003356F2" w:rsidRPr="00996B55">
        <w:rPr>
          <w:rFonts w:eastAsia="Times New Roman" w:cs="Calibri"/>
          <w:szCs w:val="22"/>
          <w:lang w:val="en-US" w:eastAsia="en-GB"/>
        </w:rPr>
        <w:t>General Comment on the Right to Healt</w:t>
      </w:r>
      <w:r w:rsidR="003356F2" w:rsidRPr="00C314E9">
        <w:rPr>
          <w:rFonts w:eastAsia="Times New Roman" w:cs="Calibri"/>
          <w:szCs w:val="22"/>
          <w:lang w:val="en-US" w:eastAsia="en-GB"/>
        </w:rPr>
        <w:t>h</w:t>
      </w:r>
      <w:r w:rsidR="00366EF5">
        <w:rPr>
          <w:rFonts w:eastAsia="Times New Roman" w:cs="Calibri"/>
          <w:szCs w:val="22"/>
          <w:lang w:val="en-US" w:eastAsia="en-GB"/>
        </w:rPr>
        <w:t>,</w:t>
      </w:r>
      <w:r w:rsidR="003356F2" w:rsidRPr="00C314E9">
        <w:rPr>
          <w:rStyle w:val="FootnoteReference"/>
          <w:rFonts w:eastAsia="Times New Roman" w:cs="Calibri"/>
          <w:i/>
          <w:iCs/>
          <w:szCs w:val="22"/>
          <w:lang w:val="en-US" w:eastAsia="en-GB"/>
        </w:rPr>
        <w:footnoteReference w:id="12"/>
      </w:r>
      <w:r w:rsidR="00366EF5">
        <w:rPr>
          <w:rFonts w:eastAsia="Times New Roman" w:cs="Calibri"/>
          <w:szCs w:val="22"/>
          <w:lang w:val="en-US" w:eastAsia="en-GB"/>
        </w:rPr>
        <w:t xml:space="preserve"> </w:t>
      </w:r>
      <w:r w:rsidR="00941097">
        <w:rPr>
          <w:rFonts w:eastAsia="Times New Roman" w:cs="Calibri"/>
          <w:szCs w:val="22"/>
          <w:lang w:val="en-US" w:eastAsia="en-GB"/>
        </w:rPr>
        <w:t xml:space="preserve">and </w:t>
      </w:r>
      <w:r w:rsidR="003356F2" w:rsidRPr="00C314E9">
        <w:rPr>
          <w:rFonts w:eastAsia="Times New Roman" w:cs="Calibri"/>
          <w:szCs w:val="22"/>
          <w:lang w:val="en-US" w:eastAsia="en-GB"/>
        </w:rPr>
        <w:t>in the General Comment on the Right to Water</w:t>
      </w:r>
      <w:r w:rsidR="00366EF5">
        <w:rPr>
          <w:rFonts w:eastAsia="Times New Roman" w:cs="Calibri"/>
          <w:szCs w:val="22"/>
          <w:lang w:val="en-US" w:eastAsia="en-GB"/>
        </w:rPr>
        <w:t>.</w:t>
      </w:r>
      <w:r w:rsidR="003356F2" w:rsidRPr="000B3946">
        <w:rPr>
          <w:rStyle w:val="FootnoteReference"/>
          <w:rFonts w:eastAsia="Times New Roman" w:cs="Calibri"/>
          <w:i/>
          <w:iCs/>
          <w:szCs w:val="22"/>
          <w:lang w:val="en-US" w:eastAsia="en-GB"/>
        </w:rPr>
        <w:footnoteReference w:id="13"/>
      </w:r>
    </w:p>
    <w:p w14:paraId="5F8B2FE6" w14:textId="77777777" w:rsidR="003356F2" w:rsidRPr="00C314E9" w:rsidRDefault="003356F2" w:rsidP="003356F2">
      <w:pPr>
        <w:textAlignment w:val="center"/>
        <w:rPr>
          <w:rFonts w:eastAsia="Times New Roman" w:cs="Calibri"/>
          <w:szCs w:val="22"/>
          <w:lang w:val="en-US" w:eastAsia="en-GB"/>
        </w:rPr>
      </w:pPr>
    </w:p>
    <w:p w14:paraId="62C0B4AA" w14:textId="2F78A32B" w:rsidR="00960E68" w:rsidRPr="00C314E9" w:rsidRDefault="00960E68" w:rsidP="00960E68">
      <w:pPr>
        <w:textAlignment w:val="center"/>
        <w:rPr>
          <w:rFonts w:eastAsia="Times New Roman" w:cs="Calibri"/>
          <w:szCs w:val="22"/>
          <w:lang w:val="en-US" w:eastAsia="en-GB"/>
        </w:rPr>
      </w:pPr>
      <w:r>
        <w:rPr>
          <w:rFonts w:eastAsia="Times New Roman" w:cs="Calibri"/>
          <w:szCs w:val="22"/>
          <w:lang w:val="en-US" w:eastAsia="en-GB"/>
        </w:rPr>
        <w:t>On another issue</w:t>
      </w:r>
      <w:r w:rsidRPr="00C314E9">
        <w:rPr>
          <w:rFonts w:eastAsia="Times New Roman" w:cs="Calibri"/>
          <w:szCs w:val="22"/>
          <w:lang w:val="en-US" w:eastAsia="en-GB"/>
        </w:rPr>
        <w:t xml:space="preserve">, the </w:t>
      </w:r>
      <w:r w:rsidR="00A12F9B">
        <w:rPr>
          <w:rFonts w:eastAsia="Times New Roman" w:cs="Calibri"/>
          <w:szCs w:val="22"/>
          <w:lang w:val="en-US" w:eastAsia="en-GB"/>
        </w:rPr>
        <w:t xml:space="preserve">Draft </w:t>
      </w:r>
      <w:r w:rsidRPr="00C314E9">
        <w:rPr>
          <w:rFonts w:eastAsia="Times New Roman" w:cs="Calibri"/>
          <w:szCs w:val="22"/>
          <w:lang w:val="en-US" w:eastAsia="en-GB"/>
        </w:rPr>
        <w:t xml:space="preserve">General Comment </w:t>
      </w:r>
      <w:r w:rsidR="00941097">
        <w:rPr>
          <w:rFonts w:eastAsia="Times New Roman" w:cs="Calibri"/>
          <w:szCs w:val="22"/>
          <w:lang w:val="en-US" w:eastAsia="en-GB"/>
        </w:rPr>
        <w:t xml:space="preserve">states that </w:t>
      </w:r>
      <w:r w:rsidRPr="00C314E9">
        <w:rPr>
          <w:rFonts w:eastAsia="Times New Roman" w:cs="Calibri"/>
          <w:szCs w:val="22"/>
          <w:lang w:val="en-US" w:eastAsia="en-GB"/>
        </w:rPr>
        <w:t>“</w:t>
      </w:r>
      <w:r w:rsidR="002E7185">
        <w:rPr>
          <w:rFonts w:eastAsia="Times New Roman" w:cs="Calibri"/>
          <w:szCs w:val="22"/>
          <w:lang w:val="en-US" w:eastAsia="en-GB"/>
        </w:rPr>
        <w:t>[e]</w:t>
      </w:r>
      <w:r w:rsidRPr="00C314E9">
        <w:rPr>
          <w:rFonts w:eastAsia="Times New Roman" w:cs="Calibri"/>
          <w:szCs w:val="22"/>
          <w:lang w:val="en-US" w:eastAsia="en-GB"/>
        </w:rPr>
        <w:t xml:space="preserve">nsuring access to natural resources, as concerns the Covenant, cannot be limited to specific protections granted to the lands and territories of indigenous peoples”. </w:t>
      </w:r>
      <w:r w:rsidR="009A5F6A">
        <w:rPr>
          <w:rFonts w:eastAsia="Times New Roman" w:cs="Calibri"/>
          <w:szCs w:val="22"/>
          <w:lang w:val="en-US" w:eastAsia="en-GB"/>
        </w:rPr>
        <w:t>It also</w:t>
      </w:r>
      <w:r w:rsidRPr="00C314E9">
        <w:rPr>
          <w:rFonts w:eastAsia="Times New Roman" w:cs="Calibri"/>
          <w:szCs w:val="22"/>
          <w:lang w:val="en-US" w:eastAsia="en-GB"/>
        </w:rPr>
        <w:t xml:space="preserve"> </w:t>
      </w:r>
      <w:r w:rsidR="002E7185">
        <w:rPr>
          <w:rFonts w:eastAsia="Times New Roman" w:cs="Calibri"/>
          <w:szCs w:val="22"/>
          <w:lang w:val="en-US" w:eastAsia="en-GB"/>
        </w:rPr>
        <w:t>provides</w:t>
      </w:r>
      <w:r w:rsidRPr="00C314E9">
        <w:rPr>
          <w:rFonts w:eastAsia="Times New Roman" w:cs="Calibri"/>
          <w:szCs w:val="22"/>
          <w:lang w:val="en-US" w:eastAsia="en-GB"/>
        </w:rPr>
        <w:t xml:space="preserve"> that </w:t>
      </w:r>
      <w:r w:rsidR="009A5F6A">
        <w:rPr>
          <w:rFonts w:eastAsia="Times New Roman" w:cs="Calibri"/>
          <w:szCs w:val="22"/>
          <w:lang w:val="en-US" w:eastAsia="en-GB"/>
        </w:rPr>
        <w:t xml:space="preserve">the </w:t>
      </w:r>
      <w:r w:rsidRPr="00C314E9">
        <w:rPr>
          <w:rFonts w:eastAsia="Times New Roman" w:cs="Calibri"/>
          <w:szCs w:val="22"/>
          <w:lang w:val="en-US" w:eastAsia="en-GB"/>
        </w:rPr>
        <w:t>“States therefore have an obligation to guarantee security of tenure for all legitimate land users, particularly those who depend on collective or communal land use schemes.”</w:t>
      </w:r>
      <w:r w:rsidRPr="00C314E9">
        <w:rPr>
          <w:rStyle w:val="FootnoteReference"/>
          <w:rFonts w:eastAsia="Times New Roman" w:cs="Calibri"/>
          <w:szCs w:val="22"/>
          <w:lang w:val="en-US" w:eastAsia="en-GB"/>
        </w:rPr>
        <w:footnoteReference w:id="14"/>
      </w:r>
      <w:r w:rsidR="002E7185">
        <w:rPr>
          <w:rFonts w:eastAsia="Times New Roman" w:cs="Calibri"/>
          <w:szCs w:val="22"/>
          <w:lang w:val="en-US" w:eastAsia="en-GB"/>
        </w:rPr>
        <w:t xml:space="preserve"> </w:t>
      </w:r>
      <w:r w:rsidRPr="00C314E9">
        <w:rPr>
          <w:rFonts w:eastAsia="Times New Roman" w:cs="Calibri"/>
          <w:szCs w:val="22"/>
          <w:lang w:val="en-US" w:eastAsia="en-GB"/>
        </w:rPr>
        <w:t xml:space="preserve">Legitimate land users </w:t>
      </w:r>
      <w:r w:rsidRPr="00C314E9">
        <w:rPr>
          <w:rFonts w:eastAsia="Times New Roman" w:cs="Calibri"/>
          <w:szCs w:val="22"/>
          <w:lang w:val="en-US" w:eastAsia="en-GB"/>
        </w:rPr>
        <w:br/>
        <w:t>“include not only those with formal land titles, but also those with customary, collective or traditional tenure rights that might not be recognized by law.”</w:t>
      </w:r>
      <w:r w:rsidRPr="00C314E9">
        <w:rPr>
          <w:rStyle w:val="FootnoteReference"/>
          <w:rFonts w:eastAsia="Times New Roman" w:cs="Calibri"/>
          <w:szCs w:val="22"/>
          <w:lang w:val="en-US" w:eastAsia="en-GB"/>
        </w:rPr>
        <w:footnoteReference w:id="15"/>
      </w:r>
      <w:r w:rsidR="009C0A9C">
        <w:rPr>
          <w:rFonts w:eastAsia="Times New Roman" w:cs="Calibri"/>
          <w:szCs w:val="22"/>
          <w:lang w:val="en-US" w:eastAsia="en-GB"/>
        </w:rPr>
        <w:t xml:space="preserve"> </w:t>
      </w:r>
      <w:r w:rsidR="00236824">
        <w:rPr>
          <w:rFonts w:eastAsia="Times New Roman" w:cs="Calibri"/>
          <w:szCs w:val="22"/>
          <w:lang w:val="en-US" w:eastAsia="en-GB"/>
        </w:rPr>
        <w:t xml:space="preserve">The Draft General Comment </w:t>
      </w:r>
      <w:r w:rsidR="009A5F6A">
        <w:rPr>
          <w:rFonts w:eastAsia="Times New Roman" w:cs="Calibri"/>
          <w:szCs w:val="22"/>
          <w:lang w:val="en-US" w:eastAsia="en-GB"/>
        </w:rPr>
        <w:t xml:space="preserve">sets </w:t>
      </w:r>
      <w:r w:rsidRPr="00996B55">
        <w:rPr>
          <w:rFonts w:eastAsia="Times New Roman" w:cs="Calibri"/>
          <w:szCs w:val="22"/>
          <w:lang w:val="en-US" w:eastAsia="en-GB"/>
        </w:rPr>
        <w:t xml:space="preserve">up a system </w:t>
      </w:r>
      <w:r w:rsidR="00236824">
        <w:rPr>
          <w:rFonts w:eastAsia="Times New Roman" w:cs="Calibri"/>
          <w:szCs w:val="22"/>
          <w:lang w:val="en-US" w:eastAsia="en-GB"/>
        </w:rPr>
        <w:t xml:space="preserve">of </w:t>
      </w:r>
      <w:r w:rsidRPr="00996B55">
        <w:rPr>
          <w:rFonts w:eastAsia="Times New Roman" w:cs="Calibri"/>
          <w:szCs w:val="22"/>
          <w:lang w:val="en-US" w:eastAsia="en-GB"/>
        </w:rPr>
        <w:t xml:space="preserve">competing rights </w:t>
      </w:r>
      <w:r w:rsidR="00236824">
        <w:rPr>
          <w:rFonts w:eastAsia="Times New Roman" w:cs="Calibri"/>
          <w:szCs w:val="22"/>
          <w:lang w:val="en-US" w:eastAsia="en-GB"/>
        </w:rPr>
        <w:t xml:space="preserve">which </w:t>
      </w:r>
      <w:r w:rsidRPr="00996B55">
        <w:rPr>
          <w:rFonts w:eastAsia="Times New Roman" w:cs="Calibri"/>
          <w:szCs w:val="22"/>
          <w:lang w:val="en-US" w:eastAsia="en-GB"/>
        </w:rPr>
        <w:t>must be resolved</w:t>
      </w:r>
      <w:r w:rsidR="009C0A9C">
        <w:rPr>
          <w:rFonts w:eastAsia="Times New Roman" w:cs="Calibri"/>
          <w:szCs w:val="22"/>
          <w:lang w:val="en-US" w:eastAsia="en-GB"/>
        </w:rPr>
        <w:t xml:space="preserve"> through proper </w:t>
      </w:r>
      <w:r w:rsidR="007C6CBF">
        <w:rPr>
          <w:rFonts w:eastAsia="Times New Roman" w:cs="Calibri"/>
          <w:szCs w:val="22"/>
          <w:lang w:val="en-US" w:eastAsia="en-GB"/>
        </w:rPr>
        <w:t>framework</w:t>
      </w:r>
      <w:r w:rsidR="00236824">
        <w:rPr>
          <w:rFonts w:eastAsia="Times New Roman" w:cs="Calibri"/>
          <w:szCs w:val="22"/>
          <w:lang w:val="en-US" w:eastAsia="en-GB"/>
        </w:rPr>
        <w:t>s or</w:t>
      </w:r>
      <w:r w:rsidR="007C6CBF">
        <w:rPr>
          <w:rFonts w:eastAsia="Times New Roman" w:cs="Calibri"/>
          <w:szCs w:val="22"/>
          <w:lang w:val="en-US" w:eastAsia="en-GB"/>
        </w:rPr>
        <w:t xml:space="preserve"> tools</w:t>
      </w:r>
      <w:r w:rsidR="001B20A0">
        <w:rPr>
          <w:rFonts w:eastAsia="Times New Roman" w:cs="Calibri"/>
          <w:szCs w:val="22"/>
          <w:lang w:val="en-US" w:eastAsia="en-GB"/>
        </w:rPr>
        <w:t xml:space="preserve">, eliminating the risk of the interpretation by </w:t>
      </w:r>
      <w:r w:rsidR="00A86EC9">
        <w:rPr>
          <w:rFonts w:eastAsia="Times New Roman" w:cs="Calibri"/>
          <w:szCs w:val="22"/>
          <w:lang w:val="en-US" w:eastAsia="en-GB"/>
        </w:rPr>
        <w:t>State</w:t>
      </w:r>
      <w:r w:rsidR="001B20A0">
        <w:rPr>
          <w:rFonts w:eastAsia="Times New Roman" w:cs="Calibri"/>
          <w:szCs w:val="22"/>
          <w:lang w:val="en-US" w:eastAsia="en-GB"/>
        </w:rPr>
        <w:t xml:space="preserve"> parties</w:t>
      </w:r>
      <w:r w:rsidR="007C6CBF">
        <w:rPr>
          <w:rFonts w:eastAsia="Times New Roman" w:cs="Calibri"/>
          <w:szCs w:val="22"/>
          <w:lang w:val="en-US" w:eastAsia="en-GB"/>
        </w:rPr>
        <w:t xml:space="preserve">. </w:t>
      </w:r>
    </w:p>
    <w:p w14:paraId="56CA0A32" w14:textId="77777777" w:rsidR="001046ED" w:rsidRPr="001079DB" w:rsidRDefault="001046ED" w:rsidP="001B7F20">
      <w:pPr>
        <w:rPr>
          <w:rFonts w:eastAsia="Times New Roman" w:cs="Calibri"/>
          <w:szCs w:val="22"/>
          <w:lang w:val="en-US" w:eastAsia="en-GB"/>
        </w:rPr>
      </w:pPr>
    </w:p>
    <w:p w14:paraId="20457A4B" w14:textId="341B4587" w:rsidR="001046ED" w:rsidRDefault="001046ED" w:rsidP="00DC0955">
      <w:pPr>
        <w:pStyle w:val="Heading3"/>
      </w:pPr>
      <w:bookmarkStart w:id="4" w:name="_Ref79006281"/>
      <w:r>
        <w:t>Other Observations</w:t>
      </w:r>
      <w:bookmarkEnd w:id="4"/>
    </w:p>
    <w:p w14:paraId="4DC6BF26" w14:textId="77777777" w:rsidR="00494C20" w:rsidRDefault="00494C20" w:rsidP="001B7F20">
      <w:pPr>
        <w:rPr>
          <w:rFonts w:eastAsia="Times New Roman" w:cs="Calibri"/>
          <w:szCs w:val="22"/>
          <w:lang w:val="en-US" w:eastAsia="en-GB"/>
        </w:rPr>
      </w:pPr>
    </w:p>
    <w:p w14:paraId="2C7E114A" w14:textId="0BBBD1F7" w:rsidR="00D60B80" w:rsidRDefault="00A65F7F" w:rsidP="00607F5F">
      <w:pPr>
        <w:textAlignment w:val="center"/>
        <w:rPr>
          <w:rFonts w:eastAsia="Times New Roman" w:cs="Calibri"/>
          <w:szCs w:val="22"/>
          <w:lang w:val="en-US" w:eastAsia="en-GB"/>
        </w:rPr>
      </w:pPr>
      <w:r>
        <w:rPr>
          <w:rFonts w:eastAsia="Times New Roman" w:cs="Calibri"/>
          <w:szCs w:val="22"/>
          <w:lang w:val="en-US" w:eastAsia="en-GB"/>
        </w:rPr>
        <w:lastRenderedPageBreak/>
        <w:t>T</w:t>
      </w:r>
      <w:r w:rsidR="00F1296F">
        <w:rPr>
          <w:rFonts w:eastAsia="Times New Roman" w:cs="Calibri"/>
          <w:szCs w:val="22"/>
          <w:lang w:val="en-US" w:eastAsia="en-GB"/>
        </w:rPr>
        <w:t xml:space="preserve">he UN Committee on the Elimination of Racial Discrimination </w:t>
      </w:r>
      <w:r>
        <w:rPr>
          <w:rFonts w:eastAsia="Times New Roman" w:cs="Calibri"/>
          <w:szCs w:val="22"/>
          <w:lang w:val="en-US" w:eastAsia="en-GB"/>
        </w:rPr>
        <w:t xml:space="preserve">(UNCERD) </w:t>
      </w:r>
      <w:r w:rsidR="00F1296F">
        <w:rPr>
          <w:rFonts w:eastAsia="Times New Roman" w:cs="Calibri"/>
          <w:szCs w:val="22"/>
          <w:lang w:val="en-US" w:eastAsia="en-GB"/>
        </w:rPr>
        <w:t xml:space="preserve">has </w:t>
      </w:r>
      <w:r w:rsidR="00D17D6F" w:rsidRPr="00996B55">
        <w:rPr>
          <w:rFonts w:eastAsia="Times New Roman" w:cs="Calibri"/>
          <w:szCs w:val="22"/>
          <w:lang w:val="en-US" w:eastAsia="en-GB"/>
        </w:rPr>
        <w:t xml:space="preserve">held the position that </w:t>
      </w:r>
      <w:r w:rsidR="00D17D6F" w:rsidRPr="00C314E9">
        <w:rPr>
          <w:rFonts w:eastAsia="Times New Roman" w:cs="Calibri"/>
          <w:szCs w:val="22"/>
          <w:lang w:val="en-US" w:eastAsia="en-GB"/>
        </w:rPr>
        <w:t xml:space="preserve">any </w:t>
      </w:r>
      <w:r w:rsidR="00D17D6F" w:rsidRPr="00996B55">
        <w:rPr>
          <w:rFonts w:eastAsia="Times New Roman" w:cs="Calibri"/>
          <w:szCs w:val="22"/>
          <w:lang w:val="en-US" w:eastAsia="en-GB"/>
        </w:rPr>
        <w:t xml:space="preserve">violation of </w:t>
      </w:r>
      <w:r>
        <w:rPr>
          <w:rFonts w:eastAsia="Times New Roman" w:cs="Calibri"/>
          <w:szCs w:val="22"/>
          <w:lang w:val="en-US" w:eastAsia="en-GB"/>
        </w:rPr>
        <w:t xml:space="preserve">the </w:t>
      </w:r>
      <w:r w:rsidR="00D17D6F" w:rsidRPr="00996B55">
        <w:rPr>
          <w:rFonts w:eastAsia="Times New Roman" w:cs="Calibri"/>
          <w:szCs w:val="22"/>
          <w:lang w:val="en-US" w:eastAsia="en-GB"/>
        </w:rPr>
        <w:t xml:space="preserve">rights of </w:t>
      </w:r>
      <w:r w:rsidR="00D17D6F" w:rsidRPr="00C314E9">
        <w:rPr>
          <w:rFonts w:eastAsia="Times New Roman" w:cs="Calibri"/>
          <w:szCs w:val="22"/>
          <w:lang w:val="en-US" w:eastAsia="en-GB"/>
        </w:rPr>
        <w:t xml:space="preserve">indigenous peoples </w:t>
      </w:r>
      <w:r w:rsidR="00D17D6F" w:rsidRPr="00996B55">
        <w:rPr>
          <w:rFonts w:eastAsia="Times New Roman" w:cs="Calibri"/>
          <w:szCs w:val="22"/>
          <w:lang w:val="en-US" w:eastAsia="en-GB"/>
        </w:rPr>
        <w:t>by acts or omission</w:t>
      </w:r>
      <w:r>
        <w:rPr>
          <w:rFonts w:eastAsia="Times New Roman" w:cs="Calibri"/>
          <w:szCs w:val="22"/>
          <w:lang w:val="en-US" w:eastAsia="en-GB"/>
        </w:rPr>
        <w:t xml:space="preserve"> is </w:t>
      </w:r>
      <w:r w:rsidR="00D17D6F" w:rsidRPr="00996B55">
        <w:rPr>
          <w:rFonts w:eastAsia="Times New Roman" w:cs="Calibri"/>
          <w:szCs w:val="22"/>
          <w:lang w:val="en-US" w:eastAsia="en-GB"/>
        </w:rPr>
        <w:t xml:space="preserve">an act of racial discrimination. </w:t>
      </w:r>
      <w:r w:rsidR="00E449C0">
        <w:rPr>
          <w:rFonts w:eastAsia="Times New Roman" w:cs="Calibri"/>
          <w:szCs w:val="22"/>
          <w:lang w:val="en-US" w:eastAsia="en-GB"/>
        </w:rPr>
        <w:t>In this regard, f</w:t>
      </w:r>
      <w:r w:rsidR="00E449C0" w:rsidRPr="00E449C0">
        <w:rPr>
          <w:rFonts w:eastAsia="Times New Roman" w:cs="Calibri"/>
          <w:szCs w:val="22"/>
          <w:lang w:val="en-US" w:eastAsia="en-GB"/>
        </w:rPr>
        <w:t xml:space="preserve">ollowing </w:t>
      </w:r>
      <w:r>
        <w:rPr>
          <w:rFonts w:eastAsia="Times New Roman" w:cs="Calibri"/>
          <w:szCs w:val="22"/>
          <w:lang w:val="en-US" w:eastAsia="en-GB"/>
        </w:rPr>
        <w:t>UN</w:t>
      </w:r>
      <w:r w:rsidR="00E449C0" w:rsidRPr="00E449C0">
        <w:rPr>
          <w:rFonts w:eastAsia="Times New Roman" w:cs="Calibri"/>
          <w:szCs w:val="22"/>
          <w:lang w:val="en-US" w:eastAsia="en-GB"/>
        </w:rPr>
        <w:t xml:space="preserve">CERD practice under Article 2, the lack of recognition of indigenous </w:t>
      </w:r>
      <w:r w:rsidR="00291B25">
        <w:rPr>
          <w:rFonts w:eastAsia="Times New Roman" w:cs="Calibri"/>
          <w:szCs w:val="22"/>
          <w:lang w:val="en-US" w:eastAsia="en-GB"/>
        </w:rPr>
        <w:t xml:space="preserve">peoples’ </w:t>
      </w:r>
      <w:r w:rsidR="00E449C0" w:rsidRPr="00E449C0">
        <w:rPr>
          <w:rFonts w:eastAsia="Times New Roman" w:cs="Calibri"/>
          <w:szCs w:val="22"/>
          <w:lang w:val="en-US" w:eastAsia="en-GB"/>
        </w:rPr>
        <w:t xml:space="preserve">rights is </w:t>
      </w:r>
      <w:r w:rsidR="00876A3F">
        <w:rPr>
          <w:rFonts w:eastAsia="Times New Roman" w:cs="Calibri"/>
          <w:szCs w:val="22"/>
          <w:lang w:val="en-US" w:eastAsia="en-GB"/>
        </w:rPr>
        <w:t xml:space="preserve">a </w:t>
      </w:r>
      <w:r w:rsidR="00E449C0" w:rsidRPr="00E449C0">
        <w:rPr>
          <w:rFonts w:eastAsia="Times New Roman" w:cs="Calibri"/>
          <w:szCs w:val="22"/>
          <w:lang w:val="en-US" w:eastAsia="en-GB"/>
        </w:rPr>
        <w:t xml:space="preserve">discriminatory </w:t>
      </w:r>
      <w:r w:rsidR="00291B25">
        <w:rPr>
          <w:rFonts w:eastAsia="Times New Roman" w:cs="Calibri"/>
          <w:szCs w:val="22"/>
          <w:lang w:val="en-US" w:eastAsia="en-GB"/>
        </w:rPr>
        <w:t xml:space="preserve">act </w:t>
      </w:r>
      <w:r w:rsidR="00E449C0" w:rsidRPr="00876A3F">
        <w:rPr>
          <w:rFonts w:eastAsia="Times New Roman" w:cs="Calibri"/>
          <w:i/>
          <w:iCs/>
          <w:szCs w:val="22"/>
          <w:lang w:val="en-US" w:eastAsia="en-GB"/>
        </w:rPr>
        <w:t>per se</w:t>
      </w:r>
      <w:r w:rsidR="00E449C0" w:rsidRPr="00E449C0">
        <w:rPr>
          <w:rFonts w:eastAsia="Times New Roman" w:cs="Calibri"/>
          <w:szCs w:val="22"/>
          <w:lang w:val="en-US" w:eastAsia="en-GB"/>
        </w:rPr>
        <w:t xml:space="preserve">. </w:t>
      </w:r>
      <w:r w:rsidR="001079DB">
        <w:rPr>
          <w:rFonts w:eastAsia="Times New Roman" w:cs="Calibri"/>
          <w:szCs w:val="22"/>
          <w:lang w:val="en-US" w:eastAsia="en-GB"/>
        </w:rPr>
        <w:t xml:space="preserve">There is no </w:t>
      </w:r>
      <w:r w:rsidR="001079DB" w:rsidRPr="00C314E9">
        <w:rPr>
          <w:rFonts w:eastAsia="Times New Roman" w:cs="Calibri"/>
          <w:szCs w:val="22"/>
          <w:lang w:val="en-US" w:eastAsia="en-GB"/>
        </w:rPr>
        <w:t>need to compare indigenous peoples to others to identify discriminatory treatment.</w:t>
      </w:r>
    </w:p>
    <w:p w14:paraId="14993644" w14:textId="54C39BE1" w:rsidR="00D46EA7" w:rsidRPr="00490A8F" w:rsidRDefault="00D46EA7" w:rsidP="00607F5F">
      <w:pPr>
        <w:textAlignment w:val="center"/>
        <w:rPr>
          <w:rFonts w:eastAsia="Times New Roman" w:cs="Calibri"/>
          <w:szCs w:val="22"/>
          <w:lang w:val="en-US" w:eastAsia="en-GB"/>
        </w:rPr>
      </w:pPr>
    </w:p>
    <w:p w14:paraId="6F3FE405" w14:textId="4CAA6B19" w:rsidR="00D46EA7" w:rsidRPr="00ED640D" w:rsidRDefault="0096574F" w:rsidP="00607F5F">
      <w:pPr>
        <w:textAlignment w:val="center"/>
        <w:rPr>
          <w:rFonts w:eastAsia="Times New Roman" w:cs="Calibri"/>
          <w:szCs w:val="22"/>
          <w:lang w:val="en-US" w:eastAsia="en-GB"/>
        </w:rPr>
      </w:pPr>
      <w:r>
        <w:t>Beyond the socio-economic needs, Indigenous peoples rely on their traditional lands</w:t>
      </w:r>
      <w:r w:rsidRPr="0096574F">
        <w:rPr>
          <w:lang w:val="en-US"/>
        </w:rPr>
        <w:t>, territories and resources</w:t>
      </w:r>
      <w:r>
        <w:t xml:space="preserve"> for the preservation of their cultural identity as well as for their spiritual continuity and vitality.</w:t>
      </w:r>
      <w:r w:rsidR="00ED640D">
        <w:rPr>
          <w:lang w:val="en-US"/>
        </w:rPr>
        <w:t xml:space="preserve"> Considering the interconnected nature of rights, this could also include linguistic rights, for example, to name places in indigenous languages.</w:t>
      </w:r>
      <w:r w:rsidR="00DF40D7">
        <w:rPr>
          <w:lang w:val="en-US"/>
        </w:rPr>
        <w:t xml:space="preserve"> </w:t>
      </w:r>
    </w:p>
    <w:p w14:paraId="2F092AA4" w14:textId="77777777" w:rsidR="00D60B80" w:rsidRDefault="00D60B80" w:rsidP="00607F5F">
      <w:pPr>
        <w:textAlignment w:val="center"/>
        <w:rPr>
          <w:rFonts w:eastAsia="Times New Roman" w:cs="Calibri"/>
          <w:szCs w:val="22"/>
          <w:lang w:val="en-US" w:eastAsia="en-GB"/>
        </w:rPr>
      </w:pPr>
    </w:p>
    <w:p w14:paraId="74B08DA8" w14:textId="7485AC01" w:rsidR="00C15986" w:rsidRDefault="00787B53" w:rsidP="00787B53">
      <w:pPr>
        <w:textAlignment w:val="center"/>
        <w:rPr>
          <w:rFonts w:eastAsia="Times New Roman" w:cs="Calibri"/>
          <w:szCs w:val="22"/>
          <w:lang w:val="en-US" w:eastAsia="en-GB"/>
        </w:rPr>
      </w:pPr>
      <w:r w:rsidRPr="00C314E9">
        <w:rPr>
          <w:rFonts w:eastAsia="Times New Roman" w:cs="Calibri"/>
          <w:szCs w:val="22"/>
          <w:lang w:val="en-US" w:eastAsia="en-GB"/>
        </w:rPr>
        <w:t>In the case of Economic</w:t>
      </w:r>
      <w:r w:rsidR="005C72E4">
        <w:rPr>
          <w:rFonts w:eastAsia="Times New Roman" w:cs="Calibri"/>
          <w:szCs w:val="22"/>
          <w:lang w:val="en-US" w:eastAsia="en-GB"/>
        </w:rPr>
        <w:t>,</w:t>
      </w:r>
      <w:r w:rsidRPr="00C314E9">
        <w:rPr>
          <w:rFonts w:eastAsia="Times New Roman" w:cs="Calibri"/>
          <w:szCs w:val="22"/>
          <w:lang w:val="en-US" w:eastAsia="en-GB"/>
        </w:rPr>
        <w:t xml:space="preserve"> Social and Cultural Rights</w:t>
      </w:r>
      <w:r w:rsidR="005C72E4">
        <w:rPr>
          <w:rFonts w:eastAsia="Times New Roman" w:cs="Calibri"/>
          <w:szCs w:val="22"/>
          <w:lang w:val="en-US" w:eastAsia="en-GB"/>
        </w:rPr>
        <w:t>, General Comments</w:t>
      </w:r>
      <w:r w:rsidRPr="00C314E9">
        <w:rPr>
          <w:rFonts w:eastAsia="Times New Roman" w:cs="Calibri"/>
          <w:szCs w:val="22"/>
          <w:lang w:val="en-US" w:eastAsia="en-GB"/>
        </w:rPr>
        <w:t xml:space="preserve"> usually explain what the core obligations are. Core obligations ha</w:t>
      </w:r>
      <w:r>
        <w:rPr>
          <w:rFonts w:eastAsia="Times New Roman" w:cs="Calibri"/>
          <w:szCs w:val="22"/>
          <w:lang w:val="en-US" w:eastAsia="en-GB"/>
        </w:rPr>
        <w:t>ve</w:t>
      </w:r>
      <w:r w:rsidRPr="00C314E9">
        <w:rPr>
          <w:rFonts w:eastAsia="Times New Roman" w:cs="Calibri"/>
          <w:szCs w:val="22"/>
          <w:lang w:val="en-US" w:eastAsia="en-GB"/>
        </w:rPr>
        <w:t xml:space="preserve"> two aspects: </w:t>
      </w:r>
      <w:r>
        <w:rPr>
          <w:rFonts w:eastAsia="Times New Roman" w:cs="Calibri"/>
          <w:szCs w:val="22"/>
          <w:lang w:val="en-US" w:eastAsia="en-GB"/>
        </w:rPr>
        <w:t xml:space="preserve">i) </w:t>
      </w:r>
      <w:r w:rsidRPr="00C314E9">
        <w:rPr>
          <w:rFonts w:eastAsia="Times New Roman" w:cs="Calibri"/>
          <w:szCs w:val="22"/>
          <w:lang w:val="en-US" w:eastAsia="en-GB"/>
        </w:rPr>
        <w:t>minimum levels that must be respected, e.g. non-discrimination</w:t>
      </w:r>
      <w:r>
        <w:rPr>
          <w:rFonts w:eastAsia="Times New Roman" w:cs="Calibri"/>
          <w:szCs w:val="22"/>
          <w:lang w:val="en-US" w:eastAsia="en-GB"/>
        </w:rPr>
        <w:t xml:space="preserve">; and ii) </w:t>
      </w:r>
      <w:r w:rsidRPr="00C314E9">
        <w:rPr>
          <w:rFonts w:eastAsia="Times New Roman" w:cs="Calibri"/>
          <w:szCs w:val="22"/>
          <w:lang w:val="en-US" w:eastAsia="en-GB"/>
        </w:rPr>
        <w:t xml:space="preserve">a baseline </w:t>
      </w:r>
      <w:r w:rsidR="000E0079">
        <w:rPr>
          <w:rFonts w:eastAsia="Times New Roman" w:cs="Calibri"/>
          <w:szCs w:val="22"/>
          <w:lang w:val="en-US" w:eastAsia="en-GB"/>
        </w:rPr>
        <w:t xml:space="preserve">of the obligations </w:t>
      </w:r>
      <w:r w:rsidRPr="00C314E9">
        <w:rPr>
          <w:rFonts w:eastAsia="Times New Roman" w:cs="Calibri"/>
          <w:szCs w:val="22"/>
          <w:lang w:val="en-US" w:eastAsia="en-GB"/>
        </w:rPr>
        <w:t xml:space="preserve">that cannot </w:t>
      </w:r>
      <w:r w:rsidR="000E0079">
        <w:rPr>
          <w:rFonts w:eastAsia="Times New Roman" w:cs="Calibri"/>
          <w:szCs w:val="22"/>
          <w:lang w:val="en-US" w:eastAsia="en-GB"/>
        </w:rPr>
        <w:t>be regressed</w:t>
      </w:r>
      <w:r w:rsidRPr="00C314E9">
        <w:rPr>
          <w:rFonts w:eastAsia="Times New Roman" w:cs="Calibri"/>
          <w:szCs w:val="22"/>
          <w:lang w:val="en-US" w:eastAsia="en-GB"/>
        </w:rPr>
        <w:t xml:space="preserve">. </w:t>
      </w:r>
      <w:r>
        <w:rPr>
          <w:rFonts w:eastAsia="Times New Roman" w:cs="Calibri"/>
          <w:szCs w:val="22"/>
          <w:lang w:val="en-US" w:eastAsia="en-GB"/>
        </w:rPr>
        <w:t>The Draft General Comment</w:t>
      </w:r>
      <w:r w:rsidR="00ED640D">
        <w:rPr>
          <w:rFonts w:eastAsia="Times New Roman" w:cs="Calibri"/>
          <w:szCs w:val="22"/>
          <w:lang w:val="en-US" w:eastAsia="en-GB"/>
        </w:rPr>
        <w:t xml:space="preserve"> should </w:t>
      </w:r>
      <w:r w:rsidR="00C15986" w:rsidRPr="00C314E9">
        <w:rPr>
          <w:rFonts w:eastAsia="Times New Roman" w:cs="Calibri"/>
          <w:szCs w:val="22"/>
          <w:lang w:val="en-US" w:eastAsia="en-GB"/>
        </w:rPr>
        <w:t>explain the difference between core and other obligations</w:t>
      </w:r>
      <w:r w:rsidR="00CB172A">
        <w:rPr>
          <w:rFonts w:eastAsia="Times New Roman" w:cs="Calibri"/>
          <w:szCs w:val="22"/>
          <w:lang w:val="en-US" w:eastAsia="en-GB"/>
        </w:rPr>
        <w:t>.</w:t>
      </w:r>
    </w:p>
    <w:p w14:paraId="6A1579D1" w14:textId="54EF2FAD" w:rsidR="00CB172A" w:rsidRDefault="00CB172A" w:rsidP="00787B53">
      <w:pPr>
        <w:textAlignment w:val="center"/>
        <w:rPr>
          <w:rFonts w:eastAsia="Times New Roman" w:cs="Calibri"/>
          <w:szCs w:val="22"/>
          <w:lang w:val="en-US" w:eastAsia="en-GB"/>
        </w:rPr>
      </w:pPr>
    </w:p>
    <w:p w14:paraId="7E82B615" w14:textId="33A5419F" w:rsidR="00691EA6" w:rsidRDefault="00691EA6" w:rsidP="002B21BA">
      <w:pPr>
        <w:pStyle w:val="Heading3"/>
      </w:pPr>
      <w:bookmarkStart w:id="5" w:name="_Ref79006374"/>
      <w:r>
        <w:t>Conclusions</w:t>
      </w:r>
      <w:bookmarkEnd w:id="5"/>
    </w:p>
    <w:p w14:paraId="65D339AA" w14:textId="735824D8" w:rsidR="00AB6569" w:rsidRDefault="00AB6569" w:rsidP="00AB6569">
      <w:pPr>
        <w:rPr>
          <w:lang w:val="en-US" w:eastAsia="en-GB"/>
        </w:rPr>
      </w:pPr>
    </w:p>
    <w:p w14:paraId="178A5680" w14:textId="54A22789" w:rsidR="00AB6569" w:rsidRDefault="00A443F5" w:rsidP="00F23A8D">
      <w:pPr>
        <w:spacing w:after="120"/>
        <w:rPr>
          <w:lang w:val="en-US" w:eastAsia="en-GB"/>
        </w:rPr>
      </w:pPr>
      <w:r>
        <w:rPr>
          <w:lang w:val="en-US" w:eastAsia="en-GB"/>
        </w:rPr>
        <w:t>Indigenous experts and representatives acknowledge the effort made by the Committee in drafting this important General Comment. Through the thoughtful and deep analysis</w:t>
      </w:r>
      <w:r w:rsidR="00F149C9">
        <w:rPr>
          <w:lang w:val="en-US" w:eastAsia="en-GB"/>
        </w:rPr>
        <w:t xml:space="preserve"> on the Draft General Comment, as well as the Covenant and the jurisprudence of the Committee, the following conclusions were made:</w:t>
      </w:r>
    </w:p>
    <w:p w14:paraId="62F5745B" w14:textId="4174494D" w:rsidR="00F149C9" w:rsidRPr="00AB6569" w:rsidRDefault="00F149C9" w:rsidP="00F23A8D">
      <w:pPr>
        <w:spacing w:after="120"/>
        <w:rPr>
          <w:lang w:val="en-US" w:eastAsia="en-GB"/>
        </w:rPr>
      </w:pPr>
      <w:r>
        <w:rPr>
          <w:lang w:val="en-US" w:eastAsia="en-GB"/>
        </w:rPr>
        <w:t xml:space="preserve">First, </w:t>
      </w:r>
      <w:r w:rsidR="00BC61D9">
        <w:rPr>
          <w:lang w:val="en-US" w:eastAsia="en-GB"/>
        </w:rPr>
        <w:t xml:space="preserve">that a specific General Comment on Indigenous Peoples should be adopted by the Committee. Similar experiences </w:t>
      </w:r>
      <w:r w:rsidR="00564838">
        <w:rPr>
          <w:lang w:val="en-US" w:eastAsia="en-GB"/>
        </w:rPr>
        <w:t xml:space="preserve">at the UN and </w:t>
      </w:r>
      <w:r w:rsidR="00BC61D9">
        <w:rPr>
          <w:lang w:val="en-US" w:eastAsia="en-GB"/>
        </w:rPr>
        <w:t>by other treaty bodies have enabled States, indigenous peoples and other stakeholders to properly understand and interpret the obligations of the covenants in relation to indigenous peoples.</w:t>
      </w:r>
      <w:r w:rsidR="00DF40D7">
        <w:rPr>
          <w:lang w:val="en-US" w:eastAsia="en-GB"/>
        </w:rPr>
        <w:t xml:space="preserve"> </w:t>
      </w:r>
      <w:r w:rsidR="00564838">
        <w:rPr>
          <w:lang w:val="en-US" w:eastAsia="en-GB"/>
        </w:rPr>
        <w:t xml:space="preserve">These includes </w:t>
      </w:r>
      <w:r w:rsidR="00564838" w:rsidRPr="00564838">
        <w:rPr>
          <w:lang w:val="en-US" w:eastAsia="en-GB"/>
        </w:rPr>
        <w:t xml:space="preserve">the Committee on the Rights of the Child, </w:t>
      </w:r>
      <w:r w:rsidR="00564838">
        <w:rPr>
          <w:lang w:val="en-US" w:eastAsia="en-GB"/>
        </w:rPr>
        <w:t xml:space="preserve">the Committee on the Elimination of Racial Discrimination and the </w:t>
      </w:r>
      <w:r w:rsidR="00564838" w:rsidRPr="00564838">
        <w:rPr>
          <w:lang w:val="en-US" w:eastAsia="en-GB"/>
        </w:rPr>
        <w:t>Committee on the Elimination of Discrimination Against Women.</w:t>
      </w:r>
    </w:p>
    <w:p w14:paraId="006896EE" w14:textId="2F790039" w:rsidR="00FF54C8" w:rsidRDefault="00564838" w:rsidP="00F23A8D">
      <w:pPr>
        <w:spacing w:after="120"/>
        <w:rPr>
          <w:lang w:val="en-US" w:eastAsia="en-GB"/>
        </w:rPr>
      </w:pPr>
      <w:r>
        <w:rPr>
          <w:lang w:val="en-US" w:eastAsia="en-GB"/>
        </w:rPr>
        <w:t xml:space="preserve">Second, </w:t>
      </w:r>
      <w:r w:rsidR="00F701B8">
        <w:rPr>
          <w:lang w:val="en-US" w:eastAsia="en-GB"/>
        </w:rPr>
        <w:t>that UNDRIP, after twenty-three years of deliberations, resulted in a universally</w:t>
      </w:r>
      <w:r w:rsidR="00F23A8D">
        <w:rPr>
          <w:lang w:val="en-US" w:eastAsia="en-GB"/>
        </w:rPr>
        <w:t>-</w:t>
      </w:r>
      <w:r w:rsidR="00F701B8">
        <w:rPr>
          <w:lang w:val="en-US" w:eastAsia="en-GB"/>
        </w:rPr>
        <w:t xml:space="preserve">recognized standard related to </w:t>
      </w:r>
      <w:r w:rsidR="00F23A8D">
        <w:rPr>
          <w:lang w:val="en-US" w:eastAsia="en-GB"/>
        </w:rPr>
        <w:t>I</w:t>
      </w:r>
      <w:r w:rsidR="00F701B8">
        <w:rPr>
          <w:lang w:val="en-US" w:eastAsia="en-GB"/>
        </w:rPr>
        <w:t xml:space="preserve">ndigenous </w:t>
      </w:r>
      <w:r w:rsidR="00F23A8D">
        <w:rPr>
          <w:lang w:val="en-US" w:eastAsia="en-GB"/>
        </w:rPr>
        <w:t>P</w:t>
      </w:r>
      <w:r w:rsidR="00F701B8">
        <w:rPr>
          <w:lang w:val="en-US" w:eastAsia="en-GB"/>
        </w:rPr>
        <w:t xml:space="preserve">eoples rights. In this regard, it </w:t>
      </w:r>
      <w:r w:rsidR="004F4FC3">
        <w:rPr>
          <w:lang w:val="en-US" w:eastAsia="en-GB"/>
        </w:rPr>
        <w:t xml:space="preserve">should be properly used as framework and as a minimum standard that can be further developed </w:t>
      </w:r>
      <w:r w:rsidR="00544CA1">
        <w:rPr>
          <w:lang w:val="en-US" w:eastAsia="en-GB"/>
        </w:rPr>
        <w:t xml:space="preserve">through mechanisms such as the General Comment. </w:t>
      </w:r>
    </w:p>
    <w:p w14:paraId="12E2D5C7" w14:textId="72DF82B1" w:rsidR="00544CA1" w:rsidRDefault="00544CA1" w:rsidP="00F23A8D">
      <w:pPr>
        <w:spacing w:after="120"/>
        <w:rPr>
          <w:lang w:val="en-US" w:eastAsia="en-GB"/>
        </w:rPr>
      </w:pPr>
      <w:r>
        <w:rPr>
          <w:lang w:val="en-US" w:eastAsia="en-GB"/>
        </w:rPr>
        <w:t xml:space="preserve">Lastly, </w:t>
      </w:r>
      <w:r w:rsidR="00F24D8C">
        <w:rPr>
          <w:lang w:val="en-US" w:eastAsia="en-GB"/>
        </w:rPr>
        <w:t>Indigenous Peoples are committed to good-faith and constructive dialogues for the development of these standards.</w:t>
      </w:r>
      <w:r w:rsidR="0064113B">
        <w:rPr>
          <w:lang w:val="en-US" w:eastAsia="en-GB"/>
        </w:rPr>
        <w:t xml:space="preserve"> In that spirit, this submission is presented to the Committee</w:t>
      </w:r>
      <w:r w:rsidR="002A33C8">
        <w:rPr>
          <w:lang w:val="en-US" w:eastAsia="en-GB"/>
        </w:rPr>
        <w:t xml:space="preserve">. Also, in that spirit Indigenous Peoples will engage in future efforts with the Committee. </w:t>
      </w:r>
    </w:p>
    <w:p w14:paraId="7144BA4F" w14:textId="77777777" w:rsidR="00544CA1" w:rsidRPr="00691EA6" w:rsidRDefault="00544CA1" w:rsidP="00691EA6">
      <w:pPr>
        <w:rPr>
          <w:lang w:val="en-US" w:eastAsia="en-GB"/>
        </w:rPr>
      </w:pPr>
    </w:p>
    <w:p w14:paraId="09007E29" w14:textId="0FC11D03" w:rsidR="00622CBD" w:rsidRDefault="00622CBD" w:rsidP="002B21BA">
      <w:pPr>
        <w:pStyle w:val="Heading3"/>
      </w:pPr>
      <w:bookmarkStart w:id="6" w:name="_Ref79007289"/>
      <w:r w:rsidRPr="00622CBD">
        <w:t>Recommendations</w:t>
      </w:r>
      <w:bookmarkEnd w:id="6"/>
    </w:p>
    <w:p w14:paraId="6E94A185" w14:textId="57056B71" w:rsidR="00B21491" w:rsidRDefault="00B21491" w:rsidP="00B21491">
      <w:pPr>
        <w:rPr>
          <w:lang w:val="en-US" w:eastAsia="en-GB"/>
        </w:rPr>
      </w:pPr>
    </w:p>
    <w:p w14:paraId="23081C5C" w14:textId="43FB271E" w:rsidR="00166179" w:rsidRPr="00D8786F" w:rsidRDefault="004D16BD" w:rsidP="00D8786F">
      <w:pPr>
        <w:pStyle w:val="ListParagraph"/>
        <w:numPr>
          <w:ilvl w:val="0"/>
          <w:numId w:val="32"/>
        </w:numPr>
        <w:rPr>
          <w:lang w:val="en-US" w:eastAsia="en-GB"/>
        </w:rPr>
      </w:pPr>
      <w:r>
        <w:rPr>
          <w:lang w:val="en-US" w:eastAsia="en-GB"/>
        </w:rPr>
        <w:lastRenderedPageBreak/>
        <w:t xml:space="preserve">For the Committee to </w:t>
      </w:r>
      <w:r w:rsidR="00C1040F">
        <w:rPr>
          <w:lang w:val="en-US" w:eastAsia="en-GB"/>
        </w:rPr>
        <w:t>include a specific section on Indigenous Peoples</w:t>
      </w:r>
      <w:r w:rsidR="00F41DC1">
        <w:rPr>
          <w:lang w:val="en-US" w:eastAsia="en-GB"/>
        </w:rPr>
        <w:t>’</w:t>
      </w:r>
      <w:r w:rsidR="00D8786F">
        <w:rPr>
          <w:lang w:val="en-US" w:eastAsia="en-GB"/>
        </w:rPr>
        <w:t xml:space="preserve"> land rights that shall affirm the </w:t>
      </w:r>
      <w:r w:rsidR="00D8786F" w:rsidRPr="00D8786F">
        <w:rPr>
          <w:lang w:val="en-US" w:eastAsia="en-GB"/>
        </w:rPr>
        <w:t>UNDRIP</w:t>
      </w:r>
      <w:r w:rsidR="00D8786F">
        <w:rPr>
          <w:lang w:val="en-US" w:eastAsia="en-GB"/>
        </w:rPr>
        <w:t xml:space="preserve"> and the ILO Convention 169</w:t>
      </w:r>
      <w:r w:rsidR="00DF40D7">
        <w:rPr>
          <w:lang w:val="en-US" w:eastAsia="en-GB"/>
        </w:rPr>
        <w:t xml:space="preserve"> </w:t>
      </w:r>
      <w:r w:rsidR="00D8786F" w:rsidRPr="00D8786F">
        <w:rPr>
          <w:lang w:val="en-US" w:eastAsia="en-GB"/>
        </w:rPr>
        <w:t xml:space="preserve">as minimum standard and a framework for </w:t>
      </w:r>
      <w:r w:rsidR="00D8786F">
        <w:rPr>
          <w:lang w:val="en-US" w:eastAsia="en-GB"/>
        </w:rPr>
        <w:t xml:space="preserve">the respect, recognition, protection and exercise of indigenous peoples’ land rights in conjunction with their right </w:t>
      </w:r>
      <w:r w:rsidR="00C1040F">
        <w:rPr>
          <w:lang w:val="en-US" w:eastAsia="en-GB"/>
        </w:rPr>
        <w:t xml:space="preserve">to self-determination, self-government, </w:t>
      </w:r>
      <w:r w:rsidR="00D8786F">
        <w:rPr>
          <w:lang w:val="en-US" w:eastAsia="en-GB"/>
        </w:rPr>
        <w:t>to</w:t>
      </w:r>
      <w:r w:rsidR="005F0AE0">
        <w:rPr>
          <w:lang w:val="en-US" w:eastAsia="en-GB"/>
        </w:rPr>
        <w:t xml:space="preserve"> free, prior and informed consent</w:t>
      </w:r>
      <w:r w:rsidR="00D8786F">
        <w:rPr>
          <w:lang w:val="en-US" w:eastAsia="en-GB"/>
        </w:rPr>
        <w:t xml:space="preserve"> and to their cultural integrity. </w:t>
      </w:r>
      <w:r w:rsidR="00D8786F">
        <w:rPr>
          <w:rFonts w:eastAsia="Times New Roman" w:cs="Calibri"/>
          <w:szCs w:val="22"/>
          <w:lang w:val="en-US" w:eastAsia="en-GB"/>
        </w:rPr>
        <w:t xml:space="preserve">This section </w:t>
      </w:r>
      <w:r w:rsidR="00DF40D7">
        <w:rPr>
          <w:rFonts w:eastAsia="Times New Roman" w:cs="Calibri"/>
          <w:szCs w:val="22"/>
          <w:lang w:val="en-US" w:eastAsia="en-GB"/>
        </w:rPr>
        <w:t>should</w:t>
      </w:r>
      <w:r w:rsidR="00D8786F">
        <w:rPr>
          <w:rFonts w:eastAsia="Times New Roman" w:cs="Calibri"/>
          <w:szCs w:val="22"/>
          <w:lang w:val="en-US" w:eastAsia="en-GB"/>
        </w:rPr>
        <w:t xml:space="preserve"> also include</w:t>
      </w:r>
      <w:r w:rsidR="0033546D">
        <w:rPr>
          <w:rFonts w:eastAsia="Times New Roman" w:cs="Calibri"/>
          <w:szCs w:val="22"/>
          <w:lang w:val="en-US" w:eastAsia="en-GB"/>
        </w:rPr>
        <w:t xml:space="preserve"> indigenous peoples land rights in relation related conventions of </w:t>
      </w:r>
      <w:r w:rsidR="00D8786F">
        <w:rPr>
          <w:rFonts w:eastAsia="Times New Roman" w:cs="Calibri"/>
          <w:szCs w:val="22"/>
          <w:lang w:val="en-US" w:eastAsia="en-GB"/>
        </w:rPr>
        <w:t>climate change, biodiversity</w:t>
      </w:r>
      <w:r w:rsidR="0033546D">
        <w:rPr>
          <w:rFonts w:eastAsia="Times New Roman" w:cs="Calibri"/>
          <w:szCs w:val="22"/>
          <w:lang w:val="en-US" w:eastAsia="en-GB"/>
        </w:rPr>
        <w:t xml:space="preserve"> and other relevant Guidelines such as the UN Guiding Principles on Business and Human Rights</w:t>
      </w:r>
      <w:r w:rsidR="005261A1">
        <w:rPr>
          <w:rFonts w:eastAsia="Times New Roman" w:cs="Calibri"/>
          <w:szCs w:val="22"/>
          <w:lang w:val="en-US" w:eastAsia="en-GB"/>
        </w:rPr>
        <w:t xml:space="preserve"> and </w:t>
      </w:r>
      <w:r w:rsidR="0033546D">
        <w:rPr>
          <w:rFonts w:eastAsia="Times New Roman" w:cs="Calibri"/>
          <w:szCs w:val="22"/>
          <w:lang w:val="en-US" w:eastAsia="en-GB"/>
        </w:rPr>
        <w:t xml:space="preserve">the </w:t>
      </w:r>
      <w:r w:rsidR="00745E22" w:rsidRPr="00745E22">
        <w:rPr>
          <w:rFonts w:eastAsia="Times New Roman" w:cs="Calibri"/>
          <w:szCs w:val="22"/>
          <w:lang w:val="en-US" w:eastAsia="en-GB"/>
        </w:rPr>
        <w:t>Voluntary Guidelines on the Responsible Governance of Tenure</w:t>
      </w:r>
      <w:r w:rsidR="0033546D">
        <w:rPr>
          <w:rFonts w:eastAsia="Times New Roman" w:cs="Calibri"/>
          <w:szCs w:val="22"/>
          <w:lang w:val="en-US" w:eastAsia="en-GB"/>
        </w:rPr>
        <w:t>.</w:t>
      </w:r>
    </w:p>
    <w:p w14:paraId="1A437727" w14:textId="77777777" w:rsidR="009D5E11" w:rsidRPr="009D5E11" w:rsidRDefault="009D5E11" w:rsidP="009D5E11">
      <w:pPr>
        <w:rPr>
          <w:lang w:val="en-US" w:eastAsia="en-GB"/>
        </w:rPr>
      </w:pPr>
    </w:p>
    <w:p w14:paraId="5C8DFEE9" w14:textId="69463289" w:rsidR="00391005" w:rsidRDefault="00D8786F" w:rsidP="00391005">
      <w:pPr>
        <w:pStyle w:val="ListParagraph"/>
        <w:numPr>
          <w:ilvl w:val="0"/>
          <w:numId w:val="32"/>
        </w:numPr>
        <w:rPr>
          <w:lang w:val="en-US" w:eastAsia="en-GB"/>
        </w:rPr>
      </w:pPr>
      <w:r>
        <w:rPr>
          <w:lang w:val="en-US" w:eastAsia="en-GB"/>
        </w:rPr>
        <w:t>In line with recommendation above, t</w:t>
      </w:r>
      <w:r w:rsidR="0063323E" w:rsidRPr="008D49E4">
        <w:rPr>
          <w:lang w:val="en-US" w:eastAsia="en-GB"/>
        </w:rPr>
        <w:t xml:space="preserve">he Committee should </w:t>
      </w:r>
      <w:r>
        <w:rPr>
          <w:lang w:val="en-US" w:eastAsia="en-GB"/>
        </w:rPr>
        <w:t>elaborate on</w:t>
      </w:r>
      <w:r w:rsidR="00DF40D7">
        <w:rPr>
          <w:lang w:val="en-US" w:eastAsia="en-GB"/>
        </w:rPr>
        <w:t xml:space="preserve"> </w:t>
      </w:r>
      <w:r w:rsidR="0063323E" w:rsidRPr="008D49E4">
        <w:rPr>
          <w:lang w:val="en-US" w:eastAsia="en-GB"/>
        </w:rPr>
        <w:t>Article 1</w:t>
      </w:r>
      <w:r w:rsidR="0063323E">
        <w:rPr>
          <w:lang w:val="en-US" w:eastAsia="en-GB"/>
        </w:rPr>
        <w:t xml:space="preserve"> on the Right to Self-Determination</w:t>
      </w:r>
      <w:r w:rsidR="0063323E" w:rsidRPr="008D49E4">
        <w:rPr>
          <w:lang w:val="en-US" w:eastAsia="en-GB"/>
        </w:rPr>
        <w:t xml:space="preserve"> </w:t>
      </w:r>
      <w:r w:rsidR="00C70A63">
        <w:rPr>
          <w:lang w:val="en-US" w:eastAsia="en-GB"/>
        </w:rPr>
        <w:t xml:space="preserve">of </w:t>
      </w:r>
      <w:r w:rsidR="0063323E" w:rsidRPr="008D49E4">
        <w:rPr>
          <w:lang w:val="en-US" w:eastAsia="en-GB"/>
        </w:rPr>
        <w:t xml:space="preserve">Indigenous Peoples and properly address the issues </w:t>
      </w:r>
      <w:r w:rsidR="00862D87">
        <w:rPr>
          <w:lang w:val="en-US" w:eastAsia="en-GB"/>
        </w:rPr>
        <w:t xml:space="preserve">of the </w:t>
      </w:r>
      <w:r w:rsidR="0063323E" w:rsidRPr="008D49E4">
        <w:rPr>
          <w:lang w:val="en-US" w:eastAsia="en-GB"/>
        </w:rPr>
        <w:t>rights to lands, territories and resources.</w:t>
      </w:r>
      <w:r w:rsidR="00E431A5">
        <w:rPr>
          <w:lang w:val="en-US" w:eastAsia="en-GB"/>
        </w:rPr>
        <w:t xml:space="preserve"> </w:t>
      </w:r>
      <w:r w:rsidR="0063323E">
        <w:rPr>
          <w:lang w:val="en-US" w:eastAsia="en-GB"/>
        </w:rPr>
        <w:t xml:space="preserve">In addition, it </w:t>
      </w:r>
      <w:r w:rsidR="00F34C6D" w:rsidRPr="008D49E4">
        <w:rPr>
          <w:lang w:val="en-US" w:eastAsia="en-GB"/>
        </w:rPr>
        <w:t>should memorialize its jurisprudence on indigenous peoples rights</w:t>
      </w:r>
      <w:r w:rsidR="002B5F07">
        <w:rPr>
          <w:lang w:val="en-US" w:eastAsia="en-GB"/>
        </w:rPr>
        <w:t xml:space="preserve"> </w:t>
      </w:r>
      <w:r w:rsidR="00F34C6D" w:rsidRPr="008D49E4">
        <w:rPr>
          <w:lang w:val="en-US" w:eastAsia="en-GB"/>
        </w:rPr>
        <w:t>and the right to self-determination</w:t>
      </w:r>
      <w:r w:rsidR="00BE6915" w:rsidRPr="008D49E4">
        <w:rPr>
          <w:lang w:val="en-US" w:eastAsia="en-GB"/>
        </w:rPr>
        <w:t xml:space="preserve"> and build on the inter-related nature of human rights to incorporate </w:t>
      </w:r>
      <w:r w:rsidR="00D91B0C">
        <w:rPr>
          <w:lang w:val="en-US" w:eastAsia="en-GB"/>
        </w:rPr>
        <w:t xml:space="preserve">the Covenant rights, </w:t>
      </w:r>
      <w:r w:rsidR="00BE6915" w:rsidRPr="008D49E4">
        <w:rPr>
          <w:lang w:val="en-US" w:eastAsia="en-GB"/>
        </w:rPr>
        <w:t xml:space="preserve">Committee’s standards as well as other </w:t>
      </w:r>
      <w:r w:rsidR="00AC660A" w:rsidRPr="008D49E4">
        <w:rPr>
          <w:lang w:val="en-US" w:eastAsia="en-GB"/>
        </w:rPr>
        <w:t xml:space="preserve">frameworks and jurisprudence. </w:t>
      </w:r>
    </w:p>
    <w:p w14:paraId="5B913C48" w14:textId="77777777" w:rsidR="00740B0F" w:rsidRPr="00740B0F" w:rsidRDefault="00740B0F" w:rsidP="00740B0F">
      <w:pPr>
        <w:pStyle w:val="ListParagraph"/>
        <w:rPr>
          <w:lang w:val="en-US" w:eastAsia="en-GB"/>
        </w:rPr>
      </w:pPr>
    </w:p>
    <w:p w14:paraId="7A8E68B4" w14:textId="4033DF73" w:rsidR="005856AC" w:rsidRPr="005856AC" w:rsidRDefault="00740B0F" w:rsidP="005856AC">
      <w:pPr>
        <w:pStyle w:val="ListParagraph"/>
        <w:numPr>
          <w:ilvl w:val="0"/>
          <w:numId w:val="32"/>
        </w:numPr>
        <w:rPr>
          <w:lang w:val="en-US" w:eastAsia="en-GB"/>
        </w:rPr>
      </w:pPr>
      <w:r>
        <w:rPr>
          <w:lang w:val="en-US" w:eastAsia="en-GB"/>
        </w:rPr>
        <w:t xml:space="preserve">In </w:t>
      </w:r>
      <w:r w:rsidR="0047150C">
        <w:rPr>
          <w:lang w:val="en-US" w:eastAsia="en-GB"/>
        </w:rPr>
        <w:t xml:space="preserve">accord </w:t>
      </w:r>
      <w:r>
        <w:rPr>
          <w:lang w:val="en-US" w:eastAsia="en-GB"/>
        </w:rPr>
        <w:t>with the Human Rights Committee, the Committee should also</w:t>
      </w:r>
      <w:r w:rsidR="005856AC">
        <w:rPr>
          <w:lang w:val="en-US" w:eastAsia="en-GB"/>
        </w:rPr>
        <w:t xml:space="preserve"> </w:t>
      </w:r>
      <w:r w:rsidR="005856AC" w:rsidRPr="005856AC">
        <w:rPr>
          <w:rFonts w:cstheme="minorHAnsi"/>
          <w:szCs w:val="22"/>
        </w:rPr>
        <w:t>address indigenous and tribal peoples’ rights to their lands, territories and resources under article 1 of the Covenant,</w:t>
      </w:r>
      <w:r w:rsidR="005856AC" w:rsidRPr="00CB58C3">
        <w:rPr>
          <w:rStyle w:val="FootnoteReference"/>
          <w:rFonts w:cstheme="minorHAnsi"/>
          <w:szCs w:val="22"/>
        </w:rPr>
        <w:footnoteReference w:id="16"/>
      </w:r>
      <w:r w:rsidR="005856AC" w:rsidRPr="005856AC">
        <w:rPr>
          <w:rFonts w:cstheme="minorHAnsi"/>
          <w:szCs w:val="22"/>
        </w:rPr>
        <w:t xml:space="preserve"> which guarantees the right to self-determination, both alone and when read together with other provisions of the Covenant.</w:t>
      </w:r>
      <w:r w:rsidR="005856AC" w:rsidRPr="00CB58C3">
        <w:rPr>
          <w:rStyle w:val="FootnoteReference"/>
          <w:rFonts w:cstheme="minorHAnsi"/>
          <w:szCs w:val="22"/>
        </w:rPr>
        <w:footnoteReference w:id="17"/>
      </w:r>
    </w:p>
    <w:p w14:paraId="67B44D2E" w14:textId="77777777" w:rsidR="00D8786F" w:rsidRPr="00D8786F" w:rsidRDefault="00D8786F" w:rsidP="00D8786F">
      <w:pPr>
        <w:pStyle w:val="ListParagraph"/>
        <w:rPr>
          <w:lang w:val="en-US" w:eastAsia="en-GB"/>
        </w:rPr>
      </w:pPr>
    </w:p>
    <w:p w14:paraId="4E790FE1" w14:textId="21102834" w:rsidR="00391005" w:rsidRPr="00F23A8D" w:rsidRDefault="00D8786F" w:rsidP="0083628D">
      <w:pPr>
        <w:pStyle w:val="ListParagraph"/>
        <w:numPr>
          <w:ilvl w:val="0"/>
          <w:numId w:val="32"/>
        </w:numPr>
        <w:rPr>
          <w:rFonts w:eastAsia="Times New Roman" w:cs="Calibri"/>
          <w:szCs w:val="22"/>
          <w:lang w:val="en-US" w:eastAsia="en-GB"/>
        </w:rPr>
      </w:pPr>
      <w:r w:rsidRPr="00F23A8D">
        <w:rPr>
          <w:lang w:val="en-US" w:eastAsia="en-GB"/>
        </w:rPr>
        <w:t xml:space="preserve">For the Committee to commit to draft a General Comment </w:t>
      </w:r>
      <w:r w:rsidR="00602FC3" w:rsidRPr="00F23A8D">
        <w:rPr>
          <w:lang w:val="en-US" w:eastAsia="en-GB"/>
        </w:rPr>
        <w:t xml:space="preserve">within the next two years </w:t>
      </w:r>
      <w:r w:rsidR="00FB563D" w:rsidRPr="00F23A8D">
        <w:rPr>
          <w:lang w:val="en-US" w:eastAsia="en-GB"/>
        </w:rPr>
        <w:t xml:space="preserve">for </w:t>
      </w:r>
      <w:r w:rsidRPr="00F23A8D">
        <w:rPr>
          <w:lang w:val="en-US" w:eastAsia="en-GB"/>
        </w:rPr>
        <w:t xml:space="preserve">the application of the Covenant </w:t>
      </w:r>
      <w:r w:rsidR="00FB563D" w:rsidRPr="00F23A8D">
        <w:rPr>
          <w:lang w:val="en-US" w:eastAsia="en-GB"/>
        </w:rPr>
        <w:t xml:space="preserve">in compliance with </w:t>
      </w:r>
      <w:r w:rsidRPr="00F23A8D">
        <w:rPr>
          <w:lang w:val="en-US" w:eastAsia="en-GB"/>
        </w:rPr>
        <w:t xml:space="preserve">Indigenous peoples </w:t>
      </w:r>
      <w:r w:rsidR="00FB563D" w:rsidRPr="00F23A8D">
        <w:rPr>
          <w:lang w:val="en-US" w:eastAsia="en-GB"/>
        </w:rPr>
        <w:t xml:space="preserve">human rights standards </w:t>
      </w:r>
      <w:r w:rsidR="00346255" w:rsidRPr="00F23A8D">
        <w:rPr>
          <w:lang w:val="en-US" w:eastAsia="en-GB"/>
        </w:rPr>
        <w:t xml:space="preserve">particularly </w:t>
      </w:r>
      <w:r w:rsidRPr="00F23A8D">
        <w:rPr>
          <w:lang w:val="en-US" w:eastAsia="en-GB"/>
        </w:rPr>
        <w:t>with UNDRIP</w:t>
      </w:r>
      <w:r w:rsidR="00346255" w:rsidRPr="00F23A8D">
        <w:rPr>
          <w:lang w:val="en-US" w:eastAsia="en-GB"/>
        </w:rPr>
        <w:t>.</w:t>
      </w:r>
    </w:p>
    <w:sectPr w:rsidR="00391005" w:rsidRPr="00F23A8D" w:rsidSect="001770F1">
      <w:footerReference w:type="even" r:id="rId8"/>
      <w:footerReference w:type="default" r:id="rId9"/>
      <w:pgSz w:w="11906" w:h="16838"/>
      <w:pgMar w:top="1106" w:right="1389" w:bottom="1106"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5509" w14:textId="77777777" w:rsidR="0059022F" w:rsidRDefault="0059022F" w:rsidP="00F461FE">
      <w:r>
        <w:separator/>
      </w:r>
    </w:p>
  </w:endnote>
  <w:endnote w:type="continuationSeparator" w:id="0">
    <w:p w14:paraId="71F0A2F1" w14:textId="77777777" w:rsidR="0059022F" w:rsidRDefault="0059022F" w:rsidP="00F461FE">
      <w:r>
        <w:continuationSeparator/>
      </w:r>
    </w:p>
  </w:endnote>
  <w:endnote w:type="continuationNotice" w:id="1">
    <w:p w14:paraId="424E537C" w14:textId="77777777" w:rsidR="0059022F" w:rsidRDefault="00590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8488447"/>
      <w:docPartObj>
        <w:docPartGallery w:val="Page Numbers (Bottom of Page)"/>
        <w:docPartUnique/>
      </w:docPartObj>
    </w:sdtPr>
    <w:sdtEndPr>
      <w:rPr>
        <w:rStyle w:val="PageNumber"/>
      </w:rPr>
    </w:sdtEndPr>
    <w:sdtContent>
      <w:p w14:paraId="16BAA2AB" w14:textId="2A87A11B" w:rsidR="00C15986" w:rsidRDefault="00C15986" w:rsidP="00DB3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AF150" w14:textId="77777777" w:rsidR="00C15986" w:rsidRDefault="00C15986" w:rsidP="00C15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9123127"/>
      <w:docPartObj>
        <w:docPartGallery w:val="Page Numbers (Bottom of Page)"/>
        <w:docPartUnique/>
      </w:docPartObj>
    </w:sdtPr>
    <w:sdtEndPr>
      <w:rPr>
        <w:rStyle w:val="PageNumber"/>
      </w:rPr>
    </w:sdtEndPr>
    <w:sdtContent>
      <w:p w14:paraId="2617AEA9" w14:textId="08D0C160" w:rsidR="00C15986" w:rsidRDefault="00C15986" w:rsidP="00DB3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175">
          <w:rPr>
            <w:rStyle w:val="PageNumber"/>
            <w:noProof/>
          </w:rPr>
          <w:t>1</w:t>
        </w:r>
        <w:r>
          <w:rPr>
            <w:rStyle w:val="PageNumber"/>
          </w:rPr>
          <w:fldChar w:fldCharType="end"/>
        </w:r>
      </w:p>
    </w:sdtContent>
  </w:sdt>
  <w:p w14:paraId="408E9D7F" w14:textId="77777777" w:rsidR="00C15986" w:rsidRDefault="00C15986" w:rsidP="00C15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0818" w14:textId="77777777" w:rsidR="0059022F" w:rsidRDefault="0059022F" w:rsidP="00F461FE">
      <w:r>
        <w:separator/>
      </w:r>
    </w:p>
  </w:footnote>
  <w:footnote w:type="continuationSeparator" w:id="0">
    <w:p w14:paraId="1F21A954" w14:textId="77777777" w:rsidR="0059022F" w:rsidRDefault="0059022F" w:rsidP="00F461FE">
      <w:r>
        <w:continuationSeparator/>
      </w:r>
    </w:p>
  </w:footnote>
  <w:footnote w:type="continuationNotice" w:id="1">
    <w:p w14:paraId="1AC385E6" w14:textId="77777777" w:rsidR="0059022F" w:rsidRDefault="0059022F"/>
  </w:footnote>
  <w:footnote w:id="2">
    <w:p w14:paraId="2C7F70F7" w14:textId="3CCCC959" w:rsidR="00EC24C4" w:rsidRPr="001770F1" w:rsidRDefault="00EC24C4" w:rsidP="004F6D10">
      <w:pPr>
        <w:pStyle w:val="FootnoteText"/>
        <w:rPr>
          <w:lang w:val="en-US"/>
        </w:rPr>
      </w:pPr>
      <w:r w:rsidRPr="001770F1">
        <w:rPr>
          <w:rStyle w:val="FootnoteReference"/>
          <w:lang w:val="en-US"/>
        </w:rPr>
        <w:footnoteRef/>
      </w:r>
      <w:r w:rsidRPr="001770F1">
        <w:rPr>
          <w:lang w:val="en-US"/>
        </w:rPr>
        <w:t xml:space="preserve"> Endorsed</w:t>
      </w:r>
      <w:r w:rsidR="000E531A" w:rsidRPr="001770F1">
        <w:rPr>
          <w:lang w:val="en-US"/>
        </w:rPr>
        <w:t xml:space="preserve"> by:</w:t>
      </w:r>
      <w:r w:rsidR="00F64743" w:rsidRPr="001770F1">
        <w:rPr>
          <w:lang w:val="en-US"/>
        </w:rPr>
        <w:t xml:space="preserve"> Vicky Tauli-Corpuz (UN Special Rapporteur on the Rights of Indigenous Peoples 2014-2020),</w:t>
      </w:r>
      <w:r w:rsidRPr="001770F1">
        <w:rPr>
          <w:lang w:val="en-US"/>
        </w:rPr>
        <w:t xml:space="preserve"> </w:t>
      </w:r>
      <w:r w:rsidR="00F64743" w:rsidRPr="001770F1">
        <w:rPr>
          <w:lang w:val="en-US"/>
        </w:rPr>
        <w:t>Willie Littlechild (Former Expert - Expert Mechanism on the Rights of Indigenous Peoples), José Carlos Morales M. (Former Expert - Expert Mechanism on the Rights of Indigenous Peoples)</w:t>
      </w:r>
      <w:r w:rsidR="000E531A" w:rsidRPr="001770F1">
        <w:rPr>
          <w:lang w:val="en-US"/>
        </w:rPr>
        <w:t xml:space="preserve">, Joan Carling (Former Expert UN Permanent Forum on Indigenous Issues), </w:t>
      </w:r>
      <w:r w:rsidR="00F64743" w:rsidRPr="001770F1">
        <w:rPr>
          <w:lang w:val="en-US"/>
        </w:rPr>
        <w:t>Shankar Limbu</w:t>
      </w:r>
      <w:r w:rsidR="000E531A" w:rsidRPr="001770F1">
        <w:rPr>
          <w:lang w:val="en-US"/>
        </w:rPr>
        <w:t xml:space="preserve">, Joseph Itongwa, Dalee Sambo Dorough, PhD, </w:t>
      </w:r>
      <w:r w:rsidR="00F64743" w:rsidRPr="001770F1">
        <w:rPr>
          <w:lang w:val="en-US"/>
        </w:rPr>
        <w:t>Councillor Laurie Buffalo (Samson Cree Nation)</w:t>
      </w:r>
      <w:r w:rsidR="000E531A" w:rsidRPr="001770F1">
        <w:rPr>
          <w:lang w:val="en-US"/>
        </w:rPr>
        <w:t xml:space="preserve">, </w:t>
      </w:r>
      <w:r w:rsidR="00F64743" w:rsidRPr="001770F1">
        <w:rPr>
          <w:lang w:val="en-US"/>
        </w:rPr>
        <w:t>Anne Nuorgam</w:t>
      </w:r>
      <w:r w:rsidR="000E531A" w:rsidRPr="001770F1">
        <w:rPr>
          <w:lang w:val="en-US"/>
        </w:rPr>
        <w:t xml:space="preserve">, </w:t>
      </w:r>
      <w:r w:rsidR="00F64743" w:rsidRPr="001770F1">
        <w:rPr>
          <w:lang w:val="en-US"/>
        </w:rPr>
        <w:t>Ambassador Bobbi Herrera</w:t>
      </w:r>
      <w:r w:rsidR="000E531A" w:rsidRPr="001770F1">
        <w:rPr>
          <w:lang w:val="en-US"/>
        </w:rPr>
        <w:t xml:space="preserve">, </w:t>
      </w:r>
      <w:r w:rsidR="00F64743" w:rsidRPr="001770F1">
        <w:rPr>
          <w:lang w:val="en-US"/>
        </w:rPr>
        <w:t>Alancay Morales Garro</w:t>
      </w:r>
      <w:r w:rsidR="000E531A" w:rsidRPr="001770F1">
        <w:rPr>
          <w:lang w:val="en-US"/>
        </w:rPr>
        <w:t xml:space="preserve">. Including the following organizations: </w:t>
      </w:r>
      <w:r w:rsidR="004F6D10" w:rsidRPr="001770F1">
        <w:rPr>
          <w:lang w:val="en-US"/>
        </w:rPr>
        <w:t xml:space="preserve">Almaciga, Grupo de Trabajo Intercultural, Spain in the NGO/civil society; ANAPAC RDC; Indigenous Peoples Rights International; International Organization of Indigenous Resource Development </w:t>
      </w:r>
      <w:r w:rsidR="00611B66">
        <w:rPr>
          <w:lang w:val="en-US"/>
        </w:rPr>
        <w:t>(</w:t>
      </w:r>
      <w:r w:rsidR="004F6D10" w:rsidRPr="001770F1">
        <w:rPr>
          <w:lang w:val="en-US"/>
        </w:rPr>
        <w:t>IOIRD</w:t>
      </w:r>
      <w:r w:rsidR="00611B66">
        <w:rPr>
          <w:lang w:val="en-US"/>
        </w:rPr>
        <w:t>)</w:t>
      </w:r>
      <w:r w:rsidR="004F6D10" w:rsidRPr="001770F1">
        <w:rPr>
          <w:lang w:val="en-US"/>
        </w:rPr>
        <w:t>; Lawyer's Association for the Human Rights of Nepal's Indigenous Peoples (LAHURNIP); REPALEAC; Tebtebba (Indigenous Peoples' International Centre for Policy Research and Education).</w:t>
      </w:r>
    </w:p>
  </w:footnote>
  <w:footnote w:id="3">
    <w:p w14:paraId="030CAEA2" w14:textId="497724D4" w:rsidR="00105279" w:rsidRPr="001770F1" w:rsidRDefault="00105279" w:rsidP="00105279">
      <w:pPr>
        <w:pStyle w:val="FootnoteText"/>
        <w:rPr>
          <w:lang w:val="en-US"/>
        </w:rPr>
      </w:pPr>
      <w:r w:rsidRPr="001770F1">
        <w:rPr>
          <w:rStyle w:val="FootnoteReference"/>
          <w:vertAlign w:val="baseline"/>
          <w:lang w:val="en-US"/>
        </w:rPr>
        <w:footnoteRef/>
      </w:r>
      <w:r w:rsidRPr="001770F1">
        <w:rPr>
          <w:lang w:val="en-US"/>
        </w:rPr>
        <w:t xml:space="preserve"> International Covenant on Economic, Social and Cultural Rights. Article 1</w:t>
      </w:r>
      <w:r w:rsidR="000B74FC" w:rsidRPr="001770F1">
        <w:rPr>
          <w:lang w:val="en-US"/>
        </w:rPr>
        <w:t>.</w:t>
      </w:r>
    </w:p>
  </w:footnote>
  <w:footnote w:id="4">
    <w:p w14:paraId="6AAC7ABF" w14:textId="08844C89" w:rsidR="009C078B" w:rsidRPr="001770F1" w:rsidRDefault="009C078B" w:rsidP="001F2AAD">
      <w:pPr>
        <w:pStyle w:val="FootnoteText"/>
        <w:rPr>
          <w:lang w:val="en-US"/>
        </w:rPr>
      </w:pPr>
      <w:r w:rsidRPr="001770F1">
        <w:rPr>
          <w:rStyle w:val="FootnoteReference"/>
          <w:vertAlign w:val="baseline"/>
          <w:lang w:val="en-US"/>
        </w:rPr>
        <w:footnoteRef/>
      </w:r>
      <w:r w:rsidRPr="001770F1">
        <w:rPr>
          <w:lang w:val="en-US"/>
        </w:rPr>
        <w:t xml:space="preserve"> Apirana </w:t>
      </w:r>
      <w:r w:rsidRPr="001770F1">
        <w:rPr>
          <w:i/>
          <w:iCs/>
          <w:lang w:val="en-US"/>
        </w:rPr>
        <w:t>Mahuika et al. v. New Zealand</w:t>
      </w:r>
      <w:r w:rsidRPr="001770F1">
        <w:rPr>
          <w:lang w:val="en-US"/>
        </w:rPr>
        <w:t>, Communication No. 547/1993, U.N. Doc. CCPR/C/70/D/547/1993</w:t>
      </w:r>
    </w:p>
  </w:footnote>
  <w:footnote w:id="5">
    <w:p w14:paraId="4ADBBFF1" w14:textId="0CBEDD59" w:rsidR="00B85F7A" w:rsidRPr="001770F1" w:rsidRDefault="00B85F7A" w:rsidP="001F2AAD">
      <w:pPr>
        <w:pStyle w:val="FootnoteText"/>
        <w:rPr>
          <w:lang w:val="en-US"/>
        </w:rPr>
      </w:pPr>
      <w:r w:rsidRPr="001770F1">
        <w:rPr>
          <w:rStyle w:val="FootnoteReference"/>
          <w:vertAlign w:val="baseline"/>
          <w:lang w:val="en-US"/>
        </w:rPr>
        <w:footnoteRef/>
      </w:r>
      <w:r w:rsidRPr="001770F1">
        <w:rPr>
          <w:lang w:val="en-US"/>
        </w:rPr>
        <w:t xml:space="preserve"> </w:t>
      </w:r>
      <w:r w:rsidR="00EA5F04" w:rsidRPr="001770F1">
        <w:rPr>
          <w:i/>
          <w:iCs/>
          <w:lang w:val="en-US"/>
        </w:rPr>
        <w:t>See</w:t>
      </w:r>
      <w:r w:rsidR="00EA5F04" w:rsidRPr="001770F1">
        <w:rPr>
          <w:lang w:val="en-US"/>
        </w:rPr>
        <w:t xml:space="preserve"> </w:t>
      </w:r>
      <w:r w:rsidRPr="001770F1">
        <w:rPr>
          <w:lang w:val="en-US"/>
        </w:rPr>
        <w:t xml:space="preserve">International Covenant on Economic, Social and Cultural Rights. Article </w:t>
      </w:r>
      <w:r w:rsidR="00EA5F04" w:rsidRPr="001770F1">
        <w:rPr>
          <w:lang w:val="en-US"/>
        </w:rPr>
        <w:t>25</w:t>
      </w:r>
      <w:r w:rsidR="007E4865" w:rsidRPr="001770F1">
        <w:rPr>
          <w:lang w:val="en-US"/>
        </w:rPr>
        <w:t xml:space="preserve"> states that “Nothing in the present Covenant shall be interpreted as impairing the inherent right of all peoples to enjoy and utilize fully and freely their natural wealth and resources”</w:t>
      </w:r>
      <w:r w:rsidR="003C440A" w:rsidRPr="001770F1">
        <w:rPr>
          <w:lang w:val="en-US"/>
        </w:rPr>
        <w:t>.</w:t>
      </w:r>
    </w:p>
  </w:footnote>
  <w:footnote w:id="6">
    <w:p w14:paraId="5AB53AC6" w14:textId="379FC415" w:rsidR="00AD74EA" w:rsidRPr="001770F1" w:rsidRDefault="00AD74EA">
      <w:pPr>
        <w:pStyle w:val="FootnoteText"/>
        <w:rPr>
          <w:lang w:val="en-US"/>
        </w:rPr>
      </w:pPr>
      <w:r w:rsidRPr="001770F1">
        <w:rPr>
          <w:rStyle w:val="FootnoteReference"/>
          <w:lang w:val="en-US"/>
        </w:rPr>
        <w:footnoteRef/>
      </w:r>
      <w:r w:rsidRPr="001770F1">
        <w:rPr>
          <w:lang w:val="en-US"/>
        </w:rPr>
        <w:t xml:space="preserve"> </w:t>
      </w:r>
      <w:r w:rsidR="00167117" w:rsidRPr="001770F1">
        <w:rPr>
          <w:lang w:val="en-US"/>
        </w:rPr>
        <w:t xml:space="preserve">Inter-American Court of Human Rights, </w:t>
      </w:r>
      <w:r w:rsidR="00167117" w:rsidRPr="001770F1">
        <w:rPr>
          <w:i/>
          <w:iCs/>
          <w:lang w:val="en-US"/>
        </w:rPr>
        <w:t>Maygna (sumo) Awas Tingni Community v. Nicaragua</w:t>
      </w:r>
      <w:r w:rsidR="00167117" w:rsidRPr="001770F1">
        <w:rPr>
          <w:lang w:val="en-US"/>
        </w:rPr>
        <w:t>, Judgment of 31 August 2001, para.</w:t>
      </w:r>
      <w:r w:rsidR="00BE063E" w:rsidRPr="001770F1">
        <w:rPr>
          <w:lang w:val="en-US"/>
        </w:rPr>
        <w:t xml:space="preserve"> </w:t>
      </w:r>
      <w:r w:rsidR="00167117" w:rsidRPr="001770F1">
        <w:rPr>
          <w:lang w:val="en-US"/>
        </w:rPr>
        <w:t>149</w:t>
      </w:r>
      <w:r w:rsidR="00BE063E" w:rsidRPr="001770F1">
        <w:rPr>
          <w:lang w:val="en-US"/>
        </w:rPr>
        <w:t xml:space="preserve"> which states that </w:t>
      </w:r>
      <w:r w:rsidRPr="001770F1">
        <w:rPr>
          <w:lang w:val="en-US"/>
        </w:rPr>
        <w:t>“[a]mong indigenous peoples th</w:t>
      </w:r>
      <w:r w:rsidR="00167117" w:rsidRPr="001770F1">
        <w:rPr>
          <w:lang w:val="en-US"/>
        </w:rPr>
        <w:t>e</w:t>
      </w:r>
      <w:r w:rsidRPr="001770F1">
        <w:rPr>
          <w:lang w:val="en-US"/>
        </w:rPr>
        <w:t>re is a communitarian tradition regarding a communal form of collective property of the land, in the sense that ownership of the land is not centered on an individual but rather on the group and its community. Indigenous groups, by the fact of their very existence, have the right to live freely in their own territory; the close ties of indigenous people with the land must be recognized and understood as the fundamental basis of their cultures, their spiritual life, their integrity, and their economic survival. For indigenous communities, relations to the land are not merely a matter of possession and production but a material and spiritual element which they must full enjoy, even to preserve their cultural legacy and transmit it to future generations”.</w:t>
      </w:r>
      <w:r w:rsidR="00DF40D7" w:rsidRPr="001770F1">
        <w:rPr>
          <w:lang w:val="en-US"/>
        </w:rPr>
        <w:t xml:space="preserve"> </w:t>
      </w:r>
      <w:r w:rsidR="000B74FC" w:rsidRPr="001770F1">
        <w:rPr>
          <w:lang w:val="en-US"/>
        </w:rPr>
        <w:t>“</w:t>
      </w:r>
      <w:r w:rsidRPr="001770F1">
        <w:rPr>
          <w:lang w:val="en-US"/>
        </w:rPr>
        <w:t xml:space="preserve">Hence, the traditional lands and natural resources of indigenous peoples are key to their physical and spiritual survival and an essential prerequisite for the enjoyment of their international recognized human rights. The relationship </w:t>
      </w:r>
      <w:r w:rsidR="00167117" w:rsidRPr="001770F1">
        <w:rPr>
          <w:lang w:val="en-US"/>
        </w:rPr>
        <w:t>b</w:t>
      </w:r>
      <w:r w:rsidRPr="001770F1">
        <w:rPr>
          <w:lang w:val="en-US"/>
        </w:rPr>
        <w:t>etween indigenous peoples and their ancestral lands should therefore be safeguarded as a human rights imperative as well as under the goal of self-determination and respect for and promotion of global cultural diversity</w:t>
      </w:r>
      <w:r w:rsidR="00167117" w:rsidRPr="001770F1">
        <w:rPr>
          <w:lang w:val="en-US"/>
        </w:rPr>
        <w:t>.”</w:t>
      </w:r>
    </w:p>
  </w:footnote>
  <w:footnote w:id="7">
    <w:p w14:paraId="5AFDE014" w14:textId="39443DAE" w:rsidR="00096783" w:rsidRPr="001770F1" w:rsidRDefault="00096783" w:rsidP="00096783">
      <w:pPr>
        <w:pStyle w:val="FootnoteText"/>
        <w:rPr>
          <w:lang w:val="en-US"/>
        </w:rPr>
      </w:pPr>
      <w:r w:rsidRPr="001770F1">
        <w:rPr>
          <w:rStyle w:val="FootnoteReference"/>
          <w:vertAlign w:val="baseline"/>
          <w:lang w:val="en-US"/>
        </w:rPr>
        <w:footnoteRef/>
      </w:r>
      <w:r w:rsidRPr="001770F1">
        <w:rPr>
          <w:lang w:val="en-US"/>
        </w:rPr>
        <w:t xml:space="preserve"> </w:t>
      </w:r>
      <w:r w:rsidRPr="001770F1">
        <w:rPr>
          <w:i/>
          <w:iCs/>
          <w:lang w:val="en-US"/>
        </w:rPr>
        <w:t>See</w:t>
      </w:r>
      <w:r w:rsidRPr="001770F1">
        <w:rPr>
          <w:lang w:val="en-US"/>
        </w:rPr>
        <w:t xml:space="preserve"> General Comment para. 5 stating ”Other relevant soft law instruments have been developed to describe the obligations and responsibilities of States and other actors relating to land use of specific groups.</w:t>
      </w:r>
      <w:r w:rsidR="00DF40D7" w:rsidRPr="001770F1">
        <w:rPr>
          <w:lang w:val="en-US"/>
        </w:rPr>
        <w:t xml:space="preserve"> </w:t>
      </w:r>
      <w:r w:rsidRPr="001770F1">
        <w:rPr>
          <w:lang w:val="en-US"/>
        </w:rPr>
        <w:t>Such soft law instruments provide help in the interpretation of the legally binding obligations of States parties under the Covenant and address a broad range of Covenant rights.” And in particular, footnote 5 references UNDRIP.</w:t>
      </w:r>
      <w:r w:rsidR="00DF40D7" w:rsidRPr="001770F1">
        <w:rPr>
          <w:lang w:val="en-US"/>
        </w:rPr>
        <w:t xml:space="preserve"> </w:t>
      </w:r>
    </w:p>
  </w:footnote>
  <w:footnote w:id="8">
    <w:p w14:paraId="1E0B1FF1" w14:textId="0A50E0ED" w:rsidR="000E041A" w:rsidRPr="001770F1" w:rsidRDefault="000E041A" w:rsidP="001F2AAD">
      <w:pPr>
        <w:pStyle w:val="FootnoteText"/>
        <w:rPr>
          <w:lang w:val="en-US"/>
        </w:rPr>
      </w:pPr>
      <w:r w:rsidRPr="001770F1">
        <w:rPr>
          <w:rStyle w:val="FootnoteReference"/>
          <w:vertAlign w:val="baseline"/>
          <w:lang w:val="en-US"/>
        </w:rPr>
        <w:footnoteRef/>
      </w:r>
      <w:r w:rsidRPr="001770F1">
        <w:rPr>
          <w:lang w:val="en-US"/>
        </w:rPr>
        <w:t xml:space="preserve"> </w:t>
      </w:r>
      <w:r w:rsidRPr="001770F1">
        <w:rPr>
          <w:i/>
          <w:iCs/>
          <w:lang w:val="en-US"/>
        </w:rPr>
        <w:t>See</w:t>
      </w:r>
      <w:r w:rsidRPr="001770F1">
        <w:rPr>
          <w:lang w:val="en-US"/>
        </w:rPr>
        <w:t xml:space="preserve"> General Comment para</w:t>
      </w:r>
      <w:r w:rsidR="000E656B" w:rsidRPr="001770F1">
        <w:rPr>
          <w:lang w:val="en-US"/>
        </w:rPr>
        <w:t>.</w:t>
      </w:r>
      <w:r w:rsidRPr="001770F1">
        <w:rPr>
          <w:lang w:val="en-US"/>
        </w:rPr>
        <w:t xml:space="preserve"> 23 </w:t>
      </w:r>
      <w:r w:rsidR="005D0388" w:rsidRPr="001770F1">
        <w:rPr>
          <w:lang w:val="en-US"/>
        </w:rPr>
        <w:t>“</w:t>
      </w:r>
      <w:r w:rsidRPr="001770F1">
        <w:rPr>
          <w:lang w:val="en-US"/>
        </w:rPr>
        <w:t>Therefore, indigenous peoples have the right to have their lands demarcated, and relocation is allowed only under narrowly defined circumstances and, in principle, with the prior, free and informed consent of the groups concerned.”</w:t>
      </w:r>
    </w:p>
  </w:footnote>
  <w:footnote w:id="9">
    <w:p w14:paraId="329E73E5" w14:textId="7F3DB5DD" w:rsidR="00922A1E" w:rsidRPr="001770F1" w:rsidRDefault="00922A1E" w:rsidP="001F2AAD">
      <w:pPr>
        <w:pStyle w:val="FootnoteText"/>
        <w:rPr>
          <w:lang w:val="en-US"/>
        </w:rPr>
      </w:pPr>
      <w:r w:rsidRPr="001770F1">
        <w:rPr>
          <w:rStyle w:val="FootnoteReference"/>
          <w:vertAlign w:val="baseline"/>
          <w:lang w:val="en-US"/>
        </w:rPr>
        <w:footnoteRef/>
      </w:r>
      <w:r w:rsidRPr="001770F1">
        <w:rPr>
          <w:lang w:val="en-US"/>
        </w:rPr>
        <w:t xml:space="preserve"> </w:t>
      </w:r>
      <w:r w:rsidRPr="001770F1">
        <w:rPr>
          <w:i/>
          <w:iCs/>
          <w:lang w:val="en-US"/>
        </w:rPr>
        <w:t>See</w:t>
      </w:r>
      <w:r w:rsidRPr="001770F1">
        <w:rPr>
          <w:lang w:val="en-US"/>
        </w:rPr>
        <w:t xml:space="preserve"> United Declaration on the Rights of Indigenous Peoples Article 10 </w:t>
      </w:r>
      <w:r w:rsidR="005D0388" w:rsidRPr="001770F1">
        <w:rPr>
          <w:lang w:val="en-US"/>
        </w:rPr>
        <w:t>“</w:t>
      </w:r>
      <w:r w:rsidRPr="001770F1">
        <w:rPr>
          <w:lang w:val="en-US"/>
        </w:rPr>
        <w:t>Indigenous peoples shall not be forcibly removed from their lands or territories. No relocation shall take place without the free, prior and informed consent of the indigenous peoples concerned and after agreement on just and fair compensation and, where possible, with the option of return.”</w:t>
      </w:r>
    </w:p>
  </w:footnote>
  <w:footnote w:id="10">
    <w:p w14:paraId="2B69E8A7" w14:textId="2EB4182C" w:rsidR="008F2BDB" w:rsidRPr="001770F1" w:rsidRDefault="008F2BDB">
      <w:pPr>
        <w:pStyle w:val="FootnoteText"/>
        <w:rPr>
          <w:lang w:val="en-US"/>
        </w:rPr>
      </w:pPr>
      <w:r w:rsidRPr="001770F1">
        <w:rPr>
          <w:rStyle w:val="FootnoteReference"/>
          <w:lang w:val="en-US"/>
        </w:rPr>
        <w:footnoteRef/>
      </w:r>
      <w:r w:rsidRPr="001770F1">
        <w:rPr>
          <w:lang w:val="en-US"/>
        </w:rPr>
        <w:t xml:space="preserve"> </w:t>
      </w:r>
      <w:r w:rsidR="00076807" w:rsidRPr="001770F1">
        <w:rPr>
          <w:i/>
          <w:iCs/>
          <w:lang w:val="en-US"/>
        </w:rPr>
        <w:t>See</w:t>
      </w:r>
      <w:r w:rsidR="00076807" w:rsidRPr="001770F1">
        <w:rPr>
          <w:lang w:val="en-US"/>
        </w:rPr>
        <w:t xml:space="preserve"> United Declaration on the Rights of Indigenous Peoples</w:t>
      </w:r>
      <w:r w:rsidR="0037485E" w:rsidRPr="001770F1">
        <w:rPr>
          <w:lang w:val="en-US"/>
        </w:rPr>
        <w:t xml:space="preserve"> Article 28</w:t>
      </w:r>
      <w:r w:rsidR="00942546" w:rsidRPr="001770F1">
        <w:rPr>
          <w:lang w:val="en-US"/>
        </w:rPr>
        <w:t>(1)</w:t>
      </w:r>
      <w:r w:rsidR="0037485E" w:rsidRPr="001770F1">
        <w:rPr>
          <w:lang w:val="en-US"/>
        </w:rPr>
        <w:t xml:space="preserve"> “</w:t>
      </w:r>
      <w:r w:rsidR="00942546" w:rsidRPr="001770F1">
        <w:rPr>
          <w:lang w:val="en-US"/>
        </w:rPr>
        <w:t>Indigenous peoples have the right to redress</w:t>
      </w:r>
      <w:r w:rsidR="0037485E" w:rsidRPr="001770F1">
        <w:rPr>
          <w:lang w:val="en-US"/>
        </w:rPr>
        <w:t>, by means that can include restitution or, when this is not possible, just, fair and equitable compensation, for the lands, territories and resources which they have traditionally owned or otherwise occupied or used, and which have been confiscated, taken, occupied, used or damaged without their fee, prior and informed consent”</w:t>
      </w:r>
    </w:p>
  </w:footnote>
  <w:footnote w:id="11">
    <w:p w14:paraId="443453F3" w14:textId="2B581241" w:rsidR="005372ED" w:rsidRPr="001770F1" w:rsidRDefault="005372ED" w:rsidP="001F2AAD">
      <w:pPr>
        <w:pStyle w:val="FootnoteText"/>
        <w:rPr>
          <w:lang w:val="en-US"/>
        </w:rPr>
      </w:pPr>
      <w:r w:rsidRPr="001770F1">
        <w:rPr>
          <w:rStyle w:val="FootnoteReference"/>
          <w:vertAlign w:val="baseline"/>
          <w:lang w:val="en-US"/>
        </w:rPr>
        <w:footnoteRef/>
      </w:r>
      <w:r w:rsidRPr="001770F1">
        <w:rPr>
          <w:lang w:val="en-US"/>
        </w:rPr>
        <w:t xml:space="preserve"> </w:t>
      </w:r>
      <w:r w:rsidRPr="001770F1">
        <w:rPr>
          <w:i/>
          <w:iCs/>
          <w:lang w:val="en-US"/>
        </w:rPr>
        <w:t>See</w:t>
      </w:r>
      <w:r w:rsidRPr="001770F1">
        <w:rPr>
          <w:lang w:val="en-US"/>
        </w:rPr>
        <w:t xml:space="preserve"> General Comment para. </w:t>
      </w:r>
      <w:r w:rsidR="00DF4BCF" w:rsidRPr="001770F1">
        <w:rPr>
          <w:lang w:val="en-US"/>
        </w:rPr>
        <w:t>23 stating “The requirements applicable to indigenous peoples have now been extended to at least certain traditional communities that maintain a similar relationship to their ancestral lands centred on the community rather than the individual.”</w:t>
      </w:r>
    </w:p>
  </w:footnote>
  <w:footnote w:id="12">
    <w:p w14:paraId="5D3E0F75" w14:textId="343BD8EA" w:rsidR="003356F2" w:rsidRPr="001770F1" w:rsidRDefault="003356F2" w:rsidP="001F2AAD">
      <w:pPr>
        <w:pStyle w:val="FootnoteText"/>
        <w:rPr>
          <w:lang w:val="en-US"/>
        </w:rPr>
      </w:pPr>
      <w:r w:rsidRPr="001770F1">
        <w:rPr>
          <w:rStyle w:val="FootnoteReference"/>
          <w:vertAlign w:val="baseline"/>
          <w:lang w:val="en-US"/>
        </w:rPr>
        <w:footnoteRef/>
      </w:r>
      <w:r w:rsidRPr="001770F1">
        <w:rPr>
          <w:lang w:val="en-US"/>
        </w:rPr>
        <w:t xml:space="preserve"> CESCR General Comment No. 14: The</w:t>
      </w:r>
      <w:r w:rsidR="008A163F" w:rsidRPr="001770F1">
        <w:rPr>
          <w:lang w:val="en-US"/>
        </w:rPr>
        <w:t xml:space="preserve"> </w:t>
      </w:r>
      <w:r w:rsidRPr="001770F1">
        <w:rPr>
          <w:lang w:val="en-US"/>
        </w:rPr>
        <w:t xml:space="preserve">Right to the Highest Attainable Standard of Health (Art. 12) </w:t>
      </w:r>
      <w:r w:rsidRPr="001770F1">
        <w:rPr>
          <w:i/>
          <w:iCs/>
          <w:lang w:val="en-US"/>
        </w:rPr>
        <w:t>see</w:t>
      </w:r>
      <w:r w:rsidRPr="001770F1">
        <w:rPr>
          <w:lang w:val="en-US"/>
        </w:rPr>
        <w:t xml:space="preserve"> para. 27</w:t>
      </w:r>
      <w:r w:rsidR="00366EF5" w:rsidRPr="001770F1">
        <w:rPr>
          <w:lang w:val="en-US"/>
        </w:rPr>
        <w:t xml:space="preserve"> which states “In this respect, the Committee considers that development-related activities that lead to the displacement of indigenous peoples against their will from their traditional territories and environment, denying them their sources of nutrition and breaking their symbiotic relationship with their lands, has a deleterious effect on their health.”</w:t>
      </w:r>
    </w:p>
  </w:footnote>
  <w:footnote w:id="13">
    <w:p w14:paraId="33A9B288" w14:textId="1C703981" w:rsidR="003356F2" w:rsidRPr="001770F1" w:rsidRDefault="003356F2" w:rsidP="008636AA">
      <w:pPr>
        <w:pStyle w:val="FootnoteText"/>
        <w:rPr>
          <w:lang w:val="en-US"/>
        </w:rPr>
      </w:pPr>
      <w:r w:rsidRPr="001770F1">
        <w:rPr>
          <w:rStyle w:val="FootnoteReference"/>
          <w:vertAlign w:val="baseline"/>
          <w:lang w:val="en-US"/>
        </w:rPr>
        <w:footnoteRef/>
      </w:r>
      <w:r w:rsidRPr="001770F1">
        <w:rPr>
          <w:lang w:val="en-US"/>
        </w:rPr>
        <w:t xml:space="preserve"> CESCR General Comment No. 15 (2002): The right to water (arts. 11 and 12 of the International Covenant on Economic, Social and Cultural Rights) see para</w:t>
      </w:r>
      <w:r w:rsidR="009F585A" w:rsidRPr="001770F1">
        <w:rPr>
          <w:lang w:val="en-US"/>
        </w:rPr>
        <w:t>.</w:t>
      </w:r>
      <w:r w:rsidRPr="001770F1">
        <w:rPr>
          <w:lang w:val="en-US"/>
        </w:rPr>
        <w:t xml:space="preserve"> 7</w:t>
      </w:r>
      <w:r w:rsidR="008636AA" w:rsidRPr="001770F1">
        <w:rPr>
          <w:lang w:val="en-US"/>
        </w:rPr>
        <w:t xml:space="preserve"> which states “Taking note of the duty in article 1, paragraph 2, of the Covenant, which provides that a people may not “be deprived of its means of subsistence”, States parties should ensure that there is adequate access to water for subsistence farming and for securing the livelihoods of indigenous peoples.”</w:t>
      </w:r>
    </w:p>
  </w:footnote>
  <w:footnote w:id="14">
    <w:p w14:paraId="779D76ED" w14:textId="33661ADF" w:rsidR="00960E68" w:rsidRPr="001770F1" w:rsidRDefault="00960E68" w:rsidP="001F2AAD">
      <w:pPr>
        <w:pStyle w:val="FootnoteText"/>
        <w:rPr>
          <w:lang w:val="en-US"/>
        </w:rPr>
      </w:pPr>
      <w:r w:rsidRPr="001770F1">
        <w:rPr>
          <w:rStyle w:val="FootnoteReference"/>
          <w:vertAlign w:val="baseline"/>
          <w:lang w:val="en-US"/>
        </w:rPr>
        <w:footnoteRef/>
      </w:r>
      <w:r w:rsidRPr="001770F1">
        <w:rPr>
          <w:lang w:val="en-US"/>
        </w:rPr>
        <w:t xml:space="preserve"> CESCR Draft General comment No. 26 (2021) on land and economic, social and cultural rights, para. 15. </w:t>
      </w:r>
    </w:p>
  </w:footnote>
  <w:footnote w:id="15">
    <w:p w14:paraId="6EE86764" w14:textId="2B8D08CD" w:rsidR="00960E68" w:rsidRPr="001770F1" w:rsidRDefault="00960E68" w:rsidP="001F2AAD">
      <w:pPr>
        <w:pStyle w:val="FootnoteText"/>
        <w:rPr>
          <w:lang w:val="en-US"/>
        </w:rPr>
      </w:pPr>
      <w:r w:rsidRPr="001770F1">
        <w:rPr>
          <w:rStyle w:val="FootnoteReference"/>
          <w:vertAlign w:val="baseline"/>
          <w:lang w:val="en-US"/>
        </w:rPr>
        <w:footnoteRef/>
      </w:r>
      <w:r w:rsidRPr="001770F1">
        <w:rPr>
          <w:lang w:val="en-US"/>
        </w:rPr>
        <w:t xml:space="preserve"> Draft General Comment para</w:t>
      </w:r>
      <w:r w:rsidR="009F585A" w:rsidRPr="001770F1">
        <w:rPr>
          <w:lang w:val="en-US"/>
        </w:rPr>
        <w:t>.</w:t>
      </w:r>
      <w:r w:rsidRPr="001770F1">
        <w:rPr>
          <w:lang w:val="en-US"/>
        </w:rPr>
        <w:t xml:space="preserve"> 19. </w:t>
      </w:r>
    </w:p>
  </w:footnote>
  <w:footnote w:id="16">
    <w:p w14:paraId="5B78FE80" w14:textId="77777777" w:rsidR="005856AC" w:rsidRPr="001770F1" w:rsidRDefault="005856AC" w:rsidP="005856AC">
      <w:pPr>
        <w:pStyle w:val="FootnoteText"/>
        <w:rPr>
          <w:rFonts w:cstheme="minorHAnsi"/>
          <w:lang w:val="en-US"/>
        </w:rPr>
      </w:pPr>
      <w:r w:rsidRPr="001770F1">
        <w:rPr>
          <w:rStyle w:val="FootnoteReference"/>
          <w:rFonts w:cstheme="minorHAnsi"/>
          <w:lang w:val="en-US"/>
        </w:rPr>
        <w:footnoteRef/>
      </w:r>
      <w:r w:rsidRPr="001770F1">
        <w:rPr>
          <w:rFonts w:cstheme="minorHAnsi"/>
          <w:lang w:val="en-US"/>
        </w:rPr>
        <w:t xml:space="preserve"> </w:t>
      </w:r>
      <w:r w:rsidRPr="001770F1">
        <w:rPr>
          <w:rFonts w:cstheme="minorHAnsi"/>
          <w:i/>
          <w:iCs/>
          <w:lang w:val="en-US"/>
        </w:rPr>
        <w:t>Tiina Sanila-Aikio vs. Finland</w:t>
      </w:r>
      <w:r w:rsidRPr="001770F1">
        <w:rPr>
          <w:rFonts w:cstheme="minorHAnsi"/>
          <w:lang w:val="en-US"/>
        </w:rPr>
        <w:t xml:space="preserve">, CCPR/C/124/D/2668/2015, 20 March 2019, para. 6.8-6.9; </w:t>
      </w:r>
      <w:r w:rsidRPr="001770F1">
        <w:rPr>
          <w:rFonts w:cstheme="minorHAnsi"/>
          <w:i/>
          <w:iCs/>
          <w:lang w:val="en-US"/>
        </w:rPr>
        <w:t>Klemetti Käkkäläjärvi et al. v. Finland</w:t>
      </w:r>
      <w:r w:rsidRPr="001770F1">
        <w:rPr>
          <w:rFonts w:cstheme="minorHAnsi"/>
          <w:lang w:val="en-US"/>
        </w:rPr>
        <w:t xml:space="preserve">, CCPR/C/124/D/2950/2017, 18 December 2019, para. 9.9 (explaining that “article 27 of the Covenant, interpreted in the light of the [UNDRIP] and article 1 of the Covenant, enshrines an inalienable right of indigenous peoples to freely determine their political status and freely pursue their economic, social and cultural development. Article 1 of the Covenant and the corresponding obligations concerning its implementation are interrelated with other provisions of the Covenant and rules of international law”); and </w:t>
      </w:r>
      <w:r w:rsidRPr="001770F1">
        <w:rPr>
          <w:rFonts w:cstheme="minorHAnsi"/>
          <w:i/>
          <w:iCs/>
          <w:lang w:val="en-US"/>
        </w:rPr>
        <w:t>Apirana Mahuika et al. vs. New Zealand</w:t>
      </w:r>
      <w:r w:rsidRPr="001770F1">
        <w:rPr>
          <w:rFonts w:cstheme="minorHAnsi"/>
          <w:lang w:val="en-US"/>
        </w:rPr>
        <w:t>, CCPR/C/70/D/547/1993 (2000), para. 9.2.</w:t>
      </w:r>
    </w:p>
  </w:footnote>
  <w:footnote w:id="17">
    <w:p w14:paraId="4BC8584E" w14:textId="77777777" w:rsidR="005856AC" w:rsidRPr="001770F1" w:rsidRDefault="005856AC" w:rsidP="005856AC">
      <w:pPr>
        <w:pStyle w:val="FootnoteText"/>
        <w:rPr>
          <w:rFonts w:cstheme="minorHAnsi"/>
          <w:lang w:val="en-US"/>
        </w:rPr>
      </w:pPr>
      <w:r w:rsidRPr="001770F1">
        <w:rPr>
          <w:rStyle w:val="FootnoteReference"/>
          <w:rFonts w:cstheme="minorHAnsi"/>
          <w:lang w:val="en-US"/>
        </w:rPr>
        <w:footnoteRef/>
      </w:r>
      <w:r w:rsidRPr="001770F1">
        <w:rPr>
          <w:rFonts w:cstheme="minorHAnsi"/>
          <w:lang w:val="en-US"/>
        </w:rPr>
        <w:t xml:space="preserve"> </w:t>
      </w:r>
      <w:r w:rsidRPr="001770F1">
        <w:rPr>
          <w:rFonts w:cstheme="minorHAnsi"/>
          <w:i/>
          <w:iCs/>
          <w:lang w:val="en-US"/>
        </w:rPr>
        <w:t>See e.g.,</w:t>
      </w:r>
      <w:r w:rsidRPr="001770F1">
        <w:rPr>
          <w:rFonts w:cstheme="minorHAnsi"/>
          <w:lang w:val="en-US"/>
        </w:rPr>
        <w:t xml:space="preserve"> E/C.12/GC/25, para. 40 (on the relationship between traditional knowledge and land rights); E/C.12/2000/4, para. 27 (on the relationship between security of tenure and health); E/C.12/1999/5, para. 13 (on violations of the right to food in cases where “access to their ancestral lands may be threatened”); and E/C.12/2002/11, para. 7 (“[t]aking note of the duty in article 1, paragraph 2, of the Covenant, which provides that a people may not ‘be deprived of its means of subsistence’, States parties should ensure that there is adequate access to water for subsistence farming and for securing the livelihoods of indigenous peoples) and para. 16(d) (“States parties should take steps to ensure that: … (d) Indigenous peoples’ access to water resources on their ancestral lands is protected from encroachment and unlawful pollution. States should provide resources for indigenous peoples to design, deliver and control their access to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C5B"/>
    <w:multiLevelType w:val="multilevel"/>
    <w:tmpl w:val="50F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D0A84"/>
    <w:multiLevelType w:val="hybridMultilevel"/>
    <w:tmpl w:val="242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C50AA"/>
    <w:multiLevelType w:val="multilevel"/>
    <w:tmpl w:val="B082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14BE5"/>
    <w:multiLevelType w:val="multilevel"/>
    <w:tmpl w:val="AFDAB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F5A44"/>
    <w:multiLevelType w:val="multilevel"/>
    <w:tmpl w:val="6E3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67CD3"/>
    <w:multiLevelType w:val="multilevel"/>
    <w:tmpl w:val="FF2E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C5B19"/>
    <w:multiLevelType w:val="hybridMultilevel"/>
    <w:tmpl w:val="868E8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6713"/>
    <w:multiLevelType w:val="multilevel"/>
    <w:tmpl w:val="442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B2D0F"/>
    <w:multiLevelType w:val="multilevel"/>
    <w:tmpl w:val="C84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71628"/>
    <w:multiLevelType w:val="multilevel"/>
    <w:tmpl w:val="468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90EC6"/>
    <w:multiLevelType w:val="hybridMultilevel"/>
    <w:tmpl w:val="4DF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0323F"/>
    <w:multiLevelType w:val="hybridMultilevel"/>
    <w:tmpl w:val="D64C9B06"/>
    <w:lvl w:ilvl="0" w:tplc="16202C9E">
      <w:start w:val="8"/>
      <w:numFmt w:val="bullet"/>
      <w:lvlText w:val="-"/>
      <w:lvlJc w:val="left"/>
      <w:pPr>
        <w:ind w:left="1080" w:hanging="360"/>
      </w:pPr>
      <w:rPr>
        <w:rFonts w:ascii="Montserrat" w:eastAsia="Times New Roman" w:hAnsi="Montserra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E59AD"/>
    <w:multiLevelType w:val="multilevel"/>
    <w:tmpl w:val="0088C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E2D20"/>
    <w:multiLevelType w:val="multilevel"/>
    <w:tmpl w:val="CBC2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0412B"/>
    <w:multiLevelType w:val="multilevel"/>
    <w:tmpl w:val="7B500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A2928"/>
    <w:multiLevelType w:val="multilevel"/>
    <w:tmpl w:val="5692B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D0FBB"/>
    <w:multiLevelType w:val="hybridMultilevel"/>
    <w:tmpl w:val="56E26C76"/>
    <w:lvl w:ilvl="0" w:tplc="A8DC9FA0">
      <w:start w:val="8"/>
      <w:numFmt w:val="bullet"/>
      <w:lvlText w:val="-"/>
      <w:lvlJc w:val="left"/>
      <w:pPr>
        <w:ind w:left="420" w:hanging="360"/>
      </w:pPr>
      <w:rPr>
        <w:rFonts w:ascii="Montserrat" w:eastAsia="Times New Roman" w:hAnsi="Montserrat"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D25694C"/>
    <w:multiLevelType w:val="hybridMultilevel"/>
    <w:tmpl w:val="D1EE4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22E04"/>
    <w:multiLevelType w:val="hybridMultilevel"/>
    <w:tmpl w:val="125CCE88"/>
    <w:lvl w:ilvl="0" w:tplc="16202C9E">
      <w:start w:val="8"/>
      <w:numFmt w:val="bullet"/>
      <w:lvlText w:val="-"/>
      <w:lvlJc w:val="left"/>
      <w:pPr>
        <w:ind w:left="1080" w:hanging="360"/>
      </w:pPr>
      <w:rPr>
        <w:rFonts w:ascii="Montserrat" w:eastAsia="Times New Roman" w:hAnsi="Montserra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E86B18"/>
    <w:multiLevelType w:val="hybridMultilevel"/>
    <w:tmpl w:val="7A58EB16"/>
    <w:lvl w:ilvl="0" w:tplc="2E606226">
      <w:start w:val="1"/>
      <w:numFmt w:val="upperRoman"/>
      <w:pStyle w:val="Heading3"/>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D629C"/>
    <w:multiLevelType w:val="multilevel"/>
    <w:tmpl w:val="89A8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083689"/>
    <w:multiLevelType w:val="hybridMultilevel"/>
    <w:tmpl w:val="5A2A8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D6DD3"/>
    <w:multiLevelType w:val="multilevel"/>
    <w:tmpl w:val="1E52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33E4A"/>
    <w:multiLevelType w:val="multilevel"/>
    <w:tmpl w:val="CB6E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141A4"/>
    <w:multiLevelType w:val="multilevel"/>
    <w:tmpl w:val="FB0C9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92041"/>
    <w:multiLevelType w:val="multilevel"/>
    <w:tmpl w:val="4B9A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156580"/>
    <w:multiLevelType w:val="hybridMultilevel"/>
    <w:tmpl w:val="59A21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037B0"/>
    <w:multiLevelType w:val="multilevel"/>
    <w:tmpl w:val="B97A09E6"/>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DC14FB"/>
    <w:multiLevelType w:val="multilevel"/>
    <w:tmpl w:val="0A20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FC32D1"/>
    <w:multiLevelType w:val="multilevel"/>
    <w:tmpl w:val="6898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7"/>
  </w:num>
  <w:num w:numId="3">
    <w:abstractNumId w:val="28"/>
  </w:num>
  <w:num w:numId="4">
    <w:abstractNumId w:val="24"/>
  </w:num>
  <w:num w:numId="5">
    <w:abstractNumId w:val="25"/>
  </w:num>
  <w:num w:numId="6">
    <w:abstractNumId w:val="22"/>
  </w:num>
  <w:num w:numId="7">
    <w:abstractNumId w:val="9"/>
  </w:num>
  <w:num w:numId="8">
    <w:abstractNumId w:val="2"/>
  </w:num>
  <w:num w:numId="9">
    <w:abstractNumId w:val="8"/>
  </w:num>
  <w:num w:numId="10">
    <w:abstractNumId w:val="14"/>
  </w:num>
  <w:num w:numId="11">
    <w:abstractNumId w:val="12"/>
    <w:lvlOverride w:ilvl="0">
      <w:startOverride w:val="1"/>
    </w:lvlOverride>
  </w:num>
  <w:num w:numId="12">
    <w:abstractNumId w:val="12"/>
    <w:lvlOverride w:ilvl="0"/>
    <w:lvlOverride w:ilvl="1">
      <w:startOverride w:val="1"/>
    </w:lvlOverride>
  </w:num>
  <w:num w:numId="13">
    <w:abstractNumId w:val="15"/>
  </w:num>
  <w:num w:numId="14">
    <w:abstractNumId w:val="29"/>
  </w:num>
  <w:num w:numId="15">
    <w:abstractNumId w:val="7"/>
  </w:num>
  <w:num w:numId="16">
    <w:abstractNumId w:val="20"/>
  </w:num>
  <w:num w:numId="17">
    <w:abstractNumId w:val="3"/>
  </w:num>
  <w:num w:numId="18">
    <w:abstractNumId w:val="0"/>
  </w:num>
  <w:num w:numId="19">
    <w:abstractNumId w:val="23"/>
  </w:num>
  <w:num w:numId="20">
    <w:abstractNumId w:val="4"/>
  </w:num>
  <w:num w:numId="21">
    <w:abstractNumId w:val="5"/>
  </w:num>
  <w:num w:numId="22">
    <w:abstractNumId w:val="17"/>
  </w:num>
  <w:num w:numId="23">
    <w:abstractNumId w:val="10"/>
  </w:num>
  <w:num w:numId="24">
    <w:abstractNumId w:val="18"/>
  </w:num>
  <w:num w:numId="25">
    <w:abstractNumId w:val="11"/>
  </w:num>
  <w:num w:numId="26">
    <w:abstractNumId w:val="1"/>
  </w:num>
  <w:num w:numId="27">
    <w:abstractNumId w:val="26"/>
  </w:num>
  <w:num w:numId="28">
    <w:abstractNumId w:val="16"/>
  </w:num>
  <w:num w:numId="29">
    <w:abstractNumId w:val="19"/>
  </w:num>
  <w:num w:numId="30">
    <w:abstractNumId w:val="19"/>
  </w:num>
  <w:num w:numId="31">
    <w:abstractNumId w:val="21"/>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5"/>
    <w:rsid w:val="000108AF"/>
    <w:rsid w:val="00011C91"/>
    <w:rsid w:val="000202E7"/>
    <w:rsid w:val="00022049"/>
    <w:rsid w:val="00022D76"/>
    <w:rsid w:val="00022E52"/>
    <w:rsid w:val="00024630"/>
    <w:rsid w:val="00033816"/>
    <w:rsid w:val="0003393E"/>
    <w:rsid w:val="00045454"/>
    <w:rsid w:val="00052A62"/>
    <w:rsid w:val="00061056"/>
    <w:rsid w:val="000701EB"/>
    <w:rsid w:val="00074730"/>
    <w:rsid w:val="00076807"/>
    <w:rsid w:val="0008042D"/>
    <w:rsid w:val="000874EE"/>
    <w:rsid w:val="0009501B"/>
    <w:rsid w:val="00096783"/>
    <w:rsid w:val="000A20E9"/>
    <w:rsid w:val="000A6DF7"/>
    <w:rsid w:val="000A73BA"/>
    <w:rsid w:val="000A7459"/>
    <w:rsid w:val="000A7E41"/>
    <w:rsid w:val="000B2CEB"/>
    <w:rsid w:val="000B3946"/>
    <w:rsid w:val="000B74FC"/>
    <w:rsid w:val="000C00F7"/>
    <w:rsid w:val="000C56B2"/>
    <w:rsid w:val="000C5E4B"/>
    <w:rsid w:val="000D30A9"/>
    <w:rsid w:val="000E0079"/>
    <w:rsid w:val="000E041A"/>
    <w:rsid w:val="000E23E2"/>
    <w:rsid w:val="000E2EDE"/>
    <w:rsid w:val="000E34FC"/>
    <w:rsid w:val="000E531A"/>
    <w:rsid w:val="000E656B"/>
    <w:rsid w:val="001046ED"/>
    <w:rsid w:val="00105279"/>
    <w:rsid w:val="001079DB"/>
    <w:rsid w:val="00111C06"/>
    <w:rsid w:val="00112A24"/>
    <w:rsid w:val="00126FBC"/>
    <w:rsid w:val="00130240"/>
    <w:rsid w:val="00130C6A"/>
    <w:rsid w:val="00136947"/>
    <w:rsid w:val="001406D0"/>
    <w:rsid w:val="0014586C"/>
    <w:rsid w:val="0015253E"/>
    <w:rsid w:val="00156FEF"/>
    <w:rsid w:val="00160C72"/>
    <w:rsid w:val="00163B4D"/>
    <w:rsid w:val="00166179"/>
    <w:rsid w:val="00167117"/>
    <w:rsid w:val="001710C3"/>
    <w:rsid w:val="001748EC"/>
    <w:rsid w:val="001770F1"/>
    <w:rsid w:val="00180D30"/>
    <w:rsid w:val="001829D0"/>
    <w:rsid w:val="00186870"/>
    <w:rsid w:val="001B20A0"/>
    <w:rsid w:val="001B7F20"/>
    <w:rsid w:val="001C6FF1"/>
    <w:rsid w:val="001D31FA"/>
    <w:rsid w:val="001D38B8"/>
    <w:rsid w:val="001F0E5E"/>
    <w:rsid w:val="001F2AAD"/>
    <w:rsid w:val="001F4CCF"/>
    <w:rsid w:val="0020464A"/>
    <w:rsid w:val="00204FEA"/>
    <w:rsid w:val="00211DE4"/>
    <w:rsid w:val="002128F7"/>
    <w:rsid w:val="0021791E"/>
    <w:rsid w:val="0022706D"/>
    <w:rsid w:val="00231614"/>
    <w:rsid w:val="00236824"/>
    <w:rsid w:val="00242A5C"/>
    <w:rsid w:val="0025798D"/>
    <w:rsid w:val="00257ACC"/>
    <w:rsid w:val="00260A1B"/>
    <w:rsid w:val="002714D2"/>
    <w:rsid w:val="002815F2"/>
    <w:rsid w:val="0028267F"/>
    <w:rsid w:val="00284A5A"/>
    <w:rsid w:val="00291B25"/>
    <w:rsid w:val="00293EE4"/>
    <w:rsid w:val="00295EBA"/>
    <w:rsid w:val="00297AAC"/>
    <w:rsid w:val="002A21E5"/>
    <w:rsid w:val="002A33C8"/>
    <w:rsid w:val="002A6C07"/>
    <w:rsid w:val="002B21BA"/>
    <w:rsid w:val="002B3E58"/>
    <w:rsid w:val="002B5F07"/>
    <w:rsid w:val="002C124F"/>
    <w:rsid w:val="002C6061"/>
    <w:rsid w:val="002C7062"/>
    <w:rsid w:val="002D4D36"/>
    <w:rsid w:val="002D510E"/>
    <w:rsid w:val="002D539B"/>
    <w:rsid w:val="002D54FA"/>
    <w:rsid w:val="002D57DD"/>
    <w:rsid w:val="002D664C"/>
    <w:rsid w:val="002E7185"/>
    <w:rsid w:val="002E7990"/>
    <w:rsid w:val="003007CE"/>
    <w:rsid w:val="00300FF0"/>
    <w:rsid w:val="00301B52"/>
    <w:rsid w:val="00303178"/>
    <w:rsid w:val="00303FEC"/>
    <w:rsid w:val="00331F90"/>
    <w:rsid w:val="003340AC"/>
    <w:rsid w:val="0033546D"/>
    <w:rsid w:val="003356F2"/>
    <w:rsid w:val="00345F52"/>
    <w:rsid w:val="00346255"/>
    <w:rsid w:val="00346992"/>
    <w:rsid w:val="0034786D"/>
    <w:rsid w:val="003516EA"/>
    <w:rsid w:val="00351BA1"/>
    <w:rsid w:val="0035269C"/>
    <w:rsid w:val="00352777"/>
    <w:rsid w:val="0036058A"/>
    <w:rsid w:val="00360E65"/>
    <w:rsid w:val="003625D1"/>
    <w:rsid w:val="003655F2"/>
    <w:rsid w:val="00366EF5"/>
    <w:rsid w:val="00370C16"/>
    <w:rsid w:val="00372622"/>
    <w:rsid w:val="0037485E"/>
    <w:rsid w:val="00374C59"/>
    <w:rsid w:val="00375B47"/>
    <w:rsid w:val="00376A45"/>
    <w:rsid w:val="00381CE3"/>
    <w:rsid w:val="00387D0F"/>
    <w:rsid w:val="00391005"/>
    <w:rsid w:val="00393EBA"/>
    <w:rsid w:val="00394072"/>
    <w:rsid w:val="00394151"/>
    <w:rsid w:val="003A2628"/>
    <w:rsid w:val="003B1B9F"/>
    <w:rsid w:val="003B349D"/>
    <w:rsid w:val="003B7602"/>
    <w:rsid w:val="003C1AE1"/>
    <w:rsid w:val="003C440A"/>
    <w:rsid w:val="003D11FA"/>
    <w:rsid w:val="003D742B"/>
    <w:rsid w:val="003E0CAE"/>
    <w:rsid w:val="003E3DD1"/>
    <w:rsid w:val="003E44F5"/>
    <w:rsid w:val="003E5559"/>
    <w:rsid w:val="003F66B3"/>
    <w:rsid w:val="004048CB"/>
    <w:rsid w:val="00404E00"/>
    <w:rsid w:val="00405908"/>
    <w:rsid w:val="004124A5"/>
    <w:rsid w:val="00423022"/>
    <w:rsid w:val="00431AC2"/>
    <w:rsid w:val="00432B17"/>
    <w:rsid w:val="00441ED1"/>
    <w:rsid w:val="00446AC9"/>
    <w:rsid w:val="00451BA7"/>
    <w:rsid w:val="00457AD8"/>
    <w:rsid w:val="00462921"/>
    <w:rsid w:val="00463D99"/>
    <w:rsid w:val="004671EA"/>
    <w:rsid w:val="0047150C"/>
    <w:rsid w:val="004736C5"/>
    <w:rsid w:val="00481E8B"/>
    <w:rsid w:val="00485339"/>
    <w:rsid w:val="00485877"/>
    <w:rsid w:val="00485C4C"/>
    <w:rsid w:val="004868E1"/>
    <w:rsid w:val="00490A8F"/>
    <w:rsid w:val="00490E57"/>
    <w:rsid w:val="004910E0"/>
    <w:rsid w:val="00491545"/>
    <w:rsid w:val="00492073"/>
    <w:rsid w:val="0049417D"/>
    <w:rsid w:val="00494C20"/>
    <w:rsid w:val="00497D6C"/>
    <w:rsid w:val="004A18FA"/>
    <w:rsid w:val="004B2022"/>
    <w:rsid w:val="004B2AA4"/>
    <w:rsid w:val="004B4642"/>
    <w:rsid w:val="004B5A9E"/>
    <w:rsid w:val="004B5B51"/>
    <w:rsid w:val="004B71BB"/>
    <w:rsid w:val="004D16BD"/>
    <w:rsid w:val="004D6E4B"/>
    <w:rsid w:val="004E13AD"/>
    <w:rsid w:val="004E57CA"/>
    <w:rsid w:val="004F4DC1"/>
    <w:rsid w:val="004F4FC3"/>
    <w:rsid w:val="004F6D10"/>
    <w:rsid w:val="005105D9"/>
    <w:rsid w:val="00515112"/>
    <w:rsid w:val="00516185"/>
    <w:rsid w:val="0051648E"/>
    <w:rsid w:val="00522902"/>
    <w:rsid w:val="005261A1"/>
    <w:rsid w:val="00526B46"/>
    <w:rsid w:val="00532552"/>
    <w:rsid w:val="005333B7"/>
    <w:rsid w:val="005372ED"/>
    <w:rsid w:val="00544CA1"/>
    <w:rsid w:val="00557546"/>
    <w:rsid w:val="005619CC"/>
    <w:rsid w:val="00561EFD"/>
    <w:rsid w:val="00564838"/>
    <w:rsid w:val="005717B6"/>
    <w:rsid w:val="00572118"/>
    <w:rsid w:val="005730D4"/>
    <w:rsid w:val="00577570"/>
    <w:rsid w:val="00582901"/>
    <w:rsid w:val="005838DB"/>
    <w:rsid w:val="005856AC"/>
    <w:rsid w:val="0059022F"/>
    <w:rsid w:val="00591754"/>
    <w:rsid w:val="005939A6"/>
    <w:rsid w:val="005941FF"/>
    <w:rsid w:val="005A2CC5"/>
    <w:rsid w:val="005A2D58"/>
    <w:rsid w:val="005A6535"/>
    <w:rsid w:val="005B3030"/>
    <w:rsid w:val="005B3170"/>
    <w:rsid w:val="005C00D7"/>
    <w:rsid w:val="005C72E4"/>
    <w:rsid w:val="005C7812"/>
    <w:rsid w:val="005D0388"/>
    <w:rsid w:val="005D19B6"/>
    <w:rsid w:val="005D398D"/>
    <w:rsid w:val="005D580A"/>
    <w:rsid w:val="005D6863"/>
    <w:rsid w:val="005D7BE8"/>
    <w:rsid w:val="005E701F"/>
    <w:rsid w:val="005E728A"/>
    <w:rsid w:val="005F0AE0"/>
    <w:rsid w:val="006015F0"/>
    <w:rsid w:val="00602FC3"/>
    <w:rsid w:val="0060350F"/>
    <w:rsid w:val="00605A28"/>
    <w:rsid w:val="00607F5F"/>
    <w:rsid w:val="00610E30"/>
    <w:rsid w:val="00611B66"/>
    <w:rsid w:val="00614475"/>
    <w:rsid w:val="006145C9"/>
    <w:rsid w:val="00622CBD"/>
    <w:rsid w:val="0063323E"/>
    <w:rsid w:val="00640113"/>
    <w:rsid w:val="0064113B"/>
    <w:rsid w:val="00645AA3"/>
    <w:rsid w:val="00651E5F"/>
    <w:rsid w:val="006531F7"/>
    <w:rsid w:val="0065477A"/>
    <w:rsid w:val="00654A07"/>
    <w:rsid w:val="006601FD"/>
    <w:rsid w:val="00663481"/>
    <w:rsid w:val="00663FA2"/>
    <w:rsid w:val="00664163"/>
    <w:rsid w:val="00664D7E"/>
    <w:rsid w:val="006717FA"/>
    <w:rsid w:val="00673D7A"/>
    <w:rsid w:val="00676626"/>
    <w:rsid w:val="00685E23"/>
    <w:rsid w:val="00686579"/>
    <w:rsid w:val="00691EA6"/>
    <w:rsid w:val="00692D4B"/>
    <w:rsid w:val="00692F0F"/>
    <w:rsid w:val="00696ACD"/>
    <w:rsid w:val="006A2E99"/>
    <w:rsid w:val="006B0E61"/>
    <w:rsid w:val="006B2DDA"/>
    <w:rsid w:val="006C12E4"/>
    <w:rsid w:val="006C7A3D"/>
    <w:rsid w:val="006D0A23"/>
    <w:rsid w:val="006D3460"/>
    <w:rsid w:val="006E070D"/>
    <w:rsid w:val="006E4E13"/>
    <w:rsid w:val="006E65DF"/>
    <w:rsid w:val="006F6AA0"/>
    <w:rsid w:val="007044AC"/>
    <w:rsid w:val="00707269"/>
    <w:rsid w:val="00725D81"/>
    <w:rsid w:val="00725F47"/>
    <w:rsid w:val="007371D5"/>
    <w:rsid w:val="00740B0F"/>
    <w:rsid w:val="00742BDC"/>
    <w:rsid w:val="00745885"/>
    <w:rsid w:val="00745E22"/>
    <w:rsid w:val="00746DCA"/>
    <w:rsid w:val="00750848"/>
    <w:rsid w:val="00753691"/>
    <w:rsid w:val="00755EB1"/>
    <w:rsid w:val="00756191"/>
    <w:rsid w:val="00756BBE"/>
    <w:rsid w:val="00756DAD"/>
    <w:rsid w:val="00766217"/>
    <w:rsid w:val="007708C4"/>
    <w:rsid w:val="00770BB1"/>
    <w:rsid w:val="00773791"/>
    <w:rsid w:val="0077588D"/>
    <w:rsid w:val="00775DE8"/>
    <w:rsid w:val="00780C48"/>
    <w:rsid w:val="00783C9F"/>
    <w:rsid w:val="00787B53"/>
    <w:rsid w:val="007924CE"/>
    <w:rsid w:val="007A2C2E"/>
    <w:rsid w:val="007B1BC8"/>
    <w:rsid w:val="007B2CAB"/>
    <w:rsid w:val="007B3A66"/>
    <w:rsid w:val="007C3DEE"/>
    <w:rsid w:val="007C5524"/>
    <w:rsid w:val="007C5A89"/>
    <w:rsid w:val="007C6CBF"/>
    <w:rsid w:val="007C7AF0"/>
    <w:rsid w:val="007D3D60"/>
    <w:rsid w:val="007D77F6"/>
    <w:rsid w:val="007E2680"/>
    <w:rsid w:val="007E4865"/>
    <w:rsid w:val="007E4960"/>
    <w:rsid w:val="007E5415"/>
    <w:rsid w:val="007F266E"/>
    <w:rsid w:val="007F2832"/>
    <w:rsid w:val="007F36EE"/>
    <w:rsid w:val="007F469D"/>
    <w:rsid w:val="00805DCE"/>
    <w:rsid w:val="00806BC6"/>
    <w:rsid w:val="00820857"/>
    <w:rsid w:val="00830C37"/>
    <w:rsid w:val="008324D0"/>
    <w:rsid w:val="00832C69"/>
    <w:rsid w:val="00833E66"/>
    <w:rsid w:val="00837E70"/>
    <w:rsid w:val="008502E9"/>
    <w:rsid w:val="00850C00"/>
    <w:rsid w:val="00852794"/>
    <w:rsid w:val="00854159"/>
    <w:rsid w:val="00855DD0"/>
    <w:rsid w:val="008578C3"/>
    <w:rsid w:val="00862D87"/>
    <w:rsid w:val="008636AA"/>
    <w:rsid w:val="00864B15"/>
    <w:rsid w:val="00864F62"/>
    <w:rsid w:val="00876A3F"/>
    <w:rsid w:val="008958B0"/>
    <w:rsid w:val="008A163F"/>
    <w:rsid w:val="008A72C9"/>
    <w:rsid w:val="008C3F21"/>
    <w:rsid w:val="008C59D8"/>
    <w:rsid w:val="008D49E4"/>
    <w:rsid w:val="008D4EFF"/>
    <w:rsid w:val="008D5834"/>
    <w:rsid w:val="008D7DE2"/>
    <w:rsid w:val="008E21A3"/>
    <w:rsid w:val="008E76E9"/>
    <w:rsid w:val="008F2BDB"/>
    <w:rsid w:val="0090078F"/>
    <w:rsid w:val="00903F83"/>
    <w:rsid w:val="00906BF4"/>
    <w:rsid w:val="00910797"/>
    <w:rsid w:val="00912718"/>
    <w:rsid w:val="00913322"/>
    <w:rsid w:val="00915B48"/>
    <w:rsid w:val="00917280"/>
    <w:rsid w:val="009202F8"/>
    <w:rsid w:val="00922A1E"/>
    <w:rsid w:val="00925067"/>
    <w:rsid w:val="00931279"/>
    <w:rsid w:val="009337C3"/>
    <w:rsid w:val="00933E39"/>
    <w:rsid w:val="00941097"/>
    <w:rsid w:val="00942546"/>
    <w:rsid w:val="00943438"/>
    <w:rsid w:val="009436A2"/>
    <w:rsid w:val="00946CB5"/>
    <w:rsid w:val="00953743"/>
    <w:rsid w:val="0095417E"/>
    <w:rsid w:val="009558BF"/>
    <w:rsid w:val="00960E68"/>
    <w:rsid w:val="00960EA3"/>
    <w:rsid w:val="00964370"/>
    <w:rsid w:val="0096574F"/>
    <w:rsid w:val="00965A15"/>
    <w:rsid w:val="00966A5E"/>
    <w:rsid w:val="00970411"/>
    <w:rsid w:val="00975C1D"/>
    <w:rsid w:val="00975C5C"/>
    <w:rsid w:val="009772A5"/>
    <w:rsid w:val="00980074"/>
    <w:rsid w:val="009807A8"/>
    <w:rsid w:val="00980D37"/>
    <w:rsid w:val="009819AB"/>
    <w:rsid w:val="00996B55"/>
    <w:rsid w:val="009A5F6A"/>
    <w:rsid w:val="009B1F26"/>
    <w:rsid w:val="009B2AA8"/>
    <w:rsid w:val="009B35D5"/>
    <w:rsid w:val="009B540B"/>
    <w:rsid w:val="009B61B2"/>
    <w:rsid w:val="009C078B"/>
    <w:rsid w:val="009C0A9C"/>
    <w:rsid w:val="009C69CB"/>
    <w:rsid w:val="009D0B92"/>
    <w:rsid w:val="009D5E11"/>
    <w:rsid w:val="009D74CC"/>
    <w:rsid w:val="009E347A"/>
    <w:rsid w:val="009E3F8E"/>
    <w:rsid w:val="009F0442"/>
    <w:rsid w:val="009F4EF4"/>
    <w:rsid w:val="009F585A"/>
    <w:rsid w:val="00A00C54"/>
    <w:rsid w:val="00A06E89"/>
    <w:rsid w:val="00A076B1"/>
    <w:rsid w:val="00A12F9B"/>
    <w:rsid w:val="00A134ED"/>
    <w:rsid w:val="00A179FD"/>
    <w:rsid w:val="00A3252A"/>
    <w:rsid w:val="00A33089"/>
    <w:rsid w:val="00A33193"/>
    <w:rsid w:val="00A34494"/>
    <w:rsid w:val="00A34A3C"/>
    <w:rsid w:val="00A40814"/>
    <w:rsid w:val="00A43031"/>
    <w:rsid w:val="00A443F5"/>
    <w:rsid w:val="00A45AE4"/>
    <w:rsid w:val="00A4606E"/>
    <w:rsid w:val="00A4781C"/>
    <w:rsid w:val="00A52217"/>
    <w:rsid w:val="00A522AB"/>
    <w:rsid w:val="00A55576"/>
    <w:rsid w:val="00A57560"/>
    <w:rsid w:val="00A64044"/>
    <w:rsid w:val="00A65F7F"/>
    <w:rsid w:val="00A668EE"/>
    <w:rsid w:val="00A67D11"/>
    <w:rsid w:val="00A85A2E"/>
    <w:rsid w:val="00A86473"/>
    <w:rsid w:val="00A86EC9"/>
    <w:rsid w:val="00A87F3C"/>
    <w:rsid w:val="00A91175"/>
    <w:rsid w:val="00A96AE7"/>
    <w:rsid w:val="00AA0E38"/>
    <w:rsid w:val="00AA11E8"/>
    <w:rsid w:val="00AA1D3F"/>
    <w:rsid w:val="00AB346A"/>
    <w:rsid w:val="00AB4C23"/>
    <w:rsid w:val="00AB6569"/>
    <w:rsid w:val="00AC660A"/>
    <w:rsid w:val="00AC723D"/>
    <w:rsid w:val="00AD143E"/>
    <w:rsid w:val="00AD25A8"/>
    <w:rsid w:val="00AD74EA"/>
    <w:rsid w:val="00AE152C"/>
    <w:rsid w:val="00AE6FBA"/>
    <w:rsid w:val="00AF12D8"/>
    <w:rsid w:val="00AF3537"/>
    <w:rsid w:val="00B0297F"/>
    <w:rsid w:val="00B05C53"/>
    <w:rsid w:val="00B0762C"/>
    <w:rsid w:val="00B11A95"/>
    <w:rsid w:val="00B14D37"/>
    <w:rsid w:val="00B21491"/>
    <w:rsid w:val="00B2485F"/>
    <w:rsid w:val="00B33A92"/>
    <w:rsid w:val="00B36310"/>
    <w:rsid w:val="00B36EBA"/>
    <w:rsid w:val="00B41A47"/>
    <w:rsid w:val="00B423BC"/>
    <w:rsid w:val="00B44025"/>
    <w:rsid w:val="00B45FCA"/>
    <w:rsid w:val="00B50D1A"/>
    <w:rsid w:val="00B533DE"/>
    <w:rsid w:val="00B63499"/>
    <w:rsid w:val="00B66F88"/>
    <w:rsid w:val="00B70E46"/>
    <w:rsid w:val="00B73445"/>
    <w:rsid w:val="00B74326"/>
    <w:rsid w:val="00B7711F"/>
    <w:rsid w:val="00B84442"/>
    <w:rsid w:val="00B85F7A"/>
    <w:rsid w:val="00B87BA0"/>
    <w:rsid w:val="00B92E02"/>
    <w:rsid w:val="00B970DE"/>
    <w:rsid w:val="00BB1A34"/>
    <w:rsid w:val="00BB4FB3"/>
    <w:rsid w:val="00BB5D68"/>
    <w:rsid w:val="00BC61D9"/>
    <w:rsid w:val="00BD5FAA"/>
    <w:rsid w:val="00BE063E"/>
    <w:rsid w:val="00BE45C6"/>
    <w:rsid w:val="00BE47FF"/>
    <w:rsid w:val="00BE6915"/>
    <w:rsid w:val="00BF25CD"/>
    <w:rsid w:val="00BF4DFD"/>
    <w:rsid w:val="00BF6C7F"/>
    <w:rsid w:val="00C003CB"/>
    <w:rsid w:val="00C0047C"/>
    <w:rsid w:val="00C01E1E"/>
    <w:rsid w:val="00C07993"/>
    <w:rsid w:val="00C1040F"/>
    <w:rsid w:val="00C13BEB"/>
    <w:rsid w:val="00C15986"/>
    <w:rsid w:val="00C168B2"/>
    <w:rsid w:val="00C25ABE"/>
    <w:rsid w:val="00C26DD4"/>
    <w:rsid w:val="00C314E9"/>
    <w:rsid w:val="00C44296"/>
    <w:rsid w:val="00C50595"/>
    <w:rsid w:val="00C54670"/>
    <w:rsid w:val="00C55D67"/>
    <w:rsid w:val="00C55D86"/>
    <w:rsid w:val="00C61D79"/>
    <w:rsid w:val="00C647E9"/>
    <w:rsid w:val="00C66FA7"/>
    <w:rsid w:val="00C703CC"/>
    <w:rsid w:val="00C70A63"/>
    <w:rsid w:val="00C73FAD"/>
    <w:rsid w:val="00C74A06"/>
    <w:rsid w:val="00C85B9F"/>
    <w:rsid w:val="00C86C8F"/>
    <w:rsid w:val="00C86FC9"/>
    <w:rsid w:val="00C94F25"/>
    <w:rsid w:val="00C97328"/>
    <w:rsid w:val="00CA523D"/>
    <w:rsid w:val="00CA6AAF"/>
    <w:rsid w:val="00CB172A"/>
    <w:rsid w:val="00CB377A"/>
    <w:rsid w:val="00CB4ECE"/>
    <w:rsid w:val="00CB58C3"/>
    <w:rsid w:val="00CB7EA4"/>
    <w:rsid w:val="00CC1F91"/>
    <w:rsid w:val="00CC649A"/>
    <w:rsid w:val="00CD4F7E"/>
    <w:rsid w:val="00CE0A45"/>
    <w:rsid w:val="00CE6978"/>
    <w:rsid w:val="00D04AA8"/>
    <w:rsid w:val="00D17D6F"/>
    <w:rsid w:val="00D203DF"/>
    <w:rsid w:val="00D267FD"/>
    <w:rsid w:val="00D324CB"/>
    <w:rsid w:val="00D46EA7"/>
    <w:rsid w:val="00D50293"/>
    <w:rsid w:val="00D60B80"/>
    <w:rsid w:val="00D635B5"/>
    <w:rsid w:val="00D66B5B"/>
    <w:rsid w:val="00D73D4A"/>
    <w:rsid w:val="00D75A15"/>
    <w:rsid w:val="00D768FF"/>
    <w:rsid w:val="00D8426B"/>
    <w:rsid w:val="00D84EA0"/>
    <w:rsid w:val="00D8786F"/>
    <w:rsid w:val="00D91B0C"/>
    <w:rsid w:val="00D9425F"/>
    <w:rsid w:val="00DB309C"/>
    <w:rsid w:val="00DB3EA7"/>
    <w:rsid w:val="00DB7A37"/>
    <w:rsid w:val="00DC0955"/>
    <w:rsid w:val="00DC09AB"/>
    <w:rsid w:val="00DC3428"/>
    <w:rsid w:val="00DE0432"/>
    <w:rsid w:val="00DE3233"/>
    <w:rsid w:val="00DF27ED"/>
    <w:rsid w:val="00DF32E9"/>
    <w:rsid w:val="00DF40D7"/>
    <w:rsid w:val="00DF4BCF"/>
    <w:rsid w:val="00DF6362"/>
    <w:rsid w:val="00E0365B"/>
    <w:rsid w:val="00E10202"/>
    <w:rsid w:val="00E22CE0"/>
    <w:rsid w:val="00E25EB8"/>
    <w:rsid w:val="00E26C55"/>
    <w:rsid w:val="00E40673"/>
    <w:rsid w:val="00E41DEF"/>
    <w:rsid w:val="00E431A5"/>
    <w:rsid w:val="00E44169"/>
    <w:rsid w:val="00E449C0"/>
    <w:rsid w:val="00E609AC"/>
    <w:rsid w:val="00E60AF2"/>
    <w:rsid w:val="00E61975"/>
    <w:rsid w:val="00E72454"/>
    <w:rsid w:val="00E7249E"/>
    <w:rsid w:val="00E75C50"/>
    <w:rsid w:val="00E80AB7"/>
    <w:rsid w:val="00E80BFD"/>
    <w:rsid w:val="00E82939"/>
    <w:rsid w:val="00E9237F"/>
    <w:rsid w:val="00E93CC3"/>
    <w:rsid w:val="00E96B92"/>
    <w:rsid w:val="00EA4E2C"/>
    <w:rsid w:val="00EA5F04"/>
    <w:rsid w:val="00EC24C4"/>
    <w:rsid w:val="00ED193E"/>
    <w:rsid w:val="00ED25FC"/>
    <w:rsid w:val="00ED4950"/>
    <w:rsid w:val="00ED564D"/>
    <w:rsid w:val="00ED640D"/>
    <w:rsid w:val="00ED66E2"/>
    <w:rsid w:val="00ED72D2"/>
    <w:rsid w:val="00EE3156"/>
    <w:rsid w:val="00EE3311"/>
    <w:rsid w:val="00EE3DCF"/>
    <w:rsid w:val="00EE5417"/>
    <w:rsid w:val="00EE6330"/>
    <w:rsid w:val="00EE668F"/>
    <w:rsid w:val="00EE6888"/>
    <w:rsid w:val="00EF56C0"/>
    <w:rsid w:val="00EF59A0"/>
    <w:rsid w:val="00F0475C"/>
    <w:rsid w:val="00F076AD"/>
    <w:rsid w:val="00F10D44"/>
    <w:rsid w:val="00F11091"/>
    <w:rsid w:val="00F1296F"/>
    <w:rsid w:val="00F13D5C"/>
    <w:rsid w:val="00F149C9"/>
    <w:rsid w:val="00F14BFF"/>
    <w:rsid w:val="00F16194"/>
    <w:rsid w:val="00F22A2D"/>
    <w:rsid w:val="00F23A8D"/>
    <w:rsid w:val="00F24D8C"/>
    <w:rsid w:val="00F25F06"/>
    <w:rsid w:val="00F3373A"/>
    <w:rsid w:val="00F343C4"/>
    <w:rsid w:val="00F34C6D"/>
    <w:rsid w:val="00F41DC1"/>
    <w:rsid w:val="00F421F7"/>
    <w:rsid w:val="00F442D2"/>
    <w:rsid w:val="00F461FE"/>
    <w:rsid w:val="00F557B8"/>
    <w:rsid w:val="00F5690F"/>
    <w:rsid w:val="00F61CD7"/>
    <w:rsid w:val="00F64743"/>
    <w:rsid w:val="00F6556F"/>
    <w:rsid w:val="00F65CE3"/>
    <w:rsid w:val="00F701B8"/>
    <w:rsid w:val="00F72325"/>
    <w:rsid w:val="00F75F29"/>
    <w:rsid w:val="00F8164D"/>
    <w:rsid w:val="00F81ED2"/>
    <w:rsid w:val="00F82314"/>
    <w:rsid w:val="00F945A9"/>
    <w:rsid w:val="00F94B55"/>
    <w:rsid w:val="00FB2B34"/>
    <w:rsid w:val="00FB557A"/>
    <w:rsid w:val="00FB563D"/>
    <w:rsid w:val="00FB5B6F"/>
    <w:rsid w:val="00FB7977"/>
    <w:rsid w:val="00FC0B2B"/>
    <w:rsid w:val="00FC0DC7"/>
    <w:rsid w:val="00FC34AE"/>
    <w:rsid w:val="00FD20F9"/>
    <w:rsid w:val="00FD695B"/>
    <w:rsid w:val="00FE0DF2"/>
    <w:rsid w:val="00FE6C64"/>
    <w:rsid w:val="00FF54C8"/>
    <w:rsid w:val="00FF5B98"/>
    <w:rsid w:val="00FF69E5"/>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D15C"/>
  <w15:chartTrackingRefBased/>
  <w15:docId w15:val="{EADF0D6F-2B88-6A41-A4C6-554F44F5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55"/>
    <w:pPr>
      <w:jc w:val="both"/>
    </w:pPr>
    <w:rPr>
      <w:rFonts w:ascii="Montserrat" w:hAnsi="Montserrat"/>
      <w:sz w:val="22"/>
    </w:rPr>
  </w:style>
  <w:style w:type="paragraph" w:styleId="Heading1">
    <w:name w:val="heading 1"/>
    <w:basedOn w:val="Normal"/>
    <w:next w:val="Normal"/>
    <w:link w:val="Heading1Char"/>
    <w:uiPriority w:val="9"/>
    <w:qFormat/>
    <w:rsid w:val="00DC0955"/>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1F2AAD"/>
    <w:pPr>
      <w:spacing w:before="40"/>
      <w:jc w:val="left"/>
      <w:outlineLvl w:val="1"/>
    </w:pPr>
    <w:rPr>
      <w:rFonts w:eastAsia="Times New Roman" w:cs="Calibri"/>
      <w:sz w:val="22"/>
      <w:szCs w:val="22"/>
      <w:lang w:val="en-US" w:eastAsia="en-GB"/>
    </w:rPr>
  </w:style>
  <w:style w:type="paragraph" w:styleId="Heading3">
    <w:name w:val="heading 3"/>
    <w:basedOn w:val="Heading2"/>
    <w:next w:val="Normal"/>
    <w:link w:val="Heading3Char"/>
    <w:autoRedefine/>
    <w:uiPriority w:val="9"/>
    <w:unhideWhenUsed/>
    <w:qFormat/>
    <w:rsid w:val="00DC0955"/>
    <w:pPr>
      <w:numPr>
        <w:numId w:val="29"/>
      </w:numPr>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B55"/>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461FE"/>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 Char Char Char Char Char Char Char Char Cha,Footnote Text Char Char Char Char Char,Footnote Text Char Char Char Char,Footnote Text Char Char Char,Footnote Text Char Char Char Char Char Char Char,FA Fu"/>
    <w:basedOn w:val="Normal"/>
    <w:link w:val="FootnoteTextChar"/>
    <w:autoRedefine/>
    <w:unhideWhenUsed/>
    <w:qFormat/>
    <w:rsid w:val="000E656B"/>
    <w:pPr>
      <w:spacing w:after="120"/>
    </w:pPr>
    <w:rPr>
      <w:sz w:val="16"/>
      <w:szCs w:val="20"/>
      <w:lang w:val="da-DK"/>
    </w:rPr>
  </w:style>
  <w:style w:type="character" w:customStyle="1" w:styleId="FootnoteTextChar">
    <w:name w:val="Footnote Text Char"/>
    <w:aliases w:val="Footnote Text Char Char Char Char Ch Char Char Char Char Char Char Char Char Cha Char,Footnote Text Char Char Char Char Char Char,Footnote Text Char Char Char Char Char1,Footnote Text Char Char Char Char1,FA Fu Char"/>
    <w:basedOn w:val="DefaultParagraphFont"/>
    <w:link w:val="FootnoteText"/>
    <w:rsid w:val="000E656B"/>
    <w:rPr>
      <w:rFonts w:ascii="Montserrat" w:hAnsi="Montserrat"/>
      <w:sz w:val="16"/>
      <w:szCs w:val="20"/>
      <w:lang w:val="da-DK"/>
    </w:rPr>
  </w:style>
  <w:style w:type="character" w:styleId="FootnoteReference">
    <w:name w:val="footnote reference"/>
    <w:aliases w:val="Footnotes refss,Texto de nota al pie,Appel note de bas de page,Footnote number,referencia nota al pie,BVI fnr,f,4_G,16 Point,Superscript 6 Point,Ref. de nota al pi,Appel note de bas de...,Ref. de nota al pie 2,Texto nota al pie"/>
    <w:basedOn w:val="DefaultParagraphFont"/>
    <w:link w:val="4GCharCharChar"/>
    <w:uiPriority w:val="99"/>
    <w:unhideWhenUsed/>
    <w:qFormat/>
    <w:rsid w:val="00F461FE"/>
    <w:rPr>
      <w:vertAlign w:val="superscript"/>
    </w:rPr>
  </w:style>
  <w:style w:type="paragraph" w:styleId="ListParagraph">
    <w:name w:val="List Paragraph"/>
    <w:basedOn w:val="Normal"/>
    <w:uiPriority w:val="34"/>
    <w:qFormat/>
    <w:rsid w:val="00A076B1"/>
    <w:pPr>
      <w:ind w:left="720"/>
      <w:contextualSpacing/>
    </w:pPr>
  </w:style>
  <w:style w:type="character" w:customStyle="1" w:styleId="Heading1Char">
    <w:name w:val="Heading 1 Char"/>
    <w:basedOn w:val="DefaultParagraphFont"/>
    <w:link w:val="Heading1"/>
    <w:uiPriority w:val="9"/>
    <w:rsid w:val="00DC0955"/>
    <w:rPr>
      <w:rFonts w:ascii="Montserrat" w:eastAsiaTheme="majorEastAsia" w:hAnsi="Montserrat" w:cstheme="majorBidi"/>
      <w:b/>
      <w:color w:val="000000" w:themeColor="text1"/>
      <w:sz w:val="32"/>
      <w:szCs w:val="32"/>
    </w:rPr>
  </w:style>
  <w:style w:type="character" w:customStyle="1" w:styleId="Heading2Char">
    <w:name w:val="Heading 2 Char"/>
    <w:basedOn w:val="DefaultParagraphFont"/>
    <w:link w:val="Heading2"/>
    <w:uiPriority w:val="9"/>
    <w:rsid w:val="001F2AAD"/>
    <w:rPr>
      <w:rFonts w:ascii="Montserrat" w:eastAsia="Times New Roman" w:hAnsi="Montserrat" w:cs="Calibri"/>
      <w:b/>
      <w:color w:val="000000" w:themeColor="text1"/>
      <w:sz w:val="22"/>
      <w:szCs w:val="22"/>
      <w:lang w:val="en-US" w:eastAsia="en-GB"/>
    </w:rPr>
  </w:style>
  <w:style w:type="character" w:customStyle="1" w:styleId="Heading3Char">
    <w:name w:val="Heading 3 Char"/>
    <w:basedOn w:val="DefaultParagraphFont"/>
    <w:link w:val="Heading3"/>
    <w:uiPriority w:val="9"/>
    <w:rsid w:val="00DC0955"/>
    <w:rPr>
      <w:rFonts w:ascii="Montserrat" w:eastAsia="Times New Roman" w:hAnsi="Montserrat" w:cstheme="majorBidi"/>
      <w:b/>
      <w:bCs/>
      <w:color w:val="000000" w:themeColor="text1"/>
      <w:szCs w:val="26"/>
      <w:lang w:val="en-US" w:eastAsia="en-GB"/>
    </w:rPr>
  </w:style>
  <w:style w:type="paragraph" w:styleId="Header">
    <w:name w:val="header"/>
    <w:basedOn w:val="Normal"/>
    <w:link w:val="HeaderChar"/>
    <w:uiPriority w:val="99"/>
    <w:unhideWhenUsed/>
    <w:rsid w:val="00C15986"/>
    <w:pPr>
      <w:tabs>
        <w:tab w:val="center" w:pos="4513"/>
        <w:tab w:val="right" w:pos="9026"/>
      </w:tabs>
    </w:pPr>
  </w:style>
  <w:style w:type="character" w:customStyle="1" w:styleId="HeaderChar">
    <w:name w:val="Header Char"/>
    <w:basedOn w:val="DefaultParagraphFont"/>
    <w:link w:val="Header"/>
    <w:uiPriority w:val="99"/>
    <w:rsid w:val="00C15986"/>
    <w:rPr>
      <w:rFonts w:ascii="Montserrat" w:hAnsi="Montserrat"/>
      <w:sz w:val="22"/>
    </w:rPr>
  </w:style>
  <w:style w:type="paragraph" w:styleId="Footer">
    <w:name w:val="footer"/>
    <w:basedOn w:val="Normal"/>
    <w:link w:val="FooterChar"/>
    <w:uiPriority w:val="99"/>
    <w:unhideWhenUsed/>
    <w:rsid w:val="00C15986"/>
    <w:pPr>
      <w:tabs>
        <w:tab w:val="center" w:pos="4513"/>
        <w:tab w:val="right" w:pos="9026"/>
      </w:tabs>
    </w:pPr>
  </w:style>
  <w:style w:type="character" w:customStyle="1" w:styleId="FooterChar">
    <w:name w:val="Footer Char"/>
    <w:basedOn w:val="DefaultParagraphFont"/>
    <w:link w:val="Footer"/>
    <w:uiPriority w:val="99"/>
    <w:rsid w:val="00C15986"/>
    <w:rPr>
      <w:rFonts w:ascii="Montserrat" w:hAnsi="Montserrat"/>
      <w:sz w:val="22"/>
    </w:rPr>
  </w:style>
  <w:style w:type="character" w:styleId="PageNumber">
    <w:name w:val="page number"/>
    <w:basedOn w:val="DefaultParagraphFont"/>
    <w:uiPriority w:val="99"/>
    <w:semiHidden/>
    <w:unhideWhenUsed/>
    <w:rsid w:val="00C15986"/>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768FF"/>
    <w:pPr>
      <w:spacing w:after="160" w:line="240" w:lineRule="exact"/>
    </w:pPr>
    <w:rPr>
      <w:rFonts w:asciiTheme="minorHAnsi" w:hAnsiTheme="minorHAnsi"/>
      <w:sz w:val="24"/>
      <w:vertAlign w:val="superscript"/>
    </w:rPr>
  </w:style>
  <w:style w:type="paragraph" w:styleId="EndnoteText">
    <w:name w:val="endnote text"/>
    <w:basedOn w:val="Normal"/>
    <w:link w:val="EndnoteTextChar"/>
    <w:uiPriority w:val="99"/>
    <w:semiHidden/>
    <w:unhideWhenUsed/>
    <w:rsid w:val="001770F1"/>
    <w:rPr>
      <w:sz w:val="20"/>
      <w:szCs w:val="20"/>
    </w:rPr>
  </w:style>
  <w:style w:type="character" w:customStyle="1" w:styleId="EndnoteTextChar">
    <w:name w:val="Endnote Text Char"/>
    <w:basedOn w:val="DefaultParagraphFont"/>
    <w:link w:val="EndnoteText"/>
    <w:uiPriority w:val="99"/>
    <w:semiHidden/>
    <w:rsid w:val="001770F1"/>
    <w:rPr>
      <w:rFonts w:ascii="Montserrat" w:hAnsi="Montserrat"/>
      <w:sz w:val="20"/>
      <w:szCs w:val="20"/>
    </w:rPr>
  </w:style>
  <w:style w:type="character" w:styleId="EndnoteReference">
    <w:name w:val="endnote reference"/>
    <w:basedOn w:val="DefaultParagraphFont"/>
    <w:uiPriority w:val="99"/>
    <w:semiHidden/>
    <w:unhideWhenUsed/>
    <w:rsid w:val="00177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51">
      <w:bodyDiv w:val="1"/>
      <w:marLeft w:val="0"/>
      <w:marRight w:val="0"/>
      <w:marTop w:val="0"/>
      <w:marBottom w:val="0"/>
      <w:divBdr>
        <w:top w:val="none" w:sz="0" w:space="0" w:color="auto"/>
        <w:left w:val="none" w:sz="0" w:space="0" w:color="auto"/>
        <w:bottom w:val="none" w:sz="0" w:space="0" w:color="auto"/>
        <w:right w:val="none" w:sz="0" w:space="0" w:color="auto"/>
      </w:divBdr>
    </w:div>
    <w:div w:id="562638622">
      <w:bodyDiv w:val="1"/>
      <w:marLeft w:val="0"/>
      <w:marRight w:val="0"/>
      <w:marTop w:val="0"/>
      <w:marBottom w:val="0"/>
      <w:divBdr>
        <w:top w:val="none" w:sz="0" w:space="0" w:color="auto"/>
        <w:left w:val="none" w:sz="0" w:space="0" w:color="auto"/>
        <w:bottom w:val="none" w:sz="0" w:space="0" w:color="auto"/>
        <w:right w:val="none" w:sz="0" w:space="0" w:color="auto"/>
      </w:divBdr>
    </w:div>
    <w:div w:id="687832757">
      <w:bodyDiv w:val="1"/>
      <w:marLeft w:val="0"/>
      <w:marRight w:val="0"/>
      <w:marTop w:val="0"/>
      <w:marBottom w:val="0"/>
      <w:divBdr>
        <w:top w:val="none" w:sz="0" w:space="0" w:color="auto"/>
        <w:left w:val="none" w:sz="0" w:space="0" w:color="auto"/>
        <w:bottom w:val="none" w:sz="0" w:space="0" w:color="auto"/>
        <w:right w:val="none" w:sz="0" w:space="0" w:color="auto"/>
      </w:divBdr>
      <w:divsChild>
        <w:div w:id="1358388839">
          <w:marLeft w:val="0"/>
          <w:marRight w:val="0"/>
          <w:marTop w:val="0"/>
          <w:marBottom w:val="0"/>
          <w:divBdr>
            <w:top w:val="none" w:sz="0" w:space="0" w:color="auto"/>
            <w:left w:val="none" w:sz="0" w:space="0" w:color="auto"/>
            <w:bottom w:val="none" w:sz="0" w:space="0" w:color="auto"/>
            <w:right w:val="none" w:sz="0" w:space="0" w:color="auto"/>
          </w:divBdr>
          <w:divsChild>
            <w:div w:id="193275932">
              <w:marLeft w:val="0"/>
              <w:marRight w:val="0"/>
              <w:marTop w:val="0"/>
              <w:marBottom w:val="0"/>
              <w:divBdr>
                <w:top w:val="none" w:sz="0" w:space="0" w:color="auto"/>
                <w:left w:val="none" w:sz="0" w:space="0" w:color="auto"/>
                <w:bottom w:val="none" w:sz="0" w:space="0" w:color="auto"/>
                <w:right w:val="none" w:sz="0" w:space="0" w:color="auto"/>
              </w:divBdr>
              <w:divsChild>
                <w:div w:id="2254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2609">
      <w:bodyDiv w:val="1"/>
      <w:marLeft w:val="0"/>
      <w:marRight w:val="0"/>
      <w:marTop w:val="0"/>
      <w:marBottom w:val="0"/>
      <w:divBdr>
        <w:top w:val="none" w:sz="0" w:space="0" w:color="auto"/>
        <w:left w:val="none" w:sz="0" w:space="0" w:color="auto"/>
        <w:bottom w:val="none" w:sz="0" w:space="0" w:color="auto"/>
        <w:right w:val="none" w:sz="0" w:space="0" w:color="auto"/>
      </w:divBdr>
    </w:div>
    <w:div w:id="1498884324">
      <w:bodyDiv w:val="1"/>
      <w:marLeft w:val="0"/>
      <w:marRight w:val="0"/>
      <w:marTop w:val="0"/>
      <w:marBottom w:val="0"/>
      <w:divBdr>
        <w:top w:val="none" w:sz="0" w:space="0" w:color="auto"/>
        <w:left w:val="none" w:sz="0" w:space="0" w:color="auto"/>
        <w:bottom w:val="none" w:sz="0" w:space="0" w:color="auto"/>
        <w:right w:val="none" w:sz="0" w:space="0" w:color="auto"/>
      </w:divBdr>
    </w:div>
    <w:div w:id="1672024720">
      <w:bodyDiv w:val="1"/>
      <w:marLeft w:val="0"/>
      <w:marRight w:val="0"/>
      <w:marTop w:val="0"/>
      <w:marBottom w:val="0"/>
      <w:divBdr>
        <w:top w:val="none" w:sz="0" w:space="0" w:color="auto"/>
        <w:left w:val="none" w:sz="0" w:space="0" w:color="auto"/>
        <w:bottom w:val="none" w:sz="0" w:space="0" w:color="auto"/>
        <w:right w:val="none" w:sz="0" w:space="0" w:color="auto"/>
      </w:divBdr>
    </w:div>
    <w:div w:id="2099057881">
      <w:bodyDiv w:val="1"/>
      <w:marLeft w:val="0"/>
      <w:marRight w:val="0"/>
      <w:marTop w:val="0"/>
      <w:marBottom w:val="0"/>
      <w:divBdr>
        <w:top w:val="none" w:sz="0" w:space="0" w:color="auto"/>
        <w:left w:val="none" w:sz="0" w:space="0" w:color="auto"/>
        <w:bottom w:val="none" w:sz="0" w:space="0" w:color="auto"/>
        <w:right w:val="none" w:sz="0" w:space="0" w:color="auto"/>
      </w:divBdr>
      <w:divsChild>
        <w:div w:id="124085595">
          <w:marLeft w:val="0"/>
          <w:marRight w:val="0"/>
          <w:marTop w:val="0"/>
          <w:marBottom w:val="0"/>
          <w:divBdr>
            <w:top w:val="none" w:sz="0" w:space="0" w:color="auto"/>
            <w:left w:val="none" w:sz="0" w:space="0" w:color="auto"/>
            <w:bottom w:val="none" w:sz="0" w:space="0" w:color="auto"/>
            <w:right w:val="none" w:sz="0" w:space="0" w:color="auto"/>
          </w:divBdr>
          <w:divsChild>
            <w:div w:id="268271295">
              <w:marLeft w:val="0"/>
              <w:marRight w:val="0"/>
              <w:marTop w:val="0"/>
              <w:marBottom w:val="0"/>
              <w:divBdr>
                <w:top w:val="none" w:sz="0" w:space="0" w:color="auto"/>
                <w:left w:val="none" w:sz="0" w:space="0" w:color="auto"/>
                <w:bottom w:val="none" w:sz="0" w:space="0" w:color="auto"/>
                <w:right w:val="none" w:sz="0" w:space="0" w:color="auto"/>
              </w:divBdr>
            </w:div>
          </w:divsChild>
        </w:div>
        <w:div w:id="1485126981">
          <w:marLeft w:val="0"/>
          <w:marRight w:val="0"/>
          <w:marTop w:val="0"/>
          <w:marBottom w:val="0"/>
          <w:divBdr>
            <w:top w:val="none" w:sz="0" w:space="0" w:color="auto"/>
            <w:left w:val="none" w:sz="0" w:space="0" w:color="auto"/>
            <w:bottom w:val="none" w:sz="0" w:space="0" w:color="auto"/>
            <w:right w:val="none" w:sz="0" w:space="0" w:color="auto"/>
          </w:divBdr>
          <w:divsChild>
            <w:div w:id="8416419">
              <w:marLeft w:val="0"/>
              <w:marRight w:val="0"/>
              <w:marTop w:val="0"/>
              <w:marBottom w:val="0"/>
              <w:divBdr>
                <w:top w:val="none" w:sz="0" w:space="0" w:color="auto"/>
                <w:left w:val="none" w:sz="0" w:space="0" w:color="auto"/>
                <w:bottom w:val="none" w:sz="0" w:space="0" w:color="auto"/>
                <w:right w:val="none" w:sz="0" w:space="0" w:color="auto"/>
              </w:divBdr>
            </w:div>
          </w:divsChild>
        </w:div>
        <w:div w:id="1635672420">
          <w:marLeft w:val="0"/>
          <w:marRight w:val="0"/>
          <w:marTop w:val="0"/>
          <w:marBottom w:val="0"/>
          <w:divBdr>
            <w:top w:val="none" w:sz="0" w:space="0" w:color="auto"/>
            <w:left w:val="none" w:sz="0" w:space="0" w:color="auto"/>
            <w:bottom w:val="none" w:sz="0" w:space="0" w:color="auto"/>
            <w:right w:val="none" w:sz="0" w:space="0" w:color="auto"/>
          </w:divBdr>
          <w:divsChild>
            <w:div w:id="488520524">
              <w:marLeft w:val="0"/>
              <w:marRight w:val="0"/>
              <w:marTop w:val="0"/>
              <w:marBottom w:val="0"/>
              <w:divBdr>
                <w:top w:val="none" w:sz="0" w:space="0" w:color="auto"/>
                <w:left w:val="none" w:sz="0" w:space="0" w:color="auto"/>
                <w:bottom w:val="none" w:sz="0" w:space="0" w:color="auto"/>
                <w:right w:val="none" w:sz="0" w:space="0" w:color="auto"/>
              </w:divBdr>
            </w:div>
          </w:divsChild>
        </w:div>
        <w:div w:id="8533190">
          <w:marLeft w:val="0"/>
          <w:marRight w:val="0"/>
          <w:marTop w:val="0"/>
          <w:marBottom w:val="0"/>
          <w:divBdr>
            <w:top w:val="none" w:sz="0" w:space="0" w:color="auto"/>
            <w:left w:val="none" w:sz="0" w:space="0" w:color="auto"/>
            <w:bottom w:val="none" w:sz="0" w:space="0" w:color="auto"/>
            <w:right w:val="none" w:sz="0" w:space="0" w:color="auto"/>
          </w:divBdr>
          <w:divsChild>
            <w:div w:id="1372607757">
              <w:marLeft w:val="0"/>
              <w:marRight w:val="0"/>
              <w:marTop w:val="0"/>
              <w:marBottom w:val="0"/>
              <w:divBdr>
                <w:top w:val="none" w:sz="0" w:space="0" w:color="auto"/>
                <w:left w:val="none" w:sz="0" w:space="0" w:color="auto"/>
                <w:bottom w:val="none" w:sz="0" w:space="0" w:color="auto"/>
                <w:right w:val="none" w:sz="0" w:space="0" w:color="auto"/>
              </w:divBdr>
            </w:div>
          </w:divsChild>
        </w:div>
        <w:div w:id="1226600123">
          <w:marLeft w:val="0"/>
          <w:marRight w:val="0"/>
          <w:marTop w:val="0"/>
          <w:marBottom w:val="0"/>
          <w:divBdr>
            <w:top w:val="none" w:sz="0" w:space="0" w:color="auto"/>
            <w:left w:val="none" w:sz="0" w:space="0" w:color="auto"/>
            <w:bottom w:val="none" w:sz="0" w:space="0" w:color="auto"/>
            <w:right w:val="none" w:sz="0" w:space="0" w:color="auto"/>
          </w:divBdr>
          <w:divsChild>
            <w:div w:id="944390234">
              <w:marLeft w:val="0"/>
              <w:marRight w:val="0"/>
              <w:marTop w:val="0"/>
              <w:marBottom w:val="0"/>
              <w:divBdr>
                <w:top w:val="none" w:sz="0" w:space="0" w:color="auto"/>
                <w:left w:val="none" w:sz="0" w:space="0" w:color="auto"/>
                <w:bottom w:val="none" w:sz="0" w:space="0" w:color="auto"/>
                <w:right w:val="none" w:sz="0" w:space="0" w:color="auto"/>
              </w:divBdr>
            </w:div>
          </w:divsChild>
        </w:div>
        <w:div w:id="649598649">
          <w:marLeft w:val="0"/>
          <w:marRight w:val="0"/>
          <w:marTop w:val="0"/>
          <w:marBottom w:val="0"/>
          <w:divBdr>
            <w:top w:val="none" w:sz="0" w:space="0" w:color="auto"/>
            <w:left w:val="none" w:sz="0" w:space="0" w:color="auto"/>
            <w:bottom w:val="none" w:sz="0" w:space="0" w:color="auto"/>
            <w:right w:val="none" w:sz="0" w:space="0" w:color="auto"/>
          </w:divBdr>
          <w:divsChild>
            <w:div w:id="874468302">
              <w:marLeft w:val="0"/>
              <w:marRight w:val="0"/>
              <w:marTop w:val="0"/>
              <w:marBottom w:val="0"/>
              <w:divBdr>
                <w:top w:val="none" w:sz="0" w:space="0" w:color="auto"/>
                <w:left w:val="none" w:sz="0" w:space="0" w:color="auto"/>
                <w:bottom w:val="none" w:sz="0" w:space="0" w:color="auto"/>
                <w:right w:val="none" w:sz="0" w:space="0" w:color="auto"/>
              </w:divBdr>
            </w:div>
          </w:divsChild>
        </w:div>
        <w:div w:id="2066295674">
          <w:marLeft w:val="0"/>
          <w:marRight w:val="0"/>
          <w:marTop w:val="0"/>
          <w:marBottom w:val="0"/>
          <w:divBdr>
            <w:top w:val="none" w:sz="0" w:space="0" w:color="auto"/>
            <w:left w:val="none" w:sz="0" w:space="0" w:color="auto"/>
            <w:bottom w:val="none" w:sz="0" w:space="0" w:color="auto"/>
            <w:right w:val="none" w:sz="0" w:space="0" w:color="auto"/>
          </w:divBdr>
          <w:divsChild>
            <w:div w:id="1457138531">
              <w:marLeft w:val="0"/>
              <w:marRight w:val="0"/>
              <w:marTop w:val="0"/>
              <w:marBottom w:val="0"/>
              <w:divBdr>
                <w:top w:val="none" w:sz="0" w:space="0" w:color="auto"/>
                <w:left w:val="none" w:sz="0" w:space="0" w:color="auto"/>
                <w:bottom w:val="none" w:sz="0" w:space="0" w:color="auto"/>
                <w:right w:val="none" w:sz="0" w:space="0" w:color="auto"/>
              </w:divBdr>
            </w:div>
          </w:divsChild>
        </w:div>
        <w:div w:id="132990920">
          <w:marLeft w:val="0"/>
          <w:marRight w:val="0"/>
          <w:marTop w:val="0"/>
          <w:marBottom w:val="0"/>
          <w:divBdr>
            <w:top w:val="none" w:sz="0" w:space="0" w:color="auto"/>
            <w:left w:val="none" w:sz="0" w:space="0" w:color="auto"/>
            <w:bottom w:val="none" w:sz="0" w:space="0" w:color="auto"/>
            <w:right w:val="none" w:sz="0" w:space="0" w:color="auto"/>
          </w:divBdr>
          <w:divsChild>
            <w:div w:id="106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3BB92-EE9E-407E-8A9E-D23126B2E073}">
  <ds:schemaRefs>
    <ds:schemaRef ds:uri="http://schemas.openxmlformats.org/officeDocument/2006/bibliography"/>
  </ds:schemaRefs>
</ds:datastoreItem>
</file>

<file path=customXml/itemProps2.xml><?xml version="1.0" encoding="utf-8"?>
<ds:datastoreItem xmlns:ds="http://schemas.openxmlformats.org/officeDocument/2006/customXml" ds:itemID="{31F07C28-550A-4E3A-9E9C-4C8EA76506C3}"/>
</file>

<file path=customXml/itemProps3.xml><?xml version="1.0" encoding="utf-8"?>
<ds:datastoreItem xmlns:ds="http://schemas.openxmlformats.org/officeDocument/2006/customXml" ds:itemID="{D8177A87-E2AE-4960-A5B9-2FB28ED8370E}"/>
</file>

<file path=customXml/itemProps4.xml><?xml version="1.0" encoding="utf-8"?>
<ds:datastoreItem xmlns:ds="http://schemas.openxmlformats.org/officeDocument/2006/customXml" ds:itemID="{B262043F-52E6-4865-BAC3-FB8A521F0157}"/>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9997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Alancay Morales</dc:creator>
  <cp:keywords/>
  <dc:description/>
  <cp:lastModifiedBy>KIM Jung Rin</cp:lastModifiedBy>
  <cp:revision>2</cp:revision>
  <dcterms:created xsi:type="dcterms:W3CDTF">2021-08-16T13:19:00Z</dcterms:created>
  <dcterms:modified xsi:type="dcterms:W3CDTF">2021-08-16T13:19:00Z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