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50FDC" w14:textId="77777777" w:rsidR="00442968" w:rsidRPr="00630EF4" w:rsidRDefault="00442968" w:rsidP="00C12CA6">
      <w:pPr>
        <w:jc w:val="center"/>
        <w:outlineLvl w:val="0"/>
        <w:rPr>
          <w:b/>
          <w:sz w:val="22"/>
          <w:szCs w:val="22"/>
          <w:lang w:val="en-GB"/>
        </w:rPr>
      </w:pPr>
    </w:p>
    <w:p w14:paraId="262839F7" w14:textId="62F1F48F" w:rsidR="00B371BA" w:rsidRPr="00472492" w:rsidRDefault="00637106" w:rsidP="00C12CA6">
      <w:pPr>
        <w:jc w:val="center"/>
        <w:outlineLvl w:val="0"/>
        <w:rPr>
          <w:sz w:val="22"/>
          <w:szCs w:val="22"/>
          <w:lang w:val="en-GB"/>
        </w:rPr>
      </w:pPr>
      <w:r w:rsidRPr="00472492">
        <w:rPr>
          <w:b/>
          <w:sz w:val="22"/>
          <w:szCs w:val="22"/>
          <w:lang w:val="en-GB"/>
        </w:rPr>
        <w:t>Contribution for a legal interpretation of the ICESCR: towards a human right to land</w:t>
      </w:r>
    </w:p>
    <w:p w14:paraId="70447E1D" w14:textId="755CCC87" w:rsidR="00B371BA" w:rsidRPr="00472492" w:rsidRDefault="00694AA8" w:rsidP="00755FC8">
      <w:pPr>
        <w:jc w:val="center"/>
        <w:outlineLvl w:val="0"/>
        <w:rPr>
          <w:sz w:val="22"/>
          <w:szCs w:val="22"/>
          <w:lang w:val="en-GB"/>
        </w:rPr>
      </w:pPr>
      <w:r w:rsidRPr="00472492">
        <w:rPr>
          <w:sz w:val="22"/>
          <w:szCs w:val="22"/>
          <w:lang w:val="en-GB"/>
        </w:rPr>
        <w:t xml:space="preserve">Elaborated by: </w:t>
      </w:r>
      <w:r w:rsidR="008C2D26" w:rsidRPr="00472492">
        <w:rPr>
          <w:sz w:val="22"/>
          <w:szCs w:val="22"/>
          <w:lang w:val="en-GB"/>
        </w:rPr>
        <w:t>Dr</w:t>
      </w:r>
      <w:r w:rsidR="008C2D26" w:rsidRPr="00630EF4">
        <w:rPr>
          <w:sz w:val="22"/>
          <w:szCs w:val="22"/>
          <w:lang w:val="en-GB"/>
        </w:rPr>
        <w:t>.</w:t>
      </w:r>
      <w:r w:rsidR="00700F1E" w:rsidRPr="00630EF4">
        <w:rPr>
          <w:sz w:val="22"/>
          <w:szCs w:val="22"/>
          <w:lang w:val="en-GB"/>
        </w:rPr>
        <w:t xml:space="preserve"> </w:t>
      </w:r>
      <w:r w:rsidRPr="00472492">
        <w:rPr>
          <w:sz w:val="22"/>
          <w:szCs w:val="22"/>
          <w:lang w:val="en-GB"/>
        </w:rPr>
        <w:t>Verónica Torres-</w:t>
      </w:r>
      <w:r w:rsidR="00B371BA" w:rsidRPr="00472492">
        <w:rPr>
          <w:sz w:val="22"/>
          <w:szCs w:val="22"/>
          <w:lang w:val="en-GB"/>
        </w:rPr>
        <w:t>Marenco</w:t>
      </w:r>
      <w:bookmarkStart w:id="0" w:name="_Ref490572134"/>
      <w:r w:rsidR="0065288B" w:rsidRPr="00472492">
        <w:rPr>
          <w:rStyle w:val="FootnoteReference"/>
          <w:sz w:val="22"/>
          <w:szCs w:val="22"/>
          <w:lang w:val="en-GB"/>
        </w:rPr>
        <w:footnoteReference w:customMarkFollows="1" w:id="1"/>
        <w:sym w:font="Symbol" w:char="F02A"/>
      </w:r>
      <w:bookmarkEnd w:id="0"/>
    </w:p>
    <w:p w14:paraId="37B87F6E" w14:textId="77777777" w:rsidR="00637106" w:rsidRPr="00472492" w:rsidRDefault="00637106" w:rsidP="00775237">
      <w:pPr>
        <w:jc w:val="both"/>
        <w:rPr>
          <w:b/>
          <w:sz w:val="22"/>
          <w:szCs w:val="22"/>
          <w:lang w:val="en-GB"/>
        </w:rPr>
      </w:pPr>
    </w:p>
    <w:p w14:paraId="3BFD80F8" w14:textId="6796D010" w:rsidR="00B371BA" w:rsidRPr="00472492" w:rsidRDefault="00B371BA" w:rsidP="00775237">
      <w:pPr>
        <w:jc w:val="both"/>
        <w:rPr>
          <w:sz w:val="22"/>
          <w:szCs w:val="22"/>
          <w:lang w:val="en-GB"/>
        </w:rPr>
      </w:pPr>
      <w:r w:rsidRPr="00472492">
        <w:rPr>
          <w:sz w:val="22"/>
          <w:szCs w:val="22"/>
          <w:lang w:val="en-GB"/>
        </w:rPr>
        <w:t xml:space="preserve">The BHRE Research Group welcomes the </w:t>
      </w:r>
      <w:r w:rsidR="00D375C4" w:rsidRPr="00472492">
        <w:rPr>
          <w:sz w:val="22"/>
          <w:szCs w:val="22"/>
          <w:lang w:val="en-GB"/>
        </w:rPr>
        <w:t>initiative</w:t>
      </w:r>
      <w:r w:rsidR="00B953AF" w:rsidRPr="00472492">
        <w:rPr>
          <w:sz w:val="22"/>
          <w:szCs w:val="22"/>
          <w:lang w:val="en-GB"/>
        </w:rPr>
        <w:t xml:space="preserve"> </w:t>
      </w:r>
      <w:r w:rsidRPr="00472492">
        <w:rPr>
          <w:sz w:val="22"/>
          <w:szCs w:val="22"/>
          <w:lang w:val="en-GB"/>
        </w:rPr>
        <w:t xml:space="preserve">of the Committees’ </w:t>
      </w:r>
      <w:r w:rsidR="00263682" w:rsidRPr="00472492">
        <w:rPr>
          <w:sz w:val="22"/>
          <w:szCs w:val="22"/>
          <w:lang w:val="en-GB"/>
        </w:rPr>
        <w:t>G</w:t>
      </w:r>
      <w:r w:rsidRPr="00472492">
        <w:rPr>
          <w:sz w:val="22"/>
          <w:szCs w:val="22"/>
          <w:lang w:val="en-GB"/>
        </w:rPr>
        <w:t xml:space="preserve">eneral </w:t>
      </w:r>
      <w:r w:rsidR="00263682" w:rsidRPr="00472492">
        <w:rPr>
          <w:sz w:val="22"/>
          <w:szCs w:val="22"/>
          <w:lang w:val="en-GB"/>
        </w:rPr>
        <w:t>C</w:t>
      </w:r>
      <w:r w:rsidRPr="00472492">
        <w:rPr>
          <w:sz w:val="22"/>
          <w:szCs w:val="22"/>
          <w:lang w:val="en-GB"/>
        </w:rPr>
        <w:t>omment on land. It strongly believes that it is necessary to strengthen, partic</w:t>
      </w:r>
      <w:bookmarkStart w:id="1" w:name="_GoBack"/>
      <w:bookmarkEnd w:id="1"/>
      <w:r w:rsidRPr="00472492">
        <w:rPr>
          <w:sz w:val="22"/>
          <w:szCs w:val="22"/>
          <w:lang w:val="en-GB"/>
        </w:rPr>
        <w:t>ularly, the adequate standard of living of local communities in the world whil</w:t>
      </w:r>
      <w:r w:rsidR="00D375C4" w:rsidRPr="00472492">
        <w:rPr>
          <w:sz w:val="22"/>
          <w:szCs w:val="22"/>
          <w:lang w:val="en-GB"/>
        </w:rPr>
        <w:t>st</w:t>
      </w:r>
      <w:r w:rsidRPr="00472492">
        <w:rPr>
          <w:sz w:val="22"/>
          <w:szCs w:val="22"/>
          <w:lang w:val="en-GB"/>
        </w:rPr>
        <w:t xml:space="preserve"> being threaten</w:t>
      </w:r>
      <w:r w:rsidR="00D375C4" w:rsidRPr="00472492">
        <w:rPr>
          <w:sz w:val="22"/>
          <w:szCs w:val="22"/>
          <w:lang w:val="en-GB"/>
        </w:rPr>
        <w:t>ed</w:t>
      </w:r>
      <w:r w:rsidRPr="00472492">
        <w:rPr>
          <w:sz w:val="22"/>
          <w:szCs w:val="22"/>
          <w:lang w:val="en-GB"/>
        </w:rPr>
        <w:t xml:space="preserve"> by global issues such as environmental contamination, </w:t>
      </w:r>
      <w:r w:rsidR="00D375C4" w:rsidRPr="00472492">
        <w:rPr>
          <w:sz w:val="22"/>
          <w:szCs w:val="22"/>
          <w:lang w:val="en-GB"/>
        </w:rPr>
        <w:t xml:space="preserve">the </w:t>
      </w:r>
      <w:r w:rsidRPr="00472492">
        <w:rPr>
          <w:sz w:val="22"/>
          <w:szCs w:val="22"/>
          <w:lang w:val="en-GB"/>
        </w:rPr>
        <w:t>different dynamics of land investments, the power of transnational corporation</w:t>
      </w:r>
      <w:r w:rsidR="00FB7415" w:rsidRPr="00472492">
        <w:rPr>
          <w:sz w:val="22"/>
          <w:szCs w:val="22"/>
          <w:lang w:val="en-GB"/>
        </w:rPr>
        <w:t xml:space="preserve">s and the </w:t>
      </w:r>
      <w:r w:rsidR="00B953AF" w:rsidRPr="00472492">
        <w:rPr>
          <w:sz w:val="22"/>
          <w:szCs w:val="22"/>
          <w:lang w:val="en-GB"/>
        </w:rPr>
        <w:t xml:space="preserve">trends of the </w:t>
      </w:r>
      <w:r w:rsidR="00C02B7D" w:rsidRPr="00472492">
        <w:rPr>
          <w:sz w:val="22"/>
          <w:szCs w:val="22"/>
          <w:lang w:val="en-GB"/>
        </w:rPr>
        <w:t>privatis</w:t>
      </w:r>
      <w:r w:rsidR="00FB7415" w:rsidRPr="00472492">
        <w:rPr>
          <w:sz w:val="22"/>
          <w:szCs w:val="22"/>
          <w:lang w:val="en-GB"/>
        </w:rPr>
        <w:t xml:space="preserve">ation of </w:t>
      </w:r>
      <w:r w:rsidR="00B953AF" w:rsidRPr="00472492">
        <w:rPr>
          <w:sz w:val="22"/>
          <w:szCs w:val="22"/>
          <w:lang w:val="en-GB"/>
        </w:rPr>
        <w:t>global governance.</w:t>
      </w:r>
    </w:p>
    <w:p w14:paraId="0749740D" w14:textId="77777777" w:rsidR="00694AA8" w:rsidRPr="00472492" w:rsidRDefault="00694AA8" w:rsidP="00775237">
      <w:pPr>
        <w:jc w:val="both"/>
        <w:rPr>
          <w:sz w:val="22"/>
          <w:szCs w:val="22"/>
          <w:lang w:val="en-GB"/>
        </w:rPr>
      </w:pPr>
    </w:p>
    <w:p w14:paraId="6BF29F65" w14:textId="2CC6120E" w:rsidR="0038667D" w:rsidRPr="00472492" w:rsidRDefault="00284E7A" w:rsidP="00775237">
      <w:pPr>
        <w:jc w:val="both"/>
        <w:rPr>
          <w:sz w:val="22"/>
          <w:szCs w:val="22"/>
          <w:lang w:val="en-GB"/>
        </w:rPr>
      </w:pPr>
      <w:r w:rsidRPr="00472492">
        <w:rPr>
          <w:sz w:val="22"/>
          <w:szCs w:val="22"/>
          <w:lang w:val="en-GB"/>
        </w:rPr>
        <w:t>The d</w:t>
      </w:r>
      <w:r w:rsidR="00694AA8" w:rsidRPr="00472492">
        <w:rPr>
          <w:sz w:val="22"/>
          <w:szCs w:val="22"/>
          <w:lang w:val="en-GB"/>
        </w:rPr>
        <w:t xml:space="preserve">raft </w:t>
      </w:r>
      <w:r w:rsidR="00263682" w:rsidRPr="00472492">
        <w:rPr>
          <w:sz w:val="22"/>
          <w:szCs w:val="22"/>
          <w:lang w:val="en-GB"/>
        </w:rPr>
        <w:t>G</w:t>
      </w:r>
      <w:r w:rsidR="00694AA8" w:rsidRPr="00472492">
        <w:rPr>
          <w:sz w:val="22"/>
          <w:szCs w:val="22"/>
          <w:lang w:val="en-GB"/>
        </w:rPr>
        <w:t xml:space="preserve">eneral </w:t>
      </w:r>
      <w:r w:rsidR="00263682" w:rsidRPr="00472492">
        <w:rPr>
          <w:sz w:val="22"/>
          <w:szCs w:val="22"/>
          <w:lang w:val="en-GB"/>
        </w:rPr>
        <w:t>C</w:t>
      </w:r>
      <w:r w:rsidR="00694AA8" w:rsidRPr="00472492">
        <w:rPr>
          <w:sz w:val="22"/>
          <w:szCs w:val="22"/>
          <w:lang w:val="en-GB"/>
        </w:rPr>
        <w:t xml:space="preserve">omment </w:t>
      </w:r>
      <w:r w:rsidRPr="00472492">
        <w:rPr>
          <w:sz w:val="22"/>
          <w:szCs w:val="22"/>
          <w:lang w:val="en-GB"/>
        </w:rPr>
        <w:t xml:space="preserve">rightfully </w:t>
      </w:r>
      <w:r w:rsidR="00C02B7D" w:rsidRPr="00472492">
        <w:rPr>
          <w:sz w:val="22"/>
          <w:szCs w:val="22"/>
          <w:lang w:val="en-GB"/>
        </w:rPr>
        <w:t>recognis</w:t>
      </w:r>
      <w:r w:rsidR="00564FB6" w:rsidRPr="00472492">
        <w:rPr>
          <w:sz w:val="22"/>
          <w:szCs w:val="22"/>
          <w:lang w:val="en-GB"/>
        </w:rPr>
        <w:t>es</w:t>
      </w:r>
      <w:r w:rsidRPr="00472492">
        <w:rPr>
          <w:sz w:val="22"/>
          <w:szCs w:val="22"/>
          <w:lang w:val="en-GB"/>
        </w:rPr>
        <w:t xml:space="preserve"> the dependence</w:t>
      </w:r>
      <w:r w:rsidR="00A361FF" w:rsidRPr="00472492">
        <w:rPr>
          <w:sz w:val="22"/>
          <w:szCs w:val="22"/>
          <w:lang w:val="en-GB"/>
        </w:rPr>
        <w:t xml:space="preserve"> of local communities on land</w:t>
      </w:r>
      <w:r w:rsidR="00564FB6" w:rsidRPr="00472492">
        <w:rPr>
          <w:sz w:val="22"/>
          <w:szCs w:val="22"/>
          <w:lang w:val="en-GB"/>
        </w:rPr>
        <w:t>.</w:t>
      </w:r>
      <w:r w:rsidR="00A361FF" w:rsidRPr="00472492">
        <w:rPr>
          <w:sz w:val="22"/>
          <w:szCs w:val="22"/>
          <w:lang w:val="en-GB"/>
        </w:rPr>
        <w:t xml:space="preserve"> </w:t>
      </w:r>
      <w:r w:rsidR="00564FB6" w:rsidRPr="00472492">
        <w:rPr>
          <w:sz w:val="22"/>
          <w:szCs w:val="22"/>
          <w:lang w:val="en-GB"/>
        </w:rPr>
        <w:t>Furthermore, it</w:t>
      </w:r>
      <w:r w:rsidRPr="00472492">
        <w:rPr>
          <w:sz w:val="22"/>
          <w:szCs w:val="22"/>
          <w:lang w:val="en-GB"/>
        </w:rPr>
        <w:t xml:space="preserve"> affirms that access to land </w:t>
      </w:r>
      <w:r w:rsidR="00C02B7D" w:rsidRPr="00472492">
        <w:rPr>
          <w:sz w:val="22"/>
          <w:szCs w:val="22"/>
          <w:lang w:val="en-GB"/>
        </w:rPr>
        <w:t>is a precondition for the realis</w:t>
      </w:r>
      <w:r w:rsidRPr="00472492">
        <w:rPr>
          <w:sz w:val="22"/>
          <w:szCs w:val="22"/>
          <w:lang w:val="en-GB"/>
        </w:rPr>
        <w:t>ation of</w:t>
      </w:r>
      <w:r w:rsidR="00564FB6" w:rsidRPr="00472492">
        <w:rPr>
          <w:sz w:val="22"/>
          <w:szCs w:val="22"/>
          <w:lang w:val="en-GB"/>
        </w:rPr>
        <w:t xml:space="preserve"> several rights in the Covenant which also concern these </w:t>
      </w:r>
      <w:r w:rsidR="00D50840" w:rsidRPr="00472492">
        <w:rPr>
          <w:sz w:val="22"/>
          <w:szCs w:val="22"/>
          <w:lang w:val="en-GB"/>
        </w:rPr>
        <w:t>communities</w:t>
      </w:r>
      <w:r w:rsidR="00564FB6" w:rsidRPr="00472492">
        <w:rPr>
          <w:rStyle w:val="FootnoteReference"/>
          <w:sz w:val="22"/>
          <w:szCs w:val="22"/>
          <w:lang w:val="en-GB"/>
        </w:rPr>
        <w:footnoteReference w:id="2"/>
      </w:r>
      <w:r w:rsidR="00A54CC5" w:rsidRPr="00472492">
        <w:rPr>
          <w:sz w:val="22"/>
          <w:szCs w:val="22"/>
          <w:lang w:val="en-GB"/>
        </w:rPr>
        <w:t>,</w:t>
      </w:r>
      <w:r w:rsidR="00D50840" w:rsidRPr="00472492">
        <w:rPr>
          <w:sz w:val="22"/>
          <w:szCs w:val="22"/>
          <w:lang w:val="en-GB"/>
        </w:rPr>
        <w:t xml:space="preserve"> particularly the right</w:t>
      </w:r>
      <w:r w:rsidR="00810D0E" w:rsidRPr="00472492">
        <w:rPr>
          <w:sz w:val="22"/>
          <w:szCs w:val="22"/>
          <w:lang w:val="en-GB"/>
        </w:rPr>
        <w:t>s</w:t>
      </w:r>
      <w:r w:rsidR="00D40878" w:rsidRPr="00472492">
        <w:rPr>
          <w:sz w:val="22"/>
          <w:szCs w:val="22"/>
          <w:lang w:val="en-GB"/>
        </w:rPr>
        <w:t xml:space="preserve"> </w:t>
      </w:r>
      <w:r w:rsidR="00D50840" w:rsidRPr="00472492">
        <w:rPr>
          <w:sz w:val="22"/>
          <w:szCs w:val="22"/>
          <w:lang w:val="en-GB"/>
        </w:rPr>
        <w:t>to food, housing, water, health</w:t>
      </w:r>
      <w:r w:rsidR="00D375C4" w:rsidRPr="00472492">
        <w:rPr>
          <w:sz w:val="22"/>
          <w:szCs w:val="22"/>
          <w:lang w:val="en-GB"/>
        </w:rPr>
        <w:t>,</w:t>
      </w:r>
      <w:r w:rsidR="00D50840" w:rsidRPr="00472492">
        <w:rPr>
          <w:sz w:val="22"/>
          <w:szCs w:val="22"/>
          <w:lang w:val="en-GB"/>
        </w:rPr>
        <w:t xml:space="preserve"> and cultural life</w:t>
      </w:r>
      <w:r w:rsidR="00D375C4" w:rsidRPr="00472492">
        <w:rPr>
          <w:sz w:val="22"/>
          <w:szCs w:val="22"/>
          <w:lang w:val="en-GB"/>
        </w:rPr>
        <w:t>,</w:t>
      </w:r>
      <w:r w:rsidR="00D50840" w:rsidRPr="00472492">
        <w:rPr>
          <w:sz w:val="22"/>
          <w:szCs w:val="22"/>
          <w:lang w:val="en-GB"/>
        </w:rPr>
        <w:t xml:space="preserve"> as well as the provision </w:t>
      </w:r>
      <w:r w:rsidR="00A54CC5" w:rsidRPr="00472492">
        <w:rPr>
          <w:sz w:val="22"/>
          <w:szCs w:val="22"/>
          <w:lang w:val="en-GB"/>
        </w:rPr>
        <w:t>for</w:t>
      </w:r>
      <w:r w:rsidR="00D50840" w:rsidRPr="00472492">
        <w:rPr>
          <w:sz w:val="22"/>
          <w:szCs w:val="22"/>
          <w:lang w:val="en-GB"/>
        </w:rPr>
        <w:t xml:space="preserve"> non-discrimination.</w:t>
      </w:r>
      <w:r w:rsidR="00D50840" w:rsidRPr="00472492">
        <w:rPr>
          <w:rStyle w:val="FootnoteReference"/>
          <w:sz w:val="22"/>
          <w:szCs w:val="22"/>
          <w:lang w:val="en-GB"/>
        </w:rPr>
        <w:footnoteReference w:id="3"/>
      </w:r>
      <w:r w:rsidR="00D50840" w:rsidRPr="00472492">
        <w:rPr>
          <w:sz w:val="22"/>
          <w:szCs w:val="22"/>
          <w:lang w:val="en-GB"/>
        </w:rPr>
        <w:t xml:space="preserve"> Indeed</w:t>
      </w:r>
      <w:r w:rsidR="00C3529B" w:rsidRPr="00472492">
        <w:rPr>
          <w:sz w:val="22"/>
          <w:szCs w:val="22"/>
          <w:lang w:val="en-GB"/>
        </w:rPr>
        <w:t xml:space="preserve">, such a precondition </w:t>
      </w:r>
      <w:r w:rsidRPr="00472492">
        <w:rPr>
          <w:sz w:val="22"/>
          <w:szCs w:val="22"/>
          <w:lang w:val="en-GB"/>
        </w:rPr>
        <w:t xml:space="preserve">has been largely </w:t>
      </w:r>
      <w:r w:rsidR="00C3529B" w:rsidRPr="00472492">
        <w:rPr>
          <w:sz w:val="22"/>
          <w:szCs w:val="22"/>
          <w:lang w:val="en-GB"/>
        </w:rPr>
        <w:t>affirm</w:t>
      </w:r>
      <w:r w:rsidR="00D375C4" w:rsidRPr="00472492">
        <w:rPr>
          <w:sz w:val="22"/>
          <w:szCs w:val="22"/>
          <w:lang w:val="en-GB"/>
        </w:rPr>
        <w:t>ed</w:t>
      </w:r>
      <w:r w:rsidR="00A361FF" w:rsidRPr="00472492">
        <w:rPr>
          <w:sz w:val="22"/>
          <w:szCs w:val="22"/>
          <w:lang w:val="en-GB"/>
        </w:rPr>
        <w:t xml:space="preserve"> </w:t>
      </w:r>
      <w:r w:rsidR="00C3529B" w:rsidRPr="00472492">
        <w:rPr>
          <w:sz w:val="22"/>
          <w:szCs w:val="22"/>
          <w:lang w:val="en-GB"/>
        </w:rPr>
        <w:t xml:space="preserve">by the Committee in </w:t>
      </w:r>
      <w:r w:rsidR="00E2449D" w:rsidRPr="00472492">
        <w:rPr>
          <w:sz w:val="22"/>
          <w:szCs w:val="22"/>
          <w:lang w:val="en-GB"/>
        </w:rPr>
        <w:t>its practice</w:t>
      </w:r>
      <w:r w:rsidR="00D375C4" w:rsidRPr="00472492">
        <w:rPr>
          <w:sz w:val="22"/>
          <w:szCs w:val="22"/>
          <w:lang w:val="en-GB"/>
        </w:rPr>
        <w:t>,</w:t>
      </w:r>
      <w:r w:rsidR="0038667D" w:rsidRPr="00472492">
        <w:rPr>
          <w:sz w:val="22"/>
          <w:szCs w:val="22"/>
          <w:lang w:val="en-GB"/>
        </w:rPr>
        <w:t xml:space="preserve"> such as </w:t>
      </w:r>
      <w:r w:rsidR="00E2449D" w:rsidRPr="00472492">
        <w:rPr>
          <w:sz w:val="22"/>
          <w:szCs w:val="22"/>
          <w:lang w:val="en-GB"/>
        </w:rPr>
        <w:t xml:space="preserve">through </w:t>
      </w:r>
      <w:r w:rsidR="00A361FF" w:rsidRPr="00472492">
        <w:rPr>
          <w:sz w:val="22"/>
          <w:szCs w:val="22"/>
          <w:lang w:val="en-GB"/>
        </w:rPr>
        <w:t>general comments concerning the rights</w:t>
      </w:r>
      <w:r w:rsidR="0038667D" w:rsidRPr="00472492">
        <w:rPr>
          <w:sz w:val="22"/>
          <w:szCs w:val="22"/>
          <w:lang w:val="en-GB"/>
        </w:rPr>
        <w:t xml:space="preserve"> </w:t>
      </w:r>
      <w:r w:rsidR="00D375C4" w:rsidRPr="00472492">
        <w:rPr>
          <w:sz w:val="22"/>
          <w:szCs w:val="22"/>
          <w:lang w:val="en-GB"/>
        </w:rPr>
        <w:t xml:space="preserve">to </w:t>
      </w:r>
      <w:r w:rsidR="0038667D" w:rsidRPr="00472492">
        <w:rPr>
          <w:sz w:val="22"/>
          <w:szCs w:val="22"/>
          <w:lang w:val="en-GB"/>
        </w:rPr>
        <w:t>adequate</w:t>
      </w:r>
      <w:r w:rsidR="00A361FF" w:rsidRPr="00472492">
        <w:rPr>
          <w:sz w:val="22"/>
          <w:szCs w:val="22"/>
          <w:lang w:val="en-GB"/>
        </w:rPr>
        <w:t xml:space="preserve"> food, housing</w:t>
      </w:r>
      <w:r w:rsidR="00D375C4" w:rsidRPr="00472492">
        <w:rPr>
          <w:sz w:val="22"/>
          <w:szCs w:val="22"/>
          <w:lang w:val="en-GB"/>
        </w:rPr>
        <w:t>,</w:t>
      </w:r>
      <w:r w:rsidR="00A361FF" w:rsidRPr="00472492">
        <w:rPr>
          <w:sz w:val="22"/>
          <w:szCs w:val="22"/>
          <w:lang w:val="en-GB"/>
        </w:rPr>
        <w:t xml:space="preserve"> and water</w:t>
      </w:r>
      <w:r w:rsidR="00D375C4" w:rsidRPr="00472492">
        <w:rPr>
          <w:sz w:val="22"/>
          <w:szCs w:val="22"/>
          <w:lang w:val="en-GB"/>
        </w:rPr>
        <w:t>,</w:t>
      </w:r>
      <w:r w:rsidR="00A361FF" w:rsidRPr="00472492">
        <w:rPr>
          <w:sz w:val="22"/>
          <w:szCs w:val="22"/>
          <w:lang w:val="en-GB"/>
        </w:rPr>
        <w:t xml:space="preserve"> as well as</w:t>
      </w:r>
      <w:r w:rsidR="0038667D" w:rsidRPr="00472492">
        <w:rPr>
          <w:sz w:val="22"/>
          <w:szCs w:val="22"/>
          <w:lang w:val="en-GB"/>
        </w:rPr>
        <w:t xml:space="preserve"> </w:t>
      </w:r>
      <w:r w:rsidR="00D375C4" w:rsidRPr="00472492">
        <w:rPr>
          <w:sz w:val="22"/>
          <w:szCs w:val="22"/>
          <w:lang w:val="en-GB"/>
        </w:rPr>
        <w:t xml:space="preserve">through its </w:t>
      </w:r>
      <w:r w:rsidR="0038667D" w:rsidRPr="00472492">
        <w:rPr>
          <w:sz w:val="22"/>
          <w:szCs w:val="22"/>
          <w:lang w:val="en-GB"/>
        </w:rPr>
        <w:t>concluding observations</w:t>
      </w:r>
      <w:r w:rsidR="00E2449D" w:rsidRPr="00472492">
        <w:rPr>
          <w:sz w:val="22"/>
          <w:szCs w:val="22"/>
          <w:lang w:val="en-GB"/>
        </w:rPr>
        <w:t xml:space="preserve">. </w:t>
      </w:r>
      <w:r w:rsidR="00D375C4" w:rsidRPr="00472492">
        <w:rPr>
          <w:sz w:val="22"/>
          <w:szCs w:val="22"/>
          <w:lang w:val="en-GB"/>
        </w:rPr>
        <w:t>In addition, s</w:t>
      </w:r>
      <w:r w:rsidR="00E2449D" w:rsidRPr="00472492">
        <w:rPr>
          <w:sz w:val="22"/>
          <w:szCs w:val="22"/>
          <w:lang w:val="en-GB"/>
        </w:rPr>
        <w:t xml:space="preserve">pecial </w:t>
      </w:r>
      <w:r w:rsidR="003E33CB" w:rsidRPr="00472492">
        <w:rPr>
          <w:sz w:val="22"/>
          <w:szCs w:val="22"/>
          <w:lang w:val="en-GB"/>
        </w:rPr>
        <w:t>r</w:t>
      </w:r>
      <w:r w:rsidR="00E2449D" w:rsidRPr="00472492">
        <w:rPr>
          <w:sz w:val="22"/>
          <w:szCs w:val="22"/>
          <w:lang w:val="en-GB"/>
        </w:rPr>
        <w:t>apporteur</w:t>
      </w:r>
      <w:r w:rsidR="003E33CB" w:rsidRPr="00472492">
        <w:rPr>
          <w:sz w:val="22"/>
          <w:szCs w:val="22"/>
          <w:lang w:val="en-GB"/>
        </w:rPr>
        <w:t>s</w:t>
      </w:r>
      <w:r w:rsidR="00E2449D" w:rsidRPr="00472492">
        <w:rPr>
          <w:sz w:val="22"/>
          <w:szCs w:val="22"/>
          <w:lang w:val="en-GB"/>
        </w:rPr>
        <w:t xml:space="preserve"> have continuously recognised such a precondition</w:t>
      </w:r>
      <w:r w:rsidR="00D375C4" w:rsidRPr="00472492">
        <w:rPr>
          <w:sz w:val="22"/>
          <w:szCs w:val="22"/>
          <w:lang w:val="en-GB"/>
        </w:rPr>
        <w:t>,</w:t>
      </w:r>
      <w:r w:rsidR="00E2449D" w:rsidRPr="00472492">
        <w:rPr>
          <w:sz w:val="22"/>
          <w:szCs w:val="22"/>
          <w:lang w:val="en-GB"/>
        </w:rPr>
        <w:t xml:space="preserve"> a</w:t>
      </w:r>
      <w:r w:rsidR="00D375C4" w:rsidRPr="00472492">
        <w:rPr>
          <w:sz w:val="22"/>
          <w:szCs w:val="22"/>
          <w:lang w:val="en-GB"/>
        </w:rPr>
        <w:t>s well as</w:t>
      </w:r>
      <w:r w:rsidR="00E2449D" w:rsidRPr="00472492">
        <w:rPr>
          <w:sz w:val="22"/>
          <w:szCs w:val="22"/>
          <w:lang w:val="en-GB"/>
        </w:rPr>
        <w:t xml:space="preserve"> </w:t>
      </w:r>
      <w:r w:rsidR="00D375C4" w:rsidRPr="00472492">
        <w:rPr>
          <w:sz w:val="22"/>
          <w:szCs w:val="22"/>
          <w:lang w:val="en-GB"/>
        </w:rPr>
        <w:t xml:space="preserve">local communities’ </w:t>
      </w:r>
      <w:r w:rsidR="00E2449D" w:rsidRPr="00472492">
        <w:rPr>
          <w:sz w:val="22"/>
          <w:szCs w:val="22"/>
          <w:lang w:val="en-GB"/>
        </w:rPr>
        <w:t>dependence</w:t>
      </w:r>
      <w:r w:rsidR="00E634FF" w:rsidRPr="00472492">
        <w:rPr>
          <w:sz w:val="22"/>
          <w:szCs w:val="22"/>
          <w:lang w:val="en-GB"/>
        </w:rPr>
        <w:t>.</w:t>
      </w:r>
    </w:p>
    <w:p w14:paraId="4175154B" w14:textId="77777777" w:rsidR="003578CD" w:rsidRPr="00472492" w:rsidRDefault="003578CD" w:rsidP="00775237">
      <w:pPr>
        <w:jc w:val="both"/>
        <w:rPr>
          <w:sz w:val="22"/>
          <w:szCs w:val="22"/>
          <w:lang w:val="en-GB"/>
        </w:rPr>
      </w:pPr>
    </w:p>
    <w:p w14:paraId="211D3683" w14:textId="5B04BDAF" w:rsidR="00A33157" w:rsidRPr="00472492" w:rsidRDefault="003578CD" w:rsidP="00A33157">
      <w:pPr>
        <w:jc w:val="both"/>
        <w:rPr>
          <w:sz w:val="22"/>
          <w:szCs w:val="22"/>
          <w:lang w:val="en-GB"/>
        </w:rPr>
      </w:pPr>
      <w:r w:rsidRPr="00472492">
        <w:rPr>
          <w:sz w:val="22"/>
          <w:szCs w:val="22"/>
          <w:lang w:val="en-GB"/>
        </w:rPr>
        <w:t>At the same time</w:t>
      </w:r>
      <w:r w:rsidR="00D375C4" w:rsidRPr="00472492">
        <w:rPr>
          <w:sz w:val="22"/>
          <w:szCs w:val="22"/>
          <w:lang w:val="en-GB"/>
        </w:rPr>
        <w:t>,</w:t>
      </w:r>
      <w:r w:rsidR="00417FD2" w:rsidRPr="00472492">
        <w:rPr>
          <w:sz w:val="22"/>
          <w:szCs w:val="22"/>
          <w:lang w:val="en-GB"/>
        </w:rPr>
        <w:t xml:space="preserve"> </w:t>
      </w:r>
      <w:r w:rsidR="00A63C67" w:rsidRPr="00472492">
        <w:rPr>
          <w:sz w:val="22"/>
          <w:szCs w:val="22"/>
          <w:lang w:val="en-GB"/>
        </w:rPr>
        <w:t>the right to land</w:t>
      </w:r>
      <w:r w:rsidR="00C02B7D" w:rsidRPr="00472492">
        <w:rPr>
          <w:sz w:val="22"/>
          <w:szCs w:val="22"/>
          <w:lang w:val="en-GB"/>
        </w:rPr>
        <w:t xml:space="preserve"> has been recognis</w:t>
      </w:r>
      <w:r w:rsidRPr="00472492">
        <w:rPr>
          <w:sz w:val="22"/>
          <w:szCs w:val="22"/>
          <w:lang w:val="en-GB"/>
        </w:rPr>
        <w:t>ed as a self-standing right in relation to indigenous peoples</w:t>
      </w:r>
      <w:r w:rsidR="00D375C4" w:rsidRPr="00472492">
        <w:rPr>
          <w:sz w:val="22"/>
          <w:szCs w:val="22"/>
          <w:lang w:val="en-GB"/>
        </w:rPr>
        <w:t>,</w:t>
      </w:r>
      <w:r w:rsidRPr="00472492">
        <w:rPr>
          <w:sz w:val="22"/>
          <w:szCs w:val="22"/>
          <w:lang w:val="en-GB"/>
        </w:rPr>
        <w:t xml:space="preserve"> and more recently to peasants. The </w:t>
      </w:r>
      <w:r w:rsidR="00C7353C" w:rsidRPr="00472492">
        <w:rPr>
          <w:sz w:val="22"/>
          <w:szCs w:val="22"/>
          <w:lang w:val="en-GB"/>
        </w:rPr>
        <w:t>newly</w:t>
      </w:r>
      <w:r w:rsidRPr="00472492">
        <w:rPr>
          <w:sz w:val="22"/>
          <w:szCs w:val="22"/>
          <w:lang w:val="en-GB"/>
        </w:rPr>
        <w:t xml:space="preserve"> adopted Declaration of Peasants</w:t>
      </w:r>
      <w:r w:rsidR="00034CF5" w:rsidRPr="00472492">
        <w:rPr>
          <w:sz w:val="22"/>
          <w:szCs w:val="22"/>
          <w:lang w:val="en-GB"/>
        </w:rPr>
        <w:t xml:space="preserve"> </w:t>
      </w:r>
      <w:r w:rsidR="00D375C4" w:rsidRPr="00472492">
        <w:rPr>
          <w:sz w:val="22"/>
          <w:szCs w:val="22"/>
          <w:lang w:val="en-GB"/>
        </w:rPr>
        <w:t>gave</w:t>
      </w:r>
      <w:r w:rsidRPr="00472492">
        <w:rPr>
          <w:sz w:val="22"/>
          <w:szCs w:val="22"/>
          <w:lang w:val="en-GB"/>
        </w:rPr>
        <w:t xml:space="preserve"> momentum </w:t>
      </w:r>
      <w:r w:rsidR="00D375C4" w:rsidRPr="00472492">
        <w:rPr>
          <w:sz w:val="22"/>
          <w:szCs w:val="22"/>
          <w:lang w:val="en-GB"/>
        </w:rPr>
        <w:t xml:space="preserve">to </w:t>
      </w:r>
      <w:r w:rsidRPr="00472492">
        <w:rPr>
          <w:sz w:val="22"/>
          <w:szCs w:val="22"/>
          <w:lang w:val="en-GB"/>
        </w:rPr>
        <w:t>the affirmation of a human right to land for local communities</w:t>
      </w:r>
      <w:r w:rsidR="00D375C4" w:rsidRPr="00472492">
        <w:rPr>
          <w:sz w:val="22"/>
          <w:szCs w:val="22"/>
          <w:lang w:val="en-GB"/>
        </w:rPr>
        <w:t xml:space="preserve"> a</w:t>
      </w:r>
      <w:r w:rsidR="00810D0E" w:rsidRPr="00472492">
        <w:rPr>
          <w:sz w:val="22"/>
          <w:szCs w:val="22"/>
          <w:lang w:val="en-GB"/>
        </w:rPr>
        <w:t>s a group apart from</w:t>
      </w:r>
      <w:r w:rsidR="00BA254A" w:rsidRPr="00472492">
        <w:rPr>
          <w:sz w:val="22"/>
          <w:szCs w:val="22"/>
          <w:lang w:val="en-GB"/>
        </w:rPr>
        <w:t xml:space="preserve"> </w:t>
      </w:r>
      <w:r w:rsidRPr="00472492">
        <w:rPr>
          <w:sz w:val="22"/>
          <w:szCs w:val="22"/>
          <w:lang w:val="en-GB"/>
        </w:rPr>
        <w:t xml:space="preserve">indigenous peoples. </w:t>
      </w:r>
      <w:r w:rsidR="00A63C67" w:rsidRPr="00472492">
        <w:rPr>
          <w:sz w:val="22"/>
          <w:szCs w:val="22"/>
          <w:lang w:val="en-GB"/>
        </w:rPr>
        <w:t>Indigenous peoples’ right to land is largely affirmed in international human rights law; however, peasants’ right to land</w:t>
      </w:r>
      <w:r w:rsidR="00344A4E" w:rsidRPr="00472492">
        <w:rPr>
          <w:sz w:val="22"/>
          <w:szCs w:val="22"/>
          <w:lang w:val="en-GB"/>
        </w:rPr>
        <w:t>, is</w:t>
      </w:r>
      <w:r w:rsidR="00A63C67" w:rsidRPr="00472492">
        <w:rPr>
          <w:sz w:val="22"/>
          <w:szCs w:val="22"/>
          <w:lang w:val="en-GB"/>
        </w:rPr>
        <w:t xml:space="preserve"> only recognised in a non-legally binding Declaration. </w:t>
      </w:r>
      <w:r w:rsidR="00A33157" w:rsidRPr="00472492">
        <w:rPr>
          <w:sz w:val="22"/>
          <w:szCs w:val="22"/>
          <w:lang w:val="en-GB"/>
        </w:rPr>
        <w:t xml:space="preserve">Therefore, for such </w:t>
      </w:r>
      <w:r w:rsidR="00783CB1" w:rsidRPr="00472492">
        <w:rPr>
          <w:sz w:val="22"/>
          <w:szCs w:val="22"/>
          <w:lang w:val="en-GB"/>
        </w:rPr>
        <w:t xml:space="preserve">a </w:t>
      </w:r>
      <w:r w:rsidR="00A33157" w:rsidRPr="00472492">
        <w:rPr>
          <w:sz w:val="22"/>
          <w:szCs w:val="22"/>
          <w:lang w:val="en-GB"/>
        </w:rPr>
        <w:t xml:space="preserve">right to reach a path of mandatory recognition and be binding to States it must be endorsed by human rights treaty bodies, which can legally undertake such a task. </w:t>
      </w:r>
    </w:p>
    <w:p w14:paraId="6E67A4E2" w14:textId="77777777" w:rsidR="00482ABB" w:rsidRPr="00472492" w:rsidRDefault="00482ABB" w:rsidP="00775237">
      <w:pPr>
        <w:jc w:val="both"/>
        <w:rPr>
          <w:sz w:val="22"/>
          <w:szCs w:val="22"/>
          <w:lang w:val="en-GB"/>
        </w:rPr>
      </w:pPr>
    </w:p>
    <w:p w14:paraId="586987B2" w14:textId="1DB4FD5D" w:rsidR="002416B2" w:rsidRPr="00472492" w:rsidRDefault="004A26F3" w:rsidP="006C33A1">
      <w:pPr>
        <w:jc w:val="both"/>
        <w:rPr>
          <w:b/>
          <w:sz w:val="22"/>
          <w:szCs w:val="22"/>
          <w:lang w:val="en-GB"/>
        </w:rPr>
      </w:pPr>
      <w:r w:rsidRPr="00472492">
        <w:rPr>
          <w:sz w:val="22"/>
          <w:szCs w:val="22"/>
          <w:lang w:val="en-GB"/>
        </w:rPr>
        <w:t>Relying on the very work of the Committee, it can be argued that a right to access to land already exists.</w:t>
      </w:r>
      <w:r w:rsidRPr="00472492" w:rsidDel="004A26F3">
        <w:rPr>
          <w:sz w:val="22"/>
          <w:szCs w:val="22"/>
          <w:lang w:val="en-GB"/>
        </w:rPr>
        <w:t xml:space="preserve"> </w:t>
      </w:r>
      <w:r w:rsidRPr="00472492">
        <w:rPr>
          <w:sz w:val="22"/>
          <w:szCs w:val="22"/>
          <w:lang w:val="en-GB"/>
        </w:rPr>
        <w:t xml:space="preserve">Basing its argumentation on </w:t>
      </w:r>
      <w:r w:rsidR="001A7CFA" w:rsidRPr="00472492">
        <w:rPr>
          <w:sz w:val="22"/>
          <w:szCs w:val="22"/>
          <w:lang w:val="en-GB"/>
        </w:rPr>
        <w:t>t</w:t>
      </w:r>
      <w:r w:rsidR="00CC3FBB" w:rsidRPr="00472492">
        <w:rPr>
          <w:sz w:val="22"/>
          <w:szCs w:val="22"/>
          <w:lang w:val="en-GB"/>
        </w:rPr>
        <w:t>he typology of states</w:t>
      </w:r>
      <w:r w:rsidR="00810D0E" w:rsidRPr="00472492">
        <w:rPr>
          <w:sz w:val="22"/>
          <w:szCs w:val="22"/>
          <w:lang w:val="en-GB"/>
        </w:rPr>
        <w:t>’</w:t>
      </w:r>
      <w:r w:rsidR="00CC3FBB" w:rsidRPr="00472492">
        <w:rPr>
          <w:sz w:val="22"/>
          <w:szCs w:val="22"/>
          <w:lang w:val="en-GB"/>
        </w:rPr>
        <w:t xml:space="preserve"> obligations</w:t>
      </w:r>
      <w:r w:rsidR="001A7CFA" w:rsidRPr="00472492">
        <w:rPr>
          <w:sz w:val="22"/>
          <w:szCs w:val="22"/>
          <w:lang w:val="en-GB"/>
        </w:rPr>
        <w:t>,</w:t>
      </w:r>
      <w:r w:rsidR="00072659" w:rsidRPr="00472492">
        <w:rPr>
          <w:rStyle w:val="FootnoteReference"/>
          <w:sz w:val="22"/>
          <w:szCs w:val="22"/>
          <w:lang w:val="en-GB"/>
        </w:rPr>
        <w:footnoteReference w:id="4"/>
      </w:r>
      <w:r w:rsidR="00CC3FBB" w:rsidRPr="00472492">
        <w:rPr>
          <w:sz w:val="22"/>
          <w:szCs w:val="22"/>
          <w:lang w:val="en-GB"/>
        </w:rPr>
        <w:t xml:space="preserve"> the</w:t>
      </w:r>
      <w:r w:rsidR="00B77A72" w:rsidRPr="00472492">
        <w:rPr>
          <w:sz w:val="22"/>
          <w:szCs w:val="22"/>
          <w:lang w:val="en-GB"/>
        </w:rPr>
        <w:t xml:space="preserve"> analytical triple</w:t>
      </w:r>
      <w:r w:rsidR="00CC3FBB" w:rsidRPr="00472492">
        <w:rPr>
          <w:sz w:val="22"/>
          <w:szCs w:val="22"/>
          <w:lang w:val="en-GB"/>
        </w:rPr>
        <w:t xml:space="preserve"> A&amp;Q framework</w:t>
      </w:r>
      <w:r w:rsidR="00E76C43" w:rsidRPr="00472492">
        <w:rPr>
          <w:rStyle w:val="FootnoteReference"/>
          <w:sz w:val="22"/>
          <w:szCs w:val="22"/>
          <w:lang w:val="en-GB"/>
        </w:rPr>
        <w:footnoteReference w:id="5"/>
      </w:r>
      <w:r w:rsidR="00A54CC5" w:rsidRPr="00472492">
        <w:rPr>
          <w:sz w:val="22"/>
          <w:szCs w:val="22"/>
          <w:lang w:val="en-GB"/>
        </w:rPr>
        <w:t>,</w:t>
      </w:r>
      <w:r w:rsidR="001A7CFA" w:rsidRPr="00472492">
        <w:rPr>
          <w:sz w:val="22"/>
          <w:szCs w:val="22"/>
          <w:lang w:val="en-GB"/>
        </w:rPr>
        <w:t xml:space="preserve"> and</w:t>
      </w:r>
      <w:r w:rsidR="003C208B" w:rsidRPr="00472492">
        <w:rPr>
          <w:sz w:val="22"/>
          <w:szCs w:val="22"/>
          <w:lang w:val="en-GB"/>
        </w:rPr>
        <w:t xml:space="preserve"> </w:t>
      </w:r>
      <w:r w:rsidR="00CC3FBB" w:rsidRPr="00472492">
        <w:rPr>
          <w:sz w:val="22"/>
          <w:szCs w:val="22"/>
          <w:lang w:val="en-GB"/>
        </w:rPr>
        <w:t>the core content of the right to foo</w:t>
      </w:r>
      <w:r w:rsidR="003C208B" w:rsidRPr="00472492">
        <w:rPr>
          <w:sz w:val="22"/>
          <w:szCs w:val="22"/>
          <w:lang w:val="en-GB"/>
        </w:rPr>
        <w:t>d, housing and water</w:t>
      </w:r>
      <w:r w:rsidR="003F6CE3" w:rsidRPr="00472492">
        <w:rPr>
          <w:sz w:val="22"/>
          <w:szCs w:val="22"/>
          <w:lang w:val="en-GB"/>
        </w:rPr>
        <w:t>,</w:t>
      </w:r>
      <w:r w:rsidR="003C208B" w:rsidRPr="00472492">
        <w:rPr>
          <w:sz w:val="22"/>
          <w:szCs w:val="22"/>
          <w:lang w:val="en-GB"/>
        </w:rPr>
        <w:t xml:space="preserve"> </w:t>
      </w:r>
      <w:r w:rsidR="001A7CFA" w:rsidRPr="00472492">
        <w:rPr>
          <w:sz w:val="22"/>
          <w:szCs w:val="22"/>
          <w:lang w:val="en-GB"/>
        </w:rPr>
        <w:t xml:space="preserve">the Committee has consistently established such </w:t>
      </w:r>
      <w:r w:rsidR="00A54CC5" w:rsidRPr="00472492">
        <w:rPr>
          <w:sz w:val="22"/>
          <w:szCs w:val="22"/>
          <w:lang w:val="en-GB"/>
        </w:rPr>
        <w:t xml:space="preserve">a </w:t>
      </w:r>
      <w:r w:rsidR="001A7CFA" w:rsidRPr="00472492">
        <w:rPr>
          <w:sz w:val="22"/>
          <w:szCs w:val="22"/>
          <w:lang w:val="en-GB"/>
        </w:rPr>
        <w:t>prerogative</w:t>
      </w:r>
      <w:r w:rsidR="00CC3FBB" w:rsidRPr="00472492">
        <w:rPr>
          <w:sz w:val="22"/>
          <w:szCs w:val="22"/>
          <w:lang w:val="en-GB"/>
        </w:rPr>
        <w:t>.</w:t>
      </w:r>
      <w:r w:rsidR="001A7CFA" w:rsidRPr="00472492">
        <w:rPr>
          <w:sz w:val="22"/>
          <w:szCs w:val="22"/>
          <w:lang w:val="en-GB"/>
        </w:rPr>
        <w:t xml:space="preserve"> </w:t>
      </w:r>
      <w:r w:rsidR="003D72DA" w:rsidRPr="00472492">
        <w:rPr>
          <w:sz w:val="22"/>
          <w:szCs w:val="22"/>
          <w:lang w:val="en-GB"/>
        </w:rPr>
        <w:t>Therefore</w:t>
      </w:r>
      <w:r w:rsidR="00783CB1" w:rsidRPr="00472492">
        <w:rPr>
          <w:sz w:val="22"/>
          <w:szCs w:val="22"/>
          <w:lang w:val="en-GB"/>
        </w:rPr>
        <w:t>,</w:t>
      </w:r>
      <w:r w:rsidR="003D72DA" w:rsidRPr="00472492">
        <w:rPr>
          <w:sz w:val="22"/>
          <w:szCs w:val="22"/>
          <w:lang w:val="en-GB"/>
        </w:rPr>
        <w:t xml:space="preserve"> a State which does not guarantee access to land is in violation of the core content of the rights to food, housing an</w:t>
      </w:r>
      <w:r w:rsidR="00783CB1" w:rsidRPr="00472492">
        <w:rPr>
          <w:sz w:val="22"/>
          <w:szCs w:val="22"/>
          <w:lang w:val="en-GB"/>
        </w:rPr>
        <w:t>d</w:t>
      </w:r>
      <w:r w:rsidR="003D72DA" w:rsidRPr="00472492">
        <w:rPr>
          <w:sz w:val="22"/>
          <w:szCs w:val="22"/>
          <w:lang w:val="en-GB"/>
        </w:rPr>
        <w:t>/or water</w:t>
      </w:r>
      <w:r w:rsidR="006C5749" w:rsidRPr="00472492">
        <w:rPr>
          <w:sz w:val="22"/>
          <w:szCs w:val="22"/>
          <w:lang w:val="en-GB"/>
        </w:rPr>
        <w:t xml:space="preserve"> comprised in Article 11 ICESCR on the right to an adequate standard of living</w:t>
      </w:r>
      <w:r w:rsidR="003D72DA" w:rsidRPr="00472492">
        <w:rPr>
          <w:sz w:val="22"/>
          <w:szCs w:val="22"/>
          <w:lang w:val="en-GB"/>
        </w:rPr>
        <w:t xml:space="preserve">. </w:t>
      </w:r>
      <w:r w:rsidR="0053319C" w:rsidRPr="00472492">
        <w:rPr>
          <w:sz w:val="22"/>
          <w:szCs w:val="22"/>
          <w:lang w:val="en-GB"/>
        </w:rPr>
        <w:t>Th</w:t>
      </w:r>
      <w:r w:rsidR="00C04537" w:rsidRPr="00472492">
        <w:rPr>
          <w:sz w:val="22"/>
          <w:szCs w:val="22"/>
          <w:lang w:val="en-GB"/>
        </w:rPr>
        <w:t xml:space="preserve">e central </w:t>
      </w:r>
      <w:r w:rsidR="006F09D4" w:rsidRPr="00472492">
        <w:rPr>
          <w:sz w:val="22"/>
          <w:szCs w:val="22"/>
          <w:lang w:val="en-GB"/>
        </w:rPr>
        <w:t xml:space="preserve">argument is that </w:t>
      </w:r>
      <w:r w:rsidR="0053319C" w:rsidRPr="00472492">
        <w:rPr>
          <w:sz w:val="22"/>
          <w:szCs w:val="22"/>
          <w:lang w:val="en-GB"/>
        </w:rPr>
        <w:t>access to land</w:t>
      </w:r>
      <w:r w:rsidR="00A54CC5" w:rsidRPr="00472492">
        <w:rPr>
          <w:sz w:val="22"/>
          <w:szCs w:val="22"/>
          <w:lang w:val="en-GB"/>
        </w:rPr>
        <w:t>, as such,</w:t>
      </w:r>
      <w:r w:rsidR="0053319C" w:rsidRPr="00472492">
        <w:rPr>
          <w:sz w:val="22"/>
          <w:szCs w:val="22"/>
          <w:lang w:val="en-GB"/>
        </w:rPr>
        <w:t xml:space="preserve"> is </w:t>
      </w:r>
      <w:r w:rsidR="003D72DA" w:rsidRPr="00472492">
        <w:rPr>
          <w:sz w:val="22"/>
          <w:szCs w:val="22"/>
          <w:lang w:val="en-GB"/>
        </w:rPr>
        <w:t xml:space="preserve">both </w:t>
      </w:r>
      <w:r w:rsidR="0053319C" w:rsidRPr="00472492">
        <w:rPr>
          <w:sz w:val="22"/>
          <w:szCs w:val="22"/>
          <w:lang w:val="en-GB"/>
        </w:rPr>
        <w:t>a prerogative</w:t>
      </w:r>
      <w:r w:rsidR="00457B03" w:rsidRPr="00472492">
        <w:rPr>
          <w:sz w:val="22"/>
          <w:szCs w:val="22"/>
          <w:lang w:val="en-GB"/>
        </w:rPr>
        <w:t xml:space="preserve"> and a component</w:t>
      </w:r>
      <w:r w:rsidR="006F09D4" w:rsidRPr="00472492">
        <w:rPr>
          <w:sz w:val="22"/>
          <w:szCs w:val="22"/>
          <w:lang w:val="en-GB"/>
        </w:rPr>
        <w:t xml:space="preserve"> of these rights, therefore</w:t>
      </w:r>
      <w:r w:rsidR="00ED7A25" w:rsidRPr="00472492">
        <w:rPr>
          <w:sz w:val="22"/>
          <w:szCs w:val="22"/>
          <w:lang w:val="en-GB"/>
        </w:rPr>
        <w:t xml:space="preserve"> </w:t>
      </w:r>
      <w:r w:rsidR="00A54CC5" w:rsidRPr="00472492">
        <w:rPr>
          <w:sz w:val="22"/>
          <w:szCs w:val="22"/>
          <w:lang w:val="en-GB"/>
        </w:rPr>
        <w:t xml:space="preserve">making it </w:t>
      </w:r>
      <w:r w:rsidR="00ED7A25" w:rsidRPr="00472492">
        <w:rPr>
          <w:sz w:val="22"/>
          <w:szCs w:val="22"/>
          <w:lang w:val="en-GB"/>
        </w:rPr>
        <w:t>a right</w:t>
      </w:r>
      <w:r w:rsidR="0053319C" w:rsidRPr="00472492">
        <w:rPr>
          <w:sz w:val="22"/>
          <w:szCs w:val="22"/>
          <w:lang w:val="en-GB"/>
        </w:rPr>
        <w:t xml:space="preserve"> itself.</w:t>
      </w:r>
      <w:r w:rsidR="00391990" w:rsidRPr="00472492">
        <w:rPr>
          <w:sz w:val="22"/>
          <w:szCs w:val="22"/>
          <w:lang w:val="en-GB"/>
        </w:rPr>
        <w:t xml:space="preserve"> </w:t>
      </w:r>
      <w:r w:rsidR="00C04537" w:rsidRPr="00472492">
        <w:rPr>
          <w:sz w:val="22"/>
          <w:szCs w:val="22"/>
          <w:lang w:val="en-GB"/>
        </w:rPr>
        <w:t xml:space="preserve">Based on this </w:t>
      </w:r>
      <w:r w:rsidR="00712674" w:rsidRPr="00472492">
        <w:rPr>
          <w:sz w:val="22"/>
          <w:szCs w:val="22"/>
          <w:lang w:val="en-GB"/>
        </w:rPr>
        <w:t>assumption,</w:t>
      </w:r>
      <w:r w:rsidR="00C04537" w:rsidRPr="00472492">
        <w:rPr>
          <w:sz w:val="22"/>
          <w:szCs w:val="22"/>
          <w:lang w:val="en-GB"/>
        </w:rPr>
        <w:t xml:space="preserve"> th</w:t>
      </w:r>
      <w:r w:rsidR="005A454F" w:rsidRPr="00472492">
        <w:rPr>
          <w:sz w:val="22"/>
          <w:szCs w:val="22"/>
          <w:lang w:val="en-GB"/>
        </w:rPr>
        <w:t>e present</w:t>
      </w:r>
      <w:r w:rsidR="00C04537" w:rsidRPr="00472492">
        <w:rPr>
          <w:sz w:val="22"/>
          <w:szCs w:val="22"/>
          <w:lang w:val="en-GB"/>
        </w:rPr>
        <w:t xml:space="preserve"> contribution </w:t>
      </w:r>
      <w:r w:rsidR="005A454F" w:rsidRPr="00472492">
        <w:rPr>
          <w:sz w:val="22"/>
          <w:szCs w:val="22"/>
          <w:lang w:val="en-GB"/>
        </w:rPr>
        <w:t xml:space="preserve">from the BHRE Research Group </w:t>
      </w:r>
      <w:r w:rsidR="00C04537" w:rsidRPr="00472492">
        <w:rPr>
          <w:sz w:val="22"/>
          <w:szCs w:val="22"/>
          <w:lang w:val="en-GB"/>
        </w:rPr>
        <w:t xml:space="preserve">aims to </w:t>
      </w:r>
      <w:r w:rsidR="001A7CFA" w:rsidRPr="00472492">
        <w:rPr>
          <w:sz w:val="22"/>
          <w:szCs w:val="22"/>
          <w:lang w:val="en-GB"/>
        </w:rPr>
        <w:t xml:space="preserve">provide the </w:t>
      </w:r>
      <w:r w:rsidR="006C5749" w:rsidRPr="00472492">
        <w:rPr>
          <w:sz w:val="22"/>
          <w:szCs w:val="22"/>
          <w:lang w:val="en-GB"/>
        </w:rPr>
        <w:t>foundations</w:t>
      </w:r>
      <w:r w:rsidR="001A7CFA" w:rsidRPr="00472492">
        <w:rPr>
          <w:sz w:val="22"/>
          <w:szCs w:val="22"/>
          <w:lang w:val="en-GB"/>
        </w:rPr>
        <w:t xml:space="preserve"> </w:t>
      </w:r>
      <w:r w:rsidR="00A54CC5" w:rsidRPr="00472492">
        <w:rPr>
          <w:sz w:val="22"/>
          <w:szCs w:val="22"/>
          <w:lang w:val="en-GB"/>
        </w:rPr>
        <w:t>for</w:t>
      </w:r>
      <w:r w:rsidR="001A7CFA" w:rsidRPr="00472492">
        <w:rPr>
          <w:sz w:val="22"/>
          <w:szCs w:val="22"/>
          <w:lang w:val="en-GB"/>
        </w:rPr>
        <w:t xml:space="preserve"> </w:t>
      </w:r>
      <w:r w:rsidR="00C04537" w:rsidRPr="00472492">
        <w:rPr>
          <w:sz w:val="22"/>
          <w:szCs w:val="22"/>
          <w:lang w:val="en-GB"/>
        </w:rPr>
        <w:t>mak</w:t>
      </w:r>
      <w:r w:rsidR="00A54CC5" w:rsidRPr="00472492">
        <w:rPr>
          <w:sz w:val="22"/>
          <w:szCs w:val="22"/>
          <w:lang w:val="en-GB"/>
        </w:rPr>
        <w:t>ing</w:t>
      </w:r>
      <w:r w:rsidR="00C04537" w:rsidRPr="00472492">
        <w:rPr>
          <w:sz w:val="22"/>
          <w:szCs w:val="22"/>
          <w:lang w:val="en-GB"/>
        </w:rPr>
        <w:t xml:space="preserve"> a case for an evolutive interpretation of such a scope of l</w:t>
      </w:r>
      <w:r w:rsidR="00BF136F" w:rsidRPr="00472492">
        <w:rPr>
          <w:sz w:val="22"/>
          <w:szCs w:val="22"/>
          <w:lang w:val="en-GB"/>
        </w:rPr>
        <w:t>and protection within Article 11</w:t>
      </w:r>
      <w:r w:rsidR="006C5749" w:rsidRPr="00472492">
        <w:rPr>
          <w:sz w:val="22"/>
          <w:szCs w:val="22"/>
          <w:lang w:val="en-GB"/>
        </w:rPr>
        <w:t xml:space="preserve"> ICESCR</w:t>
      </w:r>
      <w:r w:rsidR="00BF136F" w:rsidRPr="00472492">
        <w:rPr>
          <w:sz w:val="22"/>
          <w:szCs w:val="22"/>
          <w:lang w:val="en-GB"/>
        </w:rPr>
        <w:t>,</w:t>
      </w:r>
      <w:r w:rsidR="00C04537" w:rsidRPr="00472492">
        <w:rPr>
          <w:sz w:val="22"/>
          <w:szCs w:val="22"/>
          <w:lang w:val="en-GB"/>
        </w:rPr>
        <w:t xml:space="preserve"> into </w:t>
      </w:r>
      <w:r w:rsidR="00210EE3" w:rsidRPr="00472492">
        <w:rPr>
          <w:sz w:val="22"/>
          <w:szCs w:val="22"/>
          <w:lang w:val="en-GB"/>
        </w:rPr>
        <w:t>a self</w:t>
      </w:r>
      <w:r w:rsidR="00136E1E" w:rsidRPr="00472492">
        <w:rPr>
          <w:sz w:val="22"/>
          <w:szCs w:val="22"/>
          <w:lang w:val="en-GB"/>
        </w:rPr>
        <w:t>-</w:t>
      </w:r>
      <w:r w:rsidR="00210EE3" w:rsidRPr="00472492">
        <w:rPr>
          <w:sz w:val="22"/>
          <w:szCs w:val="22"/>
          <w:lang w:val="en-GB"/>
        </w:rPr>
        <w:t xml:space="preserve">standing </w:t>
      </w:r>
      <w:r w:rsidR="00210EE3" w:rsidRPr="00472492">
        <w:rPr>
          <w:b/>
          <w:sz w:val="22"/>
          <w:szCs w:val="22"/>
          <w:lang w:val="en-GB"/>
        </w:rPr>
        <w:t>right to use, access and control land</w:t>
      </w:r>
      <w:r w:rsidR="00E452D4" w:rsidRPr="00472492">
        <w:rPr>
          <w:b/>
          <w:sz w:val="22"/>
          <w:szCs w:val="22"/>
          <w:lang w:val="en-GB"/>
        </w:rPr>
        <w:t xml:space="preserve">. </w:t>
      </w:r>
      <w:r w:rsidR="00E452D4" w:rsidRPr="00472492">
        <w:rPr>
          <w:sz w:val="22"/>
          <w:szCs w:val="22"/>
          <w:lang w:val="en-GB"/>
        </w:rPr>
        <w:t>This contribution is</w:t>
      </w:r>
      <w:r w:rsidR="0060613C" w:rsidRPr="00472492">
        <w:rPr>
          <w:b/>
          <w:sz w:val="22"/>
          <w:szCs w:val="22"/>
          <w:lang w:val="en-GB"/>
        </w:rPr>
        <w:t xml:space="preserve"> </w:t>
      </w:r>
      <w:r w:rsidR="0060613C" w:rsidRPr="00472492">
        <w:rPr>
          <w:sz w:val="22"/>
          <w:szCs w:val="22"/>
          <w:lang w:val="en-GB"/>
        </w:rPr>
        <w:t xml:space="preserve">motivated by the </w:t>
      </w:r>
      <w:r w:rsidR="00E452D4" w:rsidRPr="00472492">
        <w:rPr>
          <w:sz w:val="22"/>
          <w:szCs w:val="22"/>
          <w:lang w:val="en-GB"/>
        </w:rPr>
        <w:t xml:space="preserve">current </w:t>
      </w:r>
      <w:r w:rsidR="0060613C" w:rsidRPr="00472492">
        <w:rPr>
          <w:sz w:val="22"/>
          <w:szCs w:val="22"/>
          <w:lang w:val="en-GB"/>
        </w:rPr>
        <w:t>context of transnational corporations</w:t>
      </w:r>
      <w:r w:rsidR="00A54CC5" w:rsidRPr="00472492">
        <w:rPr>
          <w:sz w:val="22"/>
          <w:szCs w:val="22"/>
          <w:lang w:val="en-GB"/>
        </w:rPr>
        <w:t>’</w:t>
      </w:r>
      <w:r w:rsidR="00B41CAC" w:rsidRPr="00472492">
        <w:rPr>
          <w:sz w:val="22"/>
          <w:szCs w:val="22"/>
          <w:lang w:val="en-GB"/>
        </w:rPr>
        <w:t xml:space="preserve"> (TNCs)</w:t>
      </w:r>
      <w:r w:rsidR="0060613C" w:rsidRPr="00472492">
        <w:rPr>
          <w:sz w:val="22"/>
          <w:szCs w:val="22"/>
          <w:lang w:val="en-GB"/>
        </w:rPr>
        <w:t xml:space="preserve"> control of land</w:t>
      </w:r>
      <w:r w:rsidR="00DE2C54" w:rsidRPr="00472492">
        <w:rPr>
          <w:sz w:val="22"/>
          <w:szCs w:val="22"/>
          <w:lang w:val="en-GB"/>
        </w:rPr>
        <w:t xml:space="preserve"> </w:t>
      </w:r>
      <w:r w:rsidR="00A54CC5" w:rsidRPr="00472492">
        <w:rPr>
          <w:sz w:val="22"/>
          <w:szCs w:val="22"/>
          <w:lang w:val="en-GB"/>
        </w:rPr>
        <w:t>from</w:t>
      </w:r>
      <w:r w:rsidR="00DE2C54" w:rsidRPr="00472492">
        <w:rPr>
          <w:sz w:val="22"/>
          <w:szCs w:val="22"/>
          <w:lang w:val="en-GB"/>
        </w:rPr>
        <w:t xml:space="preserve"> which local communities are left unprotected</w:t>
      </w:r>
      <w:r w:rsidR="00E452D4" w:rsidRPr="00472492">
        <w:rPr>
          <w:sz w:val="22"/>
          <w:szCs w:val="22"/>
          <w:lang w:val="en-GB"/>
        </w:rPr>
        <w:t>, which is fundamentally different to that when the Covenant was negotiated and drafted</w:t>
      </w:r>
      <w:r w:rsidR="00210EE3" w:rsidRPr="00472492">
        <w:rPr>
          <w:b/>
          <w:sz w:val="22"/>
          <w:szCs w:val="22"/>
          <w:lang w:val="en-GB"/>
        </w:rPr>
        <w:t>.</w:t>
      </w:r>
    </w:p>
    <w:p w14:paraId="57A7298E" w14:textId="77777777" w:rsidR="003C66FB" w:rsidRPr="00472492" w:rsidRDefault="003C66FB" w:rsidP="006C33A1">
      <w:pPr>
        <w:jc w:val="both"/>
        <w:rPr>
          <w:b/>
          <w:sz w:val="22"/>
          <w:szCs w:val="22"/>
          <w:lang w:val="en-GB"/>
        </w:rPr>
      </w:pPr>
    </w:p>
    <w:p w14:paraId="26DEE2A7" w14:textId="745AB0B6" w:rsidR="00397B29" w:rsidRPr="00472492" w:rsidRDefault="00C8467A" w:rsidP="00397B29">
      <w:pPr>
        <w:pStyle w:val="ListParagraph"/>
        <w:numPr>
          <w:ilvl w:val="0"/>
          <w:numId w:val="4"/>
        </w:numPr>
        <w:jc w:val="both"/>
        <w:rPr>
          <w:b/>
          <w:sz w:val="22"/>
          <w:szCs w:val="22"/>
          <w:lang w:val="en-GB"/>
        </w:rPr>
      </w:pPr>
      <w:r w:rsidRPr="00472492">
        <w:rPr>
          <w:b/>
          <w:sz w:val="22"/>
          <w:szCs w:val="22"/>
          <w:lang w:val="en-GB"/>
        </w:rPr>
        <w:t>The existence of a right to a</w:t>
      </w:r>
      <w:r w:rsidR="003B21B1" w:rsidRPr="00472492">
        <w:rPr>
          <w:b/>
          <w:sz w:val="22"/>
          <w:szCs w:val="22"/>
          <w:lang w:val="en-GB"/>
        </w:rPr>
        <w:t>ccess to land within Article 11</w:t>
      </w:r>
      <w:r w:rsidR="0077621F">
        <w:rPr>
          <w:b/>
          <w:sz w:val="22"/>
          <w:szCs w:val="22"/>
          <w:lang w:val="en-GB"/>
        </w:rPr>
        <w:t xml:space="preserve"> ICESCR</w:t>
      </w:r>
      <w:r w:rsidR="00F8580C">
        <w:rPr>
          <w:b/>
          <w:sz w:val="22"/>
          <w:szCs w:val="22"/>
          <w:lang w:val="en-GB"/>
        </w:rPr>
        <w:t>.</w:t>
      </w:r>
    </w:p>
    <w:p w14:paraId="50940D94" w14:textId="77777777" w:rsidR="00437162" w:rsidRPr="00472492" w:rsidRDefault="00437162" w:rsidP="00775237">
      <w:pPr>
        <w:jc w:val="both"/>
        <w:rPr>
          <w:sz w:val="22"/>
          <w:szCs w:val="22"/>
          <w:lang w:val="en-GB"/>
        </w:rPr>
      </w:pPr>
    </w:p>
    <w:p w14:paraId="45EFAF65" w14:textId="77777777" w:rsidR="00755FC8" w:rsidRPr="00630EF4" w:rsidRDefault="002D075F" w:rsidP="00775237">
      <w:pPr>
        <w:jc w:val="both"/>
        <w:rPr>
          <w:sz w:val="22"/>
          <w:szCs w:val="22"/>
          <w:lang w:val="en-GB"/>
        </w:rPr>
      </w:pPr>
      <w:r w:rsidRPr="00472492">
        <w:rPr>
          <w:sz w:val="22"/>
          <w:szCs w:val="22"/>
          <w:lang w:val="en-GB"/>
        </w:rPr>
        <w:t xml:space="preserve">The minimum core content of the rights to food, housing and water prescribes access to land as a precondition for their realisation. </w:t>
      </w:r>
      <w:r w:rsidR="00D4072B" w:rsidRPr="00472492">
        <w:rPr>
          <w:sz w:val="22"/>
          <w:szCs w:val="22"/>
          <w:lang w:val="en-GB"/>
        </w:rPr>
        <w:t>As established in their respective general comments, t</w:t>
      </w:r>
      <w:r w:rsidRPr="00472492">
        <w:rPr>
          <w:sz w:val="22"/>
          <w:szCs w:val="22"/>
          <w:lang w:val="en-GB"/>
        </w:rPr>
        <w:t xml:space="preserve">he guarantee of </w:t>
      </w:r>
      <w:r w:rsidR="007A13CB" w:rsidRPr="00472492">
        <w:rPr>
          <w:sz w:val="22"/>
          <w:szCs w:val="22"/>
          <w:lang w:val="en-GB"/>
        </w:rPr>
        <w:t xml:space="preserve">the </w:t>
      </w:r>
      <w:r w:rsidRPr="00472492">
        <w:rPr>
          <w:sz w:val="22"/>
          <w:szCs w:val="22"/>
          <w:lang w:val="en-GB"/>
        </w:rPr>
        <w:t xml:space="preserve">minimum essential level </w:t>
      </w:r>
    </w:p>
    <w:p w14:paraId="69B64E46" w14:textId="77777777" w:rsidR="00755FC8" w:rsidRPr="00630EF4" w:rsidRDefault="00755FC8" w:rsidP="00775237">
      <w:pPr>
        <w:jc w:val="both"/>
        <w:rPr>
          <w:sz w:val="22"/>
          <w:szCs w:val="22"/>
          <w:lang w:val="en-GB"/>
        </w:rPr>
      </w:pPr>
    </w:p>
    <w:p w14:paraId="27059EA8" w14:textId="05AA1716" w:rsidR="00490DD0" w:rsidRPr="00472492" w:rsidRDefault="002D075F" w:rsidP="00775237">
      <w:pPr>
        <w:jc w:val="both"/>
        <w:rPr>
          <w:sz w:val="22"/>
          <w:szCs w:val="22"/>
          <w:lang w:val="en-GB"/>
        </w:rPr>
      </w:pPr>
      <w:r w:rsidRPr="00472492">
        <w:rPr>
          <w:sz w:val="22"/>
          <w:szCs w:val="22"/>
          <w:lang w:val="en-GB"/>
        </w:rPr>
        <w:lastRenderedPageBreak/>
        <w:t>required to be free from hunger;</w:t>
      </w:r>
      <w:r w:rsidR="00E53FB3" w:rsidRPr="00E53FB3">
        <w:rPr>
          <w:rStyle w:val="FootnoteReference"/>
          <w:sz w:val="22"/>
          <w:szCs w:val="22"/>
          <w:lang w:val="en-GB"/>
        </w:rPr>
        <w:t xml:space="preserve"> </w:t>
      </w:r>
      <w:r w:rsidR="00E53FB3" w:rsidRPr="00472492">
        <w:rPr>
          <w:rStyle w:val="FootnoteReference"/>
          <w:sz w:val="22"/>
          <w:szCs w:val="22"/>
          <w:lang w:val="en-GB"/>
        </w:rPr>
        <w:footnoteReference w:id="6"/>
      </w:r>
      <w:r w:rsidRPr="00472492">
        <w:rPr>
          <w:sz w:val="22"/>
          <w:szCs w:val="22"/>
          <w:lang w:val="en-GB"/>
        </w:rPr>
        <w:t xml:space="preserve"> the prohibition of forced evictions</w:t>
      </w:r>
      <w:r w:rsidR="007A13CB" w:rsidRPr="00472492">
        <w:rPr>
          <w:sz w:val="22"/>
          <w:szCs w:val="22"/>
          <w:lang w:val="en-GB"/>
        </w:rPr>
        <w:t>,</w:t>
      </w:r>
      <w:r w:rsidR="00E53FB3" w:rsidRPr="00E53FB3">
        <w:rPr>
          <w:rStyle w:val="FootnoteReference"/>
          <w:sz w:val="22"/>
          <w:szCs w:val="22"/>
          <w:lang w:val="en-GB"/>
        </w:rPr>
        <w:t xml:space="preserve"> </w:t>
      </w:r>
      <w:r w:rsidR="00E53FB3" w:rsidRPr="00472492">
        <w:rPr>
          <w:rStyle w:val="FootnoteReference"/>
          <w:sz w:val="22"/>
          <w:szCs w:val="22"/>
          <w:lang w:val="en-GB"/>
        </w:rPr>
        <w:footnoteReference w:id="7"/>
      </w:r>
      <w:r w:rsidR="00E23A3A" w:rsidRPr="00472492">
        <w:rPr>
          <w:sz w:val="22"/>
          <w:szCs w:val="22"/>
          <w:lang w:val="en-GB"/>
        </w:rPr>
        <w:t xml:space="preserve"> </w:t>
      </w:r>
      <w:r w:rsidRPr="00472492">
        <w:rPr>
          <w:sz w:val="22"/>
          <w:szCs w:val="22"/>
          <w:lang w:val="en-GB"/>
        </w:rPr>
        <w:t>and the minimum essential amount of water for personal and domestic use to prevent disease</w:t>
      </w:r>
      <w:r w:rsidR="00B814E7" w:rsidRPr="00472492">
        <w:rPr>
          <w:sz w:val="22"/>
          <w:szCs w:val="22"/>
          <w:lang w:val="en-GB"/>
        </w:rPr>
        <w:t>,</w:t>
      </w:r>
      <w:r w:rsidRPr="00472492">
        <w:rPr>
          <w:rStyle w:val="FootnoteReference"/>
          <w:sz w:val="22"/>
          <w:szCs w:val="22"/>
          <w:lang w:val="en-GB"/>
        </w:rPr>
        <w:footnoteReference w:id="8"/>
      </w:r>
      <w:r w:rsidR="004E6A2C" w:rsidRPr="00472492">
        <w:rPr>
          <w:sz w:val="22"/>
          <w:szCs w:val="22"/>
          <w:lang w:val="en-GB"/>
        </w:rPr>
        <w:t xml:space="preserve"> presuppose </w:t>
      </w:r>
      <w:r w:rsidR="00DB5DA7" w:rsidRPr="00472492">
        <w:rPr>
          <w:sz w:val="22"/>
          <w:szCs w:val="22"/>
          <w:lang w:val="en-GB"/>
        </w:rPr>
        <w:t>the</w:t>
      </w:r>
      <w:r w:rsidR="004E6A2C" w:rsidRPr="00472492">
        <w:rPr>
          <w:sz w:val="22"/>
          <w:szCs w:val="22"/>
          <w:lang w:val="en-GB"/>
        </w:rPr>
        <w:t xml:space="preserve"> access to land </w:t>
      </w:r>
      <w:r w:rsidR="009B3F56" w:rsidRPr="00472492">
        <w:rPr>
          <w:sz w:val="22"/>
          <w:szCs w:val="22"/>
          <w:lang w:val="en-GB"/>
        </w:rPr>
        <w:t xml:space="preserve">when this is </w:t>
      </w:r>
      <w:r w:rsidR="004E6A2C" w:rsidRPr="00472492">
        <w:rPr>
          <w:sz w:val="22"/>
          <w:szCs w:val="22"/>
          <w:lang w:val="en-GB"/>
        </w:rPr>
        <w:t>necessary to fulfil such core protection.</w:t>
      </w:r>
      <w:r w:rsidR="009443CF" w:rsidRPr="00472492">
        <w:rPr>
          <w:rStyle w:val="FootnoteReference"/>
          <w:sz w:val="22"/>
          <w:szCs w:val="22"/>
          <w:lang w:val="en-GB"/>
        </w:rPr>
        <w:t xml:space="preserve"> </w:t>
      </w:r>
      <w:r w:rsidR="009443CF" w:rsidRPr="00472492">
        <w:rPr>
          <w:rStyle w:val="FootnoteReference"/>
          <w:sz w:val="22"/>
          <w:szCs w:val="22"/>
          <w:lang w:val="en-GB"/>
        </w:rPr>
        <w:footnoteReference w:id="9"/>
      </w:r>
    </w:p>
    <w:p w14:paraId="026EBEED" w14:textId="77777777" w:rsidR="002D075F" w:rsidRPr="00472492" w:rsidRDefault="002D075F" w:rsidP="00775237">
      <w:pPr>
        <w:jc w:val="both"/>
        <w:rPr>
          <w:sz w:val="22"/>
          <w:szCs w:val="22"/>
          <w:lang w:val="en-GB"/>
        </w:rPr>
      </w:pPr>
    </w:p>
    <w:p w14:paraId="40188060" w14:textId="03C2B89B" w:rsidR="003578CD" w:rsidRPr="00472492" w:rsidRDefault="006F4808" w:rsidP="00775237">
      <w:pPr>
        <w:jc w:val="both"/>
        <w:rPr>
          <w:sz w:val="22"/>
          <w:szCs w:val="22"/>
          <w:lang w:val="en-GB"/>
        </w:rPr>
      </w:pPr>
      <w:r w:rsidRPr="00472492">
        <w:rPr>
          <w:sz w:val="22"/>
          <w:szCs w:val="22"/>
          <w:lang w:val="en-GB"/>
        </w:rPr>
        <w:t xml:space="preserve">Therefore, there are grounds to argue the existence of a right to access to land as a means to protecting local communities’ right to food, housing and/or water. This right to access to land </w:t>
      </w:r>
      <w:r w:rsidR="003578CD" w:rsidRPr="00472492">
        <w:rPr>
          <w:sz w:val="22"/>
          <w:szCs w:val="22"/>
          <w:lang w:val="en-GB"/>
        </w:rPr>
        <w:t>falls within the obligations to respect, protect and fulfil</w:t>
      </w:r>
      <w:r w:rsidR="001F2094" w:rsidRPr="00472492">
        <w:rPr>
          <w:sz w:val="22"/>
          <w:szCs w:val="22"/>
          <w:lang w:val="en-GB"/>
        </w:rPr>
        <w:t>,</w:t>
      </w:r>
      <w:r w:rsidR="003F2CEB" w:rsidRPr="00472492">
        <w:rPr>
          <w:sz w:val="22"/>
          <w:szCs w:val="22"/>
          <w:lang w:val="en-GB"/>
        </w:rPr>
        <w:t xml:space="preserve"> and more importantly</w:t>
      </w:r>
      <w:r w:rsidR="001F2094" w:rsidRPr="00472492">
        <w:rPr>
          <w:sz w:val="22"/>
          <w:szCs w:val="22"/>
          <w:lang w:val="en-GB"/>
        </w:rPr>
        <w:t>,</w:t>
      </w:r>
      <w:r w:rsidR="003F2CEB" w:rsidRPr="00472492">
        <w:rPr>
          <w:sz w:val="22"/>
          <w:szCs w:val="22"/>
          <w:lang w:val="en-GB"/>
        </w:rPr>
        <w:t xml:space="preserve"> </w:t>
      </w:r>
      <w:r w:rsidR="003578CD" w:rsidRPr="00472492">
        <w:rPr>
          <w:sz w:val="22"/>
          <w:szCs w:val="22"/>
          <w:lang w:val="en-GB"/>
        </w:rPr>
        <w:t>within the minimum core content obligations</w:t>
      </w:r>
      <w:r w:rsidR="003F2CEB" w:rsidRPr="00472492">
        <w:rPr>
          <w:sz w:val="22"/>
          <w:szCs w:val="22"/>
          <w:lang w:val="en-GB"/>
        </w:rPr>
        <w:t xml:space="preserve"> of States</w:t>
      </w:r>
      <w:r w:rsidR="003578CD" w:rsidRPr="00472492">
        <w:rPr>
          <w:sz w:val="22"/>
          <w:szCs w:val="22"/>
          <w:lang w:val="en-GB"/>
        </w:rPr>
        <w:t xml:space="preserve">. Nonetheless, </w:t>
      </w:r>
      <w:r w:rsidR="003578CD" w:rsidRPr="00472492">
        <w:rPr>
          <w:b/>
          <w:sz w:val="22"/>
          <w:szCs w:val="22"/>
          <w:lang w:val="en-GB"/>
        </w:rPr>
        <w:t>the right to access to land denotes a subordinate character</w:t>
      </w:r>
      <w:r w:rsidR="003578CD" w:rsidRPr="00472492">
        <w:rPr>
          <w:sz w:val="22"/>
          <w:szCs w:val="22"/>
          <w:lang w:val="en-GB"/>
        </w:rPr>
        <w:t xml:space="preserve">, because its main object of protection is the </w:t>
      </w:r>
      <w:r w:rsidRPr="00472492">
        <w:rPr>
          <w:sz w:val="22"/>
          <w:szCs w:val="22"/>
          <w:lang w:val="en-GB"/>
        </w:rPr>
        <w:t xml:space="preserve">specific </w:t>
      </w:r>
      <w:r w:rsidR="003578CD" w:rsidRPr="00472492">
        <w:rPr>
          <w:sz w:val="22"/>
          <w:szCs w:val="22"/>
          <w:lang w:val="en-GB"/>
        </w:rPr>
        <w:t>right i</w:t>
      </w:r>
      <w:r w:rsidR="001F2094" w:rsidRPr="00472492">
        <w:rPr>
          <w:sz w:val="22"/>
          <w:szCs w:val="22"/>
          <w:lang w:val="en-GB"/>
        </w:rPr>
        <w:t>.</w:t>
      </w:r>
      <w:r w:rsidR="003578CD" w:rsidRPr="00472492">
        <w:rPr>
          <w:sz w:val="22"/>
          <w:szCs w:val="22"/>
          <w:lang w:val="en-GB"/>
        </w:rPr>
        <w:t>e</w:t>
      </w:r>
      <w:r w:rsidR="001F2094" w:rsidRPr="00472492">
        <w:rPr>
          <w:sz w:val="22"/>
          <w:szCs w:val="22"/>
          <w:lang w:val="en-GB"/>
        </w:rPr>
        <w:t>.</w:t>
      </w:r>
      <w:r w:rsidR="003578CD" w:rsidRPr="00472492">
        <w:rPr>
          <w:sz w:val="22"/>
          <w:szCs w:val="22"/>
          <w:lang w:val="en-GB"/>
        </w:rPr>
        <w:t xml:space="preserve"> food, water and</w:t>
      </w:r>
      <w:r w:rsidR="001F2094" w:rsidRPr="00472492">
        <w:rPr>
          <w:sz w:val="22"/>
          <w:szCs w:val="22"/>
          <w:lang w:val="en-GB"/>
        </w:rPr>
        <w:t>/or</w:t>
      </w:r>
      <w:r w:rsidR="003578CD" w:rsidRPr="00472492">
        <w:rPr>
          <w:sz w:val="22"/>
          <w:szCs w:val="22"/>
          <w:lang w:val="en-GB"/>
        </w:rPr>
        <w:t xml:space="preserve"> housing. Consequently, if a State   compl</w:t>
      </w:r>
      <w:r w:rsidR="005E573B" w:rsidRPr="00472492">
        <w:rPr>
          <w:sz w:val="22"/>
          <w:szCs w:val="22"/>
          <w:lang w:val="en-GB"/>
        </w:rPr>
        <w:t>ies</w:t>
      </w:r>
      <w:r w:rsidR="003578CD" w:rsidRPr="00472492">
        <w:rPr>
          <w:sz w:val="22"/>
          <w:szCs w:val="22"/>
          <w:lang w:val="en-GB"/>
        </w:rPr>
        <w:t xml:space="preserve"> with that minimum core obligation through other means</w:t>
      </w:r>
      <w:r w:rsidR="00C45CA5" w:rsidRPr="00472492">
        <w:rPr>
          <w:sz w:val="22"/>
          <w:szCs w:val="22"/>
          <w:lang w:val="en-GB"/>
        </w:rPr>
        <w:t>,</w:t>
      </w:r>
      <w:r w:rsidR="003578CD" w:rsidRPr="00472492">
        <w:rPr>
          <w:sz w:val="22"/>
          <w:szCs w:val="22"/>
          <w:lang w:val="en-GB"/>
        </w:rPr>
        <w:t xml:space="preserve"> and a lack of access to land persists, the State is not in violation of Article 11 ICESCR.</w:t>
      </w:r>
    </w:p>
    <w:p w14:paraId="60BC00AA" w14:textId="77777777" w:rsidR="00AF575F" w:rsidRPr="00472492" w:rsidRDefault="00AF575F" w:rsidP="00775237">
      <w:pPr>
        <w:jc w:val="both"/>
        <w:rPr>
          <w:sz w:val="22"/>
          <w:szCs w:val="22"/>
          <w:lang w:val="en-GB"/>
        </w:rPr>
      </w:pPr>
    </w:p>
    <w:p w14:paraId="0E38D593" w14:textId="563A2C5A" w:rsidR="002B0387" w:rsidRPr="00472492" w:rsidRDefault="000D55F8" w:rsidP="00775237">
      <w:pPr>
        <w:pStyle w:val="ListParagraph"/>
        <w:numPr>
          <w:ilvl w:val="0"/>
          <w:numId w:val="4"/>
        </w:numPr>
        <w:jc w:val="both"/>
        <w:rPr>
          <w:b/>
          <w:sz w:val="22"/>
          <w:szCs w:val="22"/>
          <w:lang w:val="en-GB"/>
        </w:rPr>
      </w:pPr>
      <w:r w:rsidRPr="00472492">
        <w:rPr>
          <w:b/>
          <w:sz w:val="22"/>
          <w:szCs w:val="22"/>
          <w:lang w:val="en-GB"/>
        </w:rPr>
        <w:t>The State has lost</w:t>
      </w:r>
      <w:r w:rsidR="002B0387" w:rsidRPr="00472492">
        <w:rPr>
          <w:b/>
          <w:sz w:val="22"/>
          <w:szCs w:val="22"/>
          <w:lang w:val="en-GB"/>
        </w:rPr>
        <w:t xml:space="preserve"> </w:t>
      </w:r>
      <w:r w:rsidRPr="00472492">
        <w:rPr>
          <w:b/>
          <w:sz w:val="22"/>
          <w:szCs w:val="22"/>
          <w:lang w:val="en-GB"/>
        </w:rPr>
        <w:t xml:space="preserve">the </w:t>
      </w:r>
      <w:r w:rsidR="00F8580C">
        <w:rPr>
          <w:b/>
          <w:sz w:val="22"/>
          <w:szCs w:val="22"/>
          <w:lang w:val="en-GB"/>
        </w:rPr>
        <w:t>control of land.</w:t>
      </w:r>
      <w:r w:rsidR="002B0387" w:rsidRPr="00472492">
        <w:rPr>
          <w:b/>
          <w:sz w:val="22"/>
          <w:szCs w:val="22"/>
          <w:lang w:val="en-GB"/>
        </w:rPr>
        <w:t xml:space="preserve"> </w:t>
      </w:r>
    </w:p>
    <w:p w14:paraId="2C226B5A" w14:textId="77777777" w:rsidR="00D83AD1" w:rsidRPr="00472492" w:rsidRDefault="00D83AD1" w:rsidP="00775237">
      <w:pPr>
        <w:jc w:val="both"/>
        <w:rPr>
          <w:b/>
          <w:sz w:val="22"/>
          <w:szCs w:val="22"/>
          <w:lang w:val="en-GB"/>
        </w:rPr>
      </w:pPr>
    </w:p>
    <w:p w14:paraId="47DB4D7C" w14:textId="06EAB156" w:rsidR="00D3460C" w:rsidRPr="00472492" w:rsidRDefault="00F662DF" w:rsidP="00775237">
      <w:pPr>
        <w:jc w:val="both"/>
        <w:rPr>
          <w:sz w:val="22"/>
          <w:szCs w:val="22"/>
          <w:lang w:val="en-GB"/>
        </w:rPr>
      </w:pPr>
      <w:r w:rsidRPr="00472492">
        <w:rPr>
          <w:sz w:val="22"/>
          <w:szCs w:val="22"/>
          <w:lang w:val="en-GB"/>
        </w:rPr>
        <w:t>C</w:t>
      </w:r>
      <w:r w:rsidR="00D3460C" w:rsidRPr="00472492">
        <w:rPr>
          <w:sz w:val="22"/>
          <w:szCs w:val="22"/>
          <w:lang w:val="en-GB"/>
        </w:rPr>
        <w:t>urrent land investment trends adversely impact local communities’ relationship with land</w:t>
      </w:r>
      <w:r w:rsidR="00C45CA5" w:rsidRPr="00472492">
        <w:rPr>
          <w:sz w:val="22"/>
          <w:szCs w:val="22"/>
          <w:lang w:val="en-GB"/>
        </w:rPr>
        <w:t>.</w:t>
      </w:r>
      <w:r w:rsidR="00D3460C" w:rsidRPr="00472492">
        <w:rPr>
          <w:sz w:val="22"/>
          <w:szCs w:val="22"/>
          <w:lang w:val="en-GB"/>
        </w:rPr>
        <w:t xml:space="preserve"> TNCs</w:t>
      </w:r>
      <w:r w:rsidRPr="00472492">
        <w:rPr>
          <w:sz w:val="22"/>
          <w:szCs w:val="22"/>
          <w:lang w:val="en-GB"/>
        </w:rPr>
        <w:t xml:space="preserve"> participate</w:t>
      </w:r>
      <w:r w:rsidR="00D3460C" w:rsidRPr="00472492">
        <w:rPr>
          <w:sz w:val="22"/>
          <w:szCs w:val="22"/>
          <w:lang w:val="en-GB"/>
        </w:rPr>
        <w:t xml:space="preserve"> in the use of land through </w:t>
      </w:r>
      <w:r w:rsidRPr="00472492">
        <w:rPr>
          <w:sz w:val="22"/>
          <w:szCs w:val="22"/>
          <w:lang w:val="en-GB"/>
        </w:rPr>
        <w:t xml:space="preserve">global </w:t>
      </w:r>
      <w:r w:rsidR="00D3460C" w:rsidRPr="00472492">
        <w:rPr>
          <w:sz w:val="22"/>
          <w:szCs w:val="22"/>
          <w:lang w:val="en-GB"/>
        </w:rPr>
        <w:t>value chain</w:t>
      </w:r>
      <w:r w:rsidRPr="00472492">
        <w:rPr>
          <w:sz w:val="22"/>
          <w:szCs w:val="22"/>
          <w:lang w:val="en-GB"/>
        </w:rPr>
        <w:t>s</w:t>
      </w:r>
      <w:r w:rsidR="00D3460C" w:rsidRPr="00472492">
        <w:rPr>
          <w:sz w:val="22"/>
          <w:szCs w:val="22"/>
          <w:lang w:val="en-GB"/>
        </w:rPr>
        <w:t xml:space="preserve"> as they lead international trade. The </w:t>
      </w:r>
      <w:r w:rsidRPr="00472492">
        <w:rPr>
          <w:sz w:val="22"/>
          <w:szCs w:val="22"/>
          <w:lang w:val="en-GB"/>
        </w:rPr>
        <w:t>participation of TNCs</w:t>
      </w:r>
      <w:r w:rsidR="00D3460C" w:rsidRPr="00472492">
        <w:rPr>
          <w:sz w:val="22"/>
          <w:szCs w:val="22"/>
          <w:lang w:val="en-GB"/>
        </w:rPr>
        <w:t xml:space="preserve"> in the value chain of businesses</w:t>
      </w:r>
      <w:r w:rsidRPr="00472492">
        <w:rPr>
          <w:sz w:val="22"/>
          <w:szCs w:val="22"/>
          <w:lang w:val="en-GB"/>
        </w:rPr>
        <w:t xml:space="preserve"> such as</w:t>
      </w:r>
      <w:r w:rsidR="00D3460C" w:rsidRPr="00472492">
        <w:rPr>
          <w:sz w:val="22"/>
          <w:szCs w:val="22"/>
          <w:lang w:val="en-GB"/>
        </w:rPr>
        <w:t xml:space="preserve"> food crops, biofuels, timber and the extractive industr</w:t>
      </w:r>
      <w:r w:rsidR="00906FB1" w:rsidRPr="00472492">
        <w:rPr>
          <w:sz w:val="22"/>
          <w:szCs w:val="22"/>
          <w:lang w:val="en-GB"/>
        </w:rPr>
        <w:t>ies</w:t>
      </w:r>
      <w:r w:rsidR="00D3460C" w:rsidRPr="00472492">
        <w:rPr>
          <w:sz w:val="22"/>
          <w:szCs w:val="22"/>
          <w:lang w:val="en-GB"/>
        </w:rPr>
        <w:t xml:space="preserve"> </w:t>
      </w:r>
      <w:r w:rsidR="00E46B0B" w:rsidRPr="00472492">
        <w:rPr>
          <w:sz w:val="22"/>
          <w:szCs w:val="22"/>
          <w:lang w:val="en-GB"/>
        </w:rPr>
        <w:t>demonstrates a</w:t>
      </w:r>
      <w:r w:rsidR="00D3460C" w:rsidRPr="00472492">
        <w:rPr>
          <w:sz w:val="22"/>
          <w:szCs w:val="22"/>
          <w:lang w:val="en-GB"/>
        </w:rPr>
        <w:t xml:space="preserve"> more prominent form of participation in the use of land</w:t>
      </w:r>
      <w:r w:rsidR="00F26995" w:rsidRPr="00472492">
        <w:rPr>
          <w:sz w:val="22"/>
          <w:szCs w:val="22"/>
          <w:lang w:val="en-GB"/>
        </w:rPr>
        <w:t>.</w:t>
      </w:r>
      <w:r w:rsidR="00D3460C" w:rsidRPr="00472492">
        <w:rPr>
          <w:sz w:val="22"/>
          <w:szCs w:val="22"/>
          <w:lang w:val="en-GB"/>
        </w:rPr>
        <w:t xml:space="preserve"> </w:t>
      </w:r>
      <w:r w:rsidR="00F26995" w:rsidRPr="00472492">
        <w:rPr>
          <w:sz w:val="22"/>
          <w:szCs w:val="22"/>
          <w:lang w:val="en-GB"/>
        </w:rPr>
        <w:t xml:space="preserve">This </w:t>
      </w:r>
      <w:r w:rsidR="0072007F" w:rsidRPr="00472492">
        <w:rPr>
          <w:sz w:val="22"/>
          <w:szCs w:val="22"/>
          <w:lang w:val="en-GB"/>
        </w:rPr>
        <w:t xml:space="preserve">is </w:t>
      </w:r>
      <w:r w:rsidR="00D3460C" w:rsidRPr="00472492">
        <w:rPr>
          <w:sz w:val="22"/>
          <w:szCs w:val="22"/>
          <w:lang w:val="en-GB"/>
        </w:rPr>
        <w:t>the ability to control land</w:t>
      </w:r>
      <w:r w:rsidR="00F26995" w:rsidRPr="00472492">
        <w:rPr>
          <w:sz w:val="22"/>
          <w:szCs w:val="22"/>
          <w:lang w:val="en-GB"/>
        </w:rPr>
        <w:t xml:space="preserve"> </w:t>
      </w:r>
      <w:r w:rsidR="0072007F" w:rsidRPr="00472492">
        <w:rPr>
          <w:sz w:val="22"/>
          <w:szCs w:val="22"/>
          <w:lang w:val="en-GB"/>
        </w:rPr>
        <w:t xml:space="preserve">through </w:t>
      </w:r>
      <w:r w:rsidR="00D3460C" w:rsidRPr="00472492">
        <w:rPr>
          <w:sz w:val="22"/>
          <w:szCs w:val="22"/>
          <w:lang w:val="en-GB"/>
        </w:rPr>
        <w:t>the</w:t>
      </w:r>
      <w:r w:rsidRPr="00472492">
        <w:rPr>
          <w:sz w:val="22"/>
          <w:szCs w:val="22"/>
          <w:lang w:val="en-GB"/>
        </w:rPr>
        <w:t>ir</w:t>
      </w:r>
      <w:r w:rsidR="00D3460C" w:rsidRPr="00472492">
        <w:rPr>
          <w:sz w:val="22"/>
          <w:szCs w:val="22"/>
          <w:lang w:val="en-GB"/>
        </w:rPr>
        <w:t xml:space="preserve"> power over key technologies and/or the market in the value chain.</w:t>
      </w:r>
      <w:r w:rsidR="00C01465" w:rsidRPr="00472492">
        <w:rPr>
          <w:sz w:val="22"/>
          <w:szCs w:val="22"/>
          <w:lang w:val="en-GB"/>
        </w:rPr>
        <w:t xml:space="preserve"> </w:t>
      </w:r>
      <w:r w:rsidR="00D3460C" w:rsidRPr="00472492">
        <w:rPr>
          <w:sz w:val="22"/>
          <w:szCs w:val="22"/>
          <w:lang w:val="en-GB"/>
        </w:rPr>
        <w:t xml:space="preserve">In light of this, it is important to note that TNCs in control of land are not necessarily </w:t>
      </w:r>
      <w:r w:rsidR="00F823AF" w:rsidRPr="00472492">
        <w:rPr>
          <w:sz w:val="22"/>
          <w:szCs w:val="22"/>
          <w:lang w:val="en-GB"/>
        </w:rPr>
        <w:t>located</w:t>
      </w:r>
      <w:r w:rsidR="00D3460C" w:rsidRPr="00472492">
        <w:rPr>
          <w:sz w:val="22"/>
          <w:szCs w:val="22"/>
          <w:lang w:val="en-GB"/>
        </w:rPr>
        <w:t xml:space="preserve"> </w:t>
      </w:r>
      <w:r w:rsidR="008F07BE" w:rsidRPr="00472492">
        <w:rPr>
          <w:sz w:val="22"/>
          <w:szCs w:val="22"/>
          <w:lang w:val="en-GB"/>
        </w:rPr>
        <w:t>in</w:t>
      </w:r>
      <w:r w:rsidR="00D3460C" w:rsidRPr="00472492">
        <w:rPr>
          <w:sz w:val="22"/>
          <w:szCs w:val="22"/>
          <w:lang w:val="en-GB"/>
        </w:rPr>
        <w:t xml:space="preserve"> the host</w:t>
      </w:r>
      <w:r w:rsidR="008F07BE" w:rsidRPr="00472492">
        <w:rPr>
          <w:sz w:val="22"/>
          <w:szCs w:val="22"/>
          <w:lang w:val="en-GB"/>
        </w:rPr>
        <w:t xml:space="preserve"> State as they are </w:t>
      </w:r>
      <w:r w:rsidR="00783CB1" w:rsidRPr="00472492">
        <w:rPr>
          <w:sz w:val="22"/>
          <w:szCs w:val="22"/>
          <w:lang w:val="en-GB"/>
        </w:rPr>
        <w:t xml:space="preserve">present </w:t>
      </w:r>
      <w:r w:rsidR="008F07BE" w:rsidRPr="00472492">
        <w:rPr>
          <w:sz w:val="22"/>
          <w:szCs w:val="22"/>
          <w:lang w:val="en-GB"/>
        </w:rPr>
        <w:t>through direct foreign investment.</w:t>
      </w:r>
      <w:r w:rsidR="008F07BE" w:rsidRPr="00472492" w:rsidDel="00B41CAC">
        <w:rPr>
          <w:sz w:val="22"/>
          <w:szCs w:val="22"/>
          <w:lang w:val="en-GB"/>
        </w:rPr>
        <w:t xml:space="preserve"> </w:t>
      </w:r>
      <w:r w:rsidR="008F07BE" w:rsidRPr="00472492">
        <w:rPr>
          <w:sz w:val="22"/>
          <w:szCs w:val="22"/>
          <w:lang w:val="en-GB"/>
        </w:rPr>
        <w:t xml:space="preserve">Consequently, they </w:t>
      </w:r>
      <w:r w:rsidR="00D3460C" w:rsidRPr="00472492">
        <w:rPr>
          <w:sz w:val="22"/>
          <w:szCs w:val="22"/>
          <w:lang w:val="en-GB"/>
        </w:rPr>
        <w:t>escape host State jurisdiction.</w:t>
      </w:r>
      <w:r w:rsidR="007B74CB" w:rsidRPr="00472492">
        <w:rPr>
          <w:rStyle w:val="FootnoteReference"/>
          <w:sz w:val="22"/>
          <w:szCs w:val="22"/>
          <w:lang w:val="en-GB"/>
        </w:rPr>
        <w:footnoteReference w:id="10"/>
      </w:r>
      <w:r w:rsidR="001B4BA1" w:rsidRPr="00472492">
        <w:rPr>
          <w:sz w:val="22"/>
          <w:szCs w:val="22"/>
          <w:lang w:val="en-GB"/>
        </w:rPr>
        <w:t xml:space="preserve"> </w:t>
      </w:r>
      <w:r w:rsidR="003F5803" w:rsidRPr="00472492">
        <w:rPr>
          <w:sz w:val="22"/>
          <w:szCs w:val="22"/>
          <w:lang w:val="en-GB"/>
        </w:rPr>
        <w:t>S</w:t>
      </w:r>
      <w:r w:rsidR="005E7863" w:rsidRPr="00472492">
        <w:rPr>
          <w:sz w:val="22"/>
          <w:szCs w:val="22"/>
          <w:lang w:val="en-GB"/>
        </w:rPr>
        <w:t xml:space="preserve">uch a dynamic </w:t>
      </w:r>
      <w:r w:rsidR="001B4BA1" w:rsidRPr="00472492">
        <w:rPr>
          <w:sz w:val="22"/>
          <w:szCs w:val="22"/>
          <w:lang w:val="en-GB"/>
        </w:rPr>
        <w:t xml:space="preserve">is especially </w:t>
      </w:r>
      <w:r w:rsidR="00F823AF" w:rsidRPr="00472492">
        <w:rPr>
          <w:sz w:val="22"/>
          <w:szCs w:val="22"/>
          <w:lang w:val="en-GB"/>
        </w:rPr>
        <w:t>evident</w:t>
      </w:r>
      <w:r w:rsidR="001B4BA1" w:rsidRPr="00472492">
        <w:rPr>
          <w:sz w:val="22"/>
          <w:szCs w:val="22"/>
          <w:lang w:val="en-GB"/>
        </w:rPr>
        <w:t xml:space="preserve"> in the Global South, however is </w:t>
      </w:r>
      <w:r w:rsidR="0079588C" w:rsidRPr="00472492">
        <w:rPr>
          <w:sz w:val="22"/>
          <w:szCs w:val="22"/>
          <w:lang w:val="en-GB"/>
        </w:rPr>
        <w:t>spreading</w:t>
      </w:r>
      <w:r w:rsidR="00B97D25" w:rsidRPr="00472492">
        <w:rPr>
          <w:sz w:val="22"/>
          <w:szCs w:val="22"/>
          <w:lang w:val="en-GB"/>
        </w:rPr>
        <w:t xml:space="preserve"> all over the world.</w:t>
      </w:r>
    </w:p>
    <w:p w14:paraId="672F930A" w14:textId="77777777" w:rsidR="00D3460C" w:rsidRPr="00472492" w:rsidRDefault="00D3460C" w:rsidP="00775237">
      <w:pPr>
        <w:jc w:val="both"/>
        <w:rPr>
          <w:sz w:val="22"/>
          <w:szCs w:val="22"/>
          <w:lang w:val="en-GB"/>
        </w:rPr>
      </w:pPr>
    </w:p>
    <w:p w14:paraId="3D483557" w14:textId="1D7EBDE9" w:rsidR="00D3460C" w:rsidRPr="00472492" w:rsidRDefault="006066EE" w:rsidP="00775237">
      <w:pPr>
        <w:jc w:val="both"/>
        <w:rPr>
          <w:sz w:val="22"/>
          <w:szCs w:val="22"/>
          <w:lang w:val="en-GB"/>
        </w:rPr>
      </w:pPr>
      <w:r w:rsidRPr="00472492">
        <w:rPr>
          <w:sz w:val="22"/>
          <w:szCs w:val="22"/>
          <w:lang w:val="en-GB"/>
        </w:rPr>
        <w:t xml:space="preserve">This trend </w:t>
      </w:r>
      <w:r w:rsidR="000E2ED7" w:rsidRPr="00472492">
        <w:rPr>
          <w:sz w:val="22"/>
          <w:szCs w:val="22"/>
          <w:lang w:val="en-GB"/>
        </w:rPr>
        <w:t>takes place</w:t>
      </w:r>
      <w:r w:rsidRPr="00472492">
        <w:rPr>
          <w:sz w:val="22"/>
          <w:szCs w:val="22"/>
          <w:lang w:val="en-GB"/>
        </w:rPr>
        <w:t xml:space="preserve"> i</w:t>
      </w:r>
      <w:r w:rsidR="00D3460C" w:rsidRPr="00472492">
        <w:rPr>
          <w:sz w:val="22"/>
          <w:szCs w:val="22"/>
          <w:lang w:val="en-GB"/>
        </w:rPr>
        <w:t>n a context of</w:t>
      </w:r>
      <w:r w:rsidRPr="00472492">
        <w:rPr>
          <w:sz w:val="22"/>
          <w:szCs w:val="22"/>
          <w:lang w:val="en-GB"/>
        </w:rPr>
        <w:t xml:space="preserve"> policies </w:t>
      </w:r>
      <w:r w:rsidR="006F3B0D" w:rsidRPr="00472492">
        <w:rPr>
          <w:sz w:val="22"/>
          <w:szCs w:val="22"/>
          <w:lang w:val="en-GB"/>
        </w:rPr>
        <w:t xml:space="preserve">which </w:t>
      </w:r>
      <w:r w:rsidR="00D3460C" w:rsidRPr="00472492">
        <w:rPr>
          <w:sz w:val="22"/>
          <w:szCs w:val="22"/>
          <w:lang w:val="en-GB"/>
        </w:rPr>
        <w:t>prioritis</w:t>
      </w:r>
      <w:r w:rsidR="006F3B0D" w:rsidRPr="00472492">
        <w:rPr>
          <w:sz w:val="22"/>
          <w:szCs w:val="22"/>
          <w:lang w:val="en-GB"/>
        </w:rPr>
        <w:t xml:space="preserve">e </w:t>
      </w:r>
      <w:r w:rsidR="00D3460C" w:rsidRPr="00472492">
        <w:rPr>
          <w:sz w:val="22"/>
          <w:szCs w:val="22"/>
          <w:lang w:val="en-GB"/>
        </w:rPr>
        <w:t>agribusiness and the timber industry</w:t>
      </w:r>
      <w:r w:rsidR="00D020A8" w:rsidRPr="00472492">
        <w:rPr>
          <w:sz w:val="22"/>
          <w:szCs w:val="22"/>
          <w:lang w:val="en-GB"/>
        </w:rPr>
        <w:t xml:space="preserve"> </w:t>
      </w:r>
      <w:r w:rsidR="00DB2516" w:rsidRPr="00472492">
        <w:rPr>
          <w:sz w:val="22"/>
          <w:szCs w:val="22"/>
          <w:lang w:val="en-GB"/>
        </w:rPr>
        <w:t>by</w:t>
      </w:r>
      <w:r w:rsidR="0058494B" w:rsidRPr="00472492">
        <w:rPr>
          <w:sz w:val="22"/>
          <w:szCs w:val="22"/>
          <w:lang w:val="en-GB"/>
        </w:rPr>
        <w:t xml:space="preserve"> </w:t>
      </w:r>
      <w:r w:rsidR="00D3460C" w:rsidRPr="00472492">
        <w:rPr>
          <w:sz w:val="22"/>
          <w:szCs w:val="22"/>
          <w:lang w:val="en-GB"/>
        </w:rPr>
        <w:t xml:space="preserve">favouring the importation of food crops, </w:t>
      </w:r>
      <w:r w:rsidR="0058494B" w:rsidRPr="00472492">
        <w:rPr>
          <w:sz w:val="22"/>
          <w:szCs w:val="22"/>
          <w:lang w:val="en-GB"/>
        </w:rPr>
        <w:t xml:space="preserve">whilst promoting </w:t>
      </w:r>
      <w:r w:rsidR="00D3460C" w:rsidRPr="00472492">
        <w:rPr>
          <w:sz w:val="22"/>
          <w:szCs w:val="22"/>
          <w:lang w:val="en-GB"/>
        </w:rPr>
        <w:t>the substantial reduction in states’ support of rural agriculture</w:t>
      </w:r>
      <w:r w:rsidR="006F3B0D" w:rsidRPr="00472492">
        <w:rPr>
          <w:sz w:val="22"/>
          <w:szCs w:val="22"/>
          <w:lang w:val="en-GB"/>
        </w:rPr>
        <w:t>,</w:t>
      </w:r>
      <w:r w:rsidR="00D3460C" w:rsidRPr="00472492">
        <w:rPr>
          <w:sz w:val="22"/>
          <w:szCs w:val="22"/>
          <w:lang w:val="en-GB"/>
        </w:rPr>
        <w:t xml:space="preserve"> and the</w:t>
      </w:r>
      <w:r w:rsidR="00ED087C" w:rsidRPr="00472492">
        <w:rPr>
          <w:sz w:val="22"/>
          <w:szCs w:val="22"/>
          <w:lang w:val="en-GB"/>
        </w:rPr>
        <w:t>ir</w:t>
      </w:r>
      <w:r w:rsidR="00D3460C" w:rsidRPr="00472492">
        <w:rPr>
          <w:sz w:val="22"/>
          <w:szCs w:val="22"/>
          <w:lang w:val="en-GB"/>
        </w:rPr>
        <w:t xml:space="preserve"> contribution</w:t>
      </w:r>
      <w:r w:rsidR="00F40AFF" w:rsidRPr="00472492">
        <w:rPr>
          <w:sz w:val="22"/>
          <w:szCs w:val="22"/>
          <w:lang w:val="en-GB"/>
        </w:rPr>
        <w:t xml:space="preserve"> to</w:t>
      </w:r>
      <w:r w:rsidR="00D3460C" w:rsidRPr="00472492">
        <w:rPr>
          <w:sz w:val="22"/>
          <w:szCs w:val="22"/>
          <w:lang w:val="en-GB"/>
        </w:rPr>
        <w:t xml:space="preserve"> land concentration</w:t>
      </w:r>
      <w:r w:rsidRPr="00472492">
        <w:rPr>
          <w:sz w:val="22"/>
          <w:szCs w:val="22"/>
          <w:lang w:val="en-GB"/>
        </w:rPr>
        <w:t xml:space="preserve">. The combination of these policies and </w:t>
      </w:r>
      <w:r w:rsidR="00D3460C" w:rsidRPr="00472492">
        <w:rPr>
          <w:sz w:val="22"/>
          <w:szCs w:val="22"/>
          <w:lang w:val="en-GB"/>
        </w:rPr>
        <w:t>the control of land by TNCs negatively impacts local communities.</w:t>
      </w:r>
      <w:r w:rsidR="00FC07C8" w:rsidRPr="00472492">
        <w:rPr>
          <w:sz w:val="22"/>
          <w:szCs w:val="22"/>
          <w:lang w:val="en-GB"/>
        </w:rPr>
        <w:t xml:space="preserve"> </w:t>
      </w:r>
      <w:r w:rsidR="00EA135F" w:rsidRPr="00472492">
        <w:rPr>
          <w:sz w:val="22"/>
          <w:szCs w:val="22"/>
          <w:lang w:val="en-GB"/>
        </w:rPr>
        <w:t>Such an</w:t>
      </w:r>
      <w:r w:rsidR="00D3460C" w:rsidRPr="00472492">
        <w:rPr>
          <w:sz w:val="22"/>
          <w:szCs w:val="22"/>
          <w:lang w:val="en-GB"/>
        </w:rPr>
        <w:t xml:space="preserve"> impact is generally directly undertaken by other </w:t>
      </w:r>
      <w:r w:rsidR="0058494B" w:rsidRPr="00472492">
        <w:rPr>
          <w:sz w:val="22"/>
          <w:szCs w:val="22"/>
          <w:lang w:val="en-GB"/>
        </w:rPr>
        <w:t xml:space="preserve">foreign </w:t>
      </w:r>
      <w:r w:rsidR="00D3460C" w:rsidRPr="00472492">
        <w:rPr>
          <w:sz w:val="22"/>
          <w:szCs w:val="22"/>
          <w:lang w:val="en-GB"/>
        </w:rPr>
        <w:t>or domestic companies present in the host State as producers, and therefore</w:t>
      </w:r>
      <w:r w:rsidR="0079588C" w:rsidRPr="00472492">
        <w:rPr>
          <w:sz w:val="22"/>
          <w:szCs w:val="22"/>
          <w:lang w:val="en-GB"/>
        </w:rPr>
        <w:t xml:space="preserve"> </w:t>
      </w:r>
      <w:r w:rsidR="00D3460C" w:rsidRPr="00472492">
        <w:rPr>
          <w:sz w:val="22"/>
          <w:szCs w:val="22"/>
          <w:lang w:val="en-GB"/>
        </w:rPr>
        <w:t>engaged in land investments controlled</w:t>
      </w:r>
      <w:r w:rsidR="00B814E7" w:rsidRPr="00472492">
        <w:rPr>
          <w:sz w:val="22"/>
          <w:szCs w:val="22"/>
          <w:lang w:val="en-GB"/>
        </w:rPr>
        <w:t xml:space="preserve"> ultimately </w:t>
      </w:r>
      <w:r w:rsidR="00D3460C" w:rsidRPr="00472492">
        <w:rPr>
          <w:sz w:val="22"/>
          <w:szCs w:val="22"/>
          <w:lang w:val="en-GB"/>
        </w:rPr>
        <w:t xml:space="preserve">by the </w:t>
      </w:r>
      <w:r w:rsidR="00B814E7" w:rsidRPr="00472492">
        <w:rPr>
          <w:sz w:val="22"/>
          <w:szCs w:val="22"/>
          <w:lang w:val="en-GB"/>
        </w:rPr>
        <w:t>TNC in control of the value chain.</w:t>
      </w:r>
      <w:r w:rsidR="0058494B" w:rsidRPr="00472492">
        <w:rPr>
          <w:sz w:val="22"/>
          <w:szCs w:val="22"/>
          <w:lang w:val="en-GB"/>
        </w:rPr>
        <w:t xml:space="preserve"> Additionally, the implementation of these policies heightens</w:t>
      </w:r>
      <w:r w:rsidR="0079588C" w:rsidRPr="00472492">
        <w:rPr>
          <w:sz w:val="22"/>
          <w:szCs w:val="22"/>
          <w:lang w:val="en-GB"/>
        </w:rPr>
        <w:t xml:space="preserve"> </w:t>
      </w:r>
      <w:r w:rsidR="00F40AFF" w:rsidRPr="00472492">
        <w:rPr>
          <w:sz w:val="22"/>
          <w:szCs w:val="22"/>
          <w:lang w:val="en-GB"/>
        </w:rPr>
        <w:t>by</w:t>
      </w:r>
      <w:r w:rsidR="0058494B" w:rsidRPr="00472492">
        <w:rPr>
          <w:sz w:val="22"/>
          <w:szCs w:val="22"/>
          <w:lang w:val="en-GB"/>
        </w:rPr>
        <w:t xml:space="preserve"> this negative impact, placing local communities in an extreme power asymmetry in relation to both TNCs and the State.</w:t>
      </w:r>
      <w:r w:rsidR="00D3460C" w:rsidRPr="00472492">
        <w:rPr>
          <w:sz w:val="22"/>
          <w:szCs w:val="22"/>
          <w:lang w:val="en-GB"/>
        </w:rPr>
        <w:t xml:space="preserve"> </w:t>
      </w:r>
      <w:r w:rsidR="00396E4C" w:rsidRPr="00472492">
        <w:rPr>
          <w:sz w:val="22"/>
          <w:szCs w:val="22"/>
          <w:lang w:val="en-GB"/>
        </w:rPr>
        <w:t>As a result of t</w:t>
      </w:r>
      <w:r w:rsidR="00D3460C" w:rsidRPr="00472492">
        <w:rPr>
          <w:sz w:val="22"/>
          <w:szCs w:val="22"/>
          <w:lang w:val="en-GB"/>
        </w:rPr>
        <w:t>hese situations</w:t>
      </w:r>
      <w:r w:rsidR="000E77FC" w:rsidRPr="00472492">
        <w:rPr>
          <w:sz w:val="22"/>
          <w:szCs w:val="22"/>
          <w:lang w:val="en-GB"/>
        </w:rPr>
        <w:t>,</w:t>
      </w:r>
      <w:r w:rsidR="0079588C" w:rsidRPr="00472492">
        <w:rPr>
          <w:sz w:val="22"/>
          <w:szCs w:val="22"/>
          <w:lang w:val="en-GB"/>
        </w:rPr>
        <w:t xml:space="preserve"> </w:t>
      </w:r>
      <w:r w:rsidR="00D3460C" w:rsidRPr="00472492">
        <w:rPr>
          <w:sz w:val="22"/>
          <w:szCs w:val="22"/>
          <w:lang w:val="en-GB"/>
        </w:rPr>
        <w:t xml:space="preserve">local communities </w:t>
      </w:r>
      <w:r w:rsidR="000E77FC" w:rsidRPr="00472492">
        <w:rPr>
          <w:sz w:val="22"/>
          <w:szCs w:val="22"/>
          <w:lang w:val="en-GB"/>
        </w:rPr>
        <w:t>have</w:t>
      </w:r>
      <w:r w:rsidR="00E8566C" w:rsidRPr="00472492">
        <w:rPr>
          <w:sz w:val="22"/>
          <w:szCs w:val="22"/>
          <w:lang w:val="en-GB"/>
        </w:rPr>
        <w:t xml:space="preserve"> </w:t>
      </w:r>
      <w:r w:rsidR="00D3460C" w:rsidRPr="00472492">
        <w:rPr>
          <w:sz w:val="22"/>
          <w:szCs w:val="22"/>
          <w:lang w:val="en-GB"/>
        </w:rPr>
        <w:t xml:space="preserve">faced poverty </w:t>
      </w:r>
      <w:r w:rsidR="000E77FC" w:rsidRPr="00472492">
        <w:rPr>
          <w:sz w:val="22"/>
          <w:szCs w:val="22"/>
          <w:lang w:val="en-GB"/>
        </w:rPr>
        <w:t>due to</w:t>
      </w:r>
      <w:r w:rsidR="00A26098" w:rsidRPr="00472492">
        <w:rPr>
          <w:sz w:val="22"/>
          <w:szCs w:val="22"/>
          <w:lang w:val="en-GB"/>
        </w:rPr>
        <w:t xml:space="preserve"> their lack of capacity to integrate</w:t>
      </w:r>
      <w:r w:rsidR="00D3460C" w:rsidRPr="00472492">
        <w:rPr>
          <w:sz w:val="22"/>
          <w:szCs w:val="22"/>
          <w:lang w:val="en-GB"/>
        </w:rPr>
        <w:t xml:space="preserve"> into the international market due to investment costs; obstacles to cultivate their land; proletarianisation; forced labour; lack of prior consultation or free, prior and informed consent; land dispossession and displacement; loss of access to land; and homicides and forced disappearances, among other</w:t>
      </w:r>
      <w:r w:rsidR="00BA5671" w:rsidRPr="00472492">
        <w:rPr>
          <w:sz w:val="22"/>
          <w:szCs w:val="22"/>
          <w:lang w:val="en-GB"/>
        </w:rPr>
        <w:t xml:space="preserve"> factors</w:t>
      </w:r>
      <w:r w:rsidR="00D3460C" w:rsidRPr="00472492">
        <w:rPr>
          <w:sz w:val="22"/>
          <w:szCs w:val="22"/>
          <w:lang w:val="en-GB"/>
        </w:rPr>
        <w:t>.</w:t>
      </w:r>
      <w:r w:rsidR="009414D1" w:rsidRPr="00472492">
        <w:rPr>
          <w:rStyle w:val="FootnoteReference"/>
          <w:sz w:val="22"/>
          <w:szCs w:val="22"/>
          <w:lang w:val="en-GB"/>
        </w:rPr>
        <w:footnoteReference w:id="11"/>
      </w:r>
      <w:r w:rsidR="00D3460C" w:rsidRPr="00472492">
        <w:rPr>
          <w:sz w:val="22"/>
          <w:szCs w:val="22"/>
          <w:lang w:val="en-GB"/>
        </w:rPr>
        <w:t xml:space="preserve"> </w:t>
      </w:r>
      <w:r w:rsidR="0017149E" w:rsidRPr="00472492">
        <w:rPr>
          <w:sz w:val="22"/>
          <w:szCs w:val="22"/>
          <w:lang w:val="en-GB"/>
        </w:rPr>
        <w:t>T</w:t>
      </w:r>
      <w:r w:rsidR="00D3460C" w:rsidRPr="00472492">
        <w:rPr>
          <w:sz w:val="22"/>
          <w:szCs w:val="22"/>
          <w:lang w:val="en-GB"/>
        </w:rPr>
        <w:t>he circumstances re</w:t>
      </w:r>
      <w:r w:rsidR="00B814E7" w:rsidRPr="00472492">
        <w:rPr>
          <w:sz w:val="22"/>
          <w:szCs w:val="22"/>
          <w:lang w:val="en-GB"/>
        </w:rPr>
        <w:t xml:space="preserve">sulting from local communities’ </w:t>
      </w:r>
      <w:r w:rsidR="00D3460C" w:rsidRPr="00472492">
        <w:rPr>
          <w:sz w:val="22"/>
          <w:szCs w:val="22"/>
          <w:lang w:val="en-GB"/>
        </w:rPr>
        <w:t>vulnerability constitute several human rights violations. Th</w:t>
      </w:r>
      <w:r w:rsidR="00FE7930" w:rsidRPr="00472492">
        <w:rPr>
          <w:sz w:val="22"/>
          <w:szCs w:val="22"/>
          <w:lang w:val="en-GB"/>
        </w:rPr>
        <w:t xml:space="preserve">ese include abuses </w:t>
      </w:r>
      <w:r w:rsidR="00D3460C" w:rsidRPr="00472492">
        <w:rPr>
          <w:sz w:val="22"/>
          <w:szCs w:val="22"/>
          <w:lang w:val="en-GB"/>
        </w:rPr>
        <w:t>regarding environmental contamination and loss of lands, as well as obstacles to access to land which</w:t>
      </w:r>
      <w:r w:rsidR="00FE7930" w:rsidRPr="00472492">
        <w:rPr>
          <w:sz w:val="22"/>
          <w:szCs w:val="22"/>
          <w:lang w:val="en-GB"/>
        </w:rPr>
        <w:t xml:space="preserve"> prevent</w:t>
      </w:r>
      <w:r w:rsidR="00D3460C" w:rsidRPr="00472492">
        <w:rPr>
          <w:sz w:val="22"/>
          <w:szCs w:val="22"/>
          <w:lang w:val="en-GB"/>
        </w:rPr>
        <w:t xml:space="preserve"> them from peacefully and safely enjoying the lands they depend on</w:t>
      </w:r>
      <w:r w:rsidR="00FE7930" w:rsidRPr="00472492">
        <w:rPr>
          <w:sz w:val="22"/>
          <w:szCs w:val="22"/>
          <w:lang w:val="en-GB"/>
        </w:rPr>
        <w:t xml:space="preserve"> and equally</w:t>
      </w:r>
      <w:r w:rsidR="00D3460C" w:rsidRPr="00472492">
        <w:rPr>
          <w:sz w:val="22"/>
          <w:szCs w:val="22"/>
          <w:lang w:val="en-GB"/>
        </w:rPr>
        <w:t>, concern the violation of the right to an adequate standard of living under Article 11 ICESCR, which encompasses the right to food, water and housing</w:t>
      </w:r>
      <w:r w:rsidR="00BA5671" w:rsidRPr="00472492">
        <w:rPr>
          <w:sz w:val="22"/>
          <w:szCs w:val="22"/>
          <w:lang w:val="en-GB"/>
        </w:rPr>
        <w:t>,</w:t>
      </w:r>
      <w:r w:rsidR="00D3460C" w:rsidRPr="00472492">
        <w:rPr>
          <w:sz w:val="22"/>
          <w:szCs w:val="22"/>
          <w:lang w:val="en-GB"/>
        </w:rPr>
        <w:t xml:space="preserve"> and other related rights such as health and culture.</w:t>
      </w:r>
    </w:p>
    <w:p w14:paraId="5F6574F6" w14:textId="77777777" w:rsidR="002416B2" w:rsidRPr="00472492" w:rsidRDefault="002416B2" w:rsidP="00775237">
      <w:pPr>
        <w:jc w:val="both"/>
        <w:rPr>
          <w:sz w:val="22"/>
          <w:szCs w:val="22"/>
          <w:lang w:val="en-GB"/>
        </w:rPr>
      </w:pPr>
    </w:p>
    <w:p w14:paraId="798CDA0F" w14:textId="10C46AD0" w:rsidR="00DC5195" w:rsidRPr="00472492" w:rsidRDefault="00DC5195" w:rsidP="00775237">
      <w:pPr>
        <w:pStyle w:val="ListParagraph"/>
        <w:numPr>
          <w:ilvl w:val="0"/>
          <w:numId w:val="4"/>
        </w:numPr>
        <w:jc w:val="both"/>
        <w:rPr>
          <w:b/>
          <w:sz w:val="22"/>
          <w:szCs w:val="22"/>
          <w:lang w:val="en-GB"/>
        </w:rPr>
      </w:pPr>
      <w:r w:rsidRPr="00472492">
        <w:rPr>
          <w:b/>
          <w:sz w:val="22"/>
          <w:szCs w:val="22"/>
          <w:lang w:val="en-GB"/>
        </w:rPr>
        <w:t>Human rights treaty interpretation rules</w:t>
      </w:r>
      <w:r w:rsidR="00F8580C">
        <w:rPr>
          <w:b/>
          <w:sz w:val="22"/>
          <w:szCs w:val="22"/>
          <w:lang w:val="en-GB"/>
        </w:rPr>
        <w:t>.</w:t>
      </w:r>
    </w:p>
    <w:p w14:paraId="5D6E9FAE" w14:textId="77777777" w:rsidR="00CB5AF5" w:rsidRPr="00472492" w:rsidRDefault="00CB5AF5" w:rsidP="00C12CA6">
      <w:pPr>
        <w:pStyle w:val="ListParagraph"/>
        <w:jc w:val="both"/>
        <w:rPr>
          <w:b/>
          <w:sz w:val="22"/>
          <w:szCs w:val="22"/>
          <w:lang w:val="en-GB"/>
        </w:rPr>
      </w:pPr>
    </w:p>
    <w:p w14:paraId="0DB1ABB2" w14:textId="086F9867" w:rsidR="00C10A4C" w:rsidRPr="00630EF4" w:rsidRDefault="007E6527" w:rsidP="00775237">
      <w:pPr>
        <w:pStyle w:val="Body"/>
        <w:jc w:val="both"/>
        <w:rPr>
          <w:rStyle w:val="PageNumber"/>
          <w:rFonts w:ascii="Times New Roman" w:hAnsi="Times New Roman" w:cs="Times New Roman"/>
          <w:color w:val="auto"/>
          <w:sz w:val="22"/>
          <w:szCs w:val="22"/>
          <w:lang w:val="en-GB"/>
        </w:rPr>
      </w:pPr>
      <w:r w:rsidRPr="00630EF4">
        <w:rPr>
          <w:rStyle w:val="PageNumber"/>
          <w:rFonts w:ascii="Times New Roman" w:hAnsi="Times New Roman" w:cs="Times New Roman"/>
          <w:color w:val="auto"/>
          <w:sz w:val="22"/>
          <w:szCs w:val="22"/>
          <w:lang w:val="en-GB"/>
        </w:rPr>
        <w:t>Human rights treaty interpretation rules follow t</w:t>
      </w:r>
      <w:r w:rsidR="00F74E63" w:rsidRPr="00630EF4">
        <w:rPr>
          <w:rStyle w:val="PageNumber"/>
          <w:rFonts w:ascii="Times New Roman" w:hAnsi="Times New Roman" w:cs="Times New Roman"/>
          <w:color w:val="auto"/>
          <w:sz w:val="22"/>
          <w:szCs w:val="22"/>
          <w:lang w:val="en-GB"/>
        </w:rPr>
        <w:t xml:space="preserve">he teleological approach </w:t>
      </w:r>
      <w:r w:rsidR="00B53321" w:rsidRPr="00630EF4">
        <w:rPr>
          <w:rStyle w:val="PageNumber"/>
          <w:rFonts w:ascii="Times New Roman" w:hAnsi="Times New Roman" w:cs="Times New Roman"/>
          <w:color w:val="auto"/>
          <w:sz w:val="22"/>
          <w:szCs w:val="22"/>
          <w:lang w:val="en-GB"/>
        </w:rPr>
        <w:t>method, which</w:t>
      </w:r>
      <w:r w:rsidRPr="00630EF4">
        <w:rPr>
          <w:rStyle w:val="PageNumber"/>
          <w:rFonts w:ascii="Times New Roman" w:hAnsi="Times New Roman" w:cs="Times New Roman"/>
          <w:color w:val="auto"/>
          <w:sz w:val="22"/>
          <w:szCs w:val="22"/>
          <w:lang w:val="en-GB"/>
        </w:rPr>
        <w:t xml:space="preserve"> </w:t>
      </w:r>
      <w:r w:rsidR="00F74E63" w:rsidRPr="00630EF4">
        <w:rPr>
          <w:rStyle w:val="PageNumber"/>
          <w:rFonts w:ascii="Times New Roman" w:hAnsi="Times New Roman" w:cs="Times New Roman"/>
          <w:color w:val="auto"/>
          <w:sz w:val="22"/>
          <w:szCs w:val="22"/>
          <w:lang w:val="en-GB"/>
        </w:rPr>
        <w:t xml:space="preserve">encompasses the analysis of a number of legal (normative content) and political (object and purpose) aspects of the norm. </w:t>
      </w:r>
      <w:r w:rsidR="00FB4509" w:rsidRPr="00630EF4">
        <w:rPr>
          <w:rStyle w:val="PageNumber"/>
          <w:rFonts w:ascii="Times New Roman" w:hAnsi="Times New Roman" w:cs="Times New Roman"/>
          <w:color w:val="auto"/>
          <w:sz w:val="22"/>
          <w:szCs w:val="22"/>
          <w:lang w:val="en-GB"/>
        </w:rPr>
        <w:t>The interpretation o</w:t>
      </w:r>
      <w:r w:rsidR="00443C14" w:rsidRPr="00630EF4">
        <w:rPr>
          <w:rStyle w:val="PageNumber"/>
          <w:rFonts w:ascii="Times New Roman" w:hAnsi="Times New Roman" w:cs="Times New Roman"/>
          <w:color w:val="auto"/>
          <w:sz w:val="22"/>
          <w:szCs w:val="22"/>
          <w:lang w:val="en-GB"/>
        </w:rPr>
        <w:t xml:space="preserve">f Article 11 </w:t>
      </w:r>
      <w:r w:rsidR="00725EF1" w:rsidRPr="00630EF4">
        <w:rPr>
          <w:rStyle w:val="PageNumber"/>
          <w:rFonts w:ascii="Times New Roman" w:hAnsi="Times New Roman" w:cs="Times New Roman"/>
          <w:color w:val="auto"/>
          <w:sz w:val="22"/>
          <w:szCs w:val="22"/>
          <w:lang w:val="en-GB"/>
        </w:rPr>
        <w:t xml:space="preserve">ICESCR </w:t>
      </w:r>
      <w:r w:rsidR="00882C23" w:rsidRPr="00630EF4">
        <w:rPr>
          <w:rStyle w:val="PageNumber"/>
          <w:rFonts w:ascii="Times New Roman" w:hAnsi="Times New Roman" w:cs="Times New Roman"/>
          <w:color w:val="auto"/>
          <w:sz w:val="22"/>
          <w:szCs w:val="22"/>
          <w:lang w:val="en-GB"/>
        </w:rPr>
        <w:t xml:space="preserve">also </w:t>
      </w:r>
      <w:r w:rsidR="00BD1D5B" w:rsidRPr="00630EF4">
        <w:rPr>
          <w:rStyle w:val="PageNumber"/>
          <w:rFonts w:ascii="Times New Roman" w:hAnsi="Times New Roman" w:cs="Times New Roman"/>
          <w:color w:val="auto"/>
          <w:sz w:val="22"/>
          <w:szCs w:val="22"/>
          <w:lang w:val="en-GB"/>
        </w:rPr>
        <w:t>observes</w:t>
      </w:r>
      <w:r w:rsidR="00443C14" w:rsidRPr="00630EF4">
        <w:rPr>
          <w:rStyle w:val="PageNumber"/>
          <w:rFonts w:ascii="Times New Roman" w:hAnsi="Times New Roman" w:cs="Times New Roman"/>
          <w:color w:val="auto"/>
          <w:sz w:val="22"/>
          <w:szCs w:val="22"/>
          <w:lang w:val="en-GB"/>
        </w:rPr>
        <w:t xml:space="preserve"> the teleological method of interpretation</w:t>
      </w:r>
      <w:r w:rsidR="00BD1D5B" w:rsidRPr="00630EF4">
        <w:rPr>
          <w:rStyle w:val="PageNumber"/>
          <w:rFonts w:ascii="Times New Roman" w:hAnsi="Times New Roman" w:cs="Times New Roman"/>
          <w:color w:val="auto"/>
          <w:sz w:val="22"/>
          <w:szCs w:val="22"/>
          <w:lang w:val="en-GB"/>
        </w:rPr>
        <w:t>,</w:t>
      </w:r>
      <w:r w:rsidR="00443C14" w:rsidRPr="00630EF4">
        <w:rPr>
          <w:rStyle w:val="PageNumber"/>
          <w:rFonts w:ascii="Times New Roman" w:hAnsi="Times New Roman" w:cs="Times New Roman"/>
          <w:color w:val="auto"/>
          <w:sz w:val="22"/>
          <w:szCs w:val="22"/>
          <w:lang w:val="en-GB"/>
        </w:rPr>
        <w:t xml:space="preserve"> and the effectiveness and evolutive principles.</w:t>
      </w:r>
      <w:r w:rsidR="00F61E61" w:rsidRPr="00630EF4">
        <w:rPr>
          <w:rStyle w:val="PageNumber"/>
          <w:rFonts w:ascii="Times New Roman" w:hAnsi="Times New Roman" w:cs="Times New Roman"/>
          <w:color w:val="auto"/>
          <w:sz w:val="22"/>
          <w:szCs w:val="22"/>
          <w:lang w:val="en-GB"/>
        </w:rPr>
        <w:t xml:space="preserve"> There is a general agreement that all human rights bodies </w:t>
      </w:r>
      <w:r w:rsidR="007A6330" w:rsidRPr="00630EF4">
        <w:rPr>
          <w:rStyle w:val="PageNumber"/>
          <w:rFonts w:ascii="Times New Roman" w:hAnsi="Times New Roman" w:cs="Times New Roman"/>
          <w:color w:val="auto"/>
          <w:sz w:val="22"/>
          <w:szCs w:val="22"/>
          <w:lang w:val="en-GB"/>
        </w:rPr>
        <w:t xml:space="preserve">are </w:t>
      </w:r>
      <w:r w:rsidR="00F61E61" w:rsidRPr="00630EF4">
        <w:rPr>
          <w:rStyle w:val="PageNumber"/>
          <w:rFonts w:ascii="Times New Roman" w:hAnsi="Times New Roman" w:cs="Times New Roman"/>
          <w:color w:val="auto"/>
          <w:sz w:val="22"/>
          <w:szCs w:val="22"/>
          <w:lang w:val="en-GB"/>
        </w:rPr>
        <w:t>bound</w:t>
      </w:r>
      <w:r w:rsidR="007A6330" w:rsidRPr="00630EF4">
        <w:rPr>
          <w:rStyle w:val="PageNumber"/>
          <w:rFonts w:ascii="Times New Roman" w:hAnsi="Times New Roman" w:cs="Times New Roman"/>
          <w:color w:val="auto"/>
          <w:sz w:val="22"/>
          <w:szCs w:val="22"/>
          <w:lang w:val="en-GB"/>
        </w:rPr>
        <w:t xml:space="preserve"> in their interpretation exercises</w:t>
      </w:r>
      <w:r w:rsidR="00F61E61" w:rsidRPr="00630EF4">
        <w:rPr>
          <w:rStyle w:val="PageNumber"/>
          <w:rFonts w:ascii="Times New Roman" w:hAnsi="Times New Roman" w:cs="Times New Roman"/>
          <w:color w:val="auto"/>
          <w:sz w:val="22"/>
          <w:szCs w:val="22"/>
          <w:lang w:val="en-GB"/>
        </w:rPr>
        <w:t xml:space="preserve"> by the V</w:t>
      </w:r>
      <w:r w:rsidRPr="00630EF4">
        <w:rPr>
          <w:rStyle w:val="PageNumber"/>
          <w:rFonts w:ascii="Times New Roman" w:hAnsi="Times New Roman" w:cs="Times New Roman"/>
          <w:color w:val="auto"/>
          <w:sz w:val="22"/>
          <w:szCs w:val="22"/>
          <w:lang w:val="en-GB"/>
        </w:rPr>
        <w:t xml:space="preserve">ienna </w:t>
      </w:r>
      <w:r w:rsidR="00F61E61" w:rsidRPr="00630EF4">
        <w:rPr>
          <w:rStyle w:val="PageNumber"/>
          <w:rFonts w:ascii="Times New Roman" w:hAnsi="Times New Roman" w:cs="Times New Roman"/>
          <w:color w:val="auto"/>
          <w:sz w:val="22"/>
          <w:szCs w:val="22"/>
          <w:lang w:val="en-GB"/>
        </w:rPr>
        <w:t>C</w:t>
      </w:r>
      <w:r w:rsidRPr="00630EF4">
        <w:rPr>
          <w:rStyle w:val="PageNumber"/>
          <w:rFonts w:ascii="Times New Roman" w:hAnsi="Times New Roman" w:cs="Times New Roman"/>
          <w:color w:val="auto"/>
          <w:sz w:val="22"/>
          <w:szCs w:val="22"/>
          <w:lang w:val="en-GB"/>
        </w:rPr>
        <w:t xml:space="preserve">onvention on the </w:t>
      </w:r>
      <w:r w:rsidR="00F61E61" w:rsidRPr="00630EF4">
        <w:rPr>
          <w:rStyle w:val="PageNumber"/>
          <w:rFonts w:ascii="Times New Roman" w:hAnsi="Times New Roman" w:cs="Times New Roman"/>
          <w:color w:val="auto"/>
          <w:sz w:val="22"/>
          <w:szCs w:val="22"/>
          <w:lang w:val="en-GB"/>
        </w:rPr>
        <w:t>L</w:t>
      </w:r>
      <w:r w:rsidRPr="00630EF4">
        <w:rPr>
          <w:rStyle w:val="PageNumber"/>
          <w:rFonts w:ascii="Times New Roman" w:hAnsi="Times New Roman" w:cs="Times New Roman"/>
          <w:color w:val="auto"/>
          <w:sz w:val="22"/>
          <w:szCs w:val="22"/>
          <w:lang w:val="en-GB"/>
        </w:rPr>
        <w:t xml:space="preserve">aw of </w:t>
      </w:r>
      <w:r w:rsidR="00F61E61" w:rsidRPr="00630EF4">
        <w:rPr>
          <w:rStyle w:val="PageNumber"/>
          <w:rFonts w:ascii="Times New Roman" w:hAnsi="Times New Roman" w:cs="Times New Roman"/>
          <w:color w:val="auto"/>
          <w:sz w:val="22"/>
          <w:szCs w:val="22"/>
          <w:lang w:val="en-GB"/>
        </w:rPr>
        <w:t>T</w:t>
      </w:r>
      <w:r w:rsidRPr="00630EF4">
        <w:rPr>
          <w:rStyle w:val="PageNumber"/>
          <w:rFonts w:ascii="Times New Roman" w:hAnsi="Times New Roman" w:cs="Times New Roman"/>
          <w:color w:val="auto"/>
          <w:sz w:val="22"/>
          <w:szCs w:val="22"/>
          <w:lang w:val="en-GB"/>
        </w:rPr>
        <w:t>reaties (VCLT)</w:t>
      </w:r>
      <w:r w:rsidR="00F61E61" w:rsidRPr="00630EF4">
        <w:rPr>
          <w:rStyle w:val="PageNumber"/>
          <w:rFonts w:ascii="Times New Roman" w:hAnsi="Times New Roman" w:cs="Times New Roman"/>
          <w:color w:val="auto"/>
          <w:sz w:val="22"/>
          <w:szCs w:val="22"/>
          <w:lang w:val="en-GB"/>
        </w:rPr>
        <w:t xml:space="preserve"> and that these methods are enshrined </w:t>
      </w:r>
      <w:r w:rsidR="00D06221" w:rsidRPr="00630EF4">
        <w:rPr>
          <w:rStyle w:val="PageNumber"/>
          <w:rFonts w:ascii="Times New Roman" w:hAnsi="Times New Roman" w:cs="Times New Roman"/>
          <w:color w:val="auto"/>
          <w:sz w:val="22"/>
          <w:szCs w:val="22"/>
          <w:lang w:val="en-GB"/>
        </w:rPr>
        <w:t>within</w:t>
      </w:r>
      <w:r w:rsidRPr="00630EF4">
        <w:rPr>
          <w:rStyle w:val="PageNumber"/>
          <w:rFonts w:ascii="Times New Roman" w:hAnsi="Times New Roman" w:cs="Times New Roman"/>
          <w:color w:val="auto"/>
          <w:sz w:val="22"/>
          <w:szCs w:val="22"/>
          <w:lang w:val="en-GB"/>
        </w:rPr>
        <w:t xml:space="preserve"> </w:t>
      </w:r>
      <w:r w:rsidR="00F61E61" w:rsidRPr="00630EF4">
        <w:rPr>
          <w:rStyle w:val="PageNumber"/>
          <w:rFonts w:ascii="Times New Roman" w:hAnsi="Times New Roman" w:cs="Times New Roman"/>
          <w:color w:val="auto"/>
          <w:sz w:val="22"/>
          <w:szCs w:val="22"/>
          <w:lang w:val="en-GB"/>
        </w:rPr>
        <w:t>Article</w:t>
      </w:r>
      <w:r w:rsidR="00725EF1" w:rsidRPr="00630EF4">
        <w:rPr>
          <w:rStyle w:val="PageNumber"/>
          <w:rFonts w:ascii="Times New Roman" w:hAnsi="Times New Roman" w:cs="Times New Roman"/>
          <w:color w:val="auto"/>
          <w:sz w:val="22"/>
          <w:szCs w:val="22"/>
          <w:lang w:val="en-GB"/>
        </w:rPr>
        <w:t>s</w:t>
      </w:r>
      <w:r w:rsidR="00F61E61" w:rsidRPr="00630EF4">
        <w:rPr>
          <w:rStyle w:val="PageNumber"/>
          <w:rFonts w:ascii="Times New Roman" w:hAnsi="Times New Roman" w:cs="Times New Roman"/>
          <w:color w:val="auto"/>
          <w:sz w:val="22"/>
          <w:szCs w:val="22"/>
          <w:lang w:val="en-GB"/>
        </w:rPr>
        <w:t xml:space="preserve"> 31</w:t>
      </w:r>
      <w:r w:rsidR="00725EF1" w:rsidRPr="00630EF4">
        <w:rPr>
          <w:rStyle w:val="PageNumber"/>
          <w:rFonts w:ascii="Times New Roman" w:hAnsi="Times New Roman" w:cs="Times New Roman"/>
          <w:color w:val="auto"/>
          <w:sz w:val="22"/>
          <w:szCs w:val="22"/>
          <w:lang w:val="en-GB"/>
        </w:rPr>
        <w:t xml:space="preserve"> and 32</w:t>
      </w:r>
      <w:r w:rsidR="00D06221" w:rsidRPr="00630EF4">
        <w:rPr>
          <w:rStyle w:val="PageNumber"/>
          <w:rFonts w:ascii="Times New Roman" w:hAnsi="Times New Roman" w:cs="Times New Roman"/>
          <w:color w:val="auto"/>
          <w:sz w:val="22"/>
          <w:szCs w:val="22"/>
          <w:lang w:val="en-GB"/>
        </w:rPr>
        <w:t xml:space="preserve"> of the VCLT</w:t>
      </w:r>
      <w:r w:rsidR="000E3715" w:rsidRPr="00630EF4">
        <w:rPr>
          <w:rStyle w:val="PageNumber"/>
          <w:rFonts w:ascii="Times New Roman" w:hAnsi="Times New Roman" w:cs="Times New Roman"/>
          <w:color w:val="auto"/>
          <w:sz w:val="22"/>
          <w:szCs w:val="22"/>
          <w:lang w:val="en-GB"/>
        </w:rPr>
        <w:t>. I</w:t>
      </w:r>
      <w:r w:rsidR="00C10A4C" w:rsidRPr="00630EF4">
        <w:rPr>
          <w:rStyle w:val="PageNumber"/>
          <w:rFonts w:ascii="Times New Roman" w:hAnsi="Times New Roman" w:cs="Times New Roman"/>
          <w:color w:val="auto"/>
          <w:sz w:val="22"/>
          <w:szCs w:val="22"/>
          <w:lang w:val="en-GB"/>
        </w:rPr>
        <w:t>ndeed, the method of interpretation of the ICESCR comprises the rules established for such a purpose in Articles 5; 24 and 25 ICESCR.</w:t>
      </w:r>
    </w:p>
    <w:p w14:paraId="51246497" w14:textId="77777777" w:rsidR="00F61E61" w:rsidRPr="00472492" w:rsidRDefault="00F61E61" w:rsidP="00775237">
      <w:pPr>
        <w:jc w:val="both"/>
        <w:rPr>
          <w:rStyle w:val="PageNumber"/>
          <w:rFonts w:cs="Times New Roman"/>
          <w:sz w:val="22"/>
          <w:szCs w:val="22"/>
          <w:lang w:val="en-GB"/>
        </w:rPr>
      </w:pPr>
    </w:p>
    <w:p w14:paraId="195FFA70" w14:textId="049836FB" w:rsidR="000D55F8" w:rsidRPr="00630EF4" w:rsidRDefault="00C0464F" w:rsidP="00750A2D">
      <w:pPr>
        <w:pStyle w:val="Body"/>
        <w:jc w:val="both"/>
        <w:rPr>
          <w:rFonts w:ascii="Times New Roman" w:eastAsia="Arial Narrow" w:hAnsi="Times New Roman" w:cs="Times New Roman"/>
          <w:color w:val="auto"/>
          <w:sz w:val="22"/>
          <w:szCs w:val="22"/>
          <w:lang w:val="en-GB"/>
        </w:rPr>
      </w:pPr>
      <w:r w:rsidRPr="00630EF4">
        <w:rPr>
          <w:rStyle w:val="PageNumber"/>
          <w:rFonts w:ascii="Times New Roman" w:hAnsi="Times New Roman" w:cs="Times New Roman"/>
          <w:color w:val="auto"/>
          <w:sz w:val="22"/>
          <w:szCs w:val="22"/>
          <w:lang w:val="en-GB"/>
        </w:rPr>
        <w:t>The rules of interpretation of the VCLT have been consistently applied by the Committee</w:t>
      </w:r>
      <w:r w:rsidR="00C762E5" w:rsidRPr="00630EF4">
        <w:rPr>
          <w:rStyle w:val="PageNumber"/>
          <w:rFonts w:ascii="Times New Roman" w:hAnsi="Times New Roman" w:cs="Times New Roman"/>
          <w:color w:val="auto"/>
          <w:sz w:val="22"/>
          <w:szCs w:val="22"/>
          <w:lang w:val="en-GB"/>
        </w:rPr>
        <w:t>.</w:t>
      </w:r>
      <w:r w:rsidRPr="00630EF4">
        <w:rPr>
          <w:rStyle w:val="PageNumber"/>
          <w:rFonts w:ascii="Times New Roman" w:hAnsi="Times New Roman" w:cs="Times New Roman"/>
          <w:color w:val="auto"/>
          <w:sz w:val="22"/>
          <w:szCs w:val="22"/>
          <w:lang w:val="en-GB"/>
        </w:rPr>
        <w:t xml:space="preserve"> Yet, the practice of interpretation of</w:t>
      </w:r>
      <w:r w:rsidR="00F40AFF" w:rsidRPr="00630EF4">
        <w:rPr>
          <w:rStyle w:val="PageNumber"/>
          <w:rFonts w:ascii="Times New Roman" w:hAnsi="Times New Roman" w:cs="Times New Roman"/>
          <w:color w:val="auto"/>
          <w:sz w:val="22"/>
          <w:szCs w:val="22"/>
          <w:lang w:val="en-GB"/>
        </w:rPr>
        <w:t xml:space="preserve"> </w:t>
      </w:r>
      <w:r w:rsidRPr="00630EF4">
        <w:rPr>
          <w:rStyle w:val="PageNumber"/>
          <w:rFonts w:ascii="Times New Roman" w:hAnsi="Times New Roman" w:cs="Times New Roman"/>
          <w:color w:val="auto"/>
          <w:sz w:val="22"/>
          <w:szCs w:val="22"/>
          <w:lang w:val="en-GB"/>
        </w:rPr>
        <w:t xml:space="preserve">the </w:t>
      </w:r>
      <w:r w:rsidR="0072118A" w:rsidRPr="00630EF4">
        <w:rPr>
          <w:rStyle w:val="PageNumber"/>
          <w:rFonts w:ascii="Times New Roman" w:hAnsi="Times New Roman" w:cs="Times New Roman"/>
          <w:color w:val="auto"/>
          <w:sz w:val="22"/>
          <w:szCs w:val="22"/>
          <w:lang w:val="en-GB"/>
        </w:rPr>
        <w:t>Committee</w:t>
      </w:r>
      <w:r w:rsidR="00B05CE0" w:rsidRPr="00630EF4">
        <w:rPr>
          <w:rStyle w:val="PageNumber"/>
          <w:rFonts w:ascii="Times New Roman" w:hAnsi="Times New Roman" w:cs="Times New Roman"/>
          <w:color w:val="auto"/>
          <w:sz w:val="22"/>
          <w:szCs w:val="22"/>
          <w:lang w:val="en-GB"/>
        </w:rPr>
        <w:t xml:space="preserve"> </w:t>
      </w:r>
      <w:r w:rsidRPr="00630EF4">
        <w:rPr>
          <w:rStyle w:val="PageNumber"/>
          <w:rFonts w:ascii="Times New Roman" w:hAnsi="Times New Roman" w:cs="Times New Roman"/>
          <w:color w:val="auto"/>
          <w:sz w:val="22"/>
          <w:szCs w:val="22"/>
          <w:lang w:val="en-GB"/>
        </w:rPr>
        <w:t xml:space="preserve">is subject to strong criticism </w:t>
      </w:r>
      <w:r w:rsidR="00995517" w:rsidRPr="00630EF4">
        <w:rPr>
          <w:rStyle w:val="PageNumber"/>
          <w:rFonts w:ascii="Times New Roman" w:hAnsi="Times New Roman" w:cs="Times New Roman"/>
          <w:color w:val="auto"/>
          <w:sz w:val="22"/>
          <w:szCs w:val="22"/>
          <w:lang w:val="en-GB"/>
        </w:rPr>
        <w:t xml:space="preserve">for </w:t>
      </w:r>
      <w:r w:rsidRPr="00630EF4">
        <w:rPr>
          <w:rStyle w:val="PageNumber"/>
          <w:rFonts w:ascii="Times New Roman" w:hAnsi="Times New Roman" w:cs="Times New Roman"/>
          <w:color w:val="auto"/>
          <w:sz w:val="22"/>
          <w:szCs w:val="22"/>
          <w:lang w:val="en-GB"/>
        </w:rPr>
        <w:t>reasons</w:t>
      </w:r>
      <w:r w:rsidR="00995517" w:rsidRPr="00630EF4">
        <w:rPr>
          <w:rStyle w:val="PageNumber"/>
          <w:rFonts w:ascii="Times New Roman" w:hAnsi="Times New Roman" w:cs="Times New Roman"/>
          <w:color w:val="auto"/>
          <w:sz w:val="22"/>
          <w:szCs w:val="22"/>
          <w:lang w:val="en-GB"/>
        </w:rPr>
        <w:t xml:space="preserve"> such as </w:t>
      </w:r>
      <w:r w:rsidR="00D73E79" w:rsidRPr="00630EF4">
        <w:rPr>
          <w:rStyle w:val="PageNumber"/>
          <w:rFonts w:ascii="Times New Roman" w:hAnsi="Times New Roman" w:cs="Times New Roman"/>
          <w:color w:val="auto"/>
          <w:sz w:val="22"/>
          <w:szCs w:val="22"/>
          <w:lang w:val="en-GB"/>
        </w:rPr>
        <w:t xml:space="preserve">a </w:t>
      </w:r>
      <w:r w:rsidR="00995517" w:rsidRPr="00630EF4">
        <w:rPr>
          <w:rStyle w:val="PageNumber"/>
          <w:rFonts w:ascii="Times New Roman" w:hAnsi="Times New Roman" w:cs="Times New Roman"/>
          <w:color w:val="auto"/>
          <w:sz w:val="22"/>
          <w:szCs w:val="22"/>
          <w:lang w:val="en-GB"/>
        </w:rPr>
        <w:t xml:space="preserve">failure to rightfully </w:t>
      </w:r>
      <w:r w:rsidR="00675B4A" w:rsidRPr="00630EF4">
        <w:rPr>
          <w:rStyle w:val="PageNumber"/>
          <w:rFonts w:ascii="Times New Roman" w:hAnsi="Times New Roman" w:cs="Times New Roman"/>
          <w:color w:val="auto"/>
          <w:sz w:val="22"/>
          <w:szCs w:val="22"/>
          <w:lang w:val="en-GB"/>
        </w:rPr>
        <w:t>abide by</w:t>
      </w:r>
      <w:r w:rsidR="00995517" w:rsidRPr="00630EF4">
        <w:rPr>
          <w:rStyle w:val="PageNumber"/>
          <w:rFonts w:ascii="Times New Roman" w:hAnsi="Times New Roman" w:cs="Times New Roman"/>
          <w:color w:val="auto"/>
          <w:sz w:val="22"/>
          <w:szCs w:val="22"/>
          <w:lang w:val="en-GB"/>
        </w:rPr>
        <w:t xml:space="preserve"> these rule</w:t>
      </w:r>
      <w:r w:rsidR="001862F2" w:rsidRPr="00630EF4">
        <w:rPr>
          <w:rStyle w:val="PageNumber"/>
          <w:rFonts w:ascii="Times New Roman" w:hAnsi="Times New Roman" w:cs="Times New Roman"/>
          <w:color w:val="auto"/>
          <w:sz w:val="22"/>
          <w:szCs w:val="22"/>
          <w:lang w:val="en-GB"/>
        </w:rPr>
        <w:t xml:space="preserve">s – </w:t>
      </w:r>
      <w:r w:rsidR="001B2087" w:rsidRPr="00630EF4">
        <w:rPr>
          <w:rStyle w:val="PageNumber"/>
          <w:rFonts w:ascii="Times New Roman" w:hAnsi="Times New Roman" w:cs="Times New Roman"/>
          <w:color w:val="auto"/>
          <w:sz w:val="22"/>
          <w:szCs w:val="22"/>
          <w:lang w:val="en-GB"/>
        </w:rPr>
        <w:t xml:space="preserve">in </w:t>
      </w:r>
      <w:r w:rsidR="001862F2" w:rsidRPr="00630EF4">
        <w:rPr>
          <w:rStyle w:val="PageNumber"/>
          <w:rFonts w:ascii="Times New Roman" w:hAnsi="Times New Roman" w:cs="Times New Roman"/>
          <w:color w:val="auto"/>
          <w:sz w:val="22"/>
          <w:szCs w:val="22"/>
          <w:lang w:val="en-GB"/>
        </w:rPr>
        <w:t xml:space="preserve">text, context, and object and purpose – </w:t>
      </w:r>
      <w:r w:rsidR="001B2087" w:rsidRPr="00630EF4">
        <w:rPr>
          <w:rStyle w:val="PageNumber"/>
          <w:rFonts w:ascii="Times New Roman" w:hAnsi="Times New Roman" w:cs="Times New Roman"/>
          <w:color w:val="auto"/>
          <w:sz w:val="22"/>
          <w:szCs w:val="22"/>
          <w:lang w:val="en-GB"/>
        </w:rPr>
        <w:t>o</w:t>
      </w:r>
      <w:r w:rsidR="001862F2" w:rsidRPr="00630EF4">
        <w:rPr>
          <w:rStyle w:val="PageNumber"/>
          <w:rFonts w:ascii="Times New Roman" w:hAnsi="Times New Roman" w:cs="Times New Roman"/>
          <w:color w:val="auto"/>
          <w:sz w:val="22"/>
          <w:szCs w:val="22"/>
          <w:lang w:val="en-GB"/>
        </w:rPr>
        <w:t>n a number of issues</w:t>
      </w:r>
      <w:r w:rsidR="00EB0591" w:rsidRPr="00630EF4">
        <w:rPr>
          <w:rStyle w:val="PageNumber"/>
          <w:rFonts w:ascii="Times New Roman" w:hAnsi="Times New Roman" w:cs="Times New Roman"/>
          <w:color w:val="auto"/>
          <w:sz w:val="22"/>
          <w:szCs w:val="22"/>
          <w:lang w:val="en-GB"/>
        </w:rPr>
        <w:t>.</w:t>
      </w:r>
      <w:r w:rsidR="001862F2" w:rsidRPr="00630EF4">
        <w:rPr>
          <w:rStyle w:val="FootnoteReference"/>
          <w:rFonts w:ascii="Times New Roman" w:hAnsi="Times New Roman" w:cs="Times New Roman"/>
          <w:color w:val="auto"/>
          <w:sz w:val="22"/>
          <w:szCs w:val="22"/>
          <w:lang w:val="en-GB"/>
        </w:rPr>
        <w:footnoteReference w:id="12"/>
      </w:r>
      <w:r w:rsidRPr="00630EF4">
        <w:rPr>
          <w:rStyle w:val="PageNumber"/>
          <w:rFonts w:ascii="Times New Roman" w:hAnsi="Times New Roman" w:cs="Times New Roman"/>
          <w:color w:val="auto"/>
          <w:sz w:val="22"/>
          <w:szCs w:val="22"/>
          <w:lang w:val="en-GB"/>
        </w:rPr>
        <w:t xml:space="preserve"> </w:t>
      </w:r>
      <w:r w:rsidR="00EB0591" w:rsidRPr="00630EF4">
        <w:rPr>
          <w:rStyle w:val="PageNumber"/>
          <w:rFonts w:ascii="Times New Roman" w:hAnsi="Times New Roman" w:cs="Times New Roman"/>
          <w:color w:val="auto"/>
          <w:sz w:val="22"/>
          <w:szCs w:val="22"/>
          <w:lang w:val="en-GB"/>
        </w:rPr>
        <w:t xml:space="preserve">This has led to the creation of </w:t>
      </w:r>
      <w:r w:rsidRPr="00630EF4">
        <w:rPr>
          <w:rStyle w:val="PageNumber"/>
          <w:rFonts w:ascii="Times New Roman" w:hAnsi="Times New Roman" w:cs="Times New Roman"/>
          <w:color w:val="auto"/>
          <w:sz w:val="22"/>
          <w:szCs w:val="22"/>
          <w:lang w:val="en-GB"/>
        </w:rPr>
        <w:t>obligations that cannot be extracted from the Covenant</w:t>
      </w:r>
      <w:r w:rsidR="00F40AFF" w:rsidRPr="00630EF4">
        <w:rPr>
          <w:rStyle w:val="PageNumber"/>
          <w:rFonts w:ascii="Times New Roman" w:hAnsi="Times New Roman" w:cs="Times New Roman"/>
          <w:color w:val="auto"/>
          <w:sz w:val="22"/>
          <w:szCs w:val="22"/>
          <w:lang w:val="en-GB"/>
        </w:rPr>
        <w:t>, thus</w:t>
      </w:r>
      <w:r w:rsidR="00CB2EBC" w:rsidRPr="00630EF4">
        <w:rPr>
          <w:rStyle w:val="PageNumber"/>
          <w:rFonts w:ascii="Times New Roman" w:hAnsi="Times New Roman" w:cs="Times New Roman"/>
          <w:color w:val="auto"/>
          <w:sz w:val="22"/>
          <w:szCs w:val="22"/>
          <w:lang w:val="en-GB"/>
        </w:rPr>
        <w:t xml:space="preserve"> </w:t>
      </w:r>
      <w:r w:rsidRPr="00630EF4">
        <w:rPr>
          <w:rStyle w:val="PageNumber"/>
          <w:rFonts w:ascii="Times New Roman" w:hAnsi="Times New Roman" w:cs="Times New Roman"/>
          <w:color w:val="auto"/>
          <w:sz w:val="22"/>
          <w:szCs w:val="22"/>
          <w:lang w:val="en-GB"/>
        </w:rPr>
        <w:t xml:space="preserve">compromising its legitimacy and coherence, as well as </w:t>
      </w:r>
      <w:r w:rsidR="0009193A" w:rsidRPr="00630EF4">
        <w:rPr>
          <w:rStyle w:val="PageNumber"/>
          <w:rFonts w:ascii="Times New Roman" w:hAnsi="Times New Roman" w:cs="Times New Roman"/>
          <w:color w:val="auto"/>
          <w:sz w:val="22"/>
          <w:szCs w:val="22"/>
          <w:lang w:val="en-GB"/>
        </w:rPr>
        <w:t xml:space="preserve">there </w:t>
      </w:r>
      <w:r w:rsidRPr="00630EF4">
        <w:rPr>
          <w:rStyle w:val="PageNumber"/>
          <w:rFonts w:ascii="Times New Roman" w:hAnsi="Times New Roman" w:cs="Times New Roman"/>
          <w:color w:val="auto"/>
          <w:sz w:val="22"/>
          <w:szCs w:val="22"/>
          <w:lang w:val="en-GB"/>
        </w:rPr>
        <w:t xml:space="preserve">being </w:t>
      </w:r>
      <w:r w:rsidR="0009193A" w:rsidRPr="00630EF4">
        <w:rPr>
          <w:rStyle w:val="PageNumber"/>
          <w:rFonts w:ascii="Times New Roman" w:hAnsi="Times New Roman" w:cs="Times New Roman"/>
          <w:color w:val="auto"/>
          <w:sz w:val="22"/>
          <w:szCs w:val="22"/>
          <w:lang w:val="en-GB"/>
        </w:rPr>
        <w:t>a</w:t>
      </w:r>
      <w:r w:rsidRPr="00630EF4">
        <w:rPr>
          <w:rStyle w:val="PageNumber"/>
          <w:rFonts w:ascii="Times New Roman" w:hAnsi="Times New Roman" w:cs="Times New Roman"/>
          <w:color w:val="auto"/>
          <w:sz w:val="22"/>
          <w:szCs w:val="22"/>
          <w:lang w:val="en-GB"/>
        </w:rPr>
        <w:t xml:space="preserve"> danger of </w:t>
      </w:r>
      <w:r w:rsidR="0009193A" w:rsidRPr="00630EF4">
        <w:rPr>
          <w:rStyle w:val="PageNumber"/>
          <w:rFonts w:ascii="Times New Roman" w:hAnsi="Times New Roman" w:cs="Times New Roman"/>
          <w:color w:val="auto"/>
          <w:sz w:val="22"/>
          <w:szCs w:val="22"/>
          <w:lang w:val="en-GB"/>
        </w:rPr>
        <w:t xml:space="preserve">it </w:t>
      </w:r>
      <w:r w:rsidRPr="00630EF4">
        <w:rPr>
          <w:rStyle w:val="PageNumber"/>
          <w:rFonts w:ascii="Times New Roman" w:hAnsi="Times New Roman" w:cs="Times New Roman"/>
          <w:color w:val="auto"/>
          <w:sz w:val="22"/>
          <w:szCs w:val="22"/>
          <w:lang w:val="en-GB"/>
        </w:rPr>
        <w:t>exceeding its mandate.</w:t>
      </w:r>
      <w:r w:rsidRPr="00630EF4">
        <w:rPr>
          <w:rStyle w:val="FootnoteReference"/>
          <w:rFonts w:ascii="Times New Roman" w:hAnsi="Times New Roman" w:cs="Times New Roman"/>
          <w:color w:val="auto"/>
          <w:sz w:val="22"/>
          <w:szCs w:val="22"/>
          <w:lang w:val="en-GB"/>
        </w:rPr>
        <w:footnoteReference w:id="13"/>
      </w:r>
      <w:r w:rsidRPr="00630EF4">
        <w:rPr>
          <w:rStyle w:val="PageNumber"/>
          <w:rFonts w:ascii="Times New Roman" w:hAnsi="Times New Roman" w:cs="Times New Roman"/>
          <w:color w:val="auto"/>
          <w:sz w:val="22"/>
          <w:szCs w:val="22"/>
          <w:lang w:val="en-GB"/>
        </w:rPr>
        <w:t xml:space="preserve"> This ambiguity is reflected in criticisms surrounding issues such as constant changes in the interpretation of minimum core obligations</w:t>
      </w:r>
      <w:r w:rsidR="00707066" w:rsidRPr="00630EF4">
        <w:rPr>
          <w:rStyle w:val="PageNumber"/>
          <w:rFonts w:ascii="Times New Roman" w:hAnsi="Times New Roman" w:cs="Times New Roman"/>
          <w:color w:val="auto"/>
          <w:sz w:val="22"/>
          <w:szCs w:val="22"/>
          <w:lang w:val="en-GB"/>
        </w:rPr>
        <w:t>’</w:t>
      </w:r>
      <w:r w:rsidRPr="00630EF4">
        <w:rPr>
          <w:rStyle w:val="PageNumber"/>
          <w:rFonts w:ascii="Times New Roman" w:hAnsi="Times New Roman" w:cs="Times New Roman"/>
          <w:color w:val="auto"/>
          <w:sz w:val="22"/>
          <w:szCs w:val="22"/>
          <w:lang w:val="en-GB"/>
        </w:rPr>
        <w:t xml:space="preserve"> standards,</w:t>
      </w:r>
      <w:bookmarkStart w:id="2" w:name="_Ref490572607"/>
      <w:r w:rsidRPr="00630EF4">
        <w:rPr>
          <w:rStyle w:val="FootnoteReference"/>
          <w:rFonts w:ascii="Times New Roman" w:hAnsi="Times New Roman" w:cs="Times New Roman"/>
          <w:color w:val="auto"/>
          <w:sz w:val="22"/>
          <w:szCs w:val="22"/>
          <w:lang w:val="en-GB"/>
        </w:rPr>
        <w:footnoteReference w:id="14"/>
      </w:r>
      <w:bookmarkEnd w:id="2"/>
      <w:r w:rsidRPr="00630EF4">
        <w:rPr>
          <w:rStyle w:val="PageNumber"/>
          <w:rFonts w:ascii="Times New Roman" w:hAnsi="Times New Roman" w:cs="Times New Roman"/>
          <w:color w:val="auto"/>
          <w:sz w:val="22"/>
          <w:szCs w:val="22"/>
          <w:lang w:val="en-GB"/>
        </w:rPr>
        <w:t xml:space="preserve"> and the ‘creation’ of a right to water, which ‘arguably do not reflect the will of states</w:t>
      </w:r>
      <w:r w:rsidR="00001325" w:rsidRPr="00630EF4">
        <w:rPr>
          <w:rStyle w:val="PageNumber"/>
          <w:rFonts w:ascii="Times New Roman" w:hAnsi="Times New Roman" w:cs="Times New Roman"/>
          <w:color w:val="auto"/>
          <w:sz w:val="22"/>
          <w:szCs w:val="22"/>
          <w:lang w:val="en-GB"/>
        </w:rPr>
        <w:t>’</w:t>
      </w:r>
      <w:r w:rsidRPr="00630EF4">
        <w:rPr>
          <w:rStyle w:val="PageNumber"/>
          <w:rFonts w:ascii="Times New Roman" w:hAnsi="Times New Roman" w:cs="Times New Roman"/>
          <w:color w:val="auto"/>
          <w:sz w:val="22"/>
          <w:szCs w:val="22"/>
          <w:lang w:val="en-GB"/>
        </w:rPr>
        <w:t xml:space="preserve"> parties’.</w:t>
      </w:r>
      <w:r w:rsidRPr="00630EF4">
        <w:rPr>
          <w:rStyle w:val="FootnoteReference"/>
          <w:rFonts w:ascii="Times New Roman" w:hAnsi="Times New Roman" w:cs="Times New Roman"/>
          <w:color w:val="auto"/>
          <w:sz w:val="22"/>
          <w:szCs w:val="22"/>
          <w:lang w:val="en-GB"/>
        </w:rPr>
        <w:footnoteReference w:id="15"/>
      </w:r>
      <w:r w:rsidRPr="00630EF4">
        <w:rPr>
          <w:rStyle w:val="PageNumber"/>
          <w:rFonts w:ascii="Times New Roman" w:hAnsi="Times New Roman" w:cs="Times New Roman"/>
          <w:color w:val="auto"/>
          <w:sz w:val="22"/>
          <w:szCs w:val="22"/>
          <w:lang w:val="en-GB"/>
        </w:rPr>
        <w:t xml:space="preserve">  Therefore, the </w:t>
      </w:r>
      <w:r w:rsidR="009571CB" w:rsidRPr="00630EF4">
        <w:rPr>
          <w:rStyle w:val="PageNumber"/>
          <w:rFonts w:ascii="Times New Roman" w:hAnsi="Times New Roman" w:cs="Times New Roman"/>
          <w:color w:val="auto"/>
          <w:sz w:val="22"/>
          <w:szCs w:val="22"/>
          <w:lang w:val="en-GB"/>
        </w:rPr>
        <w:t xml:space="preserve">Committee </w:t>
      </w:r>
      <w:r w:rsidRPr="00630EF4">
        <w:rPr>
          <w:rStyle w:val="PageNumber"/>
          <w:rFonts w:ascii="Times New Roman" w:hAnsi="Times New Roman" w:cs="Times New Roman"/>
          <w:color w:val="auto"/>
          <w:sz w:val="22"/>
          <w:szCs w:val="22"/>
          <w:lang w:val="en-GB"/>
        </w:rPr>
        <w:t xml:space="preserve">needs to work on generating legitimacy in the interpretive community, which Moeckli </w:t>
      </w:r>
      <w:r w:rsidR="00187D8E" w:rsidRPr="00630EF4">
        <w:rPr>
          <w:rStyle w:val="PageNumber"/>
          <w:rFonts w:ascii="Times New Roman" w:hAnsi="Times New Roman" w:cs="Times New Roman"/>
          <w:color w:val="auto"/>
          <w:sz w:val="22"/>
          <w:szCs w:val="22"/>
          <w:lang w:val="en-GB"/>
        </w:rPr>
        <w:t>believes</w:t>
      </w:r>
      <w:r w:rsidRPr="00630EF4">
        <w:rPr>
          <w:rStyle w:val="PageNumber"/>
          <w:rFonts w:ascii="Times New Roman" w:hAnsi="Times New Roman" w:cs="Times New Roman"/>
          <w:color w:val="auto"/>
          <w:sz w:val="22"/>
          <w:szCs w:val="22"/>
          <w:lang w:val="en-GB"/>
        </w:rPr>
        <w:t xml:space="preserve"> should mean working towards generating adherence ‘to a set of principles agreed upon by the interpretive community’, and transparency and coherence in its interpretative task.</w:t>
      </w:r>
      <w:r w:rsidRPr="00630EF4">
        <w:rPr>
          <w:rStyle w:val="FootnoteReference"/>
          <w:rFonts w:ascii="Times New Roman" w:hAnsi="Times New Roman" w:cs="Times New Roman"/>
          <w:color w:val="auto"/>
          <w:sz w:val="22"/>
          <w:szCs w:val="22"/>
          <w:lang w:val="en-GB"/>
        </w:rPr>
        <w:footnoteReference w:id="16"/>
      </w:r>
      <w:r w:rsidR="00A90146" w:rsidRPr="00630EF4">
        <w:rPr>
          <w:rStyle w:val="PageNumber"/>
          <w:rFonts w:ascii="Times New Roman" w:hAnsi="Times New Roman" w:cs="Times New Roman"/>
          <w:color w:val="auto"/>
          <w:sz w:val="22"/>
          <w:szCs w:val="22"/>
          <w:lang w:val="en-GB"/>
        </w:rPr>
        <w:t xml:space="preserve"> </w:t>
      </w:r>
      <w:r w:rsidRPr="00630EF4">
        <w:rPr>
          <w:rStyle w:val="PageNumber"/>
          <w:rFonts w:ascii="Times New Roman" w:hAnsi="Times New Roman" w:cs="Times New Roman"/>
          <w:color w:val="auto"/>
          <w:sz w:val="22"/>
          <w:szCs w:val="22"/>
          <w:lang w:val="en-GB"/>
        </w:rPr>
        <w:t xml:space="preserve">These criticisms have their place, yet </w:t>
      </w:r>
      <w:r w:rsidR="007C204A" w:rsidRPr="00630EF4">
        <w:rPr>
          <w:rStyle w:val="PageNumber"/>
          <w:rFonts w:ascii="Times New Roman" w:hAnsi="Times New Roman" w:cs="Times New Roman"/>
          <w:color w:val="auto"/>
          <w:sz w:val="22"/>
          <w:szCs w:val="22"/>
          <w:lang w:val="en-GB"/>
        </w:rPr>
        <w:t xml:space="preserve">the </w:t>
      </w:r>
      <w:r w:rsidR="009C7421" w:rsidRPr="00630EF4">
        <w:rPr>
          <w:rStyle w:val="PageNumber"/>
          <w:rFonts w:ascii="Times New Roman" w:hAnsi="Times New Roman" w:cs="Times New Roman"/>
          <w:color w:val="auto"/>
          <w:sz w:val="22"/>
          <w:szCs w:val="22"/>
          <w:lang w:val="en-GB"/>
        </w:rPr>
        <w:t xml:space="preserve">BHRE Research Group </w:t>
      </w:r>
      <w:r w:rsidR="00364B5A" w:rsidRPr="00630EF4">
        <w:rPr>
          <w:rStyle w:val="PageNumber"/>
          <w:rFonts w:ascii="Times New Roman" w:hAnsi="Times New Roman" w:cs="Times New Roman"/>
          <w:color w:val="auto"/>
          <w:sz w:val="22"/>
          <w:szCs w:val="22"/>
          <w:lang w:val="en-GB"/>
        </w:rPr>
        <w:t>does</w:t>
      </w:r>
      <w:r w:rsidRPr="00630EF4">
        <w:rPr>
          <w:rStyle w:val="PageNumber"/>
          <w:rFonts w:ascii="Times New Roman" w:hAnsi="Times New Roman" w:cs="Times New Roman"/>
          <w:color w:val="auto"/>
          <w:sz w:val="22"/>
          <w:szCs w:val="22"/>
          <w:lang w:val="en-GB"/>
        </w:rPr>
        <w:t xml:space="preserve"> not agree that </w:t>
      </w:r>
      <w:r w:rsidR="00353321" w:rsidRPr="00630EF4">
        <w:rPr>
          <w:rStyle w:val="PageNumber"/>
          <w:rFonts w:ascii="Times New Roman" w:hAnsi="Times New Roman" w:cs="Times New Roman"/>
          <w:color w:val="auto"/>
          <w:sz w:val="22"/>
          <w:szCs w:val="22"/>
          <w:lang w:val="en-GB"/>
        </w:rPr>
        <w:t xml:space="preserve">affirmation by the Committee of </w:t>
      </w:r>
      <w:r w:rsidRPr="00630EF4">
        <w:rPr>
          <w:rStyle w:val="PageNumber"/>
          <w:rFonts w:ascii="Times New Roman" w:hAnsi="Times New Roman" w:cs="Times New Roman"/>
          <w:color w:val="auto"/>
          <w:sz w:val="22"/>
          <w:szCs w:val="22"/>
          <w:lang w:val="en-GB"/>
        </w:rPr>
        <w:t>concepts such as the right to water and minimum core obligations exceed the Covenant’s protection</w:t>
      </w:r>
      <w:r w:rsidR="00353321" w:rsidRPr="00630EF4">
        <w:rPr>
          <w:rStyle w:val="PageNumber"/>
          <w:rFonts w:ascii="Times New Roman" w:hAnsi="Times New Roman" w:cs="Times New Roman"/>
          <w:color w:val="auto"/>
          <w:sz w:val="22"/>
          <w:szCs w:val="22"/>
          <w:lang w:val="en-GB"/>
        </w:rPr>
        <w:t xml:space="preserve">. This contribution nevertheless concedes </w:t>
      </w:r>
      <w:r w:rsidRPr="00630EF4">
        <w:rPr>
          <w:rStyle w:val="PageNumber"/>
          <w:rFonts w:ascii="Times New Roman" w:hAnsi="Times New Roman" w:cs="Times New Roman"/>
          <w:color w:val="auto"/>
          <w:sz w:val="22"/>
          <w:szCs w:val="22"/>
          <w:lang w:val="en-GB"/>
        </w:rPr>
        <w:t xml:space="preserve">that the CESCR has failed to provide a solid legal interpretation to certain </w:t>
      </w:r>
      <w:r w:rsidR="00F40AFF" w:rsidRPr="00630EF4">
        <w:rPr>
          <w:rStyle w:val="PageNumber"/>
          <w:rFonts w:ascii="Times New Roman" w:hAnsi="Times New Roman" w:cs="Times New Roman"/>
          <w:color w:val="auto"/>
          <w:sz w:val="22"/>
          <w:szCs w:val="22"/>
          <w:lang w:val="en-GB"/>
        </w:rPr>
        <w:t xml:space="preserve">provisions </w:t>
      </w:r>
      <w:r w:rsidRPr="00630EF4">
        <w:rPr>
          <w:rStyle w:val="PageNumber"/>
          <w:rFonts w:ascii="Times New Roman" w:hAnsi="Times New Roman" w:cs="Times New Roman"/>
          <w:color w:val="auto"/>
          <w:sz w:val="22"/>
          <w:szCs w:val="22"/>
          <w:lang w:val="en-GB"/>
        </w:rPr>
        <w:t>of</w:t>
      </w:r>
      <w:r w:rsidR="00C95E99" w:rsidRPr="00630EF4">
        <w:rPr>
          <w:rStyle w:val="PageNumber"/>
          <w:rFonts w:ascii="Times New Roman" w:hAnsi="Times New Roman" w:cs="Times New Roman"/>
          <w:color w:val="auto"/>
          <w:sz w:val="22"/>
          <w:szCs w:val="22"/>
          <w:lang w:val="en-GB"/>
        </w:rPr>
        <w:t xml:space="preserve"> </w:t>
      </w:r>
      <w:r w:rsidRPr="00630EF4">
        <w:rPr>
          <w:rStyle w:val="PageNumber"/>
          <w:rFonts w:ascii="Times New Roman" w:hAnsi="Times New Roman" w:cs="Times New Roman"/>
          <w:color w:val="auto"/>
          <w:sz w:val="22"/>
          <w:szCs w:val="22"/>
          <w:lang w:val="en-GB"/>
        </w:rPr>
        <w:t xml:space="preserve">the Covenant. </w:t>
      </w:r>
      <w:r w:rsidR="00725EF1" w:rsidRPr="00630EF4">
        <w:rPr>
          <w:rStyle w:val="PageNumber"/>
          <w:rFonts w:ascii="Times New Roman" w:hAnsi="Times New Roman" w:cs="Times New Roman"/>
          <w:b/>
          <w:color w:val="auto"/>
          <w:sz w:val="22"/>
          <w:szCs w:val="22"/>
          <w:lang w:val="en-GB"/>
        </w:rPr>
        <w:t>Therefore it</w:t>
      </w:r>
      <w:r w:rsidRPr="00630EF4">
        <w:rPr>
          <w:rStyle w:val="PageNumber"/>
          <w:rFonts w:ascii="Times New Roman" w:hAnsi="Times New Roman" w:cs="Times New Roman"/>
          <w:b/>
          <w:color w:val="auto"/>
          <w:sz w:val="22"/>
          <w:szCs w:val="22"/>
          <w:lang w:val="en-GB"/>
        </w:rPr>
        <w:t xml:space="preserve"> aims</w:t>
      </w:r>
      <w:r w:rsidR="001C2C2C" w:rsidRPr="00630EF4">
        <w:rPr>
          <w:rStyle w:val="PageNumber"/>
          <w:rFonts w:ascii="Times New Roman" w:hAnsi="Times New Roman" w:cs="Times New Roman"/>
          <w:b/>
          <w:color w:val="auto"/>
          <w:sz w:val="22"/>
          <w:szCs w:val="22"/>
          <w:lang w:val="en-GB"/>
        </w:rPr>
        <w:t xml:space="preserve"> </w:t>
      </w:r>
      <w:r w:rsidRPr="00630EF4">
        <w:rPr>
          <w:rStyle w:val="PageNumber"/>
          <w:rFonts w:ascii="Times New Roman" w:hAnsi="Times New Roman" w:cs="Times New Roman"/>
          <w:b/>
          <w:color w:val="auto"/>
          <w:sz w:val="22"/>
          <w:szCs w:val="22"/>
          <w:lang w:val="en-GB"/>
        </w:rPr>
        <w:t xml:space="preserve">to </w:t>
      </w:r>
      <w:r w:rsidR="00364B5A" w:rsidRPr="00630EF4">
        <w:rPr>
          <w:rStyle w:val="PageNumber"/>
          <w:rFonts w:ascii="Times New Roman" w:hAnsi="Times New Roman" w:cs="Times New Roman"/>
          <w:b/>
          <w:color w:val="auto"/>
          <w:sz w:val="22"/>
          <w:szCs w:val="22"/>
          <w:lang w:val="en-GB"/>
        </w:rPr>
        <w:t xml:space="preserve">guide the </w:t>
      </w:r>
      <w:r w:rsidR="00343EF5" w:rsidRPr="00630EF4">
        <w:rPr>
          <w:rStyle w:val="PageNumber"/>
          <w:rFonts w:ascii="Times New Roman" w:hAnsi="Times New Roman" w:cs="Times New Roman"/>
          <w:b/>
          <w:color w:val="auto"/>
          <w:sz w:val="22"/>
          <w:szCs w:val="22"/>
          <w:lang w:val="en-GB"/>
        </w:rPr>
        <w:t xml:space="preserve">Committee </w:t>
      </w:r>
      <w:r w:rsidR="00364B5A" w:rsidRPr="00630EF4">
        <w:rPr>
          <w:rStyle w:val="PageNumber"/>
          <w:rFonts w:ascii="Times New Roman" w:hAnsi="Times New Roman" w:cs="Times New Roman"/>
          <w:b/>
          <w:color w:val="auto"/>
          <w:sz w:val="22"/>
          <w:szCs w:val="22"/>
          <w:lang w:val="en-GB"/>
        </w:rPr>
        <w:t xml:space="preserve">on how to </w:t>
      </w:r>
      <w:r w:rsidRPr="00630EF4">
        <w:rPr>
          <w:rStyle w:val="PageNumber"/>
          <w:rFonts w:ascii="Times New Roman" w:hAnsi="Times New Roman" w:cs="Times New Roman"/>
          <w:b/>
          <w:color w:val="auto"/>
          <w:sz w:val="22"/>
          <w:szCs w:val="22"/>
          <w:lang w:val="en-GB"/>
        </w:rPr>
        <w:t xml:space="preserve">overcome </w:t>
      </w:r>
      <w:r w:rsidR="00491EC4" w:rsidRPr="00630EF4">
        <w:rPr>
          <w:rStyle w:val="PageNumber"/>
          <w:rFonts w:ascii="Times New Roman" w:hAnsi="Times New Roman" w:cs="Times New Roman"/>
          <w:b/>
          <w:color w:val="auto"/>
          <w:sz w:val="22"/>
          <w:szCs w:val="22"/>
          <w:lang w:val="en-GB"/>
        </w:rPr>
        <w:t>th</w:t>
      </w:r>
      <w:r w:rsidR="00F23055" w:rsidRPr="00630EF4">
        <w:rPr>
          <w:rStyle w:val="PageNumber"/>
          <w:rFonts w:ascii="Times New Roman" w:hAnsi="Times New Roman" w:cs="Times New Roman"/>
          <w:b/>
          <w:color w:val="auto"/>
          <w:sz w:val="22"/>
          <w:szCs w:val="22"/>
          <w:lang w:val="en-GB"/>
        </w:rPr>
        <w:t>ese kinds</w:t>
      </w:r>
      <w:r w:rsidRPr="00630EF4">
        <w:rPr>
          <w:rStyle w:val="PageNumber"/>
          <w:rFonts w:ascii="Times New Roman" w:hAnsi="Times New Roman" w:cs="Times New Roman"/>
          <w:b/>
          <w:color w:val="auto"/>
          <w:sz w:val="22"/>
          <w:szCs w:val="22"/>
          <w:lang w:val="en-GB"/>
        </w:rPr>
        <w:t xml:space="preserve"> of omission</w:t>
      </w:r>
      <w:r w:rsidR="00EE6B3D" w:rsidRPr="00630EF4">
        <w:rPr>
          <w:rStyle w:val="PageNumber"/>
          <w:rFonts w:ascii="Times New Roman" w:hAnsi="Times New Roman" w:cs="Times New Roman"/>
          <w:b/>
          <w:color w:val="auto"/>
          <w:sz w:val="22"/>
          <w:szCs w:val="22"/>
          <w:lang w:val="en-GB"/>
        </w:rPr>
        <w:t>s</w:t>
      </w:r>
      <w:r w:rsidRPr="00630EF4">
        <w:rPr>
          <w:rStyle w:val="PageNumber"/>
          <w:rFonts w:ascii="Times New Roman" w:hAnsi="Times New Roman" w:cs="Times New Roman"/>
          <w:b/>
          <w:color w:val="auto"/>
          <w:sz w:val="22"/>
          <w:szCs w:val="22"/>
          <w:lang w:val="en-GB"/>
        </w:rPr>
        <w:t xml:space="preserve"> </w:t>
      </w:r>
      <w:r w:rsidR="00F40AFF" w:rsidRPr="00630EF4">
        <w:rPr>
          <w:rStyle w:val="PageNumber"/>
          <w:rFonts w:ascii="Times New Roman" w:hAnsi="Times New Roman" w:cs="Times New Roman"/>
          <w:b/>
          <w:color w:val="auto"/>
          <w:sz w:val="22"/>
          <w:szCs w:val="22"/>
          <w:lang w:val="en-GB"/>
        </w:rPr>
        <w:t xml:space="preserve">when </w:t>
      </w:r>
      <w:r w:rsidRPr="00630EF4">
        <w:rPr>
          <w:rStyle w:val="PageNumber"/>
          <w:rFonts w:ascii="Times New Roman" w:hAnsi="Times New Roman" w:cs="Times New Roman"/>
          <w:b/>
          <w:color w:val="auto"/>
          <w:sz w:val="22"/>
          <w:szCs w:val="22"/>
          <w:lang w:val="en-GB"/>
        </w:rPr>
        <w:t xml:space="preserve">addressing </w:t>
      </w:r>
      <w:r w:rsidR="00F23055" w:rsidRPr="00630EF4">
        <w:rPr>
          <w:rStyle w:val="PageNumber"/>
          <w:rFonts w:ascii="Times New Roman" w:hAnsi="Times New Roman" w:cs="Times New Roman"/>
          <w:b/>
          <w:color w:val="auto"/>
          <w:sz w:val="22"/>
          <w:szCs w:val="22"/>
          <w:lang w:val="en-GB"/>
        </w:rPr>
        <w:t xml:space="preserve">the need for </w:t>
      </w:r>
      <w:r w:rsidR="00F54946" w:rsidRPr="00630EF4">
        <w:rPr>
          <w:rStyle w:val="PageNumber"/>
          <w:rFonts w:ascii="Times New Roman" w:hAnsi="Times New Roman" w:cs="Times New Roman"/>
          <w:b/>
          <w:color w:val="auto"/>
          <w:sz w:val="22"/>
          <w:szCs w:val="22"/>
          <w:lang w:val="en-GB"/>
        </w:rPr>
        <w:t>a solid re</w:t>
      </w:r>
      <w:r w:rsidRPr="00630EF4">
        <w:rPr>
          <w:rStyle w:val="PageNumber"/>
          <w:rFonts w:ascii="Times New Roman" w:hAnsi="Times New Roman" w:cs="Times New Roman"/>
          <w:b/>
          <w:color w:val="auto"/>
          <w:sz w:val="22"/>
          <w:szCs w:val="22"/>
          <w:lang w:val="en-GB"/>
        </w:rPr>
        <w:t>interpretation of Article 11 ICESCR</w:t>
      </w:r>
      <w:r w:rsidRPr="00630EF4">
        <w:rPr>
          <w:rStyle w:val="PageNumber"/>
          <w:rFonts w:ascii="Times New Roman" w:hAnsi="Times New Roman" w:cs="Times New Roman"/>
          <w:color w:val="auto"/>
          <w:sz w:val="22"/>
          <w:szCs w:val="22"/>
          <w:lang w:val="en-GB"/>
        </w:rPr>
        <w:t xml:space="preserve">. </w:t>
      </w:r>
    </w:p>
    <w:p w14:paraId="12176984" w14:textId="77777777" w:rsidR="000D55F8" w:rsidRPr="00472492" w:rsidRDefault="000D55F8" w:rsidP="00775237">
      <w:pPr>
        <w:jc w:val="both"/>
        <w:rPr>
          <w:b/>
          <w:sz w:val="22"/>
          <w:szCs w:val="22"/>
          <w:lang w:val="en-GB"/>
        </w:rPr>
      </w:pPr>
    </w:p>
    <w:p w14:paraId="60744BE9" w14:textId="5A42798A" w:rsidR="00BA612A" w:rsidRPr="00472492" w:rsidRDefault="007315AC" w:rsidP="00775237">
      <w:pPr>
        <w:pStyle w:val="ListParagraph"/>
        <w:numPr>
          <w:ilvl w:val="0"/>
          <w:numId w:val="4"/>
        </w:numPr>
        <w:jc w:val="both"/>
        <w:rPr>
          <w:b/>
          <w:sz w:val="22"/>
          <w:szCs w:val="22"/>
          <w:lang w:val="en-GB"/>
        </w:rPr>
      </w:pPr>
      <w:r w:rsidRPr="00472492">
        <w:rPr>
          <w:b/>
          <w:sz w:val="22"/>
          <w:szCs w:val="22"/>
          <w:lang w:val="en-GB"/>
        </w:rPr>
        <w:t>Making a case for a reinterpretation of Article 11</w:t>
      </w:r>
      <w:r w:rsidR="00547984" w:rsidRPr="00472492">
        <w:rPr>
          <w:b/>
          <w:sz w:val="22"/>
          <w:szCs w:val="22"/>
          <w:lang w:val="en-GB"/>
        </w:rPr>
        <w:t xml:space="preserve"> ICESCR</w:t>
      </w:r>
      <w:r w:rsidRPr="00472492">
        <w:rPr>
          <w:b/>
          <w:sz w:val="22"/>
          <w:szCs w:val="22"/>
          <w:lang w:val="en-GB"/>
        </w:rPr>
        <w:t xml:space="preserve">: an effectiveness </w:t>
      </w:r>
      <w:r w:rsidR="00D2162A" w:rsidRPr="00472492">
        <w:rPr>
          <w:b/>
          <w:sz w:val="22"/>
          <w:szCs w:val="22"/>
          <w:lang w:val="en-GB"/>
        </w:rPr>
        <w:t>assessment</w:t>
      </w:r>
      <w:r w:rsidR="00F8580C">
        <w:rPr>
          <w:b/>
          <w:sz w:val="22"/>
          <w:szCs w:val="22"/>
          <w:lang w:val="en-GB"/>
        </w:rPr>
        <w:t>.</w:t>
      </w:r>
    </w:p>
    <w:p w14:paraId="7B955B7A" w14:textId="75818E91" w:rsidR="00DB21A7" w:rsidRPr="00472492" w:rsidRDefault="00DB21A7" w:rsidP="00775237">
      <w:pPr>
        <w:jc w:val="both"/>
        <w:rPr>
          <w:b/>
          <w:sz w:val="22"/>
          <w:szCs w:val="22"/>
          <w:lang w:val="en-GB"/>
        </w:rPr>
      </w:pPr>
    </w:p>
    <w:p w14:paraId="1AC97A55" w14:textId="570DF963" w:rsidR="009F0CC1" w:rsidRPr="00472492" w:rsidRDefault="00FA2619" w:rsidP="00775237">
      <w:pPr>
        <w:jc w:val="both"/>
        <w:rPr>
          <w:sz w:val="22"/>
          <w:szCs w:val="22"/>
          <w:lang w:val="en-GB"/>
        </w:rPr>
      </w:pPr>
      <w:r w:rsidRPr="00472492">
        <w:rPr>
          <w:sz w:val="22"/>
          <w:szCs w:val="22"/>
          <w:lang w:val="en-GB"/>
        </w:rPr>
        <w:t xml:space="preserve">As stated </w:t>
      </w:r>
      <w:r w:rsidR="009F0CC1" w:rsidRPr="00472492">
        <w:rPr>
          <w:sz w:val="22"/>
          <w:szCs w:val="22"/>
          <w:lang w:val="en-GB"/>
        </w:rPr>
        <w:t xml:space="preserve">in section b) </w:t>
      </w:r>
      <w:r w:rsidR="00B64158" w:rsidRPr="00472492">
        <w:rPr>
          <w:sz w:val="22"/>
          <w:szCs w:val="22"/>
          <w:lang w:val="en-GB"/>
        </w:rPr>
        <w:t xml:space="preserve">of this contribution </w:t>
      </w:r>
      <w:r w:rsidRPr="00472492">
        <w:rPr>
          <w:sz w:val="22"/>
          <w:szCs w:val="22"/>
          <w:lang w:val="en-GB"/>
        </w:rPr>
        <w:t>TNCs</w:t>
      </w:r>
      <w:r w:rsidR="008E3CB2" w:rsidRPr="00472492">
        <w:rPr>
          <w:sz w:val="22"/>
          <w:szCs w:val="22"/>
          <w:lang w:val="en-GB"/>
        </w:rPr>
        <w:t>’</w:t>
      </w:r>
      <w:r w:rsidRPr="00472492">
        <w:rPr>
          <w:sz w:val="22"/>
          <w:szCs w:val="22"/>
          <w:lang w:val="en-GB"/>
        </w:rPr>
        <w:t xml:space="preserve"> control of land</w:t>
      </w:r>
      <w:r w:rsidR="008E3CB2" w:rsidRPr="00472492">
        <w:rPr>
          <w:sz w:val="22"/>
          <w:szCs w:val="22"/>
          <w:lang w:val="en-GB"/>
        </w:rPr>
        <w:t>,</w:t>
      </w:r>
      <w:r w:rsidRPr="00472492">
        <w:rPr>
          <w:sz w:val="22"/>
          <w:szCs w:val="22"/>
          <w:lang w:val="en-GB"/>
        </w:rPr>
        <w:t xml:space="preserve"> in combination with policies adopted by the State</w:t>
      </w:r>
      <w:r w:rsidR="008E3CB2" w:rsidRPr="00472492">
        <w:rPr>
          <w:sz w:val="22"/>
          <w:szCs w:val="22"/>
          <w:lang w:val="en-GB"/>
        </w:rPr>
        <w:t>,</w:t>
      </w:r>
      <w:r w:rsidRPr="00472492">
        <w:rPr>
          <w:sz w:val="22"/>
          <w:szCs w:val="22"/>
          <w:lang w:val="en-GB"/>
        </w:rPr>
        <w:t xml:space="preserve"> has put local communities</w:t>
      </w:r>
      <w:r w:rsidR="0047764C" w:rsidRPr="00472492">
        <w:rPr>
          <w:sz w:val="22"/>
          <w:szCs w:val="22"/>
          <w:lang w:val="en-GB"/>
        </w:rPr>
        <w:t xml:space="preserve"> in a situation of vulnerability. </w:t>
      </w:r>
      <w:r w:rsidR="00B64158" w:rsidRPr="00472492">
        <w:rPr>
          <w:sz w:val="22"/>
          <w:szCs w:val="22"/>
          <w:lang w:val="en-GB"/>
        </w:rPr>
        <w:t>This reality</w:t>
      </w:r>
      <w:r w:rsidR="009F0CC1" w:rsidRPr="00472492">
        <w:rPr>
          <w:sz w:val="22"/>
          <w:szCs w:val="22"/>
          <w:lang w:val="en-GB"/>
        </w:rPr>
        <w:t xml:space="preserve"> should be </w:t>
      </w:r>
      <w:r w:rsidR="00C26982" w:rsidRPr="00472492">
        <w:rPr>
          <w:sz w:val="22"/>
          <w:szCs w:val="22"/>
          <w:lang w:val="en-GB"/>
        </w:rPr>
        <w:t>sufficient</w:t>
      </w:r>
      <w:r w:rsidR="009F0CC1" w:rsidRPr="00472492">
        <w:rPr>
          <w:sz w:val="22"/>
          <w:szCs w:val="22"/>
          <w:lang w:val="en-GB"/>
        </w:rPr>
        <w:t xml:space="preserve"> to provide the grounds for the Committee to evaluate whether provision concerning the right to access to land, derived from Article 11</w:t>
      </w:r>
      <w:r w:rsidR="0018694D" w:rsidRPr="00472492">
        <w:rPr>
          <w:sz w:val="22"/>
          <w:szCs w:val="22"/>
          <w:lang w:val="en-GB"/>
        </w:rPr>
        <w:t>,</w:t>
      </w:r>
      <w:r w:rsidR="009F0CC1" w:rsidRPr="00472492">
        <w:rPr>
          <w:sz w:val="22"/>
          <w:szCs w:val="22"/>
          <w:lang w:val="en-GB"/>
        </w:rPr>
        <w:t xml:space="preserve"> is effective</w:t>
      </w:r>
      <w:r w:rsidR="0086653D">
        <w:rPr>
          <w:sz w:val="22"/>
          <w:szCs w:val="22"/>
          <w:lang w:val="en-GB"/>
        </w:rPr>
        <w:t xml:space="preserve"> to protect these</w:t>
      </w:r>
      <w:r w:rsidR="00B64158" w:rsidRPr="00472492">
        <w:rPr>
          <w:sz w:val="22"/>
          <w:szCs w:val="22"/>
          <w:lang w:val="en-GB"/>
        </w:rPr>
        <w:t xml:space="preserve"> communities</w:t>
      </w:r>
      <w:r w:rsidR="0018694D" w:rsidRPr="00472492">
        <w:rPr>
          <w:sz w:val="22"/>
          <w:szCs w:val="22"/>
          <w:lang w:val="en-GB"/>
        </w:rPr>
        <w:t>,</w:t>
      </w:r>
      <w:r w:rsidR="009F0CC1" w:rsidRPr="00472492">
        <w:rPr>
          <w:sz w:val="22"/>
          <w:szCs w:val="22"/>
          <w:lang w:val="en-GB"/>
        </w:rPr>
        <w:t xml:space="preserve"> and further consider an evolutive interpretation </w:t>
      </w:r>
      <w:r w:rsidR="00C26982" w:rsidRPr="00472492">
        <w:rPr>
          <w:sz w:val="22"/>
          <w:szCs w:val="22"/>
          <w:lang w:val="en-GB"/>
        </w:rPr>
        <w:t xml:space="preserve">if such </w:t>
      </w:r>
      <w:r w:rsidR="0018694D" w:rsidRPr="00472492">
        <w:rPr>
          <w:sz w:val="22"/>
          <w:szCs w:val="22"/>
          <w:lang w:val="en-GB"/>
        </w:rPr>
        <w:t xml:space="preserve">a </w:t>
      </w:r>
      <w:r w:rsidR="00C26982" w:rsidRPr="00472492">
        <w:rPr>
          <w:sz w:val="22"/>
          <w:szCs w:val="22"/>
          <w:lang w:val="en-GB"/>
        </w:rPr>
        <w:t>condition is not met.</w:t>
      </w:r>
    </w:p>
    <w:p w14:paraId="06AB3533" w14:textId="77777777" w:rsidR="009F0CC1" w:rsidRPr="00472492" w:rsidRDefault="009F0CC1" w:rsidP="00775237">
      <w:pPr>
        <w:jc w:val="both"/>
        <w:rPr>
          <w:sz w:val="22"/>
          <w:szCs w:val="22"/>
          <w:lang w:val="en-GB"/>
        </w:rPr>
      </w:pPr>
    </w:p>
    <w:p w14:paraId="7BEB1158" w14:textId="07EC12D4" w:rsidR="00475C32" w:rsidRPr="00472492" w:rsidRDefault="001F118C" w:rsidP="00D27587">
      <w:pPr>
        <w:jc w:val="both"/>
        <w:rPr>
          <w:sz w:val="22"/>
          <w:szCs w:val="22"/>
          <w:lang w:val="en-GB"/>
        </w:rPr>
      </w:pPr>
      <w:r w:rsidRPr="00472492">
        <w:rPr>
          <w:sz w:val="22"/>
          <w:szCs w:val="22"/>
          <w:lang w:val="en-GB"/>
        </w:rPr>
        <w:t xml:space="preserve">In </w:t>
      </w:r>
      <w:r w:rsidR="00BB7967" w:rsidRPr="00472492">
        <w:rPr>
          <w:sz w:val="22"/>
          <w:szCs w:val="22"/>
          <w:lang w:val="en-GB"/>
        </w:rPr>
        <w:t>light of this</w:t>
      </w:r>
      <w:r w:rsidR="00C26982" w:rsidRPr="00472492">
        <w:rPr>
          <w:sz w:val="22"/>
          <w:szCs w:val="22"/>
          <w:lang w:val="en-GB"/>
        </w:rPr>
        <w:t>, the Committee</w:t>
      </w:r>
      <w:r w:rsidR="00B61C53" w:rsidRPr="00472492">
        <w:rPr>
          <w:sz w:val="22"/>
          <w:szCs w:val="22"/>
          <w:lang w:val="en-GB"/>
        </w:rPr>
        <w:t xml:space="preserve"> should assess </w:t>
      </w:r>
      <w:r w:rsidRPr="00472492">
        <w:rPr>
          <w:sz w:val="22"/>
          <w:szCs w:val="22"/>
          <w:lang w:val="en-GB"/>
        </w:rPr>
        <w:t>the</w:t>
      </w:r>
      <w:r w:rsidR="0018694D" w:rsidRPr="00472492">
        <w:rPr>
          <w:rFonts w:cs="Times New Roman"/>
          <w:sz w:val="22"/>
          <w:szCs w:val="22"/>
          <w:lang w:val="en-GB"/>
        </w:rPr>
        <w:t xml:space="preserve"> </w:t>
      </w:r>
      <w:r w:rsidR="00475C32" w:rsidRPr="00472492">
        <w:rPr>
          <w:rFonts w:cs="Times New Roman"/>
          <w:sz w:val="22"/>
          <w:szCs w:val="22"/>
          <w:lang w:val="en-GB"/>
        </w:rPr>
        <w:t>subordinate character</w:t>
      </w:r>
      <w:r w:rsidRPr="00472492">
        <w:rPr>
          <w:rFonts w:cs="Times New Roman"/>
          <w:sz w:val="22"/>
          <w:szCs w:val="22"/>
          <w:lang w:val="en-GB"/>
        </w:rPr>
        <w:t xml:space="preserve"> of the right to acces</w:t>
      </w:r>
      <w:r w:rsidR="00763AFD" w:rsidRPr="00472492">
        <w:rPr>
          <w:rFonts w:cs="Times New Roman"/>
          <w:sz w:val="22"/>
          <w:szCs w:val="22"/>
          <w:lang w:val="en-GB"/>
        </w:rPr>
        <w:t>s</w:t>
      </w:r>
      <w:r w:rsidRPr="00472492">
        <w:rPr>
          <w:rFonts w:cs="Times New Roman"/>
          <w:sz w:val="22"/>
          <w:szCs w:val="22"/>
          <w:lang w:val="en-GB"/>
        </w:rPr>
        <w:t xml:space="preserve"> to land</w:t>
      </w:r>
      <w:r w:rsidR="00B61C53" w:rsidRPr="00472492">
        <w:rPr>
          <w:rFonts w:cs="Times New Roman"/>
          <w:sz w:val="22"/>
          <w:szCs w:val="22"/>
          <w:lang w:val="en-GB"/>
        </w:rPr>
        <w:t xml:space="preserve">, which would lead it to </w:t>
      </w:r>
      <w:r w:rsidRPr="00472492">
        <w:rPr>
          <w:rFonts w:cs="Times New Roman"/>
          <w:sz w:val="22"/>
          <w:szCs w:val="22"/>
          <w:lang w:val="en-GB"/>
        </w:rPr>
        <w:t xml:space="preserve">conclude that it </w:t>
      </w:r>
      <w:r w:rsidR="00475C32" w:rsidRPr="00472492">
        <w:rPr>
          <w:rFonts w:cs="Times New Roman"/>
          <w:sz w:val="22"/>
          <w:szCs w:val="22"/>
          <w:lang w:val="en-GB"/>
        </w:rPr>
        <w:t>does</w:t>
      </w:r>
      <w:r w:rsidR="00B61C53" w:rsidRPr="00472492">
        <w:rPr>
          <w:rFonts w:cs="Times New Roman"/>
          <w:sz w:val="22"/>
          <w:szCs w:val="22"/>
          <w:lang w:val="en-GB"/>
        </w:rPr>
        <w:t>,</w:t>
      </w:r>
      <w:r w:rsidR="00475C32" w:rsidRPr="00472492">
        <w:rPr>
          <w:rFonts w:cs="Times New Roman"/>
          <w:sz w:val="22"/>
          <w:szCs w:val="22"/>
          <w:lang w:val="en-GB"/>
        </w:rPr>
        <w:t xml:space="preserve"> </w:t>
      </w:r>
      <w:r w:rsidR="00B61C53" w:rsidRPr="00472492">
        <w:rPr>
          <w:rFonts w:cs="Times New Roman"/>
          <w:sz w:val="22"/>
          <w:szCs w:val="22"/>
          <w:lang w:val="en-GB"/>
        </w:rPr>
        <w:t xml:space="preserve">in fact, </w:t>
      </w:r>
      <w:r w:rsidR="00475C32" w:rsidRPr="00472492">
        <w:rPr>
          <w:rFonts w:cs="Times New Roman"/>
          <w:sz w:val="22"/>
          <w:szCs w:val="22"/>
          <w:lang w:val="en-GB"/>
        </w:rPr>
        <w:t>not provide effective protection</w:t>
      </w:r>
      <w:r w:rsidR="00BE41B9" w:rsidRPr="00472492">
        <w:rPr>
          <w:rFonts w:cs="Times New Roman"/>
          <w:sz w:val="22"/>
          <w:szCs w:val="22"/>
          <w:lang w:val="en-GB"/>
        </w:rPr>
        <w:t>. The main argument of this failure is that by acknowledging such a subordinate character local communities might be protected while the State was in actual control of land</w:t>
      </w:r>
      <w:r w:rsidR="0022031F" w:rsidRPr="00472492">
        <w:rPr>
          <w:rFonts w:cs="Times New Roman"/>
          <w:sz w:val="22"/>
          <w:szCs w:val="22"/>
          <w:lang w:val="en-GB"/>
        </w:rPr>
        <w:t xml:space="preserve">. </w:t>
      </w:r>
      <w:r w:rsidR="001212D6" w:rsidRPr="00472492">
        <w:rPr>
          <w:sz w:val="22"/>
          <w:szCs w:val="22"/>
          <w:lang w:val="en-GB"/>
        </w:rPr>
        <w:t>Nonetheless, in</w:t>
      </w:r>
      <w:r w:rsidR="00475C32" w:rsidRPr="00472492">
        <w:rPr>
          <w:sz w:val="22"/>
          <w:szCs w:val="22"/>
          <w:lang w:val="en-GB"/>
        </w:rPr>
        <w:t xml:space="preserve"> the current reality, a subordinate protection of access to land is not enough. </w:t>
      </w:r>
      <w:r w:rsidR="00845149" w:rsidRPr="00472492">
        <w:rPr>
          <w:b/>
          <w:sz w:val="22"/>
          <w:szCs w:val="22"/>
          <w:lang w:val="en-GB"/>
        </w:rPr>
        <w:t>This is because c</w:t>
      </w:r>
      <w:r w:rsidR="00475C32" w:rsidRPr="00472492">
        <w:rPr>
          <w:b/>
          <w:sz w:val="22"/>
          <w:szCs w:val="22"/>
          <w:lang w:val="en-GB"/>
        </w:rPr>
        <w:t>ontrol, once exercised by the State, is now in the hands of TNCs</w:t>
      </w:r>
      <w:r w:rsidR="00475C32" w:rsidRPr="00472492">
        <w:rPr>
          <w:sz w:val="22"/>
          <w:szCs w:val="22"/>
          <w:lang w:val="en-GB"/>
        </w:rPr>
        <w:t xml:space="preserve"> and, as a result, the </w:t>
      </w:r>
      <w:r w:rsidR="00CC0349" w:rsidRPr="00472492">
        <w:rPr>
          <w:sz w:val="22"/>
          <w:szCs w:val="22"/>
          <w:lang w:val="en-GB"/>
        </w:rPr>
        <w:t xml:space="preserve">former </w:t>
      </w:r>
      <w:r w:rsidR="00475C32" w:rsidRPr="00472492">
        <w:rPr>
          <w:sz w:val="22"/>
          <w:szCs w:val="22"/>
          <w:lang w:val="en-GB"/>
        </w:rPr>
        <w:t>can no longer guarantee access to land</w:t>
      </w:r>
      <w:r w:rsidR="000C2AE6" w:rsidRPr="00472492">
        <w:rPr>
          <w:sz w:val="22"/>
          <w:szCs w:val="22"/>
          <w:lang w:val="en-GB"/>
        </w:rPr>
        <w:t>.</w:t>
      </w:r>
      <w:r w:rsidR="00475C32" w:rsidRPr="00472492">
        <w:rPr>
          <w:sz w:val="22"/>
          <w:szCs w:val="22"/>
          <w:lang w:val="en-GB"/>
        </w:rPr>
        <w:t xml:space="preserve"> Thus, the right to access to land is subordinate to the rights to food, water and housing</w:t>
      </w:r>
      <w:r w:rsidR="001B2493" w:rsidRPr="00472492">
        <w:rPr>
          <w:sz w:val="22"/>
          <w:szCs w:val="22"/>
          <w:lang w:val="en-GB"/>
        </w:rPr>
        <w:t>,</w:t>
      </w:r>
      <w:r w:rsidR="00475C32" w:rsidRPr="00472492">
        <w:rPr>
          <w:sz w:val="22"/>
          <w:szCs w:val="22"/>
          <w:lang w:val="en-GB"/>
        </w:rPr>
        <w:t xml:space="preserve"> which means </w:t>
      </w:r>
      <w:r w:rsidR="007557EA" w:rsidRPr="00472492">
        <w:rPr>
          <w:sz w:val="22"/>
          <w:szCs w:val="22"/>
          <w:lang w:val="en-GB"/>
        </w:rPr>
        <w:t xml:space="preserve">a right to land as </w:t>
      </w:r>
      <w:r w:rsidR="007557EA" w:rsidRPr="00472492">
        <w:rPr>
          <w:lang w:val="en-GB"/>
        </w:rPr>
        <w:t>such</w:t>
      </w:r>
      <w:r w:rsidR="007557EA" w:rsidRPr="00472492">
        <w:rPr>
          <w:sz w:val="22"/>
          <w:szCs w:val="22"/>
          <w:lang w:val="en-GB"/>
        </w:rPr>
        <w:t xml:space="preserve"> </w:t>
      </w:r>
      <w:r w:rsidR="00475C32" w:rsidRPr="00472492">
        <w:rPr>
          <w:sz w:val="22"/>
          <w:szCs w:val="22"/>
          <w:lang w:val="en-GB"/>
        </w:rPr>
        <w:t xml:space="preserve">cannot provide a straight protection </w:t>
      </w:r>
      <w:r w:rsidR="00140AA5" w:rsidRPr="00472492">
        <w:rPr>
          <w:sz w:val="22"/>
          <w:szCs w:val="22"/>
          <w:lang w:val="en-GB"/>
        </w:rPr>
        <w:t xml:space="preserve">to local communities </w:t>
      </w:r>
      <w:r w:rsidR="00475C32" w:rsidRPr="00472492">
        <w:rPr>
          <w:sz w:val="22"/>
          <w:szCs w:val="22"/>
          <w:lang w:val="en-GB"/>
        </w:rPr>
        <w:t xml:space="preserve">against land deprivation. </w:t>
      </w:r>
    </w:p>
    <w:p w14:paraId="6541C934" w14:textId="77777777" w:rsidR="00D17E05" w:rsidRPr="00472492" w:rsidRDefault="00D17E05" w:rsidP="00775237">
      <w:pPr>
        <w:pStyle w:val="BodyA"/>
        <w:jc w:val="both"/>
        <w:rPr>
          <w:rFonts w:ascii="Times New Roman" w:hAnsi="Times New Roman" w:cs="Times New Roman"/>
          <w:color w:val="auto"/>
          <w:sz w:val="22"/>
          <w:szCs w:val="22"/>
          <w:lang w:val="en-GB"/>
        </w:rPr>
      </w:pPr>
    </w:p>
    <w:p w14:paraId="5CF6B12E" w14:textId="79134D6E" w:rsidR="00475C32" w:rsidRPr="00472492" w:rsidRDefault="00D96F2E" w:rsidP="00775237">
      <w:pPr>
        <w:pStyle w:val="BodyA"/>
        <w:jc w:val="both"/>
        <w:rPr>
          <w:rFonts w:ascii="Times New Roman" w:hAnsi="Times New Roman" w:cs="Times New Roman"/>
          <w:color w:val="auto"/>
          <w:sz w:val="22"/>
          <w:szCs w:val="22"/>
          <w:lang w:val="en-GB"/>
        </w:rPr>
      </w:pPr>
      <w:r w:rsidRPr="00472492">
        <w:rPr>
          <w:rFonts w:ascii="Times New Roman" w:hAnsi="Times New Roman" w:cs="Times New Roman"/>
          <w:color w:val="auto"/>
          <w:sz w:val="22"/>
          <w:szCs w:val="22"/>
          <w:lang w:val="en-GB"/>
        </w:rPr>
        <w:t>As a consequence, t</w:t>
      </w:r>
      <w:r w:rsidR="000D55F8" w:rsidRPr="00472492">
        <w:rPr>
          <w:rFonts w:ascii="Times New Roman" w:hAnsi="Times New Roman" w:cs="Times New Roman"/>
          <w:color w:val="auto"/>
          <w:sz w:val="22"/>
          <w:szCs w:val="22"/>
          <w:lang w:val="en-GB"/>
        </w:rPr>
        <w:t>he Committee may consider</w:t>
      </w:r>
      <w:r w:rsidRPr="00472492">
        <w:rPr>
          <w:rFonts w:ascii="Times New Roman" w:hAnsi="Times New Roman" w:cs="Times New Roman"/>
          <w:color w:val="auto"/>
          <w:sz w:val="22"/>
          <w:szCs w:val="22"/>
          <w:lang w:val="en-GB"/>
        </w:rPr>
        <w:t xml:space="preserve"> that </w:t>
      </w:r>
      <w:r w:rsidR="000D55F8" w:rsidRPr="00472492">
        <w:rPr>
          <w:rFonts w:ascii="Times New Roman" w:hAnsi="Times New Roman" w:cs="Times New Roman"/>
          <w:color w:val="auto"/>
          <w:sz w:val="22"/>
          <w:szCs w:val="22"/>
          <w:lang w:val="en-GB"/>
        </w:rPr>
        <w:t>i</w:t>
      </w:r>
      <w:r w:rsidR="00475C32" w:rsidRPr="00472492">
        <w:rPr>
          <w:rFonts w:ascii="Times New Roman" w:hAnsi="Times New Roman" w:cs="Times New Roman"/>
          <w:color w:val="auto"/>
          <w:sz w:val="22"/>
          <w:szCs w:val="22"/>
          <w:lang w:val="en-GB"/>
        </w:rPr>
        <w:t>n the context described above the</w:t>
      </w:r>
      <w:r w:rsidR="00E47839" w:rsidRPr="00472492">
        <w:rPr>
          <w:rFonts w:ascii="Times New Roman" w:hAnsi="Times New Roman" w:cs="Times New Roman"/>
          <w:color w:val="auto"/>
          <w:sz w:val="22"/>
          <w:szCs w:val="22"/>
          <w:lang w:val="en-GB"/>
        </w:rPr>
        <w:t xml:space="preserve"> right</w:t>
      </w:r>
      <w:r w:rsidR="002B170D" w:rsidRPr="00472492">
        <w:rPr>
          <w:rFonts w:ascii="Times New Roman" w:hAnsi="Times New Roman" w:cs="Times New Roman"/>
          <w:color w:val="auto"/>
          <w:sz w:val="22"/>
          <w:szCs w:val="22"/>
          <w:lang w:val="en-GB"/>
        </w:rPr>
        <w:t xml:space="preserve"> once </w:t>
      </w:r>
      <w:r w:rsidR="001A5A88" w:rsidRPr="00472492">
        <w:rPr>
          <w:rFonts w:ascii="Times New Roman" w:hAnsi="Times New Roman" w:cs="Times New Roman"/>
          <w:color w:val="auto"/>
          <w:sz w:val="22"/>
          <w:szCs w:val="22"/>
          <w:lang w:val="en-GB"/>
        </w:rPr>
        <w:t>decreed as</w:t>
      </w:r>
      <w:r w:rsidR="007F3858" w:rsidRPr="00472492">
        <w:rPr>
          <w:rFonts w:ascii="Times New Roman" w:hAnsi="Times New Roman" w:cs="Times New Roman"/>
          <w:color w:val="auto"/>
          <w:sz w:val="22"/>
          <w:szCs w:val="22"/>
          <w:lang w:val="en-GB"/>
        </w:rPr>
        <w:t xml:space="preserve"> </w:t>
      </w:r>
      <w:r w:rsidR="00475C32" w:rsidRPr="00472492">
        <w:rPr>
          <w:rFonts w:ascii="Times New Roman" w:hAnsi="Times New Roman" w:cs="Times New Roman"/>
          <w:color w:val="auto"/>
          <w:sz w:val="22"/>
          <w:szCs w:val="22"/>
          <w:lang w:val="en-GB"/>
        </w:rPr>
        <w:t xml:space="preserve">access to land, </w:t>
      </w:r>
      <w:r w:rsidR="005203E8" w:rsidRPr="00472492">
        <w:rPr>
          <w:rFonts w:ascii="Times New Roman" w:hAnsi="Times New Roman" w:cs="Times New Roman"/>
          <w:color w:val="auto"/>
          <w:sz w:val="22"/>
          <w:szCs w:val="22"/>
          <w:lang w:val="en-GB"/>
        </w:rPr>
        <w:t>and</w:t>
      </w:r>
      <w:r w:rsidR="008E47EB" w:rsidRPr="00472492">
        <w:rPr>
          <w:rFonts w:ascii="Times New Roman" w:hAnsi="Times New Roman" w:cs="Times New Roman"/>
          <w:color w:val="auto"/>
          <w:sz w:val="22"/>
          <w:szCs w:val="22"/>
          <w:lang w:val="en-GB"/>
        </w:rPr>
        <w:t xml:space="preserve"> </w:t>
      </w:r>
      <w:r w:rsidR="00475C32" w:rsidRPr="00472492">
        <w:rPr>
          <w:rFonts w:ascii="Times New Roman" w:hAnsi="Times New Roman" w:cs="Times New Roman"/>
          <w:color w:val="auto"/>
          <w:sz w:val="22"/>
          <w:szCs w:val="22"/>
          <w:lang w:val="en-GB"/>
        </w:rPr>
        <w:t xml:space="preserve">guaranteed by the State, has </w:t>
      </w:r>
      <w:r w:rsidR="007F3858" w:rsidRPr="00472492">
        <w:rPr>
          <w:rFonts w:ascii="Times New Roman" w:hAnsi="Times New Roman" w:cs="Times New Roman"/>
          <w:color w:val="auto"/>
          <w:sz w:val="22"/>
          <w:szCs w:val="22"/>
          <w:lang w:val="en-GB"/>
        </w:rPr>
        <w:t xml:space="preserve">now </w:t>
      </w:r>
      <w:r w:rsidR="00475C32" w:rsidRPr="00472492">
        <w:rPr>
          <w:rFonts w:ascii="Times New Roman" w:hAnsi="Times New Roman" w:cs="Times New Roman"/>
          <w:color w:val="auto"/>
          <w:sz w:val="22"/>
          <w:szCs w:val="22"/>
          <w:lang w:val="en-GB"/>
        </w:rPr>
        <w:t xml:space="preserve">become the exception. The original purpose of protection, which </w:t>
      </w:r>
      <w:r w:rsidR="006821E5" w:rsidRPr="00472492">
        <w:rPr>
          <w:rFonts w:ascii="Times New Roman" w:hAnsi="Times New Roman" w:cs="Times New Roman"/>
          <w:color w:val="auto"/>
          <w:sz w:val="22"/>
          <w:szCs w:val="22"/>
          <w:lang w:val="en-GB"/>
        </w:rPr>
        <w:t xml:space="preserve">considers </w:t>
      </w:r>
      <w:r w:rsidR="00475C32" w:rsidRPr="00472492">
        <w:rPr>
          <w:rFonts w:ascii="Times New Roman" w:hAnsi="Times New Roman" w:cs="Times New Roman"/>
          <w:color w:val="auto"/>
          <w:sz w:val="22"/>
          <w:szCs w:val="22"/>
          <w:lang w:val="en-GB"/>
        </w:rPr>
        <w:t>local communities’ dependency on, and access to, land is</w:t>
      </w:r>
      <w:r w:rsidR="00247E2F" w:rsidRPr="00472492">
        <w:rPr>
          <w:rFonts w:ascii="Times New Roman" w:hAnsi="Times New Roman" w:cs="Times New Roman"/>
          <w:color w:val="auto"/>
          <w:sz w:val="22"/>
          <w:szCs w:val="22"/>
          <w:lang w:val="en-GB"/>
        </w:rPr>
        <w:t xml:space="preserve"> curren</w:t>
      </w:r>
      <w:r w:rsidR="0088488C" w:rsidRPr="00472492">
        <w:rPr>
          <w:rFonts w:ascii="Times New Roman" w:hAnsi="Times New Roman" w:cs="Times New Roman"/>
          <w:color w:val="auto"/>
          <w:sz w:val="22"/>
          <w:szCs w:val="22"/>
          <w:lang w:val="en-GB"/>
        </w:rPr>
        <w:t>tly</w:t>
      </w:r>
      <w:r w:rsidR="00475C32" w:rsidRPr="00472492">
        <w:rPr>
          <w:rFonts w:ascii="Times New Roman" w:hAnsi="Times New Roman" w:cs="Times New Roman"/>
          <w:color w:val="auto"/>
          <w:sz w:val="22"/>
          <w:szCs w:val="22"/>
          <w:lang w:val="en-GB"/>
        </w:rPr>
        <w:t xml:space="preserve"> overlooked. In other words, in the current state of affairs, it is very unlikely that the general protection of local communities’ adequate standard of living is fulfilled through the access to land. </w:t>
      </w:r>
    </w:p>
    <w:p w14:paraId="7EF806FA" w14:textId="77777777" w:rsidR="00475C32" w:rsidRPr="00472492" w:rsidRDefault="00475C32" w:rsidP="00775237">
      <w:pPr>
        <w:pStyle w:val="BodyA"/>
        <w:jc w:val="both"/>
        <w:rPr>
          <w:rFonts w:ascii="Times New Roman" w:eastAsia="Times New Roman" w:hAnsi="Times New Roman" w:cs="Times New Roman"/>
          <w:color w:val="auto"/>
          <w:sz w:val="22"/>
          <w:szCs w:val="22"/>
          <w:lang w:val="en-GB"/>
        </w:rPr>
      </w:pPr>
    </w:p>
    <w:p w14:paraId="3743CD15" w14:textId="57AD0122" w:rsidR="00C93B07" w:rsidRPr="00472492" w:rsidRDefault="00173402" w:rsidP="00775237">
      <w:pPr>
        <w:pStyle w:val="BodyA"/>
        <w:jc w:val="both"/>
        <w:rPr>
          <w:rFonts w:ascii="Times New Roman" w:hAnsi="Times New Roman" w:cs="Times New Roman"/>
          <w:color w:val="auto"/>
          <w:sz w:val="22"/>
          <w:szCs w:val="22"/>
          <w:lang w:val="en-GB"/>
        </w:rPr>
      </w:pPr>
      <w:r w:rsidRPr="00472492">
        <w:rPr>
          <w:rFonts w:ascii="Times New Roman" w:hAnsi="Times New Roman" w:cs="Times New Roman"/>
          <w:color w:val="auto"/>
          <w:sz w:val="22"/>
          <w:szCs w:val="22"/>
          <w:lang w:val="en-GB"/>
        </w:rPr>
        <w:t xml:space="preserve">In addition, </w:t>
      </w:r>
      <w:r w:rsidR="005315AD" w:rsidRPr="00472492">
        <w:rPr>
          <w:rFonts w:ascii="Times New Roman" w:hAnsi="Times New Roman" w:cs="Times New Roman"/>
          <w:color w:val="auto"/>
          <w:sz w:val="22"/>
          <w:szCs w:val="22"/>
          <w:lang w:val="en-GB"/>
        </w:rPr>
        <w:t>the</w:t>
      </w:r>
      <w:r w:rsidR="007C712A" w:rsidRPr="00472492">
        <w:rPr>
          <w:rFonts w:ascii="Times New Roman" w:hAnsi="Times New Roman" w:cs="Times New Roman"/>
          <w:color w:val="auto"/>
          <w:sz w:val="22"/>
          <w:szCs w:val="22"/>
          <w:lang w:val="en-GB"/>
        </w:rPr>
        <w:t xml:space="preserve"> </w:t>
      </w:r>
      <w:r w:rsidR="00475C32" w:rsidRPr="00472492">
        <w:rPr>
          <w:rFonts w:ascii="Times New Roman" w:hAnsi="Times New Roman" w:cs="Times New Roman"/>
          <w:color w:val="auto"/>
          <w:sz w:val="22"/>
          <w:szCs w:val="22"/>
          <w:lang w:val="en-GB"/>
        </w:rPr>
        <w:t xml:space="preserve">reality </w:t>
      </w:r>
      <w:r w:rsidR="005315AD" w:rsidRPr="00472492">
        <w:rPr>
          <w:rFonts w:ascii="Times New Roman" w:hAnsi="Times New Roman" w:cs="Times New Roman"/>
          <w:color w:val="auto"/>
          <w:sz w:val="22"/>
          <w:szCs w:val="22"/>
          <w:lang w:val="en-GB"/>
        </w:rPr>
        <w:t>for</w:t>
      </w:r>
      <w:r w:rsidR="00475C32" w:rsidRPr="00472492">
        <w:rPr>
          <w:rFonts w:ascii="Times New Roman" w:hAnsi="Times New Roman" w:cs="Times New Roman"/>
          <w:color w:val="auto"/>
          <w:sz w:val="22"/>
          <w:szCs w:val="22"/>
          <w:lang w:val="en-GB"/>
        </w:rPr>
        <w:t xml:space="preserve"> local communities </w:t>
      </w:r>
      <w:r w:rsidR="005315AD" w:rsidRPr="00472492">
        <w:rPr>
          <w:rFonts w:ascii="Times New Roman" w:hAnsi="Times New Roman" w:cs="Times New Roman"/>
          <w:color w:val="auto"/>
          <w:sz w:val="22"/>
          <w:szCs w:val="22"/>
          <w:lang w:val="en-GB"/>
        </w:rPr>
        <w:t xml:space="preserve">is </w:t>
      </w:r>
      <w:r w:rsidR="006D3BEE" w:rsidRPr="00472492">
        <w:rPr>
          <w:rFonts w:ascii="Times New Roman" w:hAnsi="Times New Roman" w:cs="Times New Roman"/>
          <w:color w:val="auto"/>
          <w:sz w:val="22"/>
          <w:szCs w:val="22"/>
          <w:lang w:val="en-GB"/>
        </w:rPr>
        <w:t xml:space="preserve">that they </w:t>
      </w:r>
      <w:r w:rsidR="00475C32" w:rsidRPr="00472492">
        <w:rPr>
          <w:rFonts w:ascii="Times New Roman" w:hAnsi="Times New Roman" w:cs="Times New Roman"/>
          <w:color w:val="auto"/>
          <w:sz w:val="22"/>
          <w:szCs w:val="22"/>
          <w:lang w:val="en-GB"/>
        </w:rPr>
        <w:t xml:space="preserve">cannot rely on the State to even provide concrete solutions to address the impact resulting from TNCs’ control of land. </w:t>
      </w:r>
      <w:r w:rsidR="000D55F8" w:rsidRPr="00472492">
        <w:rPr>
          <w:rFonts w:ascii="Times New Roman" w:hAnsi="Times New Roman" w:cs="Times New Roman"/>
          <w:color w:val="auto"/>
          <w:sz w:val="22"/>
          <w:szCs w:val="22"/>
          <w:lang w:val="en-GB"/>
        </w:rPr>
        <w:t>This is because</w:t>
      </w:r>
      <w:r w:rsidR="00475C32" w:rsidRPr="00472492">
        <w:rPr>
          <w:rFonts w:ascii="Times New Roman" w:hAnsi="Times New Roman" w:cs="Times New Roman"/>
          <w:color w:val="auto"/>
          <w:sz w:val="22"/>
          <w:szCs w:val="22"/>
          <w:lang w:val="en-GB"/>
        </w:rPr>
        <w:t xml:space="preserve"> the control TNCs wield </w:t>
      </w:r>
      <w:r w:rsidR="00C80645" w:rsidRPr="00472492">
        <w:rPr>
          <w:rFonts w:ascii="Times New Roman" w:hAnsi="Times New Roman" w:cs="Times New Roman"/>
          <w:color w:val="auto"/>
          <w:sz w:val="22"/>
          <w:szCs w:val="22"/>
          <w:lang w:val="en-GB"/>
        </w:rPr>
        <w:t>escapes a State</w:t>
      </w:r>
      <w:r w:rsidR="003C70FE" w:rsidRPr="00472492">
        <w:rPr>
          <w:rFonts w:ascii="Times New Roman" w:hAnsi="Times New Roman" w:cs="Times New Roman"/>
          <w:color w:val="auto"/>
          <w:sz w:val="22"/>
          <w:szCs w:val="22"/>
          <w:lang w:val="en-GB"/>
        </w:rPr>
        <w:t>’</w:t>
      </w:r>
      <w:r w:rsidR="00C80645" w:rsidRPr="00472492">
        <w:rPr>
          <w:rFonts w:ascii="Times New Roman" w:hAnsi="Times New Roman" w:cs="Times New Roman"/>
          <w:color w:val="auto"/>
          <w:sz w:val="22"/>
          <w:szCs w:val="22"/>
          <w:lang w:val="en-GB"/>
        </w:rPr>
        <w:t>s jurisdiction</w:t>
      </w:r>
      <w:r w:rsidR="003C70FE" w:rsidRPr="00472492">
        <w:rPr>
          <w:rFonts w:ascii="Times New Roman" w:hAnsi="Times New Roman" w:cs="Times New Roman"/>
          <w:color w:val="auto"/>
          <w:sz w:val="22"/>
          <w:szCs w:val="22"/>
          <w:lang w:val="en-GB"/>
        </w:rPr>
        <w:t>,</w:t>
      </w:r>
      <w:r w:rsidR="00C80645" w:rsidRPr="00472492">
        <w:rPr>
          <w:rFonts w:ascii="Times New Roman" w:hAnsi="Times New Roman" w:cs="Times New Roman"/>
          <w:color w:val="auto"/>
          <w:sz w:val="22"/>
          <w:szCs w:val="22"/>
          <w:lang w:val="en-GB"/>
        </w:rPr>
        <w:t xml:space="preserve"> and</w:t>
      </w:r>
      <w:r w:rsidR="002C0EA1" w:rsidRPr="00472492">
        <w:rPr>
          <w:rFonts w:ascii="Times New Roman" w:hAnsi="Times New Roman" w:cs="Times New Roman"/>
          <w:color w:val="auto"/>
          <w:sz w:val="22"/>
          <w:szCs w:val="22"/>
          <w:lang w:val="en-GB"/>
        </w:rPr>
        <w:t>/or may</w:t>
      </w:r>
      <w:r w:rsidR="006B119B" w:rsidRPr="00472492">
        <w:rPr>
          <w:rFonts w:ascii="Times New Roman" w:hAnsi="Times New Roman" w:cs="Times New Roman"/>
          <w:color w:val="auto"/>
          <w:sz w:val="22"/>
          <w:szCs w:val="22"/>
          <w:lang w:val="en-GB"/>
        </w:rPr>
        <w:t xml:space="preserve"> take place in the context </w:t>
      </w:r>
      <w:r w:rsidR="00441BE9" w:rsidRPr="00472492">
        <w:rPr>
          <w:rFonts w:ascii="Times New Roman" w:hAnsi="Times New Roman" w:cs="Times New Roman"/>
          <w:color w:val="auto"/>
          <w:sz w:val="22"/>
          <w:szCs w:val="22"/>
          <w:lang w:val="en-GB"/>
        </w:rPr>
        <w:t>of neoliberal State policies</w:t>
      </w:r>
      <w:r w:rsidR="006B119B" w:rsidRPr="00472492">
        <w:rPr>
          <w:rFonts w:ascii="Times New Roman" w:hAnsi="Times New Roman" w:cs="Times New Roman"/>
          <w:color w:val="auto"/>
          <w:sz w:val="22"/>
          <w:szCs w:val="22"/>
          <w:lang w:val="en-GB"/>
        </w:rPr>
        <w:t xml:space="preserve"> that promote </w:t>
      </w:r>
      <w:r w:rsidR="008B14F9" w:rsidRPr="00472492">
        <w:rPr>
          <w:rFonts w:ascii="Times New Roman" w:hAnsi="Times New Roman" w:cs="Times New Roman"/>
          <w:color w:val="auto"/>
          <w:sz w:val="22"/>
          <w:szCs w:val="22"/>
          <w:lang w:val="en-GB"/>
        </w:rPr>
        <w:t>this situation</w:t>
      </w:r>
      <w:r w:rsidR="002C0EA1" w:rsidRPr="00472492">
        <w:rPr>
          <w:rFonts w:ascii="Times New Roman" w:hAnsi="Times New Roman" w:cs="Times New Roman"/>
          <w:color w:val="auto"/>
          <w:sz w:val="22"/>
          <w:szCs w:val="22"/>
          <w:lang w:val="en-GB"/>
        </w:rPr>
        <w:t xml:space="preserve"> rather than </w:t>
      </w:r>
      <w:r w:rsidR="00D963A2" w:rsidRPr="00472492">
        <w:rPr>
          <w:rFonts w:ascii="Times New Roman" w:hAnsi="Times New Roman" w:cs="Times New Roman"/>
          <w:color w:val="auto"/>
          <w:sz w:val="22"/>
          <w:szCs w:val="22"/>
          <w:lang w:val="en-GB"/>
        </w:rPr>
        <w:t xml:space="preserve">offering </w:t>
      </w:r>
      <w:r w:rsidR="002C0EA1" w:rsidRPr="00472492">
        <w:rPr>
          <w:rFonts w:ascii="Times New Roman" w:hAnsi="Times New Roman" w:cs="Times New Roman"/>
          <w:color w:val="auto"/>
          <w:sz w:val="22"/>
          <w:szCs w:val="22"/>
          <w:lang w:val="en-GB"/>
        </w:rPr>
        <w:t>protecti</w:t>
      </w:r>
      <w:r w:rsidR="00D963A2" w:rsidRPr="00472492">
        <w:rPr>
          <w:rFonts w:ascii="Times New Roman" w:hAnsi="Times New Roman" w:cs="Times New Roman"/>
          <w:color w:val="auto"/>
          <w:sz w:val="22"/>
          <w:szCs w:val="22"/>
          <w:lang w:val="en-GB"/>
        </w:rPr>
        <w:t>on</w:t>
      </w:r>
      <w:r w:rsidR="002C0EA1" w:rsidRPr="00472492">
        <w:rPr>
          <w:rFonts w:ascii="Times New Roman" w:hAnsi="Times New Roman" w:cs="Times New Roman"/>
          <w:color w:val="auto"/>
          <w:sz w:val="22"/>
          <w:szCs w:val="22"/>
          <w:lang w:val="en-GB"/>
        </w:rPr>
        <w:t xml:space="preserve"> from it</w:t>
      </w:r>
      <w:r w:rsidR="00B22C75" w:rsidRPr="00472492">
        <w:rPr>
          <w:rFonts w:ascii="Times New Roman" w:hAnsi="Times New Roman" w:cs="Times New Roman"/>
          <w:color w:val="auto"/>
          <w:sz w:val="22"/>
          <w:szCs w:val="22"/>
          <w:lang w:val="en-GB"/>
        </w:rPr>
        <w:t>.</w:t>
      </w:r>
      <w:r w:rsidR="0067186E" w:rsidRPr="00472492">
        <w:rPr>
          <w:rFonts w:ascii="Times New Roman" w:hAnsi="Times New Roman" w:cs="Times New Roman"/>
          <w:color w:val="auto"/>
          <w:sz w:val="22"/>
          <w:szCs w:val="22"/>
          <w:lang w:val="en-GB"/>
        </w:rPr>
        <w:t xml:space="preserve"> </w:t>
      </w:r>
      <w:r w:rsidR="00F478F0" w:rsidRPr="00472492">
        <w:rPr>
          <w:rFonts w:ascii="Times New Roman" w:hAnsi="Times New Roman" w:cs="Times New Roman"/>
          <w:color w:val="auto"/>
          <w:sz w:val="22"/>
          <w:szCs w:val="22"/>
          <w:lang w:val="en-GB"/>
        </w:rPr>
        <w:t>Thus</w:t>
      </w:r>
      <w:r w:rsidR="00475C32" w:rsidRPr="00472492">
        <w:rPr>
          <w:rFonts w:ascii="Times New Roman" w:hAnsi="Times New Roman" w:cs="Times New Roman"/>
          <w:color w:val="auto"/>
          <w:sz w:val="22"/>
          <w:szCs w:val="22"/>
          <w:lang w:val="en-GB"/>
        </w:rPr>
        <w:t>, local communities remain in a situation of vulnerability, leading to violations of the</w:t>
      </w:r>
      <w:r w:rsidR="00980E9C" w:rsidRPr="00472492">
        <w:rPr>
          <w:rFonts w:ascii="Times New Roman" w:hAnsi="Times New Roman" w:cs="Times New Roman"/>
          <w:color w:val="auto"/>
          <w:sz w:val="22"/>
          <w:szCs w:val="22"/>
          <w:lang w:val="en-GB"/>
        </w:rPr>
        <w:t>ir</w:t>
      </w:r>
      <w:r w:rsidR="00475C32" w:rsidRPr="00472492">
        <w:rPr>
          <w:rFonts w:ascii="Times New Roman" w:hAnsi="Times New Roman" w:cs="Times New Roman"/>
          <w:color w:val="auto"/>
          <w:sz w:val="22"/>
          <w:szCs w:val="22"/>
          <w:lang w:val="en-GB"/>
        </w:rPr>
        <w:t xml:space="preserve"> minimum </w:t>
      </w:r>
      <w:r w:rsidR="00980E9C" w:rsidRPr="00472492">
        <w:rPr>
          <w:rFonts w:ascii="Times New Roman" w:hAnsi="Times New Roman" w:cs="Times New Roman"/>
          <w:color w:val="auto"/>
          <w:sz w:val="22"/>
          <w:szCs w:val="22"/>
          <w:lang w:val="en-GB"/>
        </w:rPr>
        <w:t>subsistence levels</w:t>
      </w:r>
      <w:r w:rsidR="00706F84" w:rsidRPr="00472492">
        <w:rPr>
          <w:rFonts w:ascii="Times New Roman" w:hAnsi="Times New Roman" w:cs="Times New Roman"/>
          <w:color w:val="auto"/>
          <w:sz w:val="22"/>
          <w:szCs w:val="22"/>
          <w:lang w:val="en-GB"/>
        </w:rPr>
        <w:t>,</w:t>
      </w:r>
      <w:r w:rsidR="00980E9C" w:rsidRPr="00472492">
        <w:rPr>
          <w:rFonts w:ascii="Times New Roman" w:hAnsi="Times New Roman" w:cs="Times New Roman"/>
          <w:color w:val="auto"/>
          <w:sz w:val="22"/>
          <w:szCs w:val="22"/>
          <w:lang w:val="en-GB"/>
        </w:rPr>
        <w:t xml:space="preserve"> which constitute the </w:t>
      </w:r>
      <w:r w:rsidR="00706F84" w:rsidRPr="00472492">
        <w:rPr>
          <w:rFonts w:ascii="Times New Roman" w:hAnsi="Times New Roman" w:cs="Times New Roman"/>
          <w:color w:val="auto"/>
          <w:sz w:val="22"/>
          <w:szCs w:val="22"/>
          <w:lang w:val="en-GB"/>
        </w:rPr>
        <w:t xml:space="preserve">very </w:t>
      </w:r>
      <w:r w:rsidR="00980E9C" w:rsidRPr="00472492">
        <w:rPr>
          <w:rFonts w:ascii="Times New Roman" w:hAnsi="Times New Roman" w:cs="Times New Roman"/>
          <w:color w:val="auto"/>
          <w:sz w:val="22"/>
          <w:szCs w:val="22"/>
          <w:lang w:val="en-GB"/>
        </w:rPr>
        <w:t>object and purpose of Article 11</w:t>
      </w:r>
      <w:r w:rsidR="009D34D7" w:rsidRPr="00472492">
        <w:rPr>
          <w:rFonts w:ascii="Times New Roman" w:hAnsi="Times New Roman" w:cs="Times New Roman"/>
          <w:color w:val="auto"/>
          <w:sz w:val="22"/>
          <w:szCs w:val="22"/>
          <w:lang w:val="en-GB"/>
        </w:rPr>
        <w:t xml:space="preserve"> ICESCR</w:t>
      </w:r>
      <w:r w:rsidR="00D203D5" w:rsidRPr="00472492">
        <w:rPr>
          <w:rFonts w:ascii="Times New Roman" w:hAnsi="Times New Roman" w:cs="Times New Roman"/>
          <w:color w:val="auto"/>
          <w:sz w:val="22"/>
          <w:szCs w:val="22"/>
          <w:lang w:val="en-GB"/>
        </w:rPr>
        <w:t xml:space="preserve">. </w:t>
      </w:r>
      <w:r w:rsidRPr="00472492">
        <w:rPr>
          <w:rFonts w:ascii="Times New Roman" w:hAnsi="Times New Roman" w:cs="Times New Roman"/>
          <w:color w:val="auto"/>
          <w:sz w:val="22"/>
          <w:szCs w:val="22"/>
          <w:lang w:val="en-GB"/>
        </w:rPr>
        <w:t>This situation exposes the unsuitability of the subordinate character of the right to access to land</w:t>
      </w:r>
      <w:r w:rsidR="009D34D7" w:rsidRPr="00472492">
        <w:rPr>
          <w:rFonts w:ascii="Times New Roman" w:hAnsi="Times New Roman" w:cs="Times New Roman"/>
          <w:color w:val="auto"/>
          <w:sz w:val="22"/>
          <w:szCs w:val="22"/>
          <w:lang w:val="en-GB"/>
        </w:rPr>
        <w:t>,</w:t>
      </w:r>
      <w:r w:rsidR="007C712A" w:rsidRPr="00472492">
        <w:rPr>
          <w:rFonts w:ascii="Times New Roman" w:hAnsi="Times New Roman" w:cs="Times New Roman"/>
          <w:color w:val="auto"/>
          <w:sz w:val="22"/>
          <w:szCs w:val="22"/>
          <w:lang w:val="en-GB"/>
        </w:rPr>
        <w:t xml:space="preserve"> as its current scope of protection </w:t>
      </w:r>
      <w:r w:rsidR="002B6AFB" w:rsidRPr="00472492">
        <w:rPr>
          <w:rFonts w:ascii="Times New Roman" w:hAnsi="Times New Roman" w:cs="Times New Roman"/>
          <w:color w:val="auto"/>
          <w:sz w:val="22"/>
          <w:szCs w:val="22"/>
          <w:lang w:val="en-GB"/>
        </w:rPr>
        <w:t xml:space="preserve">cannot guarantee the purpose </w:t>
      </w:r>
      <w:r w:rsidR="005B3CD1" w:rsidRPr="00472492">
        <w:rPr>
          <w:rFonts w:ascii="Times New Roman" w:hAnsi="Times New Roman" w:cs="Times New Roman"/>
          <w:color w:val="auto"/>
          <w:sz w:val="22"/>
          <w:szCs w:val="22"/>
          <w:lang w:val="en-GB"/>
        </w:rPr>
        <w:t>for</w:t>
      </w:r>
      <w:r w:rsidR="002B6AFB" w:rsidRPr="00472492">
        <w:rPr>
          <w:rFonts w:ascii="Times New Roman" w:hAnsi="Times New Roman" w:cs="Times New Roman"/>
          <w:color w:val="auto"/>
          <w:sz w:val="22"/>
          <w:szCs w:val="22"/>
          <w:lang w:val="en-GB"/>
        </w:rPr>
        <w:t xml:space="preserve"> which it </w:t>
      </w:r>
      <w:r w:rsidR="005B3CD1" w:rsidRPr="00472492">
        <w:rPr>
          <w:rFonts w:ascii="Times New Roman" w:hAnsi="Times New Roman" w:cs="Times New Roman"/>
          <w:color w:val="auto"/>
          <w:sz w:val="22"/>
          <w:szCs w:val="22"/>
          <w:lang w:val="en-GB"/>
        </w:rPr>
        <w:t>w</w:t>
      </w:r>
      <w:r w:rsidR="002B6AFB" w:rsidRPr="00472492">
        <w:rPr>
          <w:rFonts w:ascii="Times New Roman" w:hAnsi="Times New Roman" w:cs="Times New Roman"/>
          <w:color w:val="auto"/>
          <w:sz w:val="22"/>
          <w:szCs w:val="22"/>
          <w:lang w:val="en-GB"/>
        </w:rPr>
        <w:t>as conceived</w:t>
      </w:r>
      <w:r w:rsidR="007C712A" w:rsidRPr="00472492">
        <w:rPr>
          <w:rFonts w:ascii="Times New Roman" w:hAnsi="Times New Roman" w:cs="Times New Roman"/>
          <w:color w:val="auto"/>
          <w:sz w:val="22"/>
          <w:szCs w:val="22"/>
          <w:lang w:val="en-GB"/>
        </w:rPr>
        <w:t>.</w:t>
      </w:r>
      <w:r w:rsidRPr="00472492">
        <w:rPr>
          <w:rFonts w:ascii="Times New Roman" w:hAnsi="Times New Roman" w:cs="Times New Roman"/>
          <w:color w:val="auto"/>
          <w:sz w:val="22"/>
          <w:szCs w:val="22"/>
          <w:lang w:val="en-GB"/>
        </w:rPr>
        <w:t xml:space="preserve"> </w:t>
      </w:r>
      <w:r w:rsidR="007C712A" w:rsidRPr="00472492">
        <w:rPr>
          <w:rFonts w:ascii="Times New Roman" w:hAnsi="Times New Roman" w:cs="Times New Roman"/>
          <w:color w:val="auto"/>
          <w:sz w:val="22"/>
          <w:szCs w:val="22"/>
          <w:lang w:val="en-GB"/>
        </w:rPr>
        <w:t>T</w:t>
      </w:r>
      <w:r w:rsidR="0005542F" w:rsidRPr="00472492">
        <w:rPr>
          <w:rFonts w:ascii="Times New Roman" w:hAnsi="Times New Roman" w:cs="Times New Roman"/>
          <w:color w:val="auto"/>
          <w:sz w:val="22"/>
          <w:szCs w:val="22"/>
          <w:lang w:val="en-GB"/>
        </w:rPr>
        <w:t>h</w:t>
      </w:r>
      <w:r w:rsidR="00070DB2" w:rsidRPr="00472492">
        <w:rPr>
          <w:rFonts w:ascii="Times New Roman" w:hAnsi="Times New Roman" w:cs="Times New Roman"/>
          <w:color w:val="auto"/>
          <w:sz w:val="22"/>
          <w:szCs w:val="22"/>
          <w:lang w:val="en-GB"/>
        </w:rPr>
        <w:t>is</w:t>
      </w:r>
      <w:r w:rsidR="0005542F" w:rsidRPr="00472492">
        <w:rPr>
          <w:rFonts w:ascii="Times New Roman" w:hAnsi="Times New Roman" w:cs="Times New Roman"/>
          <w:color w:val="auto"/>
          <w:sz w:val="22"/>
          <w:szCs w:val="22"/>
          <w:lang w:val="en-GB"/>
        </w:rPr>
        <w:t xml:space="preserve"> </w:t>
      </w:r>
      <w:r w:rsidRPr="00472492">
        <w:rPr>
          <w:rFonts w:ascii="Times New Roman" w:hAnsi="Times New Roman" w:cs="Times New Roman"/>
          <w:color w:val="auto"/>
          <w:sz w:val="22"/>
          <w:szCs w:val="22"/>
          <w:lang w:val="en-GB"/>
        </w:rPr>
        <w:t>lead</w:t>
      </w:r>
      <w:r w:rsidR="00070DB2" w:rsidRPr="00472492">
        <w:rPr>
          <w:rFonts w:ascii="Times New Roman" w:hAnsi="Times New Roman" w:cs="Times New Roman"/>
          <w:color w:val="auto"/>
          <w:sz w:val="22"/>
          <w:szCs w:val="22"/>
          <w:lang w:val="en-GB"/>
        </w:rPr>
        <w:t>s</w:t>
      </w:r>
      <w:r w:rsidRPr="00472492">
        <w:rPr>
          <w:rFonts w:ascii="Times New Roman" w:hAnsi="Times New Roman" w:cs="Times New Roman"/>
          <w:color w:val="auto"/>
          <w:sz w:val="22"/>
          <w:szCs w:val="22"/>
          <w:lang w:val="en-GB"/>
        </w:rPr>
        <w:t xml:space="preserve"> to a mandatory evolutive interpretation of </w:t>
      </w:r>
      <w:r w:rsidR="007C712A" w:rsidRPr="00472492">
        <w:rPr>
          <w:rFonts w:ascii="Times New Roman" w:hAnsi="Times New Roman" w:cs="Times New Roman"/>
          <w:color w:val="auto"/>
          <w:sz w:val="22"/>
          <w:szCs w:val="22"/>
          <w:lang w:val="en-GB"/>
        </w:rPr>
        <w:t xml:space="preserve">such </w:t>
      </w:r>
      <w:r w:rsidRPr="00472492">
        <w:rPr>
          <w:rFonts w:ascii="Times New Roman" w:hAnsi="Times New Roman" w:cs="Times New Roman"/>
          <w:color w:val="auto"/>
          <w:sz w:val="22"/>
          <w:szCs w:val="22"/>
          <w:lang w:val="en-GB"/>
        </w:rPr>
        <w:t>scope of land protection</w:t>
      </w:r>
      <w:r w:rsidR="002B6AFB" w:rsidRPr="00472492">
        <w:rPr>
          <w:rFonts w:ascii="Times New Roman" w:hAnsi="Times New Roman" w:cs="Times New Roman"/>
          <w:color w:val="auto"/>
          <w:sz w:val="22"/>
          <w:szCs w:val="22"/>
          <w:lang w:val="en-GB"/>
        </w:rPr>
        <w:t xml:space="preserve"> (access to land) of </w:t>
      </w:r>
      <w:r w:rsidRPr="00472492">
        <w:rPr>
          <w:rFonts w:ascii="Times New Roman" w:hAnsi="Times New Roman" w:cs="Times New Roman"/>
          <w:color w:val="auto"/>
          <w:sz w:val="22"/>
          <w:szCs w:val="22"/>
          <w:lang w:val="en-GB"/>
        </w:rPr>
        <w:t>Article 11</w:t>
      </w:r>
      <w:r w:rsidR="00D203D5" w:rsidRPr="00472492">
        <w:rPr>
          <w:rFonts w:ascii="Times New Roman" w:hAnsi="Times New Roman" w:cs="Times New Roman"/>
          <w:color w:val="auto"/>
          <w:sz w:val="22"/>
          <w:szCs w:val="22"/>
          <w:lang w:val="en-GB"/>
        </w:rPr>
        <w:t xml:space="preserve"> ICESCR</w:t>
      </w:r>
      <w:r w:rsidRPr="00472492">
        <w:rPr>
          <w:rFonts w:ascii="Times New Roman" w:hAnsi="Times New Roman" w:cs="Times New Roman"/>
          <w:color w:val="auto"/>
          <w:sz w:val="22"/>
          <w:szCs w:val="22"/>
          <w:lang w:val="en-GB"/>
        </w:rPr>
        <w:t xml:space="preserve">. </w:t>
      </w:r>
    </w:p>
    <w:p w14:paraId="33EAD5B9" w14:textId="77777777" w:rsidR="004D4573" w:rsidRPr="00472492" w:rsidRDefault="004D4573" w:rsidP="00775237">
      <w:pPr>
        <w:jc w:val="both"/>
        <w:rPr>
          <w:b/>
          <w:sz w:val="22"/>
          <w:szCs w:val="22"/>
          <w:lang w:val="en-GB"/>
        </w:rPr>
      </w:pPr>
    </w:p>
    <w:p w14:paraId="3C247608" w14:textId="433D8404" w:rsidR="00DB21A7" w:rsidRPr="0077621F" w:rsidRDefault="00D56C19" w:rsidP="00775237">
      <w:pPr>
        <w:pStyle w:val="ListParagraph"/>
        <w:numPr>
          <w:ilvl w:val="0"/>
          <w:numId w:val="4"/>
        </w:numPr>
        <w:jc w:val="both"/>
        <w:rPr>
          <w:b/>
          <w:sz w:val="22"/>
          <w:szCs w:val="22"/>
          <w:lang w:val="en-GB"/>
        </w:rPr>
      </w:pPr>
      <w:r w:rsidRPr="0077621F">
        <w:rPr>
          <w:b/>
          <w:sz w:val="22"/>
          <w:szCs w:val="22"/>
          <w:lang w:val="en-GB"/>
        </w:rPr>
        <w:t xml:space="preserve">The basis for an </w:t>
      </w:r>
      <w:r w:rsidR="00DC5195" w:rsidRPr="0077621F">
        <w:rPr>
          <w:b/>
          <w:sz w:val="22"/>
          <w:szCs w:val="22"/>
          <w:lang w:val="en-GB"/>
        </w:rPr>
        <w:t>e</w:t>
      </w:r>
      <w:r w:rsidR="00DB21A7" w:rsidRPr="0077621F">
        <w:rPr>
          <w:b/>
          <w:sz w:val="22"/>
          <w:szCs w:val="22"/>
          <w:lang w:val="en-GB"/>
        </w:rPr>
        <w:t>voluti</w:t>
      </w:r>
      <w:r w:rsidR="0021773B" w:rsidRPr="0077621F">
        <w:rPr>
          <w:b/>
          <w:sz w:val="22"/>
          <w:szCs w:val="22"/>
          <w:lang w:val="en-GB"/>
        </w:rPr>
        <w:t>ve interpretation of Article 11</w:t>
      </w:r>
      <w:r w:rsidR="00D203D5" w:rsidRPr="0077621F">
        <w:rPr>
          <w:b/>
          <w:sz w:val="22"/>
          <w:szCs w:val="22"/>
          <w:lang w:val="en-GB"/>
        </w:rPr>
        <w:t xml:space="preserve"> </w:t>
      </w:r>
      <w:r w:rsidR="00D203D5" w:rsidRPr="0077621F">
        <w:rPr>
          <w:rFonts w:cs="Times New Roman"/>
          <w:b/>
          <w:sz w:val="22"/>
          <w:szCs w:val="22"/>
          <w:lang w:val="en-GB"/>
        </w:rPr>
        <w:t>ICESCR</w:t>
      </w:r>
      <w:r w:rsidR="0021773B" w:rsidRPr="0077621F">
        <w:rPr>
          <w:b/>
          <w:sz w:val="22"/>
          <w:szCs w:val="22"/>
          <w:lang w:val="en-GB"/>
        </w:rPr>
        <w:t xml:space="preserve">: </w:t>
      </w:r>
      <w:r w:rsidR="00D203D5" w:rsidRPr="0077621F">
        <w:rPr>
          <w:b/>
          <w:sz w:val="22"/>
          <w:szCs w:val="22"/>
          <w:lang w:val="en-GB"/>
        </w:rPr>
        <w:t>A human right to</w:t>
      </w:r>
      <w:r w:rsidR="00F8580C">
        <w:rPr>
          <w:b/>
          <w:sz w:val="22"/>
          <w:szCs w:val="22"/>
          <w:lang w:val="en-GB"/>
        </w:rPr>
        <w:t xml:space="preserve"> access, use and control land.</w:t>
      </w:r>
    </w:p>
    <w:p w14:paraId="5294416F" w14:textId="11E62DE3" w:rsidR="00DB21A7" w:rsidRPr="00630EF4" w:rsidRDefault="00DB21A7" w:rsidP="00775237">
      <w:pPr>
        <w:pStyle w:val="BodyA"/>
        <w:jc w:val="both"/>
        <w:rPr>
          <w:b/>
          <w:color w:val="auto"/>
          <w:sz w:val="22"/>
          <w:szCs w:val="22"/>
          <w:lang w:val="en-GB"/>
        </w:rPr>
      </w:pPr>
    </w:p>
    <w:p w14:paraId="5F749486" w14:textId="4EC98171" w:rsidR="00475C32" w:rsidRPr="00472492" w:rsidRDefault="00706F84" w:rsidP="00775237">
      <w:pPr>
        <w:pStyle w:val="BodyA"/>
        <w:jc w:val="both"/>
        <w:rPr>
          <w:rFonts w:ascii="Times New Roman" w:hAnsi="Times New Roman" w:cs="Times New Roman"/>
          <w:color w:val="auto"/>
          <w:sz w:val="22"/>
          <w:szCs w:val="22"/>
          <w:lang w:val="en-GB"/>
        </w:rPr>
      </w:pPr>
      <w:r w:rsidRPr="00472492">
        <w:rPr>
          <w:rFonts w:ascii="Times New Roman" w:hAnsi="Times New Roman" w:cs="Times New Roman"/>
          <w:color w:val="auto"/>
          <w:sz w:val="22"/>
          <w:szCs w:val="22"/>
          <w:lang w:val="en-GB"/>
        </w:rPr>
        <w:t xml:space="preserve">If </w:t>
      </w:r>
      <w:r w:rsidR="004E4362" w:rsidRPr="00472492">
        <w:rPr>
          <w:rFonts w:ascii="Times New Roman" w:hAnsi="Times New Roman" w:cs="Times New Roman"/>
          <w:color w:val="auto"/>
          <w:sz w:val="22"/>
          <w:szCs w:val="22"/>
          <w:lang w:val="en-GB"/>
        </w:rPr>
        <w:t>the right to access to land recognised within Article 11</w:t>
      </w:r>
      <w:r w:rsidR="006B691D" w:rsidRPr="00472492">
        <w:rPr>
          <w:rFonts w:ascii="Times New Roman" w:hAnsi="Times New Roman" w:cs="Times New Roman"/>
          <w:color w:val="auto"/>
          <w:sz w:val="22"/>
          <w:szCs w:val="22"/>
          <w:lang w:val="en-GB"/>
        </w:rPr>
        <w:t xml:space="preserve"> ICESCR</w:t>
      </w:r>
      <w:r w:rsidR="004E4362" w:rsidRPr="00472492">
        <w:rPr>
          <w:rFonts w:ascii="Times New Roman" w:hAnsi="Times New Roman" w:cs="Times New Roman"/>
          <w:color w:val="auto"/>
          <w:sz w:val="22"/>
          <w:szCs w:val="22"/>
          <w:lang w:val="en-GB"/>
        </w:rPr>
        <w:t xml:space="preserve"> on the right to an adequate standard of living is</w:t>
      </w:r>
      <w:r w:rsidRPr="00472492">
        <w:rPr>
          <w:rFonts w:ascii="Times New Roman" w:hAnsi="Times New Roman" w:cs="Times New Roman"/>
          <w:color w:val="auto"/>
          <w:sz w:val="22"/>
          <w:szCs w:val="22"/>
          <w:lang w:val="en-GB"/>
        </w:rPr>
        <w:t xml:space="preserve"> acknowledged as</w:t>
      </w:r>
      <w:r w:rsidR="004E4362" w:rsidRPr="00472492">
        <w:rPr>
          <w:rFonts w:ascii="Times New Roman" w:hAnsi="Times New Roman" w:cs="Times New Roman"/>
          <w:color w:val="auto"/>
          <w:sz w:val="22"/>
          <w:szCs w:val="22"/>
          <w:lang w:val="en-GB"/>
        </w:rPr>
        <w:t xml:space="preserve"> ineffective </w:t>
      </w:r>
      <w:r w:rsidR="009254BC" w:rsidRPr="00472492">
        <w:rPr>
          <w:rFonts w:ascii="Times New Roman" w:hAnsi="Times New Roman" w:cs="Times New Roman"/>
          <w:color w:val="auto"/>
          <w:sz w:val="22"/>
          <w:szCs w:val="22"/>
          <w:lang w:val="en-GB"/>
        </w:rPr>
        <w:t>to guarantee its purpose,</w:t>
      </w:r>
      <w:r w:rsidR="004E4362" w:rsidRPr="00472492">
        <w:rPr>
          <w:rFonts w:ascii="Times New Roman" w:hAnsi="Times New Roman" w:cs="Times New Roman"/>
          <w:color w:val="auto"/>
          <w:sz w:val="22"/>
          <w:szCs w:val="22"/>
          <w:lang w:val="en-GB"/>
        </w:rPr>
        <w:t xml:space="preserve"> </w:t>
      </w:r>
      <w:r w:rsidR="00475C32" w:rsidRPr="00472492">
        <w:rPr>
          <w:rFonts w:ascii="Times New Roman" w:hAnsi="Times New Roman" w:cs="Times New Roman"/>
          <w:color w:val="auto"/>
          <w:sz w:val="22"/>
          <w:szCs w:val="22"/>
          <w:lang w:val="en-GB"/>
        </w:rPr>
        <w:t>it is the duty of the interpreter to examine the causes of that failure, so as to deliver an interpretation capable of guarant</w:t>
      </w:r>
      <w:r w:rsidR="00A1322E" w:rsidRPr="00472492">
        <w:rPr>
          <w:rFonts w:ascii="Times New Roman" w:hAnsi="Times New Roman" w:cs="Times New Roman"/>
          <w:color w:val="auto"/>
          <w:sz w:val="22"/>
          <w:szCs w:val="22"/>
          <w:lang w:val="en-GB"/>
        </w:rPr>
        <w:t>ee</w:t>
      </w:r>
      <w:r w:rsidR="00475C32" w:rsidRPr="00472492">
        <w:rPr>
          <w:rFonts w:ascii="Times New Roman" w:hAnsi="Times New Roman" w:cs="Times New Roman"/>
          <w:color w:val="auto"/>
          <w:sz w:val="22"/>
          <w:szCs w:val="22"/>
          <w:lang w:val="en-GB"/>
        </w:rPr>
        <w:t xml:space="preserve">ing effective protection. </w:t>
      </w:r>
      <w:r w:rsidR="00611471" w:rsidRPr="00472492">
        <w:rPr>
          <w:rFonts w:ascii="Times New Roman" w:hAnsi="Times New Roman" w:cs="Times New Roman"/>
          <w:color w:val="auto"/>
          <w:sz w:val="22"/>
          <w:szCs w:val="22"/>
          <w:lang w:val="en-GB"/>
        </w:rPr>
        <w:t xml:space="preserve"> Based on </w:t>
      </w:r>
      <w:r w:rsidR="00475C32" w:rsidRPr="00472492">
        <w:rPr>
          <w:rFonts w:ascii="Times New Roman" w:hAnsi="Times New Roman" w:cs="Times New Roman"/>
          <w:color w:val="auto"/>
          <w:sz w:val="22"/>
          <w:szCs w:val="22"/>
          <w:lang w:val="en-GB"/>
        </w:rPr>
        <w:t>the conclusion of the effectiveness analysis above,</w:t>
      </w:r>
      <w:r w:rsidR="00611471" w:rsidRPr="00472492">
        <w:rPr>
          <w:rFonts w:ascii="Times New Roman" w:hAnsi="Times New Roman" w:cs="Times New Roman"/>
          <w:color w:val="auto"/>
          <w:sz w:val="22"/>
          <w:szCs w:val="22"/>
          <w:lang w:val="en-GB"/>
        </w:rPr>
        <w:t xml:space="preserve"> this contribution argues that </w:t>
      </w:r>
      <w:r w:rsidR="00475C32" w:rsidRPr="00472492">
        <w:rPr>
          <w:rFonts w:ascii="Times New Roman" w:hAnsi="Times New Roman" w:cs="Times New Roman"/>
          <w:color w:val="auto"/>
          <w:sz w:val="22"/>
          <w:szCs w:val="22"/>
          <w:lang w:val="en-GB"/>
        </w:rPr>
        <w:t>the reason why the right to access to land is not effective</w:t>
      </w:r>
      <w:r w:rsidR="00611471" w:rsidRPr="00472492">
        <w:rPr>
          <w:rFonts w:ascii="Times New Roman" w:hAnsi="Times New Roman" w:cs="Times New Roman"/>
          <w:color w:val="auto"/>
          <w:sz w:val="22"/>
          <w:szCs w:val="22"/>
          <w:lang w:val="en-GB"/>
        </w:rPr>
        <w:t>,</w:t>
      </w:r>
      <w:r w:rsidR="00475C32" w:rsidRPr="00472492">
        <w:rPr>
          <w:rFonts w:ascii="Times New Roman" w:hAnsi="Times New Roman" w:cs="Times New Roman"/>
          <w:color w:val="auto"/>
          <w:sz w:val="22"/>
          <w:szCs w:val="22"/>
          <w:lang w:val="en-GB"/>
        </w:rPr>
        <w:t xml:space="preserve"> lies in the fact that the State is not in control of land use</w:t>
      </w:r>
      <w:r w:rsidR="00B12CD1" w:rsidRPr="00472492">
        <w:rPr>
          <w:rFonts w:ascii="Times New Roman" w:hAnsi="Times New Roman" w:cs="Times New Roman"/>
          <w:color w:val="auto"/>
          <w:sz w:val="22"/>
          <w:szCs w:val="22"/>
          <w:lang w:val="en-GB"/>
        </w:rPr>
        <w:t xml:space="preserve"> </w:t>
      </w:r>
      <w:r w:rsidRPr="00472492">
        <w:rPr>
          <w:rFonts w:ascii="Times New Roman" w:hAnsi="Times New Roman" w:cs="Times New Roman"/>
          <w:color w:val="auto"/>
          <w:sz w:val="22"/>
          <w:szCs w:val="22"/>
          <w:lang w:val="en-GB"/>
        </w:rPr>
        <w:t>as it</w:t>
      </w:r>
      <w:r w:rsidR="006F6317" w:rsidRPr="00472492">
        <w:rPr>
          <w:rFonts w:ascii="Times New Roman" w:hAnsi="Times New Roman" w:cs="Times New Roman"/>
          <w:color w:val="auto"/>
          <w:sz w:val="22"/>
          <w:szCs w:val="22"/>
          <w:lang w:val="en-GB"/>
        </w:rPr>
        <w:t xml:space="preserve"> </w:t>
      </w:r>
      <w:r w:rsidR="00475C32" w:rsidRPr="00472492">
        <w:rPr>
          <w:rFonts w:ascii="Times New Roman" w:hAnsi="Times New Roman" w:cs="Times New Roman"/>
          <w:color w:val="auto"/>
          <w:sz w:val="22"/>
          <w:szCs w:val="22"/>
          <w:lang w:val="en-GB"/>
        </w:rPr>
        <w:t>is instead in the hands of TNCs in control of the value chain</w:t>
      </w:r>
      <w:r w:rsidR="00FA1EF8" w:rsidRPr="00472492">
        <w:rPr>
          <w:rFonts w:ascii="Times New Roman" w:hAnsi="Times New Roman" w:cs="Times New Roman"/>
          <w:color w:val="auto"/>
          <w:sz w:val="22"/>
          <w:szCs w:val="22"/>
          <w:lang w:val="en-GB"/>
        </w:rPr>
        <w:t xml:space="preserve"> </w:t>
      </w:r>
      <w:r w:rsidR="0076562A" w:rsidRPr="00472492">
        <w:rPr>
          <w:rFonts w:ascii="Times New Roman" w:hAnsi="Times New Roman" w:cs="Times New Roman"/>
          <w:color w:val="auto"/>
          <w:sz w:val="22"/>
          <w:szCs w:val="22"/>
          <w:lang w:val="en-GB"/>
        </w:rPr>
        <w:t xml:space="preserve">in the form </w:t>
      </w:r>
      <w:r w:rsidR="00FA1EF8" w:rsidRPr="00472492">
        <w:rPr>
          <w:rFonts w:ascii="Times New Roman" w:hAnsi="Times New Roman" w:cs="Times New Roman"/>
          <w:color w:val="auto"/>
          <w:sz w:val="22"/>
          <w:szCs w:val="22"/>
          <w:lang w:val="en-GB"/>
        </w:rPr>
        <w:t>of several businesses meant for international trade</w:t>
      </w:r>
      <w:r w:rsidR="00475C32" w:rsidRPr="00472492">
        <w:rPr>
          <w:rFonts w:ascii="Times New Roman" w:hAnsi="Times New Roman" w:cs="Times New Roman"/>
          <w:color w:val="auto"/>
          <w:sz w:val="22"/>
          <w:szCs w:val="22"/>
          <w:lang w:val="en-GB"/>
        </w:rPr>
        <w:t xml:space="preserve">. </w:t>
      </w:r>
    </w:p>
    <w:p w14:paraId="1672C5C7" w14:textId="77777777" w:rsidR="00475C32" w:rsidRPr="00472492" w:rsidRDefault="00475C32" w:rsidP="00775237">
      <w:pPr>
        <w:pStyle w:val="BodyA"/>
        <w:jc w:val="both"/>
        <w:rPr>
          <w:rFonts w:ascii="Times New Roman" w:hAnsi="Times New Roman" w:cs="Times New Roman"/>
          <w:color w:val="auto"/>
          <w:sz w:val="22"/>
          <w:szCs w:val="22"/>
          <w:lang w:val="en-GB"/>
        </w:rPr>
      </w:pPr>
    </w:p>
    <w:p w14:paraId="4C1A28C0" w14:textId="6C690AF9" w:rsidR="00475C32" w:rsidRPr="00472492" w:rsidRDefault="00D264D8" w:rsidP="00BE0F1F">
      <w:pPr>
        <w:jc w:val="both"/>
        <w:rPr>
          <w:sz w:val="22"/>
          <w:szCs w:val="22"/>
          <w:lang w:val="en-GB"/>
        </w:rPr>
      </w:pPr>
      <w:r w:rsidRPr="00472492">
        <w:rPr>
          <w:rFonts w:cs="Times New Roman"/>
          <w:b/>
          <w:sz w:val="22"/>
          <w:szCs w:val="22"/>
          <w:lang w:val="en-GB"/>
        </w:rPr>
        <w:t>S</w:t>
      </w:r>
      <w:r w:rsidR="00475C32" w:rsidRPr="00472492">
        <w:rPr>
          <w:rFonts w:cs="Times New Roman"/>
          <w:b/>
          <w:sz w:val="22"/>
          <w:szCs w:val="22"/>
          <w:lang w:val="en-GB"/>
        </w:rPr>
        <w:t xml:space="preserve">uch change is framed by a shift in the political economic model </w:t>
      </w:r>
      <w:r w:rsidR="00FB3765" w:rsidRPr="00472492">
        <w:rPr>
          <w:rFonts w:cs="Times New Roman"/>
          <w:b/>
          <w:sz w:val="22"/>
          <w:szCs w:val="22"/>
          <w:lang w:val="en-GB"/>
        </w:rPr>
        <w:t xml:space="preserve">of a State </w:t>
      </w:r>
      <w:r w:rsidR="00475C32" w:rsidRPr="00472492">
        <w:rPr>
          <w:rFonts w:cs="Times New Roman"/>
          <w:b/>
          <w:sz w:val="22"/>
          <w:szCs w:val="22"/>
          <w:lang w:val="en-GB"/>
        </w:rPr>
        <w:t>from a socio-liberal to a neoliberal one.</w:t>
      </w:r>
      <w:r w:rsidR="00475C32" w:rsidRPr="00472492">
        <w:rPr>
          <w:rFonts w:cs="Times New Roman"/>
          <w:sz w:val="22"/>
          <w:szCs w:val="22"/>
          <w:lang w:val="en-GB"/>
        </w:rPr>
        <w:t xml:space="preserve"> Therefore, Article 11 should be interpreted according to the evolutive principle with the aim of taking into account the effects of such a shift on the protection of local communities’ adequate standard of living, and provide them with effective protection.</w:t>
      </w:r>
      <w:r w:rsidR="0015233F" w:rsidRPr="00630EF4">
        <w:rPr>
          <w:rStyle w:val="FootnoteReference"/>
          <w:rFonts w:cs="Times New Roman"/>
          <w:sz w:val="22"/>
          <w:szCs w:val="22"/>
          <w:lang w:val="en-GB"/>
        </w:rPr>
        <w:footnoteReference w:id="17"/>
      </w:r>
      <w:r w:rsidR="00475C32" w:rsidRPr="00472492">
        <w:rPr>
          <w:rFonts w:cs="Times New Roman"/>
          <w:sz w:val="22"/>
          <w:szCs w:val="22"/>
          <w:lang w:val="en-GB"/>
        </w:rPr>
        <w:t xml:space="preserve"> </w:t>
      </w:r>
      <w:r w:rsidRPr="00472492">
        <w:rPr>
          <w:rFonts w:cs="Times New Roman"/>
          <w:sz w:val="22"/>
          <w:szCs w:val="22"/>
          <w:lang w:val="en-GB"/>
        </w:rPr>
        <w:t>The evolutive principle is of mandatory application in the interpretation of human rights treaties</w:t>
      </w:r>
      <w:r w:rsidR="000940AB" w:rsidRPr="00472492">
        <w:rPr>
          <w:rFonts w:cs="Times New Roman"/>
          <w:sz w:val="22"/>
          <w:szCs w:val="22"/>
          <w:lang w:val="en-GB"/>
        </w:rPr>
        <w:t>. It has in fact</w:t>
      </w:r>
      <w:r w:rsidRPr="00472492">
        <w:rPr>
          <w:rFonts w:cs="Times New Roman"/>
          <w:sz w:val="22"/>
          <w:szCs w:val="22"/>
          <w:lang w:val="en-GB"/>
        </w:rPr>
        <w:t xml:space="preserve"> been applied by the</w:t>
      </w:r>
      <w:r w:rsidR="0022241F" w:rsidRPr="00472492">
        <w:rPr>
          <w:rFonts w:cs="Times New Roman"/>
          <w:sz w:val="22"/>
          <w:szCs w:val="22"/>
          <w:lang w:val="en-GB"/>
        </w:rPr>
        <w:t xml:space="preserve"> Committee </w:t>
      </w:r>
      <w:r w:rsidRPr="00472492">
        <w:rPr>
          <w:rFonts w:cs="Times New Roman"/>
          <w:sz w:val="22"/>
          <w:szCs w:val="22"/>
          <w:lang w:val="en-GB"/>
        </w:rPr>
        <w:t>in a number of general comments</w:t>
      </w:r>
      <w:r w:rsidR="00E50E3C" w:rsidRPr="00472492">
        <w:rPr>
          <w:rFonts w:cs="Times New Roman"/>
          <w:sz w:val="22"/>
          <w:szCs w:val="22"/>
          <w:lang w:val="en-GB"/>
        </w:rPr>
        <w:t xml:space="preserve">, </w:t>
      </w:r>
      <w:r w:rsidRPr="00472492">
        <w:rPr>
          <w:sz w:val="22"/>
          <w:szCs w:val="22"/>
          <w:lang w:val="en-GB"/>
        </w:rPr>
        <w:t>reco</w:t>
      </w:r>
      <w:r w:rsidR="00DA253A" w:rsidRPr="00472492">
        <w:rPr>
          <w:sz w:val="22"/>
          <w:szCs w:val="22"/>
          <w:lang w:val="en-GB"/>
        </w:rPr>
        <w:t>gnis</w:t>
      </w:r>
      <w:r w:rsidR="00E50E3C" w:rsidRPr="00472492">
        <w:rPr>
          <w:sz w:val="22"/>
          <w:szCs w:val="22"/>
          <w:lang w:val="en-GB"/>
        </w:rPr>
        <w:t xml:space="preserve">ing </w:t>
      </w:r>
      <w:r w:rsidR="00DA253A" w:rsidRPr="00472492">
        <w:rPr>
          <w:sz w:val="22"/>
          <w:szCs w:val="22"/>
          <w:lang w:val="en-GB"/>
        </w:rPr>
        <w:t>that context and time</w:t>
      </w:r>
      <w:r w:rsidRPr="00472492">
        <w:rPr>
          <w:sz w:val="22"/>
          <w:szCs w:val="22"/>
          <w:lang w:val="en-GB"/>
        </w:rPr>
        <w:t xml:space="preserve"> impact on the interpretation of the </w:t>
      </w:r>
      <w:r w:rsidR="00A97EF3" w:rsidRPr="00472492">
        <w:rPr>
          <w:sz w:val="22"/>
          <w:szCs w:val="22"/>
          <w:lang w:val="en-GB"/>
        </w:rPr>
        <w:t xml:space="preserve">Covenant </w:t>
      </w:r>
      <w:r w:rsidRPr="00472492">
        <w:rPr>
          <w:sz w:val="22"/>
          <w:szCs w:val="22"/>
          <w:lang w:val="en-GB"/>
        </w:rPr>
        <w:t>provisions.</w:t>
      </w:r>
      <w:r w:rsidR="00EC1190" w:rsidRPr="00472492">
        <w:rPr>
          <w:rFonts w:eastAsia="Times New Roman" w:cs="Times New Roman"/>
          <w:sz w:val="22"/>
          <w:szCs w:val="22"/>
          <w:vertAlign w:val="superscript"/>
          <w:lang w:val="en-GB"/>
        </w:rPr>
        <w:footnoteReference w:id="18"/>
      </w:r>
    </w:p>
    <w:p w14:paraId="229A3634" w14:textId="77777777" w:rsidR="00475C32" w:rsidRPr="00472492" w:rsidRDefault="00475C32" w:rsidP="00775237">
      <w:pPr>
        <w:pStyle w:val="BodyA"/>
        <w:jc w:val="both"/>
        <w:rPr>
          <w:rFonts w:ascii="Times New Roman" w:hAnsi="Times New Roman" w:cs="Times New Roman"/>
          <w:color w:val="auto"/>
          <w:sz w:val="22"/>
          <w:szCs w:val="22"/>
          <w:lang w:val="en-GB"/>
        </w:rPr>
      </w:pPr>
    </w:p>
    <w:p w14:paraId="02118494" w14:textId="04D5960B" w:rsidR="008C375E" w:rsidRPr="00472492" w:rsidRDefault="00D264D8" w:rsidP="00775237">
      <w:pPr>
        <w:pStyle w:val="BodyA"/>
        <w:jc w:val="both"/>
        <w:rPr>
          <w:rFonts w:ascii="Times New Roman" w:hAnsi="Times New Roman" w:cs="Times New Roman"/>
          <w:color w:val="auto"/>
          <w:sz w:val="22"/>
          <w:szCs w:val="22"/>
          <w:lang w:val="en-GB"/>
        </w:rPr>
      </w:pPr>
      <w:r w:rsidRPr="00472492">
        <w:rPr>
          <w:rFonts w:ascii="Times New Roman" w:hAnsi="Times New Roman" w:cs="Times New Roman"/>
          <w:color w:val="auto"/>
          <w:sz w:val="22"/>
          <w:szCs w:val="22"/>
          <w:lang w:val="en-GB"/>
        </w:rPr>
        <w:t xml:space="preserve">In order to justify such an evolutive interpretation the Committee can </w:t>
      </w:r>
      <w:r w:rsidR="009D3E75" w:rsidRPr="00472492">
        <w:rPr>
          <w:rFonts w:ascii="Times New Roman" w:hAnsi="Times New Roman" w:cs="Times New Roman"/>
          <w:color w:val="auto"/>
          <w:sz w:val="22"/>
          <w:szCs w:val="22"/>
          <w:lang w:val="en-GB"/>
        </w:rPr>
        <w:t xml:space="preserve">be supported by </w:t>
      </w:r>
      <w:r w:rsidR="00FF696E" w:rsidRPr="00472492">
        <w:rPr>
          <w:rFonts w:ascii="Times New Roman" w:hAnsi="Times New Roman" w:cs="Times New Roman"/>
          <w:color w:val="auto"/>
          <w:sz w:val="22"/>
          <w:szCs w:val="22"/>
          <w:lang w:val="en-GB"/>
        </w:rPr>
        <w:t>the following premises: 1)</w:t>
      </w:r>
      <w:r w:rsidR="009D3E75" w:rsidRPr="00472492">
        <w:rPr>
          <w:rFonts w:ascii="Times New Roman" w:hAnsi="Times New Roman" w:cs="Times New Roman"/>
          <w:color w:val="auto"/>
          <w:sz w:val="22"/>
          <w:szCs w:val="22"/>
          <w:lang w:val="en-GB"/>
        </w:rPr>
        <w:t xml:space="preserve"> </w:t>
      </w:r>
      <w:r w:rsidR="00C1514B" w:rsidRPr="00472492">
        <w:rPr>
          <w:rFonts w:ascii="Times New Roman" w:hAnsi="Times New Roman" w:cs="Times New Roman"/>
          <w:color w:val="auto"/>
          <w:sz w:val="22"/>
          <w:szCs w:val="22"/>
          <w:lang w:val="en-GB"/>
        </w:rPr>
        <w:t>T</w:t>
      </w:r>
      <w:r w:rsidR="00475C32" w:rsidRPr="00472492">
        <w:rPr>
          <w:rFonts w:ascii="Times New Roman" w:hAnsi="Times New Roman" w:cs="Times New Roman"/>
          <w:color w:val="auto"/>
          <w:sz w:val="22"/>
          <w:szCs w:val="22"/>
          <w:lang w:val="en-GB"/>
        </w:rPr>
        <w:t>he political-economic context at the time of negotiation</w:t>
      </w:r>
      <w:r w:rsidR="004971B5" w:rsidRPr="00472492">
        <w:rPr>
          <w:rFonts w:ascii="Times New Roman" w:hAnsi="Times New Roman" w:cs="Times New Roman"/>
          <w:color w:val="auto"/>
          <w:sz w:val="22"/>
          <w:szCs w:val="22"/>
          <w:lang w:val="en-GB"/>
        </w:rPr>
        <w:t>s and the adoption of the Covenant</w:t>
      </w:r>
      <w:r w:rsidR="00475C32" w:rsidRPr="00472492">
        <w:rPr>
          <w:rFonts w:ascii="Times New Roman" w:hAnsi="Times New Roman" w:cs="Times New Roman"/>
          <w:color w:val="auto"/>
          <w:sz w:val="22"/>
          <w:szCs w:val="22"/>
          <w:lang w:val="en-GB"/>
        </w:rPr>
        <w:t xml:space="preserve"> (1950-1966</w:t>
      </w:r>
      <w:r w:rsidRPr="00472492">
        <w:rPr>
          <w:rFonts w:ascii="Times New Roman" w:hAnsi="Times New Roman" w:cs="Times New Roman"/>
          <w:color w:val="auto"/>
          <w:sz w:val="22"/>
          <w:szCs w:val="22"/>
          <w:lang w:val="en-GB"/>
        </w:rPr>
        <w:t>)</w:t>
      </w:r>
      <w:r w:rsidR="00475C32" w:rsidRPr="00472492">
        <w:rPr>
          <w:rFonts w:ascii="Times New Roman" w:hAnsi="Times New Roman" w:cs="Times New Roman"/>
          <w:color w:val="auto"/>
          <w:sz w:val="22"/>
          <w:szCs w:val="22"/>
          <w:lang w:val="en-GB"/>
        </w:rPr>
        <w:t xml:space="preserve"> was </w:t>
      </w:r>
      <w:r w:rsidR="00355A72" w:rsidRPr="00472492">
        <w:rPr>
          <w:rFonts w:ascii="Times New Roman" w:hAnsi="Times New Roman" w:cs="Times New Roman"/>
          <w:color w:val="auto"/>
          <w:sz w:val="22"/>
          <w:szCs w:val="22"/>
          <w:lang w:val="en-GB"/>
        </w:rPr>
        <w:t xml:space="preserve">within </w:t>
      </w:r>
      <w:r w:rsidR="00475C32" w:rsidRPr="00472492">
        <w:rPr>
          <w:rFonts w:ascii="Times New Roman" w:hAnsi="Times New Roman" w:cs="Times New Roman"/>
          <w:color w:val="auto"/>
          <w:sz w:val="22"/>
          <w:szCs w:val="22"/>
          <w:lang w:val="en-GB"/>
        </w:rPr>
        <w:t>a climate of social welfare. The independent States generally had control over their economic policies, population, and jurisdiction over territory. Consequently, in terms of land use and transnational corporations, the State had control of its land and TNCs involved in land-use were essentially under the</w:t>
      </w:r>
      <w:r w:rsidR="00A43158" w:rsidRPr="00472492">
        <w:rPr>
          <w:rFonts w:ascii="Times New Roman" w:hAnsi="Times New Roman" w:cs="Times New Roman"/>
          <w:color w:val="auto"/>
          <w:sz w:val="22"/>
          <w:szCs w:val="22"/>
          <w:lang w:val="en-GB"/>
        </w:rPr>
        <w:t xml:space="preserve"> State’s</w:t>
      </w:r>
      <w:r w:rsidR="00475C32" w:rsidRPr="00472492">
        <w:rPr>
          <w:rFonts w:ascii="Times New Roman" w:hAnsi="Times New Roman" w:cs="Times New Roman"/>
          <w:color w:val="auto"/>
          <w:sz w:val="22"/>
          <w:szCs w:val="22"/>
          <w:lang w:val="en-GB"/>
        </w:rPr>
        <w:t xml:space="preserve"> jurisdiction</w:t>
      </w:r>
      <w:r w:rsidR="0099313A" w:rsidRPr="00472492">
        <w:rPr>
          <w:rFonts w:ascii="Times New Roman" w:hAnsi="Times New Roman" w:cs="Times New Roman"/>
          <w:color w:val="auto"/>
          <w:sz w:val="22"/>
          <w:szCs w:val="22"/>
          <w:lang w:val="en-GB"/>
        </w:rPr>
        <w:t>;</w:t>
      </w:r>
      <w:r w:rsidR="004D67D9" w:rsidRPr="00472492">
        <w:rPr>
          <w:rFonts w:ascii="Times New Roman" w:hAnsi="Times New Roman" w:cs="Times New Roman"/>
          <w:color w:val="auto"/>
          <w:sz w:val="22"/>
          <w:szCs w:val="22"/>
          <w:lang w:val="en-GB"/>
        </w:rPr>
        <w:t xml:space="preserve"> </w:t>
      </w:r>
      <w:r w:rsidRPr="00630EF4">
        <w:rPr>
          <w:rFonts w:ascii="Times New Roman" w:hAnsi="Times New Roman" w:cs="Times New Roman"/>
          <w:color w:val="auto"/>
          <w:sz w:val="22"/>
          <w:szCs w:val="22"/>
        </w:rPr>
        <w:t xml:space="preserve">2) </w:t>
      </w:r>
      <w:r w:rsidR="00475C32" w:rsidRPr="00630EF4">
        <w:rPr>
          <w:rFonts w:ascii="Times New Roman" w:hAnsi="Times New Roman" w:cs="Times New Roman"/>
          <w:color w:val="auto"/>
          <w:sz w:val="22"/>
          <w:szCs w:val="22"/>
        </w:rPr>
        <w:t xml:space="preserve">Between the 1970s and 80s, the socio-liberal state was replaced by a neoliberal state model, seen in with the Washington consensus in 1989. </w:t>
      </w:r>
      <w:r w:rsidR="00DE499D" w:rsidRPr="00630EF4">
        <w:rPr>
          <w:rFonts w:ascii="Times New Roman" w:hAnsi="Times New Roman" w:cs="Times New Roman"/>
          <w:color w:val="auto"/>
          <w:sz w:val="22"/>
          <w:szCs w:val="22"/>
        </w:rPr>
        <w:t>T</w:t>
      </w:r>
      <w:r w:rsidR="00475C32" w:rsidRPr="00630EF4">
        <w:rPr>
          <w:rFonts w:ascii="Times New Roman" w:hAnsi="Times New Roman" w:cs="Times New Roman"/>
          <w:color w:val="auto"/>
          <w:sz w:val="22"/>
          <w:szCs w:val="22"/>
        </w:rPr>
        <w:t xml:space="preserve">he State drastically reduced its control of economic policies as part of the implementation of neoliberalism </w:t>
      </w:r>
      <w:r w:rsidR="00E5489F" w:rsidRPr="00630EF4">
        <w:rPr>
          <w:rFonts w:ascii="Times New Roman" w:hAnsi="Times New Roman" w:cs="Times New Roman"/>
          <w:color w:val="auto"/>
          <w:sz w:val="22"/>
          <w:szCs w:val="22"/>
        </w:rPr>
        <w:t xml:space="preserve">and </w:t>
      </w:r>
      <w:r w:rsidR="00475C32" w:rsidRPr="00630EF4">
        <w:rPr>
          <w:rFonts w:ascii="Times New Roman" w:hAnsi="Times New Roman" w:cs="Times New Roman"/>
          <w:color w:val="auto"/>
          <w:sz w:val="22"/>
          <w:szCs w:val="22"/>
        </w:rPr>
        <w:t xml:space="preserve">this new model brought with it the bestowal of major decision power to entities other than States – </w:t>
      </w:r>
      <w:r w:rsidR="00D27AA3" w:rsidRPr="00630EF4">
        <w:rPr>
          <w:rFonts w:ascii="Times New Roman" w:hAnsi="Times New Roman" w:cs="Times New Roman"/>
          <w:color w:val="auto"/>
          <w:sz w:val="22"/>
          <w:szCs w:val="22"/>
        </w:rPr>
        <w:t xml:space="preserve">i.e. </w:t>
      </w:r>
      <w:r w:rsidR="00475C32" w:rsidRPr="00630EF4">
        <w:rPr>
          <w:rFonts w:ascii="Times New Roman" w:hAnsi="Times New Roman" w:cs="Times New Roman"/>
          <w:color w:val="auto"/>
          <w:sz w:val="22"/>
          <w:szCs w:val="22"/>
        </w:rPr>
        <w:t xml:space="preserve">TNCs. Consequently, this model encouraged TNCs’ power internationally by advancing </w:t>
      </w:r>
      <w:r w:rsidR="00475C32" w:rsidRPr="00630EF4">
        <w:rPr>
          <w:rFonts w:ascii="Times New Roman" w:hAnsi="Times New Roman" w:cs="Times New Roman"/>
          <w:color w:val="auto"/>
          <w:sz w:val="22"/>
          <w:szCs w:val="22"/>
          <w:lang w:val="en-GB"/>
        </w:rPr>
        <w:t>economic globali</w:t>
      </w:r>
      <w:r w:rsidR="00C02B7D" w:rsidRPr="00630EF4">
        <w:rPr>
          <w:rFonts w:ascii="Times New Roman" w:hAnsi="Times New Roman" w:cs="Times New Roman"/>
          <w:color w:val="auto"/>
          <w:sz w:val="22"/>
          <w:szCs w:val="22"/>
          <w:lang w:val="en-GB"/>
        </w:rPr>
        <w:t>s</w:t>
      </w:r>
      <w:r w:rsidR="00475C32" w:rsidRPr="00630EF4">
        <w:rPr>
          <w:rFonts w:ascii="Times New Roman" w:hAnsi="Times New Roman" w:cs="Times New Roman"/>
          <w:color w:val="auto"/>
          <w:sz w:val="22"/>
          <w:szCs w:val="22"/>
          <w:lang w:val="en-GB"/>
        </w:rPr>
        <w:t>ation,</w:t>
      </w:r>
      <w:r w:rsidR="00475C32" w:rsidRPr="00630EF4">
        <w:rPr>
          <w:rFonts w:ascii="Times New Roman" w:hAnsi="Times New Roman" w:cs="Times New Roman"/>
          <w:color w:val="auto"/>
          <w:sz w:val="22"/>
          <w:szCs w:val="22"/>
        </w:rPr>
        <w:t xml:space="preserve"> and this, together with technology, </w:t>
      </w:r>
      <w:r w:rsidR="00D27AA3" w:rsidRPr="00630EF4">
        <w:rPr>
          <w:rFonts w:ascii="Times New Roman" w:hAnsi="Times New Roman" w:cs="Times New Roman"/>
          <w:color w:val="auto"/>
          <w:sz w:val="22"/>
          <w:szCs w:val="22"/>
        </w:rPr>
        <w:t xml:space="preserve">led to </w:t>
      </w:r>
      <w:r w:rsidR="00475C32" w:rsidRPr="00630EF4">
        <w:rPr>
          <w:rFonts w:ascii="Times New Roman" w:hAnsi="Times New Roman" w:cs="Times New Roman"/>
          <w:color w:val="auto"/>
          <w:sz w:val="22"/>
          <w:szCs w:val="22"/>
        </w:rPr>
        <w:t>a shift in the use of land compared to previous decades</w:t>
      </w:r>
      <w:r w:rsidR="004971B5" w:rsidRPr="00630EF4">
        <w:rPr>
          <w:rFonts w:ascii="Times New Roman" w:hAnsi="Times New Roman" w:cs="Times New Roman"/>
          <w:color w:val="auto"/>
          <w:sz w:val="22"/>
          <w:szCs w:val="22"/>
        </w:rPr>
        <w:t>;</w:t>
      </w:r>
      <w:r w:rsidR="008C375E" w:rsidRPr="00630EF4">
        <w:rPr>
          <w:rFonts w:ascii="Times New Roman" w:hAnsi="Times New Roman" w:cs="Times New Roman"/>
          <w:color w:val="auto"/>
          <w:sz w:val="22"/>
          <w:szCs w:val="22"/>
        </w:rPr>
        <w:t xml:space="preserve"> and</w:t>
      </w:r>
      <w:r w:rsidR="00475C32" w:rsidRPr="00630EF4">
        <w:rPr>
          <w:rFonts w:ascii="Times New Roman" w:hAnsi="Times New Roman" w:cs="Times New Roman"/>
          <w:color w:val="auto"/>
          <w:sz w:val="22"/>
          <w:szCs w:val="22"/>
        </w:rPr>
        <w:t xml:space="preserve"> </w:t>
      </w:r>
      <w:r w:rsidR="00C414F7" w:rsidRPr="00630EF4">
        <w:rPr>
          <w:rFonts w:ascii="Times New Roman" w:hAnsi="Times New Roman" w:cs="Times New Roman"/>
          <w:color w:val="auto"/>
          <w:sz w:val="22"/>
          <w:szCs w:val="22"/>
        </w:rPr>
        <w:t>3)</w:t>
      </w:r>
      <w:r w:rsidR="00C02B7D" w:rsidRPr="00630EF4">
        <w:rPr>
          <w:rFonts w:ascii="Times New Roman" w:hAnsi="Times New Roman" w:cs="Times New Roman"/>
          <w:color w:val="auto"/>
          <w:sz w:val="22"/>
          <w:szCs w:val="22"/>
        </w:rPr>
        <w:t xml:space="preserve"> </w:t>
      </w:r>
      <w:r w:rsidR="00A376D4" w:rsidRPr="00472492">
        <w:rPr>
          <w:rFonts w:ascii="Times New Roman" w:hAnsi="Times New Roman" w:cs="Times New Roman"/>
          <w:color w:val="auto"/>
          <w:sz w:val="22"/>
          <w:szCs w:val="22"/>
          <w:lang w:val="en-GB"/>
        </w:rPr>
        <w:t>Despite this shift being unforeseen, the drafters did discuss and include the moral values and rights that should not be jeopardi</w:t>
      </w:r>
      <w:r w:rsidR="00C02B7D" w:rsidRPr="00472492">
        <w:rPr>
          <w:rFonts w:ascii="Times New Roman" w:hAnsi="Times New Roman" w:cs="Times New Roman"/>
          <w:color w:val="auto"/>
          <w:sz w:val="22"/>
          <w:szCs w:val="22"/>
          <w:lang w:val="en-GB"/>
        </w:rPr>
        <w:t>s</w:t>
      </w:r>
      <w:r w:rsidR="00A376D4" w:rsidRPr="00472492">
        <w:rPr>
          <w:rFonts w:ascii="Times New Roman" w:hAnsi="Times New Roman" w:cs="Times New Roman"/>
          <w:color w:val="auto"/>
          <w:sz w:val="22"/>
          <w:szCs w:val="22"/>
          <w:lang w:val="en-GB"/>
        </w:rPr>
        <w:t xml:space="preserve">ed regardless of any future changes in social, economic and political context, unless explicit consensus to the contrary was </w:t>
      </w:r>
      <w:r w:rsidR="009D3E75" w:rsidRPr="00472492">
        <w:rPr>
          <w:rFonts w:ascii="Times New Roman" w:hAnsi="Times New Roman" w:cs="Times New Roman"/>
          <w:color w:val="auto"/>
          <w:sz w:val="22"/>
          <w:szCs w:val="22"/>
          <w:lang w:val="en-GB"/>
        </w:rPr>
        <w:t xml:space="preserve">achieved </w:t>
      </w:r>
      <w:r w:rsidR="00A376D4" w:rsidRPr="00472492">
        <w:rPr>
          <w:rFonts w:ascii="Times New Roman" w:hAnsi="Times New Roman" w:cs="Times New Roman"/>
          <w:color w:val="auto"/>
          <w:sz w:val="22"/>
          <w:szCs w:val="22"/>
          <w:lang w:val="en-GB"/>
        </w:rPr>
        <w:t>(in the form of subsequent agreements or treaties)</w:t>
      </w:r>
      <w:r w:rsidR="008C375E" w:rsidRPr="00472492">
        <w:rPr>
          <w:rFonts w:ascii="Times New Roman" w:hAnsi="Times New Roman" w:cs="Times New Roman"/>
          <w:color w:val="auto"/>
          <w:sz w:val="22"/>
          <w:szCs w:val="22"/>
          <w:lang w:val="en-GB"/>
        </w:rPr>
        <w:t>.</w:t>
      </w:r>
    </w:p>
    <w:p w14:paraId="15341868" w14:textId="77777777" w:rsidR="006251DF" w:rsidRPr="00472492" w:rsidRDefault="006251DF" w:rsidP="00775237">
      <w:pPr>
        <w:pStyle w:val="BodyA"/>
        <w:jc w:val="both"/>
        <w:rPr>
          <w:rFonts w:ascii="Times New Roman" w:hAnsi="Times New Roman" w:cs="Times New Roman"/>
          <w:color w:val="auto"/>
          <w:sz w:val="22"/>
          <w:szCs w:val="22"/>
          <w:lang w:val="en-GB"/>
        </w:rPr>
      </w:pPr>
    </w:p>
    <w:p w14:paraId="0E0557D4" w14:textId="16726ADD" w:rsidR="00EE6CC2" w:rsidRPr="00472492" w:rsidRDefault="00EE6CC2" w:rsidP="00775237">
      <w:pPr>
        <w:pStyle w:val="BodyA"/>
        <w:jc w:val="both"/>
        <w:rPr>
          <w:rFonts w:ascii="Times New Roman" w:hAnsi="Times New Roman" w:cs="Times New Roman"/>
          <w:color w:val="auto"/>
          <w:sz w:val="22"/>
          <w:szCs w:val="22"/>
          <w:lang w:val="en-GB"/>
        </w:rPr>
      </w:pPr>
      <w:r w:rsidRPr="00472492">
        <w:rPr>
          <w:rFonts w:ascii="Times New Roman" w:hAnsi="Times New Roman" w:cs="Times New Roman"/>
          <w:color w:val="auto"/>
          <w:sz w:val="22"/>
          <w:szCs w:val="22"/>
          <w:lang w:val="en-GB"/>
        </w:rPr>
        <w:t xml:space="preserve">For more than 30 years, the </w:t>
      </w:r>
      <w:r w:rsidR="0072118A" w:rsidRPr="00472492">
        <w:rPr>
          <w:rFonts w:ascii="Times New Roman" w:hAnsi="Times New Roman" w:cs="Times New Roman"/>
          <w:color w:val="auto"/>
          <w:sz w:val="22"/>
          <w:szCs w:val="22"/>
          <w:lang w:val="en-GB"/>
        </w:rPr>
        <w:t xml:space="preserve">Committee </w:t>
      </w:r>
      <w:r w:rsidRPr="00472492">
        <w:rPr>
          <w:rFonts w:ascii="Times New Roman" w:hAnsi="Times New Roman" w:cs="Times New Roman"/>
          <w:color w:val="auto"/>
          <w:sz w:val="22"/>
          <w:szCs w:val="22"/>
          <w:lang w:val="en-GB"/>
        </w:rPr>
        <w:t>has continuously addressed issues related to local communities, land, TNCs and land investments. Yet this approach has not been sufficient. Ironically, the C</w:t>
      </w:r>
      <w:r w:rsidR="006B36BF" w:rsidRPr="00472492">
        <w:rPr>
          <w:rFonts w:ascii="Times New Roman" w:hAnsi="Times New Roman" w:cs="Times New Roman"/>
          <w:color w:val="auto"/>
          <w:sz w:val="22"/>
          <w:szCs w:val="22"/>
          <w:lang w:val="en-GB"/>
        </w:rPr>
        <w:t>ommittee</w:t>
      </w:r>
      <w:r w:rsidRPr="00472492">
        <w:rPr>
          <w:rFonts w:ascii="Times New Roman" w:hAnsi="Times New Roman" w:cs="Times New Roman"/>
          <w:color w:val="auto"/>
          <w:sz w:val="22"/>
          <w:szCs w:val="22"/>
          <w:lang w:val="en-GB"/>
        </w:rPr>
        <w:t>, in the course of its practice, has recognised the central issues relating to the motivations of an evolutive interpretation of Article 11: (i) local communitie</w:t>
      </w:r>
      <w:r w:rsidR="00B8334C" w:rsidRPr="00472492">
        <w:rPr>
          <w:rFonts w:ascii="Times New Roman" w:hAnsi="Times New Roman" w:cs="Times New Roman"/>
          <w:color w:val="auto"/>
          <w:sz w:val="22"/>
          <w:szCs w:val="22"/>
          <w:lang w:val="en-GB"/>
        </w:rPr>
        <w:t xml:space="preserve">s’ dependency on land; (ii) </w:t>
      </w:r>
      <w:r w:rsidRPr="00472492">
        <w:rPr>
          <w:rFonts w:ascii="Times New Roman" w:hAnsi="Times New Roman" w:cs="Times New Roman"/>
          <w:color w:val="auto"/>
          <w:sz w:val="22"/>
          <w:szCs w:val="22"/>
          <w:lang w:val="en-GB"/>
        </w:rPr>
        <w:t>States</w:t>
      </w:r>
      <w:r w:rsidR="00B8334C" w:rsidRPr="00472492">
        <w:rPr>
          <w:rFonts w:ascii="Times New Roman" w:hAnsi="Times New Roman" w:cs="Times New Roman"/>
          <w:color w:val="auto"/>
          <w:sz w:val="22"/>
          <w:szCs w:val="22"/>
          <w:lang w:val="en-GB"/>
        </w:rPr>
        <w:t>’ obligations to</w:t>
      </w:r>
      <w:r w:rsidRPr="00472492">
        <w:rPr>
          <w:rFonts w:ascii="Times New Roman" w:hAnsi="Times New Roman" w:cs="Times New Roman"/>
          <w:color w:val="auto"/>
          <w:sz w:val="22"/>
          <w:szCs w:val="22"/>
          <w:lang w:val="en-GB"/>
        </w:rPr>
        <w:t xml:space="preserve"> undertake measures to address the impact of TNCs and land investments in the framework of ESCR, including Article 11; and (iii) the negative effects of neoliberal policies and economic globalisation.</w:t>
      </w:r>
      <w:r w:rsidRPr="00472492">
        <w:rPr>
          <w:rFonts w:ascii="Times New Roman" w:eastAsia="Times New Roman" w:hAnsi="Times New Roman" w:cs="Times New Roman"/>
          <w:color w:val="auto"/>
          <w:sz w:val="22"/>
          <w:szCs w:val="22"/>
          <w:vertAlign w:val="superscript"/>
          <w:lang w:val="en-GB"/>
        </w:rPr>
        <w:footnoteReference w:id="19"/>
      </w:r>
      <w:r w:rsidRPr="00472492">
        <w:rPr>
          <w:rFonts w:ascii="Times New Roman" w:hAnsi="Times New Roman" w:cs="Times New Roman"/>
          <w:color w:val="auto"/>
          <w:sz w:val="22"/>
          <w:szCs w:val="22"/>
          <w:lang w:val="en-GB"/>
        </w:rPr>
        <w:t xml:space="preserve"> Nevertheless, it has failed to analyse local communities’ adequate standard of living in full context. A proper examination of this right requires its evaluation in order to overcome the obstacles that jeopardise </w:t>
      </w:r>
      <w:r w:rsidR="00357A43" w:rsidRPr="00472492">
        <w:rPr>
          <w:rFonts w:ascii="Times New Roman" w:hAnsi="Times New Roman" w:cs="Times New Roman"/>
          <w:color w:val="auto"/>
          <w:sz w:val="22"/>
          <w:szCs w:val="22"/>
          <w:lang w:val="en-GB"/>
        </w:rPr>
        <w:t xml:space="preserve">the </w:t>
      </w:r>
      <w:r w:rsidRPr="00472492">
        <w:rPr>
          <w:rFonts w:ascii="Times New Roman" w:hAnsi="Times New Roman" w:cs="Times New Roman"/>
          <w:color w:val="auto"/>
          <w:sz w:val="22"/>
          <w:szCs w:val="22"/>
          <w:lang w:val="en-GB"/>
        </w:rPr>
        <w:t xml:space="preserve">enjoyment of the land they depend on in today’s context. </w:t>
      </w:r>
      <w:r w:rsidR="006B36BF" w:rsidRPr="00472492">
        <w:rPr>
          <w:rFonts w:ascii="Times New Roman" w:hAnsi="Times New Roman" w:cs="Times New Roman"/>
          <w:color w:val="auto"/>
          <w:sz w:val="22"/>
          <w:szCs w:val="22"/>
          <w:lang w:val="en-GB"/>
        </w:rPr>
        <w:t>T</w:t>
      </w:r>
      <w:r w:rsidR="009D556C" w:rsidRPr="00472492">
        <w:rPr>
          <w:rFonts w:ascii="Times New Roman" w:hAnsi="Times New Roman" w:cs="Times New Roman"/>
          <w:color w:val="auto"/>
          <w:sz w:val="22"/>
          <w:szCs w:val="22"/>
          <w:lang w:val="en-GB"/>
        </w:rPr>
        <w:t>he</w:t>
      </w:r>
      <w:r w:rsidR="00481DE4" w:rsidRPr="00472492">
        <w:rPr>
          <w:rFonts w:ascii="Times New Roman" w:hAnsi="Times New Roman" w:cs="Times New Roman"/>
          <w:color w:val="auto"/>
          <w:sz w:val="22"/>
          <w:szCs w:val="22"/>
          <w:lang w:val="en-GB"/>
        </w:rPr>
        <w:t xml:space="preserve"> expanded analysis of the relation of local communities, land</w:t>
      </w:r>
      <w:r w:rsidR="00CF368A" w:rsidRPr="00472492">
        <w:rPr>
          <w:rFonts w:ascii="Times New Roman" w:hAnsi="Times New Roman" w:cs="Times New Roman"/>
          <w:color w:val="auto"/>
          <w:sz w:val="22"/>
          <w:szCs w:val="22"/>
          <w:lang w:val="en-GB"/>
        </w:rPr>
        <w:t>,</w:t>
      </w:r>
      <w:r w:rsidR="00481DE4" w:rsidRPr="00472492">
        <w:rPr>
          <w:rFonts w:ascii="Times New Roman" w:hAnsi="Times New Roman" w:cs="Times New Roman"/>
          <w:color w:val="auto"/>
          <w:sz w:val="22"/>
          <w:szCs w:val="22"/>
          <w:lang w:val="en-GB"/>
        </w:rPr>
        <w:t xml:space="preserve"> and the right to </w:t>
      </w:r>
      <w:r w:rsidR="00CF368A" w:rsidRPr="00472492">
        <w:rPr>
          <w:rFonts w:ascii="Times New Roman" w:hAnsi="Times New Roman" w:cs="Times New Roman"/>
          <w:color w:val="auto"/>
          <w:sz w:val="22"/>
          <w:szCs w:val="22"/>
          <w:lang w:val="en-GB"/>
        </w:rPr>
        <w:t xml:space="preserve">an </w:t>
      </w:r>
      <w:r w:rsidR="00481DE4" w:rsidRPr="00472492">
        <w:rPr>
          <w:rFonts w:ascii="Times New Roman" w:hAnsi="Times New Roman" w:cs="Times New Roman"/>
          <w:color w:val="auto"/>
          <w:sz w:val="22"/>
          <w:szCs w:val="22"/>
          <w:lang w:val="en-GB"/>
        </w:rPr>
        <w:t xml:space="preserve">adequate standard of living in the draft </w:t>
      </w:r>
      <w:r w:rsidR="004F6D14" w:rsidRPr="00472492">
        <w:rPr>
          <w:rFonts w:ascii="Times New Roman" w:hAnsi="Times New Roman" w:cs="Times New Roman"/>
          <w:color w:val="auto"/>
          <w:sz w:val="22"/>
          <w:szCs w:val="22"/>
          <w:lang w:val="en-GB"/>
        </w:rPr>
        <w:t>G</w:t>
      </w:r>
      <w:r w:rsidR="00481DE4" w:rsidRPr="00472492">
        <w:rPr>
          <w:rFonts w:ascii="Times New Roman" w:hAnsi="Times New Roman" w:cs="Times New Roman"/>
          <w:color w:val="auto"/>
          <w:sz w:val="22"/>
          <w:szCs w:val="22"/>
          <w:lang w:val="en-GB"/>
        </w:rPr>
        <w:t xml:space="preserve">eneral </w:t>
      </w:r>
      <w:r w:rsidR="004F6D14" w:rsidRPr="00472492">
        <w:rPr>
          <w:rFonts w:ascii="Times New Roman" w:hAnsi="Times New Roman" w:cs="Times New Roman"/>
          <w:color w:val="auto"/>
          <w:sz w:val="22"/>
          <w:szCs w:val="22"/>
          <w:lang w:val="en-GB"/>
        </w:rPr>
        <w:t>C</w:t>
      </w:r>
      <w:r w:rsidR="00481DE4" w:rsidRPr="00472492">
        <w:rPr>
          <w:rFonts w:ascii="Times New Roman" w:hAnsi="Times New Roman" w:cs="Times New Roman"/>
          <w:color w:val="auto"/>
          <w:sz w:val="22"/>
          <w:szCs w:val="22"/>
          <w:lang w:val="en-GB"/>
        </w:rPr>
        <w:t xml:space="preserve">omment </w:t>
      </w:r>
      <w:r w:rsidR="001379C3" w:rsidRPr="00472492">
        <w:rPr>
          <w:rFonts w:ascii="Times New Roman" w:hAnsi="Times New Roman" w:cs="Times New Roman"/>
          <w:color w:val="auto"/>
          <w:sz w:val="22"/>
          <w:szCs w:val="22"/>
          <w:lang w:val="en-GB"/>
        </w:rPr>
        <w:t>substantiate</w:t>
      </w:r>
      <w:r w:rsidR="00CF368A" w:rsidRPr="00472492">
        <w:rPr>
          <w:rFonts w:ascii="Times New Roman" w:hAnsi="Times New Roman" w:cs="Times New Roman"/>
          <w:color w:val="auto"/>
          <w:sz w:val="22"/>
          <w:szCs w:val="22"/>
          <w:lang w:val="en-GB"/>
        </w:rPr>
        <w:t>s</w:t>
      </w:r>
      <w:r w:rsidR="000F4F17" w:rsidRPr="00472492">
        <w:rPr>
          <w:rFonts w:ascii="Times New Roman" w:hAnsi="Times New Roman" w:cs="Times New Roman"/>
          <w:color w:val="auto"/>
          <w:sz w:val="22"/>
          <w:szCs w:val="22"/>
          <w:lang w:val="en-GB"/>
        </w:rPr>
        <w:t>,</w:t>
      </w:r>
      <w:r w:rsidR="001379C3" w:rsidRPr="00472492">
        <w:rPr>
          <w:rFonts w:ascii="Times New Roman" w:hAnsi="Times New Roman" w:cs="Times New Roman"/>
          <w:color w:val="auto"/>
          <w:sz w:val="22"/>
          <w:szCs w:val="22"/>
          <w:lang w:val="en-GB"/>
        </w:rPr>
        <w:t xml:space="preserve"> in itself</w:t>
      </w:r>
      <w:r w:rsidR="000F4F17" w:rsidRPr="00472492">
        <w:rPr>
          <w:rFonts w:ascii="Times New Roman" w:hAnsi="Times New Roman" w:cs="Times New Roman"/>
          <w:color w:val="auto"/>
          <w:sz w:val="22"/>
          <w:szCs w:val="22"/>
          <w:lang w:val="en-GB"/>
        </w:rPr>
        <w:t>,</w:t>
      </w:r>
      <w:r w:rsidR="001379C3" w:rsidRPr="00472492">
        <w:rPr>
          <w:rFonts w:ascii="Times New Roman" w:hAnsi="Times New Roman" w:cs="Times New Roman"/>
          <w:color w:val="auto"/>
          <w:sz w:val="22"/>
          <w:szCs w:val="22"/>
          <w:lang w:val="en-GB"/>
        </w:rPr>
        <w:t xml:space="preserve"> a need for a right to land</w:t>
      </w:r>
      <w:r w:rsidR="00311081" w:rsidRPr="00472492">
        <w:rPr>
          <w:rFonts w:ascii="Times New Roman" w:hAnsi="Times New Roman" w:cs="Times New Roman"/>
          <w:color w:val="auto"/>
          <w:sz w:val="22"/>
          <w:szCs w:val="22"/>
          <w:lang w:val="en-GB"/>
        </w:rPr>
        <w:t>.</w:t>
      </w:r>
      <w:r w:rsidR="001379C3" w:rsidRPr="00472492">
        <w:rPr>
          <w:rFonts w:ascii="Times New Roman" w:hAnsi="Times New Roman" w:cs="Times New Roman"/>
          <w:color w:val="auto"/>
          <w:sz w:val="22"/>
          <w:szCs w:val="22"/>
          <w:lang w:val="en-GB"/>
        </w:rPr>
        <w:t xml:space="preserve"> </w:t>
      </w:r>
      <w:r w:rsidR="004C5FF3" w:rsidRPr="00472492">
        <w:rPr>
          <w:rFonts w:ascii="Times New Roman" w:hAnsi="Times New Roman" w:cs="Times New Roman"/>
          <w:color w:val="auto"/>
          <w:sz w:val="22"/>
          <w:szCs w:val="22"/>
          <w:lang w:val="en-GB"/>
        </w:rPr>
        <w:t>Neglecting</w:t>
      </w:r>
      <w:r w:rsidR="00204CE8" w:rsidRPr="00472492">
        <w:rPr>
          <w:rFonts w:ascii="Times New Roman" w:hAnsi="Times New Roman" w:cs="Times New Roman"/>
          <w:color w:val="auto"/>
          <w:sz w:val="22"/>
          <w:szCs w:val="22"/>
          <w:lang w:val="en-GB"/>
        </w:rPr>
        <w:t xml:space="preserve"> to</w:t>
      </w:r>
      <w:r w:rsidR="009D556C" w:rsidRPr="00472492">
        <w:rPr>
          <w:rFonts w:ascii="Times New Roman" w:hAnsi="Times New Roman" w:cs="Times New Roman"/>
          <w:color w:val="auto"/>
          <w:sz w:val="22"/>
          <w:szCs w:val="22"/>
          <w:lang w:val="en-GB"/>
        </w:rPr>
        <w:t xml:space="preserve"> recognis</w:t>
      </w:r>
      <w:r w:rsidR="00204CE8" w:rsidRPr="00472492">
        <w:rPr>
          <w:rFonts w:ascii="Times New Roman" w:hAnsi="Times New Roman" w:cs="Times New Roman"/>
          <w:color w:val="auto"/>
          <w:sz w:val="22"/>
          <w:szCs w:val="22"/>
          <w:lang w:val="en-GB"/>
        </w:rPr>
        <w:t>e</w:t>
      </w:r>
      <w:r w:rsidR="009D556C" w:rsidRPr="00472492">
        <w:rPr>
          <w:rFonts w:ascii="Times New Roman" w:hAnsi="Times New Roman" w:cs="Times New Roman"/>
          <w:color w:val="auto"/>
          <w:sz w:val="22"/>
          <w:szCs w:val="22"/>
          <w:lang w:val="en-GB"/>
        </w:rPr>
        <w:t xml:space="preserve"> </w:t>
      </w:r>
      <w:r w:rsidR="00DD21F6" w:rsidRPr="00472492">
        <w:rPr>
          <w:rFonts w:ascii="Times New Roman" w:hAnsi="Times New Roman" w:cs="Times New Roman"/>
          <w:color w:val="auto"/>
          <w:sz w:val="22"/>
          <w:szCs w:val="22"/>
          <w:lang w:val="en-GB"/>
        </w:rPr>
        <w:t xml:space="preserve">this as </w:t>
      </w:r>
      <w:r w:rsidR="009D556C" w:rsidRPr="00472492">
        <w:rPr>
          <w:rFonts w:ascii="Times New Roman" w:hAnsi="Times New Roman" w:cs="Times New Roman"/>
          <w:color w:val="auto"/>
          <w:sz w:val="22"/>
          <w:szCs w:val="22"/>
          <w:lang w:val="en-GB"/>
        </w:rPr>
        <w:t>a self-standing right</w:t>
      </w:r>
      <w:r w:rsidR="00385020" w:rsidRPr="00472492">
        <w:rPr>
          <w:rFonts w:ascii="Times New Roman" w:hAnsi="Times New Roman" w:cs="Times New Roman"/>
          <w:color w:val="auto"/>
          <w:sz w:val="22"/>
          <w:szCs w:val="22"/>
          <w:lang w:val="en-GB"/>
        </w:rPr>
        <w:t xml:space="preserve"> provokes </w:t>
      </w:r>
      <w:r w:rsidR="0034471C" w:rsidRPr="00472492">
        <w:rPr>
          <w:rFonts w:ascii="Times New Roman" w:hAnsi="Times New Roman" w:cs="Times New Roman"/>
          <w:color w:val="auto"/>
          <w:sz w:val="22"/>
          <w:szCs w:val="22"/>
          <w:lang w:val="en-GB"/>
        </w:rPr>
        <w:t>the</w:t>
      </w:r>
      <w:r w:rsidR="00385020" w:rsidRPr="00472492">
        <w:rPr>
          <w:rFonts w:ascii="Times New Roman" w:hAnsi="Times New Roman" w:cs="Times New Roman"/>
          <w:color w:val="auto"/>
          <w:sz w:val="22"/>
          <w:szCs w:val="22"/>
          <w:lang w:val="en-GB"/>
        </w:rPr>
        <w:t xml:space="preserve"> contradictory effect of</w:t>
      </w:r>
      <w:r w:rsidR="002C4DEC" w:rsidRPr="00472492">
        <w:rPr>
          <w:rFonts w:ascii="Times New Roman" w:hAnsi="Times New Roman" w:cs="Times New Roman"/>
          <w:color w:val="auto"/>
          <w:sz w:val="22"/>
          <w:szCs w:val="22"/>
          <w:lang w:val="en-GB"/>
        </w:rPr>
        <w:t xml:space="preserve"> framing </w:t>
      </w:r>
      <w:r w:rsidR="006B36BF" w:rsidRPr="00472492">
        <w:rPr>
          <w:rFonts w:ascii="Times New Roman" w:hAnsi="Times New Roman" w:cs="Times New Roman"/>
          <w:color w:val="auto"/>
          <w:sz w:val="22"/>
          <w:szCs w:val="22"/>
          <w:lang w:val="en-GB"/>
        </w:rPr>
        <w:t>land as a</w:t>
      </w:r>
      <w:r w:rsidR="00776137" w:rsidRPr="00472492">
        <w:rPr>
          <w:rFonts w:ascii="Times New Roman" w:hAnsi="Times New Roman" w:cs="Times New Roman"/>
          <w:color w:val="auto"/>
          <w:sz w:val="22"/>
          <w:szCs w:val="22"/>
          <w:lang w:val="en-GB"/>
        </w:rPr>
        <w:t>n</w:t>
      </w:r>
      <w:r w:rsidR="006B36BF" w:rsidRPr="00472492">
        <w:rPr>
          <w:rFonts w:ascii="Times New Roman" w:hAnsi="Times New Roman" w:cs="Times New Roman"/>
          <w:color w:val="auto"/>
          <w:sz w:val="22"/>
          <w:szCs w:val="22"/>
          <w:lang w:val="en-GB"/>
        </w:rPr>
        <w:t xml:space="preserve"> </w:t>
      </w:r>
      <w:r w:rsidR="009D556C" w:rsidRPr="00472492">
        <w:rPr>
          <w:rFonts w:ascii="Times New Roman" w:hAnsi="Times New Roman" w:cs="Times New Roman"/>
          <w:color w:val="auto"/>
          <w:sz w:val="22"/>
          <w:szCs w:val="22"/>
          <w:lang w:val="en-GB"/>
        </w:rPr>
        <w:t>orphan right</w:t>
      </w:r>
      <w:r w:rsidR="00CE2B91" w:rsidRPr="00472492">
        <w:rPr>
          <w:rFonts w:ascii="Times New Roman" w:hAnsi="Times New Roman" w:cs="Times New Roman"/>
          <w:color w:val="auto"/>
          <w:sz w:val="22"/>
          <w:szCs w:val="22"/>
          <w:lang w:val="en-GB"/>
        </w:rPr>
        <w:t xml:space="preserve">: </w:t>
      </w:r>
      <w:r w:rsidR="002C4DEC" w:rsidRPr="00472492">
        <w:rPr>
          <w:rFonts w:ascii="Times New Roman" w:hAnsi="Times New Roman" w:cs="Times New Roman"/>
          <w:color w:val="auto"/>
          <w:sz w:val="22"/>
          <w:szCs w:val="22"/>
          <w:lang w:val="en-GB"/>
        </w:rPr>
        <w:t>whil</w:t>
      </w:r>
      <w:r w:rsidR="00DD21F6" w:rsidRPr="00472492">
        <w:rPr>
          <w:rFonts w:ascii="Times New Roman" w:hAnsi="Times New Roman" w:cs="Times New Roman"/>
          <w:color w:val="auto"/>
          <w:sz w:val="22"/>
          <w:szCs w:val="22"/>
          <w:lang w:val="en-GB"/>
        </w:rPr>
        <w:t>st</w:t>
      </w:r>
      <w:r w:rsidR="002C4DEC" w:rsidRPr="00472492">
        <w:rPr>
          <w:rFonts w:ascii="Times New Roman" w:hAnsi="Times New Roman" w:cs="Times New Roman"/>
          <w:color w:val="auto"/>
          <w:sz w:val="22"/>
          <w:szCs w:val="22"/>
          <w:lang w:val="en-GB"/>
        </w:rPr>
        <w:t xml:space="preserve"> </w:t>
      </w:r>
      <w:r w:rsidR="005871E8" w:rsidRPr="00472492">
        <w:rPr>
          <w:rFonts w:ascii="Times New Roman" w:hAnsi="Times New Roman" w:cs="Times New Roman"/>
          <w:color w:val="auto"/>
          <w:sz w:val="22"/>
          <w:szCs w:val="22"/>
          <w:lang w:val="en-GB"/>
        </w:rPr>
        <w:t xml:space="preserve">the Committee agrees on </w:t>
      </w:r>
      <w:r w:rsidR="002530DE" w:rsidRPr="00472492">
        <w:rPr>
          <w:rFonts w:ascii="Times New Roman" w:hAnsi="Times New Roman" w:cs="Times New Roman"/>
          <w:color w:val="auto"/>
          <w:sz w:val="22"/>
          <w:szCs w:val="22"/>
          <w:lang w:val="en-GB"/>
        </w:rPr>
        <w:t>the</w:t>
      </w:r>
      <w:r w:rsidR="002C4DEC" w:rsidRPr="00472492">
        <w:rPr>
          <w:rFonts w:ascii="Times New Roman" w:hAnsi="Times New Roman" w:cs="Times New Roman"/>
          <w:color w:val="auto"/>
          <w:sz w:val="22"/>
          <w:szCs w:val="22"/>
          <w:lang w:val="en-GB"/>
        </w:rPr>
        <w:t xml:space="preserve"> crucial importance</w:t>
      </w:r>
      <w:r w:rsidR="002530DE" w:rsidRPr="00472492">
        <w:rPr>
          <w:rFonts w:ascii="Times New Roman" w:hAnsi="Times New Roman" w:cs="Times New Roman"/>
          <w:color w:val="auto"/>
          <w:sz w:val="22"/>
          <w:szCs w:val="22"/>
          <w:lang w:val="en-GB"/>
        </w:rPr>
        <w:t xml:space="preserve"> of a right to land</w:t>
      </w:r>
      <w:r w:rsidR="00BA2249" w:rsidRPr="00472492">
        <w:rPr>
          <w:rFonts w:ascii="Times New Roman" w:hAnsi="Times New Roman" w:cs="Times New Roman"/>
          <w:color w:val="auto"/>
          <w:sz w:val="22"/>
          <w:szCs w:val="22"/>
          <w:lang w:val="en-GB"/>
        </w:rPr>
        <w:t>,</w:t>
      </w:r>
      <w:r w:rsidR="005871E8" w:rsidRPr="00472492">
        <w:rPr>
          <w:rFonts w:ascii="Times New Roman" w:hAnsi="Times New Roman" w:cs="Times New Roman"/>
          <w:color w:val="auto"/>
          <w:sz w:val="22"/>
          <w:szCs w:val="22"/>
          <w:lang w:val="en-GB"/>
        </w:rPr>
        <w:t xml:space="preserve"> it </w:t>
      </w:r>
      <w:r w:rsidR="009654A9" w:rsidRPr="00472492">
        <w:rPr>
          <w:rFonts w:ascii="Times New Roman" w:hAnsi="Times New Roman" w:cs="Times New Roman"/>
          <w:color w:val="auto"/>
          <w:sz w:val="22"/>
          <w:szCs w:val="22"/>
          <w:lang w:val="en-GB"/>
        </w:rPr>
        <w:t>fails</w:t>
      </w:r>
      <w:r w:rsidR="005871E8" w:rsidRPr="00472492">
        <w:rPr>
          <w:rFonts w:ascii="Times New Roman" w:hAnsi="Times New Roman" w:cs="Times New Roman"/>
          <w:color w:val="auto"/>
          <w:sz w:val="22"/>
          <w:szCs w:val="22"/>
          <w:lang w:val="en-GB"/>
        </w:rPr>
        <w:t xml:space="preserve"> </w:t>
      </w:r>
      <w:r w:rsidR="009654A9" w:rsidRPr="00472492">
        <w:rPr>
          <w:rFonts w:ascii="Times New Roman" w:hAnsi="Times New Roman" w:cs="Times New Roman"/>
          <w:color w:val="auto"/>
          <w:sz w:val="22"/>
          <w:szCs w:val="22"/>
          <w:lang w:val="en-GB"/>
        </w:rPr>
        <w:t>to</w:t>
      </w:r>
      <w:r w:rsidR="005871E8" w:rsidRPr="00472492">
        <w:rPr>
          <w:rFonts w:ascii="Times New Roman" w:hAnsi="Times New Roman" w:cs="Times New Roman"/>
          <w:color w:val="auto"/>
          <w:sz w:val="22"/>
          <w:szCs w:val="22"/>
          <w:lang w:val="en-GB"/>
        </w:rPr>
        <w:t xml:space="preserve"> recognise </w:t>
      </w:r>
      <w:r w:rsidR="00E1275E" w:rsidRPr="00472492">
        <w:rPr>
          <w:rFonts w:ascii="Times New Roman" w:hAnsi="Times New Roman" w:cs="Times New Roman"/>
          <w:color w:val="auto"/>
          <w:sz w:val="22"/>
          <w:szCs w:val="22"/>
          <w:lang w:val="en-GB"/>
        </w:rPr>
        <w:t>it</w:t>
      </w:r>
      <w:r w:rsidR="005672B5" w:rsidRPr="00472492">
        <w:rPr>
          <w:rFonts w:ascii="Times New Roman" w:hAnsi="Times New Roman" w:cs="Times New Roman"/>
          <w:color w:val="auto"/>
          <w:sz w:val="22"/>
          <w:szCs w:val="22"/>
          <w:lang w:val="en-GB"/>
        </w:rPr>
        <w:t xml:space="preserve"> as a right within itself</w:t>
      </w:r>
      <w:r w:rsidR="00E1275E" w:rsidRPr="00472492">
        <w:rPr>
          <w:rFonts w:ascii="Times New Roman" w:hAnsi="Times New Roman" w:cs="Times New Roman"/>
          <w:color w:val="auto"/>
          <w:sz w:val="22"/>
          <w:szCs w:val="22"/>
          <w:lang w:val="en-GB"/>
        </w:rPr>
        <w:t xml:space="preserve"> </w:t>
      </w:r>
      <w:r w:rsidR="00AF6764" w:rsidRPr="00472492">
        <w:rPr>
          <w:rFonts w:ascii="Times New Roman" w:hAnsi="Times New Roman" w:cs="Times New Roman"/>
          <w:color w:val="auto"/>
          <w:sz w:val="22"/>
          <w:szCs w:val="22"/>
          <w:lang w:val="en-GB"/>
        </w:rPr>
        <w:t>despite</w:t>
      </w:r>
      <w:r w:rsidR="002C4DEC" w:rsidRPr="00472492">
        <w:rPr>
          <w:rFonts w:ascii="Times New Roman" w:hAnsi="Times New Roman" w:cs="Times New Roman"/>
          <w:color w:val="auto"/>
          <w:sz w:val="22"/>
          <w:szCs w:val="22"/>
          <w:lang w:val="en-GB"/>
        </w:rPr>
        <w:t xml:space="preserve"> </w:t>
      </w:r>
      <w:r w:rsidR="0087746F" w:rsidRPr="00472492">
        <w:rPr>
          <w:rFonts w:ascii="Times New Roman" w:hAnsi="Times New Roman" w:cs="Times New Roman"/>
          <w:color w:val="auto"/>
          <w:sz w:val="22"/>
          <w:szCs w:val="22"/>
          <w:lang w:val="en-GB"/>
        </w:rPr>
        <w:t>possessing</w:t>
      </w:r>
      <w:r w:rsidR="002C4DEC" w:rsidRPr="00472492">
        <w:rPr>
          <w:rFonts w:ascii="Times New Roman" w:hAnsi="Times New Roman" w:cs="Times New Roman"/>
          <w:color w:val="auto"/>
          <w:sz w:val="22"/>
          <w:szCs w:val="22"/>
          <w:lang w:val="en-GB"/>
        </w:rPr>
        <w:t xml:space="preserve"> th</w:t>
      </w:r>
      <w:r w:rsidR="000201C6" w:rsidRPr="00472492">
        <w:rPr>
          <w:rFonts w:ascii="Times New Roman" w:hAnsi="Times New Roman" w:cs="Times New Roman"/>
          <w:color w:val="auto"/>
          <w:sz w:val="22"/>
          <w:szCs w:val="22"/>
          <w:lang w:val="en-GB"/>
        </w:rPr>
        <w:t>e</w:t>
      </w:r>
      <w:r w:rsidR="005871E8" w:rsidRPr="00472492">
        <w:rPr>
          <w:rFonts w:ascii="Times New Roman" w:hAnsi="Times New Roman" w:cs="Times New Roman"/>
          <w:color w:val="auto"/>
          <w:sz w:val="22"/>
          <w:szCs w:val="22"/>
          <w:lang w:val="en-GB"/>
        </w:rPr>
        <w:t xml:space="preserve"> prerogative</w:t>
      </w:r>
      <w:r w:rsidR="000201C6" w:rsidRPr="00472492">
        <w:rPr>
          <w:rFonts w:ascii="Times New Roman" w:hAnsi="Times New Roman" w:cs="Times New Roman"/>
          <w:color w:val="auto"/>
          <w:sz w:val="22"/>
          <w:szCs w:val="22"/>
          <w:lang w:val="en-GB"/>
        </w:rPr>
        <w:t xml:space="preserve"> to do so</w:t>
      </w:r>
      <w:r w:rsidR="00EB072B" w:rsidRPr="00472492">
        <w:rPr>
          <w:rFonts w:ascii="Times New Roman" w:hAnsi="Times New Roman" w:cs="Times New Roman"/>
          <w:color w:val="auto"/>
          <w:sz w:val="22"/>
          <w:szCs w:val="22"/>
          <w:lang w:val="en-GB"/>
        </w:rPr>
        <w:t xml:space="preserve">, </w:t>
      </w:r>
      <w:r w:rsidR="005871E8" w:rsidRPr="00472492">
        <w:rPr>
          <w:rFonts w:ascii="Times New Roman" w:hAnsi="Times New Roman" w:cs="Times New Roman"/>
          <w:color w:val="auto"/>
          <w:sz w:val="22"/>
          <w:szCs w:val="22"/>
          <w:lang w:val="en-GB"/>
        </w:rPr>
        <w:t>a</w:t>
      </w:r>
      <w:r w:rsidR="006B6FA6" w:rsidRPr="00472492">
        <w:rPr>
          <w:rFonts w:ascii="Times New Roman" w:hAnsi="Times New Roman" w:cs="Times New Roman"/>
          <w:color w:val="auto"/>
          <w:sz w:val="22"/>
          <w:szCs w:val="22"/>
          <w:lang w:val="en-GB"/>
        </w:rPr>
        <w:t>s well as</w:t>
      </w:r>
      <w:r w:rsidR="005871E8" w:rsidRPr="00472492">
        <w:rPr>
          <w:rFonts w:ascii="Times New Roman" w:hAnsi="Times New Roman" w:cs="Times New Roman"/>
          <w:color w:val="auto"/>
          <w:sz w:val="22"/>
          <w:szCs w:val="22"/>
          <w:lang w:val="en-GB"/>
        </w:rPr>
        <w:t xml:space="preserve"> sufficient legal grounds. </w:t>
      </w:r>
    </w:p>
    <w:p w14:paraId="1A230311" w14:textId="77777777" w:rsidR="00611D80" w:rsidRPr="00472492" w:rsidRDefault="00611D80" w:rsidP="00745D05">
      <w:pPr>
        <w:pStyle w:val="BodyA"/>
        <w:jc w:val="both"/>
        <w:rPr>
          <w:rFonts w:ascii="Times New Roman" w:hAnsi="Times New Roman" w:cs="Times New Roman"/>
          <w:color w:val="auto"/>
          <w:sz w:val="22"/>
          <w:szCs w:val="22"/>
          <w:lang w:val="en-GB"/>
        </w:rPr>
      </w:pPr>
    </w:p>
    <w:p w14:paraId="18DCA3DE" w14:textId="5C063E97" w:rsidR="00745D05" w:rsidRPr="00472492" w:rsidRDefault="00C765AF" w:rsidP="00745D05">
      <w:pPr>
        <w:pStyle w:val="BodyA"/>
        <w:jc w:val="both"/>
        <w:rPr>
          <w:rFonts w:ascii="Times New Roman" w:hAnsi="Times New Roman" w:cs="Times New Roman"/>
          <w:color w:val="auto"/>
          <w:sz w:val="22"/>
          <w:szCs w:val="22"/>
          <w:lang w:val="en-GB"/>
        </w:rPr>
      </w:pPr>
      <w:r w:rsidRPr="00472492">
        <w:rPr>
          <w:rFonts w:ascii="Times New Roman" w:hAnsi="Times New Roman" w:cs="Times New Roman"/>
          <w:color w:val="auto"/>
          <w:sz w:val="22"/>
          <w:szCs w:val="22"/>
          <w:lang w:val="en-GB"/>
        </w:rPr>
        <w:t xml:space="preserve">Instead, </w:t>
      </w:r>
      <w:r w:rsidR="008C5439" w:rsidRPr="00472492">
        <w:rPr>
          <w:rFonts w:ascii="Times New Roman" w:hAnsi="Times New Roman" w:cs="Times New Roman"/>
          <w:color w:val="auto"/>
          <w:sz w:val="22"/>
          <w:szCs w:val="22"/>
          <w:lang w:val="en-GB"/>
        </w:rPr>
        <w:t>t</w:t>
      </w:r>
      <w:r w:rsidR="00387093" w:rsidRPr="00472492">
        <w:rPr>
          <w:rFonts w:ascii="Times New Roman" w:hAnsi="Times New Roman" w:cs="Times New Roman"/>
          <w:color w:val="auto"/>
          <w:sz w:val="22"/>
          <w:szCs w:val="22"/>
          <w:lang w:val="en-GB"/>
        </w:rPr>
        <w:t xml:space="preserve">he Committee should </w:t>
      </w:r>
      <w:r w:rsidR="006428D2" w:rsidRPr="00472492">
        <w:rPr>
          <w:rFonts w:ascii="Times New Roman" w:hAnsi="Times New Roman" w:cs="Times New Roman"/>
          <w:color w:val="auto"/>
          <w:sz w:val="22"/>
          <w:szCs w:val="22"/>
          <w:lang w:val="en-GB"/>
        </w:rPr>
        <w:t>consider</w:t>
      </w:r>
      <w:r w:rsidR="00387093" w:rsidRPr="00472492">
        <w:rPr>
          <w:rFonts w:ascii="Times New Roman" w:hAnsi="Times New Roman" w:cs="Times New Roman"/>
          <w:color w:val="auto"/>
          <w:sz w:val="22"/>
          <w:szCs w:val="22"/>
          <w:lang w:val="en-GB"/>
        </w:rPr>
        <w:t xml:space="preserve"> that </w:t>
      </w:r>
      <w:r w:rsidR="000B0C6D" w:rsidRPr="00472492">
        <w:rPr>
          <w:rFonts w:ascii="Times New Roman" w:hAnsi="Times New Roman" w:cs="Times New Roman"/>
          <w:color w:val="auto"/>
          <w:sz w:val="22"/>
          <w:szCs w:val="22"/>
          <w:lang w:val="en-GB"/>
        </w:rPr>
        <w:t>given</w:t>
      </w:r>
      <w:r w:rsidR="00745D05" w:rsidRPr="00472492">
        <w:rPr>
          <w:rFonts w:ascii="Times New Roman" w:hAnsi="Times New Roman" w:cs="Times New Roman"/>
          <w:color w:val="auto"/>
          <w:sz w:val="22"/>
          <w:szCs w:val="22"/>
          <w:lang w:val="en-GB"/>
        </w:rPr>
        <w:t xml:space="preserve"> the new reality of </w:t>
      </w:r>
      <w:r w:rsidR="00B04948" w:rsidRPr="00472492">
        <w:rPr>
          <w:rFonts w:ascii="Times New Roman" w:hAnsi="Times New Roman" w:cs="Times New Roman"/>
          <w:color w:val="auto"/>
          <w:sz w:val="22"/>
          <w:szCs w:val="22"/>
          <w:lang w:val="en-GB"/>
        </w:rPr>
        <w:t xml:space="preserve">the </w:t>
      </w:r>
      <w:r w:rsidR="00745D05" w:rsidRPr="00472492">
        <w:rPr>
          <w:rFonts w:ascii="Times New Roman" w:hAnsi="Times New Roman" w:cs="Times New Roman"/>
          <w:color w:val="auto"/>
          <w:sz w:val="22"/>
          <w:szCs w:val="22"/>
          <w:lang w:val="en-GB"/>
        </w:rPr>
        <w:t xml:space="preserve">control of land by TNCs, the nature of dependency on the land </w:t>
      </w:r>
      <w:r w:rsidR="00806846" w:rsidRPr="00472492">
        <w:rPr>
          <w:rFonts w:ascii="Times New Roman" w:hAnsi="Times New Roman" w:cs="Times New Roman"/>
          <w:color w:val="auto"/>
          <w:sz w:val="22"/>
          <w:szCs w:val="22"/>
          <w:lang w:val="en-GB"/>
        </w:rPr>
        <w:t>eventually becomes</w:t>
      </w:r>
      <w:r w:rsidR="00745D05" w:rsidRPr="00472492">
        <w:rPr>
          <w:rFonts w:ascii="Times New Roman" w:hAnsi="Times New Roman" w:cs="Times New Roman"/>
          <w:color w:val="auto"/>
          <w:sz w:val="22"/>
          <w:szCs w:val="22"/>
          <w:lang w:val="en-GB"/>
        </w:rPr>
        <w:t xml:space="preserve"> fragmented. If the community seeks land access, they must demonstrate that the violation is not preventable or subject to remediation through other alternatives, for instance, the relocation of homes or jobs, or through the purchase of food from supermarkets. Those alternatives differ from guarant</w:t>
      </w:r>
      <w:r w:rsidR="0028470D" w:rsidRPr="00472492">
        <w:rPr>
          <w:rFonts w:ascii="Times New Roman" w:hAnsi="Times New Roman" w:cs="Times New Roman"/>
          <w:color w:val="auto"/>
          <w:sz w:val="22"/>
          <w:szCs w:val="22"/>
          <w:lang w:val="en-GB"/>
        </w:rPr>
        <w:t>ee</w:t>
      </w:r>
      <w:r w:rsidR="00745D05" w:rsidRPr="00472492">
        <w:rPr>
          <w:rFonts w:ascii="Times New Roman" w:hAnsi="Times New Roman" w:cs="Times New Roman"/>
          <w:color w:val="auto"/>
          <w:sz w:val="22"/>
          <w:szCs w:val="22"/>
          <w:lang w:val="en-GB"/>
        </w:rPr>
        <w:t xml:space="preserve">ing the permanent use of land </w:t>
      </w:r>
      <w:r w:rsidR="00234507" w:rsidRPr="00472492">
        <w:rPr>
          <w:rFonts w:ascii="Times New Roman" w:hAnsi="Times New Roman" w:cs="Times New Roman"/>
          <w:color w:val="auto"/>
          <w:sz w:val="22"/>
          <w:szCs w:val="22"/>
          <w:lang w:val="en-GB"/>
        </w:rPr>
        <w:t xml:space="preserve">and </w:t>
      </w:r>
      <w:r w:rsidR="00745D05" w:rsidRPr="00472492">
        <w:rPr>
          <w:rFonts w:ascii="Times New Roman" w:hAnsi="Times New Roman" w:cs="Times New Roman"/>
          <w:color w:val="auto"/>
          <w:sz w:val="22"/>
          <w:szCs w:val="22"/>
          <w:lang w:val="en-GB"/>
        </w:rPr>
        <w:t>blur the very purpose of the adequate standard of living of local communities which depend on land for their survival and livelihood</w:t>
      </w:r>
      <w:r w:rsidR="00982E19" w:rsidRPr="00472492">
        <w:rPr>
          <w:rFonts w:ascii="Times New Roman" w:hAnsi="Times New Roman" w:cs="Times New Roman"/>
          <w:color w:val="auto"/>
          <w:sz w:val="22"/>
          <w:szCs w:val="22"/>
          <w:lang w:val="en-GB"/>
        </w:rPr>
        <w:t>.</w:t>
      </w:r>
      <w:r w:rsidR="001518E6" w:rsidRPr="00472492">
        <w:rPr>
          <w:rFonts w:ascii="Times New Roman" w:hAnsi="Times New Roman" w:cs="Times New Roman"/>
          <w:color w:val="auto"/>
          <w:sz w:val="22"/>
          <w:szCs w:val="22"/>
          <w:lang w:val="en-GB"/>
        </w:rPr>
        <w:t xml:space="preserve"> </w:t>
      </w:r>
      <w:r w:rsidR="00745D05" w:rsidRPr="00630EF4">
        <w:rPr>
          <w:rFonts w:ascii="Times New Roman" w:hAnsi="Times New Roman"/>
          <w:color w:val="auto"/>
          <w:sz w:val="22"/>
          <w:szCs w:val="22"/>
          <w:lang w:val="en-GB"/>
        </w:rPr>
        <w:t>Küneman</w:t>
      </w:r>
      <w:r w:rsidR="00745D05" w:rsidRPr="00472492">
        <w:rPr>
          <w:rFonts w:ascii="Times New Roman" w:hAnsi="Times New Roman" w:cs="Times New Roman"/>
          <w:color w:val="auto"/>
          <w:sz w:val="22"/>
          <w:szCs w:val="22"/>
          <w:lang w:val="en-GB"/>
        </w:rPr>
        <w:t xml:space="preserve"> and Monsalve have criticised this approach to land protection. They contend that </w:t>
      </w:r>
      <w:r w:rsidR="00E0217A" w:rsidRPr="00472492">
        <w:rPr>
          <w:rFonts w:ascii="Times New Roman" w:hAnsi="Times New Roman" w:cs="Times New Roman"/>
          <w:color w:val="auto"/>
          <w:sz w:val="22"/>
          <w:szCs w:val="22"/>
          <w:lang w:val="en-GB"/>
        </w:rPr>
        <w:t xml:space="preserve">local communities </w:t>
      </w:r>
      <w:r w:rsidR="00745D05" w:rsidRPr="00472492">
        <w:rPr>
          <w:rFonts w:ascii="Times New Roman" w:hAnsi="Times New Roman" w:cs="Times New Roman"/>
          <w:color w:val="auto"/>
          <w:sz w:val="22"/>
          <w:szCs w:val="22"/>
          <w:lang w:val="en-GB"/>
        </w:rPr>
        <w:t xml:space="preserve">having to argue a multitude of other rights in order to defend their lands fragments the argument </w:t>
      </w:r>
      <w:r w:rsidR="00F506CD" w:rsidRPr="00472492">
        <w:rPr>
          <w:rFonts w:ascii="Times New Roman" w:hAnsi="Times New Roman" w:cs="Times New Roman"/>
          <w:color w:val="auto"/>
          <w:sz w:val="22"/>
          <w:szCs w:val="22"/>
          <w:lang w:val="en-GB"/>
        </w:rPr>
        <w:t>i.e.</w:t>
      </w:r>
      <w:r w:rsidR="00745D05" w:rsidRPr="00472492">
        <w:rPr>
          <w:rFonts w:ascii="Times New Roman" w:hAnsi="Times New Roman" w:cs="Times New Roman"/>
          <w:color w:val="auto"/>
          <w:sz w:val="22"/>
          <w:szCs w:val="22"/>
          <w:lang w:val="en-GB"/>
        </w:rPr>
        <w:t xml:space="preserve"> protection from being deprived of their lands.</w:t>
      </w:r>
      <w:bookmarkStart w:id="3" w:name="_Ref490573871"/>
      <w:r w:rsidR="00745D05" w:rsidRPr="00472492">
        <w:rPr>
          <w:rStyle w:val="FootnoteReference"/>
          <w:rFonts w:ascii="Times New Roman" w:hAnsi="Times New Roman" w:cs="Times New Roman"/>
          <w:color w:val="auto"/>
          <w:sz w:val="22"/>
          <w:szCs w:val="22"/>
          <w:lang w:val="en-GB"/>
        </w:rPr>
        <w:footnoteReference w:id="20"/>
      </w:r>
      <w:bookmarkEnd w:id="3"/>
      <w:r w:rsidR="00745D05" w:rsidRPr="00472492">
        <w:rPr>
          <w:rFonts w:ascii="Times New Roman" w:hAnsi="Times New Roman" w:cs="Times New Roman"/>
          <w:color w:val="auto"/>
          <w:sz w:val="22"/>
          <w:szCs w:val="22"/>
          <w:lang w:val="en-GB"/>
        </w:rPr>
        <w:t xml:space="preserve">  </w:t>
      </w:r>
      <w:r w:rsidR="00745D05" w:rsidRPr="00630EF4">
        <w:rPr>
          <w:rFonts w:ascii="Times New Roman" w:hAnsi="Times New Roman"/>
          <w:color w:val="auto"/>
          <w:sz w:val="22"/>
          <w:szCs w:val="22"/>
        </w:rPr>
        <w:t>Therefore, when a number of violations occur</w:t>
      </w:r>
      <w:r w:rsidR="00BB465A" w:rsidRPr="00630EF4">
        <w:rPr>
          <w:rFonts w:ascii="Times New Roman" w:hAnsi="Times New Roman"/>
          <w:color w:val="auto"/>
          <w:sz w:val="22"/>
          <w:szCs w:val="22"/>
        </w:rPr>
        <w:t xml:space="preserve"> </w:t>
      </w:r>
      <w:r w:rsidR="00CA1EA2" w:rsidRPr="00630EF4">
        <w:rPr>
          <w:rFonts w:ascii="Times New Roman" w:hAnsi="Times New Roman"/>
          <w:color w:val="auto"/>
          <w:sz w:val="22"/>
          <w:szCs w:val="22"/>
        </w:rPr>
        <w:t>(</w:t>
      </w:r>
      <w:r w:rsidR="00745D05" w:rsidRPr="00630EF4">
        <w:rPr>
          <w:rFonts w:ascii="Times New Roman" w:hAnsi="Times New Roman"/>
          <w:color w:val="auto"/>
          <w:sz w:val="22"/>
          <w:szCs w:val="22"/>
        </w:rPr>
        <w:t>against the right to food, water and/or housing</w:t>
      </w:r>
      <w:r w:rsidR="00CA1EA2" w:rsidRPr="00630EF4">
        <w:rPr>
          <w:rFonts w:ascii="Times New Roman" w:hAnsi="Times New Roman"/>
          <w:color w:val="auto"/>
          <w:sz w:val="22"/>
          <w:szCs w:val="22"/>
        </w:rPr>
        <w:t>)</w:t>
      </w:r>
      <w:r w:rsidR="00BB465A" w:rsidRPr="00630EF4">
        <w:rPr>
          <w:rFonts w:ascii="Times New Roman" w:hAnsi="Times New Roman"/>
          <w:color w:val="auto"/>
          <w:sz w:val="22"/>
          <w:szCs w:val="22"/>
        </w:rPr>
        <w:t xml:space="preserve"> </w:t>
      </w:r>
      <w:r w:rsidR="00745D05" w:rsidRPr="00630EF4">
        <w:rPr>
          <w:rFonts w:ascii="Times New Roman" w:hAnsi="Times New Roman"/>
          <w:color w:val="auto"/>
          <w:sz w:val="22"/>
          <w:szCs w:val="22"/>
        </w:rPr>
        <w:t>as the result of one single phenomenon</w:t>
      </w:r>
      <w:r w:rsidR="00CA1EA2" w:rsidRPr="00630EF4">
        <w:rPr>
          <w:rFonts w:ascii="Times New Roman" w:hAnsi="Times New Roman"/>
          <w:color w:val="auto"/>
          <w:sz w:val="22"/>
          <w:szCs w:val="22"/>
        </w:rPr>
        <w:t xml:space="preserve"> (</w:t>
      </w:r>
      <w:r w:rsidR="00745D05" w:rsidRPr="00630EF4">
        <w:rPr>
          <w:rFonts w:ascii="Times New Roman" w:hAnsi="Times New Roman"/>
          <w:color w:val="auto"/>
          <w:sz w:val="22"/>
          <w:szCs w:val="22"/>
        </w:rPr>
        <w:t>in this case</w:t>
      </w:r>
      <w:r w:rsidR="00BB465A" w:rsidRPr="00630EF4">
        <w:rPr>
          <w:rFonts w:ascii="Times New Roman" w:hAnsi="Times New Roman"/>
          <w:color w:val="auto"/>
          <w:sz w:val="22"/>
          <w:szCs w:val="22"/>
        </w:rPr>
        <w:t>,</w:t>
      </w:r>
      <w:r w:rsidR="00E06CA3" w:rsidRPr="00630EF4">
        <w:rPr>
          <w:rFonts w:ascii="Times New Roman" w:hAnsi="Times New Roman"/>
          <w:color w:val="auto"/>
          <w:sz w:val="22"/>
          <w:szCs w:val="22"/>
        </w:rPr>
        <w:t xml:space="preserve"> that of</w:t>
      </w:r>
      <w:r w:rsidR="00745D05" w:rsidRPr="00630EF4">
        <w:rPr>
          <w:rFonts w:ascii="Times New Roman" w:hAnsi="Times New Roman"/>
          <w:color w:val="auto"/>
          <w:sz w:val="22"/>
          <w:szCs w:val="22"/>
        </w:rPr>
        <w:t xml:space="preserve"> land deprivation</w:t>
      </w:r>
      <w:r w:rsidR="00CA1EA2" w:rsidRPr="00630EF4">
        <w:rPr>
          <w:rFonts w:ascii="Times New Roman" w:hAnsi="Times New Roman"/>
          <w:color w:val="auto"/>
          <w:sz w:val="22"/>
          <w:szCs w:val="22"/>
        </w:rPr>
        <w:t>)</w:t>
      </w:r>
      <w:r w:rsidR="00745D05" w:rsidRPr="00630EF4">
        <w:rPr>
          <w:rFonts w:ascii="Times New Roman" w:hAnsi="Times New Roman"/>
          <w:color w:val="auto"/>
          <w:sz w:val="22"/>
          <w:szCs w:val="22"/>
        </w:rPr>
        <w:t xml:space="preserve"> and these unfold in the context of environmental contamination, loss of lands or obstacles to access to land, having to argue each violation in isolation is a burden that unbalances the effective protection of human rights</w:t>
      </w:r>
      <w:r w:rsidR="00AB1E19" w:rsidRPr="00630EF4">
        <w:rPr>
          <w:rFonts w:ascii="Times New Roman" w:hAnsi="Times New Roman"/>
          <w:color w:val="auto"/>
          <w:sz w:val="22"/>
          <w:szCs w:val="22"/>
        </w:rPr>
        <w:t>.</w:t>
      </w:r>
      <w:r w:rsidR="00745D05" w:rsidRPr="00630EF4">
        <w:rPr>
          <w:rFonts w:ascii="Times New Roman" w:hAnsi="Times New Roman"/>
          <w:color w:val="auto"/>
          <w:sz w:val="22"/>
          <w:szCs w:val="22"/>
        </w:rPr>
        <w:t xml:space="preserve"> </w:t>
      </w:r>
    </w:p>
    <w:p w14:paraId="7C2C41C2" w14:textId="77777777" w:rsidR="00C63F10" w:rsidRPr="00472492" w:rsidRDefault="00C63F10" w:rsidP="0095038F">
      <w:pPr>
        <w:jc w:val="both"/>
        <w:rPr>
          <w:rFonts w:cs="Times New Roman"/>
          <w:sz w:val="22"/>
          <w:szCs w:val="22"/>
          <w:lang w:val="en-GB"/>
        </w:rPr>
      </w:pPr>
    </w:p>
    <w:p w14:paraId="2AFF0B25" w14:textId="27A34CB8" w:rsidR="001D516C" w:rsidRPr="00472492" w:rsidRDefault="00314539" w:rsidP="0095038F">
      <w:pPr>
        <w:jc w:val="both"/>
        <w:rPr>
          <w:b/>
          <w:sz w:val="22"/>
          <w:szCs w:val="22"/>
          <w:lang w:val="en-GB"/>
        </w:rPr>
      </w:pPr>
      <w:r w:rsidRPr="00472492">
        <w:rPr>
          <w:rFonts w:cs="Times New Roman"/>
          <w:sz w:val="22"/>
          <w:szCs w:val="22"/>
          <w:lang w:val="en-GB"/>
        </w:rPr>
        <w:t>For this reason</w:t>
      </w:r>
      <w:r w:rsidR="00FB580A" w:rsidRPr="00472492">
        <w:rPr>
          <w:rFonts w:cs="Times New Roman"/>
          <w:sz w:val="22"/>
          <w:szCs w:val="22"/>
          <w:lang w:val="en-GB"/>
        </w:rPr>
        <w:t>,</w:t>
      </w:r>
      <w:r w:rsidR="00D414E4" w:rsidRPr="00472492">
        <w:rPr>
          <w:rFonts w:cs="Times New Roman"/>
          <w:sz w:val="22"/>
          <w:szCs w:val="22"/>
          <w:lang w:val="en-GB"/>
        </w:rPr>
        <w:t xml:space="preserve"> </w:t>
      </w:r>
      <w:r w:rsidR="00EE6CC2" w:rsidRPr="00472492">
        <w:rPr>
          <w:rFonts w:cs="Times New Roman"/>
          <w:sz w:val="22"/>
          <w:szCs w:val="22"/>
          <w:lang w:val="en-GB"/>
        </w:rPr>
        <w:t>the right to access to land should be separate</w:t>
      </w:r>
      <w:r w:rsidR="005B2DB2" w:rsidRPr="00472492">
        <w:rPr>
          <w:rFonts w:cs="Times New Roman"/>
          <w:sz w:val="22"/>
          <w:szCs w:val="22"/>
          <w:lang w:val="en-GB"/>
        </w:rPr>
        <w:t>d</w:t>
      </w:r>
      <w:r w:rsidR="00EE6CC2" w:rsidRPr="00472492">
        <w:rPr>
          <w:rFonts w:cs="Times New Roman"/>
          <w:sz w:val="22"/>
          <w:szCs w:val="22"/>
          <w:lang w:val="en-GB"/>
        </w:rPr>
        <w:t xml:space="preserve"> from the currently established approach, which covers the rights to food, housing and water. This reinterpretat</w:t>
      </w:r>
      <w:r w:rsidR="00A3621E" w:rsidRPr="00472492">
        <w:rPr>
          <w:rFonts w:cs="Times New Roman"/>
          <w:sz w:val="22"/>
          <w:szCs w:val="22"/>
          <w:lang w:val="en-GB"/>
        </w:rPr>
        <w:t xml:space="preserve">ion should move in a direction </w:t>
      </w:r>
      <w:r w:rsidR="000B6EC9" w:rsidRPr="00472492">
        <w:rPr>
          <w:rFonts w:cs="Times New Roman"/>
          <w:sz w:val="22"/>
          <w:szCs w:val="22"/>
          <w:lang w:val="en-GB"/>
        </w:rPr>
        <w:t xml:space="preserve">similar to </w:t>
      </w:r>
      <w:r w:rsidR="00EE6CC2" w:rsidRPr="00472492">
        <w:rPr>
          <w:rFonts w:cs="Times New Roman"/>
          <w:sz w:val="22"/>
          <w:szCs w:val="22"/>
          <w:lang w:val="en-GB"/>
        </w:rPr>
        <w:t>the one describe</w:t>
      </w:r>
      <w:r w:rsidR="00FD4BFA" w:rsidRPr="00472492">
        <w:rPr>
          <w:rFonts w:cs="Times New Roman"/>
          <w:sz w:val="22"/>
          <w:szCs w:val="22"/>
          <w:lang w:val="en-GB"/>
        </w:rPr>
        <w:t xml:space="preserve">d by Bulto </w:t>
      </w:r>
      <w:r w:rsidR="00EE6CC2" w:rsidRPr="00472492">
        <w:rPr>
          <w:rFonts w:cs="Times New Roman"/>
          <w:sz w:val="22"/>
          <w:szCs w:val="22"/>
          <w:lang w:val="en-GB"/>
        </w:rPr>
        <w:t>in the approach to the right to water – it is ‘thus not dependent upon the finding of violations of other related rights, but is an autonomous right that can be violated when its constituent elements are infringed’.</w:t>
      </w:r>
      <w:r w:rsidR="00EE6CC2" w:rsidRPr="00472492">
        <w:rPr>
          <w:rStyle w:val="FootnoteReference"/>
          <w:rFonts w:cs="Times New Roman"/>
          <w:sz w:val="22"/>
          <w:szCs w:val="22"/>
          <w:lang w:val="en-GB"/>
        </w:rPr>
        <w:footnoteReference w:id="21"/>
      </w:r>
      <w:r w:rsidR="00EE6CC2" w:rsidRPr="00472492">
        <w:rPr>
          <w:rFonts w:cs="Times New Roman"/>
          <w:sz w:val="22"/>
          <w:szCs w:val="22"/>
          <w:lang w:val="en-GB"/>
        </w:rPr>
        <w:t xml:space="preserve"> Scholars whose work focuses on the protection of local communities in the context of the negative impacts of business activities and land investments, </w:t>
      </w:r>
      <w:r w:rsidR="00FD61EB" w:rsidRPr="00472492">
        <w:rPr>
          <w:rFonts w:cs="Times New Roman"/>
          <w:sz w:val="22"/>
          <w:szCs w:val="22"/>
          <w:lang w:val="en-GB"/>
        </w:rPr>
        <w:t>ha</w:t>
      </w:r>
      <w:r w:rsidR="00FD4BFA" w:rsidRPr="00472492">
        <w:rPr>
          <w:rFonts w:cs="Times New Roman"/>
          <w:sz w:val="22"/>
          <w:szCs w:val="22"/>
          <w:lang w:val="en-GB"/>
        </w:rPr>
        <w:t>ve</w:t>
      </w:r>
      <w:r w:rsidR="00FD61EB" w:rsidRPr="00472492">
        <w:rPr>
          <w:rFonts w:cs="Times New Roman"/>
          <w:sz w:val="22"/>
          <w:szCs w:val="22"/>
          <w:lang w:val="en-GB"/>
        </w:rPr>
        <w:t xml:space="preserve"> consistently </w:t>
      </w:r>
      <w:r w:rsidR="00622049" w:rsidRPr="00472492">
        <w:rPr>
          <w:rFonts w:cs="Times New Roman"/>
          <w:sz w:val="22"/>
          <w:szCs w:val="22"/>
          <w:lang w:val="en-GB"/>
        </w:rPr>
        <w:t xml:space="preserve">agreed </w:t>
      </w:r>
      <w:r w:rsidR="00EE6CC2" w:rsidRPr="00472492">
        <w:rPr>
          <w:rFonts w:cs="Times New Roman"/>
          <w:sz w:val="22"/>
          <w:szCs w:val="22"/>
          <w:lang w:val="en-GB"/>
        </w:rPr>
        <w:t xml:space="preserve">that there </w:t>
      </w:r>
      <w:r w:rsidR="00622049" w:rsidRPr="00472492">
        <w:rPr>
          <w:rFonts w:cs="Times New Roman"/>
          <w:sz w:val="22"/>
          <w:szCs w:val="22"/>
          <w:lang w:val="en-GB"/>
        </w:rPr>
        <w:t>exists</w:t>
      </w:r>
      <w:r w:rsidR="00EE6CC2" w:rsidRPr="00472492">
        <w:rPr>
          <w:rFonts w:cs="Times New Roman"/>
          <w:sz w:val="22"/>
          <w:szCs w:val="22"/>
          <w:lang w:val="en-GB"/>
        </w:rPr>
        <w:t xml:space="preserve"> a need for an autonomous right to land</w:t>
      </w:r>
      <w:r w:rsidR="00885031" w:rsidRPr="00472492">
        <w:rPr>
          <w:rFonts w:cs="Times New Roman"/>
          <w:sz w:val="22"/>
          <w:szCs w:val="22"/>
          <w:lang w:val="en-GB"/>
        </w:rPr>
        <w:t>. T</w:t>
      </w:r>
      <w:r w:rsidR="00EE6CC2" w:rsidRPr="00472492">
        <w:rPr>
          <w:rFonts w:cs="Times New Roman"/>
          <w:sz w:val="22"/>
          <w:szCs w:val="22"/>
          <w:lang w:val="en-GB"/>
        </w:rPr>
        <w:t>heir insights contribute to the construction of this new interpretation and the concept of a right to access to land.</w:t>
      </w:r>
      <w:r w:rsidR="0095038F" w:rsidRPr="00472492">
        <w:rPr>
          <w:rFonts w:cs="Times New Roman"/>
          <w:sz w:val="22"/>
          <w:szCs w:val="22"/>
          <w:lang w:val="en-GB"/>
        </w:rPr>
        <w:t xml:space="preserve"> </w:t>
      </w:r>
      <w:r w:rsidR="001D516C" w:rsidRPr="00472492">
        <w:rPr>
          <w:sz w:val="22"/>
          <w:szCs w:val="22"/>
          <w:lang w:val="en-GB"/>
        </w:rPr>
        <w:t>All these approaches concur that the right to land consists of access, use and control.</w:t>
      </w:r>
      <w:r w:rsidR="00FD61EB" w:rsidRPr="00472492">
        <w:rPr>
          <w:rStyle w:val="FootnoteReference"/>
          <w:sz w:val="22"/>
          <w:szCs w:val="22"/>
          <w:lang w:val="en-GB"/>
        </w:rPr>
        <w:footnoteReference w:id="22"/>
      </w:r>
      <w:r w:rsidR="001D516C" w:rsidRPr="00472492">
        <w:rPr>
          <w:sz w:val="22"/>
          <w:szCs w:val="22"/>
          <w:lang w:val="en-GB"/>
        </w:rPr>
        <w:t xml:space="preserve"> </w:t>
      </w:r>
      <w:r w:rsidR="0099376A" w:rsidRPr="00472492">
        <w:rPr>
          <w:sz w:val="22"/>
          <w:szCs w:val="22"/>
          <w:lang w:val="en-GB"/>
        </w:rPr>
        <w:t xml:space="preserve"> Indeed, it should not be ignored that initial proposals for a right to land in the Declaration </w:t>
      </w:r>
      <w:r w:rsidR="00215804" w:rsidRPr="00472492">
        <w:rPr>
          <w:sz w:val="22"/>
          <w:szCs w:val="22"/>
          <w:lang w:val="en-GB"/>
        </w:rPr>
        <w:t xml:space="preserve">of </w:t>
      </w:r>
      <w:r w:rsidR="0099376A" w:rsidRPr="00472492">
        <w:rPr>
          <w:sz w:val="22"/>
          <w:szCs w:val="22"/>
          <w:lang w:val="en-GB"/>
        </w:rPr>
        <w:t>Peasants enunciated</w:t>
      </w:r>
      <w:r w:rsidR="00215804" w:rsidRPr="00472492">
        <w:rPr>
          <w:sz w:val="22"/>
          <w:szCs w:val="22"/>
          <w:lang w:val="en-GB"/>
        </w:rPr>
        <w:t xml:space="preserve"> these</w:t>
      </w:r>
      <w:r w:rsidR="0099376A" w:rsidRPr="00472492">
        <w:rPr>
          <w:sz w:val="22"/>
          <w:szCs w:val="22"/>
          <w:lang w:val="en-GB"/>
        </w:rPr>
        <w:t xml:space="preserve"> elements </w:t>
      </w:r>
      <w:r w:rsidR="00023C1A" w:rsidRPr="00472492">
        <w:rPr>
          <w:sz w:val="22"/>
          <w:szCs w:val="22"/>
          <w:lang w:val="en-GB"/>
        </w:rPr>
        <w:t xml:space="preserve">as falling under the </w:t>
      </w:r>
      <w:r w:rsidR="0099376A" w:rsidRPr="00472492">
        <w:rPr>
          <w:sz w:val="22"/>
          <w:szCs w:val="22"/>
          <w:lang w:val="en-GB"/>
        </w:rPr>
        <w:t xml:space="preserve">right to land. </w:t>
      </w:r>
      <w:r w:rsidR="00D414E4" w:rsidRPr="00472492">
        <w:rPr>
          <w:sz w:val="22"/>
          <w:szCs w:val="22"/>
          <w:lang w:val="en-GB"/>
        </w:rPr>
        <w:t>This is an approach we agree with:</w:t>
      </w:r>
      <w:r w:rsidR="00FD61EB" w:rsidRPr="00472492">
        <w:rPr>
          <w:sz w:val="22"/>
          <w:szCs w:val="22"/>
          <w:lang w:val="en-GB"/>
        </w:rPr>
        <w:t xml:space="preserve"> </w:t>
      </w:r>
      <w:r w:rsidR="00D414E4" w:rsidRPr="00472492">
        <w:rPr>
          <w:b/>
          <w:sz w:val="22"/>
          <w:szCs w:val="22"/>
          <w:lang w:val="en-GB"/>
        </w:rPr>
        <w:t>a</w:t>
      </w:r>
      <w:r w:rsidR="001D516C" w:rsidRPr="00472492">
        <w:rPr>
          <w:b/>
          <w:sz w:val="22"/>
          <w:szCs w:val="22"/>
          <w:lang w:val="en-GB"/>
        </w:rPr>
        <w:t xml:space="preserve">ccess and use are fundamental for the factual utilisation of land and </w:t>
      </w:r>
      <w:r w:rsidR="00FB6C68" w:rsidRPr="00472492">
        <w:rPr>
          <w:b/>
          <w:sz w:val="22"/>
          <w:szCs w:val="22"/>
          <w:lang w:val="en-GB"/>
        </w:rPr>
        <w:t xml:space="preserve">its </w:t>
      </w:r>
      <w:r w:rsidR="001D516C" w:rsidRPr="00472492">
        <w:rPr>
          <w:b/>
          <w:sz w:val="22"/>
          <w:szCs w:val="22"/>
          <w:lang w:val="en-GB"/>
        </w:rPr>
        <w:t xml:space="preserve">related resources, and control is the </w:t>
      </w:r>
      <w:r w:rsidR="00B07532" w:rsidRPr="00472492">
        <w:rPr>
          <w:b/>
          <w:sz w:val="22"/>
          <w:szCs w:val="22"/>
          <w:lang w:val="en-GB"/>
        </w:rPr>
        <w:t xml:space="preserve">key </w:t>
      </w:r>
      <w:r w:rsidR="001D516C" w:rsidRPr="00472492">
        <w:rPr>
          <w:b/>
          <w:sz w:val="22"/>
          <w:szCs w:val="22"/>
          <w:lang w:val="en-GB"/>
        </w:rPr>
        <w:t xml:space="preserve">to bridging the protection gap </w:t>
      </w:r>
      <w:r w:rsidR="006B542B" w:rsidRPr="00472492">
        <w:rPr>
          <w:b/>
          <w:sz w:val="22"/>
          <w:szCs w:val="22"/>
          <w:lang w:val="en-GB"/>
        </w:rPr>
        <w:t xml:space="preserve">of </w:t>
      </w:r>
      <w:r w:rsidR="00D414E4" w:rsidRPr="00472492">
        <w:rPr>
          <w:b/>
          <w:sz w:val="22"/>
          <w:szCs w:val="22"/>
          <w:lang w:val="en-GB"/>
        </w:rPr>
        <w:t>present</w:t>
      </w:r>
      <w:r w:rsidR="006B542B" w:rsidRPr="00472492">
        <w:rPr>
          <w:b/>
          <w:sz w:val="22"/>
          <w:szCs w:val="22"/>
          <w:lang w:val="en-GB"/>
        </w:rPr>
        <w:t xml:space="preserve"> concern</w:t>
      </w:r>
      <w:r w:rsidR="00CA58E2" w:rsidRPr="00472492">
        <w:rPr>
          <w:b/>
          <w:sz w:val="22"/>
          <w:szCs w:val="22"/>
          <w:lang w:val="en-GB"/>
        </w:rPr>
        <w:t>:</w:t>
      </w:r>
      <w:r w:rsidR="001D516C" w:rsidRPr="00472492">
        <w:rPr>
          <w:b/>
          <w:sz w:val="22"/>
          <w:szCs w:val="22"/>
          <w:lang w:val="en-GB"/>
        </w:rPr>
        <w:t xml:space="preserve"> </w:t>
      </w:r>
      <w:r w:rsidR="00CA58E2" w:rsidRPr="00472492">
        <w:rPr>
          <w:b/>
          <w:sz w:val="22"/>
          <w:szCs w:val="22"/>
          <w:lang w:val="en-GB"/>
        </w:rPr>
        <w:t>i</w:t>
      </w:r>
      <w:r w:rsidR="001D516C" w:rsidRPr="00472492">
        <w:rPr>
          <w:b/>
          <w:sz w:val="22"/>
          <w:szCs w:val="22"/>
          <w:lang w:val="en-GB"/>
        </w:rPr>
        <w:t>n the current reality of TNCs in control of land use, as opposed to the State, wh</w:t>
      </w:r>
      <w:r w:rsidR="00CA58E2" w:rsidRPr="00472492">
        <w:rPr>
          <w:b/>
          <w:sz w:val="22"/>
          <w:szCs w:val="22"/>
          <w:lang w:val="en-GB"/>
        </w:rPr>
        <w:t>ich</w:t>
      </w:r>
      <w:r w:rsidR="001D516C" w:rsidRPr="00472492">
        <w:rPr>
          <w:b/>
          <w:sz w:val="22"/>
          <w:szCs w:val="22"/>
          <w:lang w:val="en-GB"/>
        </w:rPr>
        <w:t xml:space="preserve"> does not provide protection to prevent those situations, a right to land that presupposes the control of such a resource creates a safety net against</w:t>
      </w:r>
      <w:r w:rsidR="001D516C" w:rsidRPr="00472492">
        <w:rPr>
          <w:rStyle w:val="CommentReference"/>
          <w:rFonts w:cs="Times New Roman"/>
          <w:b/>
          <w:sz w:val="22"/>
          <w:szCs w:val="22"/>
          <w:lang w:val="en-GB"/>
        </w:rPr>
        <w:t xml:space="preserve"> </w:t>
      </w:r>
      <w:r w:rsidR="00CA58E2" w:rsidRPr="00472492">
        <w:rPr>
          <w:rStyle w:val="CommentReference"/>
          <w:rFonts w:cs="Times New Roman"/>
          <w:b/>
          <w:sz w:val="22"/>
          <w:szCs w:val="22"/>
          <w:lang w:val="en-GB"/>
        </w:rPr>
        <w:t xml:space="preserve">such negative </w:t>
      </w:r>
      <w:r w:rsidR="001D516C" w:rsidRPr="00472492">
        <w:rPr>
          <w:b/>
          <w:sz w:val="22"/>
          <w:szCs w:val="22"/>
          <w:lang w:val="en-GB"/>
        </w:rPr>
        <w:t>impact</w:t>
      </w:r>
      <w:r w:rsidR="00CA58E2" w:rsidRPr="00472492">
        <w:rPr>
          <w:b/>
          <w:sz w:val="22"/>
          <w:szCs w:val="22"/>
          <w:lang w:val="en-GB"/>
        </w:rPr>
        <w:t>.</w:t>
      </w:r>
    </w:p>
    <w:p w14:paraId="5D0ED689" w14:textId="77777777" w:rsidR="0044134C" w:rsidRPr="00472492" w:rsidRDefault="0044134C" w:rsidP="0095038F">
      <w:pPr>
        <w:jc w:val="both"/>
        <w:rPr>
          <w:b/>
          <w:sz w:val="22"/>
          <w:szCs w:val="22"/>
          <w:lang w:val="en-GB"/>
        </w:rPr>
      </w:pPr>
    </w:p>
    <w:p w14:paraId="7C3C8AA5" w14:textId="4842EF4B" w:rsidR="00C61F2F" w:rsidRPr="00472492" w:rsidRDefault="00B3300A" w:rsidP="00397B29">
      <w:pPr>
        <w:jc w:val="both"/>
        <w:rPr>
          <w:sz w:val="22"/>
          <w:szCs w:val="22"/>
          <w:lang w:val="en-GB"/>
        </w:rPr>
      </w:pPr>
      <w:r w:rsidRPr="00472492">
        <w:rPr>
          <w:sz w:val="22"/>
          <w:szCs w:val="22"/>
          <w:lang w:val="en-GB"/>
        </w:rPr>
        <w:t xml:space="preserve">While </w:t>
      </w:r>
      <w:r w:rsidR="000667A6" w:rsidRPr="00472492">
        <w:rPr>
          <w:sz w:val="22"/>
          <w:szCs w:val="22"/>
          <w:lang w:val="en-GB"/>
        </w:rPr>
        <w:t xml:space="preserve">in the current draft General Comment </w:t>
      </w:r>
      <w:r w:rsidRPr="00472492">
        <w:rPr>
          <w:sz w:val="22"/>
          <w:szCs w:val="22"/>
          <w:lang w:val="en-GB"/>
        </w:rPr>
        <w:t>the Committee calls</w:t>
      </w:r>
      <w:r w:rsidR="006840D2" w:rsidRPr="00472492">
        <w:rPr>
          <w:sz w:val="22"/>
          <w:szCs w:val="22"/>
          <w:lang w:val="en-GB"/>
        </w:rPr>
        <w:t xml:space="preserve"> States</w:t>
      </w:r>
      <w:r w:rsidRPr="00472492">
        <w:rPr>
          <w:sz w:val="22"/>
          <w:szCs w:val="22"/>
          <w:lang w:val="en-GB"/>
        </w:rPr>
        <w:t xml:space="preserve"> </w:t>
      </w:r>
      <w:r w:rsidR="00E023C2" w:rsidRPr="00472492">
        <w:rPr>
          <w:sz w:val="22"/>
          <w:szCs w:val="22"/>
          <w:lang w:val="en-GB"/>
        </w:rPr>
        <w:t xml:space="preserve">to implement several prerogatives concerning the </w:t>
      </w:r>
      <w:r w:rsidR="0044134C" w:rsidRPr="00472492">
        <w:rPr>
          <w:sz w:val="22"/>
          <w:szCs w:val="22"/>
          <w:lang w:val="en-GB"/>
        </w:rPr>
        <w:t>right</w:t>
      </w:r>
      <w:r w:rsidR="00E023C2" w:rsidRPr="00472492">
        <w:rPr>
          <w:sz w:val="22"/>
          <w:szCs w:val="22"/>
          <w:lang w:val="en-GB"/>
        </w:rPr>
        <w:t>s</w:t>
      </w:r>
      <w:r w:rsidR="0044134C" w:rsidRPr="00472492">
        <w:rPr>
          <w:sz w:val="22"/>
          <w:szCs w:val="22"/>
          <w:lang w:val="en-GB"/>
        </w:rPr>
        <w:t xml:space="preserve"> to use, access and control</w:t>
      </w:r>
      <w:r w:rsidR="00E023C2" w:rsidRPr="00472492">
        <w:rPr>
          <w:sz w:val="22"/>
          <w:szCs w:val="22"/>
          <w:lang w:val="en-GB"/>
        </w:rPr>
        <w:t xml:space="preserve"> of</w:t>
      </w:r>
      <w:r w:rsidR="0044134C" w:rsidRPr="00472492">
        <w:rPr>
          <w:sz w:val="22"/>
          <w:szCs w:val="22"/>
          <w:lang w:val="en-GB"/>
        </w:rPr>
        <w:t xml:space="preserve"> land</w:t>
      </w:r>
      <w:r w:rsidRPr="00472492">
        <w:rPr>
          <w:sz w:val="22"/>
          <w:szCs w:val="22"/>
          <w:lang w:val="en-GB"/>
        </w:rPr>
        <w:t xml:space="preserve"> </w:t>
      </w:r>
      <w:r w:rsidR="00855D06" w:rsidRPr="00472492">
        <w:rPr>
          <w:sz w:val="22"/>
          <w:szCs w:val="22"/>
          <w:lang w:val="en-GB"/>
        </w:rPr>
        <w:t>domestically</w:t>
      </w:r>
      <w:r w:rsidR="0044134C" w:rsidRPr="00472492">
        <w:rPr>
          <w:sz w:val="22"/>
          <w:szCs w:val="22"/>
          <w:lang w:val="en-GB"/>
        </w:rPr>
        <w:t xml:space="preserve">, </w:t>
      </w:r>
      <w:r w:rsidR="00B458D2" w:rsidRPr="00472492">
        <w:rPr>
          <w:sz w:val="22"/>
          <w:szCs w:val="22"/>
          <w:lang w:val="en-GB"/>
        </w:rPr>
        <w:t xml:space="preserve">it could </w:t>
      </w:r>
      <w:r w:rsidRPr="00472492">
        <w:rPr>
          <w:sz w:val="22"/>
          <w:szCs w:val="22"/>
          <w:lang w:val="en-GB"/>
        </w:rPr>
        <w:t>i</w:t>
      </w:r>
      <w:r w:rsidR="00E023C2" w:rsidRPr="00472492">
        <w:rPr>
          <w:sz w:val="22"/>
          <w:szCs w:val="22"/>
          <w:lang w:val="en-GB"/>
        </w:rPr>
        <w:t xml:space="preserve">nstead embrace this </w:t>
      </w:r>
      <w:r w:rsidRPr="00472492">
        <w:rPr>
          <w:sz w:val="22"/>
          <w:szCs w:val="22"/>
          <w:lang w:val="en-GB"/>
        </w:rPr>
        <w:t>as a</w:t>
      </w:r>
      <w:r w:rsidR="0044134C" w:rsidRPr="00472492">
        <w:rPr>
          <w:sz w:val="22"/>
          <w:szCs w:val="22"/>
          <w:lang w:val="en-GB"/>
        </w:rPr>
        <w:t xml:space="preserve"> unique opportunity </w:t>
      </w:r>
      <w:r w:rsidR="0063622E" w:rsidRPr="00472492">
        <w:rPr>
          <w:sz w:val="22"/>
          <w:szCs w:val="22"/>
          <w:lang w:val="en-GB"/>
        </w:rPr>
        <w:t xml:space="preserve">to recognise </w:t>
      </w:r>
      <w:r w:rsidRPr="00472492">
        <w:rPr>
          <w:sz w:val="22"/>
          <w:szCs w:val="22"/>
          <w:lang w:val="en-GB"/>
        </w:rPr>
        <w:t xml:space="preserve">a </w:t>
      </w:r>
      <w:r w:rsidR="00E023C2" w:rsidRPr="00472492">
        <w:rPr>
          <w:sz w:val="22"/>
          <w:szCs w:val="22"/>
          <w:lang w:val="en-GB"/>
        </w:rPr>
        <w:t xml:space="preserve">human </w:t>
      </w:r>
      <w:r w:rsidRPr="00472492">
        <w:rPr>
          <w:sz w:val="22"/>
          <w:szCs w:val="22"/>
          <w:lang w:val="en-GB"/>
        </w:rPr>
        <w:t xml:space="preserve">right to land as such </w:t>
      </w:r>
      <w:r w:rsidR="0063622E" w:rsidRPr="00472492">
        <w:rPr>
          <w:sz w:val="22"/>
          <w:szCs w:val="22"/>
          <w:lang w:val="en-GB"/>
        </w:rPr>
        <w:t>internationally</w:t>
      </w:r>
      <w:r w:rsidR="00B458D2" w:rsidRPr="00472492">
        <w:rPr>
          <w:sz w:val="22"/>
          <w:szCs w:val="22"/>
          <w:lang w:val="en-GB"/>
        </w:rPr>
        <w:t>, enshrining this</w:t>
      </w:r>
      <w:r w:rsidRPr="00472492">
        <w:rPr>
          <w:sz w:val="22"/>
          <w:szCs w:val="22"/>
          <w:lang w:val="en-GB"/>
        </w:rPr>
        <w:t xml:space="preserve"> within</w:t>
      </w:r>
      <w:r w:rsidR="0044134C" w:rsidRPr="00472492">
        <w:rPr>
          <w:sz w:val="22"/>
          <w:szCs w:val="22"/>
          <w:lang w:val="en-GB"/>
        </w:rPr>
        <w:t xml:space="preserve"> </w:t>
      </w:r>
      <w:r w:rsidRPr="00472492">
        <w:rPr>
          <w:sz w:val="22"/>
          <w:szCs w:val="22"/>
          <w:lang w:val="en-GB"/>
        </w:rPr>
        <w:t xml:space="preserve">the </w:t>
      </w:r>
      <w:r w:rsidR="0044134C" w:rsidRPr="00472492">
        <w:rPr>
          <w:sz w:val="22"/>
          <w:szCs w:val="22"/>
          <w:lang w:val="en-GB"/>
        </w:rPr>
        <w:t xml:space="preserve">Covenant </w:t>
      </w:r>
      <w:r w:rsidR="00AB2460" w:rsidRPr="00472492">
        <w:rPr>
          <w:sz w:val="22"/>
          <w:szCs w:val="22"/>
          <w:lang w:val="en-GB"/>
        </w:rPr>
        <w:t xml:space="preserve">and </w:t>
      </w:r>
      <w:r w:rsidR="00855D06" w:rsidRPr="00472492">
        <w:rPr>
          <w:sz w:val="22"/>
          <w:szCs w:val="22"/>
          <w:lang w:val="en-GB"/>
        </w:rPr>
        <w:t>drawing on</w:t>
      </w:r>
      <w:r w:rsidRPr="00472492">
        <w:rPr>
          <w:sz w:val="22"/>
          <w:szCs w:val="22"/>
          <w:lang w:val="en-GB"/>
        </w:rPr>
        <w:t xml:space="preserve"> A</w:t>
      </w:r>
      <w:r w:rsidR="0044134C" w:rsidRPr="00472492">
        <w:rPr>
          <w:sz w:val="22"/>
          <w:szCs w:val="22"/>
          <w:lang w:val="en-GB"/>
        </w:rPr>
        <w:t xml:space="preserve">rticle 11 </w:t>
      </w:r>
      <w:r w:rsidR="006840D2" w:rsidRPr="00472492">
        <w:rPr>
          <w:sz w:val="22"/>
          <w:szCs w:val="22"/>
          <w:lang w:val="en-GB"/>
        </w:rPr>
        <w:t xml:space="preserve">on the right to an adequate </w:t>
      </w:r>
      <w:r w:rsidR="0044134C" w:rsidRPr="00472492">
        <w:rPr>
          <w:sz w:val="22"/>
          <w:szCs w:val="22"/>
          <w:lang w:val="en-GB"/>
        </w:rPr>
        <w:t xml:space="preserve">as its legal basis. </w:t>
      </w:r>
    </w:p>
    <w:sectPr w:rsidR="00C61F2F" w:rsidRPr="00472492" w:rsidSect="003C5807">
      <w:footerReference w:type="even" r:id="rId8"/>
      <w:footerReference w:type="default" r:id="rId9"/>
      <w:headerReference w:type="first" r:id="rId10"/>
      <w:pgSz w:w="12240" w:h="15840"/>
      <w:pgMar w:top="1134" w:right="964" w:bottom="1418" w:left="96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3194E" w16cex:dateUtc="2021-08-15T03:40:00Z"/>
  <w16cex:commentExtensible w16cex:durableId="24C1495F" w16cex:dateUtc="2021-08-13T18:41:00Z"/>
  <w16cex:commentExtensible w16cex:durableId="24C31A6A" w16cex:dateUtc="2021-08-15T03:45:00Z"/>
  <w16cex:commentExtensible w16cex:durableId="24C31AB7" w16cex:dateUtc="2021-08-15T03:46:00Z"/>
  <w16cex:commentExtensible w16cex:durableId="24C31AC5" w16cex:dateUtc="2021-08-15T03:47:00Z"/>
  <w16cex:commentExtensible w16cex:durableId="24C31B43" w16cex:dateUtc="2021-08-15T03:49:00Z"/>
  <w16cex:commentExtensible w16cex:durableId="24C15362" w16cex:dateUtc="2021-08-13T19:24:00Z"/>
  <w16cex:commentExtensible w16cex:durableId="24C1539F" w16cex:dateUtc="2021-08-13T19:25:00Z"/>
  <w16cex:commentExtensible w16cex:durableId="24C31CE6" w16cex:dateUtc="2021-08-15T03:56:00Z"/>
  <w16cex:commentExtensible w16cex:durableId="24C31D72" w16cex:dateUtc="2021-08-15T03:58:00Z"/>
  <w16cex:commentExtensible w16cex:durableId="24C31DFB" w16cex:dateUtc="2021-08-15T04:00:00Z"/>
  <w16cex:commentExtensible w16cex:durableId="24C31E5D" w16cex:dateUtc="2021-08-15T04:02:00Z"/>
  <w16cex:commentExtensible w16cex:durableId="24C16676" w16cex:dateUtc="2021-08-13T20:45:00Z"/>
  <w16cex:commentExtensible w16cex:durableId="24C1A578" w16cex:dateUtc="2021-08-14T01:14:00Z"/>
  <w16cex:commentExtensible w16cex:durableId="24C31FFD" w16cex:dateUtc="2021-08-15T04:09:00Z"/>
  <w16cex:commentExtensible w16cex:durableId="24C320C1" w16cex:dateUtc="2021-08-15T0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F7B45C" w16cid:durableId="24C3192A"/>
  <w16cid:commentId w16cid:paraId="4E0D3A31" w16cid:durableId="24C3194E"/>
  <w16cid:commentId w16cid:paraId="1B3594C5" w16cid:durableId="24C1495F"/>
  <w16cid:commentId w16cid:paraId="6306741F" w16cid:durableId="24C3192C"/>
  <w16cid:commentId w16cid:paraId="505B211C" w16cid:durableId="24C31A6A"/>
  <w16cid:commentId w16cid:paraId="1A4DB698" w16cid:durableId="24C3192D"/>
  <w16cid:commentId w16cid:paraId="6A5AF4A4" w16cid:durableId="24C31AB7"/>
  <w16cid:commentId w16cid:paraId="120CA6E1" w16cid:durableId="24C31AC5"/>
  <w16cid:commentId w16cid:paraId="61960875" w16cid:durableId="24C3192E"/>
  <w16cid:commentId w16cid:paraId="40AA7831" w16cid:durableId="24C31B43"/>
  <w16cid:commentId w16cid:paraId="7E6CD9A4" w16cid:durableId="24C3192F"/>
  <w16cid:commentId w16cid:paraId="24350E4D" w16cid:durableId="24C15362"/>
  <w16cid:commentId w16cid:paraId="2C1EB4D8" w16cid:durableId="24C31931"/>
  <w16cid:commentId w16cid:paraId="401E9281" w16cid:durableId="24C1539F"/>
  <w16cid:commentId w16cid:paraId="6E2D6042" w16cid:durableId="24C31933"/>
  <w16cid:commentId w16cid:paraId="150538EF" w16cid:durableId="24C31CE6"/>
  <w16cid:commentId w16cid:paraId="0604E996" w16cid:durableId="24C31934"/>
  <w16cid:commentId w16cid:paraId="29D6B0AF" w16cid:durableId="24C31D72"/>
  <w16cid:commentId w16cid:paraId="6EEFA7FD" w16cid:durableId="24C31935"/>
  <w16cid:commentId w16cid:paraId="73F3C038" w16cid:durableId="24C31DFB"/>
  <w16cid:commentId w16cid:paraId="777A8C55" w16cid:durableId="24C31936"/>
  <w16cid:commentId w16cid:paraId="5BFD3FC9" w16cid:durableId="24C31E5D"/>
  <w16cid:commentId w16cid:paraId="29CE5220" w16cid:durableId="24C31937"/>
  <w16cid:commentId w16cid:paraId="7EF6FDC3" w16cid:durableId="24C16676"/>
  <w16cid:commentId w16cid:paraId="54272A6F" w16cid:durableId="24C31939"/>
  <w16cid:commentId w16cid:paraId="04E6E445" w16cid:durableId="24C1A578"/>
  <w16cid:commentId w16cid:paraId="4B3640E7" w16cid:durableId="24C31FFD"/>
  <w16cid:commentId w16cid:paraId="33C22594" w16cid:durableId="24C3193B"/>
  <w16cid:commentId w16cid:paraId="56942EED" w16cid:durableId="24C3193C"/>
  <w16cid:commentId w16cid:paraId="58B64032" w16cid:durableId="24C320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B5702" w14:textId="77777777" w:rsidR="00700F1E" w:rsidRDefault="00700F1E" w:rsidP="00A361FF">
      <w:r>
        <w:separator/>
      </w:r>
    </w:p>
  </w:endnote>
  <w:endnote w:type="continuationSeparator" w:id="0">
    <w:p w14:paraId="7CBFCEC7" w14:textId="77777777" w:rsidR="00700F1E" w:rsidRDefault="00700F1E" w:rsidP="00A3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Arial Narrow">
    <w:panose1 w:val="020B0606020202030204"/>
    <w:charset w:val="00"/>
    <w:family w:val="auto"/>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3358" w14:textId="77777777" w:rsidR="00700F1E" w:rsidRDefault="00700F1E" w:rsidP="00481D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540705" w14:textId="77777777" w:rsidR="00700F1E" w:rsidRDefault="00700F1E" w:rsidP="00157D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C9A9F" w14:textId="77777777" w:rsidR="00700F1E" w:rsidRPr="00630EF4" w:rsidRDefault="00700F1E" w:rsidP="00630EF4">
    <w:pPr>
      <w:pStyle w:val="Footer"/>
      <w:framePr w:wrap="around" w:vAnchor="text" w:hAnchor="page" w:x="11225" w:y="-41"/>
      <w:rPr>
        <w:rStyle w:val="PageNumber"/>
        <w:color w:val="365F91" w:themeColor="accent1" w:themeShade="BF"/>
      </w:rPr>
    </w:pPr>
    <w:r w:rsidRPr="00630EF4">
      <w:rPr>
        <w:rStyle w:val="PageNumber"/>
        <w:color w:val="365F91" w:themeColor="accent1" w:themeShade="BF"/>
      </w:rPr>
      <w:fldChar w:fldCharType="begin"/>
    </w:r>
    <w:r w:rsidRPr="00630EF4">
      <w:rPr>
        <w:rStyle w:val="PageNumber"/>
        <w:color w:val="365F91" w:themeColor="accent1" w:themeShade="BF"/>
      </w:rPr>
      <w:instrText xml:space="preserve">PAGE  </w:instrText>
    </w:r>
    <w:r w:rsidRPr="00630EF4">
      <w:rPr>
        <w:rStyle w:val="PageNumber"/>
        <w:color w:val="365F91" w:themeColor="accent1" w:themeShade="BF"/>
      </w:rPr>
      <w:fldChar w:fldCharType="separate"/>
    </w:r>
    <w:r w:rsidR="0043257E">
      <w:rPr>
        <w:rStyle w:val="PageNumber"/>
        <w:noProof/>
        <w:color w:val="365F91" w:themeColor="accent1" w:themeShade="BF"/>
      </w:rPr>
      <w:t>5</w:t>
    </w:r>
    <w:r w:rsidRPr="00630EF4">
      <w:rPr>
        <w:rStyle w:val="PageNumber"/>
        <w:color w:val="365F91" w:themeColor="accent1" w:themeShade="BF"/>
      </w:rPr>
      <w:fldChar w:fldCharType="end"/>
    </w:r>
  </w:p>
  <w:p w14:paraId="1C506F5A" w14:textId="77777777" w:rsidR="00700F1E" w:rsidRDefault="00700F1E" w:rsidP="00157D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C9EA0" w14:textId="77777777" w:rsidR="00700F1E" w:rsidRDefault="00700F1E" w:rsidP="00A361FF">
      <w:r>
        <w:separator/>
      </w:r>
    </w:p>
  </w:footnote>
  <w:footnote w:type="continuationSeparator" w:id="0">
    <w:p w14:paraId="1AD35DCE" w14:textId="77777777" w:rsidR="00700F1E" w:rsidRDefault="00700F1E" w:rsidP="00A361FF">
      <w:r>
        <w:continuationSeparator/>
      </w:r>
    </w:p>
  </w:footnote>
  <w:footnote w:id="1">
    <w:p w14:paraId="153F577E" w14:textId="20039211" w:rsidR="00700F1E" w:rsidRPr="00472492" w:rsidRDefault="00700F1E" w:rsidP="007B7926">
      <w:pPr>
        <w:pStyle w:val="FootnoteText"/>
        <w:jc w:val="both"/>
        <w:rPr>
          <w:sz w:val="18"/>
          <w:szCs w:val="18"/>
          <w:lang w:val="en-GB"/>
        </w:rPr>
      </w:pPr>
      <w:r w:rsidRPr="00472492">
        <w:rPr>
          <w:rStyle w:val="FootnoteReference"/>
          <w:sz w:val="18"/>
          <w:szCs w:val="18"/>
          <w:lang w:val="en-GB"/>
        </w:rPr>
        <w:sym w:font="Symbol" w:char="F02A"/>
      </w:r>
      <w:r w:rsidRPr="00472492">
        <w:rPr>
          <w:sz w:val="18"/>
          <w:szCs w:val="18"/>
          <w:lang w:val="en-GB"/>
        </w:rPr>
        <w:t xml:space="preserve"> This contribution is based on Dr. Torres Marenco’s PhD dissertation ‘</w:t>
      </w:r>
      <w:r w:rsidRPr="00472492">
        <w:rPr>
          <w:rFonts w:cs="Times New Roman"/>
          <w:i/>
          <w:sz w:val="18"/>
          <w:szCs w:val="18"/>
          <w:lang w:val="en-GB"/>
        </w:rPr>
        <w:t>A Human Right to Land for Local Communities: A Proposal in the Context of Transnational Corporations’ Control</w:t>
      </w:r>
      <w:r w:rsidRPr="00472492">
        <w:rPr>
          <w:rFonts w:cs="Times New Roman"/>
          <w:sz w:val="18"/>
          <w:szCs w:val="18"/>
          <w:lang w:val="en-GB"/>
        </w:rPr>
        <w:t xml:space="preserve"> </w:t>
      </w:r>
      <w:r w:rsidRPr="00472492">
        <w:rPr>
          <w:rFonts w:cs="Times New Roman"/>
          <w:i/>
          <w:sz w:val="18"/>
          <w:szCs w:val="18"/>
          <w:lang w:val="en-GB"/>
        </w:rPr>
        <w:t>of Land Use</w:t>
      </w:r>
      <w:r w:rsidRPr="00472492">
        <w:rPr>
          <w:rFonts w:cs="Times New Roman"/>
          <w:sz w:val="18"/>
          <w:szCs w:val="18"/>
          <w:lang w:val="en-GB"/>
        </w:rPr>
        <w:t xml:space="preserve">  (University of Greenwich, United Kingdom, 2019)</w:t>
      </w:r>
      <w:r w:rsidRPr="00472492">
        <w:rPr>
          <w:sz w:val="18"/>
          <w:szCs w:val="18"/>
          <w:lang w:val="en-GB"/>
        </w:rPr>
        <w:t>, to be published in 2022.</w:t>
      </w:r>
    </w:p>
  </w:footnote>
  <w:footnote w:id="2">
    <w:p w14:paraId="0DBE8EE8" w14:textId="65188013" w:rsidR="00700F1E" w:rsidRPr="00472492" w:rsidRDefault="00700F1E" w:rsidP="007B7926">
      <w:pPr>
        <w:pStyle w:val="FootnoteText"/>
        <w:jc w:val="both"/>
        <w:rPr>
          <w:sz w:val="18"/>
          <w:szCs w:val="18"/>
          <w:lang w:val="en-GB"/>
        </w:rPr>
      </w:pPr>
      <w:r w:rsidRPr="00472492">
        <w:rPr>
          <w:rStyle w:val="FootnoteReference"/>
          <w:sz w:val="18"/>
          <w:szCs w:val="18"/>
          <w:lang w:val="en-GB"/>
        </w:rPr>
        <w:footnoteRef/>
      </w:r>
      <w:r w:rsidRPr="00472492">
        <w:rPr>
          <w:sz w:val="18"/>
          <w:szCs w:val="18"/>
          <w:lang w:val="en-GB"/>
        </w:rPr>
        <w:t xml:space="preserve"> Paras. 1 and  9.</w:t>
      </w:r>
    </w:p>
  </w:footnote>
  <w:footnote w:id="3">
    <w:p w14:paraId="2D7441CB" w14:textId="3D6093A5" w:rsidR="00700F1E" w:rsidRPr="00472492" w:rsidRDefault="00700F1E" w:rsidP="007B7926">
      <w:pPr>
        <w:pStyle w:val="FootnoteText"/>
        <w:jc w:val="both"/>
        <w:rPr>
          <w:sz w:val="18"/>
          <w:szCs w:val="18"/>
          <w:lang w:val="en-GB"/>
        </w:rPr>
      </w:pPr>
      <w:r w:rsidRPr="00472492">
        <w:rPr>
          <w:rStyle w:val="FootnoteReference"/>
          <w:sz w:val="18"/>
          <w:szCs w:val="18"/>
          <w:lang w:val="en-GB"/>
        </w:rPr>
        <w:footnoteRef/>
      </w:r>
      <w:r w:rsidRPr="00472492">
        <w:rPr>
          <w:sz w:val="18"/>
          <w:szCs w:val="18"/>
          <w:lang w:val="en-GB"/>
        </w:rPr>
        <w:t xml:space="preserve"> Paras. 9-13.</w:t>
      </w:r>
    </w:p>
  </w:footnote>
  <w:footnote w:id="4">
    <w:p w14:paraId="3D33E82E" w14:textId="55CC5A60" w:rsidR="00700F1E" w:rsidRPr="00472492" w:rsidRDefault="00700F1E" w:rsidP="007B7926">
      <w:pPr>
        <w:pStyle w:val="FootnoteText"/>
        <w:jc w:val="both"/>
        <w:rPr>
          <w:sz w:val="18"/>
          <w:szCs w:val="18"/>
          <w:lang w:val="en-GB"/>
        </w:rPr>
      </w:pPr>
      <w:r w:rsidRPr="00472492">
        <w:rPr>
          <w:rStyle w:val="FootnoteReference"/>
          <w:sz w:val="18"/>
          <w:szCs w:val="18"/>
          <w:lang w:val="en-GB"/>
        </w:rPr>
        <w:footnoteRef/>
      </w:r>
      <w:r w:rsidRPr="00472492">
        <w:rPr>
          <w:sz w:val="18"/>
          <w:szCs w:val="18"/>
          <w:lang w:val="en-GB"/>
        </w:rPr>
        <w:t xml:space="preserve"> The typology of States’ obligations includes the obligation to respect, protect and fulfil.</w:t>
      </w:r>
    </w:p>
  </w:footnote>
  <w:footnote w:id="5">
    <w:p w14:paraId="7DF9A1B6" w14:textId="6DD33A47" w:rsidR="00700F1E" w:rsidRPr="00472492" w:rsidRDefault="00700F1E" w:rsidP="007B7926">
      <w:pPr>
        <w:pStyle w:val="FootnoteText"/>
        <w:jc w:val="both"/>
        <w:rPr>
          <w:rFonts w:cs="Times New Roman"/>
          <w:sz w:val="18"/>
          <w:szCs w:val="18"/>
          <w:lang w:val="en-GB"/>
        </w:rPr>
      </w:pPr>
      <w:r w:rsidRPr="00472492">
        <w:rPr>
          <w:rStyle w:val="FootnoteReference"/>
          <w:sz w:val="18"/>
          <w:szCs w:val="18"/>
          <w:lang w:val="en-GB"/>
        </w:rPr>
        <w:footnoteRef/>
      </w:r>
      <w:r w:rsidRPr="00472492">
        <w:rPr>
          <w:sz w:val="18"/>
          <w:szCs w:val="18"/>
          <w:lang w:val="en-GB"/>
        </w:rPr>
        <w:t xml:space="preserve">This is comprised of the following aspects:  ‘availability, accessibility, acceptability and quality of facilities, goods, services and programmes that are provided to individuals as part of States’ core and non-core obligations flowing from different ESC rights.’ </w:t>
      </w:r>
      <w:r w:rsidRPr="00472492">
        <w:rPr>
          <w:rFonts w:cs="Times New Roman"/>
          <w:sz w:val="18"/>
          <w:szCs w:val="18"/>
          <w:lang w:val="en-GB"/>
        </w:rPr>
        <w:t xml:space="preserve">Amrei Müller, Economic, Social And Cultural Rights And The Notion Of Progressive Realisation in Michal O’Flaherty and David Harris </w:t>
      </w:r>
      <w:r w:rsidRPr="00472492">
        <w:rPr>
          <w:rFonts w:cs="Times New Roman"/>
          <w:i/>
          <w:sz w:val="18"/>
          <w:szCs w:val="18"/>
          <w:lang w:val="en-GB"/>
        </w:rPr>
        <w:t>The Relationship between Economic, Social and Cultural Rights and International Humanitarian Law</w:t>
      </w:r>
      <w:r w:rsidRPr="00472492">
        <w:rPr>
          <w:rFonts w:cs="Times New Roman"/>
          <w:sz w:val="18"/>
          <w:szCs w:val="18"/>
          <w:lang w:val="en-GB"/>
        </w:rPr>
        <w:t xml:space="preserve"> vol 2 (</w:t>
      </w:r>
      <w:r w:rsidRPr="00472492">
        <w:rPr>
          <w:rStyle w:val="PageNumber"/>
          <w:rFonts w:cs="Times New Roman"/>
          <w:sz w:val="18"/>
          <w:szCs w:val="18"/>
          <w:lang w:val="en-GB"/>
        </w:rPr>
        <w:t>Martinus Nijoff Publishers 2013)</w:t>
      </w:r>
      <w:r w:rsidRPr="00472492">
        <w:rPr>
          <w:rFonts w:cs="Times New Roman"/>
          <w:sz w:val="18"/>
          <w:szCs w:val="18"/>
          <w:lang w:val="en-GB"/>
        </w:rPr>
        <w:t xml:space="preserve"> 103. </w:t>
      </w:r>
    </w:p>
  </w:footnote>
  <w:footnote w:id="6">
    <w:p w14:paraId="20D96EF8" w14:textId="77777777" w:rsidR="00E53FB3" w:rsidRPr="00472492" w:rsidRDefault="00E53FB3" w:rsidP="00E53FB3">
      <w:pPr>
        <w:pStyle w:val="FootnoteText"/>
        <w:jc w:val="both"/>
        <w:rPr>
          <w:rFonts w:cs="Times New Roman"/>
          <w:sz w:val="18"/>
          <w:szCs w:val="18"/>
          <w:lang w:val="en-GB"/>
        </w:rPr>
      </w:pPr>
      <w:r w:rsidRPr="00472492">
        <w:rPr>
          <w:rStyle w:val="FootnoteReference"/>
          <w:rFonts w:cs="Times New Roman"/>
          <w:sz w:val="18"/>
          <w:szCs w:val="18"/>
          <w:lang w:val="en-GB"/>
        </w:rPr>
        <w:footnoteRef/>
      </w:r>
      <w:r w:rsidRPr="00472492">
        <w:rPr>
          <w:rFonts w:cs="Times New Roman"/>
          <w:sz w:val="18"/>
          <w:szCs w:val="18"/>
          <w:lang w:val="en-GB"/>
        </w:rPr>
        <w:t xml:space="preserve"> CESCR ‘General Comment No. 12 (Article 11 of the Covenant): The Right to Adequate Food’ (1999) UN doc. E/C.12/1999/5. para. 17.</w:t>
      </w:r>
    </w:p>
  </w:footnote>
  <w:footnote w:id="7">
    <w:p w14:paraId="637B20E7" w14:textId="77777777" w:rsidR="00E53FB3" w:rsidRPr="00472492" w:rsidRDefault="00E53FB3" w:rsidP="00E53FB3">
      <w:pPr>
        <w:pStyle w:val="FootnoteText"/>
        <w:jc w:val="both"/>
        <w:rPr>
          <w:rFonts w:cs="Times New Roman"/>
          <w:sz w:val="18"/>
          <w:szCs w:val="18"/>
          <w:lang w:val="en-GB"/>
        </w:rPr>
      </w:pPr>
      <w:r w:rsidRPr="00472492">
        <w:rPr>
          <w:rStyle w:val="FootnoteReference"/>
          <w:rFonts w:cs="Times New Roman"/>
          <w:sz w:val="18"/>
          <w:szCs w:val="18"/>
        </w:rPr>
        <w:footnoteRef/>
      </w:r>
      <w:r w:rsidRPr="00472492">
        <w:rPr>
          <w:rFonts w:cs="Times New Roman"/>
          <w:sz w:val="18"/>
          <w:szCs w:val="18"/>
          <w:lang w:val="en-GB"/>
        </w:rPr>
        <w:t xml:space="preserve"> </w:t>
      </w:r>
      <w:r w:rsidRPr="00472492">
        <w:rPr>
          <w:rStyle w:val="PageNumber"/>
          <w:rFonts w:cs="Times New Roman"/>
          <w:sz w:val="18"/>
          <w:szCs w:val="18"/>
          <w:lang w:val="en-GB"/>
        </w:rPr>
        <w:t>CESCR ‘General Comment No. 7 The right to adequate housing (art. 11.1 of the Covenant): forced evictions’ (1997) E/1998/22</w:t>
      </w:r>
      <w:r w:rsidRPr="00472492">
        <w:rPr>
          <w:rFonts w:cs="Times New Roman"/>
          <w:sz w:val="18"/>
          <w:szCs w:val="18"/>
          <w:lang w:val="en-GB"/>
        </w:rPr>
        <w:t xml:space="preserve">. para. 8.  </w:t>
      </w:r>
    </w:p>
  </w:footnote>
  <w:footnote w:id="8">
    <w:p w14:paraId="016B9FA0" w14:textId="17D01CF1" w:rsidR="00700F1E" w:rsidRPr="00472492" w:rsidRDefault="00700F1E" w:rsidP="00247B8F">
      <w:pPr>
        <w:pStyle w:val="FootnoteText"/>
        <w:jc w:val="both"/>
        <w:rPr>
          <w:sz w:val="18"/>
          <w:szCs w:val="18"/>
          <w:lang w:val="en-GB"/>
        </w:rPr>
      </w:pPr>
      <w:r w:rsidRPr="00472492">
        <w:rPr>
          <w:rStyle w:val="FootnoteReference"/>
          <w:sz w:val="18"/>
          <w:szCs w:val="18"/>
        </w:rPr>
        <w:footnoteRef/>
      </w:r>
      <w:r w:rsidRPr="00472492">
        <w:rPr>
          <w:sz w:val="18"/>
          <w:szCs w:val="18"/>
          <w:lang w:val="en-GB"/>
        </w:rPr>
        <w:t xml:space="preserve"> CESCR General Comment No. 15 Right to Water (2003) E/C.12/2002/11 para. 37.</w:t>
      </w:r>
    </w:p>
  </w:footnote>
  <w:footnote w:id="9">
    <w:p w14:paraId="7F7D651A" w14:textId="1D102E9C" w:rsidR="00700F1E" w:rsidRPr="00472492" w:rsidRDefault="00700F1E" w:rsidP="00247B8F">
      <w:pPr>
        <w:pStyle w:val="FootnoteText"/>
        <w:jc w:val="both"/>
        <w:rPr>
          <w:rFonts w:cs="Times New Roman"/>
          <w:sz w:val="18"/>
          <w:szCs w:val="18"/>
          <w:lang w:val="en-GB"/>
        </w:rPr>
      </w:pPr>
      <w:r w:rsidRPr="00472492">
        <w:rPr>
          <w:rStyle w:val="FootnoteReference"/>
          <w:rFonts w:cs="Times New Roman"/>
          <w:sz w:val="18"/>
          <w:szCs w:val="18"/>
          <w:lang w:val="en-GB"/>
        </w:rPr>
        <w:footnoteRef/>
      </w:r>
      <w:r w:rsidRPr="00472492">
        <w:rPr>
          <w:rFonts w:cs="Times New Roman"/>
          <w:sz w:val="18"/>
          <w:szCs w:val="18"/>
          <w:lang w:val="en-GB"/>
        </w:rPr>
        <w:t xml:space="preserve"> CESCR General Comment No. 12 para. 17; See also ‘Report of the Special Rapporteur on the right to food’ (2009) A/HRC/13/33 Add2. para. 4.</w:t>
      </w:r>
    </w:p>
  </w:footnote>
  <w:footnote w:id="10">
    <w:p w14:paraId="60D8028B" w14:textId="746CC912" w:rsidR="00700F1E" w:rsidRPr="00472492" w:rsidRDefault="00700F1E" w:rsidP="00247B8F">
      <w:pPr>
        <w:pStyle w:val="FootnoteText"/>
        <w:jc w:val="both"/>
        <w:rPr>
          <w:sz w:val="18"/>
          <w:szCs w:val="18"/>
          <w:lang w:val="en-GB"/>
        </w:rPr>
      </w:pPr>
      <w:r w:rsidRPr="00472492">
        <w:rPr>
          <w:rStyle w:val="FootnoteReference"/>
          <w:sz w:val="18"/>
          <w:szCs w:val="18"/>
        </w:rPr>
        <w:footnoteRef/>
      </w:r>
      <w:r w:rsidRPr="00472492">
        <w:rPr>
          <w:sz w:val="18"/>
          <w:szCs w:val="18"/>
          <w:lang w:val="en-GB"/>
        </w:rPr>
        <w:t xml:space="preserve"> Chapter 3, Torres-Marenco PhD thesis addresses this analysis with a special focus on Latin America.</w:t>
      </w:r>
    </w:p>
  </w:footnote>
  <w:footnote w:id="11">
    <w:p w14:paraId="56B48259" w14:textId="154A026D" w:rsidR="00700F1E" w:rsidRPr="00472492" w:rsidRDefault="00700F1E" w:rsidP="00247B8F">
      <w:pPr>
        <w:pStyle w:val="FootnoteText"/>
        <w:jc w:val="both"/>
        <w:rPr>
          <w:sz w:val="18"/>
          <w:szCs w:val="18"/>
        </w:rPr>
      </w:pPr>
      <w:r w:rsidRPr="00472492">
        <w:rPr>
          <w:rStyle w:val="FootnoteReference"/>
          <w:sz w:val="18"/>
          <w:szCs w:val="18"/>
        </w:rPr>
        <w:footnoteRef/>
      </w:r>
      <w:r w:rsidRPr="00472492">
        <w:rPr>
          <w:sz w:val="18"/>
          <w:szCs w:val="18"/>
        </w:rPr>
        <w:t xml:space="preserve"> ibid.</w:t>
      </w:r>
    </w:p>
  </w:footnote>
  <w:footnote w:id="12">
    <w:p w14:paraId="5A98242A" w14:textId="11DA47C9" w:rsidR="00700F1E" w:rsidRPr="00472492" w:rsidRDefault="00700F1E" w:rsidP="007B7926">
      <w:pPr>
        <w:pStyle w:val="FootnoteText"/>
        <w:jc w:val="both"/>
        <w:rPr>
          <w:rFonts w:cs="Times New Roman"/>
          <w:sz w:val="18"/>
          <w:szCs w:val="18"/>
          <w:lang w:val="en-GB"/>
        </w:rPr>
      </w:pPr>
      <w:r w:rsidRPr="00472492">
        <w:rPr>
          <w:rStyle w:val="FootnoteReference"/>
          <w:rFonts w:cs="Times New Roman"/>
          <w:sz w:val="18"/>
          <w:szCs w:val="18"/>
        </w:rPr>
        <w:footnoteRef/>
      </w:r>
      <w:r w:rsidRPr="00472492">
        <w:rPr>
          <w:rStyle w:val="PageNumber"/>
          <w:rFonts w:cs="Times New Roman"/>
          <w:sz w:val="18"/>
          <w:szCs w:val="18"/>
          <w:lang w:val="en-GB"/>
        </w:rPr>
        <w:t xml:space="preserve"> See Mechlem on the issue of ‘obligations’ of International Organisations 931; on States’ Extraterritorial Obligations 935 and; on the expansion of the concept of ‘Core Obligations’ 940. Kerstin Mechlem, ‘Treaty Bodies and the Interpretation of Human Rights’ (2009) 42 Vanderbilt Journal of Transnational Law 905 at 941-942.</w:t>
      </w:r>
    </w:p>
  </w:footnote>
  <w:footnote w:id="13">
    <w:p w14:paraId="242856FF" w14:textId="77777777" w:rsidR="00700F1E" w:rsidRPr="00472492" w:rsidRDefault="00700F1E" w:rsidP="007B7926">
      <w:pPr>
        <w:pStyle w:val="FootnoteText"/>
        <w:jc w:val="both"/>
        <w:rPr>
          <w:rFonts w:cs="Times New Roman"/>
          <w:sz w:val="18"/>
          <w:szCs w:val="18"/>
          <w:lang w:val="en-GB"/>
        </w:rPr>
      </w:pPr>
      <w:r w:rsidRPr="00472492">
        <w:rPr>
          <w:rStyle w:val="FootnoteReference"/>
          <w:rFonts w:cs="Times New Roman"/>
          <w:sz w:val="18"/>
          <w:szCs w:val="18"/>
        </w:rPr>
        <w:footnoteRef/>
      </w:r>
      <w:r w:rsidRPr="00472492">
        <w:rPr>
          <w:rStyle w:val="PageNumber"/>
          <w:rFonts w:cs="Times New Roman"/>
          <w:sz w:val="18"/>
          <w:szCs w:val="18"/>
          <w:lang w:val="en-GB"/>
        </w:rPr>
        <w:t xml:space="preserve"> ibid. 945-946.</w:t>
      </w:r>
    </w:p>
  </w:footnote>
  <w:footnote w:id="14">
    <w:p w14:paraId="6549BA98" w14:textId="157342D7" w:rsidR="00700F1E" w:rsidRPr="00472492" w:rsidRDefault="00700F1E" w:rsidP="007B7926">
      <w:pPr>
        <w:pStyle w:val="FootnoteText"/>
        <w:jc w:val="both"/>
        <w:rPr>
          <w:rFonts w:cs="Times New Roman"/>
          <w:sz w:val="18"/>
          <w:szCs w:val="18"/>
          <w:lang w:val="en-GB"/>
        </w:rPr>
      </w:pPr>
      <w:r w:rsidRPr="00472492">
        <w:rPr>
          <w:rStyle w:val="FootnoteReference"/>
          <w:rFonts w:cs="Times New Roman"/>
          <w:sz w:val="18"/>
          <w:szCs w:val="18"/>
        </w:rPr>
        <w:footnoteRef/>
      </w:r>
      <w:r w:rsidRPr="00472492">
        <w:rPr>
          <w:rStyle w:val="PageNumber"/>
          <w:rFonts w:cs="Times New Roman"/>
          <w:sz w:val="18"/>
          <w:szCs w:val="18"/>
          <w:lang w:val="en-GB"/>
        </w:rPr>
        <w:t xml:space="preserve"> Daniel Moeckli ‘Interpretation of the ICESCR: Between Morality and State Consent’ in Daniel Moeckli, Helen Keller and Corina Heri (eds) The Human Rights Covenants at 50: Their Past, Present, and Future (OUP 2018) 19.</w:t>
      </w:r>
    </w:p>
  </w:footnote>
  <w:footnote w:id="15">
    <w:p w14:paraId="588851A1" w14:textId="3470B3B4" w:rsidR="00700F1E" w:rsidRPr="00630EF4" w:rsidRDefault="00700F1E" w:rsidP="007B7926">
      <w:pPr>
        <w:pStyle w:val="Body"/>
        <w:widowControl w:val="0"/>
        <w:jc w:val="both"/>
        <w:rPr>
          <w:rFonts w:ascii="Times New Roman" w:hAnsi="Times New Roman" w:cs="Times New Roman"/>
          <w:color w:val="auto"/>
          <w:sz w:val="18"/>
          <w:szCs w:val="18"/>
          <w:lang w:val="en-GB"/>
        </w:rPr>
      </w:pPr>
      <w:r w:rsidRPr="00630EF4">
        <w:rPr>
          <w:rStyle w:val="FootnoteReference"/>
          <w:rFonts w:ascii="Times New Roman" w:hAnsi="Times New Roman" w:cs="Times New Roman"/>
          <w:color w:val="auto"/>
          <w:sz w:val="18"/>
          <w:szCs w:val="18"/>
        </w:rPr>
        <w:footnoteRef/>
      </w:r>
      <w:r w:rsidRPr="00630EF4">
        <w:rPr>
          <w:rStyle w:val="PageNumber"/>
          <w:rFonts w:ascii="Times New Roman" w:hAnsi="Times New Roman" w:cs="Times New Roman"/>
          <w:color w:val="auto"/>
          <w:sz w:val="18"/>
          <w:szCs w:val="18"/>
          <w:lang w:val="en-GB"/>
        </w:rPr>
        <w:t xml:space="preserve"> ibid. For strong criticism on CESCR’s approach to the ICESCR see </w:t>
      </w:r>
      <w:r w:rsidRPr="00630EF4">
        <w:rPr>
          <w:rStyle w:val="PageNumber"/>
          <w:rFonts w:ascii="Times New Roman" w:hAnsi="Times New Roman"/>
          <w:color w:val="auto"/>
          <w:sz w:val="18"/>
          <w:szCs w:val="18"/>
          <w:lang w:val="en-GB"/>
        </w:rPr>
        <w:t>Michael J. Dennis and David P. Stewart ‘Justiciability of Economic, Social, and Cultural Rights: Should There be an International Complaints Mechanism to Adjudicate the Rights to Food, Water, Housing, and Health?’ (2004) 98(3) A.J.I.L. 462</w:t>
      </w:r>
      <w:r w:rsidRPr="00630EF4">
        <w:rPr>
          <w:rStyle w:val="PageNumber"/>
          <w:rFonts w:ascii="Times New Roman" w:hAnsi="Times New Roman" w:cs="Times New Roman"/>
          <w:color w:val="auto"/>
          <w:sz w:val="18"/>
          <w:szCs w:val="18"/>
          <w:lang w:val="en-GB"/>
        </w:rPr>
        <w:t xml:space="preserve">; Stephen Tully, ‘A Human Right to Access Water? A Critique of General Comment No. 15’ (2005) 23(1) NQHR. </w:t>
      </w:r>
    </w:p>
  </w:footnote>
  <w:footnote w:id="16">
    <w:p w14:paraId="09E07A0C" w14:textId="54DA1525" w:rsidR="00700F1E" w:rsidRPr="00472492" w:rsidRDefault="00700F1E" w:rsidP="007B7926">
      <w:pPr>
        <w:pStyle w:val="FootnoteText"/>
        <w:jc w:val="both"/>
        <w:rPr>
          <w:rFonts w:cs="Times New Roman"/>
          <w:sz w:val="18"/>
          <w:szCs w:val="18"/>
          <w:lang w:val="en-GB"/>
        </w:rPr>
      </w:pPr>
      <w:r w:rsidRPr="00472492">
        <w:rPr>
          <w:rStyle w:val="FootnoteReference"/>
          <w:rFonts w:cs="Times New Roman"/>
          <w:sz w:val="18"/>
          <w:szCs w:val="18"/>
        </w:rPr>
        <w:footnoteRef/>
      </w:r>
      <w:r w:rsidRPr="00472492">
        <w:rPr>
          <w:rStyle w:val="PageNumber"/>
          <w:rFonts w:cs="Times New Roman"/>
          <w:sz w:val="18"/>
          <w:szCs w:val="18"/>
          <w:lang w:val="en-GB"/>
        </w:rPr>
        <w:t xml:space="preserve"> ibid Moeckli 20-21.</w:t>
      </w:r>
    </w:p>
  </w:footnote>
  <w:footnote w:id="17">
    <w:p w14:paraId="14D6F429" w14:textId="184A39DE" w:rsidR="00700F1E" w:rsidRPr="00630EF4" w:rsidRDefault="00700F1E">
      <w:pPr>
        <w:pStyle w:val="FootnoteText"/>
        <w:rPr>
          <w:sz w:val="18"/>
          <w:szCs w:val="18"/>
        </w:rPr>
      </w:pPr>
      <w:r w:rsidRPr="00630EF4">
        <w:rPr>
          <w:rStyle w:val="FootnoteReference"/>
          <w:sz w:val="18"/>
          <w:szCs w:val="18"/>
        </w:rPr>
        <w:footnoteRef/>
      </w:r>
      <w:r w:rsidRPr="00630EF4">
        <w:rPr>
          <w:sz w:val="18"/>
          <w:szCs w:val="18"/>
        </w:rPr>
        <w:t xml:space="preserve"> </w:t>
      </w:r>
      <w:r w:rsidRPr="00472492">
        <w:rPr>
          <w:sz w:val="18"/>
          <w:szCs w:val="18"/>
        </w:rPr>
        <w:t xml:space="preserve"> </w:t>
      </w:r>
      <w:r w:rsidRPr="00472492">
        <w:rPr>
          <w:sz w:val="18"/>
          <w:szCs w:val="18"/>
          <w:lang w:val="en-GB"/>
        </w:rPr>
        <w:t xml:space="preserve">Chapter 4, Torres-Marenco PhD thesis addresses an expanded analysis </w:t>
      </w:r>
      <w:r w:rsidR="002C160C">
        <w:rPr>
          <w:sz w:val="18"/>
          <w:szCs w:val="18"/>
          <w:lang w:val="en-GB"/>
        </w:rPr>
        <w:t>on</w:t>
      </w:r>
      <w:r w:rsidRPr="00472492">
        <w:rPr>
          <w:sz w:val="18"/>
          <w:szCs w:val="18"/>
          <w:lang w:val="en-GB"/>
        </w:rPr>
        <w:t xml:space="preserve"> </w:t>
      </w:r>
      <w:r w:rsidR="003F59C5">
        <w:rPr>
          <w:sz w:val="18"/>
          <w:szCs w:val="18"/>
          <w:lang w:val="en-GB"/>
        </w:rPr>
        <w:t>an</w:t>
      </w:r>
      <w:r w:rsidRPr="00472492">
        <w:rPr>
          <w:sz w:val="18"/>
          <w:szCs w:val="18"/>
          <w:lang w:val="en-GB"/>
        </w:rPr>
        <w:t xml:space="preserve"> evolutive interpretation of Article 11 ICESCR.</w:t>
      </w:r>
    </w:p>
  </w:footnote>
  <w:footnote w:id="18">
    <w:p w14:paraId="76AA202A" w14:textId="77777777" w:rsidR="00700F1E" w:rsidRPr="00472492" w:rsidRDefault="00700F1E" w:rsidP="007B7926">
      <w:pPr>
        <w:jc w:val="both"/>
        <w:rPr>
          <w:sz w:val="18"/>
          <w:szCs w:val="18"/>
          <w:lang w:val="en-GB"/>
        </w:rPr>
      </w:pPr>
      <w:r w:rsidRPr="00472492">
        <w:rPr>
          <w:sz w:val="18"/>
          <w:szCs w:val="18"/>
          <w:vertAlign w:val="superscript"/>
          <w:lang w:val="en-GB"/>
        </w:rPr>
        <w:footnoteRef/>
      </w:r>
      <w:r w:rsidRPr="00472492">
        <w:rPr>
          <w:sz w:val="18"/>
          <w:szCs w:val="18"/>
          <w:lang w:val="en-GB"/>
        </w:rPr>
        <w:t xml:space="preserve"> See particularly, CESCR ‘General Comment No. 14 The right to the highest attainable standard of health (article 12 of the Covenant)’ (11 August 2000) </w:t>
      </w:r>
      <w:r w:rsidRPr="00472492">
        <w:rPr>
          <w:sz w:val="18"/>
          <w:szCs w:val="18"/>
          <w:lang w:val="en-GB"/>
        </w:rPr>
        <w:fldChar w:fldCharType="begin"/>
      </w:r>
      <w:r w:rsidRPr="00472492">
        <w:rPr>
          <w:sz w:val="18"/>
          <w:szCs w:val="18"/>
          <w:lang w:val="en-GB"/>
        </w:rPr>
        <w:instrText xml:space="preserve"> FILLIN "Symbol" \* MERGEFORMAT </w:instrText>
      </w:r>
      <w:r w:rsidRPr="00472492">
        <w:rPr>
          <w:sz w:val="18"/>
          <w:szCs w:val="18"/>
          <w:lang w:val="en-GB"/>
        </w:rPr>
        <w:fldChar w:fldCharType="separate"/>
      </w:r>
      <w:r w:rsidRPr="00472492">
        <w:rPr>
          <w:sz w:val="18"/>
          <w:szCs w:val="18"/>
          <w:lang w:val="en-GB"/>
        </w:rPr>
        <w:t>E/C.12/2000/4</w:t>
      </w:r>
      <w:r w:rsidRPr="00472492">
        <w:rPr>
          <w:sz w:val="18"/>
          <w:szCs w:val="18"/>
          <w:lang w:val="en-GB"/>
        </w:rPr>
        <w:fldChar w:fldCharType="end"/>
      </w:r>
      <w:r w:rsidRPr="00472492">
        <w:rPr>
          <w:sz w:val="18"/>
          <w:szCs w:val="18"/>
          <w:lang w:val="en-GB"/>
        </w:rPr>
        <w:t xml:space="preserve"> </w:t>
      </w:r>
      <w:r w:rsidRPr="00472492">
        <w:rPr>
          <w:rFonts w:cs="Times New Roman"/>
          <w:sz w:val="18"/>
          <w:szCs w:val="18"/>
          <w:lang w:val="en-GB"/>
        </w:rPr>
        <w:t>para.10</w:t>
      </w:r>
      <w:r w:rsidRPr="00472492">
        <w:rPr>
          <w:sz w:val="18"/>
          <w:szCs w:val="18"/>
          <w:lang w:val="en-GB"/>
        </w:rPr>
        <w:t xml:space="preserve">; CESCR ‘General Comment No. 4 The Right to Adequate Housing (Art. 11 (1) of the Covenant)’ (13 December 1991) E/1992/23 </w:t>
      </w:r>
      <w:r w:rsidRPr="00472492">
        <w:rPr>
          <w:rFonts w:cs="Times New Roman"/>
          <w:sz w:val="18"/>
          <w:szCs w:val="18"/>
          <w:lang w:val="en-GB"/>
        </w:rPr>
        <w:t>para. 6</w:t>
      </w:r>
      <w:r w:rsidRPr="00472492">
        <w:rPr>
          <w:sz w:val="18"/>
          <w:szCs w:val="18"/>
          <w:lang w:val="en-GB"/>
        </w:rPr>
        <w:t>; CESCR ‘General Comment No. 20 Non-discrimination in economic, social and cultural rights (art. 2, para. 2, of the Covenant)’ (2 July 2009) E/C.12/GC/20</w:t>
      </w:r>
      <w:r w:rsidRPr="00472492">
        <w:rPr>
          <w:rStyle w:val="PageNumber"/>
          <w:sz w:val="18"/>
          <w:szCs w:val="18"/>
          <w:lang w:val="en-GB"/>
        </w:rPr>
        <w:t xml:space="preserve">) </w:t>
      </w:r>
      <w:r w:rsidRPr="00472492">
        <w:rPr>
          <w:rFonts w:cs="Times New Roman"/>
          <w:sz w:val="18"/>
          <w:szCs w:val="18"/>
          <w:lang w:val="en-GB"/>
        </w:rPr>
        <w:t>para. 27</w:t>
      </w:r>
      <w:r w:rsidRPr="00472492">
        <w:rPr>
          <w:rStyle w:val="PageNumber"/>
          <w:sz w:val="18"/>
          <w:szCs w:val="18"/>
          <w:lang w:val="en-GB"/>
        </w:rPr>
        <w:t xml:space="preserve">; </w:t>
      </w:r>
      <w:r w:rsidRPr="00472492">
        <w:rPr>
          <w:rFonts w:cs="Times New Roman"/>
          <w:sz w:val="18"/>
          <w:szCs w:val="18"/>
          <w:lang w:val="en-GB"/>
        </w:rPr>
        <w:t>CESCR General Comment No. 24 on States’ obligations to the Covenant in the context of business activities para. 25.</w:t>
      </w:r>
    </w:p>
  </w:footnote>
  <w:footnote w:id="19">
    <w:p w14:paraId="39423103" w14:textId="18EBF0C1" w:rsidR="00700F1E" w:rsidRPr="00630EF4" w:rsidRDefault="00700F1E" w:rsidP="007B7926">
      <w:pPr>
        <w:pStyle w:val="BodyA"/>
        <w:widowControl w:val="0"/>
        <w:jc w:val="both"/>
        <w:rPr>
          <w:rFonts w:ascii="Times New Roman" w:hAnsi="Times New Roman" w:cs="Times New Roman"/>
          <w:color w:val="auto"/>
          <w:sz w:val="18"/>
          <w:szCs w:val="18"/>
          <w:lang w:val="en-GB"/>
        </w:rPr>
      </w:pPr>
      <w:r w:rsidRPr="00630EF4">
        <w:rPr>
          <w:rFonts w:ascii="Times New Roman" w:hAnsi="Times New Roman" w:cs="Times New Roman"/>
          <w:color w:val="auto"/>
          <w:sz w:val="18"/>
          <w:szCs w:val="18"/>
          <w:vertAlign w:val="superscript"/>
          <w:lang w:val="en-GB"/>
        </w:rPr>
        <w:footnoteRef/>
      </w:r>
      <w:r w:rsidR="00126F02">
        <w:rPr>
          <w:rFonts w:ascii="Times New Roman" w:hAnsi="Times New Roman" w:cs="Times New Roman"/>
          <w:color w:val="auto"/>
          <w:sz w:val="18"/>
          <w:szCs w:val="18"/>
          <w:lang w:val="en-GB"/>
        </w:rPr>
        <w:t xml:space="preserve"> See for instance, CESCR General Comment No. 24; </w:t>
      </w:r>
      <w:r w:rsidRPr="00630EF4">
        <w:rPr>
          <w:rFonts w:ascii="Times New Roman" w:hAnsi="Times New Roman" w:cs="Times New Roman"/>
          <w:color w:val="auto"/>
          <w:sz w:val="18"/>
          <w:szCs w:val="18"/>
          <w:lang w:val="en-GB"/>
        </w:rPr>
        <w:t xml:space="preserve">CESCR, ‘Public debt, austerity measures and the International Covenant on Economic, Social and Cultural Rights’ </w:t>
      </w:r>
      <w:r w:rsidR="00126F02">
        <w:rPr>
          <w:rFonts w:ascii="Times New Roman" w:hAnsi="Times New Roman" w:cs="Times New Roman"/>
          <w:color w:val="auto"/>
          <w:sz w:val="18"/>
          <w:szCs w:val="18"/>
          <w:lang w:val="en-GB"/>
        </w:rPr>
        <w:t xml:space="preserve">E/C.12/2016/1 (22 July 2016); </w:t>
      </w:r>
      <w:r w:rsidRPr="00630EF4">
        <w:rPr>
          <w:rFonts w:ascii="Times New Roman" w:hAnsi="Times New Roman" w:cs="Times New Roman"/>
          <w:color w:val="auto"/>
          <w:sz w:val="18"/>
          <w:szCs w:val="18"/>
          <w:lang w:val="en-GB"/>
        </w:rPr>
        <w:t>CESCR ‘Globalization and its impact on the enjoyment of economic, social and cultural rights’ (11 May 1998) E/1999/22 E/C.12/1998/26 Supp.2.</w:t>
      </w:r>
    </w:p>
  </w:footnote>
  <w:footnote w:id="20">
    <w:p w14:paraId="63874C92" w14:textId="77777777" w:rsidR="00700F1E" w:rsidRPr="00472492" w:rsidRDefault="00700F1E" w:rsidP="007B7926">
      <w:pPr>
        <w:pStyle w:val="FootnoteText"/>
        <w:jc w:val="both"/>
        <w:rPr>
          <w:rFonts w:cs="Times New Roman"/>
          <w:sz w:val="18"/>
          <w:szCs w:val="18"/>
          <w:lang w:val="en-GB"/>
        </w:rPr>
      </w:pPr>
      <w:r w:rsidRPr="00472492">
        <w:rPr>
          <w:rStyle w:val="FootnoteReference"/>
          <w:rFonts w:cs="Times New Roman"/>
          <w:sz w:val="18"/>
          <w:szCs w:val="18"/>
        </w:rPr>
        <w:footnoteRef/>
      </w:r>
      <w:r w:rsidRPr="00472492">
        <w:rPr>
          <w:rFonts w:cs="Times New Roman"/>
          <w:sz w:val="18"/>
          <w:szCs w:val="18"/>
          <w:lang w:val="en-GB"/>
        </w:rPr>
        <w:t xml:space="preserve"> Rolf Küneman and Sofía Monsalve Suárez, ‘International Human Rights and Governing Land Grabbing: a view from Global Society’ (2013) 10:1 Globalizations 123 130.</w:t>
      </w:r>
    </w:p>
  </w:footnote>
  <w:footnote w:id="21">
    <w:p w14:paraId="2AC8AC76" w14:textId="4B05B3FB" w:rsidR="00700F1E" w:rsidRPr="00472492" w:rsidRDefault="00700F1E" w:rsidP="007B7926">
      <w:pPr>
        <w:pStyle w:val="FootnoteText"/>
        <w:jc w:val="both"/>
        <w:rPr>
          <w:rFonts w:cs="Times New Roman"/>
          <w:sz w:val="22"/>
          <w:szCs w:val="22"/>
        </w:rPr>
      </w:pPr>
      <w:r w:rsidRPr="00472492">
        <w:rPr>
          <w:rStyle w:val="FootnoteReference"/>
          <w:rFonts w:cs="Times New Roman"/>
          <w:sz w:val="18"/>
          <w:szCs w:val="18"/>
          <w:lang w:val="en-GB"/>
        </w:rPr>
        <w:footnoteRef/>
      </w:r>
      <w:r w:rsidRPr="00472492">
        <w:rPr>
          <w:rFonts w:cs="Times New Roman"/>
          <w:sz w:val="18"/>
          <w:szCs w:val="18"/>
          <w:lang w:val="en-GB"/>
        </w:rPr>
        <w:t xml:space="preserve"> Takele Soboka Bulto, ‘The Emergence of the Human Right to Water in International Human Rights Law: Invention or Discovery’ 12 Melb. J. Int'l L. 290, 314 (2011). </w:t>
      </w:r>
      <w:r w:rsidRPr="00472492">
        <w:rPr>
          <w:rFonts w:cs="Times New Roman"/>
          <w:sz w:val="18"/>
          <w:szCs w:val="18"/>
        </w:rPr>
        <w:t>303.</w:t>
      </w:r>
      <w:r w:rsidRPr="00472492">
        <w:rPr>
          <w:rFonts w:cs="Times New Roman"/>
          <w:sz w:val="22"/>
          <w:szCs w:val="22"/>
        </w:rPr>
        <w:t xml:space="preserve"> </w:t>
      </w:r>
    </w:p>
  </w:footnote>
  <w:footnote w:id="22">
    <w:p w14:paraId="21826204" w14:textId="7AC3FB73" w:rsidR="00700F1E" w:rsidRPr="00472492" w:rsidRDefault="00700F1E" w:rsidP="007B7926">
      <w:pPr>
        <w:pStyle w:val="FootnoteText"/>
        <w:jc w:val="both"/>
        <w:rPr>
          <w:sz w:val="18"/>
          <w:szCs w:val="18"/>
          <w:lang w:val="en-GB"/>
        </w:rPr>
      </w:pPr>
      <w:r w:rsidRPr="00472492">
        <w:rPr>
          <w:rStyle w:val="FootnoteReference"/>
          <w:sz w:val="18"/>
          <w:szCs w:val="18"/>
        </w:rPr>
        <w:footnoteRef/>
      </w:r>
      <w:r w:rsidRPr="00472492">
        <w:rPr>
          <w:sz w:val="18"/>
          <w:szCs w:val="18"/>
          <w:lang w:val="en-GB"/>
        </w:rPr>
        <w:t xml:space="preserve"> See for instance, Saturnino M. Borras Jr., Jennifer C. Franco, Cristobal Kay and Max Spoor Land grabbing in Latin America and the Caribbean viewed from broader international perspectives’. (FAO 2011) 8; </w:t>
      </w:r>
      <w:r w:rsidRPr="00472492">
        <w:rPr>
          <w:rFonts w:cs="Times New Roman"/>
          <w:sz w:val="18"/>
          <w:szCs w:val="18"/>
          <w:lang w:val="en-GB"/>
        </w:rPr>
        <w:t>Olivier De Schutter,</w:t>
      </w:r>
      <w:r w:rsidRPr="00472492">
        <w:rPr>
          <w:rStyle w:val="PageNumber"/>
          <w:rFonts w:cs="Times New Roman"/>
          <w:sz w:val="18"/>
          <w:szCs w:val="18"/>
        </w:rPr>
        <w:t>‘The Emerging Human Right to Land’ (2010) 12(3) International Community Law Review</w:t>
      </w:r>
      <w:r w:rsidRPr="00472492">
        <w:rPr>
          <w:rFonts w:cs="Times New Roman"/>
          <w:sz w:val="18"/>
          <w:szCs w:val="18"/>
          <w:lang w:val="en-GB"/>
        </w:rPr>
        <w:t xml:space="preserve"> 334.310; Human Rights Committee: Report on Thailand 2005 para. 24; Küneman and Monsalve </w:t>
      </w:r>
      <w:r w:rsidRPr="00630EF4">
        <w:rPr>
          <w:rFonts w:cs="Times New Roman"/>
          <w:sz w:val="18"/>
          <w:szCs w:val="18"/>
          <w:lang w:val="en-GB"/>
        </w:rPr>
        <w:t xml:space="preserve">(n </w:t>
      </w:r>
      <w:r w:rsidRPr="00630EF4">
        <w:rPr>
          <w:rFonts w:cs="Times New Roman"/>
          <w:sz w:val="18"/>
          <w:szCs w:val="18"/>
          <w:highlight w:val="yellow"/>
        </w:rPr>
        <w:fldChar w:fldCharType="begin"/>
      </w:r>
      <w:r w:rsidRPr="00630EF4">
        <w:rPr>
          <w:rFonts w:cs="Times New Roman"/>
          <w:sz w:val="18"/>
          <w:szCs w:val="18"/>
          <w:lang w:val="en-GB"/>
        </w:rPr>
        <w:instrText xml:space="preserve"> NOTEREF _Ref490573871 \h </w:instrText>
      </w:r>
      <w:r w:rsidRPr="00630EF4">
        <w:rPr>
          <w:rFonts w:cs="Times New Roman"/>
          <w:sz w:val="18"/>
          <w:szCs w:val="18"/>
          <w:highlight w:val="yellow"/>
        </w:rPr>
      </w:r>
      <w:r w:rsidRPr="00630EF4">
        <w:rPr>
          <w:rFonts w:cs="Times New Roman"/>
          <w:sz w:val="18"/>
          <w:szCs w:val="18"/>
          <w:highlight w:val="yellow"/>
        </w:rPr>
        <w:fldChar w:fldCharType="separate"/>
      </w:r>
      <w:r w:rsidRPr="00630EF4">
        <w:rPr>
          <w:rFonts w:cs="Times New Roman"/>
          <w:sz w:val="18"/>
          <w:szCs w:val="18"/>
          <w:lang w:val="en-GB"/>
        </w:rPr>
        <w:t>19</w:t>
      </w:r>
      <w:r w:rsidRPr="00630EF4">
        <w:rPr>
          <w:rFonts w:cs="Times New Roman"/>
          <w:sz w:val="18"/>
          <w:szCs w:val="18"/>
          <w:highlight w:val="yellow"/>
        </w:rPr>
        <w:fldChar w:fldCharType="end"/>
      </w:r>
      <w:r w:rsidRPr="00630EF4">
        <w:rPr>
          <w:rFonts w:cs="Times New Roman"/>
          <w:sz w:val="18"/>
          <w:szCs w:val="18"/>
          <w:lang w:val="en-GB"/>
        </w:rPr>
        <w:t xml:space="preserve">) 130.;  </w:t>
      </w:r>
      <w:r w:rsidRPr="00630EF4">
        <w:rPr>
          <w:rStyle w:val="PageNumber"/>
          <w:rFonts w:cs="Times New Roman"/>
          <w:sz w:val="18"/>
          <w:szCs w:val="18"/>
          <w:lang w:val="en-GB"/>
        </w:rPr>
        <w:t xml:space="preserve">Jérémie Gilbert, ‘Land Rights as Human Rights: The Case for a Specific Right to Land’ (2013) 20(18) International Journal on </w:t>
      </w:r>
      <w:r w:rsidRPr="00472492">
        <w:rPr>
          <w:rStyle w:val="PageNumber"/>
          <w:rFonts w:cs="Times New Roman"/>
          <w:sz w:val="18"/>
          <w:szCs w:val="18"/>
          <w:lang w:val="en-GB"/>
        </w:rPr>
        <w:t xml:space="preserve">Human Rights </w:t>
      </w:r>
      <w:r w:rsidRPr="00472492">
        <w:rPr>
          <w:rFonts w:cs="Times New Roman"/>
          <w:sz w:val="18"/>
          <w:szCs w:val="18"/>
          <w:lang w:val="en-GB"/>
        </w:rPr>
        <w:t>125-126.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CF4B8" w14:textId="572815CC" w:rsidR="00700F1E" w:rsidRDefault="00700F1E">
    <w:pPr>
      <w:pStyle w:val="Header"/>
    </w:pPr>
    <w:r>
      <w:rPr>
        <w:b/>
        <w:noProof/>
        <w:sz w:val="22"/>
        <w:szCs w:val="22"/>
        <w:lang w:val="en-GB" w:eastAsia="ko-KR"/>
      </w:rPr>
      <w:drawing>
        <wp:inline distT="0" distB="0" distL="0" distR="0" wp14:anchorId="37D90C80" wp14:editId="1CC158BA">
          <wp:extent cx="1530096" cy="682752"/>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RE logo.jpg"/>
                  <pic:cNvPicPr/>
                </pic:nvPicPr>
                <pic:blipFill>
                  <a:blip r:embed="rId1">
                    <a:extLst>
                      <a:ext uri="{28A0092B-C50C-407E-A947-70E740481C1C}">
                        <a14:useLocalDpi xmlns:a14="http://schemas.microsoft.com/office/drawing/2010/main" val="0"/>
                      </a:ext>
                    </a:extLst>
                  </a:blip>
                  <a:stretch>
                    <a:fillRect/>
                  </a:stretch>
                </pic:blipFill>
                <pic:spPr>
                  <a:xfrm>
                    <a:off x="0" y="0"/>
                    <a:ext cx="1530096" cy="6827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46F60"/>
    <w:multiLevelType w:val="hybridMultilevel"/>
    <w:tmpl w:val="FBE66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63D0E91"/>
    <w:multiLevelType w:val="hybridMultilevel"/>
    <w:tmpl w:val="18C81B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35E0092"/>
    <w:multiLevelType w:val="hybridMultilevel"/>
    <w:tmpl w:val="128AB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105427"/>
    <w:multiLevelType w:val="hybridMultilevel"/>
    <w:tmpl w:val="0E9E4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E2B53D0"/>
    <w:multiLevelType w:val="hybridMultilevel"/>
    <w:tmpl w:val="6520FC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06"/>
    <w:rsid w:val="00001325"/>
    <w:rsid w:val="00003F51"/>
    <w:rsid w:val="00007CE0"/>
    <w:rsid w:val="00016736"/>
    <w:rsid w:val="000201C6"/>
    <w:rsid w:val="00022903"/>
    <w:rsid w:val="00023760"/>
    <w:rsid w:val="00023C1A"/>
    <w:rsid w:val="00034CF5"/>
    <w:rsid w:val="00036E50"/>
    <w:rsid w:val="00040FD9"/>
    <w:rsid w:val="00046234"/>
    <w:rsid w:val="00046896"/>
    <w:rsid w:val="0005194D"/>
    <w:rsid w:val="0005197A"/>
    <w:rsid w:val="0005542F"/>
    <w:rsid w:val="00060EE0"/>
    <w:rsid w:val="00063DD9"/>
    <w:rsid w:val="00064082"/>
    <w:rsid w:val="000667A6"/>
    <w:rsid w:val="00066FC3"/>
    <w:rsid w:val="0007017B"/>
    <w:rsid w:val="00070711"/>
    <w:rsid w:val="00070DB2"/>
    <w:rsid w:val="00072659"/>
    <w:rsid w:val="00072EB8"/>
    <w:rsid w:val="00077D7A"/>
    <w:rsid w:val="0009193A"/>
    <w:rsid w:val="000925AC"/>
    <w:rsid w:val="000940AB"/>
    <w:rsid w:val="000971FB"/>
    <w:rsid w:val="000A2867"/>
    <w:rsid w:val="000A5E50"/>
    <w:rsid w:val="000B0C6D"/>
    <w:rsid w:val="000B2302"/>
    <w:rsid w:val="000B2377"/>
    <w:rsid w:val="000B6EC9"/>
    <w:rsid w:val="000C2AE6"/>
    <w:rsid w:val="000D55F8"/>
    <w:rsid w:val="000D7766"/>
    <w:rsid w:val="000D788A"/>
    <w:rsid w:val="000E198F"/>
    <w:rsid w:val="000E2ED7"/>
    <w:rsid w:val="000E3715"/>
    <w:rsid w:val="000E77FC"/>
    <w:rsid w:val="000F4F17"/>
    <w:rsid w:val="000F59BB"/>
    <w:rsid w:val="000F62F9"/>
    <w:rsid w:val="00101109"/>
    <w:rsid w:val="00101BEB"/>
    <w:rsid w:val="0010245D"/>
    <w:rsid w:val="00105FE5"/>
    <w:rsid w:val="00106BB7"/>
    <w:rsid w:val="001212D6"/>
    <w:rsid w:val="00123BC6"/>
    <w:rsid w:val="00125E5B"/>
    <w:rsid w:val="00126F02"/>
    <w:rsid w:val="00133522"/>
    <w:rsid w:val="00136813"/>
    <w:rsid w:val="00136E1E"/>
    <w:rsid w:val="001379C3"/>
    <w:rsid w:val="00140AA5"/>
    <w:rsid w:val="001415B3"/>
    <w:rsid w:val="00144553"/>
    <w:rsid w:val="001518E6"/>
    <w:rsid w:val="0015233F"/>
    <w:rsid w:val="00157D1D"/>
    <w:rsid w:val="001601DE"/>
    <w:rsid w:val="0016665F"/>
    <w:rsid w:val="0017149E"/>
    <w:rsid w:val="00173402"/>
    <w:rsid w:val="00177B46"/>
    <w:rsid w:val="001862F2"/>
    <w:rsid w:val="0018694D"/>
    <w:rsid w:val="00187D8E"/>
    <w:rsid w:val="001930BD"/>
    <w:rsid w:val="001954B8"/>
    <w:rsid w:val="001A006E"/>
    <w:rsid w:val="001A228A"/>
    <w:rsid w:val="001A4637"/>
    <w:rsid w:val="001A5A88"/>
    <w:rsid w:val="001A60E4"/>
    <w:rsid w:val="001A7CFA"/>
    <w:rsid w:val="001B184E"/>
    <w:rsid w:val="001B2087"/>
    <w:rsid w:val="001B2493"/>
    <w:rsid w:val="001B2ACA"/>
    <w:rsid w:val="001B438D"/>
    <w:rsid w:val="001B4BA1"/>
    <w:rsid w:val="001B6429"/>
    <w:rsid w:val="001B7B38"/>
    <w:rsid w:val="001C155C"/>
    <w:rsid w:val="001C2C2C"/>
    <w:rsid w:val="001D006A"/>
    <w:rsid w:val="001D2534"/>
    <w:rsid w:val="001D516C"/>
    <w:rsid w:val="001D74A5"/>
    <w:rsid w:val="001E7A49"/>
    <w:rsid w:val="001F118C"/>
    <w:rsid w:val="001F2094"/>
    <w:rsid w:val="001F366B"/>
    <w:rsid w:val="00204CE8"/>
    <w:rsid w:val="00210EE3"/>
    <w:rsid w:val="00211DD8"/>
    <w:rsid w:val="00215804"/>
    <w:rsid w:val="0021773B"/>
    <w:rsid w:val="0022031F"/>
    <w:rsid w:val="0022241F"/>
    <w:rsid w:val="00225352"/>
    <w:rsid w:val="00232202"/>
    <w:rsid w:val="00234507"/>
    <w:rsid w:val="0024157E"/>
    <w:rsid w:val="002416B2"/>
    <w:rsid w:val="002458A3"/>
    <w:rsid w:val="00247B8F"/>
    <w:rsid w:val="00247E2F"/>
    <w:rsid w:val="00252D83"/>
    <w:rsid w:val="002530DE"/>
    <w:rsid w:val="0025436B"/>
    <w:rsid w:val="002605F4"/>
    <w:rsid w:val="00263682"/>
    <w:rsid w:val="0027752E"/>
    <w:rsid w:val="00281F8D"/>
    <w:rsid w:val="002842E8"/>
    <w:rsid w:val="00284672"/>
    <w:rsid w:val="0028470D"/>
    <w:rsid w:val="00284E7A"/>
    <w:rsid w:val="00286691"/>
    <w:rsid w:val="00292449"/>
    <w:rsid w:val="002A7706"/>
    <w:rsid w:val="002B0387"/>
    <w:rsid w:val="002B170D"/>
    <w:rsid w:val="002B264A"/>
    <w:rsid w:val="002B6AFB"/>
    <w:rsid w:val="002B6B51"/>
    <w:rsid w:val="002C0EA1"/>
    <w:rsid w:val="002C160C"/>
    <w:rsid w:val="002C27A1"/>
    <w:rsid w:val="002C4DEC"/>
    <w:rsid w:val="002D075F"/>
    <w:rsid w:val="002D577C"/>
    <w:rsid w:val="002D7EED"/>
    <w:rsid w:val="002E23C1"/>
    <w:rsid w:val="002E40CD"/>
    <w:rsid w:val="00304A74"/>
    <w:rsid w:val="00311081"/>
    <w:rsid w:val="003129D4"/>
    <w:rsid w:val="00314539"/>
    <w:rsid w:val="00321015"/>
    <w:rsid w:val="00330063"/>
    <w:rsid w:val="00343EF5"/>
    <w:rsid w:val="0034471C"/>
    <w:rsid w:val="00344A4E"/>
    <w:rsid w:val="00353321"/>
    <w:rsid w:val="003534B6"/>
    <w:rsid w:val="0035496F"/>
    <w:rsid w:val="00355A72"/>
    <w:rsid w:val="00356470"/>
    <w:rsid w:val="0035735B"/>
    <w:rsid w:val="003578CD"/>
    <w:rsid w:val="00357A43"/>
    <w:rsid w:val="0036042B"/>
    <w:rsid w:val="003649AF"/>
    <w:rsid w:val="00364B5A"/>
    <w:rsid w:val="003676E2"/>
    <w:rsid w:val="00367D23"/>
    <w:rsid w:val="00370038"/>
    <w:rsid w:val="00372DF5"/>
    <w:rsid w:val="00374F98"/>
    <w:rsid w:val="00375A38"/>
    <w:rsid w:val="00382B1F"/>
    <w:rsid w:val="00385020"/>
    <w:rsid w:val="0038667D"/>
    <w:rsid w:val="00387093"/>
    <w:rsid w:val="00391990"/>
    <w:rsid w:val="00394D7F"/>
    <w:rsid w:val="00396E4C"/>
    <w:rsid w:val="00397AEA"/>
    <w:rsid w:val="00397B29"/>
    <w:rsid w:val="003B21B1"/>
    <w:rsid w:val="003B48F7"/>
    <w:rsid w:val="003C0C57"/>
    <w:rsid w:val="003C1B35"/>
    <w:rsid w:val="003C1BB4"/>
    <w:rsid w:val="003C208B"/>
    <w:rsid w:val="003C5807"/>
    <w:rsid w:val="003C5AF1"/>
    <w:rsid w:val="003C6580"/>
    <w:rsid w:val="003C6583"/>
    <w:rsid w:val="003C66FB"/>
    <w:rsid w:val="003C70FE"/>
    <w:rsid w:val="003D1D22"/>
    <w:rsid w:val="003D51B6"/>
    <w:rsid w:val="003D72DA"/>
    <w:rsid w:val="003E1872"/>
    <w:rsid w:val="003E33CB"/>
    <w:rsid w:val="003F0B01"/>
    <w:rsid w:val="003F2CEB"/>
    <w:rsid w:val="003F5803"/>
    <w:rsid w:val="003F59C5"/>
    <w:rsid w:val="003F6CE3"/>
    <w:rsid w:val="00400E40"/>
    <w:rsid w:val="00406391"/>
    <w:rsid w:val="004170E0"/>
    <w:rsid w:val="00417FD2"/>
    <w:rsid w:val="0042792C"/>
    <w:rsid w:val="00432314"/>
    <w:rsid w:val="0043257E"/>
    <w:rsid w:val="004337A7"/>
    <w:rsid w:val="00437119"/>
    <w:rsid w:val="00437162"/>
    <w:rsid w:val="0044134C"/>
    <w:rsid w:val="00441BE9"/>
    <w:rsid w:val="00442968"/>
    <w:rsid w:val="00443C14"/>
    <w:rsid w:val="00457B03"/>
    <w:rsid w:val="00462745"/>
    <w:rsid w:val="00466156"/>
    <w:rsid w:val="00472492"/>
    <w:rsid w:val="004730A2"/>
    <w:rsid w:val="00475C32"/>
    <w:rsid w:val="0047764C"/>
    <w:rsid w:val="00481DE4"/>
    <w:rsid w:val="00482ABB"/>
    <w:rsid w:val="004835FF"/>
    <w:rsid w:val="00485FC1"/>
    <w:rsid w:val="00490DD0"/>
    <w:rsid w:val="00491EC4"/>
    <w:rsid w:val="004933FE"/>
    <w:rsid w:val="00495D76"/>
    <w:rsid w:val="004971B5"/>
    <w:rsid w:val="004A26F3"/>
    <w:rsid w:val="004A74CB"/>
    <w:rsid w:val="004B192B"/>
    <w:rsid w:val="004B2776"/>
    <w:rsid w:val="004C194F"/>
    <w:rsid w:val="004C36F9"/>
    <w:rsid w:val="004C5FF3"/>
    <w:rsid w:val="004D1836"/>
    <w:rsid w:val="004D4573"/>
    <w:rsid w:val="004D67D9"/>
    <w:rsid w:val="004E12AE"/>
    <w:rsid w:val="004E2235"/>
    <w:rsid w:val="004E4362"/>
    <w:rsid w:val="004E6A2C"/>
    <w:rsid w:val="004F14EC"/>
    <w:rsid w:val="004F53F4"/>
    <w:rsid w:val="004F6D14"/>
    <w:rsid w:val="0050277D"/>
    <w:rsid w:val="00506E43"/>
    <w:rsid w:val="00514418"/>
    <w:rsid w:val="005168B6"/>
    <w:rsid w:val="005203E8"/>
    <w:rsid w:val="00520659"/>
    <w:rsid w:val="00524FA0"/>
    <w:rsid w:val="00525444"/>
    <w:rsid w:val="0052756F"/>
    <w:rsid w:val="0053108F"/>
    <w:rsid w:val="005315AD"/>
    <w:rsid w:val="0053319C"/>
    <w:rsid w:val="00541ECC"/>
    <w:rsid w:val="005467F5"/>
    <w:rsid w:val="00547984"/>
    <w:rsid w:val="00554779"/>
    <w:rsid w:val="00562FD5"/>
    <w:rsid w:val="00564FB6"/>
    <w:rsid w:val="005672B5"/>
    <w:rsid w:val="005718B9"/>
    <w:rsid w:val="00582441"/>
    <w:rsid w:val="0058494B"/>
    <w:rsid w:val="005871E8"/>
    <w:rsid w:val="005906CF"/>
    <w:rsid w:val="00592628"/>
    <w:rsid w:val="00592B8E"/>
    <w:rsid w:val="005A363D"/>
    <w:rsid w:val="005A3822"/>
    <w:rsid w:val="005A454F"/>
    <w:rsid w:val="005A49C8"/>
    <w:rsid w:val="005B2DB2"/>
    <w:rsid w:val="005B3CD1"/>
    <w:rsid w:val="005C0DA1"/>
    <w:rsid w:val="005D0992"/>
    <w:rsid w:val="005D1081"/>
    <w:rsid w:val="005D1F7B"/>
    <w:rsid w:val="005E1785"/>
    <w:rsid w:val="005E2537"/>
    <w:rsid w:val="005E3D69"/>
    <w:rsid w:val="005E573B"/>
    <w:rsid w:val="005E7863"/>
    <w:rsid w:val="0060274F"/>
    <w:rsid w:val="00602D72"/>
    <w:rsid w:val="0060424B"/>
    <w:rsid w:val="0060613C"/>
    <w:rsid w:val="006066EE"/>
    <w:rsid w:val="00606993"/>
    <w:rsid w:val="00610E44"/>
    <w:rsid w:val="00611471"/>
    <w:rsid w:val="00611D80"/>
    <w:rsid w:val="00612324"/>
    <w:rsid w:val="006164BD"/>
    <w:rsid w:val="006211EE"/>
    <w:rsid w:val="00622049"/>
    <w:rsid w:val="006251DF"/>
    <w:rsid w:val="00630EF4"/>
    <w:rsid w:val="00634FCB"/>
    <w:rsid w:val="00635C6B"/>
    <w:rsid w:val="0063622E"/>
    <w:rsid w:val="00637106"/>
    <w:rsid w:val="006428D2"/>
    <w:rsid w:val="00644393"/>
    <w:rsid w:val="00644B7B"/>
    <w:rsid w:val="0064572A"/>
    <w:rsid w:val="00652872"/>
    <w:rsid w:val="0065288B"/>
    <w:rsid w:val="0066094F"/>
    <w:rsid w:val="00671592"/>
    <w:rsid w:val="0067186E"/>
    <w:rsid w:val="00673E7F"/>
    <w:rsid w:val="00675B4A"/>
    <w:rsid w:val="00680AA7"/>
    <w:rsid w:val="00681D1C"/>
    <w:rsid w:val="006821E5"/>
    <w:rsid w:val="0068388E"/>
    <w:rsid w:val="006840D2"/>
    <w:rsid w:val="006872DC"/>
    <w:rsid w:val="00694AA8"/>
    <w:rsid w:val="006952DB"/>
    <w:rsid w:val="0069569C"/>
    <w:rsid w:val="006A509A"/>
    <w:rsid w:val="006A6E81"/>
    <w:rsid w:val="006B119B"/>
    <w:rsid w:val="006B36BF"/>
    <w:rsid w:val="006B4CD0"/>
    <w:rsid w:val="006B542B"/>
    <w:rsid w:val="006B691D"/>
    <w:rsid w:val="006B6A50"/>
    <w:rsid w:val="006B6FA6"/>
    <w:rsid w:val="006C33A1"/>
    <w:rsid w:val="006C5749"/>
    <w:rsid w:val="006C72ED"/>
    <w:rsid w:val="006C73ED"/>
    <w:rsid w:val="006D0C43"/>
    <w:rsid w:val="006D3BEE"/>
    <w:rsid w:val="006D6A93"/>
    <w:rsid w:val="006D73CC"/>
    <w:rsid w:val="006E2F6E"/>
    <w:rsid w:val="006F09D4"/>
    <w:rsid w:val="006F12ED"/>
    <w:rsid w:val="006F2701"/>
    <w:rsid w:val="006F3B0D"/>
    <w:rsid w:val="006F4808"/>
    <w:rsid w:val="006F6317"/>
    <w:rsid w:val="00700699"/>
    <w:rsid w:val="00700F1E"/>
    <w:rsid w:val="007044B3"/>
    <w:rsid w:val="00704937"/>
    <w:rsid w:val="00706F84"/>
    <w:rsid w:val="00707066"/>
    <w:rsid w:val="00710FFE"/>
    <w:rsid w:val="00711FBE"/>
    <w:rsid w:val="00712674"/>
    <w:rsid w:val="00713008"/>
    <w:rsid w:val="0071620C"/>
    <w:rsid w:val="0072007F"/>
    <w:rsid w:val="0072118A"/>
    <w:rsid w:val="007253C1"/>
    <w:rsid w:val="00725EF1"/>
    <w:rsid w:val="00726099"/>
    <w:rsid w:val="00727BB2"/>
    <w:rsid w:val="0073077E"/>
    <w:rsid w:val="00731159"/>
    <w:rsid w:val="007315AC"/>
    <w:rsid w:val="00732C45"/>
    <w:rsid w:val="007370D1"/>
    <w:rsid w:val="00737DA9"/>
    <w:rsid w:val="007443E2"/>
    <w:rsid w:val="00744A0C"/>
    <w:rsid w:val="00745D05"/>
    <w:rsid w:val="00750A2D"/>
    <w:rsid w:val="007536DC"/>
    <w:rsid w:val="0075565A"/>
    <w:rsid w:val="007557EA"/>
    <w:rsid w:val="00755FC8"/>
    <w:rsid w:val="00756915"/>
    <w:rsid w:val="00757FB2"/>
    <w:rsid w:val="00763AFD"/>
    <w:rsid w:val="0076562A"/>
    <w:rsid w:val="00766834"/>
    <w:rsid w:val="00774544"/>
    <w:rsid w:val="00775237"/>
    <w:rsid w:val="007755EA"/>
    <w:rsid w:val="00776137"/>
    <w:rsid w:val="0077621F"/>
    <w:rsid w:val="00777BBF"/>
    <w:rsid w:val="00783CB1"/>
    <w:rsid w:val="007855DA"/>
    <w:rsid w:val="007875F0"/>
    <w:rsid w:val="0079212F"/>
    <w:rsid w:val="0079588C"/>
    <w:rsid w:val="007A13CB"/>
    <w:rsid w:val="007A1436"/>
    <w:rsid w:val="007A3FC6"/>
    <w:rsid w:val="007A6330"/>
    <w:rsid w:val="007B65BF"/>
    <w:rsid w:val="007B74CB"/>
    <w:rsid w:val="007B7926"/>
    <w:rsid w:val="007C204A"/>
    <w:rsid w:val="007C2E1C"/>
    <w:rsid w:val="007C712A"/>
    <w:rsid w:val="007D04A5"/>
    <w:rsid w:val="007D49CB"/>
    <w:rsid w:val="007D70ED"/>
    <w:rsid w:val="007E1166"/>
    <w:rsid w:val="007E381A"/>
    <w:rsid w:val="007E4C75"/>
    <w:rsid w:val="007E4F7E"/>
    <w:rsid w:val="007E6527"/>
    <w:rsid w:val="007E6691"/>
    <w:rsid w:val="007E71FE"/>
    <w:rsid w:val="007E7611"/>
    <w:rsid w:val="007F32CE"/>
    <w:rsid w:val="007F3858"/>
    <w:rsid w:val="007F4CF7"/>
    <w:rsid w:val="007F5AE6"/>
    <w:rsid w:val="00805C9E"/>
    <w:rsid w:val="00806846"/>
    <w:rsid w:val="00807BF4"/>
    <w:rsid w:val="00810D0E"/>
    <w:rsid w:val="008167C0"/>
    <w:rsid w:val="008170E6"/>
    <w:rsid w:val="008219A7"/>
    <w:rsid w:val="00827EF6"/>
    <w:rsid w:val="00833418"/>
    <w:rsid w:val="00840738"/>
    <w:rsid w:val="00840859"/>
    <w:rsid w:val="00844594"/>
    <w:rsid w:val="00845149"/>
    <w:rsid w:val="0085066D"/>
    <w:rsid w:val="00855D06"/>
    <w:rsid w:val="00866194"/>
    <w:rsid w:val="00866208"/>
    <w:rsid w:val="0086653D"/>
    <w:rsid w:val="00871A05"/>
    <w:rsid w:val="0087277D"/>
    <w:rsid w:val="00873C1A"/>
    <w:rsid w:val="0087457E"/>
    <w:rsid w:val="0087746F"/>
    <w:rsid w:val="00882C23"/>
    <w:rsid w:val="0088488C"/>
    <w:rsid w:val="00885031"/>
    <w:rsid w:val="00887F05"/>
    <w:rsid w:val="008947AE"/>
    <w:rsid w:val="00896F85"/>
    <w:rsid w:val="008A5FAF"/>
    <w:rsid w:val="008B14F9"/>
    <w:rsid w:val="008C0AE7"/>
    <w:rsid w:val="008C2D26"/>
    <w:rsid w:val="008C375E"/>
    <w:rsid w:val="008C5439"/>
    <w:rsid w:val="008C5DF9"/>
    <w:rsid w:val="008D0D79"/>
    <w:rsid w:val="008D3223"/>
    <w:rsid w:val="008D40F9"/>
    <w:rsid w:val="008D6B16"/>
    <w:rsid w:val="008E35B8"/>
    <w:rsid w:val="008E3CB2"/>
    <w:rsid w:val="008E47EB"/>
    <w:rsid w:val="008E7A4A"/>
    <w:rsid w:val="008F07BE"/>
    <w:rsid w:val="008F4217"/>
    <w:rsid w:val="0090169B"/>
    <w:rsid w:val="0090184F"/>
    <w:rsid w:val="00906FB1"/>
    <w:rsid w:val="00907018"/>
    <w:rsid w:val="00907470"/>
    <w:rsid w:val="00910C05"/>
    <w:rsid w:val="0091470C"/>
    <w:rsid w:val="009160FA"/>
    <w:rsid w:val="009254BC"/>
    <w:rsid w:val="00927BCA"/>
    <w:rsid w:val="009414D1"/>
    <w:rsid w:val="009443CF"/>
    <w:rsid w:val="0095038F"/>
    <w:rsid w:val="00952C85"/>
    <w:rsid w:val="009538EE"/>
    <w:rsid w:val="00953EF5"/>
    <w:rsid w:val="009571CB"/>
    <w:rsid w:val="009576A0"/>
    <w:rsid w:val="00957705"/>
    <w:rsid w:val="009616DA"/>
    <w:rsid w:val="009654A9"/>
    <w:rsid w:val="00971721"/>
    <w:rsid w:val="00971DD9"/>
    <w:rsid w:val="00980E9C"/>
    <w:rsid w:val="009829D8"/>
    <w:rsid w:val="00982E19"/>
    <w:rsid w:val="009840EC"/>
    <w:rsid w:val="00990EA5"/>
    <w:rsid w:val="0099234D"/>
    <w:rsid w:val="0099313A"/>
    <w:rsid w:val="0099376A"/>
    <w:rsid w:val="00995517"/>
    <w:rsid w:val="009B2DF8"/>
    <w:rsid w:val="009B3F56"/>
    <w:rsid w:val="009B684F"/>
    <w:rsid w:val="009C4833"/>
    <w:rsid w:val="009C5FEF"/>
    <w:rsid w:val="009C7421"/>
    <w:rsid w:val="009D29DA"/>
    <w:rsid w:val="009D34D7"/>
    <w:rsid w:val="009D3E75"/>
    <w:rsid w:val="009D556C"/>
    <w:rsid w:val="009E3BBD"/>
    <w:rsid w:val="009F0CC1"/>
    <w:rsid w:val="009F6F38"/>
    <w:rsid w:val="00A105FE"/>
    <w:rsid w:val="00A10E29"/>
    <w:rsid w:val="00A11231"/>
    <w:rsid w:val="00A1322E"/>
    <w:rsid w:val="00A17ADC"/>
    <w:rsid w:val="00A24997"/>
    <w:rsid w:val="00A24B25"/>
    <w:rsid w:val="00A26098"/>
    <w:rsid w:val="00A26417"/>
    <w:rsid w:val="00A33157"/>
    <w:rsid w:val="00A34C34"/>
    <w:rsid w:val="00A361FF"/>
    <w:rsid w:val="00A3621E"/>
    <w:rsid w:val="00A36507"/>
    <w:rsid w:val="00A376D4"/>
    <w:rsid w:val="00A43158"/>
    <w:rsid w:val="00A433B5"/>
    <w:rsid w:val="00A444C2"/>
    <w:rsid w:val="00A54CC5"/>
    <w:rsid w:val="00A63C67"/>
    <w:rsid w:val="00A7009F"/>
    <w:rsid w:val="00A7417B"/>
    <w:rsid w:val="00A74E22"/>
    <w:rsid w:val="00A8665A"/>
    <w:rsid w:val="00A86DEA"/>
    <w:rsid w:val="00A90146"/>
    <w:rsid w:val="00A91662"/>
    <w:rsid w:val="00A94356"/>
    <w:rsid w:val="00A9465A"/>
    <w:rsid w:val="00A97EF3"/>
    <w:rsid w:val="00AA5DCE"/>
    <w:rsid w:val="00AB10FD"/>
    <w:rsid w:val="00AB1231"/>
    <w:rsid w:val="00AB1E19"/>
    <w:rsid w:val="00AB2460"/>
    <w:rsid w:val="00AB2FF8"/>
    <w:rsid w:val="00AB5452"/>
    <w:rsid w:val="00AB74DF"/>
    <w:rsid w:val="00AB781A"/>
    <w:rsid w:val="00AC2B15"/>
    <w:rsid w:val="00AC41A8"/>
    <w:rsid w:val="00AC5D19"/>
    <w:rsid w:val="00AD025F"/>
    <w:rsid w:val="00AD3183"/>
    <w:rsid w:val="00AD3EE4"/>
    <w:rsid w:val="00AD43AB"/>
    <w:rsid w:val="00AE2BCF"/>
    <w:rsid w:val="00AF226B"/>
    <w:rsid w:val="00AF326F"/>
    <w:rsid w:val="00AF3A86"/>
    <w:rsid w:val="00AF3D96"/>
    <w:rsid w:val="00AF575F"/>
    <w:rsid w:val="00AF6764"/>
    <w:rsid w:val="00B03298"/>
    <w:rsid w:val="00B04247"/>
    <w:rsid w:val="00B0432E"/>
    <w:rsid w:val="00B04948"/>
    <w:rsid w:val="00B05CE0"/>
    <w:rsid w:val="00B07152"/>
    <w:rsid w:val="00B07532"/>
    <w:rsid w:val="00B07DE3"/>
    <w:rsid w:val="00B116E3"/>
    <w:rsid w:val="00B1293C"/>
    <w:rsid w:val="00B12CD1"/>
    <w:rsid w:val="00B15C71"/>
    <w:rsid w:val="00B16E9A"/>
    <w:rsid w:val="00B20954"/>
    <w:rsid w:val="00B22C75"/>
    <w:rsid w:val="00B23FCB"/>
    <w:rsid w:val="00B24417"/>
    <w:rsid w:val="00B27510"/>
    <w:rsid w:val="00B3300A"/>
    <w:rsid w:val="00B36EF9"/>
    <w:rsid w:val="00B371BA"/>
    <w:rsid w:val="00B41CAC"/>
    <w:rsid w:val="00B43C88"/>
    <w:rsid w:val="00B458D2"/>
    <w:rsid w:val="00B53321"/>
    <w:rsid w:val="00B56EF8"/>
    <w:rsid w:val="00B60537"/>
    <w:rsid w:val="00B61806"/>
    <w:rsid w:val="00B61C53"/>
    <w:rsid w:val="00B64158"/>
    <w:rsid w:val="00B719A2"/>
    <w:rsid w:val="00B768CE"/>
    <w:rsid w:val="00B77A72"/>
    <w:rsid w:val="00B814E7"/>
    <w:rsid w:val="00B8334C"/>
    <w:rsid w:val="00B84FDB"/>
    <w:rsid w:val="00B928CB"/>
    <w:rsid w:val="00B953AF"/>
    <w:rsid w:val="00B9558D"/>
    <w:rsid w:val="00B9639A"/>
    <w:rsid w:val="00B97D25"/>
    <w:rsid w:val="00B97E62"/>
    <w:rsid w:val="00BA2249"/>
    <w:rsid w:val="00BA254A"/>
    <w:rsid w:val="00BA3F64"/>
    <w:rsid w:val="00BA5671"/>
    <w:rsid w:val="00BA612A"/>
    <w:rsid w:val="00BA7079"/>
    <w:rsid w:val="00BB465A"/>
    <w:rsid w:val="00BB5805"/>
    <w:rsid w:val="00BB5DF8"/>
    <w:rsid w:val="00BB7967"/>
    <w:rsid w:val="00BB7A17"/>
    <w:rsid w:val="00BC25AE"/>
    <w:rsid w:val="00BC2A7D"/>
    <w:rsid w:val="00BC6FB4"/>
    <w:rsid w:val="00BD1D5B"/>
    <w:rsid w:val="00BD43A9"/>
    <w:rsid w:val="00BD582D"/>
    <w:rsid w:val="00BE0F1F"/>
    <w:rsid w:val="00BE41B9"/>
    <w:rsid w:val="00BF0D03"/>
    <w:rsid w:val="00BF136F"/>
    <w:rsid w:val="00BF1EC9"/>
    <w:rsid w:val="00BF53F1"/>
    <w:rsid w:val="00C01465"/>
    <w:rsid w:val="00C02B7D"/>
    <w:rsid w:val="00C0348A"/>
    <w:rsid w:val="00C0443D"/>
    <w:rsid w:val="00C04537"/>
    <w:rsid w:val="00C0464F"/>
    <w:rsid w:val="00C06741"/>
    <w:rsid w:val="00C07181"/>
    <w:rsid w:val="00C10A4C"/>
    <w:rsid w:val="00C12CA6"/>
    <w:rsid w:val="00C1514B"/>
    <w:rsid w:val="00C20271"/>
    <w:rsid w:val="00C203B4"/>
    <w:rsid w:val="00C20A92"/>
    <w:rsid w:val="00C26982"/>
    <w:rsid w:val="00C3529B"/>
    <w:rsid w:val="00C414F7"/>
    <w:rsid w:val="00C45CA5"/>
    <w:rsid w:val="00C47342"/>
    <w:rsid w:val="00C61CA9"/>
    <w:rsid w:val="00C61F2F"/>
    <w:rsid w:val="00C63F10"/>
    <w:rsid w:val="00C7353C"/>
    <w:rsid w:val="00C762E5"/>
    <w:rsid w:val="00C765AF"/>
    <w:rsid w:val="00C80645"/>
    <w:rsid w:val="00C8467A"/>
    <w:rsid w:val="00C84BDA"/>
    <w:rsid w:val="00C87D61"/>
    <w:rsid w:val="00C93B07"/>
    <w:rsid w:val="00C95E99"/>
    <w:rsid w:val="00C961DD"/>
    <w:rsid w:val="00C96B06"/>
    <w:rsid w:val="00C96F3D"/>
    <w:rsid w:val="00CA1EA2"/>
    <w:rsid w:val="00CA58E2"/>
    <w:rsid w:val="00CB0569"/>
    <w:rsid w:val="00CB2D75"/>
    <w:rsid w:val="00CB2EBC"/>
    <w:rsid w:val="00CB5AF5"/>
    <w:rsid w:val="00CC0349"/>
    <w:rsid w:val="00CC1C39"/>
    <w:rsid w:val="00CC3FBB"/>
    <w:rsid w:val="00CC4472"/>
    <w:rsid w:val="00CC499D"/>
    <w:rsid w:val="00CE1757"/>
    <w:rsid w:val="00CE29C5"/>
    <w:rsid w:val="00CE2B91"/>
    <w:rsid w:val="00CE2EF3"/>
    <w:rsid w:val="00CE6F4A"/>
    <w:rsid w:val="00CF368A"/>
    <w:rsid w:val="00D020A8"/>
    <w:rsid w:val="00D06221"/>
    <w:rsid w:val="00D17E05"/>
    <w:rsid w:val="00D20257"/>
    <w:rsid w:val="00D203D5"/>
    <w:rsid w:val="00D2162A"/>
    <w:rsid w:val="00D254DD"/>
    <w:rsid w:val="00D264D8"/>
    <w:rsid w:val="00D27587"/>
    <w:rsid w:val="00D27AA3"/>
    <w:rsid w:val="00D31F2E"/>
    <w:rsid w:val="00D3460C"/>
    <w:rsid w:val="00D368C5"/>
    <w:rsid w:val="00D375C4"/>
    <w:rsid w:val="00D4072B"/>
    <w:rsid w:val="00D40878"/>
    <w:rsid w:val="00D414E4"/>
    <w:rsid w:val="00D41E61"/>
    <w:rsid w:val="00D47BC1"/>
    <w:rsid w:val="00D50840"/>
    <w:rsid w:val="00D56C19"/>
    <w:rsid w:val="00D6066D"/>
    <w:rsid w:val="00D6083D"/>
    <w:rsid w:val="00D62636"/>
    <w:rsid w:val="00D62A92"/>
    <w:rsid w:val="00D707D4"/>
    <w:rsid w:val="00D70967"/>
    <w:rsid w:val="00D73800"/>
    <w:rsid w:val="00D73E79"/>
    <w:rsid w:val="00D77314"/>
    <w:rsid w:val="00D83AD1"/>
    <w:rsid w:val="00D95321"/>
    <w:rsid w:val="00D963A2"/>
    <w:rsid w:val="00D96F2E"/>
    <w:rsid w:val="00D97B98"/>
    <w:rsid w:val="00DA0176"/>
    <w:rsid w:val="00DA253A"/>
    <w:rsid w:val="00DA28CB"/>
    <w:rsid w:val="00DB21A7"/>
    <w:rsid w:val="00DB2516"/>
    <w:rsid w:val="00DB2D3D"/>
    <w:rsid w:val="00DB5DA7"/>
    <w:rsid w:val="00DB6040"/>
    <w:rsid w:val="00DC2DDB"/>
    <w:rsid w:val="00DC3F57"/>
    <w:rsid w:val="00DC5195"/>
    <w:rsid w:val="00DD21F6"/>
    <w:rsid w:val="00DD45C9"/>
    <w:rsid w:val="00DD4851"/>
    <w:rsid w:val="00DD4E55"/>
    <w:rsid w:val="00DE2C54"/>
    <w:rsid w:val="00DE338E"/>
    <w:rsid w:val="00DE499D"/>
    <w:rsid w:val="00DF06CA"/>
    <w:rsid w:val="00DF32E7"/>
    <w:rsid w:val="00E015C7"/>
    <w:rsid w:val="00E0217A"/>
    <w:rsid w:val="00E023C2"/>
    <w:rsid w:val="00E02EE3"/>
    <w:rsid w:val="00E066F7"/>
    <w:rsid w:val="00E06CA3"/>
    <w:rsid w:val="00E1251C"/>
    <w:rsid w:val="00E1275E"/>
    <w:rsid w:val="00E16AFC"/>
    <w:rsid w:val="00E174B2"/>
    <w:rsid w:val="00E17D0F"/>
    <w:rsid w:val="00E23A3A"/>
    <w:rsid w:val="00E2449D"/>
    <w:rsid w:val="00E25DCB"/>
    <w:rsid w:val="00E452D4"/>
    <w:rsid w:val="00E452F3"/>
    <w:rsid w:val="00E45B16"/>
    <w:rsid w:val="00E46B0B"/>
    <w:rsid w:val="00E47839"/>
    <w:rsid w:val="00E50E3C"/>
    <w:rsid w:val="00E53FB3"/>
    <w:rsid w:val="00E5489F"/>
    <w:rsid w:val="00E634B8"/>
    <w:rsid w:val="00E634FF"/>
    <w:rsid w:val="00E641A0"/>
    <w:rsid w:val="00E71420"/>
    <w:rsid w:val="00E71AC9"/>
    <w:rsid w:val="00E72432"/>
    <w:rsid w:val="00E741C4"/>
    <w:rsid w:val="00E76C43"/>
    <w:rsid w:val="00E81D50"/>
    <w:rsid w:val="00E82E73"/>
    <w:rsid w:val="00E8358D"/>
    <w:rsid w:val="00E8566C"/>
    <w:rsid w:val="00E87296"/>
    <w:rsid w:val="00E91A21"/>
    <w:rsid w:val="00E91E00"/>
    <w:rsid w:val="00EA135F"/>
    <w:rsid w:val="00EA3EC6"/>
    <w:rsid w:val="00EA6B96"/>
    <w:rsid w:val="00EB0591"/>
    <w:rsid w:val="00EB072B"/>
    <w:rsid w:val="00EB0814"/>
    <w:rsid w:val="00EB2594"/>
    <w:rsid w:val="00EB278D"/>
    <w:rsid w:val="00EC1190"/>
    <w:rsid w:val="00EC155E"/>
    <w:rsid w:val="00EC62BA"/>
    <w:rsid w:val="00ED087C"/>
    <w:rsid w:val="00ED2D2B"/>
    <w:rsid w:val="00ED414B"/>
    <w:rsid w:val="00ED7A25"/>
    <w:rsid w:val="00EE646F"/>
    <w:rsid w:val="00EE6B3D"/>
    <w:rsid w:val="00EE6CC2"/>
    <w:rsid w:val="00EF059C"/>
    <w:rsid w:val="00EF3C7E"/>
    <w:rsid w:val="00EF68D0"/>
    <w:rsid w:val="00F05549"/>
    <w:rsid w:val="00F06A1C"/>
    <w:rsid w:val="00F10C11"/>
    <w:rsid w:val="00F23055"/>
    <w:rsid w:val="00F26995"/>
    <w:rsid w:val="00F31097"/>
    <w:rsid w:val="00F35E16"/>
    <w:rsid w:val="00F4085C"/>
    <w:rsid w:val="00F40AFF"/>
    <w:rsid w:val="00F44F44"/>
    <w:rsid w:val="00F478F0"/>
    <w:rsid w:val="00F505E6"/>
    <w:rsid w:val="00F506CD"/>
    <w:rsid w:val="00F53B12"/>
    <w:rsid w:val="00F54946"/>
    <w:rsid w:val="00F5720A"/>
    <w:rsid w:val="00F61C40"/>
    <w:rsid w:val="00F61E61"/>
    <w:rsid w:val="00F63E2C"/>
    <w:rsid w:val="00F65F6E"/>
    <w:rsid w:val="00F662DF"/>
    <w:rsid w:val="00F7139B"/>
    <w:rsid w:val="00F74E63"/>
    <w:rsid w:val="00F823AF"/>
    <w:rsid w:val="00F8580C"/>
    <w:rsid w:val="00F85A35"/>
    <w:rsid w:val="00F974F0"/>
    <w:rsid w:val="00FA0742"/>
    <w:rsid w:val="00FA1EF8"/>
    <w:rsid w:val="00FA2619"/>
    <w:rsid w:val="00FB3765"/>
    <w:rsid w:val="00FB4509"/>
    <w:rsid w:val="00FB580A"/>
    <w:rsid w:val="00FB6C68"/>
    <w:rsid w:val="00FB7415"/>
    <w:rsid w:val="00FC07C8"/>
    <w:rsid w:val="00FD1316"/>
    <w:rsid w:val="00FD4BFA"/>
    <w:rsid w:val="00FD61EB"/>
    <w:rsid w:val="00FE0101"/>
    <w:rsid w:val="00FE3CED"/>
    <w:rsid w:val="00FE7930"/>
    <w:rsid w:val="00FF69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3F3D6"/>
  <w14:defaultImageDpi w14:val="300"/>
  <w15:docId w15:val="{AF19ACF6-FCCF-452C-BD4E-42E2A98F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next w:val="Body"/>
    <w:link w:val="Heading3Char"/>
    <w:autoRedefine/>
    <w:uiPriority w:val="9"/>
    <w:unhideWhenUsed/>
    <w:qFormat/>
    <w:rsid w:val="00EE6CC2"/>
    <w:pPr>
      <w:keepNext/>
      <w:keepLines/>
      <w:pBdr>
        <w:top w:val="nil"/>
        <w:left w:val="nil"/>
        <w:bottom w:val="nil"/>
        <w:right w:val="nil"/>
        <w:between w:val="nil"/>
        <w:bar w:val="nil"/>
      </w:pBdr>
      <w:spacing w:before="200" w:line="360" w:lineRule="auto"/>
      <w:outlineLvl w:val="2"/>
    </w:pPr>
    <w:rPr>
      <w:rFonts w:eastAsia="Arial Narrow" w:cs="Times New Roman"/>
      <w:b/>
      <w:bCs/>
      <w:color w:val="000000"/>
      <w:u w:color="000000"/>
      <w:bdr w:val="nil"/>
      <w:shd w:val="clear" w:color="auto" w:fill="FFFFF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61FF"/>
  </w:style>
  <w:style w:type="character" w:customStyle="1" w:styleId="FootnoteTextChar">
    <w:name w:val="Footnote Text Char"/>
    <w:basedOn w:val="DefaultParagraphFont"/>
    <w:link w:val="FootnoteText"/>
    <w:uiPriority w:val="99"/>
    <w:rsid w:val="00A361FF"/>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 de nota al"/>
    <w:basedOn w:val="DefaultParagraphFont"/>
    <w:link w:val="FootnotesymbolCarZchnZchn"/>
    <w:uiPriority w:val="99"/>
    <w:unhideWhenUsed/>
    <w:qFormat/>
    <w:rsid w:val="00A361FF"/>
    <w:rPr>
      <w:vertAlign w:val="superscript"/>
    </w:rPr>
  </w:style>
  <w:style w:type="character" w:styleId="CommentReference">
    <w:name w:val="annotation reference"/>
    <w:basedOn w:val="DefaultParagraphFont"/>
    <w:uiPriority w:val="99"/>
    <w:semiHidden/>
    <w:unhideWhenUsed/>
    <w:rsid w:val="00490DD0"/>
    <w:rPr>
      <w:sz w:val="18"/>
      <w:szCs w:val="18"/>
    </w:rPr>
  </w:style>
  <w:style w:type="paragraph" w:styleId="CommentText">
    <w:name w:val="annotation text"/>
    <w:basedOn w:val="Normal"/>
    <w:link w:val="CommentTextChar"/>
    <w:uiPriority w:val="99"/>
    <w:unhideWhenUsed/>
    <w:rsid w:val="00490DD0"/>
  </w:style>
  <w:style w:type="character" w:customStyle="1" w:styleId="CommentTextChar">
    <w:name w:val="Comment Text Char"/>
    <w:basedOn w:val="DefaultParagraphFont"/>
    <w:link w:val="CommentText"/>
    <w:uiPriority w:val="99"/>
    <w:rsid w:val="00490DD0"/>
  </w:style>
  <w:style w:type="paragraph" w:styleId="CommentSubject">
    <w:name w:val="annotation subject"/>
    <w:basedOn w:val="CommentText"/>
    <w:next w:val="CommentText"/>
    <w:link w:val="CommentSubjectChar"/>
    <w:uiPriority w:val="99"/>
    <w:semiHidden/>
    <w:unhideWhenUsed/>
    <w:rsid w:val="00490DD0"/>
    <w:rPr>
      <w:b/>
      <w:bCs/>
      <w:sz w:val="20"/>
      <w:szCs w:val="20"/>
    </w:rPr>
  </w:style>
  <w:style w:type="character" w:customStyle="1" w:styleId="CommentSubjectChar">
    <w:name w:val="Comment Subject Char"/>
    <w:basedOn w:val="CommentTextChar"/>
    <w:link w:val="CommentSubject"/>
    <w:uiPriority w:val="99"/>
    <w:semiHidden/>
    <w:rsid w:val="00490DD0"/>
    <w:rPr>
      <w:b/>
      <w:bCs/>
      <w:sz w:val="20"/>
      <w:szCs w:val="20"/>
    </w:rPr>
  </w:style>
  <w:style w:type="paragraph" w:styleId="BalloonText">
    <w:name w:val="Balloon Text"/>
    <w:basedOn w:val="Normal"/>
    <w:link w:val="BalloonTextChar"/>
    <w:uiPriority w:val="99"/>
    <w:semiHidden/>
    <w:unhideWhenUsed/>
    <w:rsid w:val="00490D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DD0"/>
    <w:rPr>
      <w:rFonts w:ascii="Lucida Grande" w:hAnsi="Lucida Grande" w:cs="Lucida Grande"/>
      <w:sz w:val="18"/>
      <w:szCs w:val="18"/>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link w:val="FootnoteReference"/>
    <w:uiPriority w:val="99"/>
    <w:rsid w:val="006A509A"/>
    <w:pPr>
      <w:suppressAutoHyphens/>
      <w:spacing w:after="160" w:line="240" w:lineRule="exact"/>
      <w:jc w:val="both"/>
    </w:pPr>
    <w:rPr>
      <w:vertAlign w:val="superscript"/>
    </w:rPr>
  </w:style>
  <w:style w:type="character" w:styleId="PageNumber">
    <w:name w:val="page number"/>
    <w:rsid w:val="002E40CD"/>
    <w:rPr>
      <w:lang w:val="en-US"/>
    </w:rPr>
  </w:style>
  <w:style w:type="paragraph" w:styleId="ListParagraph">
    <w:name w:val="List Paragraph"/>
    <w:basedOn w:val="Normal"/>
    <w:uiPriority w:val="34"/>
    <w:qFormat/>
    <w:rsid w:val="00391990"/>
    <w:pPr>
      <w:ind w:left="720"/>
      <w:contextualSpacing/>
    </w:pPr>
  </w:style>
  <w:style w:type="character" w:styleId="Hyperlink">
    <w:name w:val="Hyperlink"/>
    <w:uiPriority w:val="99"/>
    <w:rsid w:val="00F61E61"/>
    <w:rPr>
      <w:u w:val="single"/>
    </w:rPr>
  </w:style>
  <w:style w:type="paragraph" w:customStyle="1" w:styleId="Body">
    <w:name w:val="Body"/>
    <w:rsid w:val="00F61E61"/>
    <w:pPr>
      <w:pBdr>
        <w:top w:val="nil"/>
        <w:left w:val="nil"/>
        <w:bottom w:val="nil"/>
        <w:right w:val="nil"/>
        <w:between w:val="nil"/>
        <w:bar w:val="nil"/>
      </w:pBdr>
    </w:pPr>
    <w:rPr>
      <w:rFonts w:ascii="Cambria" w:eastAsia="Cambria" w:hAnsi="Cambria" w:cs="Cambria"/>
      <w:color w:val="000000"/>
      <w:u w:color="000000"/>
      <w:bdr w:val="nil"/>
      <w:lang w:val="nl-NL" w:eastAsia="en-GB"/>
    </w:rPr>
  </w:style>
  <w:style w:type="paragraph" w:customStyle="1" w:styleId="BodyA">
    <w:name w:val="Body A"/>
    <w:rsid w:val="00475C32"/>
    <w:pPr>
      <w:pBdr>
        <w:top w:val="nil"/>
        <w:left w:val="nil"/>
        <w:bottom w:val="nil"/>
        <w:right w:val="nil"/>
        <w:between w:val="nil"/>
        <w:bar w:val="nil"/>
      </w:pBdr>
    </w:pPr>
    <w:rPr>
      <w:rFonts w:ascii="Cambria" w:eastAsia="Cambria" w:hAnsi="Cambria" w:cs="Cambria"/>
      <w:color w:val="000000"/>
      <w:u w:color="000000"/>
      <w:bdr w:val="nil"/>
      <w:lang w:val="en-US"/>
    </w:rPr>
  </w:style>
  <w:style w:type="character" w:customStyle="1" w:styleId="Heading3Char">
    <w:name w:val="Heading 3 Char"/>
    <w:basedOn w:val="DefaultParagraphFont"/>
    <w:link w:val="Heading3"/>
    <w:uiPriority w:val="9"/>
    <w:rsid w:val="00EE6CC2"/>
    <w:rPr>
      <w:rFonts w:eastAsia="Arial Narrow" w:cs="Times New Roman"/>
      <w:b/>
      <w:bCs/>
      <w:color w:val="000000"/>
      <w:u w:color="000000"/>
      <w:bdr w:val="nil"/>
      <w:lang w:val="en-GB" w:eastAsia="en-GB"/>
    </w:rPr>
  </w:style>
  <w:style w:type="paragraph" w:styleId="DocumentMap">
    <w:name w:val="Document Map"/>
    <w:basedOn w:val="Normal"/>
    <w:link w:val="DocumentMapChar"/>
    <w:uiPriority w:val="99"/>
    <w:semiHidden/>
    <w:unhideWhenUsed/>
    <w:rsid w:val="00732C45"/>
    <w:rPr>
      <w:rFonts w:ascii="Lucida Grande" w:hAnsi="Lucida Grande" w:cs="Lucida Grande"/>
    </w:rPr>
  </w:style>
  <w:style w:type="character" w:customStyle="1" w:styleId="DocumentMapChar">
    <w:name w:val="Document Map Char"/>
    <w:basedOn w:val="DefaultParagraphFont"/>
    <w:link w:val="DocumentMap"/>
    <w:uiPriority w:val="99"/>
    <w:semiHidden/>
    <w:rsid w:val="00732C45"/>
    <w:rPr>
      <w:rFonts w:ascii="Lucida Grande" w:hAnsi="Lucida Grande" w:cs="Lucida Grande"/>
    </w:rPr>
  </w:style>
  <w:style w:type="paragraph" w:styleId="Footer">
    <w:name w:val="footer"/>
    <w:basedOn w:val="Normal"/>
    <w:link w:val="FooterChar"/>
    <w:uiPriority w:val="99"/>
    <w:unhideWhenUsed/>
    <w:rsid w:val="00157D1D"/>
    <w:pPr>
      <w:tabs>
        <w:tab w:val="center" w:pos="4252"/>
        <w:tab w:val="right" w:pos="8504"/>
      </w:tabs>
    </w:pPr>
  </w:style>
  <w:style w:type="character" w:customStyle="1" w:styleId="FooterChar">
    <w:name w:val="Footer Char"/>
    <w:basedOn w:val="DefaultParagraphFont"/>
    <w:link w:val="Footer"/>
    <w:uiPriority w:val="99"/>
    <w:rsid w:val="00157D1D"/>
  </w:style>
  <w:style w:type="paragraph" w:styleId="Header">
    <w:name w:val="header"/>
    <w:basedOn w:val="Normal"/>
    <w:link w:val="HeaderChar"/>
    <w:uiPriority w:val="99"/>
    <w:unhideWhenUsed/>
    <w:rsid w:val="00FF696E"/>
    <w:pPr>
      <w:tabs>
        <w:tab w:val="center" w:pos="4252"/>
        <w:tab w:val="right" w:pos="8504"/>
      </w:tabs>
    </w:pPr>
  </w:style>
  <w:style w:type="character" w:customStyle="1" w:styleId="HeaderChar">
    <w:name w:val="Header Char"/>
    <w:basedOn w:val="DefaultParagraphFont"/>
    <w:link w:val="Header"/>
    <w:uiPriority w:val="99"/>
    <w:rsid w:val="00FF696E"/>
  </w:style>
  <w:style w:type="paragraph" w:styleId="Revision">
    <w:name w:val="Revision"/>
    <w:hidden/>
    <w:uiPriority w:val="99"/>
    <w:semiHidden/>
    <w:rsid w:val="00EA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BA0B07-E47A-42FA-ADD9-0F9F80540F0E}">
  <ds:schemaRefs>
    <ds:schemaRef ds:uri="http://schemas.openxmlformats.org/officeDocument/2006/bibliography"/>
  </ds:schemaRefs>
</ds:datastoreItem>
</file>

<file path=customXml/itemProps2.xml><?xml version="1.0" encoding="utf-8"?>
<ds:datastoreItem xmlns:ds="http://schemas.openxmlformats.org/officeDocument/2006/customXml" ds:itemID="{16A10CDA-E3D0-403C-98F5-4282DE397AFC}"/>
</file>

<file path=customXml/itemProps3.xml><?xml version="1.0" encoding="utf-8"?>
<ds:datastoreItem xmlns:ds="http://schemas.openxmlformats.org/officeDocument/2006/customXml" ds:itemID="{4D890EF7-CEC9-4963-9756-7D44D1E7C90F}"/>
</file>

<file path=customXml/itemProps4.xml><?xml version="1.0" encoding="utf-8"?>
<ds:datastoreItem xmlns:ds="http://schemas.openxmlformats.org/officeDocument/2006/customXml" ds:itemID="{83632451-DB0F-4EF9-BC9F-75890B3B56E7}"/>
</file>

<file path=docProps/app.xml><?xml version="1.0" encoding="utf-8"?>
<Properties xmlns="http://schemas.openxmlformats.org/officeDocument/2006/extended-properties" xmlns:vt="http://schemas.openxmlformats.org/officeDocument/2006/docPropsVTypes">
  <Template>Normal.dotm</Template>
  <TotalTime>1</TotalTime>
  <Pages>11</Pages>
  <Words>2942</Words>
  <Characters>16775</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Torres marenco</dc:creator>
  <cp:keywords/>
  <dc:description/>
  <cp:lastModifiedBy>KIM Jung Rin</cp:lastModifiedBy>
  <cp:revision>2</cp:revision>
  <cp:lastPrinted>2021-08-15T18:06:00Z</cp:lastPrinted>
  <dcterms:created xsi:type="dcterms:W3CDTF">2021-08-16T13:35:00Z</dcterms:created>
  <dcterms:modified xsi:type="dcterms:W3CDTF">2021-08-16T13:35:00Z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