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CDB3" w14:textId="27532EE9" w:rsidR="008D35B3" w:rsidRPr="004426E6" w:rsidRDefault="008D35B3" w:rsidP="00751A67">
      <w:pPr>
        <w:pStyle w:val="Heading1"/>
        <w:tabs>
          <w:tab w:val="left" w:pos="284"/>
          <w:tab w:val="left" w:pos="426"/>
        </w:tabs>
        <w:snapToGrid w:val="0"/>
        <w:spacing w:before="0" w:line="240" w:lineRule="auto"/>
        <w:jc w:val="center"/>
        <w:rPr>
          <w:sz w:val="28"/>
          <w:szCs w:val="28"/>
          <w:lang w:val="en-GB"/>
        </w:rPr>
      </w:pPr>
      <w:bookmarkStart w:id="0" w:name="_Toc54615524"/>
      <w:r w:rsidRPr="004426E6">
        <w:rPr>
          <w:sz w:val="28"/>
          <w:szCs w:val="28"/>
          <w:lang w:val="en-GB"/>
        </w:rPr>
        <w:t xml:space="preserve">IDA submission on the </w:t>
      </w:r>
      <w:bookmarkStart w:id="1" w:name="_Hlk54184920"/>
      <w:r w:rsidR="00660431" w:rsidRPr="004426E6">
        <w:rPr>
          <w:sz w:val="28"/>
          <w:szCs w:val="28"/>
          <w:lang w:val="en-GB"/>
        </w:rPr>
        <w:t>Committee on the Protection of the Rights of All Migrant Workers and Members of their Families</w:t>
      </w:r>
      <w:bookmarkEnd w:id="1"/>
      <w:r w:rsidR="00660431" w:rsidRPr="004426E6">
        <w:rPr>
          <w:sz w:val="28"/>
          <w:szCs w:val="28"/>
          <w:lang w:val="en-GB"/>
        </w:rPr>
        <w:t>’ (CMW</w:t>
      </w:r>
      <w:r w:rsidR="00F61935">
        <w:rPr>
          <w:sz w:val="28"/>
          <w:szCs w:val="28"/>
          <w:lang w:val="en-GB"/>
        </w:rPr>
        <w:t>F</w:t>
      </w:r>
      <w:r w:rsidR="00660431" w:rsidRPr="004426E6">
        <w:rPr>
          <w:sz w:val="28"/>
          <w:szCs w:val="28"/>
          <w:lang w:val="en-GB"/>
        </w:rPr>
        <w:t>) draft general comment 5 on migrants’ rights to liberty and freedom from arbitrary detention</w:t>
      </w:r>
      <w:bookmarkEnd w:id="0"/>
    </w:p>
    <w:p w14:paraId="3A8C20DF" w14:textId="77777777" w:rsidR="008D35B3" w:rsidRPr="007C5A31" w:rsidRDefault="008D35B3" w:rsidP="00751A67">
      <w:pPr>
        <w:pStyle w:val="ListBullet"/>
        <w:numPr>
          <w:ilvl w:val="0"/>
          <w:numId w:val="0"/>
        </w:numPr>
        <w:tabs>
          <w:tab w:val="left" w:pos="284"/>
          <w:tab w:val="left" w:pos="426"/>
        </w:tabs>
        <w:spacing w:after="0" w:line="240" w:lineRule="auto"/>
        <w:rPr>
          <w:rFonts w:ascii="Arial" w:hAnsi="Arial" w:cs="Arial"/>
          <w:lang w:val="en-GB"/>
        </w:rPr>
      </w:pPr>
    </w:p>
    <w:p w14:paraId="052FBD72" w14:textId="7C610216" w:rsidR="00D66751" w:rsidRPr="007C5A31" w:rsidRDefault="0095177B" w:rsidP="00751A67">
      <w:pPr>
        <w:pStyle w:val="Heading2"/>
        <w:numPr>
          <w:ilvl w:val="0"/>
          <w:numId w:val="5"/>
        </w:numPr>
        <w:tabs>
          <w:tab w:val="left" w:pos="284"/>
          <w:tab w:val="left" w:pos="426"/>
        </w:tabs>
        <w:ind w:left="0" w:firstLine="0"/>
        <w:rPr>
          <w:lang w:val="en-GB"/>
        </w:rPr>
      </w:pPr>
      <w:bookmarkStart w:id="2" w:name="_Toc54615525"/>
      <w:r w:rsidRPr="007C5A31">
        <w:rPr>
          <w:lang w:val="en-GB"/>
        </w:rPr>
        <w:t>INTRODUCTION</w:t>
      </w:r>
      <w:bookmarkEnd w:id="2"/>
    </w:p>
    <w:p w14:paraId="598A8954" w14:textId="77777777" w:rsidR="00D66751" w:rsidRPr="007C5A31" w:rsidRDefault="00D66751" w:rsidP="00751A67">
      <w:pPr>
        <w:pStyle w:val="ListBullet"/>
        <w:numPr>
          <w:ilvl w:val="0"/>
          <w:numId w:val="0"/>
        </w:numPr>
        <w:tabs>
          <w:tab w:val="left" w:pos="284"/>
          <w:tab w:val="left" w:pos="426"/>
        </w:tabs>
        <w:spacing w:after="0" w:line="240" w:lineRule="auto"/>
        <w:rPr>
          <w:rFonts w:ascii="Arial" w:hAnsi="Arial" w:cs="Arial"/>
          <w:lang w:val="en-GB"/>
        </w:rPr>
      </w:pPr>
    </w:p>
    <w:p w14:paraId="1C48C40E" w14:textId="1E772EC5" w:rsidR="00D66751" w:rsidRPr="00F03B10" w:rsidRDefault="008D35B3"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 xml:space="preserve">The International Disability Alliance (IDA) is a unique, international network of eight global and six regional organisations of persons with disabilities (OPDs). 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 minority group. IDA’s mission is to advance the human rights of persons with disabilities as a united voice of </w:t>
      </w:r>
      <w:r w:rsidR="00F61935">
        <w:rPr>
          <w:rFonts w:ascii="Arial" w:hAnsi="Arial" w:cs="Arial"/>
          <w:lang w:val="en-GB"/>
        </w:rPr>
        <w:t>OPDs</w:t>
      </w:r>
      <w:r w:rsidRPr="00F03B10">
        <w:rPr>
          <w:rFonts w:ascii="Arial" w:hAnsi="Arial" w:cs="Arial"/>
          <w:lang w:val="en-GB"/>
        </w:rPr>
        <w:t xml:space="preserve"> utilising the Convention on the Rights of Persons with Disabilities (CRPD) and other human rights instruments. </w:t>
      </w:r>
    </w:p>
    <w:p w14:paraId="3D4BC3CC" w14:textId="77777777" w:rsidR="002E6278" w:rsidRPr="00F03B10" w:rsidRDefault="002E6278" w:rsidP="00751A67">
      <w:pPr>
        <w:pStyle w:val="ListBullet"/>
        <w:numPr>
          <w:ilvl w:val="0"/>
          <w:numId w:val="0"/>
        </w:numPr>
        <w:tabs>
          <w:tab w:val="left" w:pos="284"/>
          <w:tab w:val="left" w:pos="426"/>
        </w:tabs>
        <w:spacing w:after="0" w:line="240" w:lineRule="auto"/>
        <w:jc w:val="both"/>
        <w:rPr>
          <w:rFonts w:ascii="Arial" w:hAnsi="Arial" w:cs="Arial"/>
          <w:lang w:val="en-GB"/>
        </w:rPr>
      </w:pPr>
    </w:p>
    <w:p w14:paraId="4CA5BDD9" w14:textId="30268125" w:rsidR="009F0859" w:rsidRPr="00F03B10" w:rsidRDefault="008D35B3"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 xml:space="preserve">IDA </w:t>
      </w:r>
      <w:r w:rsidR="000C47B4" w:rsidRPr="00F03B10">
        <w:rPr>
          <w:rFonts w:ascii="Arial" w:hAnsi="Arial" w:cs="Arial"/>
          <w:lang w:val="en-GB"/>
        </w:rPr>
        <w:t>appreciates</w:t>
      </w:r>
      <w:r w:rsidRPr="00F03B10">
        <w:rPr>
          <w:rFonts w:ascii="Arial" w:hAnsi="Arial" w:cs="Arial"/>
          <w:lang w:val="en-GB"/>
        </w:rPr>
        <w:t xml:space="preserve"> the initiative </w:t>
      </w:r>
      <w:r w:rsidR="000C47B4" w:rsidRPr="00F03B10">
        <w:rPr>
          <w:rFonts w:ascii="Arial" w:hAnsi="Arial" w:cs="Arial"/>
          <w:lang w:val="en-GB"/>
        </w:rPr>
        <w:t>by</w:t>
      </w:r>
      <w:r w:rsidRPr="00F03B10">
        <w:rPr>
          <w:rFonts w:ascii="Arial" w:hAnsi="Arial" w:cs="Arial"/>
          <w:lang w:val="en-GB"/>
        </w:rPr>
        <w:t xml:space="preserve"> the </w:t>
      </w:r>
      <w:r w:rsidR="00731FD8" w:rsidRPr="00F03B10">
        <w:rPr>
          <w:rFonts w:ascii="Arial" w:hAnsi="Arial" w:cs="Arial"/>
          <w:lang w:val="en-GB"/>
        </w:rPr>
        <w:t xml:space="preserve">Committee on the Protection of the Rights of All Migrant Workers and Members of their Families </w:t>
      </w:r>
      <w:r w:rsidRPr="00F03B10">
        <w:rPr>
          <w:rFonts w:ascii="Arial" w:hAnsi="Arial" w:cs="Arial"/>
          <w:lang w:val="en-GB"/>
        </w:rPr>
        <w:t>(</w:t>
      </w:r>
      <w:r w:rsidRPr="00F03B10">
        <w:rPr>
          <w:rFonts w:ascii="Arial" w:hAnsi="Arial" w:cs="Arial"/>
          <w:i/>
          <w:lang w:val="en-GB"/>
        </w:rPr>
        <w:t xml:space="preserve">hereinafter </w:t>
      </w:r>
      <w:r w:rsidRPr="00F03B10">
        <w:rPr>
          <w:rFonts w:ascii="Arial" w:hAnsi="Arial" w:cs="Arial"/>
          <w:lang w:val="en-GB"/>
        </w:rPr>
        <w:t xml:space="preserve">“the Committee”) </w:t>
      </w:r>
      <w:r w:rsidR="000C47B4" w:rsidRPr="00F03B10">
        <w:rPr>
          <w:rFonts w:ascii="Arial" w:hAnsi="Arial" w:cs="Arial"/>
          <w:lang w:val="en-GB"/>
        </w:rPr>
        <w:t>to call</w:t>
      </w:r>
      <w:r w:rsidRPr="00F03B10">
        <w:rPr>
          <w:rFonts w:ascii="Arial" w:hAnsi="Arial" w:cs="Arial"/>
          <w:lang w:val="en-GB"/>
        </w:rPr>
        <w:t xml:space="preserve"> for comments on its draft general </w:t>
      </w:r>
      <w:r w:rsidR="00731FD8" w:rsidRPr="00F03B10">
        <w:rPr>
          <w:rFonts w:ascii="Arial" w:hAnsi="Arial" w:cs="Arial"/>
          <w:lang w:val="en-GB"/>
        </w:rPr>
        <w:t>comment</w:t>
      </w:r>
      <w:r w:rsidRPr="00F03B10">
        <w:rPr>
          <w:rFonts w:ascii="Arial" w:hAnsi="Arial" w:cs="Arial"/>
          <w:lang w:val="en-GB"/>
        </w:rPr>
        <w:t xml:space="preserve"> </w:t>
      </w:r>
      <w:r w:rsidR="00731FD8" w:rsidRPr="00F03B10">
        <w:rPr>
          <w:rFonts w:ascii="Arial" w:hAnsi="Arial" w:cs="Arial"/>
          <w:lang w:val="en-GB"/>
        </w:rPr>
        <w:t>5</w:t>
      </w:r>
      <w:r w:rsidR="009F0859" w:rsidRPr="00F03B10">
        <w:rPr>
          <w:rFonts w:ascii="Arial" w:hAnsi="Arial" w:cs="Arial"/>
          <w:lang w:val="en-GB"/>
        </w:rPr>
        <w:t xml:space="preserve"> on migrants’ rights to liberty and freedom from arbitrary detention</w:t>
      </w:r>
      <w:r w:rsidRPr="00F03B10">
        <w:rPr>
          <w:rFonts w:ascii="Arial" w:hAnsi="Arial" w:cs="Arial"/>
          <w:lang w:val="en-GB"/>
        </w:rPr>
        <w:t xml:space="preserve">. </w:t>
      </w:r>
      <w:r w:rsidR="000C47B4" w:rsidRPr="00F03B10">
        <w:rPr>
          <w:rFonts w:ascii="Arial" w:hAnsi="Arial" w:cs="Arial"/>
          <w:lang w:val="en-GB"/>
        </w:rPr>
        <w:t>Indeed</w:t>
      </w:r>
      <w:r w:rsidRPr="00F03B10">
        <w:rPr>
          <w:rFonts w:ascii="Arial" w:hAnsi="Arial" w:cs="Arial"/>
          <w:lang w:val="en-GB"/>
        </w:rPr>
        <w:t>,</w:t>
      </w:r>
      <w:r w:rsidR="009F0859" w:rsidRPr="00F03B10">
        <w:rPr>
          <w:rFonts w:ascii="Arial" w:hAnsi="Arial" w:cs="Arial"/>
          <w:lang w:val="en-GB"/>
        </w:rPr>
        <w:t xml:space="preserve"> </w:t>
      </w:r>
      <w:r w:rsidR="00155951">
        <w:rPr>
          <w:rFonts w:ascii="Arial" w:hAnsi="Arial" w:cs="Arial"/>
          <w:lang w:val="en-GB"/>
        </w:rPr>
        <w:t>im</w:t>
      </w:r>
      <w:r w:rsidR="009F0859" w:rsidRPr="00F03B10">
        <w:rPr>
          <w:rFonts w:ascii="Arial" w:hAnsi="Arial" w:cs="Arial"/>
          <w:lang w:val="en-GB"/>
        </w:rPr>
        <w:t>migration detention remains a widespread practice in many receiving States and migrant</w:t>
      </w:r>
      <w:r w:rsidR="00F61935">
        <w:rPr>
          <w:rFonts w:ascii="Arial" w:hAnsi="Arial" w:cs="Arial"/>
          <w:lang w:val="en-GB"/>
        </w:rPr>
        <w:t>s</w:t>
      </w:r>
      <w:r w:rsidR="009F0859" w:rsidRPr="00F03B10">
        <w:rPr>
          <w:rFonts w:ascii="Arial" w:hAnsi="Arial" w:cs="Arial"/>
          <w:lang w:val="en-GB"/>
        </w:rPr>
        <w:t xml:space="preserve"> with disabilities and/or migrant</w:t>
      </w:r>
      <w:r w:rsidR="00F61935">
        <w:rPr>
          <w:rFonts w:ascii="Arial" w:hAnsi="Arial" w:cs="Arial"/>
          <w:lang w:val="en-GB"/>
        </w:rPr>
        <w:t>s’</w:t>
      </w:r>
      <w:r w:rsidR="009F0859" w:rsidRPr="00F03B10">
        <w:rPr>
          <w:rFonts w:ascii="Arial" w:hAnsi="Arial" w:cs="Arial"/>
          <w:lang w:val="en-GB"/>
        </w:rPr>
        <w:t xml:space="preserve"> relatives with disabilities are particularly vulnerable in such context, given the barriers and restrictions they face, the negative stereotypes associated to them and the lack of support measures.</w:t>
      </w:r>
    </w:p>
    <w:p w14:paraId="42435A0C" w14:textId="77777777" w:rsidR="009F0859" w:rsidRPr="00F03B10" w:rsidRDefault="009F0859" w:rsidP="00751A67">
      <w:pPr>
        <w:pStyle w:val="ListBullet"/>
        <w:numPr>
          <w:ilvl w:val="0"/>
          <w:numId w:val="0"/>
        </w:numPr>
        <w:tabs>
          <w:tab w:val="left" w:pos="284"/>
          <w:tab w:val="left" w:pos="426"/>
        </w:tabs>
        <w:spacing w:after="0" w:line="240" w:lineRule="auto"/>
        <w:jc w:val="both"/>
        <w:rPr>
          <w:rFonts w:ascii="Arial" w:hAnsi="Arial" w:cs="Arial"/>
          <w:lang w:val="en-GB"/>
        </w:rPr>
      </w:pPr>
    </w:p>
    <w:p w14:paraId="2A985AB4" w14:textId="620131C2" w:rsidR="00DC77D9" w:rsidRPr="00F03B10" w:rsidRDefault="000C47B4"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 xml:space="preserve">IDA </w:t>
      </w:r>
      <w:r w:rsidR="009F0859" w:rsidRPr="00F03B10">
        <w:rPr>
          <w:rFonts w:ascii="Arial" w:hAnsi="Arial" w:cs="Arial"/>
          <w:lang w:val="en-GB"/>
        </w:rPr>
        <w:t>welcomes that draft</w:t>
      </w:r>
      <w:r w:rsidR="00F61935">
        <w:rPr>
          <w:rFonts w:ascii="Arial" w:hAnsi="Arial" w:cs="Arial"/>
          <w:lang w:val="en-GB"/>
        </w:rPr>
        <w:t>’</w:t>
      </w:r>
      <w:r w:rsidR="009F0859" w:rsidRPr="00F03B10">
        <w:rPr>
          <w:rFonts w:ascii="Arial" w:hAnsi="Arial" w:cs="Arial"/>
          <w:lang w:val="en-GB"/>
        </w:rPr>
        <w:t>s references to person</w:t>
      </w:r>
      <w:r w:rsidR="00155951">
        <w:rPr>
          <w:rFonts w:ascii="Arial" w:hAnsi="Arial" w:cs="Arial"/>
          <w:lang w:val="en-GB"/>
        </w:rPr>
        <w:t xml:space="preserve">s with disabilities, especially </w:t>
      </w:r>
      <w:r w:rsidR="009F0859" w:rsidRPr="00F03B10">
        <w:rPr>
          <w:rFonts w:ascii="Arial" w:hAnsi="Arial" w:cs="Arial"/>
          <w:lang w:val="en-GB"/>
        </w:rPr>
        <w:t xml:space="preserve">in paragraph 52 that calls States to avoid detaining </w:t>
      </w:r>
      <w:r w:rsidR="00373085" w:rsidRPr="00F03B10">
        <w:rPr>
          <w:rFonts w:ascii="Arial" w:hAnsi="Arial" w:cs="Arial"/>
          <w:lang w:val="en-GB"/>
        </w:rPr>
        <w:t>migrants</w:t>
      </w:r>
      <w:r w:rsidR="009F0859" w:rsidRPr="00F03B10">
        <w:rPr>
          <w:rFonts w:ascii="Arial" w:hAnsi="Arial" w:cs="Arial"/>
          <w:lang w:val="en-GB"/>
        </w:rPr>
        <w:t xml:space="preserve"> </w:t>
      </w:r>
      <w:r w:rsidR="00373085" w:rsidRPr="00F03B10">
        <w:rPr>
          <w:rFonts w:ascii="Arial" w:hAnsi="Arial" w:cs="Arial"/>
          <w:lang w:val="en-GB"/>
        </w:rPr>
        <w:t>with disabilities</w:t>
      </w:r>
      <w:r w:rsidR="00E63908" w:rsidRPr="00F03B10">
        <w:rPr>
          <w:rFonts w:ascii="Arial" w:hAnsi="Arial" w:cs="Arial"/>
          <w:lang w:val="en-GB"/>
        </w:rPr>
        <w:t xml:space="preserve"> and family members with disabilities</w:t>
      </w:r>
      <w:r w:rsidR="00155951">
        <w:rPr>
          <w:rFonts w:ascii="Arial" w:hAnsi="Arial" w:cs="Arial"/>
          <w:lang w:val="en-GB"/>
        </w:rPr>
        <w:t xml:space="preserve"> </w:t>
      </w:r>
      <w:r w:rsidR="00373085" w:rsidRPr="00F03B10">
        <w:rPr>
          <w:rFonts w:ascii="Arial" w:hAnsi="Arial" w:cs="Arial"/>
          <w:lang w:val="en-GB"/>
        </w:rPr>
        <w:t xml:space="preserve">on account of their support needs </w:t>
      </w:r>
      <w:r w:rsidR="00155951">
        <w:rPr>
          <w:rFonts w:ascii="Arial" w:hAnsi="Arial" w:cs="Arial"/>
          <w:lang w:val="en-GB"/>
        </w:rPr>
        <w:t>and/</w:t>
      </w:r>
      <w:r w:rsidR="00373085" w:rsidRPr="00F03B10">
        <w:rPr>
          <w:rFonts w:ascii="Arial" w:hAnsi="Arial" w:cs="Arial"/>
          <w:lang w:val="en-GB"/>
        </w:rPr>
        <w:t>or increased risk to suffer human rights violations in detention.</w:t>
      </w:r>
      <w:r w:rsidR="00DC77D9" w:rsidRPr="00F03B10">
        <w:rPr>
          <w:rStyle w:val="EndnoteReference"/>
          <w:rFonts w:ascii="Arial" w:hAnsi="Arial" w:cs="Arial"/>
          <w:lang w:val="en-GB"/>
        </w:rPr>
        <w:endnoteReference w:id="1"/>
      </w:r>
      <w:r w:rsidR="00DC77D9" w:rsidRPr="00F03B10">
        <w:rPr>
          <w:rFonts w:ascii="Arial" w:hAnsi="Arial" w:cs="Arial"/>
          <w:lang w:val="en-GB"/>
        </w:rPr>
        <w:t xml:space="preserve"> Nevertheless, IDA believes that the draft can be enhanced to better protect the rights to liberty and security of person and freedom from arbitrary detention of </w:t>
      </w:r>
      <w:r w:rsidR="00155951">
        <w:rPr>
          <w:rFonts w:ascii="Arial" w:hAnsi="Arial" w:cs="Arial"/>
          <w:lang w:val="en-GB"/>
        </w:rPr>
        <w:t>migrants and relatives</w:t>
      </w:r>
      <w:r w:rsidR="00DC77D9" w:rsidRPr="00F03B10">
        <w:rPr>
          <w:rFonts w:ascii="Arial" w:hAnsi="Arial" w:cs="Arial"/>
          <w:lang w:val="en-GB"/>
        </w:rPr>
        <w:t xml:space="preserve"> with disabilities.</w:t>
      </w:r>
    </w:p>
    <w:p w14:paraId="62172483" w14:textId="77777777" w:rsidR="00DC77D9" w:rsidRPr="00F03B10"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4027FE90" w14:textId="34140ED5" w:rsidR="00DC77D9" w:rsidRPr="00F03B1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This submission addresses discrimination of persons with disabilities in the context of migration and immigration detention, access to justice, measures to support alternatives to detention for migrants with disabilities and data collection and disaggregation. IDA highlight</w:t>
      </w:r>
      <w:r w:rsidR="00155951">
        <w:rPr>
          <w:rFonts w:ascii="Arial" w:hAnsi="Arial" w:cs="Arial"/>
          <w:lang w:val="en-GB"/>
        </w:rPr>
        <w:t>s</w:t>
      </w:r>
      <w:r w:rsidRPr="00F03B10">
        <w:rPr>
          <w:rFonts w:ascii="Arial" w:hAnsi="Arial" w:cs="Arial"/>
          <w:lang w:val="en-GB"/>
        </w:rPr>
        <w:t xml:space="preserve"> key human rights standards developed by the Committee on the Rights of Persons with Disabilities (</w:t>
      </w:r>
      <w:r w:rsidRPr="00F03B10">
        <w:rPr>
          <w:rFonts w:ascii="Arial" w:hAnsi="Arial" w:cs="Arial"/>
          <w:i/>
          <w:lang w:val="en-GB"/>
        </w:rPr>
        <w:t xml:space="preserve">hereinafter </w:t>
      </w:r>
      <w:r w:rsidRPr="00F03B10">
        <w:rPr>
          <w:rFonts w:ascii="Arial" w:hAnsi="Arial" w:cs="Arial"/>
          <w:lang w:val="en-GB"/>
        </w:rPr>
        <w:t>“the CRPD Committee”) under the Convention on the Rights of Persons with Disabilities</w:t>
      </w:r>
      <w:r>
        <w:rPr>
          <w:rFonts w:ascii="Arial" w:hAnsi="Arial" w:cs="Arial"/>
          <w:lang w:val="en-GB"/>
        </w:rPr>
        <w:t xml:space="preserve"> (</w:t>
      </w:r>
      <w:r>
        <w:rPr>
          <w:rFonts w:ascii="Arial" w:hAnsi="Arial" w:cs="Arial"/>
          <w:i/>
          <w:iCs/>
          <w:lang w:val="en-GB"/>
        </w:rPr>
        <w:t xml:space="preserve">hereinafter </w:t>
      </w:r>
      <w:r>
        <w:rPr>
          <w:rFonts w:ascii="Arial" w:hAnsi="Arial" w:cs="Arial"/>
          <w:lang w:val="en-GB"/>
        </w:rPr>
        <w:t>“CRPD”)</w:t>
      </w:r>
      <w:r w:rsidRPr="00F03B10">
        <w:rPr>
          <w:rFonts w:ascii="Arial" w:hAnsi="Arial" w:cs="Arial"/>
          <w:lang w:val="en-GB"/>
        </w:rPr>
        <w:t xml:space="preserve">. </w:t>
      </w:r>
    </w:p>
    <w:p w14:paraId="1FB59746" w14:textId="77777777" w:rsidR="00DC77D9" w:rsidRPr="00F03B10"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54259327" w14:textId="482D331F" w:rsidR="00DC77D9" w:rsidRPr="004426E6" w:rsidRDefault="00DC77D9" w:rsidP="00751A67">
      <w:pPr>
        <w:pStyle w:val="Heading2"/>
        <w:numPr>
          <w:ilvl w:val="0"/>
          <w:numId w:val="5"/>
        </w:numPr>
        <w:tabs>
          <w:tab w:val="left" w:pos="284"/>
          <w:tab w:val="left" w:pos="426"/>
        </w:tabs>
        <w:ind w:left="0" w:firstLine="0"/>
        <w:jc w:val="both"/>
        <w:rPr>
          <w:lang w:val="en-GB"/>
        </w:rPr>
      </w:pPr>
      <w:bookmarkStart w:id="3" w:name="_Toc54615526"/>
      <w:r w:rsidRPr="004426E6">
        <w:rPr>
          <w:lang w:val="en-GB"/>
        </w:rPr>
        <w:t>MIGRANT WORKERS AND FAMILY MEMBERS WITH DISABILITIES AND IMMIGRATION DETENTION</w:t>
      </w:r>
      <w:bookmarkEnd w:id="3"/>
    </w:p>
    <w:p w14:paraId="49E38CB7" w14:textId="77777777" w:rsidR="00DC77D9" w:rsidRPr="00F03B10"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7354E8D2" w14:textId="296D62D0" w:rsidR="00DC77D9" w:rsidRPr="00F03B1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lastRenderedPageBreak/>
        <w:t>Migrant workers and members of their families with disabilities face additional barriers compared to others, including disability based, multiple and intersecting forms of discrimination.</w:t>
      </w:r>
      <w:r w:rsidRPr="00F03B10">
        <w:rPr>
          <w:rStyle w:val="EndnoteReference"/>
          <w:rFonts w:ascii="Arial" w:hAnsi="Arial" w:cs="Arial"/>
          <w:lang w:val="en-GB"/>
        </w:rPr>
        <w:endnoteReference w:id="2"/>
      </w:r>
      <w:r w:rsidRPr="00F03B10">
        <w:rPr>
          <w:rFonts w:ascii="Arial" w:hAnsi="Arial" w:cs="Arial"/>
          <w:lang w:val="en-GB"/>
        </w:rPr>
        <w:t xml:space="preserve"> These increase their vulnerability and likelihood of being subjected t</w:t>
      </w:r>
      <w:r w:rsidR="001259A3">
        <w:rPr>
          <w:rFonts w:ascii="Arial" w:hAnsi="Arial" w:cs="Arial"/>
          <w:lang w:val="en-GB"/>
        </w:rPr>
        <w:t>o immigration detention and facing</w:t>
      </w:r>
      <w:r w:rsidRPr="00F03B10">
        <w:rPr>
          <w:rFonts w:ascii="Arial" w:hAnsi="Arial" w:cs="Arial"/>
          <w:lang w:val="en-GB"/>
        </w:rPr>
        <w:t xml:space="preserve"> human rights violations in the context of migration. </w:t>
      </w:r>
      <w:r w:rsidR="001259A3">
        <w:rPr>
          <w:rFonts w:ascii="Arial" w:hAnsi="Arial" w:cs="Arial"/>
          <w:lang w:val="en-GB"/>
        </w:rPr>
        <w:t>C</w:t>
      </w:r>
      <w:r w:rsidRPr="00F03B10">
        <w:rPr>
          <w:rFonts w:ascii="Arial" w:hAnsi="Arial" w:cs="Arial"/>
          <w:lang w:val="en-GB"/>
        </w:rPr>
        <w:t xml:space="preserve">omprehensive data disaggregated by disability is scarce in regard to migration and </w:t>
      </w:r>
      <w:r w:rsidR="001259A3">
        <w:rPr>
          <w:rFonts w:ascii="Arial" w:hAnsi="Arial" w:cs="Arial"/>
          <w:lang w:val="en-GB"/>
        </w:rPr>
        <w:t>im</w:t>
      </w:r>
      <w:r w:rsidRPr="00F03B10">
        <w:rPr>
          <w:rFonts w:ascii="Arial" w:hAnsi="Arial" w:cs="Arial"/>
          <w:lang w:val="en-GB"/>
        </w:rPr>
        <w:t>migration detention. However, it has been reported that persons with disabilities tend to be overrepresented in mainstream detention centres, including immigration detention centres.</w:t>
      </w:r>
      <w:r w:rsidRPr="00F03B10">
        <w:rPr>
          <w:rStyle w:val="EndnoteReference"/>
          <w:rFonts w:ascii="Arial" w:hAnsi="Arial" w:cs="Arial"/>
          <w:lang w:val="en-GB"/>
        </w:rPr>
        <w:endnoteReference w:id="3"/>
      </w:r>
      <w:r w:rsidRPr="00F03B10">
        <w:rPr>
          <w:rFonts w:ascii="Arial" w:hAnsi="Arial" w:cs="Arial"/>
          <w:lang w:val="en-GB"/>
        </w:rPr>
        <w:t xml:space="preserve"> </w:t>
      </w:r>
      <w:r w:rsidRPr="00745DEA">
        <w:rPr>
          <w:rFonts w:ascii="Arial" w:hAnsi="Arial" w:cs="Arial"/>
          <w:lang w:val="en-GB"/>
        </w:rPr>
        <w:t xml:space="preserve">In this sense, research on Australia suggested a significant proportion of </w:t>
      </w:r>
      <w:r>
        <w:rPr>
          <w:rFonts w:ascii="Arial" w:hAnsi="Arial" w:cs="Arial"/>
          <w:lang w:val="en-GB"/>
        </w:rPr>
        <w:t>asylum seekers</w:t>
      </w:r>
      <w:r w:rsidRPr="00745DEA">
        <w:rPr>
          <w:rFonts w:ascii="Arial" w:hAnsi="Arial" w:cs="Arial"/>
          <w:lang w:val="en-GB"/>
        </w:rPr>
        <w:t xml:space="preserve"> with disabilities among those subjected to immigration detention.</w:t>
      </w:r>
      <w:r>
        <w:rPr>
          <w:rStyle w:val="EndnoteReference"/>
          <w:rFonts w:ascii="Arial" w:hAnsi="Arial" w:cs="Arial"/>
          <w:lang w:val="en-GB"/>
        </w:rPr>
        <w:endnoteReference w:id="4"/>
      </w:r>
    </w:p>
    <w:p w14:paraId="6848DC1C" w14:textId="77777777" w:rsidR="00DC77D9" w:rsidRPr="00F03B10"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4DDF5E14" w14:textId="1264FB2F" w:rsidR="00DC77D9" w:rsidRPr="00F03B1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 xml:space="preserve">In different countries, migration and asylum policies and regulations continue to include provisions that are discriminatory, directly or indirectly, of persons with disabilities, </w:t>
      </w:r>
      <w:r w:rsidR="001259A3">
        <w:rPr>
          <w:rFonts w:ascii="Arial" w:hAnsi="Arial" w:cs="Arial"/>
          <w:lang w:val="en-GB"/>
        </w:rPr>
        <w:t xml:space="preserve">e.g. </w:t>
      </w:r>
      <w:r w:rsidRPr="00F03B10">
        <w:rPr>
          <w:rFonts w:ascii="Arial" w:hAnsi="Arial" w:cs="Arial"/>
          <w:lang w:val="en-GB"/>
        </w:rPr>
        <w:t>by establishing health related requirements.</w:t>
      </w:r>
      <w:r w:rsidRPr="00F03B10">
        <w:rPr>
          <w:rStyle w:val="EndnoteReference"/>
          <w:rFonts w:ascii="Arial" w:hAnsi="Arial" w:cs="Arial"/>
          <w:lang w:val="en-GB"/>
        </w:rPr>
        <w:endnoteReference w:id="5"/>
      </w:r>
      <w:r w:rsidRPr="00F03B10">
        <w:rPr>
          <w:rFonts w:ascii="Arial" w:hAnsi="Arial" w:cs="Arial"/>
          <w:lang w:val="en-GB"/>
        </w:rPr>
        <w:t xml:space="preserve"> As this Committee has noted, migrant children with disabilities may suffer from multiple forms of discrimination</w:t>
      </w:r>
      <w:r w:rsidRPr="00F03B10">
        <w:rPr>
          <w:rStyle w:val="EndnoteReference"/>
          <w:rFonts w:ascii="Arial" w:hAnsi="Arial" w:cs="Arial"/>
          <w:lang w:val="en-GB"/>
        </w:rPr>
        <w:endnoteReference w:id="6"/>
      </w:r>
      <w:r w:rsidRPr="00F03B10">
        <w:rPr>
          <w:rFonts w:ascii="Arial" w:hAnsi="Arial" w:cs="Arial"/>
          <w:lang w:val="en-GB"/>
        </w:rPr>
        <w:t xml:space="preserve"> and be in a situation of double vulnerability.</w:t>
      </w:r>
      <w:r w:rsidRPr="00F03B10">
        <w:rPr>
          <w:rStyle w:val="EndnoteReference"/>
          <w:rFonts w:ascii="Arial" w:hAnsi="Arial" w:cs="Arial"/>
          <w:lang w:val="en-GB"/>
        </w:rPr>
        <w:endnoteReference w:id="7"/>
      </w:r>
      <w:r w:rsidRPr="00F03B10">
        <w:rPr>
          <w:rFonts w:ascii="Arial" w:hAnsi="Arial" w:cs="Arial"/>
          <w:lang w:val="en-GB"/>
        </w:rPr>
        <w:t xml:space="preserve"> In particular, the discriminatory practice of denying asylum or visas on the basis of disability is likely to increase the number of persons with disabilities in immigration detention, as highlighted for the case of children with disabilities.</w:t>
      </w:r>
      <w:r w:rsidRPr="00F03B10">
        <w:rPr>
          <w:rStyle w:val="EndnoteReference"/>
          <w:rFonts w:ascii="Arial" w:hAnsi="Arial" w:cs="Arial"/>
          <w:lang w:val="en-GB"/>
        </w:rPr>
        <w:endnoteReference w:id="8"/>
      </w:r>
      <w:r w:rsidRPr="00F03B10">
        <w:rPr>
          <w:rFonts w:ascii="Arial" w:hAnsi="Arial" w:cs="Arial"/>
          <w:lang w:val="en-GB"/>
        </w:rPr>
        <w:t xml:space="preserve"> </w:t>
      </w:r>
    </w:p>
    <w:p w14:paraId="799017D0" w14:textId="77777777" w:rsidR="00DC77D9" w:rsidRPr="00F03B10"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1F895B7A" w14:textId="60A43F1E" w:rsidR="00DC77D9" w:rsidRPr="00F03B1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Moreover, immigration det</w:t>
      </w:r>
      <w:r w:rsidR="00600204">
        <w:rPr>
          <w:rFonts w:ascii="Arial" w:hAnsi="Arial" w:cs="Arial"/>
          <w:lang w:val="en-GB"/>
        </w:rPr>
        <w:t>ention</w:t>
      </w:r>
      <w:r w:rsidRPr="00F03B10">
        <w:rPr>
          <w:rFonts w:ascii="Arial" w:hAnsi="Arial" w:cs="Arial"/>
          <w:lang w:val="en-GB"/>
        </w:rPr>
        <w:t xml:space="preserve"> impact</w:t>
      </w:r>
      <w:r w:rsidR="00600204">
        <w:rPr>
          <w:rFonts w:ascii="Arial" w:hAnsi="Arial" w:cs="Arial"/>
          <w:lang w:val="en-GB"/>
        </w:rPr>
        <w:t>s</w:t>
      </w:r>
      <w:r w:rsidRPr="00F03B10">
        <w:rPr>
          <w:rFonts w:ascii="Arial" w:hAnsi="Arial" w:cs="Arial"/>
          <w:lang w:val="en-GB"/>
        </w:rPr>
        <w:t xml:space="preserve"> on persons with disabilities on account of the migrant’s impairment, lack of support and associated stigma.</w:t>
      </w:r>
      <w:r w:rsidRPr="00F03B10">
        <w:rPr>
          <w:rStyle w:val="EndnoteReference"/>
          <w:rFonts w:ascii="Arial" w:hAnsi="Arial" w:cs="Arial"/>
          <w:lang w:val="en-GB"/>
        </w:rPr>
        <w:endnoteReference w:id="9"/>
      </w:r>
      <w:r w:rsidRPr="00F03B10">
        <w:rPr>
          <w:rFonts w:ascii="Arial" w:hAnsi="Arial" w:cs="Arial"/>
          <w:lang w:val="en-GB"/>
        </w:rPr>
        <w:t xml:space="preserve"> While some States recognise that the detention of migrants with disabilities should be avoided, this continues to occur,</w:t>
      </w:r>
      <w:r w:rsidRPr="00F03B10">
        <w:rPr>
          <w:rStyle w:val="EndnoteReference"/>
          <w:rFonts w:ascii="Arial" w:hAnsi="Arial" w:cs="Arial"/>
          <w:lang w:val="en-GB"/>
        </w:rPr>
        <w:endnoteReference w:id="10"/>
      </w:r>
      <w:r w:rsidRPr="00F03B10">
        <w:rPr>
          <w:rFonts w:ascii="Arial" w:hAnsi="Arial" w:cs="Arial"/>
          <w:lang w:val="en-GB"/>
        </w:rPr>
        <w:t xml:space="preserve"> </w:t>
      </w:r>
      <w:r w:rsidR="00600204">
        <w:rPr>
          <w:rFonts w:ascii="Arial" w:hAnsi="Arial" w:cs="Arial"/>
          <w:lang w:val="en-GB"/>
        </w:rPr>
        <w:t>including</w:t>
      </w:r>
      <w:r w:rsidRPr="00F03B10">
        <w:rPr>
          <w:rFonts w:ascii="Arial" w:hAnsi="Arial" w:cs="Arial"/>
          <w:lang w:val="en-GB"/>
        </w:rPr>
        <w:t xml:space="preserve"> </w:t>
      </w:r>
      <w:r w:rsidR="00600204">
        <w:rPr>
          <w:rFonts w:ascii="Arial" w:hAnsi="Arial" w:cs="Arial"/>
          <w:lang w:val="en-GB"/>
        </w:rPr>
        <w:t>due to</w:t>
      </w:r>
      <w:r w:rsidRPr="00F03B10">
        <w:rPr>
          <w:rFonts w:ascii="Arial" w:hAnsi="Arial" w:cs="Arial"/>
          <w:lang w:val="en-GB"/>
        </w:rPr>
        <w:t xml:space="preserve"> stereotypes and prejudice against persons with psychosocial disabilities deemed “dangerous”.</w:t>
      </w:r>
      <w:r w:rsidRPr="00F03B10">
        <w:rPr>
          <w:rStyle w:val="EndnoteReference"/>
          <w:rFonts w:ascii="Arial" w:hAnsi="Arial" w:cs="Arial"/>
          <w:lang w:val="en-GB"/>
        </w:rPr>
        <w:endnoteReference w:id="11"/>
      </w:r>
      <w:r w:rsidRPr="00F03B10">
        <w:rPr>
          <w:rFonts w:ascii="Arial" w:hAnsi="Arial" w:cs="Arial"/>
          <w:lang w:val="en-GB"/>
        </w:rPr>
        <w:t xml:space="preserve"> The ground justifying detention of migrants in an irregular situation when “a person poses a danger to himself or herself or to society” becomes an entry point for deprivation of liberty on the basis of impairments of migrants with psychosocial disabilities, contradicting Article 14</w:t>
      </w:r>
      <w:r>
        <w:rPr>
          <w:rFonts w:ascii="Arial" w:hAnsi="Arial" w:cs="Arial"/>
          <w:lang w:val="en-GB"/>
        </w:rPr>
        <w:t xml:space="preserve"> of the CRPD</w:t>
      </w:r>
      <w:r w:rsidRPr="00F03B10">
        <w:rPr>
          <w:rFonts w:ascii="Arial" w:hAnsi="Arial" w:cs="Arial"/>
          <w:lang w:val="en-GB"/>
        </w:rPr>
        <w:t>. Indeed, some practice shows that many of the detained migrants with disabilities are actually persons with psychosocial disabilities</w:t>
      </w:r>
      <w:r w:rsidRPr="00F03B10">
        <w:rPr>
          <w:rStyle w:val="EndnoteReference"/>
          <w:rFonts w:ascii="Arial" w:hAnsi="Arial" w:cs="Arial"/>
          <w:lang w:val="en-GB"/>
        </w:rPr>
        <w:endnoteReference w:id="12"/>
      </w:r>
      <w:r w:rsidRPr="00F03B10">
        <w:rPr>
          <w:rFonts w:ascii="Arial" w:hAnsi="Arial" w:cs="Arial"/>
          <w:lang w:val="en-GB"/>
        </w:rPr>
        <w:t xml:space="preserve"> who may end up being placed in psychiatric institutions.</w:t>
      </w:r>
      <w:r w:rsidRPr="00F03B10">
        <w:rPr>
          <w:rStyle w:val="EndnoteReference"/>
          <w:rFonts w:ascii="Arial" w:hAnsi="Arial" w:cs="Arial"/>
          <w:lang w:val="en-GB"/>
        </w:rPr>
        <w:endnoteReference w:id="13"/>
      </w:r>
    </w:p>
    <w:p w14:paraId="2295B92A" w14:textId="77777777" w:rsidR="00DC77D9" w:rsidRPr="00F03B10"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7CB90714" w14:textId="024F2A62" w:rsidR="00DC77D9" w:rsidRPr="00F03B1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F03B10">
        <w:rPr>
          <w:rFonts w:ascii="Arial" w:hAnsi="Arial" w:cs="Arial"/>
          <w:lang w:val="en-GB"/>
        </w:rPr>
        <w:t xml:space="preserve">The CRPD Committee has noted that the “absence of suitable infrastructure for persons with disabilities and the substandard conditions of detention constitute both an affront to </w:t>
      </w:r>
      <w:r w:rsidRPr="001E1846">
        <w:rPr>
          <w:rFonts w:ascii="Arial" w:hAnsi="Arial" w:cs="Arial"/>
          <w:lang w:val="en-GB"/>
        </w:rPr>
        <w:t>[</w:t>
      </w:r>
      <w:r>
        <w:rPr>
          <w:rFonts w:ascii="Arial" w:hAnsi="Arial" w:cs="Arial"/>
          <w:lang w:val="en-GB"/>
        </w:rPr>
        <w:t>their</w:t>
      </w:r>
      <w:r w:rsidRPr="001E1846">
        <w:rPr>
          <w:rFonts w:ascii="Arial" w:hAnsi="Arial" w:cs="Arial"/>
          <w:lang w:val="en-GB"/>
        </w:rPr>
        <w:t xml:space="preserve">] </w:t>
      </w:r>
      <w:r w:rsidRPr="00F03B10">
        <w:rPr>
          <w:rFonts w:ascii="Arial" w:hAnsi="Arial" w:cs="Arial"/>
          <w:lang w:val="en-GB"/>
        </w:rPr>
        <w:t>dignity and inhuman treatment.”</w:t>
      </w:r>
      <w:r w:rsidRPr="00F03B10">
        <w:rPr>
          <w:rStyle w:val="EndnoteReference"/>
          <w:rFonts w:ascii="Arial" w:hAnsi="Arial" w:cs="Arial"/>
          <w:lang w:val="en-GB"/>
        </w:rPr>
        <w:endnoteReference w:id="14"/>
      </w:r>
      <w:r w:rsidRPr="00F03B10">
        <w:rPr>
          <w:rFonts w:ascii="Arial" w:hAnsi="Arial" w:cs="Arial"/>
          <w:lang w:val="en-GB"/>
        </w:rPr>
        <w:t xml:space="preserve"> In that sense,</w:t>
      </w:r>
      <w:r w:rsidR="0045374F">
        <w:rPr>
          <w:rFonts w:ascii="Arial" w:hAnsi="Arial" w:cs="Arial"/>
          <w:lang w:val="en-GB"/>
        </w:rPr>
        <w:t xml:space="preserve"> inaccessibility of infrastructure, services, information and communication poses barriers to persons with disabilities.</w:t>
      </w:r>
      <w:r w:rsidR="0045374F" w:rsidRPr="00F03B10">
        <w:rPr>
          <w:rFonts w:ascii="Arial" w:hAnsi="Arial" w:cs="Arial"/>
          <w:lang w:val="en-GB"/>
        </w:rPr>
        <w:t xml:space="preserve"> </w:t>
      </w:r>
      <w:r w:rsidR="0045374F">
        <w:rPr>
          <w:rFonts w:ascii="Arial" w:hAnsi="Arial" w:cs="Arial"/>
          <w:lang w:val="en-GB"/>
        </w:rPr>
        <w:t>On its turn, t</w:t>
      </w:r>
      <w:r w:rsidR="0045374F" w:rsidRPr="00F03B10">
        <w:rPr>
          <w:rFonts w:ascii="Arial" w:hAnsi="Arial" w:cs="Arial"/>
          <w:lang w:val="en-GB"/>
        </w:rPr>
        <w:t>his Committee</w:t>
      </w:r>
      <w:r w:rsidRPr="00F03B10">
        <w:rPr>
          <w:rFonts w:ascii="Arial" w:hAnsi="Arial" w:cs="Arial"/>
          <w:lang w:val="en-GB"/>
        </w:rPr>
        <w:t xml:space="preserve"> has very well noted that immigration detention can particularly damage vulnerable migrant workers</w:t>
      </w:r>
      <w:r w:rsidR="00440321">
        <w:rPr>
          <w:rFonts w:ascii="Arial" w:hAnsi="Arial" w:cs="Arial"/>
          <w:lang w:val="en-GB"/>
        </w:rPr>
        <w:t xml:space="preserve"> with disabilities,</w:t>
      </w:r>
      <w:r w:rsidR="00F729E7">
        <w:rPr>
          <w:rFonts w:ascii="Arial" w:hAnsi="Arial" w:cs="Arial"/>
          <w:lang w:val="en-GB"/>
        </w:rPr>
        <w:t xml:space="preserve"> </w:t>
      </w:r>
      <w:r w:rsidRPr="00F03B10">
        <w:rPr>
          <w:rFonts w:ascii="Arial" w:hAnsi="Arial" w:cs="Arial"/>
          <w:lang w:val="en-GB"/>
        </w:rPr>
        <w:t>negatively impact</w:t>
      </w:r>
      <w:r w:rsidR="00F729E7">
        <w:rPr>
          <w:rFonts w:ascii="Arial" w:hAnsi="Arial" w:cs="Arial"/>
          <w:lang w:val="en-GB"/>
        </w:rPr>
        <w:t>ing</w:t>
      </w:r>
      <w:r w:rsidRPr="00F03B10">
        <w:rPr>
          <w:rFonts w:ascii="Arial" w:hAnsi="Arial" w:cs="Arial"/>
          <w:lang w:val="en-GB"/>
        </w:rPr>
        <w:t xml:space="preserve"> their physical and mental health</w:t>
      </w:r>
      <w:r w:rsidR="00F729E7">
        <w:rPr>
          <w:rFonts w:ascii="Arial" w:hAnsi="Arial" w:cs="Arial"/>
          <w:lang w:val="en-GB"/>
        </w:rPr>
        <w:t>.</w:t>
      </w:r>
      <w:r w:rsidRPr="00F03B10">
        <w:rPr>
          <w:rStyle w:val="EndnoteReference"/>
          <w:rFonts w:ascii="Arial" w:hAnsi="Arial" w:cs="Arial"/>
          <w:lang w:val="en-GB"/>
        </w:rPr>
        <w:endnoteReference w:id="15"/>
      </w:r>
      <w:r w:rsidR="00F729E7">
        <w:rPr>
          <w:rFonts w:ascii="Arial" w:hAnsi="Arial" w:cs="Arial"/>
          <w:lang w:val="en-GB"/>
        </w:rPr>
        <w:t xml:space="preserve"> Generally, </w:t>
      </w:r>
      <w:r w:rsidRPr="00F03B10">
        <w:rPr>
          <w:rFonts w:ascii="Arial" w:hAnsi="Arial" w:cs="Arial"/>
          <w:lang w:val="en-GB"/>
        </w:rPr>
        <w:t xml:space="preserve">immigration detention </w:t>
      </w:r>
      <w:r w:rsidR="00F729E7">
        <w:rPr>
          <w:rFonts w:ascii="Arial" w:hAnsi="Arial" w:cs="Arial"/>
          <w:lang w:val="en-GB"/>
        </w:rPr>
        <w:t xml:space="preserve">conditions </w:t>
      </w:r>
      <w:r w:rsidRPr="00F03B10">
        <w:rPr>
          <w:rFonts w:ascii="Arial" w:hAnsi="Arial" w:cs="Arial"/>
          <w:lang w:val="en-GB"/>
        </w:rPr>
        <w:t>negatively impact mental health and exacerbate previously acquired mental health conditions.</w:t>
      </w:r>
      <w:r w:rsidRPr="00F03B10">
        <w:rPr>
          <w:rStyle w:val="EndnoteReference"/>
          <w:rFonts w:ascii="Arial" w:hAnsi="Arial" w:cs="Arial"/>
          <w:lang w:val="en-GB"/>
        </w:rPr>
        <w:endnoteReference w:id="16"/>
      </w:r>
      <w:r w:rsidRPr="00F03B10">
        <w:rPr>
          <w:rFonts w:ascii="Arial" w:hAnsi="Arial" w:cs="Arial"/>
          <w:lang w:val="en-GB"/>
        </w:rPr>
        <w:t xml:space="preserve"> In particular, the Inter American Commission of Human Rights has reported that detained migrants with psychosocial disabilities also face alarming conditions of solitary confinement,</w:t>
      </w:r>
      <w:r w:rsidRPr="00F03B10">
        <w:rPr>
          <w:rStyle w:val="EndnoteReference"/>
          <w:rFonts w:ascii="Arial" w:hAnsi="Arial" w:cs="Arial"/>
          <w:lang w:val="en-GB"/>
        </w:rPr>
        <w:endnoteReference w:id="17"/>
      </w:r>
      <w:r w:rsidRPr="00F03B10">
        <w:rPr>
          <w:rFonts w:ascii="Arial" w:hAnsi="Arial" w:cs="Arial"/>
          <w:lang w:val="en-GB"/>
        </w:rPr>
        <w:t xml:space="preserve"> which may amount to torture or ill treatment</w:t>
      </w:r>
      <w:r w:rsidRPr="00F03B10">
        <w:rPr>
          <w:rStyle w:val="CommentReference"/>
          <w:rFonts w:ascii="Arial" w:eastAsia="Calibri" w:hAnsi="Arial" w:cs="Arial"/>
          <w:sz w:val="22"/>
          <w:szCs w:val="22"/>
          <w:lang w:val="en-GB"/>
        </w:rPr>
        <w:t>.</w:t>
      </w:r>
      <w:r w:rsidRPr="00F03B10">
        <w:rPr>
          <w:rStyle w:val="EndnoteReference"/>
          <w:rFonts w:ascii="Arial" w:eastAsia="Calibri" w:hAnsi="Arial" w:cs="Arial"/>
          <w:lang w:val="fr-FR"/>
        </w:rPr>
        <w:endnoteReference w:id="18"/>
      </w:r>
    </w:p>
    <w:p w14:paraId="04F413E1" w14:textId="77777777" w:rsidR="00DC77D9" w:rsidRPr="007C5A31"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1EF89193" w14:textId="24F98285" w:rsidR="00DC77D9" w:rsidRPr="004426E6" w:rsidRDefault="00DC77D9" w:rsidP="00751A67">
      <w:pPr>
        <w:pStyle w:val="Heading2"/>
        <w:numPr>
          <w:ilvl w:val="0"/>
          <w:numId w:val="5"/>
        </w:numPr>
        <w:tabs>
          <w:tab w:val="left" w:pos="284"/>
          <w:tab w:val="left" w:pos="426"/>
        </w:tabs>
        <w:ind w:left="0" w:firstLine="0"/>
        <w:rPr>
          <w:lang w:val="en-GB"/>
        </w:rPr>
      </w:pPr>
      <w:bookmarkStart w:id="4" w:name="_Toc54615527"/>
      <w:r w:rsidRPr="004426E6">
        <w:rPr>
          <w:lang w:val="en-GB"/>
        </w:rPr>
        <w:t>PROTECTING THE RIGHTS OF PERSONS WITH DISABILITIES IN THE CONTEXT OF MIGRATION: RELEVANT STANDARDS TO PREVENT THEIR DETENTION</w:t>
      </w:r>
      <w:bookmarkEnd w:id="4"/>
    </w:p>
    <w:p w14:paraId="1C81C1BA"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0F5F7C9C" w14:textId="37AF9F37" w:rsidR="00DC77D9" w:rsidRDefault="00DC77D9" w:rsidP="00751A67">
      <w:pPr>
        <w:pStyle w:val="Heading3"/>
        <w:numPr>
          <w:ilvl w:val="0"/>
          <w:numId w:val="6"/>
        </w:numPr>
        <w:tabs>
          <w:tab w:val="left" w:pos="284"/>
          <w:tab w:val="left" w:pos="426"/>
        </w:tabs>
        <w:ind w:left="0" w:firstLine="0"/>
        <w:rPr>
          <w:lang w:val="en-GB"/>
        </w:rPr>
      </w:pPr>
      <w:bookmarkStart w:id="5" w:name="_Toc54615528"/>
      <w:r>
        <w:rPr>
          <w:lang w:val="en-GB"/>
        </w:rPr>
        <w:t>CROSSCUTTING ISSUES FOR PERSONS WITH DISABILITIES IN MIGRATION LAW AND PRACTICE</w:t>
      </w:r>
      <w:bookmarkEnd w:id="5"/>
    </w:p>
    <w:p w14:paraId="65A1AF5F"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2B6D8571" w14:textId="02583242" w:rsidR="00DC77D9" w:rsidRDefault="00DC77D9" w:rsidP="00751A67">
      <w:pPr>
        <w:pStyle w:val="Heading4"/>
        <w:tabs>
          <w:tab w:val="left" w:pos="284"/>
          <w:tab w:val="left" w:pos="426"/>
        </w:tabs>
        <w:rPr>
          <w:lang w:val="en-GB"/>
        </w:rPr>
      </w:pPr>
      <w:r>
        <w:rPr>
          <w:lang w:val="en-GB"/>
        </w:rPr>
        <w:lastRenderedPageBreak/>
        <w:t xml:space="preserve">A. 1. </w:t>
      </w:r>
      <w:r w:rsidRPr="004361B3">
        <w:rPr>
          <w:lang w:val="en-GB"/>
        </w:rPr>
        <w:t>NON-DISCRIMINATION OF PERSONS WITH DISABILITIES</w:t>
      </w:r>
      <w:r>
        <w:rPr>
          <w:lang w:val="en-GB"/>
        </w:rPr>
        <w:t xml:space="preserve"> IN MIGRATION LAW, REGULATIONS AND PRACTICE</w:t>
      </w:r>
    </w:p>
    <w:p w14:paraId="6E696356" w14:textId="11DC94F9"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095B6554" w14:textId="0F3DFE8F" w:rsidR="00DC77D9" w:rsidRPr="0091170F"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6E3BDA">
        <w:rPr>
          <w:rFonts w:ascii="Arial" w:hAnsi="Arial" w:cs="Arial"/>
          <w:lang w:val="en-GB"/>
        </w:rPr>
        <w:t xml:space="preserve">Normative frameworks </w:t>
      </w:r>
      <w:r>
        <w:rPr>
          <w:rFonts w:ascii="Arial" w:hAnsi="Arial" w:cs="Arial"/>
          <w:lang w:val="en-GB"/>
        </w:rPr>
        <w:t>on</w:t>
      </w:r>
      <w:r w:rsidRPr="006E3BDA">
        <w:rPr>
          <w:rFonts w:ascii="Arial" w:hAnsi="Arial" w:cs="Arial"/>
          <w:lang w:val="en-GB"/>
        </w:rPr>
        <w:t xml:space="preserve"> migration usually include provisions that discriminate directly or indir</w:t>
      </w:r>
      <w:r w:rsidR="007D4CBA">
        <w:rPr>
          <w:rFonts w:ascii="Arial" w:hAnsi="Arial" w:cs="Arial"/>
          <w:lang w:val="en-GB"/>
        </w:rPr>
        <w:t>ectly persons with disabilities, such as</w:t>
      </w:r>
      <w:r w:rsidRPr="006E3BDA">
        <w:rPr>
          <w:rFonts w:ascii="Arial" w:hAnsi="Arial" w:cs="Arial"/>
          <w:lang w:val="en-GB"/>
        </w:rPr>
        <w:t xml:space="preserve"> provisions including health related requirements.</w:t>
      </w:r>
      <w:r w:rsidRPr="00F03B10">
        <w:rPr>
          <w:rStyle w:val="EndnoteReference"/>
          <w:rFonts w:ascii="Arial" w:hAnsi="Arial" w:cs="Arial"/>
          <w:lang w:val="en-GB"/>
        </w:rPr>
        <w:endnoteReference w:id="19"/>
      </w:r>
      <w:r w:rsidRPr="006E3BDA">
        <w:rPr>
          <w:rFonts w:ascii="Arial" w:hAnsi="Arial" w:cs="Arial"/>
          <w:lang w:val="en-GB"/>
        </w:rPr>
        <w:t xml:space="preserve"> </w:t>
      </w:r>
      <w:r w:rsidRPr="00DC1EA8">
        <w:rPr>
          <w:rFonts w:ascii="Arial" w:hAnsi="Arial" w:cs="Arial"/>
          <w:lang w:val="en-GB"/>
        </w:rPr>
        <w:t>Applicants seeking offshore humanitarian and refugee visas are also subject to health requirement</w:t>
      </w:r>
      <w:r w:rsidR="007D4CBA">
        <w:rPr>
          <w:rFonts w:ascii="Arial" w:hAnsi="Arial" w:cs="Arial"/>
          <w:lang w:val="en-GB"/>
        </w:rPr>
        <w:t>s</w:t>
      </w:r>
      <w:r w:rsidRPr="00DC1EA8">
        <w:rPr>
          <w:rFonts w:ascii="Arial" w:hAnsi="Arial" w:cs="Arial"/>
          <w:lang w:val="en-GB"/>
        </w:rPr>
        <w:t>.</w:t>
      </w:r>
      <w:r w:rsidRPr="00DC1EA8">
        <w:rPr>
          <w:rStyle w:val="EndnoteReference"/>
          <w:rFonts w:ascii="Arial" w:hAnsi="Arial" w:cs="Arial"/>
          <w:lang w:val="en-GB"/>
        </w:rPr>
        <w:endnoteReference w:id="20"/>
      </w:r>
      <w:r w:rsidRPr="00DC1EA8">
        <w:rPr>
          <w:rFonts w:ascii="Arial" w:hAnsi="Arial" w:cs="Arial"/>
          <w:lang w:val="en-GB"/>
        </w:rPr>
        <w:t xml:space="preserve"> </w:t>
      </w:r>
      <w:r>
        <w:rPr>
          <w:rFonts w:ascii="Arial" w:hAnsi="Arial" w:cs="Arial"/>
          <w:lang w:val="en-GB"/>
        </w:rPr>
        <w:t>This kind of</w:t>
      </w:r>
      <w:r w:rsidRPr="00DC1EA8">
        <w:rPr>
          <w:rFonts w:ascii="Arial" w:hAnsi="Arial" w:cs="Arial"/>
          <w:lang w:val="en-GB"/>
        </w:rPr>
        <w:t xml:space="preserve"> legislation</w:t>
      </w:r>
      <w:r>
        <w:rPr>
          <w:rFonts w:ascii="Arial" w:hAnsi="Arial" w:cs="Arial"/>
          <w:lang w:val="en-GB"/>
        </w:rPr>
        <w:t xml:space="preserve"> </w:t>
      </w:r>
      <w:r w:rsidRPr="00DC1EA8">
        <w:rPr>
          <w:rFonts w:ascii="Arial" w:hAnsi="Arial" w:cs="Arial"/>
          <w:lang w:val="en-GB"/>
        </w:rPr>
        <w:t xml:space="preserve">exists in </w:t>
      </w:r>
      <w:r>
        <w:rPr>
          <w:rFonts w:ascii="Arial" w:hAnsi="Arial" w:cs="Arial"/>
          <w:lang w:val="en-GB"/>
        </w:rPr>
        <w:t>different countries</w:t>
      </w:r>
      <w:r w:rsidRPr="00DC1EA8">
        <w:rPr>
          <w:rStyle w:val="EndnoteReference"/>
          <w:rFonts w:ascii="Arial" w:hAnsi="Arial" w:cs="Arial"/>
          <w:lang w:val="en-GB"/>
        </w:rPr>
        <w:endnoteReference w:id="21"/>
      </w:r>
      <w:r w:rsidRPr="00DC1EA8">
        <w:rPr>
          <w:rFonts w:ascii="Arial" w:hAnsi="Arial" w:cs="Arial"/>
          <w:lang w:val="en-GB"/>
        </w:rPr>
        <w:t xml:space="preserve"> </w:t>
      </w:r>
      <w:r>
        <w:rPr>
          <w:rFonts w:ascii="Arial" w:hAnsi="Arial" w:cs="Arial"/>
          <w:lang w:val="en-GB"/>
        </w:rPr>
        <w:t>and has been challenged</w:t>
      </w:r>
      <w:r w:rsidRPr="00DC1EA8">
        <w:rPr>
          <w:rFonts w:ascii="Arial" w:hAnsi="Arial" w:cs="Arial"/>
          <w:lang w:val="en-GB"/>
        </w:rPr>
        <w:t>.</w:t>
      </w:r>
      <w:r w:rsidRPr="00DC1EA8">
        <w:rPr>
          <w:rStyle w:val="EndnoteReference"/>
          <w:rFonts w:ascii="Arial" w:hAnsi="Arial" w:cs="Arial"/>
          <w:lang w:val="en-GB"/>
        </w:rPr>
        <w:endnoteReference w:id="22"/>
      </w:r>
      <w:r>
        <w:rPr>
          <w:rFonts w:ascii="Arial" w:hAnsi="Arial" w:cs="Arial"/>
          <w:lang w:val="en-GB"/>
        </w:rPr>
        <w:t xml:space="preserve"> </w:t>
      </w:r>
      <w:r w:rsidR="00DD5E05">
        <w:rPr>
          <w:rFonts w:ascii="Arial" w:hAnsi="Arial" w:cs="Arial"/>
          <w:lang w:val="en-GB"/>
        </w:rPr>
        <w:t>H</w:t>
      </w:r>
      <w:r w:rsidRPr="0091170F">
        <w:rPr>
          <w:rFonts w:ascii="Arial" w:hAnsi="Arial" w:cs="Arial"/>
          <w:lang w:val="en-GB"/>
        </w:rPr>
        <w:t>ealth requirement</w:t>
      </w:r>
      <w:r w:rsidR="00DD5E05">
        <w:rPr>
          <w:rFonts w:ascii="Arial" w:hAnsi="Arial" w:cs="Arial"/>
          <w:lang w:val="en-GB"/>
        </w:rPr>
        <w:t>s</w:t>
      </w:r>
      <w:r w:rsidRPr="0091170F">
        <w:rPr>
          <w:rFonts w:ascii="Arial" w:hAnsi="Arial" w:cs="Arial"/>
          <w:lang w:val="en-GB"/>
        </w:rPr>
        <w:t xml:space="preserve"> ha</w:t>
      </w:r>
      <w:r w:rsidR="00DD5E05">
        <w:rPr>
          <w:rFonts w:ascii="Arial" w:hAnsi="Arial" w:cs="Arial"/>
          <w:lang w:val="en-GB"/>
        </w:rPr>
        <w:t>ve</w:t>
      </w:r>
      <w:r w:rsidRPr="0091170F">
        <w:rPr>
          <w:rFonts w:ascii="Arial" w:hAnsi="Arial" w:cs="Arial"/>
          <w:lang w:val="en-GB"/>
        </w:rPr>
        <w:t xml:space="preserve"> a significant negative impact on immigra</w:t>
      </w:r>
      <w:r w:rsidR="00DD5E05">
        <w:rPr>
          <w:rFonts w:ascii="Arial" w:hAnsi="Arial" w:cs="Arial"/>
          <w:lang w:val="en-GB"/>
        </w:rPr>
        <w:t>nt families and children, as</w:t>
      </w:r>
      <w:r w:rsidRPr="0091170F">
        <w:rPr>
          <w:rFonts w:ascii="Arial" w:hAnsi="Arial" w:cs="Arial"/>
          <w:lang w:val="en-GB"/>
        </w:rPr>
        <w:t xml:space="preserve"> members of a family group </w:t>
      </w:r>
      <w:r w:rsidR="007816F0">
        <w:rPr>
          <w:rFonts w:ascii="Arial" w:hAnsi="Arial" w:cs="Arial"/>
          <w:lang w:val="en-GB"/>
        </w:rPr>
        <w:t>can</w:t>
      </w:r>
      <w:r w:rsidRPr="0091170F">
        <w:rPr>
          <w:rFonts w:ascii="Arial" w:hAnsi="Arial" w:cs="Arial"/>
          <w:lang w:val="en-GB"/>
        </w:rPr>
        <w:t xml:space="preserve"> be denied visas </w:t>
      </w:r>
      <w:r w:rsidR="00DD5E05">
        <w:rPr>
          <w:rFonts w:ascii="Arial" w:hAnsi="Arial" w:cs="Arial"/>
          <w:lang w:val="en-GB"/>
        </w:rPr>
        <w:t>because one</w:t>
      </w:r>
      <w:r w:rsidRPr="0091170F">
        <w:rPr>
          <w:rFonts w:ascii="Arial" w:hAnsi="Arial" w:cs="Arial"/>
          <w:lang w:val="en-GB"/>
        </w:rPr>
        <w:t xml:space="preserve"> </w:t>
      </w:r>
      <w:r w:rsidR="008C0C1A">
        <w:rPr>
          <w:rFonts w:ascii="Arial" w:hAnsi="Arial" w:cs="Arial"/>
          <w:lang w:val="en-GB"/>
        </w:rPr>
        <w:t xml:space="preserve">is a </w:t>
      </w:r>
      <w:r w:rsidRPr="0091170F">
        <w:rPr>
          <w:rFonts w:ascii="Arial" w:hAnsi="Arial" w:cs="Arial"/>
          <w:lang w:val="en-GB"/>
        </w:rPr>
        <w:t xml:space="preserve">member with disability, </w:t>
      </w:r>
      <w:r>
        <w:rPr>
          <w:rFonts w:ascii="Arial" w:hAnsi="Arial" w:cs="Arial"/>
          <w:lang w:val="en-GB"/>
        </w:rPr>
        <w:t>forcing</w:t>
      </w:r>
      <w:r w:rsidRPr="0091170F">
        <w:rPr>
          <w:rFonts w:ascii="Arial" w:hAnsi="Arial" w:cs="Arial"/>
          <w:lang w:val="en-GB"/>
        </w:rPr>
        <w:t xml:space="preserve"> families to decide whether to leave behind the family member with disability and other member(s)</w:t>
      </w:r>
      <w:r>
        <w:rPr>
          <w:rFonts w:ascii="Arial" w:hAnsi="Arial" w:cs="Arial"/>
          <w:lang w:val="en-GB"/>
        </w:rPr>
        <w:t xml:space="preserve"> for taking care of them</w:t>
      </w:r>
      <w:r w:rsidRPr="0091170F">
        <w:rPr>
          <w:rFonts w:ascii="Arial" w:hAnsi="Arial" w:cs="Arial"/>
          <w:lang w:val="en-GB"/>
        </w:rPr>
        <w:t xml:space="preserve">. In </w:t>
      </w:r>
      <w:r>
        <w:rPr>
          <w:rFonts w:ascii="Arial" w:hAnsi="Arial" w:cs="Arial"/>
          <w:lang w:val="en-GB"/>
        </w:rPr>
        <w:t>occasions</w:t>
      </w:r>
      <w:r w:rsidRPr="0091170F">
        <w:rPr>
          <w:rFonts w:ascii="Arial" w:hAnsi="Arial" w:cs="Arial"/>
          <w:lang w:val="en-GB"/>
        </w:rPr>
        <w:t xml:space="preserve">, this will mean leaving family members with disability in extremely vulnerable situations, </w:t>
      </w:r>
      <w:r>
        <w:rPr>
          <w:rFonts w:ascii="Arial" w:hAnsi="Arial" w:cs="Arial"/>
          <w:lang w:val="en-GB"/>
        </w:rPr>
        <w:t>e.g.</w:t>
      </w:r>
      <w:r w:rsidRPr="0091170F">
        <w:rPr>
          <w:rFonts w:ascii="Arial" w:hAnsi="Arial" w:cs="Arial"/>
          <w:lang w:val="en-GB"/>
        </w:rPr>
        <w:t xml:space="preserve"> as in war, under </w:t>
      </w:r>
      <w:bookmarkStart w:id="6" w:name="_Ref322523680"/>
      <w:r w:rsidRPr="0091170F">
        <w:rPr>
          <w:rFonts w:ascii="Arial" w:hAnsi="Arial" w:cs="Arial"/>
          <w:lang w:val="en-GB"/>
        </w:rPr>
        <w:t>persecution, or civil unrest.</w:t>
      </w:r>
      <w:r w:rsidRPr="00DC1EA8">
        <w:rPr>
          <w:vertAlign w:val="superscript"/>
        </w:rPr>
        <w:endnoteReference w:id="23"/>
      </w:r>
      <w:bookmarkEnd w:id="6"/>
      <w:r w:rsidRPr="0091170F">
        <w:rPr>
          <w:rFonts w:ascii="Arial" w:hAnsi="Arial" w:cs="Arial"/>
          <w:lang w:val="en-GB"/>
        </w:rPr>
        <w:t xml:space="preserve"> </w:t>
      </w:r>
    </w:p>
    <w:p w14:paraId="64491463"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1BF68C20" w14:textId="3B149E6A" w:rsidR="00DC77D9" w:rsidRPr="00E30CBF"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E30CBF">
        <w:rPr>
          <w:rFonts w:ascii="Arial" w:hAnsi="Arial" w:cs="Arial"/>
          <w:lang w:val="en-GB"/>
        </w:rPr>
        <w:t>The UN High Commissioner for Refugees (UNHCR) has expressed concern about the discriminatory effect of the health requirement</w:t>
      </w:r>
      <w:r>
        <w:rPr>
          <w:rFonts w:ascii="Arial" w:hAnsi="Arial" w:cs="Arial"/>
          <w:lang w:val="en-GB"/>
        </w:rPr>
        <w:t xml:space="preserve"> in the following manner</w:t>
      </w:r>
      <w:r w:rsidRPr="00E30CBF">
        <w:rPr>
          <w:rFonts w:ascii="Arial" w:hAnsi="Arial" w:cs="Arial"/>
          <w:lang w:val="en-GB"/>
        </w:rPr>
        <w:t>: “The present operation of the health requirement is discriminatory in effect and endangers a number of other human rights norms</w:t>
      </w:r>
      <w:r>
        <w:rPr>
          <w:rFonts w:ascii="Arial" w:hAnsi="Arial" w:cs="Arial"/>
          <w:lang w:val="en-GB"/>
        </w:rPr>
        <w:t>.</w:t>
      </w:r>
      <w:r w:rsidRPr="00E30CBF">
        <w:rPr>
          <w:rFonts w:ascii="Arial" w:hAnsi="Arial" w:cs="Arial"/>
          <w:lang w:val="en-GB"/>
        </w:rPr>
        <w:t>”</w:t>
      </w:r>
      <w:r w:rsidRPr="00E30CBF">
        <w:rPr>
          <w:rStyle w:val="EndnoteReference"/>
          <w:rFonts w:ascii="Arial" w:hAnsi="Arial" w:cs="Arial"/>
          <w:lang w:val="en-GB"/>
        </w:rPr>
        <w:endnoteReference w:id="24"/>
      </w:r>
      <w:r w:rsidRPr="00E30CBF">
        <w:rPr>
          <w:rFonts w:ascii="Arial" w:hAnsi="Arial" w:cs="Arial"/>
          <w:lang w:val="en-GB"/>
        </w:rPr>
        <w:t xml:space="preserve"> The CRPD Committee recommended </w:t>
      </w:r>
      <w:r>
        <w:rPr>
          <w:rFonts w:ascii="Arial" w:hAnsi="Arial" w:cs="Arial"/>
          <w:lang w:val="en-GB"/>
        </w:rPr>
        <w:t xml:space="preserve">States to </w:t>
      </w:r>
      <w:r w:rsidRPr="00E30CBF">
        <w:rPr>
          <w:rFonts w:ascii="Arial" w:hAnsi="Arial" w:cs="Arial"/>
          <w:lang w:val="en-GB"/>
        </w:rPr>
        <w:t xml:space="preserve">repeal </w:t>
      </w:r>
      <w:r>
        <w:rPr>
          <w:rFonts w:ascii="Arial" w:hAnsi="Arial" w:cs="Arial"/>
          <w:lang w:val="en-GB"/>
        </w:rPr>
        <w:t>provisions</w:t>
      </w:r>
      <w:r w:rsidRPr="00E30CBF">
        <w:rPr>
          <w:rFonts w:ascii="Arial" w:hAnsi="Arial" w:cs="Arial"/>
          <w:lang w:val="en-GB"/>
        </w:rPr>
        <w:t xml:space="preserve"> that </w:t>
      </w:r>
      <w:r>
        <w:rPr>
          <w:rFonts w:ascii="Arial" w:hAnsi="Arial" w:cs="Arial"/>
          <w:lang w:val="en-GB"/>
        </w:rPr>
        <w:t>denied the entry to the country to</w:t>
      </w:r>
      <w:r w:rsidRPr="00E30CBF">
        <w:rPr>
          <w:rFonts w:ascii="Arial" w:hAnsi="Arial" w:cs="Arial"/>
          <w:lang w:val="en-GB"/>
        </w:rPr>
        <w:t xml:space="preserve"> persons with psychosocial disabilities “who lack reason and are not accompanied by an assistant for their sojourn.”</w:t>
      </w:r>
      <w:r w:rsidRPr="00E30CBF">
        <w:rPr>
          <w:rStyle w:val="EndnoteReference"/>
          <w:rFonts w:ascii="Arial" w:hAnsi="Arial" w:cs="Arial"/>
          <w:lang w:val="en-GB"/>
        </w:rPr>
        <w:endnoteReference w:id="25"/>
      </w:r>
      <w:r w:rsidRPr="00E30CBF">
        <w:rPr>
          <w:rFonts w:ascii="Arial" w:hAnsi="Arial" w:cs="Arial"/>
          <w:lang w:val="en-GB"/>
        </w:rPr>
        <w:t xml:space="preserve"> It has also recommended</w:t>
      </w:r>
      <w:r>
        <w:rPr>
          <w:rFonts w:ascii="Arial" w:hAnsi="Arial" w:cs="Arial"/>
          <w:lang w:val="en-GB"/>
        </w:rPr>
        <w:t xml:space="preserve"> Mexico</w:t>
      </w:r>
      <w:r w:rsidRPr="00E30CBF">
        <w:rPr>
          <w:rFonts w:ascii="Arial" w:hAnsi="Arial" w:cs="Arial"/>
          <w:lang w:val="en-GB"/>
        </w:rPr>
        <w:t xml:space="preserve"> to “[r]eview and harmonize the operational guidelines under the Migration Act to ensure that persons with disabilities are treated equally in the issuance of visas and entry permits.”</w:t>
      </w:r>
      <w:r w:rsidRPr="00E30CBF">
        <w:rPr>
          <w:rStyle w:val="EndnoteReference"/>
          <w:rFonts w:ascii="Arial" w:hAnsi="Arial" w:cs="Arial"/>
          <w:lang w:val="en-GB"/>
        </w:rPr>
        <w:endnoteReference w:id="26"/>
      </w:r>
      <w:r w:rsidRPr="00E30CBF">
        <w:rPr>
          <w:rFonts w:ascii="Arial" w:hAnsi="Arial" w:cs="Arial"/>
          <w:lang w:val="en-GB"/>
        </w:rPr>
        <w:t xml:space="preserve"> The CMWF has been clear in rejecting discriminatory provisions in migration </w:t>
      </w:r>
      <w:r w:rsidR="007816F0">
        <w:rPr>
          <w:rFonts w:ascii="Arial" w:hAnsi="Arial" w:cs="Arial"/>
          <w:lang w:val="en-GB"/>
        </w:rPr>
        <w:t>law on the basis of disability</w:t>
      </w:r>
      <w:r w:rsidRPr="00E30CBF">
        <w:rPr>
          <w:rFonts w:ascii="Arial" w:hAnsi="Arial" w:cs="Arial"/>
          <w:lang w:val="en-GB"/>
        </w:rPr>
        <w:t>.</w:t>
      </w:r>
      <w:r w:rsidRPr="00E30CBF">
        <w:rPr>
          <w:rStyle w:val="EndnoteReference"/>
          <w:rFonts w:ascii="Arial" w:hAnsi="Arial" w:cs="Arial"/>
          <w:lang w:val="en-GB"/>
        </w:rPr>
        <w:endnoteReference w:id="27"/>
      </w:r>
      <w:r w:rsidRPr="00E30CBF">
        <w:rPr>
          <w:rFonts w:ascii="Arial" w:hAnsi="Arial" w:cs="Arial"/>
          <w:lang w:val="en-GB"/>
        </w:rPr>
        <w:t xml:space="preserve"> </w:t>
      </w:r>
    </w:p>
    <w:p w14:paraId="3B5DE3BD" w14:textId="77777777" w:rsidR="00DC77D9" w:rsidRPr="00DB3277"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095E0D10" w14:textId="7D0E7436" w:rsidR="00DC77D9" w:rsidRPr="0091170F"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91170F">
        <w:rPr>
          <w:rFonts w:ascii="Arial" w:hAnsi="Arial" w:cs="Arial"/>
          <w:lang w:val="en-GB"/>
        </w:rPr>
        <w:t>Other legislations can include discriminatory provisions impacting migrant</w:t>
      </w:r>
      <w:r w:rsidR="007816F0">
        <w:rPr>
          <w:rFonts w:ascii="Arial" w:hAnsi="Arial" w:cs="Arial"/>
          <w:lang w:val="en-GB"/>
        </w:rPr>
        <w:t>s</w:t>
      </w:r>
      <w:r w:rsidRPr="0091170F">
        <w:rPr>
          <w:rFonts w:ascii="Arial" w:hAnsi="Arial" w:cs="Arial"/>
          <w:lang w:val="en-GB"/>
        </w:rPr>
        <w:t xml:space="preserve"> with disabilities and/or their family members with disabilities</w:t>
      </w:r>
      <w:r w:rsidR="007816F0">
        <w:rPr>
          <w:rFonts w:ascii="Arial" w:hAnsi="Arial" w:cs="Arial"/>
          <w:lang w:val="en-GB"/>
        </w:rPr>
        <w:t>, e.g.</w:t>
      </w:r>
      <w:r>
        <w:rPr>
          <w:rFonts w:ascii="Arial" w:hAnsi="Arial" w:cs="Arial"/>
          <w:lang w:val="en-GB"/>
        </w:rPr>
        <w:t xml:space="preserve"> by</w:t>
      </w:r>
      <w:r w:rsidRPr="0091170F">
        <w:rPr>
          <w:rFonts w:ascii="Arial" w:hAnsi="Arial" w:cs="Arial"/>
          <w:lang w:val="en-GB"/>
        </w:rPr>
        <w:t xml:space="preserve"> denying the</w:t>
      </w:r>
      <w:r>
        <w:rPr>
          <w:rFonts w:ascii="Arial" w:hAnsi="Arial" w:cs="Arial"/>
          <w:lang w:val="en-GB"/>
        </w:rPr>
        <w:t>m</w:t>
      </w:r>
      <w:r w:rsidRPr="0091170F">
        <w:rPr>
          <w:rFonts w:ascii="Arial" w:hAnsi="Arial" w:cs="Arial"/>
          <w:lang w:val="en-GB"/>
        </w:rPr>
        <w:t xml:space="preserve"> access to health and social services. In this vein, the CRPD Committee has noted </w:t>
      </w:r>
      <w:r w:rsidRPr="0091170F">
        <w:rPr>
          <w:rFonts w:ascii="Arial" w:hAnsi="Arial" w:cs="Arial"/>
        </w:rPr>
        <w:t>the lack of appropriate social and health care services for migrant, asylum seeking and refugee persons with disabilities, in particular children with disabilities.</w:t>
      </w:r>
      <w:r w:rsidRPr="0091170F">
        <w:rPr>
          <w:rStyle w:val="EndnoteReference"/>
          <w:rFonts w:ascii="Arial" w:hAnsi="Arial" w:cs="Arial"/>
        </w:rPr>
        <w:endnoteReference w:id="28"/>
      </w:r>
      <w:r w:rsidRPr="0091170F">
        <w:rPr>
          <w:rFonts w:ascii="Arial" w:hAnsi="Arial" w:cs="Arial"/>
        </w:rPr>
        <w:t xml:space="preserve"> </w:t>
      </w:r>
      <w:r w:rsidRPr="0091170F">
        <w:rPr>
          <w:rFonts w:ascii="Arial" w:hAnsi="Arial" w:cs="Arial"/>
          <w:lang w:val="en-GB"/>
        </w:rPr>
        <w:t>This Committee has</w:t>
      </w:r>
      <w:r>
        <w:rPr>
          <w:rFonts w:ascii="Arial" w:hAnsi="Arial" w:cs="Arial"/>
          <w:lang w:val="en-GB"/>
        </w:rPr>
        <w:t xml:space="preserve"> </w:t>
      </w:r>
      <w:r w:rsidR="007816F0">
        <w:rPr>
          <w:rFonts w:ascii="Arial" w:hAnsi="Arial" w:cs="Arial"/>
          <w:lang w:val="en-GB"/>
        </w:rPr>
        <w:t>acknowledged</w:t>
      </w:r>
      <w:r>
        <w:rPr>
          <w:rFonts w:ascii="Arial" w:hAnsi="Arial" w:cs="Arial"/>
          <w:lang w:val="en-GB"/>
        </w:rPr>
        <w:t xml:space="preserve"> the discrimination </w:t>
      </w:r>
      <w:r w:rsidR="007816F0">
        <w:rPr>
          <w:rFonts w:ascii="Arial" w:hAnsi="Arial" w:cs="Arial"/>
          <w:lang w:val="en-GB"/>
        </w:rPr>
        <w:t>faced</w:t>
      </w:r>
      <w:r>
        <w:rPr>
          <w:rFonts w:ascii="Arial" w:hAnsi="Arial" w:cs="Arial"/>
          <w:lang w:val="en-GB"/>
        </w:rPr>
        <w:t xml:space="preserve"> by migrants with disabilities</w:t>
      </w:r>
      <w:r>
        <w:rPr>
          <w:rStyle w:val="EndnoteReference"/>
          <w:rFonts w:ascii="Arial" w:hAnsi="Arial" w:cs="Arial"/>
          <w:lang w:val="en-GB"/>
        </w:rPr>
        <w:endnoteReference w:id="29"/>
      </w:r>
      <w:r>
        <w:rPr>
          <w:rFonts w:ascii="Arial" w:hAnsi="Arial" w:cs="Arial"/>
          <w:lang w:val="en-GB"/>
        </w:rPr>
        <w:t xml:space="preserve"> </w:t>
      </w:r>
      <w:r w:rsidR="007816F0">
        <w:rPr>
          <w:rFonts w:ascii="Arial" w:hAnsi="Arial" w:cs="Arial"/>
          <w:lang w:val="en-GB"/>
        </w:rPr>
        <w:t>and</w:t>
      </w:r>
      <w:r>
        <w:rPr>
          <w:rFonts w:ascii="Arial" w:hAnsi="Arial" w:cs="Arial"/>
          <w:lang w:val="en-GB"/>
        </w:rPr>
        <w:t xml:space="preserve"> has</w:t>
      </w:r>
      <w:r w:rsidRPr="0091170F">
        <w:rPr>
          <w:rFonts w:ascii="Arial" w:hAnsi="Arial" w:cs="Arial"/>
          <w:lang w:val="en-GB"/>
        </w:rPr>
        <w:t xml:space="preserve"> noted that migrant children with disabilities may </w:t>
      </w:r>
      <w:r w:rsidR="007816F0">
        <w:rPr>
          <w:rFonts w:ascii="Arial" w:hAnsi="Arial" w:cs="Arial"/>
          <w:lang w:val="en-GB"/>
        </w:rPr>
        <w:t>face</w:t>
      </w:r>
      <w:r w:rsidRPr="0091170F">
        <w:rPr>
          <w:rFonts w:ascii="Arial" w:hAnsi="Arial" w:cs="Arial"/>
          <w:lang w:val="en-GB"/>
        </w:rPr>
        <w:t xml:space="preserve"> multiple discrimination</w:t>
      </w:r>
      <w:r w:rsidRPr="0091170F">
        <w:rPr>
          <w:rStyle w:val="EndnoteReference"/>
          <w:rFonts w:ascii="Arial" w:hAnsi="Arial" w:cs="Arial"/>
          <w:lang w:val="en-GB"/>
        </w:rPr>
        <w:endnoteReference w:id="30"/>
      </w:r>
      <w:r w:rsidRPr="0091170F">
        <w:rPr>
          <w:rFonts w:ascii="Arial" w:hAnsi="Arial" w:cs="Arial"/>
          <w:lang w:val="en-GB"/>
        </w:rPr>
        <w:t xml:space="preserve"> and double vulnerability.</w:t>
      </w:r>
      <w:r w:rsidRPr="0091170F">
        <w:rPr>
          <w:rStyle w:val="EndnoteReference"/>
          <w:rFonts w:ascii="Arial" w:hAnsi="Arial" w:cs="Arial"/>
          <w:lang w:val="en-GB"/>
        </w:rPr>
        <w:endnoteReference w:id="31"/>
      </w:r>
    </w:p>
    <w:p w14:paraId="42F5F792" w14:textId="0A15920A"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59DDD0CE" w14:textId="01AB34D9" w:rsidR="00DC77D9" w:rsidRPr="00E30CBF"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Such discriminatory frameworks and practices can extend c</w:t>
      </w:r>
      <w:r w:rsidRPr="006E3BDA">
        <w:rPr>
          <w:rFonts w:ascii="Arial" w:hAnsi="Arial" w:cs="Arial"/>
          <w:lang w:val="en-GB"/>
        </w:rPr>
        <w:t xml:space="preserve">onsequences </w:t>
      </w:r>
      <w:r>
        <w:rPr>
          <w:rFonts w:ascii="Arial" w:hAnsi="Arial" w:cs="Arial"/>
          <w:lang w:val="en-GB"/>
        </w:rPr>
        <w:t>to</w:t>
      </w:r>
      <w:r w:rsidRPr="006E3BDA">
        <w:rPr>
          <w:rFonts w:ascii="Arial" w:hAnsi="Arial" w:cs="Arial"/>
          <w:lang w:val="en-GB"/>
        </w:rPr>
        <w:t xml:space="preserve"> </w:t>
      </w:r>
      <w:r>
        <w:rPr>
          <w:rFonts w:ascii="Arial" w:hAnsi="Arial" w:cs="Arial"/>
          <w:lang w:val="en-GB"/>
        </w:rPr>
        <w:t xml:space="preserve">immigration </w:t>
      </w:r>
      <w:r w:rsidRPr="006E3BDA">
        <w:rPr>
          <w:rFonts w:ascii="Arial" w:hAnsi="Arial" w:cs="Arial"/>
          <w:lang w:val="en-GB"/>
        </w:rPr>
        <w:t>detention</w:t>
      </w:r>
      <w:r>
        <w:rPr>
          <w:rFonts w:ascii="Arial" w:hAnsi="Arial" w:cs="Arial"/>
          <w:lang w:val="en-GB"/>
        </w:rPr>
        <w:t>.</w:t>
      </w:r>
      <w:r w:rsidRPr="006E3BDA">
        <w:rPr>
          <w:rFonts w:ascii="Arial" w:hAnsi="Arial" w:cs="Arial"/>
          <w:lang w:val="en-GB"/>
        </w:rPr>
        <w:t xml:space="preserve"> </w:t>
      </w:r>
      <w:r>
        <w:rPr>
          <w:rFonts w:ascii="Arial" w:hAnsi="Arial" w:cs="Arial"/>
          <w:lang w:val="en-GB"/>
        </w:rPr>
        <w:t xml:space="preserve">For instance, </w:t>
      </w:r>
      <w:r w:rsidRPr="006E3BDA">
        <w:rPr>
          <w:rFonts w:ascii="Arial" w:hAnsi="Arial" w:cs="Arial"/>
          <w:lang w:val="en-GB"/>
        </w:rPr>
        <w:t xml:space="preserve">denying asylum or visas on the basis of disability is likely to increase the number of persons with disabilities in immigration detention, </w:t>
      </w:r>
      <w:r w:rsidRPr="00B626E8">
        <w:rPr>
          <w:rFonts w:ascii="Arial" w:hAnsi="Arial" w:cs="Arial"/>
        </w:rPr>
        <w:t>as</w:t>
      </w:r>
      <w:r w:rsidRPr="006E3BDA">
        <w:rPr>
          <w:rFonts w:ascii="Arial" w:hAnsi="Arial" w:cs="Arial"/>
          <w:lang w:val="en-GB"/>
        </w:rPr>
        <w:t xml:space="preserve"> highlighted for the case of children with disabilities.</w:t>
      </w:r>
      <w:r w:rsidRPr="00F03B10">
        <w:rPr>
          <w:rStyle w:val="EndnoteReference"/>
          <w:rFonts w:ascii="Arial" w:hAnsi="Arial" w:cs="Arial"/>
          <w:lang w:val="en-GB"/>
        </w:rPr>
        <w:endnoteReference w:id="32"/>
      </w:r>
      <w:r w:rsidRPr="006E3BDA">
        <w:rPr>
          <w:rFonts w:ascii="Arial" w:hAnsi="Arial" w:cs="Arial"/>
          <w:lang w:val="en-GB"/>
        </w:rPr>
        <w:t xml:space="preserve"> </w:t>
      </w:r>
      <w:r>
        <w:rPr>
          <w:rFonts w:ascii="Arial" w:hAnsi="Arial" w:cs="Arial"/>
          <w:lang w:val="en-GB"/>
        </w:rPr>
        <w:t>Further, additional substantive and procedural requirements, together with the lack of support to persons with disabilities, can prolong the duration of immigration procedures exten</w:t>
      </w:r>
      <w:r w:rsidR="00EF2EE4">
        <w:rPr>
          <w:rFonts w:ascii="Arial" w:hAnsi="Arial" w:cs="Arial"/>
          <w:lang w:val="en-GB"/>
        </w:rPr>
        <w:t>ding</w:t>
      </w:r>
      <w:r>
        <w:rPr>
          <w:rFonts w:ascii="Arial" w:hAnsi="Arial" w:cs="Arial"/>
          <w:lang w:val="en-GB"/>
        </w:rPr>
        <w:t xml:space="preserve"> immigration detention.</w:t>
      </w:r>
      <w:r>
        <w:rPr>
          <w:rStyle w:val="EndnoteReference"/>
          <w:rFonts w:ascii="Arial" w:hAnsi="Arial" w:cs="Arial"/>
          <w:lang w:val="en-GB"/>
        </w:rPr>
        <w:endnoteReference w:id="33"/>
      </w:r>
      <w:r>
        <w:rPr>
          <w:rFonts w:ascii="Arial" w:hAnsi="Arial" w:cs="Arial"/>
          <w:lang w:val="en-GB"/>
        </w:rPr>
        <w:t xml:space="preserve"> </w:t>
      </w:r>
    </w:p>
    <w:p w14:paraId="7A52EF09"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7A7949E3" w14:textId="0489998F" w:rsidR="005C48D8"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The CRPD, notably Articles 2, 5</w:t>
      </w:r>
      <w:r w:rsidR="005C48D8">
        <w:rPr>
          <w:rFonts w:ascii="Arial" w:hAnsi="Arial" w:cs="Arial"/>
          <w:lang w:val="en-GB"/>
        </w:rPr>
        <w:t>, 13</w:t>
      </w:r>
      <w:r>
        <w:rPr>
          <w:rFonts w:ascii="Arial" w:hAnsi="Arial" w:cs="Arial"/>
          <w:lang w:val="en-GB"/>
        </w:rPr>
        <w:t xml:space="preserve"> and 18, and the CRPD Committee jurisprudence on their regard, have contributed to strengthen human rights standards on non-discrimination of migrant workers and/or their relatives with disabilities. In particular, the explicit incorporation of denial of reasonable accommodation as a form</w:t>
      </w:r>
      <w:r w:rsidR="00566E21">
        <w:rPr>
          <w:rFonts w:ascii="Arial" w:hAnsi="Arial" w:cs="Arial"/>
          <w:lang w:val="en-GB"/>
        </w:rPr>
        <w:t xml:space="preserve"> of discrimination offers</w:t>
      </w:r>
      <w:r>
        <w:rPr>
          <w:rFonts w:ascii="Arial" w:hAnsi="Arial" w:cs="Arial"/>
          <w:lang w:val="en-GB"/>
        </w:rPr>
        <w:t xml:space="preserve"> a key concept that operates in individual cases in connection to all rights.</w:t>
      </w:r>
      <w:r>
        <w:rPr>
          <w:rStyle w:val="EndnoteReference"/>
          <w:rFonts w:ascii="Arial" w:hAnsi="Arial" w:cs="Arial"/>
          <w:lang w:val="en-GB"/>
        </w:rPr>
        <w:endnoteReference w:id="34"/>
      </w:r>
      <w:r>
        <w:rPr>
          <w:rFonts w:ascii="Arial" w:hAnsi="Arial" w:cs="Arial"/>
          <w:lang w:val="en-GB"/>
        </w:rPr>
        <w:t xml:space="preserve"> </w:t>
      </w:r>
    </w:p>
    <w:p w14:paraId="1FD2C3CE" w14:textId="77777777" w:rsidR="005C48D8" w:rsidRDefault="005C48D8" w:rsidP="00751A67">
      <w:pPr>
        <w:pStyle w:val="ListBullet"/>
        <w:numPr>
          <w:ilvl w:val="0"/>
          <w:numId w:val="0"/>
        </w:numPr>
        <w:tabs>
          <w:tab w:val="left" w:pos="284"/>
          <w:tab w:val="left" w:pos="426"/>
        </w:tabs>
        <w:spacing w:after="0" w:line="240" w:lineRule="auto"/>
        <w:jc w:val="both"/>
        <w:rPr>
          <w:rFonts w:ascii="Arial" w:hAnsi="Arial" w:cs="Arial"/>
          <w:lang w:val="en-GB"/>
        </w:rPr>
      </w:pPr>
    </w:p>
    <w:p w14:paraId="4EC111B7" w14:textId="29095C8C" w:rsidR="00DC77D9" w:rsidRPr="005C48D8"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5C48D8">
        <w:rPr>
          <w:rFonts w:ascii="Arial" w:hAnsi="Arial" w:cs="Arial"/>
          <w:lang w:val="en-GB"/>
        </w:rPr>
        <w:t xml:space="preserve">Importantly, </w:t>
      </w:r>
      <w:r w:rsidRPr="005C48D8">
        <w:rPr>
          <w:rFonts w:ascii="Arial" w:hAnsi="Arial" w:cs="Arial"/>
          <w:b/>
          <w:lang w:val="en-GB"/>
        </w:rPr>
        <w:t>“procedural accommodation”</w:t>
      </w:r>
      <w:r w:rsidRPr="005C48D8">
        <w:rPr>
          <w:rFonts w:ascii="Arial" w:hAnsi="Arial" w:cs="Arial"/>
          <w:lang w:val="en-GB"/>
        </w:rPr>
        <w:t xml:space="preserve"> is the non-discriminatory concept that applies to legal proceedings, including administrative proceedings, and thus </w:t>
      </w:r>
      <w:r w:rsidRPr="005C48D8">
        <w:rPr>
          <w:rFonts w:ascii="Arial" w:hAnsi="Arial" w:cs="Arial"/>
          <w:b/>
          <w:bCs/>
          <w:lang w:val="en-GB"/>
        </w:rPr>
        <w:t>covering immigration related procedures, be them judicial or administrative</w:t>
      </w:r>
      <w:r w:rsidRPr="005C48D8">
        <w:rPr>
          <w:rFonts w:ascii="Arial" w:hAnsi="Arial" w:cs="Arial"/>
          <w:lang w:val="en-GB"/>
        </w:rPr>
        <w:t>.</w:t>
      </w:r>
      <w:r>
        <w:rPr>
          <w:rStyle w:val="EndnoteReference"/>
          <w:rFonts w:ascii="Arial" w:hAnsi="Arial" w:cs="Arial"/>
          <w:lang w:val="en-GB"/>
        </w:rPr>
        <w:endnoteReference w:id="35"/>
      </w:r>
      <w:r w:rsidRPr="005C48D8">
        <w:rPr>
          <w:rFonts w:ascii="Arial" w:hAnsi="Arial" w:cs="Arial"/>
          <w:lang w:val="en-GB"/>
        </w:rPr>
        <w:t xml:space="preserve"> The main importance of this clarification is that “</w:t>
      </w:r>
      <w:r w:rsidR="00E87FE9">
        <w:rPr>
          <w:rFonts w:ascii="Arial" w:hAnsi="Arial" w:cs="Arial"/>
          <w:lang w:val="en-GB"/>
        </w:rPr>
        <w:t>reasonable</w:t>
      </w:r>
      <w:r w:rsidR="00E87FE9" w:rsidRPr="005C48D8">
        <w:rPr>
          <w:rFonts w:ascii="Arial" w:hAnsi="Arial" w:cs="Arial"/>
          <w:lang w:val="en-GB"/>
        </w:rPr>
        <w:t xml:space="preserve"> </w:t>
      </w:r>
      <w:r w:rsidRPr="005C48D8">
        <w:rPr>
          <w:rFonts w:ascii="Arial" w:hAnsi="Arial" w:cs="Arial"/>
          <w:lang w:val="en-GB"/>
        </w:rPr>
        <w:t xml:space="preserve">accommodation” is limited by the concept of disproportionality, </w:t>
      </w:r>
      <w:r w:rsidRPr="005C48D8">
        <w:rPr>
          <w:rFonts w:ascii="Arial" w:hAnsi="Arial" w:cs="Arial"/>
          <w:b/>
          <w:bCs/>
          <w:lang w:val="en-GB"/>
        </w:rPr>
        <w:t>procedural accommodations are not</w:t>
      </w:r>
      <w:r w:rsidRPr="005C48D8">
        <w:rPr>
          <w:rFonts w:ascii="Arial" w:hAnsi="Arial" w:cs="Arial"/>
          <w:lang w:val="en-GB"/>
        </w:rPr>
        <w:t>.”</w:t>
      </w:r>
      <w:r>
        <w:rPr>
          <w:rStyle w:val="EndnoteReference"/>
          <w:rFonts w:ascii="Arial" w:hAnsi="Arial" w:cs="Arial"/>
          <w:lang w:val="en-GB"/>
        </w:rPr>
        <w:endnoteReference w:id="36"/>
      </w:r>
      <w:r w:rsidRPr="005C48D8">
        <w:rPr>
          <w:rFonts w:ascii="Arial" w:hAnsi="Arial" w:cs="Arial"/>
          <w:lang w:val="en-GB"/>
        </w:rPr>
        <w:t xml:space="preserve"> Examples in practice of </w:t>
      </w:r>
      <w:r w:rsidRPr="005C48D8">
        <w:rPr>
          <w:rFonts w:ascii="Arial" w:hAnsi="Arial" w:cs="Arial"/>
          <w:lang w:val="en-GB"/>
        </w:rPr>
        <w:lastRenderedPageBreak/>
        <w:t xml:space="preserve">procedural accommodation are providing communication </w:t>
      </w:r>
      <w:r w:rsidR="0045374F">
        <w:rPr>
          <w:rFonts w:ascii="Arial" w:hAnsi="Arial" w:cs="Arial"/>
          <w:lang w:val="en-GB"/>
        </w:rPr>
        <w:t xml:space="preserve">support </w:t>
      </w:r>
      <w:r w:rsidRPr="005C48D8">
        <w:rPr>
          <w:rFonts w:ascii="Arial" w:hAnsi="Arial" w:cs="Arial"/>
          <w:lang w:val="en-GB"/>
        </w:rPr>
        <w:t>assistants</w:t>
      </w:r>
      <w:r w:rsidR="0045374F">
        <w:rPr>
          <w:rFonts w:ascii="Arial" w:hAnsi="Arial" w:cs="Arial"/>
          <w:lang w:val="en-GB"/>
        </w:rPr>
        <w:t xml:space="preserve"> (e.g. for persons with intellectual disabilities</w:t>
      </w:r>
      <w:r w:rsidRPr="005C48D8">
        <w:rPr>
          <w:rFonts w:ascii="Arial" w:hAnsi="Arial" w:cs="Arial"/>
          <w:lang w:val="en-GB"/>
        </w:rPr>
        <w:t>,</w:t>
      </w:r>
      <w:r w:rsidR="0045374F">
        <w:rPr>
          <w:rFonts w:ascii="Arial" w:hAnsi="Arial" w:cs="Arial"/>
          <w:lang w:val="en-GB"/>
        </w:rPr>
        <w:t xml:space="preserve"> persons with psychosocial disabilities and deaf persons)</w:t>
      </w:r>
      <w:r w:rsidRPr="005C48D8">
        <w:rPr>
          <w:rFonts w:ascii="Arial" w:hAnsi="Arial" w:cs="Arial"/>
          <w:lang w:val="en-GB"/>
        </w:rPr>
        <w:t xml:space="preserve"> adaptation of the venues, reduction of formality of procedures, etc.</w:t>
      </w:r>
      <w:r>
        <w:rPr>
          <w:rStyle w:val="EndnoteReference"/>
          <w:rFonts w:ascii="Arial" w:hAnsi="Arial" w:cs="Arial"/>
          <w:lang w:val="en-GB"/>
        </w:rPr>
        <w:endnoteReference w:id="37"/>
      </w:r>
    </w:p>
    <w:p w14:paraId="09D7F5D1"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66482AA8" w14:textId="7DFDB6CF" w:rsidR="00DC77D9" w:rsidRDefault="005C48D8"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C</w:t>
      </w:r>
      <w:r w:rsidR="00DC77D9">
        <w:rPr>
          <w:rFonts w:ascii="Arial" w:hAnsi="Arial" w:cs="Arial"/>
          <w:lang w:val="en-GB"/>
        </w:rPr>
        <w:t>omplementing each other, the CMWF Committee and the CRPD Committee have recommended to emphasize on “</w:t>
      </w:r>
      <w:r w:rsidR="00DC77D9" w:rsidRPr="00773040">
        <w:rPr>
          <w:rFonts w:ascii="Arial" w:hAnsi="Arial" w:cs="Arial"/>
          <w:lang w:val="en-GB"/>
        </w:rPr>
        <w:t>the policies and related regulations about the prevention of discriminatory practices towards migrant and refugee children with disabilities”</w:t>
      </w:r>
      <w:r w:rsidR="00DC77D9" w:rsidRPr="00773040">
        <w:rPr>
          <w:rStyle w:val="EndnoteReference"/>
          <w:rFonts w:ascii="Arial" w:hAnsi="Arial" w:cs="Arial"/>
          <w:lang w:val="en-GB"/>
        </w:rPr>
        <w:endnoteReference w:id="38"/>
      </w:r>
      <w:r w:rsidR="00DC77D9" w:rsidRPr="00773040">
        <w:rPr>
          <w:rFonts w:ascii="Arial" w:hAnsi="Arial" w:cs="Arial"/>
          <w:lang w:val="en-GB"/>
        </w:rPr>
        <w:t xml:space="preserve"> and to “</w:t>
      </w:r>
      <w:r w:rsidR="00DC77D9" w:rsidRPr="00773040">
        <w:rPr>
          <w:rFonts w:ascii="Arial" w:hAnsi="Arial" w:cs="Arial"/>
        </w:rPr>
        <w:t xml:space="preserve">mainstream the rights of persons with disabilities in </w:t>
      </w:r>
      <w:r>
        <w:rPr>
          <w:rFonts w:ascii="Arial" w:hAnsi="Arial" w:cs="Arial"/>
        </w:rPr>
        <w:t>[…]</w:t>
      </w:r>
      <w:r w:rsidR="00DC77D9" w:rsidRPr="00773040">
        <w:rPr>
          <w:rFonts w:ascii="Arial" w:hAnsi="Arial" w:cs="Arial"/>
        </w:rPr>
        <w:t xml:space="preserve"> migration, asylum seeking and refugee policies and programs</w:t>
      </w:r>
      <w:r>
        <w:rPr>
          <w:rFonts w:ascii="Arial" w:hAnsi="Arial" w:cs="Arial"/>
        </w:rPr>
        <w:t>…</w:t>
      </w:r>
      <w:r w:rsidR="00DC77D9" w:rsidRPr="00773040">
        <w:rPr>
          <w:rFonts w:ascii="Arial" w:hAnsi="Arial" w:cs="Arial"/>
        </w:rPr>
        <w:t>”</w:t>
      </w:r>
      <w:r w:rsidR="00DC77D9" w:rsidRPr="00773040">
        <w:rPr>
          <w:rStyle w:val="EndnoteReference"/>
          <w:rFonts w:ascii="Arial" w:hAnsi="Arial" w:cs="Arial"/>
        </w:rPr>
        <w:endnoteReference w:id="39"/>
      </w:r>
      <w:r w:rsidR="00DC77D9">
        <w:rPr>
          <w:rFonts w:ascii="Arial" w:hAnsi="Arial" w:cs="Arial"/>
          <w:lang w:val="en-GB"/>
        </w:rPr>
        <w:t xml:space="preserve"> </w:t>
      </w:r>
    </w:p>
    <w:p w14:paraId="627B7E5A" w14:textId="60246667" w:rsidR="00DC77D9" w:rsidRDefault="00DC77D9" w:rsidP="00751A67">
      <w:pPr>
        <w:tabs>
          <w:tab w:val="left" w:pos="284"/>
          <w:tab w:val="left" w:pos="426"/>
        </w:tabs>
        <w:jc w:val="both"/>
        <w:rPr>
          <w:rFonts w:ascii="Arial" w:hAnsi="Arial" w:cs="Arial"/>
          <w:lang w:val="en-GB"/>
        </w:rPr>
      </w:pPr>
    </w:p>
    <w:p w14:paraId="7511A5FC" w14:textId="1C1487D3" w:rsidR="00DC77D9" w:rsidRDefault="00DC77D9" w:rsidP="00751A67">
      <w:pPr>
        <w:pStyle w:val="Heading4"/>
        <w:tabs>
          <w:tab w:val="left" w:pos="284"/>
          <w:tab w:val="left" w:pos="426"/>
        </w:tabs>
        <w:jc w:val="both"/>
        <w:rPr>
          <w:lang w:val="en-GB"/>
        </w:rPr>
      </w:pPr>
      <w:r w:rsidRPr="001E1C12">
        <w:rPr>
          <w:lang w:val="en-GB"/>
        </w:rPr>
        <w:t>A.2. ACCESSIBILITY</w:t>
      </w:r>
      <w:r>
        <w:rPr>
          <w:lang w:val="en-GB"/>
        </w:rPr>
        <w:t xml:space="preserve"> THROUGHOUT MIGRATION POLICIES AND PRACTICE</w:t>
      </w:r>
    </w:p>
    <w:p w14:paraId="242F7C45" w14:textId="77777777" w:rsidR="00DC77D9" w:rsidRDefault="00DC77D9" w:rsidP="00751A67">
      <w:pPr>
        <w:tabs>
          <w:tab w:val="left" w:pos="284"/>
          <w:tab w:val="left" w:pos="426"/>
        </w:tabs>
        <w:jc w:val="both"/>
        <w:rPr>
          <w:rFonts w:ascii="Arial" w:hAnsi="Arial" w:cs="Arial"/>
          <w:highlight w:val="green"/>
          <w:lang w:val="en-GB"/>
        </w:rPr>
      </w:pPr>
    </w:p>
    <w:p w14:paraId="4CBF1D49" w14:textId="434FB812" w:rsidR="00DC77D9" w:rsidRPr="00B626E8"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C402F2">
        <w:rPr>
          <w:rFonts w:ascii="Arial" w:hAnsi="Arial" w:cs="Arial"/>
          <w:lang w:val="en-GB"/>
        </w:rPr>
        <w:t xml:space="preserve">Accessibility is a basic precondition for the exercise of rights by persons with disabilities, </w:t>
      </w:r>
      <w:r>
        <w:rPr>
          <w:rFonts w:ascii="Arial" w:hAnsi="Arial" w:cs="Arial"/>
          <w:lang w:val="en-GB"/>
        </w:rPr>
        <w:t>including</w:t>
      </w:r>
      <w:r w:rsidRPr="00C402F2">
        <w:rPr>
          <w:rFonts w:ascii="Arial" w:hAnsi="Arial" w:cs="Arial"/>
          <w:lang w:val="en-GB"/>
        </w:rPr>
        <w:t xml:space="preserve"> to participate fully and equally in society.</w:t>
      </w:r>
      <w:r w:rsidRPr="00C402F2">
        <w:rPr>
          <w:rStyle w:val="EndnoteReference"/>
          <w:rFonts w:ascii="Arial" w:hAnsi="Arial" w:cs="Arial"/>
          <w:lang w:val="en-GB"/>
        </w:rPr>
        <w:endnoteReference w:id="40"/>
      </w:r>
      <w:r w:rsidRPr="00C402F2">
        <w:rPr>
          <w:rFonts w:ascii="Arial" w:hAnsi="Arial" w:cs="Arial"/>
          <w:lang w:val="en-GB"/>
        </w:rPr>
        <w:t xml:space="preserve"> Article 9 of the CRPD requires </w:t>
      </w:r>
      <w:r w:rsidRPr="00B626E8">
        <w:rPr>
          <w:rFonts w:ascii="Arial" w:hAnsi="Arial" w:cs="Arial"/>
          <w:lang w:val="en-GB"/>
        </w:rPr>
        <w:t>States to “</w:t>
      </w:r>
      <w:r w:rsidRPr="00B626E8">
        <w:rPr>
          <w:rFonts w:ascii="Arial" w:hAnsi="Arial" w:cs="Arial"/>
          <w:color w:val="000000"/>
          <w:shd w:val="clear" w:color="auto" w:fill="FFFFFF"/>
        </w:rPr>
        <w:t>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p>
    <w:p w14:paraId="5AD35887" w14:textId="77777777" w:rsidR="00DC77D9" w:rsidRPr="00B626E8"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78F8192B" w14:textId="58CFD67A" w:rsidR="00DC77D9" w:rsidRDefault="00AA3768"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Migration policies </w:t>
      </w:r>
      <w:r w:rsidR="00DC77D9" w:rsidRPr="00842C78">
        <w:rPr>
          <w:rFonts w:ascii="Arial" w:hAnsi="Arial" w:cs="Arial"/>
          <w:lang w:val="en-GB"/>
        </w:rPr>
        <w:t>should ensure accessibility for persons with disabilit</w:t>
      </w:r>
      <w:r>
        <w:rPr>
          <w:rFonts w:ascii="Arial" w:hAnsi="Arial" w:cs="Arial"/>
          <w:lang w:val="en-GB"/>
        </w:rPr>
        <w:t>ies in its different dimensions</w:t>
      </w:r>
      <w:r w:rsidR="00DC77D9" w:rsidRPr="00842C78">
        <w:rPr>
          <w:rFonts w:ascii="Arial" w:hAnsi="Arial" w:cs="Arial"/>
          <w:lang w:val="en-GB"/>
        </w:rPr>
        <w:t xml:space="preserve">. In particular, lack of accessible information prevents </w:t>
      </w:r>
      <w:r>
        <w:rPr>
          <w:rFonts w:ascii="Arial" w:hAnsi="Arial" w:cs="Arial"/>
          <w:lang w:val="en-GB"/>
        </w:rPr>
        <w:t>migrants</w:t>
      </w:r>
      <w:r w:rsidR="00DC77D9" w:rsidRPr="00842C78">
        <w:rPr>
          <w:rFonts w:ascii="Arial" w:hAnsi="Arial" w:cs="Arial"/>
          <w:lang w:val="en-GB"/>
        </w:rPr>
        <w:t xml:space="preserve"> with disabilities from exercis</w:t>
      </w:r>
      <w:r w:rsidR="00DC77D9">
        <w:rPr>
          <w:rFonts w:ascii="Arial" w:hAnsi="Arial" w:cs="Arial"/>
          <w:lang w:val="en-GB"/>
        </w:rPr>
        <w:t>ing</w:t>
      </w:r>
      <w:r w:rsidR="00DC77D9" w:rsidRPr="00842C78">
        <w:rPr>
          <w:rFonts w:ascii="Arial" w:hAnsi="Arial" w:cs="Arial"/>
          <w:lang w:val="en-GB"/>
        </w:rPr>
        <w:t xml:space="preserve"> their rights and participate in migration procedures.</w:t>
      </w:r>
      <w:r>
        <w:rPr>
          <w:rFonts w:ascii="Arial" w:hAnsi="Arial" w:cs="Arial"/>
          <w:lang w:val="en-GB"/>
        </w:rPr>
        <w:t xml:space="preserve"> T</w:t>
      </w:r>
      <w:r w:rsidR="00DC77D9" w:rsidRPr="00842C78">
        <w:rPr>
          <w:rFonts w:ascii="Arial" w:hAnsi="Arial" w:cs="Arial"/>
          <w:lang w:val="en-GB"/>
        </w:rPr>
        <w:t>he CRPD Committee has urged States part</w:t>
      </w:r>
      <w:r w:rsidR="00DC77D9">
        <w:rPr>
          <w:rFonts w:ascii="Arial" w:hAnsi="Arial" w:cs="Arial"/>
          <w:lang w:val="en-GB"/>
        </w:rPr>
        <w:t xml:space="preserve">ies </w:t>
      </w:r>
      <w:r w:rsidR="00DC77D9" w:rsidRPr="00842C78">
        <w:rPr>
          <w:rFonts w:ascii="Arial" w:hAnsi="Arial" w:cs="Arial"/>
          <w:lang w:val="en-GB"/>
        </w:rPr>
        <w:t>“to ensure that all policies and programmes for migrant populations in the State party are fully accessible for persons with disabilities.”</w:t>
      </w:r>
      <w:r w:rsidR="00DC77D9" w:rsidRPr="00842C78">
        <w:rPr>
          <w:rStyle w:val="EndnoteReference"/>
          <w:rFonts w:ascii="Arial" w:hAnsi="Arial" w:cs="Arial"/>
          <w:lang w:val="en-GB"/>
        </w:rPr>
        <w:endnoteReference w:id="41"/>
      </w:r>
      <w:r w:rsidR="00DC77D9" w:rsidRPr="00842C78">
        <w:rPr>
          <w:rFonts w:ascii="Arial" w:hAnsi="Arial" w:cs="Arial"/>
          <w:lang w:val="en-GB"/>
        </w:rPr>
        <w:t xml:space="preserve"> In </w:t>
      </w:r>
      <w:r w:rsidR="00F57DAC">
        <w:rPr>
          <w:rFonts w:ascii="Arial" w:hAnsi="Arial" w:cs="Arial"/>
          <w:lang w:val="en-GB"/>
        </w:rPr>
        <w:t>addition</w:t>
      </w:r>
      <w:r w:rsidR="00DC77D9" w:rsidRPr="00842C78">
        <w:rPr>
          <w:rFonts w:ascii="Arial" w:hAnsi="Arial" w:cs="Arial"/>
          <w:lang w:val="en-GB"/>
        </w:rPr>
        <w:t xml:space="preserve">, it stressed that </w:t>
      </w:r>
      <w:r w:rsidR="00F57DAC">
        <w:rPr>
          <w:rFonts w:ascii="Arial" w:hAnsi="Arial" w:cs="Arial"/>
          <w:lang w:val="en-GB"/>
        </w:rPr>
        <w:t>materials</w:t>
      </w:r>
      <w:r w:rsidR="00DC77D9" w:rsidRPr="00842C78">
        <w:rPr>
          <w:rFonts w:ascii="Arial" w:hAnsi="Arial" w:cs="Arial"/>
          <w:lang w:val="en-GB"/>
        </w:rPr>
        <w:t xml:space="preserve"> should also be issued in “native languages of the main migrant communities”</w:t>
      </w:r>
      <w:r w:rsidR="00DC77D9" w:rsidRPr="00842C78">
        <w:rPr>
          <w:rStyle w:val="EndnoteReference"/>
          <w:rFonts w:ascii="Arial" w:hAnsi="Arial" w:cs="Arial"/>
          <w:lang w:val="en-GB"/>
        </w:rPr>
        <w:endnoteReference w:id="42"/>
      </w:r>
      <w:r w:rsidR="00DC77D9" w:rsidRPr="00842C78">
        <w:rPr>
          <w:rFonts w:ascii="Arial" w:hAnsi="Arial" w:cs="Arial"/>
          <w:lang w:val="en-GB"/>
        </w:rPr>
        <w:t xml:space="preserve"> in order to enable them to exercise their rights.</w:t>
      </w:r>
      <w:r w:rsidR="0045374F">
        <w:rPr>
          <w:rFonts w:ascii="Arial" w:hAnsi="Arial" w:cs="Arial"/>
          <w:lang w:val="en-GB"/>
        </w:rPr>
        <w:t xml:space="preserve"> In connection with languages and interpretation, and in addition to the stigma they face,</w:t>
      </w:r>
      <w:r w:rsidR="0045374F">
        <w:rPr>
          <w:rStyle w:val="EndnoteReference"/>
          <w:rFonts w:ascii="Arial" w:hAnsi="Arial" w:cs="Arial"/>
          <w:lang w:val="en-GB"/>
        </w:rPr>
        <w:endnoteReference w:id="43"/>
      </w:r>
      <w:r w:rsidR="0045374F">
        <w:rPr>
          <w:rFonts w:ascii="Arial" w:hAnsi="Arial" w:cs="Arial"/>
          <w:lang w:val="en-GB"/>
        </w:rPr>
        <w:t xml:space="preserve">  deaf migrants present greater risk of marginalisation due to their linguistic and social challenges,</w:t>
      </w:r>
      <w:r w:rsidR="0045374F">
        <w:rPr>
          <w:rStyle w:val="EndnoteReference"/>
          <w:rFonts w:ascii="Arial" w:hAnsi="Arial" w:cs="Arial"/>
          <w:lang w:val="en-GB"/>
        </w:rPr>
        <w:endnoteReference w:id="44"/>
      </w:r>
      <w:r w:rsidR="0045374F">
        <w:rPr>
          <w:rFonts w:ascii="Arial" w:hAnsi="Arial" w:cs="Arial"/>
          <w:lang w:val="en-GB"/>
        </w:rPr>
        <w:t xml:space="preserve"> which are increased by the lack of knowledge of the national sign language of the country of destination.</w:t>
      </w:r>
      <w:r w:rsidR="0045374F">
        <w:rPr>
          <w:rStyle w:val="EndnoteReference"/>
          <w:rFonts w:ascii="Arial" w:hAnsi="Arial" w:cs="Arial"/>
          <w:lang w:val="en-GB"/>
        </w:rPr>
        <w:endnoteReference w:id="45"/>
      </w:r>
      <w:r w:rsidR="0045374F">
        <w:rPr>
          <w:rFonts w:ascii="Arial" w:hAnsi="Arial" w:cs="Arial"/>
          <w:lang w:val="en-GB"/>
        </w:rPr>
        <w:t xml:space="preserve">  </w:t>
      </w:r>
      <w:r w:rsidR="00DC77D9" w:rsidRPr="00842C78">
        <w:rPr>
          <w:rFonts w:ascii="Arial" w:hAnsi="Arial" w:cs="Arial"/>
          <w:lang w:val="en-GB"/>
        </w:rPr>
        <w:t xml:space="preserve">  </w:t>
      </w:r>
    </w:p>
    <w:p w14:paraId="60EA7690"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1DD35A8A" w14:textId="3D1C8526" w:rsidR="00DC77D9" w:rsidRDefault="00F57DAC"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A</w:t>
      </w:r>
      <w:r w:rsidR="00DC77D9">
        <w:rPr>
          <w:rFonts w:ascii="Arial" w:hAnsi="Arial" w:cs="Arial"/>
          <w:lang w:val="en-GB"/>
        </w:rPr>
        <w:t>ll public facilities involved in migration policies, including immigration detention centres where they exist, should be accessible to all persons with disabilities (e.g. by including ramps, elevators, signage for blind persons, Easy to Read orientation signs,</w:t>
      </w:r>
      <w:r w:rsidR="0045374F">
        <w:rPr>
          <w:rFonts w:ascii="Arial" w:hAnsi="Arial" w:cs="Arial"/>
          <w:lang w:val="en-GB"/>
        </w:rPr>
        <w:t xml:space="preserve"> </w:t>
      </w:r>
      <w:r w:rsidR="0045374F" w:rsidRPr="0045374F">
        <w:rPr>
          <w:rFonts w:ascii="Arial" w:hAnsi="Arial" w:cs="Arial"/>
          <w:lang w:val="en-GB"/>
        </w:rPr>
        <w:t xml:space="preserve">visual alarm systems for deaf people, </w:t>
      </w:r>
      <w:r w:rsidR="00DC77D9">
        <w:rPr>
          <w:rFonts w:ascii="Arial" w:hAnsi="Arial" w:cs="Arial"/>
          <w:lang w:val="en-GB"/>
        </w:rPr>
        <w:t>etc.). Further, all information available and communications with persons with disabilities during immigration procedures should be provided through accessible means and formats (e.g. Braille, accessible digital documents, sign language interpretation</w:t>
      </w:r>
      <w:r w:rsidR="00027C85">
        <w:rPr>
          <w:rFonts w:ascii="Arial" w:hAnsi="Arial" w:cs="Arial"/>
          <w:lang w:val="en-GB"/>
        </w:rPr>
        <w:t xml:space="preserve">, </w:t>
      </w:r>
      <w:r w:rsidR="0045374F">
        <w:rPr>
          <w:rFonts w:ascii="Arial" w:hAnsi="Arial" w:cs="Arial"/>
          <w:lang w:val="en-GB"/>
        </w:rPr>
        <w:t>including deaf interpreters,</w:t>
      </w:r>
      <w:r w:rsidR="00DC77D9">
        <w:rPr>
          <w:rFonts w:ascii="Arial" w:hAnsi="Arial" w:cs="Arial"/>
          <w:lang w:val="en-GB"/>
        </w:rPr>
        <w:t xml:space="preserve"> tactile communication, captioning, hearing loop for hard of hearing persons, etc.).  </w:t>
      </w:r>
    </w:p>
    <w:p w14:paraId="29F00A27"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086AB1DB" w14:textId="0A2CE63D" w:rsidR="00DC77D9" w:rsidRPr="0045374F" w:rsidRDefault="003E700F" w:rsidP="0045374F">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T</w:t>
      </w:r>
      <w:r w:rsidR="00DC77D9">
        <w:rPr>
          <w:rFonts w:ascii="Arial" w:hAnsi="Arial" w:cs="Arial"/>
          <w:lang w:val="en-GB"/>
        </w:rPr>
        <w:t>he non-discrimination concepts of “reasonable accommodation”, in general, and of “procedural accommodation”, in connection with legal proceedings, can function as a means to obtain acc</w:t>
      </w:r>
      <w:r>
        <w:rPr>
          <w:rFonts w:ascii="Arial" w:hAnsi="Arial" w:cs="Arial"/>
          <w:lang w:val="en-GB"/>
        </w:rPr>
        <w:t>essibility in a particular case</w:t>
      </w:r>
      <w:r w:rsidRPr="0045374F">
        <w:rPr>
          <w:rFonts w:ascii="Arial" w:hAnsi="Arial" w:cs="Arial"/>
          <w:lang w:val="en-GB"/>
        </w:rPr>
        <w:t>. They do so</w:t>
      </w:r>
      <w:r w:rsidR="00DC77D9" w:rsidRPr="0045374F">
        <w:rPr>
          <w:rFonts w:ascii="Arial" w:hAnsi="Arial" w:cs="Arial"/>
          <w:lang w:val="en-GB"/>
        </w:rPr>
        <w:t xml:space="preserve"> </w:t>
      </w:r>
      <w:r w:rsidRPr="0045374F">
        <w:rPr>
          <w:rFonts w:ascii="Arial" w:hAnsi="Arial" w:cs="Arial"/>
          <w:lang w:val="en-GB"/>
        </w:rPr>
        <w:t>when</w:t>
      </w:r>
      <w:r w:rsidR="00DC77D9" w:rsidRPr="0045374F">
        <w:rPr>
          <w:rFonts w:ascii="Arial" w:hAnsi="Arial" w:cs="Arial"/>
          <w:lang w:val="en-GB"/>
        </w:rPr>
        <w:t xml:space="preserve"> addressing </w:t>
      </w:r>
      <w:r w:rsidRPr="0045374F">
        <w:rPr>
          <w:rFonts w:ascii="Arial" w:hAnsi="Arial" w:cs="Arial"/>
          <w:lang w:val="en-GB"/>
        </w:rPr>
        <w:t xml:space="preserve">an accessibility </w:t>
      </w:r>
      <w:r w:rsidR="00DC77D9" w:rsidRPr="0045374F">
        <w:rPr>
          <w:rFonts w:ascii="Arial" w:hAnsi="Arial" w:cs="Arial"/>
          <w:lang w:val="en-GB"/>
        </w:rPr>
        <w:t xml:space="preserve">need of the </w:t>
      </w:r>
      <w:r w:rsidRPr="0045374F">
        <w:rPr>
          <w:rFonts w:ascii="Arial" w:hAnsi="Arial" w:cs="Arial"/>
          <w:lang w:val="en-GB"/>
        </w:rPr>
        <w:t>person</w:t>
      </w:r>
      <w:r w:rsidR="00DC77D9" w:rsidRPr="0045374F">
        <w:rPr>
          <w:rFonts w:ascii="Arial" w:hAnsi="Arial" w:cs="Arial"/>
          <w:lang w:val="en-GB"/>
        </w:rPr>
        <w:t xml:space="preserve"> </w:t>
      </w:r>
      <w:r w:rsidRPr="0045374F">
        <w:rPr>
          <w:rFonts w:ascii="Arial" w:hAnsi="Arial" w:cs="Arial"/>
          <w:lang w:val="en-GB"/>
        </w:rPr>
        <w:t>requesting the</w:t>
      </w:r>
      <w:r w:rsidR="00DC77D9" w:rsidRPr="0045374F">
        <w:rPr>
          <w:rFonts w:ascii="Arial" w:hAnsi="Arial" w:cs="Arial"/>
          <w:lang w:val="en-GB"/>
        </w:rPr>
        <w:t xml:space="preserve"> accommodation (see para</w:t>
      </w:r>
      <w:r w:rsidRPr="0045374F">
        <w:rPr>
          <w:rFonts w:ascii="Arial" w:hAnsi="Arial" w:cs="Arial"/>
          <w:lang w:val="en-GB"/>
        </w:rPr>
        <w:t>s.</w:t>
      </w:r>
      <w:r w:rsidR="00DC77D9" w:rsidRPr="0045374F">
        <w:rPr>
          <w:rFonts w:ascii="Arial" w:hAnsi="Arial" w:cs="Arial"/>
          <w:lang w:val="en-GB"/>
        </w:rPr>
        <w:t xml:space="preserve"> 13</w:t>
      </w:r>
      <w:r w:rsidRPr="0045374F">
        <w:rPr>
          <w:rFonts w:ascii="Arial" w:hAnsi="Arial" w:cs="Arial"/>
          <w:lang w:val="en-GB"/>
        </w:rPr>
        <w:t>-</w:t>
      </w:r>
      <w:r w:rsidR="00DC77D9" w:rsidRPr="0045374F">
        <w:rPr>
          <w:rFonts w:ascii="Arial" w:hAnsi="Arial" w:cs="Arial"/>
          <w:lang w:val="en-GB"/>
        </w:rPr>
        <w:t>14 above)</w:t>
      </w:r>
      <w:r w:rsidR="0045374F">
        <w:rPr>
          <w:rFonts w:ascii="Arial" w:hAnsi="Arial" w:cs="Arial"/>
          <w:lang w:val="en-GB"/>
        </w:rPr>
        <w:t xml:space="preserve">, e.g. through </w:t>
      </w:r>
      <w:r w:rsidR="0045374F" w:rsidRPr="005C48D8">
        <w:rPr>
          <w:rFonts w:ascii="Arial" w:hAnsi="Arial" w:cs="Arial"/>
          <w:lang w:val="en-GB"/>
        </w:rPr>
        <w:t xml:space="preserve">communication </w:t>
      </w:r>
      <w:r w:rsidR="0045374F">
        <w:rPr>
          <w:rFonts w:ascii="Arial" w:hAnsi="Arial" w:cs="Arial"/>
          <w:lang w:val="en-GB"/>
        </w:rPr>
        <w:t xml:space="preserve">support </w:t>
      </w:r>
      <w:r w:rsidR="0045374F" w:rsidRPr="005C48D8">
        <w:rPr>
          <w:rFonts w:ascii="Arial" w:hAnsi="Arial" w:cs="Arial"/>
          <w:lang w:val="en-GB"/>
        </w:rPr>
        <w:t>assistants</w:t>
      </w:r>
      <w:r w:rsidR="0045374F">
        <w:rPr>
          <w:rFonts w:ascii="Arial" w:hAnsi="Arial" w:cs="Arial"/>
          <w:lang w:val="en-GB"/>
        </w:rPr>
        <w:t xml:space="preserve"> for persons with intellectual disabilities</w:t>
      </w:r>
      <w:r w:rsidR="0045374F" w:rsidRPr="005C48D8">
        <w:rPr>
          <w:rFonts w:ascii="Arial" w:hAnsi="Arial" w:cs="Arial"/>
          <w:lang w:val="en-GB"/>
        </w:rPr>
        <w:t>,</w:t>
      </w:r>
      <w:r w:rsidR="0045374F">
        <w:rPr>
          <w:rFonts w:ascii="Arial" w:hAnsi="Arial" w:cs="Arial"/>
          <w:lang w:val="en-GB"/>
        </w:rPr>
        <w:t xml:space="preserve"> persons with psychosocial disabilities and deaf persons</w:t>
      </w:r>
      <w:r w:rsidR="00DC77D9" w:rsidRPr="0045374F">
        <w:rPr>
          <w:rFonts w:ascii="Arial" w:hAnsi="Arial" w:cs="Arial"/>
          <w:lang w:val="en-GB"/>
        </w:rPr>
        <w:t>.</w:t>
      </w:r>
    </w:p>
    <w:p w14:paraId="50452D02"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08DC8D82" w14:textId="77777777" w:rsidR="00DC77D9" w:rsidRPr="001E1C12" w:rsidRDefault="00DC77D9" w:rsidP="00751A67">
      <w:pPr>
        <w:pStyle w:val="Heading3"/>
        <w:numPr>
          <w:ilvl w:val="0"/>
          <w:numId w:val="6"/>
        </w:numPr>
        <w:tabs>
          <w:tab w:val="left" w:pos="284"/>
          <w:tab w:val="left" w:pos="426"/>
        </w:tabs>
        <w:ind w:left="0" w:firstLine="0"/>
        <w:jc w:val="both"/>
        <w:rPr>
          <w:lang w:val="en-GB"/>
        </w:rPr>
      </w:pPr>
      <w:bookmarkStart w:id="7" w:name="_Toc54615529"/>
      <w:r w:rsidRPr="001E1C12">
        <w:rPr>
          <w:lang w:val="en-GB"/>
        </w:rPr>
        <w:t>DEPRIVATION OF LIBERTY OF PERSONS WITH DISABILITIES THROUGH MIGRATION DETENTION: THE IMPACT OF MIGRATION DETENTION AND ITS DERIVATION TO DISABILITY BASED DETENTION</w:t>
      </w:r>
      <w:bookmarkEnd w:id="7"/>
      <w:r w:rsidRPr="001E1C12">
        <w:rPr>
          <w:lang w:val="en-GB"/>
        </w:rPr>
        <w:t xml:space="preserve"> </w:t>
      </w:r>
    </w:p>
    <w:p w14:paraId="102D574C"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367AB263" w14:textId="32194257" w:rsidR="0045374F" w:rsidRPr="000F3A57" w:rsidRDefault="003E700F"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lastRenderedPageBreak/>
        <w:t>I</w:t>
      </w:r>
      <w:r w:rsidR="00DC77D9" w:rsidRPr="00F03B10">
        <w:rPr>
          <w:rFonts w:ascii="Arial" w:hAnsi="Arial" w:cs="Arial"/>
          <w:lang w:val="en-GB"/>
        </w:rPr>
        <w:t>mmigration detention can have a disproportionate impact on persons with disabilities on account of the migrant’s impairment, lack of support and associated stigma.</w:t>
      </w:r>
      <w:r w:rsidR="00DC77D9" w:rsidRPr="00F03B10">
        <w:rPr>
          <w:rStyle w:val="EndnoteReference"/>
          <w:rFonts w:ascii="Arial" w:hAnsi="Arial" w:cs="Arial"/>
          <w:lang w:val="en-GB"/>
        </w:rPr>
        <w:endnoteReference w:id="46"/>
      </w:r>
      <w:r w:rsidR="00DC77D9" w:rsidRPr="00F03B10">
        <w:rPr>
          <w:rFonts w:ascii="Arial" w:hAnsi="Arial" w:cs="Arial"/>
          <w:lang w:val="en-GB"/>
        </w:rPr>
        <w:t xml:space="preserve"> While some States recognise that the detention of migrants with disabilities should be avoided, this continues to occur,</w:t>
      </w:r>
      <w:r w:rsidR="00DC77D9" w:rsidRPr="00F03B10">
        <w:rPr>
          <w:rStyle w:val="EndnoteReference"/>
          <w:rFonts w:ascii="Arial" w:hAnsi="Arial" w:cs="Arial"/>
          <w:lang w:val="en-GB"/>
        </w:rPr>
        <w:endnoteReference w:id="47"/>
      </w:r>
      <w:r w:rsidR="00DC77D9" w:rsidRPr="00F03B10">
        <w:rPr>
          <w:rFonts w:ascii="Arial" w:hAnsi="Arial" w:cs="Arial"/>
          <w:lang w:val="en-GB"/>
        </w:rPr>
        <w:t xml:space="preserve"> most likely because of the stereotypes and prejudice against persons with psychosocial disabilities deemed “dangerous”.</w:t>
      </w:r>
      <w:r w:rsidR="00DC77D9" w:rsidRPr="00F03B10">
        <w:rPr>
          <w:rStyle w:val="EndnoteReference"/>
          <w:rFonts w:ascii="Arial" w:hAnsi="Arial" w:cs="Arial"/>
          <w:lang w:val="en-GB"/>
        </w:rPr>
        <w:endnoteReference w:id="48"/>
      </w:r>
      <w:r w:rsidR="00DC77D9" w:rsidRPr="00F03B10">
        <w:rPr>
          <w:rFonts w:ascii="Arial" w:hAnsi="Arial" w:cs="Arial"/>
          <w:lang w:val="en-GB"/>
        </w:rPr>
        <w:t xml:space="preserve"> </w:t>
      </w:r>
      <w:r w:rsidR="00DC77D9" w:rsidRPr="000F3A57">
        <w:rPr>
          <w:rFonts w:ascii="Arial" w:hAnsi="Arial" w:cs="Arial"/>
          <w:lang w:val="en-GB"/>
        </w:rPr>
        <w:t>Indeed, some practice shows that many of the detained migrants with disabilities are actually persons with psychosocial disabilities</w:t>
      </w:r>
      <w:r w:rsidR="00DC77D9" w:rsidRPr="00F03B10">
        <w:rPr>
          <w:rStyle w:val="EndnoteReference"/>
          <w:rFonts w:ascii="Arial" w:hAnsi="Arial" w:cs="Arial"/>
          <w:lang w:val="en-GB"/>
        </w:rPr>
        <w:endnoteReference w:id="49"/>
      </w:r>
      <w:r w:rsidR="00DC77D9" w:rsidRPr="000F3A57">
        <w:rPr>
          <w:rFonts w:ascii="Arial" w:hAnsi="Arial" w:cs="Arial"/>
          <w:lang w:val="en-GB"/>
        </w:rPr>
        <w:t xml:space="preserve"> who may end up being placed in psychiatric institutions.</w:t>
      </w:r>
      <w:r w:rsidR="00DC77D9" w:rsidRPr="00F03B10">
        <w:rPr>
          <w:rStyle w:val="EndnoteReference"/>
          <w:rFonts w:ascii="Arial" w:hAnsi="Arial" w:cs="Arial"/>
          <w:lang w:val="en-GB"/>
        </w:rPr>
        <w:endnoteReference w:id="50"/>
      </w:r>
      <w:r w:rsidR="00DC77D9" w:rsidRPr="000F3A57">
        <w:rPr>
          <w:rFonts w:ascii="Arial" w:hAnsi="Arial" w:cs="Arial"/>
          <w:lang w:val="en-GB"/>
        </w:rPr>
        <w:t xml:space="preserve"> In Canada, for instance, migrant detainees with psychosocial disabilities</w:t>
      </w:r>
      <w:r w:rsidR="00DC77D9">
        <w:rPr>
          <w:rStyle w:val="EndnoteReference"/>
          <w:rFonts w:ascii="Arial" w:hAnsi="Arial" w:cs="Arial"/>
          <w:lang w:val="en-GB"/>
        </w:rPr>
        <w:endnoteReference w:id="51"/>
      </w:r>
      <w:r w:rsidR="00DC77D9" w:rsidRPr="000F3A57">
        <w:rPr>
          <w:rFonts w:ascii="Arial" w:hAnsi="Arial" w:cs="Arial"/>
          <w:lang w:val="en-GB"/>
        </w:rPr>
        <w:t xml:space="preserve"> are routinely transferred from immigration detention centres to maximum security jails based on their impairments.</w:t>
      </w:r>
      <w:r w:rsidR="00DC77D9">
        <w:rPr>
          <w:rStyle w:val="EndnoteReference"/>
          <w:rFonts w:ascii="Arial" w:hAnsi="Arial" w:cs="Arial"/>
          <w:lang w:val="en-GB"/>
        </w:rPr>
        <w:endnoteReference w:id="52"/>
      </w:r>
      <w:r w:rsidR="0045374F">
        <w:rPr>
          <w:rFonts w:ascii="Arial" w:hAnsi="Arial" w:cs="Arial"/>
          <w:lang w:val="en-GB"/>
        </w:rPr>
        <w:t xml:space="preserve"> </w:t>
      </w:r>
    </w:p>
    <w:p w14:paraId="1C1A4726"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372845B6" w14:textId="29740C44" w:rsidR="00DC77D9" w:rsidRPr="00A92051"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A92051">
        <w:rPr>
          <w:rFonts w:ascii="Arial" w:hAnsi="Arial" w:cs="Arial"/>
          <w:bCs/>
          <w:lang w:val="en-GB"/>
        </w:rPr>
        <w:t xml:space="preserve">IDA welcomes that the CMWF Committee </w:t>
      </w:r>
      <w:r>
        <w:rPr>
          <w:rFonts w:ascii="Arial" w:hAnsi="Arial" w:cs="Arial"/>
          <w:bCs/>
          <w:lang w:val="en-GB"/>
        </w:rPr>
        <w:t xml:space="preserve">stresses on the need to avoid recurring to immigration detention </w:t>
      </w:r>
      <w:r w:rsidR="003E700F">
        <w:rPr>
          <w:rFonts w:ascii="Arial" w:hAnsi="Arial" w:cs="Arial"/>
          <w:bCs/>
          <w:lang w:val="en-GB"/>
        </w:rPr>
        <w:t>of persons with disabilities</w:t>
      </w:r>
      <w:r>
        <w:rPr>
          <w:rFonts w:ascii="Arial" w:hAnsi="Arial" w:cs="Arial"/>
          <w:bCs/>
          <w:lang w:val="en-GB"/>
        </w:rPr>
        <w:t xml:space="preserve"> </w:t>
      </w:r>
      <w:r w:rsidR="003E700F">
        <w:rPr>
          <w:rFonts w:ascii="Arial" w:hAnsi="Arial" w:cs="Arial"/>
          <w:bCs/>
          <w:lang w:val="en-GB"/>
        </w:rPr>
        <w:t>(</w:t>
      </w:r>
      <w:r>
        <w:rPr>
          <w:rFonts w:ascii="Arial" w:hAnsi="Arial" w:cs="Arial"/>
          <w:bCs/>
          <w:lang w:val="en-GB"/>
        </w:rPr>
        <w:t>para</w:t>
      </w:r>
      <w:r w:rsidR="003E700F">
        <w:rPr>
          <w:rFonts w:ascii="Arial" w:hAnsi="Arial" w:cs="Arial"/>
          <w:bCs/>
          <w:lang w:val="en-GB"/>
        </w:rPr>
        <w:t>.</w:t>
      </w:r>
      <w:r>
        <w:rPr>
          <w:rFonts w:ascii="Arial" w:hAnsi="Arial" w:cs="Arial"/>
          <w:bCs/>
          <w:lang w:val="en-GB"/>
        </w:rPr>
        <w:t xml:space="preserve"> 52 of the draft</w:t>
      </w:r>
      <w:r w:rsidR="003E700F">
        <w:rPr>
          <w:rFonts w:ascii="Arial" w:hAnsi="Arial" w:cs="Arial"/>
          <w:bCs/>
          <w:lang w:val="en-GB"/>
        </w:rPr>
        <w:t>)</w:t>
      </w:r>
      <w:r>
        <w:rPr>
          <w:rFonts w:ascii="Arial" w:hAnsi="Arial" w:cs="Arial"/>
          <w:bCs/>
          <w:lang w:val="en-GB"/>
        </w:rPr>
        <w:t>.</w:t>
      </w:r>
      <w:r w:rsidRPr="00A92051">
        <w:rPr>
          <w:rFonts w:ascii="Arial" w:hAnsi="Arial" w:cs="Arial"/>
          <w:bCs/>
          <w:lang w:val="en-GB"/>
        </w:rPr>
        <w:t xml:space="preserve"> </w:t>
      </w:r>
      <w:r w:rsidR="003E700F">
        <w:rPr>
          <w:rFonts w:ascii="Arial" w:hAnsi="Arial" w:cs="Arial"/>
          <w:bCs/>
          <w:lang w:val="en-GB"/>
        </w:rPr>
        <w:t>This</w:t>
      </w:r>
      <w:r>
        <w:rPr>
          <w:rFonts w:ascii="Arial" w:hAnsi="Arial" w:cs="Arial"/>
          <w:bCs/>
          <w:lang w:val="en-GB"/>
        </w:rPr>
        <w:t xml:space="preserve"> criterion would prevent exposing many persons with disabilities to human rights violations and abuses they usually face when deprived of their </w:t>
      </w:r>
      <w:r w:rsidRPr="00B626E8">
        <w:rPr>
          <w:rFonts w:ascii="Arial" w:hAnsi="Arial" w:cs="Arial"/>
          <w:lang w:val="en-GB"/>
        </w:rPr>
        <w:t>liberty</w:t>
      </w:r>
      <w:r>
        <w:rPr>
          <w:rFonts w:ascii="Arial" w:hAnsi="Arial" w:cs="Arial"/>
          <w:bCs/>
          <w:lang w:val="en-GB"/>
        </w:rPr>
        <w:t xml:space="preserve"> (see section D below), and needs to be accompanied </w:t>
      </w:r>
      <w:r w:rsidR="003E700F">
        <w:rPr>
          <w:rFonts w:ascii="Arial" w:hAnsi="Arial" w:cs="Arial"/>
          <w:bCs/>
          <w:lang w:val="en-GB"/>
        </w:rPr>
        <w:t>with</w:t>
      </w:r>
      <w:r>
        <w:rPr>
          <w:rFonts w:ascii="Arial" w:hAnsi="Arial" w:cs="Arial"/>
          <w:bCs/>
          <w:lang w:val="en-GB"/>
        </w:rPr>
        <w:t xml:space="preserve"> measures to support persons with disabilities to live independently and in the community (see section E</w:t>
      </w:r>
      <w:r w:rsidR="003E700F">
        <w:rPr>
          <w:rFonts w:ascii="Arial" w:hAnsi="Arial" w:cs="Arial"/>
          <w:bCs/>
          <w:lang w:val="en-GB"/>
        </w:rPr>
        <w:t xml:space="preserve"> below</w:t>
      </w:r>
      <w:r>
        <w:rPr>
          <w:rFonts w:ascii="Arial" w:hAnsi="Arial" w:cs="Arial"/>
          <w:bCs/>
          <w:lang w:val="en-GB"/>
        </w:rPr>
        <w:t>).</w:t>
      </w:r>
    </w:p>
    <w:p w14:paraId="1F0726D8" w14:textId="77777777" w:rsidR="00DC77D9" w:rsidRPr="00A92051"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7069EA22" w14:textId="02E48CA4" w:rsidR="00DC77D9" w:rsidRDefault="003E700F"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b/>
          <w:bCs/>
          <w:lang w:val="en-GB"/>
        </w:rPr>
        <w:t>However</w:t>
      </w:r>
      <w:r w:rsidR="00DC77D9" w:rsidRPr="002D7643">
        <w:rPr>
          <w:rFonts w:ascii="Arial" w:hAnsi="Arial" w:cs="Arial"/>
          <w:b/>
          <w:bCs/>
          <w:lang w:val="en-GB"/>
        </w:rPr>
        <w:t>, IDA remains extremely concerned at the inclusion, as a justification of immigration detention, of the ground of posing “a danger to himself or herself or to society” (para. 23 of the draft).</w:t>
      </w:r>
      <w:r>
        <w:rPr>
          <w:rFonts w:ascii="Arial" w:hAnsi="Arial" w:cs="Arial"/>
          <w:lang w:val="en-GB"/>
        </w:rPr>
        <w:t xml:space="preserve"> This concern is neither</w:t>
      </w:r>
      <w:r w:rsidR="00DC77D9">
        <w:rPr>
          <w:rFonts w:ascii="Arial" w:hAnsi="Arial" w:cs="Arial"/>
          <w:lang w:val="en-GB"/>
        </w:rPr>
        <w:t xml:space="preserve"> compensated nor eliminated by the clause requiring that “the threat posed […] must be substantiated by proven facts,” which would seek to increase the protection against immigration detention.    </w:t>
      </w:r>
    </w:p>
    <w:p w14:paraId="2A480700"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66A949A1" w14:textId="77777777" w:rsidR="00D15E88"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This ground of posing “</w:t>
      </w:r>
      <w:r w:rsidRPr="0077275E">
        <w:rPr>
          <w:rFonts w:ascii="Arial" w:hAnsi="Arial" w:cs="Arial"/>
          <w:lang w:val="en-GB"/>
        </w:rPr>
        <w:t>a danger to himself or herself or to society”</w:t>
      </w:r>
      <w:r>
        <w:rPr>
          <w:rFonts w:ascii="Arial" w:hAnsi="Arial" w:cs="Arial"/>
          <w:lang w:val="en-GB"/>
        </w:rPr>
        <w:t xml:space="preserve"> constitutes a typical ground of deprivation of liberty on the basis of impairments, regardless of the migration status, </w:t>
      </w:r>
      <w:r w:rsidR="003E700F">
        <w:rPr>
          <w:rFonts w:ascii="Arial" w:hAnsi="Arial" w:cs="Arial"/>
          <w:lang w:val="en-GB"/>
        </w:rPr>
        <w:t>leading</w:t>
      </w:r>
      <w:r>
        <w:rPr>
          <w:rFonts w:ascii="Arial" w:hAnsi="Arial" w:cs="Arial"/>
          <w:lang w:val="en-GB"/>
        </w:rPr>
        <w:t xml:space="preserve"> to forced hospitalisation and/or institutionalization of persons with psychosocial disabilities and persons with intellectual disabilities, be it </w:t>
      </w:r>
      <w:r w:rsidR="003E700F">
        <w:rPr>
          <w:rFonts w:ascii="Arial" w:hAnsi="Arial" w:cs="Arial"/>
          <w:lang w:val="en-GB"/>
        </w:rPr>
        <w:t>under</w:t>
      </w:r>
      <w:r>
        <w:rPr>
          <w:rFonts w:ascii="Arial" w:hAnsi="Arial" w:cs="Arial"/>
          <w:lang w:val="en-GB"/>
        </w:rPr>
        <w:t xml:space="preserve"> civil legislation and/or criminal legislation. In any case, these constitute discriminatory practices based on negative stereotypes and prejudice against persons with psychosocial disabilities who are deemed “dangerous,” leading to deprivation of liberty, most of the times, without </w:t>
      </w:r>
      <w:r w:rsidR="003E700F">
        <w:rPr>
          <w:rFonts w:ascii="Arial" w:hAnsi="Arial" w:cs="Arial"/>
          <w:lang w:val="en-GB"/>
        </w:rPr>
        <w:t xml:space="preserve">any </w:t>
      </w:r>
      <w:r>
        <w:rPr>
          <w:rFonts w:ascii="Arial" w:hAnsi="Arial" w:cs="Arial"/>
          <w:lang w:val="en-GB"/>
        </w:rPr>
        <w:t xml:space="preserve">time limitation and based on a medical diagnosis by a psychiatric professional. </w:t>
      </w:r>
      <w:r w:rsidR="003E700F">
        <w:rPr>
          <w:rFonts w:ascii="Arial" w:hAnsi="Arial" w:cs="Arial"/>
          <w:lang w:val="en-GB"/>
        </w:rPr>
        <w:t>IDA is worried that</w:t>
      </w:r>
      <w:r>
        <w:rPr>
          <w:rFonts w:ascii="Arial" w:hAnsi="Arial" w:cs="Arial"/>
          <w:lang w:val="en-GB"/>
        </w:rPr>
        <w:t xml:space="preserve"> such diagnoses </w:t>
      </w:r>
      <w:r w:rsidR="00D15E88">
        <w:rPr>
          <w:rFonts w:ascii="Arial" w:hAnsi="Arial" w:cs="Arial"/>
          <w:lang w:val="en-GB"/>
        </w:rPr>
        <w:t>would</w:t>
      </w:r>
      <w:r>
        <w:rPr>
          <w:rFonts w:ascii="Arial" w:hAnsi="Arial" w:cs="Arial"/>
          <w:lang w:val="en-GB"/>
        </w:rPr>
        <w:t xml:space="preserve"> be considered in practice enough to suggest the detention has been “substantiated by proven facts.” </w:t>
      </w:r>
    </w:p>
    <w:p w14:paraId="020EC435" w14:textId="77777777" w:rsidR="00D15E88" w:rsidRDefault="00D15E88" w:rsidP="00751A67">
      <w:pPr>
        <w:pStyle w:val="ListBullet"/>
        <w:numPr>
          <w:ilvl w:val="0"/>
          <w:numId w:val="0"/>
        </w:numPr>
        <w:tabs>
          <w:tab w:val="left" w:pos="284"/>
          <w:tab w:val="left" w:pos="426"/>
        </w:tabs>
        <w:spacing w:after="0" w:line="240" w:lineRule="auto"/>
        <w:jc w:val="both"/>
        <w:rPr>
          <w:rFonts w:ascii="Arial" w:hAnsi="Arial" w:cs="Arial"/>
          <w:lang w:val="en-GB"/>
        </w:rPr>
      </w:pPr>
    </w:p>
    <w:p w14:paraId="091DBF3D" w14:textId="101D3B25" w:rsidR="00DC77D9" w:rsidRPr="00D15E88" w:rsidRDefault="00D15E88"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T</w:t>
      </w:r>
      <w:r w:rsidR="00DC77D9">
        <w:rPr>
          <w:rFonts w:ascii="Arial" w:hAnsi="Arial" w:cs="Arial"/>
          <w:lang w:val="en-GB"/>
        </w:rPr>
        <w:t xml:space="preserve">hese practices are always contrary to Article 14(1) of the CRPD on the right to liberty and security of person. </w:t>
      </w:r>
      <w:r w:rsidR="00DC77D9" w:rsidRPr="00D15E88">
        <w:rPr>
          <w:rFonts w:ascii="Arial" w:hAnsi="Arial" w:cs="Arial"/>
          <w:lang w:val="en-GB"/>
        </w:rPr>
        <w:t>On this regard, the CRPD Committee has explicitly established the absolute ban on deprivation of liberty on the basis of impairments: “article 14 does not permit any exceptions whereby persons may be detained on the grounds of their actual or perceived impairment.”</w:t>
      </w:r>
      <w:r w:rsidR="00DC77D9">
        <w:rPr>
          <w:rStyle w:val="EndnoteReference"/>
          <w:rFonts w:ascii="Arial" w:hAnsi="Arial" w:cs="Arial"/>
          <w:lang w:val="en-GB"/>
        </w:rPr>
        <w:endnoteReference w:id="53"/>
      </w:r>
      <w:r w:rsidR="00DC77D9" w:rsidRPr="00D15E88">
        <w:rPr>
          <w:rFonts w:ascii="Arial" w:hAnsi="Arial" w:cs="Arial"/>
          <w:lang w:val="en-GB"/>
        </w:rPr>
        <w:t xml:space="preserve"> In the words of the former Special Rapporteur on the Rights of Persons with Disabilities, Ms Catalina Devandas Aguilar:</w:t>
      </w:r>
    </w:p>
    <w:p w14:paraId="553E2BCD" w14:textId="77777777" w:rsidR="00DC77D9" w:rsidRDefault="00DC77D9" w:rsidP="0002688C">
      <w:pPr>
        <w:pStyle w:val="ListBullet"/>
        <w:numPr>
          <w:ilvl w:val="0"/>
          <w:numId w:val="0"/>
        </w:numPr>
        <w:tabs>
          <w:tab w:val="left" w:pos="284"/>
          <w:tab w:val="left" w:pos="426"/>
        </w:tabs>
        <w:spacing w:after="0" w:line="240" w:lineRule="auto"/>
        <w:ind w:left="284" w:right="521"/>
        <w:jc w:val="both"/>
        <w:rPr>
          <w:rFonts w:ascii="Arial" w:hAnsi="Arial" w:cs="Arial"/>
          <w:bCs/>
          <w:lang w:val="en-GB"/>
        </w:rPr>
      </w:pPr>
    </w:p>
    <w:p w14:paraId="4D232A7E" w14:textId="369A867E" w:rsidR="00DC77D9" w:rsidRPr="00AC1CF0" w:rsidRDefault="00DC77D9" w:rsidP="0002688C">
      <w:pPr>
        <w:pStyle w:val="ListParagraph"/>
        <w:tabs>
          <w:tab w:val="left" w:pos="284"/>
          <w:tab w:val="left" w:pos="426"/>
        </w:tabs>
        <w:ind w:left="284" w:right="423"/>
        <w:jc w:val="both"/>
        <w:rPr>
          <w:rFonts w:ascii="Arial" w:eastAsia="Times New Roman" w:hAnsi="Arial" w:cs="Arial"/>
          <w:sz w:val="20"/>
          <w:szCs w:val="20"/>
          <w:lang w:val="en-US"/>
        </w:rPr>
      </w:pPr>
      <w:r w:rsidRPr="00AC1CF0">
        <w:rPr>
          <w:rFonts w:ascii="Arial" w:eastAsia="Times New Roman" w:hAnsi="Arial" w:cs="Arial"/>
          <w:sz w:val="20"/>
          <w:szCs w:val="20"/>
          <w:lang w:val="en-US"/>
        </w:rPr>
        <w:t xml:space="preserve">“85. The </w:t>
      </w:r>
      <w:r w:rsidRPr="00AC1CF0">
        <w:rPr>
          <w:rFonts w:ascii="Arial" w:eastAsia="Times New Roman" w:hAnsi="Arial" w:cs="Arial"/>
          <w:b/>
          <w:bCs/>
          <w:sz w:val="20"/>
          <w:szCs w:val="20"/>
          <w:lang w:val="en-US"/>
        </w:rPr>
        <w:t>deprivation of liberty on the basis of impairment is a human rights violation on a massive scale</w:t>
      </w:r>
      <w:r w:rsidRPr="00AC1CF0">
        <w:rPr>
          <w:rFonts w:ascii="Arial" w:eastAsia="Times New Roman" w:hAnsi="Arial" w:cs="Arial"/>
          <w:sz w:val="20"/>
          <w:szCs w:val="20"/>
          <w:lang w:val="en-US"/>
        </w:rPr>
        <w:t xml:space="preserve">. Persons with disabilities are systematically placed into institutions and psychiatric facilities, or detained at home and other community settings, based on the existence or presumption of having an impairment. </w:t>
      </w:r>
      <w:r w:rsidRPr="00AC1CF0">
        <w:rPr>
          <w:rFonts w:ascii="Arial" w:eastAsia="Times New Roman" w:hAnsi="Arial" w:cs="Arial"/>
          <w:b/>
          <w:bCs/>
          <w:sz w:val="20"/>
          <w:szCs w:val="20"/>
          <w:lang w:val="en-US"/>
        </w:rPr>
        <w:t>They are also overrepresented in traditional places of deprivation of liberty, such as prisons, immigration detention centres,</w:t>
      </w:r>
      <w:r w:rsidRPr="00AC1CF0">
        <w:rPr>
          <w:rFonts w:ascii="Arial" w:eastAsia="Times New Roman" w:hAnsi="Arial" w:cs="Arial"/>
          <w:sz w:val="20"/>
          <w:szCs w:val="20"/>
          <w:lang w:val="en-US"/>
        </w:rPr>
        <w:t xml:space="preserve"> juvenile detention facilities and children’s residential institutions. In all these settings, they are exposed to additional human rights violations, such as forced treatment, seclusion and restraints.”</w:t>
      </w:r>
      <w:r w:rsidRPr="00AC1CF0">
        <w:rPr>
          <w:rStyle w:val="EndnoteReference"/>
          <w:rFonts w:ascii="Arial" w:eastAsia="Times New Roman" w:hAnsi="Arial" w:cs="Arial"/>
          <w:sz w:val="20"/>
          <w:szCs w:val="20"/>
          <w:lang w:val="en-US"/>
        </w:rPr>
        <w:endnoteReference w:id="54"/>
      </w:r>
    </w:p>
    <w:p w14:paraId="59220780" w14:textId="5D241BED" w:rsidR="00DC77D9" w:rsidRPr="00663CF9" w:rsidRDefault="00D15E88"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T</w:t>
      </w:r>
      <w:r w:rsidR="00DC77D9">
        <w:rPr>
          <w:rFonts w:ascii="Arial" w:hAnsi="Arial" w:cs="Arial"/>
          <w:lang w:val="en-GB"/>
        </w:rPr>
        <w:t>he inclusion of the ground “</w:t>
      </w:r>
      <w:r w:rsidR="00DC77D9" w:rsidRPr="0077275E">
        <w:rPr>
          <w:rFonts w:ascii="Arial" w:hAnsi="Arial" w:cs="Arial"/>
          <w:lang w:val="en-GB"/>
        </w:rPr>
        <w:t>a danger to himself or herself or to society”</w:t>
      </w:r>
      <w:r w:rsidR="00DC77D9">
        <w:rPr>
          <w:rFonts w:ascii="Arial" w:hAnsi="Arial" w:cs="Arial"/>
          <w:lang w:val="en-GB"/>
        </w:rPr>
        <w:t xml:space="preserve"> </w:t>
      </w:r>
      <w:r>
        <w:rPr>
          <w:rFonts w:ascii="Arial" w:hAnsi="Arial" w:cs="Arial"/>
          <w:lang w:val="en-GB"/>
        </w:rPr>
        <w:t>provides a clear</w:t>
      </w:r>
      <w:r w:rsidR="00DC77D9">
        <w:rPr>
          <w:rFonts w:ascii="Arial" w:hAnsi="Arial" w:cs="Arial"/>
          <w:lang w:val="en-GB"/>
        </w:rPr>
        <w:t xml:space="preserve"> </w:t>
      </w:r>
      <w:r w:rsidR="00DC77D9" w:rsidRPr="000F3A57">
        <w:rPr>
          <w:rFonts w:ascii="Arial" w:hAnsi="Arial" w:cs="Arial"/>
          <w:lang w:val="en-GB"/>
        </w:rPr>
        <w:t>entry point</w:t>
      </w:r>
      <w:r w:rsidR="00DC77D9">
        <w:rPr>
          <w:rFonts w:ascii="Arial" w:hAnsi="Arial" w:cs="Arial"/>
          <w:lang w:val="en-GB"/>
        </w:rPr>
        <w:t xml:space="preserve"> </w:t>
      </w:r>
      <w:r>
        <w:rPr>
          <w:rFonts w:ascii="Arial" w:hAnsi="Arial" w:cs="Arial"/>
          <w:lang w:val="en-GB"/>
        </w:rPr>
        <w:t>for</w:t>
      </w:r>
      <w:r w:rsidR="00DC77D9">
        <w:rPr>
          <w:rFonts w:ascii="Arial" w:hAnsi="Arial" w:cs="Arial"/>
          <w:lang w:val="en-GB"/>
        </w:rPr>
        <w:t xml:space="preserve"> the</w:t>
      </w:r>
      <w:r w:rsidR="00DC77D9" w:rsidRPr="000F3A57">
        <w:rPr>
          <w:rFonts w:ascii="Arial" w:hAnsi="Arial" w:cs="Arial"/>
          <w:lang w:val="en-GB"/>
        </w:rPr>
        <w:t xml:space="preserve"> deprivation of liberty on the basis of impairments of migrants with </w:t>
      </w:r>
      <w:r w:rsidR="00DC77D9" w:rsidRPr="000F3A57">
        <w:rPr>
          <w:rFonts w:ascii="Arial" w:hAnsi="Arial" w:cs="Arial"/>
          <w:lang w:val="en-GB"/>
        </w:rPr>
        <w:lastRenderedPageBreak/>
        <w:t>psychosocial disabilities</w:t>
      </w:r>
      <w:r w:rsidR="00DC77D9">
        <w:rPr>
          <w:rFonts w:ascii="Arial" w:hAnsi="Arial" w:cs="Arial"/>
          <w:lang w:val="en-GB"/>
        </w:rPr>
        <w:t xml:space="preserve"> in an irregular situation. While limited to these migrants, the ground would offer a legitimisation, through the concept of “immigration detention,” of deprivation of liberty on the basis of impairment,</w:t>
      </w:r>
      <w:r w:rsidR="00DC77D9" w:rsidRPr="000F3A57">
        <w:rPr>
          <w:rFonts w:ascii="Arial" w:hAnsi="Arial" w:cs="Arial"/>
          <w:lang w:val="en-GB"/>
        </w:rPr>
        <w:t xml:space="preserve"> contradicting CRPD standards under Article 14</w:t>
      </w:r>
      <w:r>
        <w:rPr>
          <w:rFonts w:ascii="Arial" w:hAnsi="Arial" w:cs="Arial"/>
          <w:lang w:val="en-GB"/>
        </w:rPr>
        <w:t xml:space="preserve"> and </w:t>
      </w:r>
      <w:r w:rsidR="00DC77D9" w:rsidRPr="00663CF9">
        <w:rPr>
          <w:rFonts w:ascii="Arial" w:hAnsi="Arial" w:cs="Arial"/>
          <w:bCs/>
          <w:lang w:val="en-GB"/>
        </w:rPr>
        <w:t xml:space="preserve">disproportionally </w:t>
      </w:r>
      <w:r w:rsidR="00EF08D2" w:rsidRPr="00663CF9">
        <w:rPr>
          <w:rFonts w:ascii="Arial" w:hAnsi="Arial" w:cs="Arial"/>
          <w:bCs/>
          <w:lang w:val="en-GB"/>
        </w:rPr>
        <w:t>impact</w:t>
      </w:r>
      <w:r w:rsidR="00EF08D2">
        <w:rPr>
          <w:rFonts w:ascii="Arial" w:hAnsi="Arial" w:cs="Arial"/>
          <w:bCs/>
          <w:lang w:val="en-GB"/>
        </w:rPr>
        <w:t>ing</w:t>
      </w:r>
      <w:r w:rsidR="00EF08D2" w:rsidRPr="00663CF9">
        <w:rPr>
          <w:rFonts w:ascii="Arial" w:hAnsi="Arial" w:cs="Arial"/>
          <w:bCs/>
          <w:lang w:val="en-GB"/>
        </w:rPr>
        <w:t xml:space="preserve"> </w:t>
      </w:r>
      <w:r w:rsidR="00DC77D9" w:rsidRPr="00663CF9">
        <w:rPr>
          <w:rFonts w:ascii="Arial" w:hAnsi="Arial" w:cs="Arial"/>
          <w:bCs/>
          <w:lang w:val="en-GB"/>
        </w:rPr>
        <w:t>persons with psychosocial</w:t>
      </w:r>
      <w:r w:rsidR="00DC77D9">
        <w:rPr>
          <w:rFonts w:ascii="Arial" w:hAnsi="Arial" w:cs="Arial"/>
          <w:bCs/>
          <w:lang w:val="en-GB"/>
        </w:rPr>
        <w:t xml:space="preserve"> disabilities.</w:t>
      </w:r>
      <w:r w:rsidR="00DC77D9" w:rsidRPr="00663CF9">
        <w:rPr>
          <w:rFonts w:ascii="Arial" w:hAnsi="Arial" w:cs="Arial"/>
          <w:bCs/>
          <w:lang w:val="en-GB"/>
        </w:rPr>
        <w:t xml:space="preserve"> </w:t>
      </w:r>
    </w:p>
    <w:p w14:paraId="0986B0A4" w14:textId="77777777" w:rsidR="00DC77D9" w:rsidRDefault="00DC77D9" w:rsidP="00751A67">
      <w:pPr>
        <w:pStyle w:val="ListBullet"/>
        <w:numPr>
          <w:ilvl w:val="0"/>
          <w:numId w:val="0"/>
        </w:numPr>
        <w:tabs>
          <w:tab w:val="left" w:pos="284"/>
          <w:tab w:val="left" w:pos="426"/>
        </w:tabs>
        <w:jc w:val="both"/>
        <w:rPr>
          <w:rFonts w:ascii="Arial" w:hAnsi="Arial" w:cs="Arial"/>
          <w:bCs/>
          <w:lang w:val="en-GB"/>
        </w:rPr>
      </w:pPr>
    </w:p>
    <w:p w14:paraId="6DD3D101" w14:textId="54788C08" w:rsidR="00DC77D9" w:rsidRPr="00B14C7D"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To sum up, IDA believes that this ground of detention (“posing </w:t>
      </w:r>
      <w:r w:rsidRPr="0077275E">
        <w:rPr>
          <w:rFonts w:ascii="Arial" w:hAnsi="Arial" w:cs="Arial"/>
          <w:lang w:val="en-GB"/>
        </w:rPr>
        <w:t>a danger to himself or herself or to society”</w:t>
      </w:r>
      <w:r>
        <w:rPr>
          <w:rFonts w:ascii="Arial" w:hAnsi="Arial" w:cs="Arial"/>
          <w:lang w:val="en-GB"/>
        </w:rPr>
        <w:t>) should be removed from the draft altogether, given that it ends up legitimising the practice of deprivation of liberty of persons with disabilities on the basis of impairments, asserted by psychiatric practice of diagnosis, in contradiction to current human rights standards under Article 14 of the CRPD.</w:t>
      </w:r>
    </w:p>
    <w:p w14:paraId="125DB900"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18193EF3" w14:textId="4D50491C" w:rsidR="00DC77D9" w:rsidRPr="005E44C3" w:rsidRDefault="00DC77D9" w:rsidP="00751A67">
      <w:pPr>
        <w:pStyle w:val="Heading3"/>
        <w:numPr>
          <w:ilvl w:val="0"/>
          <w:numId w:val="6"/>
        </w:numPr>
        <w:tabs>
          <w:tab w:val="left" w:pos="284"/>
          <w:tab w:val="left" w:pos="426"/>
        </w:tabs>
        <w:ind w:left="0" w:firstLine="0"/>
        <w:rPr>
          <w:lang w:val="en-GB"/>
        </w:rPr>
      </w:pPr>
      <w:r w:rsidRPr="005E44C3">
        <w:rPr>
          <w:lang w:val="en-GB"/>
        </w:rPr>
        <w:t>A</w:t>
      </w:r>
      <w:r>
        <w:rPr>
          <w:lang w:val="en-GB"/>
        </w:rPr>
        <w:t>CCESS TO JUSTICE FOR MIGRANTS WITH DISABILITIES: A</w:t>
      </w:r>
      <w:r w:rsidRPr="005E44C3">
        <w:rPr>
          <w:lang w:val="en-GB"/>
        </w:rPr>
        <w:t>CCESSIBILITY, PROCEDURAL ACCOMMODATION</w:t>
      </w:r>
      <w:r>
        <w:rPr>
          <w:lang w:val="en-GB"/>
        </w:rPr>
        <w:t xml:space="preserve"> AND TRAINING OF GOVERNMENT AND JUDICIAL STAFF </w:t>
      </w:r>
    </w:p>
    <w:p w14:paraId="1B90B0DF" w14:textId="77777777" w:rsidR="00DC77D9" w:rsidRDefault="00DC77D9" w:rsidP="00751A67">
      <w:pPr>
        <w:pStyle w:val="ListBullet"/>
        <w:numPr>
          <w:ilvl w:val="0"/>
          <w:numId w:val="0"/>
        </w:numPr>
        <w:tabs>
          <w:tab w:val="left" w:pos="284"/>
          <w:tab w:val="left" w:pos="426"/>
        </w:tabs>
        <w:jc w:val="both"/>
        <w:rPr>
          <w:rFonts w:ascii="Arial" w:hAnsi="Arial" w:cs="Arial"/>
          <w:bCs/>
          <w:lang w:val="en-GB"/>
        </w:rPr>
      </w:pPr>
    </w:p>
    <w:p w14:paraId="18DE0C86" w14:textId="66533B34" w:rsidR="00DC77D9" w:rsidRPr="00D04D9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bCs/>
          <w:lang w:val="en-GB"/>
        </w:rPr>
      </w:pPr>
      <w:r>
        <w:rPr>
          <w:rFonts w:ascii="Arial" w:hAnsi="Arial" w:cs="Arial"/>
          <w:bCs/>
          <w:lang w:val="en-GB"/>
        </w:rPr>
        <w:t>As any other migrant or asylum seeker, migrants with disabilities must have legal remedies available to challenge any restricti</w:t>
      </w:r>
      <w:r w:rsidR="00964A05">
        <w:rPr>
          <w:rFonts w:ascii="Arial" w:hAnsi="Arial" w:cs="Arial"/>
          <w:bCs/>
          <w:lang w:val="en-GB"/>
        </w:rPr>
        <w:t>on to</w:t>
      </w:r>
      <w:r>
        <w:rPr>
          <w:rFonts w:ascii="Arial" w:hAnsi="Arial" w:cs="Arial"/>
          <w:bCs/>
          <w:lang w:val="en-GB"/>
        </w:rPr>
        <w:t xml:space="preserve"> their right to liberty, including </w:t>
      </w:r>
      <w:r w:rsidR="003012B9">
        <w:rPr>
          <w:rFonts w:ascii="Arial" w:hAnsi="Arial" w:cs="Arial"/>
          <w:bCs/>
          <w:lang w:val="en-GB"/>
        </w:rPr>
        <w:t xml:space="preserve">through </w:t>
      </w:r>
      <w:r>
        <w:rPr>
          <w:rFonts w:ascii="Arial" w:hAnsi="Arial" w:cs="Arial"/>
          <w:bCs/>
          <w:lang w:val="en-GB"/>
        </w:rPr>
        <w:t>immigration detention. However, lack of accessibilit</w:t>
      </w:r>
      <w:r w:rsidR="009B5050">
        <w:rPr>
          <w:rFonts w:ascii="Arial" w:hAnsi="Arial" w:cs="Arial"/>
          <w:bCs/>
          <w:lang w:val="en-GB"/>
        </w:rPr>
        <w:t>y of information and procedures</w:t>
      </w:r>
      <w:r w:rsidR="004957C3">
        <w:rPr>
          <w:rFonts w:ascii="Arial" w:hAnsi="Arial" w:cs="Arial"/>
          <w:bCs/>
          <w:lang w:val="en-GB"/>
        </w:rPr>
        <w:t xml:space="preserve">, </w:t>
      </w:r>
      <w:r w:rsidR="004957C3" w:rsidRPr="004957C3">
        <w:rPr>
          <w:rFonts w:ascii="Arial" w:hAnsi="Arial" w:cs="Arial"/>
          <w:bCs/>
          <w:lang w:val="en-GB"/>
        </w:rPr>
        <w:t>in the most appropriate languages, including sign languages</w:t>
      </w:r>
      <w:r w:rsidR="004957C3">
        <w:rPr>
          <w:rFonts w:ascii="Arial" w:hAnsi="Arial" w:cs="Arial"/>
          <w:bCs/>
          <w:lang w:val="en-GB"/>
        </w:rPr>
        <w:t>,</w:t>
      </w:r>
      <w:r>
        <w:rPr>
          <w:rFonts w:ascii="Arial" w:hAnsi="Arial" w:cs="Arial"/>
          <w:bCs/>
          <w:lang w:val="en-GB"/>
        </w:rPr>
        <w:t xml:space="preserve"> and of support and procedural accommodation</w:t>
      </w:r>
      <w:r w:rsidR="003012B9">
        <w:rPr>
          <w:rFonts w:ascii="Arial" w:hAnsi="Arial" w:cs="Arial"/>
          <w:bCs/>
          <w:lang w:val="en-GB"/>
        </w:rPr>
        <w:t>,</w:t>
      </w:r>
      <w:r>
        <w:rPr>
          <w:rFonts w:ascii="Arial" w:hAnsi="Arial" w:cs="Arial"/>
          <w:bCs/>
          <w:lang w:val="en-GB"/>
        </w:rPr>
        <w:t xml:space="preserve"> prevent</w:t>
      </w:r>
      <w:r w:rsidR="009B5050">
        <w:rPr>
          <w:rFonts w:ascii="Arial" w:hAnsi="Arial" w:cs="Arial"/>
          <w:bCs/>
          <w:lang w:val="en-GB"/>
        </w:rPr>
        <w:t>s</w:t>
      </w:r>
      <w:r>
        <w:rPr>
          <w:rFonts w:ascii="Arial" w:hAnsi="Arial" w:cs="Arial"/>
          <w:bCs/>
          <w:lang w:val="en-GB"/>
        </w:rPr>
        <w:t xml:space="preserve"> migrants with disabilities to access legal remedies, if available, on equal basis with others. </w:t>
      </w:r>
      <w:r w:rsidR="003012B9">
        <w:rPr>
          <w:rFonts w:ascii="Arial" w:hAnsi="Arial" w:cs="Arial"/>
          <w:bCs/>
          <w:lang w:val="en-GB"/>
        </w:rPr>
        <w:t xml:space="preserve">Moreover, </w:t>
      </w:r>
      <w:r w:rsidR="003012B9">
        <w:rPr>
          <w:rFonts w:ascii="Arial" w:hAnsi="Arial" w:cs="Arial"/>
        </w:rPr>
        <w:t>l</w:t>
      </w:r>
      <w:r w:rsidRPr="004D5590">
        <w:rPr>
          <w:rFonts w:ascii="Arial" w:hAnsi="Arial" w:cs="Arial"/>
        </w:rPr>
        <w:t xml:space="preserve">ack of </w:t>
      </w:r>
      <w:r w:rsidR="009B5050">
        <w:rPr>
          <w:rFonts w:ascii="Arial" w:hAnsi="Arial" w:cs="Arial"/>
        </w:rPr>
        <w:t xml:space="preserve">a </w:t>
      </w:r>
      <w:r>
        <w:rPr>
          <w:rFonts w:ascii="Arial" w:hAnsi="Arial" w:cs="Arial"/>
        </w:rPr>
        <w:t xml:space="preserve">statutory right to </w:t>
      </w:r>
      <w:r w:rsidRPr="004D5590">
        <w:rPr>
          <w:rFonts w:ascii="Arial" w:hAnsi="Arial" w:cs="Arial"/>
        </w:rPr>
        <w:t>legal assistance a</w:t>
      </w:r>
      <w:r w:rsidR="009B5050">
        <w:rPr>
          <w:rFonts w:ascii="Arial" w:hAnsi="Arial" w:cs="Arial"/>
        </w:rPr>
        <w:t>lso remains an important challenge</w:t>
      </w:r>
      <w:r w:rsidRPr="004D5590">
        <w:rPr>
          <w:rFonts w:ascii="Arial" w:hAnsi="Arial" w:cs="Arial"/>
        </w:rPr>
        <w:t>.</w:t>
      </w:r>
      <w:r>
        <w:rPr>
          <w:rStyle w:val="EndnoteReference"/>
          <w:rFonts w:ascii="Arial" w:hAnsi="Arial" w:cs="Arial"/>
          <w:b/>
          <w:bCs/>
        </w:rPr>
        <w:endnoteReference w:id="55"/>
      </w:r>
      <w:r>
        <w:rPr>
          <w:rFonts w:ascii="Arial" w:hAnsi="Arial" w:cs="Arial"/>
          <w:b/>
          <w:bCs/>
        </w:rPr>
        <w:t xml:space="preserve"> </w:t>
      </w:r>
      <w:r w:rsidR="009B5050">
        <w:rPr>
          <w:rFonts w:ascii="Arial" w:hAnsi="Arial" w:cs="Arial"/>
        </w:rPr>
        <w:t>R</w:t>
      </w:r>
      <w:r w:rsidRPr="00983623">
        <w:rPr>
          <w:rFonts w:ascii="Arial" w:hAnsi="Arial" w:cs="Arial"/>
        </w:rPr>
        <w:t>esearch highlights deficiencies in deportation proceedings</w:t>
      </w:r>
      <w:r w:rsidR="003012B9">
        <w:rPr>
          <w:rFonts w:ascii="Arial" w:hAnsi="Arial" w:cs="Arial"/>
        </w:rPr>
        <w:t>,</w:t>
      </w:r>
      <w:r w:rsidRPr="00983623">
        <w:rPr>
          <w:rFonts w:ascii="Arial" w:hAnsi="Arial" w:cs="Arial"/>
        </w:rPr>
        <w:t xml:space="preserve"> including lack of </w:t>
      </w:r>
      <w:r>
        <w:rPr>
          <w:rFonts w:ascii="Arial" w:hAnsi="Arial" w:cs="Arial"/>
        </w:rPr>
        <w:t xml:space="preserve">court </w:t>
      </w:r>
      <w:r w:rsidRPr="00983623">
        <w:rPr>
          <w:rFonts w:ascii="Arial" w:hAnsi="Arial" w:cs="Arial"/>
        </w:rPr>
        <w:t xml:space="preserve">appointed </w:t>
      </w:r>
      <w:r>
        <w:rPr>
          <w:rFonts w:ascii="Arial" w:hAnsi="Arial" w:cs="Arial"/>
        </w:rPr>
        <w:t>lawyer</w:t>
      </w:r>
      <w:r w:rsidR="003012B9">
        <w:rPr>
          <w:rFonts w:ascii="Arial" w:hAnsi="Arial" w:cs="Arial"/>
        </w:rPr>
        <w:t>s</w:t>
      </w:r>
      <w:r>
        <w:rPr>
          <w:rFonts w:ascii="Arial" w:hAnsi="Arial" w:cs="Arial"/>
        </w:rPr>
        <w:t xml:space="preserve"> and lack of guidance to legal practitioners on accommodations available.</w:t>
      </w:r>
      <w:r>
        <w:rPr>
          <w:rStyle w:val="EndnoteReference"/>
          <w:rFonts w:ascii="Arial" w:hAnsi="Arial" w:cs="Arial"/>
        </w:rPr>
        <w:endnoteReference w:id="56"/>
      </w:r>
      <w:r>
        <w:rPr>
          <w:rFonts w:ascii="Arial" w:hAnsi="Arial" w:cs="Arial"/>
        </w:rPr>
        <w:t xml:space="preserve"> </w:t>
      </w:r>
      <w:r w:rsidRPr="00D04D90">
        <w:rPr>
          <w:rFonts w:ascii="Arial" w:hAnsi="Arial" w:cs="Arial"/>
          <w:bCs/>
          <w:lang w:val="en-GB"/>
        </w:rPr>
        <w:t xml:space="preserve">In </w:t>
      </w:r>
      <w:r w:rsidR="009B5050">
        <w:rPr>
          <w:rFonts w:ascii="Arial" w:hAnsi="Arial" w:cs="Arial"/>
          <w:bCs/>
          <w:lang w:val="en-GB"/>
        </w:rPr>
        <w:t>regards</w:t>
      </w:r>
      <w:r w:rsidRPr="00D04D90">
        <w:rPr>
          <w:rFonts w:ascii="Arial" w:hAnsi="Arial" w:cs="Arial"/>
          <w:bCs/>
          <w:lang w:val="en-GB"/>
        </w:rPr>
        <w:t xml:space="preserve"> </w:t>
      </w:r>
      <w:r w:rsidR="009B5050">
        <w:rPr>
          <w:rFonts w:ascii="Arial" w:hAnsi="Arial" w:cs="Arial"/>
          <w:bCs/>
          <w:lang w:val="en-GB"/>
        </w:rPr>
        <w:t>to</w:t>
      </w:r>
      <w:r w:rsidRPr="00D04D90">
        <w:rPr>
          <w:rFonts w:ascii="Arial" w:hAnsi="Arial" w:cs="Arial"/>
          <w:bCs/>
          <w:lang w:val="en-GB"/>
        </w:rPr>
        <w:t xml:space="preserve"> asylum seekers and refugees, legislations and regulations do not usually address the requirements of persons with disabilities in terms of recognition before the law and access to justice.</w:t>
      </w:r>
      <w:r w:rsidRPr="004D5590">
        <w:rPr>
          <w:rFonts w:ascii="Arial" w:hAnsi="Arial" w:cs="Arial"/>
          <w:vertAlign w:val="superscript"/>
        </w:rPr>
        <w:endnoteReference w:id="57"/>
      </w:r>
      <w:r w:rsidRPr="00D04D90">
        <w:rPr>
          <w:rFonts w:ascii="Arial" w:hAnsi="Arial" w:cs="Arial"/>
          <w:bCs/>
          <w:lang w:val="en-GB"/>
        </w:rPr>
        <w:t xml:space="preserve">  </w:t>
      </w:r>
    </w:p>
    <w:p w14:paraId="781136B0" w14:textId="77777777" w:rsidR="00DC77D9" w:rsidRPr="00983623" w:rsidRDefault="00DC77D9" w:rsidP="00751A67">
      <w:pPr>
        <w:tabs>
          <w:tab w:val="left" w:pos="284"/>
          <w:tab w:val="left" w:pos="426"/>
        </w:tabs>
        <w:jc w:val="both"/>
        <w:rPr>
          <w:rFonts w:ascii="Arial" w:eastAsia="Arial" w:hAnsi="Arial" w:cs="Arial"/>
          <w:sz w:val="20"/>
          <w:szCs w:val="20"/>
        </w:rPr>
      </w:pPr>
    </w:p>
    <w:p w14:paraId="0EDB5921" w14:textId="7F496A16" w:rsidR="009B505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bCs/>
        </w:rPr>
      </w:pPr>
      <w:r w:rsidRPr="00D04D90">
        <w:rPr>
          <w:rFonts w:ascii="Arial" w:hAnsi="Arial" w:cs="Arial"/>
          <w:bCs/>
          <w:lang w:val="en-GB"/>
        </w:rPr>
        <w:t xml:space="preserve">Article 13 of the CRPD requires States to </w:t>
      </w:r>
      <w:r w:rsidRPr="00D04D90">
        <w:rPr>
          <w:rFonts w:ascii="Arial" w:hAnsi="Arial" w:cs="Arial"/>
          <w:bCs/>
        </w:rPr>
        <w:t xml:space="preserve">ensure “effective access to justice for persons with </w:t>
      </w:r>
      <w:r w:rsidRPr="00D04D90">
        <w:rPr>
          <w:rFonts w:ascii="Arial" w:hAnsi="Arial" w:cs="Arial"/>
          <w:bCs/>
          <w:lang w:val="en-GB"/>
        </w:rPr>
        <w:t>disabili</w:t>
      </w:r>
      <w:r w:rsidRPr="009B5050">
        <w:rPr>
          <w:rFonts w:ascii="Arial" w:hAnsi="Arial" w:cs="Arial"/>
          <w:bCs/>
          <w:lang w:val="en-GB"/>
        </w:rPr>
        <w:t>ties</w:t>
      </w:r>
      <w:r w:rsidRPr="009B5050">
        <w:rPr>
          <w:rFonts w:ascii="Arial" w:hAnsi="Arial" w:cs="Arial"/>
          <w:bCs/>
        </w:rPr>
        <w:t xml:space="preserve"> on an equal basis with others, including through the provision of </w:t>
      </w:r>
      <w:r w:rsidRPr="009B5050">
        <w:rPr>
          <w:rFonts w:ascii="Arial" w:hAnsi="Arial" w:cs="Arial"/>
        </w:rPr>
        <w:t xml:space="preserve">procedural </w:t>
      </w:r>
      <w:r w:rsidRPr="009B5050">
        <w:rPr>
          <w:rFonts w:ascii="Arial" w:hAnsi="Arial" w:cs="Arial"/>
          <w:bCs/>
        </w:rPr>
        <w:t xml:space="preserve">and age-appropriate </w:t>
      </w:r>
      <w:r w:rsidRPr="009B5050">
        <w:rPr>
          <w:rFonts w:ascii="Arial" w:hAnsi="Arial" w:cs="Arial"/>
        </w:rPr>
        <w:t>accommodations</w:t>
      </w:r>
      <w:r w:rsidRPr="009B5050">
        <w:rPr>
          <w:rFonts w:ascii="Arial" w:hAnsi="Arial" w:cs="Arial"/>
          <w:bCs/>
        </w:rPr>
        <w:t xml:space="preserve">, in order </w:t>
      </w:r>
      <w:r w:rsidRPr="00D04D90">
        <w:rPr>
          <w:rFonts w:ascii="Arial" w:hAnsi="Arial" w:cs="Arial"/>
          <w:bCs/>
        </w:rPr>
        <w:t>to facilitate their effective role as direct and indirect participants…”, as well as to “promote appropriate training for those working in the field of administration of justice, including police and prison staff.”</w:t>
      </w:r>
      <w:r w:rsidR="009B5050">
        <w:rPr>
          <w:rFonts w:ascii="Arial" w:hAnsi="Arial" w:cs="Arial"/>
          <w:bCs/>
        </w:rPr>
        <w:t xml:space="preserve"> </w:t>
      </w:r>
      <w:r w:rsidR="009B5050">
        <w:rPr>
          <w:rFonts w:ascii="Arial" w:hAnsi="Arial" w:cs="Arial"/>
          <w:bCs/>
          <w:lang w:val="en-GB"/>
        </w:rPr>
        <w:t xml:space="preserve">In connection with migrants with disabilities, the CRPD Committee has requested </w:t>
      </w:r>
      <w:r w:rsidR="009B5050" w:rsidRPr="000766FC">
        <w:rPr>
          <w:rFonts w:ascii="Arial" w:hAnsi="Arial" w:cs="Arial"/>
          <w:bCs/>
          <w:lang w:val="en-GB"/>
        </w:rPr>
        <w:t xml:space="preserve">States to </w:t>
      </w:r>
      <w:r w:rsidR="009B5050" w:rsidRPr="000766FC">
        <w:rPr>
          <w:rFonts w:ascii="Arial" w:hAnsi="Arial" w:cs="Arial"/>
          <w:bCs/>
        </w:rPr>
        <w:t xml:space="preserve">amend “migration laws and policies to ensure that persons with </w:t>
      </w:r>
      <w:r w:rsidR="009B5050" w:rsidRPr="00983623">
        <w:rPr>
          <w:rFonts w:ascii="Arial" w:hAnsi="Arial" w:cs="Arial"/>
          <w:bCs/>
          <w:lang w:val="en-GB"/>
        </w:rPr>
        <w:t>disabilities</w:t>
      </w:r>
      <w:r w:rsidR="009B5050" w:rsidRPr="000766FC">
        <w:rPr>
          <w:rFonts w:ascii="Arial" w:hAnsi="Arial" w:cs="Arial"/>
          <w:bCs/>
        </w:rPr>
        <w:t xml:space="preserve"> do not face discrimination in any of the formalities and procedures relating to migration and asylum</w:t>
      </w:r>
      <w:r w:rsidR="009B5050">
        <w:rPr>
          <w:rFonts w:ascii="Arial" w:hAnsi="Arial" w:cs="Arial"/>
          <w:bCs/>
        </w:rPr>
        <w:t>,”</w:t>
      </w:r>
      <w:r w:rsidR="009B5050">
        <w:rPr>
          <w:rStyle w:val="EndnoteReference"/>
          <w:rFonts w:ascii="Arial" w:hAnsi="Arial" w:cs="Arial"/>
          <w:b/>
          <w:sz w:val="20"/>
          <w:szCs w:val="20"/>
        </w:rPr>
        <w:endnoteReference w:id="58"/>
      </w:r>
      <w:r w:rsidR="009B5050">
        <w:rPr>
          <w:rFonts w:ascii="Arial" w:hAnsi="Arial" w:cs="Arial"/>
          <w:bCs/>
        </w:rPr>
        <w:t xml:space="preserve"> as well as to </w:t>
      </w:r>
      <w:r w:rsidR="009B5050" w:rsidRPr="000766FC">
        <w:rPr>
          <w:rFonts w:ascii="Arial" w:hAnsi="Arial" w:cs="Arial"/>
          <w:bCs/>
          <w:lang w:val="en-GB"/>
        </w:rPr>
        <w:t>“</w:t>
      </w:r>
      <w:r w:rsidR="009B5050" w:rsidRPr="000766FC">
        <w:rPr>
          <w:rFonts w:ascii="Arial" w:hAnsi="Arial" w:cs="Arial"/>
          <w:bCs/>
        </w:rPr>
        <w:t xml:space="preserve">[s]trengthen the support and individualized accommodations available to migrants, refugees and asylum seekers with disabilities in immigration </w:t>
      </w:r>
      <w:r w:rsidR="009B5050" w:rsidRPr="004D5590">
        <w:rPr>
          <w:rFonts w:ascii="Arial" w:hAnsi="Arial" w:cs="Arial"/>
          <w:bCs/>
        </w:rPr>
        <w:t>proceedings</w:t>
      </w:r>
      <w:r w:rsidR="009B5050" w:rsidRPr="00931D36">
        <w:rPr>
          <w:rFonts w:ascii="Arial" w:hAnsi="Arial" w:cs="Arial"/>
          <w:bCs/>
          <w:lang w:val="en-GB"/>
        </w:rPr>
        <w:t>.</w:t>
      </w:r>
      <w:r w:rsidR="009B5050" w:rsidRPr="004D5590">
        <w:rPr>
          <w:rFonts w:ascii="Arial" w:hAnsi="Arial" w:cs="Arial"/>
          <w:bCs/>
        </w:rPr>
        <w:t>”</w:t>
      </w:r>
      <w:r w:rsidR="009B5050" w:rsidRPr="004D5590">
        <w:rPr>
          <w:rStyle w:val="EndnoteReference"/>
          <w:rFonts w:ascii="Arial" w:hAnsi="Arial" w:cs="Arial"/>
          <w:b/>
          <w:sz w:val="20"/>
          <w:szCs w:val="20"/>
        </w:rPr>
        <w:t xml:space="preserve"> </w:t>
      </w:r>
      <w:r w:rsidR="009B5050" w:rsidRPr="004D5590">
        <w:rPr>
          <w:rStyle w:val="EndnoteReference"/>
          <w:rFonts w:ascii="Arial" w:hAnsi="Arial" w:cs="Arial"/>
          <w:b/>
          <w:sz w:val="20"/>
          <w:szCs w:val="20"/>
        </w:rPr>
        <w:endnoteReference w:id="59"/>
      </w:r>
      <w:r w:rsidRPr="00D04D90">
        <w:rPr>
          <w:rFonts w:ascii="Arial" w:hAnsi="Arial" w:cs="Arial"/>
          <w:bCs/>
        </w:rPr>
        <w:t xml:space="preserve"> </w:t>
      </w:r>
    </w:p>
    <w:p w14:paraId="0FBA2701" w14:textId="77777777" w:rsidR="009B5050" w:rsidRDefault="009B5050" w:rsidP="00751A67">
      <w:pPr>
        <w:pStyle w:val="ListBullet"/>
        <w:numPr>
          <w:ilvl w:val="0"/>
          <w:numId w:val="0"/>
        </w:numPr>
        <w:tabs>
          <w:tab w:val="left" w:pos="284"/>
          <w:tab w:val="left" w:pos="426"/>
        </w:tabs>
        <w:spacing w:after="0" w:line="240" w:lineRule="auto"/>
        <w:jc w:val="both"/>
        <w:rPr>
          <w:rFonts w:ascii="Arial" w:hAnsi="Arial" w:cs="Arial"/>
          <w:bCs/>
          <w:lang w:val="en-GB"/>
        </w:rPr>
      </w:pPr>
    </w:p>
    <w:p w14:paraId="4B32D9C5" w14:textId="3F0C7190" w:rsidR="00DC77D9" w:rsidRPr="009B5050"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bCs/>
        </w:rPr>
      </w:pPr>
      <w:r w:rsidRPr="009B5050">
        <w:rPr>
          <w:rFonts w:ascii="Arial" w:hAnsi="Arial" w:cs="Arial"/>
          <w:bCs/>
          <w:lang w:val="en-GB"/>
        </w:rPr>
        <w:t xml:space="preserve">As stated </w:t>
      </w:r>
      <w:r w:rsidR="009B5050">
        <w:rPr>
          <w:rFonts w:ascii="Arial" w:hAnsi="Arial" w:cs="Arial"/>
          <w:bCs/>
          <w:lang w:val="en-GB"/>
        </w:rPr>
        <w:t>above (</w:t>
      </w:r>
      <w:r w:rsidRPr="009B5050">
        <w:rPr>
          <w:rFonts w:ascii="Arial" w:hAnsi="Arial" w:cs="Arial"/>
          <w:bCs/>
          <w:lang w:val="en-GB"/>
        </w:rPr>
        <w:t>paras</w:t>
      </w:r>
      <w:r w:rsidR="003C362E">
        <w:rPr>
          <w:rFonts w:ascii="Arial" w:hAnsi="Arial" w:cs="Arial"/>
          <w:bCs/>
          <w:lang w:val="en-GB"/>
        </w:rPr>
        <w:t>.</w:t>
      </w:r>
      <w:r w:rsidRPr="009B5050">
        <w:rPr>
          <w:rFonts w:ascii="Arial" w:hAnsi="Arial" w:cs="Arial"/>
          <w:bCs/>
          <w:lang w:val="en-GB"/>
        </w:rPr>
        <w:t xml:space="preserve"> 14 and 19</w:t>
      </w:r>
      <w:r w:rsidR="009B5050">
        <w:rPr>
          <w:rFonts w:ascii="Arial" w:hAnsi="Arial" w:cs="Arial"/>
          <w:bCs/>
          <w:lang w:val="en-GB"/>
        </w:rPr>
        <w:t>)</w:t>
      </w:r>
      <w:r w:rsidRPr="009B5050">
        <w:rPr>
          <w:rFonts w:ascii="Arial" w:hAnsi="Arial" w:cs="Arial"/>
          <w:bCs/>
          <w:lang w:val="en-GB"/>
        </w:rPr>
        <w:t>, States should ensure</w:t>
      </w:r>
      <w:r w:rsidRPr="009B5050">
        <w:rPr>
          <w:rFonts w:ascii="Arial" w:hAnsi="Arial" w:cs="Arial"/>
          <w:lang w:val="en-GB"/>
        </w:rPr>
        <w:t xml:space="preserve"> </w:t>
      </w:r>
      <w:r w:rsidRPr="009B5050">
        <w:rPr>
          <w:rFonts w:ascii="Arial" w:hAnsi="Arial" w:cs="Arial"/>
          <w:b/>
          <w:bCs/>
          <w:lang w:val="en-GB"/>
        </w:rPr>
        <w:t>“procedural accommodation”</w:t>
      </w:r>
      <w:r w:rsidRPr="009B5050">
        <w:rPr>
          <w:rFonts w:ascii="Arial" w:hAnsi="Arial" w:cs="Arial"/>
          <w:lang w:val="en-GB"/>
        </w:rPr>
        <w:t xml:space="preserve"> for persons with disabilities who require them to </w:t>
      </w:r>
      <w:r w:rsidR="009B5050">
        <w:rPr>
          <w:rFonts w:ascii="Arial" w:hAnsi="Arial" w:cs="Arial"/>
          <w:lang w:val="en-GB"/>
        </w:rPr>
        <w:t xml:space="preserve">fully </w:t>
      </w:r>
      <w:r w:rsidRPr="009B5050">
        <w:rPr>
          <w:rFonts w:ascii="Arial" w:hAnsi="Arial" w:cs="Arial"/>
          <w:lang w:val="en-GB"/>
        </w:rPr>
        <w:t>participate in</w:t>
      </w:r>
      <w:r w:rsidRPr="009B5050">
        <w:rPr>
          <w:rFonts w:ascii="Arial" w:hAnsi="Arial" w:cs="Arial"/>
          <w:bCs/>
          <w:lang w:val="en-GB"/>
        </w:rPr>
        <w:t xml:space="preserve"> immigration related procedures,</w:t>
      </w:r>
      <w:r w:rsidRPr="009B5050">
        <w:rPr>
          <w:rFonts w:ascii="Arial" w:hAnsi="Arial" w:cs="Arial"/>
          <w:b/>
          <w:bCs/>
          <w:lang w:val="en-GB"/>
        </w:rPr>
        <w:t xml:space="preserve"> be them judicial or administrative</w:t>
      </w:r>
      <w:r w:rsidRPr="009B5050">
        <w:rPr>
          <w:rFonts w:ascii="Arial" w:hAnsi="Arial" w:cs="Arial"/>
          <w:lang w:val="en-GB"/>
        </w:rPr>
        <w:t>.</w:t>
      </w:r>
      <w:r>
        <w:rPr>
          <w:rStyle w:val="EndnoteReference"/>
          <w:rFonts w:ascii="Arial" w:hAnsi="Arial" w:cs="Arial"/>
          <w:lang w:val="en-GB"/>
        </w:rPr>
        <w:endnoteReference w:id="60"/>
      </w:r>
      <w:r w:rsidRPr="009B5050">
        <w:rPr>
          <w:rFonts w:ascii="Arial" w:hAnsi="Arial" w:cs="Arial"/>
          <w:lang w:val="en-GB"/>
        </w:rPr>
        <w:t xml:space="preserve"> Distinguishing from “reasonable accommodation”, “procedural accommodation” is not limited by the concept of disproportionality,</w:t>
      </w:r>
      <w:r>
        <w:rPr>
          <w:rStyle w:val="EndnoteReference"/>
          <w:rFonts w:ascii="Arial" w:hAnsi="Arial" w:cs="Arial"/>
          <w:lang w:val="en-GB"/>
        </w:rPr>
        <w:endnoteReference w:id="61"/>
      </w:r>
      <w:r w:rsidRPr="009B5050">
        <w:rPr>
          <w:rFonts w:ascii="Arial" w:hAnsi="Arial" w:cs="Arial"/>
          <w:lang w:val="en-GB"/>
        </w:rPr>
        <w:t xml:space="preserve"> and can be utilised to obtain accessibility in a particular case. Examples include providing communication assistants, sign language interpretation, adaptation of the venues, reduction of formality of procedures, etc.</w:t>
      </w:r>
      <w:r>
        <w:rPr>
          <w:rStyle w:val="EndnoteReference"/>
          <w:rFonts w:ascii="Arial" w:hAnsi="Arial" w:cs="Arial"/>
          <w:lang w:val="en-GB"/>
        </w:rPr>
        <w:endnoteReference w:id="62"/>
      </w:r>
      <w:r w:rsidRPr="009B5050">
        <w:rPr>
          <w:rFonts w:ascii="Arial" w:hAnsi="Arial" w:cs="Arial"/>
          <w:lang w:val="en-GB"/>
        </w:rPr>
        <w:t xml:space="preserve"> </w:t>
      </w:r>
      <w:r w:rsidR="003012B9" w:rsidRPr="009B5050">
        <w:rPr>
          <w:rFonts w:ascii="Arial" w:hAnsi="Arial" w:cs="Arial"/>
          <w:lang w:val="en-GB"/>
        </w:rPr>
        <w:t xml:space="preserve">Additionally, </w:t>
      </w:r>
      <w:r w:rsidRPr="009B5050">
        <w:rPr>
          <w:rFonts w:ascii="Arial" w:hAnsi="Arial" w:cs="Arial"/>
          <w:lang w:val="en-GB"/>
        </w:rPr>
        <w:t xml:space="preserve">States of origin should ensure that their citizens with disabilities benefit from </w:t>
      </w:r>
      <w:r w:rsidRPr="009B5050">
        <w:rPr>
          <w:rFonts w:ascii="Arial" w:hAnsi="Arial" w:cs="Arial"/>
          <w:b/>
          <w:bCs/>
          <w:lang w:val="en-GB"/>
        </w:rPr>
        <w:t xml:space="preserve">consular assistance </w:t>
      </w:r>
      <w:r w:rsidRPr="009B5050">
        <w:rPr>
          <w:rFonts w:ascii="Arial" w:hAnsi="Arial" w:cs="Arial"/>
          <w:lang w:val="en-GB"/>
        </w:rPr>
        <w:t>available in the State of destination, on equal basis with others.</w:t>
      </w:r>
    </w:p>
    <w:p w14:paraId="0B2C3A8F" w14:textId="77777777" w:rsidR="00DC77D9" w:rsidRPr="00B14C7D" w:rsidRDefault="00DC77D9" w:rsidP="00751A67">
      <w:pPr>
        <w:pStyle w:val="ListBullet"/>
        <w:numPr>
          <w:ilvl w:val="0"/>
          <w:numId w:val="0"/>
        </w:numPr>
        <w:tabs>
          <w:tab w:val="left" w:pos="284"/>
          <w:tab w:val="left" w:pos="426"/>
        </w:tabs>
        <w:spacing w:after="0" w:line="240" w:lineRule="auto"/>
        <w:jc w:val="both"/>
        <w:rPr>
          <w:rFonts w:ascii="Arial" w:hAnsi="Arial" w:cs="Arial"/>
          <w:bCs/>
          <w:lang w:val="en-GB"/>
        </w:rPr>
      </w:pPr>
    </w:p>
    <w:p w14:paraId="4F382914" w14:textId="382E23EA" w:rsidR="00DC77D9" w:rsidRPr="00983623"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bCs/>
          <w:lang w:val="en-GB"/>
        </w:rPr>
      </w:pPr>
      <w:r>
        <w:rPr>
          <w:rFonts w:ascii="Arial" w:hAnsi="Arial" w:cs="Arial"/>
          <w:bCs/>
          <w:lang w:val="en-GB"/>
        </w:rPr>
        <w:t xml:space="preserve">The draft general comment should better reflect the kind of barriers that persons with disabilities face in participating in legal administrative proceedings and in accessing justice, as well as including explicitly the need for accessibility, provision of procedural </w:t>
      </w:r>
      <w:r>
        <w:rPr>
          <w:rFonts w:ascii="Arial" w:hAnsi="Arial" w:cs="Arial"/>
          <w:bCs/>
          <w:lang w:val="en-GB"/>
        </w:rPr>
        <w:lastRenderedPageBreak/>
        <w:t>accommodation to individual</w:t>
      </w:r>
      <w:r w:rsidR="003012B9">
        <w:rPr>
          <w:rFonts w:ascii="Arial" w:hAnsi="Arial" w:cs="Arial"/>
          <w:bCs/>
          <w:lang w:val="en-GB"/>
        </w:rPr>
        <w:t>s</w:t>
      </w:r>
      <w:r>
        <w:rPr>
          <w:rFonts w:ascii="Arial" w:hAnsi="Arial" w:cs="Arial"/>
          <w:bCs/>
          <w:lang w:val="en-GB"/>
        </w:rPr>
        <w:t xml:space="preserve"> with disabilities and the need to provide adequate training to governmental and judicial officials and staff.</w:t>
      </w:r>
    </w:p>
    <w:p w14:paraId="42BC6442" w14:textId="6647AE7E" w:rsidR="00DC77D9" w:rsidRPr="00B14C7D" w:rsidRDefault="00DC77D9" w:rsidP="00751A67">
      <w:pPr>
        <w:pStyle w:val="ListBullet"/>
        <w:numPr>
          <w:ilvl w:val="0"/>
          <w:numId w:val="0"/>
        </w:numPr>
        <w:tabs>
          <w:tab w:val="left" w:pos="284"/>
          <w:tab w:val="left" w:pos="426"/>
        </w:tabs>
        <w:spacing w:after="0" w:line="240" w:lineRule="auto"/>
        <w:rPr>
          <w:rFonts w:ascii="Arial" w:hAnsi="Arial" w:cs="Arial"/>
          <w:b/>
          <w:bCs/>
        </w:rPr>
      </w:pPr>
    </w:p>
    <w:p w14:paraId="757810BD" w14:textId="0FA42609" w:rsidR="00DC77D9" w:rsidRPr="001E1C12" w:rsidRDefault="00DC77D9" w:rsidP="00751A67">
      <w:pPr>
        <w:pStyle w:val="Heading3"/>
        <w:numPr>
          <w:ilvl w:val="0"/>
          <w:numId w:val="6"/>
        </w:numPr>
        <w:tabs>
          <w:tab w:val="left" w:pos="284"/>
          <w:tab w:val="left" w:pos="426"/>
        </w:tabs>
        <w:ind w:left="0" w:firstLine="0"/>
        <w:jc w:val="both"/>
        <w:rPr>
          <w:lang w:val="en-GB"/>
        </w:rPr>
      </w:pPr>
      <w:bookmarkStart w:id="8" w:name="_Toc54615531"/>
      <w:r w:rsidRPr="001E1C12">
        <w:rPr>
          <w:lang w:val="en-GB"/>
        </w:rPr>
        <w:t>CONDITIONS OF DETENTIONS OF PERSONS WITH DISABILITIES SUBJECTED TO MIGRATION DETENTION: ACCESSIBILITY, SUPPORT MEASURES AND REASONABLE ACCOMMODATION</w:t>
      </w:r>
      <w:bookmarkEnd w:id="8"/>
    </w:p>
    <w:p w14:paraId="5BF85B58"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1D4C4EFD" w14:textId="459C4A1B" w:rsidR="00DC77D9" w:rsidRPr="008057B8"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While IDA appreciates that </w:t>
      </w:r>
      <w:r>
        <w:rPr>
          <w:rFonts w:ascii="Arial" w:hAnsi="Arial" w:cs="Arial"/>
          <w:bCs/>
          <w:lang w:val="en-GB"/>
        </w:rPr>
        <w:t>this Committee</w:t>
      </w:r>
      <w:r w:rsidRPr="008057B8">
        <w:rPr>
          <w:rFonts w:ascii="Arial" w:hAnsi="Arial" w:cs="Arial"/>
          <w:bCs/>
          <w:lang w:val="en-GB"/>
        </w:rPr>
        <w:t xml:space="preserve"> </w:t>
      </w:r>
      <w:r>
        <w:rPr>
          <w:rFonts w:ascii="Arial" w:hAnsi="Arial" w:cs="Arial"/>
          <w:bCs/>
          <w:lang w:val="en-GB"/>
        </w:rPr>
        <w:t>requests States to</w:t>
      </w:r>
      <w:r w:rsidRPr="008057B8">
        <w:rPr>
          <w:rFonts w:ascii="Arial" w:hAnsi="Arial" w:cs="Arial"/>
          <w:bCs/>
          <w:lang w:val="en-GB"/>
        </w:rPr>
        <w:t xml:space="preserve"> avoid</w:t>
      </w:r>
      <w:r>
        <w:rPr>
          <w:rFonts w:ascii="Arial" w:hAnsi="Arial" w:cs="Arial"/>
          <w:bCs/>
          <w:lang w:val="en-GB"/>
        </w:rPr>
        <w:t xml:space="preserve"> the immigration detention of persons with disabilities</w:t>
      </w:r>
      <w:r w:rsidRPr="008057B8">
        <w:rPr>
          <w:rFonts w:ascii="Arial" w:hAnsi="Arial" w:cs="Arial"/>
          <w:bCs/>
          <w:lang w:val="en-GB"/>
        </w:rPr>
        <w:t xml:space="preserve"> (para</w:t>
      </w:r>
      <w:r>
        <w:rPr>
          <w:rFonts w:ascii="Arial" w:hAnsi="Arial" w:cs="Arial"/>
          <w:bCs/>
          <w:lang w:val="en-GB"/>
        </w:rPr>
        <w:t>.</w:t>
      </w:r>
      <w:r w:rsidRPr="008057B8">
        <w:rPr>
          <w:rFonts w:ascii="Arial" w:hAnsi="Arial" w:cs="Arial"/>
          <w:bCs/>
          <w:lang w:val="en-GB"/>
        </w:rPr>
        <w:t xml:space="preserve"> 52</w:t>
      </w:r>
      <w:r>
        <w:rPr>
          <w:rFonts w:ascii="Arial" w:hAnsi="Arial" w:cs="Arial"/>
          <w:bCs/>
          <w:lang w:val="en-GB"/>
        </w:rPr>
        <w:t xml:space="preserve"> of the draft</w:t>
      </w:r>
      <w:r w:rsidRPr="008057B8">
        <w:rPr>
          <w:rFonts w:ascii="Arial" w:hAnsi="Arial" w:cs="Arial"/>
          <w:bCs/>
          <w:lang w:val="en-GB"/>
        </w:rPr>
        <w:t>)</w:t>
      </w:r>
      <w:r>
        <w:rPr>
          <w:rFonts w:ascii="Arial" w:hAnsi="Arial" w:cs="Arial"/>
          <w:bCs/>
          <w:lang w:val="en-GB"/>
        </w:rPr>
        <w:t xml:space="preserve">, our concerns </w:t>
      </w:r>
      <w:r w:rsidRPr="008526C1">
        <w:rPr>
          <w:rFonts w:ascii="Arial" w:hAnsi="Arial" w:cs="Arial"/>
          <w:lang w:val="en-GB"/>
        </w:rPr>
        <w:t>expressed</w:t>
      </w:r>
      <w:r>
        <w:rPr>
          <w:rFonts w:ascii="Arial" w:hAnsi="Arial" w:cs="Arial"/>
          <w:bCs/>
          <w:lang w:val="en-GB"/>
        </w:rPr>
        <w:t xml:space="preserve"> in section B, and the fact that detention </w:t>
      </w:r>
      <w:r w:rsidR="00751A67">
        <w:rPr>
          <w:rFonts w:ascii="Arial" w:hAnsi="Arial" w:cs="Arial"/>
          <w:bCs/>
          <w:lang w:val="en-GB"/>
        </w:rPr>
        <w:t>occurs</w:t>
      </w:r>
      <w:r>
        <w:rPr>
          <w:rFonts w:ascii="Arial" w:hAnsi="Arial" w:cs="Arial"/>
          <w:bCs/>
          <w:lang w:val="en-GB"/>
        </w:rPr>
        <w:t xml:space="preserve"> explain this section on conditions of detentions.</w:t>
      </w:r>
    </w:p>
    <w:p w14:paraId="56F20D39"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5ACA110E" w14:textId="73435760" w:rsidR="0045374F" w:rsidRDefault="00DC77D9" w:rsidP="004957C3">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Persons with disabilities deprived of their liberty are at high risk of human rights violations and abuses, especially in psychiatric and residential institutions, including being subjected to </w:t>
      </w:r>
      <w:r w:rsidR="00751A67">
        <w:rPr>
          <w:rFonts w:ascii="Arial" w:hAnsi="Arial" w:cs="Arial"/>
          <w:lang w:val="en-GB"/>
        </w:rPr>
        <w:t xml:space="preserve">violence, abuse, </w:t>
      </w:r>
      <w:r>
        <w:rPr>
          <w:rFonts w:ascii="Arial" w:hAnsi="Arial" w:cs="Arial"/>
          <w:lang w:val="en-GB"/>
        </w:rPr>
        <w:t xml:space="preserve">physical and chemical constraints, isolation, solitary confinement, electroconvulsive therapy, forced medication, </w:t>
      </w:r>
      <w:r w:rsidRPr="00E10A35">
        <w:rPr>
          <w:rFonts w:ascii="Arial" w:hAnsi="Arial" w:cs="Arial"/>
          <w:lang w:val="en-GB"/>
        </w:rPr>
        <w:t>sexual and physical violence, sterilization and human trafficking</w:t>
      </w:r>
      <w:r>
        <w:rPr>
          <w:rFonts w:ascii="Arial" w:hAnsi="Arial" w:cs="Arial"/>
          <w:lang w:val="en-GB"/>
        </w:rPr>
        <w:t>.</w:t>
      </w:r>
      <w:r>
        <w:rPr>
          <w:rStyle w:val="EndnoteReference"/>
          <w:rFonts w:ascii="Arial" w:hAnsi="Arial" w:cs="Arial"/>
          <w:lang w:val="en-GB"/>
        </w:rPr>
        <w:endnoteReference w:id="63"/>
      </w:r>
      <w:r>
        <w:rPr>
          <w:rFonts w:ascii="Arial" w:hAnsi="Arial" w:cs="Arial"/>
          <w:lang w:val="en-GB"/>
        </w:rPr>
        <w:t xml:space="preserve"> </w:t>
      </w:r>
      <w:r w:rsidR="0045374F">
        <w:rPr>
          <w:rFonts w:ascii="Arial" w:hAnsi="Arial" w:cs="Arial"/>
          <w:lang w:val="en-GB"/>
        </w:rPr>
        <w:t>In particular, deaf migrants in detention centres are often in isolation without any opportunities to interact with other deaf people, or signing people</w:t>
      </w:r>
      <w:r w:rsidR="00D44901">
        <w:rPr>
          <w:rFonts w:ascii="Arial" w:hAnsi="Arial" w:cs="Arial"/>
          <w:lang w:val="en-GB"/>
        </w:rPr>
        <w:t>,</w:t>
      </w:r>
      <w:r w:rsidR="0045374F">
        <w:rPr>
          <w:rFonts w:ascii="Arial" w:hAnsi="Arial" w:cs="Arial"/>
          <w:lang w:val="en-GB"/>
        </w:rPr>
        <w:t xml:space="preserve"> which can contribute to the development </w:t>
      </w:r>
      <w:r w:rsidR="004957C3">
        <w:rPr>
          <w:rFonts w:ascii="Arial" w:hAnsi="Arial" w:cs="Arial"/>
          <w:lang w:val="en-GB"/>
        </w:rPr>
        <w:t>mental health conditions</w:t>
      </w:r>
      <w:r w:rsidR="0045374F">
        <w:rPr>
          <w:rFonts w:ascii="Arial" w:hAnsi="Arial" w:cs="Arial"/>
          <w:lang w:val="en-GB"/>
        </w:rPr>
        <w:t>.</w:t>
      </w:r>
      <w:r w:rsidR="0045374F">
        <w:rPr>
          <w:rStyle w:val="EndnoteReference"/>
          <w:rFonts w:ascii="Arial" w:hAnsi="Arial" w:cs="Arial"/>
          <w:lang w:val="en-GB"/>
        </w:rPr>
        <w:endnoteReference w:id="64"/>
      </w:r>
      <w:r w:rsidR="004957C3">
        <w:rPr>
          <w:rFonts w:ascii="Arial" w:hAnsi="Arial" w:cs="Arial"/>
          <w:lang w:val="en-GB"/>
        </w:rPr>
        <w:t xml:space="preserve"> </w:t>
      </w:r>
      <w:r w:rsidR="00D44901">
        <w:rPr>
          <w:rFonts w:ascii="Arial" w:hAnsi="Arial" w:cs="Arial"/>
          <w:lang w:val="en-GB"/>
        </w:rPr>
        <w:t xml:space="preserve">They </w:t>
      </w:r>
      <w:r w:rsidR="00027C85">
        <w:rPr>
          <w:rStyle w:val="CommentReference"/>
          <w:rFonts w:ascii="Arial" w:eastAsia="Calibri" w:hAnsi="Arial" w:cs="Arial"/>
          <w:sz w:val="22"/>
          <w:szCs w:val="22"/>
          <w:lang w:val="en-GB"/>
        </w:rPr>
        <w:t>may</w:t>
      </w:r>
      <w:r w:rsidR="00D44901">
        <w:rPr>
          <w:rStyle w:val="CommentReference"/>
          <w:rFonts w:ascii="Arial" w:eastAsia="Calibri" w:hAnsi="Arial" w:cs="Arial"/>
          <w:sz w:val="22"/>
          <w:szCs w:val="22"/>
          <w:lang w:val="en-GB"/>
        </w:rPr>
        <w:t xml:space="preserve"> stay in detention longer than others due to the lack of communication with the staff</w:t>
      </w:r>
      <w:r w:rsidR="009F551A">
        <w:rPr>
          <w:rStyle w:val="EndnoteReference"/>
          <w:rFonts w:ascii="Arial" w:eastAsia="Calibri" w:hAnsi="Arial" w:cs="Arial"/>
          <w:lang w:val="en-GB"/>
        </w:rPr>
        <w:endnoteReference w:id="65"/>
      </w:r>
      <w:r w:rsidR="009F551A">
        <w:rPr>
          <w:rStyle w:val="CommentReference"/>
          <w:rFonts w:ascii="Arial" w:eastAsia="Calibri" w:hAnsi="Arial" w:cs="Arial"/>
          <w:sz w:val="22"/>
          <w:szCs w:val="22"/>
          <w:lang w:val="en-GB"/>
        </w:rPr>
        <w:t xml:space="preserve"> </w:t>
      </w:r>
      <w:r w:rsidR="00D44901">
        <w:rPr>
          <w:rStyle w:val="CommentReference"/>
          <w:rFonts w:ascii="Arial" w:eastAsia="Calibri" w:hAnsi="Arial" w:cs="Arial"/>
          <w:sz w:val="22"/>
          <w:szCs w:val="22"/>
          <w:lang w:val="en-GB"/>
        </w:rPr>
        <w:t xml:space="preserve">and </w:t>
      </w:r>
      <w:r w:rsidR="00D44901">
        <w:rPr>
          <w:rFonts w:ascii="Arial" w:hAnsi="Arial" w:cs="Arial"/>
          <w:lang w:val="en-GB"/>
        </w:rPr>
        <w:t>they may not even access the health specialist they require.</w:t>
      </w:r>
      <w:r w:rsidR="00D44901">
        <w:rPr>
          <w:rStyle w:val="EndnoteReference"/>
          <w:rFonts w:ascii="Arial" w:hAnsi="Arial" w:cs="Arial"/>
          <w:lang w:val="en-GB"/>
        </w:rPr>
        <w:endnoteReference w:id="66"/>
      </w:r>
      <w:r w:rsidR="004957C3">
        <w:rPr>
          <w:rFonts w:ascii="Arial" w:hAnsi="Arial" w:cs="Arial"/>
          <w:lang w:val="en-GB"/>
        </w:rPr>
        <w:t xml:space="preserve"> </w:t>
      </w:r>
    </w:p>
    <w:p w14:paraId="1BBECB4E" w14:textId="77777777" w:rsidR="004957C3" w:rsidRPr="004957C3" w:rsidRDefault="004957C3" w:rsidP="004957C3">
      <w:pPr>
        <w:pStyle w:val="ListBullet"/>
        <w:numPr>
          <w:ilvl w:val="0"/>
          <w:numId w:val="0"/>
        </w:numPr>
        <w:tabs>
          <w:tab w:val="left" w:pos="284"/>
          <w:tab w:val="left" w:pos="426"/>
        </w:tabs>
        <w:spacing w:after="0" w:line="240" w:lineRule="auto"/>
        <w:jc w:val="both"/>
        <w:rPr>
          <w:rFonts w:ascii="Arial" w:hAnsi="Arial" w:cs="Arial"/>
          <w:lang w:val="en-GB"/>
        </w:rPr>
      </w:pPr>
    </w:p>
    <w:p w14:paraId="2E1458BD" w14:textId="015E0344" w:rsidR="00DC77D9" w:rsidRPr="004957C3" w:rsidRDefault="004957C3" w:rsidP="004957C3">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T</w:t>
      </w:r>
      <w:r w:rsidR="00DC77D9">
        <w:rPr>
          <w:rFonts w:ascii="Arial" w:hAnsi="Arial" w:cs="Arial"/>
          <w:lang w:val="en-GB"/>
        </w:rPr>
        <w:t>he CRPD Committee has stated, under Article 14(2) of the CRPD,</w:t>
      </w:r>
      <w:r w:rsidR="00DC77D9" w:rsidRPr="00F03B10">
        <w:rPr>
          <w:rFonts w:ascii="Arial" w:hAnsi="Arial" w:cs="Arial"/>
          <w:lang w:val="en-GB"/>
        </w:rPr>
        <w:t xml:space="preserve"> that the</w:t>
      </w:r>
      <w:r w:rsidR="00DC77D9">
        <w:rPr>
          <w:rFonts w:ascii="Arial" w:hAnsi="Arial" w:cs="Arial"/>
          <w:lang w:val="en-GB"/>
        </w:rPr>
        <w:t xml:space="preserve"> lack of suitable infrastructure and the substandard conditions of detentions, including due to the lack of reasonable accommodation, can amount to torture or cruel, inhuman or degrading treatment or punishment.</w:t>
      </w:r>
      <w:r w:rsidR="00DC77D9" w:rsidRPr="003F216D">
        <w:rPr>
          <w:rStyle w:val="EndnoteReference"/>
          <w:rFonts w:ascii="Arial" w:hAnsi="Arial" w:cs="Arial"/>
          <w:lang w:val="en-GB"/>
        </w:rPr>
        <w:t xml:space="preserve"> </w:t>
      </w:r>
      <w:r w:rsidR="00DC77D9" w:rsidRPr="00F03B10">
        <w:rPr>
          <w:rStyle w:val="EndnoteReference"/>
          <w:rFonts w:ascii="Arial" w:hAnsi="Arial" w:cs="Arial"/>
          <w:lang w:val="en-GB"/>
        </w:rPr>
        <w:endnoteReference w:id="67"/>
      </w:r>
      <w:r w:rsidR="00DC77D9">
        <w:rPr>
          <w:rFonts w:ascii="Arial" w:hAnsi="Arial" w:cs="Arial"/>
          <w:lang w:val="en-GB"/>
        </w:rPr>
        <w:t xml:space="preserve"> </w:t>
      </w:r>
      <w:r w:rsidR="00DC77D9" w:rsidRPr="004957C3">
        <w:rPr>
          <w:rFonts w:ascii="Arial" w:hAnsi="Arial" w:cs="Arial"/>
          <w:lang w:val="en-GB"/>
        </w:rPr>
        <w:t>This Committee has also made clear that “[d]</w:t>
      </w:r>
      <w:r w:rsidR="00DC77D9" w:rsidRPr="004957C3">
        <w:rPr>
          <w:rFonts w:ascii="Arial" w:hAnsi="Arial" w:cs="Arial"/>
        </w:rPr>
        <w:t>etention can be particularly damaging to vulnerable categories of migrant workers, impacting negatively on their physical and mental health” including “persons with disabilities.”</w:t>
      </w:r>
      <w:r w:rsidR="00DC77D9" w:rsidRPr="004957C3">
        <w:rPr>
          <w:rStyle w:val="EndnoteReference"/>
          <w:rFonts w:ascii="Arial" w:hAnsi="Arial" w:cs="Arial"/>
        </w:rPr>
        <w:t xml:space="preserve"> </w:t>
      </w:r>
      <w:r w:rsidR="00DC77D9" w:rsidRPr="00D00A1E">
        <w:rPr>
          <w:rStyle w:val="EndnoteReference"/>
          <w:rFonts w:ascii="Arial" w:hAnsi="Arial" w:cs="Arial"/>
        </w:rPr>
        <w:endnoteReference w:id="68"/>
      </w:r>
      <w:r w:rsidR="00DC77D9" w:rsidRPr="004957C3">
        <w:rPr>
          <w:rStyle w:val="EndnoteReference"/>
          <w:rFonts w:ascii="Arial" w:hAnsi="Arial" w:cs="Arial"/>
        </w:rPr>
        <w:t xml:space="preserve"> </w:t>
      </w:r>
      <w:r w:rsidR="00DC77D9" w:rsidRPr="004957C3">
        <w:rPr>
          <w:rFonts w:ascii="Arial" w:hAnsi="Arial" w:cs="Arial"/>
        </w:rPr>
        <w:t>It has also called for special measures to protect them, including the provision of reasonable accommodation to ensure the enjoyment of rights on equal basis with others.</w:t>
      </w:r>
      <w:r w:rsidR="00DC77D9" w:rsidRPr="00D00A1E">
        <w:rPr>
          <w:rStyle w:val="EndnoteReference"/>
          <w:rFonts w:ascii="Arial" w:hAnsi="Arial" w:cs="Arial"/>
        </w:rPr>
        <w:endnoteReference w:id="69"/>
      </w:r>
      <w:r w:rsidR="00DC77D9" w:rsidRPr="004957C3">
        <w:rPr>
          <w:rFonts w:ascii="Arial" w:hAnsi="Arial" w:cs="Arial"/>
        </w:rPr>
        <w:t xml:space="preserve"> </w:t>
      </w:r>
      <w:r w:rsidR="00DC77D9" w:rsidRPr="004957C3">
        <w:rPr>
          <w:rFonts w:ascii="Arial" w:hAnsi="Arial" w:cs="Arial"/>
          <w:b/>
          <w:bCs/>
        </w:rPr>
        <w:t xml:space="preserve">This important reference to “reasonable accommodation” in the context of detention </w:t>
      </w:r>
      <w:r w:rsidR="009A6828" w:rsidRPr="004957C3">
        <w:rPr>
          <w:rFonts w:ascii="Arial" w:hAnsi="Arial" w:cs="Arial"/>
          <w:b/>
          <w:bCs/>
        </w:rPr>
        <w:t>remains</w:t>
      </w:r>
      <w:r w:rsidR="00DC77D9" w:rsidRPr="004957C3">
        <w:rPr>
          <w:rFonts w:ascii="Arial" w:hAnsi="Arial" w:cs="Arial"/>
          <w:b/>
          <w:bCs/>
        </w:rPr>
        <w:t xml:space="preserve"> absent from the text of the draft general comment.</w:t>
      </w:r>
    </w:p>
    <w:p w14:paraId="1F5E18E3" w14:textId="631D78A2"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59972E03" w14:textId="4617189E" w:rsidR="00DC77D9" w:rsidRPr="009C0785"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rPr>
      </w:pPr>
      <w:r>
        <w:rPr>
          <w:rFonts w:ascii="Arial" w:hAnsi="Arial" w:cs="Arial"/>
          <w:lang w:val="en-GB"/>
        </w:rPr>
        <w:t>Article 14(2) of the CRPD requests States to “</w:t>
      </w:r>
      <w:r w:rsidRPr="008057B8">
        <w:rPr>
          <w:rFonts w:ascii="Arial" w:hAnsi="Arial" w:cs="Arial"/>
        </w:rPr>
        <w:t xml:space="preserve">ensure that if persons with disabilities are deprived of their liberty through </w:t>
      </w:r>
      <w:r w:rsidRPr="00EC361F">
        <w:rPr>
          <w:rFonts w:ascii="Arial" w:hAnsi="Arial" w:cs="Arial"/>
        </w:rPr>
        <w:t xml:space="preserve">any process, they are, on an equal basis with others, entitled to guarantees in accordance with international human rights law and </w:t>
      </w:r>
      <w:r w:rsidR="005576E2">
        <w:rPr>
          <w:rFonts w:ascii="Arial" w:hAnsi="Arial" w:cs="Arial"/>
        </w:rPr>
        <w:t>[…]</w:t>
      </w:r>
      <w:r w:rsidR="0002688C">
        <w:rPr>
          <w:rFonts w:ascii="Arial" w:hAnsi="Arial" w:cs="Arial"/>
        </w:rPr>
        <w:t xml:space="preserve"> </w:t>
      </w:r>
      <w:r w:rsidRPr="00EC361F">
        <w:rPr>
          <w:rFonts w:ascii="Arial" w:hAnsi="Arial" w:cs="Arial"/>
        </w:rPr>
        <w:t>be treated in compliance with the objectives and principles of the</w:t>
      </w:r>
      <w:r w:rsidR="005576E2">
        <w:rPr>
          <w:rFonts w:ascii="Arial" w:hAnsi="Arial" w:cs="Arial"/>
        </w:rPr>
        <w:t xml:space="preserve"> [CRPD]</w:t>
      </w:r>
      <w:r w:rsidR="0002688C">
        <w:rPr>
          <w:rFonts w:ascii="Arial" w:hAnsi="Arial" w:cs="Arial"/>
        </w:rPr>
        <w:t xml:space="preserve"> </w:t>
      </w:r>
      <w:r w:rsidRPr="00EC361F">
        <w:rPr>
          <w:rFonts w:ascii="Arial" w:hAnsi="Arial" w:cs="Arial"/>
        </w:rPr>
        <w:t xml:space="preserve">Convention, including by provision of reasonable accommodation.” In this vein, the CRPD Committee has </w:t>
      </w:r>
      <w:r>
        <w:rPr>
          <w:rFonts w:ascii="Arial" w:hAnsi="Arial" w:cs="Arial"/>
        </w:rPr>
        <w:t>requested</w:t>
      </w:r>
      <w:r w:rsidRPr="00EC361F">
        <w:rPr>
          <w:rFonts w:ascii="Arial" w:hAnsi="Arial" w:cs="Arial"/>
        </w:rPr>
        <w:t xml:space="preserve"> States to ensure that “[d]etention and deportation centres are accessible to migrant workers with disabilities and that [they] are provided with reasonable accommodation”</w:t>
      </w:r>
      <w:r>
        <w:rPr>
          <w:rStyle w:val="EndnoteReference"/>
          <w:rFonts w:ascii="Arial" w:hAnsi="Arial" w:cs="Arial"/>
          <w:b/>
          <w:bCs/>
          <w:sz w:val="20"/>
          <w:szCs w:val="20"/>
          <w:lang w:val="en-GB"/>
        </w:rPr>
        <w:endnoteReference w:id="70"/>
      </w:r>
      <w:r w:rsidRPr="00EC361F">
        <w:rPr>
          <w:rFonts w:ascii="Arial" w:hAnsi="Arial" w:cs="Arial"/>
        </w:rPr>
        <w:t xml:space="preserve"> </w:t>
      </w:r>
      <w:r>
        <w:rPr>
          <w:rFonts w:ascii="Arial" w:hAnsi="Arial" w:cs="Arial"/>
        </w:rPr>
        <w:t>as well as</w:t>
      </w:r>
      <w:r w:rsidRPr="00EC361F">
        <w:rPr>
          <w:rFonts w:ascii="Arial" w:hAnsi="Arial" w:cs="Arial"/>
        </w:rPr>
        <w:t xml:space="preserve"> to “establish a minimum standard of health care and support for persons with disabilities held in immigration detention.”</w:t>
      </w:r>
      <w:r w:rsidRPr="00EC361F">
        <w:rPr>
          <w:rStyle w:val="EndnoteReference"/>
          <w:rFonts w:ascii="Arial" w:hAnsi="Arial" w:cs="Arial"/>
          <w:sz w:val="20"/>
          <w:szCs w:val="20"/>
        </w:rPr>
        <w:endnoteReference w:id="71"/>
      </w:r>
      <w:r w:rsidRPr="00EC361F">
        <w:rPr>
          <w:rFonts w:ascii="Arial" w:hAnsi="Arial" w:cs="Arial"/>
          <w:sz w:val="20"/>
          <w:szCs w:val="20"/>
        </w:rPr>
        <w:t xml:space="preserve"> </w:t>
      </w:r>
      <w:r w:rsidRPr="009C0785">
        <w:rPr>
          <w:rFonts w:ascii="Arial" w:hAnsi="Arial" w:cs="Arial"/>
        </w:rPr>
        <w:t>Training of staff in immigration detention centers is</w:t>
      </w:r>
      <w:r>
        <w:rPr>
          <w:rFonts w:ascii="Arial" w:hAnsi="Arial" w:cs="Arial"/>
        </w:rPr>
        <w:t xml:space="preserve"> also</w:t>
      </w:r>
      <w:r w:rsidRPr="009C0785">
        <w:rPr>
          <w:rFonts w:ascii="Arial" w:hAnsi="Arial" w:cs="Arial"/>
        </w:rPr>
        <w:t xml:space="preserve"> key to ensure that the rights of detained migrants with disabilities are respected. </w:t>
      </w:r>
      <w:r>
        <w:rPr>
          <w:rFonts w:ascii="Arial" w:hAnsi="Arial" w:cs="Arial"/>
        </w:rPr>
        <w:t>Accordingly, t</w:t>
      </w:r>
      <w:r w:rsidRPr="009C0785">
        <w:rPr>
          <w:rFonts w:ascii="Arial" w:hAnsi="Arial" w:cs="Arial"/>
        </w:rPr>
        <w:t>he CRPD Committee has urged States to “</w:t>
      </w:r>
      <w:r w:rsidRPr="009C0785">
        <w:rPr>
          <w:rFonts w:ascii="Arial" w:hAnsi="Arial" w:cs="Arial"/>
          <w:lang w:val="en-GB"/>
        </w:rPr>
        <w:t xml:space="preserve">appoint </w:t>
      </w:r>
      <w:r w:rsidRPr="009C0785">
        <w:rPr>
          <w:rFonts w:ascii="Arial" w:hAnsi="Arial" w:cs="Arial"/>
          <w:b/>
          <w:bCs/>
          <w:lang w:val="en-GB"/>
        </w:rPr>
        <w:t>trained</w:t>
      </w:r>
      <w:r w:rsidRPr="009C0785">
        <w:rPr>
          <w:rFonts w:ascii="Arial" w:hAnsi="Arial" w:cs="Arial"/>
          <w:lang w:val="en-GB"/>
        </w:rPr>
        <w:t xml:space="preserve"> staff to assist persons with disabilities in migrant holding centres.”</w:t>
      </w:r>
      <w:r w:rsidRPr="009C0785">
        <w:rPr>
          <w:rStyle w:val="EndnoteReference"/>
          <w:rFonts w:ascii="Arial" w:hAnsi="Arial" w:cs="Arial"/>
          <w:sz w:val="20"/>
          <w:szCs w:val="20"/>
        </w:rPr>
        <w:t xml:space="preserve"> </w:t>
      </w:r>
      <w:r w:rsidRPr="009C0785">
        <w:rPr>
          <w:rStyle w:val="EndnoteReference"/>
          <w:rFonts w:ascii="Arial" w:hAnsi="Arial" w:cs="Arial"/>
          <w:sz w:val="20"/>
          <w:szCs w:val="20"/>
          <w:lang w:val="es-MX"/>
        </w:rPr>
        <w:endnoteReference w:id="72"/>
      </w:r>
    </w:p>
    <w:p w14:paraId="338B015E" w14:textId="77777777" w:rsidR="00DC77D9" w:rsidRPr="004A4B5E" w:rsidRDefault="00DC77D9" w:rsidP="00751A67">
      <w:pPr>
        <w:pStyle w:val="ListBullet"/>
        <w:numPr>
          <w:ilvl w:val="0"/>
          <w:numId w:val="0"/>
        </w:numPr>
        <w:tabs>
          <w:tab w:val="left" w:pos="284"/>
          <w:tab w:val="left" w:pos="426"/>
        </w:tabs>
        <w:jc w:val="both"/>
        <w:rPr>
          <w:rFonts w:ascii="Arial" w:hAnsi="Arial" w:cs="Arial"/>
          <w:bCs/>
          <w:lang w:val="en-GB"/>
        </w:rPr>
      </w:pPr>
    </w:p>
    <w:p w14:paraId="40FD08D7" w14:textId="60E59154" w:rsidR="00DC77D9" w:rsidRDefault="00DC77D9" w:rsidP="00751A67">
      <w:pPr>
        <w:pStyle w:val="ListBullet"/>
        <w:numPr>
          <w:ilvl w:val="0"/>
          <w:numId w:val="2"/>
        </w:numPr>
        <w:tabs>
          <w:tab w:val="left" w:pos="284"/>
          <w:tab w:val="left" w:pos="426"/>
        </w:tabs>
        <w:spacing w:after="0" w:line="240" w:lineRule="auto"/>
        <w:ind w:left="0" w:firstLine="0"/>
        <w:jc w:val="both"/>
        <w:rPr>
          <w:rStyle w:val="CommentReference"/>
          <w:rFonts w:ascii="Arial" w:eastAsia="Calibri" w:hAnsi="Arial" w:cs="Arial"/>
          <w:sz w:val="22"/>
          <w:szCs w:val="22"/>
          <w:lang w:val="en-GB"/>
        </w:rPr>
      </w:pPr>
      <w:r w:rsidRPr="004A4B5E">
        <w:rPr>
          <w:rFonts w:ascii="Arial" w:hAnsi="Arial" w:cs="Arial"/>
          <w:bCs/>
          <w:lang w:val="en-GB"/>
        </w:rPr>
        <w:t>P</w:t>
      </w:r>
      <w:r>
        <w:rPr>
          <w:rFonts w:ascii="Arial" w:hAnsi="Arial" w:cs="Arial"/>
          <w:bCs/>
          <w:lang w:val="en-GB"/>
        </w:rPr>
        <w:t>ersons with psychosocial disabilities are particularly at risk of being deprived of their liberty on the basis of their impairment (</w:t>
      </w:r>
      <w:r w:rsidR="005576E2">
        <w:rPr>
          <w:rFonts w:ascii="Arial" w:hAnsi="Arial" w:cs="Arial"/>
          <w:bCs/>
          <w:lang w:val="en-GB"/>
        </w:rPr>
        <w:t>s</w:t>
      </w:r>
      <w:r>
        <w:rPr>
          <w:rFonts w:ascii="Arial" w:hAnsi="Arial" w:cs="Arial"/>
          <w:bCs/>
          <w:lang w:val="en-GB"/>
        </w:rPr>
        <w:t xml:space="preserve">ee section B above) and suffer human rights violations. In addition, poor conditions and the length of the detention, without clear timeframes, contribute to exacerbate any earlier acquired mental health condition. </w:t>
      </w:r>
      <w:r>
        <w:rPr>
          <w:rFonts w:ascii="Arial" w:hAnsi="Arial" w:cs="Arial"/>
          <w:lang w:val="en-GB"/>
        </w:rPr>
        <w:t>On their regard,</w:t>
      </w:r>
      <w:r w:rsidRPr="00F03B10">
        <w:rPr>
          <w:rFonts w:ascii="Arial" w:hAnsi="Arial" w:cs="Arial"/>
          <w:lang w:val="en-GB"/>
        </w:rPr>
        <w:t xml:space="preserve"> the Inter American Commission of Human Rights has reported that detained migrants with psychosocial disabilities face alarming conditions of solitary confinement,</w:t>
      </w:r>
      <w:r w:rsidRPr="00F03B10">
        <w:rPr>
          <w:rStyle w:val="EndnoteReference"/>
          <w:rFonts w:ascii="Arial" w:hAnsi="Arial" w:cs="Arial"/>
          <w:lang w:val="en-GB"/>
        </w:rPr>
        <w:endnoteReference w:id="73"/>
      </w:r>
      <w:r w:rsidRPr="00F03B10">
        <w:rPr>
          <w:rFonts w:ascii="Arial" w:hAnsi="Arial" w:cs="Arial"/>
          <w:lang w:val="en-GB"/>
        </w:rPr>
        <w:t xml:space="preserve"> which may amount to torture or ill treatment</w:t>
      </w:r>
      <w:r w:rsidRPr="00F03B10">
        <w:rPr>
          <w:rStyle w:val="CommentReference"/>
          <w:rFonts w:ascii="Arial" w:eastAsia="Calibri" w:hAnsi="Arial" w:cs="Arial"/>
          <w:sz w:val="22"/>
          <w:szCs w:val="22"/>
          <w:lang w:val="en-GB"/>
        </w:rPr>
        <w:t>.</w:t>
      </w:r>
      <w:r w:rsidRPr="00F03B10">
        <w:rPr>
          <w:rStyle w:val="EndnoteReference"/>
          <w:rFonts w:ascii="Arial" w:eastAsia="Calibri" w:hAnsi="Arial" w:cs="Arial"/>
          <w:lang w:val="fr-FR"/>
        </w:rPr>
        <w:endnoteReference w:id="74"/>
      </w:r>
    </w:p>
    <w:p w14:paraId="79D47D22" w14:textId="77777777" w:rsidR="00DC77D9" w:rsidRDefault="00DC77D9" w:rsidP="00751A67">
      <w:pPr>
        <w:pStyle w:val="ListBullet"/>
        <w:numPr>
          <w:ilvl w:val="0"/>
          <w:numId w:val="0"/>
        </w:numPr>
        <w:tabs>
          <w:tab w:val="left" w:pos="284"/>
          <w:tab w:val="left" w:pos="426"/>
        </w:tabs>
        <w:jc w:val="both"/>
        <w:rPr>
          <w:rStyle w:val="CommentReference"/>
          <w:rFonts w:ascii="Arial" w:eastAsia="Calibri" w:hAnsi="Arial" w:cs="Arial"/>
          <w:sz w:val="22"/>
          <w:szCs w:val="22"/>
          <w:lang w:val="en-GB"/>
        </w:rPr>
      </w:pPr>
    </w:p>
    <w:p w14:paraId="60F48346" w14:textId="283E383F" w:rsidR="00DC77D9" w:rsidRPr="001E2EE8" w:rsidRDefault="00DC77D9" w:rsidP="00751A67">
      <w:pPr>
        <w:pStyle w:val="ListBullet"/>
        <w:numPr>
          <w:ilvl w:val="0"/>
          <w:numId w:val="2"/>
        </w:numPr>
        <w:tabs>
          <w:tab w:val="left" w:pos="284"/>
          <w:tab w:val="left" w:pos="426"/>
        </w:tabs>
        <w:spacing w:after="0" w:line="240" w:lineRule="auto"/>
        <w:ind w:left="0" w:firstLine="0"/>
        <w:jc w:val="both"/>
        <w:rPr>
          <w:rFonts w:ascii="Arial" w:eastAsia="Calibri" w:hAnsi="Arial" w:cs="Arial"/>
          <w:lang w:val="en-GB"/>
        </w:rPr>
      </w:pPr>
      <w:r>
        <w:rPr>
          <w:rFonts w:ascii="Arial" w:hAnsi="Arial" w:cs="Arial"/>
          <w:bCs/>
          <w:lang w:val="en-GB"/>
        </w:rPr>
        <w:t>In line with paragraph 52 of the draft, the COVID19 pandemic came to add a paramount factor to avoid the detention of persons with disabilities, who face the risks and suffer disproportionally the effects of the pandemic and of the response measures (e.g. lack of personal assistance services due to restrictions of movement and physical distancing</w:t>
      </w:r>
      <w:r w:rsidR="009F551A">
        <w:rPr>
          <w:rFonts w:ascii="Arial" w:hAnsi="Arial" w:cs="Arial"/>
          <w:bCs/>
          <w:lang w:val="en-GB"/>
        </w:rPr>
        <w:t>, lack of provision of access to information in national sign languages for deaf people</w:t>
      </w:r>
      <w:r>
        <w:rPr>
          <w:rFonts w:ascii="Arial" w:hAnsi="Arial" w:cs="Arial"/>
          <w:bCs/>
          <w:lang w:val="en-GB"/>
        </w:rPr>
        <w:t xml:space="preserve">). Such situation highlights the need to seek for human rights compliant alternatives to immigration detention of persons with disabilities.   </w:t>
      </w:r>
    </w:p>
    <w:p w14:paraId="6A52E532" w14:textId="77777777" w:rsidR="00DC77D9" w:rsidRPr="001E2EE8" w:rsidRDefault="00DC77D9" w:rsidP="00751A67">
      <w:pPr>
        <w:pStyle w:val="ListBullet"/>
        <w:numPr>
          <w:ilvl w:val="0"/>
          <w:numId w:val="0"/>
        </w:numPr>
        <w:tabs>
          <w:tab w:val="left" w:pos="284"/>
          <w:tab w:val="left" w:pos="426"/>
        </w:tabs>
        <w:jc w:val="both"/>
        <w:rPr>
          <w:rFonts w:ascii="Arial" w:eastAsia="Calibri" w:hAnsi="Arial" w:cs="Arial"/>
          <w:lang w:val="en-GB"/>
        </w:rPr>
      </w:pPr>
    </w:p>
    <w:p w14:paraId="5E1205A4" w14:textId="53FA1945" w:rsidR="00DC77D9" w:rsidRPr="009C0785" w:rsidRDefault="00DC77D9" w:rsidP="00751A67">
      <w:pPr>
        <w:pStyle w:val="ListBullet"/>
        <w:numPr>
          <w:ilvl w:val="0"/>
          <w:numId w:val="2"/>
        </w:numPr>
        <w:tabs>
          <w:tab w:val="left" w:pos="284"/>
          <w:tab w:val="left" w:pos="426"/>
        </w:tabs>
        <w:spacing w:after="0" w:line="240" w:lineRule="auto"/>
        <w:ind w:left="0" w:firstLine="0"/>
        <w:jc w:val="both"/>
        <w:rPr>
          <w:rFonts w:ascii="Arial" w:eastAsia="Calibri" w:hAnsi="Arial" w:cs="Arial"/>
          <w:lang w:val="en-GB"/>
        </w:rPr>
      </w:pPr>
      <w:r>
        <w:rPr>
          <w:rFonts w:ascii="Arial" w:eastAsia="Calibri" w:hAnsi="Arial" w:cs="Arial"/>
          <w:lang w:val="en-GB"/>
        </w:rPr>
        <w:t xml:space="preserve">Yet, to face the fact that immigration detention of persons with disabilities </w:t>
      </w:r>
      <w:r w:rsidRPr="008526C1">
        <w:rPr>
          <w:rFonts w:ascii="Arial" w:hAnsi="Arial" w:cs="Arial"/>
          <w:bCs/>
          <w:lang w:val="en-GB"/>
        </w:rPr>
        <w:t>continues</w:t>
      </w:r>
      <w:r>
        <w:rPr>
          <w:rFonts w:ascii="Arial" w:eastAsia="Calibri" w:hAnsi="Arial" w:cs="Arial"/>
          <w:lang w:val="en-GB"/>
        </w:rPr>
        <w:t xml:space="preserve"> to occur, the draft general comment should make explicit references to the elements referred in this section, notably the need for humane conditions of detention, including the provision of reasonable accommodation.  </w:t>
      </w:r>
    </w:p>
    <w:p w14:paraId="2D9F31FD"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143D991D" w14:textId="59A8FCE5" w:rsidR="00DC77D9" w:rsidRPr="001E1C12" w:rsidRDefault="00DC77D9" w:rsidP="00751A67">
      <w:pPr>
        <w:pStyle w:val="Heading3"/>
        <w:numPr>
          <w:ilvl w:val="0"/>
          <w:numId w:val="6"/>
        </w:numPr>
        <w:tabs>
          <w:tab w:val="left" w:pos="284"/>
          <w:tab w:val="left" w:pos="426"/>
        </w:tabs>
        <w:ind w:left="0" w:firstLine="0"/>
        <w:rPr>
          <w:lang w:val="en-GB"/>
        </w:rPr>
      </w:pPr>
      <w:bookmarkStart w:id="9" w:name="_Toc54615532"/>
      <w:r w:rsidRPr="001E1C12">
        <w:rPr>
          <w:lang w:val="en-GB"/>
        </w:rPr>
        <w:t xml:space="preserve">ALTERNATIVES TO </w:t>
      </w:r>
      <w:r>
        <w:rPr>
          <w:lang w:val="en-GB"/>
        </w:rPr>
        <w:t>IM</w:t>
      </w:r>
      <w:r w:rsidRPr="001E1C12">
        <w:rPr>
          <w:lang w:val="en-GB"/>
        </w:rPr>
        <w:t>MIGRATION DETENTION: SUPPORT AND ACCESS TO SERVICES AND SOCIAL PROTECTION SCHEMES FOR PERSONS WITH DISABILITIES</w:t>
      </w:r>
      <w:bookmarkEnd w:id="9"/>
      <w:r w:rsidRPr="001E1C12">
        <w:rPr>
          <w:lang w:val="en-GB"/>
        </w:rPr>
        <w:t xml:space="preserve"> </w:t>
      </w:r>
    </w:p>
    <w:p w14:paraId="09E7AF01" w14:textId="0BE00DF2" w:rsidR="00DC77D9" w:rsidRPr="003E3CA5"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4B8A110A" w14:textId="7D9F4B8C" w:rsidR="00DC77D9"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IDA welcomes </w:t>
      </w:r>
      <w:r w:rsidR="009A6828">
        <w:rPr>
          <w:rFonts w:ascii="Arial" w:hAnsi="Arial" w:cs="Arial"/>
          <w:lang w:val="en-GB"/>
        </w:rPr>
        <w:t>the</w:t>
      </w:r>
      <w:r>
        <w:rPr>
          <w:rFonts w:ascii="Arial" w:hAnsi="Arial" w:cs="Arial"/>
          <w:lang w:val="en-GB"/>
        </w:rPr>
        <w:t xml:space="preserve"> stress</w:t>
      </w:r>
      <w:r w:rsidR="009A6828">
        <w:rPr>
          <w:rFonts w:ascii="Arial" w:hAnsi="Arial" w:cs="Arial"/>
          <w:lang w:val="en-GB"/>
        </w:rPr>
        <w:t xml:space="preserve"> put</w:t>
      </w:r>
      <w:r>
        <w:rPr>
          <w:rFonts w:ascii="Arial" w:hAnsi="Arial" w:cs="Arial"/>
          <w:lang w:val="en-GB"/>
        </w:rPr>
        <w:t xml:space="preserve"> on the obligation of States to develop human rights compliant alternatives to immigration detention which are less restrictive and invasive of migrants’ rights, and which have proven less costly and </w:t>
      </w:r>
      <w:r w:rsidRPr="008526C1">
        <w:rPr>
          <w:rFonts w:ascii="Arial" w:hAnsi="Arial" w:cs="Arial"/>
          <w:bCs/>
          <w:lang w:val="en-GB"/>
        </w:rPr>
        <w:t>more</w:t>
      </w:r>
      <w:r>
        <w:rPr>
          <w:rFonts w:ascii="Arial" w:hAnsi="Arial" w:cs="Arial"/>
          <w:lang w:val="en-GB"/>
        </w:rPr>
        <w:t xml:space="preserve"> effective for the State purpose of controlling migration, as well as more humane and less damaging towards migrants.</w:t>
      </w:r>
      <w:r>
        <w:rPr>
          <w:rStyle w:val="EndnoteReference"/>
          <w:rFonts w:ascii="Arial" w:hAnsi="Arial" w:cs="Arial"/>
          <w:lang w:val="en-GB"/>
        </w:rPr>
        <w:endnoteReference w:id="75"/>
      </w:r>
      <w:r>
        <w:rPr>
          <w:rFonts w:ascii="Arial" w:hAnsi="Arial" w:cs="Arial"/>
          <w:lang w:val="en-GB"/>
        </w:rPr>
        <w:t xml:space="preserve"> As put by th</w:t>
      </w:r>
      <w:r w:rsidR="00CF4FAC">
        <w:rPr>
          <w:rFonts w:ascii="Arial" w:hAnsi="Arial" w:cs="Arial"/>
          <w:lang w:val="en-GB"/>
        </w:rPr>
        <w:t>is</w:t>
      </w:r>
      <w:r>
        <w:rPr>
          <w:rFonts w:ascii="Arial" w:hAnsi="Arial" w:cs="Arial"/>
          <w:lang w:val="en-GB"/>
        </w:rPr>
        <w:t xml:space="preserve"> Committee, alternative measures would allow migrants to “live freely in their communities.”</w:t>
      </w:r>
      <w:r>
        <w:rPr>
          <w:rStyle w:val="EndnoteReference"/>
          <w:rFonts w:ascii="Arial" w:hAnsi="Arial" w:cs="Arial"/>
          <w:lang w:val="en-GB"/>
        </w:rPr>
        <w:endnoteReference w:id="76"/>
      </w:r>
    </w:p>
    <w:p w14:paraId="15EE3427"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1E210FF9" w14:textId="47B60C18" w:rsidR="00DC77D9" w:rsidRPr="001C59A3"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1C59A3">
        <w:rPr>
          <w:rFonts w:ascii="Arial" w:hAnsi="Arial" w:cs="Arial"/>
          <w:lang w:val="en-GB"/>
        </w:rPr>
        <w:t>Persons with disabilities generally, however, face discrimination, exclusion and many barriers to the exercise of their rights and to l</w:t>
      </w:r>
      <w:r>
        <w:rPr>
          <w:rFonts w:ascii="Arial" w:hAnsi="Arial" w:cs="Arial"/>
          <w:lang w:val="en-GB"/>
        </w:rPr>
        <w:t>i</w:t>
      </w:r>
      <w:r w:rsidRPr="001C59A3">
        <w:rPr>
          <w:rFonts w:ascii="Arial" w:hAnsi="Arial" w:cs="Arial"/>
          <w:lang w:val="en-GB"/>
        </w:rPr>
        <w:t xml:space="preserve">ve a fulfilling life in the community, which is aggravated by restrictions based </w:t>
      </w:r>
      <w:r>
        <w:rPr>
          <w:rFonts w:ascii="Arial" w:hAnsi="Arial" w:cs="Arial"/>
          <w:lang w:val="en-GB"/>
        </w:rPr>
        <w:t xml:space="preserve">on </w:t>
      </w:r>
      <w:r w:rsidRPr="001C59A3">
        <w:rPr>
          <w:rFonts w:ascii="Arial" w:hAnsi="Arial" w:cs="Arial"/>
          <w:lang w:val="en-GB"/>
        </w:rPr>
        <w:t>the</w:t>
      </w:r>
      <w:r>
        <w:rPr>
          <w:rFonts w:ascii="Arial" w:hAnsi="Arial" w:cs="Arial"/>
          <w:lang w:val="en-GB"/>
        </w:rPr>
        <w:t>ir</w:t>
      </w:r>
      <w:r w:rsidRPr="001C59A3">
        <w:rPr>
          <w:rFonts w:ascii="Arial" w:hAnsi="Arial" w:cs="Arial"/>
          <w:lang w:val="en-GB"/>
        </w:rPr>
        <w:t xml:space="preserve"> migrant status. For example, in many contexts</w:t>
      </w:r>
      <w:r>
        <w:rPr>
          <w:rFonts w:ascii="Arial" w:hAnsi="Arial" w:cs="Arial"/>
          <w:lang w:val="en-GB"/>
        </w:rPr>
        <w:t>,</w:t>
      </w:r>
      <w:r w:rsidRPr="001C59A3">
        <w:rPr>
          <w:rFonts w:ascii="Arial" w:hAnsi="Arial" w:cs="Arial"/>
          <w:lang w:val="en-GB"/>
        </w:rPr>
        <w:t xml:space="preserve"> migrants with disabilities have very restricted to no access to social protection measures, social services, health care</w:t>
      </w:r>
      <w:r w:rsidR="009F551A">
        <w:rPr>
          <w:rFonts w:ascii="Arial" w:hAnsi="Arial" w:cs="Arial"/>
          <w:lang w:val="en-GB"/>
        </w:rPr>
        <w:t>,</w:t>
      </w:r>
      <w:r w:rsidRPr="001C59A3">
        <w:rPr>
          <w:rFonts w:ascii="Arial" w:hAnsi="Arial" w:cs="Arial"/>
          <w:lang w:val="en-GB"/>
        </w:rPr>
        <w:t xml:space="preserve"> rehabilitation services</w:t>
      </w:r>
      <w:r w:rsidR="009F551A">
        <w:rPr>
          <w:rFonts w:ascii="Arial" w:hAnsi="Arial" w:cs="Arial"/>
          <w:lang w:val="en-GB"/>
        </w:rPr>
        <w:t xml:space="preserve"> and information in general, including in the national sign language</w:t>
      </w:r>
      <w:r w:rsidRPr="001C59A3">
        <w:rPr>
          <w:rFonts w:ascii="Arial" w:hAnsi="Arial" w:cs="Arial"/>
          <w:lang w:val="en-GB"/>
        </w:rPr>
        <w:t>. The CRPD Committee has</w:t>
      </w:r>
      <w:r w:rsidR="009A6828">
        <w:rPr>
          <w:rFonts w:ascii="Arial" w:hAnsi="Arial" w:cs="Arial"/>
          <w:lang w:val="en-GB"/>
        </w:rPr>
        <w:t xml:space="preserve"> </w:t>
      </w:r>
      <w:r w:rsidRPr="001C59A3">
        <w:rPr>
          <w:rFonts w:ascii="Arial" w:hAnsi="Arial" w:cs="Arial"/>
          <w:lang w:val="en-GB"/>
        </w:rPr>
        <w:t>call</w:t>
      </w:r>
      <w:r w:rsidR="00534883">
        <w:rPr>
          <w:rFonts w:ascii="Arial" w:hAnsi="Arial" w:cs="Arial"/>
          <w:lang w:val="en-GB"/>
        </w:rPr>
        <w:t>ed</w:t>
      </w:r>
      <w:r w:rsidRPr="001C59A3">
        <w:rPr>
          <w:rFonts w:ascii="Arial" w:hAnsi="Arial" w:cs="Arial"/>
          <w:lang w:val="en-GB"/>
        </w:rPr>
        <w:t xml:space="preserve"> </w:t>
      </w:r>
      <w:r w:rsidR="00534883">
        <w:rPr>
          <w:rFonts w:ascii="Arial" w:hAnsi="Arial" w:cs="Arial"/>
          <w:lang w:val="en-GB"/>
        </w:rPr>
        <w:t xml:space="preserve">upon </w:t>
      </w:r>
      <w:r w:rsidRPr="001C59A3">
        <w:rPr>
          <w:rFonts w:ascii="Arial" w:hAnsi="Arial" w:cs="Arial"/>
          <w:lang w:val="en-GB"/>
        </w:rPr>
        <w:t>States to provide with “sufficient recovery time and basic rehabilitation”</w:t>
      </w:r>
      <w:r w:rsidRPr="001C59A3">
        <w:rPr>
          <w:rStyle w:val="EndnoteReference"/>
          <w:rFonts w:ascii="Arial" w:hAnsi="Arial" w:cs="Arial"/>
          <w:lang w:val="en-GB"/>
        </w:rPr>
        <w:endnoteReference w:id="77"/>
      </w:r>
      <w:r w:rsidRPr="001C59A3">
        <w:rPr>
          <w:rFonts w:ascii="Arial" w:hAnsi="Arial" w:cs="Arial"/>
          <w:lang w:val="en-GB"/>
        </w:rPr>
        <w:t xml:space="preserve"> to migrants who acquire impairment</w:t>
      </w:r>
      <w:r w:rsidR="009A5AE7">
        <w:rPr>
          <w:rFonts w:ascii="Arial" w:hAnsi="Arial" w:cs="Arial"/>
          <w:lang w:val="en-GB"/>
        </w:rPr>
        <w:t>s</w:t>
      </w:r>
      <w:r w:rsidRPr="001C59A3">
        <w:rPr>
          <w:rFonts w:ascii="Arial" w:hAnsi="Arial" w:cs="Arial"/>
          <w:lang w:val="en-GB"/>
        </w:rPr>
        <w:t xml:space="preserve"> while in transit. In the same vein, migrant parents of children with disabilities face more difficulties in accessing services and support than</w:t>
      </w:r>
      <w:r>
        <w:rPr>
          <w:rFonts w:ascii="Arial" w:hAnsi="Arial" w:cs="Arial"/>
          <w:lang w:val="en-GB"/>
        </w:rPr>
        <w:t xml:space="preserve"> other</w:t>
      </w:r>
      <w:r w:rsidRPr="001C59A3">
        <w:rPr>
          <w:rFonts w:ascii="Arial" w:hAnsi="Arial" w:cs="Arial"/>
          <w:lang w:val="en-GB"/>
        </w:rPr>
        <w:t xml:space="preserve"> citizens.</w:t>
      </w:r>
      <w:r w:rsidRPr="001C59A3">
        <w:rPr>
          <w:rStyle w:val="EndnoteReference"/>
          <w:rFonts w:ascii="Arial" w:hAnsi="Arial" w:cs="Arial"/>
          <w:lang w:val="en-GB"/>
        </w:rPr>
        <w:endnoteReference w:id="78"/>
      </w:r>
      <w:r w:rsidRPr="001C59A3">
        <w:rPr>
          <w:rFonts w:ascii="Arial" w:hAnsi="Arial" w:cs="Arial"/>
          <w:lang w:val="en-GB"/>
        </w:rPr>
        <w:t xml:space="preserve"> Migrant children with disabilities may </w:t>
      </w:r>
      <w:r w:rsidR="00ED5869">
        <w:rPr>
          <w:rFonts w:ascii="Arial" w:hAnsi="Arial" w:cs="Arial"/>
          <w:lang w:val="en-GB"/>
        </w:rPr>
        <w:t xml:space="preserve">also </w:t>
      </w:r>
      <w:r w:rsidRPr="001C59A3">
        <w:rPr>
          <w:rFonts w:ascii="Arial" w:hAnsi="Arial" w:cs="Arial"/>
          <w:lang w:val="en-GB"/>
        </w:rPr>
        <w:t>face barriers to accessing social services and disability benefits,</w:t>
      </w:r>
      <w:r w:rsidR="009A6828">
        <w:rPr>
          <w:rFonts w:ascii="Arial" w:hAnsi="Arial" w:cs="Arial"/>
          <w:lang w:val="en-GB"/>
        </w:rPr>
        <w:t xml:space="preserve"> issue</w:t>
      </w:r>
      <w:r w:rsidRPr="00DC1EA8">
        <w:rPr>
          <w:rStyle w:val="EndnoteReference"/>
          <w:rFonts w:ascii="Arial" w:hAnsi="Arial" w:cs="Arial"/>
          <w:lang w:val="en-GB"/>
        </w:rPr>
        <w:endnoteReference w:id="79"/>
      </w:r>
      <w:r w:rsidR="00ED5869">
        <w:rPr>
          <w:rFonts w:ascii="Arial" w:hAnsi="Arial" w:cs="Arial"/>
          <w:lang w:val="en-GB"/>
        </w:rPr>
        <w:t xml:space="preserve"> already </w:t>
      </w:r>
      <w:r w:rsidR="009A6828">
        <w:rPr>
          <w:rFonts w:ascii="Arial" w:hAnsi="Arial" w:cs="Arial"/>
          <w:lang w:val="en-GB"/>
        </w:rPr>
        <w:t>addressed by</w:t>
      </w:r>
      <w:r>
        <w:rPr>
          <w:rFonts w:ascii="Arial" w:hAnsi="Arial" w:cs="Arial"/>
          <w:lang w:val="en-GB"/>
        </w:rPr>
        <w:t xml:space="preserve"> this Committee.</w:t>
      </w:r>
      <w:r w:rsidRPr="00DC1EA8">
        <w:rPr>
          <w:rStyle w:val="EndnoteReference"/>
          <w:rFonts w:ascii="Arial" w:hAnsi="Arial" w:cs="Arial"/>
          <w:lang w:val="en-GB"/>
        </w:rPr>
        <w:endnoteReference w:id="80"/>
      </w:r>
      <w:r w:rsidRPr="00980330">
        <w:rPr>
          <w:rFonts w:ascii="Arial" w:hAnsi="Arial" w:cs="Arial"/>
          <w:lang w:val="en-GB"/>
        </w:rPr>
        <w:t xml:space="preserve"> </w:t>
      </w:r>
    </w:p>
    <w:p w14:paraId="623C6103" w14:textId="1E82E1E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r>
        <w:rPr>
          <w:rFonts w:ascii="Arial" w:hAnsi="Arial" w:cs="Arial"/>
          <w:lang w:val="en-GB"/>
        </w:rPr>
        <w:t xml:space="preserve">  </w:t>
      </w:r>
    </w:p>
    <w:p w14:paraId="6E165EC1" w14:textId="39B0BCE9" w:rsidR="00DC77D9"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Hence, alternatives to immigration detention need to be inclusive of persons with disabilities and consider key rights of persons with disabilities, whose implementation would allow them to live in the community, while immigration procedures are resolved. </w:t>
      </w:r>
      <w:r w:rsidRPr="00980330">
        <w:rPr>
          <w:rFonts w:ascii="Arial" w:hAnsi="Arial" w:cs="Arial"/>
          <w:lang w:val="en-GB"/>
        </w:rPr>
        <w:t xml:space="preserve">Articles 19 (living independently and being included in the community), 23 (right to privacy </w:t>
      </w:r>
      <w:r>
        <w:rPr>
          <w:rFonts w:ascii="Arial" w:hAnsi="Arial" w:cs="Arial"/>
          <w:lang w:val="en-GB"/>
        </w:rPr>
        <w:t xml:space="preserve">and to </w:t>
      </w:r>
      <w:r w:rsidRPr="00980330">
        <w:rPr>
          <w:rFonts w:ascii="Arial" w:hAnsi="Arial" w:cs="Arial"/>
          <w:lang w:val="en-GB"/>
        </w:rPr>
        <w:t>family life) 28 (social protection) of the CRPD become essential for migrants with disabilities.</w:t>
      </w:r>
    </w:p>
    <w:p w14:paraId="4C4C09AA"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0E8A51B8" w14:textId="3723EF05" w:rsidR="00DC77D9"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Article 19 of the CRPD recognises the right of persons with disabilities to decide where and with whom to live on equal basis with others and to access support services (e.g. personal assistance services) and the State’s duty to ensure that mainstream community services and facilities are accessible and responsive to the needs of persons with disabilities.</w:t>
      </w:r>
      <w:r>
        <w:rPr>
          <w:rStyle w:val="EndnoteReference"/>
          <w:rFonts w:ascii="Arial" w:hAnsi="Arial" w:cs="Arial"/>
          <w:lang w:val="en-GB"/>
        </w:rPr>
        <w:endnoteReference w:id="81"/>
      </w:r>
      <w:r>
        <w:rPr>
          <w:rFonts w:ascii="Arial" w:hAnsi="Arial" w:cs="Arial"/>
          <w:lang w:val="en-GB"/>
        </w:rPr>
        <w:t xml:space="preserve"> In regards to migrants, the CRPD Committee has recommended to address the lack of information on and the inaccessibility of independent living support services to migrants and refugees with disabilities.</w:t>
      </w:r>
      <w:r>
        <w:rPr>
          <w:rStyle w:val="EndnoteReference"/>
          <w:rFonts w:ascii="Arial" w:hAnsi="Arial" w:cs="Arial"/>
          <w:b/>
          <w:sz w:val="20"/>
          <w:szCs w:val="20"/>
          <w:lang w:val="en-GB"/>
        </w:rPr>
        <w:endnoteReference w:id="82"/>
      </w:r>
      <w:r>
        <w:rPr>
          <w:rFonts w:ascii="Arial" w:hAnsi="Arial" w:cs="Arial"/>
          <w:lang w:val="en-GB"/>
        </w:rPr>
        <w:t xml:space="preserve"> </w:t>
      </w:r>
      <w:r w:rsidRPr="00334C24">
        <w:rPr>
          <w:rFonts w:ascii="Arial" w:hAnsi="Arial" w:cs="Arial"/>
          <w:lang w:val="en-GB"/>
        </w:rPr>
        <w:t xml:space="preserve">Implementing this right in the context of migrants with disabilities demands that </w:t>
      </w:r>
      <w:r w:rsidRPr="00982ADE">
        <w:rPr>
          <w:rFonts w:ascii="Arial" w:hAnsi="Arial" w:cs="Arial"/>
          <w:b/>
          <w:bCs/>
          <w:lang w:val="en-GB"/>
        </w:rPr>
        <w:t xml:space="preserve">any housing arrangement provided to migrants and </w:t>
      </w:r>
      <w:r w:rsidRPr="00982ADE">
        <w:rPr>
          <w:rFonts w:ascii="Arial" w:hAnsi="Arial" w:cs="Arial"/>
          <w:b/>
          <w:bCs/>
          <w:lang w:val="en-GB"/>
        </w:rPr>
        <w:lastRenderedPageBreak/>
        <w:t>asylum seekers with disabilities does not become a form of institutionalisation nor segregation</w:t>
      </w:r>
      <w:r>
        <w:rPr>
          <w:rFonts w:ascii="Arial" w:hAnsi="Arial" w:cs="Arial"/>
          <w:b/>
          <w:bCs/>
          <w:lang w:val="en-GB"/>
        </w:rPr>
        <w:t xml:space="preserve"> based on disability</w:t>
      </w:r>
      <w:r w:rsidRPr="00334C24">
        <w:rPr>
          <w:rFonts w:ascii="Arial" w:hAnsi="Arial" w:cs="Arial"/>
          <w:lang w:val="en-GB"/>
        </w:rPr>
        <w:t>.</w:t>
      </w:r>
    </w:p>
    <w:p w14:paraId="6AF81D49"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2FA3CB08" w14:textId="53F908F0" w:rsidR="00DC77D9" w:rsidRPr="00334C24"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Article 23 of the CRPD (</w:t>
      </w:r>
      <w:r w:rsidR="00ED5869">
        <w:rPr>
          <w:rFonts w:ascii="Arial" w:hAnsi="Arial" w:cs="Arial"/>
          <w:lang w:val="en-GB"/>
        </w:rPr>
        <w:t>r</w:t>
      </w:r>
      <w:r>
        <w:rPr>
          <w:rFonts w:ascii="Arial" w:hAnsi="Arial" w:cs="Arial"/>
          <w:lang w:val="en-GB"/>
        </w:rPr>
        <w:t>espect for the home and the family) is very relevant for the situation of migrant parents with children with disabilities and of migrant parents with disabilities. Both should count with support measures, including social protection schemes, to fulfil their parental responsibilities, including in the context of migration. Both this Committee and the CRPD Committee have criticised a provision establishing the requisite of 20 years of residence in the country for migrants with disabilities to be entitled to the disability allowance.</w:t>
      </w:r>
      <w:r>
        <w:rPr>
          <w:rStyle w:val="EndnoteReference"/>
          <w:rFonts w:ascii="Arial" w:hAnsi="Arial" w:cs="Arial"/>
          <w:lang w:val="en-GB"/>
        </w:rPr>
        <w:endnoteReference w:id="83"/>
      </w:r>
      <w:r>
        <w:rPr>
          <w:rFonts w:ascii="Arial" w:hAnsi="Arial" w:cs="Arial"/>
          <w:lang w:val="en-GB"/>
        </w:rPr>
        <w:t xml:space="preserve">  </w:t>
      </w:r>
      <w:r w:rsidRPr="00334C24">
        <w:rPr>
          <w:rFonts w:ascii="Arial" w:hAnsi="Arial" w:cs="Arial"/>
          <w:lang w:val="en-GB"/>
        </w:rPr>
        <w:t xml:space="preserve">  </w:t>
      </w:r>
    </w:p>
    <w:p w14:paraId="1BCE564F" w14:textId="55D1C9E6"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3E849080" w14:textId="054C6907" w:rsidR="00ED5869" w:rsidRPr="0002688C" w:rsidRDefault="00DC77D9" w:rsidP="0002688C">
      <w:pPr>
        <w:pStyle w:val="ListBullet"/>
        <w:numPr>
          <w:ilvl w:val="0"/>
          <w:numId w:val="2"/>
        </w:numPr>
        <w:tabs>
          <w:tab w:val="left" w:pos="284"/>
          <w:tab w:val="left" w:pos="426"/>
        </w:tabs>
        <w:spacing w:after="0" w:line="240" w:lineRule="auto"/>
        <w:ind w:left="0" w:firstLine="0"/>
        <w:jc w:val="both"/>
        <w:rPr>
          <w:rFonts w:ascii="Arial" w:hAnsi="Arial" w:cs="Arial"/>
          <w:sz w:val="24"/>
          <w:szCs w:val="24"/>
          <w:lang w:val="en-GB" w:eastAsia="en-GB"/>
        </w:rPr>
      </w:pPr>
      <w:r w:rsidRPr="00982ADE">
        <w:rPr>
          <w:rFonts w:ascii="Arial" w:hAnsi="Arial" w:cs="Arial"/>
          <w:lang w:val="en-GB"/>
        </w:rPr>
        <w:t>Article 28 of the CRPD requires States to strive to ensure persons with disabilities an adequate standard of living, including their access to social protection programs and assistance from the State with disability related expenses.</w:t>
      </w:r>
      <w:r w:rsidRPr="00982ADE">
        <w:rPr>
          <w:rStyle w:val="EndnoteReference"/>
          <w:rFonts w:ascii="Arial" w:hAnsi="Arial" w:cs="Arial"/>
          <w:lang w:val="en-GB"/>
        </w:rPr>
        <w:endnoteReference w:id="84"/>
      </w:r>
      <w:r w:rsidRPr="00982ADE">
        <w:rPr>
          <w:rFonts w:ascii="Arial" w:hAnsi="Arial" w:cs="Arial"/>
          <w:lang w:val="en-GB"/>
        </w:rPr>
        <w:t xml:space="preserve"> While social protection systems still lack comprehensive coverage of persons with disabilities </w:t>
      </w:r>
      <w:r w:rsidRPr="00372F13">
        <w:rPr>
          <w:rFonts w:ascii="Arial" w:hAnsi="Arial" w:cs="Arial"/>
          <w:b/>
          <w:lang w:val="en-GB"/>
        </w:rPr>
        <w:t>and their disability related costs</w:t>
      </w:r>
      <w:r w:rsidRPr="00982ADE">
        <w:rPr>
          <w:rFonts w:ascii="Arial" w:hAnsi="Arial" w:cs="Arial"/>
          <w:lang w:val="en-GB"/>
        </w:rPr>
        <w:t xml:space="preserve">, the situation of migrants </w:t>
      </w:r>
      <w:r>
        <w:rPr>
          <w:rFonts w:ascii="Arial" w:hAnsi="Arial" w:cs="Arial"/>
          <w:lang w:val="en-GB"/>
        </w:rPr>
        <w:t xml:space="preserve">with disabilities </w:t>
      </w:r>
      <w:r w:rsidRPr="00982ADE">
        <w:rPr>
          <w:rFonts w:ascii="Arial" w:hAnsi="Arial" w:cs="Arial"/>
          <w:lang w:val="en-GB"/>
        </w:rPr>
        <w:t>in an irregular situation can only be worse. The CRPD Committee ha</w:t>
      </w:r>
      <w:r>
        <w:rPr>
          <w:rFonts w:ascii="Arial" w:hAnsi="Arial" w:cs="Arial"/>
          <w:lang w:val="en-GB"/>
        </w:rPr>
        <w:t>s</w:t>
      </w:r>
      <w:r w:rsidRPr="00982ADE">
        <w:rPr>
          <w:rFonts w:ascii="Arial" w:hAnsi="Arial" w:cs="Arial"/>
          <w:lang w:val="en-GB"/>
        </w:rPr>
        <w:t xml:space="preserve"> addressed their situation recommending States to put in place </w:t>
      </w:r>
      <w:r w:rsidRPr="00982ADE">
        <w:rPr>
          <w:rFonts w:ascii="Arial" w:hAnsi="Arial" w:cs="Arial"/>
          <w:lang w:val="x-none"/>
        </w:rPr>
        <w:t>social protection programme</w:t>
      </w:r>
      <w:r w:rsidRPr="00982ADE">
        <w:rPr>
          <w:rFonts w:ascii="Arial" w:hAnsi="Arial" w:cs="Arial"/>
        </w:rPr>
        <w:t>s</w:t>
      </w:r>
      <w:r w:rsidRPr="00982ADE">
        <w:rPr>
          <w:rFonts w:ascii="Arial" w:hAnsi="Arial" w:cs="Arial"/>
          <w:lang w:val="x-none"/>
        </w:rPr>
        <w:t xml:space="preserve"> </w:t>
      </w:r>
      <w:r w:rsidRPr="00982ADE">
        <w:rPr>
          <w:rFonts w:ascii="Arial" w:hAnsi="Arial" w:cs="Arial"/>
        </w:rPr>
        <w:t>for persons with disabilities to improve the standard of living of persons with disabilities, including migrants.</w:t>
      </w:r>
      <w:r w:rsidRPr="00982ADE">
        <w:rPr>
          <w:rStyle w:val="EndnoteReference"/>
          <w:rFonts w:ascii="Arial" w:hAnsi="Arial" w:cs="Arial"/>
          <w:lang w:val="es-MX"/>
        </w:rPr>
        <w:endnoteReference w:id="85"/>
      </w:r>
      <w:r w:rsidRPr="00982ADE">
        <w:rPr>
          <w:rFonts w:ascii="Arial" w:hAnsi="Arial" w:cs="Arial"/>
        </w:rPr>
        <w:t xml:space="preserve"> That Committee has also requested to repeal “the provisions that prevent persons with disabilities, including migrant workers and disabled children of migrant workers, from having equal access to social protection”</w:t>
      </w:r>
      <w:r w:rsidRPr="00982ADE">
        <w:rPr>
          <w:rStyle w:val="EndnoteReference"/>
          <w:rFonts w:ascii="Arial" w:hAnsi="Arial" w:cs="Arial"/>
          <w:lang w:val="en-GB"/>
        </w:rPr>
        <w:endnoteReference w:id="86"/>
      </w:r>
      <w:r w:rsidRPr="00982ADE">
        <w:rPr>
          <w:rFonts w:ascii="Arial" w:hAnsi="Arial" w:cs="Arial"/>
        </w:rPr>
        <w:t xml:space="preserve"> and to restore the rights of persons with disabilities with a foreign national origin.</w:t>
      </w:r>
      <w:r w:rsidRPr="00982ADE">
        <w:rPr>
          <w:rStyle w:val="EndnoteReference"/>
          <w:rFonts w:ascii="Arial" w:hAnsi="Arial" w:cs="Arial"/>
          <w:lang w:val="en-GB"/>
        </w:rPr>
        <w:endnoteReference w:id="87"/>
      </w:r>
    </w:p>
    <w:p w14:paraId="5F65F068" w14:textId="77777777" w:rsidR="0002688C" w:rsidRDefault="0002688C" w:rsidP="0002688C">
      <w:pPr>
        <w:pStyle w:val="ListBullet"/>
        <w:numPr>
          <w:ilvl w:val="0"/>
          <w:numId w:val="0"/>
        </w:numPr>
        <w:tabs>
          <w:tab w:val="left" w:pos="284"/>
          <w:tab w:val="left" w:pos="426"/>
        </w:tabs>
        <w:spacing w:after="0" w:line="240" w:lineRule="auto"/>
        <w:jc w:val="both"/>
        <w:rPr>
          <w:rStyle w:val="EndnoteReference"/>
          <w:rFonts w:ascii="Arial" w:hAnsi="Arial" w:cs="Arial"/>
          <w:sz w:val="24"/>
          <w:szCs w:val="24"/>
          <w:vertAlign w:val="baseline"/>
          <w:lang w:val="en-GB" w:eastAsia="en-GB"/>
        </w:rPr>
      </w:pPr>
    </w:p>
    <w:p w14:paraId="0757383B" w14:textId="101DEFAF" w:rsidR="00DC77D9" w:rsidRPr="00ED5869" w:rsidRDefault="00DC77D9" w:rsidP="0002688C">
      <w:pPr>
        <w:pStyle w:val="ListBullet"/>
        <w:numPr>
          <w:ilvl w:val="0"/>
          <w:numId w:val="2"/>
        </w:numPr>
        <w:tabs>
          <w:tab w:val="left" w:pos="284"/>
          <w:tab w:val="left" w:pos="426"/>
        </w:tabs>
        <w:spacing w:after="0" w:line="240" w:lineRule="auto"/>
        <w:ind w:left="0" w:firstLine="0"/>
        <w:jc w:val="both"/>
        <w:rPr>
          <w:rFonts w:ascii="Arial" w:hAnsi="Arial" w:cs="Arial"/>
          <w:lang w:val="en-GB"/>
        </w:rPr>
      </w:pPr>
      <w:r w:rsidRPr="00ED5869">
        <w:rPr>
          <w:rFonts w:ascii="Arial" w:hAnsi="Arial" w:cs="Arial"/>
          <w:lang w:val="en-GB"/>
        </w:rPr>
        <w:t xml:space="preserve">Immigration detention of persons with disabilities must not occur. Hence, human rights compliant alternatives must be in place. To be inclusive of </w:t>
      </w:r>
      <w:r w:rsidR="00372F13" w:rsidRPr="00ED5869">
        <w:rPr>
          <w:rFonts w:ascii="Arial" w:hAnsi="Arial" w:cs="Arial"/>
          <w:lang w:val="en-GB"/>
        </w:rPr>
        <w:t>migrants</w:t>
      </w:r>
      <w:r w:rsidRPr="00ED5869">
        <w:rPr>
          <w:rFonts w:ascii="Arial" w:hAnsi="Arial" w:cs="Arial"/>
          <w:lang w:val="en-GB"/>
        </w:rPr>
        <w:t xml:space="preserve"> with disabilities and respect their rights, those measures need to be framed, budgeted and implemented in </w:t>
      </w:r>
      <w:r w:rsidR="00372F13" w:rsidRPr="00ED5869">
        <w:rPr>
          <w:rFonts w:ascii="Arial" w:hAnsi="Arial" w:cs="Arial"/>
          <w:lang w:val="en-GB"/>
        </w:rPr>
        <w:t>line</w:t>
      </w:r>
      <w:r w:rsidRPr="00ED5869">
        <w:rPr>
          <w:rFonts w:ascii="Arial" w:hAnsi="Arial" w:cs="Arial"/>
          <w:lang w:val="en-GB"/>
        </w:rPr>
        <w:t xml:space="preserve"> </w:t>
      </w:r>
      <w:r w:rsidR="00372F13" w:rsidRPr="00ED5869">
        <w:rPr>
          <w:rFonts w:ascii="Arial" w:hAnsi="Arial" w:cs="Arial"/>
          <w:lang w:val="en-GB"/>
        </w:rPr>
        <w:t>with</w:t>
      </w:r>
      <w:r w:rsidRPr="00ED5869">
        <w:rPr>
          <w:rFonts w:ascii="Arial" w:hAnsi="Arial" w:cs="Arial"/>
          <w:lang w:val="en-GB"/>
        </w:rPr>
        <w:t xml:space="preserve"> CRPD standards, not becoming </w:t>
      </w:r>
      <w:r w:rsidR="00372F13" w:rsidRPr="00ED5869">
        <w:rPr>
          <w:rFonts w:ascii="Arial" w:hAnsi="Arial" w:cs="Arial"/>
          <w:lang w:val="en-GB"/>
        </w:rPr>
        <w:t>new</w:t>
      </w:r>
      <w:r w:rsidRPr="00ED5869">
        <w:rPr>
          <w:rFonts w:ascii="Arial" w:hAnsi="Arial" w:cs="Arial"/>
          <w:lang w:val="en-GB"/>
        </w:rPr>
        <w:t xml:space="preserve"> forms of institutionalisation </w:t>
      </w:r>
      <w:r w:rsidR="00372F13" w:rsidRPr="00ED5869">
        <w:rPr>
          <w:rFonts w:ascii="Arial" w:hAnsi="Arial" w:cs="Arial"/>
          <w:lang w:val="en-GB"/>
        </w:rPr>
        <w:t>or</w:t>
      </w:r>
      <w:r w:rsidRPr="00ED5869">
        <w:rPr>
          <w:rFonts w:ascii="Arial" w:hAnsi="Arial" w:cs="Arial"/>
          <w:lang w:val="en-GB"/>
        </w:rPr>
        <w:t xml:space="preserve"> segregation, </w:t>
      </w:r>
      <w:r w:rsidR="00372F13" w:rsidRPr="00ED5869">
        <w:rPr>
          <w:rFonts w:ascii="Arial" w:hAnsi="Arial" w:cs="Arial"/>
          <w:lang w:val="en-GB"/>
        </w:rPr>
        <w:t>nor</w:t>
      </w:r>
      <w:r w:rsidRPr="00ED5869">
        <w:rPr>
          <w:rFonts w:ascii="Arial" w:hAnsi="Arial" w:cs="Arial"/>
          <w:lang w:val="en-GB"/>
        </w:rPr>
        <w:t xml:space="preserve"> being dismissive of the</w:t>
      </w:r>
      <w:r w:rsidR="00372F13" w:rsidRPr="00ED5869">
        <w:rPr>
          <w:rFonts w:ascii="Arial" w:hAnsi="Arial" w:cs="Arial"/>
          <w:lang w:val="en-GB"/>
        </w:rPr>
        <w:t>ir</w:t>
      </w:r>
      <w:r w:rsidRPr="00ED5869">
        <w:rPr>
          <w:rFonts w:ascii="Arial" w:hAnsi="Arial" w:cs="Arial"/>
          <w:lang w:val="en-GB"/>
        </w:rPr>
        <w:t xml:space="preserve"> requirements, in terms of services and disability related expenses</w:t>
      </w:r>
      <w:r w:rsidR="00372F13" w:rsidRPr="00ED5869">
        <w:rPr>
          <w:rFonts w:ascii="Arial" w:hAnsi="Arial" w:cs="Arial"/>
          <w:lang w:val="en-GB"/>
        </w:rPr>
        <w:t>.</w:t>
      </w:r>
    </w:p>
    <w:p w14:paraId="6780C418" w14:textId="77777777" w:rsidR="00372F13" w:rsidRPr="00372F13" w:rsidRDefault="00372F13" w:rsidP="00CF4FAC">
      <w:pPr>
        <w:pStyle w:val="ListBullet"/>
        <w:numPr>
          <w:ilvl w:val="0"/>
          <w:numId w:val="0"/>
        </w:numPr>
        <w:tabs>
          <w:tab w:val="left" w:pos="284"/>
          <w:tab w:val="left" w:pos="426"/>
        </w:tabs>
        <w:spacing w:after="0" w:line="240" w:lineRule="auto"/>
        <w:jc w:val="both"/>
        <w:rPr>
          <w:rFonts w:ascii="Arial" w:hAnsi="Arial" w:cs="Arial"/>
          <w:lang w:val="en-GB"/>
        </w:rPr>
      </w:pPr>
    </w:p>
    <w:p w14:paraId="47A4758E" w14:textId="390BF4F8" w:rsidR="00DC77D9" w:rsidRPr="001E1C12" w:rsidRDefault="00DC77D9" w:rsidP="00751A67">
      <w:pPr>
        <w:pStyle w:val="Heading3"/>
        <w:numPr>
          <w:ilvl w:val="0"/>
          <w:numId w:val="6"/>
        </w:numPr>
        <w:tabs>
          <w:tab w:val="left" w:pos="284"/>
          <w:tab w:val="left" w:pos="426"/>
        </w:tabs>
        <w:ind w:left="0" w:firstLine="0"/>
        <w:rPr>
          <w:lang w:val="en-GB"/>
        </w:rPr>
      </w:pPr>
      <w:bookmarkStart w:id="10" w:name="_Toc54615533"/>
      <w:r w:rsidRPr="001E1C12">
        <w:rPr>
          <w:lang w:val="en-GB"/>
        </w:rPr>
        <w:t xml:space="preserve">ENHANCING DATA COLLECTION </w:t>
      </w:r>
      <w:r>
        <w:rPr>
          <w:lang w:val="en-GB"/>
        </w:rPr>
        <w:t>ON MIGRANTS WITH DISABILITIES</w:t>
      </w:r>
      <w:bookmarkEnd w:id="10"/>
    </w:p>
    <w:p w14:paraId="491847D9" w14:textId="77777777" w:rsidR="00DC77D9" w:rsidRDefault="00DC77D9" w:rsidP="00751A67">
      <w:pPr>
        <w:pStyle w:val="ListBullet"/>
        <w:numPr>
          <w:ilvl w:val="0"/>
          <w:numId w:val="0"/>
        </w:numPr>
        <w:tabs>
          <w:tab w:val="left" w:pos="284"/>
          <w:tab w:val="left" w:pos="426"/>
        </w:tabs>
        <w:spacing w:after="0" w:line="240" w:lineRule="auto"/>
        <w:rPr>
          <w:rFonts w:ascii="Arial" w:hAnsi="Arial" w:cs="Arial"/>
          <w:b/>
          <w:bCs/>
          <w:lang w:val="en-GB"/>
        </w:rPr>
      </w:pPr>
    </w:p>
    <w:p w14:paraId="1EE85FC8" w14:textId="33D755D0" w:rsidR="00DC77D9" w:rsidRDefault="00DC77D9" w:rsidP="00751A67">
      <w:pPr>
        <w:pStyle w:val="ListBullet"/>
        <w:numPr>
          <w:ilvl w:val="0"/>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 xml:space="preserve">Lack of systematised data disaggregated by disability prevents the development of migration policies </w:t>
      </w:r>
      <w:r w:rsidR="003D1BD3">
        <w:rPr>
          <w:rFonts w:ascii="Arial" w:hAnsi="Arial" w:cs="Arial"/>
          <w:lang w:val="en-GB"/>
        </w:rPr>
        <w:t xml:space="preserve">compliant </w:t>
      </w:r>
      <w:r>
        <w:rPr>
          <w:rFonts w:ascii="Arial" w:hAnsi="Arial" w:cs="Arial"/>
          <w:lang w:val="en-GB"/>
        </w:rPr>
        <w:t>with the rights of migrants and asylum seekers with disabilities. This problem has been highlighted by this Committee before.</w:t>
      </w:r>
      <w:r>
        <w:rPr>
          <w:rStyle w:val="EndnoteReference"/>
          <w:rFonts w:ascii="Arial" w:eastAsia="Times New Roman" w:hAnsi="Arial" w:cs="Arial"/>
          <w:b/>
          <w:bCs/>
          <w:sz w:val="20"/>
          <w:szCs w:val="20"/>
          <w:lang w:val="en-GB"/>
        </w:rPr>
        <w:endnoteReference w:id="88"/>
      </w:r>
      <w:r>
        <w:rPr>
          <w:rFonts w:ascii="Arial" w:hAnsi="Arial" w:cs="Arial"/>
          <w:lang w:val="en-GB"/>
        </w:rPr>
        <w:t xml:space="preserve"> However, the current draft general comment does not allude explicitly to migrants with disabilities and family members with </w:t>
      </w:r>
      <w:r w:rsidR="003D1BD3">
        <w:rPr>
          <w:rFonts w:ascii="Arial" w:hAnsi="Arial" w:cs="Arial"/>
          <w:lang w:val="en-GB"/>
        </w:rPr>
        <w:t>disabilities in its paragraph 105</w:t>
      </w:r>
      <w:r>
        <w:rPr>
          <w:rFonts w:ascii="Arial" w:hAnsi="Arial" w:cs="Arial"/>
          <w:lang w:val="en-GB"/>
        </w:rPr>
        <w:t xml:space="preserve">. Given the complexities </w:t>
      </w:r>
      <w:r w:rsidR="003D1BD3">
        <w:rPr>
          <w:rFonts w:ascii="Arial" w:hAnsi="Arial" w:cs="Arial"/>
          <w:lang w:val="en-GB"/>
        </w:rPr>
        <w:t>of</w:t>
      </w:r>
      <w:r>
        <w:rPr>
          <w:rFonts w:ascii="Arial" w:hAnsi="Arial" w:cs="Arial"/>
          <w:lang w:val="en-GB"/>
        </w:rPr>
        <w:t xml:space="preserve"> data collection and disaggregation by disability and the lack of widespread practice</w:t>
      </w:r>
      <w:r w:rsidR="003D1BD3">
        <w:rPr>
          <w:rFonts w:ascii="Arial" w:hAnsi="Arial" w:cs="Arial"/>
          <w:lang w:val="en-GB"/>
        </w:rPr>
        <w:t xml:space="preserve"> regarding migrants</w:t>
      </w:r>
      <w:r>
        <w:rPr>
          <w:rFonts w:ascii="Arial" w:hAnsi="Arial" w:cs="Arial"/>
          <w:lang w:val="en-GB"/>
        </w:rPr>
        <w:t xml:space="preserve">, </w:t>
      </w:r>
      <w:r w:rsidRPr="003D1BD3">
        <w:rPr>
          <w:rFonts w:ascii="Arial" w:hAnsi="Arial" w:cs="Arial"/>
          <w:b/>
          <w:lang w:val="en-GB"/>
        </w:rPr>
        <w:t xml:space="preserve">IDA would appreciate an explicit reference to raise the attention </w:t>
      </w:r>
      <w:r w:rsidR="003D1BD3" w:rsidRPr="003D1BD3">
        <w:rPr>
          <w:rFonts w:ascii="Arial" w:hAnsi="Arial" w:cs="Arial"/>
          <w:b/>
          <w:lang w:val="en-GB"/>
        </w:rPr>
        <w:t xml:space="preserve">data collection </w:t>
      </w:r>
      <w:r w:rsidRPr="003D1BD3">
        <w:rPr>
          <w:rFonts w:ascii="Arial" w:hAnsi="Arial" w:cs="Arial"/>
          <w:b/>
          <w:lang w:val="en-GB"/>
        </w:rPr>
        <w:t>on persons with disabilities.</w:t>
      </w:r>
    </w:p>
    <w:p w14:paraId="041FEC79" w14:textId="77777777" w:rsidR="00DC77D9" w:rsidRDefault="00DC77D9" w:rsidP="00751A67">
      <w:pPr>
        <w:pStyle w:val="ListBullet"/>
        <w:numPr>
          <w:ilvl w:val="0"/>
          <w:numId w:val="0"/>
        </w:numPr>
        <w:tabs>
          <w:tab w:val="left" w:pos="284"/>
          <w:tab w:val="left" w:pos="426"/>
        </w:tabs>
        <w:spacing w:after="0" w:line="240" w:lineRule="auto"/>
        <w:jc w:val="both"/>
        <w:rPr>
          <w:rFonts w:ascii="Arial" w:hAnsi="Arial" w:cs="Arial"/>
          <w:lang w:val="en-GB"/>
        </w:rPr>
      </w:pPr>
    </w:p>
    <w:p w14:paraId="66828DC0" w14:textId="0D932207" w:rsidR="00DC77D9" w:rsidRDefault="003D1BD3" w:rsidP="00751A67">
      <w:pPr>
        <w:pStyle w:val="ListBullet"/>
        <w:numPr>
          <w:ilvl w:val="0"/>
          <w:numId w:val="2"/>
        </w:numPr>
        <w:tabs>
          <w:tab w:val="left" w:pos="284"/>
          <w:tab w:val="left" w:pos="426"/>
        </w:tabs>
        <w:spacing w:after="0" w:line="240" w:lineRule="auto"/>
        <w:ind w:left="0" w:firstLine="0"/>
        <w:jc w:val="both"/>
        <w:rPr>
          <w:rFonts w:ascii="Arial" w:hAnsi="Arial" w:cs="Arial"/>
        </w:rPr>
      </w:pPr>
      <w:r>
        <w:rPr>
          <w:rFonts w:ascii="Arial" w:hAnsi="Arial" w:cs="Arial"/>
          <w:lang w:val="en-GB"/>
        </w:rPr>
        <w:t xml:space="preserve">In </w:t>
      </w:r>
      <w:r w:rsidR="00DC77D9" w:rsidRPr="0078374E">
        <w:rPr>
          <w:rFonts w:ascii="Arial" w:hAnsi="Arial" w:cs="Arial"/>
          <w:lang w:val="en-GB"/>
        </w:rPr>
        <w:t>2016, the European Union Fundamental Rights Agency stressed that “</w:t>
      </w:r>
      <w:r w:rsidR="00DC77D9">
        <w:rPr>
          <w:rFonts w:ascii="Arial" w:hAnsi="Arial" w:cs="Arial"/>
        </w:rPr>
        <w:t>[t]</w:t>
      </w:r>
      <w:r w:rsidR="00DC77D9" w:rsidRPr="0078374E">
        <w:rPr>
          <w:rFonts w:ascii="Arial" w:hAnsi="Arial" w:cs="Arial"/>
        </w:rPr>
        <w:t xml:space="preserve">here are </w:t>
      </w:r>
      <w:r w:rsidR="00DC77D9" w:rsidRPr="0078374E">
        <w:rPr>
          <w:rFonts w:ascii="Arial" w:hAnsi="Arial" w:cs="Arial"/>
          <w:b/>
        </w:rPr>
        <w:t>no systematic data</w:t>
      </w:r>
      <w:r w:rsidR="00DC77D9" w:rsidRPr="0078374E">
        <w:rPr>
          <w:rFonts w:ascii="Arial" w:hAnsi="Arial" w:cs="Arial"/>
        </w:rPr>
        <w:t xml:space="preserve"> on the numbers of persons with disabilities among arrivals and the breakdown per type of disability.</w:t>
      </w:r>
      <w:r w:rsidR="00DC77D9">
        <w:rPr>
          <w:rFonts w:ascii="Arial" w:hAnsi="Arial" w:cs="Arial"/>
        </w:rPr>
        <w:t>”</w:t>
      </w:r>
      <w:r w:rsidR="00DC77D9" w:rsidRPr="0078374E">
        <w:rPr>
          <w:rFonts w:ascii="Arial" w:eastAsia="Arial" w:hAnsi="Arial" w:cs="Arial"/>
          <w:b/>
          <w:color w:val="000000"/>
          <w:sz w:val="20"/>
          <w:szCs w:val="20"/>
          <w:vertAlign w:val="superscript"/>
        </w:rPr>
        <w:t xml:space="preserve"> </w:t>
      </w:r>
      <w:r w:rsidR="00DC77D9">
        <w:rPr>
          <w:rFonts w:ascii="Arial" w:eastAsia="Arial" w:hAnsi="Arial" w:cs="Arial"/>
          <w:b/>
          <w:color w:val="000000"/>
          <w:sz w:val="20"/>
          <w:szCs w:val="20"/>
          <w:vertAlign w:val="superscript"/>
        </w:rPr>
        <w:endnoteReference w:id="89"/>
      </w:r>
      <w:r w:rsidR="00DC77D9" w:rsidRPr="0078374E">
        <w:rPr>
          <w:rFonts w:ascii="Arial" w:hAnsi="Arial" w:cs="Arial"/>
        </w:rPr>
        <w:t xml:space="preserve"> </w:t>
      </w:r>
      <w:r w:rsidR="00DC77D9">
        <w:rPr>
          <w:rFonts w:ascii="Arial" w:hAnsi="Arial" w:cs="Arial"/>
        </w:rPr>
        <w:t>It was only “anecdotal evidence” that allowed it to suggest that there was a great number of persons with psychosocial disabilities amongst these persons.</w:t>
      </w:r>
      <w:r w:rsidR="00DC77D9">
        <w:rPr>
          <w:rStyle w:val="EndnoteReference"/>
          <w:rFonts w:ascii="Arial" w:hAnsi="Arial" w:cs="Arial"/>
        </w:rPr>
        <w:endnoteReference w:id="90"/>
      </w:r>
      <w:r w:rsidR="00DC77D9">
        <w:rPr>
          <w:rFonts w:ascii="Arial" w:hAnsi="Arial" w:cs="Arial"/>
        </w:rPr>
        <w:t xml:space="preserve"> </w:t>
      </w:r>
      <w:r w:rsidR="00DC77D9" w:rsidRPr="00462AEE">
        <w:rPr>
          <w:rFonts w:ascii="Arial" w:hAnsi="Arial" w:cs="Arial"/>
          <w:lang w:val="en-GB"/>
        </w:rPr>
        <w:t>Similarly, the CRPD Committee has expressed its concern on the lack of data on migrants with disabilities for other countries.</w:t>
      </w:r>
      <w:r w:rsidR="00DC77D9">
        <w:rPr>
          <w:rStyle w:val="EndnoteReference"/>
          <w:rFonts w:ascii="Arial" w:hAnsi="Arial" w:cs="Arial"/>
          <w:b/>
          <w:bCs/>
          <w:sz w:val="20"/>
          <w:szCs w:val="20"/>
          <w:lang w:val="en-GB"/>
        </w:rPr>
        <w:endnoteReference w:id="91"/>
      </w:r>
      <w:r w:rsidR="00DC77D9">
        <w:rPr>
          <w:rFonts w:ascii="Arial" w:hAnsi="Arial" w:cs="Arial"/>
          <w:lang w:val="en-GB"/>
        </w:rPr>
        <w:t xml:space="preserve"> </w:t>
      </w:r>
      <w:r w:rsidR="00DC77D9" w:rsidRPr="003704E1">
        <w:rPr>
          <w:rFonts w:ascii="Arial" w:hAnsi="Arial" w:cs="Arial"/>
        </w:rPr>
        <w:t>Th</w:t>
      </w:r>
      <w:r w:rsidR="00DC77D9">
        <w:rPr>
          <w:rFonts w:ascii="Arial" w:hAnsi="Arial" w:cs="Arial"/>
        </w:rPr>
        <w:t>e lack of data</w:t>
      </w:r>
      <w:r w:rsidR="00DC77D9" w:rsidRPr="003704E1">
        <w:rPr>
          <w:rFonts w:ascii="Arial" w:hAnsi="Arial" w:cs="Arial"/>
        </w:rPr>
        <w:t xml:space="preserve"> </w:t>
      </w:r>
      <w:r w:rsidR="00DC77D9">
        <w:rPr>
          <w:rFonts w:ascii="Arial" w:hAnsi="Arial" w:cs="Arial"/>
        </w:rPr>
        <w:t>follows</w:t>
      </w:r>
      <w:r w:rsidR="00DC77D9" w:rsidRPr="003704E1">
        <w:rPr>
          <w:rFonts w:ascii="Arial" w:hAnsi="Arial" w:cs="Arial"/>
        </w:rPr>
        <w:t xml:space="preserve"> </w:t>
      </w:r>
      <w:r w:rsidR="00DC77D9">
        <w:rPr>
          <w:rFonts w:ascii="Arial" w:hAnsi="Arial" w:cs="Arial"/>
        </w:rPr>
        <w:t>“</w:t>
      </w:r>
      <w:r w:rsidR="00DC77D9" w:rsidRPr="003704E1">
        <w:rPr>
          <w:rFonts w:ascii="Arial" w:hAnsi="Arial" w:cs="Arial"/>
        </w:rPr>
        <w:t xml:space="preserve">the lack of </w:t>
      </w:r>
      <w:r w:rsidR="00DC77D9" w:rsidRPr="009D5CDE">
        <w:rPr>
          <w:rFonts w:ascii="Arial" w:hAnsi="Arial" w:cs="Arial"/>
          <w:lang w:val="en-GB"/>
        </w:rPr>
        <w:t>procedures to identify migrants and refugees with disabilities</w:t>
      </w:r>
      <w:r w:rsidR="00DC77D9" w:rsidRPr="003704E1">
        <w:rPr>
          <w:rFonts w:ascii="Arial" w:hAnsi="Arial" w:cs="Arial"/>
          <w:lang w:val="en-GB"/>
        </w:rPr>
        <w:t>,</w:t>
      </w:r>
      <w:r w:rsidR="00DC77D9">
        <w:rPr>
          <w:rFonts w:ascii="Arial" w:hAnsi="Arial" w:cs="Arial"/>
          <w:lang w:val="en-GB"/>
        </w:rPr>
        <w:t>”</w:t>
      </w:r>
      <w:r w:rsidR="00DC77D9">
        <w:rPr>
          <w:rStyle w:val="EndnoteReference"/>
          <w:rFonts w:ascii="Arial" w:hAnsi="Arial" w:cs="Arial"/>
          <w:lang w:val="en-GB"/>
        </w:rPr>
        <w:endnoteReference w:id="92"/>
      </w:r>
      <w:r w:rsidR="00DC77D9" w:rsidRPr="003704E1">
        <w:rPr>
          <w:rFonts w:ascii="Arial" w:hAnsi="Arial" w:cs="Arial"/>
          <w:lang w:val="en-GB"/>
        </w:rPr>
        <w:t xml:space="preserve"> and the fact </w:t>
      </w:r>
      <w:r w:rsidR="00DC77D9">
        <w:rPr>
          <w:rFonts w:ascii="Arial" w:hAnsi="Arial" w:cs="Arial"/>
          <w:lang w:val="en-GB"/>
        </w:rPr>
        <w:t>“</w:t>
      </w:r>
      <w:r w:rsidR="00DC77D9" w:rsidRPr="003704E1">
        <w:rPr>
          <w:rFonts w:ascii="Arial" w:hAnsi="Arial" w:cs="Arial"/>
          <w:lang w:val="en-GB"/>
        </w:rPr>
        <w:t>that</w:t>
      </w:r>
      <w:r w:rsidR="00DC77D9" w:rsidRPr="009D5CDE">
        <w:rPr>
          <w:rFonts w:ascii="Arial" w:hAnsi="Arial" w:cs="Arial"/>
          <w:lang w:val="en-GB"/>
        </w:rPr>
        <w:t xml:space="preserve"> </w:t>
      </w:r>
      <w:r w:rsidR="00DC77D9" w:rsidRPr="003704E1">
        <w:rPr>
          <w:rFonts w:ascii="Arial" w:hAnsi="Arial" w:cs="Arial"/>
          <w:lang w:val="en-GB"/>
        </w:rPr>
        <w:t>[c</w:t>
      </w:r>
      <w:r w:rsidR="00DC77D9" w:rsidRPr="009D5CDE">
        <w:rPr>
          <w:rFonts w:ascii="Arial" w:hAnsi="Arial" w:cs="Arial"/>
          <w:lang w:val="en-GB"/>
        </w:rPr>
        <w:t>ertain</w:t>
      </w:r>
      <w:r w:rsidR="00DC77D9" w:rsidRPr="003704E1">
        <w:rPr>
          <w:rFonts w:ascii="Arial" w:hAnsi="Arial" w:cs="Arial"/>
          <w:lang w:val="en-GB"/>
        </w:rPr>
        <w:t>]</w:t>
      </w:r>
      <w:r w:rsidR="00DC77D9" w:rsidRPr="009D5CDE">
        <w:rPr>
          <w:rFonts w:ascii="Arial" w:hAnsi="Arial" w:cs="Arial"/>
          <w:lang w:val="en-GB"/>
        </w:rPr>
        <w:t xml:space="preserve"> impairments that are not immediately noticeable are often undetected</w:t>
      </w:r>
      <w:r w:rsidR="00DC77D9" w:rsidRPr="003704E1">
        <w:rPr>
          <w:rFonts w:ascii="Arial" w:hAnsi="Arial" w:cs="Arial"/>
          <w:lang w:val="en-GB"/>
        </w:rPr>
        <w:t>.</w:t>
      </w:r>
      <w:r w:rsidR="00DC77D9">
        <w:rPr>
          <w:rFonts w:ascii="Arial" w:hAnsi="Arial" w:cs="Arial"/>
          <w:lang w:val="en-GB"/>
        </w:rPr>
        <w:t>”</w:t>
      </w:r>
      <w:r w:rsidR="00DC77D9">
        <w:rPr>
          <w:rStyle w:val="EndnoteReference"/>
          <w:rFonts w:ascii="Arial" w:hAnsi="Arial" w:cs="Arial"/>
          <w:lang w:val="en-GB"/>
        </w:rPr>
        <w:endnoteReference w:id="93"/>
      </w:r>
    </w:p>
    <w:p w14:paraId="3A86D2BB" w14:textId="77777777" w:rsidR="00DC77D9" w:rsidRDefault="00DC77D9" w:rsidP="00751A67">
      <w:pPr>
        <w:pStyle w:val="ListBullet"/>
        <w:numPr>
          <w:ilvl w:val="0"/>
          <w:numId w:val="0"/>
        </w:numPr>
        <w:tabs>
          <w:tab w:val="left" w:pos="284"/>
          <w:tab w:val="left" w:pos="426"/>
        </w:tabs>
        <w:jc w:val="both"/>
        <w:rPr>
          <w:rFonts w:ascii="Arial" w:hAnsi="Arial" w:cs="Arial"/>
        </w:rPr>
      </w:pPr>
    </w:p>
    <w:p w14:paraId="7E33E341" w14:textId="4D9BC565" w:rsidR="00462AEE" w:rsidRPr="003B36C3" w:rsidRDefault="00DC77D9" w:rsidP="003B36C3">
      <w:pPr>
        <w:pStyle w:val="ListBullet"/>
        <w:numPr>
          <w:ilvl w:val="0"/>
          <w:numId w:val="2"/>
        </w:numPr>
        <w:tabs>
          <w:tab w:val="left" w:pos="284"/>
          <w:tab w:val="left" w:pos="426"/>
        </w:tabs>
        <w:spacing w:after="0" w:line="240" w:lineRule="auto"/>
        <w:ind w:left="0" w:firstLine="0"/>
        <w:jc w:val="both"/>
        <w:rPr>
          <w:rFonts w:ascii="Arial" w:hAnsi="Arial" w:cs="Arial"/>
        </w:rPr>
      </w:pPr>
      <w:r w:rsidRPr="00462AEE">
        <w:rPr>
          <w:rFonts w:ascii="Arial" w:hAnsi="Arial" w:cs="Arial"/>
          <w:lang w:val="en-GB"/>
        </w:rPr>
        <w:t>Article 31 of the CRPD (</w:t>
      </w:r>
      <w:r w:rsidR="00ED5869">
        <w:rPr>
          <w:rFonts w:ascii="Arial" w:hAnsi="Arial" w:cs="Arial"/>
          <w:lang w:val="en-GB"/>
        </w:rPr>
        <w:t>s</w:t>
      </w:r>
      <w:r w:rsidRPr="00462AEE">
        <w:rPr>
          <w:rFonts w:ascii="Arial" w:hAnsi="Arial" w:cs="Arial"/>
          <w:lang w:val="en-GB"/>
        </w:rPr>
        <w:t xml:space="preserve">tatistics and data collection) requires States “to collect appropriate information, including statistical and research data, to enable them to formulate </w:t>
      </w:r>
      <w:r w:rsidRPr="00462AEE">
        <w:rPr>
          <w:rFonts w:ascii="Arial" w:hAnsi="Arial" w:cs="Arial"/>
          <w:lang w:val="en-GB"/>
        </w:rPr>
        <w:lastRenderedPageBreak/>
        <w:t>and implement policies to give effect” to the Convention. This includes data disaggregation by disability (Article 31, paragraph 2). The CRPD Committee has systematically suggested the use of the methodology of</w:t>
      </w:r>
      <w:r w:rsidRPr="00462AEE">
        <w:rPr>
          <w:rFonts w:ascii="Arial" w:hAnsi="Arial" w:cs="Arial"/>
          <w:b/>
          <w:lang w:val="en-GB"/>
        </w:rPr>
        <w:t xml:space="preserve"> </w:t>
      </w:r>
      <w:r w:rsidRPr="00462AEE">
        <w:rPr>
          <w:rFonts w:ascii="Arial" w:hAnsi="Arial" w:cs="Arial"/>
          <w:bCs/>
          <w:lang w:val="en-GB"/>
        </w:rPr>
        <w:t>the Washington Group on Disability Statistics,</w:t>
      </w:r>
      <w:r>
        <w:rPr>
          <w:rStyle w:val="EndnoteReference"/>
          <w:rFonts w:ascii="Arial" w:hAnsi="Arial" w:cs="Arial"/>
          <w:bCs/>
          <w:lang w:val="en-GB"/>
        </w:rPr>
        <w:endnoteReference w:id="94"/>
      </w:r>
      <w:r w:rsidRPr="00462AEE">
        <w:rPr>
          <w:rFonts w:ascii="Arial" w:hAnsi="Arial" w:cs="Arial"/>
          <w:bCs/>
          <w:lang w:val="en-GB"/>
        </w:rPr>
        <w:t xml:space="preserve"> </w:t>
      </w:r>
      <w:r w:rsidR="00462AEE" w:rsidRPr="00462AEE">
        <w:rPr>
          <w:rFonts w:ascii="Arial" w:hAnsi="Arial" w:cs="Arial"/>
          <w:bCs/>
          <w:lang w:val="en-GB"/>
        </w:rPr>
        <w:t>which proposes different tools</w:t>
      </w:r>
      <w:r w:rsidR="00462AEE">
        <w:rPr>
          <w:rFonts w:ascii="Arial" w:hAnsi="Arial" w:cs="Arial"/>
          <w:bCs/>
          <w:lang w:val="en-GB"/>
        </w:rPr>
        <w:t xml:space="preserve"> for different purposes</w:t>
      </w:r>
      <w:r w:rsidR="00462AEE" w:rsidRPr="00462AEE">
        <w:rPr>
          <w:rFonts w:ascii="Arial" w:hAnsi="Arial" w:cs="Arial"/>
          <w:bCs/>
          <w:lang w:val="en-GB"/>
        </w:rPr>
        <w:t>.</w:t>
      </w:r>
      <w:r w:rsidR="00462AEE" w:rsidRPr="00462AEE">
        <w:rPr>
          <w:rFonts w:ascii="Arial" w:hAnsi="Arial" w:cs="Arial"/>
          <w:lang w:val="en-GB"/>
        </w:rPr>
        <w:t xml:space="preserve"> In this vein, the required attempts to improve </w:t>
      </w:r>
      <w:r w:rsidR="00462AEE">
        <w:rPr>
          <w:rFonts w:ascii="Arial" w:hAnsi="Arial" w:cs="Arial"/>
          <w:lang w:val="en-GB"/>
        </w:rPr>
        <w:t xml:space="preserve">identification and </w:t>
      </w:r>
      <w:r w:rsidR="00462AEE" w:rsidRPr="00462AEE">
        <w:rPr>
          <w:rFonts w:ascii="Arial" w:hAnsi="Arial" w:cs="Arial"/>
          <w:lang w:val="en-GB"/>
        </w:rPr>
        <w:t>information systems must allow for disaggregati</w:t>
      </w:r>
      <w:r w:rsidR="00ED5869">
        <w:rPr>
          <w:rFonts w:ascii="Arial" w:hAnsi="Arial" w:cs="Arial"/>
          <w:lang w:val="en-GB"/>
        </w:rPr>
        <w:t>o</w:t>
      </w:r>
      <w:r w:rsidR="00462AEE" w:rsidRPr="00462AEE">
        <w:rPr>
          <w:rFonts w:ascii="Arial" w:hAnsi="Arial" w:cs="Arial"/>
          <w:lang w:val="en-GB"/>
        </w:rPr>
        <w:t>n</w:t>
      </w:r>
      <w:r w:rsidR="00ED5869">
        <w:rPr>
          <w:rFonts w:ascii="Arial" w:hAnsi="Arial" w:cs="Arial"/>
          <w:lang w:val="en-GB"/>
        </w:rPr>
        <w:t xml:space="preserve"> of data</w:t>
      </w:r>
      <w:r w:rsidR="00462AEE" w:rsidRPr="00462AEE">
        <w:rPr>
          <w:rFonts w:ascii="Arial" w:hAnsi="Arial" w:cs="Arial"/>
          <w:lang w:val="en-GB"/>
        </w:rPr>
        <w:t xml:space="preserve"> by disability. Only </w:t>
      </w:r>
      <w:r w:rsidR="00462AEE">
        <w:rPr>
          <w:rFonts w:ascii="Arial" w:hAnsi="Arial" w:cs="Arial"/>
          <w:lang w:val="en-GB"/>
        </w:rPr>
        <w:t xml:space="preserve">identifying and </w:t>
      </w:r>
      <w:r w:rsidR="00462AEE" w:rsidRPr="00462AEE">
        <w:rPr>
          <w:rFonts w:ascii="Arial" w:hAnsi="Arial" w:cs="Arial"/>
          <w:lang w:val="en-GB"/>
        </w:rPr>
        <w:t>measuring disability in the context</w:t>
      </w:r>
      <w:r w:rsidR="00462AEE">
        <w:rPr>
          <w:rFonts w:ascii="Arial" w:hAnsi="Arial" w:cs="Arial"/>
          <w:lang w:val="en-GB"/>
        </w:rPr>
        <w:t xml:space="preserve"> of migration</w:t>
      </w:r>
      <w:r w:rsidR="00462AEE" w:rsidRPr="00462AEE">
        <w:rPr>
          <w:rFonts w:ascii="Arial" w:hAnsi="Arial" w:cs="Arial"/>
          <w:lang w:val="en-GB"/>
        </w:rPr>
        <w:t xml:space="preserve">, </w:t>
      </w:r>
      <w:r w:rsidR="00462AEE">
        <w:rPr>
          <w:rFonts w:ascii="Arial" w:hAnsi="Arial" w:cs="Arial"/>
          <w:lang w:val="en-GB"/>
        </w:rPr>
        <w:t xml:space="preserve">allows </w:t>
      </w:r>
      <w:r w:rsidR="00ED5869">
        <w:rPr>
          <w:rFonts w:ascii="Arial" w:hAnsi="Arial" w:cs="Arial"/>
          <w:lang w:val="en-GB"/>
        </w:rPr>
        <w:t>putting</w:t>
      </w:r>
      <w:r w:rsidR="00462AEE">
        <w:rPr>
          <w:rFonts w:ascii="Arial" w:hAnsi="Arial" w:cs="Arial"/>
          <w:lang w:val="en-GB"/>
        </w:rPr>
        <w:t xml:space="preserve"> in place the adequate general and particular measures.</w:t>
      </w:r>
    </w:p>
    <w:p w14:paraId="75852C1B" w14:textId="77777777" w:rsidR="004A4B5E" w:rsidRPr="007C5A31" w:rsidRDefault="004A4B5E" w:rsidP="00751A67">
      <w:pPr>
        <w:pStyle w:val="ListBullet"/>
        <w:numPr>
          <w:ilvl w:val="0"/>
          <w:numId w:val="0"/>
        </w:numPr>
        <w:tabs>
          <w:tab w:val="left" w:pos="284"/>
          <w:tab w:val="left" w:pos="426"/>
        </w:tabs>
        <w:spacing w:after="0" w:line="240" w:lineRule="auto"/>
        <w:rPr>
          <w:rFonts w:ascii="Arial" w:hAnsi="Arial" w:cs="Arial"/>
          <w:b/>
          <w:bCs/>
          <w:lang w:val="en-GB"/>
        </w:rPr>
      </w:pPr>
    </w:p>
    <w:p w14:paraId="60408BA1" w14:textId="6FDD3737" w:rsidR="001F501B" w:rsidRPr="004426E6" w:rsidRDefault="001F501B" w:rsidP="00751A67">
      <w:pPr>
        <w:pStyle w:val="Heading2"/>
        <w:numPr>
          <w:ilvl w:val="0"/>
          <w:numId w:val="5"/>
        </w:numPr>
        <w:tabs>
          <w:tab w:val="left" w:pos="284"/>
          <w:tab w:val="left" w:pos="426"/>
        </w:tabs>
        <w:ind w:left="0" w:firstLine="0"/>
        <w:rPr>
          <w:lang w:val="en-GB"/>
        </w:rPr>
      </w:pPr>
      <w:bookmarkStart w:id="11" w:name="_Toc54615534"/>
      <w:r w:rsidRPr="004426E6">
        <w:rPr>
          <w:lang w:val="en-GB"/>
        </w:rPr>
        <w:t>RECOMMENDATIONS</w:t>
      </w:r>
      <w:bookmarkEnd w:id="11"/>
    </w:p>
    <w:p w14:paraId="182458BF" w14:textId="456D46E4" w:rsidR="00E865DD" w:rsidRPr="007C5A31" w:rsidRDefault="00E865DD" w:rsidP="00751A67">
      <w:pPr>
        <w:pStyle w:val="ListBullet"/>
        <w:numPr>
          <w:ilvl w:val="0"/>
          <w:numId w:val="0"/>
        </w:numPr>
        <w:tabs>
          <w:tab w:val="left" w:pos="284"/>
          <w:tab w:val="left" w:pos="426"/>
        </w:tabs>
        <w:spacing w:after="0" w:line="240" w:lineRule="auto"/>
        <w:rPr>
          <w:rFonts w:ascii="Arial" w:hAnsi="Arial" w:cs="Arial"/>
          <w:lang w:val="en-GB"/>
        </w:rPr>
      </w:pPr>
    </w:p>
    <w:p w14:paraId="338A6398" w14:textId="30711164" w:rsidR="00E1481E" w:rsidRPr="00E1481E" w:rsidRDefault="004461E8" w:rsidP="00751A67">
      <w:pPr>
        <w:pStyle w:val="ListBullet"/>
        <w:numPr>
          <w:ilvl w:val="0"/>
          <w:numId w:val="2"/>
        </w:numPr>
        <w:tabs>
          <w:tab w:val="left" w:pos="284"/>
          <w:tab w:val="left" w:pos="426"/>
        </w:tabs>
        <w:spacing w:after="0" w:line="240" w:lineRule="auto"/>
        <w:ind w:left="0" w:firstLine="0"/>
        <w:jc w:val="both"/>
        <w:rPr>
          <w:rFonts w:ascii="Arial" w:hAnsi="Arial" w:cs="Arial"/>
        </w:rPr>
      </w:pPr>
      <w:r>
        <w:rPr>
          <w:rFonts w:ascii="Arial" w:hAnsi="Arial" w:cs="Arial"/>
          <w:bCs/>
          <w:lang w:val="en-GB"/>
        </w:rPr>
        <w:t>In order to enhance the draft general comment no.5 in regards to persons with disabilities</w:t>
      </w:r>
      <w:r w:rsidR="00E1481E">
        <w:rPr>
          <w:rFonts w:ascii="Arial" w:hAnsi="Arial" w:cs="Arial"/>
          <w:bCs/>
          <w:lang w:val="en-GB"/>
        </w:rPr>
        <w:t>, IDA</w:t>
      </w:r>
      <w:r w:rsidR="00E1481E" w:rsidRPr="00462AEE">
        <w:rPr>
          <w:rFonts w:ascii="Arial" w:hAnsi="Arial" w:cs="Arial"/>
          <w:bCs/>
          <w:lang w:val="en-GB"/>
        </w:rPr>
        <w:t xml:space="preserve"> </w:t>
      </w:r>
      <w:r>
        <w:rPr>
          <w:rFonts w:ascii="Arial" w:hAnsi="Arial" w:cs="Arial"/>
          <w:bCs/>
          <w:lang w:val="en-GB"/>
        </w:rPr>
        <w:t xml:space="preserve">recommends </w:t>
      </w:r>
      <w:r w:rsidR="003B36C3">
        <w:rPr>
          <w:rFonts w:ascii="Arial" w:hAnsi="Arial" w:cs="Arial"/>
          <w:bCs/>
          <w:lang w:val="en-GB"/>
        </w:rPr>
        <w:t>this</w:t>
      </w:r>
      <w:r>
        <w:rPr>
          <w:rFonts w:ascii="Arial" w:hAnsi="Arial" w:cs="Arial"/>
          <w:bCs/>
          <w:lang w:val="en-GB"/>
        </w:rPr>
        <w:t xml:space="preserve"> Committee to:</w:t>
      </w:r>
    </w:p>
    <w:p w14:paraId="41DBBB27" w14:textId="77777777" w:rsidR="00E1481E" w:rsidRPr="00E1481E" w:rsidRDefault="00E1481E" w:rsidP="00751A67">
      <w:pPr>
        <w:pStyle w:val="ListBullet"/>
        <w:numPr>
          <w:ilvl w:val="0"/>
          <w:numId w:val="0"/>
        </w:numPr>
        <w:tabs>
          <w:tab w:val="left" w:pos="284"/>
          <w:tab w:val="left" w:pos="426"/>
        </w:tabs>
        <w:spacing w:after="0" w:line="240" w:lineRule="auto"/>
        <w:jc w:val="both"/>
        <w:rPr>
          <w:rFonts w:ascii="Arial" w:hAnsi="Arial" w:cs="Arial"/>
        </w:rPr>
      </w:pPr>
    </w:p>
    <w:p w14:paraId="1D549196" w14:textId="6545D625" w:rsidR="004461E8" w:rsidRPr="00E02D13" w:rsidRDefault="004461E8" w:rsidP="00751A67">
      <w:pPr>
        <w:pStyle w:val="ListBullet"/>
        <w:numPr>
          <w:ilvl w:val="1"/>
          <w:numId w:val="2"/>
        </w:numPr>
        <w:tabs>
          <w:tab w:val="left" w:pos="284"/>
          <w:tab w:val="left" w:pos="426"/>
        </w:tabs>
        <w:spacing w:after="0" w:line="240" w:lineRule="auto"/>
        <w:ind w:left="0" w:firstLine="0"/>
        <w:jc w:val="both"/>
        <w:rPr>
          <w:rFonts w:ascii="Arial" w:hAnsi="Arial" w:cs="Arial"/>
        </w:rPr>
      </w:pPr>
      <w:r>
        <w:rPr>
          <w:rFonts w:ascii="Arial" w:hAnsi="Arial" w:cs="Arial"/>
          <w:bCs/>
          <w:lang w:val="en-GB"/>
        </w:rPr>
        <w:t xml:space="preserve">Call on States to review the migration related legislations and repeal </w:t>
      </w:r>
      <w:r w:rsidR="00ED5869">
        <w:rPr>
          <w:rFonts w:ascii="Arial" w:hAnsi="Arial" w:cs="Arial"/>
          <w:bCs/>
          <w:lang w:val="en-GB"/>
        </w:rPr>
        <w:t xml:space="preserve">all </w:t>
      </w:r>
      <w:r>
        <w:rPr>
          <w:rFonts w:ascii="Arial" w:hAnsi="Arial" w:cs="Arial"/>
          <w:bCs/>
          <w:lang w:val="en-GB"/>
        </w:rPr>
        <w:t>legal provisions that discrimin</w:t>
      </w:r>
      <w:r w:rsidR="001037D4">
        <w:rPr>
          <w:rFonts w:ascii="Arial" w:hAnsi="Arial" w:cs="Arial"/>
          <w:bCs/>
          <w:lang w:val="en-GB"/>
        </w:rPr>
        <w:t>ate based on disability</w:t>
      </w:r>
      <w:r>
        <w:rPr>
          <w:rFonts w:ascii="Arial" w:hAnsi="Arial" w:cs="Arial"/>
          <w:bCs/>
          <w:lang w:val="en-GB"/>
        </w:rPr>
        <w:t xml:space="preserve">, </w:t>
      </w:r>
      <w:r w:rsidR="001037D4">
        <w:rPr>
          <w:rFonts w:ascii="Arial" w:hAnsi="Arial" w:cs="Arial"/>
          <w:bCs/>
          <w:lang w:val="en-GB"/>
        </w:rPr>
        <w:t xml:space="preserve">either </w:t>
      </w:r>
      <w:r>
        <w:rPr>
          <w:rFonts w:ascii="Arial" w:hAnsi="Arial" w:cs="Arial"/>
          <w:bCs/>
          <w:lang w:val="en-GB"/>
        </w:rPr>
        <w:t>directly or indirectly</w:t>
      </w:r>
      <w:r w:rsidR="001037D4">
        <w:rPr>
          <w:rFonts w:ascii="Arial" w:hAnsi="Arial" w:cs="Arial"/>
          <w:bCs/>
          <w:lang w:val="en-GB"/>
        </w:rPr>
        <w:t>, preventing consequently their effects on immigration detention. In particular, IDA recommends includ</w:t>
      </w:r>
      <w:r w:rsidR="00ED5869">
        <w:rPr>
          <w:rFonts w:ascii="Arial" w:hAnsi="Arial" w:cs="Arial"/>
          <w:bCs/>
          <w:lang w:val="en-GB"/>
        </w:rPr>
        <w:t>ing</w:t>
      </w:r>
      <w:r w:rsidR="001037D4">
        <w:rPr>
          <w:rFonts w:ascii="Arial" w:hAnsi="Arial" w:cs="Arial"/>
          <w:bCs/>
          <w:lang w:val="en-GB"/>
        </w:rPr>
        <w:t xml:space="preserve"> explicitly the non-discrimination concepts of reasonable accommodation and procedural accommodation, considering their scopes of application, as well as provisions providing for accessibility in all its </w:t>
      </w:r>
      <w:r w:rsidR="003E700F">
        <w:rPr>
          <w:rFonts w:ascii="Arial" w:hAnsi="Arial" w:cs="Arial"/>
          <w:bCs/>
          <w:lang w:val="en-GB"/>
        </w:rPr>
        <w:t>dimensions</w:t>
      </w:r>
      <w:r w:rsidR="001037D4">
        <w:rPr>
          <w:rFonts w:ascii="Arial" w:hAnsi="Arial" w:cs="Arial"/>
          <w:bCs/>
          <w:lang w:val="en-GB"/>
        </w:rPr>
        <w:t xml:space="preserve"> and for all persons with disabilities</w:t>
      </w:r>
      <w:r w:rsidR="009F551A">
        <w:rPr>
          <w:rFonts w:ascii="Arial" w:hAnsi="Arial" w:cs="Arial"/>
          <w:bCs/>
          <w:lang w:val="en-GB"/>
        </w:rPr>
        <w:t>.</w:t>
      </w:r>
    </w:p>
    <w:p w14:paraId="48D67AC7" w14:textId="03E183D4" w:rsidR="00E02D13" w:rsidRDefault="00E02D13" w:rsidP="00751A67">
      <w:pPr>
        <w:pStyle w:val="ListBullet"/>
        <w:numPr>
          <w:ilvl w:val="0"/>
          <w:numId w:val="0"/>
        </w:numPr>
        <w:tabs>
          <w:tab w:val="left" w:pos="284"/>
          <w:tab w:val="left" w:pos="426"/>
        </w:tabs>
        <w:spacing w:after="0" w:line="240" w:lineRule="auto"/>
        <w:jc w:val="both"/>
        <w:rPr>
          <w:rFonts w:ascii="Arial" w:hAnsi="Arial" w:cs="Arial"/>
        </w:rPr>
      </w:pPr>
    </w:p>
    <w:p w14:paraId="337C53A1" w14:textId="0B022491" w:rsidR="00D15E88" w:rsidRPr="00D15E88" w:rsidRDefault="00D15E88" w:rsidP="00751A67">
      <w:pPr>
        <w:pStyle w:val="ListBullet"/>
        <w:numPr>
          <w:ilvl w:val="1"/>
          <w:numId w:val="2"/>
        </w:numPr>
        <w:tabs>
          <w:tab w:val="left" w:pos="284"/>
          <w:tab w:val="left" w:pos="426"/>
        </w:tabs>
        <w:spacing w:after="0" w:line="240" w:lineRule="auto"/>
        <w:ind w:left="0" w:firstLine="0"/>
        <w:jc w:val="both"/>
        <w:rPr>
          <w:rFonts w:ascii="Arial" w:hAnsi="Arial" w:cs="Arial"/>
        </w:rPr>
      </w:pPr>
      <w:r>
        <w:rPr>
          <w:rFonts w:ascii="Arial" w:hAnsi="Arial" w:cs="Arial"/>
        </w:rPr>
        <w:t xml:space="preserve">Review paragraph 23 of the draft general comment and remove the </w:t>
      </w:r>
      <w:r>
        <w:rPr>
          <w:rFonts w:ascii="Arial" w:hAnsi="Arial" w:cs="Arial"/>
          <w:lang w:val="en-GB"/>
        </w:rPr>
        <w:t xml:space="preserve">ground of detention (“posing </w:t>
      </w:r>
      <w:r w:rsidRPr="0077275E">
        <w:rPr>
          <w:rFonts w:ascii="Arial" w:hAnsi="Arial" w:cs="Arial"/>
          <w:lang w:val="en-GB"/>
        </w:rPr>
        <w:t>a danger to himself or herself or to society”</w:t>
      </w:r>
      <w:r>
        <w:rPr>
          <w:rFonts w:ascii="Arial" w:hAnsi="Arial" w:cs="Arial"/>
          <w:lang w:val="en-GB"/>
        </w:rPr>
        <w:t>), inasmuch as it legitimises deprivation of liberty based on impairments, in contradiction of Article 14 of the CRPD; and call</w:t>
      </w:r>
      <w:r w:rsidR="00CF6035">
        <w:rPr>
          <w:rFonts w:ascii="Arial" w:hAnsi="Arial" w:cs="Arial"/>
          <w:lang w:val="en-GB"/>
        </w:rPr>
        <w:t xml:space="preserve"> upon</w:t>
      </w:r>
      <w:r>
        <w:rPr>
          <w:rFonts w:ascii="Arial" w:hAnsi="Arial" w:cs="Arial"/>
          <w:lang w:val="en-GB"/>
        </w:rPr>
        <w:t xml:space="preserve"> States to ensure grounds authorising immigration detention do not impact disproportionally on persons with disabilities in practice.</w:t>
      </w:r>
    </w:p>
    <w:p w14:paraId="03ADF211" w14:textId="77777777" w:rsidR="00D15E88" w:rsidRDefault="00D15E88" w:rsidP="00751A67">
      <w:pPr>
        <w:pStyle w:val="ListBullet"/>
        <w:numPr>
          <w:ilvl w:val="0"/>
          <w:numId w:val="0"/>
        </w:numPr>
        <w:tabs>
          <w:tab w:val="left" w:pos="284"/>
          <w:tab w:val="left" w:pos="426"/>
        </w:tabs>
        <w:spacing w:after="0" w:line="240" w:lineRule="auto"/>
        <w:jc w:val="both"/>
        <w:rPr>
          <w:rFonts w:ascii="Arial" w:hAnsi="Arial" w:cs="Arial"/>
        </w:rPr>
      </w:pPr>
    </w:p>
    <w:p w14:paraId="5898258B" w14:textId="53230600" w:rsidR="004461E8" w:rsidRDefault="009B5050" w:rsidP="00751A67">
      <w:pPr>
        <w:pStyle w:val="ListBullet"/>
        <w:numPr>
          <w:ilvl w:val="1"/>
          <w:numId w:val="2"/>
        </w:numPr>
        <w:tabs>
          <w:tab w:val="left" w:pos="284"/>
          <w:tab w:val="left" w:pos="426"/>
        </w:tabs>
        <w:spacing w:after="0" w:line="240" w:lineRule="auto"/>
        <w:ind w:left="0" w:firstLine="0"/>
        <w:jc w:val="both"/>
        <w:rPr>
          <w:rFonts w:ascii="Arial" w:hAnsi="Arial" w:cs="Arial"/>
          <w:bCs/>
          <w:lang w:val="en-GB"/>
        </w:rPr>
      </w:pPr>
      <w:r>
        <w:rPr>
          <w:rFonts w:ascii="Arial" w:hAnsi="Arial" w:cs="Arial"/>
        </w:rPr>
        <w:t xml:space="preserve">Call on States explicitly to ensure </w:t>
      </w:r>
      <w:r w:rsidRPr="009B5050">
        <w:rPr>
          <w:rFonts w:ascii="Arial" w:hAnsi="Arial" w:cs="Arial"/>
          <w:bCs/>
        </w:rPr>
        <w:t xml:space="preserve">access to justice for persons with </w:t>
      </w:r>
      <w:r w:rsidRPr="009B5050">
        <w:rPr>
          <w:rFonts w:ascii="Arial" w:hAnsi="Arial" w:cs="Arial"/>
          <w:bCs/>
          <w:lang w:val="en-GB"/>
        </w:rPr>
        <w:t>disabilities</w:t>
      </w:r>
      <w:r w:rsidRPr="009B5050">
        <w:rPr>
          <w:rFonts w:ascii="Arial" w:hAnsi="Arial" w:cs="Arial"/>
          <w:bCs/>
        </w:rPr>
        <w:t xml:space="preserve"> on an equal basis with others, including through the provision of </w:t>
      </w:r>
      <w:r w:rsidRPr="009B5050">
        <w:rPr>
          <w:rFonts w:ascii="Arial" w:hAnsi="Arial" w:cs="Arial"/>
        </w:rPr>
        <w:t xml:space="preserve">procedural </w:t>
      </w:r>
      <w:r w:rsidRPr="009B5050">
        <w:rPr>
          <w:rFonts w:ascii="Arial" w:hAnsi="Arial" w:cs="Arial"/>
          <w:bCs/>
        </w:rPr>
        <w:t xml:space="preserve">and age-appropriate </w:t>
      </w:r>
      <w:r w:rsidRPr="009B5050">
        <w:rPr>
          <w:rFonts w:ascii="Arial" w:hAnsi="Arial" w:cs="Arial"/>
        </w:rPr>
        <w:t xml:space="preserve">accommodations </w:t>
      </w:r>
      <w:r w:rsidRPr="009B5050">
        <w:rPr>
          <w:rFonts w:ascii="Arial" w:hAnsi="Arial" w:cs="Arial"/>
          <w:lang w:val="en-GB"/>
        </w:rPr>
        <w:t>in</w:t>
      </w:r>
      <w:r w:rsidRPr="009B5050">
        <w:rPr>
          <w:rFonts w:ascii="Arial" w:hAnsi="Arial" w:cs="Arial"/>
          <w:bCs/>
          <w:lang w:val="en-GB"/>
        </w:rPr>
        <w:t xml:space="preserve"> immigration related procedures, be them judicial or administrative, the provision of legal assistance and</w:t>
      </w:r>
      <w:r w:rsidRPr="009B5050">
        <w:rPr>
          <w:rFonts w:ascii="Arial" w:hAnsi="Arial" w:cs="Arial"/>
          <w:lang w:val="en-GB"/>
        </w:rPr>
        <w:t xml:space="preserve"> </w:t>
      </w:r>
      <w:r w:rsidRPr="009B5050">
        <w:rPr>
          <w:rFonts w:ascii="Arial" w:hAnsi="Arial" w:cs="Arial"/>
          <w:bCs/>
          <w:lang w:val="en-GB"/>
        </w:rPr>
        <w:t>consular assistance</w:t>
      </w:r>
      <w:r w:rsidR="00CF6035">
        <w:rPr>
          <w:rFonts w:ascii="Arial" w:hAnsi="Arial" w:cs="Arial"/>
          <w:bCs/>
          <w:lang w:val="en-GB"/>
        </w:rPr>
        <w:t>,</w:t>
      </w:r>
      <w:r w:rsidRPr="009B5050">
        <w:rPr>
          <w:rFonts w:ascii="Arial" w:hAnsi="Arial" w:cs="Arial"/>
          <w:bCs/>
          <w:lang w:val="en-GB"/>
        </w:rPr>
        <w:t xml:space="preserve"> and the training </w:t>
      </w:r>
      <w:r w:rsidR="00CF6035" w:rsidRPr="009B5050">
        <w:rPr>
          <w:rFonts w:ascii="Arial" w:hAnsi="Arial" w:cs="Arial"/>
          <w:bCs/>
          <w:lang w:val="en-GB"/>
        </w:rPr>
        <w:t xml:space="preserve">of public staff of the justice system </w:t>
      </w:r>
      <w:r w:rsidRPr="009B5050">
        <w:rPr>
          <w:rFonts w:ascii="Arial" w:hAnsi="Arial" w:cs="Arial"/>
          <w:bCs/>
          <w:lang w:val="en-GB"/>
        </w:rPr>
        <w:t xml:space="preserve">on the requirements of persons with disabilities. </w:t>
      </w:r>
    </w:p>
    <w:p w14:paraId="1A2F5792" w14:textId="77777777" w:rsidR="009A6828" w:rsidRDefault="009A6828" w:rsidP="009A6828">
      <w:pPr>
        <w:pStyle w:val="ListBullet"/>
        <w:numPr>
          <w:ilvl w:val="0"/>
          <w:numId w:val="0"/>
        </w:numPr>
        <w:tabs>
          <w:tab w:val="left" w:pos="284"/>
          <w:tab w:val="left" w:pos="426"/>
        </w:tabs>
        <w:spacing w:after="0" w:line="240" w:lineRule="auto"/>
        <w:jc w:val="both"/>
        <w:rPr>
          <w:rFonts w:ascii="Arial" w:hAnsi="Arial" w:cs="Arial"/>
          <w:bCs/>
          <w:lang w:val="en-GB"/>
        </w:rPr>
      </w:pPr>
    </w:p>
    <w:p w14:paraId="258394BB" w14:textId="7E91239C" w:rsidR="003D1BD3" w:rsidRDefault="009A6828" w:rsidP="003D1BD3">
      <w:pPr>
        <w:pStyle w:val="ListBullet"/>
        <w:numPr>
          <w:ilvl w:val="1"/>
          <w:numId w:val="2"/>
        </w:numPr>
        <w:tabs>
          <w:tab w:val="left" w:pos="284"/>
          <w:tab w:val="left" w:pos="426"/>
        </w:tabs>
        <w:spacing w:after="0" w:line="240" w:lineRule="auto"/>
        <w:ind w:left="0" w:firstLine="0"/>
        <w:jc w:val="both"/>
        <w:rPr>
          <w:rFonts w:ascii="Arial" w:hAnsi="Arial" w:cs="Arial"/>
          <w:bCs/>
          <w:lang w:val="en-GB"/>
        </w:rPr>
      </w:pPr>
      <w:r>
        <w:rPr>
          <w:rFonts w:ascii="Arial" w:hAnsi="Arial" w:cs="Arial"/>
          <w:bCs/>
          <w:lang w:val="en-GB"/>
        </w:rPr>
        <w:t>Call on States to ensure proper conditions of detention to those persons with disabilities who might still be deprived of their liberty through immigration detention. Accessibility and reasonable accommodation must be ensured and training on the requirements of persons with disabilities should be provided to detention centres</w:t>
      </w:r>
      <w:r w:rsidR="00CF6035">
        <w:rPr>
          <w:rFonts w:ascii="Arial" w:hAnsi="Arial" w:cs="Arial"/>
          <w:bCs/>
          <w:lang w:val="en-GB"/>
        </w:rPr>
        <w:t>’</w:t>
      </w:r>
      <w:r>
        <w:rPr>
          <w:rFonts w:ascii="Arial" w:hAnsi="Arial" w:cs="Arial"/>
          <w:bCs/>
          <w:lang w:val="en-GB"/>
        </w:rPr>
        <w:t xml:space="preserve"> staff, including guards and medical doctors.</w:t>
      </w:r>
    </w:p>
    <w:p w14:paraId="0B9D180A" w14:textId="77777777" w:rsidR="003D1BD3" w:rsidRDefault="003D1BD3" w:rsidP="003D1BD3">
      <w:pPr>
        <w:pStyle w:val="ListBullet"/>
        <w:numPr>
          <w:ilvl w:val="0"/>
          <w:numId w:val="0"/>
        </w:numPr>
        <w:tabs>
          <w:tab w:val="left" w:pos="284"/>
          <w:tab w:val="left" w:pos="426"/>
        </w:tabs>
        <w:spacing w:after="0" w:line="240" w:lineRule="auto"/>
        <w:jc w:val="both"/>
        <w:rPr>
          <w:rFonts w:ascii="Arial" w:hAnsi="Arial" w:cs="Arial"/>
          <w:bCs/>
          <w:lang w:val="en-GB"/>
        </w:rPr>
      </w:pPr>
    </w:p>
    <w:p w14:paraId="78117BF7" w14:textId="74F26AF2" w:rsidR="003D1BD3" w:rsidRPr="003D1BD3" w:rsidRDefault="00372F13" w:rsidP="003D1BD3">
      <w:pPr>
        <w:pStyle w:val="ListBullet"/>
        <w:numPr>
          <w:ilvl w:val="1"/>
          <w:numId w:val="2"/>
        </w:numPr>
        <w:tabs>
          <w:tab w:val="left" w:pos="284"/>
          <w:tab w:val="left" w:pos="426"/>
        </w:tabs>
        <w:spacing w:after="0" w:line="240" w:lineRule="auto"/>
        <w:ind w:left="0" w:firstLine="0"/>
        <w:jc w:val="both"/>
        <w:rPr>
          <w:rFonts w:ascii="Arial" w:hAnsi="Arial" w:cs="Arial"/>
          <w:bCs/>
          <w:lang w:val="en-GB"/>
        </w:rPr>
      </w:pPr>
      <w:r w:rsidRPr="003D1BD3">
        <w:rPr>
          <w:rFonts w:ascii="Arial" w:hAnsi="Arial" w:cs="Arial"/>
          <w:bCs/>
          <w:lang w:val="en-GB"/>
        </w:rPr>
        <w:t xml:space="preserve">Call on States to develop human rights compliant alternatives to immigration detention that </w:t>
      </w:r>
      <w:r w:rsidR="003D1BD3">
        <w:rPr>
          <w:rFonts w:ascii="Arial" w:hAnsi="Arial" w:cs="Arial"/>
          <w:bCs/>
          <w:lang w:val="en-GB"/>
        </w:rPr>
        <w:t>implement</w:t>
      </w:r>
      <w:r w:rsidRPr="003D1BD3">
        <w:rPr>
          <w:rFonts w:ascii="Arial" w:hAnsi="Arial" w:cs="Arial"/>
          <w:bCs/>
          <w:lang w:val="en-GB"/>
        </w:rPr>
        <w:t xml:space="preserve"> the rights of </w:t>
      </w:r>
      <w:r w:rsidR="003D1BD3">
        <w:rPr>
          <w:rFonts w:ascii="Arial" w:hAnsi="Arial" w:cs="Arial"/>
          <w:bCs/>
          <w:lang w:val="en-GB"/>
        </w:rPr>
        <w:t>persons</w:t>
      </w:r>
      <w:r w:rsidRPr="003D1BD3">
        <w:rPr>
          <w:rFonts w:ascii="Arial" w:hAnsi="Arial" w:cs="Arial"/>
          <w:bCs/>
          <w:lang w:val="en-GB"/>
        </w:rPr>
        <w:t xml:space="preserve"> with disabilities under Articles </w:t>
      </w:r>
      <w:r w:rsidR="003D1BD3" w:rsidRPr="003D1BD3">
        <w:rPr>
          <w:rFonts w:ascii="Arial" w:hAnsi="Arial" w:cs="Arial"/>
          <w:lang w:val="en-GB"/>
        </w:rPr>
        <w:t>19 (right to live independently and be included in the community), 23 (</w:t>
      </w:r>
      <w:r w:rsidR="00CF6035">
        <w:rPr>
          <w:rFonts w:ascii="Arial" w:hAnsi="Arial" w:cs="Arial"/>
          <w:lang w:val="en-GB"/>
        </w:rPr>
        <w:t>r</w:t>
      </w:r>
      <w:r w:rsidR="003D1BD3" w:rsidRPr="003D1BD3">
        <w:rPr>
          <w:rFonts w:ascii="Arial" w:hAnsi="Arial" w:cs="Arial"/>
          <w:lang w:val="en-GB"/>
        </w:rPr>
        <w:t>espect for the home and the family), and 28 (adequate standard of living and social protection) of the CRPD</w:t>
      </w:r>
      <w:r w:rsidR="003D1BD3">
        <w:rPr>
          <w:rFonts w:ascii="Arial" w:hAnsi="Arial" w:cs="Arial"/>
          <w:lang w:val="en-GB"/>
        </w:rPr>
        <w:t>, including by repealing restrictions in accessing support and social services on the basis of migrant status.</w:t>
      </w:r>
      <w:r w:rsidR="003D1BD3" w:rsidRPr="003D1BD3">
        <w:rPr>
          <w:rFonts w:ascii="Arial" w:hAnsi="Arial" w:cs="Arial"/>
          <w:lang w:val="en-GB"/>
        </w:rPr>
        <w:t xml:space="preserve"> </w:t>
      </w:r>
    </w:p>
    <w:p w14:paraId="2E28470A" w14:textId="77777777" w:rsidR="003D1BD3" w:rsidRDefault="003D1BD3" w:rsidP="003D1BD3">
      <w:pPr>
        <w:pStyle w:val="ListBullet"/>
        <w:numPr>
          <w:ilvl w:val="0"/>
          <w:numId w:val="0"/>
        </w:numPr>
        <w:tabs>
          <w:tab w:val="left" w:pos="284"/>
          <w:tab w:val="left" w:pos="426"/>
        </w:tabs>
        <w:spacing w:after="0" w:line="240" w:lineRule="auto"/>
        <w:jc w:val="both"/>
        <w:rPr>
          <w:rFonts w:ascii="Arial" w:hAnsi="Arial" w:cs="Arial"/>
          <w:bCs/>
          <w:lang w:val="en-GB"/>
        </w:rPr>
      </w:pPr>
    </w:p>
    <w:p w14:paraId="331F7B24" w14:textId="01032F33" w:rsidR="003B36C3" w:rsidRPr="009F551A" w:rsidRDefault="003D1BD3" w:rsidP="009F551A">
      <w:pPr>
        <w:pStyle w:val="ListBullet"/>
        <w:numPr>
          <w:ilvl w:val="1"/>
          <w:numId w:val="2"/>
        </w:numPr>
        <w:tabs>
          <w:tab w:val="left" w:pos="284"/>
          <w:tab w:val="left" w:pos="426"/>
        </w:tabs>
        <w:spacing w:after="0" w:line="240" w:lineRule="auto"/>
        <w:ind w:left="0" w:firstLine="0"/>
        <w:jc w:val="both"/>
        <w:rPr>
          <w:rFonts w:ascii="Arial" w:hAnsi="Arial" w:cs="Arial"/>
          <w:lang w:val="en-GB"/>
        </w:rPr>
      </w:pPr>
      <w:r>
        <w:rPr>
          <w:rFonts w:ascii="Arial" w:hAnsi="Arial" w:cs="Arial"/>
          <w:lang w:val="en-GB"/>
        </w:rPr>
        <w:t>Call on States to develop information systems that ensure data collection and disaggregation by disability to account for the prop</w:t>
      </w:r>
      <w:r w:rsidR="003B36C3">
        <w:rPr>
          <w:rFonts w:ascii="Arial" w:hAnsi="Arial" w:cs="Arial"/>
          <w:lang w:val="en-GB"/>
        </w:rPr>
        <w:t>ortion and situation of migrant workers and relatives</w:t>
      </w:r>
      <w:r>
        <w:rPr>
          <w:rFonts w:ascii="Arial" w:hAnsi="Arial" w:cs="Arial"/>
          <w:lang w:val="en-GB"/>
        </w:rPr>
        <w:t xml:space="preserve"> with disabilities</w:t>
      </w:r>
      <w:r w:rsidR="003B36C3">
        <w:rPr>
          <w:rFonts w:ascii="Arial" w:hAnsi="Arial" w:cs="Arial"/>
          <w:lang w:val="en-GB"/>
        </w:rPr>
        <w:t xml:space="preserve"> and inform policy design and responses, in line with Article 31 of the CRPD. The </w:t>
      </w:r>
      <w:r w:rsidRPr="003B36C3">
        <w:rPr>
          <w:rFonts w:ascii="Arial" w:hAnsi="Arial" w:cs="Arial"/>
          <w:lang w:val="en-GB"/>
        </w:rPr>
        <w:t>use of the methodology of</w:t>
      </w:r>
      <w:r w:rsidRPr="003B36C3">
        <w:rPr>
          <w:rFonts w:ascii="Arial" w:hAnsi="Arial" w:cs="Arial"/>
          <w:b/>
          <w:lang w:val="en-GB"/>
        </w:rPr>
        <w:t xml:space="preserve"> </w:t>
      </w:r>
      <w:r w:rsidRPr="003B36C3">
        <w:rPr>
          <w:rFonts w:ascii="Arial" w:hAnsi="Arial" w:cs="Arial"/>
          <w:bCs/>
          <w:lang w:val="en-GB"/>
        </w:rPr>
        <w:t>the Washington Group on Disability Statistics</w:t>
      </w:r>
      <w:r w:rsidRPr="003D1BD3">
        <w:rPr>
          <w:rFonts w:ascii="Arial" w:hAnsi="Arial" w:cs="Arial"/>
          <w:bCs/>
          <w:vertAlign w:val="superscript"/>
          <w:lang w:val="en-GB"/>
        </w:rPr>
        <w:endnoteReference w:id="95"/>
      </w:r>
      <w:r w:rsidR="003B36C3">
        <w:rPr>
          <w:rFonts w:ascii="Arial" w:hAnsi="Arial" w:cs="Arial"/>
          <w:bCs/>
          <w:lang w:val="en-GB"/>
        </w:rPr>
        <w:t xml:space="preserve"> should be suggested for the design of data collection efforts. </w:t>
      </w:r>
      <w:r w:rsidR="003B36C3" w:rsidRPr="009F551A">
        <w:rPr>
          <w:rFonts w:ascii="Arial" w:hAnsi="Arial" w:cs="Arial"/>
        </w:rPr>
        <w:br w:type="page"/>
      </w:r>
    </w:p>
    <w:p w14:paraId="57400159" w14:textId="3A644107" w:rsidR="00B620B2" w:rsidRPr="007C5A31" w:rsidRDefault="003E700F" w:rsidP="003B36C3">
      <w:pPr>
        <w:tabs>
          <w:tab w:val="left" w:pos="284"/>
          <w:tab w:val="left" w:pos="426"/>
        </w:tabs>
        <w:rPr>
          <w:rFonts w:ascii="Arial" w:hAnsi="Arial" w:cs="Arial"/>
          <w:b/>
          <w:lang w:val="en-GB"/>
        </w:rPr>
      </w:pPr>
      <w:r>
        <w:rPr>
          <w:rFonts w:ascii="Arial" w:hAnsi="Arial" w:cs="Arial"/>
          <w:b/>
          <w:lang w:val="en-GB"/>
        </w:rPr>
        <w:lastRenderedPageBreak/>
        <w:t>Contact</w:t>
      </w:r>
      <w:r w:rsidR="00B620B2" w:rsidRPr="007C5A31">
        <w:rPr>
          <w:rFonts w:ascii="Arial" w:hAnsi="Arial" w:cs="Arial"/>
          <w:b/>
          <w:lang w:val="en-GB"/>
        </w:rPr>
        <w:t xml:space="preserve"> information: </w:t>
      </w:r>
    </w:p>
    <w:p w14:paraId="75A3DA1F" w14:textId="77777777" w:rsidR="00B620B2" w:rsidRPr="007C5A31" w:rsidRDefault="00B620B2" w:rsidP="00751A67">
      <w:pPr>
        <w:tabs>
          <w:tab w:val="left" w:pos="284"/>
          <w:tab w:val="left" w:pos="426"/>
        </w:tabs>
        <w:jc w:val="both"/>
        <w:rPr>
          <w:rFonts w:ascii="Arial" w:hAnsi="Arial" w:cs="Arial"/>
          <w:lang w:val="en-GB"/>
        </w:rPr>
      </w:pPr>
      <w:r w:rsidRPr="007C5A31">
        <w:rPr>
          <w:rFonts w:ascii="Arial" w:hAnsi="Arial" w:cs="Arial"/>
          <w:lang w:val="en-GB"/>
        </w:rPr>
        <w:t xml:space="preserve">Juan Ignacio Pérez Bello, Human Rights Advisor, </w:t>
      </w:r>
      <w:hyperlink r:id="rId8" w:history="1">
        <w:r w:rsidRPr="007C5A31">
          <w:rPr>
            <w:rStyle w:val="Hyperlink"/>
            <w:rFonts w:ascii="Arial" w:hAnsi="Arial" w:cs="Arial"/>
            <w:lang w:val="en-GB"/>
          </w:rPr>
          <w:t>jiperezbello@ida-secretariat.org</w:t>
        </w:r>
      </w:hyperlink>
      <w:r w:rsidRPr="007C5A31">
        <w:rPr>
          <w:rFonts w:ascii="Arial" w:hAnsi="Arial" w:cs="Arial"/>
          <w:lang w:val="en-GB"/>
        </w:rPr>
        <w:t xml:space="preserve">  </w:t>
      </w:r>
    </w:p>
    <w:p w14:paraId="29F3DD03" w14:textId="77777777" w:rsidR="00B620B2" w:rsidRPr="007C5A31" w:rsidRDefault="00B620B2" w:rsidP="00751A67">
      <w:pPr>
        <w:tabs>
          <w:tab w:val="left" w:pos="284"/>
          <w:tab w:val="left" w:pos="426"/>
        </w:tabs>
        <w:jc w:val="both"/>
        <w:rPr>
          <w:rFonts w:ascii="Arial" w:hAnsi="Arial" w:cs="Arial"/>
          <w:lang w:val="en-GB"/>
        </w:rPr>
      </w:pPr>
      <w:r w:rsidRPr="007C5A31">
        <w:rPr>
          <w:rFonts w:ascii="Arial" w:hAnsi="Arial" w:cs="Arial"/>
          <w:lang w:val="en-GB"/>
        </w:rPr>
        <w:t>International Disability Alliance (IDA)</w:t>
      </w:r>
    </w:p>
    <w:p w14:paraId="0B727869" w14:textId="77777777" w:rsidR="00B620B2" w:rsidRPr="007C5A31" w:rsidRDefault="00B620B2" w:rsidP="00751A67">
      <w:pPr>
        <w:tabs>
          <w:tab w:val="left" w:pos="284"/>
          <w:tab w:val="left" w:pos="426"/>
        </w:tabs>
        <w:jc w:val="both"/>
        <w:rPr>
          <w:rFonts w:ascii="Arial" w:hAnsi="Arial" w:cs="Arial"/>
          <w:lang w:val="en-GB"/>
        </w:rPr>
      </w:pPr>
      <w:r w:rsidRPr="007C5A31">
        <w:rPr>
          <w:rFonts w:ascii="Arial" w:hAnsi="Arial" w:cs="Arial"/>
          <w:lang w:val="en-GB"/>
        </w:rPr>
        <w:t>150 Route de Ferney</w:t>
      </w:r>
    </w:p>
    <w:p w14:paraId="41821016" w14:textId="77777777" w:rsidR="00B620B2" w:rsidRPr="007C5A31" w:rsidRDefault="00B620B2" w:rsidP="00751A67">
      <w:pPr>
        <w:tabs>
          <w:tab w:val="left" w:pos="284"/>
          <w:tab w:val="left" w:pos="426"/>
        </w:tabs>
        <w:jc w:val="both"/>
        <w:rPr>
          <w:rFonts w:ascii="Arial" w:hAnsi="Arial" w:cs="Arial"/>
          <w:lang w:val="en-GB"/>
        </w:rPr>
      </w:pPr>
      <w:r w:rsidRPr="007C5A31">
        <w:rPr>
          <w:rFonts w:ascii="Arial" w:hAnsi="Arial" w:cs="Arial"/>
          <w:lang w:val="en-GB"/>
        </w:rPr>
        <w:t>Case postale 2100</w:t>
      </w:r>
    </w:p>
    <w:p w14:paraId="11572556" w14:textId="0A9C41EC" w:rsidR="00B620B2" w:rsidRPr="007C5A31" w:rsidRDefault="00B620B2" w:rsidP="00751A67">
      <w:pPr>
        <w:tabs>
          <w:tab w:val="left" w:pos="284"/>
          <w:tab w:val="left" w:pos="426"/>
        </w:tabs>
        <w:jc w:val="both"/>
        <w:rPr>
          <w:rFonts w:ascii="Arial" w:hAnsi="Arial" w:cs="Arial"/>
          <w:lang w:val="en-GB"/>
        </w:rPr>
      </w:pPr>
      <w:r w:rsidRPr="007C5A31">
        <w:rPr>
          <w:rFonts w:ascii="Arial" w:hAnsi="Arial" w:cs="Arial"/>
          <w:lang w:val="en-GB"/>
        </w:rPr>
        <w:t>CH-1211 Genève 2, Switzerland</w:t>
      </w:r>
    </w:p>
    <w:sectPr w:rsidR="00B620B2" w:rsidRPr="007C5A31" w:rsidSect="00060A46">
      <w:headerReference w:type="default" r:id="rId9"/>
      <w:footerReference w:type="even" r:id="rId10"/>
      <w:footerReference w:type="default" r:id="rId11"/>
      <w:headerReference w:type="first" r:id="rId12"/>
      <w:endnotePr>
        <w:numFmt w:val="decimal"/>
      </w:endnotePr>
      <w:pgSz w:w="11906" w:h="16838"/>
      <w:pgMar w:top="1418" w:right="1418" w:bottom="1418" w:left="1418" w:header="48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B7F8" w14:textId="77777777" w:rsidR="003F4A37" w:rsidRDefault="003F4A37" w:rsidP="003837A5">
      <w:r>
        <w:separator/>
      </w:r>
    </w:p>
  </w:endnote>
  <w:endnote w:type="continuationSeparator" w:id="0">
    <w:p w14:paraId="1C0400D0" w14:textId="77777777" w:rsidR="003F4A37" w:rsidRDefault="003F4A37" w:rsidP="003837A5">
      <w:r>
        <w:continuationSeparator/>
      </w:r>
    </w:p>
  </w:endnote>
  <w:endnote w:id="1">
    <w:p w14:paraId="3BB1E1A0" w14:textId="5A779C82"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CMWF Committee, draft general comment 5, para. 52</w:t>
      </w:r>
    </w:p>
  </w:endnote>
  <w:endnote w:id="2">
    <w:p w14:paraId="394BB1AA" w14:textId="11FC790B"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OHCHR, </w:t>
      </w:r>
      <w:hyperlink r:id="rId1" w:history="1">
        <w:r w:rsidRPr="00A72DFB">
          <w:rPr>
            <w:rStyle w:val="Hyperlink"/>
            <w:rFonts w:ascii="Arial" w:hAnsi="Arial" w:cs="Arial"/>
            <w:sz w:val="18"/>
            <w:szCs w:val="18"/>
            <w:lang w:val="en-GB"/>
          </w:rPr>
          <w:t>A/HRC/43/27</w:t>
        </w:r>
      </w:hyperlink>
      <w:r w:rsidRPr="00A72DFB">
        <w:rPr>
          <w:rFonts w:ascii="Arial" w:hAnsi="Arial" w:cs="Arial"/>
          <w:sz w:val="18"/>
          <w:szCs w:val="18"/>
          <w:lang w:val="en-GB"/>
        </w:rPr>
        <w:t>, para. 29</w:t>
      </w:r>
    </w:p>
  </w:endnote>
  <w:endnote w:id="3">
    <w:p w14:paraId="10BD4826" w14:textId="005E8E5D"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Special Rapporteur on the rights of persons with disabilities, </w:t>
      </w:r>
      <w:hyperlink r:id="rId2" w:history="1">
        <w:r w:rsidRPr="00A72DFB">
          <w:rPr>
            <w:rStyle w:val="Hyperlink"/>
            <w:rFonts w:ascii="Arial" w:hAnsi="Arial" w:cs="Arial"/>
            <w:sz w:val="18"/>
            <w:szCs w:val="18"/>
            <w:lang w:val="en-GB"/>
          </w:rPr>
          <w:t>A/HRC/40/54</w:t>
        </w:r>
      </w:hyperlink>
      <w:r w:rsidRPr="00A72DFB">
        <w:rPr>
          <w:rFonts w:ascii="Arial" w:hAnsi="Arial" w:cs="Arial"/>
          <w:sz w:val="18"/>
          <w:szCs w:val="18"/>
          <w:lang w:val="en-GB"/>
        </w:rPr>
        <w:t>, para. 13</w:t>
      </w:r>
    </w:p>
  </w:endnote>
  <w:endnote w:id="4">
    <w:p w14:paraId="782B4EA9" w14:textId="733D4EA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Karen Soldatic et al. ‘</w:t>
      </w:r>
      <w:hyperlink r:id="rId3" w:history="1">
        <w:r w:rsidRPr="00A72DFB">
          <w:rPr>
            <w:rStyle w:val="Hyperlink"/>
            <w:rFonts w:ascii="Arial" w:hAnsi="Arial" w:cs="Arial"/>
            <w:sz w:val="18"/>
            <w:szCs w:val="18"/>
            <w:lang w:val="en-GB"/>
          </w:rPr>
          <w:t>Nowhere to be found’: disabled refugees and asylum seekers within the Australian resettlement landscape</w:t>
        </w:r>
      </w:hyperlink>
      <w:r w:rsidRPr="00A72DFB">
        <w:rPr>
          <w:rFonts w:ascii="Arial" w:hAnsi="Arial" w:cs="Arial"/>
          <w:sz w:val="18"/>
          <w:szCs w:val="18"/>
          <w:lang w:val="en-GB"/>
        </w:rPr>
        <w:t>, Disability and the Global South 2015, p. 511</w:t>
      </w:r>
    </w:p>
  </w:endnote>
  <w:endnote w:id="5">
    <w:p w14:paraId="3F3BC32F" w14:textId="023F9AFA" w:rsidR="0045374F" w:rsidRPr="0045374F" w:rsidRDefault="0045374F" w:rsidP="00C85778">
      <w:pPr>
        <w:pStyle w:val="EndnoteText"/>
        <w:jc w:val="both"/>
        <w:rPr>
          <w:rFonts w:ascii="Arial" w:hAnsi="Arial" w:cs="Arial"/>
          <w:sz w:val="18"/>
          <w:szCs w:val="18"/>
          <w:lang w:val="en-US"/>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4" w:history="1">
        <w:r w:rsidRPr="0045374F">
          <w:rPr>
            <w:rStyle w:val="Hyperlink"/>
            <w:rFonts w:ascii="Arial" w:hAnsi="Arial" w:cs="Arial"/>
            <w:sz w:val="18"/>
            <w:szCs w:val="18"/>
            <w:lang w:val="en-US"/>
          </w:rPr>
          <w:t>CRPD/C/AUS/CO/2-3</w:t>
        </w:r>
      </w:hyperlink>
      <w:r w:rsidRPr="0045374F">
        <w:rPr>
          <w:rFonts w:ascii="Arial" w:hAnsi="Arial" w:cs="Arial"/>
          <w:sz w:val="18"/>
          <w:szCs w:val="18"/>
          <w:lang w:val="en-US"/>
        </w:rPr>
        <w:t xml:space="preserve">, para 35; and </w:t>
      </w:r>
      <w:hyperlink r:id="rId5" w:history="1">
        <w:r w:rsidRPr="0045374F">
          <w:rPr>
            <w:rStyle w:val="Hyperlink"/>
            <w:rFonts w:ascii="Arial" w:hAnsi="Arial" w:cs="Arial"/>
            <w:sz w:val="18"/>
            <w:szCs w:val="18"/>
            <w:lang w:val="en-US"/>
          </w:rPr>
          <w:t>CRPD/C/ECU/CO/1</w:t>
        </w:r>
      </w:hyperlink>
      <w:r w:rsidRPr="0045374F">
        <w:rPr>
          <w:rFonts w:ascii="Arial" w:hAnsi="Arial" w:cs="Arial"/>
          <w:sz w:val="18"/>
          <w:szCs w:val="18"/>
          <w:lang w:val="en-US"/>
        </w:rPr>
        <w:t>, para 32</w:t>
      </w:r>
    </w:p>
  </w:endnote>
  <w:endnote w:id="6">
    <w:p w14:paraId="4CBDCFCA" w14:textId="20C3712C"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45374F">
        <w:rPr>
          <w:rFonts w:ascii="Arial" w:hAnsi="Arial" w:cs="Arial"/>
          <w:sz w:val="18"/>
          <w:szCs w:val="18"/>
          <w:lang w:val="en-US"/>
        </w:rPr>
        <w:t xml:space="preserve"> </w:t>
      </w:r>
      <w:hyperlink r:id="rId6" w:history="1">
        <w:r w:rsidRPr="0045374F">
          <w:rPr>
            <w:rStyle w:val="Hyperlink"/>
            <w:rFonts w:ascii="Arial" w:hAnsi="Arial" w:cs="Arial"/>
            <w:sz w:val="18"/>
            <w:szCs w:val="18"/>
            <w:lang w:val="en-US"/>
          </w:rPr>
          <w:t>CMW/C/GC/2</w:t>
        </w:r>
      </w:hyperlink>
      <w:r w:rsidRPr="0045374F">
        <w:rPr>
          <w:rFonts w:ascii="Arial" w:hAnsi="Arial" w:cs="Arial"/>
          <w:sz w:val="18"/>
          <w:szCs w:val="18"/>
          <w:lang w:val="en-US"/>
        </w:rPr>
        <w:t xml:space="preserve">, para. </w:t>
      </w:r>
      <w:r w:rsidRPr="00A72DFB">
        <w:rPr>
          <w:rFonts w:ascii="Arial" w:hAnsi="Arial" w:cs="Arial"/>
          <w:sz w:val="18"/>
          <w:szCs w:val="18"/>
          <w:lang w:val="en-GB"/>
        </w:rPr>
        <w:t>76</w:t>
      </w:r>
    </w:p>
  </w:endnote>
  <w:endnote w:id="7">
    <w:p w14:paraId="28D95D50" w14:textId="23B5BAED"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7" w:history="1">
        <w:r w:rsidRPr="00A72DFB">
          <w:rPr>
            <w:rStyle w:val="Hyperlink"/>
            <w:rFonts w:ascii="Arial" w:hAnsi="Arial" w:cs="Arial"/>
            <w:sz w:val="18"/>
            <w:szCs w:val="18"/>
            <w:lang w:val="en-GB"/>
          </w:rPr>
          <w:t>CMW/C/GC/3-CRC/C/GC/22</w:t>
        </w:r>
      </w:hyperlink>
      <w:r w:rsidRPr="00A72DFB">
        <w:rPr>
          <w:rFonts w:ascii="Arial" w:hAnsi="Arial" w:cs="Arial"/>
          <w:sz w:val="18"/>
          <w:szCs w:val="18"/>
          <w:lang w:val="en-GB"/>
        </w:rPr>
        <w:t>, para. 3</w:t>
      </w:r>
    </w:p>
  </w:endnote>
  <w:endnote w:id="8">
    <w:p w14:paraId="2AFB26C7" w14:textId="200DE457"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8" w:history="1">
        <w:r w:rsidRPr="00A72DFB">
          <w:rPr>
            <w:rStyle w:val="Hyperlink"/>
            <w:rFonts w:ascii="Arial" w:hAnsi="Arial" w:cs="Arial"/>
            <w:bCs/>
            <w:sz w:val="18"/>
            <w:szCs w:val="18"/>
            <w:lang w:val="en-GB"/>
          </w:rPr>
          <w:t>UN Global Study on Children Deprived of Liberty</w:t>
        </w:r>
      </w:hyperlink>
      <w:r w:rsidRPr="00A72DFB">
        <w:rPr>
          <w:rFonts w:ascii="Arial" w:hAnsi="Arial" w:cs="Arial"/>
          <w:bCs/>
          <w:sz w:val="18"/>
          <w:szCs w:val="18"/>
          <w:lang w:val="en-GB"/>
        </w:rPr>
        <w:t xml:space="preserve"> (2019), p. 192</w:t>
      </w:r>
    </w:p>
  </w:endnote>
  <w:endnote w:id="9">
    <w:p w14:paraId="5508ABEF" w14:textId="51375BD2"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Human Rights Watch &amp; ACLU, </w:t>
      </w:r>
      <w:hyperlink r:id="rId9" w:history="1">
        <w:r w:rsidRPr="00A72DFB">
          <w:rPr>
            <w:rStyle w:val="Hyperlink"/>
            <w:rFonts w:ascii="Arial" w:hAnsi="Arial" w:cs="Arial"/>
            <w:sz w:val="18"/>
            <w:szCs w:val="18"/>
            <w:lang w:val="en-GB"/>
          </w:rPr>
          <w:t>Deportation By Default</w:t>
        </w:r>
      </w:hyperlink>
      <w:r w:rsidRPr="00A72DFB">
        <w:rPr>
          <w:rFonts w:ascii="Arial" w:hAnsi="Arial" w:cs="Arial"/>
          <w:sz w:val="18"/>
          <w:szCs w:val="18"/>
          <w:lang w:val="en-GB"/>
        </w:rPr>
        <w:t>: Mental Disability, Unfair Hearings, and Indefinite Detention in the Us Immigration System, 2010, p. 69</w:t>
      </w:r>
    </w:p>
  </w:endnote>
  <w:endnote w:id="10">
    <w:p w14:paraId="24C6B36F" w14:textId="1816887B" w:rsidR="0045374F" w:rsidRPr="0002688C" w:rsidRDefault="0045374F" w:rsidP="00C85778">
      <w:pPr>
        <w:pStyle w:val="EndnoteText"/>
        <w:jc w:val="both"/>
        <w:rPr>
          <w:rFonts w:ascii="Arial" w:hAnsi="Arial" w:cs="Arial"/>
          <w:sz w:val="18"/>
          <w:szCs w:val="18"/>
          <w:lang w:val="es-ES"/>
        </w:rPr>
      </w:pPr>
      <w:r w:rsidRPr="00A72DFB">
        <w:rPr>
          <w:rFonts w:ascii="Arial" w:hAnsi="Arial" w:cs="Arial"/>
          <w:sz w:val="18"/>
          <w:szCs w:val="18"/>
          <w:vertAlign w:val="superscript"/>
          <w:lang w:val="en-GB"/>
        </w:rPr>
        <w:endnoteRef/>
      </w:r>
      <w:r w:rsidRPr="0002688C">
        <w:rPr>
          <w:rFonts w:ascii="Arial" w:hAnsi="Arial" w:cs="Arial"/>
          <w:sz w:val="18"/>
          <w:szCs w:val="18"/>
          <w:vertAlign w:val="superscript"/>
          <w:lang w:val="es-ES"/>
        </w:rPr>
        <w:t xml:space="preserve"> </w:t>
      </w:r>
      <w:r w:rsidRPr="0002688C">
        <w:rPr>
          <w:rFonts w:ascii="Arial" w:hAnsi="Arial" w:cs="Arial"/>
          <w:sz w:val="18"/>
          <w:szCs w:val="18"/>
          <w:lang w:val="es-ES"/>
        </w:rPr>
        <w:t xml:space="preserve">Disability Rights California, Aquí No Hay Seguridad, </w:t>
      </w:r>
      <w:hyperlink r:id="rId10" w:history="1">
        <w:r w:rsidRPr="0002688C">
          <w:rPr>
            <w:rStyle w:val="Hyperlink"/>
            <w:rFonts w:ascii="Arial" w:hAnsi="Arial" w:cs="Arial"/>
            <w:sz w:val="18"/>
            <w:szCs w:val="18"/>
            <w:lang w:val="es-ES"/>
          </w:rPr>
          <w:t>Informe Investigativo</w:t>
        </w:r>
      </w:hyperlink>
      <w:r w:rsidRPr="0002688C">
        <w:rPr>
          <w:rFonts w:ascii="Arial" w:hAnsi="Arial" w:cs="Arial"/>
          <w:sz w:val="18"/>
          <w:szCs w:val="18"/>
          <w:lang w:val="es-ES"/>
        </w:rPr>
        <w:t>, 2019</w:t>
      </w:r>
    </w:p>
  </w:endnote>
  <w:endnote w:id="11">
    <w:p w14:paraId="7F456B68" w14:textId="40C66C61" w:rsidR="0045374F" w:rsidRPr="00A72DFB" w:rsidRDefault="0045374F" w:rsidP="00C85778">
      <w:pPr>
        <w:pStyle w:val="EndnoteText"/>
        <w:jc w:val="both"/>
        <w:rPr>
          <w:rFonts w:ascii="Arial" w:hAnsi="Arial" w:cs="Arial"/>
          <w:i/>
          <w:iCs/>
          <w:sz w:val="18"/>
          <w:szCs w:val="18"/>
          <w:lang w:val="en-GB"/>
        </w:rPr>
      </w:pPr>
      <w:r w:rsidRPr="00A72DFB">
        <w:rPr>
          <w:rStyle w:val="EndnoteReference"/>
          <w:rFonts w:ascii="Arial" w:hAnsi="Arial" w:cs="Arial"/>
          <w:sz w:val="18"/>
          <w:szCs w:val="18"/>
          <w:lang w:val="en-GB"/>
        </w:rPr>
        <w:endnoteRef/>
      </w:r>
      <w:r>
        <w:rPr>
          <w:rFonts w:ascii="Arial" w:hAnsi="Arial" w:cs="Arial"/>
          <w:sz w:val="18"/>
          <w:szCs w:val="18"/>
          <w:lang w:val="en-GB"/>
        </w:rPr>
        <w:t xml:space="preserve"> </w:t>
      </w:r>
      <w:r w:rsidRPr="00A72DFB">
        <w:rPr>
          <w:rFonts w:ascii="Arial" w:hAnsi="Arial" w:cs="Arial"/>
          <w:sz w:val="18"/>
          <w:szCs w:val="18"/>
          <w:lang w:val="en-GB"/>
        </w:rPr>
        <w:t xml:space="preserve">See OHCHR, </w:t>
      </w:r>
      <w:hyperlink r:id="rId11" w:history="1">
        <w:r w:rsidRPr="00A72DFB">
          <w:rPr>
            <w:rStyle w:val="Hyperlink"/>
            <w:rFonts w:ascii="Arial" w:hAnsi="Arial" w:cs="Arial"/>
            <w:sz w:val="18"/>
            <w:szCs w:val="18"/>
            <w:lang w:val="en-GB"/>
          </w:rPr>
          <w:t>A/HRC/43/27</w:t>
        </w:r>
      </w:hyperlink>
      <w:r w:rsidRPr="00A72DFB">
        <w:rPr>
          <w:rFonts w:ascii="Arial" w:hAnsi="Arial" w:cs="Arial"/>
          <w:sz w:val="18"/>
          <w:szCs w:val="18"/>
          <w:lang w:val="en-GB"/>
        </w:rPr>
        <w:t xml:space="preserve">, para. 18, stating that “fear-based reactions tend to increase the number of instances of arbitrary detention, the ratio of persons with psychosocial disabilities in prisons and violations of the right to due process, among others”; See also e.g. Human Rights Watch &amp; ACLU (n. </w:t>
      </w:r>
      <w:r w:rsidR="00F97427">
        <w:rPr>
          <w:rFonts w:ascii="Arial" w:hAnsi="Arial" w:cs="Arial"/>
          <w:sz w:val="18"/>
          <w:szCs w:val="18"/>
          <w:lang w:val="en-GB"/>
        </w:rPr>
        <w:t>9</w:t>
      </w:r>
      <w:r w:rsidRPr="00A72DFB">
        <w:rPr>
          <w:rFonts w:ascii="Arial" w:hAnsi="Arial" w:cs="Arial"/>
          <w:sz w:val="18"/>
          <w:szCs w:val="18"/>
          <w:lang w:val="en-GB"/>
        </w:rPr>
        <w:t>)</w:t>
      </w:r>
      <w:r>
        <w:rPr>
          <w:rFonts w:ascii="Arial" w:hAnsi="Arial" w:cs="Arial"/>
          <w:sz w:val="18"/>
          <w:szCs w:val="18"/>
          <w:lang w:val="en-GB"/>
        </w:rPr>
        <w:t>,</w:t>
      </w:r>
      <w:r w:rsidRPr="00A72DFB">
        <w:rPr>
          <w:rFonts w:ascii="Arial" w:hAnsi="Arial" w:cs="Arial"/>
          <w:sz w:val="18"/>
          <w:szCs w:val="18"/>
          <w:lang w:val="en-GB"/>
        </w:rPr>
        <w:t xml:space="preserve"> p. 69</w:t>
      </w:r>
    </w:p>
  </w:endnote>
  <w:endnote w:id="12">
    <w:p w14:paraId="246C7BAD" w14:textId="6A8F32E4"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Human Rights Watch &amp; ACLU (n. </w:t>
      </w:r>
      <w:r w:rsidR="00F97427">
        <w:rPr>
          <w:rFonts w:ascii="Arial" w:hAnsi="Arial" w:cs="Arial"/>
          <w:sz w:val="18"/>
          <w:szCs w:val="18"/>
          <w:lang w:val="en-GB"/>
        </w:rPr>
        <w:t>9</w:t>
      </w:r>
      <w:r w:rsidRPr="00A72DFB">
        <w:rPr>
          <w:rFonts w:ascii="Arial" w:hAnsi="Arial" w:cs="Arial"/>
          <w:sz w:val="18"/>
          <w:szCs w:val="18"/>
          <w:lang w:val="en-GB"/>
        </w:rPr>
        <w:t>)</w:t>
      </w:r>
      <w:r>
        <w:rPr>
          <w:rFonts w:ascii="Arial" w:hAnsi="Arial" w:cs="Arial"/>
          <w:sz w:val="18"/>
          <w:szCs w:val="18"/>
          <w:lang w:val="en-GB"/>
        </w:rPr>
        <w:t>,</w:t>
      </w:r>
      <w:r w:rsidRPr="00A72DFB">
        <w:rPr>
          <w:rFonts w:ascii="Arial" w:hAnsi="Arial" w:cs="Arial"/>
          <w:sz w:val="18"/>
          <w:szCs w:val="18"/>
          <w:lang w:val="en-GB"/>
        </w:rPr>
        <w:t xml:space="preserve"> p. 17</w:t>
      </w:r>
    </w:p>
  </w:endnote>
  <w:endnote w:id="13">
    <w:p w14:paraId="264093ED" w14:textId="61CEA58E"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Human Rights Watch &amp; ACLU (n. </w:t>
      </w:r>
      <w:r w:rsidR="00F97427">
        <w:rPr>
          <w:rFonts w:ascii="Arial" w:hAnsi="Arial" w:cs="Arial"/>
          <w:sz w:val="18"/>
          <w:szCs w:val="18"/>
          <w:lang w:val="en-GB"/>
        </w:rPr>
        <w:t>9</w:t>
      </w:r>
      <w:r w:rsidRPr="00A72DFB">
        <w:rPr>
          <w:rFonts w:ascii="Arial" w:hAnsi="Arial" w:cs="Arial"/>
          <w:sz w:val="18"/>
          <w:szCs w:val="18"/>
          <w:lang w:val="en-GB"/>
        </w:rPr>
        <w:t>)</w:t>
      </w:r>
      <w:r>
        <w:rPr>
          <w:rFonts w:ascii="Arial" w:hAnsi="Arial" w:cs="Arial"/>
          <w:sz w:val="18"/>
          <w:szCs w:val="18"/>
          <w:lang w:val="en-GB"/>
        </w:rPr>
        <w:t>,</w:t>
      </w:r>
      <w:r w:rsidRPr="00A72DFB">
        <w:rPr>
          <w:rFonts w:ascii="Arial" w:hAnsi="Arial" w:cs="Arial"/>
          <w:sz w:val="18"/>
          <w:szCs w:val="18"/>
          <w:lang w:val="en-GB"/>
        </w:rPr>
        <w:t xml:space="preserve"> p. 69</w:t>
      </w:r>
    </w:p>
  </w:endnote>
  <w:endnote w:id="14">
    <w:p w14:paraId="43B46FA9" w14:textId="26FD7BCE" w:rsidR="0045374F" w:rsidRPr="00A72DFB" w:rsidRDefault="0045374F" w:rsidP="00C85778">
      <w:pPr>
        <w:widowControl w:val="0"/>
        <w:autoSpaceDE w:val="0"/>
        <w:autoSpaceDN w:val="0"/>
        <w:adjustRightInd w:val="0"/>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CRPD </w:t>
      </w:r>
      <w:r w:rsidR="0070538A" w:rsidRPr="00A72DFB">
        <w:rPr>
          <w:rFonts w:ascii="Arial" w:hAnsi="Arial" w:cs="Arial"/>
          <w:sz w:val="18"/>
          <w:szCs w:val="18"/>
          <w:lang w:val="en-GB"/>
        </w:rPr>
        <w:t>Committee</w:t>
      </w:r>
      <w:r w:rsidRPr="00A72DFB">
        <w:rPr>
          <w:rFonts w:ascii="Arial" w:hAnsi="Arial" w:cs="Arial"/>
          <w:sz w:val="18"/>
          <w:szCs w:val="18"/>
          <w:lang w:val="en-GB"/>
        </w:rPr>
        <w:t xml:space="preserve">, Mr X vs Argentina (2014), </w:t>
      </w:r>
      <w:hyperlink r:id="rId12" w:history="1">
        <w:r w:rsidRPr="00A72DFB">
          <w:rPr>
            <w:rStyle w:val="Hyperlink"/>
            <w:rFonts w:ascii="Arial" w:hAnsi="Arial" w:cs="Arial"/>
            <w:sz w:val="18"/>
            <w:szCs w:val="18"/>
            <w:lang w:val="en-GB"/>
          </w:rPr>
          <w:t>CRPD/C/11/D/8/2012</w:t>
        </w:r>
      </w:hyperlink>
      <w:r w:rsidRPr="00A72DFB">
        <w:rPr>
          <w:rFonts w:ascii="Arial" w:hAnsi="Arial" w:cs="Arial"/>
          <w:sz w:val="18"/>
          <w:szCs w:val="18"/>
          <w:lang w:val="en-GB"/>
        </w:rPr>
        <w:t>, para. 8.4</w:t>
      </w:r>
    </w:p>
  </w:endnote>
  <w:endnote w:id="15">
    <w:p w14:paraId="5CD8C151" w14:textId="2837E290"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13" w:history="1">
        <w:r w:rsidRPr="00A72DFB">
          <w:rPr>
            <w:rStyle w:val="Hyperlink"/>
            <w:rFonts w:ascii="Arial" w:hAnsi="Arial" w:cs="Arial"/>
            <w:sz w:val="18"/>
            <w:szCs w:val="18"/>
            <w:lang w:val="en-GB"/>
          </w:rPr>
          <w:t>CMW/C/GC/2</w:t>
        </w:r>
      </w:hyperlink>
      <w:r w:rsidRPr="00A72DFB">
        <w:rPr>
          <w:rFonts w:ascii="Arial" w:hAnsi="Arial" w:cs="Arial"/>
          <w:sz w:val="18"/>
          <w:szCs w:val="18"/>
          <w:lang w:val="en-GB"/>
        </w:rPr>
        <w:t>, para. 46; See also, current draft general comment 5, para. 52</w:t>
      </w:r>
    </w:p>
  </w:endnote>
  <w:endnote w:id="16">
    <w:p w14:paraId="0FA1F56B" w14:textId="35B24D72"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M. von Werthem et. al., The impact of immigration detention on mental health, BMC Psychiatry, 2018, p. 16</w:t>
      </w:r>
    </w:p>
  </w:endnote>
  <w:endnote w:id="17">
    <w:p w14:paraId="7B4E6FBE" w14:textId="03F9D07E"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02688C">
        <w:rPr>
          <w:rFonts w:ascii="Arial" w:hAnsi="Arial" w:cs="Arial"/>
          <w:sz w:val="18"/>
          <w:szCs w:val="18"/>
          <w:lang w:val="es-ES"/>
        </w:rPr>
        <w:t xml:space="preserve"> CIDH - </w:t>
      </w:r>
      <w:hyperlink r:id="rId14" w:history="1">
        <w:r w:rsidRPr="0002688C">
          <w:rPr>
            <w:rStyle w:val="Hyperlink"/>
            <w:rFonts w:ascii="Arial" w:hAnsi="Arial" w:cs="Arial"/>
            <w:sz w:val="18"/>
            <w:szCs w:val="18"/>
            <w:lang w:val="es-ES"/>
          </w:rPr>
          <w:t>Informe sobre Inmigración en Estados Unidos</w:t>
        </w:r>
      </w:hyperlink>
      <w:r w:rsidRPr="0002688C">
        <w:rPr>
          <w:rFonts w:ascii="Arial" w:hAnsi="Arial" w:cs="Arial"/>
          <w:sz w:val="18"/>
          <w:szCs w:val="18"/>
          <w:lang w:val="es-ES"/>
        </w:rPr>
        <w:t xml:space="preserve">: Detenciones y Debido Proceso, 2010, para. </w:t>
      </w:r>
      <w:r w:rsidRPr="00A72DFB">
        <w:rPr>
          <w:rFonts w:ascii="Arial" w:hAnsi="Arial" w:cs="Arial"/>
          <w:sz w:val="18"/>
          <w:szCs w:val="18"/>
          <w:lang w:val="en-GB"/>
        </w:rPr>
        <w:t>340</w:t>
      </w:r>
    </w:p>
  </w:endnote>
  <w:endnote w:id="18">
    <w:p w14:paraId="4F0B5799" w14:textId="46F5C7E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15" w:history="1">
        <w:r w:rsidRPr="00A72DFB">
          <w:rPr>
            <w:rStyle w:val="Hyperlink"/>
            <w:rFonts w:ascii="Arial" w:hAnsi="Arial" w:cs="Arial"/>
            <w:sz w:val="18"/>
            <w:szCs w:val="18"/>
            <w:lang w:val="en-GB"/>
          </w:rPr>
          <w:t>A/HRC/43/49</w:t>
        </w:r>
      </w:hyperlink>
      <w:r>
        <w:rPr>
          <w:rFonts w:ascii="Arial" w:hAnsi="Arial" w:cs="Arial"/>
          <w:sz w:val="18"/>
          <w:szCs w:val="18"/>
          <w:lang w:val="en-GB"/>
        </w:rPr>
        <w:t xml:space="preserve">, </w:t>
      </w:r>
      <w:r w:rsidRPr="00A72DFB">
        <w:rPr>
          <w:rFonts w:ascii="Arial" w:hAnsi="Arial" w:cs="Arial"/>
          <w:sz w:val="18"/>
          <w:szCs w:val="18"/>
          <w:lang w:val="en-GB"/>
        </w:rPr>
        <w:t>para. 57</w:t>
      </w:r>
    </w:p>
  </w:endnote>
  <w:endnote w:id="19">
    <w:p w14:paraId="655A35CA" w14:textId="73B43F6D"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16" w:history="1">
        <w:r w:rsidRPr="00A72DFB">
          <w:rPr>
            <w:rStyle w:val="Hyperlink"/>
            <w:rFonts w:ascii="Arial" w:hAnsi="Arial" w:cs="Arial"/>
            <w:sz w:val="18"/>
            <w:szCs w:val="18"/>
            <w:lang w:val="en-GB"/>
          </w:rPr>
          <w:t>CRPD/C/AUS/CO/2-3</w:t>
        </w:r>
      </w:hyperlink>
      <w:r w:rsidRPr="00A72DFB">
        <w:rPr>
          <w:rFonts w:ascii="Arial" w:hAnsi="Arial" w:cs="Arial"/>
          <w:sz w:val="18"/>
          <w:szCs w:val="18"/>
          <w:lang w:val="en-GB"/>
        </w:rPr>
        <w:t xml:space="preserve">, para 35; See also Migration Act 1958, available at </w:t>
      </w:r>
      <w:hyperlink r:id="rId17" w:history="1">
        <w:r w:rsidRPr="00A72DFB">
          <w:rPr>
            <w:rStyle w:val="Hyperlink"/>
            <w:rFonts w:ascii="Arial" w:hAnsi="Arial" w:cs="Arial"/>
            <w:sz w:val="18"/>
            <w:szCs w:val="18"/>
            <w:lang w:val="en-GB"/>
          </w:rPr>
          <w:t>http://www.austlii.edu.au/au/legis/cth/consol_act/ma1958118/</w:t>
        </w:r>
      </w:hyperlink>
      <w:r w:rsidRPr="00A72DFB">
        <w:rPr>
          <w:rFonts w:ascii="Arial" w:hAnsi="Arial" w:cs="Arial"/>
          <w:sz w:val="18"/>
          <w:szCs w:val="18"/>
          <w:lang w:val="en-GB"/>
        </w:rPr>
        <w:t xml:space="preserve">, and </w:t>
      </w:r>
      <w:hyperlink r:id="rId18" w:history="1">
        <w:r w:rsidRPr="00A72DFB">
          <w:rPr>
            <w:rStyle w:val="Hyperlink"/>
            <w:rFonts w:ascii="Arial" w:hAnsi="Arial" w:cs="Arial"/>
            <w:sz w:val="18"/>
            <w:szCs w:val="18"/>
            <w:lang w:val="en-GB"/>
          </w:rPr>
          <w:t>CRPD/C/ECU/CO/1</w:t>
        </w:r>
      </w:hyperlink>
      <w:r w:rsidRPr="00A72DFB">
        <w:rPr>
          <w:rFonts w:ascii="Arial" w:hAnsi="Arial" w:cs="Arial"/>
          <w:sz w:val="18"/>
          <w:szCs w:val="18"/>
          <w:lang w:val="en-GB"/>
        </w:rPr>
        <w:t>, para 32</w:t>
      </w:r>
    </w:p>
  </w:endnote>
  <w:endnote w:id="20">
    <w:p w14:paraId="76F6764A" w14:textId="37E7CB5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19" w:history="1">
        <w:r w:rsidRPr="00A72DFB">
          <w:rPr>
            <w:rStyle w:val="Hyperlink"/>
            <w:rFonts w:ascii="Arial" w:hAnsi="Arial" w:cs="Arial"/>
            <w:sz w:val="18"/>
            <w:szCs w:val="18"/>
            <w:lang w:val="en-GB"/>
          </w:rPr>
          <w:t>Enabling Australia, Inquiry into the Migration Treatment of Disability</w:t>
        </w:r>
      </w:hyperlink>
      <w:r w:rsidRPr="00A72DFB">
        <w:rPr>
          <w:rFonts w:ascii="Arial" w:hAnsi="Arial" w:cs="Arial"/>
          <w:sz w:val="18"/>
          <w:szCs w:val="18"/>
          <w:lang w:val="en-GB"/>
        </w:rPr>
        <w:t>, Joint Standing Committee on Migration, The Parliament of the Commonwealth of Australia, 2010 Canberra, paras. 3,10</w:t>
      </w:r>
    </w:p>
  </w:endnote>
  <w:endnote w:id="21">
    <w:p w14:paraId="022425F4" w14:textId="4DBA4904"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In the United Kingdom, </w:t>
      </w:r>
      <w:hyperlink r:id="rId20" w:history="1">
        <w:r w:rsidRPr="00A72DFB">
          <w:rPr>
            <w:rStyle w:val="Hyperlink"/>
            <w:rFonts w:ascii="Arial" w:hAnsi="Arial" w:cs="Arial"/>
            <w:sz w:val="18"/>
            <w:szCs w:val="18"/>
            <w:lang w:val="en-GB"/>
          </w:rPr>
          <w:t>Immigration Rules</w:t>
        </w:r>
      </w:hyperlink>
      <w:r w:rsidRPr="00A72DFB">
        <w:rPr>
          <w:rFonts w:ascii="Arial" w:hAnsi="Arial" w:cs="Arial"/>
          <w:sz w:val="18"/>
          <w:szCs w:val="18"/>
          <w:lang w:val="en-GB"/>
        </w:rPr>
        <w:t xml:space="preserve"> outline possible medical grounds of exclusion for visa applicants. In the United States, according to </w:t>
      </w:r>
      <w:hyperlink r:id="rId21" w:history="1">
        <w:r w:rsidRPr="00A72DFB">
          <w:rPr>
            <w:rStyle w:val="Hyperlink"/>
            <w:rFonts w:ascii="Arial" w:hAnsi="Arial" w:cs="Arial"/>
            <w:sz w:val="18"/>
            <w:szCs w:val="18"/>
            <w:lang w:val="en-GB"/>
          </w:rPr>
          <w:t>the Immigration and Nationality Act</w:t>
        </w:r>
      </w:hyperlink>
      <w:r w:rsidRPr="00A72DFB">
        <w:rPr>
          <w:rFonts w:ascii="Arial" w:hAnsi="Arial" w:cs="Arial"/>
          <w:sz w:val="18"/>
          <w:szCs w:val="18"/>
          <w:lang w:val="en-GB"/>
        </w:rPr>
        <w:t xml:space="preserve"> (INA, § Sec. 221. [8 U.S.C. 1201] (d) and §212(a)(1)(A)(iii)), all individuals applying for an immigrant visa must submit to a mental and physical medical examination before the visa is issued. In Canada, the Immigration and </w:t>
      </w:r>
      <w:hyperlink r:id="rId22" w:anchor="docCont" w:history="1">
        <w:r w:rsidRPr="00A72DFB">
          <w:rPr>
            <w:rStyle w:val="Hyperlink"/>
            <w:rFonts w:ascii="Arial" w:hAnsi="Arial" w:cs="Arial"/>
            <w:sz w:val="18"/>
            <w:szCs w:val="18"/>
            <w:lang w:val="en-GB"/>
          </w:rPr>
          <w:t>Refugee Protection Act Paragraph</w:t>
        </w:r>
      </w:hyperlink>
      <w:r w:rsidRPr="00A72DFB">
        <w:rPr>
          <w:rFonts w:ascii="Arial" w:hAnsi="Arial" w:cs="Arial"/>
          <w:sz w:val="18"/>
          <w:szCs w:val="18"/>
          <w:lang w:val="en-GB"/>
        </w:rPr>
        <w:t xml:space="preserve"> 38(1)(c) of 1 reads: 38. (1) A foreign national is inadmissible on health grounds if their health condition … (c) might reasonably be expected to cause excessive demand on health or social services  </w:t>
      </w:r>
    </w:p>
  </w:endnote>
  <w:endnote w:id="22">
    <w:p w14:paraId="31A7F768" w14:textId="7E8FF1EB"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E.g. </w:t>
      </w:r>
      <w:hyperlink r:id="rId23" w:history="1">
        <w:r w:rsidRPr="00A72DFB">
          <w:rPr>
            <w:rStyle w:val="Hyperlink"/>
            <w:rFonts w:ascii="Arial" w:hAnsi="Arial" w:cs="Arial"/>
            <w:i/>
            <w:sz w:val="18"/>
            <w:szCs w:val="18"/>
            <w:lang w:val="en-GB"/>
          </w:rPr>
          <w:t>Hilewitz v. Canada</w:t>
        </w:r>
        <w:r w:rsidRPr="00A72DFB">
          <w:rPr>
            <w:rStyle w:val="Hyperlink"/>
            <w:rFonts w:ascii="Arial" w:hAnsi="Arial" w:cs="Arial"/>
            <w:sz w:val="18"/>
            <w:szCs w:val="18"/>
            <w:lang w:val="en-GB"/>
          </w:rPr>
          <w:t xml:space="preserve"> (Minister of Citizenship and Immigration); De Jong v. Canada (Minister of Citizenship and Immigration), 2005 SCC 57, [2005] 2 SCR 706</w:t>
        </w:r>
      </w:hyperlink>
    </w:p>
  </w:endnote>
  <w:endnote w:id="23">
    <w:p w14:paraId="140F8E69" w14:textId="6E3E8D5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Pr>
          <w:rFonts w:ascii="Arial" w:hAnsi="Arial" w:cs="Arial"/>
          <w:sz w:val="18"/>
          <w:szCs w:val="18"/>
          <w:lang w:val="en-GB"/>
        </w:rPr>
        <w:t>UNHCR</w:t>
      </w:r>
      <w:r w:rsidRPr="00A72DFB">
        <w:rPr>
          <w:rFonts w:ascii="Arial" w:hAnsi="Arial" w:cs="Arial"/>
          <w:sz w:val="18"/>
          <w:szCs w:val="18"/>
          <w:lang w:val="en-GB"/>
        </w:rPr>
        <w:t>, ‘Submission No 82 to the Joint Standing Committee on Migration Inquiry into the Migration Treatm</w:t>
      </w:r>
      <w:r>
        <w:rPr>
          <w:rFonts w:ascii="Arial" w:hAnsi="Arial" w:cs="Arial"/>
          <w:sz w:val="18"/>
          <w:szCs w:val="18"/>
          <w:lang w:val="en-GB"/>
        </w:rPr>
        <w:t xml:space="preserve">ent of People with a Disability: </w:t>
      </w:r>
      <w:r w:rsidRPr="00A72DFB">
        <w:rPr>
          <w:rFonts w:ascii="Arial" w:hAnsi="Arial" w:cs="Arial"/>
          <w:sz w:val="18"/>
          <w:szCs w:val="18"/>
          <w:lang w:val="en-GB"/>
        </w:rPr>
        <w:t>No Right to Discrimin</w:t>
      </w:r>
      <w:r>
        <w:rPr>
          <w:rFonts w:ascii="Arial" w:hAnsi="Arial" w:cs="Arial"/>
          <w:sz w:val="18"/>
          <w:szCs w:val="18"/>
          <w:lang w:val="en-GB"/>
        </w:rPr>
        <w:t>ate’</w:t>
      </w:r>
      <w:r w:rsidRPr="00A72DFB">
        <w:rPr>
          <w:rFonts w:ascii="Arial" w:hAnsi="Arial" w:cs="Arial"/>
          <w:sz w:val="18"/>
          <w:szCs w:val="18"/>
          <w:lang w:val="en-GB"/>
        </w:rPr>
        <w:t xml:space="preserve">, 2009, </w:t>
      </w:r>
      <w:r w:rsidRPr="00A72DFB">
        <w:rPr>
          <w:rFonts w:ascii="Arial" w:hAnsi="Arial" w:cs="Arial"/>
          <w:sz w:val="18"/>
          <w:szCs w:val="18"/>
          <w:lang w:val="en-GB"/>
        </w:rPr>
        <w:fldChar w:fldCharType="begin"/>
      </w:r>
      <w:r w:rsidRPr="00A72DFB">
        <w:rPr>
          <w:rFonts w:ascii="Arial" w:hAnsi="Arial" w:cs="Arial"/>
          <w:sz w:val="18"/>
          <w:szCs w:val="18"/>
          <w:lang w:val="en-GB"/>
        </w:rPr>
        <w:instrText xml:space="preserve"> NOTEREF _Ref322523680 \h  \* MERGEFORMAT </w:instrText>
      </w:r>
      <w:r w:rsidRPr="00A72DFB">
        <w:rPr>
          <w:rFonts w:ascii="Arial" w:hAnsi="Arial" w:cs="Arial"/>
          <w:sz w:val="18"/>
          <w:szCs w:val="18"/>
          <w:lang w:val="en-GB"/>
        </w:rPr>
      </w:r>
      <w:r w:rsidRPr="00A72DFB">
        <w:rPr>
          <w:rFonts w:ascii="Arial" w:hAnsi="Arial" w:cs="Arial"/>
          <w:sz w:val="18"/>
          <w:szCs w:val="18"/>
          <w:lang w:val="en-GB"/>
        </w:rPr>
        <w:fldChar w:fldCharType="separate"/>
      </w:r>
      <w:r w:rsidRPr="00A72DFB">
        <w:rPr>
          <w:rFonts w:ascii="Arial" w:hAnsi="Arial" w:cs="Arial"/>
          <w:sz w:val="18"/>
          <w:szCs w:val="18"/>
          <w:lang w:val="en-GB"/>
        </w:rPr>
        <w:t>23</w:t>
      </w:r>
      <w:r w:rsidRPr="00A72DFB">
        <w:rPr>
          <w:rFonts w:ascii="Arial" w:hAnsi="Arial" w:cs="Arial"/>
          <w:sz w:val="18"/>
          <w:szCs w:val="18"/>
          <w:lang w:val="en-GB"/>
        </w:rPr>
        <w:fldChar w:fldCharType="end"/>
      </w:r>
    </w:p>
  </w:endnote>
  <w:endnote w:id="24">
    <w:p w14:paraId="3F090F1E" w14:textId="4F96E4C8" w:rsidR="0045374F" w:rsidRPr="00A72DFB" w:rsidRDefault="0045374F" w:rsidP="009C27CA">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Pr>
          <w:rFonts w:ascii="Arial" w:hAnsi="Arial" w:cs="Arial"/>
          <w:sz w:val="18"/>
          <w:szCs w:val="18"/>
          <w:lang w:val="en-GB"/>
        </w:rPr>
        <w:t>UNHCR</w:t>
      </w:r>
      <w:r w:rsidRPr="00A72DFB">
        <w:rPr>
          <w:rFonts w:ascii="Arial" w:hAnsi="Arial" w:cs="Arial"/>
          <w:sz w:val="18"/>
          <w:szCs w:val="18"/>
          <w:lang w:val="en-GB"/>
        </w:rPr>
        <w:t>, Regional Off</w:t>
      </w:r>
      <w:r>
        <w:rPr>
          <w:rFonts w:ascii="Arial" w:hAnsi="Arial" w:cs="Arial"/>
          <w:sz w:val="18"/>
          <w:szCs w:val="18"/>
          <w:lang w:val="en-GB"/>
        </w:rPr>
        <w:t xml:space="preserve">ice for Australia, New Zealand, </w:t>
      </w:r>
      <w:r w:rsidRPr="00A72DFB">
        <w:rPr>
          <w:rFonts w:ascii="Arial" w:hAnsi="Arial" w:cs="Arial"/>
          <w:sz w:val="18"/>
          <w:szCs w:val="18"/>
          <w:lang w:val="en-GB"/>
        </w:rPr>
        <w:t>Papua New Guinea and the Pacific, Submissions to the Joint Standing Committee on Migration, Inquiry into the migration treatment of people with a disability, 2009</w:t>
      </w:r>
    </w:p>
  </w:endnote>
  <w:endnote w:id="25">
    <w:p w14:paraId="77DF5E7C" w14:textId="7894697B"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24" w:history="1">
        <w:r w:rsidRPr="00A72DFB">
          <w:rPr>
            <w:rStyle w:val="Hyperlink"/>
            <w:rFonts w:ascii="Arial" w:hAnsi="Arial" w:cs="Arial"/>
            <w:sz w:val="18"/>
            <w:szCs w:val="18"/>
            <w:lang w:val="en-GB"/>
          </w:rPr>
          <w:t>CRPD/C/KOR/CO/1</w:t>
        </w:r>
      </w:hyperlink>
      <w:r w:rsidRPr="00A72DFB">
        <w:rPr>
          <w:rStyle w:val="Hyperlink"/>
          <w:rFonts w:ascii="Arial" w:hAnsi="Arial" w:cs="Arial"/>
          <w:bCs/>
          <w:color w:val="000000" w:themeColor="text1"/>
          <w:sz w:val="18"/>
          <w:szCs w:val="18"/>
          <w:u w:val="none"/>
          <w:lang w:val="en-GB"/>
        </w:rPr>
        <w:t>, para. 36</w:t>
      </w:r>
    </w:p>
  </w:endnote>
  <w:endnote w:id="26">
    <w:p w14:paraId="4F38ADD6" w14:textId="709F9203"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25" w:history="1">
        <w:r w:rsidRPr="00A72DFB">
          <w:rPr>
            <w:rStyle w:val="Hyperlink"/>
            <w:rFonts w:ascii="Arial" w:hAnsi="Arial" w:cs="Arial"/>
            <w:sz w:val="18"/>
            <w:szCs w:val="18"/>
            <w:lang w:val="en-GB"/>
          </w:rPr>
          <w:t>CRPD/C/MEX/CO/1</w:t>
        </w:r>
      </w:hyperlink>
      <w:r w:rsidRPr="00A72DFB">
        <w:rPr>
          <w:rStyle w:val="Hyperlink"/>
          <w:rFonts w:ascii="Arial" w:hAnsi="Arial" w:cs="Arial"/>
          <w:bCs/>
          <w:color w:val="000000" w:themeColor="text1"/>
          <w:sz w:val="18"/>
          <w:szCs w:val="18"/>
          <w:u w:val="none"/>
          <w:lang w:val="en-GB"/>
        </w:rPr>
        <w:t>, paras. 39 and 40(b)</w:t>
      </w:r>
    </w:p>
  </w:endnote>
  <w:endnote w:id="27">
    <w:p w14:paraId="09585833" w14:textId="4C266218"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26" w:history="1">
        <w:r w:rsidRPr="0002688C">
          <w:rPr>
            <w:rStyle w:val="Hyperlink"/>
            <w:rFonts w:ascii="Arial" w:eastAsia="Times New Roman" w:hAnsi="Arial" w:cs="Arial"/>
            <w:sz w:val="18"/>
            <w:szCs w:val="18"/>
            <w:lang w:val="en-GB"/>
          </w:rPr>
          <w:t>CMW/C/GC/4-CRC/C/GC/23</w:t>
        </w:r>
      </w:hyperlink>
      <w:r w:rsidRPr="00A72DFB">
        <w:rPr>
          <w:rFonts w:ascii="Arial" w:eastAsia="Times New Roman" w:hAnsi="Arial" w:cs="Arial"/>
          <w:sz w:val="18"/>
          <w:szCs w:val="18"/>
          <w:lang w:val="en-GB"/>
        </w:rPr>
        <w:t>, para. 25</w:t>
      </w:r>
    </w:p>
  </w:endnote>
  <w:endnote w:id="28">
    <w:p w14:paraId="78903517" w14:textId="13D0A9A8"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27" w:history="1">
        <w:r w:rsidRPr="00A72DFB">
          <w:rPr>
            <w:rStyle w:val="Hyperlink"/>
            <w:rFonts w:ascii="Arial" w:hAnsi="Arial" w:cs="Arial"/>
            <w:color w:val="1F14F8"/>
            <w:sz w:val="18"/>
            <w:szCs w:val="18"/>
            <w:lang w:val="en-GB"/>
          </w:rPr>
          <w:t>CRPD/C/SYC/CO/1</w:t>
        </w:r>
      </w:hyperlink>
      <w:r w:rsidRPr="00A72DFB">
        <w:rPr>
          <w:rFonts w:ascii="Arial" w:hAnsi="Arial" w:cs="Arial"/>
          <w:sz w:val="18"/>
          <w:szCs w:val="18"/>
          <w:lang w:val="en-GB"/>
        </w:rPr>
        <w:t>, paras. 29 and 30</w:t>
      </w:r>
    </w:p>
  </w:endnote>
  <w:endnote w:id="29">
    <w:p w14:paraId="5463016F" w14:textId="525FE0F4"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45374F">
        <w:rPr>
          <w:rFonts w:ascii="Arial" w:hAnsi="Arial" w:cs="Arial"/>
          <w:sz w:val="18"/>
          <w:szCs w:val="18"/>
          <w:lang w:val="en-US"/>
        </w:rPr>
        <w:t xml:space="preserve"> </w:t>
      </w:r>
      <w:hyperlink r:id="rId28" w:history="1">
        <w:r w:rsidRPr="0045374F">
          <w:rPr>
            <w:rStyle w:val="Hyperlink"/>
            <w:rFonts w:ascii="Arial" w:hAnsi="Arial" w:cs="Arial"/>
            <w:sz w:val="18"/>
            <w:szCs w:val="18"/>
            <w:lang w:val="en-US"/>
          </w:rPr>
          <w:t>CMW/C/GC/3-CRC/C/GC/22</w:t>
        </w:r>
      </w:hyperlink>
      <w:r w:rsidRPr="0045374F">
        <w:rPr>
          <w:rFonts w:ascii="Arial" w:hAnsi="Arial" w:cs="Arial"/>
          <w:sz w:val="18"/>
          <w:szCs w:val="18"/>
          <w:lang w:val="en-US"/>
        </w:rPr>
        <w:t xml:space="preserve">, paras. </w:t>
      </w:r>
      <w:r w:rsidRPr="00A72DFB">
        <w:rPr>
          <w:rFonts w:ascii="Arial" w:hAnsi="Arial" w:cs="Arial"/>
          <w:sz w:val="18"/>
          <w:szCs w:val="18"/>
          <w:lang w:val="en-GB"/>
        </w:rPr>
        <w:t xml:space="preserve">21, 25 and 42 </w:t>
      </w:r>
    </w:p>
  </w:endnote>
  <w:endnote w:id="30">
    <w:p w14:paraId="07B7E70F" w14:textId="4345DC2A"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29" w:history="1">
        <w:r w:rsidRPr="00A72DFB">
          <w:rPr>
            <w:rStyle w:val="Hyperlink"/>
            <w:rFonts w:ascii="Arial" w:hAnsi="Arial" w:cs="Arial"/>
            <w:sz w:val="18"/>
            <w:szCs w:val="18"/>
            <w:lang w:val="en-GB"/>
          </w:rPr>
          <w:t>CMW/C/GC/2</w:t>
        </w:r>
      </w:hyperlink>
      <w:r w:rsidRPr="00A72DFB">
        <w:rPr>
          <w:rFonts w:ascii="Arial" w:hAnsi="Arial" w:cs="Arial"/>
          <w:sz w:val="18"/>
          <w:szCs w:val="18"/>
          <w:lang w:val="en-GB"/>
        </w:rPr>
        <w:t>, para. 76</w:t>
      </w:r>
    </w:p>
  </w:endnote>
  <w:endnote w:id="31">
    <w:p w14:paraId="3527EAD0" w14:textId="6A1C03D5"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30" w:history="1">
        <w:r w:rsidRPr="00A72DFB">
          <w:rPr>
            <w:rStyle w:val="Hyperlink"/>
            <w:rFonts w:ascii="Arial" w:hAnsi="Arial" w:cs="Arial"/>
            <w:sz w:val="18"/>
            <w:szCs w:val="18"/>
            <w:lang w:val="en-GB"/>
          </w:rPr>
          <w:t>CMW/C/GC/3-CRC/C/GC/22</w:t>
        </w:r>
      </w:hyperlink>
      <w:r w:rsidRPr="00A72DFB">
        <w:rPr>
          <w:rFonts w:ascii="Arial" w:hAnsi="Arial" w:cs="Arial"/>
          <w:sz w:val="18"/>
          <w:szCs w:val="18"/>
          <w:lang w:val="en-GB"/>
        </w:rPr>
        <w:t>, para. 3</w:t>
      </w:r>
    </w:p>
  </w:endnote>
  <w:endnote w:id="32">
    <w:p w14:paraId="103CF6C2" w14:textId="7E8A6ACB"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31" w:history="1">
        <w:r w:rsidRPr="00A72DFB">
          <w:rPr>
            <w:rStyle w:val="Hyperlink"/>
            <w:rFonts w:ascii="Arial" w:hAnsi="Arial" w:cs="Arial"/>
            <w:bCs/>
            <w:sz w:val="18"/>
            <w:szCs w:val="18"/>
            <w:lang w:val="en-GB"/>
          </w:rPr>
          <w:t>UN Global Study on Children Deprived of Liberty</w:t>
        </w:r>
      </w:hyperlink>
      <w:r w:rsidRPr="00A72DFB">
        <w:rPr>
          <w:rFonts w:ascii="Arial" w:hAnsi="Arial" w:cs="Arial"/>
          <w:bCs/>
          <w:sz w:val="18"/>
          <w:szCs w:val="18"/>
          <w:lang w:val="en-GB"/>
        </w:rPr>
        <w:t xml:space="preserve"> (2019), p. 192</w:t>
      </w:r>
    </w:p>
  </w:endnote>
  <w:endnote w:id="33">
    <w:p w14:paraId="07E3DEC5" w14:textId="5B521375"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Human Rights Watch &amp; ACLU (n. </w:t>
      </w:r>
      <w:r w:rsidR="00F97427">
        <w:rPr>
          <w:rFonts w:ascii="Arial" w:hAnsi="Arial" w:cs="Arial"/>
          <w:sz w:val="18"/>
          <w:szCs w:val="18"/>
          <w:lang w:val="en-GB"/>
        </w:rPr>
        <w:t>9</w:t>
      </w:r>
      <w:r w:rsidRPr="00A72DFB">
        <w:rPr>
          <w:rFonts w:ascii="Arial" w:hAnsi="Arial" w:cs="Arial"/>
          <w:sz w:val="18"/>
          <w:szCs w:val="18"/>
          <w:lang w:val="en-GB"/>
        </w:rPr>
        <w:t>)</w:t>
      </w:r>
      <w:r>
        <w:rPr>
          <w:rFonts w:ascii="Arial" w:hAnsi="Arial" w:cs="Arial"/>
          <w:sz w:val="18"/>
          <w:szCs w:val="18"/>
          <w:lang w:val="en-GB"/>
        </w:rPr>
        <w:t>,</w:t>
      </w:r>
      <w:r w:rsidRPr="00A72DFB">
        <w:rPr>
          <w:rFonts w:ascii="Arial" w:hAnsi="Arial" w:cs="Arial"/>
          <w:sz w:val="18"/>
          <w:szCs w:val="18"/>
          <w:lang w:val="en-GB"/>
        </w:rPr>
        <w:t xml:space="preserve"> p. 72</w:t>
      </w:r>
    </w:p>
  </w:endnote>
  <w:endnote w:id="34">
    <w:p w14:paraId="78780B94" w14:textId="67268C7D"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32" w:history="1">
        <w:r w:rsidRPr="00C85778">
          <w:rPr>
            <w:rStyle w:val="Hyperlink"/>
            <w:rFonts w:ascii="Arial" w:hAnsi="Arial" w:cs="Arial"/>
            <w:sz w:val="18"/>
            <w:szCs w:val="18"/>
            <w:lang w:val="en-GB"/>
          </w:rPr>
          <w:t>CRPD/C/GC/6</w:t>
        </w:r>
      </w:hyperlink>
      <w:r>
        <w:rPr>
          <w:rFonts w:ascii="Arial" w:hAnsi="Arial" w:cs="Arial"/>
          <w:sz w:val="18"/>
          <w:szCs w:val="18"/>
          <w:lang w:val="en-GB"/>
        </w:rPr>
        <w:t xml:space="preserve">, </w:t>
      </w:r>
      <w:r w:rsidRPr="00A72DFB">
        <w:rPr>
          <w:rFonts w:ascii="Arial" w:hAnsi="Arial" w:cs="Arial"/>
          <w:sz w:val="18"/>
          <w:szCs w:val="18"/>
          <w:lang w:val="en-GB"/>
        </w:rPr>
        <w:t>paras. 23 to 27</w:t>
      </w:r>
    </w:p>
  </w:endnote>
  <w:endnote w:id="35">
    <w:p w14:paraId="7933566A" w14:textId="6085C66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Pr>
          <w:rFonts w:ascii="Arial" w:hAnsi="Arial" w:cs="Arial"/>
          <w:sz w:val="18"/>
          <w:szCs w:val="18"/>
          <w:lang w:val="en-GB"/>
        </w:rPr>
        <w:t xml:space="preserve"> </w:t>
      </w:r>
      <w:r w:rsidR="00776B79">
        <w:rPr>
          <w:rFonts w:ascii="Arial" w:hAnsi="Arial" w:cs="Arial"/>
          <w:sz w:val="18"/>
          <w:szCs w:val="18"/>
          <w:lang w:val="en-GB"/>
        </w:rPr>
        <w:t>Special Rapporteur on the Rights of Persons with disabilities, CRPD Committee and UN Special Envoy on Disability and Accessibility,</w:t>
      </w:r>
      <w:r>
        <w:rPr>
          <w:rFonts w:ascii="Arial" w:hAnsi="Arial" w:cs="Arial"/>
          <w:sz w:val="18"/>
          <w:szCs w:val="18"/>
          <w:lang w:val="en-GB"/>
        </w:rPr>
        <w:t xml:space="preserve"> </w:t>
      </w:r>
      <w:r>
        <w:rPr>
          <w:rFonts w:ascii="Arial" w:hAnsi="Arial" w:cs="Arial"/>
          <w:i/>
          <w:sz w:val="18"/>
          <w:szCs w:val="18"/>
          <w:lang w:val="en-GB"/>
        </w:rPr>
        <w:t xml:space="preserve">International Principles and </w:t>
      </w:r>
      <w:r w:rsidRPr="009C27CA">
        <w:rPr>
          <w:rFonts w:ascii="Arial" w:hAnsi="Arial" w:cs="Arial"/>
          <w:i/>
          <w:sz w:val="18"/>
          <w:szCs w:val="18"/>
          <w:lang w:val="en-GB"/>
        </w:rPr>
        <w:t>Guidelines on access to justice for persons with disabilities</w:t>
      </w:r>
      <w:r>
        <w:rPr>
          <w:rFonts w:ascii="Arial" w:hAnsi="Arial" w:cs="Arial"/>
          <w:sz w:val="18"/>
          <w:szCs w:val="18"/>
          <w:lang w:val="en-GB"/>
        </w:rPr>
        <w:t xml:space="preserve">, </w:t>
      </w:r>
      <w:r w:rsidRPr="00A72DFB">
        <w:rPr>
          <w:rFonts w:ascii="Arial" w:hAnsi="Arial" w:cs="Arial"/>
          <w:sz w:val="18"/>
          <w:szCs w:val="18"/>
          <w:lang w:val="en-GB"/>
        </w:rPr>
        <w:t>Principle 3, pp. 7, 32</w:t>
      </w:r>
    </w:p>
  </w:endnote>
  <w:endnote w:id="36">
    <w:p w14:paraId="5B148165" w14:textId="0331F766" w:rsidR="0045374F" w:rsidRPr="0002688C" w:rsidRDefault="0045374F" w:rsidP="00C85778">
      <w:pPr>
        <w:pStyle w:val="EndnoteText"/>
        <w:jc w:val="both"/>
        <w:rPr>
          <w:rFonts w:ascii="Arial" w:hAnsi="Arial" w:cs="Arial"/>
          <w:sz w:val="18"/>
          <w:szCs w:val="18"/>
          <w:lang w:val="es-ES"/>
        </w:rPr>
      </w:pPr>
      <w:r w:rsidRPr="00A72DFB">
        <w:rPr>
          <w:rStyle w:val="EndnoteReference"/>
          <w:rFonts w:ascii="Arial" w:hAnsi="Arial" w:cs="Arial"/>
          <w:sz w:val="18"/>
          <w:szCs w:val="18"/>
          <w:lang w:val="en-GB"/>
        </w:rPr>
        <w:endnoteRef/>
      </w:r>
      <w:r w:rsidRPr="0002688C">
        <w:rPr>
          <w:rFonts w:ascii="Arial" w:hAnsi="Arial" w:cs="Arial"/>
          <w:sz w:val="18"/>
          <w:szCs w:val="18"/>
          <w:lang w:val="es-ES"/>
        </w:rPr>
        <w:t xml:space="preserve"> </w:t>
      </w:r>
      <w:hyperlink r:id="rId33" w:history="1">
        <w:r w:rsidRPr="0002688C">
          <w:rPr>
            <w:rStyle w:val="Hyperlink"/>
            <w:rFonts w:ascii="Arial" w:hAnsi="Arial" w:cs="Arial"/>
            <w:sz w:val="18"/>
            <w:szCs w:val="18"/>
            <w:lang w:val="es-ES"/>
          </w:rPr>
          <w:t>CRPD/C/GC/6</w:t>
        </w:r>
      </w:hyperlink>
      <w:r w:rsidRPr="0002688C">
        <w:rPr>
          <w:rFonts w:ascii="Arial" w:hAnsi="Arial" w:cs="Arial"/>
          <w:sz w:val="18"/>
          <w:szCs w:val="18"/>
          <w:lang w:val="es-ES"/>
        </w:rPr>
        <w:t>, para. 25(d)</w:t>
      </w:r>
    </w:p>
  </w:endnote>
  <w:endnote w:id="37">
    <w:p w14:paraId="7CEA7B26" w14:textId="7BD48A97"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sidR="00776B79">
        <w:rPr>
          <w:rFonts w:ascii="Arial" w:hAnsi="Arial" w:cs="Arial"/>
          <w:sz w:val="18"/>
          <w:szCs w:val="18"/>
          <w:lang w:val="en-GB"/>
        </w:rPr>
        <w:t xml:space="preserve">Special Rapporteur on the Rights of Persons with disabilities et al </w:t>
      </w:r>
      <w:r>
        <w:rPr>
          <w:rFonts w:ascii="Arial" w:hAnsi="Arial" w:cs="Arial"/>
          <w:sz w:val="18"/>
          <w:szCs w:val="18"/>
          <w:lang w:val="en-GB"/>
        </w:rPr>
        <w:t xml:space="preserve">(n. </w:t>
      </w:r>
      <w:r w:rsidR="00776B79">
        <w:rPr>
          <w:rFonts w:ascii="Arial" w:hAnsi="Arial" w:cs="Arial"/>
          <w:sz w:val="18"/>
          <w:szCs w:val="18"/>
          <w:lang w:val="en-GB"/>
        </w:rPr>
        <w:t>35</w:t>
      </w:r>
      <w:r>
        <w:rPr>
          <w:rFonts w:ascii="Arial" w:hAnsi="Arial" w:cs="Arial"/>
          <w:sz w:val="18"/>
          <w:szCs w:val="18"/>
          <w:lang w:val="en-GB"/>
        </w:rPr>
        <w:t>),</w:t>
      </w:r>
      <w:r w:rsidRPr="00A72DFB">
        <w:rPr>
          <w:rFonts w:ascii="Arial" w:hAnsi="Arial" w:cs="Arial"/>
          <w:sz w:val="18"/>
          <w:szCs w:val="18"/>
          <w:lang w:val="en-GB"/>
        </w:rPr>
        <w:t xml:space="preserve"> Principle 3, p. 32</w:t>
      </w:r>
    </w:p>
  </w:endnote>
  <w:endnote w:id="38">
    <w:p w14:paraId="62E400B6" w14:textId="008A8EE8" w:rsidR="0045374F" w:rsidRPr="0003152D" w:rsidRDefault="0045374F" w:rsidP="00C85778">
      <w:pPr>
        <w:pStyle w:val="EndnoteText"/>
        <w:jc w:val="both"/>
        <w:rPr>
          <w:rFonts w:ascii="Arial" w:hAnsi="Arial" w:cs="Arial"/>
          <w:sz w:val="18"/>
          <w:szCs w:val="18"/>
          <w:lang w:val="es-ES"/>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34" w:history="1">
        <w:r w:rsidRPr="00A72DFB">
          <w:rPr>
            <w:rStyle w:val="Hyperlink"/>
            <w:rFonts w:ascii="Arial" w:hAnsi="Arial" w:cs="Arial"/>
            <w:sz w:val="18"/>
            <w:szCs w:val="18"/>
            <w:lang w:val="en-GB"/>
          </w:rPr>
          <w:t>CMW/C/GC/3-CRC/C/GC/22</w:t>
        </w:r>
      </w:hyperlink>
      <w:r w:rsidRPr="00A72DFB">
        <w:rPr>
          <w:rFonts w:ascii="Arial" w:hAnsi="Arial" w:cs="Arial"/>
          <w:sz w:val="18"/>
          <w:szCs w:val="18"/>
          <w:lang w:val="en-GB"/>
        </w:rPr>
        <w:t xml:space="preserve">, para. </w:t>
      </w:r>
      <w:r w:rsidRPr="0003152D">
        <w:rPr>
          <w:rFonts w:ascii="Arial" w:hAnsi="Arial" w:cs="Arial"/>
          <w:sz w:val="18"/>
          <w:szCs w:val="18"/>
          <w:lang w:val="es-ES"/>
        </w:rPr>
        <w:t xml:space="preserve">25  </w:t>
      </w:r>
    </w:p>
  </w:endnote>
  <w:endnote w:id="39">
    <w:p w14:paraId="06D32422" w14:textId="1F45A49E" w:rsidR="0045374F" w:rsidRPr="0002688C" w:rsidRDefault="0045374F" w:rsidP="00C85778">
      <w:pPr>
        <w:pStyle w:val="EndnoteText"/>
        <w:jc w:val="both"/>
        <w:rPr>
          <w:rFonts w:ascii="Arial" w:hAnsi="Arial" w:cs="Arial"/>
          <w:sz w:val="18"/>
          <w:szCs w:val="18"/>
          <w:lang w:val="es-ES"/>
        </w:rPr>
      </w:pPr>
      <w:r w:rsidRPr="00A72DFB">
        <w:rPr>
          <w:rStyle w:val="EndnoteReference"/>
          <w:rFonts w:ascii="Arial" w:hAnsi="Arial" w:cs="Arial"/>
          <w:sz w:val="18"/>
          <w:szCs w:val="18"/>
          <w:lang w:val="en-GB"/>
        </w:rPr>
        <w:endnoteRef/>
      </w:r>
      <w:r w:rsidRPr="0003152D">
        <w:rPr>
          <w:rFonts w:ascii="Arial" w:hAnsi="Arial" w:cs="Arial"/>
          <w:sz w:val="18"/>
          <w:szCs w:val="18"/>
          <w:lang w:val="es-ES"/>
        </w:rPr>
        <w:t xml:space="preserve"> See </w:t>
      </w:r>
      <w:hyperlink r:id="rId35" w:history="1">
        <w:r w:rsidRPr="0003152D">
          <w:rPr>
            <w:rStyle w:val="Hyperlink"/>
            <w:rFonts w:ascii="Arial" w:hAnsi="Arial" w:cs="Arial"/>
            <w:bCs/>
            <w:sz w:val="18"/>
            <w:szCs w:val="18"/>
            <w:lang w:val="es-ES"/>
          </w:rPr>
          <w:t>CRPD/C/SYC/CO/1</w:t>
        </w:r>
      </w:hyperlink>
      <w:r w:rsidRPr="0003152D">
        <w:rPr>
          <w:rFonts w:ascii="Arial" w:hAnsi="Arial" w:cs="Arial"/>
          <w:bCs/>
          <w:sz w:val="18"/>
          <w:szCs w:val="18"/>
          <w:lang w:val="es-ES"/>
        </w:rPr>
        <w:t xml:space="preserve">, para. </w:t>
      </w:r>
      <w:r w:rsidRPr="0002688C">
        <w:rPr>
          <w:rFonts w:ascii="Arial" w:hAnsi="Arial" w:cs="Arial"/>
          <w:bCs/>
          <w:sz w:val="18"/>
          <w:szCs w:val="18"/>
          <w:lang w:val="es-ES"/>
        </w:rPr>
        <w:t>30</w:t>
      </w:r>
    </w:p>
  </w:endnote>
  <w:endnote w:id="40">
    <w:p w14:paraId="39BA326F" w14:textId="1D3FD394" w:rsidR="0045374F" w:rsidRPr="0002688C" w:rsidRDefault="0045374F" w:rsidP="00C85778">
      <w:pPr>
        <w:pStyle w:val="EndnoteText"/>
        <w:jc w:val="both"/>
        <w:rPr>
          <w:rFonts w:ascii="Arial" w:hAnsi="Arial" w:cs="Arial"/>
          <w:sz w:val="18"/>
          <w:szCs w:val="18"/>
          <w:lang w:val="es-ES"/>
        </w:rPr>
      </w:pPr>
      <w:r w:rsidRPr="00A72DFB">
        <w:rPr>
          <w:rStyle w:val="EndnoteReference"/>
          <w:rFonts w:ascii="Arial" w:hAnsi="Arial" w:cs="Arial"/>
          <w:sz w:val="18"/>
          <w:szCs w:val="18"/>
          <w:lang w:val="en-GB"/>
        </w:rPr>
        <w:endnoteRef/>
      </w:r>
      <w:r w:rsidRPr="0002688C">
        <w:rPr>
          <w:rFonts w:ascii="Arial" w:hAnsi="Arial" w:cs="Arial"/>
          <w:sz w:val="18"/>
          <w:szCs w:val="18"/>
          <w:lang w:val="es-ES"/>
        </w:rPr>
        <w:t xml:space="preserve"> </w:t>
      </w:r>
      <w:hyperlink r:id="rId36" w:history="1">
        <w:r w:rsidRPr="0002688C">
          <w:rPr>
            <w:rStyle w:val="Hyperlink"/>
            <w:rFonts w:ascii="Arial" w:hAnsi="Arial" w:cs="Arial"/>
            <w:sz w:val="18"/>
            <w:szCs w:val="18"/>
            <w:lang w:val="es-ES"/>
          </w:rPr>
          <w:t>CRPD/C/GC/2</w:t>
        </w:r>
      </w:hyperlink>
      <w:r w:rsidRPr="0002688C">
        <w:rPr>
          <w:rFonts w:ascii="Arial" w:hAnsi="Arial" w:cs="Arial"/>
          <w:sz w:val="18"/>
          <w:szCs w:val="18"/>
          <w:lang w:val="es-ES"/>
        </w:rPr>
        <w:t>, para. 1</w:t>
      </w:r>
    </w:p>
  </w:endnote>
  <w:endnote w:id="41">
    <w:p w14:paraId="372D9395" w14:textId="03557038" w:rsidR="0045374F" w:rsidRPr="0003152D" w:rsidRDefault="0045374F" w:rsidP="00C85778">
      <w:pPr>
        <w:pStyle w:val="EndnoteText"/>
        <w:jc w:val="both"/>
        <w:rPr>
          <w:rFonts w:ascii="Arial" w:hAnsi="Arial" w:cs="Arial"/>
          <w:sz w:val="18"/>
          <w:szCs w:val="18"/>
          <w:lang w:val="en-US"/>
        </w:rPr>
      </w:pPr>
      <w:r w:rsidRPr="00A72DFB">
        <w:rPr>
          <w:rStyle w:val="EndnoteReference"/>
          <w:rFonts w:ascii="Arial" w:hAnsi="Arial" w:cs="Arial"/>
          <w:sz w:val="18"/>
          <w:szCs w:val="18"/>
          <w:lang w:val="en-GB"/>
        </w:rPr>
        <w:endnoteRef/>
      </w:r>
      <w:r w:rsidRPr="0002688C">
        <w:rPr>
          <w:rFonts w:ascii="Arial" w:hAnsi="Arial" w:cs="Arial"/>
          <w:sz w:val="18"/>
          <w:szCs w:val="18"/>
          <w:lang w:val="es-ES"/>
        </w:rPr>
        <w:t xml:space="preserve"> </w:t>
      </w:r>
      <w:hyperlink r:id="rId37" w:history="1">
        <w:r w:rsidRPr="0002688C">
          <w:rPr>
            <w:rStyle w:val="Hyperlink"/>
            <w:rFonts w:ascii="Arial" w:hAnsi="Arial" w:cs="Arial"/>
            <w:sz w:val="18"/>
            <w:szCs w:val="18"/>
            <w:lang w:val="es-ES"/>
          </w:rPr>
          <w:t>CRPD/C/DEU/CO/1</w:t>
        </w:r>
      </w:hyperlink>
      <w:r w:rsidRPr="0002688C">
        <w:rPr>
          <w:rStyle w:val="Hyperlink"/>
          <w:rFonts w:ascii="Arial" w:hAnsi="Arial" w:cs="Arial"/>
          <w:bCs/>
          <w:color w:val="000000" w:themeColor="text1"/>
          <w:sz w:val="18"/>
          <w:szCs w:val="18"/>
          <w:lang w:val="es-ES"/>
        </w:rPr>
        <w:t xml:space="preserve">, para. </w:t>
      </w:r>
      <w:r w:rsidRPr="0003152D">
        <w:rPr>
          <w:rStyle w:val="Hyperlink"/>
          <w:rFonts w:ascii="Arial" w:hAnsi="Arial" w:cs="Arial"/>
          <w:bCs/>
          <w:color w:val="000000" w:themeColor="text1"/>
          <w:sz w:val="18"/>
          <w:szCs w:val="18"/>
          <w:lang w:val="en-US"/>
        </w:rPr>
        <w:t>40</w:t>
      </w:r>
    </w:p>
  </w:endnote>
  <w:endnote w:id="42">
    <w:p w14:paraId="6A838B00" w14:textId="27159DDA"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03152D">
        <w:rPr>
          <w:rFonts w:ascii="Arial" w:hAnsi="Arial" w:cs="Arial"/>
          <w:sz w:val="18"/>
          <w:szCs w:val="18"/>
          <w:lang w:val="en-US"/>
        </w:rPr>
        <w:t xml:space="preserve"> </w:t>
      </w:r>
      <w:hyperlink r:id="rId38" w:history="1">
        <w:r w:rsidRPr="0003152D">
          <w:rPr>
            <w:rStyle w:val="Hyperlink"/>
            <w:rFonts w:ascii="Arial" w:hAnsi="Arial" w:cs="Arial"/>
            <w:sz w:val="18"/>
            <w:szCs w:val="18"/>
            <w:lang w:val="en-US"/>
          </w:rPr>
          <w:t>CRPD/C/DEU/CO/1</w:t>
        </w:r>
      </w:hyperlink>
      <w:r w:rsidRPr="0003152D">
        <w:rPr>
          <w:rStyle w:val="Hyperlink"/>
          <w:rFonts w:ascii="Arial" w:hAnsi="Arial" w:cs="Arial"/>
          <w:bCs/>
          <w:sz w:val="18"/>
          <w:szCs w:val="18"/>
          <w:lang w:val="en-US"/>
        </w:rPr>
        <w:t xml:space="preserve">, para. </w:t>
      </w:r>
      <w:r w:rsidRPr="00A72DFB">
        <w:rPr>
          <w:rStyle w:val="Hyperlink"/>
          <w:rFonts w:ascii="Arial" w:hAnsi="Arial" w:cs="Arial"/>
          <w:bCs/>
          <w:sz w:val="18"/>
          <w:szCs w:val="18"/>
          <w:lang w:val="en-GB"/>
        </w:rPr>
        <w:t>40</w:t>
      </w:r>
    </w:p>
  </w:endnote>
  <w:endnote w:id="43">
    <w:p w14:paraId="0A15163D" w14:textId="77777777" w:rsidR="0045374F" w:rsidRPr="005A7453" w:rsidRDefault="0045374F" w:rsidP="0045374F">
      <w:pPr>
        <w:pStyle w:val="EndnoteText"/>
        <w:rPr>
          <w:i/>
          <w:lang w:val="en-GB"/>
        </w:rPr>
      </w:pPr>
      <w:r>
        <w:rPr>
          <w:rStyle w:val="EndnoteReference"/>
        </w:rPr>
        <w:endnoteRef/>
      </w:r>
      <w:r w:rsidRPr="005A7453">
        <w:rPr>
          <w:lang w:val="en-GB"/>
        </w:rPr>
        <w:t xml:space="preserve"> </w:t>
      </w:r>
      <w:r>
        <w:rPr>
          <w:lang w:val="en-GB"/>
        </w:rPr>
        <w:t xml:space="preserve">Seck, J. </w:t>
      </w:r>
      <w:hyperlink r:id="rId39" w:history="1">
        <w:r w:rsidRPr="00D61F09">
          <w:rPr>
            <w:rStyle w:val="Hyperlink"/>
            <w:lang w:val="en-GB"/>
          </w:rPr>
          <w:t>Deaf &amp; In Detention: Challenges to Outreach, Advocacy &amp; Support</w:t>
        </w:r>
      </w:hyperlink>
      <w:r>
        <w:rPr>
          <w:lang w:val="en-GB"/>
        </w:rPr>
        <w:t xml:space="preserve">, </w:t>
      </w:r>
      <w:r>
        <w:rPr>
          <w:i/>
          <w:lang w:val="en-GB"/>
        </w:rPr>
        <w:t>IMMPRINT 2018</w:t>
      </w:r>
    </w:p>
  </w:endnote>
  <w:endnote w:id="44">
    <w:p w14:paraId="27583E3B" w14:textId="77777777" w:rsidR="0045374F" w:rsidRPr="005A7453" w:rsidRDefault="0045374F" w:rsidP="0045374F">
      <w:pPr>
        <w:pStyle w:val="EndnoteText"/>
        <w:rPr>
          <w:rFonts w:ascii="Arial" w:hAnsi="Arial" w:cs="Arial"/>
          <w:sz w:val="18"/>
          <w:szCs w:val="18"/>
          <w:lang w:val="en-GB"/>
        </w:rPr>
      </w:pPr>
      <w:r w:rsidRPr="005A7453">
        <w:rPr>
          <w:rStyle w:val="EndnoteReference"/>
          <w:rFonts w:ascii="Arial" w:hAnsi="Arial" w:cs="Arial"/>
          <w:sz w:val="18"/>
          <w:szCs w:val="18"/>
        </w:rPr>
        <w:endnoteRef/>
      </w:r>
      <w:r w:rsidRPr="005A7453">
        <w:rPr>
          <w:rFonts w:ascii="Arial" w:hAnsi="Arial" w:cs="Arial"/>
          <w:sz w:val="18"/>
          <w:szCs w:val="18"/>
          <w:lang w:val="en-GB"/>
        </w:rPr>
        <w:t xml:space="preserve"> </w:t>
      </w:r>
      <w:r w:rsidRPr="005A7453">
        <w:rPr>
          <w:rFonts w:ascii="Arial" w:hAnsi="Arial" w:cs="Arial"/>
          <w:color w:val="222222"/>
          <w:sz w:val="18"/>
          <w:szCs w:val="18"/>
          <w:shd w:val="clear" w:color="auto" w:fill="FFFFFF"/>
          <w:lang w:val="en-GB"/>
        </w:rPr>
        <w:t>Sivunen, N. An Ethnographic Study of Deaf Refugees Seeking Asylum in Finland. </w:t>
      </w:r>
      <w:r w:rsidRPr="0045374F">
        <w:rPr>
          <w:rStyle w:val="PageNumber"/>
          <w:rFonts w:ascii="Arial" w:hAnsi="Arial" w:cs="Arial"/>
          <w:color w:val="222222"/>
          <w:sz w:val="18"/>
          <w:szCs w:val="18"/>
          <w:shd w:val="clear" w:color="auto" w:fill="FFFFFF"/>
          <w:lang w:val="en-GB"/>
        </w:rPr>
        <w:t>Societies</w:t>
      </w:r>
      <w:r w:rsidRPr="0045374F">
        <w:rPr>
          <w:rFonts w:ascii="Arial" w:hAnsi="Arial" w:cs="Arial"/>
          <w:color w:val="222222"/>
          <w:sz w:val="18"/>
          <w:szCs w:val="18"/>
          <w:shd w:val="clear" w:color="auto" w:fill="FFFFFF"/>
          <w:lang w:val="en-GB"/>
        </w:rPr>
        <w:t> 2019, </w:t>
      </w:r>
      <w:r w:rsidRPr="0045374F">
        <w:rPr>
          <w:rStyle w:val="PageNumber"/>
          <w:rFonts w:ascii="Arial" w:hAnsi="Arial" w:cs="Arial"/>
          <w:color w:val="222222"/>
          <w:sz w:val="18"/>
          <w:szCs w:val="18"/>
          <w:shd w:val="clear" w:color="auto" w:fill="FFFFFF"/>
          <w:lang w:val="en-GB"/>
        </w:rPr>
        <w:t>9</w:t>
      </w:r>
      <w:r w:rsidRPr="0045374F">
        <w:rPr>
          <w:rFonts w:ascii="Arial" w:hAnsi="Arial" w:cs="Arial"/>
          <w:color w:val="222222"/>
          <w:sz w:val="18"/>
          <w:szCs w:val="18"/>
          <w:shd w:val="clear" w:color="auto" w:fill="FFFFFF"/>
          <w:lang w:val="en-GB"/>
        </w:rPr>
        <w:t>, 2</w:t>
      </w:r>
      <w:r w:rsidRPr="005A7453">
        <w:rPr>
          <w:rFonts w:ascii="Arial" w:hAnsi="Arial" w:cs="Arial"/>
          <w:color w:val="222222"/>
          <w:sz w:val="18"/>
          <w:szCs w:val="18"/>
          <w:shd w:val="clear" w:color="auto" w:fill="FFFFFF"/>
          <w:lang w:val="en-GB"/>
        </w:rPr>
        <w:t>.</w:t>
      </w:r>
    </w:p>
  </w:endnote>
  <w:endnote w:id="45">
    <w:p w14:paraId="7F5826DC" w14:textId="77777777" w:rsidR="0045374F" w:rsidRPr="005A7453" w:rsidRDefault="0045374F" w:rsidP="0045374F">
      <w:pPr>
        <w:pStyle w:val="EndnoteText"/>
        <w:rPr>
          <w:lang w:val="en-US"/>
        </w:rPr>
      </w:pPr>
      <w:r w:rsidRPr="005A7453">
        <w:rPr>
          <w:rStyle w:val="EndnoteReference"/>
          <w:rFonts w:ascii="Arial" w:hAnsi="Arial" w:cs="Arial"/>
          <w:sz w:val="18"/>
          <w:szCs w:val="18"/>
        </w:rPr>
        <w:endnoteRef/>
      </w:r>
      <w:r w:rsidRPr="005A7453">
        <w:rPr>
          <w:rFonts w:ascii="Arial" w:hAnsi="Arial" w:cs="Arial"/>
          <w:sz w:val="18"/>
          <w:szCs w:val="18"/>
          <w:lang w:val="en-GB"/>
        </w:rPr>
        <w:t xml:space="preserve"> Olsen, E. T. (2019). Cooperation as coping mechanism when interpreting between deaf refugees and hearing professionals. International Journal of Interpreter Education, 11(2), 16-27.</w:t>
      </w:r>
      <w:r w:rsidRPr="0018421E">
        <w:rPr>
          <w:lang w:val="en-GB"/>
        </w:rPr>
        <w:t xml:space="preserve">  </w:t>
      </w:r>
    </w:p>
  </w:endnote>
  <w:endnote w:id="46">
    <w:p w14:paraId="537870F7" w14:textId="09210F3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Human Rights Watch &amp; ACLU (n. </w:t>
      </w:r>
      <w:r w:rsidR="00776B79">
        <w:rPr>
          <w:rFonts w:ascii="Arial" w:hAnsi="Arial" w:cs="Arial"/>
          <w:sz w:val="18"/>
          <w:szCs w:val="18"/>
          <w:lang w:val="en-GB"/>
        </w:rPr>
        <w:t>9</w:t>
      </w:r>
      <w:r>
        <w:rPr>
          <w:rFonts w:ascii="Arial" w:hAnsi="Arial" w:cs="Arial"/>
          <w:sz w:val="18"/>
          <w:szCs w:val="18"/>
          <w:lang w:val="en-GB"/>
        </w:rPr>
        <w:t>)</w:t>
      </w:r>
      <w:r w:rsidRPr="00A72DFB">
        <w:rPr>
          <w:rFonts w:ascii="Arial" w:hAnsi="Arial" w:cs="Arial"/>
          <w:sz w:val="18"/>
          <w:szCs w:val="18"/>
          <w:lang w:val="en-GB"/>
        </w:rPr>
        <w:t>, p. 69.</w:t>
      </w:r>
    </w:p>
  </w:endnote>
  <w:endnote w:id="47">
    <w:p w14:paraId="4E929822" w14:textId="59CF0C53" w:rsidR="0045374F" w:rsidRPr="00A72DFB" w:rsidRDefault="0045374F" w:rsidP="00C85778">
      <w:pPr>
        <w:pStyle w:val="EndnoteText"/>
        <w:jc w:val="both"/>
        <w:rPr>
          <w:rFonts w:ascii="Arial" w:hAnsi="Arial" w:cs="Arial"/>
          <w:sz w:val="18"/>
          <w:szCs w:val="18"/>
          <w:lang w:val="en-GB"/>
        </w:rPr>
      </w:pPr>
      <w:r w:rsidRPr="009C27CA">
        <w:rPr>
          <w:rFonts w:ascii="Arial" w:hAnsi="Arial" w:cs="Arial"/>
          <w:sz w:val="18"/>
          <w:szCs w:val="18"/>
          <w:vertAlign w:val="superscript"/>
          <w:lang w:val="en-GB"/>
        </w:rPr>
        <w:endnoteRef/>
      </w:r>
      <w:r w:rsidRPr="009C27CA">
        <w:rPr>
          <w:rFonts w:ascii="Arial" w:hAnsi="Arial" w:cs="Arial"/>
          <w:sz w:val="18"/>
          <w:szCs w:val="18"/>
          <w:vertAlign w:val="superscript"/>
          <w:lang w:val="en-GB"/>
        </w:rPr>
        <w:t xml:space="preserve"> </w:t>
      </w:r>
      <w:r w:rsidRPr="0045374F">
        <w:rPr>
          <w:rFonts w:ascii="Arial" w:hAnsi="Arial" w:cs="Arial"/>
          <w:sz w:val="18"/>
          <w:szCs w:val="18"/>
          <w:lang w:val="en-US"/>
        </w:rPr>
        <w:t>Disability Rights California</w:t>
      </w:r>
      <w:r>
        <w:rPr>
          <w:rFonts w:ascii="Arial" w:hAnsi="Arial" w:cs="Arial"/>
          <w:sz w:val="18"/>
          <w:szCs w:val="18"/>
          <w:lang w:val="en-GB"/>
        </w:rPr>
        <w:t xml:space="preserve"> (n. </w:t>
      </w:r>
      <w:r w:rsidR="00776B79">
        <w:rPr>
          <w:rFonts w:ascii="Arial" w:hAnsi="Arial" w:cs="Arial"/>
          <w:sz w:val="18"/>
          <w:szCs w:val="18"/>
          <w:lang w:val="en-GB"/>
        </w:rPr>
        <w:t>10</w:t>
      </w:r>
      <w:r>
        <w:rPr>
          <w:rFonts w:ascii="Arial" w:hAnsi="Arial" w:cs="Arial"/>
          <w:sz w:val="18"/>
          <w:szCs w:val="18"/>
          <w:lang w:val="en-GB"/>
        </w:rPr>
        <w:t>)</w:t>
      </w:r>
    </w:p>
  </w:endnote>
  <w:endnote w:id="48">
    <w:p w14:paraId="68E33979" w14:textId="5AE61127" w:rsidR="0045374F" w:rsidRPr="00A72DFB" w:rsidRDefault="0045374F" w:rsidP="00C85778">
      <w:pPr>
        <w:pStyle w:val="EndnoteText"/>
        <w:jc w:val="both"/>
        <w:rPr>
          <w:rFonts w:ascii="Arial" w:hAnsi="Arial" w:cs="Arial"/>
          <w:i/>
          <w:iCs/>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OHCHR, </w:t>
      </w:r>
      <w:hyperlink r:id="rId40" w:history="1">
        <w:r w:rsidRPr="00A72DFB">
          <w:rPr>
            <w:rStyle w:val="Hyperlink"/>
            <w:rFonts w:ascii="Arial" w:hAnsi="Arial" w:cs="Arial"/>
            <w:sz w:val="18"/>
            <w:szCs w:val="18"/>
            <w:lang w:val="en-GB"/>
          </w:rPr>
          <w:t>A/HRC/43/27</w:t>
        </w:r>
      </w:hyperlink>
      <w:r w:rsidRPr="00A72DFB">
        <w:rPr>
          <w:rFonts w:ascii="Arial" w:hAnsi="Arial" w:cs="Arial"/>
          <w:sz w:val="18"/>
          <w:szCs w:val="18"/>
          <w:lang w:val="en-GB"/>
        </w:rPr>
        <w:t xml:space="preserve">, para. 18, stating that “fear-based reactions tend to increase the number of instances of arbitrary detention, the ratio of persons with psychosocial disabilities in prisons and violations of the right to due process, among others”. See also Human Rights Watch &amp; ACLU (n. </w:t>
      </w:r>
      <w:r w:rsidR="00776B79">
        <w:rPr>
          <w:rFonts w:ascii="Arial" w:hAnsi="Arial" w:cs="Arial"/>
          <w:sz w:val="18"/>
          <w:szCs w:val="18"/>
          <w:lang w:val="en-GB"/>
        </w:rPr>
        <w:t>9</w:t>
      </w:r>
      <w:r>
        <w:rPr>
          <w:rFonts w:ascii="Arial" w:hAnsi="Arial" w:cs="Arial"/>
          <w:sz w:val="18"/>
          <w:szCs w:val="18"/>
          <w:lang w:val="en-GB"/>
        </w:rPr>
        <w:t>), p.</w:t>
      </w:r>
      <w:r w:rsidRPr="00A72DFB">
        <w:rPr>
          <w:rFonts w:ascii="Arial" w:hAnsi="Arial" w:cs="Arial"/>
          <w:sz w:val="18"/>
          <w:szCs w:val="18"/>
          <w:lang w:val="en-GB"/>
        </w:rPr>
        <w:t xml:space="preserve"> 69</w:t>
      </w:r>
    </w:p>
  </w:endnote>
  <w:endnote w:id="49">
    <w:p w14:paraId="7020D116" w14:textId="7C078B9E"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Human Rights Watch &amp; ACLU (n. </w:t>
      </w:r>
      <w:r w:rsidR="00776B79">
        <w:rPr>
          <w:rFonts w:ascii="Arial" w:hAnsi="Arial" w:cs="Arial"/>
          <w:sz w:val="18"/>
          <w:szCs w:val="18"/>
          <w:lang w:val="en-GB"/>
        </w:rPr>
        <w:t>9</w:t>
      </w:r>
      <w:r>
        <w:rPr>
          <w:rFonts w:ascii="Arial" w:hAnsi="Arial" w:cs="Arial"/>
          <w:sz w:val="18"/>
          <w:szCs w:val="18"/>
          <w:lang w:val="en-GB"/>
        </w:rPr>
        <w:t>)</w:t>
      </w:r>
      <w:r w:rsidRPr="00A72DFB">
        <w:rPr>
          <w:rFonts w:ascii="Arial" w:hAnsi="Arial" w:cs="Arial"/>
          <w:sz w:val="18"/>
          <w:szCs w:val="18"/>
          <w:lang w:val="en-GB"/>
        </w:rPr>
        <w:t>, p. 17</w:t>
      </w:r>
    </w:p>
  </w:endnote>
  <w:endnote w:id="50">
    <w:p w14:paraId="36023C0B" w14:textId="64275B7A"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Human Rights Watch &amp; ACLU (n. </w:t>
      </w:r>
      <w:r w:rsidR="00776B79">
        <w:rPr>
          <w:rFonts w:ascii="Arial" w:hAnsi="Arial" w:cs="Arial"/>
          <w:sz w:val="18"/>
          <w:szCs w:val="18"/>
          <w:lang w:val="en-GB"/>
        </w:rPr>
        <w:t>9</w:t>
      </w:r>
      <w:r>
        <w:rPr>
          <w:rFonts w:ascii="Arial" w:hAnsi="Arial" w:cs="Arial"/>
          <w:sz w:val="18"/>
          <w:szCs w:val="18"/>
          <w:lang w:val="en-GB"/>
        </w:rPr>
        <w:t>)</w:t>
      </w:r>
      <w:r w:rsidRPr="00A72DFB">
        <w:rPr>
          <w:rFonts w:ascii="Arial" w:hAnsi="Arial" w:cs="Arial"/>
          <w:sz w:val="18"/>
          <w:szCs w:val="18"/>
          <w:lang w:val="en-GB"/>
        </w:rPr>
        <w:t xml:space="preserve">, </w:t>
      </w:r>
      <w:r>
        <w:rPr>
          <w:rFonts w:ascii="Arial" w:hAnsi="Arial" w:cs="Arial"/>
          <w:sz w:val="18"/>
          <w:szCs w:val="18"/>
          <w:lang w:val="en-GB"/>
        </w:rPr>
        <w:t>p. 69</w:t>
      </w:r>
    </w:p>
  </w:endnote>
  <w:endnote w:id="51">
    <w:p w14:paraId="0EC64000" w14:textId="6DB014C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sidR="00776B79">
        <w:rPr>
          <w:rFonts w:ascii="Arial" w:hAnsi="Arial" w:cs="Arial"/>
          <w:sz w:val="18"/>
          <w:szCs w:val="18"/>
          <w:lang w:val="en-GB"/>
        </w:rPr>
        <w:t>O</w:t>
      </w:r>
      <w:r>
        <w:rPr>
          <w:rFonts w:ascii="Arial" w:hAnsi="Arial" w:cs="Arial"/>
          <w:sz w:val="18"/>
          <w:szCs w:val="18"/>
          <w:lang w:val="en-GB"/>
        </w:rPr>
        <w:t>r “mental health conditions”</w:t>
      </w:r>
      <w:r w:rsidR="00776B79">
        <w:rPr>
          <w:rFonts w:ascii="Arial" w:hAnsi="Arial" w:cs="Arial"/>
          <w:sz w:val="18"/>
          <w:szCs w:val="18"/>
          <w:lang w:val="en-GB"/>
        </w:rPr>
        <w:t>.</w:t>
      </w:r>
    </w:p>
  </w:endnote>
  <w:endnote w:id="52">
    <w:p w14:paraId="6691F6D8" w14:textId="68F2823C"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University of Toronto Faculty of Law, </w:t>
      </w:r>
      <w:hyperlink r:id="rId41" w:history="1">
        <w:r w:rsidRPr="00A72DFB">
          <w:rPr>
            <w:rStyle w:val="Hyperlink"/>
            <w:rFonts w:ascii="Arial" w:hAnsi="Arial" w:cs="Arial"/>
            <w:sz w:val="18"/>
            <w:szCs w:val="18"/>
            <w:lang w:val="en-GB"/>
          </w:rPr>
          <w:t>“We Have No Rights” Arbitrary imprisonment and cruel treatment of migrants with mental health issues in Canada</w:t>
        </w:r>
      </w:hyperlink>
      <w:r>
        <w:rPr>
          <w:rFonts w:ascii="Arial" w:hAnsi="Arial" w:cs="Arial"/>
          <w:sz w:val="18"/>
          <w:szCs w:val="18"/>
          <w:lang w:val="en-GB"/>
        </w:rPr>
        <w:t xml:space="preserve">, (2015), pp. 94; It </w:t>
      </w:r>
      <w:r w:rsidRPr="00A72DFB">
        <w:rPr>
          <w:rFonts w:ascii="Arial" w:hAnsi="Arial" w:cs="Arial"/>
          <w:sz w:val="18"/>
          <w:szCs w:val="18"/>
          <w:lang w:val="en-GB"/>
        </w:rPr>
        <w:t>also highlights the ground “disruptive behaviour” as one justifying the practice of transferring persons with psychosocial disabil</w:t>
      </w:r>
      <w:r>
        <w:rPr>
          <w:rFonts w:ascii="Arial" w:hAnsi="Arial" w:cs="Arial"/>
          <w:sz w:val="18"/>
          <w:szCs w:val="18"/>
          <w:lang w:val="en-GB"/>
        </w:rPr>
        <w:t>ities to more secure facilities</w:t>
      </w:r>
    </w:p>
  </w:endnote>
  <w:endnote w:id="53">
    <w:p w14:paraId="0B9466BF" w14:textId="0AFB55C0" w:rsidR="0045374F" w:rsidRPr="00A72DFB" w:rsidRDefault="0045374F" w:rsidP="00C85778">
      <w:pPr>
        <w:pStyle w:val="EndnoteText"/>
        <w:jc w:val="both"/>
        <w:rPr>
          <w:rFonts w:ascii="Arial" w:hAnsi="Arial" w:cs="Arial"/>
          <w:bCs/>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CRPD Committee, </w:t>
      </w:r>
      <w:r w:rsidRPr="00A72DFB">
        <w:rPr>
          <w:rFonts w:ascii="Arial" w:hAnsi="Arial" w:cs="Arial"/>
          <w:i/>
          <w:iCs/>
          <w:sz w:val="18"/>
          <w:szCs w:val="18"/>
          <w:lang w:val="en-GB"/>
        </w:rPr>
        <w:t>Guidelines on article 14 of the Convention on the Rights of Persons with Disabilities</w:t>
      </w:r>
      <w:r>
        <w:rPr>
          <w:rFonts w:ascii="Arial" w:hAnsi="Arial" w:cs="Arial"/>
          <w:sz w:val="18"/>
          <w:szCs w:val="18"/>
          <w:lang w:val="en-GB"/>
        </w:rPr>
        <w:t>, 2015, para. 6</w:t>
      </w:r>
    </w:p>
  </w:endnote>
  <w:endnote w:id="54">
    <w:p w14:paraId="5736661B" w14:textId="108D169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42" w:history="1">
        <w:r w:rsidRPr="009C27CA">
          <w:rPr>
            <w:rStyle w:val="Hyperlink"/>
            <w:rFonts w:ascii="Arial" w:eastAsia="Times New Roman" w:hAnsi="Arial" w:cs="Arial"/>
            <w:bCs/>
            <w:sz w:val="18"/>
            <w:szCs w:val="18"/>
            <w:lang w:val="en-GB"/>
          </w:rPr>
          <w:t>A/HRC/40/54</w:t>
        </w:r>
      </w:hyperlink>
      <w:r w:rsidRPr="00A72DFB">
        <w:rPr>
          <w:rFonts w:ascii="Arial" w:hAnsi="Arial" w:cs="Arial"/>
          <w:bCs/>
          <w:sz w:val="18"/>
          <w:szCs w:val="18"/>
          <w:lang w:val="en-GB"/>
        </w:rPr>
        <w:t>, para</w:t>
      </w:r>
      <w:r>
        <w:rPr>
          <w:rFonts w:ascii="Arial" w:hAnsi="Arial" w:cs="Arial"/>
          <w:sz w:val="18"/>
          <w:szCs w:val="18"/>
          <w:lang w:val="en-GB"/>
        </w:rPr>
        <w:t>. 85</w:t>
      </w:r>
    </w:p>
  </w:endnote>
  <w:endnote w:id="55">
    <w:p w14:paraId="01EA3706" w14:textId="02D1A86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Mark C. Weber, </w:t>
      </w:r>
      <w:hyperlink r:id="rId43" w:history="1">
        <w:r w:rsidRPr="00A72DFB">
          <w:rPr>
            <w:rStyle w:val="Hyperlink"/>
            <w:rFonts w:ascii="Arial" w:hAnsi="Arial" w:cs="Arial"/>
            <w:sz w:val="18"/>
            <w:szCs w:val="18"/>
            <w:lang w:val="en-GB"/>
          </w:rPr>
          <w:t>Immigration and Disability in the United States and Canada</w:t>
        </w:r>
      </w:hyperlink>
      <w:r>
        <w:rPr>
          <w:rFonts w:ascii="Arial" w:hAnsi="Arial" w:cs="Arial"/>
          <w:sz w:val="18"/>
          <w:szCs w:val="18"/>
          <w:lang w:val="en-GB"/>
        </w:rPr>
        <w:t xml:space="preserve">, </w:t>
      </w:r>
      <w:r w:rsidRPr="00A72DFB">
        <w:rPr>
          <w:rFonts w:ascii="Arial" w:hAnsi="Arial" w:cs="Arial"/>
          <w:sz w:val="18"/>
          <w:szCs w:val="18"/>
          <w:lang w:val="en-GB"/>
        </w:rPr>
        <w:t>(2015) pp. 28</w:t>
      </w:r>
    </w:p>
  </w:endnote>
  <w:endnote w:id="56">
    <w:p w14:paraId="6547E920" w14:textId="5E744F25"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Pr>
          <w:rFonts w:ascii="Arial" w:hAnsi="Arial" w:cs="Arial"/>
          <w:sz w:val="18"/>
          <w:szCs w:val="18"/>
          <w:lang w:val="en-GB"/>
        </w:rPr>
        <w:t xml:space="preserve"> </w:t>
      </w:r>
      <w:r w:rsidRPr="00A72DFB">
        <w:rPr>
          <w:rFonts w:ascii="Arial" w:hAnsi="Arial" w:cs="Arial"/>
          <w:sz w:val="18"/>
          <w:szCs w:val="18"/>
          <w:lang w:val="en-GB"/>
        </w:rPr>
        <w:t xml:space="preserve">Human Rights Watch &amp; ACLU (n. </w:t>
      </w:r>
      <w:r w:rsidR="00776B79">
        <w:rPr>
          <w:rFonts w:ascii="Arial" w:hAnsi="Arial" w:cs="Arial"/>
          <w:sz w:val="18"/>
          <w:szCs w:val="18"/>
          <w:lang w:val="en-GB"/>
        </w:rPr>
        <w:t>9</w:t>
      </w:r>
      <w:r>
        <w:rPr>
          <w:rFonts w:ascii="Arial" w:hAnsi="Arial" w:cs="Arial"/>
          <w:sz w:val="18"/>
          <w:szCs w:val="18"/>
          <w:lang w:val="en-GB"/>
        </w:rPr>
        <w:t>)</w:t>
      </w:r>
      <w:r w:rsidRPr="00A72DFB">
        <w:rPr>
          <w:rFonts w:ascii="Arial" w:hAnsi="Arial" w:cs="Arial"/>
          <w:sz w:val="18"/>
          <w:szCs w:val="18"/>
          <w:lang w:val="en-GB"/>
        </w:rPr>
        <w:t>, p.</w:t>
      </w:r>
      <w:r>
        <w:rPr>
          <w:rFonts w:ascii="Arial" w:hAnsi="Arial" w:cs="Arial"/>
          <w:sz w:val="18"/>
          <w:szCs w:val="18"/>
          <w:lang w:val="en-GB"/>
        </w:rPr>
        <w:t xml:space="preserve"> 2</w:t>
      </w:r>
    </w:p>
  </w:endnote>
  <w:endnote w:id="57">
    <w:p w14:paraId="114D90D6" w14:textId="51BA168D" w:rsidR="0045374F" w:rsidRPr="00A72DFB" w:rsidRDefault="0045374F" w:rsidP="00C85778">
      <w:pPr>
        <w:pStyle w:val="EndnoteText"/>
        <w:jc w:val="both"/>
        <w:rPr>
          <w:rFonts w:ascii="Arial" w:hAnsi="Arial" w:cs="Arial"/>
          <w:b/>
          <w:bCs/>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Michael AddaneyI</w:t>
      </w:r>
      <w:r>
        <w:rPr>
          <w:rFonts w:ascii="Arial" w:hAnsi="Arial" w:cs="Arial"/>
          <w:sz w:val="18"/>
          <w:szCs w:val="18"/>
          <w:lang w:val="en-GB"/>
        </w:rPr>
        <w:t xml:space="preserve"> et. al.</w:t>
      </w:r>
      <w:r w:rsidRPr="00A72DFB">
        <w:rPr>
          <w:rFonts w:ascii="Arial" w:hAnsi="Arial" w:cs="Arial"/>
          <w:sz w:val="18"/>
          <w:szCs w:val="18"/>
          <w:lang w:val="en-GB"/>
        </w:rPr>
        <w:t xml:space="preserve">, </w:t>
      </w:r>
      <w:hyperlink r:id="rId44" w:history="1">
        <w:r w:rsidRPr="00A72DFB">
          <w:rPr>
            <w:rStyle w:val="Hyperlink"/>
            <w:rFonts w:ascii="Arial" w:hAnsi="Arial" w:cs="Arial"/>
            <w:sz w:val="18"/>
            <w:szCs w:val="18"/>
            <w:lang w:val="en-GB"/>
          </w:rPr>
          <w:t>Legal capacity of and access to justice for refugees with disabilities in Africa</w:t>
        </w:r>
      </w:hyperlink>
      <w:r>
        <w:rPr>
          <w:rFonts w:ascii="Arial" w:hAnsi="Arial" w:cs="Arial"/>
          <w:sz w:val="18"/>
          <w:szCs w:val="18"/>
          <w:lang w:val="en-GB"/>
        </w:rPr>
        <w:t xml:space="preserve">, </w:t>
      </w:r>
      <w:r w:rsidRPr="0002688C">
        <w:rPr>
          <w:rFonts w:ascii="Arial" w:hAnsi="Arial" w:cs="Arial"/>
          <w:sz w:val="18"/>
          <w:szCs w:val="18"/>
          <w:lang w:val="en-GB"/>
        </w:rPr>
        <w:t>2019</w:t>
      </w:r>
    </w:p>
  </w:endnote>
  <w:endnote w:id="58">
    <w:p w14:paraId="3E77C162" w14:textId="6E51F5A4"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45" w:history="1">
        <w:r w:rsidRPr="00A72DFB">
          <w:rPr>
            <w:rStyle w:val="Hyperlink"/>
            <w:rFonts w:ascii="Arial" w:hAnsi="Arial" w:cs="Arial"/>
            <w:color w:val="1F14F8"/>
            <w:sz w:val="18"/>
            <w:szCs w:val="18"/>
            <w:lang w:val="en-GB"/>
          </w:rPr>
          <w:t>CRPD/C/AUS/CO/2-3</w:t>
        </w:r>
      </w:hyperlink>
      <w:r>
        <w:rPr>
          <w:rFonts w:ascii="Arial" w:hAnsi="Arial" w:cs="Arial"/>
          <w:sz w:val="18"/>
          <w:szCs w:val="18"/>
          <w:lang w:val="en-GB"/>
        </w:rPr>
        <w:t>, paras. 35 and 36</w:t>
      </w:r>
    </w:p>
  </w:endnote>
  <w:endnote w:id="59">
    <w:p w14:paraId="13429BF4" w14:textId="74A46802"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46" w:history="1">
        <w:r w:rsidRPr="00A72DFB">
          <w:rPr>
            <w:rStyle w:val="Hyperlink"/>
            <w:rFonts w:ascii="Arial" w:hAnsi="Arial" w:cs="Arial"/>
            <w:color w:val="1F14F8"/>
            <w:sz w:val="18"/>
            <w:szCs w:val="18"/>
            <w:lang w:val="en-GB"/>
          </w:rPr>
          <w:t>CRPD/C/KWT/CO/1</w:t>
        </w:r>
      </w:hyperlink>
      <w:r>
        <w:rPr>
          <w:rFonts w:ascii="Arial" w:hAnsi="Arial" w:cs="Arial"/>
          <w:sz w:val="18"/>
          <w:szCs w:val="18"/>
          <w:lang w:val="en-GB"/>
        </w:rPr>
        <w:t>, paras. 36 and 37</w:t>
      </w:r>
    </w:p>
  </w:endnote>
  <w:endnote w:id="60">
    <w:p w14:paraId="78D93DEB" w14:textId="5CE7A40C" w:rsidR="0045374F" w:rsidRPr="0045374F"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45374F">
        <w:rPr>
          <w:rFonts w:ascii="Arial" w:hAnsi="Arial" w:cs="Arial"/>
          <w:sz w:val="18"/>
          <w:szCs w:val="18"/>
          <w:lang w:val="en-GB"/>
        </w:rPr>
        <w:t xml:space="preserve"> </w:t>
      </w:r>
      <w:r w:rsidR="00776B79">
        <w:rPr>
          <w:rFonts w:ascii="Arial" w:hAnsi="Arial" w:cs="Arial"/>
          <w:sz w:val="18"/>
          <w:szCs w:val="18"/>
          <w:lang w:val="en-GB"/>
        </w:rPr>
        <w:t>Special Rapporteur on the Rights of Persons with disabilities et al (n. 35),</w:t>
      </w:r>
      <w:r w:rsidR="00776B79" w:rsidRPr="00A72DFB">
        <w:rPr>
          <w:rFonts w:ascii="Arial" w:hAnsi="Arial" w:cs="Arial"/>
          <w:sz w:val="18"/>
          <w:szCs w:val="18"/>
          <w:lang w:val="en-GB"/>
        </w:rPr>
        <w:t xml:space="preserve"> Principle 3, p. 32</w:t>
      </w:r>
    </w:p>
  </w:endnote>
  <w:endnote w:id="61">
    <w:p w14:paraId="41295B07" w14:textId="7F36AA33" w:rsidR="0045374F" w:rsidRPr="0003152D" w:rsidRDefault="0045374F" w:rsidP="00C85778">
      <w:pPr>
        <w:jc w:val="both"/>
        <w:rPr>
          <w:rFonts w:ascii="Arial" w:eastAsia="Calibri" w:hAnsi="Arial" w:cs="Arial"/>
          <w:sz w:val="18"/>
          <w:szCs w:val="18"/>
          <w:lang w:val="es-ES" w:eastAsia="en-US"/>
        </w:rPr>
      </w:pPr>
      <w:r w:rsidRPr="00A72DFB">
        <w:rPr>
          <w:rStyle w:val="EndnoteReference"/>
          <w:rFonts w:ascii="Arial" w:hAnsi="Arial" w:cs="Arial"/>
          <w:sz w:val="18"/>
          <w:szCs w:val="18"/>
          <w:lang w:val="en-GB"/>
        </w:rPr>
        <w:endnoteRef/>
      </w:r>
      <w:r w:rsidRPr="0003152D">
        <w:rPr>
          <w:rFonts w:ascii="Arial" w:hAnsi="Arial" w:cs="Arial"/>
          <w:sz w:val="18"/>
          <w:szCs w:val="18"/>
          <w:lang w:val="es-ES"/>
        </w:rPr>
        <w:t xml:space="preserve"> </w:t>
      </w:r>
      <w:hyperlink r:id="rId47" w:history="1">
        <w:r w:rsidRPr="0003152D">
          <w:rPr>
            <w:rStyle w:val="Hyperlink"/>
            <w:rFonts w:ascii="Arial" w:eastAsia="Calibri" w:hAnsi="Arial" w:cs="Arial"/>
            <w:sz w:val="18"/>
            <w:szCs w:val="18"/>
            <w:lang w:val="es-ES" w:eastAsia="en-US"/>
          </w:rPr>
          <w:t>CRPD/C/GC/6</w:t>
        </w:r>
      </w:hyperlink>
      <w:r w:rsidRPr="0003152D">
        <w:rPr>
          <w:rFonts w:ascii="Arial" w:hAnsi="Arial" w:cs="Arial"/>
          <w:sz w:val="18"/>
          <w:szCs w:val="18"/>
          <w:lang w:val="es-ES"/>
        </w:rPr>
        <w:t>, paras. 25(d)</w:t>
      </w:r>
    </w:p>
  </w:endnote>
  <w:endnote w:id="62">
    <w:p w14:paraId="6A9602B8" w14:textId="6FECF1F4"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sidR="00776B79">
        <w:rPr>
          <w:rFonts w:ascii="Arial" w:hAnsi="Arial" w:cs="Arial"/>
          <w:sz w:val="18"/>
          <w:szCs w:val="18"/>
          <w:lang w:val="en-GB"/>
        </w:rPr>
        <w:t>Special Rapporteur on the Rights of Persons with disabilities et al (n. 35),</w:t>
      </w:r>
      <w:r w:rsidR="00776B79" w:rsidRPr="00A72DFB">
        <w:rPr>
          <w:rFonts w:ascii="Arial" w:hAnsi="Arial" w:cs="Arial"/>
          <w:sz w:val="18"/>
          <w:szCs w:val="18"/>
          <w:lang w:val="en-GB"/>
        </w:rPr>
        <w:t xml:space="preserve"> Principle 3, p. 32</w:t>
      </w:r>
    </w:p>
  </w:endnote>
  <w:endnote w:id="63">
    <w:p w14:paraId="6D7CCA0E" w14:textId="0840ACB2" w:rsidR="0045374F" w:rsidRPr="0002688C"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Pr>
          <w:rFonts w:ascii="Arial" w:hAnsi="Arial" w:cs="Arial"/>
          <w:sz w:val="18"/>
          <w:szCs w:val="18"/>
          <w:lang w:val="en-GB"/>
        </w:rPr>
        <w:t xml:space="preserve"> </w:t>
      </w:r>
      <w:hyperlink r:id="rId48" w:history="1">
        <w:r w:rsidRPr="009C27CA">
          <w:rPr>
            <w:rStyle w:val="Hyperlink"/>
            <w:rFonts w:ascii="Arial" w:hAnsi="Arial" w:cs="Arial"/>
            <w:sz w:val="18"/>
            <w:szCs w:val="18"/>
            <w:lang w:val="en-GB"/>
          </w:rPr>
          <w:t>A/HRC/40/54</w:t>
        </w:r>
      </w:hyperlink>
      <w:r>
        <w:rPr>
          <w:rFonts w:ascii="Arial" w:hAnsi="Arial" w:cs="Arial"/>
          <w:sz w:val="18"/>
          <w:szCs w:val="18"/>
          <w:lang w:val="en-GB"/>
        </w:rPr>
        <w:t>, para. 24</w:t>
      </w:r>
    </w:p>
  </w:endnote>
  <w:endnote w:id="64">
    <w:p w14:paraId="7BFBF3F7" w14:textId="0EAFEE4B" w:rsidR="0045374F" w:rsidRPr="004957C3" w:rsidRDefault="0045374F" w:rsidP="0045374F">
      <w:pPr>
        <w:pStyle w:val="EndnoteText"/>
        <w:rPr>
          <w:rFonts w:ascii="Arial" w:hAnsi="Arial" w:cs="Arial"/>
          <w:sz w:val="18"/>
          <w:szCs w:val="18"/>
          <w:lang w:val="en-US"/>
        </w:rPr>
      </w:pPr>
      <w:r>
        <w:rPr>
          <w:rStyle w:val="EndnoteReference"/>
        </w:rPr>
        <w:endnoteRef/>
      </w:r>
      <w:r w:rsidRPr="005A7453">
        <w:rPr>
          <w:lang w:val="en-GB"/>
        </w:rPr>
        <w:t xml:space="preserve"> </w:t>
      </w:r>
      <w:r w:rsidRPr="00943910">
        <w:rPr>
          <w:rFonts w:ascii="Arial" w:hAnsi="Arial" w:cs="Arial"/>
          <w:color w:val="222222"/>
          <w:sz w:val="18"/>
          <w:szCs w:val="18"/>
          <w:shd w:val="clear" w:color="auto" w:fill="FFFFFF"/>
          <w:lang w:val="en-GB"/>
        </w:rPr>
        <w:t>Sivunen, N. An Ethnographic Study of Deaf Refugees Seeking Asylum in Finland. </w:t>
      </w:r>
      <w:r w:rsidRPr="004957C3">
        <w:rPr>
          <w:rStyle w:val="Emphasis"/>
          <w:rFonts w:ascii="Arial" w:hAnsi="Arial" w:cs="Arial"/>
          <w:color w:val="222222"/>
          <w:sz w:val="18"/>
          <w:szCs w:val="18"/>
          <w:shd w:val="clear" w:color="auto" w:fill="FFFFFF"/>
          <w:lang w:val="en-US"/>
        </w:rPr>
        <w:t>Societies</w:t>
      </w:r>
      <w:r w:rsidRPr="004957C3">
        <w:rPr>
          <w:rFonts w:ascii="Arial" w:hAnsi="Arial" w:cs="Arial"/>
          <w:color w:val="222222"/>
          <w:sz w:val="18"/>
          <w:szCs w:val="18"/>
          <w:shd w:val="clear" w:color="auto" w:fill="FFFFFF"/>
          <w:lang w:val="en-US"/>
        </w:rPr>
        <w:t> 2019,</w:t>
      </w:r>
      <w:r w:rsidRPr="005A7453">
        <w:rPr>
          <w:rFonts w:ascii="Arial" w:hAnsi="Arial" w:cs="Arial"/>
          <w:color w:val="222222"/>
          <w:sz w:val="18"/>
          <w:szCs w:val="18"/>
          <w:shd w:val="clear" w:color="auto" w:fill="FFFFFF"/>
          <w:lang w:val="en-US"/>
        </w:rPr>
        <w:t> </w:t>
      </w:r>
      <w:r w:rsidRPr="005A7453">
        <w:rPr>
          <w:rStyle w:val="Emphasis"/>
          <w:rFonts w:ascii="Arial" w:hAnsi="Arial" w:cs="Arial"/>
          <w:color w:val="222222"/>
          <w:sz w:val="18"/>
          <w:szCs w:val="18"/>
          <w:shd w:val="clear" w:color="auto" w:fill="FFFFFF"/>
          <w:lang w:val="en-US"/>
        </w:rPr>
        <w:t>9</w:t>
      </w:r>
      <w:r w:rsidRPr="005A7453">
        <w:rPr>
          <w:rFonts w:ascii="Arial" w:hAnsi="Arial" w:cs="Arial"/>
          <w:color w:val="222222"/>
          <w:sz w:val="18"/>
          <w:szCs w:val="18"/>
          <w:shd w:val="clear" w:color="auto" w:fill="FFFFFF"/>
          <w:lang w:val="en-US"/>
        </w:rPr>
        <w:t>, 2.</w:t>
      </w:r>
    </w:p>
  </w:endnote>
  <w:endnote w:id="65">
    <w:p w14:paraId="443801EF" w14:textId="2BD91589" w:rsidR="009F551A" w:rsidRPr="009F551A" w:rsidRDefault="009F551A" w:rsidP="009F551A">
      <w:pPr>
        <w:pStyle w:val="EndnoteText"/>
        <w:rPr>
          <w:iCs/>
          <w:lang w:val="en-CH"/>
        </w:rPr>
      </w:pPr>
      <w:r>
        <w:rPr>
          <w:rStyle w:val="EndnoteReference"/>
        </w:rPr>
        <w:endnoteRef/>
      </w:r>
      <w:r w:rsidRPr="005A7453">
        <w:rPr>
          <w:lang w:val="en-GB"/>
        </w:rPr>
        <w:t xml:space="preserve"> </w:t>
      </w:r>
      <w:r>
        <w:rPr>
          <w:lang w:val="en-GB"/>
        </w:rPr>
        <w:t xml:space="preserve"> Seck, J. </w:t>
      </w:r>
      <w:hyperlink r:id="rId49" w:history="1">
        <w:r w:rsidRPr="00D61F09">
          <w:rPr>
            <w:rStyle w:val="Hyperlink"/>
            <w:lang w:val="en-GB"/>
          </w:rPr>
          <w:t>Deaf &amp; In Detention: Challenges to Outreach, Advocacy &amp; Support</w:t>
        </w:r>
      </w:hyperlink>
      <w:r>
        <w:rPr>
          <w:lang w:val="en-GB"/>
        </w:rPr>
        <w:t xml:space="preserve">, </w:t>
      </w:r>
      <w:r>
        <w:rPr>
          <w:i/>
          <w:lang w:val="en-GB"/>
        </w:rPr>
        <w:t xml:space="preserve">IMMPRINT 2018 </w:t>
      </w:r>
      <w:r>
        <w:rPr>
          <w:iCs/>
          <w:lang w:val="en-GB"/>
        </w:rPr>
        <w:t xml:space="preserve">(see case of </w:t>
      </w:r>
      <w:r w:rsidRPr="009F551A">
        <w:rPr>
          <w:iCs/>
          <w:lang w:val="en-GB"/>
        </w:rPr>
        <w:t xml:space="preserve">Abreham Zemedageghu, a deaf immigrant from </w:t>
      </w:r>
      <w:r w:rsidR="0070538A" w:rsidRPr="009F551A">
        <w:rPr>
          <w:iCs/>
          <w:lang w:val="en-GB"/>
        </w:rPr>
        <w:t>Ethiopia</w:t>
      </w:r>
      <w:r>
        <w:rPr>
          <w:iCs/>
          <w:lang w:val="en-GB"/>
        </w:rPr>
        <w:t>)</w:t>
      </w:r>
    </w:p>
  </w:endnote>
  <w:endnote w:id="66">
    <w:p w14:paraId="18FB9F4B" w14:textId="77777777" w:rsidR="00D44901" w:rsidRPr="00D44901" w:rsidRDefault="00D44901" w:rsidP="00D44901">
      <w:pPr>
        <w:pStyle w:val="EndnoteText"/>
        <w:rPr>
          <w:lang w:val="en-CH"/>
        </w:rPr>
      </w:pPr>
      <w:r>
        <w:rPr>
          <w:rStyle w:val="EndnoteReference"/>
        </w:rPr>
        <w:endnoteRef/>
      </w:r>
      <w:r w:rsidRPr="00D44901">
        <w:rPr>
          <w:lang w:val="en-US"/>
        </w:rPr>
        <w:t xml:space="preserve"> </w:t>
      </w:r>
      <w:r>
        <w:rPr>
          <w:lang w:val="en-US"/>
        </w:rPr>
        <w:t xml:space="preserve">NEDA (National Ethnic Disability Alliance), </w:t>
      </w:r>
      <w:hyperlink r:id="rId50" w:history="1">
        <w:r w:rsidRPr="00D44901">
          <w:rPr>
            <w:rStyle w:val="Hyperlink"/>
            <w:i/>
            <w:iCs/>
            <w:lang w:val="en-CH"/>
          </w:rPr>
          <w:t>The Plight of People Living with Disabilities within Australian Immigration Detention: Demonised, Detained and Disowned</w:t>
        </w:r>
      </w:hyperlink>
      <w:r w:rsidRPr="00D44901">
        <w:rPr>
          <w:lang w:val="en-US"/>
        </w:rPr>
        <w:t>,</w:t>
      </w:r>
      <w:r>
        <w:rPr>
          <w:lang w:val="en-US"/>
        </w:rPr>
        <w:t xml:space="preserve"> (2015), p. 26.</w:t>
      </w:r>
    </w:p>
  </w:endnote>
  <w:endnote w:id="67">
    <w:p w14:paraId="34E2B95E" w14:textId="373B3E6A" w:rsidR="0045374F" w:rsidRPr="00A72DFB" w:rsidRDefault="0045374F" w:rsidP="00C85778">
      <w:pPr>
        <w:widowControl w:val="0"/>
        <w:autoSpaceDE w:val="0"/>
        <w:autoSpaceDN w:val="0"/>
        <w:adjustRightInd w:val="0"/>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CRPD </w:t>
      </w:r>
      <w:r w:rsidR="0070538A" w:rsidRPr="00A72DFB">
        <w:rPr>
          <w:rFonts w:ascii="Arial" w:hAnsi="Arial" w:cs="Arial"/>
          <w:sz w:val="18"/>
          <w:szCs w:val="18"/>
          <w:lang w:val="en-GB"/>
        </w:rPr>
        <w:t>Committee</w:t>
      </w:r>
      <w:r w:rsidRPr="00A72DFB">
        <w:rPr>
          <w:rFonts w:ascii="Arial" w:hAnsi="Arial" w:cs="Arial"/>
          <w:sz w:val="18"/>
          <w:szCs w:val="18"/>
          <w:lang w:val="en-GB"/>
        </w:rPr>
        <w:t xml:space="preserve">, Mr X vs Argentina (2014), </w:t>
      </w:r>
      <w:hyperlink r:id="rId51" w:history="1">
        <w:r w:rsidRPr="00A72DFB">
          <w:rPr>
            <w:rStyle w:val="Hyperlink"/>
            <w:rFonts w:ascii="Arial" w:hAnsi="Arial" w:cs="Arial"/>
            <w:sz w:val="18"/>
            <w:szCs w:val="18"/>
            <w:lang w:val="en-GB"/>
          </w:rPr>
          <w:t>CRPD/C/11/D/8/2012</w:t>
        </w:r>
      </w:hyperlink>
      <w:r w:rsidRPr="00A72DFB">
        <w:rPr>
          <w:rFonts w:ascii="Arial" w:hAnsi="Arial" w:cs="Arial"/>
          <w:sz w:val="18"/>
          <w:szCs w:val="18"/>
          <w:lang w:val="en-GB"/>
        </w:rPr>
        <w:t xml:space="preserve">, para. </w:t>
      </w:r>
      <w:r>
        <w:rPr>
          <w:rFonts w:ascii="Arial" w:hAnsi="Arial" w:cs="Arial"/>
          <w:sz w:val="18"/>
          <w:szCs w:val="18"/>
          <w:lang w:val="en-GB"/>
        </w:rPr>
        <w:t>8.4 and, notably, 8.7</w:t>
      </w:r>
    </w:p>
  </w:endnote>
  <w:endnote w:id="68">
    <w:p w14:paraId="7F45D617" w14:textId="1930A380" w:rsidR="0045374F" w:rsidRPr="0003152D" w:rsidRDefault="0045374F" w:rsidP="00C85778">
      <w:pPr>
        <w:pStyle w:val="EndnoteText"/>
        <w:jc w:val="both"/>
        <w:rPr>
          <w:rFonts w:ascii="Arial" w:hAnsi="Arial" w:cs="Arial"/>
          <w:sz w:val="18"/>
          <w:szCs w:val="18"/>
          <w:lang w:val="en-US"/>
        </w:rPr>
      </w:pPr>
      <w:r w:rsidRPr="00A72DFB">
        <w:rPr>
          <w:rStyle w:val="EndnoteReference"/>
          <w:rFonts w:ascii="Arial" w:hAnsi="Arial" w:cs="Arial"/>
          <w:sz w:val="18"/>
          <w:szCs w:val="18"/>
          <w:lang w:val="en-GB"/>
        </w:rPr>
        <w:endnoteRef/>
      </w:r>
      <w:r w:rsidRPr="0003152D">
        <w:rPr>
          <w:rFonts w:ascii="Arial" w:hAnsi="Arial" w:cs="Arial"/>
          <w:sz w:val="18"/>
          <w:szCs w:val="18"/>
          <w:lang w:val="en-US"/>
        </w:rPr>
        <w:t xml:space="preserve"> </w:t>
      </w:r>
      <w:hyperlink r:id="rId52" w:history="1">
        <w:r w:rsidRPr="0003152D">
          <w:rPr>
            <w:rStyle w:val="Hyperlink"/>
            <w:lang w:val="en-US"/>
          </w:rPr>
          <w:t>CMW/C/GC/2</w:t>
        </w:r>
      </w:hyperlink>
      <w:r w:rsidRPr="0003152D">
        <w:rPr>
          <w:rFonts w:ascii="Arial" w:hAnsi="Arial" w:cs="Arial"/>
          <w:sz w:val="18"/>
          <w:szCs w:val="18"/>
          <w:lang w:val="en-US"/>
        </w:rPr>
        <w:t>, para. 46</w:t>
      </w:r>
    </w:p>
  </w:endnote>
  <w:endnote w:id="69">
    <w:p w14:paraId="15F199B5" w14:textId="10B104D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03152D">
        <w:rPr>
          <w:rFonts w:ascii="Arial" w:hAnsi="Arial" w:cs="Arial"/>
          <w:sz w:val="18"/>
          <w:szCs w:val="18"/>
          <w:lang w:val="en-US"/>
        </w:rPr>
        <w:t xml:space="preserve"> </w:t>
      </w:r>
      <w:hyperlink r:id="rId53" w:history="1">
        <w:r w:rsidRPr="0003152D">
          <w:rPr>
            <w:rStyle w:val="Hyperlink"/>
            <w:lang w:val="en-US"/>
          </w:rPr>
          <w:t>CMW/C/GC/2</w:t>
        </w:r>
      </w:hyperlink>
      <w:r w:rsidRPr="0003152D">
        <w:rPr>
          <w:rFonts w:ascii="Arial" w:hAnsi="Arial" w:cs="Arial"/>
          <w:sz w:val="18"/>
          <w:szCs w:val="18"/>
          <w:lang w:val="en-US"/>
        </w:rPr>
        <w:t xml:space="preserve">, para. </w:t>
      </w:r>
      <w:r>
        <w:rPr>
          <w:rFonts w:ascii="Arial" w:hAnsi="Arial" w:cs="Arial"/>
          <w:sz w:val="18"/>
          <w:szCs w:val="18"/>
          <w:lang w:val="en-GB"/>
        </w:rPr>
        <w:t>46</w:t>
      </w:r>
    </w:p>
  </w:endnote>
  <w:endnote w:id="70">
    <w:p w14:paraId="41395086" w14:textId="5190794E"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54" w:history="1">
        <w:r w:rsidRPr="00A72DFB">
          <w:rPr>
            <w:rStyle w:val="Hyperlink"/>
            <w:rFonts w:ascii="Arial" w:hAnsi="Arial" w:cs="Arial"/>
            <w:color w:val="1F14F8"/>
            <w:sz w:val="18"/>
            <w:szCs w:val="18"/>
            <w:lang w:val="en-GB"/>
          </w:rPr>
          <w:t>CRPD/C/ARE/CO/1</w:t>
        </w:r>
      </w:hyperlink>
      <w:r w:rsidRPr="00A72DFB">
        <w:rPr>
          <w:rStyle w:val="Hyperlink"/>
          <w:rFonts w:ascii="Arial" w:hAnsi="Arial" w:cs="Arial"/>
          <w:color w:val="1F14F8"/>
          <w:sz w:val="18"/>
          <w:szCs w:val="18"/>
          <w:lang w:val="en-GB"/>
        </w:rPr>
        <w:t>,</w:t>
      </w:r>
      <w:r w:rsidRPr="00A72DFB">
        <w:rPr>
          <w:rFonts w:ascii="Arial" w:hAnsi="Arial" w:cs="Arial"/>
          <w:sz w:val="18"/>
          <w:szCs w:val="18"/>
          <w:lang w:val="en-GB"/>
        </w:rPr>
        <w:t xml:space="preserve"> paras. 35 and 36; </w:t>
      </w:r>
      <w:hyperlink r:id="rId55" w:history="1">
        <w:r w:rsidRPr="00A72DFB">
          <w:rPr>
            <w:rStyle w:val="Hyperlink"/>
            <w:rFonts w:ascii="Arial" w:hAnsi="Arial" w:cs="Arial"/>
            <w:color w:val="1F14F8"/>
            <w:sz w:val="18"/>
            <w:szCs w:val="18"/>
            <w:lang w:val="en-GB"/>
          </w:rPr>
          <w:t>CRPD/C/QAT/CO/1</w:t>
        </w:r>
      </w:hyperlink>
      <w:r>
        <w:rPr>
          <w:rFonts w:ascii="Arial" w:hAnsi="Arial" w:cs="Arial"/>
          <w:sz w:val="18"/>
          <w:szCs w:val="18"/>
          <w:lang w:val="en-GB"/>
        </w:rPr>
        <w:t>, paras. 35 and 36</w:t>
      </w:r>
    </w:p>
  </w:endnote>
  <w:endnote w:id="71">
    <w:p w14:paraId="370F3403" w14:textId="7698C37D"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56" w:history="1">
        <w:r w:rsidRPr="00A72DFB">
          <w:rPr>
            <w:rStyle w:val="Hyperlink"/>
            <w:rFonts w:ascii="Arial" w:hAnsi="Arial" w:cs="Arial"/>
            <w:color w:val="1F14F8"/>
            <w:sz w:val="18"/>
            <w:szCs w:val="18"/>
            <w:lang w:val="en-GB"/>
          </w:rPr>
          <w:t>CRPD/C/AUS/CO/2-3</w:t>
        </w:r>
      </w:hyperlink>
      <w:r w:rsidRPr="00A72DFB">
        <w:rPr>
          <w:rFonts w:ascii="Arial" w:hAnsi="Arial" w:cs="Arial"/>
          <w:sz w:val="18"/>
          <w:szCs w:val="18"/>
          <w:lang w:val="en-GB"/>
        </w:rPr>
        <w:t>, par</w:t>
      </w:r>
      <w:r>
        <w:rPr>
          <w:rFonts w:ascii="Arial" w:hAnsi="Arial" w:cs="Arial"/>
          <w:sz w:val="18"/>
          <w:szCs w:val="18"/>
          <w:lang w:val="en-GB"/>
        </w:rPr>
        <w:t>as. 35 and 36</w:t>
      </w:r>
      <w:r w:rsidRPr="00A72DFB">
        <w:rPr>
          <w:rFonts w:ascii="Arial" w:hAnsi="Arial" w:cs="Arial"/>
          <w:sz w:val="18"/>
          <w:szCs w:val="18"/>
          <w:lang w:val="en-GB"/>
        </w:rPr>
        <w:t xml:space="preserve"> </w:t>
      </w:r>
    </w:p>
  </w:endnote>
  <w:endnote w:id="72">
    <w:p w14:paraId="27704AA6" w14:textId="2B7892B5" w:rsidR="0045374F" w:rsidRPr="0002688C"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57" w:history="1">
        <w:r w:rsidRPr="00A72DFB">
          <w:rPr>
            <w:rStyle w:val="Hyperlink"/>
            <w:rFonts w:ascii="Arial" w:hAnsi="Arial" w:cs="Arial"/>
            <w:color w:val="1F14F8"/>
            <w:sz w:val="18"/>
            <w:szCs w:val="18"/>
            <w:lang w:val="en-GB"/>
          </w:rPr>
          <w:t>CRPD/C/MEX/CO/1</w:t>
        </w:r>
      </w:hyperlink>
      <w:r w:rsidRPr="00A72DFB">
        <w:rPr>
          <w:rFonts w:ascii="Arial" w:hAnsi="Arial" w:cs="Arial"/>
          <w:sz w:val="18"/>
          <w:szCs w:val="18"/>
          <w:lang w:val="en-GB"/>
        </w:rPr>
        <w:t xml:space="preserve">, paras. </w:t>
      </w:r>
      <w:r>
        <w:rPr>
          <w:rFonts w:ascii="Arial" w:hAnsi="Arial" w:cs="Arial"/>
          <w:sz w:val="18"/>
          <w:szCs w:val="18"/>
          <w:lang w:val="en-GB"/>
        </w:rPr>
        <w:t>39 and 40</w:t>
      </w:r>
    </w:p>
  </w:endnote>
  <w:endnote w:id="73">
    <w:p w14:paraId="0ECD4552" w14:textId="248087F7"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Pr>
          <w:rFonts w:ascii="Arial" w:hAnsi="Arial" w:cs="Arial"/>
          <w:sz w:val="18"/>
          <w:szCs w:val="18"/>
          <w:lang w:val="en-GB"/>
        </w:rPr>
        <w:t>CIDH</w:t>
      </w:r>
      <w:r>
        <w:rPr>
          <w:rFonts w:ascii="Arial" w:hAnsi="Arial" w:cs="Arial"/>
          <w:i/>
          <w:sz w:val="18"/>
          <w:szCs w:val="18"/>
          <w:lang w:val="en-GB"/>
        </w:rPr>
        <w:t xml:space="preserve"> </w:t>
      </w:r>
      <w:r>
        <w:rPr>
          <w:rFonts w:ascii="Arial" w:hAnsi="Arial" w:cs="Arial"/>
          <w:sz w:val="18"/>
          <w:szCs w:val="18"/>
          <w:lang w:val="en-GB"/>
        </w:rPr>
        <w:t xml:space="preserve">(n. </w:t>
      </w:r>
      <w:r w:rsidR="00776B79">
        <w:rPr>
          <w:rFonts w:ascii="Arial" w:hAnsi="Arial" w:cs="Arial"/>
          <w:sz w:val="18"/>
          <w:szCs w:val="18"/>
          <w:lang w:val="en-GB"/>
        </w:rPr>
        <w:t>17</w:t>
      </w:r>
      <w:r>
        <w:rPr>
          <w:rFonts w:ascii="Arial" w:hAnsi="Arial" w:cs="Arial"/>
          <w:sz w:val="18"/>
          <w:szCs w:val="18"/>
          <w:lang w:val="en-GB"/>
        </w:rPr>
        <w:t>),</w:t>
      </w:r>
      <w:r w:rsidRPr="00A72DFB">
        <w:rPr>
          <w:rFonts w:ascii="Arial" w:hAnsi="Arial" w:cs="Arial"/>
          <w:sz w:val="18"/>
          <w:szCs w:val="18"/>
          <w:lang w:val="en-GB"/>
        </w:rPr>
        <w:t xml:space="preserve"> para. </w:t>
      </w:r>
      <w:r>
        <w:rPr>
          <w:rFonts w:ascii="Arial" w:hAnsi="Arial" w:cs="Arial"/>
          <w:sz w:val="18"/>
          <w:szCs w:val="18"/>
          <w:lang w:val="en-GB"/>
        </w:rPr>
        <w:t>340</w:t>
      </w:r>
    </w:p>
  </w:endnote>
  <w:endnote w:id="74">
    <w:p w14:paraId="73E90306" w14:textId="55CCE3D3"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Special Rapporteur on torture and other cruel, inhuman or degrading treatment or punishment</w:t>
      </w:r>
      <w:r>
        <w:rPr>
          <w:rFonts w:ascii="Arial" w:hAnsi="Arial" w:cs="Arial"/>
          <w:sz w:val="18"/>
          <w:szCs w:val="18"/>
          <w:lang w:val="en-GB"/>
        </w:rPr>
        <w:t>,</w:t>
      </w:r>
      <w:r w:rsidRPr="00A72DFB">
        <w:rPr>
          <w:rFonts w:ascii="Arial" w:hAnsi="Arial" w:cs="Arial"/>
          <w:sz w:val="18"/>
          <w:szCs w:val="18"/>
          <w:lang w:val="en-GB"/>
        </w:rPr>
        <w:t xml:space="preserve"> </w:t>
      </w:r>
      <w:hyperlink r:id="rId58" w:history="1">
        <w:r w:rsidRPr="00A72DFB">
          <w:rPr>
            <w:rStyle w:val="Hyperlink"/>
            <w:rFonts w:ascii="Arial" w:hAnsi="Arial" w:cs="Arial"/>
            <w:sz w:val="18"/>
            <w:szCs w:val="18"/>
            <w:lang w:val="en-GB"/>
          </w:rPr>
          <w:t>A/HRC/43/49</w:t>
        </w:r>
      </w:hyperlink>
      <w:r>
        <w:rPr>
          <w:rFonts w:ascii="Arial" w:hAnsi="Arial" w:cs="Arial"/>
          <w:sz w:val="18"/>
          <w:szCs w:val="18"/>
          <w:lang w:val="en-GB"/>
        </w:rPr>
        <w:t>, para. 57</w:t>
      </w:r>
    </w:p>
  </w:endnote>
  <w:endnote w:id="75">
    <w:p w14:paraId="46348186" w14:textId="5A195BDD"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CMWF, draf</w:t>
      </w:r>
      <w:r>
        <w:rPr>
          <w:rFonts w:ascii="Arial" w:hAnsi="Arial" w:cs="Arial"/>
          <w:sz w:val="18"/>
          <w:szCs w:val="18"/>
          <w:lang w:val="en-GB"/>
        </w:rPr>
        <w:t>t general comment 5, para. 61</w:t>
      </w:r>
    </w:p>
  </w:endnote>
  <w:endnote w:id="76">
    <w:p w14:paraId="0F7A6BFB" w14:textId="7BDAF620" w:rsidR="0045374F" w:rsidRPr="0002688C" w:rsidRDefault="0045374F" w:rsidP="00C85778">
      <w:pPr>
        <w:pStyle w:val="EndnoteText"/>
        <w:jc w:val="both"/>
        <w:rPr>
          <w:rFonts w:ascii="Arial" w:hAnsi="Arial" w:cs="Arial"/>
          <w:sz w:val="18"/>
          <w:szCs w:val="18"/>
          <w:lang w:val="es-ES"/>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CMWF, dr</w:t>
      </w:r>
      <w:r>
        <w:rPr>
          <w:rFonts w:ascii="Arial" w:hAnsi="Arial" w:cs="Arial"/>
          <w:sz w:val="18"/>
          <w:szCs w:val="18"/>
          <w:lang w:val="en-GB"/>
        </w:rPr>
        <w:t xml:space="preserve">aft general comment 5, para. </w:t>
      </w:r>
      <w:r w:rsidRPr="0002688C">
        <w:rPr>
          <w:rFonts w:ascii="Arial" w:hAnsi="Arial" w:cs="Arial"/>
          <w:sz w:val="18"/>
          <w:szCs w:val="18"/>
          <w:lang w:val="es-ES"/>
        </w:rPr>
        <w:t>62</w:t>
      </w:r>
    </w:p>
  </w:endnote>
  <w:endnote w:id="77">
    <w:p w14:paraId="2F4B4E20" w14:textId="05401C7D" w:rsidR="0045374F" w:rsidRPr="0002688C" w:rsidRDefault="0045374F" w:rsidP="00C85778">
      <w:pPr>
        <w:pStyle w:val="EndnoteText"/>
        <w:jc w:val="both"/>
        <w:rPr>
          <w:rFonts w:ascii="Arial" w:hAnsi="Arial" w:cs="Arial"/>
          <w:sz w:val="18"/>
          <w:szCs w:val="18"/>
          <w:lang w:val="es-ES"/>
        </w:rPr>
      </w:pPr>
      <w:r w:rsidRPr="00A72DFB">
        <w:rPr>
          <w:rStyle w:val="EndnoteReference"/>
          <w:rFonts w:ascii="Arial" w:hAnsi="Arial" w:cs="Arial"/>
          <w:sz w:val="18"/>
          <w:szCs w:val="18"/>
          <w:lang w:val="en-GB"/>
        </w:rPr>
        <w:endnoteRef/>
      </w:r>
      <w:r w:rsidRPr="0002688C">
        <w:rPr>
          <w:rFonts w:ascii="Arial" w:hAnsi="Arial" w:cs="Arial"/>
          <w:sz w:val="18"/>
          <w:szCs w:val="18"/>
          <w:lang w:val="es-ES"/>
        </w:rPr>
        <w:t xml:space="preserve"> </w:t>
      </w:r>
      <w:hyperlink r:id="rId59" w:history="1">
        <w:r w:rsidRPr="0002688C">
          <w:rPr>
            <w:rStyle w:val="Hyperlink"/>
            <w:rFonts w:ascii="Arial" w:hAnsi="Arial" w:cs="Arial"/>
            <w:sz w:val="18"/>
            <w:szCs w:val="18"/>
            <w:lang w:val="es-ES"/>
          </w:rPr>
          <w:t>CRPD/C/MEX/CO/1</w:t>
        </w:r>
      </w:hyperlink>
      <w:r w:rsidRPr="0002688C">
        <w:rPr>
          <w:rStyle w:val="Hyperlink"/>
          <w:rFonts w:ascii="Arial" w:hAnsi="Arial" w:cs="Arial"/>
          <w:sz w:val="18"/>
          <w:szCs w:val="18"/>
          <w:lang w:val="es-ES"/>
        </w:rPr>
        <w:t>,</w:t>
      </w:r>
      <w:r w:rsidRPr="0002688C">
        <w:rPr>
          <w:rFonts w:ascii="Arial" w:hAnsi="Arial" w:cs="Arial"/>
          <w:sz w:val="18"/>
          <w:szCs w:val="18"/>
          <w:lang w:val="es-ES"/>
        </w:rPr>
        <w:t xml:space="preserve"> para 40(c)</w:t>
      </w:r>
    </w:p>
  </w:endnote>
  <w:endnote w:id="78">
    <w:p w14:paraId="62EE7423" w14:textId="342DF0E5"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60" w:history="1">
        <w:r w:rsidRPr="00A72DFB">
          <w:rPr>
            <w:rStyle w:val="Hyperlink"/>
            <w:rFonts w:ascii="Arial" w:hAnsi="Arial" w:cs="Arial"/>
            <w:sz w:val="18"/>
            <w:szCs w:val="18"/>
            <w:lang w:val="en-GB"/>
          </w:rPr>
          <w:t>A/HRC/17/33/Add.3</w:t>
        </w:r>
      </w:hyperlink>
      <w:r w:rsidRPr="00A72DFB">
        <w:rPr>
          <w:rFonts w:ascii="Arial" w:hAnsi="Arial" w:cs="Arial"/>
          <w:sz w:val="18"/>
          <w:szCs w:val="18"/>
          <w:lang w:val="en-GB"/>
        </w:rPr>
        <w:t>, 2011, para 69.</w:t>
      </w:r>
      <w:r>
        <w:rPr>
          <w:rFonts w:ascii="Arial" w:hAnsi="Arial" w:cs="Arial"/>
          <w:sz w:val="18"/>
          <w:szCs w:val="18"/>
          <w:lang w:val="en-GB"/>
        </w:rPr>
        <w:t xml:space="preserve"> “</w:t>
      </w:r>
      <w:r w:rsidRPr="00A72DFB">
        <w:rPr>
          <w:rFonts w:ascii="Arial" w:hAnsi="Arial" w:cs="Arial"/>
          <w:sz w:val="18"/>
          <w:szCs w:val="18"/>
          <w:lang w:val="en-GB"/>
        </w:rPr>
        <w:t>Migrant parents have difficulties in obtaining the financial support to which they are entitled for their disabled children, and children who require urgent psychological attention must wait eight months to one year in order to re</w:t>
      </w:r>
      <w:r>
        <w:rPr>
          <w:rFonts w:ascii="Arial" w:hAnsi="Arial" w:cs="Arial"/>
          <w:sz w:val="18"/>
          <w:szCs w:val="18"/>
          <w:lang w:val="en-GB"/>
        </w:rPr>
        <w:t>ceive it.” See also its para. 81</w:t>
      </w:r>
    </w:p>
  </w:endnote>
  <w:endnote w:id="79">
    <w:p w14:paraId="56D84925" w14:textId="6CF9E40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Supreme Court of Argentina, decision </w:t>
      </w:r>
      <w:r w:rsidRPr="00A72DFB">
        <w:rPr>
          <w:rFonts w:ascii="Arial" w:hAnsi="Arial" w:cs="Arial"/>
          <w:i/>
          <w:sz w:val="18"/>
          <w:szCs w:val="18"/>
          <w:lang w:val="en-GB"/>
        </w:rPr>
        <w:t>Reyes Aguilera, D v National Government</w:t>
      </w:r>
      <w:r>
        <w:rPr>
          <w:rFonts w:ascii="Arial" w:hAnsi="Arial" w:cs="Arial"/>
          <w:sz w:val="18"/>
          <w:szCs w:val="18"/>
          <w:lang w:val="en-GB"/>
        </w:rPr>
        <w:t>, 7 September 2007</w:t>
      </w:r>
    </w:p>
  </w:endnote>
  <w:endnote w:id="80">
    <w:p w14:paraId="31CB8247" w14:textId="6E698CDA"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hyperlink r:id="rId61" w:history="1">
        <w:r w:rsidRPr="00A72DFB">
          <w:rPr>
            <w:rStyle w:val="Hyperlink"/>
            <w:rFonts w:ascii="Arial" w:hAnsi="Arial" w:cs="Arial"/>
            <w:sz w:val="18"/>
            <w:szCs w:val="18"/>
            <w:lang w:val="en-GB"/>
          </w:rPr>
          <w:t>CMW/C/ARG/CO/1</w:t>
        </w:r>
      </w:hyperlink>
      <w:r>
        <w:rPr>
          <w:rFonts w:ascii="Arial" w:hAnsi="Arial" w:cs="Arial"/>
          <w:sz w:val="18"/>
          <w:szCs w:val="18"/>
          <w:lang w:val="en-GB"/>
        </w:rPr>
        <w:t>, p</w:t>
      </w:r>
      <w:r w:rsidRPr="00A72DFB">
        <w:rPr>
          <w:rFonts w:ascii="Arial" w:hAnsi="Arial" w:cs="Arial"/>
          <w:sz w:val="18"/>
          <w:szCs w:val="18"/>
          <w:lang w:val="en-GB"/>
        </w:rPr>
        <w:t>aras. 4 and 30. In Argentina, article 9 of Law no 13478 for the assignment of allowances for the elderly and persons with disabilities, deprives equal access to benefits for children with disabilities due to a prerequisite of 20 years residence before being permitte</w:t>
      </w:r>
      <w:r>
        <w:rPr>
          <w:rFonts w:ascii="Arial" w:hAnsi="Arial" w:cs="Arial"/>
          <w:sz w:val="18"/>
          <w:szCs w:val="18"/>
          <w:lang w:val="en-GB"/>
        </w:rPr>
        <w:t>d to access disability benefits</w:t>
      </w:r>
    </w:p>
  </w:endnote>
  <w:endnote w:id="81">
    <w:p w14:paraId="04E24A46" w14:textId="02A4838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62" w:history="1">
        <w:r w:rsidRPr="00C734BF">
          <w:rPr>
            <w:rStyle w:val="Hyperlink"/>
            <w:rFonts w:ascii="Arial" w:hAnsi="Arial" w:cs="Arial"/>
            <w:sz w:val="18"/>
            <w:szCs w:val="18"/>
            <w:lang w:val="en-GB"/>
          </w:rPr>
          <w:t>CRPD/C/GC/5</w:t>
        </w:r>
      </w:hyperlink>
    </w:p>
  </w:endnote>
  <w:endnote w:id="82">
    <w:p w14:paraId="3B636F73" w14:textId="2B33CFB0"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63" w:history="1">
        <w:r w:rsidRPr="00A72DFB">
          <w:rPr>
            <w:rStyle w:val="Hyperlink"/>
            <w:rFonts w:ascii="Arial" w:hAnsi="Arial" w:cs="Arial"/>
            <w:color w:val="1F14F8"/>
            <w:sz w:val="18"/>
            <w:szCs w:val="18"/>
            <w:lang w:val="en-GB"/>
          </w:rPr>
          <w:t>CRPD/C/NER/CO/1</w:t>
        </w:r>
      </w:hyperlink>
      <w:r w:rsidRPr="00A72DFB">
        <w:rPr>
          <w:rFonts w:ascii="Arial" w:hAnsi="Arial" w:cs="Arial"/>
          <w:sz w:val="18"/>
          <w:szCs w:val="18"/>
          <w:lang w:val="en-GB"/>
        </w:rPr>
        <w:t xml:space="preserve">, paras. 31 and 32(a); </w:t>
      </w:r>
      <w:hyperlink r:id="rId64" w:history="1">
        <w:r w:rsidRPr="00A72DFB">
          <w:rPr>
            <w:rStyle w:val="Hyperlink"/>
            <w:rFonts w:ascii="Arial" w:hAnsi="Arial" w:cs="Arial"/>
            <w:color w:val="1F14F8"/>
            <w:sz w:val="18"/>
            <w:szCs w:val="18"/>
            <w:lang w:val="en-GB"/>
          </w:rPr>
          <w:t>CRPD/C/SEN/CO/1</w:t>
        </w:r>
      </w:hyperlink>
      <w:r w:rsidRPr="00A72DFB">
        <w:rPr>
          <w:rFonts w:ascii="Arial" w:hAnsi="Arial" w:cs="Arial"/>
          <w:sz w:val="18"/>
          <w:szCs w:val="18"/>
          <w:lang w:val="en-GB"/>
        </w:rPr>
        <w:t xml:space="preserve">, paras. 33 and 34; and See e.g. </w:t>
      </w:r>
      <w:hyperlink r:id="rId65" w:history="1">
        <w:r w:rsidRPr="00A72DFB">
          <w:rPr>
            <w:rStyle w:val="Hyperlink"/>
            <w:rFonts w:ascii="Arial" w:hAnsi="Arial" w:cs="Arial"/>
            <w:color w:val="1F14F8"/>
            <w:sz w:val="18"/>
            <w:szCs w:val="18"/>
            <w:lang w:val="en-GB"/>
          </w:rPr>
          <w:t>CRPD/C/OMN/CO/1</w:t>
        </w:r>
      </w:hyperlink>
      <w:r w:rsidRPr="00A72DFB">
        <w:rPr>
          <w:rStyle w:val="Hyperlink"/>
          <w:rFonts w:ascii="Arial" w:hAnsi="Arial" w:cs="Arial"/>
          <w:color w:val="000000" w:themeColor="text1"/>
          <w:sz w:val="18"/>
          <w:szCs w:val="18"/>
          <w:u w:val="none"/>
          <w:lang w:val="en-GB"/>
        </w:rPr>
        <w:t>, paras. 35 and 36</w:t>
      </w:r>
    </w:p>
  </w:endnote>
  <w:endnote w:id="83">
    <w:p w14:paraId="0EA6DE69" w14:textId="62CEF49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66" w:history="1">
        <w:r w:rsidRPr="00A72DFB">
          <w:rPr>
            <w:rStyle w:val="Hyperlink"/>
            <w:rFonts w:ascii="Arial" w:hAnsi="Arial" w:cs="Arial"/>
            <w:sz w:val="18"/>
            <w:szCs w:val="18"/>
            <w:lang w:val="en-GB"/>
          </w:rPr>
          <w:t>CMW/C/ARG/CO/1</w:t>
        </w:r>
      </w:hyperlink>
      <w:r w:rsidRPr="00A72DFB">
        <w:rPr>
          <w:rFonts w:ascii="Arial" w:hAnsi="Arial" w:cs="Arial"/>
          <w:sz w:val="18"/>
          <w:szCs w:val="18"/>
          <w:lang w:val="en-GB"/>
        </w:rPr>
        <w:t xml:space="preserve">, Paras. 4 and 30, and </w:t>
      </w:r>
      <w:hyperlink r:id="rId67" w:history="1">
        <w:r w:rsidRPr="00A72DFB">
          <w:rPr>
            <w:rStyle w:val="Hyperlink"/>
            <w:rFonts w:ascii="Arial" w:hAnsi="Arial" w:cs="Arial"/>
            <w:color w:val="1F14F8"/>
            <w:sz w:val="18"/>
            <w:szCs w:val="18"/>
            <w:lang w:val="en-GB"/>
          </w:rPr>
          <w:t>CRPD/C/ARG/CO/1</w:t>
        </w:r>
      </w:hyperlink>
      <w:r>
        <w:rPr>
          <w:rFonts w:ascii="Arial" w:hAnsi="Arial" w:cs="Arial"/>
          <w:sz w:val="18"/>
          <w:szCs w:val="18"/>
          <w:lang w:val="en-GB"/>
        </w:rPr>
        <w:t>, para. 46</w:t>
      </w:r>
    </w:p>
  </w:endnote>
  <w:endnote w:id="84">
    <w:p w14:paraId="0E784653" w14:textId="355E30D5"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68" w:history="1">
        <w:r w:rsidRPr="0002688C">
          <w:rPr>
            <w:rStyle w:val="Hyperlink"/>
            <w:rFonts w:ascii="Arial" w:hAnsi="Arial" w:cs="Arial"/>
            <w:sz w:val="18"/>
            <w:szCs w:val="18"/>
            <w:lang w:val="en-GB"/>
          </w:rPr>
          <w:t>A/70/297</w:t>
        </w:r>
      </w:hyperlink>
      <w:r>
        <w:rPr>
          <w:rFonts w:ascii="Arial" w:hAnsi="Arial" w:cs="Arial"/>
          <w:sz w:val="18"/>
          <w:szCs w:val="18"/>
          <w:lang w:val="en-GB"/>
        </w:rPr>
        <w:t>, paras. 29-33</w:t>
      </w:r>
    </w:p>
  </w:endnote>
  <w:endnote w:id="85">
    <w:p w14:paraId="4501B276" w14:textId="66EC2A18"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r w:rsidR="0070538A" w:rsidRPr="00A72DFB">
        <w:rPr>
          <w:rFonts w:ascii="Arial" w:hAnsi="Arial" w:cs="Arial"/>
          <w:sz w:val="18"/>
          <w:szCs w:val="18"/>
          <w:lang w:val="en-GB"/>
        </w:rPr>
        <w:t>e.g.</w:t>
      </w:r>
      <w:r w:rsidRPr="00A72DFB">
        <w:rPr>
          <w:rFonts w:ascii="Arial" w:hAnsi="Arial" w:cs="Arial"/>
          <w:sz w:val="18"/>
          <w:szCs w:val="18"/>
          <w:lang w:val="en-GB"/>
        </w:rPr>
        <w:t xml:space="preserve">, </w:t>
      </w:r>
      <w:hyperlink r:id="rId69" w:history="1">
        <w:r w:rsidRPr="00A72DFB">
          <w:rPr>
            <w:rStyle w:val="Hyperlink"/>
            <w:rFonts w:ascii="Arial" w:hAnsi="Arial" w:cs="Arial"/>
            <w:color w:val="1F14F8"/>
            <w:sz w:val="18"/>
            <w:szCs w:val="18"/>
            <w:lang w:val="en-GB"/>
          </w:rPr>
          <w:t>CRPD/C/ECU/CO/2-3</w:t>
        </w:r>
      </w:hyperlink>
      <w:r w:rsidRPr="00A72DFB">
        <w:rPr>
          <w:rFonts w:ascii="Arial" w:hAnsi="Arial" w:cs="Arial"/>
          <w:sz w:val="18"/>
          <w:szCs w:val="18"/>
          <w:lang w:val="en-GB"/>
        </w:rPr>
        <w:t xml:space="preserve">, paras. 49 and 50(a); </w:t>
      </w:r>
      <w:hyperlink r:id="rId70" w:history="1">
        <w:r w:rsidRPr="00A72DFB">
          <w:rPr>
            <w:rStyle w:val="Hyperlink"/>
            <w:rFonts w:ascii="Arial" w:hAnsi="Arial" w:cs="Arial"/>
            <w:color w:val="1F14F8"/>
            <w:sz w:val="18"/>
            <w:szCs w:val="18"/>
            <w:lang w:val="en-GB"/>
          </w:rPr>
          <w:t>CRPD/C/SLV/CO/2-3</w:t>
        </w:r>
      </w:hyperlink>
      <w:r>
        <w:rPr>
          <w:rFonts w:ascii="Arial" w:hAnsi="Arial" w:cs="Arial"/>
          <w:sz w:val="18"/>
          <w:szCs w:val="18"/>
          <w:lang w:val="en-GB"/>
        </w:rPr>
        <w:t>, paras. 52 and 53(b)</w:t>
      </w:r>
    </w:p>
  </w:endnote>
  <w:endnote w:id="86">
    <w:p w14:paraId="24D85467" w14:textId="5F53BE84"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71" w:history="1">
        <w:r w:rsidRPr="00A72DFB">
          <w:rPr>
            <w:rStyle w:val="Hyperlink"/>
            <w:rFonts w:ascii="Arial" w:hAnsi="Arial" w:cs="Arial"/>
            <w:color w:val="1F14F8"/>
            <w:sz w:val="18"/>
            <w:szCs w:val="18"/>
            <w:lang w:val="en-GB"/>
          </w:rPr>
          <w:t>CRPD/C/ARG/CO/1</w:t>
        </w:r>
      </w:hyperlink>
      <w:r>
        <w:rPr>
          <w:rFonts w:ascii="Arial" w:hAnsi="Arial" w:cs="Arial"/>
          <w:sz w:val="18"/>
          <w:szCs w:val="18"/>
          <w:lang w:val="en-GB"/>
        </w:rPr>
        <w:t>, para. 46</w:t>
      </w:r>
      <w:r w:rsidRPr="00A72DFB">
        <w:rPr>
          <w:rFonts w:ascii="Arial" w:hAnsi="Arial" w:cs="Arial"/>
          <w:sz w:val="18"/>
          <w:szCs w:val="18"/>
          <w:lang w:val="en-GB"/>
        </w:rPr>
        <w:t xml:space="preserve"> </w:t>
      </w:r>
    </w:p>
  </w:endnote>
  <w:endnote w:id="87">
    <w:p w14:paraId="51C1F7B5" w14:textId="00EEB04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72" w:history="1">
        <w:r w:rsidRPr="00A72DFB">
          <w:rPr>
            <w:rStyle w:val="Hyperlink"/>
            <w:rFonts w:ascii="Arial" w:hAnsi="Arial" w:cs="Arial"/>
            <w:color w:val="1F14F8"/>
            <w:sz w:val="18"/>
            <w:szCs w:val="18"/>
            <w:lang w:val="en-GB"/>
          </w:rPr>
          <w:t>CRPD/C/DOM/CO/1</w:t>
        </w:r>
      </w:hyperlink>
      <w:r>
        <w:rPr>
          <w:rFonts w:ascii="Arial" w:hAnsi="Arial" w:cs="Arial"/>
          <w:sz w:val="18"/>
          <w:szCs w:val="18"/>
          <w:lang w:val="en-GB"/>
        </w:rPr>
        <w:t>, paras. 36 and 37</w:t>
      </w:r>
    </w:p>
  </w:endnote>
  <w:endnote w:id="88">
    <w:p w14:paraId="6C9AE487" w14:textId="3D33D9EF"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w:t>
      </w:r>
      <w:hyperlink r:id="rId73" w:history="1">
        <w:r w:rsidRPr="00A72DFB">
          <w:rPr>
            <w:rStyle w:val="Hyperlink"/>
            <w:rFonts w:ascii="Arial" w:eastAsia="Times New Roman" w:hAnsi="Arial" w:cs="Arial"/>
            <w:bCs/>
            <w:sz w:val="18"/>
            <w:szCs w:val="18"/>
            <w:lang w:val="en-GB"/>
          </w:rPr>
          <w:t>CMW/C/GC/3-CRC/C/GC/22</w:t>
        </w:r>
      </w:hyperlink>
      <w:r w:rsidRPr="00A72DFB">
        <w:rPr>
          <w:rFonts w:ascii="Arial" w:eastAsia="Times New Roman" w:hAnsi="Arial" w:cs="Arial"/>
          <w:bCs/>
          <w:sz w:val="18"/>
          <w:szCs w:val="18"/>
          <w:lang w:val="en-GB"/>
        </w:rPr>
        <w:t xml:space="preserve">, para. </w:t>
      </w:r>
      <w:r>
        <w:rPr>
          <w:rFonts w:ascii="Arial" w:hAnsi="Arial" w:cs="Arial"/>
          <w:sz w:val="18"/>
          <w:szCs w:val="18"/>
          <w:lang w:val="en-GB"/>
        </w:rPr>
        <w:t>16</w:t>
      </w:r>
    </w:p>
  </w:endnote>
  <w:endnote w:id="89">
    <w:p w14:paraId="6496BFE4" w14:textId="0CA32EA1" w:rsidR="0045374F" w:rsidRPr="00A72DFB" w:rsidRDefault="0045374F" w:rsidP="00C85778">
      <w:pPr>
        <w:pBdr>
          <w:top w:val="nil"/>
          <w:left w:val="nil"/>
          <w:bottom w:val="nil"/>
          <w:right w:val="nil"/>
          <w:between w:val="nil"/>
        </w:pBdr>
        <w:jc w:val="both"/>
        <w:rPr>
          <w:rFonts w:ascii="Arial" w:eastAsia="Arial" w:hAnsi="Arial" w:cs="Arial"/>
          <w:color w:val="000000"/>
          <w:sz w:val="18"/>
          <w:szCs w:val="18"/>
          <w:lang w:val="en-GB"/>
        </w:rPr>
      </w:pPr>
      <w:r w:rsidRPr="00A72DFB">
        <w:rPr>
          <w:rStyle w:val="EndnoteReference"/>
          <w:rFonts w:ascii="Arial" w:hAnsi="Arial" w:cs="Arial"/>
          <w:sz w:val="18"/>
          <w:szCs w:val="18"/>
          <w:lang w:val="en-GB"/>
        </w:rPr>
        <w:endnoteRef/>
      </w:r>
      <w:r w:rsidRPr="00A72DFB">
        <w:rPr>
          <w:rFonts w:ascii="Arial" w:eastAsia="Arial" w:hAnsi="Arial" w:cs="Arial"/>
          <w:color w:val="000000"/>
          <w:sz w:val="18"/>
          <w:szCs w:val="18"/>
          <w:lang w:val="en-GB"/>
        </w:rPr>
        <w:t xml:space="preserve"> </w:t>
      </w:r>
      <w:r>
        <w:rPr>
          <w:rFonts w:ascii="Arial" w:eastAsia="Arial" w:hAnsi="Arial" w:cs="Arial"/>
          <w:color w:val="000000"/>
          <w:sz w:val="18"/>
          <w:szCs w:val="18"/>
          <w:lang w:val="en-GB"/>
        </w:rPr>
        <w:t xml:space="preserve">FRA - </w:t>
      </w:r>
      <w:hyperlink r:id="rId74" w:history="1">
        <w:r w:rsidRPr="00A72DFB">
          <w:rPr>
            <w:rStyle w:val="Hyperlink"/>
            <w:rFonts w:ascii="Arial" w:eastAsia="Arial" w:hAnsi="Arial" w:cs="Arial"/>
            <w:bCs/>
            <w:sz w:val="18"/>
            <w:szCs w:val="18"/>
            <w:lang w:val="en-GB"/>
          </w:rPr>
          <w:t>Monthly data collection on the current migration situation in the EU</w:t>
        </w:r>
      </w:hyperlink>
      <w:r w:rsidRPr="00A72DFB">
        <w:rPr>
          <w:rFonts w:ascii="Arial" w:eastAsia="Arial" w:hAnsi="Arial" w:cs="Arial"/>
          <w:bCs/>
          <w:color w:val="000000"/>
          <w:sz w:val="18"/>
          <w:szCs w:val="18"/>
          <w:lang w:val="en-GB"/>
        </w:rPr>
        <w:t>, 201</w:t>
      </w:r>
      <w:r>
        <w:rPr>
          <w:rFonts w:ascii="Arial" w:eastAsia="Arial" w:hAnsi="Arial" w:cs="Arial"/>
          <w:bCs/>
          <w:color w:val="000000"/>
          <w:sz w:val="18"/>
          <w:szCs w:val="18"/>
          <w:lang w:val="en-GB"/>
        </w:rPr>
        <w:t>6 monthly report 1–31 July 2016</w:t>
      </w:r>
    </w:p>
  </w:endnote>
  <w:endnote w:id="90">
    <w:p w14:paraId="0A127E41" w14:textId="79DF23A5"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Pr>
          <w:rFonts w:ascii="Arial" w:hAnsi="Arial" w:cs="Arial"/>
          <w:sz w:val="18"/>
          <w:szCs w:val="18"/>
          <w:lang w:val="en-GB"/>
        </w:rPr>
        <w:t xml:space="preserve">FRA (n. </w:t>
      </w:r>
      <w:r w:rsidR="00776B79">
        <w:rPr>
          <w:rFonts w:ascii="Arial" w:hAnsi="Arial" w:cs="Arial"/>
          <w:sz w:val="18"/>
          <w:szCs w:val="18"/>
          <w:lang w:val="en-GB"/>
        </w:rPr>
        <w:t>89</w:t>
      </w:r>
      <w:r>
        <w:rPr>
          <w:rFonts w:ascii="Arial" w:hAnsi="Arial" w:cs="Arial"/>
          <w:sz w:val="18"/>
          <w:szCs w:val="18"/>
          <w:lang w:val="en-GB"/>
        </w:rPr>
        <w:t>)</w:t>
      </w:r>
      <w:r w:rsidRPr="00A72DFB">
        <w:rPr>
          <w:rFonts w:ascii="Arial" w:hAnsi="Arial" w:cs="Arial"/>
          <w:i/>
          <w:sz w:val="18"/>
          <w:szCs w:val="18"/>
          <w:lang w:val="en-GB"/>
        </w:rPr>
        <w:t>,</w:t>
      </w:r>
      <w:r w:rsidRPr="00A72DFB">
        <w:rPr>
          <w:rFonts w:ascii="Arial" w:hAnsi="Arial" w:cs="Arial"/>
          <w:sz w:val="18"/>
          <w:szCs w:val="18"/>
          <w:lang w:val="en-GB"/>
        </w:rPr>
        <w:t xml:space="preserve"> stating: </w:t>
      </w:r>
      <w:r w:rsidRPr="00A72DFB">
        <w:rPr>
          <w:rFonts w:ascii="Arial" w:eastAsia="Arial" w:hAnsi="Arial" w:cs="Arial"/>
          <w:color w:val="000000"/>
          <w:sz w:val="18"/>
          <w:szCs w:val="18"/>
          <w:lang w:val="en-GB"/>
        </w:rPr>
        <w:t>“Anecdotal evidence suggests that mental health issues, and notably post-traumatic stress disorder (PTSD), are particularly prevalent, tied both to traumas experienced in the country of origin and on the journey […]”</w:t>
      </w:r>
    </w:p>
  </w:endnote>
  <w:endnote w:id="91">
    <w:p w14:paraId="37C99687" w14:textId="2A864C3E"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75" w:history="1">
        <w:r w:rsidRPr="00A72DFB">
          <w:rPr>
            <w:rStyle w:val="Hyperlink"/>
            <w:rFonts w:ascii="Arial" w:hAnsi="Arial" w:cs="Arial"/>
            <w:color w:val="1F14F8"/>
            <w:sz w:val="18"/>
            <w:szCs w:val="18"/>
            <w:lang w:val="en-GB"/>
          </w:rPr>
          <w:t>CRPD/C/ARE/CO/1</w:t>
        </w:r>
      </w:hyperlink>
      <w:r w:rsidRPr="00A72DFB">
        <w:rPr>
          <w:rStyle w:val="Hyperlink"/>
          <w:rFonts w:ascii="Arial" w:hAnsi="Arial" w:cs="Arial"/>
          <w:color w:val="1F14F8"/>
          <w:sz w:val="18"/>
          <w:szCs w:val="18"/>
          <w:lang w:val="en-GB"/>
        </w:rPr>
        <w:t>,</w:t>
      </w:r>
      <w:r>
        <w:rPr>
          <w:rFonts w:ascii="Arial" w:hAnsi="Arial" w:cs="Arial"/>
          <w:sz w:val="18"/>
          <w:szCs w:val="18"/>
          <w:lang w:val="en-GB"/>
        </w:rPr>
        <w:t xml:space="preserve"> paras. 35 and 36</w:t>
      </w:r>
    </w:p>
  </w:endnote>
  <w:endnote w:id="92">
    <w:p w14:paraId="2EDBD092" w14:textId="0C5888B8" w:rsidR="0045374F" w:rsidRPr="00C734BF"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Pr>
          <w:rFonts w:ascii="Arial" w:hAnsi="Arial" w:cs="Arial"/>
          <w:sz w:val="18"/>
          <w:szCs w:val="18"/>
          <w:lang w:val="en-GB"/>
        </w:rPr>
        <w:t xml:space="preserve">FRA (n. </w:t>
      </w:r>
      <w:r w:rsidR="00776B79">
        <w:rPr>
          <w:rFonts w:ascii="Arial" w:hAnsi="Arial" w:cs="Arial"/>
          <w:sz w:val="18"/>
          <w:szCs w:val="18"/>
          <w:lang w:val="en-GB"/>
        </w:rPr>
        <w:t>89</w:t>
      </w:r>
      <w:r>
        <w:rPr>
          <w:rFonts w:ascii="Arial" w:hAnsi="Arial" w:cs="Arial"/>
          <w:sz w:val="18"/>
          <w:szCs w:val="18"/>
          <w:lang w:val="en-GB"/>
        </w:rPr>
        <w:t>)</w:t>
      </w:r>
    </w:p>
  </w:endnote>
  <w:endnote w:id="93">
    <w:p w14:paraId="246B04FD" w14:textId="2E8828AE" w:rsidR="0045374F" w:rsidRPr="00162A0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w:t>
      </w:r>
      <w:r>
        <w:rPr>
          <w:rFonts w:ascii="Arial" w:hAnsi="Arial" w:cs="Arial"/>
          <w:sz w:val="18"/>
          <w:szCs w:val="18"/>
          <w:lang w:val="en-GB"/>
        </w:rPr>
        <w:t xml:space="preserve">FRA (n. </w:t>
      </w:r>
      <w:r w:rsidR="00776B79">
        <w:rPr>
          <w:rFonts w:ascii="Arial" w:hAnsi="Arial" w:cs="Arial"/>
          <w:sz w:val="18"/>
          <w:szCs w:val="18"/>
          <w:lang w:val="en-GB"/>
        </w:rPr>
        <w:t>89</w:t>
      </w:r>
      <w:r>
        <w:rPr>
          <w:rFonts w:ascii="Arial" w:hAnsi="Arial" w:cs="Arial"/>
          <w:sz w:val="18"/>
          <w:szCs w:val="18"/>
          <w:lang w:val="en-GB"/>
        </w:rPr>
        <w:t>)</w:t>
      </w:r>
    </w:p>
  </w:endnote>
  <w:endnote w:id="94">
    <w:p w14:paraId="4A5A3207" w14:textId="69941769"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76" w:history="1">
        <w:r w:rsidRPr="00A72DFB">
          <w:rPr>
            <w:rStyle w:val="Hyperlink"/>
            <w:rFonts w:ascii="Arial" w:hAnsi="Arial" w:cs="Arial"/>
            <w:sz w:val="18"/>
            <w:szCs w:val="18"/>
            <w:lang w:val="en-GB"/>
          </w:rPr>
          <w:t>CRPD/C/ALB/CO/1</w:t>
        </w:r>
      </w:hyperlink>
      <w:r w:rsidRPr="00A72DFB">
        <w:rPr>
          <w:rFonts w:ascii="Arial" w:hAnsi="Arial" w:cs="Arial"/>
          <w:sz w:val="18"/>
          <w:szCs w:val="18"/>
          <w:lang w:val="en-GB"/>
        </w:rPr>
        <w:t xml:space="preserve">, para. 52(b). These tools have been tested also in the context of humanitarian action. See e.g. </w:t>
      </w:r>
      <w:hyperlink r:id="rId77" w:history="1">
        <w:r w:rsidRPr="00A72DFB">
          <w:rPr>
            <w:rStyle w:val="Hyperlink"/>
            <w:rFonts w:ascii="Arial" w:hAnsi="Arial" w:cs="Arial"/>
            <w:sz w:val="18"/>
            <w:szCs w:val="18"/>
            <w:lang w:val="en-GB"/>
          </w:rPr>
          <w:t>https://humanity-inclusion.org.uk/en/projects/disability-data-in-humanitarian-action</w:t>
        </w:r>
      </w:hyperlink>
    </w:p>
  </w:endnote>
  <w:endnote w:id="95">
    <w:p w14:paraId="591B98AC" w14:textId="228E1F83" w:rsidR="0045374F" w:rsidRPr="00A72DFB" w:rsidRDefault="0045374F" w:rsidP="00C85778">
      <w:pPr>
        <w:pStyle w:val="EndnoteText"/>
        <w:jc w:val="both"/>
        <w:rPr>
          <w:rFonts w:ascii="Arial" w:hAnsi="Arial" w:cs="Arial"/>
          <w:sz w:val="18"/>
          <w:szCs w:val="18"/>
          <w:lang w:val="en-GB"/>
        </w:rPr>
      </w:pPr>
      <w:r w:rsidRPr="00A72DFB">
        <w:rPr>
          <w:rStyle w:val="EndnoteReference"/>
          <w:rFonts w:ascii="Arial" w:hAnsi="Arial" w:cs="Arial"/>
          <w:sz w:val="18"/>
          <w:szCs w:val="18"/>
          <w:lang w:val="en-GB"/>
        </w:rPr>
        <w:endnoteRef/>
      </w:r>
      <w:r w:rsidRPr="00A72DFB">
        <w:rPr>
          <w:rFonts w:ascii="Arial" w:hAnsi="Arial" w:cs="Arial"/>
          <w:sz w:val="18"/>
          <w:szCs w:val="18"/>
          <w:lang w:val="en-GB"/>
        </w:rPr>
        <w:t xml:space="preserve"> See e.g. </w:t>
      </w:r>
      <w:hyperlink r:id="rId78" w:history="1">
        <w:r w:rsidRPr="00A72DFB">
          <w:rPr>
            <w:rStyle w:val="Hyperlink"/>
            <w:rFonts w:ascii="Arial" w:hAnsi="Arial" w:cs="Arial"/>
            <w:sz w:val="18"/>
            <w:szCs w:val="18"/>
            <w:lang w:val="en-GB"/>
          </w:rPr>
          <w:t>CRPD/C/ALB/CO/1</w:t>
        </w:r>
      </w:hyperlink>
      <w:r w:rsidRPr="00A72DFB">
        <w:rPr>
          <w:rFonts w:ascii="Arial" w:hAnsi="Arial" w:cs="Arial"/>
          <w:sz w:val="18"/>
          <w:szCs w:val="18"/>
          <w:lang w:val="en-GB"/>
        </w:rPr>
        <w:t xml:space="preserve">, para. 52(b). These tools have been tested also in the context of humanitarian action. See e.g. </w:t>
      </w:r>
      <w:hyperlink r:id="rId79" w:history="1">
        <w:r w:rsidRPr="00A72DFB">
          <w:rPr>
            <w:rStyle w:val="Hyperlink"/>
            <w:rFonts w:ascii="Arial" w:hAnsi="Arial" w:cs="Arial"/>
            <w:sz w:val="18"/>
            <w:szCs w:val="18"/>
            <w:lang w:val="en-GB"/>
          </w:rPr>
          <w:t>https://humanity-inclusion.org.uk/en/projects/disability-data-in-humanitarian-action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7F52" w14:textId="77777777" w:rsidR="0045374F" w:rsidRDefault="0045374F" w:rsidP="00CF4F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660C7" w14:textId="77777777" w:rsidR="0045374F" w:rsidRDefault="0045374F" w:rsidP="009B5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3C23" w14:textId="77777777" w:rsidR="0045374F" w:rsidRPr="0002688C" w:rsidRDefault="0045374F" w:rsidP="00CF4FAC">
    <w:pPr>
      <w:pStyle w:val="Footer"/>
      <w:framePr w:wrap="none" w:vAnchor="text" w:hAnchor="margin" w:xAlign="right" w:y="1"/>
      <w:rPr>
        <w:rStyle w:val="PageNumber"/>
        <w:lang w:val="en-US"/>
      </w:rPr>
    </w:pPr>
    <w:r>
      <w:rPr>
        <w:rStyle w:val="PageNumber"/>
      </w:rPr>
      <w:fldChar w:fldCharType="begin"/>
    </w:r>
    <w:r w:rsidRPr="0002688C">
      <w:rPr>
        <w:rStyle w:val="PageNumber"/>
        <w:lang w:val="en-US"/>
      </w:rPr>
      <w:instrText xml:space="preserve">PAGE  </w:instrText>
    </w:r>
    <w:r>
      <w:rPr>
        <w:rStyle w:val="PageNumber"/>
      </w:rPr>
      <w:fldChar w:fldCharType="separate"/>
    </w:r>
    <w:r>
      <w:rPr>
        <w:rStyle w:val="PageNumber"/>
        <w:noProof/>
        <w:lang w:val="en-US"/>
      </w:rPr>
      <w:t>11</w:t>
    </w:r>
    <w:r>
      <w:rPr>
        <w:rStyle w:val="PageNumber"/>
      </w:rPr>
      <w:fldChar w:fldCharType="end"/>
    </w:r>
  </w:p>
  <w:p w14:paraId="312AF5A4" w14:textId="77777777" w:rsidR="0045374F" w:rsidRPr="00CB03D3" w:rsidRDefault="0045374F" w:rsidP="009B5050">
    <w:pPr>
      <w:pStyle w:val="Footer"/>
      <w:ind w:left="-630" w:right="360"/>
      <w:jc w:val="center"/>
      <w:rPr>
        <w:rFonts w:ascii="Arial" w:hAnsi="Arial" w:cs="Arial"/>
        <w:b/>
        <w:color w:val="808080" w:themeColor="background1" w:themeShade="80"/>
        <w:sz w:val="20"/>
        <w:szCs w:val="20"/>
        <w:lang w:val="en-US"/>
      </w:rPr>
    </w:pPr>
    <w:r w:rsidRPr="00CB03D3">
      <w:rPr>
        <w:rFonts w:ascii="Arial" w:hAnsi="Arial" w:cs="Arial"/>
        <w:b/>
        <w:color w:val="808080" w:themeColor="background1" w:themeShade="80"/>
        <w:sz w:val="20"/>
        <w:szCs w:val="20"/>
        <w:lang w:val="en-GB"/>
      </w:rPr>
      <w:t>IDA Member Organizations</w:t>
    </w:r>
    <w:r w:rsidRPr="00CB03D3">
      <w:rPr>
        <w:rFonts w:ascii="Arial" w:hAnsi="Arial" w:cs="Arial"/>
        <w:b/>
        <w:color w:val="808080" w:themeColor="background1" w:themeShade="80"/>
        <w:sz w:val="20"/>
        <w:szCs w:val="20"/>
        <w:u w:val="single"/>
        <w:lang w:val="en-GB"/>
      </w:rPr>
      <w:br/>
    </w:r>
    <w:r>
      <w:rPr>
        <w:rFonts w:ascii="Arial" w:hAnsi="Arial" w:cs="Arial"/>
        <w:color w:val="808080" w:themeColor="background1" w:themeShade="80"/>
        <w:sz w:val="20"/>
        <w:szCs w:val="20"/>
        <w:lang w:val="en-US"/>
      </w:rPr>
      <w:t xml:space="preserve">African Disability Forum, </w:t>
    </w:r>
    <w:r w:rsidRPr="00CB03D3">
      <w:rPr>
        <w:rFonts w:ascii="Arial" w:hAnsi="Arial" w:cs="Arial"/>
        <w:color w:val="808080" w:themeColor="background1" w:themeShade="80"/>
        <w:sz w:val="20"/>
        <w:szCs w:val="20"/>
        <w:lang w:val="en-US"/>
      </w:rPr>
      <w:t xml:space="preserve">Arab Organization of Persons with Disabilities, </w:t>
    </w:r>
    <w:r w:rsidRPr="00B334E1">
      <w:rPr>
        <w:rFonts w:ascii="Arial" w:hAnsi="Arial" w:cs="Arial"/>
        <w:color w:val="808080" w:themeColor="background1" w:themeShade="80"/>
        <w:sz w:val="20"/>
        <w:szCs w:val="20"/>
        <w:lang w:val="en-US"/>
      </w:rPr>
      <w:t xml:space="preserve">ASEAN Disability Forum </w:t>
    </w:r>
    <w:r w:rsidRPr="00CB03D3">
      <w:rPr>
        <w:rFonts w:ascii="Arial" w:hAnsi="Arial" w:cs="Arial"/>
        <w:color w:val="808080" w:themeColor="background1" w:themeShade="80"/>
        <w:sz w:val="20"/>
        <w:szCs w:val="20"/>
        <w:lang w:val="en-US"/>
      </w:rPr>
      <w:t>Down Syndrome International,</w:t>
    </w:r>
    <w:r>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European Disability Forum, Inclusion International, International Federation of Hard of Hearing People,</w:t>
    </w:r>
    <w:r>
      <w:rPr>
        <w:rFonts w:ascii="Arial" w:hAnsi="Arial" w:cs="Arial"/>
        <w:color w:val="808080" w:themeColor="background1" w:themeShade="80"/>
        <w:sz w:val="20"/>
        <w:szCs w:val="20"/>
        <w:lang w:val="en-US"/>
      </w:rPr>
      <w:t xml:space="preserve"> </w:t>
    </w:r>
    <w:r w:rsidRPr="00CB03D3">
      <w:rPr>
        <w:rFonts w:ascii="Arial" w:hAnsi="Arial" w:cs="Arial"/>
        <w:bCs/>
        <w:color w:val="808080" w:themeColor="background1" w:themeShade="80"/>
        <w:sz w:val="20"/>
        <w:szCs w:val="20"/>
        <w:lang w:val="en-US"/>
      </w:rPr>
      <w:t>International Federation for Spina Bifida and Hydrocephalus</w:t>
    </w:r>
    <w:r w:rsidRPr="00CB03D3">
      <w:rPr>
        <w:rFonts w:ascii="Arial" w:hAnsi="Arial" w:cs="Arial"/>
        <w:color w:val="808080" w:themeColor="background1" w:themeShade="80"/>
        <w:sz w:val="20"/>
        <w:szCs w:val="20"/>
        <w:lang w:val="en-US"/>
      </w:rPr>
      <w:t>, Latin American Network of Non-Governmental Organizations of Persons with Disabilities and their Families, Pacific Disability Forum, World Blind Union, World Federation of the Deaf,</w:t>
    </w:r>
    <w:r>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World Federation of the DeafBlind,</w:t>
    </w:r>
    <w:r>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World Network of Users and Survivors of Psychiatry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E573" w14:textId="77777777" w:rsidR="003F4A37" w:rsidRDefault="003F4A37" w:rsidP="003837A5">
      <w:r>
        <w:separator/>
      </w:r>
    </w:p>
  </w:footnote>
  <w:footnote w:type="continuationSeparator" w:id="0">
    <w:p w14:paraId="0596272F" w14:textId="77777777" w:rsidR="003F4A37" w:rsidRDefault="003F4A37" w:rsidP="0038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418B" w14:textId="77777777" w:rsidR="0045374F" w:rsidRDefault="0045374F">
    <w:pPr>
      <w:pStyle w:val="Header"/>
    </w:pPr>
    <w:r>
      <w:rPr>
        <w:noProof/>
        <w:lang w:val="es-ES" w:eastAsia="es-ES"/>
      </w:rPr>
      <w:drawing>
        <wp:anchor distT="0" distB="0" distL="114300" distR="114300" simplePos="0" relativeHeight="251659264" behindDoc="0" locked="0" layoutInCell="1" allowOverlap="1" wp14:anchorId="78408914" wp14:editId="0713DB60">
          <wp:simplePos x="0" y="0"/>
          <wp:positionH relativeFrom="column">
            <wp:posOffset>-457200</wp:posOffset>
          </wp:positionH>
          <wp:positionV relativeFrom="paragraph">
            <wp:posOffset>-286789</wp:posOffset>
          </wp:positionV>
          <wp:extent cx="2286000" cy="952500"/>
          <wp:effectExtent l="0" t="0" r="0" b="0"/>
          <wp:wrapTight wrapText="bothSides">
            <wp:wrapPolygon edited="0">
              <wp:start x="4080" y="1728"/>
              <wp:lineTo x="1200" y="4608"/>
              <wp:lineTo x="960" y="11520"/>
              <wp:lineTo x="1920" y="12096"/>
              <wp:lineTo x="1200" y="14976"/>
              <wp:lineTo x="1440" y="17280"/>
              <wp:lineTo x="3600" y="19584"/>
              <wp:lineTo x="4800" y="19584"/>
              <wp:lineTo x="13680" y="18432"/>
              <wp:lineTo x="18000" y="16128"/>
              <wp:lineTo x="17760" y="12096"/>
              <wp:lineTo x="20880" y="6912"/>
              <wp:lineTo x="20160" y="4032"/>
              <wp:lineTo x="5760" y="1728"/>
              <wp:lineTo x="4080" y="1728"/>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p>
  <w:p w14:paraId="04FD5441" w14:textId="77777777" w:rsidR="0045374F" w:rsidRDefault="0045374F" w:rsidP="00955ACE">
    <w:pPr>
      <w:jc w:val="right"/>
      <w:rPr>
        <w:rFonts w:ascii="Arial" w:hAnsi="Arial" w:cs="Arial"/>
        <w:sz w:val="18"/>
        <w:szCs w:val="28"/>
      </w:rPr>
    </w:pPr>
    <w:bookmarkStart w:id="12" w:name="_top"/>
    <w:bookmarkEnd w:id="12"/>
  </w:p>
  <w:p w14:paraId="05960487" w14:textId="77777777" w:rsidR="0045374F" w:rsidRDefault="0045374F" w:rsidP="00955ACE">
    <w:pPr>
      <w:jc w:val="right"/>
      <w:rPr>
        <w:rFonts w:ascii="Arial" w:hAnsi="Arial" w:cs="Arial"/>
        <w:sz w:val="18"/>
        <w:szCs w:val="28"/>
      </w:rPr>
    </w:pPr>
  </w:p>
  <w:p w14:paraId="67386A62" w14:textId="77777777" w:rsidR="0045374F" w:rsidRPr="00CB03D3" w:rsidRDefault="0045374F" w:rsidP="00955ACE">
    <w:pPr>
      <w:jc w:val="right"/>
      <w:rPr>
        <w:rFonts w:ascii="Arial" w:hAnsi="Arial" w:cs="Arial"/>
        <w:color w:val="808080" w:themeColor="background1" w:themeShade="80"/>
        <w:sz w:val="18"/>
        <w:szCs w:val="28"/>
      </w:rPr>
    </w:pPr>
  </w:p>
  <w:p w14:paraId="7A562C68" w14:textId="77777777" w:rsidR="0045374F" w:rsidRDefault="00453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1B18" w14:textId="77777777" w:rsidR="0045374F" w:rsidRDefault="0045374F"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African Disability Forum, Arab Organization of Persons with Disabilities,</w:t>
    </w:r>
    <w:r>
      <w:rPr>
        <w:rFonts w:ascii="Arial" w:hAnsi="Arial" w:cs="Arial"/>
        <w:color w:val="2E52A3"/>
        <w:sz w:val="24"/>
        <w:szCs w:val="24"/>
        <w:lang w:val="en-US"/>
      </w:rPr>
      <w:t xml:space="preserve"> ASEAN Disability Forum, </w:t>
    </w:r>
    <w:r w:rsidRPr="0012004C">
      <w:rPr>
        <w:rFonts w:ascii="Arial" w:hAnsi="Arial" w:cs="Arial"/>
        <w:color w:val="2E52A3"/>
        <w:sz w:val="24"/>
        <w:szCs w:val="24"/>
        <w:lang w:val="en-US"/>
      </w:rPr>
      <w:t>Down Syndrome International,</w:t>
    </w:r>
    <w:r>
      <w:rPr>
        <w:rFonts w:ascii="Arial" w:hAnsi="Arial" w:cs="Arial"/>
        <w:color w:val="2E52A3"/>
        <w:sz w:val="24"/>
        <w:szCs w:val="24"/>
        <w:lang w:val="en-US"/>
      </w:rPr>
      <w:t xml:space="preserve"> European Disability Forum, Inclusion International,</w:t>
    </w:r>
  </w:p>
  <w:p w14:paraId="3D9527DC" w14:textId="77777777" w:rsidR="0045374F" w:rsidRPr="0012004C" w:rsidRDefault="0045374F"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International Federation of Hard of Hearing People,</w:t>
    </w:r>
    <w:r>
      <w:rPr>
        <w:rFonts w:ascii="Arial" w:hAnsi="Arial" w:cs="Arial"/>
        <w:color w:val="2E52A3"/>
        <w:sz w:val="24"/>
        <w:szCs w:val="24"/>
        <w:lang w:val="en-US"/>
      </w:rPr>
      <w:t xml:space="preserve"> </w:t>
    </w:r>
    <w:r w:rsidRPr="0012004C">
      <w:rPr>
        <w:rFonts w:ascii="Arial" w:hAnsi="Arial" w:cs="Arial"/>
        <w:bCs/>
        <w:color w:val="2E52A3"/>
        <w:sz w:val="24"/>
        <w:szCs w:val="24"/>
        <w:lang w:val="en-US"/>
      </w:rPr>
      <w:t>International Federation for Spina Bifida and Hydrocephalus</w:t>
    </w:r>
    <w:r w:rsidRPr="0012004C">
      <w:rPr>
        <w:rFonts w:ascii="Arial" w:hAnsi="Arial" w:cs="Arial"/>
        <w:color w:val="2E52A3"/>
        <w:sz w:val="24"/>
        <w:szCs w:val="24"/>
        <w:lang w:val="en-US"/>
      </w:rPr>
      <w:t>, Latin American Network of Non-Governmental Organizations of Persons with Disabilities and their Families, Pacific Disability Forum, World Blind Union, World Federation of the Deaf,</w:t>
    </w:r>
    <w:r>
      <w:rPr>
        <w:rFonts w:ascii="Arial" w:hAnsi="Arial" w:cs="Arial"/>
        <w:color w:val="2E52A3"/>
        <w:sz w:val="24"/>
        <w:szCs w:val="24"/>
        <w:lang w:val="en-US"/>
      </w:rPr>
      <w:t xml:space="preserve"> </w:t>
    </w:r>
    <w:r w:rsidRPr="0012004C">
      <w:rPr>
        <w:rFonts w:ascii="Arial" w:hAnsi="Arial" w:cs="Arial"/>
        <w:color w:val="2E52A3"/>
        <w:sz w:val="24"/>
        <w:szCs w:val="24"/>
        <w:lang w:val="en-US"/>
      </w:rPr>
      <w:t>World Federation of the DeafBlind,</w:t>
    </w:r>
    <w:r>
      <w:rPr>
        <w:rFonts w:ascii="Arial" w:hAnsi="Arial" w:cs="Arial"/>
        <w:color w:val="2E52A3"/>
        <w:sz w:val="24"/>
        <w:szCs w:val="24"/>
        <w:lang w:val="en-US"/>
      </w:rPr>
      <w:t xml:space="preserve"> </w:t>
    </w:r>
    <w:r w:rsidRPr="0012004C">
      <w:rPr>
        <w:rFonts w:ascii="Arial" w:hAnsi="Arial" w:cs="Arial"/>
        <w:color w:val="2E52A3"/>
        <w:sz w:val="24"/>
        <w:szCs w:val="24"/>
        <w:lang w:val="en-US"/>
      </w:rPr>
      <w:t>World Network of Users and Survivors of Psychiatry</w:t>
    </w:r>
  </w:p>
  <w:p w14:paraId="1E26E8FB" w14:textId="77777777" w:rsidR="0045374F" w:rsidRDefault="0045374F" w:rsidP="002E713B">
    <w:pPr>
      <w:tabs>
        <w:tab w:val="right" w:pos="8931"/>
      </w:tabs>
      <w:ind w:left="-426" w:right="-334"/>
      <w:jc w:val="right"/>
      <w:rPr>
        <w:rFonts w:ascii="Arial" w:hAnsi="Arial" w:cs="Arial"/>
        <w:color w:val="808080" w:themeColor="background1" w:themeShade="80"/>
        <w:sz w:val="18"/>
        <w:szCs w:val="28"/>
      </w:rPr>
    </w:pPr>
    <w:r>
      <w:rPr>
        <w:noProof/>
        <w:lang w:val="es-ES" w:eastAsia="es-ES"/>
      </w:rPr>
      <w:drawing>
        <wp:anchor distT="0" distB="0" distL="114300" distR="114300" simplePos="0" relativeHeight="251661312" behindDoc="0" locked="0" layoutInCell="1" allowOverlap="1" wp14:anchorId="1337C858" wp14:editId="5E0DA5BE">
          <wp:simplePos x="0" y="0"/>
          <wp:positionH relativeFrom="column">
            <wp:posOffset>-330835</wp:posOffset>
          </wp:positionH>
          <wp:positionV relativeFrom="paragraph">
            <wp:posOffset>113030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55C4B8A7" w14:textId="77777777" w:rsidR="0045374F" w:rsidRPr="00CB03D3" w:rsidRDefault="0045374F" w:rsidP="0012004C">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International Disability Alliance</w:t>
    </w:r>
  </w:p>
  <w:p w14:paraId="76ECC5D7" w14:textId="77777777" w:rsidR="0045374F" w:rsidRPr="00CB03D3" w:rsidRDefault="0045374F" w:rsidP="0012004C">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150 route de Ferney, PO Box 2100</w:t>
    </w:r>
  </w:p>
  <w:p w14:paraId="746ECDE0" w14:textId="77777777" w:rsidR="0045374F" w:rsidRPr="00CB03D3" w:rsidRDefault="0045374F" w:rsidP="0012004C">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CH 1211 Geneva 2, Switzerland</w:t>
    </w:r>
  </w:p>
  <w:p w14:paraId="59DD057B" w14:textId="77777777" w:rsidR="0045374F" w:rsidRPr="00CB03D3" w:rsidRDefault="0045374F" w:rsidP="0012004C">
    <w:pPr>
      <w:spacing w:line="36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+41 22 788 42 73</w:t>
    </w:r>
  </w:p>
  <w:p w14:paraId="0F282A4F" w14:textId="77777777" w:rsidR="0045374F" w:rsidRPr="00CB03D3" w:rsidRDefault="0045374F" w:rsidP="0012004C">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205 East 42nd Street, 20</w:t>
    </w:r>
    <w:r w:rsidRPr="00CB03D3">
      <w:rPr>
        <w:rFonts w:ascii="Arial" w:hAnsi="Arial" w:cs="Arial"/>
        <w:color w:val="808080" w:themeColor="background1" w:themeShade="80"/>
        <w:sz w:val="18"/>
        <w:szCs w:val="28"/>
        <w:vertAlign w:val="superscript"/>
      </w:rPr>
      <w:t>th</w:t>
    </w:r>
    <w:r w:rsidRPr="00CB03D3">
      <w:rPr>
        <w:rFonts w:ascii="Arial" w:hAnsi="Arial" w:cs="Arial"/>
        <w:color w:val="808080" w:themeColor="background1" w:themeShade="80"/>
        <w:sz w:val="18"/>
        <w:szCs w:val="28"/>
      </w:rPr>
      <w:t xml:space="preserve"> floor</w:t>
    </w:r>
  </w:p>
  <w:p w14:paraId="12EBDE63" w14:textId="77777777" w:rsidR="0045374F" w:rsidRPr="00CB03D3" w:rsidRDefault="0045374F" w:rsidP="0012004C">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New York, NY 10017, USA</w:t>
    </w:r>
  </w:p>
  <w:p w14:paraId="7DBF2C97" w14:textId="77777777" w:rsidR="0045374F" w:rsidRPr="00CB03D3" w:rsidRDefault="0045374F" w:rsidP="0012004C">
    <w:pPr>
      <w:spacing w:line="360" w:lineRule="auto"/>
      <w:jc w:val="right"/>
      <w:rPr>
        <w:rFonts w:ascii="Arial" w:hAnsi="Arial" w:cs="Arial"/>
        <w:color w:val="808080" w:themeColor="background1" w:themeShade="80"/>
        <w:sz w:val="18"/>
        <w:szCs w:val="28"/>
      </w:rPr>
    </w:pPr>
    <w:r>
      <w:rPr>
        <w:rFonts w:ascii="Arial" w:hAnsi="Arial" w:cs="Arial"/>
        <w:color w:val="808080" w:themeColor="background1" w:themeShade="80"/>
        <w:sz w:val="18"/>
        <w:szCs w:val="28"/>
      </w:rPr>
      <w:t>+1 6467760822</w:t>
    </w:r>
  </w:p>
  <w:p w14:paraId="2A1E98A3" w14:textId="3DD6E58D" w:rsidR="0045374F" w:rsidRPr="0012004C" w:rsidRDefault="0045374F" w:rsidP="00155951">
    <w:pPr>
      <w:jc w:val="center"/>
      <w:rPr>
        <w:rFonts w:ascii="Arial" w:hAnsi="Arial" w:cs="Arial"/>
        <w:color w:val="808080" w:themeColor="background1" w:themeShade="80"/>
        <w:sz w:val="1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AE57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AD1B52"/>
    <w:multiLevelType w:val="hybridMultilevel"/>
    <w:tmpl w:val="B1DCDD06"/>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FF462ED"/>
    <w:multiLevelType w:val="hybridMultilevel"/>
    <w:tmpl w:val="F3C8FCAC"/>
    <w:lvl w:ilvl="0" w:tplc="3356BCD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99213F"/>
    <w:multiLevelType w:val="hybridMultilevel"/>
    <w:tmpl w:val="463609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55EB0"/>
    <w:multiLevelType w:val="hybridMultilevel"/>
    <w:tmpl w:val="D1262148"/>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77B1421"/>
    <w:multiLevelType w:val="hybridMultilevel"/>
    <w:tmpl w:val="F26471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F01DA"/>
    <w:multiLevelType w:val="multilevel"/>
    <w:tmpl w:val="8E3AE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0"/>
  </w:num>
  <w:num w:numId="9">
    <w:abstractNumId w:val="0"/>
  </w:num>
  <w:num w:numId="10">
    <w:abstractNumId w:val="0"/>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7C854B8-CC6E-40A4-848F-6447842896C1}"/>
    <w:docVar w:name="dgnword-eventsink" w:val="1634218367072"/>
  </w:docVars>
  <w:rsids>
    <w:rsidRoot w:val="00471BE8"/>
    <w:rsid w:val="00006D39"/>
    <w:rsid w:val="0001364B"/>
    <w:rsid w:val="00013FE9"/>
    <w:rsid w:val="00025F49"/>
    <w:rsid w:val="0002688C"/>
    <w:rsid w:val="00027C85"/>
    <w:rsid w:val="0003152D"/>
    <w:rsid w:val="000370A7"/>
    <w:rsid w:val="00041BA2"/>
    <w:rsid w:val="0004407B"/>
    <w:rsid w:val="0005180C"/>
    <w:rsid w:val="000578A2"/>
    <w:rsid w:val="00060A46"/>
    <w:rsid w:val="00064FFE"/>
    <w:rsid w:val="00072DA5"/>
    <w:rsid w:val="000731D2"/>
    <w:rsid w:val="00075D3A"/>
    <w:rsid w:val="000843FF"/>
    <w:rsid w:val="000928BB"/>
    <w:rsid w:val="000970B0"/>
    <w:rsid w:val="000B76C5"/>
    <w:rsid w:val="000C4037"/>
    <w:rsid w:val="000C47B4"/>
    <w:rsid w:val="000C572C"/>
    <w:rsid w:val="000C653F"/>
    <w:rsid w:val="000E1597"/>
    <w:rsid w:val="000E1833"/>
    <w:rsid w:val="000F09D1"/>
    <w:rsid w:val="001037D4"/>
    <w:rsid w:val="001041A8"/>
    <w:rsid w:val="00104A65"/>
    <w:rsid w:val="0012004C"/>
    <w:rsid w:val="001247A1"/>
    <w:rsid w:val="001259A3"/>
    <w:rsid w:val="001330D3"/>
    <w:rsid w:val="00134216"/>
    <w:rsid w:val="00136502"/>
    <w:rsid w:val="00137D9A"/>
    <w:rsid w:val="00140C25"/>
    <w:rsid w:val="001417E7"/>
    <w:rsid w:val="00141F17"/>
    <w:rsid w:val="00144AFF"/>
    <w:rsid w:val="00152F44"/>
    <w:rsid w:val="00154F9C"/>
    <w:rsid w:val="00155951"/>
    <w:rsid w:val="001578AC"/>
    <w:rsid w:val="00160001"/>
    <w:rsid w:val="00162A0B"/>
    <w:rsid w:val="001816D9"/>
    <w:rsid w:val="001859BC"/>
    <w:rsid w:val="0019178C"/>
    <w:rsid w:val="00192968"/>
    <w:rsid w:val="001B6E4D"/>
    <w:rsid w:val="001C59A3"/>
    <w:rsid w:val="001D68A3"/>
    <w:rsid w:val="001E1846"/>
    <w:rsid w:val="001E1C12"/>
    <w:rsid w:val="001E2EE8"/>
    <w:rsid w:val="001E44A3"/>
    <w:rsid w:val="001F17ED"/>
    <w:rsid w:val="001F501B"/>
    <w:rsid w:val="00200156"/>
    <w:rsid w:val="00202F0A"/>
    <w:rsid w:val="00214590"/>
    <w:rsid w:val="002166A5"/>
    <w:rsid w:val="00220B78"/>
    <w:rsid w:val="002220F4"/>
    <w:rsid w:val="00235409"/>
    <w:rsid w:val="002360CA"/>
    <w:rsid w:val="00253121"/>
    <w:rsid w:val="00273F15"/>
    <w:rsid w:val="00275C1E"/>
    <w:rsid w:val="00276879"/>
    <w:rsid w:val="00277649"/>
    <w:rsid w:val="00280EF1"/>
    <w:rsid w:val="00283219"/>
    <w:rsid w:val="00283CD0"/>
    <w:rsid w:val="00286F3C"/>
    <w:rsid w:val="00293BF6"/>
    <w:rsid w:val="002A519F"/>
    <w:rsid w:val="002B0ECC"/>
    <w:rsid w:val="002C0B1B"/>
    <w:rsid w:val="002C13C2"/>
    <w:rsid w:val="002C1DD4"/>
    <w:rsid w:val="002C63DA"/>
    <w:rsid w:val="002C68EA"/>
    <w:rsid w:val="002C76F7"/>
    <w:rsid w:val="002D27ED"/>
    <w:rsid w:val="002D2EA3"/>
    <w:rsid w:val="002D398B"/>
    <w:rsid w:val="002D5311"/>
    <w:rsid w:val="002D75A1"/>
    <w:rsid w:val="002E0362"/>
    <w:rsid w:val="002E261C"/>
    <w:rsid w:val="002E6278"/>
    <w:rsid w:val="002E713B"/>
    <w:rsid w:val="002F48FD"/>
    <w:rsid w:val="003012B9"/>
    <w:rsid w:val="00301DE1"/>
    <w:rsid w:val="00312296"/>
    <w:rsid w:val="00312786"/>
    <w:rsid w:val="00312ABB"/>
    <w:rsid w:val="00321CB7"/>
    <w:rsid w:val="00327EAB"/>
    <w:rsid w:val="00334C24"/>
    <w:rsid w:val="003428D5"/>
    <w:rsid w:val="00351918"/>
    <w:rsid w:val="0036097C"/>
    <w:rsid w:val="00362533"/>
    <w:rsid w:val="00362D61"/>
    <w:rsid w:val="00365260"/>
    <w:rsid w:val="0036685F"/>
    <w:rsid w:val="003704E1"/>
    <w:rsid w:val="00372F13"/>
    <w:rsid w:val="00373085"/>
    <w:rsid w:val="00381D61"/>
    <w:rsid w:val="003837A5"/>
    <w:rsid w:val="00392F34"/>
    <w:rsid w:val="003944C1"/>
    <w:rsid w:val="003A6CF7"/>
    <w:rsid w:val="003B2DCF"/>
    <w:rsid w:val="003B36C3"/>
    <w:rsid w:val="003B3EFC"/>
    <w:rsid w:val="003B4FFD"/>
    <w:rsid w:val="003B5573"/>
    <w:rsid w:val="003C362E"/>
    <w:rsid w:val="003D1BD3"/>
    <w:rsid w:val="003D3800"/>
    <w:rsid w:val="003D645F"/>
    <w:rsid w:val="003E3CA5"/>
    <w:rsid w:val="003E3D57"/>
    <w:rsid w:val="003E700F"/>
    <w:rsid w:val="003E71F9"/>
    <w:rsid w:val="003F216D"/>
    <w:rsid w:val="003F4A37"/>
    <w:rsid w:val="003F7F1B"/>
    <w:rsid w:val="00412B90"/>
    <w:rsid w:val="00424948"/>
    <w:rsid w:val="00425B5C"/>
    <w:rsid w:val="004331DC"/>
    <w:rsid w:val="00433FE2"/>
    <w:rsid w:val="00434240"/>
    <w:rsid w:val="004361B3"/>
    <w:rsid w:val="00440321"/>
    <w:rsid w:val="004426E6"/>
    <w:rsid w:val="004457F6"/>
    <w:rsid w:val="004461E8"/>
    <w:rsid w:val="004468E4"/>
    <w:rsid w:val="0045374F"/>
    <w:rsid w:val="00456C4C"/>
    <w:rsid w:val="00456F8A"/>
    <w:rsid w:val="004614C3"/>
    <w:rsid w:val="00462AEE"/>
    <w:rsid w:val="00464F96"/>
    <w:rsid w:val="00471BE8"/>
    <w:rsid w:val="00480320"/>
    <w:rsid w:val="00485815"/>
    <w:rsid w:val="00485831"/>
    <w:rsid w:val="004957C3"/>
    <w:rsid w:val="00497DDD"/>
    <w:rsid w:val="004A4B5E"/>
    <w:rsid w:val="004A5808"/>
    <w:rsid w:val="004A5A4D"/>
    <w:rsid w:val="004C5900"/>
    <w:rsid w:val="004D7065"/>
    <w:rsid w:val="004E0B23"/>
    <w:rsid w:val="004E34AD"/>
    <w:rsid w:val="004E3AA6"/>
    <w:rsid w:val="004E6C70"/>
    <w:rsid w:val="004E7850"/>
    <w:rsid w:val="004F3067"/>
    <w:rsid w:val="00502DEC"/>
    <w:rsid w:val="00504898"/>
    <w:rsid w:val="00505F1D"/>
    <w:rsid w:val="005079C1"/>
    <w:rsid w:val="00512159"/>
    <w:rsid w:val="00514F77"/>
    <w:rsid w:val="00517247"/>
    <w:rsid w:val="00534433"/>
    <w:rsid w:val="00534883"/>
    <w:rsid w:val="0053585F"/>
    <w:rsid w:val="005369E1"/>
    <w:rsid w:val="00544BAF"/>
    <w:rsid w:val="00545A80"/>
    <w:rsid w:val="00552E08"/>
    <w:rsid w:val="005576E2"/>
    <w:rsid w:val="00557D9D"/>
    <w:rsid w:val="00563E16"/>
    <w:rsid w:val="00566E21"/>
    <w:rsid w:val="005743A5"/>
    <w:rsid w:val="005765E4"/>
    <w:rsid w:val="005856FB"/>
    <w:rsid w:val="00585737"/>
    <w:rsid w:val="00597570"/>
    <w:rsid w:val="005A0E8C"/>
    <w:rsid w:val="005A25F1"/>
    <w:rsid w:val="005B2152"/>
    <w:rsid w:val="005B2B80"/>
    <w:rsid w:val="005C438E"/>
    <w:rsid w:val="005C48D8"/>
    <w:rsid w:val="005C72DA"/>
    <w:rsid w:val="005D07F9"/>
    <w:rsid w:val="005D1FF9"/>
    <w:rsid w:val="005D5283"/>
    <w:rsid w:val="005E44C3"/>
    <w:rsid w:val="00600204"/>
    <w:rsid w:val="00605902"/>
    <w:rsid w:val="00605C0A"/>
    <w:rsid w:val="00610BD3"/>
    <w:rsid w:val="00612629"/>
    <w:rsid w:val="00614132"/>
    <w:rsid w:val="00625256"/>
    <w:rsid w:val="00627145"/>
    <w:rsid w:val="006341AD"/>
    <w:rsid w:val="00660431"/>
    <w:rsid w:val="006655D1"/>
    <w:rsid w:val="00672589"/>
    <w:rsid w:val="00676278"/>
    <w:rsid w:val="00676B4C"/>
    <w:rsid w:val="006815AB"/>
    <w:rsid w:val="00687E2E"/>
    <w:rsid w:val="0069066D"/>
    <w:rsid w:val="00691481"/>
    <w:rsid w:val="006B2523"/>
    <w:rsid w:val="006B2A44"/>
    <w:rsid w:val="006D4285"/>
    <w:rsid w:val="006D4491"/>
    <w:rsid w:val="006D58C8"/>
    <w:rsid w:val="006E04A9"/>
    <w:rsid w:val="006E3BDA"/>
    <w:rsid w:val="006F2636"/>
    <w:rsid w:val="00703E9B"/>
    <w:rsid w:val="0070538A"/>
    <w:rsid w:val="00713DBB"/>
    <w:rsid w:val="00725B34"/>
    <w:rsid w:val="00731FD8"/>
    <w:rsid w:val="00734541"/>
    <w:rsid w:val="00736275"/>
    <w:rsid w:val="0073772E"/>
    <w:rsid w:val="00741F16"/>
    <w:rsid w:val="007443B4"/>
    <w:rsid w:val="0074480F"/>
    <w:rsid w:val="00745DEA"/>
    <w:rsid w:val="007471F0"/>
    <w:rsid w:val="00751A67"/>
    <w:rsid w:val="00756D47"/>
    <w:rsid w:val="00763260"/>
    <w:rsid w:val="00770BF3"/>
    <w:rsid w:val="0077275E"/>
    <w:rsid w:val="00773040"/>
    <w:rsid w:val="00776B79"/>
    <w:rsid w:val="00777CC5"/>
    <w:rsid w:val="007816F0"/>
    <w:rsid w:val="0078374E"/>
    <w:rsid w:val="00791428"/>
    <w:rsid w:val="00792302"/>
    <w:rsid w:val="007A5C37"/>
    <w:rsid w:val="007A7001"/>
    <w:rsid w:val="007B1384"/>
    <w:rsid w:val="007B2017"/>
    <w:rsid w:val="007C533F"/>
    <w:rsid w:val="007C5A31"/>
    <w:rsid w:val="007D1338"/>
    <w:rsid w:val="007D4CBA"/>
    <w:rsid w:val="007E65A7"/>
    <w:rsid w:val="008057B8"/>
    <w:rsid w:val="008164BD"/>
    <w:rsid w:val="008172C3"/>
    <w:rsid w:val="00822E94"/>
    <w:rsid w:val="008238B5"/>
    <w:rsid w:val="00836F3E"/>
    <w:rsid w:val="008526C1"/>
    <w:rsid w:val="008530EB"/>
    <w:rsid w:val="008537FE"/>
    <w:rsid w:val="00853B0C"/>
    <w:rsid w:val="00874E23"/>
    <w:rsid w:val="00886E93"/>
    <w:rsid w:val="008878AB"/>
    <w:rsid w:val="00890C3E"/>
    <w:rsid w:val="008A0B46"/>
    <w:rsid w:val="008A1C52"/>
    <w:rsid w:val="008A5836"/>
    <w:rsid w:val="008A6F34"/>
    <w:rsid w:val="008B358B"/>
    <w:rsid w:val="008C0C1A"/>
    <w:rsid w:val="008D3144"/>
    <w:rsid w:val="008D35B3"/>
    <w:rsid w:val="008F20F1"/>
    <w:rsid w:val="008F763A"/>
    <w:rsid w:val="00901CC7"/>
    <w:rsid w:val="00905889"/>
    <w:rsid w:val="0091170F"/>
    <w:rsid w:val="009173E1"/>
    <w:rsid w:val="00931D36"/>
    <w:rsid w:val="009373F8"/>
    <w:rsid w:val="0095177B"/>
    <w:rsid w:val="00953D38"/>
    <w:rsid w:val="00955ACE"/>
    <w:rsid w:val="009647D5"/>
    <w:rsid w:val="00964A05"/>
    <w:rsid w:val="009663F0"/>
    <w:rsid w:val="0096716F"/>
    <w:rsid w:val="00970944"/>
    <w:rsid w:val="00974FF9"/>
    <w:rsid w:val="00976898"/>
    <w:rsid w:val="00980330"/>
    <w:rsid w:val="009816CD"/>
    <w:rsid w:val="00982ADE"/>
    <w:rsid w:val="00982FA5"/>
    <w:rsid w:val="00983623"/>
    <w:rsid w:val="00984A3C"/>
    <w:rsid w:val="00986721"/>
    <w:rsid w:val="00994AB7"/>
    <w:rsid w:val="00997636"/>
    <w:rsid w:val="009A09AF"/>
    <w:rsid w:val="009A09FE"/>
    <w:rsid w:val="009A3D69"/>
    <w:rsid w:val="009A5AE7"/>
    <w:rsid w:val="009A6828"/>
    <w:rsid w:val="009B2287"/>
    <w:rsid w:val="009B3198"/>
    <w:rsid w:val="009B5050"/>
    <w:rsid w:val="009B65A9"/>
    <w:rsid w:val="009C0785"/>
    <w:rsid w:val="009C25F6"/>
    <w:rsid w:val="009C27CA"/>
    <w:rsid w:val="009C5526"/>
    <w:rsid w:val="009D5CDE"/>
    <w:rsid w:val="009E05FE"/>
    <w:rsid w:val="009F04A2"/>
    <w:rsid w:val="009F0859"/>
    <w:rsid w:val="009F551A"/>
    <w:rsid w:val="00A10412"/>
    <w:rsid w:val="00A3238A"/>
    <w:rsid w:val="00A3270D"/>
    <w:rsid w:val="00A55A74"/>
    <w:rsid w:val="00A64F55"/>
    <w:rsid w:val="00A669A3"/>
    <w:rsid w:val="00A67B6C"/>
    <w:rsid w:val="00A70F1C"/>
    <w:rsid w:val="00A727E4"/>
    <w:rsid w:val="00A72CEA"/>
    <w:rsid w:val="00A72DFB"/>
    <w:rsid w:val="00A73EF4"/>
    <w:rsid w:val="00A7405C"/>
    <w:rsid w:val="00A76B37"/>
    <w:rsid w:val="00A8600A"/>
    <w:rsid w:val="00A909D2"/>
    <w:rsid w:val="00A91263"/>
    <w:rsid w:val="00A92051"/>
    <w:rsid w:val="00AA3768"/>
    <w:rsid w:val="00AA4C13"/>
    <w:rsid w:val="00AC1CF0"/>
    <w:rsid w:val="00AC5417"/>
    <w:rsid w:val="00AD2FE2"/>
    <w:rsid w:val="00AE30F9"/>
    <w:rsid w:val="00AE520F"/>
    <w:rsid w:val="00AE5414"/>
    <w:rsid w:val="00AE6176"/>
    <w:rsid w:val="00AF1B0A"/>
    <w:rsid w:val="00AF7827"/>
    <w:rsid w:val="00B04958"/>
    <w:rsid w:val="00B11F6B"/>
    <w:rsid w:val="00B12578"/>
    <w:rsid w:val="00B14C7D"/>
    <w:rsid w:val="00B16189"/>
    <w:rsid w:val="00B20AAF"/>
    <w:rsid w:val="00B32298"/>
    <w:rsid w:val="00B330A1"/>
    <w:rsid w:val="00B331DE"/>
    <w:rsid w:val="00B334E1"/>
    <w:rsid w:val="00B5258E"/>
    <w:rsid w:val="00B5372D"/>
    <w:rsid w:val="00B537EE"/>
    <w:rsid w:val="00B618E4"/>
    <w:rsid w:val="00B620B2"/>
    <w:rsid w:val="00B626E8"/>
    <w:rsid w:val="00B6417B"/>
    <w:rsid w:val="00B66034"/>
    <w:rsid w:val="00B6712E"/>
    <w:rsid w:val="00B71758"/>
    <w:rsid w:val="00B77045"/>
    <w:rsid w:val="00B770C5"/>
    <w:rsid w:val="00B774FE"/>
    <w:rsid w:val="00B82980"/>
    <w:rsid w:val="00BA2B11"/>
    <w:rsid w:val="00BA3A9E"/>
    <w:rsid w:val="00BB3DB9"/>
    <w:rsid w:val="00BB5D3F"/>
    <w:rsid w:val="00BB7D61"/>
    <w:rsid w:val="00BB7EBB"/>
    <w:rsid w:val="00BC0D4F"/>
    <w:rsid w:val="00BC275E"/>
    <w:rsid w:val="00BC6C5D"/>
    <w:rsid w:val="00BD232C"/>
    <w:rsid w:val="00BD3324"/>
    <w:rsid w:val="00BD4C3C"/>
    <w:rsid w:val="00BF1413"/>
    <w:rsid w:val="00BF7269"/>
    <w:rsid w:val="00C0090C"/>
    <w:rsid w:val="00C01EB2"/>
    <w:rsid w:val="00C03504"/>
    <w:rsid w:val="00C23BA0"/>
    <w:rsid w:val="00C24051"/>
    <w:rsid w:val="00C241D0"/>
    <w:rsid w:val="00C25424"/>
    <w:rsid w:val="00C314E4"/>
    <w:rsid w:val="00C3440B"/>
    <w:rsid w:val="00C35A54"/>
    <w:rsid w:val="00C35DF2"/>
    <w:rsid w:val="00C409D4"/>
    <w:rsid w:val="00C5115E"/>
    <w:rsid w:val="00C56C70"/>
    <w:rsid w:val="00C734BF"/>
    <w:rsid w:val="00C74C67"/>
    <w:rsid w:val="00C82C8C"/>
    <w:rsid w:val="00C83277"/>
    <w:rsid w:val="00C84F3E"/>
    <w:rsid w:val="00C85778"/>
    <w:rsid w:val="00C878BD"/>
    <w:rsid w:val="00C87988"/>
    <w:rsid w:val="00C96223"/>
    <w:rsid w:val="00CA0E1E"/>
    <w:rsid w:val="00CA2435"/>
    <w:rsid w:val="00CA5A7B"/>
    <w:rsid w:val="00CB03D3"/>
    <w:rsid w:val="00CC1D44"/>
    <w:rsid w:val="00CD00C2"/>
    <w:rsid w:val="00CD486D"/>
    <w:rsid w:val="00CF4FAC"/>
    <w:rsid w:val="00CF5523"/>
    <w:rsid w:val="00CF58A0"/>
    <w:rsid w:val="00CF5C46"/>
    <w:rsid w:val="00CF6035"/>
    <w:rsid w:val="00CF61C6"/>
    <w:rsid w:val="00D00A1E"/>
    <w:rsid w:val="00D04D90"/>
    <w:rsid w:val="00D13A70"/>
    <w:rsid w:val="00D159F3"/>
    <w:rsid w:val="00D15E88"/>
    <w:rsid w:val="00D20073"/>
    <w:rsid w:val="00D2014E"/>
    <w:rsid w:val="00D2026D"/>
    <w:rsid w:val="00D26E65"/>
    <w:rsid w:val="00D323AD"/>
    <w:rsid w:val="00D41B8B"/>
    <w:rsid w:val="00D4488D"/>
    <w:rsid w:val="00D44901"/>
    <w:rsid w:val="00D45F86"/>
    <w:rsid w:val="00D52611"/>
    <w:rsid w:val="00D527C2"/>
    <w:rsid w:val="00D57618"/>
    <w:rsid w:val="00D57997"/>
    <w:rsid w:val="00D613D8"/>
    <w:rsid w:val="00D62943"/>
    <w:rsid w:val="00D63212"/>
    <w:rsid w:val="00D66751"/>
    <w:rsid w:val="00D67902"/>
    <w:rsid w:val="00D91A75"/>
    <w:rsid w:val="00D9536D"/>
    <w:rsid w:val="00DA087F"/>
    <w:rsid w:val="00DA23B4"/>
    <w:rsid w:val="00DA3698"/>
    <w:rsid w:val="00DA44E8"/>
    <w:rsid w:val="00DB04AB"/>
    <w:rsid w:val="00DB157F"/>
    <w:rsid w:val="00DB3277"/>
    <w:rsid w:val="00DB3DF9"/>
    <w:rsid w:val="00DB5A31"/>
    <w:rsid w:val="00DB6374"/>
    <w:rsid w:val="00DC2AE0"/>
    <w:rsid w:val="00DC67DB"/>
    <w:rsid w:val="00DC77D9"/>
    <w:rsid w:val="00DD2A6D"/>
    <w:rsid w:val="00DD449B"/>
    <w:rsid w:val="00DD5E05"/>
    <w:rsid w:val="00DE44B1"/>
    <w:rsid w:val="00DF291E"/>
    <w:rsid w:val="00DF4C79"/>
    <w:rsid w:val="00E0262D"/>
    <w:rsid w:val="00E02D13"/>
    <w:rsid w:val="00E10A35"/>
    <w:rsid w:val="00E1481E"/>
    <w:rsid w:val="00E1571A"/>
    <w:rsid w:val="00E2586D"/>
    <w:rsid w:val="00E30CBF"/>
    <w:rsid w:val="00E3270A"/>
    <w:rsid w:val="00E35108"/>
    <w:rsid w:val="00E3557C"/>
    <w:rsid w:val="00E37596"/>
    <w:rsid w:val="00E40F26"/>
    <w:rsid w:val="00E4367E"/>
    <w:rsid w:val="00E479FC"/>
    <w:rsid w:val="00E53EB5"/>
    <w:rsid w:val="00E5610A"/>
    <w:rsid w:val="00E565D4"/>
    <w:rsid w:val="00E623EE"/>
    <w:rsid w:val="00E63908"/>
    <w:rsid w:val="00E72F69"/>
    <w:rsid w:val="00E82E4A"/>
    <w:rsid w:val="00E83E2F"/>
    <w:rsid w:val="00E865DD"/>
    <w:rsid w:val="00E87FE9"/>
    <w:rsid w:val="00E91F17"/>
    <w:rsid w:val="00E97158"/>
    <w:rsid w:val="00E979C0"/>
    <w:rsid w:val="00EA5EEB"/>
    <w:rsid w:val="00EA60C1"/>
    <w:rsid w:val="00EA7BE4"/>
    <w:rsid w:val="00EB1FEB"/>
    <w:rsid w:val="00EB5000"/>
    <w:rsid w:val="00EB588E"/>
    <w:rsid w:val="00EB7941"/>
    <w:rsid w:val="00EC361F"/>
    <w:rsid w:val="00EC5860"/>
    <w:rsid w:val="00EC7506"/>
    <w:rsid w:val="00ED0F04"/>
    <w:rsid w:val="00ED2E1B"/>
    <w:rsid w:val="00ED5549"/>
    <w:rsid w:val="00ED5869"/>
    <w:rsid w:val="00ED62F2"/>
    <w:rsid w:val="00EE6AC1"/>
    <w:rsid w:val="00EE6B84"/>
    <w:rsid w:val="00EE7307"/>
    <w:rsid w:val="00EF08D2"/>
    <w:rsid w:val="00EF2EE4"/>
    <w:rsid w:val="00EF6927"/>
    <w:rsid w:val="00F00332"/>
    <w:rsid w:val="00F03B10"/>
    <w:rsid w:val="00F12111"/>
    <w:rsid w:val="00F12E47"/>
    <w:rsid w:val="00F20013"/>
    <w:rsid w:val="00F25375"/>
    <w:rsid w:val="00F3074D"/>
    <w:rsid w:val="00F33706"/>
    <w:rsid w:val="00F36926"/>
    <w:rsid w:val="00F412BD"/>
    <w:rsid w:val="00F52A5B"/>
    <w:rsid w:val="00F57DAC"/>
    <w:rsid w:val="00F61935"/>
    <w:rsid w:val="00F63B33"/>
    <w:rsid w:val="00F729E7"/>
    <w:rsid w:val="00F73B71"/>
    <w:rsid w:val="00F863C0"/>
    <w:rsid w:val="00F86DC9"/>
    <w:rsid w:val="00F91649"/>
    <w:rsid w:val="00F91C27"/>
    <w:rsid w:val="00F97427"/>
    <w:rsid w:val="00FA25DF"/>
    <w:rsid w:val="00FA779B"/>
    <w:rsid w:val="00FB11BF"/>
    <w:rsid w:val="00FB3945"/>
    <w:rsid w:val="00FC1AEE"/>
    <w:rsid w:val="00FC39D5"/>
    <w:rsid w:val="00FE172E"/>
    <w:rsid w:val="00FE75C0"/>
    <w:rsid w:val="00FE7FDD"/>
    <w:rsid w:val="00FF3475"/>
    <w:rsid w:val="00FF70E4"/>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36302"/>
  <w15:docId w15:val="{5AE39328-4EAC-794E-BB3D-A6EF8D9F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7B8"/>
    <w:rPr>
      <w:sz w:val="24"/>
      <w:szCs w:val="24"/>
      <w:lang w:eastAsia="en-GB"/>
    </w:rPr>
  </w:style>
  <w:style w:type="paragraph" w:styleId="Heading1">
    <w:name w:val="heading 1"/>
    <w:basedOn w:val="Normal"/>
    <w:next w:val="Normal"/>
    <w:link w:val="Heading1Char"/>
    <w:qFormat/>
    <w:rsid w:val="004426E6"/>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fr-FR" w:eastAsia="en-US"/>
    </w:rPr>
  </w:style>
  <w:style w:type="paragraph" w:styleId="Heading2">
    <w:name w:val="heading 2"/>
    <w:basedOn w:val="Normal"/>
    <w:next w:val="Normal"/>
    <w:link w:val="Heading2Char"/>
    <w:unhideWhenUsed/>
    <w:qFormat/>
    <w:rsid w:val="00BD232C"/>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fr-FR" w:eastAsia="en-US"/>
    </w:rPr>
  </w:style>
  <w:style w:type="paragraph" w:styleId="Heading3">
    <w:name w:val="heading 3"/>
    <w:basedOn w:val="Normal"/>
    <w:next w:val="Normal"/>
    <w:link w:val="Heading3Char"/>
    <w:unhideWhenUsed/>
    <w:qFormat/>
    <w:rsid w:val="004426E6"/>
    <w:pPr>
      <w:keepNext/>
      <w:keepLines/>
      <w:spacing w:before="40" w:line="276" w:lineRule="auto"/>
      <w:outlineLvl w:val="2"/>
    </w:pPr>
    <w:rPr>
      <w:rFonts w:asciiTheme="majorHAnsi" w:eastAsiaTheme="majorEastAsia" w:hAnsiTheme="majorHAnsi" w:cstheme="majorBidi"/>
      <w:color w:val="1F4D78" w:themeColor="accent1" w:themeShade="7F"/>
      <w:lang w:val="fr-FR" w:eastAsia="en-US"/>
    </w:rPr>
  </w:style>
  <w:style w:type="paragraph" w:styleId="Heading4">
    <w:name w:val="heading 4"/>
    <w:basedOn w:val="Normal"/>
    <w:next w:val="Normal"/>
    <w:link w:val="Heading4Char"/>
    <w:unhideWhenUsed/>
    <w:qFormat/>
    <w:rsid w:val="001E1C12"/>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pPr>
    <w:rPr>
      <w:lang w:val="en-GB"/>
    </w:rPr>
  </w:style>
  <w:style w:type="paragraph" w:styleId="Header">
    <w:name w:val="header"/>
    <w:basedOn w:val="Normal"/>
    <w:link w:val="HeaderChar"/>
    <w:rsid w:val="003837A5"/>
    <w:pPr>
      <w:tabs>
        <w:tab w:val="center" w:pos="4513"/>
        <w:tab w:val="right" w:pos="9026"/>
      </w:tabs>
    </w:pPr>
    <w:rPr>
      <w:rFonts w:ascii="Calibri" w:eastAsia="Calibri" w:hAnsi="Calibri"/>
      <w:sz w:val="22"/>
      <w:szCs w:val="22"/>
      <w:lang w:val="fr-FR" w:eastAsia="en-US"/>
    </w:r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pPr>
    <w:rPr>
      <w:rFonts w:ascii="Calibri" w:eastAsia="Calibri" w:hAnsi="Calibri"/>
      <w:sz w:val="22"/>
      <w:szCs w:val="22"/>
      <w:lang w:val="fr-FR" w:eastAsia="en-US"/>
    </w:r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rPr>
      <w:rFonts w:ascii="Tahoma" w:eastAsia="Calibri" w:hAnsi="Tahoma" w:cs="Tahoma"/>
      <w:sz w:val="16"/>
      <w:szCs w:val="16"/>
      <w:lang w:val="fr-FR" w:eastAsia="en-US"/>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5A54"/>
    <w:pPr>
      <w:spacing w:after="200" w:line="276" w:lineRule="auto"/>
      <w:ind w:left="720"/>
      <w:contextualSpacing/>
    </w:pPr>
    <w:rPr>
      <w:rFonts w:ascii="Calibri" w:eastAsia="Calibri" w:hAnsi="Calibri"/>
      <w:sz w:val="22"/>
      <w:szCs w:val="22"/>
      <w:lang w:val="fr-FR" w:eastAsia="en-US"/>
    </w:rPr>
  </w:style>
  <w:style w:type="paragraph" w:styleId="Date">
    <w:name w:val="Date"/>
    <w:basedOn w:val="Normal"/>
    <w:next w:val="Normal"/>
    <w:link w:val="DateChar"/>
    <w:semiHidden/>
    <w:unhideWhenUsed/>
    <w:rsid w:val="006655D1"/>
    <w:pPr>
      <w:spacing w:after="200" w:line="276" w:lineRule="auto"/>
    </w:pPr>
    <w:rPr>
      <w:rFonts w:ascii="Calibri" w:eastAsia="Calibri" w:hAnsi="Calibri"/>
      <w:sz w:val="22"/>
      <w:szCs w:val="22"/>
      <w:lang w:val="fr-FR" w:eastAsia="en-US"/>
    </w:rPr>
  </w:style>
  <w:style w:type="character" w:customStyle="1" w:styleId="DateChar">
    <w:name w:val="Date Char"/>
    <w:basedOn w:val="DefaultParagraphFont"/>
    <w:link w:val="Date"/>
    <w:semiHidden/>
    <w:rsid w:val="006655D1"/>
    <w:rPr>
      <w:rFonts w:ascii="Calibri" w:eastAsia="Calibri" w:hAnsi="Calibri"/>
      <w:sz w:val="22"/>
      <w:szCs w:val="22"/>
      <w:lang w:val="fr-FR"/>
    </w:rPr>
  </w:style>
  <w:style w:type="character" w:styleId="CommentReference">
    <w:name w:val="annotation reference"/>
    <w:basedOn w:val="DefaultParagraphFont"/>
    <w:uiPriority w:val="99"/>
    <w:semiHidden/>
    <w:unhideWhenUsed/>
    <w:rsid w:val="006D58C8"/>
    <w:rPr>
      <w:sz w:val="16"/>
      <w:szCs w:val="16"/>
    </w:rPr>
  </w:style>
  <w:style w:type="paragraph" w:styleId="CommentText">
    <w:name w:val="annotation text"/>
    <w:basedOn w:val="Normal"/>
    <w:link w:val="CommentTextChar"/>
    <w:uiPriority w:val="99"/>
    <w:unhideWhenUsed/>
    <w:rsid w:val="006D58C8"/>
    <w:pPr>
      <w:spacing w:after="200"/>
    </w:pPr>
    <w:rPr>
      <w:rFonts w:ascii="Calibri" w:eastAsia="Calibri" w:hAnsi="Calibri"/>
      <w:sz w:val="20"/>
      <w:szCs w:val="20"/>
      <w:lang w:val="fr-FR" w:eastAsia="en-US"/>
    </w:rPr>
  </w:style>
  <w:style w:type="character" w:customStyle="1" w:styleId="CommentTextChar">
    <w:name w:val="Comment Text Char"/>
    <w:basedOn w:val="DefaultParagraphFont"/>
    <w:link w:val="CommentText"/>
    <w:uiPriority w:val="99"/>
    <w:rsid w:val="006D58C8"/>
    <w:rPr>
      <w:rFonts w:ascii="Calibri" w:eastAsia="Calibri" w:hAnsi="Calibri"/>
      <w:lang w:val="fr-FR"/>
    </w:rPr>
  </w:style>
  <w:style w:type="paragraph" w:styleId="CommentSubject">
    <w:name w:val="annotation subject"/>
    <w:basedOn w:val="CommentText"/>
    <w:next w:val="CommentText"/>
    <w:link w:val="CommentSubjectChar"/>
    <w:semiHidden/>
    <w:unhideWhenUsed/>
    <w:rsid w:val="006D58C8"/>
    <w:rPr>
      <w:b/>
      <w:bCs/>
    </w:rPr>
  </w:style>
  <w:style w:type="character" w:customStyle="1" w:styleId="CommentSubjectChar">
    <w:name w:val="Comment Subject Char"/>
    <w:basedOn w:val="CommentTextChar"/>
    <w:link w:val="CommentSubject"/>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TableGrid">
    <w:name w:val="Table Grid"/>
    <w:basedOn w:val="TableNormal"/>
    <w:uiPriority w:val="39"/>
    <w:rsid w:val="00D57997"/>
    <w:rPr>
      <w:rFonts w:asciiTheme="minorHAnsi" w:eastAsiaTheme="minorEastAsia" w:hAnsiTheme="minorHAnsi" w:cstheme="minorBidi"/>
      <w:sz w:val="22"/>
      <w:szCs w:val="22"/>
      <w:lang w:val="en-GB"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C1AEE"/>
    <w:pPr>
      <w:numPr>
        <w:numId w:val="1"/>
      </w:numPr>
      <w:spacing w:after="160" w:line="259" w:lineRule="auto"/>
      <w:contextualSpacing/>
    </w:pPr>
    <w:rPr>
      <w:rFonts w:asciiTheme="minorHAnsi" w:eastAsiaTheme="minorHAnsi" w:hAnsiTheme="minorHAnsi" w:cstheme="minorBidi"/>
      <w:sz w:val="22"/>
      <w:szCs w:val="22"/>
      <w:lang w:eastAsia="en-US"/>
    </w:rPr>
  </w:style>
  <w:style w:type="paragraph" w:styleId="FootnoteText">
    <w:name w:val="footnote text"/>
    <w:aliases w:val="Char,Footnote Text Char1,Footnote Text Char Char Char Char,Footnote Text Char Char,Char Char Char Char,Footnote reference,FA Fu,Footnote Text Char Char Char Char Char,Footnote Text Char Char Char, Char, Char Char Char Char"/>
    <w:basedOn w:val="Normal"/>
    <w:link w:val="FootnoteTextChar"/>
    <w:unhideWhenUsed/>
    <w:rsid w:val="000C47B4"/>
    <w:rPr>
      <w:rFonts w:ascii="Calibri" w:eastAsia="Calibri" w:hAnsi="Calibri"/>
      <w:sz w:val="20"/>
      <w:szCs w:val="20"/>
      <w:lang w:val="fr-FR" w:eastAsia="en-US"/>
    </w:rPr>
  </w:style>
  <w:style w:type="character" w:customStyle="1" w:styleId="FootnoteTextChar">
    <w:name w:val="Footnote Text Char"/>
    <w:aliases w:val="Char Char,Footnote Text Char1 Char,Footnote Text Char Char Char Char Char1,Footnote Text Char Char Char1,Char Char Char Char Char,Footnote reference Char,FA Fu Char,Footnote Text Char Char Char Char Char Char, Char Char"/>
    <w:basedOn w:val="DefaultParagraphFont"/>
    <w:link w:val="FootnoteText"/>
    <w:rsid w:val="000C47B4"/>
    <w:rPr>
      <w:rFonts w:ascii="Calibri" w:eastAsia="Calibri" w:hAnsi="Calibri"/>
      <w:lang w:val="fr-FR"/>
    </w:rPr>
  </w:style>
  <w:style w:type="character" w:styleId="FootnoteReference">
    <w:name w:val="footnote reference"/>
    <w:aliases w:val="Footnotes refss,Footnote number,Footnote"/>
    <w:basedOn w:val="DefaultParagraphFont"/>
    <w:uiPriority w:val="99"/>
    <w:unhideWhenUsed/>
    <w:rsid w:val="000C47B4"/>
    <w:rPr>
      <w:vertAlign w:val="superscript"/>
    </w:rPr>
  </w:style>
  <w:style w:type="paragraph" w:styleId="EndnoteText">
    <w:name w:val="endnote text"/>
    <w:basedOn w:val="Normal"/>
    <w:link w:val="EndnoteTextChar"/>
    <w:semiHidden/>
    <w:unhideWhenUsed/>
    <w:rsid w:val="00D41B8B"/>
    <w:rPr>
      <w:rFonts w:ascii="Calibri" w:eastAsia="Calibri" w:hAnsi="Calibri"/>
      <w:sz w:val="20"/>
      <w:szCs w:val="20"/>
      <w:lang w:val="fr-FR" w:eastAsia="en-US"/>
    </w:rPr>
  </w:style>
  <w:style w:type="character" w:customStyle="1" w:styleId="EndnoteTextChar">
    <w:name w:val="Endnote Text Char"/>
    <w:basedOn w:val="DefaultParagraphFont"/>
    <w:link w:val="EndnoteText"/>
    <w:semiHidden/>
    <w:rsid w:val="00D41B8B"/>
    <w:rPr>
      <w:rFonts w:ascii="Calibri" w:eastAsia="Calibri" w:hAnsi="Calibri"/>
      <w:lang w:val="fr-FR"/>
    </w:rPr>
  </w:style>
  <w:style w:type="character" w:styleId="EndnoteReference">
    <w:name w:val="endnote reference"/>
    <w:basedOn w:val="DefaultParagraphFont"/>
    <w:semiHidden/>
    <w:unhideWhenUsed/>
    <w:rsid w:val="00D41B8B"/>
    <w:rPr>
      <w:vertAlign w:val="superscript"/>
    </w:rPr>
  </w:style>
  <w:style w:type="character" w:styleId="FollowedHyperlink">
    <w:name w:val="FollowedHyperlink"/>
    <w:basedOn w:val="DefaultParagraphFont"/>
    <w:rsid w:val="00F86DC9"/>
    <w:rPr>
      <w:color w:val="954F72" w:themeColor="followedHyperlink"/>
      <w:u w:val="single"/>
    </w:rPr>
  </w:style>
  <w:style w:type="character" w:customStyle="1" w:styleId="Heading2Char">
    <w:name w:val="Heading 2 Char"/>
    <w:basedOn w:val="DefaultParagraphFont"/>
    <w:link w:val="Heading2"/>
    <w:rsid w:val="00BD232C"/>
    <w:rPr>
      <w:rFonts w:asciiTheme="majorHAnsi" w:eastAsiaTheme="majorEastAsia" w:hAnsiTheme="majorHAnsi" w:cstheme="majorBidi"/>
      <w:color w:val="2E74B5" w:themeColor="accent1" w:themeShade="BF"/>
      <w:sz w:val="26"/>
      <w:szCs w:val="26"/>
      <w:lang w:val="fr-FR"/>
    </w:rPr>
  </w:style>
  <w:style w:type="character" w:customStyle="1" w:styleId="UnresolvedMention1">
    <w:name w:val="Unresolved Mention1"/>
    <w:basedOn w:val="DefaultParagraphFont"/>
    <w:rsid w:val="00EE6AC1"/>
    <w:rPr>
      <w:color w:val="605E5C"/>
      <w:shd w:val="clear" w:color="auto" w:fill="E1DFDD"/>
    </w:rPr>
  </w:style>
  <w:style w:type="paragraph" w:styleId="Revision">
    <w:name w:val="Revision"/>
    <w:hidden/>
    <w:uiPriority w:val="66"/>
    <w:semiHidden/>
    <w:rsid w:val="00E72F69"/>
    <w:rPr>
      <w:rFonts w:ascii="Calibri" w:eastAsia="Calibri" w:hAnsi="Calibri"/>
      <w:sz w:val="22"/>
      <w:szCs w:val="22"/>
      <w:lang w:val="fr-FR"/>
    </w:rPr>
  </w:style>
  <w:style w:type="character" w:customStyle="1" w:styleId="UnresolvedMention2">
    <w:name w:val="Unresolved Mention2"/>
    <w:basedOn w:val="DefaultParagraphFont"/>
    <w:rsid w:val="00982FA5"/>
    <w:rPr>
      <w:color w:val="605E5C"/>
      <w:shd w:val="clear" w:color="auto" w:fill="E1DFDD"/>
    </w:rPr>
  </w:style>
  <w:style w:type="character" w:customStyle="1" w:styleId="Heading1Char">
    <w:name w:val="Heading 1 Char"/>
    <w:basedOn w:val="DefaultParagraphFont"/>
    <w:link w:val="Heading1"/>
    <w:rsid w:val="004426E6"/>
    <w:rPr>
      <w:rFonts w:asciiTheme="majorHAnsi" w:eastAsiaTheme="majorEastAsia" w:hAnsiTheme="majorHAnsi" w:cstheme="majorBidi"/>
      <w:color w:val="2E74B5" w:themeColor="accent1" w:themeShade="BF"/>
      <w:sz w:val="32"/>
      <w:szCs w:val="32"/>
      <w:lang w:val="fr-FR"/>
    </w:rPr>
  </w:style>
  <w:style w:type="paragraph" w:styleId="TOC1">
    <w:name w:val="toc 1"/>
    <w:basedOn w:val="Normal"/>
    <w:next w:val="Normal"/>
    <w:autoRedefine/>
    <w:uiPriority w:val="39"/>
    <w:unhideWhenUsed/>
    <w:rsid w:val="00EA60C1"/>
    <w:pPr>
      <w:spacing w:before="360" w:line="276" w:lineRule="auto"/>
    </w:pPr>
    <w:rPr>
      <w:rFonts w:asciiTheme="majorHAnsi" w:eastAsia="Calibri" w:hAnsiTheme="majorHAnsi" w:cstheme="majorHAnsi"/>
      <w:b/>
      <w:bCs/>
      <w:caps/>
      <w:lang w:val="fr-FR" w:eastAsia="en-US"/>
    </w:rPr>
  </w:style>
  <w:style w:type="character" w:customStyle="1" w:styleId="Heading3Char">
    <w:name w:val="Heading 3 Char"/>
    <w:basedOn w:val="DefaultParagraphFont"/>
    <w:link w:val="Heading3"/>
    <w:rsid w:val="004426E6"/>
    <w:rPr>
      <w:rFonts w:asciiTheme="majorHAnsi" w:eastAsiaTheme="majorEastAsia" w:hAnsiTheme="majorHAnsi" w:cstheme="majorBidi"/>
      <w:color w:val="1F4D78" w:themeColor="accent1" w:themeShade="7F"/>
      <w:sz w:val="24"/>
      <w:szCs w:val="24"/>
      <w:lang w:val="fr-FR"/>
    </w:rPr>
  </w:style>
  <w:style w:type="character" w:customStyle="1" w:styleId="Heading4Char">
    <w:name w:val="Heading 4 Char"/>
    <w:basedOn w:val="DefaultParagraphFont"/>
    <w:link w:val="Heading4"/>
    <w:rsid w:val="001E1C12"/>
    <w:rPr>
      <w:rFonts w:asciiTheme="majorHAnsi" w:eastAsiaTheme="majorEastAsia" w:hAnsiTheme="majorHAnsi" w:cstheme="majorBidi"/>
      <w:i/>
      <w:iCs/>
      <w:color w:val="2E74B5" w:themeColor="accent1" w:themeShade="BF"/>
      <w:sz w:val="22"/>
      <w:szCs w:val="22"/>
      <w:lang w:val="fr-FR"/>
    </w:rPr>
  </w:style>
  <w:style w:type="paragraph" w:styleId="TOC2">
    <w:name w:val="toc 2"/>
    <w:basedOn w:val="Normal"/>
    <w:next w:val="Normal"/>
    <w:autoRedefine/>
    <w:uiPriority w:val="39"/>
    <w:unhideWhenUsed/>
    <w:rsid w:val="00EA60C1"/>
    <w:pPr>
      <w:spacing w:before="240" w:line="276" w:lineRule="auto"/>
    </w:pPr>
    <w:rPr>
      <w:rFonts w:asciiTheme="minorHAnsi" w:eastAsia="Calibri" w:hAnsiTheme="minorHAnsi"/>
      <w:b/>
      <w:bCs/>
      <w:sz w:val="20"/>
      <w:szCs w:val="20"/>
      <w:lang w:val="fr-FR" w:eastAsia="en-US"/>
    </w:rPr>
  </w:style>
  <w:style w:type="paragraph" w:styleId="TOC3">
    <w:name w:val="toc 3"/>
    <w:basedOn w:val="Normal"/>
    <w:next w:val="Normal"/>
    <w:autoRedefine/>
    <w:uiPriority w:val="39"/>
    <w:unhideWhenUsed/>
    <w:rsid w:val="00EA60C1"/>
    <w:pPr>
      <w:spacing w:line="276" w:lineRule="auto"/>
      <w:ind w:left="220"/>
    </w:pPr>
    <w:rPr>
      <w:rFonts w:asciiTheme="minorHAnsi" w:eastAsia="Calibri" w:hAnsiTheme="minorHAnsi"/>
      <w:sz w:val="20"/>
      <w:szCs w:val="20"/>
      <w:lang w:val="fr-FR" w:eastAsia="en-US"/>
    </w:rPr>
  </w:style>
  <w:style w:type="paragraph" w:styleId="TOC4">
    <w:name w:val="toc 4"/>
    <w:basedOn w:val="Normal"/>
    <w:next w:val="Normal"/>
    <w:autoRedefine/>
    <w:unhideWhenUsed/>
    <w:rsid w:val="00EA60C1"/>
    <w:pPr>
      <w:spacing w:line="276" w:lineRule="auto"/>
      <w:ind w:left="440"/>
    </w:pPr>
    <w:rPr>
      <w:rFonts w:asciiTheme="minorHAnsi" w:eastAsia="Calibri" w:hAnsiTheme="minorHAnsi"/>
      <w:sz w:val="20"/>
      <w:szCs w:val="20"/>
      <w:lang w:val="fr-FR" w:eastAsia="en-US"/>
    </w:rPr>
  </w:style>
  <w:style w:type="paragraph" w:styleId="TOC5">
    <w:name w:val="toc 5"/>
    <w:basedOn w:val="Normal"/>
    <w:next w:val="Normal"/>
    <w:autoRedefine/>
    <w:unhideWhenUsed/>
    <w:rsid w:val="00EA60C1"/>
    <w:pPr>
      <w:spacing w:line="276" w:lineRule="auto"/>
      <w:ind w:left="660"/>
    </w:pPr>
    <w:rPr>
      <w:rFonts w:asciiTheme="minorHAnsi" w:eastAsia="Calibri" w:hAnsiTheme="minorHAnsi"/>
      <w:sz w:val="20"/>
      <w:szCs w:val="20"/>
      <w:lang w:val="fr-FR" w:eastAsia="en-US"/>
    </w:rPr>
  </w:style>
  <w:style w:type="paragraph" w:styleId="TOC6">
    <w:name w:val="toc 6"/>
    <w:basedOn w:val="Normal"/>
    <w:next w:val="Normal"/>
    <w:autoRedefine/>
    <w:unhideWhenUsed/>
    <w:rsid w:val="00EA60C1"/>
    <w:pPr>
      <w:spacing w:line="276" w:lineRule="auto"/>
      <w:ind w:left="880"/>
    </w:pPr>
    <w:rPr>
      <w:rFonts w:asciiTheme="minorHAnsi" w:eastAsia="Calibri" w:hAnsiTheme="minorHAnsi"/>
      <w:sz w:val="20"/>
      <w:szCs w:val="20"/>
      <w:lang w:val="fr-FR" w:eastAsia="en-US"/>
    </w:rPr>
  </w:style>
  <w:style w:type="paragraph" w:styleId="TOC7">
    <w:name w:val="toc 7"/>
    <w:basedOn w:val="Normal"/>
    <w:next w:val="Normal"/>
    <w:autoRedefine/>
    <w:unhideWhenUsed/>
    <w:rsid w:val="00EA60C1"/>
    <w:pPr>
      <w:spacing w:line="276" w:lineRule="auto"/>
      <w:ind w:left="1100"/>
    </w:pPr>
    <w:rPr>
      <w:rFonts w:asciiTheme="minorHAnsi" w:eastAsia="Calibri" w:hAnsiTheme="minorHAnsi"/>
      <w:sz w:val="20"/>
      <w:szCs w:val="20"/>
      <w:lang w:val="fr-FR" w:eastAsia="en-US"/>
    </w:rPr>
  </w:style>
  <w:style w:type="paragraph" w:styleId="TOC8">
    <w:name w:val="toc 8"/>
    <w:basedOn w:val="Normal"/>
    <w:next w:val="Normal"/>
    <w:autoRedefine/>
    <w:unhideWhenUsed/>
    <w:rsid w:val="00EA60C1"/>
    <w:pPr>
      <w:spacing w:line="276" w:lineRule="auto"/>
      <w:ind w:left="1320"/>
    </w:pPr>
    <w:rPr>
      <w:rFonts w:asciiTheme="minorHAnsi" w:eastAsia="Calibri" w:hAnsiTheme="minorHAnsi"/>
      <w:sz w:val="20"/>
      <w:szCs w:val="20"/>
      <w:lang w:val="fr-FR" w:eastAsia="en-US"/>
    </w:rPr>
  </w:style>
  <w:style w:type="paragraph" w:styleId="TOC9">
    <w:name w:val="toc 9"/>
    <w:basedOn w:val="Normal"/>
    <w:next w:val="Normal"/>
    <w:autoRedefine/>
    <w:unhideWhenUsed/>
    <w:rsid w:val="00EA60C1"/>
    <w:pPr>
      <w:spacing w:line="276" w:lineRule="auto"/>
      <w:ind w:left="1540"/>
    </w:pPr>
    <w:rPr>
      <w:rFonts w:asciiTheme="minorHAnsi" w:eastAsia="Calibri" w:hAnsiTheme="minorHAnsi"/>
      <w:sz w:val="20"/>
      <w:szCs w:val="20"/>
      <w:lang w:val="fr-FR" w:eastAsia="en-US"/>
    </w:rPr>
  </w:style>
  <w:style w:type="character" w:styleId="PageNumber">
    <w:name w:val="page number"/>
    <w:basedOn w:val="DefaultParagraphFont"/>
    <w:semiHidden/>
    <w:unhideWhenUsed/>
    <w:rsid w:val="009B5050"/>
  </w:style>
  <w:style w:type="character" w:styleId="Emphasis">
    <w:name w:val="Emphasis"/>
    <w:basedOn w:val="DefaultParagraphFont"/>
    <w:uiPriority w:val="20"/>
    <w:qFormat/>
    <w:rsid w:val="0045374F"/>
    <w:rPr>
      <w:i/>
      <w:iCs/>
    </w:rPr>
  </w:style>
  <w:style w:type="character" w:styleId="UnresolvedMention">
    <w:name w:val="Unresolved Mention"/>
    <w:basedOn w:val="DefaultParagraphFont"/>
    <w:uiPriority w:val="99"/>
    <w:semiHidden/>
    <w:unhideWhenUsed/>
    <w:rsid w:val="00D4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4077">
      <w:bodyDiv w:val="1"/>
      <w:marLeft w:val="0"/>
      <w:marRight w:val="0"/>
      <w:marTop w:val="0"/>
      <w:marBottom w:val="0"/>
      <w:divBdr>
        <w:top w:val="none" w:sz="0" w:space="0" w:color="auto"/>
        <w:left w:val="none" w:sz="0" w:space="0" w:color="auto"/>
        <w:bottom w:val="none" w:sz="0" w:space="0" w:color="auto"/>
        <w:right w:val="none" w:sz="0" w:space="0" w:color="auto"/>
      </w:divBdr>
    </w:div>
    <w:div w:id="170872267">
      <w:bodyDiv w:val="1"/>
      <w:marLeft w:val="0"/>
      <w:marRight w:val="0"/>
      <w:marTop w:val="0"/>
      <w:marBottom w:val="0"/>
      <w:divBdr>
        <w:top w:val="none" w:sz="0" w:space="0" w:color="auto"/>
        <w:left w:val="none" w:sz="0" w:space="0" w:color="auto"/>
        <w:bottom w:val="none" w:sz="0" w:space="0" w:color="auto"/>
        <w:right w:val="none" w:sz="0" w:space="0" w:color="auto"/>
      </w:divBdr>
      <w:divsChild>
        <w:div w:id="2054185240">
          <w:marLeft w:val="0"/>
          <w:marRight w:val="0"/>
          <w:marTop w:val="0"/>
          <w:marBottom w:val="0"/>
          <w:divBdr>
            <w:top w:val="none" w:sz="0" w:space="0" w:color="auto"/>
            <w:left w:val="none" w:sz="0" w:space="0" w:color="auto"/>
            <w:bottom w:val="none" w:sz="0" w:space="0" w:color="auto"/>
            <w:right w:val="none" w:sz="0" w:space="0" w:color="auto"/>
          </w:divBdr>
          <w:divsChild>
            <w:div w:id="724598262">
              <w:marLeft w:val="0"/>
              <w:marRight w:val="0"/>
              <w:marTop w:val="0"/>
              <w:marBottom w:val="0"/>
              <w:divBdr>
                <w:top w:val="none" w:sz="0" w:space="0" w:color="auto"/>
                <w:left w:val="none" w:sz="0" w:space="0" w:color="auto"/>
                <w:bottom w:val="none" w:sz="0" w:space="0" w:color="auto"/>
                <w:right w:val="none" w:sz="0" w:space="0" w:color="auto"/>
              </w:divBdr>
              <w:divsChild>
                <w:div w:id="922758989">
                  <w:marLeft w:val="0"/>
                  <w:marRight w:val="0"/>
                  <w:marTop w:val="0"/>
                  <w:marBottom w:val="0"/>
                  <w:divBdr>
                    <w:top w:val="none" w:sz="0" w:space="0" w:color="auto"/>
                    <w:left w:val="none" w:sz="0" w:space="0" w:color="auto"/>
                    <w:bottom w:val="none" w:sz="0" w:space="0" w:color="auto"/>
                    <w:right w:val="none" w:sz="0" w:space="0" w:color="auto"/>
                  </w:divBdr>
                  <w:divsChild>
                    <w:div w:id="162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8185">
      <w:bodyDiv w:val="1"/>
      <w:marLeft w:val="0"/>
      <w:marRight w:val="0"/>
      <w:marTop w:val="0"/>
      <w:marBottom w:val="0"/>
      <w:divBdr>
        <w:top w:val="none" w:sz="0" w:space="0" w:color="auto"/>
        <w:left w:val="none" w:sz="0" w:space="0" w:color="auto"/>
        <w:bottom w:val="none" w:sz="0" w:space="0" w:color="auto"/>
        <w:right w:val="none" w:sz="0" w:space="0" w:color="auto"/>
      </w:divBdr>
      <w:divsChild>
        <w:div w:id="340545966">
          <w:marLeft w:val="0"/>
          <w:marRight w:val="0"/>
          <w:marTop w:val="0"/>
          <w:marBottom w:val="0"/>
          <w:divBdr>
            <w:top w:val="none" w:sz="0" w:space="0" w:color="auto"/>
            <w:left w:val="none" w:sz="0" w:space="0" w:color="auto"/>
            <w:bottom w:val="none" w:sz="0" w:space="0" w:color="auto"/>
            <w:right w:val="none" w:sz="0" w:space="0" w:color="auto"/>
          </w:divBdr>
          <w:divsChild>
            <w:div w:id="7658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580800608">
      <w:bodyDiv w:val="1"/>
      <w:marLeft w:val="0"/>
      <w:marRight w:val="0"/>
      <w:marTop w:val="0"/>
      <w:marBottom w:val="0"/>
      <w:divBdr>
        <w:top w:val="none" w:sz="0" w:space="0" w:color="auto"/>
        <w:left w:val="none" w:sz="0" w:space="0" w:color="auto"/>
        <w:bottom w:val="none" w:sz="0" w:space="0" w:color="auto"/>
        <w:right w:val="none" w:sz="0" w:space="0" w:color="auto"/>
      </w:divBdr>
      <w:divsChild>
        <w:div w:id="67776736">
          <w:marLeft w:val="0"/>
          <w:marRight w:val="0"/>
          <w:marTop w:val="0"/>
          <w:marBottom w:val="0"/>
          <w:divBdr>
            <w:top w:val="none" w:sz="0" w:space="0" w:color="auto"/>
            <w:left w:val="none" w:sz="0" w:space="0" w:color="auto"/>
            <w:bottom w:val="none" w:sz="0" w:space="0" w:color="auto"/>
            <w:right w:val="none" w:sz="0" w:space="0" w:color="auto"/>
          </w:divBdr>
          <w:divsChild>
            <w:div w:id="1100639750">
              <w:marLeft w:val="0"/>
              <w:marRight w:val="0"/>
              <w:marTop w:val="0"/>
              <w:marBottom w:val="0"/>
              <w:divBdr>
                <w:top w:val="none" w:sz="0" w:space="0" w:color="auto"/>
                <w:left w:val="none" w:sz="0" w:space="0" w:color="auto"/>
                <w:bottom w:val="none" w:sz="0" w:space="0" w:color="auto"/>
                <w:right w:val="none" w:sz="0" w:space="0" w:color="auto"/>
              </w:divBdr>
              <w:divsChild>
                <w:div w:id="1694334936">
                  <w:marLeft w:val="0"/>
                  <w:marRight w:val="0"/>
                  <w:marTop w:val="0"/>
                  <w:marBottom w:val="0"/>
                  <w:divBdr>
                    <w:top w:val="none" w:sz="0" w:space="0" w:color="auto"/>
                    <w:left w:val="none" w:sz="0" w:space="0" w:color="auto"/>
                    <w:bottom w:val="none" w:sz="0" w:space="0" w:color="auto"/>
                    <w:right w:val="none" w:sz="0" w:space="0" w:color="auto"/>
                  </w:divBdr>
                  <w:divsChild>
                    <w:div w:id="1704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726">
      <w:bodyDiv w:val="1"/>
      <w:marLeft w:val="0"/>
      <w:marRight w:val="0"/>
      <w:marTop w:val="0"/>
      <w:marBottom w:val="0"/>
      <w:divBdr>
        <w:top w:val="none" w:sz="0" w:space="0" w:color="auto"/>
        <w:left w:val="none" w:sz="0" w:space="0" w:color="auto"/>
        <w:bottom w:val="none" w:sz="0" w:space="0" w:color="auto"/>
        <w:right w:val="none" w:sz="0" w:space="0" w:color="auto"/>
      </w:divBdr>
    </w:div>
    <w:div w:id="923563073">
      <w:bodyDiv w:val="1"/>
      <w:marLeft w:val="0"/>
      <w:marRight w:val="0"/>
      <w:marTop w:val="0"/>
      <w:marBottom w:val="0"/>
      <w:divBdr>
        <w:top w:val="none" w:sz="0" w:space="0" w:color="auto"/>
        <w:left w:val="none" w:sz="0" w:space="0" w:color="auto"/>
        <w:bottom w:val="none" w:sz="0" w:space="0" w:color="auto"/>
        <w:right w:val="none" w:sz="0" w:space="0" w:color="auto"/>
      </w:divBdr>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0871">
      <w:bodyDiv w:val="1"/>
      <w:marLeft w:val="0"/>
      <w:marRight w:val="0"/>
      <w:marTop w:val="0"/>
      <w:marBottom w:val="0"/>
      <w:divBdr>
        <w:top w:val="none" w:sz="0" w:space="0" w:color="auto"/>
        <w:left w:val="none" w:sz="0" w:space="0" w:color="auto"/>
        <w:bottom w:val="none" w:sz="0" w:space="0" w:color="auto"/>
        <w:right w:val="none" w:sz="0" w:space="0" w:color="auto"/>
      </w:divBdr>
      <w:divsChild>
        <w:div w:id="668217359">
          <w:marLeft w:val="0"/>
          <w:marRight w:val="0"/>
          <w:marTop w:val="0"/>
          <w:marBottom w:val="0"/>
          <w:divBdr>
            <w:top w:val="none" w:sz="0" w:space="0" w:color="auto"/>
            <w:left w:val="none" w:sz="0" w:space="0" w:color="auto"/>
            <w:bottom w:val="none" w:sz="0" w:space="0" w:color="auto"/>
            <w:right w:val="none" w:sz="0" w:space="0" w:color="auto"/>
          </w:divBdr>
          <w:divsChild>
            <w:div w:id="1148202138">
              <w:marLeft w:val="0"/>
              <w:marRight w:val="0"/>
              <w:marTop w:val="0"/>
              <w:marBottom w:val="0"/>
              <w:divBdr>
                <w:top w:val="none" w:sz="0" w:space="0" w:color="auto"/>
                <w:left w:val="none" w:sz="0" w:space="0" w:color="auto"/>
                <w:bottom w:val="none" w:sz="0" w:space="0" w:color="auto"/>
                <w:right w:val="none" w:sz="0" w:space="0" w:color="auto"/>
              </w:divBdr>
              <w:divsChild>
                <w:div w:id="8829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1994">
      <w:bodyDiv w:val="1"/>
      <w:marLeft w:val="0"/>
      <w:marRight w:val="0"/>
      <w:marTop w:val="0"/>
      <w:marBottom w:val="0"/>
      <w:divBdr>
        <w:top w:val="none" w:sz="0" w:space="0" w:color="auto"/>
        <w:left w:val="none" w:sz="0" w:space="0" w:color="auto"/>
        <w:bottom w:val="none" w:sz="0" w:space="0" w:color="auto"/>
        <w:right w:val="none" w:sz="0" w:space="0" w:color="auto"/>
      </w:divBdr>
    </w:div>
    <w:div w:id="1367486534">
      <w:bodyDiv w:val="1"/>
      <w:marLeft w:val="0"/>
      <w:marRight w:val="0"/>
      <w:marTop w:val="0"/>
      <w:marBottom w:val="0"/>
      <w:divBdr>
        <w:top w:val="none" w:sz="0" w:space="0" w:color="auto"/>
        <w:left w:val="none" w:sz="0" w:space="0" w:color="auto"/>
        <w:bottom w:val="none" w:sz="0" w:space="0" w:color="auto"/>
        <w:right w:val="none" w:sz="0" w:space="0" w:color="auto"/>
      </w:divBdr>
    </w:div>
    <w:div w:id="1452244590">
      <w:bodyDiv w:val="1"/>
      <w:marLeft w:val="0"/>
      <w:marRight w:val="0"/>
      <w:marTop w:val="0"/>
      <w:marBottom w:val="0"/>
      <w:divBdr>
        <w:top w:val="none" w:sz="0" w:space="0" w:color="auto"/>
        <w:left w:val="none" w:sz="0" w:space="0" w:color="auto"/>
        <w:bottom w:val="none" w:sz="0" w:space="0" w:color="auto"/>
        <w:right w:val="none" w:sz="0" w:space="0" w:color="auto"/>
      </w:divBdr>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68031249">
      <w:bodyDiv w:val="1"/>
      <w:marLeft w:val="0"/>
      <w:marRight w:val="0"/>
      <w:marTop w:val="0"/>
      <w:marBottom w:val="0"/>
      <w:divBdr>
        <w:top w:val="none" w:sz="0" w:space="0" w:color="auto"/>
        <w:left w:val="none" w:sz="0" w:space="0" w:color="auto"/>
        <w:bottom w:val="none" w:sz="0" w:space="0" w:color="auto"/>
        <w:right w:val="none" w:sz="0" w:space="0" w:color="auto"/>
      </w:divBdr>
      <w:divsChild>
        <w:div w:id="460809289">
          <w:marLeft w:val="0"/>
          <w:marRight w:val="0"/>
          <w:marTop w:val="0"/>
          <w:marBottom w:val="0"/>
          <w:divBdr>
            <w:top w:val="none" w:sz="0" w:space="0" w:color="auto"/>
            <w:left w:val="none" w:sz="0" w:space="0" w:color="auto"/>
            <w:bottom w:val="none" w:sz="0" w:space="0" w:color="auto"/>
            <w:right w:val="none" w:sz="0" w:space="0" w:color="auto"/>
          </w:divBdr>
          <w:divsChild>
            <w:div w:id="1694110448">
              <w:marLeft w:val="0"/>
              <w:marRight w:val="0"/>
              <w:marTop w:val="0"/>
              <w:marBottom w:val="0"/>
              <w:divBdr>
                <w:top w:val="none" w:sz="0" w:space="0" w:color="auto"/>
                <w:left w:val="none" w:sz="0" w:space="0" w:color="auto"/>
                <w:bottom w:val="none" w:sz="0" w:space="0" w:color="auto"/>
                <w:right w:val="none" w:sz="0" w:space="0" w:color="auto"/>
              </w:divBdr>
              <w:divsChild>
                <w:div w:id="1933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4438">
      <w:bodyDiv w:val="1"/>
      <w:marLeft w:val="0"/>
      <w:marRight w:val="0"/>
      <w:marTop w:val="0"/>
      <w:marBottom w:val="0"/>
      <w:divBdr>
        <w:top w:val="none" w:sz="0" w:space="0" w:color="auto"/>
        <w:left w:val="none" w:sz="0" w:space="0" w:color="auto"/>
        <w:bottom w:val="none" w:sz="0" w:space="0" w:color="auto"/>
        <w:right w:val="none" w:sz="0" w:space="0" w:color="auto"/>
      </w:divBdr>
    </w:div>
    <w:div w:id="2072775821">
      <w:bodyDiv w:val="1"/>
      <w:marLeft w:val="0"/>
      <w:marRight w:val="0"/>
      <w:marTop w:val="0"/>
      <w:marBottom w:val="0"/>
      <w:divBdr>
        <w:top w:val="none" w:sz="0" w:space="0" w:color="auto"/>
        <w:left w:val="none" w:sz="0" w:space="0" w:color="auto"/>
        <w:bottom w:val="none" w:sz="0" w:space="0" w:color="auto"/>
        <w:right w:val="none" w:sz="0" w:space="0" w:color="auto"/>
      </w:divBdr>
    </w:div>
    <w:div w:id="2101216288">
      <w:bodyDiv w:val="1"/>
      <w:marLeft w:val="0"/>
      <w:marRight w:val="0"/>
      <w:marTop w:val="0"/>
      <w:marBottom w:val="0"/>
      <w:divBdr>
        <w:top w:val="none" w:sz="0" w:space="0" w:color="auto"/>
        <w:left w:val="none" w:sz="0" w:space="0" w:color="auto"/>
        <w:bottom w:val="none" w:sz="0" w:space="0" w:color="auto"/>
        <w:right w:val="none" w:sz="0" w:space="0" w:color="auto"/>
      </w:divBdr>
      <w:divsChild>
        <w:div w:id="434786670">
          <w:marLeft w:val="0"/>
          <w:marRight w:val="0"/>
          <w:marTop w:val="0"/>
          <w:marBottom w:val="0"/>
          <w:divBdr>
            <w:top w:val="none" w:sz="0" w:space="0" w:color="auto"/>
            <w:left w:val="none" w:sz="0" w:space="0" w:color="auto"/>
            <w:bottom w:val="none" w:sz="0" w:space="0" w:color="auto"/>
            <w:right w:val="none" w:sz="0" w:space="0" w:color="auto"/>
          </w:divBdr>
          <w:divsChild>
            <w:div w:id="1352337846">
              <w:marLeft w:val="0"/>
              <w:marRight w:val="0"/>
              <w:marTop w:val="0"/>
              <w:marBottom w:val="0"/>
              <w:divBdr>
                <w:top w:val="none" w:sz="0" w:space="0" w:color="auto"/>
                <w:left w:val="none" w:sz="0" w:space="0" w:color="auto"/>
                <w:bottom w:val="none" w:sz="0" w:space="0" w:color="auto"/>
                <w:right w:val="none" w:sz="0" w:space="0" w:color="auto"/>
              </w:divBdr>
              <w:divsChild>
                <w:div w:id="955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perezbello@ida-secretari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tbinternet.ohchr.org/_layouts/15/treatybodyexternal/Download.aspx?symbolno=CMW%2fC%2fGC%2f4&amp;Lang=en" TargetMode="External"/><Relationship Id="rId21" Type="http://schemas.openxmlformats.org/officeDocument/2006/relationships/hyperlink" Target="http://www.uscis.gov/portal/site/uscis/menuitem.f6da51a2342135be7e9d7a10e0dc91a0/?vgnextoid=fa7e539dc4bed010VgnVCM1000000ecd190aRCRD&amp;vgnextchannel=fa7e539dc4bed010VgnVCM1000000ecd190aRCRD&amp;CH=act" TargetMode="External"/><Relationship Id="rId42" Type="http://schemas.openxmlformats.org/officeDocument/2006/relationships/hyperlink" Target="https://undocs.org/en/A/HRC/40/54" TargetMode="External"/><Relationship Id="rId47" Type="http://schemas.openxmlformats.org/officeDocument/2006/relationships/hyperlink" Target="https://tbinternet.ohchr.org/_layouts/15/treatybodyexternal/Download.aspx?symbolno=CRPD/C/GC/6&amp;Lang=en" TargetMode="External"/><Relationship Id="rId63" Type="http://schemas.openxmlformats.org/officeDocument/2006/relationships/hyperlink" Target="https://tbinternet.ohchr.org/_layouts/treatybodyexternal/Download.aspx?symbolno=CRPD%2fC%2fNER%2fCO%2f1&amp;Lang=en" TargetMode="External"/><Relationship Id="rId68" Type="http://schemas.openxmlformats.org/officeDocument/2006/relationships/hyperlink" Target="https://undocs.org/en/A/70/297" TargetMode="External"/><Relationship Id="rId16" Type="http://schemas.openxmlformats.org/officeDocument/2006/relationships/hyperlink" Target="https://tbinternet.ohchr.org/Treaties/CRPD/Shared%20Documents/AUS/CRPD_C_AUS_CO_2-3_37221_E.docx" TargetMode="External"/><Relationship Id="rId11" Type="http://schemas.openxmlformats.org/officeDocument/2006/relationships/hyperlink" Target="https://undocs.org/en/A/HRC/43/27" TargetMode="External"/><Relationship Id="rId24"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 Id="rId32" Type="http://schemas.openxmlformats.org/officeDocument/2006/relationships/hyperlink" Target="https://tbinternet.ohchr.org/_layouts/15/treatybodyexternal/Download.aspx?symbolno=CRPD/C/GC/6&amp;Lang=en" TargetMode="External"/><Relationship Id="rId37" Type="http://schemas.openxmlformats.org/officeDocument/2006/relationships/hyperlink" Target="http://tbinternet.ohchr.org/_layouts/treatybodyexternal/Download.aspx?symbolno=CRPD%2fC%2fDEU%2fCO%2f1&amp;Lang=en" TargetMode="External"/><Relationship Id="rId40" Type="http://schemas.openxmlformats.org/officeDocument/2006/relationships/hyperlink" Target="https://undocs.org/en/A/HRC/43/27" TargetMode="External"/><Relationship Id="rId45" Type="http://schemas.openxmlformats.org/officeDocument/2006/relationships/hyperlink" Target="https://tbinternet.ohchr.org/_layouts/15/treatybodyexternal/Download.aspx?symbolno=CRPD/C/AUS/CO/2-3&amp;Lang=En" TargetMode="External"/><Relationship Id="rId53" Type="http://schemas.openxmlformats.org/officeDocument/2006/relationships/hyperlink" Target="https://documents-dds-ny.un.org/doc/UNDOC/GEN/G13/464/60/PDF/G1346460.pdf?OpenElement" TargetMode="External"/><Relationship Id="rId58" Type="http://schemas.openxmlformats.org/officeDocument/2006/relationships/hyperlink" Target="https://www.ohchr.org/EN/HRBodies/HRC/RegularSessions/Session43/Documents/A_HRC_43_49_AdvanceEditedVersion.docx" TargetMode="External"/><Relationship Id="rId66" Type="http://schemas.openxmlformats.org/officeDocument/2006/relationships/hyperlink" Target="http://www2.ohchr.org/english/bodies/cmw/docs/CMW.C.ARG.CO.1_en.pdf" TargetMode="External"/><Relationship Id="rId74" Type="http://schemas.openxmlformats.org/officeDocument/2006/relationships/hyperlink" Target="https://fra.europa.eu/sites/default/files/fra_uploads/fra-august-2016-monthly-migration-disability-focus_en.pdf." TargetMode="External"/><Relationship Id="rId79" Type="http://schemas.openxmlformats.org/officeDocument/2006/relationships/hyperlink" Target="https://humanity-inclusion.org.uk/en/projects/disability-data-in-humanitarian-action" TargetMode="External"/><Relationship Id="rId5" Type="http://schemas.openxmlformats.org/officeDocument/2006/relationships/hyperlink" Target="http://daccess-ods.un.org/access.nsf/Get?Open&amp;DS=CRPD/C/ECU/CO/1&amp;Lang=E" TargetMode="External"/><Relationship Id="rId61" Type="http://schemas.openxmlformats.org/officeDocument/2006/relationships/hyperlink" Target="http://www2.ohchr.org/english/bodies/cmw/docs/CMW.C.ARG.CO.1_en.pdf" TargetMode="External"/><Relationship Id="rId19" Type="http://schemas.openxmlformats.org/officeDocument/2006/relationships/hyperlink" Target="http://www.aph.gov.au/Parliamentary_Business/Committees/House_of_Representatives_Committees?url=mig/disability/report.htm" TargetMode="External"/><Relationship Id="rId14" Type="http://schemas.openxmlformats.org/officeDocument/2006/relationships/hyperlink" Target="https://www.oas.org/es/cidh/migrantes/docs/pdf/migrantes2011.pdf" TargetMode="External"/><Relationship Id="rId22" Type="http://schemas.openxmlformats.org/officeDocument/2006/relationships/hyperlink" Target="http://laws-lois.justice.gc.ca/eng/acts/I-2.5/page-12.html" TargetMode="External"/><Relationship Id="rId27" Type="http://schemas.openxmlformats.org/officeDocument/2006/relationships/hyperlink" Target="http://tbinternet.ohchr.org/Treaties/CRPD/Shared%20Documents/SYC/CRPD_C_SYC_CO_1_30547_E.docx" TargetMode="External"/><Relationship Id="rId30" Type="http://schemas.openxmlformats.org/officeDocument/2006/relationships/hyperlink" Target="https://tbinternet.ohchr.org/_layouts/15/treatybodyexternal/Download.aspx?symbolno=CMW%2fC%2fGC%2f3&amp;Lang=en" TargetMode="External"/><Relationship Id="rId35" Type="http://schemas.openxmlformats.org/officeDocument/2006/relationships/hyperlink" Target="http://tbinternet.ohchr.org/_layouts/treatybodyexternal/Download.aspx?symbolno=CRPD%2fC%2fDEU%2fCO%2f1&amp;Lang=en" TargetMode="External"/><Relationship Id="rId43" Type="http://schemas.openxmlformats.org/officeDocument/2006/relationships/hyperlink" Target="https://works.bepress.com/mark_weber/18/" TargetMode="External"/><Relationship Id="rId48" Type="http://schemas.openxmlformats.org/officeDocument/2006/relationships/hyperlink" Target="https://undocs.org/en/A/HRC/40/54" TargetMode="External"/><Relationship Id="rId56" Type="http://schemas.openxmlformats.org/officeDocument/2006/relationships/hyperlink" Target="https://tbinternet.ohchr.org/_layouts/15/treatybodyexternal/Download.aspx?symbolno=CRPD/C/AUS/CO/2-3&amp;Lang=En" TargetMode="External"/><Relationship Id="rId64" Type="http://schemas.openxmlformats.org/officeDocument/2006/relationships/hyperlink" Target="https://tbinternet.ohchr.org/_layouts/treatybodyexternal/Download.aspx?symbolno=CRPD%2fC%2fSEN%2fCO%2f1&amp;Lang=en" TargetMode="External"/><Relationship Id="rId69" Type="http://schemas.openxmlformats.org/officeDocument/2006/relationships/hyperlink" Target="https://tbinternet.ohchr.org/_layouts/15/treatybodyexternal/Download.aspx?symbolno=CRPD/C/ECU/CO/2-3&amp;Lang=Sp" TargetMode="External"/><Relationship Id="rId77" Type="http://schemas.openxmlformats.org/officeDocument/2006/relationships/hyperlink" Target="https://humanity-inclusion.org.uk/en/projects/disability-data-in-humanitarian-action" TargetMode="External"/><Relationship Id="rId8" Type="http://schemas.openxmlformats.org/officeDocument/2006/relationships/hyperlink" Target="https://childrendeprivedofliberty.info/wp-content/uploads/2020/09/Full-Global-Study_Revised-Version.pdf" TargetMode="External"/><Relationship Id="rId51" Type="http://schemas.openxmlformats.org/officeDocument/2006/relationships/hyperlink" Target="http://docstore.ohchr.org/SelfServices/FilesHandler.ashx?enc=6QkG1d%2fPPRiCAqhKb7yhshZEsQpq2VmlaFuT3ws7ySG0tusxMhIs5xrQnpbfrqnciF%2fuTYUqOOdVccS0ag4xDCIN4N%2fPcQcZ6z5T0Ogd2QSApE7eucMYZZ2lt2GO3Y3wrqulsBn4x%2bVmx3QsaLKdk5cGgbnNRqIASq7R%2b4v9C6c%3d" TargetMode="External"/><Relationship Id="rId72" Type="http://schemas.openxmlformats.org/officeDocument/2006/relationships/hyperlink" Target="http://tbinternet.ohchr.org/_layouts/treatybodyexternal/Download.aspx?symbolno=CRPD%2fC%2fDOM%2fCO%2f1&amp;Lang=en" TargetMode="External"/><Relationship Id="rId3" Type="http://schemas.openxmlformats.org/officeDocument/2006/relationships/hyperlink" Target="https://researchdirect.westernsydney.edu.au/islandora/object/uws%3A36812" TargetMode="External"/><Relationship Id="rId12" Type="http://schemas.openxmlformats.org/officeDocument/2006/relationships/hyperlink" Target="http://docstore.ohchr.org/SelfServices/FilesHandler.ashx?enc=6QkG1d%2fPPRiCAqhKb7yhshZEsQpq2VmlaFuT3ws7ySG0tusxMhIs5xrQnpbfrqnciF%2fuTYUqOOdVccS0ag4xDCIN4N%2fPcQcZ6z5T0Ogd2QSApE7eucMYZZ2lt2GO3Y3wrqulsBn4x%2bVmx3QsaLKdk5cGgbnNRqIASq7R%2b4v9C6c%3d" TargetMode="External"/><Relationship Id="rId17" Type="http://schemas.openxmlformats.org/officeDocument/2006/relationships/hyperlink" Target="http://www.austlii.edu.au/au/legis/cth/consol_act/ma1958118/" TargetMode="External"/><Relationship Id="rId25"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33" Type="http://schemas.openxmlformats.org/officeDocument/2006/relationships/hyperlink" Target="https://tbinternet.ohchr.org/_layouts/15/treatybodyexternal/Download.aspx?symbolno=CRPD/C/GC/6&amp;Lang=en" TargetMode="External"/><Relationship Id="rId38" Type="http://schemas.openxmlformats.org/officeDocument/2006/relationships/hyperlink" Target="http://tbinternet.ohchr.org/_layouts/treatybodyexternal/Download.aspx?symbolno=CRPD%2fC%2fDEU%2fCO%2f1&amp;Lang=en" TargetMode="External"/><Relationship Id="rId46" Type="http://schemas.openxmlformats.org/officeDocument/2006/relationships/hyperlink" Target="https://tbinternet.ohchr.org/_layouts/15/treatybodyexternal/Download.aspx?symbolno=CRPD/C/KWT/CO/1&amp;Lang=En" TargetMode="External"/><Relationship Id="rId59"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67" Type="http://schemas.openxmlformats.org/officeDocument/2006/relationships/hyperlink" Target="http://www.ohchr.org/Documents/HRBodies/CRPD/8thSession/CRPD-C-ARG-CO-1_en.doc" TargetMode="External"/><Relationship Id="rId20" Type="http://schemas.openxmlformats.org/officeDocument/2006/relationships/hyperlink" Target="http://www.ukba.homeoffice.gov.uk/policyandlaw/immigrationlaw/immigrationrules/part1/" TargetMode="External"/><Relationship Id="rId41" Type="http://schemas.openxmlformats.org/officeDocument/2006/relationships/hyperlink" Target="https://tspace.library.utoronto.ca/bitstream/1807/80128/1/Gros%20and%20Groll_2015_%20We%20Have%20No%20Rights.pdf" TargetMode="External"/><Relationship Id="rId54" Type="http://schemas.openxmlformats.org/officeDocument/2006/relationships/hyperlink" Target="http://docstore.ohchr.org/SelfServices/FilesHandler.ashx?enc=6QkG1d%2fPPRiCAqhKb7yhspZQ2sppBOANJSxHHwrsEJZ4a%2bF%2bFWSbDTUGUYYZeFghBZozoBf0FbDFMU6tzX3CaoEoWWa9un1ajOd5y69IEF8T5%2bIBZljFf0%2bMXTPuQmCh" TargetMode="External"/><Relationship Id="rId62" Type="http://schemas.openxmlformats.org/officeDocument/2006/relationships/hyperlink" Target="https://tbinternet.ohchr.org/_layouts/15/treatybodyexternal/Download.aspx?symbolno=CRPD/C/GC/5&amp;Lang=en" TargetMode="External"/><Relationship Id="rId70" Type="http://schemas.openxmlformats.org/officeDocument/2006/relationships/hyperlink" Target="https://tbinternet.ohchr.org/_layouts/15/treatybodyexternal/Download.aspx?symbolno=CRPD/C/SLV/CO/2-3&amp;Lang=En" TargetMode="External"/><Relationship Id="rId75" Type="http://schemas.openxmlformats.org/officeDocument/2006/relationships/hyperlink" Target="http://docstore.ohchr.org/SelfServices/FilesHandler.ashx?enc=6QkG1d%2fPPRiCAqhKb7yhspZQ2sppBOANJSxHHwrsEJZ4a%2bF%2bFWSbDTUGUYYZeFghBZozoBf0FbDFMU6tzX3CaoEoWWa9un1ajOd5y69IEF8T5%2bIBZljFf0%2bMXTPuQmCh" TargetMode="External"/><Relationship Id="rId1" Type="http://schemas.openxmlformats.org/officeDocument/2006/relationships/hyperlink" Target="https://undocs.org/en/A/HRC/43/27" TargetMode="External"/><Relationship Id="rId6" Type="http://schemas.openxmlformats.org/officeDocument/2006/relationships/hyperlink" Target="https://documents-dds-ny.un.org/doc/UNDOC/GEN/G13/464/60/PDF/G1346460.pdf?OpenElement" TargetMode="External"/><Relationship Id="rId15" Type="http://schemas.openxmlformats.org/officeDocument/2006/relationships/hyperlink" Target="https://www.ohchr.org/EN/HRBodies/HRC/RegularSessions/Session43/Documents/A_HRC_43_49_AdvanceEditedVersion.docx" TargetMode="External"/><Relationship Id="rId23" Type="http://schemas.openxmlformats.org/officeDocument/2006/relationships/hyperlink" Target="http://scc.lexum.org/en/2005/2005scc57/2005scc57.html" TargetMode="External"/><Relationship Id="rId28" Type="http://schemas.openxmlformats.org/officeDocument/2006/relationships/hyperlink" Target="https://tbinternet.ohchr.org/_layouts/15/treatybodyexternal/Download.aspx?symbolno=CMW%2fC%2fGC%2f3&amp;Lang=en" TargetMode="External"/><Relationship Id="rId36" Type="http://schemas.openxmlformats.org/officeDocument/2006/relationships/hyperlink" Target="https://tbinternet.ohchr.org/_layouts/15/treatybodyexternal/Download.aspx?symbolno=CRPD/C/GC/2&amp;Lang=en" TargetMode="External"/><Relationship Id="rId49" Type="http://schemas.openxmlformats.org/officeDocument/2006/relationships/hyperlink" Target="https://imm-print.com/deaf-in-detention-challenges-to-outreach-advocacy-support-bed693de35f2/" TargetMode="External"/><Relationship Id="rId57"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10" Type="http://schemas.openxmlformats.org/officeDocument/2006/relationships/hyperlink" Target="https://www.disabilityrightsca.org/system/files/file-attachments/DRC_REPORT_ADELANTO-IMMIG_DETENTION-ACCESSIBLE_Spanish.pdf" TargetMode="External"/><Relationship Id="rId31" Type="http://schemas.openxmlformats.org/officeDocument/2006/relationships/hyperlink" Target="https://childrendeprivedofliberty.info/wp-content/uploads/2020/09/Full-Global-Study_Revised-Version.pdf" TargetMode="External"/><Relationship Id="rId44" Type="http://schemas.openxmlformats.org/officeDocument/2006/relationships/hyperlink" Target="http://www.scielo.org.za/scielo.php?script=sci_arttext&amp;pid=S2225-71602019000100020" TargetMode="External"/><Relationship Id="rId52" Type="http://schemas.openxmlformats.org/officeDocument/2006/relationships/hyperlink" Target="https://documents-dds-ny.un.org/doc/UNDOC/GEN/G13/464/60/PDF/G1346460.pdf?OpenElement" TargetMode="External"/><Relationship Id="rId60" Type="http://schemas.openxmlformats.org/officeDocument/2006/relationships/hyperlink" Target="http://uhri.ohchr.org/Document/File/d1652c85-fa7a-4db5-b0bf-77ac3f88fbac/2de85fca-abc7-403f-ba5a-969fa3387816" TargetMode="External"/><Relationship Id="rId65" Type="http://schemas.openxmlformats.org/officeDocument/2006/relationships/hyperlink" Target="http://tbinternet.ohchr.org/Treaties/CRPD/Shared%20Documents/OMN/CRPD_C_OMN_CO_1_30557_E.docx" TargetMode="External"/><Relationship Id="rId73" Type="http://schemas.openxmlformats.org/officeDocument/2006/relationships/hyperlink" Target="https://tbinternet.ohchr.org/_layouts/15/treatybodyexternal/Download.aspx?symbolno=CMW%2fC%2fGC%2f3&amp;Lang=en" TargetMode="External"/><Relationship Id="rId78" Type="http://schemas.openxmlformats.org/officeDocument/2006/relationships/hyperlink" Target="https://tbinternet.ohchr.org/_layouts/15/treatybodyexternal/Download.aspx?symbolno=CRPD/C/ALB/CO/1&amp;Lang=En" TargetMode="External"/><Relationship Id="rId4" Type="http://schemas.openxmlformats.org/officeDocument/2006/relationships/hyperlink" Target="https://tbinternet.ohchr.org/Treaties/CRPD/Shared%20Documents/AUS/CRPD_C_AUS_CO_2-3_37221_E.docx" TargetMode="External"/><Relationship Id="rId9" Type="http://schemas.openxmlformats.org/officeDocument/2006/relationships/hyperlink" Target="https://www.aclu.org/files/assets/usdeportation0710_0.pdf" TargetMode="External"/><Relationship Id="rId13" Type="http://schemas.openxmlformats.org/officeDocument/2006/relationships/hyperlink" Target="https://documents-dds-ny.un.org/doc/UNDOC/GEN/G13/464/60/PDF/G1346460.pdf?OpenElement" TargetMode="External"/><Relationship Id="rId18" Type="http://schemas.openxmlformats.org/officeDocument/2006/relationships/hyperlink" Target="http://daccess-ods.un.org/access.nsf/Get?Open&amp;DS=CRPD/C/ECU/CO/1&amp;Lang=E" TargetMode="External"/><Relationship Id="rId39" Type="http://schemas.openxmlformats.org/officeDocument/2006/relationships/hyperlink" Target="https://imm-print.com/deaf-in-detention-challenges-to-outreach-advocacy-support-bed693de35f2/" TargetMode="External"/><Relationship Id="rId34" Type="http://schemas.openxmlformats.org/officeDocument/2006/relationships/hyperlink" Target="https://tbinternet.ohchr.org/_layouts/15/treatybodyexternal/Download.aspx?symbolno=CMW%2fC%2fGC%2f3&amp;Lang=en" TargetMode="External"/><Relationship Id="rId50" Type="http://schemas.openxmlformats.org/officeDocument/2006/relationships/hyperlink" Target="http://www.aph.gov.au/~/media/Committees/Senate/committee/ndis_ctte/Canberra%20Tabled%20Docs/NEDA%20Report_People%20living%20with%20Disability%20in%20Immigration%20Detention.pdf?la=en" TargetMode="External"/><Relationship Id="rId55" Type="http://schemas.openxmlformats.org/officeDocument/2006/relationships/hyperlink" Target="http://tbinternet.ohchr.org/_layouts/treatybodyexternal/Download.aspx?symbolno=CRPD%2fC%2fQAT%2fCO%2f1&amp;Lang=en" TargetMode="External"/><Relationship Id="rId76" Type="http://schemas.openxmlformats.org/officeDocument/2006/relationships/hyperlink" Target="https://tbinternet.ohchr.org/_layouts/15/treatybodyexternal/Download.aspx?symbolno=CRPD/C/ALB/CO/1&amp;Lang=En" TargetMode="External"/><Relationship Id="rId7" Type="http://schemas.openxmlformats.org/officeDocument/2006/relationships/hyperlink" Target="https://tbinternet.ohchr.org/_layouts/15/treatybodyexternal/Download.aspx?symbolno=CMW%2fC%2fGC%2f3&amp;Lang=en" TargetMode="External"/><Relationship Id="rId71" Type="http://schemas.openxmlformats.org/officeDocument/2006/relationships/hyperlink" Target="http://www.ohchr.org/Documents/HRBodies/CRPD/8thSession/CRPD-C-ARG-CO-1_en.doc" TargetMode="External"/><Relationship Id="rId2" Type="http://schemas.openxmlformats.org/officeDocument/2006/relationships/hyperlink" Target="https://undocs.org/en/A/HRC/40/54" TargetMode="External"/><Relationship Id="rId29" Type="http://schemas.openxmlformats.org/officeDocument/2006/relationships/hyperlink" Target="https://documents-dds-ny.un.org/doc/UNDOC/GEN/G13/464/60/PDF/G134646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71A4A-11A9-6E40-BE9C-BF2E5C43C98A}">
  <ds:schemaRefs>
    <ds:schemaRef ds:uri="http://schemas.openxmlformats.org/officeDocument/2006/bibliography"/>
  </ds:schemaRefs>
</ds:datastoreItem>
</file>

<file path=customXml/itemProps2.xml><?xml version="1.0" encoding="utf-8"?>
<ds:datastoreItem xmlns:ds="http://schemas.openxmlformats.org/officeDocument/2006/customXml" ds:itemID="{EBC532AE-85E9-4708-AC91-E8C4E3443ECB}"/>
</file>

<file path=customXml/itemProps3.xml><?xml version="1.0" encoding="utf-8"?>
<ds:datastoreItem xmlns:ds="http://schemas.openxmlformats.org/officeDocument/2006/customXml" ds:itemID="{065B28BC-06C5-4DFA-811A-3BF3D12348A4}"/>
</file>

<file path=customXml/itemProps4.xml><?xml version="1.0" encoding="utf-8"?>
<ds:datastoreItem xmlns:ds="http://schemas.openxmlformats.org/officeDocument/2006/customXml" ds:itemID="{2419D1DC-0106-4FAC-8F85-D15DDB04C90A}"/>
</file>

<file path=docProps/app.xml><?xml version="1.0" encoding="utf-8"?>
<Properties xmlns="http://schemas.openxmlformats.org/officeDocument/2006/extended-properties" xmlns:vt="http://schemas.openxmlformats.org/officeDocument/2006/docPropsVTypes">
  <Template>C:\Users\Guest\Downloads\IDA Letterhead Template (4).dotx</Template>
  <TotalTime>279</TotalTime>
  <Pages>13</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FUNDACION ONCE</Company>
  <LinksUpToDate>false</LinksUpToDate>
  <CharactersWithSpaces>35508</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juan ignacio  perez bello</cp:lastModifiedBy>
  <cp:revision>50</cp:revision>
  <cp:lastPrinted>2017-01-11T15:04:00Z</cp:lastPrinted>
  <dcterms:created xsi:type="dcterms:W3CDTF">2020-11-01T08:46:00Z</dcterms:created>
  <dcterms:modified xsi:type="dcterms:W3CDTF">2020-11-02T12:06:00Z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