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D9B65" w14:textId="77777777" w:rsidR="00ED6865" w:rsidRPr="0040591F" w:rsidRDefault="00B26A33">
      <w:pPr>
        <w:jc w:val="right"/>
        <w:rPr>
          <w:rFonts w:asciiTheme="majorHAnsi" w:eastAsia="Calibri" w:hAnsiTheme="majorHAnsi" w:cstheme="majorHAnsi"/>
          <w:sz w:val="22"/>
          <w:szCs w:val="22"/>
        </w:rPr>
      </w:pPr>
      <w:bookmarkStart w:id="0" w:name="_GoBack"/>
      <w:bookmarkEnd w:id="0"/>
      <w:r>
        <w:rPr>
          <w:rFonts w:asciiTheme="majorHAnsi" w:hAnsiTheme="majorHAnsi" w:cstheme="majorHAnsi"/>
          <w:sz w:val="22"/>
          <w:szCs w:val="22"/>
        </w:rPr>
        <w:pict w14:anchorId="7F7A87DA">
          <v:rect id="_x0000_i1025" style="width:0;height:1.5pt" o:hralign="center" o:hrstd="t" o:hr="t" fillcolor="#a0a0a0" stroked="f"/>
        </w:pict>
      </w:r>
    </w:p>
    <w:p w14:paraId="30AF40AB" w14:textId="77777777" w:rsidR="00ED6865" w:rsidRPr="0040591F" w:rsidRDefault="008E3EB9">
      <w:pPr>
        <w:tabs>
          <w:tab w:val="center" w:pos="4513"/>
          <w:tab w:val="right" w:pos="9026"/>
        </w:tabs>
        <w:jc w:val="center"/>
        <w:rPr>
          <w:rFonts w:asciiTheme="majorHAnsi" w:eastAsia="Calibri" w:hAnsiTheme="majorHAnsi" w:cstheme="majorHAnsi"/>
          <w:sz w:val="22"/>
          <w:szCs w:val="22"/>
        </w:rPr>
      </w:pPr>
      <w:r w:rsidRPr="0040591F">
        <w:rPr>
          <w:rFonts w:asciiTheme="majorHAnsi" w:eastAsia="Calibri" w:hAnsiTheme="majorHAnsi" w:cstheme="majorHAnsi"/>
          <w:sz w:val="22"/>
          <w:szCs w:val="22"/>
        </w:rPr>
        <w:tab/>
      </w:r>
    </w:p>
    <w:p w14:paraId="7C7B9B27" w14:textId="3E2BB11E" w:rsidR="00A92B34" w:rsidRPr="0040591F" w:rsidRDefault="00A92B34" w:rsidP="00A92B34">
      <w:pPr>
        <w:rPr>
          <w:rFonts w:asciiTheme="majorHAnsi" w:hAnsiTheme="majorHAnsi" w:cstheme="majorHAnsi"/>
          <w:sz w:val="22"/>
          <w:szCs w:val="22"/>
        </w:rPr>
      </w:pPr>
      <w:bookmarkStart w:id="1" w:name="_20e5wabpf9fd" w:colFirst="0" w:colLast="0"/>
      <w:bookmarkEnd w:id="1"/>
      <w:r w:rsidRPr="0040591F">
        <w:rPr>
          <w:rFonts w:asciiTheme="majorHAnsi" w:hAnsiTheme="majorHAnsi" w:cstheme="majorHAnsi"/>
          <w:sz w:val="22"/>
          <w:szCs w:val="22"/>
        </w:rPr>
        <w:t>30 October 2020</w:t>
      </w:r>
    </w:p>
    <w:p w14:paraId="2D36975A" w14:textId="77777777" w:rsidR="0099681D" w:rsidRPr="0040591F" w:rsidRDefault="0099681D" w:rsidP="00A92B34">
      <w:pPr>
        <w:rPr>
          <w:rFonts w:asciiTheme="majorHAnsi" w:hAnsiTheme="majorHAnsi" w:cstheme="majorHAnsi"/>
          <w:sz w:val="22"/>
          <w:szCs w:val="22"/>
        </w:rPr>
      </w:pPr>
    </w:p>
    <w:p w14:paraId="2CFC27F9" w14:textId="77777777" w:rsidR="00A92B34" w:rsidRPr="0040591F" w:rsidRDefault="00A92B34" w:rsidP="00A92B34">
      <w:pPr>
        <w:rPr>
          <w:rFonts w:asciiTheme="majorHAnsi" w:hAnsiTheme="majorHAnsi" w:cstheme="majorHAnsi"/>
          <w:sz w:val="22"/>
          <w:szCs w:val="22"/>
        </w:rPr>
      </w:pPr>
      <w:r w:rsidRPr="0040591F">
        <w:rPr>
          <w:rFonts w:asciiTheme="majorHAnsi" w:hAnsiTheme="majorHAnsi" w:cstheme="majorHAnsi"/>
          <w:sz w:val="22"/>
          <w:szCs w:val="22"/>
        </w:rPr>
        <w:t>Dear Office of the Human Rights High Commissioner,</w:t>
      </w:r>
    </w:p>
    <w:p w14:paraId="524CCC43" w14:textId="77777777" w:rsidR="0099681D" w:rsidRPr="0040591F" w:rsidRDefault="0099681D" w:rsidP="00A92B34">
      <w:pPr>
        <w:rPr>
          <w:rFonts w:asciiTheme="majorHAnsi" w:hAnsiTheme="majorHAnsi" w:cstheme="majorHAnsi"/>
          <w:b/>
          <w:bCs/>
          <w:sz w:val="22"/>
          <w:szCs w:val="22"/>
        </w:rPr>
      </w:pPr>
    </w:p>
    <w:p w14:paraId="60963839" w14:textId="2B5CDBB8" w:rsidR="00A92B34" w:rsidRPr="0040591F" w:rsidRDefault="002E1443" w:rsidP="002E1443">
      <w:pPr>
        <w:jc w:val="center"/>
        <w:rPr>
          <w:rFonts w:asciiTheme="majorHAnsi" w:hAnsiTheme="majorHAnsi" w:cstheme="majorHAnsi"/>
          <w:b/>
          <w:bCs/>
          <w:sz w:val="22"/>
          <w:szCs w:val="22"/>
        </w:rPr>
      </w:pPr>
      <w:r>
        <w:rPr>
          <w:rFonts w:asciiTheme="majorHAnsi" w:hAnsiTheme="majorHAnsi" w:cstheme="majorHAnsi"/>
          <w:b/>
          <w:bCs/>
          <w:sz w:val="22"/>
          <w:szCs w:val="22"/>
        </w:rPr>
        <w:t xml:space="preserve">Re: </w:t>
      </w:r>
      <w:r w:rsidR="00A92B34" w:rsidRPr="0040591F">
        <w:rPr>
          <w:rFonts w:asciiTheme="majorHAnsi" w:hAnsiTheme="majorHAnsi" w:cstheme="majorHAnsi"/>
          <w:b/>
          <w:bCs/>
          <w:sz w:val="22"/>
          <w:szCs w:val="22"/>
        </w:rPr>
        <w:t>Draft General Comment No. 5 (2020) on Migrants’ Rights to Liberty and Freedom from Arbitrary Detention</w:t>
      </w:r>
    </w:p>
    <w:p w14:paraId="5C1F2226" w14:textId="77777777" w:rsidR="0099681D" w:rsidRPr="0040591F" w:rsidRDefault="0099681D" w:rsidP="00A92B34">
      <w:pPr>
        <w:jc w:val="both"/>
        <w:rPr>
          <w:rFonts w:asciiTheme="majorHAnsi" w:hAnsiTheme="majorHAnsi" w:cstheme="majorHAnsi"/>
          <w:sz w:val="22"/>
          <w:szCs w:val="22"/>
        </w:rPr>
      </w:pPr>
    </w:p>
    <w:p w14:paraId="452B6425" w14:textId="579F28CA" w:rsidR="0099681D" w:rsidRPr="0040591F" w:rsidRDefault="00A92B34" w:rsidP="00A92B34">
      <w:pPr>
        <w:jc w:val="both"/>
        <w:rPr>
          <w:rFonts w:asciiTheme="majorHAnsi" w:hAnsiTheme="majorHAnsi" w:cstheme="majorHAnsi"/>
          <w:sz w:val="22"/>
          <w:szCs w:val="22"/>
        </w:rPr>
      </w:pPr>
      <w:r w:rsidRPr="0040591F">
        <w:rPr>
          <w:rFonts w:asciiTheme="majorHAnsi" w:hAnsiTheme="majorHAnsi" w:cstheme="majorHAnsi"/>
          <w:sz w:val="22"/>
          <w:szCs w:val="22"/>
        </w:rPr>
        <w:t>Thank you for the opportunity to provide feedback on the Draft General Comment No. 5 (2020). We agree that States should be given specific guidance on fulfilling their obligations under the Convention on the Protection of the Rights of All Migrant Workers and Members of their Families</w:t>
      </w:r>
      <w:r w:rsidR="002E1443">
        <w:rPr>
          <w:rFonts w:asciiTheme="majorHAnsi" w:hAnsiTheme="majorHAnsi" w:cstheme="majorHAnsi"/>
          <w:sz w:val="22"/>
          <w:szCs w:val="22"/>
        </w:rPr>
        <w:t xml:space="preserve"> and appreciate the important work that General Comments do in setting out state expectations</w:t>
      </w:r>
      <w:r w:rsidR="0099681D" w:rsidRPr="0040591F">
        <w:rPr>
          <w:rFonts w:asciiTheme="majorHAnsi" w:hAnsiTheme="majorHAnsi" w:cstheme="majorHAnsi"/>
          <w:sz w:val="22"/>
          <w:szCs w:val="22"/>
        </w:rPr>
        <w:t>.</w:t>
      </w:r>
    </w:p>
    <w:p w14:paraId="20170BEA" w14:textId="77777777" w:rsidR="0099681D" w:rsidRPr="0040591F" w:rsidRDefault="0099681D" w:rsidP="00A92B34">
      <w:pPr>
        <w:jc w:val="both"/>
        <w:rPr>
          <w:rFonts w:asciiTheme="majorHAnsi" w:hAnsiTheme="majorHAnsi" w:cstheme="majorHAnsi"/>
          <w:sz w:val="22"/>
          <w:szCs w:val="22"/>
        </w:rPr>
      </w:pPr>
    </w:p>
    <w:p w14:paraId="7B26B324" w14:textId="52485C76" w:rsidR="0099681D" w:rsidRPr="0040591F" w:rsidRDefault="0099681D" w:rsidP="00A92B34">
      <w:pPr>
        <w:jc w:val="both"/>
        <w:rPr>
          <w:rFonts w:asciiTheme="majorHAnsi" w:hAnsiTheme="majorHAnsi" w:cstheme="majorHAnsi"/>
          <w:sz w:val="22"/>
          <w:szCs w:val="22"/>
        </w:rPr>
      </w:pPr>
      <w:r w:rsidRPr="0040591F">
        <w:rPr>
          <w:rFonts w:asciiTheme="majorHAnsi" w:hAnsiTheme="majorHAnsi" w:cstheme="majorHAnsi"/>
          <w:sz w:val="22"/>
          <w:szCs w:val="22"/>
        </w:rPr>
        <w:t>H</w:t>
      </w:r>
      <w:r w:rsidR="00A92B34" w:rsidRPr="0040591F">
        <w:rPr>
          <w:rFonts w:asciiTheme="majorHAnsi" w:hAnsiTheme="majorHAnsi" w:cstheme="majorHAnsi"/>
          <w:sz w:val="22"/>
          <w:szCs w:val="22"/>
        </w:rPr>
        <w:t>owever</w:t>
      </w:r>
      <w:r w:rsidRPr="0040591F">
        <w:rPr>
          <w:rFonts w:asciiTheme="majorHAnsi" w:hAnsiTheme="majorHAnsi" w:cstheme="majorHAnsi"/>
          <w:sz w:val="22"/>
          <w:szCs w:val="22"/>
        </w:rPr>
        <w:t>,</w:t>
      </w:r>
      <w:r w:rsidR="00A92B34" w:rsidRPr="0040591F">
        <w:rPr>
          <w:rFonts w:asciiTheme="majorHAnsi" w:hAnsiTheme="majorHAnsi" w:cstheme="majorHAnsi"/>
          <w:sz w:val="22"/>
          <w:szCs w:val="22"/>
        </w:rPr>
        <w:t xml:space="preserve"> we are concerned that the rights and needs of migrant sex workers </w:t>
      </w:r>
      <w:r w:rsidR="002E1443">
        <w:rPr>
          <w:rFonts w:asciiTheme="majorHAnsi" w:hAnsiTheme="majorHAnsi" w:cstheme="majorHAnsi"/>
          <w:sz w:val="22"/>
          <w:szCs w:val="22"/>
        </w:rPr>
        <w:t>are entirely absent from</w:t>
      </w:r>
      <w:r w:rsidR="00A92B34" w:rsidRPr="0040591F">
        <w:rPr>
          <w:rFonts w:asciiTheme="majorHAnsi" w:hAnsiTheme="majorHAnsi" w:cstheme="majorHAnsi"/>
          <w:sz w:val="22"/>
          <w:szCs w:val="22"/>
        </w:rPr>
        <w:t xml:space="preserve"> this</w:t>
      </w:r>
      <w:r w:rsidRPr="0040591F">
        <w:rPr>
          <w:rFonts w:asciiTheme="majorHAnsi" w:hAnsiTheme="majorHAnsi" w:cstheme="majorHAnsi"/>
          <w:sz w:val="22"/>
          <w:szCs w:val="22"/>
        </w:rPr>
        <w:t xml:space="preserve"> General</w:t>
      </w:r>
      <w:r w:rsidR="00A92B34" w:rsidRPr="0040591F">
        <w:rPr>
          <w:rFonts w:asciiTheme="majorHAnsi" w:hAnsiTheme="majorHAnsi" w:cstheme="majorHAnsi"/>
          <w:sz w:val="22"/>
          <w:szCs w:val="22"/>
        </w:rPr>
        <w:t xml:space="preserve"> Comment</w:t>
      </w:r>
      <w:r w:rsidRPr="0040591F">
        <w:rPr>
          <w:rFonts w:asciiTheme="majorHAnsi" w:hAnsiTheme="majorHAnsi" w:cstheme="majorHAnsi"/>
          <w:sz w:val="22"/>
          <w:szCs w:val="22"/>
        </w:rPr>
        <w:t xml:space="preserve"> and urge the </w:t>
      </w:r>
      <w:r w:rsidR="0086313F">
        <w:rPr>
          <w:rFonts w:asciiTheme="majorHAnsi" w:hAnsiTheme="majorHAnsi" w:cstheme="majorHAnsi"/>
          <w:sz w:val="22"/>
          <w:szCs w:val="22"/>
        </w:rPr>
        <w:t>Committee</w:t>
      </w:r>
      <w:r w:rsidRPr="0040591F">
        <w:rPr>
          <w:rFonts w:asciiTheme="majorHAnsi" w:hAnsiTheme="majorHAnsi" w:cstheme="majorHAnsi"/>
          <w:sz w:val="22"/>
          <w:szCs w:val="22"/>
        </w:rPr>
        <w:t xml:space="preserve"> to include express statements recogni</w:t>
      </w:r>
      <w:r w:rsidR="002E1443">
        <w:rPr>
          <w:rFonts w:asciiTheme="majorHAnsi" w:hAnsiTheme="majorHAnsi" w:cstheme="majorHAnsi"/>
          <w:sz w:val="22"/>
          <w:szCs w:val="22"/>
        </w:rPr>
        <w:t>zi</w:t>
      </w:r>
      <w:r w:rsidRPr="0040591F">
        <w:rPr>
          <w:rFonts w:asciiTheme="majorHAnsi" w:hAnsiTheme="majorHAnsi" w:cstheme="majorHAnsi"/>
          <w:sz w:val="22"/>
          <w:szCs w:val="22"/>
        </w:rPr>
        <w:t>ng th</w:t>
      </w:r>
      <w:r w:rsidR="002E1443">
        <w:rPr>
          <w:rFonts w:asciiTheme="majorHAnsi" w:hAnsiTheme="majorHAnsi" w:cstheme="majorHAnsi"/>
          <w:sz w:val="22"/>
          <w:szCs w:val="22"/>
        </w:rPr>
        <w:t>e</w:t>
      </w:r>
      <w:r w:rsidRPr="0040591F">
        <w:rPr>
          <w:rFonts w:asciiTheme="majorHAnsi" w:hAnsiTheme="majorHAnsi" w:cstheme="majorHAnsi"/>
          <w:sz w:val="22"/>
          <w:szCs w:val="22"/>
        </w:rPr>
        <w:t xml:space="preserve"> discriminatory laws and policies that make this population specifically vulnerable to arbitrary detention and de</w:t>
      </w:r>
      <w:r w:rsidR="002E1443">
        <w:rPr>
          <w:rFonts w:asciiTheme="majorHAnsi" w:hAnsiTheme="majorHAnsi" w:cstheme="majorHAnsi"/>
          <w:sz w:val="22"/>
          <w:szCs w:val="22"/>
        </w:rPr>
        <w:t>privation of liberty</w:t>
      </w:r>
      <w:r w:rsidRPr="0040591F">
        <w:rPr>
          <w:rFonts w:asciiTheme="majorHAnsi" w:hAnsiTheme="majorHAnsi" w:cstheme="majorHAnsi"/>
          <w:sz w:val="22"/>
          <w:szCs w:val="22"/>
        </w:rPr>
        <w:t xml:space="preserve">. </w:t>
      </w:r>
    </w:p>
    <w:p w14:paraId="6473AA0C" w14:textId="77777777" w:rsidR="0099681D" w:rsidRPr="0040591F" w:rsidRDefault="0099681D" w:rsidP="00A92B34">
      <w:pPr>
        <w:jc w:val="both"/>
        <w:rPr>
          <w:rFonts w:asciiTheme="majorHAnsi" w:hAnsiTheme="majorHAnsi" w:cstheme="majorHAnsi"/>
          <w:b/>
          <w:bCs/>
          <w:sz w:val="22"/>
          <w:szCs w:val="22"/>
        </w:rPr>
      </w:pPr>
    </w:p>
    <w:p w14:paraId="09BAB77D" w14:textId="316E02F1" w:rsidR="00A92B34" w:rsidRPr="0040591F" w:rsidRDefault="00A92B34" w:rsidP="00A92B34">
      <w:pPr>
        <w:jc w:val="both"/>
        <w:rPr>
          <w:rFonts w:asciiTheme="majorHAnsi" w:hAnsiTheme="majorHAnsi" w:cstheme="majorHAnsi"/>
          <w:b/>
          <w:bCs/>
          <w:sz w:val="22"/>
          <w:szCs w:val="22"/>
        </w:rPr>
      </w:pPr>
      <w:r w:rsidRPr="0040591F">
        <w:rPr>
          <w:rFonts w:asciiTheme="majorHAnsi" w:hAnsiTheme="majorHAnsi" w:cstheme="majorHAnsi"/>
          <w:b/>
          <w:bCs/>
          <w:sz w:val="22"/>
          <w:szCs w:val="22"/>
        </w:rPr>
        <w:t>About Scarlet Alliance</w:t>
      </w:r>
    </w:p>
    <w:p w14:paraId="35491F1B" w14:textId="77777777" w:rsidR="0099681D" w:rsidRPr="0040591F" w:rsidRDefault="0099681D" w:rsidP="00A92B34">
      <w:pPr>
        <w:jc w:val="both"/>
        <w:rPr>
          <w:rFonts w:asciiTheme="majorHAnsi" w:hAnsiTheme="majorHAnsi" w:cstheme="majorHAnsi"/>
          <w:sz w:val="22"/>
          <w:szCs w:val="22"/>
        </w:rPr>
      </w:pPr>
    </w:p>
    <w:p w14:paraId="5B1DFA72" w14:textId="48A7981C" w:rsidR="00A92B34" w:rsidRPr="0040591F" w:rsidRDefault="00A92B34" w:rsidP="00A92B34">
      <w:pPr>
        <w:jc w:val="both"/>
        <w:rPr>
          <w:rFonts w:asciiTheme="majorHAnsi" w:hAnsiTheme="majorHAnsi" w:cstheme="majorHAnsi"/>
          <w:sz w:val="22"/>
          <w:szCs w:val="22"/>
        </w:rPr>
      </w:pPr>
      <w:r w:rsidRPr="0040591F">
        <w:rPr>
          <w:rFonts w:asciiTheme="majorHAnsi" w:hAnsiTheme="majorHAnsi" w:cstheme="majorHAnsi"/>
          <w:sz w:val="22"/>
          <w:szCs w:val="22"/>
        </w:rPr>
        <w:t xml:space="preserve">Scarlet Alliance, the Australian Sex Workers Association, is the peak national sex worker organisation in Australia. Formed in 1989, the organisation represents a membership of individual sex workers and sex worker organisations. Scarlet Alliance and our member organisations and projects have the highest level of contact with sex workers in Australia of any agency, government or non-government. Through our project work and the work of our membership </w:t>
      </w:r>
      <w:r w:rsidRPr="0040591F">
        <w:rPr>
          <w:rFonts w:asciiTheme="majorHAnsi" w:hAnsiTheme="majorHAnsi" w:cstheme="majorHAnsi"/>
          <w:sz w:val="22"/>
          <w:szCs w:val="22"/>
        </w:rPr>
        <w:lastRenderedPageBreak/>
        <w:t xml:space="preserve">we have consistently maintained high levels of access to sex industry workplaces in the major cities and many regional areas of Australia. </w:t>
      </w:r>
    </w:p>
    <w:p w14:paraId="608355B1" w14:textId="77777777" w:rsidR="0099681D" w:rsidRPr="0040591F" w:rsidRDefault="0099681D" w:rsidP="00A92B34">
      <w:pPr>
        <w:jc w:val="both"/>
        <w:rPr>
          <w:rFonts w:asciiTheme="majorHAnsi" w:hAnsiTheme="majorHAnsi" w:cstheme="majorHAnsi"/>
          <w:sz w:val="22"/>
          <w:szCs w:val="22"/>
        </w:rPr>
      </w:pPr>
    </w:p>
    <w:p w14:paraId="281DBE8F" w14:textId="2677964E" w:rsidR="00A92B34" w:rsidRPr="0040591F" w:rsidRDefault="00A92B34" w:rsidP="00A92B34">
      <w:pPr>
        <w:jc w:val="both"/>
        <w:rPr>
          <w:rFonts w:asciiTheme="majorHAnsi" w:hAnsiTheme="majorHAnsi" w:cstheme="majorHAnsi"/>
          <w:sz w:val="22"/>
          <w:szCs w:val="22"/>
        </w:rPr>
      </w:pPr>
      <w:r w:rsidRPr="0040591F">
        <w:rPr>
          <w:rFonts w:asciiTheme="majorHAnsi" w:hAnsiTheme="majorHAnsi" w:cstheme="majorHAnsi"/>
          <w:sz w:val="22"/>
          <w:szCs w:val="22"/>
        </w:rPr>
        <w:t xml:space="preserve">Scarlet Alliance and many of our member sex worker organisations and projects within Australia have CALD (culturally and linguistically diverse) projects employing bi-lingual project workers resulting in extremely high levels of engagement with CALD and migrant sex workers throughout Australia, across a range of work place types. </w:t>
      </w:r>
      <w:r w:rsidR="00621720">
        <w:rPr>
          <w:rFonts w:asciiTheme="majorHAnsi" w:hAnsiTheme="majorHAnsi" w:cstheme="majorHAnsi"/>
          <w:sz w:val="22"/>
          <w:szCs w:val="22"/>
        </w:rPr>
        <w:t xml:space="preserve">Scarlet Alliance continues to be guided </w:t>
      </w:r>
      <w:r w:rsidR="00EE4F75">
        <w:rPr>
          <w:rFonts w:asciiTheme="majorHAnsi" w:hAnsiTheme="majorHAnsi" w:cstheme="majorHAnsi"/>
          <w:sz w:val="22"/>
          <w:szCs w:val="22"/>
        </w:rPr>
        <w:t xml:space="preserve">in our work </w:t>
      </w:r>
      <w:r w:rsidR="00621720">
        <w:rPr>
          <w:rFonts w:asciiTheme="majorHAnsi" w:hAnsiTheme="majorHAnsi" w:cstheme="majorHAnsi"/>
          <w:sz w:val="22"/>
          <w:szCs w:val="22"/>
        </w:rPr>
        <w:t xml:space="preserve">by </w:t>
      </w:r>
      <w:r w:rsidR="00EE4F75">
        <w:rPr>
          <w:rFonts w:asciiTheme="majorHAnsi" w:hAnsiTheme="majorHAnsi" w:cstheme="majorHAnsi"/>
          <w:sz w:val="22"/>
          <w:szCs w:val="22"/>
        </w:rPr>
        <w:t>the Migrant Sex Worker Advisory Committee.</w:t>
      </w:r>
    </w:p>
    <w:p w14:paraId="7C41C86C" w14:textId="77777777" w:rsidR="0099681D" w:rsidRPr="0040591F" w:rsidRDefault="0099681D" w:rsidP="00A92B34">
      <w:pPr>
        <w:jc w:val="both"/>
        <w:rPr>
          <w:rFonts w:asciiTheme="majorHAnsi" w:hAnsiTheme="majorHAnsi" w:cstheme="majorHAnsi"/>
          <w:sz w:val="22"/>
          <w:szCs w:val="22"/>
        </w:rPr>
      </w:pPr>
    </w:p>
    <w:p w14:paraId="2202953B" w14:textId="77777777" w:rsidR="0099681D" w:rsidRPr="0040591F" w:rsidRDefault="0099681D" w:rsidP="00A92B34">
      <w:pPr>
        <w:jc w:val="both"/>
        <w:rPr>
          <w:rFonts w:asciiTheme="majorHAnsi" w:hAnsiTheme="majorHAnsi" w:cstheme="majorHAnsi"/>
          <w:b/>
          <w:bCs/>
          <w:sz w:val="22"/>
          <w:szCs w:val="22"/>
        </w:rPr>
      </w:pPr>
    </w:p>
    <w:p w14:paraId="25F7D5B6" w14:textId="77777777" w:rsidR="00CF36DF" w:rsidRPr="0040591F" w:rsidRDefault="00CF36DF" w:rsidP="00A92B34">
      <w:pPr>
        <w:jc w:val="both"/>
        <w:rPr>
          <w:rFonts w:asciiTheme="majorHAnsi" w:hAnsiTheme="majorHAnsi" w:cstheme="majorHAnsi"/>
          <w:b/>
          <w:bCs/>
          <w:sz w:val="22"/>
          <w:szCs w:val="22"/>
        </w:rPr>
      </w:pPr>
      <w:r w:rsidRPr="0040591F">
        <w:rPr>
          <w:rFonts w:asciiTheme="majorHAnsi" w:hAnsiTheme="majorHAnsi" w:cstheme="majorHAnsi"/>
          <w:b/>
          <w:bCs/>
          <w:sz w:val="22"/>
          <w:szCs w:val="22"/>
        </w:rPr>
        <w:t>Criminalisation, detention and deportation of migrant sex workers</w:t>
      </w:r>
    </w:p>
    <w:p w14:paraId="1CFFEDAA" w14:textId="77777777" w:rsidR="00CF36DF" w:rsidRPr="0040591F" w:rsidRDefault="00CF36DF" w:rsidP="00A92B34">
      <w:pPr>
        <w:jc w:val="both"/>
        <w:rPr>
          <w:rFonts w:asciiTheme="majorHAnsi" w:hAnsiTheme="majorHAnsi" w:cstheme="majorHAnsi"/>
          <w:b/>
          <w:bCs/>
          <w:sz w:val="22"/>
          <w:szCs w:val="22"/>
        </w:rPr>
      </w:pPr>
    </w:p>
    <w:p w14:paraId="5760A9FF" w14:textId="02816A47" w:rsidR="0099681D" w:rsidRPr="0040591F" w:rsidRDefault="00CF36DF" w:rsidP="00A92B34">
      <w:pPr>
        <w:jc w:val="both"/>
        <w:rPr>
          <w:rFonts w:asciiTheme="majorHAnsi" w:hAnsiTheme="majorHAnsi" w:cstheme="majorHAnsi"/>
          <w:sz w:val="22"/>
          <w:szCs w:val="22"/>
        </w:rPr>
      </w:pPr>
      <w:r w:rsidRPr="0040591F">
        <w:rPr>
          <w:rFonts w:asciiTheme="majorHAnsi" w:hAnsiTheme="majorHAnsi" w:cstheme="majorHAnsi"/>
          <w:sz w:val="22"/>
          <w:szCs w:val="22"/>
        </w:rPr>
        <w:t>We appreciate that the General Comment critiques the concerning trend toward the criminalization of migration</w:t>
      </w:r>
      <w:r w:rsidR="002E1443">
        <w:rPr>
          <w:rFonts w:asciiTheme="majorHAnsi" w:hAnsiTheme="majorHAnsi" w:cstheme="majorHAnsi"/>
          <w:sz w:val="22"/>
          <w:szCs w:val="22"/>
        </w:rPr>
        <w:t xml:space="preserve"> (paragraph 1)</w:t>
      </w:r>
      <w:r w:rsidRPr="0040591F">
        <w:rPr>
          <w:rFonts w:asciiTheme="majorHAnsi" w:hAnsiTheme="majorHAnsi" w:cstheme="majorHAnsi"/>
          <w:sz w:val="22"/>
          <w:szCs w:val="22"/>
        </w:rPr>
        <w:t>. We note that, for migrant sex workers, the issues are not only the criminalization of migration but also the compounding presence of racially discriminatory immigration policies and criminalization of sex work. These factors continue to impact migrant sex workers’</w:t>
      </w:r>
      <w:r w:rsidR="00A92B34" w:rsidRPr="0040591F">
        <w:rPr>
          <w:rFonts w:asciiTheme="majorHAnsi" w:hAnsiTheme="majorHAnsi" w:cstheme="majorHAnsi"/>
          <w:sz w:val="22"/>
          <w:szCs w:val="22"/>
        </w:rPr>
        <w:t xml:space="preserve"> right</w:t>
      </w:r>
      <w:r w:rsidRPr="0040591F">
        <w:rPr>
          <w:rFonts w:asciiTheme="majorHAnsi" w:hAnsiTheme="majorHAnsi" w:cstheme="majorHAnsi"/>
          <w:sz w:val="22"/>
          <w:szCs w:val="22"/>
        </w:rPr>
        <w:t>s</w:t>
      </w:r>
      <w:r w:rsidR="00A92B34" w:rsidRPr="0040591F">
        <w:rPr>
          <w:rFonts w:asciiTheme="majorHAnsi" w:hAnsiTheme="majorHAnsi" w:cstheme="majorHAnsi"/>
          <w:sz w:val="22"/>
          <w:szCs w:val="22"/>
        </w:rPr>
        <w:t xml:space="preserve"> to liberty and freedom from arbitrary detention</w:t>
      </w:r>
      <w:r w:rsidRPr="0040591F">
        <w:rPr>
          <w:rFonts w:asciiTheme="majorHAnsi" w:hAnsiTheme="majorHAnsi" w:cstheme="majorHAnsi"/>
          <w:sz w:val="22"/>
          <w:szCs w:val="22"/>
        </w:rPr>
        <w:t xml:space="preserve">. </w:t>
      </w:r>
    </w:p>
    <w:p w14:paraId="69E609C0" w14:textId="3910E9C3" w:rsidR="00CF36DF" w:rsidRPr="0040591F" w:rsidRDefault="00CF36DF" w:rsidP="00A92B34">
      <w:pPr>
        <w:jc w:val="both"/>
        <w:rPr>
          <w:rFonts w:asciiTheme="majorHAnsi" w:hAnsiTheme="majorHAnsi" w:cstheme="majorHAnsi"/>
          <w:sz w:val="22"/>
          <w:szCs w:val="22"/>
        </w:rPr>
      </w:pPr>
    </w:p>
    <w:p w14:paraId="6B761FE7" w14:textId="5C110FC1" w:rsidR="00F37C8C" w:rsidRDefault="00CF36DF" w:rsidP="00A92B34">
      <w:pPr>
        <w:jc w:val="both"/>
        <w:rPr>
          <w:rFonts w:asciiTheme="majorHAnsi" w:hAnsiTheme="majorHAnsi" w:cstheme="majorHAnsi"/>
          <w:sz w:val="22"/>
          <w:szCs w:val="22"/>
        </w:rPr>
      </w:pPr>
      <w:r w:rsidRPr="0040591F">
        <w:rPr>
          <w:rFonts w:asciiTheme="majorHAnsi" w:hAnsiTheme="majorHAnsi" w:cstheme="majorHAnsi"/>
          <w:sz w:val="22"/>
          <w:szCs w:val="22"/>
        </w:rPr>
        <w:t xml:space="preserve">Deprivation of liberty often occurs as a result of syndicated efforts by police, immigration and media to identify and target migrant sex workers. The result is not only detention but deportation. </w:t>
      </w:r>
      <w:r w:rsidR="00F37C8C" w:rsidRPr="0040591F">
        <w:rPr>
          <w:rFonts w:asciiTheme="majorHAnsi" w:hAnsiTheme="majorHAnsi" w:cstheme="majorHAnsi"/>
          <w:sz w:val="22"/>
          <w:szCs w:val="22"/>
        </w:rPr>
        <w:t>To protect migrant sex workers from arbitrary detention, sex work must be decriminalized and sex workers on temporary visas should not be subject to discriminatory penalties or restrictions on work.</w:t>
      </w:r>
      <w:r w:rsidR="0086313F">
        <w:rPr>
          <w:rFonts w:asciiTheme="majorHAnsi" w:hAnsiTheme="majorHAnsi" w:cstheme="majorHAnsi"/>
          <w:sz w:val="22"/>
          <w:szCs w:val="22"/>
        </w:rPr>
        <w:t xml:space="preserve"> We urge the Committee to recognize these specific drivers to arbitrary detention in the General Comment. </w:t>
      </w:r>
    </w:p>
    <w:p w14:paraId="7375FBA1" w14:textId="104351B8" w:rsidR="0040591F" w:rsidRDefault="0040591F" w:rsidP="00A92B34">
      <w:pPr>
        <w:jc w:val="both"/>
        <w:rPr>
          <w:rFonts w:asciiTheme="majorHAnsi" w:hAnsiTheme="majorHAnsi" w:cstheme="majorHAnsi"/>
          <w:sz w:val="22"/>
          <w:szCs w:val="22"/>
        </w:rPr>
      </w:pPr>
    </w:p>
    <w:p w14:paraId="1752A690" w14:textId="7D1EEDBD" w:rsidR="0099681D" w:rsidRPr="0040591F" w:rsidRDefault="0040591F" w:rsidP="00A92B34">
      <w:pPr>
        <w:jc w:val="both"/>
        <w:rPr>
          <w:rFonts w:asciiTheme="majorHAnsi" w:hAnsiTheme="majorHAnsi" w:cstheme="majorHAnsi"/>
          <w:sz w:val="22"/>
          <w:szCs w:val="22"/>
        </w:rPr>
      </w:pPr>
      <w:r w:rsidRPr="0040591F">
        <w:rPr>
          <w:rFonts w:asciiTheme="majorHAnsi" w:hAnsiTheme="majorHAnsi" w:cstheme="majorHAnsi"/>
          <w:sz w:val="22"/>
          <w:szCs w:val="22"/>
        </w:rPr>
        <w:t xml:space="preserve">At present the General Comment addresses the risk of human trafficking at various points and yet it does not address the human rights consequences of </w:t>
      </w:r>
      <w:r w:rsidRPr="0040591F">
        <w:rPr>
          <w:rFonts w:asciiTheme="majorHAnsi" w:hAnsiTheme="majorHAnsi" w:cstheme="majorHAnsi"/>
          <w:sz w:val="22"/>
          <w:szCs w:val="22"/>
        </w:rPr>
        <w:lastRenderedPageBreak/>
        <w:t xml:space="preserve">anti-trafficking measures upon migrant sex workers, including the risks of deportation and detention. </w:t>
      </w:r>
      <w:r w:rsidR="00F37C8C" w:rsidRPr="0040591F">
        <w:rPr>
          <w:rFonts w:asciiTheme="majorHAnsi" w:hAnsiTheme="majorHAnsi" w:cstheme="majorHAnsi"/>
          <w:sz w:val="22"/>
          <w:szCs w:val="22"/>
        </w:rPr>
        <w:t xml:space="preserve">We note that the General Comment obliges states to implement identification procedures for </w:t>
      </w:r>
      <w:r>
        <w:rPr>
          <w:rFonts w:asciiTheme="majorHAnsi" w:hAnsiTheme="majorHAnsi" w:cstheme="majorHAnsi"/>
          <w:sz w:val="22"/>
          <w:szCs w:val="22"/>
        </w:rPr>
        <w:t>trafficking victims</w:t>
      </w:r>
      <w:r w:rsidR="00F37C8C" w:rsidRPr="0040591F">
        <w:rPr>
          <w:rFonts w:asciiTheme="majorHAnsi" w:hAnsiTheme="majorHAnsi" w:cstheme="majorHAnsi"/>
          <w:sz w:val="22"/>
          <w:szCs w:val="22"/>
        </w:rPr>
        <w:t>. However, in many cases, it is the criminal justice approach to trafficking that negatively impacts migrant sex workers. Migrant sex workers who are subject to police and immigration raids in their workplaces and subject to questioning and harassment would be considered to have their liberty deprived because they are in police or immigration custody.</w:t>
      </w:r>
    </w:p>
    <w:p w14:paraId="276E82B6" w14:textId="77777777" w:rsidR="0086313F" w:rsidRPr="0040591F" w:rsidRDefault="0086313F" w:rsidP="00A92B34">
      <w:pPr>
        <w:jc w:val="both"/>
        <w:rPr>
          <w:rFonts w:asciiTheme="majorHAnsi" w:hAnsiTheme="majorHAnsi" w:cstheme="majorHAnsi"/>
          <w:sz w:val="22"/>
          <w:szCs w:val="22"/>
        </w:rPr>
      </w:pPr>
    </w:p>
    <w:p w14:paraId="7D5674CB" w14:textId="1A6C2115" w:rsidR="0086313F" w:rsidRPr="0040591F" w:rsidRDefault="00A92B34" w:rsidP="00A92B34">
      <w:pPr>
        <w:jc w:val="both"/>
        <w:rPr>
          <w:rFonts w:asciiTheme="majorHAnsi" w:hAnsiTheme="majorHAnsi" w:cstheme="majorHAnsi"/>
          <w:sz w:val="22"/>
          <w:szCs w:val="22"/>
        </w:rPr>
      </w:pPr>
      <w:r w:rsidRPr="0040591F">
        <w:rPr>
          <w:rFonts w:asciiTheme="majorHAnsi" w:hAnsiTheme="majorHAnsi" w:cstheme="majorHAnsi"/>
          <w:sz w:val="22"/>
          <w:szCs w:val="22"/>
        </w:rPr>
        <w:t>We draw the Committee’s attention to the 2019 Submission by the Sexual Rights Initiative (2.3 Sex Workers) which argues that discriminatory laws, policies and regulations addressing migration have a disproportionate effect upon migrant sex workers, often resulting in their detention.</w:t>
      </w:r>
      <w:r w:rsidRPr="0040591F">
        <w:rPr>
          <w:rStyle w:val="FootnoteReference"/>
          <w:rFonts w:asciiTheme="majorHAnsi" w:hAnsiTheme="majorHAnsi" w:cstheme="majorHAnsi"/>
          <w:sz w:val="22"/>
          <w:szCs w:val="22"/>
        </w:rPr>
        <w:footnoteReference w:id="1"/>
      </w:r>
      <w:r w:rsidR="0040591F">
        <w:rPr>
          <w:rFonts w:asciiTheme="majorHAnsi" w:hAnsiTheme="majorHAnsi" w:cstheme="majorHAnsi"/>
          <w:sz w:val="22"/>
          <w:szCs w:val="22"/>
        </w:rPr>
        <w:t xml:space="preserve"> </w:t>
      </w:r>
      <w:r w:rsidR="0086313F">
        <w:rPr>
          <w:rFonts w:asciiTheme="majorHAnsi" w:hAnsiTheme="majorHAnsi" w:cstheme="majorHAnsi"/>
          <w:sz w:val="22"/>
          <w:szCs w:val="22"/>
        </w:rPr>
        <w:t>The</w:t>
      </w:r>
      <w:r w:rsidR="0040591F">
        <w:rPr>
          <w:rFonts w:asciiTheme="majorHAnsi" w:hAnsiTheme="majorHAnsi" w:cstheme="majorHAnsi"/>
          <w:sz w:val="22"/>
          <w:szCs w:val="22"/>
        </w:rPr>
        <w:t xml:space="preserve"> </w:t>
      </w:r>
      <w:r w:rsidR="0086313F">
        <w:rPr>
          <w:rFonts w:asciiTheme="majorHAnsi" w:hAnsiTheme="majorHAnsi" w:cstheme="majorHAnsi"/>
          <w:sz w:val="22"/>
          <w:szCs w:val="22"/>
        </w:rPr>
        <w:t>r</w:t>
      </w:r>
      <w:r w:rsidR="0086313F" w:rsidRPr="0040591F">
        <w:rPr>
          <w:rFonts w:asciiTheme="majorHAnsi" w:hAnsiTheme="majorHAnsi" w:cstheme="majorHAnsi"/>
          <w:sz w:val="22"/>
          <w:szCs w:val="22"/>
        </w:rPr>
        <w:t xml:space="preserve">eview </w:t>
      </w:r>
      <w:r w:rsidR="0086313F">
        <w:rPr>
          <w:rFonts w:asciiTheme="majorHAnsi" w:hAnsiTheme="majorHAnsi" w:cstheme="majorHAnsi"/>
          <w:sz w:val="22"/>
          <w:szCs w:val="22"/>
        </w:rPr>
        <w:t xml:space="preserve">and repeal of </w:t>
      </w:r>
      <w:r w:rsidR="0086313F" w:rsidRPr="0040591F">
        <w:rPr>
          <w:rFonts w:asciiTheme="majorHAnsi" w:hAnsiTheme="majorHAnsi" w:cstheme="majorHAnsi"/>
          <w:sz w:val="22"/>
          <w:szCs w:val="22"/>
        </w:rPr>
        <w:t>immigration laws and policies that unfairly discriminate against sex workers and remove travel restrictions that prohibit sex workers from entering any country because of their sex work history</w:t>
      </w:r>
      <w:r w:rsidR="0086313F">
        <w:rPr>
          <w:rFonts w:asciiTheme="majorHAnsi" w:hAnsiTheme="majorHAnsi" w:cstheme="majorHAnsi"/>
          <w:sz w:val="22"/>
          <w:szCs w:val="22"/>
        </w:rPr>
        <w:t xml:space="preserve"> should be addressed in the </w:t>
      </w:r>
      <w:r w:rsidR="00B14BEA">
        <w:rPr>
          <w:rFonts w:asciiTheme="majorHAnsi" w:hAnsiTheme="majorHAnsi" w:cstheme="majorHAnsi"/>
          <w:sz w:val="22"/>
          <w:szCs w:val="22"/>
        </w:rPr>
        <w:t>General C</w:t>
      </w:r>
      <w:r w:rsidR="0086313F">
        <w:rPr>
          <w:rFonts w:asciiTheme="majorHAnsi" w:hAnsiTheme="majorHAnsi" w:cstheme="majorHAnsi"/>
          <w:sz w:val="22"/>
          <w:szCs w:val="22"/>
        </w:rPr>
        <w:t xml:space="preserve">omment. </w:t>
      </w:r>
    </w:p>
    <w:p w14:paraId="41A7BD47" w14:textId="77777777" w:rsidR="00A92B34" w:rsidRPr="0040591F" w:rsidRDefault="00A92B34" w:rsidP="00A92B34">
      <w:pPr>
        <w:jc w:val="both"/>
        <w:rPr>
          <w:rFonts w:asciiTheme="majorHAnsi" w:hAnsiTheme="majorHAnsi" w:cstheme="majorHAnsi"/>
          <w:b/>
          <w:bCs/>
          <w:sz w:val="22"/>
          <w:szCs w:val="22"/>
        </w:rPr>
      </w:pPr>
    </w:p>
    <w:p w14:paraId="5B151552" w14:textId="331FD976" w:rsidR="00A92B34" w:rsidRPr="0040591F" w:rsidRDefault="00A92B34" w:rsidP="00A92B34">
      <w:pPr>
        <w:jc w:val="both"/>
        <w:rPr>
          <w:rFonts w:asciiTheme="majorHAnsi" w:hAnsiTheme="majorHAnsi" w:cstheme="majorHAnsi"/>
          <w:b/>
          <w:bCs/>
          <w:sz w:val="22"/>
          <w:szCs w:val="22"/>
        </w:rPr>
      </w:pPr>
      <w:r w:rsidRPr="0040591F">
        <w:rPr>
          <w:rFonts w:asciiTheme="majorHAnsi" w:hAnsiTheme="majorHAnsi" w:cstheme="majorHAnsi"/>
          <w:b/>
          <w:bCs/>
          <w:sz w:val="22"/>
          <w:szCs w:val="22"/>
        </w:rPr>
        <w:t>Recommendations for the General Comment No. 5</w:t>
      </w:r>
    </w:p>
    <w:p w14:paraId="67E65DC7" w14:textId="77777777" w:rsidR="0040591F" w:rsidRPr="0040591F" w:rsidRDefault="0040591F" w:rsidP="00A92B34">
      <w:pPr>
        <w:jc w:val="both"/>
        <w:rPr>
          <w:rFonts w:asciiTheme="majorHAnsi" w:hAnsiTheme="majorHAnsi" w:cstheme="majorHAnsi"/>
          <w:b/>
          <w:bCs/>
          <w:sz w:val="22"/>
          <w:szCs w:val="22"/>
        </w:rPr>
      </w:pPr>
    </w:p>
    <w:p w14:paraId="52DFE466" w14:textId="21B1CBDC" w:rsidR="00A92B34" w:rsidRDefault="0040591F" w:rsidP="00A92B34">
      <w:pPr>
        <w:rPr>
          <w:rFonts w:asciiTheme="majorHAnsi" w:hAnsiTheme="majorHAnsi" w:cstheme="majorHAnsi"/>
          <w:sz w:val="22"/>
          <w:szCs w:val="22"/>
        </w:rPr>
      </w:pPr>
      <w:r>
        <w:rPr>
          <w:rFonts w:asciiTheme="majorHAnsi" w:hAnsiTheme="majorHAnsi" w:cstheme="majorHAnsi"/>
          <w:sz w:val="22"/>
          <w:szCs w:val="22"/>
        </w:rPr>
        <w:t xml:space="preserve">We make the following recommendations: </w:t>
      </w:r>
    </w:p>
    <w:p w14:paraId="3CE68479" w14:textId="77777777" w:rsidR="0040591F" w:rsidRPr="0040591F" w:rsidRDefault="0040591F" w:rsidP="00A92B34">
      <w:pPr>
        <w:rPr>
          <w:rFonts w:asciiTheme="majorHAnsi" w:hAnsiTheme="majorHAnsi" w:cstheme="majorHAnsi"/>
          <w:sz w:val="22"/>
          <w:szCs w:val="22"/>
        </w:rPr>
      </w:pPr>
    </w:p>
    <w:p w14:paraId="7249EF53" w14:textId="1594E8CB" w:rsidR="00A92B34" w:rsidRPr="0040591F" w:rsidRDefault="00F37C8C" w:rsidP="00A92B34">
      <w:pPr>
        <w:pStyle w:val="ListParagraph"/>
        <w:numPr>
          <w:ilvl w:val="0"/>
          <w:numId w:val="1"/>
        </w:numPr>
        <w:rPr>
          <w:rFonts w:asciiTheme="majorHAnsi" w:hAnsiTheme="majorHAnsi" w:cstheme="majorHAnsi"/>
        </w:rPr>
      </w:pPr>
      <w:r w:rsidRPr="0040591F">
        <w:rPr>
          <w:rFonts w:asciiTheme="majorHAnsi" w:hAnsiTheme="majorHAnsi" w:cstheme="majorHAnsi"/>
        </w:rPr>
        <w:t>In paragraph 4, include “criminalisation of migrant sex work” and “racially discriminatory migration policies” as examples of the immigration control measures implemented by States that have a severe impact on the rights of migrant workers.</w:t>
      </w:r>
    </w:p>
    <w:p w14:paraId="0CB37E14" w14:textId="39DE2F12" w:rsidR="00F37C8C" w:rsidRPr="0040591F" w:rsidRDefault="00F37C8C" w:rsidP="00A92B34">
      <w:pPr>
        <w:pStyle w:val="ListParagraph"/>
        <w:numPr>
          <w:ilvl w:val="0"/>
          <w:numId w:val="1"/>
        </w:numPr>
        <w:rPr>
          <w:rFonts w:asciiTheme="majorHAnsi" w:hAnsiTheme="majorHAnsi" w:cstheme="majorHAnsi"/>
        </w:rPr>
      </w:pPr>
      <w:r w:rsidRPr="0040591F">
        <w:rPr>
          <w:rFonts w:asciiTheme="majorHAnsi" w:hAnsiTheme="majorHAnsi" w:cstheme="majorHAnsi"/>
        </w:rPr>
        <w:lastRenderedPageBreak/>
        <w:t xml:space="preserve">In paragraph 17, include </w:t>
      </w:r>
      <w:r w:rsidR="0040591F" w:rsidRPr="0040591F">
        <w:rPr>
          <w:rFonts w:asciiTheme="majorHAnsi" w:hAnsiTheme="majorHAnsi" w:cstheme="majorHAnsi"/>
        </w:rPr>
        <w:t>“</w:t>
      </w:r>
      <w:r w:rsidRPr="0040591F">
        <w:rPr>
          <w:rFonts w:asciiTheme="majorHAnsi" w:hAnsiTheme="majorHAnsi" w:cstheme="majorHAnsi"/>
        </w:rPr>
        <w:t>sex work on a temporary visa</w:t>
      </w:r>
      <w:r w:rsidR="0040591F" w:rsidRPr="0040591F">
        <w:rPr>
          <w:rFonts w:asciiTheme="majorHAnsi" w:hAnsiTheme="majorHAnsi" w:cstheme="majorHAnsi"/>
        </w:rPr>
        <w:t>”</w:t>
      </w:r>
      <w:r w:rsidRPr="0040591F">
        <w:rPr>
          <w:rFonts w:asciiTheme="majorHAnsi" w:hAnsiTheme="majorHAnsi" w:cstheme="majorHAnsi"/>
        </w:rPr>
        <w:t xml:space="preserve"> in examples of activities that result in immigration detention that are not offences that violate the law to an extent that warrants criminalisation. </w:t>
      </w:r>
    </w:p>
    <w:p w14:paraId="059CC45B" w14:textId="06085935" w:rsidR="00F37C8C" w:rsidRPr="0040591F" w:rsidRDefault="00F37C8C" w:rsidP="00A92B34">
      <w:pPr>
        <w:pStyle w:val="ListParagraph"/>
        <w:numPr>
          <w:ilvl w:val="0"/>
          <w:numId w:val="1"/>
        </w:numPr>
        <w:rPr>
          <w:rFonts w:asciiTheme="majorHAnsi" w:hAnsiTheme="majorHAnsi" w:cstheme="majorHAnsi"/>
        </w:rPr>
      </w:pPr>
      <w:r w:rsidRPr="0040591F">
        <w:rPr>
          <w:rFonts w:asciiTheme="majorHAnsi" w:hAnsiTheme="majorHAnsi" w:cstheme="majorHAnsi"/>
        </w:rPr>
        <w:t xml:space="preserve">In Section E (‘Principle of non-detention of persons in vulnerable situations’) include </w:t>
      </w:r>
      <w:r w:rsidR="0040591F" w:rsidRPr="0040591F">
        <w:rPr>
          <w:rFonts w:asciiTheme="majorHAnsi" w:hAnsiTheme="majorHAnsi" w:cstheme="majorHAnsi"/>
        </w:rPr>
        <w:t>“</w:t>
      </w:r>
      <w:r w:rsidRPr="0040591F">
        <w:rPr>
          <w:rFonts w:asciiTheme="majorHAnsi" w:hAnsiTheme="majorHAnsi" w:cstheme="majorHAnsi"/>
        </w:rPr>
        <w:t>migrant sex workers</w:t>
      </w:r>
      <w:r w:rsidR="0040591F" w:rsidRPr="0040591F">
        <w:rPr>
          <w:rFonts w:asciiTheme="majorHAnsi" w:hAnsiTheme="majorHAnsi" w:cstheme="majorHAnsi"/>
        </w:rPr>
        <w:t>”</w:t>
      </w:r>
      <w:r w:rsidRPr="0040591F">
        <w:rPr>
          <w:rFonts w:asciiTheme="majorHAnsi" w:hAnsiTheme="majorHAnsi" w:cstheme="majorHAnsi"/>
        </w:rPr>
        <w:t xml:space="preserve"> in the list of vulnerable populations. </w:t>
      </w:r>
    </w:p>
    <w:p w14:paraId="315816F6" w14:textId="0FEFC532" w:rsidR="00CF36DF" w:rsidRPr="0040591F" w:rsidRDefault="0040591F" w:rsidP="00A92B34">
      <w:pPr>
        <w:pStyle w:val="ListParagraph"/>
        <w:numPr>
          <w:ilvl w:val="0"/>
          <w:numId w:val="1"/>
        </w:numPr>
        <w:rPr>
          <w:rFonts w:asciiTheme="majorHAnsi" w:hAnsiTheme="majorHAnsi" w:cstheme="majorHAnsi"/>
        </w:rPr>
      </w:pPr>
      <w:r w:rsidRPr="0040591F">
        <w:rPr>
          <w:rFonts w:asciiTheme="majorHAnsi" w:hAnsiTheme="majorHAnsi" w:cstheme="majorHAnsi"/>
        </w:rPr>
        <w:t>In</w:t>
      </w:r>
      <w:r w:rsidR="0099681D" w:rsidRPr="0040591F">
        <w:rPr>
          <w:rFonts w:asciiTheme="majorHAnsi" w:hAnsiTheme="majorHAnsi" w:cstheme="majorHAnsi"/>
        </w:rPr>
        <w:t xml:space="preserve"> Section G</w:t>
      </w:r>
      <w:r w:rsidR="00D575C2" w:rsidRPr="0040591F">
        <w:rPr>
          <w:rFonts w:asciiTheme="majorHAnsi" w:hAnsiTheme="majorHAnsi" w:cstheme="majorHAnsi"/>
        </w:rPr>
        <w:t xml:space="preserve"> (</w:t>
      </w:r>
      <w:r w:rsidR="0099681D" w:rsidRPr="0040591F">
        <w:rPr>
          <w:rFonts w:asciiTheme="majorHAnsi" w:hAnsiTheme="majorHAnsi" w:cstheme="majorHAnsi"/>
        </w:rPr>
        <w:t>‘Prohibition of slavery, servitude and forced or compulsory labour’</w:t>
      </w:r>
      <w:r w:rsidR="00D575C2" w:rsidRPr="0040591F">
        <w:rPr>
          <w:rFonts w:asciiTheme="majorHAnsi" w:hAnsiTheme="majorHAnsi" w:cstheme="majorHAnsi"/>
        </w:rPr>
        <w:t>)</w:t>
      </w:r>
      <w:r w:rsidRPr="0040591F">
        <w:rPr>
          <w:rFonts w:asciiTheme="majorHAnsi" w:hAnsiTheme="majorHAnsi" w:cstheme="majorHAnsi"/>
        </w:rPr>
        <w:t>, insert</w:t>
      </w:r>
      <w:r w:rsidR="00D575C2" w:rsidRPr="0040591F">
        <w:rPr>
          <w:rFonts w:asciiTheme="majorHAnsi" w:hAnsiTheme="majorHAnsi" w:cstheme="majorHAnsi"/>
        </w:rPr>
        <w:t xml:space="preserve"> the following:</w:t>
      </w:r>
      <w:r w:rsidR="0099681D" w:rsidRPr="0040591F">
        <w:rPr>
          <w:rFonts w:asciiTheme="majorHAnsi" w:hAnsiTheme="majorHAnsi" w:cstheme="majorHAnsi"/>
        </w:rPr>
        <w:t xml:space="preserve"> </w:t>
      </w:r>
      <w:r w:rsidR="00D575C2" w:rsidRPr="0040591F">
        <w:rPr>
          <w:rFonts w:asciiTheme="majorHAnsi" w:hAnsiTheme="majorHAnsi" w:cstheme="majorHAnsi"/>
        </w:rPr>
        <w:t>“States should take a human rights-based approach to address and prevent human trafficking. A human rights-based response to trafficking requires the establishment of safe migration pathways, non-discriminatory immigration policies and translated visa information.”</w:t>
      </w:r>
      <w:r w:rsidR="00CF36DF" w:rsidRPr="0040591F">
        <w:rPr>
          <w:rFonts w:asciiTheme="majorHAnsi" w:hAnsiTheme="majorHAnsi" w:cstheme="majorHAnsi"/>
        </w:rPr>
        <w:t xml:space="preserve"> </w:t>
      </w:r>
    </w:p>
    <w:p w14:paraId="7C6CC915" w14:textId="0A61A661" w:rsidR="0040591F" w:rsidRDefault="0040591F" w:rsidP="00A92B34">
      <w:pPr>
        <w:pStyle w:val="ListParagraph"/>
        <w:numPr>
          <w:ilvl w:val="0"/>
          <w:numId w:val="1"/>
        </w:numPr>
        <w:rPr>
          <w:rFonts w:asciiTheme="majorHAnsi" w:hAnsiTheme="majorHAnsi" w:cstheme="majorHAnsi"/>
        </w:rPr>
      </w:pPr>
      <w:r w:rsidRPr="0040591F">
        <w:rPr>
          <w:rFonts w:asciiTheme="majorHAnsi" w:hAnsiTheme="majorHAnsi" w:cstheme="majorHAnsi"/>
        </w:rPr>
        <w:t xml:space="preserve">In Section G (‘Prohibition of slavery, servitude and forced or compulsory labour’), paragraph 28, include a statement that “Decriminalisation of sex work is necessary </w:t>
      </w:r>
      <w:r w:rsidR="00621720">
        <w:rPr>
          <w:rFonts w:asciiTheme="majorHAnsi" w:hAnsiTheme="majorHAnsi" w:cstheme="majorHAnsi"/>
        </w:rPr>
        <w:t>to</w:t>
      </w:r>
      <w:r w:rsidRPr="0040591F">
        <w:rPr>
          <w:rFonts w:asciiTheme="majorHAnsi" w:hAnsiTheme="majorHAnsi" w:cstheme="majorHAnsi"/>
        </w:rPr>
        <w:t xml:space="preserve"> </w:t>
      </w:r>
      <w:r w:rsidR="00621720">
        <w:rPr>
          <w:rFonts w:asciiTheme="majorHAnsi" w:hAnsiTheme="majorHAnsi" w:cstheme="majorHAnsi"/>
        </w:rPr>
        <w:t xml:space="preserve">the </w:t>
      </w:r>
      <w:r w:rsidRPr="0040591F">
        <w:rPr>
          <w:rFonts w:asciiTheme="majorHAnsi" w:hAnsiTheme="majorHAnsi" w:cstheme="majorHAnsi"/>
        </w:rPr>
        <w:t xml:space="preserve">prevention of human trafficking”. </w:t>
      </w:r>
    </w:p>
    <w:p w14:paraId="77C351FF" w14:textId="549F8554" w:rsidR="0086313F" w:rsidRDefault="0086313F" w:rsidP="00A92B34">
      <w:pPr>
        <w:pStyle w:val="ListParagraph"/>
        <w:numPr>
          <w:ilvl w:val="0"/>
          <w:numId w:val="1"/>
        </w:numPr>
        <w:rPr>
          <w:rFonts w:asciiTheme="majorHAnsi" w:hAnsiTheme="majorHAnsi" w:cstheme="majorHAnsi"/>
        </w:rPr>
      </w:pPr>
      <w:r>
        <w:rPr>
          <w:rFonts w:asciiTheme="majorHAnsi" w:hAnsiTheme="majorHAnsi" w:cstheme="majorHAnsi"/>
        </w:rPr>
        <w:t xml:space="preserve">At paragraph 91, the General Comment notes that detained migrants should have access to healthcare and psychological services. The General Comment should also provide for detained migrants to have access to free legal advice. </w:t>
      </w:r>
    </w:p>
    <w:p w14:paraId="06CACFF8" w14:textId="77777777" w:rsidR="0086313F" w:rsidRPr="0040591F" w:rsidRDefault="0086313F" w:rsidP="00C45796">
      <w:pPr>
        <w:pStyle w:val="ListParagraph"/>
        <w:rPr>
          <w:rFonts w:asciiTheme="majorHAnsi" w:hAnsiTheme="majorHAnsi" w:cstheme="majorHAnsi"/>
        </w:rPr>
      </w:pPr>
    </w:p>
    <w:p w14:paraId="5941B0CB" w14:textId="7A8102C7" w:rsidR="00A92B34" w:rsidRDefault="0040591F" w:rsidP="00A92B34">
      <w:pPr>
        <w:rPr>
          <w:rFonts w:asciiTheme="majorHAnsi" w:hAnsiTheme="majorHAnsi" w:cstheme="majorHAnsi"/>
          <w:sz w:val="22"/>
          <w:szCs w:val="22"/>
        </w:rPr>
      </w:pPr>
      <w:r>
        <w:rPr>
          <w:rFonts w:asciiTheme="majorHAnsi" w:hAnsiTheme="majorHAnsi" w:cstheme="majorHAnsi"/>
          <w:sz w:val="22"/>
          <w:szCs w:val="22"/>
        </w:rPr>
        <w:t xml:space="preserve">Thank you for the opportunity to contribute and please do not hesitate to contact me on </w:t>
      </w:r>
      <w:hyperlink r:id="rId7" w:history="1">
        <w:r w:rsidRPr="00525123">
          <w:rPr>
            <w:rStyle w:val="Hyperlink"/>
            <w:rFonts w:asciiTheme="majorHAnsi" w:hAnsiTheme="majorHAnsi" w:cstheme="majorHAnsi"/>
            <w:sz w:val="22"/>
            <w:szCs w:val="22"/>
          </w:rPr>
          <w:t>ceo@scarletalliance.org.au</w:t>
        </w:r>
      </w:hyperlink>
      <w:r>
        <w:rPr>
          <w:rFonts w:asciiTheme="majorHAnsi" w:hAnsiTheme="majorHAnsi" w:cstheme="majorHAnsi"/>
          <w:sz w:val="22"/>
          <w:szCs w:val="22"/>
        </w:rPr>
        <w:t xml:space="preserve"> if you would like to discuss our submission further. </w:t>
      </w:r>
    </w:p>
    <w:p w14:paraId="4254981C" w14:textId="77777777" w:rsidR="0040591F" w:rsidRPr="0040591F" w:rsidRDefault="0040591F" w:rsidP="00A92B34">
      <w:pPr>
        <w:rPr>
          <w:rFonts w:asciiTheme="majorHAnsi" w:hAnsiTheme="majorHAnsi" w:cstheme="majorHAnsi"/>
          <w:sz w:val="22"/>
          <w:szCs w:val="22"/>
        </w:rPr>
      </w:pPr>
    </w:p>
    <w:p w14:paraId="449F6CDB" w14:textId="77777777" w:rsidR="0040591F" w:rsidRPr="0040591F" w:rsidRDefault="0040591F" w:rsidP="00A92B34">
      <w:pPr>
        <w:rPr>
          <w:rFonts w:asciiTheme="majorHAnsi" w:hAnsiTheme="majorHAnsi" w:cstheme="majorHAnsi"/>
          <w:sz w:val="22"/>
          <w:szCs w:val="22"/>
        </w:rPr>
      </w:pPr>
    </w:p>
    <w:p w14:paraId="48FE7447" w14:textId="740150C4" w:rsidR="00A92B34" w:rsidRPr="0040591F" w:rsidRDefault="00D002FE" w:rsidP="00A92B34">
      <w:pPr>
        <w:rPr>
          <w:rFonts w:asciiTheme="majorHAnsi" w:hAnsiTheme="majorHAnsi" w:cstheme="majorHAnsi"/>
          <w:sz w:val="22"/>
          <w:szCs w:val="22"/>
        </w:rPr>
      </w:pPr>
      <w:r>
        <w:rPr>
          <w:rFonts w:asciiTheme="majorHAnsi" w:hAnsiTheme="majorHAnsi" w:cstheme="majorHAnsi"/>
          <w:sz w:val="22"/>
          <w:szCs w:val="22"/>
        </w:rPr>
        <w:t>Regards,</w:t>
      </w:r>
    </w:p>
    <w:p w14:paraId="64BF9DA9" w14:textId="59970EFA" w:rsidR="00A92B34" w:rsidRDefault="00A92B34" w:rsidP="00A92B34">
      <w:pPr>
        <w:rPr>
          <w:rFonts w:asciiTheme="majorHAnsi" w:hAnsiTheme="majorHAnsi" w:cstheme="majorHAnsi"/>
          <w:sz w:val="22"/>
          <w:szCs w:val="22"/>
        </w:rPr>
      </w:pPr>
    </w:p>
    <w:p w14:paraId="13267460" w14:textId="60213F9E" w:rsidR="0040591F" w:rsidRDefault="00621720" w:rsidP="00A92B34">
      <w:pPr>
        <w:rPr>
          <w:rFonts w:asciiTheme="majorHAnsi" w:hAnsiTheme="majorHAnsi" w:cstheme="majorHAnsi"/>
          <w:sz w:val="22"/>
          <w:szCs w:val="22"/>
        </w:rPr>
      </w:pPr>
      <w:r>
        <w:rPr>
          <w:noProof/>
          <w:lang w:val="en-GB" w:eastAsia="en-GB"/>
        </w:rPr>
        <w:drawing>
          <wp:inline distT="0" distB="0" distL="0" distR="0" wp14:anchorId="06CAF47B" wp14:editId="2F90C6A4">
            <wp:extent cx="16891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787400"/>
                    </a:xfrm>
                    <a:prstGeom prst="rect">
                      <a:avLst/>
                    </a:prstGeom>
                    <a:noFill/>
                    <a:ln>
                      <a:noFill/>
                    </a:ln>
                  </pic:spPr>
                </pic:pic>
              </a:graphicData>
            </a:graphic>
          </wp:inline>
        </w:drawing>
      </w:r>
    </w:p>
    <w:p w14:paraId="72329E8E" w14:textId="77777777" w:rsidR="0040591F" w:rsidRPr="0040591F" w:rsidRDefault="0040591F" w:rsidP="00A92B34">
      <w:pPr>
        <w:rPr>
          <w:rFonts w:asciiTheme="majorHAnsi" w:hAnsiTheme="majorHAnsi" w:cstheme="majorHAnsi"/>
          <w:sz w:val="22"/>
          <w:szCs w:val="22"/>
        </w:rPr>
      </w:pPr>
    </w:p>
    <w:p w14:paraId="26103C61" w14:textId="77777777" w:rsidR="00A92B34" w:rsidRPr="0040591F" w:rsidRDefault="00A92B34" w:rsidP="00A92B34">
      <w:pPr>
        <w:rPr>
          <w:rFonts w:asciiTheme="majorHAnsi" w:hAnsiTheme="majorHAnsi" w:cstheme="majorHAnsi"/>
          <w:sz w:val="22"/>
          <w:szCs w:val="22"/>
        </w:rPr>
      </w:pPr>
      <w:r w:rsidRPr="0040591F">
        <w:rPr>
          <w:rFonts w:asciiTheme="majorHAnsi" w:hAnsiTheme="majorHAnsi" w:cstheme="majorHAnsi"/>
          <w:sz w:val="22"/>
          <w:szCs w:val="22"/>
        </w:rPr>
        <w:t>Ms Jules Kim</w:t>
      </w:r>
    </w:p>
    <w:p w14:paraId="371554A6" w14:textId="77777777" w:rsidR="00D002FE" w:rsidRDefault="00A92B34" w:rsidP="00A92B34">
      <w:pPr>
        <w:rPr>
          <w:rFonts w:asciiTheme="majorHAnsi" w:hAnsiTheme="majorHAnsi" w:cstheme="majorHAnsi"/>
          <w:sz w:val="22"/>
          <w:szCs w:val="22"/>
        </w:rPr>
      </w:pPr>
      <w:r w:rsidRPr="0040591F">
        <w:rPr>
          <w:rFonts w:asciiTheme="majorHAnsi" w:hAnsiTheme="majorHAnsi" w:cstheme="majorHAnsi"/>
          <w:sz w:val="22"/>
          <w:szCs w:val="22"/>
        </w:rPr>
        <w:t>Chief Executive Officer</w:t>
      </w:r>
    </w:p>
    <w:p w14:paraId="57E922DD" w14:textId="353B5D64" w:rsidR="00A92B34" w:rsidRPr="0040591F" w:rsidRDefault="00D002FE" w:rsidP="00A92B34">
      <w:pPr>
        <w:rPr>
          <w:rFonts w:asciiTheme="majorHAnsi" w:hAnsiTheme="majorHAnsi" w:cstheme="majorHAnsi"/>
          <w:sz w:val="22"/>
          <w:szCs w:val="22"/>
        </w:rPr>
      </w:pPr>
      <w:r>
        <w:rPr>
          <w:rFonts w:asciiTheme="majorHAnsi" w:hAnsiTheme="majorHAnsi" w:cstheme="majorHAnsi"/>
          <w:sz w:val="22"/>
          <w:szCs w:val="22"/>
        </w:rPr>
        <w:t>Scarlet Alliance, Australian Sex Worker Association</w:t>
      </w:r>
      <w:r w:rsidR="00A92B34" w:rsidRPr="0040591F">
        <w:rPr>
          <w:rFonts w:asciiTheme="majorHAnsi" w:hAnsiTheme="majorHAnsi" w:cstheme="majorHAnsi"/>
          <w:sz w:val="22"/>
          <w:szCs w:val="22"/>
        </w:rPr>
        <w:t xml:space="preserve"> </w:t>
      </w:r>
    </w:p>
    <w:p w14:paraId="25EB5905" w14:textId="77777777" w:rsidR="00A92B34" w:rsidRPr="0040591F" w:rsidRDefault="00A92B34" w:rsidP="00A92B34">
      <w:pPr>
        <w:rPr>
          <w:rFonts w:asciiTheme="majorHAnsi" w:hAnsiTheme="majorHAnsi" w:cstheme="majorHAnsi"/>
          <w:sz w:val="22"/>
          <w:szCs w:val="22"/>
        </w:rPr>
      </w:pPr>
    </w:p>
    <w:p w14:paraId="5E67B5F0" w14:textId="77777777" w:rsidR="00A92B34" w:rsidRPr="0040591F" w:rsidRDefault="00A92B34" w:rsidP="00A92B34">
      <w:pPr>
        <w:rPr>
          <w:rFonts w:asciiTheme="majorHAnsi" w:hAnsiTheme="majorHAnsi" w:cstheme="majorHAnsi"/>
          <w:sz w:val="22"/>
          <w:szCs w:val="22"/>
        </w:rPr>
      </w:pPr>
    </w:p>
    <w:p w14:paraId="4BBBA8E1" w14:textId="77777777" w:rsidR="00A92B34" w:rsidRPr="0040591F" w:rsidRDefault="00A92B34" w:rsidP="00A92B34">
      <w:pPr>
        <w:rPr>
          <w:rFonts w:asciiTheme="majorHAnsi" w:hAnsiTheme="majorHAnsi" w:cstheme="majorHAnsi"/>
          <w:sz w:val="22"/>
          <w:szCs w:val="22"/>
        </w:rPr>
      </w:pPr>
    </w:p>
    <w:p w14:paraId="794AA0C4" w14:textId="77777777" w:rsidR="00A92B34" w:rsidRPr="0040591F" w:rsidRDefault="00A92B34" w:rsidP="00A92B34">
      <w:pPr>
        <w:rPr>
          <w:rFonts w:asciiTheme="majorHAnsi" w:hAnsiTheme="majorHAnsi" w:cstheme="majorHAnsi"/>
          <w:sz w:val="22"/>
          <w:szCs w:val="22"/>
        </w:rPr>
      </w:pPr>
    </w:p>
    <w:p w14:paraId="4E50A4D4" w14:textId="3F068806" w:rsidR="00ED6865" w:rsidRPr="0040591F" w:rsidRDefault="00ED6865">
      <w:pPr>
        <w:spacing w:before="240" w:after="240" w:line="276" w:lineRule="auto"/>
        <w:rPr>
          <w:rFonts w:asciiTheme="majorHAnsi" w:eastAsia="Calibri" w:hAnsiTheme="majorHAnsi" w:cstheme="majorHAnsi"/>
          <w:sz w:val="22"/>
          <w:szCs w:val="22"/>
        </w:rPr>
      </w:pPr>
    </w:p>
    <w:p w14:paraId="06D04883" w14:textId="77777777" w:rsidR="00ED6865" w:rsidRPr="0040591F" w:rsidRDefault="00ED6865">
      <w:pPr>
        <w:spacing w:line="276" w:lineRule="auto"/>
        <w:rPr>
          <w:rFonts w:asciiTheme="majorHAnsi" w:eastAsia="Calibri" w:hAnsiTheme="majorHAnsi" w:cstheme="majorHAnsi"/>
          <w:sz w:val="22"/>
          <w:szCs w:val="22"/>
        </w:rPr>
      </w:pPr>
      <w:bookmarkStart w:id="2" w:name="_x5ne6q1tb3b5" w:colFirst="0" w:colLast="0"/>
      <w:bookmarkEnd w:id="2"/>
    </w:p>
    <w:sectPr w:rsidR="00ED6865" w:rsidRPr="0040591F">
      <w:footerReference w:type="default" r:id="rId9"/>
      <w:headerReference w:type="first" r:id="rId10"/>
      <w:pgSz w:w="11906" w:h="16838"/>
      <w:pgMar w:top="1411" w:right="1287" w:bottom="1411" w:left="141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095F" w14:textId="77777777" w:rsidR="008E18DF" w:rsidRDefault="008E18DF">
      <w:r>
        <w:separator/>
      </w:r>
    </w:p>
  </w:endnote>
  <w:endnote w:type="continuationSeparator" w:id="0">
    <w:p w14:paraId="3DD1D696" w14:textId="77777777" w:rsidR="008E18DF" w:rsidRDefault="008E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lock">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10DA" w14:textId="77777777" w:rsidR="00ED6865" w:rsidRDefault="008E3EB9">
    <w:pPr>
      <w:pBdr>
        <w:top w:val="nil"/>
        <w:left w:val="nil"/>
        <w:bottom w:val="nil"/>
        <w:right w:val="nil"/>
        <w:between w:val="nil"/>
      </w:pBdr>
      <w:tabs>
        <w:tab w:val="center" w:pos="4320"/>
        <w:tab w:val="right" w:pos="8640"/>
      </w:tabs>
      <w:spacing w:after="709"/>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1656" w14:textId="77777777" w:rsidR="008E18DF" w:rsidRDefault="008E18DF">
      <w:r>
        <w:separator/>
      </w:r>
    </w:p>
  </w:footnote>
  <w:footnote w:type="continuationSeparator" w:id="0">
    <w:p w14:paraId="43FBD18D" w14:textId="77777777" w:rsidR="008E18DF" w:rsidRDefault="008E18DF">
      <w:r>
        <w:continuationSeparator/>
      </w:r>
    </w:p>
  </w:footnote>
  <w:footnote w:id="1">
    <w:p w14:paraId="3E3DAEB3" w14:textId="77777777" w:rsidR="00A92B34" w:rsidRPr="002D6764" w:rsidRDefault="00A92B34" w:rsidP="00A92B34">
      <w:pPr>
        <w:pStyle w:val="FootnoteText"/>
        <w:rPr>
          <w:lang w:val="en-GB"/>
        </w:rPr>
      </w:pPr>
      <w:r>
        <w:rPr>
          <w:rStyle w:val="FootnoteReference"/>
        </w:rPr>
        <w:footnoteRef/>
      </w:r>
      <w:r>
        <w:t xml:space="preserve"> </w:t>
      </w:r>
      <w:hyperlink r:id="rId1" w:history="1">
        <w:r w:rsidRPr="00A06310">
          <w:rPr>
            <w:rStyle w:val="Hyperlink"/>
          </w:rPr>
          <w:t>https://www.ohchr.org/Documents/HRBodies/CMW/GC5/SexualRightsInitiative.docx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1A6C" w14:textId="77777777" w:rsidR="00ED6865" w:rsidRDefault="00ED6865">
    <w:pPr>
      <w:jc w:val="right"/>
      <w:rPr>
        <w:rFonts w:ascii="Calibri" w:eastAsia="Calibri" w:hAnsi="Calibri" w:cs="Calibri"/>
        <w:sz w:val="18"/>
        <w:szCs w:val="18"/>
      </w:rPr>
    </w:pPr>
  </w:p>
  <w:p w14:paraId="3044A230" w14:textId="77777777" w:rsidR="00ED6865" w:rsidRDefault="00ED6865">
    <w:pPr>
      <w:jc w:val="right"/>
      <w:rPr>
        <w:rFonts w:ascii="Calibri" w:eastAsia="Calibri" w:hAnsi="Calibri" w:cs="Calibri"/>
        <w:sz w:val="18"/>
        <w:szCs w:val="18"/>
      </w:rPr>
    </w:pPr>
  </w:p>
  <w:p w14:paraId="540ED624" w14:textId="77777777" w:rsidR="00ED6865" w:rsidRDefault="00ED6865">
    <w:pPr>
      <w:jc w:val="right"/>
      <w:rPr>
        <w:rFonts w:ascii="Calibri" w:eastAsia="Calibri" w:hAnsi="Calibri" w:cs="Calibri"/>
        <w:sz w:val="18"/>
        <w:szCs w:val="18"/>
      </w:rPr>
    </w:pPr>
  </w:p>
  <w:p w14:paraId="583A0096" w14:textId="77777777" w:rsidR="00ED6865" w:rsidRDefault="008E3EB9">
    <w:pPr>
      <w:jc w:val="right"/>
      <w:rPr>
        <w:rFonts w:ascii="Calibri" w:eastAsia="Calibri" w:hAnsi="Calibri" w:cs="Calibri"/>
        <w:sz w:val="18"/>
        <w:szCs w:val="18"/>
      </w:rPr>
    </w:pPr>
    <w:r>
      <w:rPr>
        <w:rFonts w:ascii="Calibri" w:eastAsia="Calibri" w:hAnsi="Calibri" w:cs="Calibri"/>
        <w:sz w:val="18"/>
        <w:szCs w:val="18"/>
      </w:rPr>
      <w:t>Phone – 02 9517 2577</w:t>
    </w:r>
    <w:r>
      <w:rPr>
        <w:noProof/>
        <w:lang w:val="en-GB" w:eastAsia="en-GB"/>
      </w:rPr>
      <w:drawing>
        <wp:anchor distT="0" distB="0" distL="114300" distR="114300" simplePos="0" relativeHeight="251658240" behindDoc="0" locked="0" layoutInCell="1" hidden="0" allowOverlap="1" wp14:anchorId="2CF4920F" wp14:editId="3D94065E">
          <wp:simplePos x="0" y="0"/>
          <wp:positionH relativeFrom="column">
            <wp:posOffset>1</wp:posOffset>
          </wp:positionH>
          <wp:positionV relativeFrom="paragraph">
            <wp:posOffset>9525</wp:posOffset>
          </wp:positionV>
          <wp:extent cx="3328226" cy="1123950"/>
          <wp:effectExtent l="0" t="0" r="0" b="0"/>
          <wp:wrapNone/>
          <wp:docPr id="1" name="image1.png" descr="SCARLET ALLIANCE PRINT LOGO HI RES.tif"/>
          <wp:cNvGraphicFramePr/>
          <a:graphic xmlns:a="http://schemas.openxmlformats.org/drawingml/2006/main">
            <a:graphicData uri="http://schemas.openxmlformats.org/drawingml/2006/picture">
              <pic:pic xmlns:pic="http://schemas.openxmlformats.org/drawingml/2006/picture">
                <pic:nvPicPr>
                  <pic:cNvPr id="0" name="image1.png" descr="SCARLET ALLIANCE PRINT LOGO HI RES.tif"/>
                  <pic:cNvPicPr preferRelativeResize="0"/>
                </pic:nvPicPr>
                <pic:blipFill>
                  <a:blip r:embed="rId1"/>
                  <a:srcRect t="5607" b="7521"/>
                  <a:stretch>
                    <a:fillRect/>
                  </a:stretch>
                </pic:blipFill>
                <pic:spPr>
                  <a:xfrm>
                    <a:off x="0" y="0"/>
                    <a:ext cx="3328226" cy="1123950"/>
                  </a:xfrm>
                  <a:prstGeom prst="rect">
                    <a:avLst/>
                  </a:prstGeom>
                  <a:ln/>
                </pic:spPr>
              </pic:pic>
            </a:graphicData>
          </a:graphic>
        </wp:anchor>
      </w:drawing>
    </w:r>
  </w:p>
  <w:p w14:paraId="44356EB5" w14:textId="77777777" w:rsidR="00ED6865" w:rsidRDefault="008E3EB9">
    <w:pPr>
      <w:jc w:val="right"/>
      <w:rPr>
        <w:rFonts w:ascii="Calibri" w:eastAsia="Calibri" w:hAnsi="Calibri" w:cs="Calibri"/>
        <w:sz w:val="18"/>
        <w:szCs w:val="18"/>
      </w:rPr>
    </w:pPr>
    <w:r>
      <w:rPr>
        <w:rFonts w:ascii="Calibri" w:eastAsia="Calibri" w:hAnsi="Calibri" w:cs="Calibri"/>
        <w:sz w:val="18"/>
        <w:szCs w:val="18"/>
      </w:rPr>
      <w:t>Fax – 02 9517 2488</w:t>
    </w:r>
  </w:p>
  <w:p w14:paraId="50E4E507" w14:textId="77777777" w:rsidR="00ED6865" w:rsidRDefault="008E3EB9">
    <w:pPr>
      <w:ind w:left="5760"/>
      <w:jc w:val="right"/>
      <w:rPr>
        <w:rFonts w:ascii="Calibri" w:eastAsia="Calibri" w:hAnsi="Calibri" w:cs="Calibri"/>
        <w:sz w:val="18"/>
        <w:szCs w:val="18"/>
      </w:rPr>
    </w:pPr>
    <w:r>
      <w:rPr>
        <w:rFonts w:ascii="Calibri" w:eastAsia="Calibri" w:hAnsi="Calibri" w:cs="Calibri"/>
        <w:sz w:val="18"/>
        <w:szCs w:val="18"/>
      </w:rPr>
      <w:t xml:space="preserve">Post – PO Box 854, </w:t>
    </w:r>
  </w:p>
  <w:p w14:paraId="78331E1F" w14:textId="77777777" w:rsidR="00ED6865" w:rsidRDefault="008E3EB9">
    <w:pPr>
      <w:ind w:left="5760"/>
      <w:jc w:val="right"/>
      <w:rPr>
        <w:rFonts w:ascii="Calibri" w:eastAsia="Calibri" w:hAnsi="Calibri" w:cs="Calibri"/>
        <w:sz w:val="18"/>
        <w:szCs w:val="18"/>
      </w:rPr>
    </w:pPr>
    <w:r>
      <w:rPr>
        <w:rFonts w:ascii="Calibri" w:eastAsia="Calibri" w:hAnsi="Calibri" w:cs="Calibri"/>
        <w:sz w:val="18"/>
        <w:szCs w:val="18"/>
      </w:rPr>
      <w:t>Newtown</w:t>
    </w:r>
    <w:r>
      <w:rPr>
        <w:rFonts w:ascii="Calibri" w:eastAsia="Calibri" w:hAnsi="Calibri" w:cs="Calibri"/>
        <w:smallCaps/>
        <w:sz w:val="18"/>
        <w:szCs w:val="18"/>
      </w:rPr>
      <w:t xml:space="preserve"> NSW</w:t>
    </w:r>
    <w:r>
      <w:rPr>
        <w:rFonts w:ascii="Calibri" w:eastAsia="Calibri" w:hAnsi="Calibri" w:cs="Calibri"/>
        <w:sz w:val="18"/>
        <w:szCs w:val="18"/>
      </w:rPr>
      <w:t xml:space="preserve"> 2042</w:t>
    </w:r>
  </w:p>
  <w:p w14:paraId="5C1790A2" w14:textId="77777777" w:rsidR="00ED6865" w:rsidRDefault="008E3EB9">
    <w:pPr>
      <w:ind w:left="5760"/>
      <w:jc w:val="right"/>
      <w:rPr>
        <w:rFonts w:ascii="Calibri" w:eastAsia="Calibri" w:hAnsi="Calibri" w:cs="Calibri"/>
        <w:sz w:val="18"/>
        <w:szCs w:val="18"/>
      </w:rPr>
    </w:pPr>
    <w:r>
      <w:rPr>
        <w:rFonts w:ascii="Calibri" w:eastAsia="Calibri" w:hAnsi="Calibri" w:cs="Calibri"/>
        <w:sz w:val="18"/>
        <w:szCs w:val="18"/>
      </w:rPr>
      <w:t>Street – Suite 203, 1 Erskineville Road, Newtown NSW 2042</w:t>
    </w:r>
  </w:p>
  <w:p w14:paraId="0F147CFB" w14:textId="77777777" w:rsidR="00ED6865" w:rsidRDefault="008E3EB9">
    <w:pPr>
      <w:jc w:val="right"/>
      <w:rPr>
        <w:rFonts w:ascii="Calibri" w:eastAsia="Calibri" w:hAnsi="Calibri" w:cs="Calibri"/>
        <w:sz w:val="18"/>
        <w:szCs w:val="18"/>
      </w:rPr>
    </w:pPr>
    <w:r>
      <w:rPr>
        <w:rFonts w:ascii="Calibri" w:eastAsia="Calibri" w:hAnsi="Calibri" w:cs="Calibri"/>
        <w:sz w:val="18"/>
        <w:szCs w:val="18"/>
      </w:rPr>
      <w:t xml:space="preserve">Email – info@scarletalliance.org.au </w:t>
    </w:r>
  </w:p>
  <w:p w14:paraId="200B72C4" w14:textId="77777777" w:rsidR="00ED6865" w:rsidRDefault="008E3EB9">
    <w:pPr>
      <w:jc w:val="right"/>
      <w:rPr>
        <w:rFonts w:ascii="Calibri" w:eastAsia="Calibri" w:hAnsi="Calibri" w:cs="Calibri"/>
        <w:sz w:val="18"/>
        <w:szCs w:val="18"/>
      </w:rPr>
    </w:pPr>
    <w:r>
      <w:rPr>
        <w:rFonts w:ascii="Calibri" w:eastAsia="Calibri" w:hAnsi="Calibri" w:cs="Calibri"/>
        <w:sz w:val="18"/>
        <w:szCs w:val="18"/>
      </w:rPr>
      <w:t xml:space="preserve">Web – www.scarletalliance.org.au </w:t>
    </w:r>
  </w:p>
  <w:p w14:paraId="723E8AEA" w14:textId="77777777" w:rsidR="00ED6865" w:rsidRDefault="008E3EB9">
    <w:pPr>
      <w:jc w:val="right"/>
      <w:rPr>
        <w:rFonts w:ascii="Calibri" w:eastAsia="Calibri" w:hAnsi="Calibri" w:cs="Calibri"/>
        <w:sz w:val="18"/>
        <w:szCs w:val="18"/>
      </w:rPr>
    </w:pPr>
    <w:r>
      <w:rPr>
        <w:rFonts w:ascii="Calibri" w:eastAsia="Calibri" w:hAnsi="Calibri" w:cs="Calibri"/>
        <w:sz w:val="18"/>
        <w:szCs w:val="18"/>
      </w:rPr>
      <w:t>ABN - 86 612 112 065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607DB"/>
    <w:multiLevelType w:val="hybridMultilevel"/>
    <w:tmpl w:val="3D72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65"/>
    <w:rsid w:val="002B50F7"/>
    <w:rsid w:val="002E1443"/>
    <w:rsid w:val="0040591F"/>
    <w:rsid w:val="00621720"/>
    <w:rsid w:val="0086313F"/>
    <w:rsid w:val="008E18DF"/>
    <w:rsid w:val="008E3EB9"/>
    <w:rsid w:val="0099681D"/>
    <w:rsid w:val="00A92B34"/>
    <w:rsid w:val="00B14BEA"/>
    <w:rsid w:val="00B26A33"/>
    <w:rsid w:val="00C45796"/>
    <w:rsid w:val="00C57816"/>
    <w:rsid w:val="00CF36DF"/>
    <w:rsid w:val="00D002FE"/>
    <w:rsid w:val="00D575C2"/>
    <w:rsid w:val="00ED6865"/>
    <w:rsid w:val="00EE4F75"/>
    <w:rsid w:val="00F37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C3A2F"/>
  <w15:docId w15:val="{602349F3-68A3-436A-A1A5-266C0673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verlock" w:eastAsia="Overlock" w:hAnsi="Overlock" w:cs="Overlock"/>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2B34"/>
    <w:rPr>
      <w:color w:val="0000FF" w:themeColor="hyperlink"/>
      <w:u w:val="single"/>
    </w:rPr>
  </w:style>
  <w:style w:type="paragraph" w:styleId="NormalWeb">
    <w:name w:val="Normal (Web)"/>
    <w:basedOn w:val="Normal"/>
    <w:uiPriority w:val="99"/>
    <w:unhideWhenUsed/>
    <w:rsid w:val="00A92B34"/>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A92B34"/>
    <w:pPr>
      <w:spacing w:after="160" w:line="259" w:lineRule="auto"/>
      <w:ind w:left="720"/>
      <w:contextualSpacing/>
    </w:pPr>
    <w:rPr>
      <w:rFonts w:asciiTheme="minorHAnsi" w:eastAsiaTheme="minorHAnsi" w:hAnsiTheme="minorHAnsi" w:cstheme="minorBidi"/>
      <w:sz w:val="22"/>
      <w:szCs w:val="22"/>
      <w:lang w:val="en-AU" w:eastAsia="en-US"/>
    </w:rPr>
  </w:style>
  <w:style w:type="paragraph" w:styleId="FootnoteText">
    <w:name w:val="footnote text"/>
    <w:basedOn w:val="Normal"/>
    <w:link w:val="FootnoteTextChar"/>
    <w:uiPriority w:val="99"/>
    <w:semiHidden/>
    <w:unhideWhenUsed/>
    <w:rsid w:val="00A92B34"/>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A92B34"/>
    <w:rPr>
      <w:rFonts w:asciiTheme="minorHAnsi" w:eastAsiaTheme="minorHAnsi" w:hAnsiTheme="minorHAnsi" w:cstheme="minorBidi"/>
      <w:sz w:val="20"/>
      <w:szCs w:val="20"/>
      <w:lang w:val="en-AU" w:eastAsia="en-US"/>
    </w:rPr>
  </w:style>
  <w:style w:type="character" w:styleId="FootnoteReference">
    <w:name w:val="footnote reference"/>
    <w:basedOn w:val="DefaultParagraphFont"/>
    <w:uiPriority w:val="99"/>
    <w:semiHidden/>
    <w:unhideWhenUsed/>
    <w:rsid w:val="00A92B34"/>
    <w:rPr>
      <w:vertAlign w:val="superscript"/>
    </w:rPr>
  </w:style>
  <w:style w:type="paragraph" w:styleId="BalloonText">
    <w:name w:val="Balloon Text"/>
    <w:basedOn w:val="Normal"/>
    <w:link w:val="BalloonTextChar"/>
    <w:uiPriority w:val="99"/>
    <w:semiHidden/>
    <w:unhideWhenUsed/>
    <w:rsid w:val="00996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1D"/>
    <w:rPr>
      <w:rFonts w:ascii="Segoe UI" w:hAnsi="Segoe UI" w:cs="Segoe UI"/>
      <w:sz w:val="18"/>
      <w:szCs w:val="18"/>
    </w:rPr>
  </w:style>
  <w:style w:type="character" w:customStyle="1" w:styleId="UnresolvedMention">
    <w:name w:val="Unresolved Mention"/>
    <w:basedOn w:val="DefaultParagraphFont"/>
    <w:uiPriority w:val="99"/>
    <w:semiHidden/>
    <w:unhideWhenUsed/>
    <w:rsid w:val="0040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eo@scarletalliance.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MW/GC5/SexualRightsInitiativ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1A4EC2-6640-4945-B60F-DDB609BE918D}"/>
</file>

<file path=customXml/itemProps2.xml><?xml version="1.0" encoding="utf-8"?>
<ds:datastoreItem xmlns:ds="http://schemas.openxmlformats.org/officeDocument/2006/customXml" ds:itemID="{995EC39B-98F0-4AA8-9B5E-A8C0C9C9AE47}"/>
</file>

<file path=customXml/itemProps3.xml><?xml version="1.0" encoding="utf-8"?>
<ds:datastoreItem xmlns:ds="http://schemas.openxmlformats.org/officeDocument/2006/customXml" ds:itemID="{95553136-6DC4-4AB6-813E-DFF117453083}"/>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 Scarlet</dc:creator>
  <cp:lastModifiedBy>CMW</cp:lastModifiedBy>
  <cp:revision>2</cp:revision>
  <dcterms:created xsi:type="dcterms:W3CDTF">2020-10-30T11:58:00Z</dcterms:created>
  <dcterms:modified xsi:type="dcterms:W3CDTF">2020-10-30T11:58:00Z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