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49" w:rsidRDefault="00CD3949" w:rsidP="009A1772">
      <w:pPr>
        <w:spacing w:before="120" w:after="120" w:line="264" w:lineRule="auto"/>
        <w:jc w:val="both"/>
        <w:rPr>
          <w:rFonts w:ascii="Times New Roman" w:hAnsi="Times New Roman" w:cs="Times New Roman"/>
          <w:b/>
          <w:sz w:val="36"/>
          <w:szCs w:val="24"/>
          <w:lang w:val="es-419"/>
        </w:rPr>
      </w:pPr>
      <w:bookmarkStart w:id="0" w:name="_GoBack"/>
      <w:bookmarkEnd w:id="0"/>
      <w:permStart w:id="251820136" w:edGrp="everyone"/>
      <w:permEnd w:id="251820136"/>
    </w:p>
    <w:p w:rsidR="00CD3949" w:rsidRDefault="00CD3949" w:rsidP="009A1772">
      <w:pPr>
        <w:spacing w:before="120" w:after="120" w:line="264" w:lineRule="auto"/>
        <w:jc w:val="both"/>
        <w:rPr>
          <w:rFonts w:ascii="Times New Roman" w:hAnsi="Times New Roman" w:cs="Times New Roman"/>
          <w:b/>
          <w:sz w:val="36"/>
          <w:szCs w:val="24"/>
          <w:lang w:val="es-419"/>
        </w:rPr>
      </w:pPr>
    </w:p>
    <w:p w:rsidR="00CD3949" w:rsidRDefault="00CD3949" w:rsidP="009A1772">
      <w:pPr>
        <w:spacing w:before="120" w:after="120" w:line="264" w:lineRule="auto"/>
        <w:jc w:val="both"/>
        <w:rPr>
          <w:rFonts w:ascii="Times New Roman" w:hAnsi="Times New Roman" w:cs="Times New Roman"/>
          <w:b/>
          <w:sz w:val="36"/>
          <w:szCs w:val="24"/>
          <w:lang w:val="es-419"/>
        </w:rPr>
      </w:pPr>
    </w:p>
    <w:p w:rsidR="00CD3949" w:rsidRDefault="00CD3949" w:rsidP="009A1772">
      <w:pPr>
        <w:spacing w:before="120" w:after="120" w:line="264" w:lineRule="auto"/>
        <w:jc w:val="both"/>
        <w:rPr>
          <w:rFonts w:ascii="Times New Roman" w:hAnsi="Times New Roman" w:cs="Times New Roman"/>
          <w:b/>
          <w:sz w:val="36"/>
          <w:szCs w:val="24"/>
          <w:lang w:val="es-419"/>
        </w:rPr>
      </w:pPr>
    </w:p>
    <w:p w:rsidR="00CD3949" w:rsidRDefault="00CD3949" w:rsidP="009A1772">
      <w:pPr>
        <w:spacing w:before="120" w:after="120" w:line="264" w:lineRule="auto"/>
        <w:jc w:val="both"/>
        <w:rPr>
          <w:rFonts w:ascii="Times New Roman" w:hAnsi="Times New Roman" w:cs="Times New Roman"/>
          <w:b/>
          <w:sz w:val="36"/>
          <w:szCs w:val="24"/>
          <w:lang w:val="es-419"/>
        </w:rPr>
      </w:pPr>
    </w:p>
    <w:p w:rsidR="00CD3949" w:rsidRPr="00CD3949" w:rsidRDefault="00CD3949" w:rsidP="009A1772">
      <w:pPr>
        <w:spacing w:before="120" w:after="120" w:line="264" w:lineRule="auto"/>
        <w:jc w:val="both"/>
        <w:rPr>
          <w:rFonts w:ascii="Times New Roman" w:hAnsi="Times New Roman" w:cs="Times New Roman"/>
          <w:b/>
          <w:sz w:val="44"/>
          <w:szCs w:val="24"/>
          <w:lang w:val="es-419"/>
        </w:rPr>
      </w:pPr>
      <w:r w:rsidRPr="00CD3949">
        <w:rPr>
          <w:rFonts w:ascii="Times New Roman" w:hAnsi="Times New Roman" w:cs="Times New Roman"/>
          <w:b/>
          <w:sz w:val="44"/>
          <w:szCs w:val="24"/>
          <w:lang w:val="es-419"/>
        </w:rPr>
        <w:t>Información para la Observación General sobre el Derecho a la Libertad Personal de los Migrantes</w:t>
      </w:r>
    </w:p>
    <w:p w:rsidR="00CD3949" w:rsidRDefault="00CD3949" w:rsidP="009A1772">
      <w:pPr>
        <w:spacing w:before="120" w:after="120" w:line="264" w:lineRule="auto"/>
        <w:jc w:val="both"/>
        <w:rPr>
          <w:rFonts w:ascii="Times New Roman" w:hAnsi="Times New Roman" w:cs="Times New Roman"/>
          <w:b/>
          <w:sz w:val="24"/>
          <w:szCs w:val="24"/>
          <w:lang w:val="es-419"/>
        </w:rPr>
      </w:pPr>
    </w:p>
    <w:p w:rsidR="00D059D4" w:rsidRDefault="00D059D4" w:rsidP="009A1772">
      <w:pPr>
        <w:pBdr>
          <w:bottom w:val="single" w:sz="6" w:space="1" w:color="auto"/>
        </w:pBdr>
        <w:spacing w:before="120" w:after="120" w:line="264" w:lineRule="auto"/>
        <w:jc w:val="both"/>
        <w:rPr>
          <w:rFonts w:ascii="Times New Roman" w:hAnsi="Times New Roman" w:cs="Times New Roman"/>
          <w:b/>
          <w:sz w:val="28"/>
          <w:szCs w:val="24"/>
          <w:lang w:val="es-419"/>
        </w:rPr>
      </w:pPr>
    </w:p>
    <w:p w:rsidR="00D059D4" w:rsidRDefault="00D059D4" w:rsidP="009A1772">
      <w:pPr>
        <w:pBdr>
          <w:bottom w:val="single" w:sz="6" w:space="1" w:color="auto"/>
        </w:pBdr>
        <w:spacing w:before="120" w:after="120" w:line="264" w:lineRule="auto"/>
        <w:jc w:val="both"/>
        <w:rPr>
          <w:rFonts w:ascii="Times New Roman" w:hAnsi="Times New Roman" w:cs="Times New Roman"/>
          <w:b/>
          <w:sz w:val="28"/>
          <w:szCs w:val="24"/>
          <w:lang w:val="es-419"/>
        </w:rPr>
      </w:pPr>
    </w:p>
    <w:p w:rsidR="00CD3949" w:rsidRDefault="00CD3949" w:rsidP="009A1772">
      <w:pPr>
        <w:pBdr>
          <w:bottom w:val="single" w:sz="6" w:space="1" w:color="auto"/>
        </w:pBdr>
        <w:spacing w:before="120" w:after="120" w:line="264" w:lineRule="auto"/>
        <w:jc w:val="both"/>
        <w:rPr>
          <w:rFonts w:ascii="Times New Roman" w:hAnsi="Times New Roman" w:cs="Times New Roman"/>
          <w:b/>
          <w:sz w:val="28"/>
          <w:szCs w:val="24"/>
          <w:lang w:val="es-419"/>
        </w:rPr>
      </w:pPr>
      <w:r w:rsidRPr="00CD3949">
        <w:rPr>
          <w:rFonts w:ascii="Times New Roman" w:hAnsi="Times New Roman" w:cs="Times New Roman"/>
          <w:b/>
          <w:sz w:val="28"/>
          <w:szCs w:val="24"/>
          <w:lang w:val="es-419"/>
        </w:rPr>
        <w:t>España</w:t>
      </w:r>
      <w:r>
        <w:rPr>
          <w:rFonts w:ascii="Times New Roman" w:hAnsi="Times New Roman" w:cs="Times New Roman"/>
          <w:b/>
          <w:sz w:val="28"/>
          <w:szCs w:val="24"/>
          <w:lang w:val="es-419"/>
        </w:rPr>
        <w:t xml:space="preserve"> </w:t>
      </w:r>
    </w:p>
    <w:p w:rsidR="00CD3949" w:rsidRPr="00F02447" w:rsidRDefault="00CD3949" w:rsidP="009A1772">
      <w:pPr>
        <w:spacing w:before="120" w:after="120" w:line="264" w:lineRule="auto"/>
        <w:jc w:val="both"/>
        <w:rPr>
          <w:rFonts w:ascii="Times New Roman" w:hAnsi="Times New Roman" w:cs="Times New Roman"/>
          <w:b/>
          <w:color w:val="002060"/>
          <w:sz w:val="28"/>
          <w:szCs w:val="24"/>
          <w:lang w:val="es-419"/>
        </w:rPr>
      </w:pPr>
      <w:r w:rsidRPr="00F02447">
        <w:rPr>
          <w:rFonts w:ascii="Times New Roman" w:hAnsi="Times New Roman" w:cs="Times New Roman"/>
          <w:b/>
          <w:color w:val="002060"/>
          <w:sz w:val="28"/>
          <w:szCs w:val="24"/>
          <w:lang w:val="es-419"/>
        </w:rPr>
        <w:t>Fundación Cepaim y Clínica Jurídica de la Universidad de Murcia</w:t>
      </w: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D059D4" w:rsidP="009A1772">
      <w:pPr>
        <w:spacing w:before="120" w:after="120" w:line="264" w:lineRule="auto"/>
        <w:jc w:val="both"/>
        <w:rPr>
          <w:rFonts w:ascii="Times New Roman" w:hAnsi="Times New Roman" w:cs="Times New Roman"/>
          <w:b/>
          <w:sz w:val="24"/>
          <w:szCs w:val="24"/>
          <w:lang w:val="es-419"/>
        </w:rPr>
      </w:pPr>
      <w:r>
        <w:rPr>
          <w:rFonts w:ascii="Times New Roman" w:hAnsi="Times New Roman" w:cs="Times New Roman"/>
          <w:b/>
          <w:noProof/>
          <w:sz w:val="24"/>
          <w:szCs w:val="24"/>
          <w:lang w:val="en-GB" w:eastAsia="en-GB"/>
        </w:rPr>
        <w:drawing>
          <wp:anchor distT="0" distB="0" distL="114300" distR="114300" simplePos="0" relativeHeight="251658240" behindDoc="1" locked="0" layoutInCell="1" allowOverlap="1" wp14:anchorId="60E4EABF" wp14:editId="490E86D7">
            <wp:simplePos x="0" y="0"/>
            <wp:positionH relativeFrom="column">
              <wp:posOffset>-3810</wp:posOffset>
            </wp:positionH>
            <wp:positionV relativeFrom="paragraph">
              <wp:posOffset>229870</wp:posOffset>
            </wp:positionV>
            <wp:extent cx="2054225" cy="1256030"/>
            <wp:effectExtent l="0" t="0" r="317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1256030"/>
                    </a:xfrm>
                    <a:prstGeom prst="rect">
                      <a:avLst/>
                    </a:prstGeom>
                    <a:noFill/>
                  </pic:spPr>
                </pic:pic>
              </a:graphicData>
            </a:graphic>
            <wp14:sizeRelH relativeFrom="page">
              <wp14:pctWidth>0</wp14:pctWidth>
            </wp14:sizeRelH>
            <wp14:sizeRelV relativeFrom="page">
              <wp14:pctHeight>0</wp14:pctHeight>
            </wp14:sizeRelV>
          </wp:anchor>
        </w:drawing>
      </w:r>
    </w:p>
    <w:p w:rsidR="00CD3949" w:rsidRDefault="00D059D4" w:rsidP="009A1772">
      <w:pPr>
        <w:spacing w:before="120" w:after="120" w:line="264" w:lineRule="auto"/>
        <w:jc w:val="both"/>
        <w:rPr>
          <w:rFonts w:ascii="Times New Roman" w:hAnsi="Times New Roman" w:cs="Times New Roman"/>
          <w:b/>
          <w:sz w:val="24"/>
          <w:szCs w:val="24"/>
          <w:lang w:val="es-419"/>
        </w:rPr>
      </w:pPr>
      <w:r>
        <w:rPr>
          <w:rFonts w:ascii="Times New Roman" w:hAnsi="Times New Roman" w:cs="Times New Roman"/>
          <w:b/>
          <w:noProof/>
          <w:sz w:val="24"/>
          <w:szCs w:val="24"/>
          <w:lang w:val="en-GB" w:eastAsia="en-GB"/>
        </w:rPr>
        <w:drawing>
          <wp:anchor distT="0" distB="0" distL="114300" distR="114300" simplePos="0" relativeHeight="251659264" behindDoc="1" locked="0" layoutInCell="1" allowOverlap="1" wp14:anchorId="54928B1B" wp14:editId="14EF7C67">
            <wp:simplePos x="0" y="0"/>
            <wp:positionH relativeFrom="column">
              <wp:posOffset>2586990</wp:posOffset>
            </wp:positionH>
            <wp:positionV relativeFrom="paragraph">
              <wp:posOffset>152400</wp:posOffset>
            </wp:positionV>
            <wp:extent cx="2533650"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685800"/>
                    </a:xfrm>
                    <a:prstGeom prst="rect">
                      <a:avLst/>
                    </a:prstGeom>
                    <a:noFill/>
                  </pic:spPr>
                </pic:pic>
              </a:graphicData>
            </a:graphic>
            <wp14:sizeRelH relativeFrom="page">
              <wp14:pctWidth>0</wp14:pctWidth>
            </wp14:sizeRelH>
            <wp14:sizeRelV relativeFrom="page">
              <wp14:pctHeight>0</wp14:pctHeight>
            </wp14:sizeRelV>
          </wp:anchor>
        </w:drawing>
      </w: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0A3AFD" w:rsidP="000A3AFD">
      <w:pPr>
        <w:spacing w:before="120" w:after="120" w:line="264" w:lineRule="auto"/>
        <w:ind w:firstLine="708"/>
        <w:jc w:val="both"/>
        <w:rPr>
          <w:rFonts w:ascii="Times New Roman" w:hAnsi="Times New Roman" w:cs="Times New Roman"/>
          <w:b/>
          <w:sz w:val="24"/>
          <w:szCs w:val="24"/>
          <w:lang w:val="es-419"/>
        </w:rPr>
      </w:pPr>
      <w:r>
        <w:rPr>
          <w:rFonts w:ascii="Times New Roman" w:hAnsi="Times New Roman" w:cs="Times New Roman"/>
          <w:b/>
          <w:sz w:val="24"/>
          <w:szCs w:val="24"/>
          <w:lang w:val="es-419"/>
        </w:rPr>
        <w:t>Fundación Cepaim</w:t>
      </w:r>
      <w:r>
        <w:rPr>
          <w:rFonts w:ascii="Times New Roman" w:hAnsi="Times New Roman" w:cs="Times New Roman"/>
          <w:b/>
          <w:sz w:val="24"/>
          <w:szCs w:val="24"/>
          <w:lang w:val="es-419"/>
        </w:rPr>
        <w:tab/>
      </w:r>
      <w:r>
        <w:rPr>
          <w:rFonts w:ascii="Times New Roman" w:hAnsi="Times New Roman" w:cs="Times New Roman"/>
          <w:b/>
          <w:sz w:val="24"/>
          <w:szCs w:val="24"/>
          <w:lang w:val="es-419"/>
        </w:rPr>
        <w:tab/>
        <w:t xml:space="preserve">    Clínica Jurídica de la Universidad de Murcia</w:t>
      </w: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CD3949" w:rsidRDefault="00CD3949" w:rsidP="009A1772">
      <w:pPr>
        <w:spacing w:before="120" w:after="120" w:line="264" w:lineRule="auto"/>
        <w:jc w:val="both"/>
        <w:rPr>
          <w:rFonts w:ascii="Times New Roman" w:hAnsi="Times New Roman" w:cs="Times New Roman"/>
          <w:b/>
          <w:sz w:val="24"/>
          <w:szCs w:val="24"/>
          <w:lang w:val="es-419"/>
        </w:rPr>
      </w:pPr>
    </w:p>
    <w:p w:rsidR="00E96C6D" w:rsidRDefault="00E96C6D" w:rsidP="00CD3949">
      <w:pPr>
        <w:spacing w:before="120" w:after="120" w:line="264" w:lineRule="auto"/>
        <w:jc w:val="both"/>
        <w:rPr>
          <w:rFonts w:ascii="Times New Roman" w:hAnsi="Times New Roman" w:cs="Times New Roman"/>
          <w:b/>
          <w:sz w:val="24"/>
          <w:szCs w:val="24"/>
          <w:lang w:val="es-419"/>
        </w:rPr>
      </w:pPr>
    </w:p>
    <w:p w:rsidR="007B0EF9" w:rsidRDefault="007B0EF9" w:rsidP="00CD3949">
      <w:pPr>
        <w:spacing w:before="120" w:after="120" w:line="264" w:lineRule="auto"/>
        <w:jc w:val="both"/>
        <w:rPr>
          <w:rFonts w:ascii="Times New Roman" w:hAnsi="Times New Roman" w:cs="Times New Roman"/>
          <w:sz w:val="24"/>
          <w:szCs w:val="24"/>
          <w:lang w:val="es-419"/>
        </w:rPr>
      </w:pPr>
      <w:r w:rsidRPr="00CD3949">
        <w:rPr>
          <w:rFonts w:ascii="Times New Roman" w:hAnsi="Times New Roman" w:cs="Times New Roman"/>
          <w:b/>
          <w:sz w:val="24"/>
          <w:szCs w:val="24"/>
          <w:lang w:val="es-419"/>
        </w:rPr>
        <w:t>Fecha</w:t>
      </w:r>
      <w:r w:rsidRPr="00B37CCF">
        <w:rPr>
          <w:rFonts w:ascii="Times New Roman" w:hAnsi="Times New Roman" w:cs="Times New Roman"/>
          <w:sz w:val="24"/>
          <w:szCs w:val="24"/>
          <w:lang w:val="es-419"/>
        </w:rPr>
        <w:t>:</w:t>
      </w:r>
      <w:r w:rsidR="00393990" w:rsidRPr="00B37CCF">
        <w:rPr>
          <w:rFonts w:ascii="Times New Roman" w:hAnsi="Times New Roman" w:cs="Times New Roman"/>
          <w:sz w:val="24"/>
          <w:szCs w:val="24"/>
          <w:lang w:val="es-419"/>
        </w:rPr>
        <w:t xml:space="preserve"> 1 de abril de 2019</w:t>
      </w:r>
    </w:p>
    <w:p w:rsidR="00E96C6D" w:rsidRPr="00B37CCF" w:rsidRDefault="00E96C6D" w:rsidP="00CD3949">
      <w:pPr>
        <w:spacing w:before="120" w:after="120" w:line="264" w:lineRule="auto"/>
        <w:jc w:val="both"/>
        <w:rPr>
          <w:rFonts w:ascii="Times New Roman" w:hAnsi="Times New Roman" w:cs="Times New Roman"/>
          <w:sz w:val="24"/>
          <w:szCs w:val="24"/>
          <w:lang w:val="es-419"/>
        </w:rPr>
      </w:pPr>
    </w:p>
    <w:p w:rsidR="007B0EF9" w:rsidRPr="00D30D0C" w:rsidRDefault="007B0EF9" w:rsidP="009A1772">
      <w:pPr>
        <w:spacing w:before="120" w:after="120" w:line="264" w:lineRule="auto"/>
        <w:jc w:val="both"/>
        <w:rPr>
          <w:rFonts w:ascii="Times New Roman" w:hAnsi="Times New Roman" w:cs="Times New Roman"/>
          <w:b/>
          <w:sz w:val="24"/>
          <w:szCs w:val="24"/>
          <w:u w:val="single"/>
          <w:lang w:val="es-419"/>
        </w:rPr>
      </w:pPr>
      <w:r w:rsidRPr="00D30D0C">
        <w:rPr>
          <w:rFonts w:ascii="Times New Roman" w:hAnsi="Times New Roman" w:cs="Times New Roman"/>
          <w:b/>
          <w:sz w:val="24"/>
          <w:szCs w:val="24"/>
          <w:u w:val="single"/>
          <w:lang w:val="es-419"/>
        </w:rPr>
        <w:lastRenderedPageBreak/>
        <w:t>Parte A. Información General</w:t>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Por favor, describa el proceso de detención de personas migrantes en su país. ¿Cuáles son las autoridades encargadas de llevar a cabo la detención? ¿Quién o cual institución supervisa a dichas autoridades?</w:t>
      </w:r>
    </w:p>
    <w:p w:rsidR="007B0EF9" w:rsidRPr="00B37CCF" w:rsidRDefault="0056559F" w:rsidP="009A1772">
      <w:pPr>
        <w:pStyle w:val="ListParagraph"/>
        <w:spacing w:before="120" w:after="120" w:line="264" w:lineRule="auto"/>
        <w:ind w:left="0"/>
        <w:contextualSpacing w:val="0"/>
        <w:jc w:val="both"/>
        <w:rPr>
          <w:rFonts w:ascii="Times New Roman" w:hAnsi="Times New Roman" w:cs="Times New Roman"/>
          <w:color w:val="002060"/>
          <w:sz w:val="24"/>
          <w:szCs w:val="24"/>
        </w:rPr>
      </w:pPr>
      <w:r>
        <w:rPr>
          <w:rFonts w:ascii="Times New Roman" w:hAnsi="Times New Roman" w:cs="Times New Roman"/>
          <w:sz w:val="24"/>
          <w:szCs w:val="24"/>
          <w:lang w:val="es-419"/>
        </w:rPr>
        <w:t xml:space="preserve">Las personas migrantes arrestadas, ya sea por un delito o por una infracción administrativa, son esposadas y llevadas a dependencias policiales, donde son detenidas por un plazo máximo de 72 horas. Las personas migrantes acusadas de infracción administrativa no son separadas de aquellas personas, nacionales o extranjeras, que han podido cometer delitos. </w:t>
      </w:r>
      <w:r w:rsidR="006C7FCF">
        <w:rPr>
          <w:rFonts w:ascii="Times New Roman" w:hAnsi="Times New Roman" w:cs="Times New Roman"/>
          <w:sz w:val="24"/>
          <w:szCs w:val="24"/>
          <w:lang w:val="es-419"/>
        </w:rPr>
        <w:t>Dentro de dicho plazo, con el fin de asistir a la persona detenida, se llama a un intérprete y persona letrada. Junto con esta, la persona es informada de su situación y del procedimiento sancionador que se ha incoado, así como de la proposición de internamiento en un Centro de Internamiento de Extranjeros (</w:t>
      </w:r>
      <w:r w:rsidR="00DE0DD8">
        <w:rPr>
          <w:rFonts w:ascii="Times New Roman" w:hAnsi="Times New Roman" w:cs="Times New Roman"/>
          <w:sz w:val="24"/>
          <w:szCs w:val="24"/>
          <w:lang w:val="es-419"/>
        </w:rPr>
        <w:t xml:space="preserve">en adelante, </w:t>
      </w:r>
      <w:r w:rsidR="006C7FCF">
        <w:rPr>
          <w:rFonts w:ascii="Times New Roman" w:hAnsi="Times New Roman" w:cs="Times New Roman"/>
          <w:sz w:val="24"/>
          <w:szCs w:val="24"/>
          <w:lang w:val="es-419"/>
        </w:rPr>
        <w:t xml:space="preserve">CIE). </w:t>
      </w:r>
      <w:r w:rsidR="007B0EF9" w:rsidRPr="00C83CCD">
        <w:rPr>
          <w:rFonts w:ascii="Times New Roman" w:hAnsi="Times New Roman" w:cs="Times New Roman"/>
          <w:sz w:val="24"/>
          <w:szCs w:val="24"/>
          <w:lang w:val="es-419"/>
        </w:rPr>
        <w:t xml:space="preserve">La legislación española atribuye con carácter general la propuesta de internamiento al funcionario policial instructor del procedimiento sancionador de extranjería, el impulso de la misma al Ministerio Fiscal y la decisión acerca de los internamientos de extranjeros en Centros a los Jueces de Instrucción del lugar en el que se practique la detención, </w:t>
      </w:r>
      <w:r w:rsidR="007B0EF9" w:rsidRPr="00C83CCD">
        <w:rPr>
          <w:rFonts w:ascii="Times New Roman" w:hAnsi="Times New Roman" w:cs="Times New Roman"/>
          <w:i/>
          <w:sz w:val="24"/>
          <w:szCs w:val="24"/>
          <w:lang w:val="es-419"/>
        </w:rPr>
        <w:t>ex</w:t>
      </w:r>
      <w:r w:rsidR="007B0EF9" w:rsidRPr="00C83CCD">
        <w:rPr>
          <w:rFonts w:ascii="Times New Roman" w:hAnsi="Times New Roman" w:cs="Times New Roman"/>
          <w:sz w:val="24"/>
          <w:szCs w:val="24"/>
          <w:lang w:val="es-419"/>
        </w:rPr>
        <w:t xml:space="preserve"> articulo 62 de la L</w:t>
      </w:r>
      <w:r w:rsidR="00C83CCD" w:rsidRPr="00C83CCD">
        <w:rPr>
          <w:rFonts w:ascii="Times New Roman" w:hAnsi="Times New Roman" w:cs="Times New Roman"/>
          <w:sz w:val="24"/>
          <w:szCs w:val="24"/>
          <w:lang w:val="es-419"/>
        </w:rPr>
        <w:t>ey Orgánica</w:t>
      </w:r>
      <w:r w:rsidR="007B0EF9" w:rsidRPr="00C83CCD">
        <w:rPr>
          <w:rFonts w:ascii="Times New Roman" w:hAnsi="Times New Roman" w:cs="Times New Roman"/>
          <w:sz w:val="24"/>
          <w:szCs w:val="24"/>
          <w:lang w:val="es-419"/>
        </w:rPr>
        <w:t xml:space="preserve"> 4/2000</w:t>
      </w:r>
      <w:r w:rsidR="00C83CCD" w:rsidRPr="00C83CCD">
        <w:rPr>
          <w:rFonts w:ascii="Times New Roman" w:hAnsi="Times New Roman" w:cs="Times New Roman"/>
          <w:sz w:val="24"/>
          <w:szCs w:val="24"/>
          <w:lang w:val="es-419"/>
        </w:rPr>
        <w:t xml:space="preserve">, </w:t>
      </w:r>
      <w:r w:rsidR="00C83CCD" w:rsidRPr="00C83CCD">
        <w:rPr>
          <w:rFonts w:ascii="Times New Roman" w:hAnsi="Times New Roman" w:cs="Times New Roman"/>
          <w:i/>
          <w:sz w:val="24"/>
          <w:szCs w:val="24"/>
          <w:lang w:val="es-419"/>
        </w:rPr>
        <w:t xml:space="preserve">sobre derechos y libertades de los extranjeros en España y su integración social </w:t>
      </w:r>
      <w:r w:rsidR="00C83CCD" w:rsidRPr="00C83CCD">
        <w:rPr>
          <w:rFonts w:ascii="Times New Roman" w:hAnsi="Times New Roman" w:cs="Times New Roman"/>
          <w:sz w:val="24"/>
          <w:szCs w:val="24"/>
          <w:lang w:val="es-419"/>
        </w:rPr>
        <w:t>(en adelante, LOEX)</w:t>
      </w:r>
      <w:r w:rsidR="007B0EF9" w:rsidRPr="00C83CCD">
        <w:rPr>
          <w:rFonts w:ascii="Times New Roman" w:hAnsi="Times New Roman" w:cs="Times New Roman"/>
          <w:sz w:val="24"/>
          <w:szCs w:val="24"/>
          <w:lang w:val="es-419"/>
        </w:rPr>
        <w:t xml:space="preserve">. La supervisión judicial de los centros de internamiento se encomienda a los llamados Jueces de Control del Centro de Estancia, también jueces de instrucción del lugar donde se ubica el Centro. </w:t>
      </w:r>
      <w:r w:rsidR="007B0EF9" w:rsidRPr="00C83CCD">
        <w:rPr>
          <w:rFonts w:ascii="Times New Roman" w:hAnsi="Times New Roman" w:cs="Times New Roman"/>
          <w:sz w:val="24"/>
          <w:szCs w:val="24"/>
        </w:rPr>
        <w:t xml:space="preserve">En la actualidad hay </w:t>
      </w:r>
      <w:r w:rsidR="002D2DDD" w:rsidRPr="00C83CCD">
        <w:rPr>
          <w:rFonts w:ascii="Times New Roman" w:hAnsi="Times New Roman" w:cs="Times New Roman"/>
          <w:sz w:val="24"/>
          <w:szCs w:val="24"/>
        </w:rPr>
        <w:t>CIE</w:t>
      </w:r>
      <w:r w:rsidR="007B0EF9" w:rsidRPr="00C83CCD">
        <w:rPr>
          <w:rFonts w:ascii="Times New Roman" w:hAnsi="Times New Roman" w:cs="Times New Roman"/>
          <w:sz w:val="24"/>
          <w:szCs w:val="24"/>
        </w:rPr>
        <w:t xml:space="preserve"> en Algeciras, Barcelona, Las Palmas, Madrid, Murcia, Tenerife y en Valencia, estando atribuida la función de control de estancia a los siguientes </w:t>
      </w:r>
      <w:r w:rsidR="00B11D3B">
        <w:rPr>
          <w:rFonts w:ascii="Times New Roman" w:hAnsi="Times New Roman" w:cs="Times New Roman"/>
          <w:sz w:val="24"/>
          <w:szCs w:val="24"/>
        </w:rPr>
        <w:t>juzgados de instrucción</w:t>
      </w:r>
      <w:r w:rsidR="007B0EF9" w:rsidRPr="00C83CCD">
        <w:rPr>
          <w:rFonts w:ascii="Times New Roman" w:hAnsi="Times New Roman" w:cs="Times New Roman"/>
          <w:sz w:val="24"/>
          <w:szCs w:val="24"/>
        </w:rPr>
        <w:t>:</w:t>
      </w:r>
      <w:r w:rsidR="006C7FCF">
        <w:rPr>
          <w:rFonts w:ascii="Times New Roman" w:hAnsi="Times New Roman" w:cs="Times New Roman"/>
          <w:sz w:val="24"/>
          <w:szCs w:val="24"/>
        </w:rPr>
        <w:t xml:space="preserve"> Algeciras (n.º 1), Barcelona (n.º 1 y 30), Las Palmas (n.º 8), Madrid (n.º 6, 19 y 20), Málaga [cerrado en la actualidad] (n.º 6), Murcia (n.º 9), Santa Cruz de Tenerife (n.º 5), y Valencia (n.º 3).</w:t>
      </w:r>
    </w:p>
    <w:p w:rsidR="007B0EF9" w:rsidRPr="00D30D0C" w:rsidRDefault="00AC12F1"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Pr>
          <w:rFonts w:ascii="Times New Roman" w:hAnsi="Times New Roman" w:cs="Times New Roman"/>
          <w:b/>
          <w:sz w:val="24"/>
          <w:szCs w:val="24"/>
          <w:lang w:val="es-419"/>
        </w:rPr>
        <w:t>¿D</w:t>
      </w:r>
      <w:r w:rsidR="007B0EF9" w:rsidRPr="00D30D0C">
        <w:rPr>
          <w:rFonts w:ascii="Times New Roman" w:hAnsi="Times New Roman" w:cs="Times New Roman"/>
          <w:b/>
          <w:sz w:val="24"/>
          <w:szCs w:val="24"/>
          <w:lang w:val="es-419"/>
        </w:rPr>
        <w:t>ónde tienen lugar los arrestos y detenciones a migrantes? Durante el arresto o detención, ¿es común el uso de la fuerza? ¿Existen estándares para el trato a migrantes durante el arresto? ¿En qué medida los migrantes están informados de lo que está sucediendo durante un arresto (por qué están detenidos, posibles cargos en su contra, etc.)?</w:t>
      </w:r>
    </w:p>
    <w:p w:rsidR="007B0EF9" w:rsidRPr="00B37CCF" w:rsidRDefault="007B0EF9" w:rsidP="009A1772">
      <w:pPr>
        <w:spacing w:before="120" w:after="120" w:line="264" w:lineRule="auto"/>
        <w:jc w:val="both"/>
        <w:rPr>
          <w:rFonts w:ascii="Times New Roman" w:hAnsi="Times New Roman" w:cs="Times New Roman"/>
          <w:sz w:val="24"/>
          <w:szCs w:val="24"/>
          <w:lang w:val="es-419"/>
        </w:rPr>
      </w:pPr>
      <w:r w:rsidRPr="00B37CCF">
        <w:rPr>
          <w:rFonts w:ascii="Times New Roman" w:hAnsi="Times New Roman" w:cs="Times New Roman"/>
          <w:sz w:val="24"/>
          <w:szCs w:val="24"/>
          <w:lang w:val="es-419"/>
        </w:rPr>
        <w:t xml:space="preserve">Los arrestos de migrantes tienen lugar en la vía pública, puestos fronterizos (puertos, aeropuertos, etc.) </w:t>
      </w:r>
      <w:r w:rsidR="00AC12F1">
        <w:rPr>
          <w:rFonts w:ascii="Times New Roman" w:hAnsi="Times New Roman" w:cs="Times New Roman"/>
          <w:sz w:val="24"/>
          <w:szCs w:val="24"/>
          <w:lang w:val="es-419"/>
        </w:rPr>
        <w:t>y también</w:t>
      </w:r>
      <w:r w:rsidRPr="00B37CCF">
        <w:rPr>
          <w:rFonts w:ascii="Times New Roman" w:hAnsi="Times New Roman" w:cs="Times New Roman"/>
          <w:sz w:val="24"/>
          <w:szCs w:val="24"/>
          <w:lang w:val="es-419"/>
        </w:rPr>
        <w:t xml:space="preserve"> pueden tener lugar en dependencias policiales tras conducción policial a efectos de identificación o bien tras practicarse diligencias </w:t>
      </w:r>
      <w:r w:rsidR="00A406F0" w:rsidRPr="00B37CCF">
        <w:rPr>
          <w:rFonts w:ascii="Times New Roman" w:hAnsi="Times New Roman" w:cs="Times New Roman"/>
          <w:sz w:val="24"/>
          <w:szCs w:val="24"/>
          <w:lang w:val="es-419"/>
        </w:rPr>
        <w:t>iniciadas por causa de infracción penal.</w:t>
      </w:r>
      <w:r w:rsidR="00AC12F1">
        <w:rPr>
          <w:rFonts w:ascii="Times New Roman" w:hAnsi="Times New Roman" w:cs="Times New Roman"/>
          <w:sz w:val="24"/>
          <w:szCs w:val="24"/>
          <w:lang w:val="es-419"/>
        </w:rPr>
        <w:t xml:space="preserve"> En ocasiones, se procede al arresto en estas instalaciones cuando la persona migrante ha acudido para realizar un trámite administrativo.</w:t>
      </w:r>
    </w:p>
    <w:p w:rsidR="00A406F0" w:rsidRPr="00B37CCF" w:rsidRDefault="00A406F0" w:rsidP="009A1772">
      <w:pPr>
        <w:spacing w:before="120" w:after="120" w:line="264" w:lineRule="auto"/>
        <w:jc w:val="both"/>
        <w:rPr>
          <w:rFonts w:ascii="Times New Roman" w:hAnsi="Times New Roman" w:cs="Times New Roman"/>
          <w:sz w:val="24"/>
          <w:szCs w:val="24"/>
          <w:lang w:val="es-419"/>
        </w:rPr>
      </w:pPr>
      <w:r w:rsidRPr="00B37CCF">
        <w:rPr>
          <w:rFonts w:ascii="Times New Roman" w:hAnsi="Times New Roman" w:cs="Times New Roman"/>
          <w:sz w:val="24"/>
          <w:szCs w:val="24"/>
          <w:lang w:val="es-419"/>
        </w:rPr>
        <w:t>Durante el ar</w:t>
      </w:r>
      <w:r w:rsidR="009B65B1" w:rsidRPr="00B37CCF">
        <w:rPr>
          <w:rFonts w:ascii="Times New Roman" w:hAnsi="Times New Roman" w:cs="Times New Roman"/>
          <w:sz w:val="24"/>
          <w:szCs w:val="24"/>
          <w:lang w:val="es-419"/>
        </w:rPr>
        <w:t>resto debe proporcionarse a toda persona</w:t>
      </w:r>
      <w:r w:rsidRPr="00B37CCF">
        <w:rPr>
          <w:rFonts w:ascii="Times New Roman" w:hAnsi="Times New Roman" w:cs="Times New Roman"/>
          <w:sz w:val="24"/>
          <w:szCs w:val="24"/>
          <w:lang w:val="es-419"/>
        </w:rPr>
        <w:t xml:space="preserve"> extranjer</w:t>
      </w:r>
      <w:r w:rsidR="009B65B1" w:rsidRPr="00B37CCF">
        <w:rPr>
          <w:rFonts w:ascii="Times New Roman" w:hAnsi="Times New Roman" w:cs="Times New Roman"/>
          <w:sz w:val="24"/>
          <w:szCs w:val="24"/>
          <w:lang w:val="es-419"/>
        </w:rPr>
        <w:t>a</w:t>
      </w:r>
      <w:r w:rsidRPr="00B37CCF">
        <w:rPr>
          <w:rFonts w:ascii="Times New Roman" w:hAnsi="Times New Roman" w:cs="Times New Roman"/>
          <w:sz w:val="24"/>
          <w:szCs w:val="24"/>
          <w:lang w:val="es-419"/>
        </w:rPr>
        <w:t xml:space="preserve"> intérprete y letrado de oficio, quien debe estar presente en el momento de la notificación de la propuesta de devolución, expulsión, denegación de entrada así como debe estar informado de las medidas cautelares que se propongan. En los supuestos de mera ejecución de una expulsión ya ordenada con anterioridad pero no ejecutada</w:t>
      </w:r>
      <w:r w:rsidR="008843DB">
        <w:rPr>
          <w:rFonts w:ascii="Times New Roman" w:hAnsi="Times New Roman" w:cs="Times New Roman"/>
          <w:sz w:val="24"/>
          <w:szCs w:val="24"/>
          <w:lang w:val="es-419"/>
        </w:rPr>
        <w:t>,</w:t>
      </w:r>
      <w:r w:rsidRPr="00B37CCF">
        <w:rPr>
          <w:rFonts w:ascii="Times New Roman" w:hAnsi="Times New Roman" w:cs="Times New Roman"/>
          <w:sz w:val="24"/>
          <w:szCs w:val="24"/>
          <w:lang w:val="es-419"/>
        </w:rPr>
        <w:t xml:space="preserve"> no se facilita asistencia letrada de oficio, si bien en el caso de propuesta de internamiento en dicho estadio procesal sí se facilita. </w:t>
      </w:r>
    </w:p>
    <w:p w:rsidR="007B0EF9" w:rsidRPr="00B37CCF" w:rsidRDefault="002D2DDD" w:rsidP="009A1772">
      <w:pPr>
        <w:spacing w:before="120" w:after="120" w:line="264" w:lineRule="auto"/>
        <w:jc w:val="both"/>
        <w:rPr>
          <w:rFonts w:ascii="Times New Roman" w:hAnsi="Times New Roman" w:cs="Times New Roman"/>
          <w:sz w:val="24"/>
          <w:szCs w:val="24"/>
          <w:lang w:val="es-419"/>
        </w:rPr>
      </w:pPr>
      <w:r w:rsidRPr="00B37CCF">
        <w:rPr>
          <w:rFonts w:ascii="Times New Roman" w:hAnsi="Times New Roman" w:cs="Times New Roman"/>
          <w:sz w:val="24"/>
          <w:szCs w:val="24"/>
          <w:lang w:val="es-419"/>
        </w:rPr>
        <w:lastRenderedPageBreak/>
        <w:t xml:space="preserve">Respecto a las personas migrantes que son interceptadas en embarcaciones en el mar, el Estado cuenta con la Instrucción n.º 20/2005, de 23 de septiembre, de la Secretaría de Estado, sobre control de la inmigración irregular que llega a España en embarcaciones. En ella, se establece un protocolo de actuación y detención de migrantes. Estas personas, cuando finalmente son puestas en libertad al no poder ejecutarse los acuerdos de devolución que les son impuestos, acuden a organizaciones no gubernamentales y desconocen sus derechos y obligaciones, así como el motivo y consecuencias de dichos acuerdos de devolución. La falta de información es tal que, en algunos casos, creen que se trata de un documento que les autoriza para residir en España de forma regular. </w:t>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¿Cómo se integra el personal que custodia a los migrantes detenidos (funcionarios penitenciarios, agentes del orden público, trabajadores sociales, etc.)? ¿Cuáles son las calificaciones profesionales del personal en estos centros de detención? ¿Quién supervisa al personal en los centros de detención?</w:t>
      </w:r>
    </w:p>
    <w:p w:rsidR="002D2DDD" w:rsidRPr="00B37CCF" w:rsidRDefault="002D2DDD" w:rsidP="009A1772">
      <w:pPr>
        <w:spacing w:before="120" w:after="120" w:line="264" w:lineRule="auto"/>
        <w:jc w:val="both"/>
        <w:rPr>
          <w:rFonts w:ascii="Times New Roman" w:eastAsia="Times New Roman" w:hAnsi="Times New Roman" w:cs="Times New Roman"/>
          <w:sz w:val="24"/>
          <w:szCs w:val="24"/>
          <w:lang w:eastAsia="es-ES_tradnl"/>
        </w:rPr>
      </w:pPr>
      <w:r w:rsidRPr="00B37CCF">
        <w:rPr>
          <w:rFonts w:ascii="Times New Roman" w:eastAsia="Times New Roman" w:hAnsi="Times New Roman" w:cs="Times New Roman"/>
          <w:sz w:val="24"/>
          <w:szCs w:val="24"/>
          <w:lang w:eastAsia="es-ES_tradnl"/>
        </w:rPr>
        <w:t xml:space="preserve">El Director y el Jefe de Unidad de Seguridad de </w:t>
      </w:r>
      <w:r w:rsidR="008843DB">
        <w:rPr>
          <w:rFonts w:ascii="Times New Roman" w:eastAsia="Times New Roman" w:hAnsi="Times New Roman" w:cs="Times New Roman"/>
          <w:sz w:val="24"/>
          <w:szCs w:val="24"/>
          <w:lang w:eastAsia="es-ES_tradnl"/>
        </w:rPr>
        <w:t>los CIE</w:t>
      </w:r>
      <w:r w:rsidRPr="00B37CCF">
        <w:rPr>
          <w:rFonts w:ascii="Times New Roman" w:eastAsia="Times New Roman" w:hAnsi="Times New Roman" w:cs="Times New Roman"/>
          <w:sz w:val="24"/>
          <w:szCs w:val="24"/>
          <w:lang w:eastAsia="es-ES_tradnl"/>
        </w:rPr>
        <w:t xml:space="preserve"> son funcionarios de carrera del Cuerpo Nacional de Policía</w:t>
      </w:r>
      <w:r w:rsidR="001F58A4">
        <w:rPr>
          <w:rFonts w:ascii="Times New Roman" w:eastAsia="Times New Roman" w:hAnsi="Times New Roman" w:cs="Times New Roman"/>
          <w:sz w:val="24"/>
          <w:szCs w:val="24"/>
          <w:lang w:eastAsia="es-ES_tradnl"/>
        </w:rPr>
        <w:t xml:space="preserve"> (CNP)</w:t>
      </w:r>
      <w:r w:rsidRPr="00B37CCF">
        <w:rPr>
          <w:rFonts w:ascii="Times New Roman" w:eastAsia="Times New Roman" w:hAnsi="Times New Roman" w:cs="Times New Roman"/>
          <w:sz w:val="24"/>
          <w:szCs w:val="24"/>
          <w:lang w:eastAsia="es-ES_tradnl"/>
        </w:rPr>
        <w:t xml:space="preserve">, subgrupo A1; la Unidad de Seguridad está compuesto por agentes de dicho cuerpo, dependientes de la Comisaría General de Extranjería; la Administración corre a cargo de funcionarios de carrera, subgrupo A1 o A2; la Secretaría le corresponde a funcionarios de carrera, subgrupo A2 o C1 del </w:t>
      </w:r>
      <w:r w:rsidR="001F58A4">
        <w:rPr>
          <w:rFonts w:ascii="Times New Roman" w:eastAsia="Times New Roman" w:hAnsi="Times New Roman" w:cs="Times New Roman"/>
          <w:sz w:val="24"/>
          <w:szCs w:val="24"/>
          <w:lang w:eastAsia="es-ES_tradnl"/>
        </w:rPr>
        <w:t>CNP</w:t>
      </w:r>
      <w:r w:rsidRPr="00B37CCF">
        <w:rPr>
          <w:rFonts w:ascii="Times New Roman" w:eastAsia="Times New Roman" w:hAnsi="Times New Roman" w:cs="Times New Roman"/>
          <w:sz w:val="24"/>
          <w:szCs w:val="24"/>
          <w:lang w:eastAsia="es-ES_tradnl"/>
        </w:rPr>
        <w:t>. Existe un servicio de asistencia sanitaria, compuesto por un médico de la Administración General del Estado, auxiliado, como mínimo, por un enfermero; un servicio de asistencia social, que podrá ser concertado por la Dirección General de la Policía, mediante la suscripción de acuerdos, convenios o contratos, con entidades públicas o privadas y con organizaciones no gubernamentales</w:t>
      </w:r>
      <w:r w:rsidR="008E2CAC" w:rsidRPr="00B37CCF">
        <w:rPr>
          <w:rFonts w:ascii="Times New Roman" w:eastAsia="Times New Roman" w:hAnsi="Times New Roman" w:cs="Times New Roman"/>
          <w:sz w:val="24"/>
          <w:szCs w:val="24"/>
          <w:lang w:eastAsia="es-ES_tradnl"/>
        </w:rPr>
        <w:t xml:space="preserve"> (en todo caso, este servicio estará integrado por personal que deberá contar con formación o conocimientos adecuados en materia de derechos humanos, extranjería, protección internacional, mediación intercultural, así como de enfoque de género y violencia contra las mujeres)</w:t>
      </w:r>
      <w:r w:rsidRPr="00B37CCF">
        <w:rPr>
          <w:rFonts w:ascii="Times New Roman" w:eastAsia="Times New Roman" w:hAnsi="Times New Roman" w:cs="Times New Roman"/>
          <w:sz w:val="24"/>
          <w:szCs w:val="24"/>
          <w:lang w:eastAsia="es-ES_tradnl"/>
        </w:rPr>
        <w:t xml:space="preserve">; un servicio de asistencia jurídica, </w:t>
      </w:r>
      <w:r w:rsidR="008E2CAC" w:rsidRPr="00B37CCF">
        <w:rPr>
          <w:rFonts w:ascii="Times New Roman" w:eastAsia="Times New Roman" w:hAnsi="Times New Roman" w:cs="Times New Roman"/>
          <w:sz w:val="24"/>
          <w:szCs w:val="24"/>
          <w:lang w:eastAsia="es-ES_tradnl"/>
        </w:rPr>
        <w:t xml:space="preserve">por medio de acuerdos de colaboración con los colegios de abogados. </w:t>
      </w:r>
      <w:r w:rsidR="00D26EAA">
        <w:rPr>
          <w:rFonts w:ascii="Times New Roman" w:eastAsia="Times New Roman" w:hAnsi="Times New Roman" w:cs="Times New Roman"/>
          <w:sz w:val="24"/>
          <w:szCs w:val="24"/>
          <w:lang w:eastAsia="es-ES_tradnl"/>
        </w:rPr>
        <w:t>Los Jueces de Control de Estancia supervisan los centros.</w:t>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¿Quién es el propietario de las instalaciones utilizadas para albergar a los migrantes detenidos? ¿Quién opera las instalaciones utilizadas para albergar a los migrantes detenidos? ¿Las instalaciones que albergan a migrantes detenidos son públicas o privadas?</w:t>
      </w:r>
    </w:p>
    <w:p w:rsidR="00A406F0" w:rsidRPr="00B37CCF" w:rsidRDefault="002027FA" w:rsidP="009A1772">
      <w:pPr>
        <w:spacing w:before="120" w:after="120" w:line="264" w:lineRule="auto"/>
        <w:jc w:val="both"/>
        <w:rPr>
          <w:rFonts w:ascii="Times New Roman" w:hAnsi="Times New Roman" w:cs="Times New Roman"/>
          <w:sz w:val="24"/>
          <w:szCs w:val="24"/>
          <w:lang w:val="es-419"/>
        </w:rPr>
      </w:pPr>
      <w:r w:rsidRPr="00B37CCF">
        <w:rPr>
          <w:rFonts w:ascii="Times New Roman" w:hAnsi="Times New Roman" w:cs="Times New Roman"/>
          <w:sz w:val="24"/>
          <w:szCs w:val="24"/>
          <w:lang w:val="es-419"/>
        </w:rPr>
        <w:t xml:space="preserve">De acuerdo con la regulación básica de los CIE, que se encuentra en el </w:t>
      </w:r>
      <w:hyperlink r:id="rId10" w:history="1">
        <w:r w:rsidRPr="00B37CCF">
          <w:rPr>
            <w:rFonts w:ascii="Times New Roman" w:hAnsi="Times New Roman" w:cs="Times New Roman"/>
            <w:sz w:val="24"/>
            <w:szCs w:val="24"/>
            <w:lang w:val="es-419"/>
          </w:rPr>
          <w:t>Real Decreto 162/2014</w:t>
        </w:r>
      </w:hyperlink>
      <w:r w:rsidRPr="00B37CCF">
        <w:rPr>
          <w:rFonts w:ascii="Times New Roman" w:hAnsi="Times New Roman" w:cs="Times New Roman"/>
          <w:sz w:val="24"/>
          <w:szCs w:val="24"/>
          <w:lang w:val="es-419"/>
        </w:rPr>
        <w:t>, de 14 de marzo, “</w:t>
      </w:r>
      <w:r w:rsidRPr="00B37CCF">
        <w:rPr>
          <w:rFonts w:ascii="Times New Roman" w:hAnsi="Times New Roman" w:cs="Times New Roman"/>
          <w:i/>
          <w:sz w:val="24"/>
          <w:szCs w:val="24"/>
          <w:lang w:val="es-419"/>
        </w:rPr>
        <w:t>por el que se aprueba el reglamento de funcionamiento y régimen interior de los centros de internamiento de extranjeros</w:t>
      </w:r>
      <w:r w:rsidRPr="00B37CCF">
        <w:rPr>
          <w:rFonts w:ascii="Times New Roman" w:hAnsi="Times New Roman" w:cs="Times New Roman"/>
          <w:sz w:val="24"/>
          <w:szCs w:val="24"/>
          <w:lang w:val="es-419"/>
        </w:rPr>
        <w:t>”</w:t>
      </w:r>
      <w:r w:rsidR="00C83CCD">
        <w:rPr>
          <w:rFonts w:ascii="Times New Roman" w:hAnsi="Times New Roman" w:cs="Times New Roman"/>
          <w:sz w:val="24"/>
          <w:szCs w:val="24"/>
          <w:lang w:val="es-419"/>
        </w:rPr>
        <w:t xml:space="preserve"> (en adelante, RCIE)</w:t>
      </w:r>
      <w:r w:rsidRPr="00B37CCF">
        <w:rPr>
          <w:rFonts w:ascii="Times New Roman" w:hAnsi="Times New Roman" w:cs="Times New Roman"/>
          <w:sz w:val="24"/>
          <w:szCs w:val="24"/>
          <w:lang w:val="es-419"/>
        </w:rPr>
        <w:t xml:space="preserve">, </w:t>
      </w:r>
      <w:r w:rsidRPr="00B37CCF">
        <w:rPr>
          <w:rFonts w:ascii="Times New Roman" w:eastAsia="Times New Roman" w:hAnsi="Times New Roman" w:cs="Times New Roman"/>
          <w:sz w:val="24"/>
          <w:szCs w:val="24"/>
          <w:lang w:eastAsia="es-ES_tradnl"/>
        </w:rPr>
        <w:t xml:space="preserve">estos centros son establecimientos públicos de carácter no penitenciario </w:t>
      </w:r>
      <w:r w:rsidRPr="00B37CCF">
        <w:rPr>
          <w:rFonts w:ascii="Times New Roman" w:hAnsi="Times New Roman" w:cs="Times New Roman"/>
          <w:sz w:val="24"/>
          <w:szCs w:val="24"/>
          <w:lang w:val="es-419"/>
        </w:rPr>
        <w:t xml:space="preserve">(vid. </w:t>
      </w:r>
      <w:hyperlink r:id="rId11" w:history="1">
        <w:r w:rsidRPr="00B37CCF">
          <w:rPr>
            <w:rFonts w:ascii="Times New Roman" w:hAnsi="Times New Roman" w:cs="Times New Roman"/>
            <w:sz w:val="24"/>
            <w:szCs w:val="24"/>
            <w:lang w:val="es-419"/>
          </w:rPr>
          <w:t>STS 807/2015</w:t>
        </w:r>
      </w:hyperlink>
      <w:r w:rsidRPr="00B37CCF">
        <w:rPr>
          <w:rFonts w:ascii="Times New Roman" w:hAnsi="Times New Roman" w:cs="Times New Roman"/>
          <w:sz w:val="24"/>
          <w:szCs w:val="24"/>
          <w:lang w:val="es-419"/>
        </w:rPr>
        <w:t>, Sala 3ª)</w:t>
      </w:r>
      <w:r w:rsidRPr="00B37CCF">
        <w:rPr>
          <w:rFonts w:ascii="Times New Roman" w:eastAsia="Times New Roman" w:hAnsi="Times New Roman" w:cs="Times New Roman"/>
          <w:sz w:val="24"/>
          <w:szCs w:val="24"/>
          <w:lang w:eastAsia="es-ES_tradnl"/>
        </w:rPr>
        <w:t xml:space="preserve"> y dependientes del Ministerio del Interior</w:t>
      </w:r>
      <w:r w:rsidR="00837A8F" w:rsidRPr="00B37CCF">
        <w:rPr>
          <w:rFonts w:ascii="Times New Roman" w:eastAsia="Times New Roman" w:hAnsi="Times New Roman" w:cs="Times New Roman"/>
          <w:sz w:val="24"/>
          <w:szCs w:val="24"/>
          <w:lang w:eastAsia="es-ES_tradnl"/>
        </w:rPr>
        <w:t>, cuya competencia se ejerce a través de la Dirección General de Policía</w:t>
      </w:r>
      <w:r w:rsidRPr="00B37CCF">
        <w:rPr>
          <w:rFonts w:ascii="Times New Roman" w:eastAsia="Times New Roman" w:hAnsi="Times New Roman" w:cs="Times New Roman"/>
          <w:sz w:val="24"/>
          <w:szCs w:val="24"/>
          <w:lang w:eastAsia="es-ES_tradnl"/>
        </w:rPr>
        <w:t xml:space="preserve">. </w:t>
      </w:r>
      <w:r w:rsidR="00AB5755" w:rsidRPr="00B37CCF">
        <w:rPr>
          <w:rFonts w:ascii="Times New Roman" w:eastAsia="Times New Roman" w:hAnsi="Times New Roman" w:cs="Times New Roman"/>
          <w:sz w:val="24"/>
          <w:szCs w:val="24"/>
          <w:lang w:eastAsia="es-ES_tradnl"/>
        </w:rPr>
        <w:t>La</w:t>
      </w:r>
      <w:r w:rsidRPr="00B37CCF">
        <w:rPr>
          <w:rFonts w:ascii="Times New Roman" w:eastAsia="Times New Roman" w:hAnsi="Times New Roman" w:cs="Times New Roman"/>
          <w:sz w:val="24"/>
          <w:szCs w:val="24"/>
          <w:lang w:eastAsia="es-ES_tradnl"/>
        </w:rPr>
        <w:t xml:space="preserve"> función y objetivo </w:t>
      </w:r>
      <w:r w:rsidR="00AB5755" w:rsidRPr="00B37CCF">
        <w:rPr>
          <w:rFonts w:ascii="Times New Roman" w:eastAsia="Times New Roman" w:hAnsi="Times New Roman" w:cs="Times New Roman"/>
          <w:sz w:val="24"/>
          <w:szCs w:val="24"/>
          <w:lang w:eastAsia="es-ES_tradnl"/>
        </w:rPr>
        <w:t xml:space="preserve">de estos centros </w:t>
      </w:r>
      <w:r w:rsidRPr="00B37CCF">
        <w:rPr>
          <w:rFonts w:ascii="Times New Roman" w:eastAsia="Times New Roman" w:hAnsi="Times New Roman" w:cs="Times New Roman"/>
          <w:sz w:val="24"/>
          <w:szCs w:val="24"/>
          <w:lang w:eastAsia="es-ES_tradnl"/>
        </w:rPr>
        <w:t>es mantener la custodia preventiva y cautelar de extranjeros para garantizar su expulsión, devolución o regreso por las causas y en los términos previstos en la legislación de extranjería, teniendo en cuenta la no violación del principio de proporcionalidad en los medios utilizados.</w:t>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¿Su país supervisa los centros de detención? ¿Quién supervisa los centros de detención? ¿Cuáles son los estándares que deben cumplir los centros de detención?</w:t>
      </w:r>
    </w:p>
    <w:p w:rsidR="0006615D" w:rsidRPr="006A0EE6" w:rsidRDefault="0006615D"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6A0EE6">
        <w:rPr>
          <w:rFonts w:ascii="Times New Roman" w:hAnsi="Times New Roman" w:cs="Times New Roman"/>
          <w:sz w:val="24"/>
          <w:szCs w:val="24"/>
          <w:lang w:val="es-419"/>
        </w:rPr>
        <w:t>Los centros</w:t>
      </w:r>
      <w:r w:rsidR="004E778A" w:rsidRPr="006A0EE6">
        <w:rPr>
          <w:rFonts w:ascii="Times New Roman" w:hAnsi="Times New Roman" w:cs="Times New Roman"/>
          <w:sz w:val="24"/>
          <w:szCs w:val="24"/>
          <w:lang w:val="es-419"/>
        </w:rPr>
        <w:t xml:space="preserve"> son</w:t>
      </w:r>
      <w:r w:rsidRPr="006A0EE6">
        <w:rPr>
          <w:rFonts w:ascii="Times New Roman" w:hAnsi="Times New Roman" w:cs="Times New Roman"/>
          <w:sz w:val="24"/>
          <w:szCs w:val="24"/>
          <w:lang w:val="es-419"/>
        </w:rPr>
        <w:t xml:space="preserve"> supervisados por los Jueces de Control de Estancia.</w:t>
      </w:r>
      <w:r w:rsidR="001F0CB3" w:rsidRPr="006A0EE6">
        <w:rPr>
          <w:rFonts w:ascii="Times New Roman" w:hAnsi="Times New Roman" w:cs="Times New Roman"/>
          <w:sz w:val="24"/>
          <w:szCs w:val="24"/>
          <w:lang w:val="es-419"/>
        </w:rPr>
        <w:t xml:space="preserve"> No obstante, y según el artículo 50.1 del </w:t>
      </w:r>
      <w:r w:rsidR="00E16D11" w:rsidRPr="006A0EE6">
        <w:rPr>
          <w:rFonts w:ascii="Times New Roman" w:hAnsi="Times New Roman" w:cs="Times New Roman"/>
          <w:sz w:val="24"/>
          <w:szCs w:val="24"/>
          <w:lang w:val="es-419"/>
        </w:rPr>
        <w:t>RCIE</w:t>
      </w:r>
      <w:r w:rsidR="001F0CB3" w:rsidRPr="006A0EE6">
        <w:rPr>
          <w:rFonts w:ascii="Times New Roman" w:hAnsi="Times New Roman" w:cs="Times New Roman"/>
          <w:sz w:val="24"/>
          <w:szCs w:val="24"/>
          <w:lang w:val="es-419"/>
        </w:rPr>
        <w:t xml:space="preserve">, la inspección de los centros, con independencia de las competencias que la legislación atribuye a la autoridad judicial, es llevada a cabo por el Cuerpo Nacional de Policía, a través de sus unidades propias. Sin perjuicio de lo anterior, la Inspección de Personal y Servicios de Seguridad de la Secretaría de Estado de Seguridad </w:t>
      </w:r>
      <w:r w:rsidR="000C031F" w:rsidRPr="006A0EE6">
        <w:rPr>
          <w:rFonts w:ascii="Times New Roman" w:hAnsi="Times New Roman" w:cs="Times New Roman"/>
          <w:sz w:val="24"/>
          <w:szCs w:val="24"/>
          <w:lang w:val="es-419"/>
        </w:rPr>
        <w:t xml:space="preserve">llevará a cabo las inspecciones referidas en dicho precepto, conforme a la disposición </w:t>
      </w:r>
      <w:r w:rsidR="001F0CB3" w:rsidRPr="006A0EE6">
        <w:rPr>
          <w:rFonts w:ascii="Times New Roman" w:hAnsi="Times New Roman" w:cs="Times New Roman"/>
          <w:sz w:val="24"/>
          <w:szCs w:val="24"/>
          <w:lang w:val="es-419"/>
        </w:rPr>
        <w:t>3.10 de la instrucción n.º 5/2015, de la Secr</w:t>
      </w:r>
      <w:r w:rsidR="000C031F" w:rsidRPr="006A0EE6">
        <w:rPr>
          <w:rFonts w:ascii="Times New Roman" w:hAnsi="Times New Roman" w:cs="Times New Roman"/>
          <w:sz w:val="24"/>
          <w:szCs w:val="24"/>
          <w:lang w:val="es-419"/>
        </w:rPr>
        <w:t>etaría de Estado de Seguridad</w:t>
      </w:r>
      <w:r w:rsidR="001F0CB3" w:rsidRPr="006A0EE6">
        <w:rPr>
          <w:rFonts w:ascii="Times New Roman" w:hAnsi="Times New Roman" w:cs="Times New Roman"/>
          <w:sz w:val="24"/>
          <w:szCs w:val="24"/>
          <w:lang w:val="es-419"/>
        </w:rPr>
        <w:t>.</w:t>
      </w:r>
    </w:p>
    <w:p w:rsidR="0006615D" w:rsidRPr="006A0EE6" w:rsidRDefault="0006615D"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6A0EE6">
        <w:rPr>
          <w:rFonts w:ascii="Times New Roman" w:hAnsi="Times New Roman" w:cs="Times New Roman"/>
          <w:sz w:val="24"/>
          <w:szCs w:val="24"/>
          <w:lang w:val="es-419"/>
        </w:rPr>
        <w:t xml:space="preserve">En cuanto a los estándares, </w:t>
      </w:r>
      <w:r w:rsidR="00B01F15" w:rsidRPr="006A0EE6">
        <w:rPr>
          <w:rFonts w:ascii="Times New Roman" w:hAnsi="Times New Roman" w:cs="Times New Roman"/>
          <w:sz w:val="24"/>
          <w:szCs w:val="24"/>
          <w:lang w:val="es-419"/>
        </w:rPr>
        <w:t>e</w:t>
      </w:r>
      <w:r w:rsidRPr="006A0EE6">
        <w:rPr>
          <w:rFonts w:ascii="Times New Roman" w:hAnsi="Times New Roman" w:cs="Times New Roman"/>
          <w:sz w:val="24"/>
          <w:szCs w:val="24"/>
          <w:lang w:val="es-419"/>
        </w:rPr>
        <w:t xml:space="preserve">l </w:t>
      </w:r>
      <w:r w:rsidR="0097675D" w:rsidRPr="006A0EE6">
        <w:rPr>
          <w:rFonts w:ascii="Times New Roman" w:hAnsi="Times New Roman" w:cs="Times New Roman"/>
          <w:sz w:val="24"/>
          <w:szCs w:val="24"/>
          <w:lang w:val="es-419"/>
        </w:rPr>
        <w:t>RCIE</w:t>
      </w:r>
      <w:r w:rsidRPr="006A0EE6">
        <w:rPr>
          <w:rFonts w:ascii="Times New Roman" w:hAnsi="Times New Roman" w:cs="Times New Roman"/>
          <w:sz w:val="24"/>
          <w:szCs w:val="24"/>
          <w:lang w:val="es-419"/>
        </w:rPr>
        <w:t xml:space="preserve"> prevé el derecho a la asistencia sanitaria de los internos (artículo 14), el derecho “</w:t>
      </w:r>
      <w:r w:rsidRPr="006A0EE6">
        <w:rPr>
          <w:rFonts w:ascii="Times New Roman" w:hAnsi="Times New Roman" w:cs="Times New Roman"/>
          <w:i/>
          <w:sz w:val="24"/>
          <w:szCs w:val="24"/>
          <w:lang w:val="es-419"/>
        </w:rPr>
        <w:t>durante el tiempo de permanencia en el centro</w:t>
      </w:r>
      <w:r w:rsidRPr="006A0EE6">
        <w:rPr>
          <w:rFonts w:ascii="Times New Roman" w:hAnsi="Times New Roman" w:cs="Times New Roman"/>
          <w:sz w:val="24"/>
          <w:szCs w:val="24"/>
          <w:lang w:val="es-419"/>
        </w:rPr>
        <w:t>” a “</w:t>
      </w:r>
      <w:r w:rsidRPr="006A0EE6">
        <w:rPr>
          <w:rFonts w:ascii="Times New Roman" w:hAnsi="Times New Roman" w:cs="Times New Roman"/>
          <w:i/>
          <w:sz w:val="24"/>
          <w:szCs w:val="24"/>
          <w:lang w:val="es-419"/>
        </w:rPr>
        <w:t>ser asistido de abogado, que se le proporcionará de oficio en su caso, y a comunicarse reservadamente con el mismo, incluso fuera del horario general del centro, cuando la urgencia del caso lo justifique</w:t>
      </w:r>
      <w:r w:rsidRPr="006A0EE6">
        <w:rPr>
          <w:rFonts w:ascii="Times New Roman" w:hAnsi="Times New Roman" w:cs="Times New Roman"/>
          <w:sz w:val="24"/>
          <w:szCs w:val="24"/>
          <w:lang w:val="es-419"/>
        </w:rPr>
        <w:t xml:space="preserve">” (16.2.h), y con quién deberá poder comunicarse libremente (41.1) en dependencias privadas (15.4 y 42.6), así como el derecho a intérprete durante todo el internamiento (16.2.j). Igualmente, los centros deben disponer de servicios de asistencia social con personal formado </w:t>
      </w:r>
      <w:r w:rsidR="008843DB">
        <w:rPr>
          <w:rFonts w:ascii="Times New Roman" w:hAnsi="Times New Roman" w:cs="Times New Roman"/>
          <w:sz w:val="24"/>
          <w:szCs w:val="24"/>
          <w:lang w:val="es-419"/>
        </w:rPr>
        <w:t xml:space="preserve">en </w:t>
      </w:r>
      <w:r w:rsidRPr="006A0EE6">
        <w:rPr>
          <w:rFonts w:ascii="Times New Roman" w:hAnsi="Times New Roman" w:cs="Times New Roman"/>
          <w:sz w:val="24"/>
          <w:szCs w:val="24"/>
          <w:lang w:val="es-419"/>
        </w:rPr>
        <w:t>“</w:t>
      </w:r>
      <w:r w:rsidRPr="006A0EE6">
        <w:rPr>
          <w:rFonts w:ascii="Times New Roman" w:hAnsi="Times New Roman" w:cs="Times New Roman"/>
          <w:i/>
          <w:sz w:val="24"/>
          <w:szCs w:val="24"/>
          <w:lang w:val="es-419"/>
        </w:rPr>
        <w:t xml:space="preserve">derechos humanos, extranjería, protección internacional, mediación intercultural, </w:t>
      </w:r>
      <w:r w:rsidR="008843DB">
        <w:rPr>
          <w:rFonts w:ascii="Times New Roman" w:hAnsi="Times New Roman" w:cs="Times New Roman"/>
          <w:i/>
          <w:sz w:val="24"/>
          <w:szCs w:val="24"/>
          <w:lang w:val="es-419"/>
        </w:rPr>
        <w:t>(…)</w:t>
      </w:r>
      <w:r w:rsidRPr="006A0EE6">
        <w:rPr>
          <w:rFonts w:ascii="Times New Roman" w:hAnsi="Times New Roman" w:cs="Times New Roman"/>
          <w:i/>
          <w:sz w:val="24"/>
          <w:szCs w:val="24"/>
          <w:lang w:val="es-419"/>
        </w:rPr>
        <w:t xml:space="preserve"> enfoque de género y violencia contra las mujeres</w:t>
      </w:r>
      <w:r w:rsidRPr="006A0EE6">
        <w:rPr>
          <w:rFonts w:ascii="Times New Roman" w:hAnsi="Times New Roman" w:cs="Times New Roman"/>
          <w:sz w:val="24"/>
          <w:szCs w:val="24"/>
          <w:lang w:val="es-419"/>
        </w:rPr>
        <w:t>” (15.2), y permitir a las “</w:t>
      </w:r>
      <w:r w:rsidRPr="006A0EE6">
        <w:rPr>
          <w:rFonts w:ascii="Times New Roman" w:hAnsi="Times New Roman" w:cs="Times New Roman"/>
          <w:i/>
          <w:sz w:val="24"/>
          <w:szCs w:val="24"/>
          <w:lang w:val="es-419"/>
        </w:rPr>
        <w:t>organizaciones (…) y organismos nacionales, internacionales y no gubernamentales de protección de inmigrantes</w:t>
      </w:r>
      <w:r w:rsidRPr="006A0EE6">
        <w:rPr>
          <w:rFonts w:ascii="Times New Roman" w:hAnsi="Times New Roman" w:cs="Times New Roman"/>
          <w:sz w:val="24"/>
          <w:szCs w:val="24"/>
          <w:lang w:val="es-419"/>
        </w:rPr>
        <w:t>” a entrar en contacto con ellos (16.2.l) previa autorización inicial del Director del centro (59 RCIE y 62.bis.1.j y 62.bis.es LOEX).</w:t>
      </w:r>
    </w:p>
    <w:p w:rsidR="00A406F0" w:rsidRPr="00B37CCF" w:rsidRDefault="0006615D"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6A0EE6">
        <w:rPr>
          <w:rFonts w:ascii="Times New Roman" w:hAnsi="Times New Roman" w:cs="Times New Roman"/>
          <w:sz w:val="24"/>
          <w:szCs w:val="24"/>
          <w:lang w:val="es-419"/>
        </w:rPr>
        <w:t xml:space="preserve">Aunque el personal del </w:t>
      </w:r>
      <w:r w:rsidR="003C67B5">
        <w:rPr>
          <w:rFonts w:ascii="Times New Roman" w:hAnsi="Times New Roman" w:cs="Times New Roman"/>
          <w:sz w:val="24"/>
          <w:szCs w:val="24"/>
          <w:lang w:val="es-419"/>
        </w:rPr>
        <w:t>CIE</w:t>
      </w:r>
      <w:r w:rsidRPr="006A0EE6">
        <w:rPr>
          <w:rFonts w:ascii="Times New Roman" w:hAnsi="Times New Roman" w:cs="Times New Roman"/>
          <w:sz w:val="24"/>
          <w:szCs w:val="24"/>
          <w:lang w:val="es-419"/>
        </w:rPr>
        <w:t xml:space="preserve"> tiene el deber de asegurar</w:t>
      </w:r>
      <w:r w:rsidR="003C67B5">
        <w:rPr>
          <w:rFonts w:ascii="Times New Roman" w:hAnsi="Times New Roman" w:cs="Times New Roman"/>
          <w:sz w:val="24"/>
          <w:szCs w:val="24"/>
          <w:lang w:val="es-419"/>
        </w:rPr>
        <w:t xml:space="preserve"> a los internos el acceso a la protección i</w:t>
      </w:r>
      <w:r w:rsidRPr="006A0EE6">
        <w:rPr>
          <w:rFonts w:ascii="Times New Roman" w:hAnsi="Times New Roman" w:cs="Times New Roman"/>
          <w:sz w:val="24"/>
          <w:szCs w:val="24"/>
          <w:lang w:val="es-419"/>
        </w:rPr>
        <w:t xml:space="preserve">nternacional (16.2.c), siendo además las dos materias -CIE y asilo- competencia del Cuerpo Nacional de Policía, la previa asistencia social, letrada, y/o por parte de ONG son derechos orientados a garantizar que su ejercicio sea efectivo y sin restricción. En caso de que </w:t>
      </w:r>
      <w:r w:rsidR="003C67B5">
        <w:rPr>
          <w:rFonts w:ascii="Times New Roman" w:hAnsi="Times New Roman" w:cs="Times New Roman"/>
          <w:sz w:val="24"/>
          <w:szCs w:val="24"/>
          <w:lang w:val="es-419"/>
        </w:rPr>
        <w:t>la persona</w:t>
      </w:r>
      <w:r w:rsidRPr="006A0EE6">
        <w:rPr>
          <w:rFonts w:ascii="Times New Roman" w:hAnsi="Times New Roman" w:cs="Times New Roman"/>
          <w:sz w:val="24"/>
          <w:szCs w:val="24"/>
          <w:lang w:val="es-419"/>
        </w:rPr>
        <w:t xml:space="preserve"> extranjer</w:t>
      </w:r>
      <w:r w:rsidR="003C67B5">
        <w:rPr>
          <w:rFonts w:ascii="Times New Roman" w:hAnsi="Times New Roman" w:cs="Times New Roman"/>
          <w:sz w:val="24"/>
          <w:szCs w:val="24"/>
          <w:lang w:val="es-419"/>
        </w:rPr>
        <w:t>a</w:t>
      </w:r>
      <w:r w:rsidRPr="006A0EE6">
        <w:rPr>
          <w:rFonts w:ascii="Times New Roman" w:hAnsi="Times New Roman" w:cs="Times New Roman"/>
          <w:sz w:val="24"/>
          <w:szCs w:val="24"/>
          <w:lang w:val="es-419"/>
        </w:rPr>
        <w:t xml:space="preserve"> estime vulnerados alguno de los anteriores derechos, el artículo 2.3 RCIE establece que “</w:t>
      </w:r>
      <w:r w:rsidRPr="006A0EE6">
        <w:rPr>
          <w:rFonts w:ascii="Times New Roman" w:hAnsi="Times New Roman" w:cs="Times New Roman"/>
          <w:i/>
          <w:sz w:val="24"/>
          <w:szCs w:val="24"/>
          <w:lang w:val="es-419"/>
        </w:rPr>
        <w:t xml:space="preserve">al Juez competente </w:t>
      </w:r>
      <w:r w:rsidR="0051557A">
        <w:rPr>
          <w:rFonts w:ascii="Times New Roman" w:hAnsi="Times New Roman" w:cs="Times New Roman"/>
          <w:i/>
          <w:sz w:val="24"/>
          <w:szCs w:val="24"/>
          <w:lang w:val="es-419"/>
        </w:rPr>
        <w:t>(…)</w:t>
      </w:r>
      <w:r w:rsidRPr="006A0EE6">
        <w:rPr>
          <w:rFonts w:ascii="Times New Roman" w:hAnsi="Times New Roman" w:cs="Times New Roman"/>
          <w:i/>
          <w:sz w:val="24"/>
          <w:szCs w:val="24"/>
          <w:lang w:val="es-419"/>
        </w:rPr>
        <w:t xml:space="preserve"> le corresponde conocer, sin ulterior recurso, de las peticiones y quejas que planteen los internos en cuanto afecten a sus derechos fundamentales</w:t>
      </w:r>
      <w:r w:rsidRPr="006A0EE6">
        <w:rPr>
          <w:rFonts w:ascii="Times New Roman" w:hAnsi="Times New Roman" w:cs="Times New Roman"/>
          <w:sz w:val="24"/>
          <w:szCs w:val="24"/>
          <w:lang w:val="es-419"/>
        </w:rPr>
        <w:t>”.</w:t>
      </w:r>
    </w:p>
    <w:p w:rsidR="0006615D" w:rsidRPr="00B37CCF" w:rsidRDefault="0006615D"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B37CCF">
        <w:rPr>
          <w:rFonts w:ascii="Times New Roman" w:hAnsi="Times New Roman" w:cs="Times New Roman"/>
          <w:sz w:val="24"/>
          <w:szCs w:val="24"/>
          <w:lang w:val="es-419"/>
        </w:rPr>
        <w:t xml:space="preserve">A pesar de lo anterior, los </w:t>
      </w:r>
      <w:r w:rsidR="00864F6A" w:rsidRPr="00B37CCF">
        <w:rPr>
          <w:rFonts w:ascii="Times New Roman" w:hAnsi="Times New Roman" w:cs="Times New Roman"/>
          <w:sz w:val="24"/>
          <w:szCs w:val="24"/>
          <w:lang w:val="es-419"/>
        </w:rPr>
        <w:t>CIE</w:t>
      </w:r>
      <w:r w:rsidR="001F0CB3" w:rsidRPr="00B37CCF">
        <w:rPr>
          <w:rFonts w:ascii="Times New Roman" w:hAnsi="Times New Roman" w:cs="Times New Roman"/>
          <w:sz w:val="24"/>
          <w:szCs w:val="24"/>
          <w:lang w:val="es-419"/>
        </w:rPr>
        <w:t xml:space="preserve"> </w:t>
      </w:r>
      <w:r w:rsidRPr="00B37CCF">
        <w:rPr>
          <w:rFonts w:ascii="Times New Roman" w:hAnsi="Times New Roman" w:cs="Times New Roman"/>
          <w:sz w:val="24"/>
          <w:szCs w:val="24"/>
          <w:lang w:val="es-419"/>
        </w:rPr>
        <w:t xml:space="preserve">siguen siendo instituciones opacas, a las que el personal de </w:t>
      </w:r>
      <w:r w:rsidR="008843DB">
        <w:rPr>
          <w:rFonts w:ascii="Times New Roman" w:hAnsi="Times New Roman" w:cs="Times New Roman"/>
          <w:sz w:val="24"/>
          <w:szCs w:val="24"/>
          <w:lang w:val="es-419"/>
        </w:rPr>
        <w:t xml:space="preserve">las </w:t>
      </w:r>
      <w:r w:rsidRPr="00B37CCF">
        <w:rPr>
          <w:rFonts w:ascii="Times New Roman" w:hAnsi="Times New Roman" w:cs="Times New Roman"/>
          <w:sz w:val="24"/>
          <w:szCs w:val="24"/>
          <w:lang w:val="es-419"/>
        </w:rPr>
        <w:t xml:space="preserve">ONG tiene un acceso mediado por el permiso de sus directores. Los servicios de asistencia sanitaria no se encomiendan a funcionarios </w:t>
      </w:r>
      <w:r w:rsidR="008843DB" w:rsidRPr="00B37CCF">
        <w:rPr>
          <w:rFonts w:ascii="Times New Roman" w:hAnsi="Times New Roman" w:cs="Times New Roman"/>
          <w:sz w:val="24"/>
          <w:szCs w:val="24"/>
          <w:lang w:val="es-419"/>
        </w:rPr>
        <w:t>públicos,</w:t>
      </w:r>
      <w:r w:rsidRPr="00B37CCF">
        <w:rPr>
          <w:rFonts w:ascii="Times New Roman" w:hAnsi="Times New Roman" w:cs="Times New Roman"/>
          <w:sz w:val="24"/>
          <w:szCs w:val="24"/>
          <w:lang w:val="es-419"/>
        </w:rPr>
        <w:t xml:space="preserve"> sino que se trata de subcontrata</w:t>
      </w:r>
      <w:r w:rsidR="008843DB">
        <w:rPr>
          <w:rFonts w:ascii="Times New Roman" w:hAnsi="Times New Roman" w:cs="Times New Roman"/>
          <w:sz w:val="24"/>
          <w:szCs w:val="24"/>
          <w:lang w:val="es-419"/>
        </w:rPr>
        <w:t>cione</w:t>
      </w:r>
      <w:r w:rsidRPr="00B37CCF">
        <w:rPr>
          <w:rFonts w:ascii="Times New Roman" w:hAnsi="Times New Roman" w:cs="Times New Roman"/>
          <w:sz w:val="24"/>
          <w:szCs w:val="24"/>
          <w:lang w:val="es-419"/>
        </w:rPr>
        <w:t>s, lo que incentiva que se aplique una lógica donde el cliente es la administración y no el interno a quien se presta asistencia.</w:t>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Durante la detención, ¿las personas detenidas tienen acceso a la comunicación con sus familias, asesores legales y sus propias autoridades consulares? ¿Se les proporciona información sobre el proceso por el que están pasando?</w:t>
      </w:r>
    </w:p>
    <w:p w:rsidR="0006615D" w:rsidRPr="00147C75" w:rsidRDefault="0006615D"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147C75">
        <w:rPr>
          <w:rFonts w:ascii="Times New Roman" w:hAnsi="Times New Roman" w:cs="Times New Roman"/>
          <w:sz w:val="24"/>
          <w:szCs w:val="24"/>
          <w:lang w:val="es-419"/>
        </w:rPr>
        <w:t xml:space="preserve">En principio los internos deben tener acceso a comunicación presencial con sus familias, siempre constreñida a determinados horarios. Frecuentemente se priva a los internos de sus teléfonos móviles alegando razones securitarias. </w:t>
      </w:r>
      <w:r w:rsidR="008843DB">
        <w:rPr>
          <w:rFonts w:ascii="Times New Roman" w:hAnsi="Times New Roman" w:cs="Times New Roman"/>
          <w:sz w:val="24"/>
          <w:szCs w:val="24"/>
          <w:lang w:val="es-419"/>
        </w:rPr>
        <w:t>España es Estado Parte del Convenio de Viena sobre Relaciones Consulares (</w:t>
      </w:r>
      <w:hyperlink r:id="rId12" w:history="1">
        <w:r w:rsidR="008843DB" w:rsidRPr="008843DB">
          <w:rPr>
            <w:rStyle w:val="Hyperlink"/>
            <w:rFonts w:ascii="Times New Roman" w:hAnsi="Times New Roman" w:cs="Times New Roman"/>
            <w:sz w:val="24"/>
            <w:szCs w:val="24"/>
            <w:lang w:val="es-419"/>
          </w:rPr>
          <w:t>BOE-A-1970-257</w:t>
        </w:r>
      </w:hyperlink>
      <w:r w:rsidR="008843DB">
        <w:rPr>
          <w:rFonts w:ascii="Times New Roman" w:hAnsi="Times New Roman" w:cs="Times New Roman"/>
          <w:sz w:val="24"/>
          <w:szCs w:val="24"/>
          <w:lang w:val="es-419"/>
        </w:rPr>
        <w:t xml:space="preserve">) por lo que está obligado a dar aviso a las autoridades consulares del país de nacionalidad de la persona detenida, aunque en ocasiones hay dificultades para ello. </w:t>
      </w:r>
      <w:r w:rsidRPr="00147C75">
        <w:rPr>
          <w:rFonts w:ascii="Times New Roman" w:hAnsi="Times New Roman" w:cs="Times New Roman"/>
          <w:sz w:val="24"/>
          <w:szCs w:val="24"/>
          <w:lang w:val="es-419"/>
        </w:rPr>
        <w:t>Los asesores legales tienen acceso a sus clientes en horario</w:t>
      </w:r>
      <w:r w:rsidR="00147C75" w:rsidRPr="00147C75">
        <w:rPr>
          <w:rFonts w:ascii="Times New Roman" w:hAnsi="Times New Roman" w:cs="Times New Roman"/>
          <w:sz w:val="24"/>
          <w:szCs w:val="24"/>
          <w:lang w:val="es-419"/>
        </w:rPr>
        <w:t xml:space="preserve">s tasados. En muchas ocasiones </w:t>
      </w:r>
      <w:r w:rsidRPr="00147C75">
        <w:rPr>
          <w:rFonts w:ascii="Times New Roman" w:hAnsi="Times New Roman" w:cs="Times New Roman"/>
          <w:sz w:val="24"/>
          <w:szCs w:val="24"/>
          <w:lang w:val="es-419"/>
        </w:rPr>
        <w:t>l</w:t>
      </w:r>
      <w:r w:rsidR="00147C75" w:rsidRPr="00147C75">
        <w:rPr>
          <w:rFonts w:ascii="Times New Roman" w:hAnsi="Times New Roman" w:cs="Times New Roman"/>
          <w:sz w:val="24"/>
          <w:szCs w:val="24"/>
          <w:lang w:val="es-419"/>
        </w:rPr>
        <w:t>a persona</w:t>
      </w:r>
      <w:r w:rsidRPr="00147C75">
        <w:rPr>
          <w:rFonts w:ascii="Times New Roman" w:hAnsi="Times New Roman" w:cs="Times New Roman"/>
          <w:sz w:val="24"/>
          <w:szCs w:val="24"/>
          <w:lang w:val="es-419"/>
        </w:rPr>
        <w:t xml:space="preserve"> extranjer</w:t>
      </w:r>
      <w:r w:rsidR="00147C75" w:rsidRPr="00147C75">
        <w:rPr>
          <w:rFonts w:ascii="Times New Roman" w:hAnsi="Times New Roman" w:cs="Times New Roman"/>
          <w:sz w:val="24"/>
          <w:szCs w:val="24"/>
          <w:lang w:val="es-419"/>
        </w:rPr>
        <w:t>a</w:t>
      </w:r>
      <w:r w:rsidRPr="00147C75">
        <w:rPr>
          <w:rFonts w:ascii="Times New Roman" w:hAnsi="Times New Roman" w:cs="Times New Roman"/>
          <w:sz w:val="24"/>
          <w:szCs w:val="24"/>
          <w:lang w:val="es-419"/>
        </w:rPr>
        <w:t xml:space="preserve"> está privad</w:t>
      </w:r>
      <w:r w:rsidR="00147C75" w:rsidRPr="00147C75">
        <w:rPr>
          <w:rFonts w:ascii="Times New Roman" w:hAnsi="Times New Roman" w:cs="Times New Roman"/>
          <w:sz w:val="24"/>
          <w:szCs w:val="24"/>
          <w:lang w:val="es-419"/>
        </w:rPr>
        <w:t>a</w:t>
      </w:r>
      <w:r w:rsidRPr="00147C75">
        <w:rPr>
          <w:rFonts w:ascii="Times New Roman" w:hAnsi="Times New Roman" w:cs="Times New Roman"/>
          <w:sz w:val="24"/>
          <w:szCs w:val="24"/>
          <w:lang w:val="es-419"/>
        </w:rPr>
        <w:t xml:space="preserve"> de libertad a muchos kilómetros del lugar en el que se ordenó su internamiento y donde se está tramitando su expediente de extranjería, no pudiendo acudir su letrado al centro por cuestiones de pura logística, lo que constituye una restricción habitual </w:t>
      </w:r>
      <w:r w:rsidR="00A25081" w:rsidRPr="00147C75">
        <w:rPr>
          <w:rFonts w:ascii="Times New Roman" w:hAnsi="Times New Roman" w:cs="Times New Roman"/>
          <w:sz w:val="24"/>
          <w:szCs w:val="24"/>
          <w:lang w:val="es-419"/>
        </w:rPr>
        <w:t>para e</w:t>
      </w:r>
      <w:r w:rsidRPr="00147C75">
        <w:rPr>
          <w:rFonts w:ascii="Times New Roman" w:hAnsi="Times New Roman" w:cs="Times New Roman"/>
          <w:sz w:val="24"/>
          <w:szCs w:val="24"/>
          <w:lang w:val="es-419"/>
        </w:rPr>
        <w:t>l acceso a la información.</w:t>
      </w:r>
      <w:r w:rsidR="00745582" w:rsidRPr="00147C75">
        <w:rPr>
          <w:rFonts w:ascii="Times New Roman" w:hAnsi="Times New Roman" w:cs="Times New Roman"/>
          <w:sz w:val="24"/>
          <w:szCs w:val="24"/>
          <w:lang w:val="es-419"/>
        </w:rPr>
        <w:t xml:space="preserve"> Esta problemática fue señalada por el Defensor del Pueblo en su informe anual de 2014.</w:t>
      </w:r>
      <w:r w:rsidR="00745582" w:rsidRPr="00147C75">
        <w:rPr>
          <w:rStyle w:val="FootnoteReference"/>
          <w:rFonts w:ascii="Times New Roman" w:hAnsi="Times New Roman" w:cs="Times New Roman"/>
          <w:sz w:val="24"/>
          <w:szCs w:val="24"/>
          <w:lang w:val="es-419"/>
        </w:rPr>
        <w:footnoteReference w:id="1"/>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¿Se satisfacen las necesidades particulares de las mujeres y otros grupos de personas en situación de vulnerabilidad? ¿Se adopta un enfoque diferenciado para los casos de solicitantes de asilo, víctimas de tortura y trata, y otros migrantes que se encuentran en una situación particularmente vulnerable?</w:t>
      </w:r>
    </w:p>
    <w:p w:rsidR="005E73C4" w:rsidRPr="00147C75" w:rsidRDefault="00356282"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1834A5">
        <w:rPr>
          <w:rFonts w:ascii="Times New Roman" w:hAnsi="Times New Roman" w:cs="Times New Roman"/>
          <w:sz w:val="24"/>
          <w:szCs w:val="24"/>
          <w:lang w:val="es-419"/>
        </w:rPr>
        <w:t xml:space="preserve">La </w:t>
      </w:r>
      <w:r w:rsidR="00F8204F" w:rsidRPr="001834A5">
        <w:rPr>
          <w:rFonts w:ascii="Times New Roman" w:hAnsi="Times New Roman" w:cs="Times New Roman"/>
          <w:sz w:val="24"/>
          <w:szCs w:val="24"/>
          <w:lang w:val="es-419"/>
        </w:rPr>
        <w:t>LOEX</w:t>
      </w:r>
      <w:r w:rsidR="00A73892" w:rsidRPr="001834A5">
        <w:rPr>
          <w:rFonts w:ascii="Times New Roman" w:hAnsi="Times New Roman" w:cs="Times New Roman"/>
          <w:sz w:val="24"/>
          <w:szCs w:val="24"/>
          <w:lang w:val="es-419"/>
        </w:rPr>
        <w:t xml:space="preserve"> incluye referencias a mujeres migrantes víctimas de violencia de género (art.</w:t>
      </w:r>
      <w:r w:rsidR="00A73892" w:rsidRPr="00147C75">
        <w:rPr>
          <w:rFonts w:ascii="Times New Roman" w:hAnsi="Times New Roman" w:cs="Times New Roman"/>
          <w:sz w:val="24"/>
          <w:szCs w:val="24"/>
          <w:lang w:val="es-419"/>
        </w:rPr>
        <w:t xml:space="preserve"> 31.bis), víctimas de trata (art. 59.bis), y se establecen unas condiciones particulares para personas apátridas, indocumentadas y refugiadas (art. 34). Asimismo, en el RCIE, se establece el derecho a un seguimiento médico especial para mujeres embarazadas (art. 16.2, apartado f). No obstante, en la práctica, la información en este ámbito, así como la identificación de potenciales solicitantes de protección (asilo, trata y menores) es una cuestión pendiente. </w:t>
      </w:r>
      <w:r w:rsidR="003E6963">
        <w:rPr>
          <w:rFonts w:ascii="Times New Roman" w:hAnsi="Times New Roman" w:cs="Times New Roman"/>
          <w:sz w:val="24"/>
          <w:szCs w:val="24"/>
          <w:lang w:val="es-419"/>
        </w:rPr>
        <w:t>También lo es la adecuada identificación de</w:t>
      </w:r>
      <w:r w:rsidR="00A73892" w:rsidRPr="00147C75">
        <w:rPr>
          <w:rFonts w:ascii="Times New Roman" w:hAnsi="Times New Roman" w:cs="Times New Roman"/>
          <w:sz w:val="24"/>
          <w:szCs w:val="24"/>
          <w:lang w:val="es-419"/>
        </w:rPr>
        <w:t xml:space="preserve"> víctimas de trata, potenciales solicitantes de asilo, víctimas de tortura ni menores no acompañados. Además, si bien</w:t>
      </w:r>
      <w:r w:rsidR="003E6963">
        <w:rPr>
          <w:rFonts w:ascii="Times New Roman" w:hAnsi="Times New Roman" w:cs="Times New Roman"/>
          <w:sz w:val="24"/>
          <w:szCs w:val="24"/>
          <w:lang w:val="es-419"/>
        </w:rPr>
        <w:t xml:space="preserve"> jurídicamente</w:t>
      </w:r>
      <w:r w:rsidR="00A73892" w:rsidRPr="00147C75">
        <w:rPr>
          <w:rFonts w:ascii="Times New Roman" w:hAnsi="Times New Roman" w:cs="Times New Roman"/>
          <w:sz w:val="24"/>
          <w:szCs w:val="24"/>
          <w:lang w:val="es-419"/>
        </w:rPr>
        <w:t xml:space="preserve"> las personas solicitantes de asil</w:t>
      </w:r>
      <w:r w:rsidR="00A25081" w:rsidRPr="00147C75">
        <w:rPr>
          <w:rFonts w:ascii="Times New Roman" w:hAnsi="Times New Roman" w:cs="Times New Roman"/>
          <w:sz w:val="24"/>
          <w:szCs w:val="24"/>
          <w:lang w:val="es-419"/>
        </w:rPr>
        <w:t>o no pueden ser internad</w:t>
      </w:r>
      <w:r w:rsidR="00A73892" w:rsidRPr="00147C75">
        <w:rPr>
          <w:rFonts w:ascii="Times New Roman" w:hAnsi="Times New Roman" w:cs="Times New Roman"/>
          <w:sz w:val="24"/>
          <w:szCs w:val="24"/>
          <w:lang w:val="es-419"/>
        </w:rPr>
        <w:t>a</w:t>
      </w:r>
      <w:r w:rsidR="00A25081" w:rsidRPr="00147C75">
        <w:rPr>
          <w:rFonts w:ascii="Times New Roman" w:hAnsi="Times New Roman" w:cs="Times New Roman"/>
          <w:sz w:val="24"/>
          <w:szCs w:val="24"/>
          <w:lang w:val="es-419"/>
        </w:rPr>
        <w:t xml:space="preserve">s en </w:t>
      </w:r>
      <w:r w:rsidR="003E6963">
        <w:rPr>
          <w:rFonts w:ascii="Times New Roman" w:hAnsi="Times New Roman" w:cs="Times New Roman"/>
          <w:sz w:val="24"/>
          <w:szCs w:val="24"/>
          <w:lang w:val="es-419"/>
        </w:rPr>
        <w:t>C</w:t>
      </w:r>
      <w:r w:rsidR="00A25081" w:rsidRPr="00147C75">
        <w:rPr>
          <w:rFonts w:ascii="Times New Roman" w:hAnsi="Times New Roman" w:cs="Times New Roman"/>
          <w:sz w:val="24"/>
          <w:szCs w:val="24"/>
          <w:lang w:val="es-419"/>
        </w:rPr>
        <w:t xml:space="preserve">entros desde el momento en el que se ha </w:t>
      </w:r>
      <w:r w:rsidR="00A73892" w:rsidRPr="00147C75">
        <w:rPr>
          <w:rFonts w:ascii="Times New Roman" w:hAnsi="Times New Roman" w:cs="Times New Roman"/>
          <w:sz w:val="24"/>
          <w:szCs w:val="24"/>
          <w:lang w:val="es-419"/>
        </w:rPr>
        <w:t xml:space="preserve">admitido a trámite su solicitud, </w:t>
      </w:r>
      <w:r w:rsidR="00A25081" w:rsidRPr="00147C75">
        <w:rPr>
          <w:rFonts w:ascii="Times New Roman" w:hAnsi="Times New Roman" w:cs="Times New Roman"/>
          <w:sz w:val="24"/>
          <w:szCs w:val="24"/>
          <w:lang w:val="es-419"/>
        </w:rPr>
        <w:t xml:space="preserve">no es habitual que se facilite información relativa a la </w:t>
      </w:r>
      <w:r w:rsidR="00A73892" w:rsidRPr="00147C75">
        <w:rPr>
          <w:rFonts w:ascii="Times New Roman" w:hAnsi="Times New Roman" w:cs="Times New Roman"/>
          <w:sz w:val="24"/>
          <w:szCs w:val="24"/>
          <w:lang w:val="es-419"/>
        </w:rPr>
        <w:t>p</w:t>
      </w:r>
      <w:r w:rsidR="00A25081" w:rsidRPr="00147C75">
        <w:rPr>
          <w:rFonts w:ascii="Times New Roman" w:hAnsi="Times New Roman" w:cs="Times New Roman"/>
          <w:sz w:val="24"/>
          <w:szCs w:val="24"/>
          <w:lang w:val="es-419"/>
        </w:rPr>
        <w:t xml:space="preserve">rotección </w:t>
      </w:r>
      <w:r w:rsidR="00A73892" w:rsidRPr="00147C75">
        <w:rPr>
          <w:rFonts w:ascii="Times New Roman" w:hAnsi="Times New Roman" w:cs="Times New Roman"/>
          <w:sz w:val="24"/>
          <w:szCs w:val="24"/>
          <w:lang w:val="es-419"/>
        </w:rPr>
        <w:t>i</w:t>
      </w:r>
      <w:r w:rsidR="00A25081" w:rsidRPr="00147C75">
        <w:rPr>
          <w:rFonts w:ascii="Times New Roman" w:hAnsi="Times New Roman" w:cs="Times New Roman"/>
          <w:sz w:val="24"/>
          <w:szCs w:val="24"/>
          <w:lang w:val="es-419"/>
        </w:rPr>
        <w:t>nternacional dentro del Centro y</w:t>
      </w:r>
      <w:r w:rsidR="00A73892" w:rsidRPr="00147C75">
        <w:rPr>
          <w:rFonts w:ascii="Times New Roman" w:hAnsi="Times New Roman" w:cs="Times New Roman"/>
          <w:sz w:val="24"/>
          <w:szCs w:val="24"/>
          <w:lang w:val="es-419"/>
        </w:rPr>
        <w:t>,</w:t>
      </w:r>
      <w:r w:rsidR="00A25081" w:rsidRPr="00147C75">
        <w:rPr>
          <w:rFonts w:ascii="Times New Roman" w:hAnsi="Times New Roman" w:cs="Times New Roman"/>
          <w:sz w:val="24"/>
          <w:szCs w:val="24"/>
          <w:lang w:val="es-419"/>
        </w:rPr>
        <w:t xml:space="preserve"> en ocasiones</w:t>
      </w:r>
      <w:r w:rsidR="00A73892" w:rsidRPr="00147C75">
        <w:rPr>
          <w:rFonts w:ascii="Times New Roman" w:hAnsi="Times New Roman" w:cs="Times New Roman"/>
          <w:sz w:val="24"/>
          <w:szCs w:val="24"/>
          <w:lang w:val="es-419"/>
        </w:rPr>
        <w:t>,</w:t>
      </w:r>
      <w:r w:rsidR="00A25081" w:rsidRPr="00147C75">
        <w:rPr>
          <w:rFonts w:ascii="Times New Roman" w:hAnsi="Times New Roman" w:cs="Times New Roman"/>
          <w:sz w:val="24"/>
          <w:szCs w:val="24"/>
          <w:lang w:val="es-419"/>
        </w:rPr>
        <w:t xml:space="preserve"> se restringe el acceso al procedimiento. </w:t>
      </w:r>
      <w:r w:rsidR="007B4439" w:rsidRPr="00147C75">
        <w:rPr>
          <w:rFonts w:ascii="Times New Roman" w:hAnsi="Times New Roman" w:cs="Times New Roman"/>
          <w:sz w:val="24"/>
          <w:szCs w:val="24"/>
          <w:lang w:val="es-419"/>
        </w:rPr>
        <w:t>Por otra parte, las personas que solicitan asilo son consideradas casi automáticam</w:t>
      </w:r>
      <w:r w:rsidR="00EC24F0" w:rsidRPr="00147C75">
        <w:rPr>
          <w:rFonts w:ascii="Times New Roman" w:hAnsi="Times New Roman" w:cs="Times New Roman"/>
          <w:sz w:val="24"/>
          <w:szCs w:val="24"/>
          <w:lang w:val="es-419"/>
        </w:rPr>
        <w:t>ente como migrantes económicos</w:t>
      </w:r>
      <w:r w:rsidR="007B4439" w:rsidRPr="00147C75">
        <w:rPr>
          <w:rFonts w:ascii="Times New Roman" w:hAnsi="Times New Roman" w:cs="Times New Roman"/>
          <w:sz w:val="24"/>
          <w:szCs w:val="24"/>
          <w:lang w:val="es-419"/>
        </w:rPr>
        <w:t>.</w:t>
      </w:r>
      <w:r w:rsidR="00EB4C2B" w:rsidRPr="00147C75">
        <w:rPr>
          <w:rFonts w:ascii="Times New Roman" w:hAnsi="Times New Roman" w:cs="Times New Roman"/>
          <w:sz w:val="24"/>
          <w:szCs w:val="24"/>
          <w:lang w:val="es-419"/>
        </w:rPr>
        <w:t xml:space="preserve"> Asimismo, en la práctica, </w:t>
      </w:r>
      <w:r w:rsidR="003E6963">
        <w:rPr>
          <w:rFonts w:ascii="Times New Roman" w:hAnsi="Times New Roman" w:cs="Times New Roman"/>
          <w:sz w:val="24"/>
          <w:szCs w:val="24"/>
          <w:lang w:val="es-419"/>
        </w:rPr>
        <w:t>existen</w:t>
      </w:r>
      <w:r w:rsidR="00EB4C2B" w:rsidRPr="00147C75">
        <w:rPr>
          <w:rFonts w:ascii="Times New Roman" w:hAnsi="Times New Roman" w:cs="Times New Roman"/>
          <w:sz w:val="24"/>
          <w:szCs w:val="24"/>
          <w:lang w:val="es-419"/>
        </w:rPr>
        <w:t xml:space="preserve"> víctimas de trata procedentes de la Unión Europea, las cuales se encuentran excluidas del sistema de asilo, y a quienes no se les puede aplicar el régimen general de extranjería, por lo que, en teoría, no deberían ser detenidas en los CIE.</w:t>
      </w:r>
      <w:r w:rsidR="00FE3377">
        <w:rPr>
          <w:rStyle w:val="FootnoteReference"/>
          <w:rFonts w:ascii="Times New Roman" w:hAnsi="Times New Roman" w:cs="Times New Roman"/>
          <w:sz w:val="24"/>
          <w:szCs w:val="24"/>
          <w:lang w:val="es-419"/>
        </w:rPr>
        <w:footnoteReference w:id="2"/>
      </w:r>
      <w:r w:rsidR="00EB4C2B" w:rsidRPr="00147C75">
        <w:rPr>
          <w:rFonts w:ascii="Times New Roman" w:hAnsi="Times New Roman" w:cs="Times New Roman"/>
          <w:sz w:val="24"/>
          <w:szCs w:val="24"/>
          <w:lang w:val="es-419"/>
        </w:rPr>
        <w:t xml:space="preserve"> </w:t>
      </w:r>
    </w:p>
    <w:p w:rsidR="007B0EF9" w:rsidRPr="00D30D0C" w:rsidRDefault="007B0EF9" w:rsidP="009A1772">
      <w:pPr>
        <w:pStyle w:val="ListParagraph"/>
        <w:numPr>
          <w:ilvl w:val="0"/>
          <w:numId w:val="1"/>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¿El procedimiento de detención tiene alguna particularidad cuando hay niños, niñas o adolescentes involucrados?</w:t>
      </w:r>
    </w:p>
    <w:p w:rsidR="00E2413F" w:rsidRPr="00E2413F" w:rsidRDefault="00DC00A2"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E2413F">
        <w:rPr>
          <w:rFonts w:ascii="Times New Roman" w:hAnsi="Times New Roman" w:cs="Times New Roman"/>
          <w:sz w:val="24"/>
          <w:szCs w:val="24"/>
          <w:lang w:val="es-419"/>
        </w:rPr>
        <w:t xml:space="preserve">No puede acordarse el internamiento de menores en </w:t>
      </w:r>
      <w:r>
        <w:rPr>
          <w:rFonts w:ascii="Times New Roman" w:hAnsi="Times New Roman" w:cs="Times New Roman"/>
          <w:sz w:val="24"/>
          <w:szCs w:val="24"/>
          <w:lang w:val="es-419"/>
        </w:rPr>
        <w:t>los CIE</w:t>
      </w:r>
      <w:r w:rsidRPr="00E2413F">
        <w:rPr>
          <w:rFonts w:ascii="Times New Roman" w:hAnsi="Times New Roman" w:cs="Times New Roman"/>
          <w:sz w:val="24"/>
          <w:szCs w:val="24"/>
          <w:lang w:val="es-419"/>
        </w:rPr>
        <w:t>.</w:t>
      </w:r>
      <w:r>
        <w:rPr>
          <w:rFonts w:ascii="Times New Roman" w:hAnsi="Times New Roman" w:cs="Times New Roman"/>
          <w:sz w:val="24"/>
          <w:szCs w:val="24"/>
          <w:lang w:val="es-419"/>
        </w:rPr>
        <w:t xml:space="preserve"> </w:t>
      </w:r>
      <w:r w:rsidR="00E2413F">
        <w:rPr>
          <w:rFonts w:ascii="Times New Roman" w:hAnsi="Times New Roman" w:cs="Times New Roman"/>
          <w:sz w:val="24"/>
          <w:szCs w:val="24"/>
        </w:rPr>
        <w:t>La LOEX</w:t>
      </w:r>
      <w:r>
        <w:rPr>
          <w:rFonts w:ascii="Times New Roman" w:hAnsi="Times New Roman" w:cs="Times New Roman"/>
          <w:sz w:val="24"/>
          <w:szCs w:val="24"/>
        </w:rPr>
        <w:t xml:space="preserve">, en su artículo 35, </w:t>
      </w:r>
      <w:r w:rsidR="00D80424" w:rsidRPr="00B37CCF">
        <w:rPr>
          <w:rFonts w:ascii="Times New Roman" w:hAnsi="Times New Roman" w:cs="Times New Roman"/>
          <w:sz w:val="24"/>
          <w:szCs w:val="24"/>
        </w:rPr>
        <w:t xml:space="preserve">establece </w:t>
      </w:r>
      <w:r w:rsidR="00E2413F">
        <w:rPr>
          <w:rFonts w:ascii="Times New Roman" w:hAnsi="Times New Roman" w:cs="Times New Roman"/>
          <w:sz w:val="24"/>
          <w:szCs w:val="24"/>
        </w:rPr>
        <w:t>que</w:t>
      </w:r>
      <w:r w:rsidR="00D80424" w:rsidRPr="00B37CCF">
        <w:rPr>
          <w:rFonts w:ascii="Times New Roman" w:hAnsi="Times New Roman" w:cs="Times New Roman"/>
          <w:sz w:val="24"/>
          <w:szCs w:val="24"/>
        </w:rPr>
        <w:t xml:space="preserve"> “</w:t>
      </w:r>
      <w:r w:rsidR="00D80424" w:rsidRPr="00B37CCF">
        <w:rPr>
          <w:rStyle w:val="Hyperlink1"/>
          <w:rFonts w:ascii="Times New Roman" w:hAnsi="Times New Roman" w:cs="Times New Roman"/>
          <w:sz w:val="24"/>
          <w:szCs w:val="24"/>
        </w:rPr>
        <w:t>determinada la edad, si se tratase de un menor, el Ministerio Fiscal lo pondrá a disposición de los servicios competentes de protección de menores de la Comunidad Autónoma en la que se halle”.</w:t>
      </w:r>
      <w:r w:rsidR="00D80424" w:rsidRPr="00B37CCF">
        <w:rPr>
          <w:rFonts w:ascii="Times New Roman" w:hAnsi="Times New Roman" w:cs="Times New Roman"/>
          <w:sz w:val="24"/>
          <w:szCs w:val="24"/>
        </w:rPr>
        <w:t xml:space="preserve"> </w:t>
      </w:r>
    </w:p>
    <w:p w:rsidR="00D80424" w:rsidRPr="00B37CCF" w:rsidRDefault="00E2413F" w:rsidP="009A1772">
      <w:pPr>
        <w:pStyle w:val="Cuerpo"/>
        <w:spacing w:before="120" w:after="120" w:line="264" w:lineRule="auto"/>
        <w:jc w:val="both"/>
        <w:rPr>
          <w:rStyle w:val="Hyperlink1"/>
          <w:rFonts w:ascii="Times New Roman" w:eastAsia="Arial" w:hAnsi="Times New Roman" w:cs="Times New Roman"/>
          <w:sz w:val="24"/>
          <w:szCs w:val="24"/>
        </w:rPr>
      </w:pPr>
      <w:r>
        <w:rPr>
          <w:rFonts w:ascii="Times New Roman" w:hAnsi="Times New Roman" w:cs="Times New Roman"/>
          <w:sz w:val="24"/>
          <w:szCs w:val="24"/>
          <w:lang w:val="es-419"/>
        </w:rPr>
        <w:t>El</w:t>
      </w:r>
      <w:r w:rsidR="00543B81" w:rsidRPr="00B37CCF">
        <w:rPr>
          <w:rFonts w:ascii="Times New Roman" w:hAnsi="Times New Roman" w:cs="Times New Roman"/>
          <w:sz w:val="24"/>
          <w:szCs w:val="24"/>
        </w:rPr>
        <w:t xml:space="preserve"> artículo 62 bis i) de esta misma ley establece</w:t>
      </w:r>
      <w:r>
        <w:rPr>
          <w:rFonts w:ascii="Times New Roman" w:hAnsi="Times New Roman" w:cs="Times New Roman"/>
          <w:sz w:val="24"/>
          <w:szCs w:val="24"/>
        </w:rPr>
        <w:t>,</w:t>
      </w:r>
      <w:r w:rsidR="00543B81" w:rsidRPr="00B37CCF">
        <w:rPr>
          <w:rFonts w:ascii="Times New Roman" w:hAnsi="Times New Roman" w:cs="Times New Roman"/>
          <w:sz w:val="24"/>
          <w:szCs w:val="24"/>
        </w:rPr>
        <w:t xml:space="preserve"> entre los derechos que</w:t>
      </w:r>
      <w:r>
        <w:rPr>
          <w:rFonts w:ascii="Times New Roman" w:hAnsi="Times New Roman" w:cs="Times New Roman"/>
          <w:sz w:val="24"/>
          <w:szCs w:val="24"/>
        </w:rPr>
        <w:t xml:space="preserve"> tiene</w:t>
      </w:r>
      <w:r w:rsidR="00543B81" w:rsidRPr="00B37CCF">
        <w:rPr>
          <w:rFonts w:ascii="Times New Roman" w:hAnsi="Times New Roman" w:cs="Times New Roman"/>
          <w:sz w:val="24"/>
          <w:szCs w:val="24"/>
        </w:rPr>
        <w:t xml:space="preserve"> </w:t>
      </w:r>
      <w:r>
        <w:rPr>
          <w:rFonts w:ascii="Times New Roman" w:hAnsi="Times New Roman" w:cs="Times New Roman"/>
          <w:sz w:val="24"/>
          <w:szCs w:val="24"/>
        </w:rPr>
        <w:t>la persona extranjera internada: “</w:t>
      </w:r>
      <w:r w:rsidR="00543B81" w:rsidRPr="00B37CCF">
        <w:rPr>
          <w:rStyle w:val="Hyperlink1"/>
          <w:rFonts w:ascii="Times New Roman" w:hAnsi="Times New Roman" w:cs="Times New Roman"/>
          <w:sz w:val="24"/>
          <w:szCs w:val="24"/>
        </w:rPr>
        <w:t xml:space="preserve">A tener en su compañía a sus hijos menores, siempre que el Ministerio Fiscal informe favorablemente tal medida </w:t>
      </w:r>
      <w:r w:rsidR="00543B81" w:rsidRPr="00E2413F">
        <w:rPr>
          <w:rStyle w:val="Ninguno"/>
          <w:rFonts w:ascii="Times New Roman" w:hAnsi="Times New Roman" w:cs="Times New Roman"/>
          <w:bCs/>
          <w:i/>
          <w:iCs/>
          <w:sz w:val="24"/>
          <w:szCs w:val="24"/>
        </w:rPr>
        <w:t>y existan en el centro módulos que garanticen la unidad e intimidad familiar”.</w:t>
      </w:r>
      <w:r>
        <w:rPr>
          <w:rStyle w:val="Ninguno"/>
          <w:rFonts w:ascii="Times New Roman" w:hAnsi="Times New Roman" w:cs="Times New Roman"/>
          <w:bCs/>
          <w:i/>
          <w:iCs/>
          <w:sz w:val="24"/>
          <w:szCs w:val="24"/>
        </w:rPr>
        <w:t xml:space="preserve"> </w:t>
      </w:r>
      <w:r w:rsidR="00D80424" w:rsidRPr="00B37CCF">
        <w:rPr>
          <w:rFonts w:ascii="Times New Roman" w:hAnsi="Times New Roman" w:cs="Times New Roman"/>
          <w:sz w:val="24"/>
          <w:szCs w:val="24"/>
        </w:rPr>
        <w:t>Asimismo, el artículo 62 afirma que los menores extranjeros en España “</w:t>
      </w:r>
      <w:r w:rsidR="00D80424" w:rsidRPr="00B37CCF">
        <w:rPr>
          <w:rStyle w:val="Hyperlink1"/>
          <w:rFonts w:ascii="Times New Roman" w:hAnsi="Times New Roman" w:cs="Times New Roman"/>
          <w:sz w:val="24"/>
          <w:szCs w:val="24"/>
        </w:rPr>
        <w:t>serán puestos a disposición de las entidades públicas de protección de menores conforme establece la Ley Orgánica de Protección Jurídica del Menor y de acuerdo con las normas previstas en el artículo 35 de esta Ley”.</w:t>
      </w:r>
      <w:r>
        <w:rPr>
          <w:rStyle w:val="Hyperlink1"/>
          <w:rFonts w:ascii="Times New Roman" w:hAnsi="Times New Roman" w:cs="Times New Roman"/>
          <w:sz w:val="24"/>
          <w:szCs w:val="24"/>
        </w:rPr>
        <w:t xml:space="preserve"> </w:t>
      </w:r>
      <w:r w:rsidR="00D80424" w:rsidRPr="00B37CCF">
        <w:rPr>
          <w:rFonts w:ascii="Times New Roman" w:hAnsi="Times New Roman" w:cs="Times New Roman"/>
          <w:sz w:val="24"/>
          <w:szCs w:val="24"/>
        </w:rPr>
        <w:t xml:space="preserve">En el caso de los menores no acompañados, según el artículo 191 del </w:t>
      </w:r>
      <w:r>
        <w:rPr>
          <w:rFonts w:ascii="Times New Roman" w:hAnsi="Times New Roman" w:cs="Times New Roman"/>
          <w:sz w:val="24"/>
          <w:szCs w:val="24"/>
        </w:rPr>
        <w:t>RCIE</w:t>
      </w:r>
      <w:r w:rsidR="00D80424" w:rsidRPr="00B37CCF">
        <w:rPr>
          <w:rFonts w:ascii="Times New Roman" w:hAnsi="Times New Roman" w:cs="Times New Roman"/>
          <w:sz w:val="24"/>
          <w:szCs w:val="24"/>
        </w:rPr>
        <w:t xml:space="preserve"> “</w:t>
      </w:r>
      <w:r w:rsidR="00D80424" w:rsidRPr="00E2413F">
        <w:rPr>
          <w:rFonts w:ascii="Times New Roman" w:hAnsi="Times New Roman" w:cs="Times New Roman"/>
          <w:i/>
          <w:sz w:val="24"/>
          <w:szCs w:val="24"/>
        </w:rPr>
        <w:t>l</w:t>
      </w:r>
      <w:r w:rsidR="00D80424" w:rsidRPr="00B37CCF">
        <w:rPr>
          <w:rStyle w:val="Hyperlink1"/>
          <w:rFonts w:ascii="Times New Roman" w:hAnsi="Times New Roman" w:cs="Times New Roman"/>
          <w:sz w:val="24"/>
          <w:szCs w:val="24"/>
        </w:rPr>
        <w:t>as Delegaciones y Subdelegaciones del Gobierno serán los Centros directivos competentes para llevar a cabo los trámites relativos a la repatriación de un menor extranjero no acompañado”.</w:t>
      </w:r>
    </w:p>
    <w:p w:rsidR="00032904" w:rsidRPr="00016E23" w:rsidRDefault="00016E23" w:rsidP="009A1772">
      <w:pPr>
        <w:spacing w:before="120" w:after="120" w:line="264" w:lineRule="auto"/>
        <w:jc w:val="both"/>
        <w:rPr>
          <w:rFonts w:ascii="Times New Roman" w:hAnsi="Times New Roman" w:cs="Times New Roman"/>
          <w:sz w:val="24"/>
          <w:szCs w:val="24"/>
          <w:lang w:val="es-419"/>
        </w:rPr>
      </w:pPr>
      <w:r w:rsidRPr="00016E23">
        <w:rPr>
          <w:rFonts w:ascii="Times New Roman" w:hAnsi="Times New Roman" w:cs="Times New Roman"/>
          <w:sz w:val="24"/>
          <w:szCs w:val="24"/>
          <w:lang w:val="es-419"/>
        </w:rPr>
        <w:t xml:space="preserve">En la práctica, no existe un protocolo o procedimiento adecuado para la identificación de menores. </w:t>
      </w:r>
      <w:r>
        <w:rPr>
          <w:rFonts w:ascii="Times New Roman" w:hAnsi="Times New Roman" w:cs="Times New Roman"/>
          <w:sz w:val="24"/>
          <w:szCs w:val="24"/>
          <w:lang w:val="es-419"/>
        </w:rPr>
        <w:t>El Comité de los Derechos del Niño</w:t>
      </w:r>
      <w:r w:rsidR="003E6963">
        <w:rPr>
          <w:rFonts w:ascii="Times New Roman" w:hAnsi="Times New Roman" w:cs="Times New Roman"/>
          <w:sz w:val="24"/>
          <w:szCs w:val="24"/>
          <w:lang w:val="es-419"/>
        </w:rPr>
        <w:t xml:space="preserve"> de las Naciones Unidas</w:t>
      </w:r>
      <w:r w:rsidR="00DC00A2">
        <w:rPr>
          <w:rStyle w:val="FootnoteReference"/>
          <w:rFonts w:ascii="Times New Roman" w:hAnsi="Times New Roman" w:cs="Times New Roman"/>
          <w:sz w:val="24"/>
          <w:szCs w:val="24"/>
          <w:lang w:val="es-419"/>
        </w:rPr>
        <w:footnoteReference w:id="3"/>
      </w:r>
      <w:r w:rsidR="003E6963">
        <w:rPr>
          <w:rFonts w:ascii="Times New Roman" w:hAnsi="Times New Roman" w:cs="Times New Roman"/>
          <w:sz w:val="24"/>
          <w:szCs w:val="24"/>
          <w:lang w:val="es-419"/>
        </w:rPr>
        <w:t xml:space="preserve"> </w:t>
      </w:r>
      <w:r w:rsidR="00DC00A2">
        <w:rPr>
          <w:rFonts w:ascii="Times New Roman" w:hAnsi="Times New Roman" w:cs="Times New Roman"/>
          <w:sz w:val="24"/>
          <w:szCs w:val="24"/>
          <w:lang w:val="es-419"/>
        </w:rPr>
        <w:t>ha denunciado recientemente</w:t>
      </w:r>
      <w:r>
        <w:rPr>
          <w:rFonts w:ascii="Times New Roman" w:hAnsi="Times New Roman" w:cs="Times New Roman"/>
          <w:sz w:val="24"/>
          <w:szCs w:val="24"/>
          <w:lang w:val="es-419"/>
        </w:rPr>
        <w:t xml:space="preserve"> que España no tuvo en cuenta el interés superior del niño durante el procedimiento para determinar la edad de </w:t>
      </w:r>
      <w:r w:rsidR="00DC00A2">
        <w:rPr>
          <w:rFonts w:ascii="Times New Roman" w:hAnsi="Times New Roman" w:cs="Times New Roman"/>
          <w:sz w:val="24"/>
          <w:szCs w:val="24"/>
          <w:lang w:val="es-419"/>
        </w:rPr>
        <w:t>un menor</w:t>
      </w:r>
      <w:r>
        <w:rPr>
          <w:rFonts w:ascii="Times New Roman" w:hAnsi="Times New Roman" w:cs="Times New Roman"/>
          <w:sz w:val="24"/>
          <w:szCs w:val="24"/>
          <w:lang w:val="es-419"/>
        </w:rPr>
        <w:t xml:space="preserve">. </w:t>
      </w:r>
      <w:r w:rsidR="00DC00A2">
        <w:rPr>
          <w:rFonts w:ascii="Times New Roman" w:hAnsi="Times New Roman" w:cs="Times New Roman"/>
          <w:sz w:val="24"/>
          <w:szCs w:val="24"/>
          <w:lang w:val="es-419"/>
        </w:rPr>
        <w:t>Dicho procedimiento</w:t>
      </w:r>
      <w:r>
        <w:rPr>
          <w:rFonts w:ascii="Times New Roman" w:hAnsi="Times New Roman" w:cs="Times New Roman"/>
          <w:sz w:val="24"/>
          <w:szCs w:val="24"/>
          <w:lang w:val="es-419"/>
        </w:rPr>
        <w:t xml:space="preserve"> se concreta en la realización de una prueba radiológica basada en el Atlas de Greulich y Pyle, que, según el Comité, no es fiable por tener un amplio margen de error. España solo tiene en cuenta el aspecto físico del individuo, y no su maduración psicológica, como pide el Comité. Esto resulta en el internamiento</w:t>
      </w:r>
      <w:r w:rsidR="00DC00A2">
        <w:rPr>
          <w:rFonts w:ascii="Times New Roman" w:hAnsi="Times New Roman" w:cs="Times New Roman"/>
          <w:sz w:val="24"/>
          <w:szCs w:val="24"/>
          <w:lang w:val="es-419"/>
        </w:rPr>
        <w:t xml:space="preserve"> </w:t>
      </w:r>
      <w:r w:rsidR="00DC00A2">
        <w:rPr>
          <w:rFonts w:ascii="Times New Roman" w:hAnsi="Times New Roman" w:cs="Times New Roman"/>
          <w:i/>
          <w:sz w:val="24"/>
          <w:szCs w:val="24"/>
          <w:lang w:val="es-419"/>
        </w:rPr>
        <w:t>de facto</w:t>
      </w:r>
      <w:r>
        <w:rPr>
          <w:rFonts w:ascii="Times New Roman" w:hAnsi="Times New Roman" w:cs="Times New Roman"/>
          <w:sz w:val="24"/>
          <w:szCs w:val="24"/>
          <w:lang w:val="es-419"/>
        </w:rPr>
        <w:t xml:space="preserve"> de menores en CIE</w:t>
      </w:r>
      <w:r w:rsidR="008F292A">
        <w:rPr>
          <w:rFonts w:ascii="Times New Roman" w:hAnsi="Times New Roman" w:cs="Times New Roman"/>
          <w:sz w:val="24"/>
          <w:szCs w:val="24"/>
          <w:lang w:val="es-419"/>
        </w:rPr>
        <w:t>; es decir, de menores a quienes la prueba de determinación de edad ha reconocido como personas adultas</w:t>
      </w:r>
      <w:r>
        <w:rPr>
          <w:rFonts w:ascii="Times New Roman" w:hAnsi="Times New Roman" w:cs="Times New Roman"/>
          <w:sz w:val="24"/>
          <w:szCs w:val="24"/>
          <w:lang w:val="es-419"/>
        </w:rPr>
        <w:t xml:space="preserve">. Ante ello, el Estado español alegó que, ante la duda, era más grave el riesgo que conllevaría internar a un adulto en un centro de menores que a un menor en un CIE.  </w:t>
      </w:r>
    </w:p>
    <w:p w:rsidR="007B0EF9" w:rsidRPr="00D30D0C" w:rsidRDefault="007B0EF9" w:rsidP="009A1772">
      <w:pPr>
        <w:spacing w:before="120" w:after="120" w:line="264" w:lineRule="auto"/>
        <w:jc w:val="both"/>
        <w:rPr>
          <w:rFonts w:ascii="Times New Roman" w:hAnsi="Times New Roman" w:cs="Times New Roman"/>
          <w:b/>
          <w:sz w:val="24"/>
          <w:szCs w:val="24"/>
          <w:u w:val="single"/>
          <w:lang w:val="es-419"/>
        </w:rPr>
      </w:pPr>
      <w:r w:rsidRPr="00D30D0C">
        <w:rPr>
          <w:rFonts w:ascii="Times New Roman" w:hAnsi="Times New Roman" w:cs="Times New Roman"/>
          <w:b/>
          <w:sz w:val="24"/>
          <w:szCs w:val="24"/>
          <w:u w:val="single"/>
          <w:lang w:val="es-419"/>
        </w:rPr>
        <w:t>Parte B. Ámbito legal</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¿Cuál es la base legal para detener a los migrantes en su país? ¿Cuál es el propósito que persigue la detención de migrantes irregulares? ¿Cómo se ha articulado este propósito a través de la legislación y del sistema judicial y las políticas públicas? Por favor identifique cualquier caso relevante en el sistema judicial de su país.</w:t>
      </w:r>
    </w:p>
    <w:p w:rsidR="00A25081" w:rsidRPr="003E64E6" w:rsidRDefault="00A25081" w:rsidP="009A1772">
      <w:pPr>
        <w:spacing w:before="120" w:after="120" w:line="264" w:lineRule="auto"/>
        <w:jc w:val="both"/>
        <w:rPr>
          <w:rFonts w:ascii="Times New Roman" w:hAnsi="Times New Roman" w:cs="Times New Roman"/>
          <w:sz w:val="24"/>
          <w:szCs w:val="24"/>
          <w:lang w:val="es-419"/>
        </w:rPr>
      </w:pPr>
      <w:r w:rsidRPr="0052576C">
        <w:rPr>
          <w:rFonts w:ascii="Times New Roman" w:hAnsi="Times New Roman" w:cs="Times New Roman"/>
          <w:sz w:val="24"/>
          <w:szCs w:val="24"/>
          <w:lang w:val="es-419"/>
        </w:rPr>
        <w:t xml:space="preserve">La reclusión en el </w:t>
      </w:r>
      <w:r w:rsidR="0052576C" w:rsidRPr="0052576C">
        <w:rPr>
          <w:rFonts w:ascii="Times New Roman" w:hAnsi="Times New Roman" w:cs="Times New Roman"/>
          <w:sz w:val="24"/>
          <w:szCs w:val="24"/>
          <w:lang w:val="es-419"/>
        </w:rPr>
        <w:t>CIE</w:t>
      </w:r>
      <w:r w:rsidRPr="0052576C">
        <w:rPr>
          <w:rFonts w:ascii="Times New Roman" w:hAnsi="Times New Roman" w:cs="Times New Roman"/>
          <w:sz w:val="24"/>
          <w:szCs w:val="24"/>
          <w:lang w:val="es-419"/>
        </w:rPr>
        <w:t xml:space="preserve"> es una medida cautelar contemplada en la </w:t>
      </w:r>
      <w:r w:rsidR="0052576C" w:rsidRPr="0052576C">
        <w:rPr>
          <w:rFonts w:ascii="Times New Roman" w:hAnsi="Times New Roman" w:cs="Times New Roman"/>
          <w:sz w:val="24"/>
          <w:szCs w:val="24"/>
          <w:lang w:val="es-419"/>
        </w:rPr>
        <w:t>LOEX</w:t>
      </w:r>
      <w:r w:rsidRPr="0052576C">
        <w:rPr>
          <w:rFonts w:ascii="Times New Roman" w:hAnsi="Times New Roman" w:cs="Times New Roman"/>
          <w:sz w:val="24"/>
          <w:szCs w:val="24"/>
          <w:lang w:val="es-419"/>
        </w:rPr>
        <w:t>. Por</w:t>
      </w:r>
      <w:r w:rsidRPr="003E64E6">
        <w:rPr>
          <w:rFonts w:ascii="Times New Roman" w:hAnsi="Times New Roman" w:cs="Times New Roman"/>
          <w:sz w:val="24"/>
          <w:szCs w:val="24"/>
          <w:lang w:val="es-419"/>
        </w:rPr>
        <w:t xml:space="preserve"> consiguiente, sirve al único fin de asegurar el efectivo cumplimiento de la Ley de Extranjería (o disposiciones análogas, como la expulsión de ciudadanos comunitarios en aplicación de los </w:t>
      </w:r>
      <w:hyperlink r:id="rId13" w:anchor="a15" w:history="1">
        <w:r w:rsidRPr="003E64E6">
          <w:rPr>
            <w:rFonts w:ascii="Times New Roman" w:hAnsi="Times New Roman" w:cs="Times New Roman"/>
            <w:sz w:val="24"/>
            <w:szCs w:val="24"/>
            <w:lang w:val="es-419"/>
          </w:rPr>
          <w:t>arts. 15 y ss. del RD 240/2007</w:t>
        </w:r>
      </w:hyperlink>
      <w:r w:rsidRPr="003E64E6">
        <w:rPr>
          <w:rFonts w:ascii="Times New Roman" w:hAnsi="Times New Roman" w:cs="Times New Roman"/>
          <w:sz w:val="24"/>
          <w:szCs w:val="24"/>
          <w:lang w:val="es-419"/>
        </w:rPr>
        <w:t xml:space="preserve"> -si bien ello presenta serias dudas jurídicas al no serles de aplicación la Ley de Extranjería-, y la expulsión vía </w:t>
      </w:r>
      <w:hyperlink r:id="rId14" w:anchor="a89" w:history="1">
        <w:r w:rsidRPr="003E64E6">
          <w:rPr>
            <w:rFonts w:ascii="Times New Roman" w:hAnsi="Times New Roman" w:cs="Times New Roman"/>
            <w:sz w:val="24"/>
            <w:szCs w:val="24"/>
            <w:lang w:val="es-419"/>
          </w:rPr>
          <w:t>art. 89 del Código Penal</w:t>
        </w:r>
      </w:hyperlink>
      <w:r w:rsidRPr="003E64E6">
        <w:rPr>
          <w:rFonts w:ascii="Times New Roman" w:hAnsi="Times New Roman" w:cs="Times New Roman"/>
          <w:sz w:val="24"/>
          <w:szCs w:val="24"/>
          <w:lang w:val="es-419"/>
        </w:rPr>
        <w:t xml:space="preserve"> -cuyo ap. 8 prevé el internamiento-). Conforme al </w:t>
      </w:r>
      <w:hyperlink r:id="rId15" w:history="1">
        <w:r w:rsidRPr="003E64E6">
          <w:rPr>
            <w:rFonts w:ascii="Times New Roman" w:hAnsi="Times New Roman" w:cs="Times New Roman"/>
            <w:sz w:val="24"/>
            <w:szCs w:val="24"/>
            <w:lang w:val="es-419"/>
          </w:rPr>
          <w:t>art. 12.1.A.c</w:t>
        </w:r>
      </w:hyperlink>
      <w:r w:rsidRPr="003E64E6">
        <w:rPr>
          <w:rFonts w:ascii="Times New Roman" w:hAnsi="Times New Roman" w:cs="Times New Roman"/>
          <w:sz w:val="24"/>
          <w:szCs w:val="24"/>
          <w:lang w:val="es-419"/>
        </w:rPr>
        <w:t xml:space="preserve"> de la Ley Orgánica 2/1986, de Fuerzas y Cuerpos de Seguridad, son competencia del Cuerpo Nacional de Policía “</w:t>
      </w:r>
      <w:r w:rsidRPr="003E64E6">
        <w:rPr>
          <w:rFonts w:ascii="Times New Roman" w:hAnsi="Times New Roman" w:cs="Times New Roman"/>
          <w:i/>
          <w:sz w:val="24"/>
          <w:szCs w:val="24"/>
          <w:lang w:val="es-419"/>
        </w:rPr>
        <w:t>las previstas en la legislación sobre extranjería, refugio y asilo, extradición, expulsión e inmigración</w:t>
      </w:r>
      <w:r w:rsidRPr="003E64E6">
        <w:rPr>
          <w:rFonts w:ascii="Times New Roman" w:hAnsi="Times New Roman" w:cs="Times New Roman"/>
          <w:sz w:val="24"/>
          <w:szCs w:val="24"/>
          <w:lang w:val="es-419"/>
        </w:rPr>
        <w:t>”.</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¿La migración está regulada dentro del derecho administrativo o en el derecho penal?</w:t>
      </w:r>
    </w:p>
    <w:p w:rsidR="00A25081" w:rsidRPr="003E64E6" w:rsidRDefault="00A25081"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3E64E6">
        <w:rPr>
          <w:rFonts w:ascii="Times New Roman" w:hAnsi="Times New Roman" w:cs="Times New Roman"/>
          <w:sz w:val="24"/>
          <w:szCs w:val="24"/>
          <w:lang w:val="es-419"/>
        </w:rPr>
        <w:t>Derecho Administrativo.</w:t>
      </w:r>
    </w:p>
    <w:p w:rsidR="00A25081"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 xml:space="preserve">¿La detención migratoria se determina </w:t>
      </w:r>
      <w:r w:rsidRPr="00D30D0C">
        <w:rPr>
          <w:rFonts w:ascii="Times New Roman" w:hAnsi="Times New Roman" w:cs="Times New Roman"/>
          <w:b/>
          <w:i/>
          <w:sz w:val="24"/>
          <w:szCs w:val="24"/>
          <w:lang w:val="es-419"/>
        </w:rPr>
        <w:t>ex officio</w:t>
      </w:r>
      <w:r w:rsidRPr="00D30D0C">
        <w:rPr>
          <w:rFonts w:ascii="Times New Roman" w:hAnsi="Times New Roman" w:cs="Times New Roman"/>
          <w:b/>
          <w:sz w:val="24"/>
          <w:szCs w:val="24"/>
          <w:lang w:val="es-419"/>
        </w:rPr>
        <w:t xml:space="preserve"> o se realiza un análisis individualizado de su pertinencia y proporcionalidad en cada caso concreto?</w:t>
      </w:r>
    </w:p>
    <w:p w:rsidR="00A25081" w:rsidRPr="003E64E6" w:rsidRDefault="00A25081"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3E64E6">
        <w:rPr>
          <w:rFonts w:ascii="Times New Roman" w:hAnsi="Times New Roman" w:cs="Times New Roman"/>
          <w:sz w:val="24"/>
          <w:szCs w:val="24"/>
          <w:lang w:val="es-419"/>
        </w:rPr>
        <w:t>La detención de migrantes sólo procede en supuestos tasados: en caso de denegación de entrada (60.1 LOEX), ejecución de expulsión (64.1 LOEX) o devolución (58.6 LOEX) cuando el retorno forzoso no pudiera ejecutarse en plazo inferior a las 72 horas, así como en aquéllos expedientes sancionadores en los que pueda proponerse la expulsión incoados por: participar en actividades contrarias a la seguridad nacional u orden público (54.1.a LOEX); favorecimiento de la inmigración clandestina con ánimo de lucro (54.1.b); encontrarse irregularmente en España (53.1.a); con incumplimiento de medidas cautelares impuestas con arreglo a la LOEX (53.1.d); infracciones graves de la Ley de Seguridad Ciudadana (53.1.f).</w:t>
      </w:r>
      <w:r w:rsidR="00B01F15" w:rsidRPr="003E64E6">
        <w:rPr>
          <w:rFonts w:ascii="Times New Roman" w:hAnsi="Times New Roman" w:cs="Times New Roman"/>
          <w:sz w:val="24"/>
          <w:szCs w:val="24"/>
          <w:lang w:val="es-419"/>
        </w:rPr>
        <w:t xml:space="preserve"> Asimismo, en cuanto se trata de una medida cautelar, deben ponderarse el riesgo de incomparecencia del migrante en el procedimiento del que el internamiento trae causa. Ello no obstante, policías, fiscales y jueces aplican cierta liberalidad en este último requisito, puesto que existe cierto automatismo de entender que la irregularidad administrativa (presupuesto del internamiento) es también indicativa de existencia de dicho riesgo de incomparecencia.</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¿La legislación establece una duración máxima para la detención migratoria? ¿Cuál es el plazo máximo durante el cual una persona puede permanecer detenida? ¿Existe aluna excepción o extensión a dicho plazo previstas en la ley?</w:t>
      </w:r>
    </w:p>
    <w:p w:rsidR="00B01F15" w:rsidRPr="00A5330E" w:rsidRDefault="006F43AB"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484184">
        <w:rPr>
          <w:rFonts w:ascii="Times New Roman" w:hAnsi="Times New Roman" w:cs="Times New Roman"/>
          <w:sz w:val="24"/>
          <w:szCs w:val="24"/>
          <w:lang w:val="es-419"/>
        </w:rPr>
        <w:t xml:space="preserve">El plazo máximo de detención preventiva es de 72 horas. Posteriormente, si se procede al internamiento en un centro, este tendrá un periodo máximo de 60 días, </w:t>
      </w:r>
      <w:r w:rsidR="00B01F15" w:rsidRPr="00484184">
        <w:rPr>
          <w:rFonts w:ascii="Times New Roman" w:hAnsi="Times New Roman" w:cs="Times New Roman"/>
          <w:sz w:val="24"/>
          <w:szCs w:val="24"/>
          <w:lang w:val="es-419"/>
        </w:rPr>
        <w:t>pero “</w:t>
      </w:r>
      <w:r w:rsidR="00B01F15" w:rsidRPr="00484184">
        <w:rPr>
          <w:rFonts w:ascii="Times New Roman" w:hAnsi="Times New Roman" w:cs="Times New Roman"/>
          <w:i/>
          <w:sz w:val="24"/>
          <w:szCs w:val="24"/>
          <w:lang w:val="es-419"/>
        </w:rPr>
        <w:t xml:space="preserve">podrá </w:t>
      </w:r>
      <w:r w:rsidR="00B01F15" w:rsidRPr="00A5330E">
        <w:rPr>
          <w:rFonts w:ascii="Times New Roman" w:hAnsi="Times New Roman" w:cs="Times New Roman"/>
          <w:i/>
          <w:sz w:val="24"/>
          <w:szCs w:val="24"/>
          <w:lang w:val="es-419"/>
        </w:rPr>
        <w:t xml:space="preserve">solicitarse un nuevo internamiento </w:t>
      </w:r>
      <w:r w:rsidR="00B01F15" w:rsidRPr="00A5330E">
        <w:rPr>
          <w:rFonts w:ascii="Times New Roman" w:hAnsi="Times New Roman" w:cs="Times New Roman"/>
          <w:sz w:val="24"/>
          <w:szCs w:val="24"/>
          <w:lang w:val="es-419"/>
        </w:rPr>
        <w:t xml:space="preserve">(…), </w:t>
      </w:r>
      <w:r w:rsidR="00B01F15" w:rsidRPr="00A5330E">
        <w:rPr>
          <w:rFonts w:ascii="Times New Roman" w:hAnsi="Times New Roman" w:cs="Times New Roman"/>
          <w:i/>
          <w:sz w:val="24"/>
          <w:szCs w:val="24"/>
          <w:lang w:val="es-419"/>
        </w:rPr>
        <w:t>por las mismas causas que determinaron el internamiento anterior, cuando habiendo ingresado con anterioridad no hubiera cumplido el plazo máximo de 60 días, por el periodo que resta hasta cumplir éste</w:t>
      </w:r>
      <w:r w:rsidR="00B01F15" w:rsidRPr="00A5330E">
        <w:rPr>
          <w:rFonts w:ascii="Times New Roman" w:hAnsi="Times New Roman" w:cs="Times New Roman"/>
          <w:sz w:val="24"/>
          <w:szCs w:val="24"/>
          <w:lang w:val="es-419"/>
        </w:rPr>
        <w:t xml:space="preserve">” (artículos 62.2 LOEX y 21.2, 21.3 y 37.1.d del RCIE). Excepcionalmente, en el caso </w:t>
      </w:r>
      <w:r w:rsidR="00A5330E">
        <w:rPr>
          <w:rFonts w:ascii="Times New Roman" w:hAnsi="Times New Roman" w:cs="Times New Roman"/>
          <w:sz w:val="24"/>
          <w:szCs w:val="24"/>
          <w:lang w:val="es-419"/>
        </w:rPr>
        <w:t>de que se formule solicitud de p</w:t>
      </w:r>
      <w:r w:rsidR="00B01F15" w:rsidRPr="00A5330E">
        <w:rPr>
          <w:rFonts w:ascii="Times New Roman" w:hAnsi="Times New Roman" w:cs="Times New Roman"/>
          <w:sz w:val="24"/>
          <w:szCs w:val="24"/>
          <w:lang w:val="es-419"/>
        </w:rPr>
        <w:t xml:space="preserve">rotección </w:t>
      </w:r>
      <w:r w:rsidR="00A5330E">
        <w:rPr>
          <w:rFonts w:ascii="Times New Roman" w:hAnsi="Times New Roman" w:cs="Times New Roman"/>
          <w:sz w:val="24"/>
          <w:szCs w:val="24"/>
          <w:lang w:val="es-419"/>
        </w:rPr>
        <w:t>i</w:t>
      </w:r>
      <w:r w:rsidR="00B01F15" w:rsidRPr="00A5330E">
        <w:rPr>
          <w:rFonts w:ascii="Times New Roman" w:hAnsi="Times New Roman" w:cs="Times New Roman"/>
          <w:sz w:val="24"/>
          <w:szCs w:val="24"/>
          <w:lang w:val="es-419"/>
        </w:rPr>
        <w:t>nternacional en el CIE y ésta resulte admitida a trámite, ello determina el egreso del solicitante.</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¿La legislación establece algún mecanismo para controvertir la legalidad de la detención?</w:t>
      </w:r>
    </w:p>
    <w:p w:rsidR="00B01F15" w:rsidRPr="00B70FFF" w:rsidRDefault="00B01F15"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B70FFF">
        <w:rPr>
          <w:rFonts w:ascii="Times New Roman" w:hAnsi="Times New Roman" w:cs="Times New Roman"/>
          <w:sz w:val="24"/>
          <w:szCs w:val="24"/>
          <w:lang w:val="es-419"/>
        </w:rPr>
        <w:t xml:space="preserve">Además del procedimiento de </w:t>
      </w:r>
      <w:r w:rsidR="00792110" w:rsidRPr="00B70FFF">
        <w:rPr>
          <w:rFonts w:ascii="Times New Roman" w:hAnsi="Times New Roman" w:cs="Times New Roman"/>
          <w:i/>
          <w:sz w:val="24"/>
          <w:szCs w:val="24"/>
          <w:lang w:val="es-419"/>
        </w:rPr>
        <w:t>h</w:t>
      </w:r>
      <w:r w:rsidRPr="00B70FFF">
        <w:rPr>
          <w:rFonts w:ascii="Times New Roman" w:hAnsi="Times New Roman" w:cs="Times New Roman"/>
          <w:i/>
          <w:sz w:val="24"/>
          <w:szCs w:val="24"/>
          <w:lang w:val="es-419"/>
        </w:rPr>
        <w:t xml:space="preserve">abeas </w:t>
      </w:r>
      <w:r w:rsidR="00792110" w:rsidRPr="00B70FFF">
        <w:rPr>
          <w:rFonts w:ascii="Times New Roman" w:hAnsi="Times New Roman" w:cs="Times New Roman"/>
          <w:i/>
          <w:sz w:val="24"/>
          <w:szCs w:val="24"/>
          <w:lang w:val="es-419"/>
        </w:rPr>
        <w:t>c</w:t>
      </w:r>
      <w:r w:rsidRPr="00B70FFF">
        <w:rPr>
          <w:rFonts w:ascii="Times New Roman" w:hAnsi="Times New Roman" w:cs="Times New Roman"/>
          <w:i/>
          <w:sz w:val="24"/>
          <w:szCs w:val="24"/>
          <w:lang w:val="es-419"/>
        </w:rPr>
        <w:t>orpus</w:t>
      </w:r>
      <w:r w:rsidRPr="00B70FFF">
        <w:rPr>
          <w:rFonts w:ascii="Times New Roman" w:hAnsi="Times New Roman" w:cs="Times New Roman"/>
          <w:sz w:val="24"/>
          <w:szCs w:val="24"/>
          <w:lang w:val="es-419"/>
        </w:rPr>
        <w:t xml:space="preserve">, aplicable a toda situación de detención, existe un régimen de recursos que es el propio del proceso penal. Frente al </w:t>
      </w:r>
      <w:r w:rsidR="00792110" w:rsidRPr="00B70FFF">
        <w:rPr>
          <w:rFonts w:ascii="Times New Roman" w:hAnsi="Times New Roman" w:cs="Times New Roman"/>
          <w:sz w:val="24"/>
          <w:szCs w:val="24"/>
          <w:lang w:val="es-419"/>
        </w:rPr>
        <w:t>auto de i</w:t>
      </w:r>
      <w:r w:rsidRPr="00B70FFF">
        <w:rPr>
          <w:rFonts w:ascii="Times New Roman" w:hAnsi="Times New Roman" w:cs="Times New Roman"/>
          <w:sz w:val="24"/>
          <w:szCs w:val="24"/>
          <w:lang w:val="es-419"/>
        </w:rPr>
        <w:t>nternamiento</w:t>
      </w:r>
      <w:r w:rsidR="00792110" w:rsidRPr="00B70FFF">
        <w:rPr>
          <w:rFonts w:ascii="Times New Roman" w:hAnsi="Times New Roman" w:cs="Times New Roman"/>
          <w:sz w:val="24"/>
          <w:szCs w:val="24"/>
          <w:lang w:val="es-419"/>
        </w:rPr>
        <w:t>,</w:t>
      </w:r>
      <w:r w:rsidRPr="00B70FFF">
        <w:rPr>
          <w:rFonts w:ascii="Times New Roman" w:hAnsi="Times New Roman" w:cs="Times New Roman"/>
          <w:sz w:val="24"/>
          <w:szCs w:val="24"/>
          <w:lang w:val="es-419"/>
        </w:rPr>
        <w:t xml:space="preserve"> cabe recurrir en reforma en 3 días y/o apelación en el plazo de 5 días (</w:t>
      </w:r>
      <w:hyperlink r:id="rId16" w:anchor="a216" w:history="1">
        <w:r w:rsidRPr="00B70FFF">
          <w:rPr>
            <w:rFonts w:ascii="Times New Roman" w:hAnsi="Times New Roman" w:cs="Times New Roman"/>
            <w:sz w:val="24"/>
            <w:szCs w:val="24"/>
            <w:lang w:val="es-419"/>
          </w:rPr>
          <w:t>artículos 216 y ss</w:t>
        </w:r>
      </w:hyperlink>
      <w:r w:rsidRPr="00B70FFF">
        <w:rPr>
          <w:rFonts w:ascii="Times New Roman" w:hAnsi="Times New Roman" w:cs="Times New Roman"/>
          <w:sz w:val="24"/>
          <w:szCs w:val="24"/>
          <w:lang w:val="es-419"/>
        </w:rPr>
        <w:t>. de la Ley de Enjuiciamiento Criminal).</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¿Existe alguna regulación nacional que garantice el acceso a representación legal o intérpretes en los procedimientos migratorios? ¿Existe alguna garantía de acceso a representación legal gratuita?</w:t>
      </w:r>
    </w:p>
    <w:p w:rsidR="00B01F15" w:rsidRPr="00B70FFF" w:rsidRDefault="00B01F15"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B70FFF">
        <w:rPr>
          <w:rFonts w:ascii="Times New Roman" w:hAnsi="Times New Roman" w:cs="Times New Roman"/>
          <w:sz w:val="24"/>
          <w:szCs w:val="24"/>
          <w:lang w:val="es-419"/>
        </w:rPr>
        <w:t>En efecto</w:t>
      </w:r>
      <w:r w:rsidR="00B70FFF" w:rsidRPr="00B70FFF">
        <w:rPr>
          <w:rFonts w:ascii="Times New Roman" w:hAnsi="Times New Roman" w:cs="Times New Roman"/>
          <w:sz w:val="24"/>
          <w:szCs w:val="24"/>
          <w:lang w:val="es-419"/>
        </w:rPr>
        <w:t>, la LOEX</w:t>
      </w:r>
      <w:r w:rsidRPr="00B70FFF">
        <w:rPr>
          <w:rFonts w:ascii="Times New Roman" w:hAnsi="Times New Roman" w:cs="Times New Roman"/>
          <w:sz w:val="24"/>
          <w:szCs w:val="24"/>
          <w:lang w:val="es-419"/>
        </w:rPr>
        <w:t xml:space="preserve"> prevé como derechos del migrante detenido el derecho a la </w:t>
      </w:r>
      <w:r w:rsidR="008F292A">
        <w:rPr>
          <w:rFonts w:ascii="Times New Roman" w:hAnsi="Times New Roman" w:cs="Times New Roman"/>
          <w:sz w:val="24"/>
          <w:szCs w:val="24"/>
          <w:lang w:val="es-419"/>
        </w:rPr>
        <w:t>asistencia jurídica</w:t>
      </w:r>
      <w:r w:rsidRPr="00B70FFF">
        <w:rPr>
          <w:rFonts w:ascii="Times New Roman" w:hAnsi="Times New Roman" w:cs="Times New Roman"/>
          <w:sz w:val="24"/>
          <w:szCs w:val="24"/>
          <w:lang w:val="es-419"/>
        </w:rPr>
        <w:t xml:space="preserve"> gratuita y a la asistencia de intérprete.</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¿Existe alguna legislación que establezca el derecho a la asistencia consular para los migrantes? ¿Está garantizado este derecho en la práctica?</w:t>
      </w:r>
    </w:p>
    <w:p w:rsidR="00B01F15" w:rsidRPr="002E08E4" w:rsidRDefault="00B01F15"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2E08E4">
        <w:rPr>
          <w:rFonts w:ascii="Times New Roman" w:hAnsi="Times New Roman" w:cs="Times New Roman"/>
          <w:sz w:val="24"/>
          <w:szCs w:val="24"/>
          <w:lang w:val="es-419"/>
        </w:rPr>
        <w:t xml:space="preserve">Sí, los artículos 16, 26, 27, 31, 41 y 42 del </w:t>
      </w:r>
      <w:r w:rsidR="00B70FFF" w:rsidRPr="002E08E4">
        <w:rPr>
          <w:rFonts w:ascii="Times New Roman" w:hAnsi="Times New Roman" w:cs="Times New Roman"/>
          <w:sz w:val="24"/>
          <w:szCs w:val="24"/>
          <w:lang w:val="es-419"/>
        </w:rPr>
        <w:t>R</w:t>
      </w:r>
      <w:r w:rsidRPr="002E08E4">
        <w:rPr>
          <w:rFonts w:ascii="Times New Roman" w:hAnsi="Times New Roman" w:cs="Times New Roman"/>
          <w:sz w:val="24"/>
          <w:szCs w:val="24"/>
          <w:lang w:val="es-419"/>
        </w:rPr>
        <w:t>CIE.</w:t>
      </w:r>
      <w:r w:rsidR="00580216" w:rsidRPr="002E08E4">
        <w:rPr>
          <w:rFonts w:ascii="Times New Roman" w:hAnsi="Times New Roman" w:cs="Times New Roman"/>
          <w:sz w:val="24"/>
          <w:szCs w:val="24"/>
          <w:lang w:val="es-419"/>
        </w:rPr>
        <w:t xml:space="preserve"> </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¿Su país reconoce los derechos de debido proceso de los no ciudadanos en igualdad de circunstancias que a sus ciudadanos? Si no es así, ¿cuáles son las diferencias?</w:t>
      </w:r>
    </w:p>
    <w:p w:rsidR="00B01F15" w:rsidRPr="0042146C" w:rsidRDefault="00B01F15"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42146C">
        <w:rPr>
          <w:rFonts w:ascii="Times New Roman" w:hAnsi="Times New Roman" w:cs="Times New Roman"/>
          <w:sz w:val="24"/>
          <w:szCs w:val="24"/>
          <w:lang w:val="es-419"/>
        </w:rPr>
        <w:t xml:space="preserve">El punto focal de la diferenciación no se halla en la condición de ciudadano sino la de residente legal o no. Las personas en situación irregular sólo tienen derecho a la asistencia letrada de oficio en procedimientos sancionadores de extranjería en los que pueda proponerse su expulsión y en los procedimientos penales distintos de los seguidos por delito leve. Aún así, </w:t>
      </w:r>
      <w:r w:rsidR="008F292A">
        <w:rPr>
          <w:rFonts w:ascii="Times New Roman" w:hAnsi="Times New Roman" w:cs="Times New Roman"/>
          <w:sz w:val="24"/>
          <w:szCs w:val="24"/>
          <w:lang w:val="es-419"/>
        </w:rPr>
        <w:t>dado</w:t>
      </w:r>
      <w:r w:rsidRPr="0042146C">
        <w:rPr>
          <w:rFonts w:ascii="Times New Roman" w:hAnsi="Times New Roman" w:cs="Times New Roman"/>
          <w:sz w:val="24"/>
          <w:szCs w:val="24"/>
          <w:lang w:val="es-419"/>
        </w:rPr>
        <w:t xml:space="preserve"> que en el derecho administrativo español</w:t>
      </w:r>
      <w:r w:rsidR="008B6341" w:rsidRPr="0042146C">
        <w:rPr>
          <w:rFonts w:ascii="Times New Roman" w:hAnsi="Times New Roman" w:cs="Times New Roman"/>
          <w:sz w:val="24"/>
          <w:szCs w:val="24"/>
          <w:lang w:val="es-419"/>
        </w:rPr>
        <w:t xml:space="preserve"> la Administración dispone de los privilegios de autotutela declarativa y ejecutiva, una resolución de expulsión es ejecutable antes de acceder a la revisión judicial de la misma, salvedad hecha de que se formule una solicitud de medida cautelar y esta resulte admitida. De lo contrario, si bien el extranjero dispone del derecho formal a impugnar la resolución administrativa de expulsión, materialmente es bastante </w:t>
      </w:r>
      <w:r w:rsidR="008F292A">
        <w:rPr>
          <w:rFonts w:ascii="Times New Roman" w:hAnsi="Times New Roman" w:cs="Times New Roman"/>
          <w:sz w:val="24"/>
          <w:szCs w:val="24"/>
          <w:lang w:val="es-419"/>
        </w:rPr>
        <w:t>débil la posibilidad de hacerlo</w:t>
      </w:r>
      <w:r w:rsidR="008B6341" w:rsidRPr="0042146C">
        <w:rPr>
          <w:rFonts w:ascii="Times New Roman" w:hAnsi="Times New Roman" w:cs="Times New Roman"/>
          <w:sz w:val="24"/>
          <w:szCs w:val="24"/>
          <w:lang w:val="es-419"/>
        </w:rPr>
        <w:t>.</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¿Hay información disponible para los detenidos sobre los procesos de solicitud de asilo o de solicitud de la condición de refugiado?</w:t>
      </w:r>
    </w:p>
    <w:p w:rsidR="008B6341" w:rsidRPr="0042146C" w:rsidRDefault="008B6341"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42146C">
        <w:rPr>
          <w:rFonts w:ascii="Times New Roman" w:hAnsi="Times New Roman" w:cs="Times New Roman"/>
          <w:sz w:val="24"/>
          <w:szCs w:val="24"/>
          <w:lang w:val="es-419"/>
        </w:rPr>
        <w:t>Legalmente está previsto, pero en la práctica con frecuencia ello depende del acceso de</w:t>
      </w:r>
      <w:r w:rsidR="002005F6">
        <w:rPr>
          <w:rFonts w:ascii="Times New Roman" w:hAnsi="Times New Roman" w:cs="Times New Roman"/>
          <w:sz w:val="24"/>
          <w:szCs w:val="24"/>
          <w:lang w:val="es-419"/>
        </w:rPr>
        <w:t>l personal</w:t>
      </w:r>
      <w:r w:rsidRPr="0042146C">
        <w:rPr>
          <w:rFonts w:ascii="Times New Roman" w:hAnsi="Times New Roman" w:cs="Times New Roman"/>
          <w:sz w:val="24"/>
          <w:szCs w:val="24"/>
          <w:lang w:val="es-419"/>
        </w:rPr>
        <w:t xml:space="preserve"> de ONG a los internos.</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¿Cómo son los procedimientos que determinan el estatus migratorio de las personas? ¿Cuál es el órgano encargado de adoptar dicha decisión? ¿Cuáles son las cualificaciones de quienes integran estos órganos? ¿Son nombrados o elegidos?</w:t>
      </w:r>
    </w:p>
    <w:p w:rsidR="008B6341" w:rsidRPr="00322801" w:rsidRDefault="008B6341"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322801">
        <w:rPr>
          <w:rFonts w:ascii="Times New Roman" w:hAnsi="Times New Roman" w:cs="Times New Roman"/>
          <w:sz w:val="24"/>
          <w:szCs w:val="24"/>
          <w:lang w:val="es-419"/>
        </w:rPr>
        <w:t>Los procedimientos de extranjería se incoan de oficio por agentes de la policía nacional, a quienes se les exige haber cursado educación secundaria y haber aprobado una oposición, si bien la decisión recae sobre los subdelegados del gobierno</w:t>
      </w:r>
      <w:r w:rsidR="00FF1513">
        <w:rPr>
          <w:rFonts w:ascii="Times New Roman" w:hAnsi="Times New Roman" w:cs="Times New Roman"/>
          <w:sz w:val="24"/>
          <w:szCs w:val="24"/>
          <w:lang w:val="es-419"/>
        </w:rPr>
        <w:t xml:space="preserve"> central del Estado español</w:t>
      </w:r>
      <w:r w:rsidRPr="00322801">
        <w:rPr>
          <w:rFonts w:ascii="Times New Roman" w:hAnsi="Times New Roman" w:cs="Times New Roman"/>
          <w:sz w:val="24"/>
          <w:szCs w:val="24"/>
          <w:lang w:val="es-419"/>
        </w:rPr>
        <w:t xml:space="preserve">, que son personal de </w:t>
      </w:r>
      <w:r w:rsidR="00FF1513">
        <w:rPr>
          <w:rFonts w:ascii="Times New Roman" w:hAnsi="Times New Roman" w:cs="Times New Roman"/>
          <w:sz w:val="24"/>
          <w:szCs w:val="24"/>
          <w:lang w:val="es-419"/>
        </w:rPr>
        <w:t xml:space="preserve">administrativo de </w:t>
      </w:r>
      <w:r w:rsidRPr="00322801">
        <w:rPr>
          <w:rFonts w:ascii="Times New Roman" w:hAnsi="Times New Roman" w:cs="Times New Roman"/>
          <w:sz w:val="24"/>
          <w:szCs w:val="24"/>
          <w:lang w:val="es-419"/>
        </w:rPr>
        <w:t>designación política</w:t>
      </w:r>
      <w:r w:rsidR="00FF1513">
        <w:rPr>
          <w:rFonts w:ascii="Times New Roman" w:hAnsi="Times New Roman" w:cs="Times New Roman"/>
          <w:sz w:val="24"/>
          <w:szCs w:val="24"/>
          <w:lang w:val="es-419"/>
        </w:rPr>
        <w:t xml:space="preserve"> que forman parte de las Oficinas de Extranjería de dichas subdelegaciones</w:t>
      </w:r>
      <w:r w:rsidRPr="00322801">
        <w:rPr>
          <w:rFonts w:ascii="Times New Roman" w:hAnsi="Times New Roman" w:cs="Times New Roman"/>
          <w:sz w:val="24"/>
          <w:szCs w:val="24"/>
          <w:lang w:val="es-419"/>
        </w:rPr>
        <w:t xml:space="preserve">. Impugnadas dichas resoluciones, interviene un juez de la jurisdicción contenciosa-administrativa, quien debe haber cursado la carrera de derecho y superado una oposición. El reparto de asuntos entre los juzgados se realiza en función de calendario. </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¿Existe la obligación de fundamentar y motivar adecuadamente las decisiones a través de un razonamiento legal? ¿Cómo se asegura eso en la práctica?</w:t>
      </w:r>
    </w:p>
    <w:p w:rsidR="008B6341" w:rsidRPr="008344EA" w:rsidRDefault="008B6341"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8344EA">
        <w:rPr>
          <w:rFonts w:ascii="Times New Roman" w:hAnsi="Times New Roman" w:cs="Times New Roman"/>
          <w:sz w:val="24"/>
          <w:szCs w:val="24"/>
          <w:lang w:val="es-419"/>
        </w:rPr>
        <w:t>Existe la obligación legal de motivación de las resoluciones administrativas, si bien las resoluciones de expulsión son habitualmente un mero formulario. En la práctica se asegura mediante el acceso a la jurisdicción, si bien la interpretación jurisprudencial de los estándares mínimos de motivación es poco estricta.</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¿Cuánto tiempo pasa después de la detención y antes de que se determine el estatus migratorio de la persona? ¿Cuánto tiempo toma la determinación inicial del estatus migratorio?</w:t>
      </w:r>
    </w:p>
    <w:p w:rsidR="008B6341" w:rsidRPr="008344EA" w:rsidRDefault="008B6341"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8344EA">
        <w:rPr>
          <w:rFonts w:ascii="Times New Roman" w:hAnsi="Times New Roman" w:cs="Times New Roman"/>
          <w:sz w:val="24"/>
          <w:szCs w:val="24"/>
          <w:lang w:val="es-419"/>
        </w:rPr>
        <w:t>La determinación inicial puede realizarse en menos de 72 horas. La determinación definitiva del mismo puede requerir hasta 6 meses en vía administrativa y el mismo lapso (o bastante más) en sede judicial</w:t>
      </w:r>
      <w:r w:rsidR="008344EA">
        <w:rPr>
          <w:rFonts w:ascii="Times New Roman" w:hAnsi="Times New Roman" w:cs="Times New Roman"/>
          <w:sz w:val="24"/>
          <w:szCs w:val="24"/>
          <w:lang w:val="es-419"/>
        </w:rPr>
        <w:t>.</w:t>
      </w:r>
    </w:p>
    <w:p w:rsidR="007B0EF9"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Si hay familias involucradas, ¿sus casos son analizados y resueltos de forma separada o conjunta? ¿se toma en consideración el interés superior de los niños, niñas y adolescentes?</w:t>
      </w:r>
    </w:p>
    <w:p w:rsidR="00D443F5" w:rsidRPr="00D443F5" w:rsidRDefault="00D443F5" w:rsidP="00D443F5">
      <w:pPr>
        <w:spacing w:before="120" w:after="120" w:line="264"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Los casos se analizan</w:t>
      </w:r>
      <w:r w:rsidR="0020499C">
        <w:rPr>
          <w:rFonts w:ascii="Times New Roman" w:hAnsi="Times New Roman" w:cs="Times New Roman"/>
          <w:sz w:val="24"/>
          <w:szCs w:val="24"/>
          <w:lang w:val="es-419"/>
        </w:rPr>
        <w:t xml:space="preserve"> de manera individualizada</w:t>
      </w:r>
      <w:r>
        <w:rPr>
          <w:rFonts w:ascii="Times New Roman" w:hAnsi="Times New Roman" w:cs="Times New Roman"/>
          <w:sz w:val="24"/>
          <w:szCs w:val="24"/>
          <w:lang w:val="es-419"/>
        </w:rPr>
        <w:t xml:space="preserve">, si bien la situación familiar afecta a la resolución de los mismos. Por ejemplo, se tienen en cuenta los vínculos familiares con personas con permisos de residencia en España, e incluso se valora el perjuicio de la separación de personas de una misma familia con motivo de la expulsión de uno de sus miembros. </w:t>
      </w:r>
      <w:r w:rsidR="0020499C">
        <w:rPr>
          <w:rFonts w:ascii="Times New Roman" w:hAnsi="Times New Roman" w:cs="Times New Roman"/>
          <w:sz w:val="24"/>
          <w:szCs w:val="24"/>
          <w:lang w:val="es-419"/>
        </w:rPr>
        <w:t>En esta materia, en general, se tiene en cuenta el interés superior del menor.</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¿Cuáles son las consecuencias de la determinación de un estatus migratorio irregular? ¿Cuándo se ha determinado que una persona ingresó al país de forma irregular se mantiene en un centro de detención o es trasladada a un lugar diferente? ¿Las personas que ingresaron de forma irregular se encuentran sometidas a condiciones diferentes? ¿Los migrantes irregulares son elegibles para ser liberados bajo fianza hasta que se haya tomado una determinación final?</w:t>
      </w:r>
    </w:p>
    <w:p w:rsidR="0015152F" w:rsidRPr="002C701F" w:rsidRDefault="0015152F" w:rsidP="009A1772">
      <w:pPr>
        <w:spacing w:before="120" w:after="120" w:line="264" w:lineRule="auto"/>
        <w:jc w:val="both"/>
        <w:rPr>
          <w:rFonts w:ascii="Times New Roman" w:hAnsi="Times New Roman" w:cs="Times New Roman"/>
          <w:sz w:val="24"/>
          <w:szCs w:val="24"/>
          <w:lang w:val="es-419"/>
        </w:rPr>
      </w:pPr>
      <w:r w:rsidRPr="002C701F">
        <w:rPr>
          <w:rFonts w:ascii="Times New Roman" w:hAnsi="Times New Roman" w:cs="Times New Roman"/>
          <w:sz w:val="24"/>
          <w:szCs w:val="24"/>
          <w:lang w:val="es-419"/>
        </w:rPr>
        <w:t xml:space="preserve">Las consecuencias de un estatus migratorio irregular en España a día de hoy son la orden de salida obligatoria del país o de expulsión. Existen medidas cautelares distintas del internamiento, de la que se realiza enumeración no exhaustiva (no es </w:t>
      </w:r>
      <w:r w:rsidRPr="002C701F">
        <w:rPr>
          <w:rFonts w:ascii="Times New Roman" w:hAnsi="Times New Roman" w:cs="Times New Roman"/>
          <w:i/>
          <w:sz w:val="24"/>
          <w:szCs w:val="24"/>
          <w:lang w:val="es-419"/>
        </w:rPr>
        <w:t>numerus clausus</w:t>
      </w:r>
      <w:r w:rsidRPr="002C701F">
        <w:rPr>
          <w:rFonts w:ascii="Times New Roman" w:hAnsi="Times New Roman" w:cs="Times New Roman"/>
          <w:sz w:val="24"/>
          <w:szCs w:val="24"/>
          <w:lang w:val="es-419"/>
        </w:rPr>
        <w:t>) en el art. 61 LOEX: la presentación periódica ante las autoridades competentes, la residencia obligatoria en determinado lugar, la retirada del pasaporte o documento acreditativo de su nacionalidad. Pese a no prohibirlo la ley, no nos consta que se utilice la institución de la fianza o caución.</w:t>
      </w:r>
    </w:p>
    <w:p w:rsidR="007B0EF9" w:rsidRPr="00D30D0C" w:rsidRDefault="007B0EF9" w:rsidP="009A1772">
      <w:pPr>
        <w:pStyle w:val="ListParagraph"/>
        <w:numPr>
          <w:ilvl w:val="0"/>
          <w:numId w:val="2"/>
        </w:numPr>
        <w:spacing w:before="120" w:after="120" w:line="264" w:lineRule="auto"/>
        <w:ind w:left="340" w:hanging="227"/>
        <w:contextualSpacing w:val="0"/>
        <w:jc w:val="both"/>
        <w:rPr>
          <w:rFonts w:ascii="Times New Roman" w:hAnsi="Times New Roman" w:cs="Times New Roman"/>
          <w:b/>
          <w:color w:val="002060"/>
          <w:sz w:val="24"/>
          <w:szCs w:val="24"/>
          <w:lang w:val="es-419"/>
        </w:rPr>
      </w:pPr>
      <w:r w:rsidRPr="00D30D0C">
        <w:rPr>
          <w:rFonts w:ascii="Times New Roman" w:hAnsi="Times New Roman" w:cs="Times New Roman"/>
          <w:b/>
          <w:sz w:val="24"/>
          <w:szCs w:val="24"/>
          <w:lang w:val="es-419"/>
        </w:rPr>
        <w:t>¿Existe el derecho de apelar la determinación de un estatus migratorio irregular? ¿Cómo es el proceso de apelación? ¿Cuánto tiempo transcurre desde la determinación de un estatus migratorio irregular hasta la resolución de la apelación? ¿Qué garantías de debido proceso se otorgan durante el proceso de apelación? ¿El proceso de apelación tiene un efecto suspensivo con respecto a las deportaciones?</w:t>
      </w:r>
    </w:p>
    <w:p w:rsidR="0015152F" w:rsidRPr="002C701F" w:rsidRDefault="0015152F"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2C701F">
        <w:rPr>
          <w:rFonts w:ascii="Times New Roman" w:hAnsi="Times New Roman" w:cs="Times New Roman"/>
          <w:sz w:val="24"/>
          <w:szCs w:val="24"/>
          <w:lang w:val="es-419"/>
        </w:rPr>
        <w:t>Una decisión judicial desfavorable en primera instancia es revisable en apelación, recurso que no tiene efectos supensivos y cuya tramitación puede demorarse por seis o más meses en función del tribunal en el que recaiga.</w:t>
      </w:r>
    </w:p>
    <w:p w:rsidR="007B0EF9" w:rsidRPr="00D30D0C" w:rsidRDefault="007B0EF9" w:rsidP="009A1772">
      <w:pPr>
        <w:spacing w:before="120" w:after="120" w:line="264" w:lineRule="auto"/>
        <w:jc w:val="both"/>
        <w:rPr>
          <w:rFonts w:ascii="Times New Roman" w:hAnsi="Times New Roman" w:cs="Times New Roman"/>
          <w:b/>
          <w:sz w:val="24"/>
          <w:szCs w:val="24"/>
          <w:u w:val="single"/>
          <w:lang w:val="es-419"/>
        </w:rPr>
      </w:pPr>
      <w:r w:rsidRPr="00D30D0C">
        <w:rPr>
          <w:rFonts w:ascii="Times New Roman" w:hAnsi="Times New Roman" w:cs="Times New Roman"/>
          <w:b/>
          <w:sz w:val="24"/>
          <w:szCs w:val="24"/>
          <w:u w:val="single"/>
          <w:lang w:val="es-419"/>
        </w:rPr>
        <w:t>Parte. C. Impacto en las personas detenidas</w:t>
      </w:r>
    </w:p>
    <w:p w:rsidR="007B0EF9" w:rsidRPr="00D30D0C" w:rsidRDefault="007B0EF9" w:rsidP="009A1772">
      <w:pPr>
        <w:pStyle w:val="ListParagraph"/>
        <w:numPr>
          <w:ilvl w:val="0"/>
          <w:numId w:val="3"/>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Describa el impacto que tiene la detención en la salud física y mental de los detenidos</w:t>
      </w:r>
      <w:r w:rsidR="00D83CF4" w:rsidRPr="00D30D0C">
        <w:rPr>
          <w:rFonts w:ascii="Times New Roman" w:hAnsi="Times New Roman" w:cs="Times New Roman"/>
          <w:b/>
          <w:sz w:val="24"/>
          <w:szCs w:val="24"/>
          <w:lang w:val="es-419"/>
        </w:rPr>
        <w:t>.</w:t>
      </w:r>
    </w:p>
    <w:p w:rsidR="00D83CF4" w:rsidRDefault="00031A56" w:rsidP="009A1772">
      <w:pPr>
        <w:spacing w:before="120" w:after="120" w:line="264"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De por sí, la migración supone un cambio que afecta, en mayor o menor grado, a la salud física y mental de la persona migrante. En caso de ser detenida, dicho impacto será mayor. Las personas migrantes deben hacer frente a un duelo migratorio, que conlleva un estrés por choque cultural o por aculturación, en el sentido de que viven un desarraigo cultural, la </w:t>
      </w:r>
      <w:r w:rsidR="00967189">
        <w:rPr>
          <w:rFonts w:ascii="Times New Roman" w:hAnsi="Times New Roman" w:cs="Times New Roman"/>
          <w:sz w:val="24"/>
          <w:szCs w:val="24"/>
          <w:lang w:val="es-419"/>
        </w:rPr>
        <w:t xml:space="preserve">reducción significativa de su sistema de apoyo social, </w:t>
      </w:r>
      <w:r>
        <w:rPr>
          <w:rFonts w:ascii="Times New Roman" w:hAnsi="Times New Roman" w:cs="Times New Roman"/>
          <w:sz w:val="24"/>
          <w:szCs w:val="24"/>
          <w:lang w:val="es-419"/>
        </w:rPr>
        <w:t xml:space="preserve">el </w:t>
      </w:r>
      <w:r w:rsidR="00967189">
        <w:rPr>
          <w:rFonts w:ascii="Times New Roman" w:hAnsi="Times New Roman" w:cs="Times New Roman"/>
          <w:sz w:val="24"/>
          <w:szCs w:val="24"/>
          <w:lang w:val="es-419"/>
        </w:rPr>
        <w:t xml:space="preserve">incremento de la tensión psicobiológica como consecuencia del esfuerzo de adaptación, </w:t>
      </w:r>
      <w:r>
        <w:rPr>
          <w:rFonts w:ascii="Times New Roman" w:hAnsi="Times New Roman" w:cs="Times New Roman"/>
          <w:sz w:val="24"/>
          <w:szCs w:val="24"/>
          <w:lang w:val="es-419"/>
        </w:rPr>
        <w:t xml:space="preserve">el </w:t>
      </w:r>
      <w:r w:rsidR="00967189">
        <w:rPr>
          <w:rFonts w:ascii="Times New Roman" w:hAnsi="Times New Roman" w:cs="Times New Roman"/>
          <w:sz w:val="24"/>
          <w:szCs w:val="24"/>
          <w:lang w:val="es-419"/>
        </w:rPr>
        <w:t xml:space="preserve">sentimiento de pérdida de identidad, </w:t>
      </w:r>
      <w:r>
        <w:rPr>
          <w:rFonts w:ascii="Times New Roman" w:hAnsi="Times New Roman" w:cs="Times New Roman"/>
          <w:sz w:val="24"/>
          <w:szCs w:val="24"/>
          <w:lang w:val="es-419"/>
        </w:rPr>
        <w:t xml:space="preserve">la </w:t>
      </w:r>
      <w:r w:rsidR="00967189">
        <w:rPr>
          <w:rFonts w:ascii="Times New Roman" w:hAnsi="Times New Roman" w:cs="Times New Roman"/>
          <w:sz w:val="24"/>
          <w:szCs w:val="24"/>
          <w:lang w:val="es-419"/>
        </w:rPr>
        <w:t>percepción de rechazo</w:t>
      </w:r>
      <w:r>
        <w:rPr>
          <w:rFonts w:ascii="Times New Roman" w:hAnsi="Times New Roman" w:cs="Times New Roman"/>
          <w:sz w:val="24"/>
          <w:szCs w:val="24"/>
          <w:lang w:val="es-419"/>
        </w:rPr>
        <w:t xml:space="preserve"> por parte de la sociedad de acogida</w:t>
      </w:r>
      <w:r w:rsidR="00967189">
        <w:rPr>
          <w:rFonts w:ascii="Times New Roman" w:hAnsi="Times New Roman" w:cs="Times New Roman"/>
          <w:sz w:val="24"/>
          <w:szCs w:val="24"/>
          <w:lang w:val="es-419"/>
        </w:rPr>
        <w:t>,</w:t>
      </w:r>
      <w:r>
        <w:rPr>
          <w:rFonts w:ascii="Times New Roman" w:hAnsi="Times New Roman" w:cs="Times New Roman"/>
          <w:sz w:val="24"/>
          <w:szCs w:val="24"/>
          <w:lang w:val="es-419"/>
        </w:rPr>
        <w:t xml:space="preserve"> así como</w:t>
      </w:r>
      <w:r w:rsidR="00967189">
        <w:rPr>
          <w:rFonts w:ascii="Times New Roman" w:hAnsi="Times New Roman" w:cs="Times New Roman"/>
          <w:sz w:val="24"/>
          <w:szCs w:val="24"/>
          <w:lang w:val="es-419"/>
        </w:rPr>
        <w:t xml:space="preserve"> </w:t>
      </w:r>
      <w:r>
        <w:rPr>
          <w:rFonts w:ascii="Times New Roman" w:hAnsi="Times New Roman" w:cs="Times New Roman"/>
          <w:sz w:val="24"/>
          <w:szCs w:val="24"/>
          <w:lang w:val="es-419"/>
        </w:rPr>
        <w:t xml:space="preserve">la </w:t>
      </w:r>
      <w:r w:rsidR="00967189">
        <w:rPr>
          <w:rFonts w:ascii="Times New Roman" w:hAnsi="Times New Roman" w:cs="Times New Roman"/>
          <w:sz w:val="24"/>
          <w:szCs w:val="24"/>
          <w:lang w:val="es-419"/>
        </w:rPr>
        <w:t>impredictibilidad del entorno</w:t>
      </w:r>
      <w:r>
        <w:rPr>
          <w:rFonts w:ascii="Times New Roman" w:hAnsi="Times New Roman" w:cs="Times New Roman"/>
          <w:sz w:val="24"/>
          <w:szCs w:val="24"/>
          <w:lang w:val="es-419"/>
        </w:rPr>
        <w:t>. Si estas circunstancias adversas perduran en el tiempo, estas personas pueden sufrir el síndrome de Ulises</w:t>
      </w:r>
      <w:r>
        <w:rPr>
          <w:rStyle w:val="FootnoteReference"/>
          <w:rFonts w:ascii="Times New Roman" w:hAnsi="Times New Roman" w:cs="Times New Roman"/>
          <w:sz w:val="24"/>
          <w:szCs w:val="24"/>
          <w:lang w:val="es-419"/>
        </w:rPr>
        <w:footnoteReference w:id="4"/>
      </w:r>
      <w:r>
        <w:rPr>
          <w:rFonts w:ascii="Times New Roman" w:hAnsi="Times New Roman" w:cs="Times New Roman"/>
          <w:sz w:val="24"/>
          <w:szCs w:val="24"/>
          <w:lang w:val="es-419"/>
        </w:rPr>
        <w:t>; es decir, un estrés crónico y múltiple como consecuencia de haber abandonado su hogar, un mundo conocido, para llegar a otro nuevo, en condiciones extremas. Dentro de las distintas estrategias de aculturación del modelo de Berry</w:t>
      </w:r>
      <w:r>
        <w:rPr>
          <w:rStyle w:val="FootnoteReference"/>
          <w:rFonts w:ascii="Times New Roman" w:hAnsi="Times New Roman" w:cs="Times New Roman"/>
          <w:sz w:val="24"/>
          <w:szCs w:val="24"/>
          <w:lang w:val="es-419"/>
        </w:rPr>
        <w:footnoteReference w:id="5"/>
      </w:r>
      <w:r w:rsidR="008311F8">
        <w:rPr>
          <w:rFonts w:ascii="Times New Roman" w:hAnsi="Times New Roman" w:cs="Times New Roman"/>
          <w:sz w:val="24"/>
          <w:szCs w:val="24"/>
          <w:lang w:val="es-419"/>
        </w:rPr>
        <w:t>, aquella que mezcla el mantenimiento de la identidad y costumbres propias</w:t>
      </w:r>
      <w:r>
        <w:rPr>
          <w:rFonts w:ascii="Times New Roman" w:hAnsi="Times New Roman" w:cs="Times New Roman"/>
          <w:sz w:val="24"/>
          <w:szCs w:val="24"/>
          <w:lang w:val="es-419"/>
        </w:rPr>
        <w:t xml:space="preserve"> </w:t>
      </w:r>
      <w:r w:rsidR="008311F8">
        <w:rPr>
          <w:rFonts w:ascii="Times New Roman" w:hAnsi="Times New Roman" w:cs="Times New Roman"/>
          <w:sz w:val="24"/>
          <w:szCs w:val="24"/>
          <w:lang w:val="es-419"/>
        </w:rPr>
        <w:t>con el mantenimiento de relaciones con miembros de la sociedad europea (enfoque de integración) sería el más sano, mientras que aquel que elimina o evita ambos factores (mantenimiento de la cultura y relaciones con la sociedad de acogida) resultaría en el más gravoso (enfoque de marginación)</w:t>
      </w:r>
      <w:r w:rsidR="008311F8">
        <w:rPr>
          <w:rStyle w:val="FootnoteReference"/>
          <w:rFonts w:ascii="Times New Roman" w:hAnsi="Times New Roman" w:cs="Times New Roman"/>
          <w:sz w:val="24"/>
          <w:szCs w:val="24"/>
          <w:lang w:val="es-419"/>
        </w:rPr>
        <w:footnoteReference w:id="6"/>
      </w:r>
      <w:r w:rsidR="008311F8">
        <w:rPr>
          <w:rFonts w:ascii="Times New Roman" w:hAnsi="Times New Roman" w:cs="Times New Roman"/>
          <w:sz w:val="24"/>
          <w:szCs w:val="24"/>
          <w:lang w:val="es-419"/>
        </w:rPr>
        <w:t xml:space="preserve">. Este sería el vivido por las personas migrantes detenidas. </w:t>
      </w:r>
    </w:p>
    <w:p w:rsidR="00BB6055" w:rsidRDefault="00BB6055" w:rsidP="009A1772">
      <w:pPr>
        <w:spacing w:before="120" w:after="120" w:line="264"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En la práctica, el 60% de personas migrantes internadas en los CIE refiere sufrir dolores de cabeza o migrañas; el 50% afirma tener dolores de tipo osteo-muscular; el 25% tiene problemas de piel, con relación a la falta de higiene; el 65% tiene problemas de insomnio, el 75% </w:t>
      </w:r>
      <w:r w:rsidR="00355D40">
        <w:rPr>
          <w:rFonts w:ascii="Times New Roman" w:hAnsi="Times New Roman" w:cs="Times New Roman"/>
          <w:sz w:val="24"/>
          <w:szCs w:val="24"/>
          <w:lang w:val="es-419"/>
        </w:rPr>
        <w:t>refiere tristeza y ganas de llorar; el 10% de ellas tiene ideación suicida (el 2% presenta ideas estructuradas y consistentes de suicidio). Asimismo, la desesperación, el bloqueo o confusión, el sentimiento de importencia, y aquellos de tensión y estrés, son persistentes en todos los centros.</w:t>
      </w:r>
      <w:r w:rsidR="00355D40">
        <w:rPr>
          <w:rStyle w:val="FootnoteReference"/>
          <w:rFonts w:ascii="Times New Roman" w:hAnsi="Times New Roman" w:cs="Times New Roman"/>
          <w:sz w:val="24"/>
          <w:szCs w:val="24"/>
          <w:lang w:val="es-419"/>
        </w:rPr>
        <w:footnoteReference w:id="7"/>
      </w:r>
    </w:p>
    <w:p w:rsidR="007B0EF9" w:rsidRPr="00D30D0C" w:rsidRDefault="007B0EF9" w:rsidP="009A1772">
      <w:pPr>
        <w:pStyle w:val="ListParagraph"/>
        <w:numPr>
          <w:ilvl w:val="0"/>
          <w:numId w:val="3"/>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 xml:space="preserve">Describa el impacto diferenciado de la detención en grupos en situación de vulnerabilidad, incluidas las minorías raciales y étnicas. </w:t>
      </w:r>
      <w:r w:rsidRPr="00D30D0C">
        <w:rPr>
          <w:rFonts w:ascii="Times New Roman" w:hAnsi="Times New Roman" w:cs="Times New Roman"/>
          <w:b/>
          <w:color w:val="212121"/>
          <w:sz w:val="24"/>
          <w:szCs w:val="24"/>
        </w:rPr>
        <w:t>¿Qué sistemas o prácticas existen para prevenir la discriminación tanto en los procedimientos como en la detención?</w:t>
      </w:r>
    </w:p>
    <w:p w:rsidR="00E651EB" w:rsidRDefault="00E651EB" w:rsidP="009A1772">
      <w:pPr>
        <w:spacing w:before="120" w:after="120" w:line="264"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No existen protocolos específicos para evitar la discriminación contra determinados colectivos. </w:t>
      </w:r>
    </w:p>
    <w:p w:rsidR="007B0EF9" w:rsidRPr="00D30D0C" w:rsidRDefault="007B0EF9" w:rsidP="009A1772">
      <w:pPr>
        <w:pStyle w:val="ListParagraph"/>
        <w:numPr>
          <w:ilvl w:val="0"/>
          <w:numId w:val="3"/>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Por favor, describa la forma en que la detención migratoria en su país afecta a los niños, niñas y adolescentes sujetos a ella. ¿Cómo se ve afectado el derecho a</w:t>
      </w:r>
      <w:r w:rsidR="00046C32" w:rsidRPr="00D30D0C">
        <w:rPr>
          <w:rFonts w:ascii="Times New Roman" w:hAnsi="Times New Roman" w:cs="Times New Roman"/>
          <w:b/>
          <w:sz w:val="24"/>
          <w:szCs w:val="24"/>
          <w:lang w:val="es-419"/>
        </w:rPr>
        <w:t xml:space="preserve"> </w:t>
      </w:r>
      <w:r w:rsidRPr="00D30D0C">
        <w:rPr>
          <w:rFonts w:ascii="Times New Roman" w:hAnsi="Times New Roman" w:cs="Times New Roman"/>
          <w:b/>
          <w:sz w:val="24"/>
          <w:szCs w:val="24"/>
          <w:lang w:val="es-419"/>
        </w:rPr>
        <w:t>la educación por a detención? ¿Hay recursos educativos disponibles en las instalaciones en las que se lleva a cabo la detención? Describa cualquier programa existente.</w:t>
      </w:r>
    </w:p>
    <w:p w:rsidR="003D29BB" w:rsidRDefault="00604E0D" w:rsidP="009A1772">
      <w:pPr>
        <w:spacing w:before="120" w:after="120" w:line="264" w:lineRule="auto"/>
        <w:jc w:val="both"/>
        <w:rPr>
          <w:rFonts w:ascii="Times New Roman" w:hAnsi="Times New Roman" w:cs="Times New Roman"/>
          <w:sz w:val="24"/>
          <w:szCs w:val="24"/>
          <w:lang w:val="es-419"/>
        </w:rPr>
      </w:pPr>
      <w:r w:rsidRPr="00484184">
        <w:rPr>
          <w:rFonts w:ascii="Times New Roman" w:hAnsi="Times New Roman" w:cs="Times New Roman"/>
          <w:sz w:val="24"/>
          <w:szCs w:val="24"/>
          <w:lang w:val="es-419"/>
        </w:rPr>
        <w:t>Si bien, en teoría, no se interna en los CIE a menores, en la práctica, debido a la problemática relacionada con el procedimiento de determinación de edad</w:t>
      </w:r>
      <w:r w:rsidR="00D35002">
        <w:rPr>
          <w:rFonts w:ascii="Times New Roman" w:hAnsi="Times New Roman" w:cs="Times New Roman"/>
          <w:sz w:val="24"/>
          <w:szCs w:val="24"/>
          <w:lang w:val="es-419"/>
        </w:rPr>
        <w:t xml:space="preserve"> que se ha explicado en la pregunta n.º 8 de la Parte A de este documento</w:t>
      </w:r>
      <w:r w:rsidRPr="00484184">
        <w:rPr>
          <w:rFonts w:ascii="Times New Roman" w:hAnsi="Times New Roman" w:cs="Times New Roman"/>
          <w:sz w:val="24"/>
          <w:szCs w:val="24"/>
          <w:lang w:val="es-419"/>
        </w:rPr>
        <w:t>, puede haber menores detenidos en los centros. De ser así, no tienen acceso a la educación</w:t>
      </w:r>
      <w:r w:rsidR="003D29BB" w:rsidRPr="00484184">
        <w:rPr>
          <w:rFonts w:ascii="Times New Roman" w:hAnsi="Times New Roman" w:cs="Times New Roman"/>
          <w:sz w:val="24"/>
          <w:szCs w:val="24"/>
          <w:lang w:val="es-419"/>
        </w:rPr>
        <w:t>.</w:t>
      </w:r>
      <w:r w:rsidR="003D29BB">
        <w:rPr>
          <w:rFonts w:ascii="Times New Roman" w:hAnsi="Times New Roman" w:cs="Times New Roman"/>
          <w:sz w:val="24"/>
          <w:szCs w:val="24"/>
          <w:lang w:val="es-419"/>
        </w:rPr>
        <w:t xml:space="preserve"> </w:t>
      </w:r>
    </w:p>
    <w:p w:rsidR="007B0EF9" w:rsidRPr="00D30D0C" w:rsidRDefault="007B0EF9" w:rsidP="009A1772">
      <w:pPr>
        <w:pStyle w:val="ListParagraph"/>
        <w:numPr>
          <w:ilvl w:val="0"/>
          <w:numId w:val="3"/>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¿Se toma en consideración el respeto a la unidad familiar durante la detención?</w:t>
      </w:r>
    </w:p>
    <w:p w:rsidR="00046C32" w:rsidRDefault="003B512C" w:rsidP="003B512C">
      <w:pPr>
        <w:spacing w:before="120" w:after="120" w:line="264"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Como se ha explicado anteriormente (Parte B – Pregunta n.º 13), si bien la detención de miembros de una unidad familiar se estudia de forma individualizada, se tienen en cuenta aspectos como el permiso de residencia de sus miembros o el perjuicio que supondría una expulsión de uno de ellos para el resto en las detenciones y procedimientos sancionadores incoados. Por otro lado, y en lo que respecta a su internamiento en los CIE, aunque existan módulos para unidades familiares, sus condiciones los hacen inadecuados para garantizar la convivencia familiar.</w:t>
      </w:r>
    </w:p>
    <w:p w:rsidR="007B0EF9" w:rsidRPr="00D30D0C" w:rsidRDefault="007B0EF9" w:rsidP="009A1772">
      <w:pPr>
        <w:pStyle w:val="ListParagraph"/>
        <w:numPr>
          <w:ilvl w:val="0"/>
          <w:numId w:val="3"/>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¿Se suele mantener a los niños detenidos? ¿Durante cuánto tiempo?</w:t>
      </w:r>
    </w:p>
    <w:p w:rsidR="006B5262" w:rsidRPr="006B5262" w:rsidRDefault="00D35002" w:rsidP="009A1772">
      <w:pPr>
        <w:spacing w:before="120" w:after="120" w:line="264" w:lineRule="auto"/>
        <w:jc w:val="both"/>
        <w:rPr>
          <w:rFonts w:ascii="Times New Roman" w:hAnsi="Times New Roman" w:cs="Times New Roman"/>
          <w:sz w:val="24"/>
          <w:szCs w:val="24"/>
          <w:lang w:val="es-419"/>
        </w:rPr>
      </w:pPr>
      <w:r w:rsidRPr="005D4419">
        <w:rPr>
          <w:rFonts w:ascii="Times New Roman" w:hAnsi="Times New Roman" w:cs="Times New Roman"/>
          <w:sz w:val="24"/>
          <w:szCs w:val="24"/>
          <w:lang w:val="es-419"/>
        </w:rPr>
        <w:t>Véase</w:t>
      </w:r>
      <w:r>
        <w:rPr>
          <w:rFonts w:ascii="Times New Roman" w:hAnsi="Times New Roman" w:cs="Times New Roman"/>
          <w:sz w:val="24"/>
          <w:szCs w:val="24"/>
          <w:lang w:val="es-419"/>
        </w:rPr>
        <w:t xml:space="preserve"> Parte A – Pregunta n.º 8 y Parte C – Pregunta n.º 3.</w:t>
      </w:r>
    </w:p>
    <w:p w:rsidR="007B0EF9" w:rsidRPr="00D30D0C" w:rsidRDefault="007B0EF9" w:rsidP="009A1772">
      <w:pPr>
        <w:pStyle w:val="ListParagraph"/>
        <w:numPr>
          <w:ilvl w:val="0"/>
          <w:numId w:val="3"/>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¿Cómo afecta la detención migratoria a las mujeres? ¿Existen recursos de salud disponibles para las mujeres detenidas? ¿Cómo pueden las mujeres detenidas acceder a ellos? ¿Existen recursos para mujeres embarazadas que se encuentren en detención? ¿Cuáles son las condiciones de las mujeres embarazadas que se encuentran en detención?</w:t>
      </w:r>
    </w:p>
    <w:p w:rsidR="00F821A1" w:rsidRDefault="00F821A1" w:rsidP="009A1772">
      <w:pPr>
        <w:spacing w:before="120" w:after="120" w:line="264"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El</w:t>
      </w:r>
      <w:r w:rsidRPr="00147C75">
        <w:rPr>
          <w:rFonts w:ascii="Times New Roman" w:hAnsi="Times New Roman" w:cs="Times New Roman"/>
          <w:sz w:val="24"/>
          <w:szCs w:val="24"/>
          <w:lang w:val="es-419"/>
        </w:rPr>
        <w:t xml:space="preserve"> RCIE </w:t>
      </w:r>
      <w:r>
        <w:rPr>
          <w:rFonts w:ascii="Times New Roman" w:hAnsi="Times New Roman" w:cs="Times New Roman"/>
          <w:sz w:val="24"/>
          <w:szCs w:val="24"/>
          <w:lang w:val="es-419"/>
        </w:rPr>
        <w:t xml:space="preserve">contempla, en su artículo 16.2, apartado f, </w:t>
      </w:r>
      <w:r w:rsidRPr="00147C75">
        <w:rPr>
          <w:rFonts w:ascii="Times New Roman" w:hAnsi="Times New Roman" w:cs="Times New Roman"/>
          <w:sz w:val="24"/>
          <w:szCs w:val="24"/>
          <w:lang w:val="es-419"/>
        </w:rPr>
        <w:t>el derecho a un seguimiento médico especial para muj</w:t>
      </w:r>
      <w:r>
        <w:rPr>
          <w:rFonts w:ascii="Times New Roman" w:hAnsi="Times New Roman" w:cs="Times New Roman"/>
          <w:sz w:val="24"/>
          <w:szCs w:val="24"/>
          <w:lang w:val="es-419"/>
        </w:rPr>
        <w:t>eres embarazadas</w:t>
      </w:r>
      <w:r w:rsidRPr="00147C75">
        <w:rPr>
          <w:rFonts w:ascii="Times New Roman" w:hAnsi="Times New Roman" w:cs="Times New Roman"/>
          <w:sz w:val="24"/>
          <w:szCs w:val="24"/>
          <w:lang w:val="es-419"/>
        </w:rPr>
        <w:t>.</w:t>
      </w:r>
    </w:p>
    <w:p w:rsidR="007B0EF9" w:rsidRPr="00D30D0C" w:rsidRDefault="007B0EF9" w:rsidP="009A1772">
      <w:pPr>
        <w:spacing w:before="120" w:after="120" w:line="264" w:lineRule="auto"/>
        <w:jc w:val="both"/>
        <w:rPr>
          <w:rFonts w:ascii="Times New Roman" w:hAnsi="Times New Roman" w:cs="Times New Roman"/>
          <w:b/>
          <w:sz w:val="24"/>
          <w:szCs w:val="24"/>
          <w:u w:val="single"/>
          <w:lang w:val="es-419"/>
        </w:rPr>
      </w:pPr>
      <w:r w:rsidRPr="00D30D0C">
        <w:rPr>
          <w:rFonts w:ascii="Times New Roman" w:hAnsi="Times New Roman" w:cs="Times New Roman"/>
          <w:b/>
          <w:sz w:val="24"/>
          <w:szCs w:val="24"/>
          <w:u w:val="single"/>
          <w:lang w:val="es-419"/>
        </w:rPr>
        <w:t>Parte D. Alternativas a la detención</w:t>
      </w:r>
    </w:p>
    <w:p w:rsidR="007B0EF9" w:rsidRPr="00D30D0C" w:rsidRDefault="007B0EF9" w:rsidP="009A1772">
      <w:pPr>
        <w:pStyle w:val="ListParagraph"/>
        <w:numPr>
          <w:ilvl w:val="0"/>
          <w:numId w:val="4"/>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¿Qué alternativas a la detención existen en su país? Describa las alternativas existentes, cómo son percibidas por la mayoría de la población y su proceso de implementación</w:t>
      </w:r>
      <w:r w:rsidR="00726D01">
        <w:rPr>
          <w:rFonts w:ascii="Times New Roman" w:hAnsi="Times New Roman" w:cs="Times New Roman"/>
          <w:b/>
          <w:sz w:val="24"/>
          <w:szCs w:val="24"/>
          <w:lang w:val="es-419"/>
        </w:rPr>
        <w:t>.</w:t>
      </w:r>
    </w:p>
    <w:p w:rsidR="00344C7D" w:rsidRPr="00344C7D" w:rsidRDefault="0015152F"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344C7D">
        <w:rPr>
          <w:rFonts w:ascii="Times New Roman" w:hAnsi="Times New Roman" w:cs="Times New Roman"/>
          <w:sz w:val="24"/>
          <w:szCs w:val="24"/>
          <w:lang w:val="es-419"/>
        </w:rPr>
        <w:t>Como ya se ha mencionado</w:t>
      </w:r>
      <w:r w:rsidR="00167A0D" w:rsidRPr="00344C7D">
        <w:rPr>
          <w:rFonts w:ascii="Times New Roman" w:hAnsi="Times New Roman" w:cs="Times New Roman"/>
          <w:sz w:val="24"/>
          <w:szCs w:val="24"/>
          <w:lang w:val="es-419"/>
        </w:rPr>
        <w:t>,</w:t>
      </w:r>
      <w:r w:rsidRPr="00344C7D">
        <w:rPr>
          <w:rFonts w:ascii="Times New Roman" w:hAnsi="Times New Roman" w:cs="Times New Roman"/>
          <w:sz w:val="24"/>
          <w:szCs w:val="24"/>
          <w:lang w:val="es-419"/>
        </w:rPr>
        <w:t xml:space="preserve"> la legislación española establece alternativas </w:t>
      </w:r>
      <w:r w:rsidR="00167A0D" w:rsidRPr="00344C7D">
        <w:rPr>
          <w:rFonts w:ascii="Times New Roman" w:hAnsi="Times New Roman" w:cs="Times New Roman"/>
          <w:sz w:val="24"/>
          <w:szCs w:val="24"/>
          <w:lang w:val="es-419"/>
        </w:rPr>
        <w:t>(</w:t>
      </w:r>
      <w:r w:rsidRPr="00344C7D">
        <w:rPr>
          <w:rFonts w:ascii="Times New Roman" w:hAnsi="Times New Roman" w:cs="Times New Roman"/>
          <w:sz w:val="24"/>
          <w:szCs w:val="24"/>
          <w:lang w:val="es-419"/>
        </w:rPr>
        <w:t xml:space="preserve">no </w:t>
      </w:r>
      <w:r w:rsidR="00167A0D" w:rsidRPr="00344C7D">
        <w:rPr>
          <w:rFonts w:ascii="Times New Roman" w:hAnsi="Times New Roman" w:cs="Times New Roman"/>
          <w:sz w:val="24"/>
          <w:szCs w:val="24"/>
          <w:lang w:val="es-419"/>
        </w:rPr>
        <w:t>cont</w:t>
      </w:r>
      <w:r w:rsidR="007E0DCC">
        <w:rPr>
          <w:rFonts w:ascii="Times New Roman" w:hAnsi="Times New Roman" w:cs="Times New Roman"/>
          <w:sz w:val="24"/>
          <w:szCs w:val="24"/>
          <w:lang w:val="es-419"/>
        </w:rPr>
        <w:t>e</w:t>
      </w:r>
      <w:r w:rsidR="00167A0D" w:rsidRPr="00344C7D">
        <w:rPr>
          <w:rFonts w:ascii="Times New Roman" w:hAnsi="Times New Roman" w:cs="Times New Roman"/>
          <w:sz w:val="24"/>
          <w:szCs w:val="24"/>
          <w:lang w:val="es-419"/>
        </w:rPr>
        <w:t xml:space="preserve">mpladas como </w:t>
      </w:r>
      <w:r w:rsidRPr="00344C7D">
        <w:rPr>
          <w:rFonts w:ascii="Times New Roman" w:hAnsi="Times New Roman" w:cs="Times New Roman"/>
          <w:i/>
          <w:sz w:val="24"/>
          <w:szCs w:val="24"/>
          <w:lang w:val="es-419"/>
        </w:rPr>
        <w:t>numerus clausus</w:t>
      </w:r>
      <w:r w:rsidR="00167A0D" w:rsidRPr="00344C7D">
        <w:rPr>
          <w:rFonts w:ascii="Times New Roman" w:hAnsi="Times New Roman" w:cs="Times New Roman"/>
          <w:sz w:val="24"/>
          <w:szCs w:val="24"/>
          <w:lang w:val="es-419"/>
        </w:rPr>
        <w:t xml:space="preserve">) </w:t>
      </w:r>
      <w:r w:rsidR="00CB4A45" w:rsidRPr="00344C7D">
        <w:rPr>
          <w:rFonts w:ascii="Times New Roman" w:hAnsi="Times New Roman" w:cs="Times New Roman"/>
          <w:sz w:val="24"/>
          <w:szCs w:val="24"/>
          <w:lang w:val="es-419"/>
        </w:rPr>
        <w:t>al internamiento de extranjeros;</w:t>
      </w:r>
      <w:r w:rsidRPr="00344C7D">
        <w:rPr>
          <w:rFonts w:ascii="Times New Roman" w:hAnsi="Times New Roman" w:cs="Times New Roman"/>
          <w:sz w:val="24"/>
          <w:szCs w:val="24"/>
          <w:lang w:val="es-419"/>
        </w:rPr>
        <w:t xml:space="preserve"> por ejemplo</w:t>
      </w:r>
      <w:r w:rsidR="00CB4A45" w:rsidRPr="00344C7D">
        <w:rPr>
          <w:rFonts w:ascii="Times New Roman" w:hAnsi="Times New Roman" w:cs="Times New Roman"/>
          <w:sz w:val="24"/>
          <w:szCs w:val="24"/>
          <w:lang w:val="es-419"/>
        </w:rPr>
        <w:t>,</w:t>
      </w:r>
      <w:r w:rsidRPr="00344C7D">
        <w:rPr>
          <w:rFonts w:ascii="Times New Roman" w:hAnsi="Times New Roman" w:cs="Times New Roman"/>
          <w:sz w:val="24"/>
          <w:szCs w:val="24"/>
          <w:lang w:val="es-419"/>
        </w:rPr>
        <w:t xml:space="preserve"> la imposición de comparecencias periódicas del extranjero</w:t>
      </w:r>
      <w:r w:rsidR="0044774A" w:rsidRPr="00344C7D">
        <w:rPr>
          <w:rFonts w:ascii="Times New Roman" w:hAnsi="Times New Roman" w:cs="Times New Roman"/>
          <w:sz w:val="24"/>
          <w:szCs w:val="24"/>
          <w:lang w:val="es-419"/>
        </w:rPr>
        <w:t>,</w:t>
      </w:r>
      <w:r w:rsidRPr="00344C7D">
        <w:rPr>
          <w:rFonts w:ascii="Times New Roman" w:hAnsi="Times New Roman" w:cs="Times New Roman"/>
          <w:sz w:val="24"/>
          <w:szCs w:val="24"/>
          <w:lang w:val="es-419"/>
        </w:rPr>
        <w:t xml:space="preserve"> la obligación de residir en un </w:t>
      </w:r>
      <w:r w:rsidRPr="008A1984">
        <w:rPr>
          <w:rFonts w:ascii="Times New Roman" w:hAnsi="Times New Roman" w:cs="Times New Roman"/>
          <w:sz w:val="24"/>
          <w:szCs w:val="24"/>
          <w:lang w:val="es-419"/>
        </w:rPr>
        <w:t>determinado lugar</w:t>
      </w:r>
      <w:r w:rsidR="0044774A" w:rsidRPr="008A1984">
        <w:rPr>
          <w:rFonts w:ascii="Times New Roman" w:hAnsi="Times New Roman" w:cs="Times New Roman"/>
          <w:sz w:val="24"/>
          <w:szCs w:val="24"/>
          <w:lang w:val="es-419"/>
        </w:rPr>
        <w:t>, o la retirada del pasaporte o documentativo acreditativo de su nacionalidad</w:t>
      </w:r>
      <w:r w:rsidRPr="008A1984">
        <w:rPr>
          <w:rFonts w:ascii="Times New Roman" w:hAnsi="Times New Roman" w:cs="Times New Roman"/>
          <w:sz w:val="24"/>
          <w:szCs w:val="24"/>
          <w:lang w:val="es-419"/>
        </w:rPr>
        <w:t xml:space="preserve">. </w:t>
      </w:r>
      <w:r w:rsidR="00726D01" w:rsidRPr="008A1984">
        <w:rPr>
          <w:rFonts w:ascii="Times New Roman" w:hAnsi="Times New Roman" w:cs="Times New Roman"/>
          <w:sz w:val="24"/>
          <w:szCs w:val="24"/>
          <w:lang w:val="es-419"/>
        </w:rPr>
        <w:t>L</w:t>
      </w:r>
      <w:r w:rsidRPr="008A1984">
        <w:rPr>
          <w:rFonts w:ascii="Times New Roman" w:hAnsi="Times New Roman" w:cs="Times New Roman"/>
          <w:sz w:val="24"/>
          <w:szCs w:val="24"/>
          <w:lang w:val="es-419"/>
        </w:rPr>
        <w:t>a población</w:t>
      </w:r>
      <w:r w:rsidR="00726D01" w:rsidRPr="008A1984">
        <w:rPr>
          <w:rFonts w:ascii="Times New Roman" w:hAnsi="Times New Roman" w:cs="Times New Roman"/>
          <w:sz w:val="24"/>
          <w:szCs w:val="24"/>
          <w:lang w:val="es-419"/>
        </w:rPr>
        <w:t>,</w:t>
      </w:r>
      <w:r w:rsidRPr="008A1984">
        <w:rPr>
          <w:rFonts w:ascii="Times New Roman" w:hAnsi="Times New Roman" w:cs="Times New Roman"/>
          <w:sz w:val="24"/>
          <w:szCs w:val="24"/>
          <w:lang w:val="es-419"/>
        </w:rPr>
        <w:t xml:space="preserve"> en su conjunto</w:t>
      </w:r>
      <w:r w:rsidR="00726D01" w:rsidRPr="008A1984">
        <w:rPr>
          <w:rFonts w:ascii="Times New Roman" w:hAnsi="Times New Roman" w:cs="Times New Roman"/>
          <w:sz w:val="24"/>
          <w:szCs w:val="24"/>
          <w:lang w:val="es-419"/>
        </w:rPr>
        <w:t>,</w:t>
      </w:r>
      <w:r w:rsidRPr="008A1984">
        <w:rPr>
          <w:rFonts w:ascii="Times New Roman" w:hAnsi="Times New Roman" w:cs="Times New Roman"/>
          <w:sz w:val="24"/>
          <w:szCs w:val="24"/>
          <w:lang w:val="es-419"/>
        </w:rPr>
        <w:t xml:space="preserve"> desconoce </w:t>
      </w:r>
      <w:r w:rsidR="00726D01" w:rsidRPr="008A1984">
        <w:rPr>
          <w:rFonts w:ascii="Times New Roman" w:hAnsi="Times New Roman" w:cs="Times New Roman"/>
          <w:sz w:val="24"/>
          <w:szCs w:val="24"/>
          <w:lang w:val="es-419"/>
        </w:rPr>
        <w:t xml:space="preserve">este procedimiento, así como las alternativas; no obstante, parece que </w:t>
      </w:r>
      <w:r w:rsidRPr="008A1984">
        <w:rPr>
          <w:rFonts w:ascii="Times New Roman" w:hAnsi="Times New Roman" w:cs="Times New Roman"/>
          <w:sz w:val="24"/>
          <w:szCs w:val="24"/>
          <w:lang w:val="es-419"/>
        </w:rPr>
        <w:t xml:space="preserve">no es favorable a la privación de libertad de </w:t>
      </w:r>
      <w:r w:rsidR="008A1984" w:rsidRPr="008A1984">
        <w:rPr>
          <w:rFonts w:ascii="Times New Roman" w:hAnsi="Times New Roman" w:cs="Times New Roman"/>
          <w:sz w:val="24"/>
          <w:szCs w:val="24"/>
          <w:lang w:val="es-419"/>
        </w:rPr>
        <w:t>personas</w:t>
      </w:r>
      <w:r w:rsidRPr="008A1984">
        <w:rPr>
          <w:rFonts w:ascii="Times New Roman" w:hAnsi="Times New Roman" w:cs="Times New Roman"/>
          <w:sz w:val="24"/>
          <w:szCs w:val="24"/>
          <w:lang w:val="es-419"/>
        </w:rPr>
        <w:t xml:space="preserve"> extranjer</w:t>
      </w:r>
      <w:r w:rsidR="008A1984" w:rsidRPr="008A1984">
        <w:rPr>
          <w:rFonts w:ascii="Times New Roman" w:hAnsi="Times New Roman" w:cs="Times New Roman"/>
          <w:sz w:val="24"/>
          <w:szCs w:val="24"/>
          <w:lang w:val="es-419"/>
        </w:rPr>
        <w:t>a</w:t>
      </w:r>
      <w:r w:rsidRPr="008A1984">
        <w:rPr>
          <w:rFonts w:ascii="Times New Roman" w:hAnsi="Times New Roman" w:cs="Times New Roman"/>
          <w:sz w:val="24"/>
          <w:szCs w:val="24"/>
          <w:lang w:val="es-419"/>
        </w:rPr>
        <w:t xml:space="preserve">s </w:t>
      </w:r>
      <w:r w:rsidR="008A1984" w:rsidRPr="008A1984">
        <w:rPr>
          <w:rFonts w:ascii="Times New Roman" w:hAnsi="Times New Roman" w:cs="Times New Roman"/>
          <w:sz w:val="24"/>
          <w:szCs w:val="24"/>
          <w:lang w:val="es-419"/>
        </w:rPr>
        <w:t>por</w:t>
      </w:r>
      <w:r w:rsidRPr="008A1984">
        <w:rPr>
          <w:rFonts w:ascii="Times New Roman" w:hAnsi="Times New Roman" w:cs="Times New Roman"/>
          <w:sz w:val="24"/>
          <w:szCs w:val="24"/>
          <w:lang w:val="es-419"/>
        </w:rPr>
        <w:t xml:space="preserve"> una mera infracción administrativa.</w:t>
      </w:r>
    </w:p>
    <w:p w:rsidR="007B0EF9" w:rsidRPr="00D30D0C" w:rsidRDefault="007B0EF9" w:rsidP="009A1772">
      <w:pPr>
        <w:pStyle w:val="ListParagraph"/>
        <w:numPr>
          <w:ilvl w:val="0"/>
          <w:numId w:val="4"/>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sz w:val="24"/>
          <w:szCs w:val="24"/>
          <w:lang w:val="es-419"/>
        </w:rPr>
        <w:t>¿Todas las personas detenidas tienen acceso a las alternativas a la detención? ¿Cuántas personas obtienen una alternativa a la detención en comparación con el número de detenidos?</w:t>
      </w:r>
    </w:p>
    <w:p w:rsidR="0015152F" w:rsidRPr="00344C7D" w:rsidRDefault="0015152F" w:rsidP="009A1772">
      <w:pPr>
        <w:pStyle w:val="ListParagraph"/>
        <w:spacing w:before="120" w:after="120" w:line="264" w:lineRule="auto"/>
        <w:ind w:left="0"/>
        <w:contextualSpacing w:val="0"/>
        <w:jc w:val="both"/>
        <w:rPr>
          <w:rFonts w:ascii="Times New Roman" w:hAnsi="Times New Roman" w:cs="Times New Roman"/>
          <w:sz w:val="24"/>
          <w:szCs w:val="24"/>
          <w:lang w:val="es-419"/>
        </w:rPr>
      </w:pPr>
      <w:r w:rsidRPr="00344C7D">
        <w:rPr>
          <w:rFonts w:ascii="Times New Roman" w:hAnsi="Times New Roman" w:cs="Times New Roman"/>
          <w:sz w:val="24"/>
          <w:szCs w:val="24"/>
          <w:lang w:val="es-419"/>
        </w:rPr>
        <w:t>Si bien se hallan previstas legalmente, salvedad hecha del arresto policial</w:t>
      </w:r>
      <w:r w:rsidR="00344C7D" w:rsidRPr="00344C7D">
        <w:rPr>
          <w:rFonts w:ascii="Times New Roman" w:hAnsi="Times New Roman" w:cs="Times New Roman"/>
          <w:sz w:val="24"/>
          <w:szCs w:val="24"/>
          <w:lang w:val="es-419"/>
        </w:rPr>
        <w:t>,</w:t>
      </w:r>
      <w:r w:rsidRPr="00344C7D">
        <w:rPr>
          <w:rFonts w:ascii="Times New Roman" w:hAnsi="Times New Roman" w:cs="Times New Roman"/>
          <w:sz w:val="24"/>
          <w:szCs w:val="24"/>
          <w:lang w:val="es-419"/>
        </w:rPr>
        <w:t xml:space="preserve"> no son de aplicación habitual.</w:t>
      </w:r>
    </w:p>
    <w:p w:rsidR="007B0EF9" w:rsidRPr="00D30D0C" w:rsidRDefault="007B0EF9" w:rsidP="009A1772">
      <w:pPr>
        <w:pStyle w:val="ListParagraph"/>
        <w:numPr>
          <w:ilvl w:val="0"/>
          <w:numId w:val="4"/>
        </w:numPr>
        <w:spacing w:before="120" w:after="120" w:line="264" w:lineRule="auto"/>
        <w:ind w:left="340" w:hanging="227"/>
        <w:contextualSpacing w:val="0"/>
        <w:jc w:val="both"/>
        <w:rPr>
          <w:rFonts w:ascii="Times New Roman" w:hAnsi="Times New Roman" w:cs="Times New Roman"/>
          <w:b/>
          <w:sz w:val="24"/>
          <w:szCs w:val="24"/>
          <w:lang w:val="es-419"/>
        </w:rPr>
      </w:pPr>
      <w:r w:rsidRPr="00D30D0C">
        <w:rPr>
          <w:rFonts w:ascii="Times New Roman" w:hAnsi="Times New Roman" w:cs="Times New Roman"/>
          <w:b/>
          <w:color w:val="212121"/>
          <w:sz w:val="24"/>
          <w:szCs w:val="24"/>
        </w:rPr>
        <w:t>¿Se han propuesto políticas que podrían alcanzar los mismos objetivos que la detención en su país? ¿Cómo ha sido recibidas estas propuestas? ¿Las propuestas de alternativas a la detención generalmente son aprobadas o han sido rechazadas? Describa las críticas a las políticas de alternativas a la detención por parte del público en general. Si estas propuestas han sido rechazadas, ¿cuál fue la razón para rechazarlas?</w:t>
      </w:r>
    </w:p>
    <w:p w:rsidR="00747ECA" w:rsidRPr="00747ECA" w:rsidRDefault="00CF1E99" w:rsidP="00AA6B8D">
      <w:pPr>
        <w:spacing w:before="120" w:after="120" w:line="264" w:lineRule="auto"/>
        <w:jc w:val="both"/>
        <w:rPr>
          <w:rFonts w:ascii="Times New Roman" w:hAnsi="Times New Roman" w:cs="Times New Roman"/>
          <w:sz w:val="24"/>
          <w:szCs w:val="24"/>
        </w:rPr>
      </w:pPr>
      <w:r>
        <w:rPr>
          <w:rFonts w:ascii="Times New Roman" w:hAnsi="Times New Roman" w:cs="Times New Roman"/>
          <w:sz w:val="24"/>
          <w:szCs w:val="24"/>
          <w:lang w:val="es-419"/>
        </w:rPr>
        <w:t>No se han propuesto alternativas a la detención. La única iniciativa relacionada con ello (Moción de interpelación urgente presentada</w:t>
      </w:r>
      <w:r w:rsidR="00CE724E">
        <w:rPr>
          <w:rFonts w:ascii="Times New Roman" w:hAnsi="Times New Roman" w:cs="Times New Roman"/>
          <w:sz w:val="24"/>
          <w:szCs w:val="24"/>
          <w:lang w:val="es-419"/>
        </w:rPr>
        <w:t xml:space="preserve"> el 28 de mayo de 2015</w:t>
      </w:r>
      <w:r>
        <w:rPr>
          <w:rFonts w:ascii="Times New Roman" w:hAnsi="Times New Roman" w:cs="Times New Roman"/>
          <w:sz w:val="24"/>
          <w:szCs w:val="24"/>
          <w:lang w:val="es-419"/>
        </w:rPr>
        <w:t xml:space="preserve"> por el Grupo Parlamentario de Izquierda Unida, ICV-EuiA, CHA: La Izquierda Plural</w:t>
      </w:r>
      <w:r w:rsidR="00CE724E">
        <w:rPr>
          <w:rFonts w:ascii="Times New Roman" w:hAnsi="Times New Roman" w:cs="Times New Roman"/>
          <w:sz w:val="24"/>
          <w:szCs w:val="24"/>
          <w:lang w:val="es-419"/>
        </w:rPr>
        <w:t>, y rechazada el 11 de junio de 2015) pedía al Gobierno “poner fin a las detenciones sistemáticas de personas migradas como herramienta de la gestión migratoria” sin ofrecer alternativas. Solicitaba, también, “impedir el efecto de la situación de la doble condena, totalmente discriminatoria y desproporcionada” e instaba al Gobierno a “cerrar los Centros de Internamiento de Extranjeros” y pedía que, de no llevarse a cabo dicha medida, se garantizase “a la persona asesoramiento legal para poder acceder a una condición administrativa regular”</w:t>
      </w:r>
      <w:r w:rsidR="00AA6B8D">
        <w:rPr>
          <w:rFonts w:ascii="Times New Roman" w:hAnsi="Times New Roman" w:cs="Times New Roman"/>
          <w:sz w:val="24"/>
          <w:szCs w:val="24"/>
          <w:lang w:val="es-419"/>
        </w:rPr>
        <w:t>.</w:t>
      </w:r>
    </w:p>
    <w:sectPr w:rsidR="00747ECA" w:rsidRPr="00747EC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DD" w:rsidRDefault="008331DD" w:rsidP="00A25081">
      <w:pPr>
        <w:spacing w:after="0" w:line="240" w:lineRule="auto"/>
      </w:pPr>
      <w:r>
        <w:separator/>
      </w:r>
    </w:p>
  </w:endnote>
  <w:endnote w:type="continuationSeparator" w:id="0">
    <w:p w:rsidR="008331DD" w:rsidRDefault="008331DD" w:rsidP="00A2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DD" w:rsidRDefault="008331DD" w:rsidP="00A25081">
      <w:pPr>
        <w:spacing w:after="0" w:line="240" w:lineRule="auto"/>
      </w:pPr>
      <w:r>
        <w:separator/>
      </w:r>
    </w:p>
  </w:footnote>
  <w:footnote w:type="continuationSeparator" w:id="0">
    <w:p w:rsidR="008331DD" w:rsidRDefault="008331DD" w:rsidP="00A25081">
      <w:pPr>
        <w:spacing w:after="0" w:line="240" w:lineRule="auto"/>
      </w:pPr>
      <w:r>
        <w:continuationSeparator/>
      </w:r>
    </w:p>
  </w:footnote>
  <w:footnote w:id="1">
    <w:p w:rsidR="00745582" w:rsidRPr="00FE3377" w:rsidRDefault="00745582" w:rsidP="00FE3377">
      <w:pPr>
        <w:pStyle w:val="FootnoteText"/>
        <w:jc w:val="both"/>
        <w:rPr>
          <w:rFonts w:ascii="Times New Roman" w:hAnsi="Times New Roman" w:cs="Times New Roman"/>
        </w:rPr>
      </w:pPr>
      <w:r w:rsidRPr="00FE3377">
        <w:rPr>
          <w:rStyle w:val="FootnoteReference"/>
          <w:rFonts w:ascii="Times New Roman" w:hAnsi="Times New Roman" w:cs="Times New Roman"/>
        </w:rPr>
        <w:footnoteRef/>
      </w:r>
      <w:r w:rsidRPr="00FE3377">
        <w:rPr>
          <w:rFonts w:ascii="Times New Roman" w:hAnsi="Times New Roman" w:cs="Times New Roman"/>
        </w:rPr>
        <w:t xml:space="preserve"> Defensor del Pueblo, Informe anual 2014, p. 221 (consultado el 1 de abril de 2019). Disponible en: </w:t>
      </w:r>
      <w:hyperlink r:id="rId1" w:history="1">
        <w:r w:rsidRPr="00FE3377">
          <w:rPr>
            <w:rStyle w:val="Hyperlink"/>
            <w:rFonts w:ascii="Times New Roman" w:hAnsi="Times New Roman" w:cs="Times New Roman"/>
          </w:rPr>
          <w:t>https://bit.ly/2CPq638</w:t>
        </w:r>
      </w:hyperlink>
      <w:r w:rsidRPr="00FE3377">
        <w:rPr>
          <w:rFonts w:ascii="Times New Roman" w:hAnsi="Times New Roman" w:cs="Times New Roman"/>
        </w:rPr>
        <w:t xml:space="preserve"> </w:t>
      </w:r>
    </w:p>
  </w:footnote>
  <w:footnote w:id="2">
    <w:p w:rsidR="00FE3377" w:rsidRPr="00FE3377" w:rsidRDefault="00FE3377" w:rsidP="00FE3377">
      <w:pPr>
        <w:pStyle w:val="FootnoteText"/>
        <w:jc w:val="both"/>
      </w:pPr>
      <w:r w:rsidRPr="00FE3377">
        <w:rPr>
          <w:rStyle w:val="FootnoteReference"/>
          <w:rFonts w:ascii="Times New Roman" w:hAnsi="Times New Roman" w:cs="Times New Roman"/>
        </w:rPr>
        <w:footnoteRef/>
      </w:r>
      <w:r w:rsidRPr="00FE3377">
        <w:rPr>
          <w:rFonts w:ascii="Times New Roman" w:hAnsi="Times New Roman" w:cs="Times New Roman"/>
        </w:rPr>
        <w:t xml:space="preserve"> SOLANES CORELLA, Á. (2016). Un análisis crítico de los Centros de Internamiento de Extranjeros en España: normativa, realidad y alternativas. </w:t>
      </w:r>
      <w:r w:rsidRPr="00FE3377">
        <w:rPr>
          <w:rFonts w:ascii="Times New Roman" w:hAnsi="Times New Roman" w:cs="Times New Roman"/>
          <w:i/>
        </w:rPr>
        <w:t>Revista Telemática de Filosofía del Derecho, n.º 19</w:t>
      </w:r>
      <w:r w:rsidRPr="00FE3377">
        <w:rPr>
          <w:rFonts w:ascii="Times New Roman" w:hAnsi="Times New Roman" w:cs="Times New Roman"/>
        </w:rPr>
        <w:t xml:space="preserve">, </w:t>
      </w:r>
      <w:r w:rsidR="007D42D8">
        <w:rPr>
          <w:rFonts w:ascii="Times New Roman" w:hAnsi="Times New Roman" w:cs="Times New Roman"/>
        </w:rPr>
        <w:t>65 y 66</w:t>
      </w:r>
      <w:r w:rsidRPr="00FE3377">
        <w:rPr>
          <w:rFonts w:ascii="Times New Roman" w:hAnsi="Times New Roman" w:cs="Times New Roman"/>
        </w:rPr>
        <w:t>.</w:t>
      </w:r>
    </w:p>
  </w:footnote>
  <w:footnote w:id="3">
    <w:p w:rsidR="00DC00A2" w:rsidRPr="00DC00A2" w:rsidRDefault="00DC00A2" w:rsidP="00DC00A2">
      <w:pPr>
        <w:pStyle w:val="FootnoteText"/>
        <w:jc w:val="both"/>
        <w:rPr>
          <w:rFonts w:ascii="Times New Roman" w:hAnsi="Times New Roman" w:cs="Times New Roman"/>
        </w:rPr>
      </w:pPr>
      <w:r w:rsidRPr="00DC00A2">
        <w:rPr>
          <w:rStyle w:val="FootnoteReference"/>
          <w:rFonts w:ascii="Times New Roman" w:hAnsi="Times New Roman" w:cs="Times New Roman"/>
        </w:rPr>
        <w:footnoteRef/>
      </w:r>
      <w:r w:rsidRPr="00DC00A2">
        <w:rPr>
          <w:rFonts w:ascii="Times New Roman" w:hAnsi="Times New Roman" w:cs="Times New Roman"/>
        </w:rPr>
        <w:t xml:space="preserve"> Dictamen del Comité de los Derechos del Niño en el caso </w:t>
      </w:r>
      <w:r w:rsidRPr="00F46A92">
        <w:rPr>
          <w:rFonts w:ascii="Times New Roman" w:hAnsi="Times New Roman" w:cs="Times New Roman"/>
          <w:i/>
        </w:rPr>
        <w:t>N.B.F. c. España</w:t>
      </w:r>
      <w:r w:rsidRPr="00DC00A2">
        <w:rPr>
          <w:rFonts w:ascii="Times New Roman" w:hAnsi="Times New Roman" w:cs="Times New Roman"/>
        </w:rPr>
        <w:t xml:space="preserve">, de 27 de septiembre de 2018 </w:t>
      </w:r>
      <w:r w:rsidRPr="00DC00A2">
        <w:rPr>
          <w:rFonts w:ascii="Times New Roman" w:hAnsi="Times New Roman" w:cs="Times New Roman"/>
          <w:lang w:val="es-419"/>
        </w:rPr>
        <w:t>(</w:t>
      </w:r>
      <w:hyperlink r:id="rId2" w:history="1">
        <w:r w:rsidRPr="00DC00A2">
          <w:rPr>
            <w:rStyle w:val="Hyperlink"/>
            <w:rFonts w:ascii="Times New Roman" w:hAnsi="Times New Roman" w:cs="Times New Roman"/>
            <w:lang w:val="es-419"/>
          </w:rPr>
          <w:t>CRC/C/79/D/11/2017</w:t>
        </w:r>
      </w:hyperlink>
      <w:r w:rsidRPr="00DC00A2">
        <w:rPr>
          <w:rFonts w:ascii="Times New Roman" w:hAnsi="Times New Roman" w:cs="Times New Roman"/>
          <w:lang w:val="es-419"/>
        </w:rPr>
        <w:t>)</w:t>
      </w:r>
      <w:r>
        <w:rPr>
          <w:rFonts w:ascii="Times New Roman" w:hAnsi="Times New Roman" w:cs="Times New Roman"/>
          <w:lang w:val="es-419"/>
        </w:rPr>
        <w:t>.</w:t>
      </w:r>
    </w:p>
  </w:footnote>
  <w:footnote w:id="4">
    <w:p w:rsidR="00031A56" w:rsidRPr="00E96C6D" w:rsidRDefault="00031A56" w:rsidP="008311F8">
      <w:pPr>
        <w:pStyle w:val="FootnoteText"/>
        <w:jc w:val="both"/>
        <w:rPr>
          <w:rFonts w:ascii="Times New Roman" w:hAnsi="Times New Roman" w:cs="Times New Roman"/>
        </w:rPr>
      </w:pPr>
      <w:r w:rsidRPr="008311F8">
        <w:rPr>
          <w:rStyle w:val="FootnoteReference"/>
          <w:rFonts w:ascii="Times New Roman" w:hAnsi="Times New Roman" w:cs="Times New Roman"/>
        </w:rPr>
        <w:footnoteRef/>
      </w:r>
      <w:r w:rsidRPr="008311F8">
        <w:rPr>
          <w:rFonts w:ascii="Times New Roman" w:hAnsi="Times New Roman" w:cs="Times New Roman"/>
        </w:rPr>
        <w:t xml:space="preserve"> ACHOTEGUI, J. (2006). Estrés límite y salud mental: el síndrome del inmigrante con estrés crónico y múltiple (síndrome de Ulises). </w:t>
      </w:r>
      <w:r w:rsidRPr="00FF1513">
        <w:rPr>
          <w:rFonts w:ascii="Times New Roman" w:hAnsi="Times New Roman" w:cs="Times New Roman"/>
          <w:i/>
        </w:rPr>
        <w:t>Migraciones</w:t>
      </w:r>
      <w:r w:rsidRPr="00E96C6D">
        <w:rPr>
          <w:rFonts w:ascii="Times New Roman" w:hAnsi="Times New Roman" w:cs="Times New Roman"/>
        </w:rPr>
        <w:t>, 59-85.</w:t>
      </w:r>
    </w:p>
  </w:footnote>
  <w:footnote w:id="5">
    <w:p w:rsidR="00031A56" w:rsidRPr="00E96C6D" w:rsidRDefault="00031A56" w:rsidP="008311F8">
      <w:pPr>
        <w:pStyle w:val="FootnoteText"/>
        <w:jc w:val="both"/>
        <w:rPr>
          <w:rFonts w:ascii="Times New Roman" w:hAnsi="Times New Roman" w:cs="Times New Roman"/>
        </w:rPr>
      </w:pPr>
      <w:r w:rsidRPr="008311F8">
        <w:rPr>
          <w:rStyle w:val="FootnoteReference"/>
          <w:rFonts w:ascii="Times New Roman" w:hAnsi="Times New Roman" w:cs="Times New Roman"/>
        </w:rPr>
        <w:footnoteRef/>
      </w:r>
      <w:r w:rsidRPr="00E96C6D">
        <w:rPr>
          <w:rFonts w:ascii="Times New Roman" w:hAnsi="Times New Roman" w:cs="Times New Roman"/>
        </w:rPr>
        <w:t xml:space="preserve"> BERRY, J.W. (1997). </w:t>
      </w:r>
      <w:r w:rsidR="00FF1513" w:rsidRPr="00E96C6D">
        <w:rPr>
          <w:rFonts w:ascii="Times New Roman" w:hAnsi="Times New Roman" w:cs="Times New Roman"/>
        </w:rPr>
        <w:t>‘</w:t>
      </w:r>
      <w:r w:rsidRPr="00E96C6D">
        <w:rPr>
          <w:rFonts w:ascii="Times New Roman" w:hAnsi="Times New Roman" w:cs="Times New Roman"/>
        </w:rPr>
        <w:t>Immigration, acculturation and adaptation</w:t>
      </w:r>
      <w:r w:rsidR="00FF1513" w:rsidRPr="00E96C6D">
        <w:rPr>
          <w:rFonts w:ascii="Times New Roman" w:hAnsi="Times New Roman" w:cs="Times New Roman"/>
        </w:rPr>
        <w:t>’</w:t>
      </w:r>
      <w:r w:rsidRPr="00E96C6D">
        <w:rPr>
          <w:rFonts w:ascii="Times New Roman" w:hAnsi="Times New Roman" w:cs="Times New Roman"/>
        </w:rPr>
        <w:t xml:space="preserve">. </w:t>
      </w:r>
      <w:r w:rsidRPr="00E96C6D">
        <w:rPr>
          <w:rFonts w:ascii="Times New Roman" w:hAnsi="Times New Roman" w:cs="Times New Roman"/>
          <w:i/>
        </w:rPr>
        <w:t>Applied Psychology: An International Review, 46 (1)</w:t>
      </w:r>
      <w:r w:rsidR="00596F1A" w:rsidRPr="00E96C6D">
        <w:rPr>
          <w:rFonts w:ascii="Times New Roman" w:hAnsi="Times New Roman" w:cs="Times New Roman"/>
        </w:rPr>
        <w:t>, 5-68.</w:t>
      </w:r>
    </w:p>
  </w:footnote>
  <w:footnote w:id="6">
    <w:p w:rsidR="008311F8" w:rsidRPr="008311F8" w:rsidRDefault="008311F8" w:rsidP="008311F8">
      <w:pPr>
        <w:pStyle w:val="FootnoteText"/>
        <w:jc w:val="both"/>
        <w:rPr>
          <w:lang w:val="es-419"/>
        </w:rPr>
      </w:pPr>
      <w:r w:rsidRPr="008311F8">
        <w:rPr>
          <w:rStyle w:val="FootnoteReference"/>
          <w:rFonts w:ascii="Times New Roman" w:hAnsi="Times New Roman" w:cs="Times New Roman"/>
        </w:rPr>
        <w:footnoteRef/>
      </w:r>
      <w:r w:rsidRPr="008311F8">
        <w:rPr>
          <w:rFonts w:ascii="Times New Roman" w:hAnsi="Times New Roman" w:cs="Times New Roman"/>
        </w:rPr>
        <w:t xml:space="preserve"> </w:t>
      </w:r>
      <w:r>
        <w:rPr>
          <w:rFonts w:ascii="Times New Roman" w:hAnsi="Times New Roman" w:cs="Times New Roman"/>
        </w:rPr>
        <w:t xml:space="preserve">MARTÍNEZ GARCÍA, M. F., CALZADO VEGA, V., MARTÍNEZ GARCÍA, J. (2011). </w:t>
      </w:r>
      <w:r w:rsidR="007E0DCC">
        <w:rPr>
          <w:rFonts w:ascii="Times New Roman" w:hAnsi="Times New Roman" w:cs="Times New Roman"/>
        </w:rPr>
        <w:t>‘</w:t>
      </w:r>
      <w:r>
        <w:rPr>
          <w:rFonts w:ascii="Times New Roman" w:hAnsi="Times New Roman" w:cs="Times New Roman"/>
        </w:rPr>
        <w:t>Intervención social y comunitaria en el ámbito de la inmigración</w:t>
      </w:r>
      <w:r w:rsidR="007E0DCC">
        <w:rPr>
          <w:rFonts w:ascii="Times New Roman" w:hAnsi="Times New Roman" w:cs="Times New Roman"/>
        </w:rPr>
        <w:t>’</w:t>
      </w:r>
      <w:r>
        <w:rPr>
          <w:rFonts w:ascii="Times New Roman" w:hAnsi="Times New Roman" w:cs="Times New Roman"/>
        </w:rPr>
        <w:t xml:space="preserve">. En </w:t>
      </w:r>
      <w:r w:rsidRPr="008311F8">
        <w:rPr>
          <w:rFonts w:ascii="Times New Roman" w:hAnsi="Times New Roman" w:cs="Times New Roman"/>
        </w:rPr>
        <w:t>FERNÁNDEZ, I., MORALES, J. F., MOLERO, F. (</w:t>
      </w:r>
      <w:r>
        <w:rPr>
          <w:rFonts w:ascii="Times New Roman" w:hAnsi="Times New Roman" w:cs="Times New Roman"/>
        </w:rPr>
        <w:t>Coords</w:t>
      </w:r>
      <w:r w:rsidRPr="008311F8">
        <w:rPr>
          <w:rFonts w:ascii="Times New Roman" w:hAnsi="Times New Roman" w:cs="Times New Roman"/>
        </w:rPr>
        <w:t xml:space="preserve">) </w:t>
      </w:r>
      <w:r w:rsidRPr="008311F8">
        <w:rPr>
          <w:rFonts w:ascii="Times New Roman" w:hAnsi="Times New Roman" w:cs="Times New Roman"/>
          <w:i/>
        </w:rPr>
        <w:t>Psicología de la intervención comunitaria</w:t>
      </w:r>
      <w:r>
        <w:rPr>
          <w:rFonts w:ascii="Times New Roman" w:hAnsi="Times New Roman" w:cs="Times New Roman"/>
          <w:i/>
        </w:rPr>
        <w:t xml:space="preserve"> </w:t>
      </w:r>
      <w:r>
        <w:rPr>
          <w:rFonts w:ascii="Times New Roman" w:hAnsi="Times New Roman" w:cs="Times New Roman"/>
        </w:rPr>
        <w:t>(pp. 245-288)</w:t>
      </w:r>
      <w:r w:rsidRPr="008311F8">
        <w:rPr>
          <w:rFonts w:ascii="Times New Roman" w:hAnsi="Times New Roman" w:cs="Times New Roman"/>
        </w:rPr>
        <w:t xml:space="preserve">, </w:t>
      </w:r>
      <w:r>
        <w:rPr>
          <w:rFonts w:ascii="Times New Roman" w:hAnsi="Times New Roman" w:cs="Times New Roman"/>
        </w:rPr>
        <w:t xml:space="preserve">Bilbao: </w:t>
      </w:r>
      <w:r w:rsidRPr="008311F8">
        <w:rPr>
          <w:rFonts w:ascii="Times New Roman" w:hAnsi="Times New Roman" w:cs="Times New Roman"/>
        </w:rPr>
        <w:t>Desclée de Brouwer.</w:t>
      </w:r>
    </w:p>
  </w:footnote>
  <w:footnote w:id="7">
    <w:p w:rsidR="00355D40" w:rsidRPr="00355D40" w:rsidRDefault="00355D40" w:rsidP="00355D40">
      <w:pPr>
        <w:pStyle w:val="FootnoteText"/>
        <w:jc w:val="both"/>
        <w:rPr>
          <w:rFonts w:ascii="Times New Roman" w:hAnsi="Times New Roman" w:cs="Times New Roman"/>
        </w:rPr>
      </w:pPr>
      <w:r w:rsidRPr="00355D40">
        <w:rPr>
          <w:rStyle w:val="FootnoteReference"/>
          <w:rFonts w:ascii="Times New Roman" w:hAnsi="Times New Roman" w:cs="Times New Roman"/>
        </w:rPr>
        <w:footnoteRef/>
      </w:r>
      <w:r w:rsidRPr="00355D40">
        <w:rPr>
          <w:rFonts w:ascii="Times New Roman" w:hAnsi="Times New Roman" w:cs="Times New Roman"/>
        </w:rPr>
        <w:t xml:space="preserve"> C</w:t>
      </w:r>
      <w:r w:rsidR="00FF1513">
        <w:rPr>
          <w:rFonts w:ascii="Times New Roman" w:hAnsi="Times New Roman" w:cs="Times New Roman"/>
        </w:rPr>
        <w:t>omisión Española de Ayuda al Refugiado</w:t>
      </w:r>
      <w:r w:rsidRPr="00355D40">
        <w:rPr>
          <w:rFonts w:ascii="Times New Roman" w:hAnsi="Times New Roman" w:cs="Times New Roman"/>
        </w:rPr>
        <w:t xml:space="preserve"> (2009). </w:t>
      </w:r>
      <w:r w:rsidRPr="00355D40">
        <w:rPr>
          <w:rFonts w:ascii="Times New Roman" w:hAnsi="Times New Roman" w:cs="Times New Roman"/>
          <w:i/>
        </w:rPr>
        <w:t xml:space="preserve">Situación de los Centros de Internamiento para Extranjeros en España. </w:t>
      </w:r>
      <w:r w:rsidRPr="00355D40">
        <w:rPr>
          <w:rFonts w:ascii="Times New Roman" w:hAnsi="Times New Roman" w:cs="Times New Roman"/>
        </w:rPr>
        <w:t>Informe Técnico en el marco del estudio europeo DEVAS, pp. 147-150.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484B"/>
    <w:multiLevelType w:val="hybridMultilevel"/>
    <w:tmpl w:val="DE202BAA"/>
    <w:lvl w:ilvl="0" w:tplc="0C0A000F">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 w15:restartNumberingAfterBreak="0">
    <w:nsid w:val="4C121B37"/>
    <w:multiLevelType w:val="hybridMultilevel"/>
    <w:tmpl w:val="A318751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4C2274BF"/>
    <w:multiLevelType w:val="hybridMultilevel"/>
    <w:tmpl w:val="387078C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1354D10"/>
    <w:multiLevelType w:val="hybridMultilevel"/>
    <w:tmpl w:val="3880048C"/>
    <w:lvl w:ilvl="0" w:tplc="B52AB9D6">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922031"/>
    <w:multiLevelType w:val="hybridMultilevel"/>
    <w:tmpl w:val="3930464C"/>
    <w:lvl w:ilvl="0" w:tplc="61C673EE">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Uyv9rx/yqgebB6DDOxF3M+U4s1PU+VuSCefB+Q9vXuDC1TsCK+QcnVqsKqxWsiNsQqL+xXUkTOCeQvXUWuN2PA==" w:salt="kpjMbIDIafQtdGabCHpr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F9"/>
    <w:rsid w:val="00001728"/>
    <w:rsid w:val="00016E23"/>
    <w:rsid w:val="00031A56"/>
    <w:rsid w:val="00032904"/>
    <w:rsid w:val="00042C72"/>
    <w:rsid w:val="00046C32"/>
    <w:rsid w:val="0006615D"/>
    <w:rsid w:val="00083BA4"/>
    <w:rsid w:val="000A3AFD"/>
    <w:rsid w:val="000C031F"/>
    <w:rsid w:val="001462A3"/>
    <w:rsid w:val="00147C75"/>
    <w:rsid w:val="0015152F"/>
    <w:rsid w:val="00167A0D"/>
    <w:rsid w:val="001834A5"/>
    <w:rsid w:val="001A1C52"/>
    <w:rsid w:val="001A2600"/>
    <w:rsid w:val="001F0CB3"/>
    <w:rsid w:val="001F58A4"/>
    <w:rsid w:val="002005F6"/>
    <w:rsid w:val="002027FA"/>
    <w:rsid w:val="0020499C"/>
    <w:rsid w:val="002C701F"/>
    <w:rsid w:val="002D2DDD"/>
    <w:rsid w:val="002E08E4"/>
    <w:rsid w:val="00322801"/>
    <w:rsid w:val="00344C7D"/>
    <w:rsid w:val="00353B8A"/>
    <w:rsid w:val="00355D40"/>
    <w:rsid w:val="00356282"/>
    <w:rsid w:val="00365C73"/>
    <w:rsid w:val="00393990"/>
    <w:rsid w:val="003B512C"/>
    <w:rsid w:val="003C67B5"/>
    <w:rsid w:val="003D00FA"/>
    <w:rsid w:val="003D29BB"/>
    <w:rsid w:val="003E64E6"/>
    <w:rsid w:val="003E6963"/>
    <w:rsid w:val="0042146C"/>
    <w:rsid w:val="0044774A"/>
    <w:rsid w:val="0045551F"/>
    <w:rsid w:val="00484184"/>
    <w:rsid w:val="004E778A"/>
    <w:rsid w:val="004F1413"/>
    <w:rsid w:val="004F329A"/>
    <w:rsid w:val="0051557A"/>
    <w:rsid w:val="00517B06"/>
    <w:rsid w:val="0052576C"/>
    <w:rsid w:val="00543B81"/>
    <w:rsid w:val="0056559F"/>
    <w:rsid w:val="00580216"/>
    <w:rsid w:val="00596F1A"/>
    <w:rsid w:val="005A1629"/>
    <w:rsid w:val="005D4419"/>
    <w:rsid w:val="005E73C4"/>
    <w:rsid w:val="00604E0D"/>
    <w:rsid w:val="00630A5C"/>
    <w:rsid w:val="006A0EE6"/>
    <w:rsid w:val="006B5262"/>
    <w:rsid w:val="006C7FCF"/>
    <w:rsid w:val="006E0E35"/>
    <w:rsid w:val="006F43AB"/>
    <w:rsid w:val="00704E7E"/>
    <w:rsid w:val="00720A1E"/>
    <w:rsid w:val="00726D01"/>
    <w:rsid w:val="00745582"/>
    <w:rsid w:val="00747ECA"/>
    <w:rsid w:val="00765FD5"/>
    <w:rsid w:val="00792110"/>
    <w:rsid w:val="007B0EF9"/>
    <w:rsid w:val="007B4439"/>
    <w:rsid w:val="007D2518"/>
    <w:rsid w:val="007D42D8"/>
    <w:rsid w:val="007E0DCC"/>
    <w:rsid w:val="00802AEB"/>
    <w:rsid w:val="00814702"/>
    <w:rsid w:val="00822E2A"/>
    <w:rsid w:val="008311F8"/>
    <w:rsid w:val="008331DD"/>
    <w:rsid w:val="008344EA"/>
    <w:rsid w:val="00837A8F"/>
    <w:rsid w:val="008446B7"/>
    <w:rsid w:val="0085524D"/>
    <w:rsid w:val="00864F6A"/>
    <w:rsid w:val="008843DB"/>
    <w:rsid w:val="008A1984"/>
    <w:rsid w:val="008B57C1"/>
    <w:rsid w:val="008B6341"/>
    <w:rsid w:val="008E2CAC"/>
    <w:rsid w:val="008F292A"/>
    <w:rsid w:val="008F79E0"/>
    <w:rsid w:val="00901991"/>
    <w:rsid w:val="00957955"/>
    <w:rsid w:val="00967189"/>
    <w:rsid w:val="0097675D"/>
    <w:rsid w:val="00985173"/>
    <w:rsid w:val="009A1772"/>
    <w:rsid w:val="009A1DFE"/>
    <w:rsid w:val="009A633E"/>
    <w:rsid w:val="009B65B1"/>
    <w:rsid w:val="009D67F4"/>
    <w:rsid w:val="00A25081"/>
    <w:rsid w:val="00A35952"/>
    <w:rsid w:val="00A406F0"/>
    <w:rsid w:val="00A5330E"/>
    <w:rsid w:val="00A73892"/>
    <w:rsid w:val="00AA6B8D"/>
    <w:rsid w:val="00AB5755"/>
    <w:rsid w:val="00AC12F1"/>
    <w:rsid w:val="00AE1F4B"/>
    <w:rsid w:val="00B01F15"/>
    <w:rsid w:val="00B11D3B"/>
    <w:rsid w:val="00B37CCF"/>
    <w:rsid w:val="00B47030"/>
    <w:rsid w:val="00B70FFF"/>
    <w:rsid w:val="00B979DE"/>
    <w:rsid w:val="00BB6055"/>
    <w:rsid w:val="00C372C3"/>
    <w:rsid w:val="00C83CCD"/>
    <w:rsid w:val="00CB2C1E"/>
    <w:rsid w:val="00CB4A45"/>
    <w:rsid w:val="00CD3949"/>
    <w:rsid w:val="00CE10CA"/>
    <w:rsid w:val="00CE724E"/>
    <w:rsid w:val="00CF1E99"/>
    <w:rsid w:val="00D059D4"/>
    <w:rsid w:val="00D26EAA"/>
    <w:rsid w:val="00D30D0C"/>
    <w:rsid w:val="00D35002"/>
    <w:rsid w:val="00D443F5"/>
    <w:rsid w:val="00D80424"/>
    <w:rsid w:val="00D83CF4"/>
    <w:rsid w:val="00DA059F"/>
    <w:rsid w:val="00DA065B"/>
    <w:rsid w:val="00DC00A2"/>
    <w:rsid w:val="00DD43F9"/>
    <w:rsid w:val="00DE0DD8"/>
    <w:rsid w:val="00E16D11"/>
    <w:rsid w:val="00E2413F"/>
    <w:rsid w:val="00E651EB"/>
    <w:rsid w:val="00E96C6D"/>
    <w:rsid w:val="00EA39B6"/>
    <w:rsid w:val="00EB4C2B"/>
    <w:rsid w:val="00EC24F0"/>
    <w:rsid w:val="00F02447"/>
    <w:rsid w:val="00F14CBA"/>
    <w:rsid w:val="00F35D5B"/>
    <w:rsid w:val="00F46A92"/>
    <w:rsid w:val="00F8204F"/>
    <w:rsid w:val="00F821A1"/>
    <w:rsid w:val="00F8360D"/>
    <w:rsid w:val="00F9501F"/>
    <w:rsid w:val="00FE3377"/>
    <w:rsid w:val="00FE79FD"/>
    <w:rsid w:val="00FF1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2E756-C7BC-4971-9F2E-2A408770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EF9"/>
    <w:pPr>
      <w:ind w:left="720"/>
      <w:contextualSpacing/>
    </w:pPr>
  </w:style>
  <w:style w:type="character" w:styleId="Hyperlink">
    <w:name w:val="Hyperlink"/>
    <w:basedOn w:val="DefaultParagraphFont"/>
    <w:uiPriority w:val="99"/>
    <w:unhideWhenUsed/>
    <w:rsid w:val="00A406F0"/>
    <w:rPr>
      <w:color w:val="0563C1" w:themeColor="hyperlink"/>
      <w:u w:val="single"/>
    </w:rPr>
  </w:style>
  <w:style w:type="paragraph" w:styleId="FootnoteText">
    <w:name w:val="footnote text"/>
    <w:basedOn w:val="Normal"/>
    <w:link w:val="FootnoteTextChar"/>
    <w:uiPriority w:val="99"/>
    <w:semiHidden/>
    <w:unhideWhenUsed/>
    <w:rsid w:val="00A25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081"/>
    <w:rPr>
      <w:sz w:val="20"/>
      <w:szCs w:val="20"/>
    </w:rPr>
  </w:style>
  <w:style w:type="character" w:styleId="FootnoteReference">
    <w:name w:val="footnote reference"/>
    <w:basedOn w:val="DefaultParagraphFont"/>
    <w:uiPriority w:val="99"/>
    <w:semiHidden/>
    <w:unhideWhenUsed/>
    <w:rsid w:val="00A25081"/>
    <w:rPr>
      <w:vertAlign w:val="superscript"/>
    </w:rPr>
  </w:style>
  <w:style w:type="paragraph" w:styleId="NormalWeb">
    <w:name w:val="Normal (Web)"/>
    <w:basedOn w:val="Normal"/>
    <w:uiPriority w:val="99"/>
    <w:semiHidden/>
    <w:unhideWhenUsed/>
    <w:rsid w:val="001515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
    <w:name w:val="Cuerpo"/>
    <w:rsid w:val="00D80424"/>
    <w:pPr>
      <w:pBdr>
        <w:top w:val="nil"/>
        <w:left w:val="nil"/>
        <w:bottom w:val="nil"/>
        <w:right w:val="nil"/>
        <w:between w:val="nil"/>
        <w:bar w:val="nil"/>
      </w:pBdr>
    </w:pPr>
    <w:rPr>
      <w:rFonts w:ascii="Calibri" w:eastAsia="Calibri" w:hAnsi="Calibri" w:cs="Calibri"/>
      <w:color w:val="000000"/>
      <w:u w:color="000000"/>
      <w:bdr w:val="nil"/>
      <w:lang w:val="es-ES_tradnl" w:eastAsia="es-ES_tradnl"/>
    </w:rPr>
  </w:style>
  <w:style w:type="character" w:customStyle="1" w:styleId="Hyperlink1">
    <w:name w:val="Hyperlink.1"/>
    <w:basedOn w:val="DefaultParagraphFont"/>
    <w:rsid w:val="00D80424"/>
    <w:rPr>
      <w:i/>
      <w:iCs/>
      <w:lang w:val="es-ES_tradnl"/>
    </w:rPr>
  </w:style>
  <w:style w:type="character" w:customStyle="1" w:styleId="Ninguno">
    <w:name w:val="Ninguno"/>
    <w:rsid w:val="00D80424"/>
    <w:rPr>
      <w:lang w:val="es-ES_tradnl"/>
    </w:rPr>
  </w:style>
  <w:style w:type="paragraph" w:styleId="BalloonText">
    <w:name w:val="Balloon Text"/>
    <w:basedOn w:val="Normal"/>
    <w:link w:val="BalloonTextChar"/>
    <w:uiPriority w:val="99"/>
    <w:semiHidden/>
    <w:unhideWhenUsed/>
    <w:rsid w:val="00D0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D4"/>
    <w:rPr>
      <w:rFonts w:ascii="Tahoma" w:hAnsi="Tahoma" w:cs="Tahoma"/>
      <w:sz w:val="16"/>
      <w:szCs w:val="16"/>
    </w:rPr>
  </w:style>
  <w:style w:type="character" w:customStyle="1" w:styleId="UnresolvedMention">
    <w:name w:val="Unresolved Mention"/>
    <w:basedOn w:val="DefaultParagraphFont"/>
    <w:uiPriority w:val="99"/>
    <w:semiHidden/>
    <w:unhideWhenUsed/>
    <w:rsid w:val="0088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e.es/buscar/act.php?id=BOE-A-2007-4184&amp;tn=1&amp;p=20151109"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boe.es/buscar/doc.php?id=BOE-A-1970-2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e.es/buscar/act.php?id=BOE-A-1882-6036&amp;p=20151006&amp;tn=1"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erjudicial.es/search/contenidos.action?action=contentpdf&amp;databasematch=TS&amp;reference=7327438&amp;links=&amp;optimize=20150317&amp;publicinterface=true" TargetMode="External"/><Relationship Id="rId5" Type="http://schemas.openxmlformats.org/officeDocument/2006/relationships/webSettings" Target="webSettings.xml"/><Relationship Id="rId15" Type="http://schemas.openxmlformats.org/officeDocument/2006/relationships/hyperlink" Target="https://www.boe.es/buscar/doc.php?id=BOE-A-1986-6859" TargetMode="External"/><Relationship Id="rId10" Type="http://schemas.openxmlformats.org/officeDocument/2006/relationships/hyperlink" Target="https://www.boe.es/buscar/doc.php?id=BOE-A-2014-2749"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e.es/buscar/act.php?id=BOE-A-1995-25444&amp;tn=1&amp;p=201504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C%2FC%2F79%2FD%2F11%2F2017&amp;Lang=en" TargetMode="External"/><Relationship Id="rId1" Type="http://schemas.openxmlformats.org/officeDocument/2006/relationships/hyperlink" Target="https://bit.ly/2CPq6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426249-9EB9-4ABB-9588-948E33AAD317}">
  <ds:schemaRefs>
    <ds:schemaRef ds:uri="http://schemas.openxmlformats.org/officeDocument/2006/bibliography"/>
  </ds:schemaRefs>
</ds:datastoreItem>
</file>

<file path=customXml/itemProps2.xml><?xml version="1.0" encoding="utf-8"?>
<ds:datastoreItem xmlns:ds="http://schemas.openxmlformats.org/officeDocument/2006/customXml" ds:itemID="{A8A6DCDB-9F19-4F9F-B6EA-CFBC7F2A2A2C}"/>
</file>

<file path=customXml/itemProps3.xml><?xml version="1.0" encoding="utf-8"?>
<ds:datastoreItem xmlns:ds="http://schemas.openxmlformats.org/officeDocument/2006/customXml" ds:itemID="{343FC0A7-26D0-479D-8327-71FE6ADC87AE}"/>
</file>

<file path=customXml/itemProps4.xml><?xml version="1.0" encoding="utf-8"?>
<ds:datastoreItem xmlns:ds="http://schemas.openxmlformats.org/officeDocument/2006/customXml" ds:itemID="{D8A3BDA8-F970-4B3B-9CEE-8CF7A80D2D0A}"/>
</file>

<file path=docProps/app.xml><?xml version="1.0" encoding="utf-8"?>
<Properties xmlns="http://schemas.openxmlformats.org/officeDocument/2006/extended-properties" xmlns:vt="http://schemas.openxmlformats.org/officeDocument/2006/docPropsVTypes">
  <Template>Normal.dotm</Template>
  <TotalTime>316</TotalTime>
  <Pages>11</Pages>
  <Words>4749</Words>
  <Characters>27070</Characters>
  <Application>Microsoft Office Word</Application>
  <DocSecurity>8</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Vidal</dc:creator>
  <cp:lastModifiedBy>Fleche Isabelle</cp:lastModifiedBy>
  <cp:revision>137</cp:revision>
  <dcterms:created xsi:type="dcterms:W3CDTF">2019-03-29T11:32:00Z</dcterms:created>
  <dcterms:modified xsi:type="dcterms:W3CDTF">2019-04-16T14:19:00Z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