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BB6A9" w14:textId="77777777" w:rsidR="00880740" w:rsidRDefault="00880740" w:rsidP="00880740">
      <w:pPr>
        <w:pStyle w:val="NoSpacing"/>
        <w:pBdr>
          <w:bottom w:val="single" w:sz="4" w:space="1" w:color="auto"/>
        </w:pBdr>
        <w:jc w:val="center"/>
        <w:rPr>
          <w:b/>
          <w:bCs/>
          <w:sz w:val="24"/>
          <w:szCs w:val="24"/>
        </w:rPr>
      </w:pPr>
    </w:p>
    <w:p w14:paraId="02702CE7" w14:textId="580FA847" w:rsidR="00880740" w:rsidRPr="00880740" w:rsidRDefault="00880740" w:rsidP="00880740">
      <w:pPr>
        <w:pStyle w:val="NoSpacing"/>
        <w:pBdr>
          <w:bottom w:val="single" w:sz="4" w:space="1" w:color="auto"/>
        </w:pBdr>
        <w:jc w:val="center"/>
        <w:rPr>
          <w:b/>
          <w:bCs/>
          <w:color w:val="000000"/>
          <w:sz w:val="24"/>
          <w:szCs w:val="24"/>
          <w:shd w:val="clear" w:color="auto" w:fill="FFFFFF"/>
        </w:rPr>
      </w:pPr>
      <w:r w:rsidRPr="00880740">
        <w:rPr>
          <w:b/>
          <w:bCs/>
          <w:color w:val="000000"/>
          <w:sz w:val="24"/>
          <w:szCs w:val="24"/>
          <w:shd w:val="clear" w:color="auto" w:fill="FFFFFF"/>
        </w:rPr>
        <w:t>Submission for General Comment on Migrants’ Right to Liberty</w:t>
      </w:r>
      <w:r w:rsidR="00FD4B45">
        <w:rPr>
          <w:b/>
          <w:bCs/>
          <w:color w:val="000000"/>
          <w:sz w:val="24"/>
          <w:szCs w:val="24"/>
          <w:shd w:val="clear" w:color="auto" w:fill="FFFFFF"/>
        </w:rPr>
        <w:t>.</w:t>
      </w:r>
    </w:p>
    <w:p w14:paraId="24774D3F" w14:textId="77777777" w:rsidR="00880740" w:rsidRPr="00880740" w:rsidRDefault="00880740" w:rsidP="00880740">
      <w:pPr>
        <w:pStyle w:val="NoSpacing"/>
        <w:pBdr>
          <w:bottom w:val="single" w:sz="4" w:space="1" w:color="auto"/>
        </w:pBdr>
        <w:jc w:val="center"/>
        <w:rPr>
          <w:b/>
          <w:bCs/>
          <w:color w:val="000000"/>
          <w:sz w:val="24"/>
          <w:szCs w:val="24"/>
          <w:shd w:val="clear" w:color="auto" w:fill="FFFFFF"/>
        </w:rPr>
      </w:pPr>
      <w:r w:rsidRPr="00880740">
        <w:rPr>
          <w:b/>
          <w:bCs/>
          <w:color w:val="000000"/>
          <w:sz w:val="24"/>
          <w:szCs w:val="24"/>
          <w:shd w:val="clear" w:color="auto" w:fill="FFFFFF"/>
        </w:rPr>
        <w:t xml:space="preserve">Written input to the Committee on the Protection of the Rights of All Migrant Workers and Members of Their Families </w:t>
      </w:r>
    </w:p>
    <w:p w14:paraId="6422A79D" w14:textId="77777777" w:rsidR="00880740" w:rsidRPr="00846508" w:rsidRDefault="00880740" w:rsidP="00880740">
      <w:pPr>
        <w:pStyle w:val="NoSpacing"/>
        <w:pBdr>
          <w:bottom w:val="single" w:sz="4" w:space="1" w:color="auto"/>
        </w:pBdr>
        <w:jc w:val="center"/>
        <w:rPr>
          <w:b/>
          <w:bCs/>
          <w:sz w:val="24"/>
          <w:szCs w:val="24"/>
        </w:rPr>
      </w:pPr>
    </w:p>
    <w:p w14:paraId="26A2A18E" w14:textId="77777777" w:rsidR="00880740" w:rsidRDefault="00880740" w:rsidP="00880740">
      <w:pPr>
        <w:jc w:val="both"/>
        <w:rPr>
          <w:b/>
          <w:color w:val="000000" w:themeColor="text1"/>
        </w:rPr>
      </w:pPr>
    </w:p>
    <w:p w14:paraId="71C4CB9E" w14:textId="4E83227C" w:rsidR="00880740" w:rsidRPr="004332AA" w:rsidRDefault="00880740" w:rsidP="00880740">
      <w:pPr>
        <w:jc w:val="both"/>
        <w:rPr>
          <w:rFonts w:cstheme="minorHAnsi"/>
          <w:b/>
          <w:color w:val="000000" w:themeColor="text1"/>
          <w:lang w:val="en-GB"/>
        </w:rPr>
      </w:pPr>
      <w:r w:rsidRPr="004332AA">
        <w:rPr>
          <w:rFonts w:cstheme="minorHAnsi"/>
          <w:b/>
          <w:color w:val="000000" w:themeColor="text1"/>
          <w:lang w:val="en-GB"/>
        </w:rPr>
        <w:t>Introduction</w:t>
      </w:r>
    </w:p>
    <w:p w14:paraId="73027848" w14:textId="33A83EC2" w:rsidR="004413D4" w:rsidRPr="004332AA" w:rsidRDefault="00880740" w:rsidP="004413D4">
      <w:pPr>
        <w:pStyle w:val="NoSpacing"/>
        <w:rPr>
          <w:rFonts w:cstheme="minorHAnsi"/>
        </w:rPr>
      </w:pPr>
      <w:r w:rsidRPr="004332AA">
        <w:rPr>
          <w:rFonts w:cstheme="minorHAnsi"/>
          <w:color w:val="000000" w:themeColor="text1"/>
        </w:rPr>
        <w:t xml:space="preserve">Refugee Rights Europe (RRE) is grateful for the opportunity to submit information on immigration detention in the United Kingdom. </w:t>
      </w:r>
      <w:r w:rsidR="00BC2CCF" w:rsidRPr="004332AA">
        <w:rPr>
          <w:rFonts w:cstheme="minorHAnsi"/>
          <w:color w:val="000000" w:themeColor="text1"/>
        </w:rPr>
        <w:t xml:space="preserve">The date </w:t>
      </w:r>
      <w:r w:rsidR="004413D4" w:rsidRPr="004332AA">
        <w:rPr>
          <w:rFonts w:cstheme="minorHAnsi"/>
          <w:color w:val="000000" w:themeColor="text1"/>
        </w:rPr>
        <w:t>of submission</w:t>
      </w:r>
      <w:r w:rsidR="00BC2CCF" w:rsidRPr="004332AA">
        <w:rPr>
          <w:rFonts w:cstheme="minorHAnsi"/>
          <w:color w:val="000000" w:themeColor="text1"/>
        </w:rPr>
        <w:t xml:space="preserve"> is </w:t>
      </w:r>
      <w:r w:rsidR="004413D4" w:rsidRPr="004332AA">
        <w:rPr>
          <w:rFonts w:cstheme="minorHAnsi"/>
          <w:color w:val="000000" w:themeColor="text1"/>
        </w:rPr>
        <w:t>1 April 2019</w:t>
      </w:r>
      <w:r w:rsidR="00BC2CCF" w:rsidRPr="004332AA">
        <w:rPr>
          <w:rFonts w:cstheme="minorHAnsi"/>
          <w:color w:val="000000" w:themeColor="text1"/>
        </w:rPr>
        <w:t>. Refugee Rights Europe may be contacted on</w:t>
      </w:r>
      <w:r w:rsidR="004413D4" w:rsidRPr="004332AA">
        <w:rPr>
          <w:rFonts w:cstheme="minorHAnsi"/>
          <w:color w:val="000000" w:themeColor="text1"/>
        </w:rPr>
        <w:t xml:space="preserve">: </w:t>
      </w:r>
      <w:hyperlink r:id="rId8" w:history="1">
        <w:r w:rsidR="00BC2CCF" w:rsidRPr="004332AA">
          <w:rPr>
            <w:rStyle w:val="Hyperlink"/>
            <w:rFonts w:cstheme="minorHAnsi"/>
          </w:rPr>
          <w:t>Info@RefugeeRights.org.uk</w:t>
        </w:r>
      </w:hyperlink>
      <w:r w:rsidR="00BC2CCF" w:rsidRPr="004332AA">
        <w:rPr>
          <w:rFonts w:cstheme="minorHAnsi"/>
        </w:rPr>
        <w:t>.</w:t>
      </w:r>
      <w:r w:rsidR="004413D4" w:rsidRPr="004332AA">
        <w:rPr>
          <w:rFonts w:cstheme="minorHAnsi"/>
        </w:rPr>
        <w:t xml:space="preserve"> </w:t>
      </w:r>
    </w:p>
    <w:p w14:paraId="7900E829" w14:textId="258E6AF1" w:rsidR="004413D4" w:rsidRPr="004332AA" w:rsidRDefault="004413D4" w:rsidP="00880740">
      <w:pPr>
        <w:jc w:val="both"/>
        <w:rPr>
          <w:rFonts w:cstheme="minorHAnsi"/>
          <w:color w:val="000000" w:themeColor="text1"/>
          <w:lang w:val="en-GB"/>
        </w:rPr>
      </w:pPr>
    </w:p>
    <w:p w14:paraId="20850CA0" w14:textId="3E87ACFB" w:rsidR="00880740" w:rsidRPr="004332AA" w:rsidRDefault="00880740" w:rsidP="00880740">
      <w:pPr>
        <w:jc w:val="both"/>
        <w:rPr>
          <w:rFonts w:cstheme="minorHAnsi"/>
          <w:b/>
          <w:color w:val="000000" w:themeColor="text1"/>
        </w:rPr>
      </w:pPr>
      <w:r w:rsidRPr="004332AA">
        <w:rPr>
          <w:rFonts w:cstheme="minorHAnsi"/>
          <w:b/>
          <w:color w:val="000000" w:themeColor="text1"/>
        </w:rPr>
        <w:t>Executive Summary</w:t>
      </w:r>
    </w:p>
    <w:p w14:paraId="2B4220C1" w14:textId="0B406B0E" w:rsidR="00880740" w:rsidRPr="004332AA" w:rsidRDefault="00FD4B45" w:rsidP="00880740">
      <w:pPr>
        <w:jc w:val="both"/>
        <w:rPr>
          <w:rFonts w:cstheme="minorHAnsi"/>
          <w:color w:val="000000" w:themeColor="text1"/>
        </w:rPr>
      </w:pPr>
      <w:r w:rsidRPr="004332AA">
        <w:rPr>
          <w:rFonts w:cstheme="minorHAnsi"/>
          <w:color w:val="000000" w:themeColor="text1"/>
        </w:rPr>
        <w:t>In this submission, we</w:t>
      </w:r>
      <w:r w:rsidR="00880740" w:rsidRPr="004332AA">
        <w:rPr>
          <w:rFonts w:cstheme="minorHAnsi"/>
          <w:color w:val="000000" w:themeColor="text1"/>
        </w:rPr>
        <w:t xml:space="preserve"> will cover the following topics:</w:t>
      </w:r>
    </w:p>
    <w:p w14:paraId="22EF62A8" w14:textId="50F2685B" w:rsidR="00880740" w:rsidRPr="004332AA" w:rsidRDefault="00880740" w:rsidP="00880740">
      <w:pPr>
        <w:pStyle w:val="ListParagraph"/>
        <w:numPr>
          <w:ilvl w:val="0"/>
          <w:numId w:val="6"/>
        </w:numPr>
        <w:jc w:val="both"/>
        <w:rPr>
          <w:rFonts w:cstheme="minorHAnsi"/>
          <w:color w:val="000000" w:themeColor="text1"/>
        </w:rPr>
      </w:pPr>
      <w:r w:rsidRPr="004332AA">
        <w:rPr>
          <w:rFonts w:cstheme="minorHAnsi"/>
          <w:color w:val="000000" w:themeColor="text1"/>
        </w:rPr>
        <w:t>About R</w:t>
      </w:r>
      <w:r w:rsidR="00272983" w:rsidRPr="004332AA">
        <w:rPr>
          <w:rFonts w:cstheme="minorHAnsi"/>
          <w:color w:val="000000" w:themeColor="text1"/>
        </w:rPr>
        <w:t xml:space="preserve">efugee Rights Europe </w:t>
      </w:r>
    </w:p>
    <w:p w14:paraId="54A89900" w14:textId="7606A2A2" w:rsidR="00880740" w:rsidRPr="004332AA" w:rsidRDefault="004413D4" w:rsidP="00880740">
      <w:pPr>
        <w:pStyle w:val="ListParagraph"/>
        <w:numPr>
          <w:ilvl w:val="0"/>
          <w:numId w:val="6"/>
        </w:numPr>
        <w:jc w:val="both"/>
        <w:rPr>
          <w:rFonts w:cstheme="minorHAnsi"/>
          <w:color w:val="000000" w:themeColor="text1"/>
        </w:rPr>
      </w:pPr>
      <w:r w:rsidRPr="004332AA">
        <w:rPr>
          <w:rFonts w:cstheme="minorHAnsi"/>
          <w:color w:val="000000" w:themeColor="text1"/>
        </w:rPr>
        <w:t xml:space="preserve">General Information </w:t>
      </w:r>
    </w:p>
    <w:p w14:paraId="63028A43" w14:textId="1FC9775E" w:rsidR="00880740" w:rsidRPr="004332AA" w:rsidRDefault="00272983" w:rsidP="00880740">
      <w:pPr>
        <w:pStyle w:val="ListParagraph"/>
        <w:numPr>
          <w:ilvl w:val="0"/>
          <w:numId w:val="6"/>
        </w:numPr>
        <w:jc w:val="both"/>
        <w:rPr>
          <w:rFonts w:cstheme="minorHAnsi"/>
          <w:color w:val="000000" w:themeColor="text1"/>
        </w:rPr>
      </w:pPr>
      <w:r w:rsidRPr="004332AA">
        <w:rPr>
          <w:rFonts w:cstheme="minorHAnsi"/>
          <w:color w:val="000000" w:themeColor="text1"/>
        </w:rPr>
        <w:t xml:space="preserve">Legal Treatment </w:t>
      </w:r>
    </w:p>
    <w:p w14:paraId="737F1071" w14:textId="2CF5F362" w:rsidR="00880740" w:rsidRPr="004332AA" w:rsidRDefault="00272983" w:rsidP="00880740">
      <w:pPr>
        <w:pStyle w:val="ListParagraph"/>
        <w:numPr>
          <w:ilvl w:val="0"/>
          <w:numId w:val="6"/>
        </w:numPr>
        <w:jc w:val="both"/>
        <w:rPr>
          <w:rFonts w:cstheme="minorHAnsi"/>
          <w:color w:val="000000" w:themeColor="text1"/>
        </w:rPr>
      </w:pPr>
      <w:r w:rsidRPr="004332AA">
        <w:rPr>
          <w:rFonts w:cstheme="minorHAnsi"/>
          <w:color w:val="000000" w:themeColor="text1"/>
        </w:rPr>
        <w:t xml:space="preserve">Impact on Detainees </w:t>
      </w:r>
    </w:p>
    <w:p w14:paraId="6CA6B2AA" w14:textId="1788DDF3" w:rsidR="00880740" w:rsidRPr="004332AA" w:rsidRDefault="00272983" w:rsidP="00880740">
      <w:pPr>
        <w:pStyle w:val="ListParagraph"/>
        <w:numPr>
          <w:ilvl w:val="0"/>
          <w:numId w:val="6"/>
        </w:numPr>
        <w:jc w:val="both"/>
        <w:rPr>
          <w:rFonts w:cstheme="minorHAnsi"/>
          <w:color w:val="000000" w:themeColor="text1"/>
        </w:rPr>
      </w:pPr>
      <w:r w:rsidRPr="004332AA">
        <w:rPr>
          <w:rFonts w:cstheme="minorHAnsi"/>
          <w:color w:val="000000" w:themeColor="text1"/>
        </w:rPr>
        <w:t xml:space="preserve">Alternatives to Detention </w:t>
      </w:r>
    </w:p>
    <w:p w14:paraId="52210816" w14:textId="4A99A56A" w:rsidR="00880740" w:rsidRPr="004332AA" w:rsidRDefault="00272983" w:rsidP="00880740">
      <w:pPr>
        <w:pStyle w:val="ListParagraph"/>
        <w:numPr>
          <w:ilvl w:val="0"/>
          <w:numId w:val="6"/>
        </w:numPr>
        <w:jc w:val="both"/>
        <w:rPr>
          <w:rFonts w:cstheme="minorHAnsi"/>
          <w:color w:val="000000" w:themeColor="text1"/>
        </w:rPr>
      </w:pPr>
      <w:r w:rsidRPr="004332AA">
        <w:rPr>
          <w:rFonts w:cstheme="minorHAnsi"/>
          <w:color w:val="000000" w:themeColor="text1"/>
        </w:rPr>
        <w:t xml:space="preserve">Conclusion </w:t>
      </w:r>
    </w:p>
    <w:p w14:paraId="75AE85EB" w14:textId="77777777" w:rsidR="00880740" w:rsidRPr="004332AA" w:rsidRDefault="00880740" w:rsidP="00880740">
      <w:pPr>
        <w:pStyle w:val="ListParagraph"/>
        <w:ind w:left="786"/>
        <w:jc w:val="both"/>
        <w:rPr>
          <w:rFonts w:cstheme="minorHAnsi"/>
          <w:color w:val="000000" w:themeColor="text1"/>
        </w:rPr>
      </w:pPr>
    </w:p>
    <w:p w14:paraId="36CA1AA1" w14:textId="00FA35EC" w:rsidR="004413D4" w:rsidRDefault="00FD4B45" w:rsidP="004413D4">
      <w:pPr>
        <w:pStyle w:val="ListParagraph"/>
        <w:numPr>
          <w:ilvl w:val="0"/>
          <w:numId w:val="8"/>
        </w:numPr>
        <w:jc w:val="both"/>
        <w:rPr>
          <w:rFonts w:cstheme="minorHAnsi"/>
          <w:b/>
          <w:color w:val="000000" w:themeColor="text1"/>
          <w:lang w:val="en-GB"/>
        </w:rPr>
      </w:pPr>
      <w:r w:rsidRPr="004332AA">
        <w:rPr>
          <w:rFonts w:cstheme="minorHAnsi"/>
          <w:b/>
          <w:color w:val="000000" w:themeColor="text1"/>
          <w:lang w:val="en-GB"/>
        </w:rPr>
        <w:t>About Refugee Rights Europe</w:t>
      </w:r>
    </w:p>
    <w:p w14:paraId="19F33F68" w14:textId="77777777" w:rsidR="004332AA" w:rsidRPr="004332AA" w:rsidRDefault="004332AA" w:rsidP="004332AA">
      <w:pPr>
        <w:pStyle w:val="ListParagraph"/>
        <w:ind w:left="360"/>
        <w:jc w:val="both"/>
        <w:rPr>
          <w:rFonts w:cstheme="minorHAnsi"/>
          <w:b/>
          <w:color w:val="000000" w:themeColor="text1"/>
          <w:lang w:val="en-GB"/>
        </w:rPr>
      </w:pPr>
    </w:p>
    <w:p w14:paraId="2DF45248" w14:textId="6AA983B2" w:rsidR="00FD4B45" w:rsidRPr="004332AA" w:rsidRDefault="00FD4B45" w:rsidP="00FD4B45">
      <w:pPr>
        <w:pStyle w:val="ListParagraph"/>
        <w:numPr>
          <w:ilvl w:val="1"/>
          <w:numId w:val="8"/>
        </w:numPr>
        <w:jc w:val="both"/>
        <w:rPr>
          <w:rFonts w:cstheme="minorHAnsi"/>
          <w:b/>
          <w:color w:val="000000" w:themeColor="text1"/>
          <w:lang w:val="en-GB"/>
        </w:rPr>
      </w:pPr>
      <w:r w:rsidRPr="004332AA">
        <w:rPr>
          <w:rFonts w:cstheme="minorHAnsi"/>
          <w:color w:val="000000" w:themeColor="text1"/>
          <w:lang w:val="en-GB"/>
        </w:rPr>
        <w:t xml:space="preserve">Refugee Rights Europe </w:t>
      </w:r>
      <w:r w:rsidR="00A507D1">
        <w:rPr>
          <w:rFonts w:cstheme="minorHAnsi"/>
          <w:color w:val="000000" w:themeColor="text1"/>
          <w:lang w:val="en-GB"/>
        </w:rPr>
        <w:t xml:space="preserve">(RRE) </w:t>
      </w:r>
      <w:r w:rsidRPr="004332AA">
        <w:rPr>
          <w:rFonts w:cstheme="minorHAnsi"/>
          <w:color w:val="000000" w:themeColor="text1"/>
          <w:lang w:val="en-GB"/>
        </w:rPr>
        <w:t xml:space="preserve">is a human rights organisation and registered UK charity. Founded in late 2015, the organisation researches and documents the situation for refugees and displaced people seeking protection in Europe, with a particular focus on human rights violations and inadequate humanitarian conditions experienced. </w:t>
      </w:r>
    </w:p>
    <w:p w14:paraId="15F83CBB" w14:textId="77777777" w:rsidR="00FD4B45" w:rsidRPr="004332AA" w:rsidRDefault="00FD4B45" w:rsidP="00FD4B45">
      <w:pPr>
        <w:pStyle w:val="ListParagraph"/>
        <w:numPr>
          <w:ilvl w:val="1"/>
          <w:numId w:val="8"/>
        </w:numPr>
        <w:jc w:val="both"/>
        <w:rPr>
          <w:rFonts w:cstheme="minorHAnsi"/>
          <w:b/>
          <w:color w:val="000000" w:themeColor="text1"/>
          <w:lang w:val="en-GB"/>
        </w:rPr>
      </w:pPr>
      <w:r w:rsidRPr="004332AA">
        <w:rPr>
          <w:rFonts w:cstheme="minorHAnsi"/>
          <w:color w:val="000000" w:themeColor="text1"/>
          <w:lang w:val="en-GB"/>
        </w:rPr>
        <w:t>The organisation uses its field and desk research findings to advocate for human rights-</w:t>
      </w:r>
      <w:proofErr w:type="spellStart"/>
      <w:r w:rsidRPr="004332AA">
        <w:rPr>
          <w:rFonts w:cstheme="minorHAnsi"/>
          <w:color w:val="000000" w:themeColor="text1"/>
          <w:lang w:val="en-GB"/>
        </w:rPr>
        <w:t>centered</w:t>
      </w:r>
      <w:proofErr w:type="spellEnd"/>
      <w:r w:rsidRPr="004332AA">
        <w:rPr>
          <w:rFonts w:cstheme="minorHAnsi"/>
          <w:color w:val="000000" w:themeColor="text1"/>
          <w:lang w:val="en-GB"/>
        </w:rPr>
        <w:t xml:space="preserve"> policy development, to ensure the rights of refugees and displaced people are upheld on European soil, in accordance with the Universal Declaration of Human Rights. </w:t>
      </w:r>
    </w:p>
    <w:p w14:paraId="359FD50C" w14:textId="40CD4570" w:rsidR="00FD4B45" w:rsidRPr="004332AA" w:rsidRDefault="00FD4B45" w:rsidP="00FD4B45">
      <w:pPr>
        <w:pStyle w:val="ListParagraph"/>
        <w:numPr>
          <w:ilvl w:val="1"/>
          <w:numId w:val="8"/>
        </w:numPr>
        <w:jc w:val="both"/>
        <w:rPr>
          <w:rFonts w:cstheme="minorHAnsi"/>
          <w:b/>
          <w:color w:val="000000" w:themeColor="text1"/>
          <w:lang w:val="en-GB"/>
        </w:rPr>
      </w:pPr>
      <w:r w:rsidRPr="004332AA">
        <w:rPr>
          <w:rFonts w:cstheme="minorHAnsi"/>
          <w:color w:val="000000" w:themeColor="text1"/>
          <w:lang w:val="en-GB"/>
        </w:rPr>
        <w:t>Refugee Rights Europe is independent of any political ideology, economic interest or religion. We believe in the indivisibility of human rights and we are united by our aim to defend the rights of some of the world’s most vulnerable individuals.</w:t>
      </w:r>
    </w:p>
    <w:p w14:paraId="695346B9" w14:textId="77777777" w:rsidR="004413D4" w:rsidRPr="004332AA" w:rsidRDefault="004413D4" w:rsidP="004413D4">
      <w:pPr>
        <w:pStyle w:val="ListParagraph"/>
        <w:ind w:left="360"/>
        <w:jc w:val="both"/>
        <w:rPr>
          <w:rFonts w:cstheme="minorHAnsi"/>
          <w:b/>
          <w:color w:val="000000" w:themeColor="text1"/>
          <w:lang w:val="en-GB"/>
        </w:rPr>
      </w:pPr>
    </w:p>
    <w:p w14:paraId="1DEDA717" w14:textId="23D433C1" w:rsidR="004413D4" w:rsidRDefault="004413D4" w:rsidP="004413D4">
      <w:pPr>
        <w:pStyle w:val="ListParagraph"/>
        <w:numPr>
          <w:ilvl w:val="0"/>
          <w:numId w:val="8"/>
        </w:numPr>
        <w:jc w:val="both"/>
        <w:rPr>
          <w:rFonts w:cstheme="minorHAnsi"/>
          <w:b/>
          <w:color w:val="000000" w:themeColor="text1"/>
          <w:lang w:val="en-GB"/>
        </w:rPr>
      </w:pPr>
      <w:r w:rsidRPr="004332AA">
        <w:rPr>
          <w:rFonts w:cstheme="minorHAnsi"/>
          <w:b/>
          <w:color w:val="000000" w:themeColor="text1"/>
          <w:lang w:val="en-GB"/>
        </w:rPr>
        <w:t xml:space="preserve">General Information </w:t>
      </w:r>
    </w:p>
    <w:p w14:paraId="1ED23038" w14:textId="77777777" w:rsidR="004332AA" w:rsidRPr="004332AA" w:rsidRDefault="004332AA" w:rsidP="004332AA">
      <w:pPr>
        <w:pStyle w:val="ListParagraph"/>
        <w:ind w:left="360"/>
        <w:jc w:val="both"/>
        <w:rPr>
          <w:rFonts w:cstheme="minorHAnsi"/>
          <w:b/>
          <w:color w:val="000000" w:themeColor="text1"/>
          <w:lang w:val="en-GB"/>
        </w:rPr>
      </w:pPr>
    </w:p>
    <w:p w14:paraId="2A4C80C0" w14:textId="6C7F4438" w:rsidR="00593346" w:rsidRDefault="004413D4" w:rsidP="00593346">
      <w:pPr>
        <w:pStyle w:val="ListParagraph"/>
        <w:numPr>
          <w:ilvl w:val="1"/>
          <w:numId w:val="8"/>
        </w:numPr>
        <w:jc w:val="both"/>
        <w:rPr>
          <w:rFonts w:cstheme="minorHAnsi"/>
          <w:b/>
          <w:color w:val="000000" w:themeColor="text1"/>
          <w:lang w:val="en-GB"/>
        </w:rPr>
      </w:pPr>
      <w:r w:rsidRPr="004332AA">
        <w:rPr>
          <w:rFonts w:cstheme="minorHAnsi"/>
          <w:b/>
          <w:color w:val="000000" w:themeColor="text1"/>
          <w:lang w:val="en-GB"/>
        </w:rPr>
        <w:t xml:space="preserve">The process by which </w:t>
      </w:r>
      <w:r w:rsidR="00A507D1">
        <w:rPr>
          <w:rFonts w:cstheme="minorHAnsi"/>
          <w:b/>
          <w:color w:val="000000" w:themeColor="text1"/>
          <w:lang w:val="en-GB"/>
        </w:rPr>
        <w:t>asylum-seekers</w:t>
      </w:r>
      <w:r w:rsidRPr="004332AA">
        <w:rPr>
          <w:rFonts w:cstheme="minorHAnsi"/>
          <w:b/>
          <w:color w:val="000000" w:themeColor="text1"/>
          <w:lang w:val="en-GB"/>
        </w:rPr>
        <w:t xml:space="preserve"> are detained in the UK</w:t>
      </w:r>
    </w:p>
    <w:p w14:paraId="47537B62" w14:textId="77777777" w:rsidR="004332AA" w:rsidRPr="004332AA" w:rsidRDefault="004332AA" w:rsidP="004332AA">
      <w:pPr>
        <w:pStyle w:val="ListParagraph"/>
        <w:ind w:left="792"/>
        <w:jc w:val="both"/>
        <w:rPr>
          <w:rFonts w:cstheme="minorHAnsi"/>
          <w:b/>
          <w:color w:val="000000" w:themeColor="text1"/>
          <w:lang w:val="en-GB"/>
        </w:rPr>
      </w:pPr>
    </w:p>
    <w:p w14:paraId="182527C3" w14:textId="77777777" w:rsidR="00593346" w:rsidRPr="004332AA" w:rsidRDefault="00593346" w:rsidP="00593346">
      <w:pPr>
        <w:pStyle w:val="ListParagraph"/>
        <w:numPr>
          <w:ilvl w:val="2"/>
          <w:numId w:val="8"/>
        </w:numPr>
        <w:jc w:val="both"/>
        <w:rPr>
          <w:rFonts w:cstheme="minorHAnsi"/>
          <w:b/>
          <w:color w:val="000000" w:themeColor="text1"/>
          <w:lang w:val="en-GB"/>
        </w:rPr>
      </w:pPr>
      <w:r w:rsidRPr="004332AA">
        <w:rPr>
          <w:rFonts w:cstheme="minorHAnsi"/>
        </w:rPr>
        <w:t>The powers of officials to detain people for immigration purposes are found in the Immigration Act 1971.</w:t>
      </w:r>
      <w:r w:rsidRPr="004332AA">
        <w:rPr>
          <w:rStyle w:val="FootnoteReference"/>
          <w:rFonts w:cstheme="minorHAnsi"/>
        </w:rPr>
        <w:footnoteReference w:id="1"/>
      </w:r>
      <w:r w:rsidRPr="004332AA">
        <w:rPr>
          <w:rFonts w:cstheme="minorHAnsi"/>
        </w:rPr>
        <w:t xml:space="preserve"> While the 1971 Act has been amended and supplemented by several further Immigration Acts, it still provides the fundamental framework under which immigration detention decisions are made. </w:t>
      </w:r>
    </w:p>
    <w:p w14:paraId="0FCC625E" w14:textId="3E758BC6" w:rsidR="0043619A" w:rsidRPr="004332AA" w:rsidRDefault="0043619A" w:rsidP="00850449">
      <w:pPr>
        <w:pStyle w:val="ListParagraph"/>
        <w:numPr>
          <w:ilvl w:val="2"/>
          <w:numId w:val="8"/>
        </w:numPr>
        <w:jc w:val="both"/>
        <w:rPr>
          <w:rFonts w:cstheme="minorHAnsi"/>
          <w:color w:val="000000" w:themeColor="text1"/>
          <w:lang w:val="en-GB"/>
        </w:rPr>
      </w:pPr>
      <w:r w:rsidRPr="004332AA">
        <w:rPr>
          <w:rFonts w:cstheme="minorHAnsi"/>
          <w:color w:val="000000" w:themeColor="text1"/>
          <w:lang w:val="en-GB"/>
        </w:rPr>
        <w:t xml:space="preserve">The Government has discretionary power to detain individuals at any stage of their immigration process, including upon arrival in the UK, when reporting to an immigration </w:t>
      </w:r>
      <w:r w:rsidRPr="004332AA">
        <w:rPr>
          <w:rFonts w:cstheme="minorHAnsi"/>
          <w:color w:val="000000" w:themeColor="text1"/>
          <w:lang w:val="en-GB"/>
        </w:rPr>
        <w:lastRenderedPageBreak/>
        <w:t>office, when signing in with immigration officials; after a decision to remove has been issued; and after a prison sentence or following arrest by a police officer.</w:t>
      </w:r>
      <w:r w:rsidRPr="004332AA">
        <w:rPr>
          <w:rStyle w:val="FootnoteReference"/>
          <w:rFonts w:cstheme="minorHAnsi"/>
          <w:color w:val="000000" w:themeColor="text1"/>
          <w:lang w:val="en-GB"/>
        </w:rPr>
        <w:footnoteReference w:id="2"/>
      </w:r>
    </w:p>
    <w:p w14:paraId="143897C7" w14:textId="200AA3BE" w:rsidR="00593346" w:rsidRPr="004332AA" w:rsidRDefault="00593346" w:rsidP="00850449">
      <w:pPr>
        <w:pStyle w:val="ListParagraph"/>
        <w:numPr>
          <w:ilvl w:val="2"/>
          <w:numId w:val="8"/>
        </w:numPr>
        <w:jc w:val="both"/>
        <w:rPr>
          <w:rFonts w:cstheme="minorHAnsi"/>
          <w:b/>
          <w:color w:val="000000" w:themeColor="text1"/>
          <w:lang w:val="en-GB"/>
        </w:rPr>
      </w:pPr>
      <w:r w:rsidRPr="004332AA">
        <w:rPr>
          <w:rFonts w:cstheme="minorHAnsi"/>
        </w:rPr>
        <w:t xml:space="preserve">According to a research study by Amnesty International, it has transpired that detention </w:t>
      </w:r>
      <w:r w:rsidR="00A507D1">
        <w:rPr>
          <w:rFonts w:cstheme="minorHAnsi"/>
        </w:rPr>
        <w:t>sometimes</w:t>
      </w:r>
      <w:r w:rsidRPr="004332AA">
        <w:rPr>
          <w:rFonts w:cstheme="minorHAnsi"/>
        </w:rPr>
        <w:t xml:space="preserve"> </w:t>
      </w:r>
      <w:r w:rsidR="00A507D1">
        <w:rPr>
          <w:rFonts w:cstheme="minorHAnsi"/>
        </w:rPr>
        <w:t xml:space="preserve">appears to take </w:t>
      </w:r>
      <w:r w:rsidRPr="004332AA">
        <w:rPr>
          <w:rFonts w:cstheme="minorHAnsi"/>
        </w:rPr>
        <w:t xml:space="preserve">place based on flawed decision-making. In their study, decisions to detain were often based on “a limited search for and application of information about the person’s case-history; a lack of </w:t>
      </w:r>
      <w:proofErr w:type="spellStart"/>
      <w:r w:rsidRPr="004332AA">
        <w:rPr>
          <w:rFonts w:cstheme="minorHAnsi"/>
        </w:rPr>
        <w:t>rigour</w:t>
      </w:r>
      <w:proofErr w:type="spellEnd"/>
      <w:r w:rsidRPr="004332AA">
        <w:rPr>
          <w:rFonts w:cstheme="minorHAnsi"/>
        </w:rPr>
        <w:t xml:space="preserve"> in applying policy and law when justifying detention decisions; a failure to consider alternatives to detention; and an at-best cursory engagement with the wider context of a potential detainee’s history and circumstances, including the best interests of children affected by the decision.”</w:t>
      </w:r>
      <w:r w:rsidRPr="004332AA">
        <w:rPr>
          <w:rStyle w:val="FootnoteReference"/>
          <w:rFonts w:cstheme="minorHAnsi"/>
        </w:rPr>
        <w:footnoteReference w:id="3"/>
      </w:r>
    </w:p>
    <w:p w14:paraId="5D2D7C68" w14:textId="77777777" w:rsidR="00593346" w:rsidRPr="004332AA" w:rsidRDefault="00593346" w:rsidP="00593346">
      <w:pPr>
        <w:jc w:val="both"/>
        <w:rPr>
          <w:rFonts w:cstheme="minorHAnsi"/>
          <w:color w:val="000000" w:themeColor="text1"/>
        </w:rPr>
      </w:pPr>
    </w:p>
    <w:p w14:paraId="4F45F0FD" w14:textId="7A8E9DAB" w:rsidR="0031645A" w:rsidRDefault="00272983" w:rsidP="0031645A">
      <w:pPr>
        <w:pStyle w:val="ListParagraph"/>
        <w:numPr>
          <w:ilvl w:val="1"/>
          <w:numId w:val="8"/>
        </w:numPr>
        <w:jc w:val="both"/>
        <w:rPr>
          <w:rFonts w:cstheme="minorHAnsi"/>
          <w:b/>
          <w:color w:val="000000" w:themeColor="text1"/>
          <w:lang w:val="en-GB"/>
        </w:rPr>
      </w:pPr>
      <w:r w:rsidRPr="004332AA">
        <w:rPr>
          <w:rFonts w:cstheme="minorHAnsi"/>
          <w:b/>
          <w:color w:val="000000" w:themeColor="text1"/>
          <w:lang w:val="en-GB"/>
        </w:rPr>
        <w:t xml:space="preserve">About the companies that operate detention facilities </w:t>
      </w:r>
      <w:r w:rsidR="00A507D1">
        <w:rPr>
          <w:rFonts w:cstheme="minorHAnsi"/>
          <w:b/>
          <w:color w:val="000000" w:themeColor="text1"/>
          <w:lang w:val="en-GB"/>
        </w:rPr>
        <w:t>in the UK</w:t>
      </w:r>
    </w:p>
    <w:p w14:paraId="7188B764" w14:textId="77777777" w:rsidR="004332AA" w:rsidRPr="004332AA" w:rsidRDefault="004332AA" w:rsidP="004332AA">
      <w:pPr>
        <w:pStyle w:val="ListParagraph"/>
        <w:ind w:left="792"/>
        <w:jc w:val="both"/>
        <w:rPr>
          <w:rFonts w:cstheme="minorHAnsi"/>
          <w:b/>
          <w:color w:val="000000" w:themeColor="text1"/>
          <w:lang w:val="en-GB"/>
        </w:rPr>
      </w:pPr>
    </w:p>
    <w:p w14:paraId="1C4480C7" w14:textId="4653A556" w:rsidR="0031645A" w:rsidRPr="004332AA" w:rsidRDefault="0031645A" w:rsidP="0031645A">
      <w:pPr>
        <w:pStyle w:val="ListParagraph"/>
        <w:numPr>
          <w:ilvl w:val="2"/>
          <w:numId w:val="8"/>
        </w:numPr>
        <w:jc w:val="both"/>
        <w:rPr>
          <w:rFonts w:cstheme="minorHAnsi"/>
          <w:b/>
          <w:color w:val="000000" w:themeColor="text1"/>
          <w:lang w:val="en-GB"/>
        </w:rPr>
      </w:pPr>
      <w:r w:rsidRPr="004332AA">
        <w:rPr>
          <w:rFonts w:cstheme="minorHAnsi"/>
          <w:color w:val="000000" w:themeColor="text1"/>
          <w:lang w:val="en-GB"/>
        </w:rPr>
        <w:t xml:space="preserve">There are seven Immigration Removal Centres (IRCs) in the United Kingdom: Colnbrook, Harmondsworth, Tinsley House, Brook House, </w:t>
      </w:r>
      <w:proofErr w:type="spellStart"/>
      <w:r w:rsidRPr="004332AA">
        <w:rPr>
          <w:rFonts w:cstheme="minorHAnsi"/>
          <w:color w:val="000000" w:themeColor="text1"/>
          <w:lang w:val="en-GB"/>
        </w:rPr>
        <w:t>Yarl’s</w:t>
      </w:r>
      <w:proofErr w:type="spellEnd"/>
      <w:r w:rsidRPr="004332AA">
        <w:rPr>
          <w:rFonts w:cstheme="minorHAnsi"/>
          <w:color w:val="000000" w:themeColor="text1"/>
          <w:lang w:val="en-GB"/>
        </w:rPr>
        <w:t xml:space="preserve"> Wood, Morton Hall, and </w:t>
      </w:r>
      <w:proofErr w:type="spellStart"/>
      <w:r w:rsidRPr="004332AA">
        <w:rPr>
          <w:rFonts w:cstheme="minorHAnsi"/>
          <w:color w:val="000000" w:themeColor="text1"/>
          <w:lang w:val="en-GB"/>
        </w:rPr>
        <w:t>Dungavel</w:t>
      </w:r>
      <w:proofErr w:type="spellEnd"/>
      <w:r w:rsidRPr="004332AA">
        <w:rPr>
          <w:rFonts w:cstheme="minorHAnsi"/>
          <w:color w:val="000000" w:themeColor="text1"/>
          <w:lang w:val="en-GB"/>
        </w:rPr>
        <w:t>.</w:t>
      </w:r>
      <w:r w:rsidR="00DE587C" w:rsidRPr="004332AA">
        <w:rPr>
          <w:rStyle w:val="FootnoteReference"/>
          <w:rFonts w:cstheme="minorHAnsi"/>
          <w:color w:val="000000" w:themeColor="text1"/>
          <w:lang w:val="en-GB"/>
        </w:rPr>
        <w:footnoteReference w:id="4"/>
      </w:r>
      <w:r w:rsidRPr="004332AA">
        <w:rPr>
          <w:rFonts w:cstheme="minorHAnsi"/>
          <w:color w:val="000000" w:themeColor="text1"/>
          <w:lang w:val="en-GB"/>
        </w:rPr>
        <w:t xml:space="preserve"> </w:t>
      </w:r>
    </w:p>
    <w:p w14:paraId="73A4D22C" w14:textId="77777777" w:rsidR="0031645A" w:rsidRPr="004332AA" w:rsidRDefault="0031645A" w:rsidP="0031645A">
      <w:pPr>
        <w:pStyle w:val="ListParagraph"/>
        <w:numPr>
          <w:ilvl w:val="2"/>
          <w:numId w:val="8"/>
        </w:numPr>
        <w:jc w:val="both"/>
        <w:rPr>
          <w:rFonts w:cstheme="minorHAnsi"/>
          <w:b/>
          <w:color w:val="000000" w:themeColor="text1"/>
          <w:lang w:val="en-GB"/>
        </w:rPr>
      </w:pPr>
      <w:r w:rsidRPr="004332AA">
        <w:rPr>
          <w:rFonts w:cstheme="minorHAnsi"/>
          <w:color w:val="000000" w:themeColor="text1"/>
          <w:lang w:val="en-GB"/>
        </w:rPr>
        <w:t xml:space="preserve">In addition, there are two separate Residential Short-Term Holding Facilities (STHFs): Manchester Residential STHF (formerly the Pennine House), and Larne House. </w:t>
      </w:r>
    </w:p>
    <w:p w14:paraId="74C17D20" w14:textId="77777777" w:rsidR="0031645A" w:rsidRPr="004332AA" w:rsidRDefault="0031645A" w:rsidP="0031645A">
      <w:pPr>
        <w:pStyle w:val="ListParagraph"/>
        <w:numPr>
          <w:ilvl w:val="2"/>
          <w:numId w:val="8"/>
        </w:numPr>
        <w:jc w:val="both"/>
        <w:rPr>
          <w:rFonts w:cstheme="minorHAnsi"/>
          <w:b/>
          <w:color w:val="000000" w:themeColor="text1"/>
          <w:lang w:val="en-GB"/>
        </w:rPr>
      </w:pPr>
      <w:r w:rsidRPr="004332AA">
        <w:rPr>
          <w:rFonts w:cstheme="minorHAnsi"/>
          <w:color w:val="000000" w:themeColor="text1"/>
          <w:lang w:val="en-GB"/>
        </w:rPr>
        <w:t xml:space="preserve">At Colnbrook and </w:t>
      </w:r>
      <w:proofErr w:type="spellStart"/>
      <w:r w:rsidRPr="004332AA">
        <w:rPr>
          <w:rFonts w:cstheme="minorHAnsi"/>
          <w:color w:val="000000" w:themeColor="text1"/>
          <w:lang w:val="en-GB"/>
        </w:rPr>
        <w:t>Yarl’s</w:t>
      </w:r>
      <w:proofErr w:type="spellEnd"/>
      <w:r w:rsidRPr="004332AA">
        <w:rPr>
          <w:rFonts w:cstheme="minorHAnsi"/>
          <w:color w:val="000000" w:themeColor="text1"/>
          <w:lang w:val="en-GB"/>
        </w:rPr>
        <w:t xml:space="preserve"> Wood, there are also short-term units within the IRC. </w:t>
      </w:r>
    </w:p>
    <w:p w14:paraId="190EDBC6" w14:textId="77777777" w:rsidR="00DE587C" w:rsidRPr="004332AA" w:rsidRDefault="0031645A" w:rsidP="0031645A">
      <w:pPr>
        <w:pStyle w:val="ListParagraph"/>
        <w:numPr>
          <w:ilvl w:val="2"/>
          <w:numId w:val="8"/>
        </w:numPr>
        <w:jc w:val="both"/>
        <w:rPr>
          <w:rFonts w:cstheme="minorHAnsi"/>
          <w:b/>
          <w:color w:val="000000" w:themeColor="text1"/>
          <w:lang w:val="en-GB"/>
        </w:rPr>
      </w:pPr>
      <w:r w:rsidRPr="004332AA">
        <w:rPr>
          <w:rFonts w:cstheme="minorHAnsi"/>
          <w:color w:val="000000" w:themeColor="text1"/>
          <w:lang w:val="en-GB"/>
        </w:rPr>
        <w:t>There are an additional 19 Holding rooms at ports and 11 at reporting centres.</w:t>
      </w:r>
    </w:p>
    <w:p w14:paraId="6A11FD8A" w14:textId="77777777" w:rsidR="00DE587C" w:rsidRPr="004332AA" w:rsidRDefault="00DE587C" w:rsidP="00DE587C">
      <w:pPr>
        <w:pStyle w:val="ListParagraph"/>
        <w:numPr>
          <w:ilvl w:val="2"/>
          <w:numId w:val="8"/>
        </w:numPr>
        <w:jc w:val="both"/>
        <w:rPr>
          <w:rFonts w:cstheme="minorHAnsi"/>
          <w:b/>
          <w:color w:val="000000" w:themeColor="text1"/>
          <w:lang w:val="en-GB"/>
        </w:rPr>
      </w:pPr>
      <w:r w:rsidRPr="004332AA">
        <w:rPr>
          <w:rFonts w:cstheme="minorHAnsi"/>
          <w:color w:val="000000" w:themeColor="text1"/>
          <w:lang w:val="en-GB"/>
        </w:rPr>
        <w:t xml:space="preserve">IRCs Dover and </w:t>
      </w:r>
      <w:proofErr w:type="spellStart"/>
      <w:r w:rsidRPr="004332AA">
        <w:rPr>
          <w:rFonts w:cstheme="minorHAnsi"/>
          <w:color w:val="000000" w:themeColor="text1"/>
          <w:lang w:val="en-GB"/>
        </w:rPr>
        <w:t>Haslar</w:t>
      </w:r>
      <w:proofErr w:type="spellEnd"/>
      <w:r w:rsidRPr="004332AA">
        <w:rPr>
          <w:rFonts w:cstheme="minorHAnsi"/>
          <w:color w:val="000000" w:themeColor="text1"/>
          <w:lang w:val="en-GB"/>
        </w:rPr>
        <w:t xml:space="preserve"> closed in 2015, the Verne closed in December 2017, and </w:t>
      </w:r>
      <w:proofErr w:type="spellStart"/>
      <w:r w:rsidRPr="004332AA">
        <w:rPr>
          <w:rFonts w:cstheme="minorHAnsi"/>
          <w:color w:val="000000" w:themeColor="text1"/>
          <w:lang w:val="en-GB"/>
        </w:rPr>
        <w:t>Campfield</w:t>
      </w:r>
      <w:proofErr w:type="spellEnd"/>
      <w:r w:rsidRPr="004332AA">
        <w:rPr>
          <w:rFonts w:cstheme="minorHAnsi"/>
          <w:color w:val="000000" w:themeColor="text1"/>
          <w:lang w:val="en-GB"/>
        </w:rPr>
        <w:t xml:space="preserve"> House IRC was closed down on 14 December 2018.</w:t>
      </w:r>
      <w:r w:rsidRPr="004332AA">
        <w:rPr>
          <w:rStyle w:val="FootnoteReference"/>
          <w:rFonts w:cstheme="minorHAnsi"/>
          <w:color w:val="000000" w:themeColor="text1"/>
          <w:lang w:val="en-GB"/>
        </w:rPr>
        <w:footnoteReference w:id="5"/>
      </w:r>
    </w:p>
    <w:p w14:paraId="29C17B81" w14:textId="77777777" w:rsidR="00DE587C" w:rsidRPr="004332AA" w:rsidRDefault="0031645A" w:rsidP="00DE587C">
      <w:pPr>
        <w:pStyle w:val="ListParagraph"/>
        <w:numPr>
          <w:ilvl w:val="2"/>
          <w:numId w:val="8"/>
        </w:numPr>
        <w:jc w:val="both"/>
        <w:rPr>
          <w:rFonts w:cstheme="minorHAnsi"/>
          <w:b/>
          <w:color w:val="000000" w:themeColor="text1"/>
          <w:lang w:val="en-GB"/>
        </w:rPr>
      </w:pPr>
      <w:r w:rsidRPr="004332AA">
        <w:rPr>
          <w:rFonts w:cstheme="minorHAnsi"/>
          <w:color w:val="000000" w:themeColor="text1"/>
          <w:lang w:val="en-GB"/>
        </w:rPr>
        <w:t xml:space="preserve">The Home Office has outsourced the management of all IRCs (except IRC Morton Hall which is managed by the Prison Service) to private firms: Mitie, GEO, G4S and Serco. </w:t>
      </w:r>
    </w:p>
    <w:p w14:paraId="55E67A4E" w14:textId="57F5073B" w:rsidR="00DE587C" w:rsidRPr="004332AA" w:rsidRDefault="00DE587C" w:rsidP="00DE587C">
      <w:pPr>
        <w:pStyle w:val="ListParagraph"/>
        <w:numPr>
          <w:ilvl w:val="2"/>
          <w:numId w:val="8"/>
        </w:numPr>
        <w:jc w:val="both"/>
        <w:rPr>
          <w:rFonts w:cstheme="minorHAnsi"/>
          <w:b/>
          <w:color w:val="000000" w:themeColor="text1"/>
          <w:lang w:val="en-GB"/>
        </w:rPr>
      </w:pPr>
      <w:r w:rsidRPr="004332AA">
        <w:rPr>
          <w:rFonts w:cstheme="minorHAnsi"/>
          <w:color w:val="000000" w:themeColor="text1"/>
          <w:lang w:val="en-GB"/>
        </w:rPr>
        <w:t xml:space="preserve">Between these private companies, </w:t>
      </w:r>
      <w:r w:rsidRPr="004332AA">
        <w:rPr>
          <w:rFonts w:cstheme="minorHAnsi"/>
        </w:rPr>
        <w:t xml:space="preserve">G4S in particular has faced frequent criticism. </w:t>
      </w:r>
      <w:bookmarkStart w:id="0" w:name="_Hlk528426231"/>
      <w:r w:rsidRPr="004332AA">
        <w:rPr>
          <w:rFonts w:cstheme="minorHAnsi"/>
        </w:rPr>
        <w:t>A global corporation with operations in more than 90 countries</w:t>
      </w:r>
      <w:r w:rsidRPr="004332AA">
        <w:rPr>
          <w:rFonts w:cstheme="minorHAnsi"/>
          <w:vertAlign w:val="superscript"/>
        </w:rPr>
        <w:footnoteReference w:id="6"/>
      </w:r>
      <w:r w:rsidRPr="004332AA">
        <w:rPr>
          <w:rFonts w:cstheme="minorHAnsi"/>
        </w:rPr>
        <w:t xml:space="preserve">, G4S provides a variety of services worldwide, including security management, prisons, detention </w:t>
      </w:r>
      <w:proofErr w:type="spellStart"/>
      <w:r w:rsidRPr="004332AA">
        <w:rPr>
          <w:rFonts w:cstheme="minorHAnsi"/>
        </w:rPr>
        <w:t>centres</w:t>
      </w:r>
      <w:proofErr w:type="spellEnd"/>
      <w:r w:rsidRPr="004332AA">
        <w:rPr>
          <w:rFonts w:cstheme="minorHAnsi"/>
        </w:rPr>
        <w:t xml:space="preserve"> and asylum seekers’ accommodation. </w:t>
      </w:r>
      <w:bookmarkStart w:id="1" w:name="_Hlk528427332"/>
    </w:p>
    <w:p w14:paraId="22817F2F" w14:textId="77777777" w:rsidR="00DE587C" w:rsidRPr="004332AA" w:rsidRDefault="00DE587C" w:rsidP="00DE587C">
      <w:pPr>
        <w:pStyle w:val="ListParagraph"/>
        <w:numPr>
          <w:ilvl w:val="2"/>
          <w:numId w:val="8"/>
        </w:numPr>
        <w:jc w:val="both"/>
        <w:rPr>
          <w:rFonts w:cstheme="minorHAnsi"/>
          <w:b/>
          <w:color w:val="000000" w:themeColor="text1"/>
          <w:lang w:val="en-GB"/>
        </w:rPr>
      </w:pPr>
      <w:r w:rsidRPr="004332AA">
        <w:rPr>
          <w:rFonts w:cstheme="minorHAnsi"/>
        </w:rPr>
        <w:t xml:space="preserve">G4S has been at the </w:t>
      </w:r>
      <w:proofErr w:type="spellStart"/>
      <w:r w:rsidRPr="004332AA">
        <w:rPr>
          <w:rFonts w:cstheme="minorHAnsi"/>
        </w:rPr>
        <w:t>centre</w:t>
      </w:r>
      <w:proofErr w:type="spellEnd"/>
      <w:r w:rsidRPr="004332AA">
        <w:rPr>
          <w:rFonts w:cstheme="minorHAnsi"/>
        </w:rPr>
        <w:t xml:space="preserve"> of multiple high-profile scandals around abuses at its facilities stretching back over more than a decade, as covered by the BBC, The Guardian, The Times, and others. These have included several deaths, which have occurred on deportation flights; prison vans; and in one instance, a child at a juvenile detention </w:t>
      </w:r>
      <w:proofErr w:type="spellStart"/>
      <w:r w:rsidRPr="004332AA">
        <w:rPr>
          <w:rFonts w:cstheme="minorHAnsi"/>
        </w:rPr>
        <w:t>centre</w:t>
      </w:r>
      <w:proofErr w:type="spellEnd"/>
      <w:r w:rsidRPr="004332AA">
        <w:rPr>
          <w:rFonts w:cstheme="minorHAnsi"/>
        </w:rPr>
        <w:t>.</w:t>
      </w:r>
      <w:r w:rsidRPr="004332AA">
        <w:rPr>
          <w:rFonts w:cstheme="minorHAnsi"/>
          <w:vertAlign w:val="superscript"/>
        </w:rPr>
        <w:footnoteReference w:id="7"/>
      </w:r>
      <w:r w:rsidRPr="004332AA">
        <w:rPr>
          <w:rFonts w:cstheme="minorHAnsi"/>
        </w:rPr>
        <w:t xml:space="preserve"> </w:t>
      </w:r>
    </w:p>
    <w:p w14:paraId="1014E7B9" w14:textId="64DF6599" w:rsidR="00DE587C" w:rsidRPr="00A507D1" w:rsidRDefault="00DE587C" w:rsidP="00DE587C">
      <w:pPr>
        <w:pStyle w:val="ListParagraph"/>
        <w:numPr>
          <w:ilvl w:val="2"/>
          <w:numId w:val="8"/>
        </w:numPr>
        <w:jc w:val="both"/>
        <w:rPr>
          <w:rFonts w:cstheme="minorHAnsi"/>
          <w:b/>
          <w:color w:val="000000" w:themeColor="text1"/>
          <w:lang w:val="en-GB"/>
        </w:rPr>
      </w:pPr>
      <w:r w:rsidRPr="004332AA">
        <w:rPr>
          <w:rFonts w:cstheme="minorHAnsi"/>
        </w:rPr>
        <w:t>Journalists from the ‘Shine a Light’ project have aimed to expose G4S as a ‘serial human rights abuser’ through investigative journalism,</w:t>
      </w:r>
      <w:r w:rsidRPr="004332AA">
        <w:rPr>
          <w:rFonts w:cstheme="minorHAnsi"/>
          <w:vertAlign w:val="superscript"/>
        </w:rPr>
        <w:footnoteReference w:id="8"/>
      </w:r>
      <w:r w:rsidRPr="004332AA">
        <w:rPr>
          <w:rFonts w:cstheme="minorHAnsi"/>
        </w:rPr>
        <w:t xml:space="preserve"> and a legal challenge</w:t>
      </w:r>
      <w:r w:rsidRPr="004332AA">
        <w:rPr>
          <w:rFonts w:cstheme="minorHAnsi"/>
          <w:vertAlign w:val="superscript"/>
        </w:rPr>
        <w:footnoteReference w:id="9"/>
      </w:r>
      <w:r w:rsidRPr="004332AA">
        <w:rPr>
          <w:rFonts w:cstheme="minorHAnsi"/>
        </w:rPr>
        <w:t xml:space="preserve"> to force the government to designate G4S as a “high risk” supplier has been launched by UK charity Bail For Immigration Detainees.</w:t>
      </w:r>
      <w:bookmarkEnd w:id="0"/>
      <w:bookmarkEnd w:id="1"/>
      <w:r w:rsidR="00A507D1">
        <w:rPr>
          <w:rFonts w:cstheme="minorHAnsi"/>
        </w:rPr>
        <w:t xml:space="preserve"> Other contractors have also received criticism as being unsuitable to handle immigration detention of vulnerable individuals. </w:t>
      </w:r>
    </w:p>
    <w:p w14:paraId="69497C17" w14:textId="77777777" w:rsidR="00A507D1" w:rsidRPr="004332AA" w:rsidRDefault="00A507D1" w:rsidP="00A507D1">
      <w:pPr>
        <w:pStyle w:val="ListParagraph"/>
        <w:ind w:left="1224"/>
        <w:jc w:val="both"/>
        <w:rPr>
          <w:rFonts w:cstheme="minorHAnsi"/>
          <w:b/>
          <w:color w:val="000000" w:themeColor="text1"/>
          <w:lang w:val="en-GB"/>
        </w:rPr>
      </w:pPr>
    </w:p>
    <w:p w14:paraId="1AF5607A" w14:textId="6663CBAA" w:rsidR="0031645A" w:rsidRDefault="0031645A" w:rsidP="0031645A">
      <w:pPr>
        <w:pStyle w:val="ListParagraph"/>
        <w:ind w:left="792"/>
        <w:jc w:val="both"/>
        <w:rPr>
          <w:rFonts w:cstheme="minorHAnsi"/>
          <w:b/>
          <w:color w:val="000000" w:themeColor="text1"/>
          <w:lang w:val="en-GB"/>
        </w:rPr>
      </w:pPr>
    </w:p>
    <w:p w14:paraId="1D892448" w14:textId="77777777" w:rsidR="00850449" w:rsidRPr="004332AA" w:rsidRDefault="00850449" w:rsidP="0031645A">
      <w:pPr>
        <w:pStyle w:val="ListParagraph"/>
        <w:ind w:left="792"/>
        <w:jc w:val="both"/>
        <w:rPr>
          <w:rFonts w:cstheme="minorHAnsi"/>
          <w:b/>
          <w:color w:val="000000" w:themeColor="text1"/>
          <w:lang w:val="en-GB"/>
        </w:rPr>
      </w:pPr>
      <w:bookmarkStart w:id="2" w:name="_GoBack"/>
      <w:bookmarkEnd w:id="2"/>
      <w:permStart w:id="1519288253" w:edGrp="everyone"/>
      <w:permEnd w:id="1519288253"/>
    </w:p>
    <w:p w14:paraId="0FBD5E2B" w14:textId="3D49C73F" w:rsidR="00272983" w:rsidRPr="004332AA" w:rsidRDefault="00272983" w:rsidP="00272983">
      <w:pPr>
        <w:pStyle w:val="ListParagraph"/>
        <w:numPr>
          <w:ilvl w:val="0"/>
          <w:numId w:val="8"/>
        </w:numPr>
        <w:jc w:val="both"/>
        <w:rPr>
          <w:rFonts w:cstheme="minorHAnsi"/>
          <w:b/>
          <w:color w:val="000000" w:themeColor="text1"/>
          <w:lang w:val="en-GB"/>
        </w:rPr>
      </w:pPr>
      <w:r w:rsidRPr="004332AA">
        <w:rPr>
          <w:rFonts w:cstheme="minorHAnsi"/>
          <w:b/>
          <w:color w:val="000000" w:themeColor="text1"/>
          <w:lang w:val="en-GB"/>
        </w:rPr>
        <w:lastRenderedPageBreak/>
        <w:t xml:space="preserve">Legal Treatment </w:t>
      </w:r>
    </w:p>
    <w:p w14:paraId="526D82EB" w14:textId="77777777" w:rsidR="0031645A" w:rsidRPr="004332AA" w:rsidRDefault="0031645A" w:rsidP="0031645A">
      <w:pPr>
        <w:pStyle w:val="ListParagraph"/>
        <w:ind w:left="360"/>
        <w:jc w:val="both"/>
        <w:rPr>
          <w:rFonts w:cstheme="minorHAnsi"/>
          <w:b/>
          <w:color w:val="000000" w:themeColor="text1"/>
          <w:lang w:val="en-GB"/>
        </w:rPr>
      </w:pPr>
    </w:p>
    <w:p w14:paraId="54697379" w14:textId="24F0646D" w:rsidR="0031645A" w:rsidRDefault="00272983" w:rsidP="0031645A">
      <w:pPr>
        <w:pStyle w:val="ListParagraph"/>
        <w:numPr>
          <w:ilvl w:val="1"/>
          <w:numId w:val="8"/>
        </w:numPr>
        <w:jc w:val="both"/>
        <w:rPr>
          <w:rFonts w:cstheme="minorHAnsi"/>
          <w:b/>
          <w:color w:val="000000" w:themeColor="text1"/>
          <w:lang w:val="en-GB"/>
        </w:rPr>
      </w:pPr>
      <w:r w:rsidRPr="004332AA">
        <w:rPr>
          <w:rFonts w:cstheme="minorHAnsi"/>
          <w:b/>
          <w:color w:val="000000" w:themeColor="text1"/>
          <w:lang w:val="en-GB"/>
        </w:rPr>
        <w:t xml:space="preserve">The legal basis for immigration detention </w:t>
      </w:r>
    </w:p>
    <w:p w14:paraId="35496F0F" w14:textId="77777777" w:rsidR="004332AA" w:rsidRPr="004332AA" w:rsidRDefault="004332AA" w:rsidP="004332AA">
      <w:pPr>
        <w:pStyle w:val="ListParagraph"/>
        <w:ind w:left="792"/>
        <w:jc w:val="both"/>
        <w:rPr>
          <w:rFonts w:cstheme="minorHAnsi"/>
          <w:b/>
          <w:color w:val="000000" w:themeColor="text1"/>
          <w:lang w:val="en-GB"/>
        </w:rPr>
      </w:pPr>
    </w:p>
    <w:p w14:paraId="52D7E831" w14:textId="5AF3C215" w:rsidR="0031645A" w:rsidRPr="004332AA" w:rsidRDefault="0031645A" w:rsidP="0031645A">
      <w:pPr>
        <w:pStyle w:val="ListParagraph"/>
        <w:numPr>
          <w:ilvl w:val="2"/>
          <w:numId w:val="8"/>
        </w:numPr>
        <w:jc w:val="both"/>
        <w:rPr>
          <w:rFonts w:cstheme="minorHAnsi"/>
          <w:b/>
          <w:color w:val="000000" w:themeColor="text1"/>
          <w:lang w:val="en-GB"/>
        </w:rPr>
      </w:pPr>
      <w:r w:rsidRPr="004332AA">
        <w:rPr>
          <w:rFonts w:cstheme="minorHAnsi"/>
        </w:rPr>
        <w:t>The powers of officials to detain people for immigration purposes are found in the Immigration Act 1971.</w:t>
      </w:r>
      <w:r w:rsidRPr="004332AA">
        <w:rPr>
          <w:rStyle w:val="FootnoteReference"/>
          <w:rFonts w:cstheme="minorHAnsi"/>
        </w:rPr>
        <w:footnoteReference w:id="10"/>
      </w:r>
      <w:r w:rsidRPr="004332AA">
        <w:rPr>
          <w:rFonts w:cstheme="minorHAnsi"/>
        </w:rPr>
        <w:t xml:space="preserve"> While the 1971 Act has been amended and supplemented by several further Immigration Acts, it still provides the fundamental framework under which immigration detention decisions are made. </w:t>
      </w:r>
    </w:p>
    <w:p w14:paraId="1178711B" w14:textId="77777777" w:rsidR="0043619A" w:rsidRPr="004332AA" w:rsidRDefault="0043619A" w:rsidP="0043619A">
      <w:pPr>
        <w:pStyle w:val="ListParagraph"/>
        <w:numPr>
          <w:ilvl w:val="2"/>
          <w:numId w:val="8"/>
        </w:numPr>
        <w:jc w:val="both"/>
        <w:rPr>
          <w:rFonts w:cstheme="minorHAnsi"/>
          <w:color w:val="000000" w:themeColor="text1"/>
          <w:lang w:val="en-GB"/>
        </w:rPr>
      </w:pPr>
      <w:r w:rsidRPr="004332AA">
        <w:rPr>
          <w:rFonts w:cstheme="minorHAnsi"/>
          <w:color w:val="000000" w:themeColor="text1"/>
          <w:lang w:val="en-GB"/>
        </w:rPr>
        <w:t xml:space="preserve">Immigration detention in the UK is a Home Office practice of detaining asylum seekers for ‘immigration-related purposes’. </w:t>
      </w:r>
    </w:p>
    <w:p w14:paraId="57125FA8" w14:textId="6BCA8F67" w:rsidR="0043619A" w:rsidRPr="004332AA" w:rsidRDefault="0043619A" w:rsidP="0043619A">
      <w:pPr>
        <w:pStyle w:val="ListParagraph"/>
        <w:numPr>
          <w:ilvl w:val="2"/>
          <w:numId w:val="8"/>
        </w:numPr>
        <w:jc w:val="both"/>
        <w:rPr>
          <w:rFonts w:cstheme="minorHAnsi"/>
          <w:color w:val="000000" w:themeColor="text1"/>
          <w:lang w:val="en-GB"/>
        </w:rPr>
      </w:pPr>
      <w:r w:rsidRPr="004332AA">
        <w:rPr>
          <w:rFonts w:cstheme="minorHAnsi"/>
          <w:color w:val="000000" w:themeColor="text1"/>
          <w:lang w:val="en-GB"/>
        </w:rPr>
        <w:t xml:space="preserve">It is </w:t>
      </w:r>
      <w:r w:rsidR="0031645A" w:rsidRPr="004332AA">
        <w:rPr>
          <w:rFonts w:cstheme="minorHAnsi"/>
          <w:color w:val="000000" w:themeColor="text1"/>
          <w:lang w:val="en-GB"/>
        </w:rPr>
        <w:t xml:space="preserve">thus an </w:t>
      </w:r>
      <w:r w:rsidRPr="004332AA">
        <w:rPr>
          <w:rFonts w:cstheme="minorHAnsi"/>
          <w:color w:val="000000" w:themeColor="text1"/>
          <w:lang w:val="en-GB"/>
        </w:rPr>
        <w:t>administrative process rather than a criminal procedure.</w:t>
      </w:r>
    </w:p>
    <w:p w14:paraId="0472FC3E" w14:textId="77777777" w:rsidR="0031645A" w:rsidRPr="004332AA" w:rsidRDefault="0031645A" w:rsidP="0031645A">
      <w:pPr>
        <w:pStyle w:val="ListParagraph"/>
        <w:ind w:left="1224"/>
        <w:jc w:val="both"/>
        <w:rPr>
          <w:rFonts w:cstheme="minorHAnsi"/>
          <w:color w:val="000000" w:themeColor="text1"/>
          <w:lang w:val="en-GB"/>
        </w:rPr>
      </w:pPr>
    </w:p>
    <w:p w14:paraId="1F7566B4" w14:textId="4FAFD395" w:rsidR="00272983" w:rsidRPr="004332AA" w:rsidRDefault="00272983" w:rsidP="00272983">
      <w:pPr>
        <w:pStyle w:val="ListParagraph"/>
        <w:numPr>
          <w:ilvl w:val="1"/>
          <w:numId w:val="8"/>
        </w:numPr>
        <w:jc w:val="both"/>
        <w:rPr>
          <w:rFonts w:cstheme="minorHAnsi"/>
          <w:b/>
          <w:color w:val="000000" w:themeColor="text1"/>
          <w:lang w:val="en-GB"/>
        </w:rPr>
      </w:pPr>
      <w:r w:rsidRPr="004332AA">
        <w:rPr>
          <w:rFonts w:cstheme="minorHAnsi"/>
          <w:b/>
          <w:color w:val="000000" w:themeColor="text1"/>
          <w:lang w:val="en-GB"/>
        </w:rPr>
        <w:t xml:space="preserve">The purpose of immigration detention </w:t>
      </w:r>
    </w:p>
    <w:p w14:paraId="2754CBD4" w14:textId="77777777" w:rsidR="00DE587C" w:rsidRPr="004332AA" w:rsidRDefault="00DE587C" w:rsidP="00DE587C">
      <w:pPr>
        <w:pStyle w:val="ListParagraph"/>
        <w:ind w:left="792"/>
        <w:jc w:val="both"/>
        <w:rPr>
          <w:rFonts w:cstheme="minorHAnsi"/>
          <w:b/>
          <w:color w:val="000000" w:themeColor="text1"/>
          <w:lang w:val="en-GB"/>
        </w:rPr>
      </w:pPr>
    </w:p>
    <w:p w14:paraId="66B71CD3" w14:textId="76533BA9" w:rsidR="0043619A" w:rsidRPr="004332AA" w:rsidRDefault="0043619A" w:rsidP="0043619A">
      <w:pPr>
        <w:pStyle w:val="ListParagraph"/>
        <w:numPr>
          <w:ilvl w:val="2"/>
          <w:numId w:val="8"/>
        </w:numPr>
        <w:jc w:val="both"/>
        <w:rPr>
          <w:rFonts w:cstheme="minorHAnsi"/>
          <w:b/>
          <w:color w:val="000000" w:themeColor="text1"/>
          <w:lang w:val="en-GB"/>
        </w:rPr>
      </w:pPr>
      <w:r w:rsidRPr="004332AA">
        <w:rPr>
          <w:rFonts w:cstheme="minorHAnsi"/>
        </w:rPr>
        <w:t xml:space="preserve">The Immigration Act allows for the use of immigration detention for three purposes: </w:t>
      </w:r>
    </w:p>
    <w:p w14:paraId="19D9CADB" w14:textId="6889D553" w:rsidR="0043619A" w:rsidRPr="004332AA" w:rsidRDefault="0043619A" w:rsidP="004332AA">
      <w:pPr>
        <w:pStyle w:val="ListParagraph"/>
        <w:numPr>
          <w:ilvl w:val="3"/>
          <w:numId w:val="14"/>
        </w:numPr>
        <w:jc w:val="both"/>
        <w:rPr>
          <w:rFonts w:cstheme="minorHAnsi"/>
          <w:b/>
          <w:color w:val="000000" w:themeColor="text1"/>
          <w:lang w:val="en-GB"/>
        </w:rPr>
      </w:pPr>
      <w:r w:rsidRPr="004332AA">
        <w:rPr>
          <w:rFonts w:cstheme="minorHAnsi"/>
        </w:rPr>
        <w:t>In order for officials to examine a person’s immigration status</w:t>
      </w:r>
      <w:r w:rsidR="004332AA">
        <w:rPr>
          <w:rFonts w:cstheme="minorHAnsi"/>
        </w:rPr>
        <w:t>;</w:t>
      </w:r>
    </w:p>
    <w:p w14:paraId="5348053B" w14:textId="0AC9BABB" w:rsidR="0043619A" w:rsidRPr="004332AA" w:rsidRDefault="0043619A" w:rsidP="004332AA">
      <w:pPr>
        <w:pStyle w:val="ListParagraph"/>
        <w:numPr>
          <w:ilvl w:val="3"/>
          <w:numId w:val="14"/>
        </w:numPr>
        <w:jc w:val="both"/>
        <w:rPr>
          <w:rFonts w:cstheme="minorHAnsi"/>
          <w:b/>
          <w:color w:val="000000" w:themeColor="text1"/>
          <w:lang w:val="en-GB"/>
        </w:rPr>
      </w:pPr>
      <w:r w:rsidRPr="004332AA">
        <w:rPr>
          <w:rFonts w:cstheme="minorHAnsi"/>
          <w:lang w:val="en-GB"/>
        </w:rPr>
        <w:t>I</w:t>
      </w:r>
      <w:proofErr w:type="spellStart"/>
      <w:r w:rsidRPr="004332AA">
        <w:rPr>
          <w:rFonts w:cstheme="minorHAnsi"/>
        </w:rPr>
        <w:t>n</w:t>
      </w:r>
      <w:proofErr w:type="spellEnd"/>
      <w:r w:rsidRPr="004332AA">
        <w:rPr>
          <w:rFonts w:cstheme="minorHAnsi"/>
        </w:rPr>
        <w:t xml:space="preserve"> order to implement a person’s administrative removal from the UK</w:t>
      </w:r>
      <w:r w:rsidR="004332AA">
        <w:rPr>
          <w:rFonts w:cstheme="minorHAnsi"/>
        </w:rPr>
        <w:t>;</w:t>
      </w:r>
      <w:r w:rsidRPr="004332AA">
        <w:rPr>
          <w:rFonts w:cstheme="minorHAnsi"/>
        </w:rPr>
        <w:t xml:space="preserve"> </w:t>
      </w:r>
    </w:p>
    <w:p w14:paraId="0CFD81D4" w14:textId="681ABC3D" w:rsidR="0043619A" w:rsidRPr="004332AA" w:rsidRDefault="0043619A" w:rsidP="004332AA">
      <w:pPr>
        <w:pStyle w:val="ListParagraph"/>
        <w:numPr>
          <w:ilvl w:val="3"/>
          <w:numId w:val="14"/>
        </w:numPr>
        <w:jc w:val="both"/>
        <w:rPr>
          <w:rFonts w:cstheme="minorHAnsi"/>
          <w:b/>
          <w:color w:val="000000" w:themeColor="text1"/>
          <w:lang w:val="en-GB"/>
        </w:rPr>
      </w:pPr>
      <w:r w:rsidRPr="004332AA">
        <w:rPr>
          <w:rFonts w:cstheme="minorHAnsi"/>
          <w:lang w:val="en-GB"/>
        </w:rPr>
        <w:t>I</w:t>
      </w:r>
      <w:proofErr w:type="spellStart"/>
      <w:r w:rsidRPr="004332AA">
        <w:rPr>
          <w:rFonts w:cstheme="minorHAnsi"/>
        </w:rPr>
        <w:t>n</w:t>
      </w:r>
      <w:proofErr w:type="spellEnd"/>
      <w:r w:rsidRPr="004332AA">
        <w:rPr>
          <w:rFonts w:cstheme="minorHAnsi"/>
        </w:rPr>
        <w:t xml:space="preserve"> order to implement a person’s deportation from the UK.</w:t>
      </w:r>
    </w:p>
    <w:p w14:paraId="7DE1AE94" w14:textId="683710A5" w:rsidR="0043619A" w:rsidRPr="004332AA" w:rsidRDefault="0043619A" w:rsidP="00850449">
      <w:pPr>
        <w:pStyle w:val="ListParagraph"/>
        <w:numPr>
          <w:ilvl w:val="2"/>
          <w:numId w:val="8"/>
        </w:numPr>
        <w:jc w:val="both"/>
        <w:rPr>
          <w:rFonts w:cstheme="minorHAnsi"/>
          <w:b/>
          <w:color w:val="000000" w:themeColor="text1"/>
          <w:lang w:val="en-GB"/>
        </w:rPr>
      </w:pPr>
      <w:r w:rsidRPr="004332AA">
        <w:rPr>
          <w:rFonts w:cstheme="minorHAnsi"/>
        </w:rPr>
        <w:t xml:space="preserve">Amnesty International has </w:t>
      </w:r>
      <w:r w:rsidR="004F4D0B">
        <w:rPr>
          <w:rFonts w:cstheme="minorHAnsi"/>
        </w:rPr>
        <w:t xml:space="preserve">warned </w:t>
      </w:r>
      <w:r w:rsidRPr="004332AA">
        <w:rPr>
          <w:rFonts w:cstheme="minorHAnsi"/>
        </w:rPr>
        <w:t xml:space="preserve">that immigration detention </w:t>
      </w:r>
      <w:r w:rsidR="004F4D0B">
        <w:rPr>
          <w:rFonts w:cstheme="minorHAnsi"/>
        </w:rPr>
        <w:t xml:space="preserve">in the UK </w:t>
      </w:r>
      <w:r w:rsidRPr="004332AA">
        <w:rPr>
          <w:rFonts w:cstheme="minorHAnsi"/>
        </w:rPr>
        <w:t>has become “a matter of routine for the UK government and the Home Office immigration service”.</w:t>
      </w:r>
      <w:r w:rsidR="004F4D0B" w:rsidRPr="004332AA">
        <w:rPr>
          <w:rStyle w:val="FootnoteReference"/>
          <w:rFonts w:cstheme="minorHAnsi"/>
        </w:rPr>
        <w:footnoteReference w:id="11"/>
      </w:r>
      <w:r w:rsidRPr="004332AA">
        <w:rPr>
          <w:rFonts w:cstheme="minorHAnsi"/>
        </w:rPr>
        <w:t xml:space="preserve"> </w:t>
      </w:r>
    </w:p>
    <w:p w14:paraId="55F365C4" w14:textId="1A082B17" w:rsidR="0043619A" w:rsidRPr="004332AA" w:rsidRDefault="004F4D0B" w:rsidP="00850449">
      <w:pPr>
        <w:pStyle w:val="ListParagraph"/>
        <w:numPr>
          <w:ilvl w:val="2"/>
          <w:numId w:val="8"/>
        </w:numPr>
        <w:jc w:val="both"/>
        <w:rPr>
          <w:rFonts w:cstheme="minorHAnsi"/>
          <w:b/>
          <w:color w:val="000000" w:themeColor="text1"/>
          <w:lang w:val="en-GB"/>
        </w:rPr>
      </w:pPr>
      <w:r>
        <w:rPr>
          <w:rFonts w:cstheme="minorHAnsi"/>
        </w:rPr>
        <w:t xml:space="preserve">According to the same source, </w:t>
      </w:r>
      <w:r w:rsidR="0043619A" w:rsidRPr="004332AA">
        <w:rPr>
          <w:rFonts w:cstheme="minorHAnsi"/>
        </w:rPr>
        <w:t>Ministers have repeatedly acknowledged their department’s use of ‘routine detention’.</w:t>
      </w:r>
      <w:r w:rsidR="0043619A" w:rsidRPr="004332AA">
        <w:rPr>
          <w:rStyle w:val="FootnoteReference"/>
          <w:rFonts w:cstheme="minorHAnsi"/>
        </w:rPr>
        <w:footnoteReference w:id="12"/>
      </w:r>
    </w:p>
    <w:p w14:paraId="55696C85" w14:textId="4E9FEF69" w:rsidR="00BC2CCF" w:rsidRPr="004332AA" w:rsidRDefault="004F4D0B" w:rsidP="00850449">
      <w:pPr>
        <w:pStyle w:val="ListParagraph"/>
        <w:numPr>
          <w:ilvl w:val="2"/>
          <w:numId w:val="8"/>
        </w:numPr>
        <w:jc w:val="both"/>
        <w:rPr>
          <w:rFonts w:cstheme="minorHAnsi"/>
          <w:b/>
          <w:color w:val="000000" w:themeColor="text1"/>
          <w:lang w:val="en-GB"/>
        </w:rPr>
      </w:pPr>
      <w:r>
        <w:rPr>
          <w:rFonts w:cstheme="minorHAnsi"/>
        </w:rPr>
        <w:t>Meanwhile, f</w:t>
      </w:r>
      <w:r w:rsidR="00BC2CCF" w:rsidRPr="004332AA">
        <w:rPr>
          <w:rFonts w:cstheme="minorHAnsi"/>
        </w:rPr>
        <w:t xml:space="preserve">rontline </w:t>
      </w:r>
      <w:proofErr w:type="spellStart"/>
      <w:r w:rsidR="00BC2CCF" w:rsidRPr="004332AA">
        <w:rPr>
          <w:rFonts w:cstheme="minorHAnsi"/>
        </w:rPr>
        <w:t>organisations</w:t>
      </w:r>
      <w:proofErr w:type="spellEnd"/>
      <w:r w:rsidR="00BC2CCF" w:rsidRPr="004332AA">
        <w:rPr>
          <w:rFonts w:cstheme="minorHAnsi"/>
        </w:rPr>
        <w:t xml:space="preserve"> report that detention oftentimes serves no purpose, as asylum-seeking individuals are often released back into the community to continue with their claims.</w:t>
      </w:r>
      <w:r w:rsidR="00BC2CCF" w:rsidRPr="004332AA">
        <w:rPr>
          <w:rStyle w:val="FootnoteReference"/>
          <w:rFonts w:cstheme="minorHAnsi"/>
        </w:rPr>
        <w:footnoteReference w:id="13"/>
      </w:r>
    </w:p>
    <w:p w14:paraId="7FAB3903" w14:textId="77777777" w:rsidR="0043619A" w:rsidRPr="004332AA" w:rsidRDefault="0043619A" w:rsidP="0031645A">
      <w:pPr>
        <w:pStyle w:val="ListParagraph"/>
        <w:ind w:left="1224"/>
        <w:jc w:val="both"/>
        <w:rPr>
          <w:rFonts w:cstheme="minorHAnsi"/>
          <w:b/>
          <w:color w:val="000000" w:themeColor="text1"/>
          <w:lang w:val="en-GB"/>
        </w:rPr>
      </w:pPr>
    </w:p>
    <w:p w14:paraId="7BE18DE6" w14:textId="7B1C4F8A" w:rsidR="00272983" w:rsidRPr="004332AA" w:rsidRDefault="00272983" w:rsidP="00272983">
      <w:pPr>
        <w:pStyle w:val="ListParagraph"/>
        <w:numPr>
          <w:ilvl w:val="1"/>
          <w:numId w:val="8"/>
        </w:numPr>
        <w:jc w:val="both"/>
        <w:rPr>
          <w:rFonts w:cstheme="minorHAnsi"/>
          <w:b/>
          <w:color w:val="000000" w:themeColor="text1"/>
          <w:lang w:val="en-GB"/>
        </w:rPr>
      </w:pPr>
      <w:r w:rsidRPr="004332AA">
        <w:rPr>
          <w:rFonts w:cstheme="minorHAnsi"/>
          <w:b/>
          <w:color w:val="000000" w:themeColor="text1"/>
          <w:lang w:val="en-GB"/>
        </w:rPr>
        <w:t xml:space="preserve">Time limitations </w:t>
      </w:r>
    </w:p>
    <w:p w14:paraId="082464EF" w14:textId="77777777" w:rsidR="00DE587C" w:rsidRPr="004332AA" w:rsidRDefault="00DE587C" w:rsidP="00DE587C">
      <w:pPr>
        <w:pStyle w:val="ListParagraph"/>
        <w:ind w:left="792"/>
        <w:jc w:val="both"/>
        <w:rPr>
          <w:rFonts w:cstheme="minorHAnsi"/>
          <w:b/>
          <w:color w:val="000000" w:themeColor="text1"/>
          <w:lang w:val="en-GB"/>
        </w:rPr>
      </w:pPr>
    </w:p>
    <w:p w14:paraId="47F43130" w14:textId="6F38EE40" w:rsidR="0031645A" w:rsidRPr="004332AA" w:rsidRDefault="0031645A" w:rsidP="0031645A">
      <w:pPr>
        <w:pStyle w:val="ListParagraph"/>
        <w:numPr>
          <w:ilvl w:val="2"/>
          <w:numId w:val="8"/>
        </w:numPr>
        <w:jc w:val="both"/>
        <w:rPr>
          <w:rFonts w:cstheme="minorHAnsi"/>
          <w:color w:val="000000" w:themeColor="text1"/>
          <w:lang w:val="en-GB"/>
        </w:rPr>
      </w:pPr>
      <w:r w:rsidRPr="004332AA">
        <w:rPr>
          <w:rFonts w:cstheme="minorHAnsi"/>
          <w:color w:val="000000" w:themeColor="text1"/>
          <w:lang w:val="en-GB"/>
        </w:rPr>
        <w:t xml:space="preserve">There is no legal limit on how long individuals can be held in immigration detention; the UK being the sole country in Europe without </w:t>
      </w:r>
      <w:r w:rsidR="004F4D0B">
        <w:rPr>
          <w:rFonts w:cstheme="minorHAnsi"/>
          <w:color w:val="000000" w:themeColor="text1"/>
          <w:lang w:val="en-GB"/>
        </w:rPr>
        <w:t xml:space="preserve">such a </w:t>
      </w:r>
      <w:r w:rsidRPr="004332AA">
        <w:rPr>
          <w:rFonts w:cstheme="minorHAnsi"/>
          <w:color w:val="000000" w:themeColor="text1"/>
          <w:lang w:val="en-GB"/>
        </w:rPr>
        <w:t xml:space="preserve">time limit. </w:t>
      </w:r>
    </w:p>
    <w:p w14:paraId="09B20307" w14:textId="0504FC39" w:rsidR="0031645A" w:rsidRPr="004332AA" w:rsidRDefault="0031645A" w:rsidP="0031645A">
      <w:pPr>
        <w:pStyle w:val="ListParagraph"/>
        <w:numPr>
          <w:ilvl w:val="2"/>
          <w:numId w:val="8"/>
        </w:numPr>
        <w:jc w:val="both"/>
        <w:rPr>
          <w:rFonts w:cstheme="minorHAnsi"/>
          <w:color w:val="000000" w:themeColor="text1"/>
          <w:lang w:val="en-GB"/>
        </w:rPr>
      </w:pPr>
      <w:r w:rsidRPr="004332AA">
        <w:rPr>
          <w:rFonts w:cstheme="minorHAnsi"/>
          <w:color w:val="000000" w:themeColor="text1"/>
          <w:lang w:val="en-GB"/>
        </w:rPr>
        <w:t xml:space="preserve">According to leading organisation Liberty, </w:t>
      </w:r>
      <w:r w:rsidR="004F4D0B">
        <w:rPr>
          <w:rFonts w:cstheme="minorHAnsi"/>
          <w:color w:val="000000" w:themeColor="text1"/>
          <w:lang w:val="en-GB"/>
        </w:rPr>
        <w:t>among</w:t>
      </w:r>
      <w:r w:rsidRPr="004332AA">
        <w:rPr>
          <w:rFonts w:cstheme="minorHAnsi"/>
          <w:color w:val="000000" w:themeColor="text1"/>
          <w:lang w:val="en-GB"/>
        </w:rPr>
        <w:t xml:space="preserve"> those who left detention in June 2017, 17% had been detained for 29 days to two months and 11% had been detained for two to four months. 2,000 individuals had been detained for more than four months, and 172 people had been held for one to two years, with 28 individuals being incarcerated for two years or more. One person had been held for 1,514 days – more than four years – without an indication of when they might be released.</w:t>
      </w:r>
      <w:r w:rsidRPr="004332AA">
        <w:rPr>
          <w:rStyle w:val="FootnoteReference"/>
          <w:rFonts w:cstheme="minorHAnsi"/>
          <w:color w:val="000000" w:themeColor="text1"/>
          <w:lang w:val="en-GB"/>
        </w:rPr>
        <w:footnoteReference w:id="14"/>
      </w:r>
    </w:p>
    <w:p w14:paraId="07C550D3" w14:textId="77777777" w:rsidR="0031645A" w:rsidRPr="004332AA" w:rsidRDefault="0031645A" w:rsidP="0031645A">
      <w:pPr>
        <w:pStyle w:val="ListParagraph"/>
        <w:numPr>
          <w:ilvl w:val="2"/>
          <w:numId w:val="8"/>
        </w:numPr>
        <w:jc w:val="both"/>
        <w:rPr>
          <w:rFonts w:cstheme="minorHAnsi"/>
          <w:color w:val="000000" w:themeColor="text1"/>
          <w:lang w:val="en-GB"/>
        </w:rPr>
      </w:pPr>
      <w:r w:rsidRPr="004332AA">
        <w:rPr>
          <w:rFonts w:cstheme="minorHAnsi"/>
          <w:color w:val="000000" w:themeColor="text1"/>
          <w:lang w:val="en-GB"/>
        </w:rPr>
        <w:t xml:space="preserve">In 2015, a UNHCR report recommended the introduction of a maximum time limit of 28 days on the length of time anyone can be detained under immigration powers in the UK. This recommendation sought to address one of the shortcomings UNHCR had identified in the UK’s immigration detention framework.  </w:t>
      </w:r>
    </w:p>
    <w:p w14:paraId="51A0E586" w14:textId="35029E5C" w:rsidR="0031645A" w:rsidRPr="004332AA" w:rsidRDefault="0031645A" w:rsidP="0031645A">
      <w:pPr>
        <w:pStyle w:val="ListParagraph"/>
        <w:numPr>
          <w:ilvl w:val="2"/>
          <w:numId w:val="8"/>
        </w:numPr>
        <w:jc w:val="both"/>
        <w:rPr>
          <w:rFonts w:cstheme="minorHAnsi"/>
          <w:color w:val="000000" w:themeColor="text1"/>
          <w:lang w:val="en-GB"/>
        </w:rPr>
      </w:pPr>
      <w:r w:rsidRPr="004332AA">
        <w:rPr>
          <w:rFonts w:cstheme="minorHAnsi"/>
          <w:color w:val="000000" w:themeColor="text1"/>
          <w:lang w:val="en-GB"/>
        </w:rPr>
        <w:t xml:space="preserve">28 days would </w:t>
      </w:r>
      <w:r w:rsidR="00DE587C" w:rsidRPr="004332AA">
        <w:rPr>
          <w:rFonts w:cstheme="minorHAnsi"/>
          <w:color w:val="000000" w:themeColor="text1"/>
          <w:lang w:val="en-GB"/>
        </w:rPr>
        <w:t xml:space="preserve">appear to </w:t>
      </w:r>
      <w:r w:rsidRPr="004332AA">
        <w:rPr>
          <w:rFonts w:cstheme="minorHAnsi"/>
          <w:color w:val="000000" w:themeColor="text1"/>
          <w:lang w:val="en-GB"/>
        </w:rPr>
        <w:t>be a reasonable statutory time limit to enforce, given that the Home Office’s own Enforcement Instructions and Guidance confirm that detention should only be maintained when removal is imminent.</w:t>
      </w:r>
    </w:p>
    <w:p w14:paraId="360A5C79" w14:textId="77777777" w:rsidR="00C94CA1" w:rsidRPr="004332AA" w:rsidRDefault="00DE587C" w:rsidP="00C94CA1">
      <w:pPr>
        <w:pStyle w:val="ListParagraph"/>
        <w:numPr>
          <w:ilvl w:val="2"/>
          <w:numId w:val="8"/>
        </w:numPr>
        <w:jc w:val="both"/>
        <w:rPr>
          <w:rFonts w:cstheme="minorHAnsi"/>
          <w:color w:val="000000" w:themeColor="text1"/>
          <w:lang w:val="en-GB"/>
        </w:rPr>
      </w:pPr>
      <w:r w:rsidRPr="004332AA">
        <w:rPr>
          <w:rFonts w:cstheme="minorHAnsi"/>
          <w:color w:val="000000" w:themeColor="text1"/>
          <w:lang w:val="en-GB"/>
        </w:rPr>
        <w:t>Various actors such as HM Chief Inspector of Prisons (2017) and the All-Party Parliamentary Group on Migration (2015) have argued for a maximum time limit on immigration detention.</w:t>
      </w:r>
      <w:r w:rsidRPr="004332AA">
        <w:rPr>
          <w:rStyle w:val="FootnoteReference"/>
          <w:rFonts w:cstheme="minorHAnsi"/>
          <w:color w:val="000000" w:themeColor="text1"/>
          <w:lang w:val="en-GB"/>
        </w:rPr>
        <w:footnoteReference w:id="15"/>
      </w:r>
    </w:p>
    <w:p w14:paraId="46616F0B" w14:textId="29709844" w:rsidR="00C94CA1" w:rsidRPr="004332AA" w:rsidRDefault="00C94CA1" w:rsidP="00C94CA1">
      <w:pPr>
        <w:pStyle w:val="ListParagraph"/>
        <w:numPr>
          <w:ilvl w:val="2"/>
          <w:numId w:val="8"/>
        </w:numPr>
        <w:jc w:val="both"/>
        <w:rPr>
          <w:rFonts w:cstheme="minorHAnsi"/>
          <w:color w:val="000000" w:themeColor="text1"/>
          <w:lang w:val="en-GB"/>
        </w:rPr>
      </w:pPr>
      <w:r w:rsidRPr="004332AA">
        <w:rPr>
          <w:rFonts w:cstheme="minorHAnsi"/>
          <w:color w:val="000000" w:themeColor="text1"/>
          <w:lang w:val="en-GB"/>
        </w:rPr>
        <w:t xml:space="preserve">Most recently, </w:t>
      </w:r>
      <w:r w:rsidRPr="004332AA">
        <w:rPr>
          <w:rFonts w:cstheme="minorHAnsi"/>
        </w:rPr>
        <w:t>the Home Affairs Select Committee (HAC) released a report on 21 March 2019</w:t>
      </w:r>
      <w:r w:rsidRPr="004332AA">
        <w:rPr>
          <w:rStyle w:val="FootnoteReference"/>
          <w:rFonts w:cstheme="minorHAnsi"/>
        </w:rPr>
        <w:footnoteReference w:id="16"/>
      </w:r>
      <w:r w:rsidRPr="004332AA">
        <w:rPr>
          <w:rFonts w:cstheme="minorHAnsi"/>
        </w:rPr>
        <w:t>, unequivocally calling on the Government to</w:t>
      </w:r>
      <w:r w:rsidRPr="004332AA">
        <w:rPr>
          <w:rFonts w:cstheme="minorHAnsi"/>
          <w:iCs/>
        </w:rPr>
        <w:t> bring an end to indefinite immigration detention and to implement a maximum 28-day time limit with immediate effect.</w:t>
      </w:r>
    </w:p>
    <w:p w14:paraId="10A23206" w14:textId="77777777" w:rsidR="00DE587C" w:rsidRPr="004332AA" w:rsidRDefault="00DE587C" w:rsidP="00DE587C">
      <w:pPr>
        <w:pStyle w:val="ListParagraph"/>
        <w:ind w:left="1224"/>
        <w:jc w:val="both"/>
        <w:rPr>
          <w:rFonts w:cstheme="minorHAnsi"/>
          <w:color w:val="000000" w:themeColor="text1"/>
          <w:lang w:val="en-GB"/>
        </w:rPr>
      </w:pPr>
    </w:p>
    <w:p w14:paraId="475CA3CA" w14:textId="30AE3158" w:rsidR="00272983" w:rsidRDefault="00272983" w:rsidP="00272983">
      <w:pPr>
        <w:pStyle w:val="ListParagraph"/>
        <w:numPr>
          <w:ilvl w:val="0"/>
          <w:numId w:val="8"/>
        </w:numPr>
        <w:jc w:val="both"/>
        <w:rPr>
          <w:rFonts w:cstheme="minorHAnsi"/>
          <w:b/>
          <w:color w:val="000000" w:themeColor="text1"/>
          <w:lang w:val="en-GB"/>
        </w:rPr>
      </w:pPr>
      <w:r w:rsidRPr="004332AA">
        <w:rPr>
          <w:rFonts w:cstheme="minorHAnsi"/>
          <w:b/>
          <w:color w:val="000000" w:themeColor="text1"/>
          <w:lang w:val="en-GB"/>
        </w:rPr>
        <w:t>Impact on Detainees</w:t>
      </w:r>
    </w:p>
    <w:p w14:paraId="25A7CD38" w14:textId="77777777" w:rsidR="004332AA" w:rsidRPr="004332AA" w:rsidRDefault="004332AA" w:rsidP="004332AA">
      <w:pPr>
        <w:pStyle w:val="ListParagraph"/>
        <w:ind w:left="360"/>
        <w:jc w:val="both"/>
        <w:rPr>
          <w:rFonts w:cstheme="minorHAnsi"/>
          <w:b/>
          <w:color w:val="000000" w:themeColor="text1"/>
          <w:lang w:val="en-GB"/>
        </w:rPr>
      </w:pPr>
    </w:p>
    <w:p w14:paraId="5D09AC9A" w14:textId="3178A56D" w:rsidR="00272983" w:rsidRDefault="00272983" w:rsidP="00272983">
      <w:pPr>
        <w:pStyle w:val="ListParagraph"/>
        <w:numPr>
          <w:ilvl w:val="1"/>
          <w:numId w:val="8"/>
        </w:numPr>
        <w:jc w:val="both"/>
        <w:rPr>
          <w:rFonts w:cstheme="minorHAnsi"/>
          <w:b/>
          <w:color w:val="000000" w:themeColor="text1"/>
          <w:lang w:val="en-GB"/>
        </w:rPr>
      </w:pPr>
      <w:r w:rsidRPr="004332AA">
        <w:rPr>
          <w:rFonts w:cstheme="minorHAnsi"/>
          <w:b/>
          <w:color w:val="000000" w:themeColor="text1"/>
          <w:lang w:val="en-GB"/>
        </w:rPr>
        <w:t>Impact on detainees’ physical and mental health</w:t>
      </w:r>
    </w:p>
    <w:p w14:paraId="7C6F1665" w14:textId="77777777" w:rsidR="004332AA" w:rsidRPr="004332AA" w:rsidRDefault="004332AA" w:rsidP="004332AA">
      <w:pPr>
        <w:pStyle w:val="ListParagraph"/>
        <w:ind w:left="792"/>
        <w:jc w:val="both"/>
        <w:rPr>
          <w:rFonts w:cstheme="minorHAnsi"/>
          <w:b/>
          <w:color w:val="000000" w:themeColor="text1"/>
          <w:lang w:val="en-GB"/>
        </w:rPr>
      </w:pPr>
    </w:p>
    <w:p w14:paraId="61ECA498" w14:textId="5ECDA814" w:rsidR="0095735C" w:rsidRPr="004332AA" w:rsidRDefault="0095735C" w:rsidP="0095735C">
      <w:pPr>
        <w:pStyle w:val="ListParagraph"/>
        <w:numPr>
          <w:ilvl w:val="1"/>
          <w:numId w:val="8"/>
        </w:numPr>
        <w:spacing w:line="276" w:lineRule="auto"/>
        <w:jc w:val="both"/>
        <w:rPr>
          <w:rFonts w:eastAsia="Times New Roman" w:cstheme="minorHAnsi"/>
          <w:color w:val="000000" w:themeColor="text1"/>
        </w:rPr>
      </w:pPr>
      <w:r w:rsidRPr="004332AA">
        <w:rPr>
          <w:rFonts w:cstheme="minorHAnsi"/>
          <w:color w:val="000000" w:themeColor="text1"/>
          <w:lang w:val="en-GB"/>
        </w:rPr>
        <w:t xml:space="preserve">Countless organisations have reported that both </w:t>
      </w:r>
      <w:r w:rsidRPr="004F4D0B">
        <w:rPr>
          <w:rFonts w:cstheme="minorHAnsi"/>
          <w:i/>
          <w:color w:val="000000" w:themeColor="text1"/>
          <w:lang w:val="en-GB"/>
        </w:rPr>
        <w:t>extensive</w:t>
      </w:r>
      <w:r w:rsidRPr="004332AA">
        <w:rPr>
          <w:rFonts w:cstheme="minorHAnsi"/>
          <w:color w:val="000000" w:themeColor="text1"/>
          <w:lang w:val="en-GB"/>
        </w:rPr>
        <w:t xml:space="preserve"> length of time spent in detention and the </w:t>
      </w:r>
      <w:r w:rsidRPr="004F4D0B">
        <w:rPr>
          <w:rFonts w:cstheme="minorHAnsi"/>
          <w:i/>
          <w:color w:val="000000" w:themeColor="text1"/>
          <w:lang w:val="en-GB"/>
        </w:rPr>
        <w:t>uncertainty</w:t>
      </w:r>
      <w:r w:rsidRPr="004332AA">
        <w:rPr>
          <w:rFonts w:cstheme="minorHAnsi"/>
          <w:color w:val="000000" w:themeColor="text1"/>
          <w:lang w:val="en-GB"/>
        </w:rPr>
        <w:t xml:space="preserve"> of lengths of detention are harmful for individuals.</w:t>
      </w:r>
      <w:r w:rsidRPr="004332AA">
        <w:rPr>
          <w:rStyle w:val="FootnoteReference"/>
          <w:rFonts w:cstheme="minorHAnsi"/>
          <w:color w:val="000000" w:themeColor="text1"/>
          <w:lang w:val="en-GB"/>
        </w:rPr>
        <w:footnoteReference w:id="17"/>
      </w:r>
      <w:r w:rsidRPr="004332AA">
        <w:rPr>
          <w:rFonts w:cstheme="minorHAnsi"/>
          <w:color w:val="000000" w:themeColor="text1"/>
          <w:lang w:val="en-GB"/>
        </w:rPr>
        <w:t xml:space="preserve"> </w:t>
      </w:r>
    </w:p>
    <w:p w14:paraId="12B5F749" w14:textId="7CA9A434" w:rsidR="00356B8D" w:rsidRPr="004332AA" w:rsidRDefault="00356B8D" w:rsidP="00356B8D">
      <w:pPr>
        <w:pStyle w:val="ListParagraph"/>
        <w:numPr>
          <w:ilvl w:val="1"/>
          <w:numId w:val="8"/>
        </w:numPr>
        <w:spacing w:line="276" w:lineRule="auto"/>
        <w:jc w:val="both"/>
        <w:rPr>
          <w:rFonts w:eastAsia="Times New Roman" w:cstheme="minorHAnsi"/>
          <w:color w:val="000000" w:themeColor="text1"/>
        </w:rPr>
      </w:pPr>
      <w:r w:rsidRPr="004332AA">
        <w:rPr>
          <w:rFonts w:cstheme="minorHAnsi"/>
          <w:color w:val="000000" w:themeColor="text1"/>
        </w:rPr>
        <w:t xml:space="preserve">In a rigorously researched report from </w:t>
      </w:r>
      <w:r w:rsidR="005324FD" w:rsidRPr="004332AA">
        <w:rPr>
          <w:rFonts w:cstheme="minorHAnsi"/>
          <w:color w:val="000000" w:themeColor="text1"/>
        </w:rPr>
        <w:t xml:space="preserve">December </w:t>
      </w:r>
      <w:r w:rsidRPr="004332AA">
        <w:rPr>
          <w:rFonts w:cstheme="minorHAnsi"/>
          <w:color w:val="000000" w:themeColor="text1"/>
        </w:rPr>
        <w:t>2017, Amnesty International concluded that “Harm is being done to detainees’ mental and physical health. Interviewees specifically cited the uncertainty of indefinite detention, and their vicarious exposure to the long-term detention of others, as a source of harm.”</w:t>
      </w:r>
      <w:r w:rsidRPr="004332AA">
        <w:rPr>
          <w:rStyle w:val="FootnoteReference"/>
          <w:rFonts w:cstheme="minorHAnsi"/>
          <w:color w:val="000000" w:themeColor="text1"/>
        </w:rPr>
        <w:footnoteReference w:id="18"/>
      </w:r>
    </w:p>
    <w:p w14:paraId="6523C1F6" w14:textId="4424B2D5" w:rsidR="0095735C" w:rsidRPr="004332AA" w:rsidRDefault="00356B8D" w:rsidP="0095735C">
      <w:pPr>
        <w:pStyle w:val="ListParagraph"/>
        <w:numPr>
          <w:ilvl w:val="1"/>
          <w:numId w:val="8"/>
        </w:numPr>
        <w:spacing w:line="276" w:lineRule="auto"/>
        <w:jc w:val="both"/>
        <w:rPr>
          <w:rFonts w:eastAsia="Times New Roman" w:cstheme="minorHAnsi"/>
          <w:color w:val="000000" w:themeColor="text1"/>
        </w:rPr>
      </w:pPr>
      <w:r w:rsidRPr="004332AA">
        <w:rPr>
          <w:rFonts w:eastAsia="Times New Roman" w:cstheme="minorHAnsi"/>
          <w:color w:val="000000" w:themeColor="text1"/>
        </w:rPr>
        <w:t>I</w:t>
      </w:r>
      <w:r w:rsidR="0095735C" w:rsidRPr="004332AA">
        <w:rPr>
          <w:rFonts w:eastAsia="Times New Roman" w:cstheme="minorHAnsi"/>
          <w:color w:val="000000" w:themeColor="text1"/>
        </w:rPr>
        <w:t xml:space="preserve">nvestigative journalism and </w:t>
      </w:r>
      <w:r w:rsidRPr="004F4D0B">
        <w:rPr>
          <w:rFonts w:eastAsia="Times New Roman" w:cstheme="minorHAnsi"/>
          <w:i/>
          <w:color w:val="000000" w:themeColor="text1"/>
        </w:rPr>
        <w:t>ad hoc</w:t>
      </w:r>
      <w:r w:rsidRPr="004332AA">
        <w:rPr>
          <w:rFonts w:eastAsia="Times New Roman" w:cstheme="minorHAnsi"/>
          <w:color w:val="000000" w:themeColor="text1"/>
        </w:rPr>
        <w:t xml:space="preserve"> </w:t>
      </w:r>
      <w:r w:rsidR="0095735C" w:rsidRPr="004332AA">
        <w:rPr>
          <w:rFonts w:eastAsia="Times New Roman" w:cstheme="minorHAnsi"/>
          <w:color w:val="000000" w:themeColor="text1"/>
        </w:rPr>
        <w:t xml:space="preserve">inspections have </w:t>
      </w:r>
      <w:r w:rsidRPr="004332AA">
        <w:rPr>
          <w:rFonts w:eastAsia="Times New Roman" w:cstheme="minorHAnsi"/>
          <w:color w:val="000000" w:themeColor="text1"/>
        </w:rPr>
        <w:t xml:space="preserve">shown that </w:t>
      </w:r>
      <w:r w:rsidR="0095735C" w:rsidRPr="004332AA">
        <w:rPr>
          <w:rFonts w:eastAsia="Times New Roman" w:cstheme="minorHAnsi"/>
          <w:color w:val="000000" w:themeColor="text1"/>
        </w:rPr>
        <w:t xml:space="preserve">immigration removal </w:t>
      </w:r>
      <w:proofErr w:type="spellStart"/>
      <w:r w:rsidR="0095735C" w:rsidRPr="004332AA">
        <w:rPr>
          <w:rFonts w:eastAsia="Times New Roman" w:cstheme="minorHAnsi"/>
          <w:color w:val="000000" w:themeColor="text1"/>
        </w:rPr>
        <w:t>centres</w:t>
      </w:r>
      <w:proofErr w:type="spellEnd"/>
      <w:r w:rsidRPr="004332AA">
        <w:rPr>
          <w:rFonts w:eastAsia="Times New Roman" w:cstheme="minorHAnsi"/>
          <w:color w:val="000000" w:themeColor="text1"/>
        </w:rPr>
        <w:t xml:space="preserve"> are often “</w:t>
      </w:r>
      <w:r w:rsidR="0095735C" w:rsidRPr="004332AA">
        <w:rPr>
          <w:rFonts w:eastAsia="Times New Roman" w:cstheme="minorHAnsi"/>
          <w:color w:val="000000" w:themeColor="text1"/>
        </w:rPr>
        <w:t>chaotic, filthy and overcrowded and rife with abuse and neglect</w:t>
      </w:r>
      <w:r w:rsidRPr="004332AA">
        <w:rPr>
          <w:rFonts w:eastAsia="Times New Roman" w:cstheme="minorHAnsi"/>
          <w:color w:val="000000" w:themeColor="text1"/>
        </w:rPr>
        <w:t xml:space="preserve">”, and have highlighted </w:t>
      </w:r>
      <w:r w:rsidR="0095735C" w:rsidRPr="004332AA">
        <w:rPr>
          <w:rFonts w:eastAsia="Times New Roman" w:cstheme="minorHAnsi"/>
          <w:color w:val="000000" w:themeColor="text1"/>
        </w:rPr>
        <w:t xml:space="preserve">cases of </w:t>
      </w:r>
      <w:r w:rsidRPr="004332AA">
        <w:rPr>
          <w:rFonts w:eastAsia="Times New Roman" w:cstheme="minorHAnsi"/>
          <w:color w:val="000000" w:themeColor="text1"/>
        </w:rPr>
        <w:t xml:space="preserve">the </w:t>
      </w:r>
      <w:r w:rsidR="0095735C" w:rsidRPr="004332AA">
        <w:rPr>
          <w:rFonts w:eastAsia="Times New Roman" w:cstheme="minorHAnsi"/>
          <w:color w:val="000000" w:themeColor="text1"/>
        </w:rPr>
        <w:t xml:space="preserve">unlawful use of restraint and </w:t>
      </w:r>
      <w:r w:rsidRPr="004332AA">
        <w:rPr>
          <w:rFonts w:eastAsia="Times New Roman" w:cstheme="minorHAnsi"/>
          <w:color w:val="000000" w:themeColor="text1"/>
        </w:rPr>
        <w:t xml:space="preserve">the </w:t>
      </w:r>
      <w:r w:rsidR="0095735C" w:rsidRPr="004332AA">
        <w:rPr>
          <w:rFonts w:eastAsia="Times New Roman" w:cstheme="minorHAnsi"/>
          <w:color w:val="000000" w:themeColor="text1"/>
        </w:rPr>
        <w:t>denial of medical care.</w:t>
      </w:r>
      <w:r w:rsidRPr="004332AA">
        <w:rPr>
          <w:rStyle w:val="FootnoteReference"/>
          <w:rFonts w:eastAsia="Times New Roman" w:cstheme="minorHAnsi"/>
          <w:color w:val="000000" w:themeColor="text1"/>
        </w:rPr>
        <w:footnoteReference w:id="19"/>
      </w:r>
    </w:p>
    <w:p w14:paraId="793F0EDC" w14:textId="2507CBD7" w:rsidR="00356B8D" w:rsidRPr="004332AA" w:rsidRDefault="00356B8D" w:rsidP="0095735C">
      <w:pPr>
        <w:pStyle w:val="ListParagraph"/>
        <w:numPr>
          <w:ilvl w:val="1"/>
          <w:numId w:val="8"/>
        </w:numPr>
        <w:spacing w:line="276" w:lineRule="auto"/>
        <w:jc w:val="both"/>
        <w:rPr>
          <w:rFonts w:eastAsia="Times New Roman" w:cstheme="minorHAnsi"/>
          <w:color w:val="000000" w:themeColor="text1"/>
        </w:rPr>
      </w:pPr>
      <w:r w:rsidRPr="004332AA">
        <w:rPr>
          <w:rFonts w:eastAsia="Times New Roman" w:cstheme="minorHAnsi"/>
          <w:color w:val="000000" w:themeColor="text1"/>
        </w:rPr>
        <w:t>Liberty reports the following deeply alarming facts about the impact of immigration detention on detainees</w:t>
      </w:r>
      <w:r w:rsidR="004F4D0B">
        <w:rPr>
          <w:rFonts w:eastAsia="Times New Roman" w:cstheme="minorHAnsi"/>
          <w:color w:val="000000" w:themeColor="text1"/>
        </w:rPr>
        <w:t xml:space="preserve"> in the UK</w:t>
      </w:r>
      <w:r w:rsidRPr="004332AA">
        <w:rPr>
          <w:rStyle w:val="FootnoteReference"/>
          <w:rFonts w:eastAsia="Times New Roman" w:cstheme="minorHAnsi"/>
          <w:color w:val="000000" w:themeColor="text1"/>
        </w:rPr>
        <w:footnoteReference w:id="20"/>
      </w:r>
      <w:r w:rsidRPr="004332AA">
        <w:rPr>
          <w:rFonts w:eastAsia="Times New Roman" w:cstheme="minorHAnsi"/>
          <w:color w:val="000000" w:themeColor="text1"/>
        </w:rPr>
        <w:t xml:space="preserve">: </w:t>
      </w:r>
    </w:p>
    <w:p w14:paraId="7FD9BBD5" w14:textId="31FA96AB" w:rsidR="00356B8D" w:rsidRPr="004332AA" w:rsidRDefault="0095735C" w:rsidP="00356B8D">
      <w:pPr>
        <w:pStyle w:val="ListParagraph"/>
        <w:numPr>
          <w:ilvl w:val="2"/>
          <w:numId w:val="8"/>
        </w:numPr>
        <w:spacing w:line="276" w:lineRule="auto"/>
        <w:jc w:val="both"/>
        <w:rPr>
          <w:rFonts w:eastAsia="Times New Roman" w:cstheme="minorHAnsi"/>
          <w:color w:val="000000" w:themeColor="text1"/>
        </w:rPr>
      </w:pPr>
      <w:r w:rsidRPr="004332AA">
        <w:rPr>
          <w:rFonts w:eastAsia="Times New Roman" w:cstheme="minorHAnsi"/>
          <w:color w:val="000000" w:themeColor="text1"/>
        </w:rPr>
        <w:t xml:space="preserve">UK courts have found that the Home Office has violated Article 3 of the European Convention on Human Rights </w:t>
      </w:r>
      <w:r w:rsidR="00356B8D" w:rsidRPr="004332AA">
        <w:rPr>
          <w:rFonts w:eastAsia="Times New Roman" w:cstheme="minorHAnsi"/>
          <w:color w:val="000000" w:themeColor="text1"/>
        </w:rPr>
        <w:t>(</w:t>
      </w:r>
      <w:r w:rsidRPr="004332AA">
        <w:rPr>
          <w:rFonts w:eastAsia="Times New Roman" w:cstheme="minorHAnsi"/>
          <w:color w:val="000000" w:themeColor="text1"/>
        </w:rPr>
        <w:t>the right not to be tortured</w:t>
      </w:r>
      <w:r w:rsidR="00356B8D" w:rsidRPr="004332AA">
        <w:rPr>
          <w:rFonts w:eastAsia="Times New Roman" w:cstheme="minorHAnsi"/>
          <w:color w:val="000000" w:themeColor="text1"/>
        </w:rPr>
        <w:t>) on at least six occasions since 2010;</w:t>
      </w:r>
    </w:p>
    <w:p w14:paraId="12CDE0FA" w14:textId="7A86157E" w:rsidR="00356B8D" w:rsidRPr="004332AA" w:rsidRDefault="0095735C" w:rsidP="00356B8D">
      <w:pPr>
        <w:pStyle w:val="ListParagraph"/>
        <w:numPr>
          <w:ilvl w:val="2"/>
          <w:numId w:val="8"/>
        </w:numPr>
        <w:spacing w:line="276" w:lineRule="auto"/>
        <w:jc w:val="both"/>
        <w:rPr>
          <w:rFonts w:eastAsia="Times New Roman" w:cstheme="minorHAnsi"/>
          <w:color w:val="000000" w:themeColor="text1"/>
        </w:rPr>
      </w:pPr>
      <w:r w:rsidRPr="004332AA">
        <w:rPr>
          <w:rFonts w:eastAsia="Times New Roman" w:cstheme="minorHAnsi"/>
          <w:color w:val="000000" w:themeColor="text1"/>
        </w:rPr>
        <w:t>Self-harm and suicide attempts are common</w:t>
      </w:r>
      <w:r w:rsidR="00356B8D" w:rsidRPr="004332AA">
        <w:rPr>
          <w:rFonts w:eastAsia="Times New Roman" w:cstheme="minorHAnsi"/>
          <w:color w:val="000000" w:themeColor="text1"/>
        </w:rPr>
        <w:t xml:space="preserve"> within immigration detention</w:t>
      </w:r>
      <w:r w:rsidRPr="004332AA">
        <w:rPr>
          <w:rFonts w:eastAsia="Times New Roman" w:cstheme="minorHAnsi"/>
          <w:color w:val="000000" w:themeColor="text1"/>
        </w:rPr>
        <w:t xml:space="preserve">. 393 suicide attempts in UK detention </w:t>
      </w:r>
      <w:proofErr w:type="spellStart"/>
      <w:r w:rsidRPr="004332AA">
        <w:rPr>
          <w:rFonts w:eastAsia="Times New Roman" w:cstheme="minorHAnsi"/>
          <w:color w:val="000000" w:themeColor="text1"/>
        </w:rPr>
        <w:t>centres</w:t>
      </w:r>
      <w:proofErr w:type="spellEnd"/>
      <w:r w:rsidR="00356B8D" w:rsidRPr="004332AA">
        <w:rPr>
          <w:rFonts w:eastAsia="Times New Roman" w:cstheme="minorHAnsi"/>
          <w:color w:val="000000" w:themeColor="text1"/>
        </w:rPr>
        <w:t xml:space="preserve"> were reported in 2015, with </w:t>
      </w:r>
      <w:r w:rsidRPr="004332AA">
        <w:rPr>
          <w:rFonts w:eastAsia="Times New Roman" w:cstheme="minorHAnsi"/>
          <w:color w:val="000000" w:themeColor="text1"/>
        </w:rPr>
        <w:t xml:space="preserve">2,957 people </w:t>
      </w:r>
      <w:r w:rsidR="00356B8D" w:rsidRPr="004332AA">
        <w:rPr>
          <w:rFonts w:eastAsia="Times New Roman" w:cstheme="minorHAnsi"/>
          <w:color w:val="000000" w:themeColor="text1"/>
        </w:rPr>
        <w:t>(</w:t>
      </w:r>
      <w:r w:rsidRPr="004332AA">
        <w:rPr>
          <w:rFonts w:eastAsia="Times New Roman" w:cstheme="minorHAnsi"/>
          <w:color w:val="000000" w:themeColor="text1"/>
        </w:rPr>
        <w:t>including 11 children</w:t>
      </w:r>
      <w:r w:rsidR="00356B8D" w:rsidRPr="004332AA">
        <w:rPr>
          <w:rFonts w:eastAsia="Times New Roman" w:cstheme="minorHAnsi"/>
          <w:color w:val="000000" w:themeColor="text1"/>
        </w:rPr>
        <w:t>)</w:t>
      </w:r>
      <w:r w:rsidRPr="004332AA">
        <w:rPr>
          <w:rFonts w:eastAsia="Times New Roman" w:cstheme="minorHAnsi"/>
          <w:color w:val="000000" w:themeColor="text1"/>
        </w:rPr>
        <w:t xml:space="preserve"> </w:t>
      </w:r>
      <w:r w:rsidR="00356B8D" w:rsidRPr="004332AA">
        <w:rPr>
          <w:rFonts w:eastAsia="Times New Roman" w:cstheme="minorHAnsi"/>
          <w:color w:val="000000" w:themeColor="text1"/>
        </w:rPr>
        <w:t xml:space="preserve">reported to be </w:t>
      </w:r>
      <w:r w:rsidRPr="004332AA">
        <w:rPr>
          <w:rFonts w:eastAsia="Times New Roman" w:cstheme="minorHAnsi"/>
          <w:color w:val="000000" w:themeColor="text1"/>
        </w:rPr>
        <w:t>on suicide watch</w:t>
      </w:r>
      <w:r w:rsidR="00356B8D" w:rsidRPr="004332AA">
        <w:rPr>
          <w:rFonts w:eastAsia="Times New Roman" w:cstheme="minorHAnsi"/>
          <w:color w:val="000000" w:themeColor="text1"/>
        </w:rPr>
        <w:t xml:space="preserve"> in the same year;</w:t>
      </w:r>
    </w:p>
    <w:p w14:paraId="7FEF1E94" w14:textId="06853C89" w:rsidR="00356B8D" w:rsidRPr="004332AA" w:rsidRDefault="00356B8D" w:rsidP="00356B8D">
      <w:pPr>
        <w:pStyle w:val="ListParagraph"/>
        <w:numPr>
          <w:ilvl w:val="2"/>
          <w:numId w:val="8"/>
        </w:numPr>
        <w:spacing w:line="276" w:lineRule="auto"/>
        <w:jc w:val="both"/>
        <w:rPr>
          <w:rFonts w:eastAsia="Times New Roman" w:cstheme="minorHAnsi"/>
          <w:color w:val="000000" w:themeColor="text1"/>
        </w:rPr>
      </w:pPr>
      <w:r w:rsidRPr="004332AA">
        <w:rPr>
          <w:rFonts w:eastAsia="Times New Roman" w:cstheme="minorHAnsi"/>
          <w:color w:val="000000" w:themeColor="text1"/>
        </w:rPr>
        <w:t xml:space="preserve">In </w:t>
      </w:r>
      <w:r w:rsidR="0095735C" w:rsidRPr="004332AA">
        <w:rPr>
          <w:rFonts w:eastAsia="Times New Roman" w:cstheme="minorHAnsi"/>
          <w:color w:val="000000" w:themeColor="text1"/>
        </w:rPr>
        <w:t>April</w:t>
      </w:r>
      <w:r w:rsidRPr="004332AA">
        <w:rPr>
          <w:rFonts w:eastAsia="Times New Roman" w:cstheme="minorHAnsi"/>
          <w:color w:val="000000" w:themeColor="text1"/>
        </w:rPr>
        <w:t>-</w:t>
      </w:r>
      <w:r w:rsidR="0095735C" w:rsidRPr="004332AA">
        <w:rPr>
          <w:rFonts w:eastAsia="Times New Roman" w:cstheme="minorHAnsi"/>
          <w:color w:val="000000" w:themeColor="text1"/>
        </w:rPr>
        <w:t>June 2017, 663 people in detention were referred to the Home Office under Rule 35</w:t>
      </w:r>
      <w:r w:rsidRPr="004332AA">
        <w:rPr>
          <w:rFonts w:eastAsia="Times New Roman" w:cstheme="minorHAnsi"/>
          <w:color w:val="000000" w:themeColor="text1"/>
        </w:rPr>
        <w:t xml:space="preserve">, </w:t>
      </w:r>
      <w:r w:rsidR="0095735C" w:rsidRPr="004332AA">
        <w:rPr>
          <w:rFonts w:eastAsia="Times New Roman" w:cstheme="minorHAnsi"/>
          <w:color w:val="000000" w:themeColor="text1"/>
        </w:rPr>
        <w:t xml:space="preserve">which requires medical professionals to report cases where people’s health is likely to be harmed by continued detention, detainees have suicidal intentions or a person may have been a victim of torture. </w:t>
      </w:r>
      <w:r w:rsidRPr="004332AA">
        <w:rPr>
          <w:rFonts w:eastAsia="Times New Roman" w:cstheme="minorHAnsi"/>
          <w:color w:val="000000" w:themeColor="text1"/>
        </w:rPr>
        <w:t>Only 145 of them were released by t</w:t>
      </w:r>
      <w:r w:rsidR="0095735C" w:rsidRPr="004332AA">
        <w:rPr>
          <w:rFonts w:eastAsia="Times New Roman" w:cstheme="minorHAnsi"/>
          <w:color w:val="000000" w:themeColor="text1"/>
        </w:rPr>
        <w:t>he Home Office</w:t>
      </w:r>
      <w:r w:rsidRPr="004332AA">
        <w:rPr>
          <w:rFonts w:eastAsia="Times New Roman" w:cstheme="minorHAnsi"/>
          <w:color w:val="000000" w:themeColor="text1"/>
        </w:rPr>
        <w:t>.</w:t>
      </w:r>
    </w:p>
    <w:p w14:paraId="3C805193" w14:textId="718722F1" w:rsidR="00487464" w:rsidRPr="004332AA" w:rsidRDefault="00487464" w:rsidP="00487464">
      <w:pPr>
        <w:pStyle w:val="ListParagraph"/>
        <w:numPr>
          <w:ilvl w:val="1"/>
          <w:numId w:val="8"/>
        </w:numPr>
        <w:rPr>
          <w:rFonts w:cstheme="minorHAnsi"/>
          <w:color w:val="000000" w:themeColor="text1"/>
        </w:rPr>
      </w:pPr>
      <w:r w:rsidRPr="004332AA">
        <w:rPr>
          <w:rFonts w:cstheme="minorHAnsi"/>
          <w:color w:val="000000" w:themeColor="text1"/>
        </w:rPr>
        <w:t>A refugee who had fled the Darfur region in Sudan and was detained three times during his asylum process in the UK (up to three months on each occasion) explained to Refugee Rights Europe in March 2019: “It’s just like you’re a criminal, but you don’t know why – you ask yourself – why you’re there in detention. Am I criminal? If I had done something wrong, I would be okay with that</w:t>
      </w:r>
      <w:r w:rsidR="004F4D0B">
        <w:rPr>
          <w:rFonts w:cstheme="minorHAnsi"/>
          <w:color w:val="000000" w:themeColor="text1"/>
        </w:rPr>
        <w:t>,</w:t>
      </w:r>
      <w:r w:rsidRPr="004332AA">
        <w:rPr>
          <w:rFonts w:cstheme="minorHAnsi"/>
          <w:color w:val="000000" w:themeColor="text1"/>
        </w:rPr>
        <w:t xml:space="preserve"> and take my responsibility for it. But when you have done nothing wrong, why are you in detention? […] It makes you feel bad, and makes you feel like you are criminal and sometimes maybe you think it’s because you’re a refugee and you are black. This is really, really crazy, unacceptable – completely!”</w:t>
      </w:r>
      <w:r w:rsidR="004F4D0B">
        <w:rPr>
          <w:rFonts w:cstheme="minorHAnsi"/>
          <w:color w:val="000000" w:themeColor="text1"/>
        </w:rPr>
        <w:t>.</w:t>
      </w:r>
      <w:r w:rsidRPr="004332AA">
        <w:rPr>
          <w:rFonts w:cstheme="minorHAnsi"/>
          <w:color w:val="000000" w:themeColor="text1"/>
        </w:rPr>
        <w:t xml:space="preserve">  </w:t>
      </w:r>
    </w:p>
    <w:p w14:paraId="13E782E6" w14:textId="77777777" w:rsidR="0095735C" w:rsidRPr="004332AA" w:rsidRDefault="0095735C" w:rsidP="008D25D4">
      <w:pPr>
        <w:pStyle w:val="ListParagraph"/>
        <w:ind w:left="1224"/>
        <w:jc w:val="both"/>
        <w:rPr>
          <w:rFonts w:cstheme="minorHAnsi"/>
          <w:b/>
          <w:color w:val="000000" w:themeColor="text1"/>
          <w:lang w:val="en-GB"/>
        </w:rPr>
      </w:pPr>
    </w:p>
    <w:p w14:paraId="3EBC4776" w14:textId="6D8501F8" w:rsidR="004332AA" w:rsidRPr="004332AA" w:rsidRDefault="00272983" w:rsidP="004332AA">
      <w:pPr>
        <w:pStyle w:val="ListParagraph"/>
        <w:numPr>
          <w:ilvl w:val="1"/>
          <w:numId w:val="8"/>
        </w:numPr>
        <w:jc w:val="both"/>
        <w:rPr>
          <w:rFonts w:cstheme="minorHAnsi"/>
          <w:b/>
          <w:color w:val="000000" w:themeColor="text1"/>
          <w:lang w:val="en-GB"/>
        </w:rPr>
      </w:pPr>
      <w:r w:rsidRPr="004332AA">
        <w:rPr>
          <w:rFonts w:cstheme="minorHAnsi"/>
          <w:b/>
          <w:color w:val="000000" w:themeColor="text1"/>
          <w:lang w:val="en-GB"/>
        </w:rPr>
        <w:t xml:space="preserve">Children in detention </w:t>
      </w:r>
    </w:p>
    <w:p w14:paraId="5C8A426D" w14:textId="77777777" w:rsidR="004332AA" w:rsidRDefault="004332AA" w:rsidP="004332AA">
      <w:pPr>
        <w:pStyle w:val="ListParagraph"/>
        <w:ind w:left="1224"/>
        <w:jc w:val="both"/>
        <w:rPr>
          <w:rFonts w:cstheme="minorHAnsi"/>
          <w:color w:val="000000" w:themeColor="text1"/>
          <w:lang w:val="en-GB"/>
        </w:rPr>
      </w:pPr>
    </w:p>
    <w:p w14:paraId="42D36801" w14:textId="38070FCF" w:rsidR="0015110A" w:rsidRPr="004332AA" w:rsidRDefault="0015110A" w:rsidP="00A507D1">
      <w:pPr>
        <w:pStyle w:val="ListParagraph"/>
        <w:numPr>
          <w:ilvl w:val="2"/>
          <w:numId w:val="8"/>
        </w:numPr>
        <w:jc w:val="both"/>
        <w:rPr>
          <w:rFonts w:cstheme="minorHAnsi"/>
          <w:color w:val="000000" w:themeColor="text1"/>
          <w:lang w:val="en-GB"/>
        </w:rPr>
      </w:pPr>
      <w:r w:rsidRPr="004332AA">
        <w:rPr>
          <w:rFonts w:cstheme="minorHAnsi"/>
          <w:color w:val="000000" w:themeColor="text1"/>
          <w:lang w:val="en-GB"/>
        </w:rPr>
        <w:t xml:space="preserve">Children may be detained </w:t>
      </w:r>
      <w:r w:rsidR="004F4D0B">
        <w:rPr>
          <w:rFonts w:cstheme="minorHAnsi"/>
          <w:color w:val="000000" w:themeColor="text1"/>
          <w:lang w:val="en-GB"/>
        </w:rPr>
        <w:t xml:space="preserve">in the UK </w:t>
      </w:r>
      <w:r w:rsidRPr="004332AA">
        <w:rPr>
          <w:rFonts w:cstheme="minorHAnsi"/>
          <w:color w:val="000000" w:themeColor="text1"/>
          <w:lang w:val="en-GB"/>
        </w:rPr>
        <w:t>for a period of up to one week in specialist accommodation called ‘pre-departure accommodation’, detained with other family members.</w:t>
      </w:r>
    </w:p>
    <w:p w14:paraId="6DEF487C" w14:textId="4A8492B2" w:rsidR="0015110A" w:rsidRPr="004332AA" w:rsidRDefault="0015110A" w:rsidP="00A507D1">
      <w:pPr>
        <w:pStyle w:val="ListParagraph"/>
        <w:numPr>
          <w:ilvl w:val="2"/>
          <w:numId w:val="8"/>
        </w:numPr>
        <w:jc w:val="both"/>
        <w:rPr>
          <w:rFonts w:cstheme="minorHAnsi"/>
          <w:color w:val="000000" w:themeColor="text1"/>
          <w:lang w:val="en-GB"/>
        </w:rPr>
      </w:pPr>
      <w:r w:rsidRPr="004332AA">
        <w:rPr>
          <w:rFonts w:cstheme="minorHAnsi"/>
          <w:color w:val="000000" w:themeColor="text1"/>
          <w:lang w:val="en-GB"/>
        </w:rPr>
        <w:t xml:space="preserve">Where children are unaccompanied, they may be detained </w:t>
      </w:r>
      <w:r w:rsidR="004F4D0B">
        <w:rPr>
          <w:rFonts w:cstheme="minorHAnsi"/>
          <w:color w:val="000000" w:themeColor="text1"/>
          <w:lang w:val="en-GB"/>
        </w:rPr>
        <w:t>for</w:t>
      </w:r>
      <w:r w:rsidRPr="004332AA">
        <w:rPr>
          <w:rFonts w:cstheme="minorHAnsi"/>
          <w:color w:val="000000" w:themeColor="text1"/>
          <w:lang w:val="en-GB"/>
        </w:rPr>
        <w:t xml:space="preserve"> periods up to 24 hours.</w:t>
      </w:r>
      <w:r w:rsidRPr="004332AA">
        <w:rPr>
          <w:rStyle w:val="FootnoteReference"/>
          <w:rFonts w:cstheme="minorHAnsi"/>
        </w:rPr>
        <w:footnoteReference w:id="21"/>
      </w:r>
    </w:p>
    <w:p w14:paraId="4A443FA6" w14:textId="22E95F07" w:rsidR="0015110A" w:rsidRPr="004332AA" w:rsidRDefault="0015110A" w:rsidP="00A507D1">
      <w:pPr>
        <w:pStyle w:val="ListParagraph"/>
        <w:numPr>
          <w:ilvl w:val="2"/>
          <w:numId w:val="8"/>
        </w:numPr>
        <w:jc w:val="both"/>
        <w:rPr>
          <w:rFonts w:cstheme="minorHAnsi"/>
          <w:color w:val="000000" w:themeColor="text1"/>
          <w:lang w:val="en-GB"/>
        </w:rPr>
      </w:pPr>
      <w:r w:rsidRPr="004332AA">
        <w:rPr>
          <w:rFonts w:cstheme="minorHAnsi"/>
          <w:color w:val="000000" w:themeColor="text1"/>
          <w:lang w:val="en-GB"/>
        </w:rPr>
        <w:t>According to the Migration Observatory, the estimated number of children detained with their families in 2005-2009, was up to 2,000 per year. Home Office statistics suggest that more than 1,100 children entered detention in 2009.</w:t>
      </w:r>
      <w:r w:rsidRPr="004332AA">
        <w:rPr>
          <w:rStyle w:val="FootnoteReference"/>
          <w:rFonts w:cstheme="minorHAnsi"/>
          <w:color w:val="000000" w:themeColor="text1"/>
          <w:lang w:val="en-GB"/>
        </w:rPr>
        <w:t xml:space="preserve"> </w:t>
      </w:r>
      <w:r w:rsidRPr="004332AA">
        <w:rPr>
          <w:rStyle w:val="FootnoteReference"/>
          <w:rFonts w:cstheme="minorHAnsi"/>
          <w:color w:val="000000" w:themeColor="text1"/>
          <w:lang w:val="en-GB"/>
        </w:rPr>
        <w:footnoteReference w:id="22"/>
      </w:r>
      <w:r w:rsidRPr="004332AA">
        <w:rPr>
          <w:rFonts w:cstheme="minorHAnsi"/>
          <w:color w:val="000000" w:themeColor="text1"/>
          <w:lang w:val="en-GB"/>
        </w:rPr>
        <w:t xml:space="preserve"> </w:t>
      </w:r>
    </w:p>
    <w:p w14:paraId="0D142040" w14:textId="3C9CA36B" w:rsidR="0015110A" w:rsidRPr="004332AA" w:rsidRDefault="0015110A" w:rsidP="0015110A">
      <w:pPr>
        <w:pStyle w:val="ListParagraph"/>
        <w:numPr>
          <w:ilvl w:val="2"/>
          <w:numId w:val="8"/>
        </w:numPr>
        <w:jc w:val="both"/>
        <w:rPr>
          <w:rFonts w:cstheme="minorHAnsi"/>
          <w:color w:val="000000" w:themeColor="text1"/>
          <w:lang w:val="en-GB"/>
        </w:rPr>
      </w:pPr>
      <w:r w:rsidRPr="004332AA">
        <w:rPr>
          <w:rFonts w:cstheme="minorHAnsi"/>
          <w:color w:val="000000" w:themeColor="text1"/>
          <w:lang w:val="en-GB"/>
        </w:rPr>
        <w:t xml:space="preserve">However, after a </w:t>
      </w:r>
      <w:r w:rsidR="004F4D0B">
        <w:rPr>
          <w:rFonts w:cstheme="minorHAnsi"/>
          <w:color w:val="000000" w:themeColor="text1"/>
          <w:lang w:val="en-GB"/>
        </w:rPr>
        <w:t xml:space="preserve">subsequent </w:t>
      </w:r>
      <w:r w:rsidRPr="004332AA">
        <w:rPr>
          <w:rFonts w:cstheme="minorHAnsi"/>
          <w:color w:val="000000" w:themeColor="text1"/>
          <w:lang w:val="en-GB"/>
        </w:rPr>
        <w:t>policy change, and the opening of Cedars pre-departure accommodation near Gatwick in 2011, the number of detained children fell to 127 in 2011. The numbers fell to 42 children detained in 2017.</w:t>
      </w:r>
      <w:r w:rsidRPr="004332AA">
        <w:rPr>
          <w:rStyle w:val="FootnoteReference"/>
          <w:rFonts w:cstheme="minorHAnsi"/>
          <w:color w:val="000000" w:themeColor="text1"/>
          <w:lang w:val="en-GB"/>
        </w:rPr>
        <w:footnoteReference w:id="23"/>
      </w:r>
    </w:p>
    <w:p w14:paraId="06B903B4" w14:textId="786F5DDC" w:rsidR="0015110A" w:rsidRPr="004332AA" w:rsidRDefault="0015110A" w:rsidP="0015110A">
      <w:pPr>
        <w:pStyle w:val="ListParagraph"/>
        <w:numPr>
          <w:ilvl w:val="2"/>
          <w:numId w:val="8"/>
        </w:numPr>
        <w:jc w:val="both"/>
        <w:rPr>
          <w:rFonts w:cstheme="minorHAnsi"/>
          <w:color w:val="000000" w:themeColor="text1"/>
          <w:lang w:val="en-GB"/>
        </w:rPr>
      </w:pPr>
      <w:r w:rsidRPr="004332AA">
        <w:rPr>
          <w:rFonts w:cstheme="minorHAnsi"/>
          <w:color w:val="000000" w:themeColor="text1"/>
          <w:lang w:val="en-GB"/>
        </w:rPr>
        <w:t xml:space="preserve">However, </w:t>
      </w:r>
      <w:r w:rsidRPr="004332AA">
        <w:rPr>
          <w:rFonts w:cstheme="minorHAnsi"/>
          <w:color w:val="000000" w:themeColor="text1"/>
        </w:rPr>
        <w:t xml:space="preserve">children continue to be detained in immigration removal </w:t>
      </w:r>
      <w:proofErr w:type="spellStart"/>
      <w:r w:rsidRPr="004332AA">
        <w:rPr>
          <w:rFonts w:cstheme="minorHAnsi"/>
          <w:color w:val="000000" w:themeColor="text1"/>
        </w:rPr>
        <w:t>centres</w:t>
      </w:r>
      <w:proofErr w:type="spellEnd"/>
      <w:r w:rsidRPr="004332AA">
        <w:rPr>
          <w:rFonts w:cstheme="minorHAnsi"/>
          <w:color w:val="000000" w:themeColor="text1"/>
        </w:rPr>
        <w:t xml:space="preserve"> when they are wrongly age-assessed as adults. </w:t>
      </w:r>
    </w:p>
    <w:p w14:paraId="16C18A13" w14:textId="77777777" w:rsidR="004F4D0B" w:rsidRPr="004F4D0B" w:rsidRDefault="0015110A" w:rsidP="004F3C0D">
      <w:pPr>
        <w:pStyle w:val="ListParagraph"/>
        <w:numPr>
          <w:ilvl w:val="2"/>
          <w:numId w:val="8"/>
        </w:numPr>
        <w:jc w:val="both"/>
        <w:rPr>
          <w:rFonts w:cstheme="minorHAnsi"/>
          <w:color w:val="000000" w:themeColor="text1"/>
          <w:lang w:val="en-GB"/>
        </w:rPr>
      </w:pPr>
      <w:r w:rsidRPr="004332AA">
        <w:rPr>
          <w:rFonts w:cstheme="minorHAnsi"/>
          <w:color w:val="000000" w:themeColor="text1"/>
        </w:rPr>
        <w:t xml:space="preserve">The damaging effects on children placed in immigration detention have been widely reported. </w:t>
      </w:r>
    </w:p>
    <w:p w14:paraId="06E69D58" w14:textId="60361B48" w:rsidR="004F3C0D" w:rsidRPr="004332AA" w:rsidRDefault="0015110A" w:rsidP="004F3C0D">
      <w:pPr>
        <w:pStyle w:val="ListParagraph"/>
        <w:numPr>
          <w:ilvl w:val="2"/>
          <w:numId w:val="8"/>
        </w:numPr>
        <w:jc w:val="both"/>
        <w:rPr>
          <w:rFonts w:cstheme="minorHAnsi"/>
          <w:color w:val="000000" w:themeColor="text1"/>
          <w:lang w:val="en-GB"/>
        </w:rPr>
      </w:pPr>
      <w:r w:rsidRPr="004332AA">
        <w:rPr>
          <w:rFonts w:cstheme="minorHAnsi"/>
          <w:color w:val="000000" w:themeColor="text1"/>
        </w:rPr>
        <w:t xml:space="preserve">In addition, a report published by Amnesty International highlights the harmful effects of indefinite immigration detention on children who are not detained </w:t>
      </w:r>
      <w:r w:rsidRPr="004F4D0B">
        <w:rPr>
          <w:rFonts w:cstheme="minorHAnsi"/>
          <w:i/>
          <w:color w:val="000000" w:themeColor="text1"/>
        </w:rPr>
        <w:t>themselves</w:t>
      </w:r>
      <w:r w:rsidRPr="004332AA">
        <w:rPr>
          <w:rFonts w:cstheme="minorHAnsi"/>
          <w:color w:val="000000" w:themeColor="text1"/>
        </w:rPr>
        <w:t xml:space="preserve">, but who have a </w:t>
      </w:r>
      <w:r w:rsidRPr="004F4D0B">
        <w:rPr>
          <w:rFonts w:cstheme="minorHAnsi"/>
          <w:i/>
          <w:color w:val="000000" w:themeColor="text1"/>
        </w:rPr>
        <w:t>parent being held</w:t>
      </w:r>
      <w:r w:rsidRPr="004332AA">
        <w:rPr>
          <w:rFonts w:cstheme="minorHAnsi"/>
          <w:color w:val="000000" w:themeColor="text1"/>
        </w:rPr>
        <w:t xml:space="preserve"> in immigration detention.</w:t>
      </w:r>
      <w:r w:rsidRPr="004332AA">
        <w:rPr>
          <w:rStyle w:val="FootnoteReference"/>
          <w:rFonts w:cstheme="minorHAnsi"/>
          <w:color w:val="000000" w:themeColor="text1"/>
        </w:rPr>
        <w:footnoteReference w:id="24"/>
      </w:r>
      <w:r w:rsidRPr="004332AA">
        <w:rPr>
          <w:rFonts w:cstheme="minorHAnsi"/>
          <w:color w:val="000000" w:themeColor="text1"/>
        </w:rPr>
        <w:t xml:space="preserve"> </w:t>
      </w:r>
    </w:p>
    <w:p w14:paraId="1E76E619" w14:textId="54CBA503" w:rsidR="004F3C0D" w:rsidRPr="004332AA" w:rsidRDefault="004F3C0D" w:rsidP="004F3C0D">
      <w:pPr>
        <w:pStyle w:val="ListParagraph"/>
        <w:numPr>
          <w:ilvl w:val="2"/>
          <w:numId w:val="8"/>
        </w:numPr>
        <w:jc w:val="both"/>
        <w:rPr>
          <w:rFonts w:cstheme="minorHAnsi"/>
          <w:color w:val="000000" w:themeColor="text1"/>
          <w:lang w:val="en-GB"/>
        </w:rPr>
      </w:pPr>
      <w:r w:rsidRPr="004332AA">
        <w:rPr>
          <w:rFonts w:cstheme="minorHAnsi"/>
          <w:color w:val="000000" w:themeColor="text1"/>
          <w:lang w:val="en-GB"/>
        </w:rPr>
        <w:t>A father interviewed by Amnesty International, who was detained for over a year, said: “</w:t>
      </w:r>
      <w:r w:rsidRPr="004332AA">
        <w:rPr>
          <w:rFonts w:cstheme="minorHAnsi"/>
          <w:color w:val="000000" w:themeColor="text1"/>
        </w:rPr>
        <w:t xml:space="preserve">I’m sick of telling my children, ‘Listen, Daddy’s </w:t>
      </w:r>
      <w:proofErr w:type="spellStart"/>
      <w:r w:rsidRPr="004332AA">
        <w:rPr>
          <w:rFonts w:cstheme="minorHAnsi"/>
          <w:color w:val="000000" w:themeColor="text1"/>
        </w:rPr>
        <w:t>gonna</w:t>
      </w:r>
      <w:proofErr w:type="spellEnd"/>
      <w:r w:rsidRPr="004332AA">
        <w:rPr>
          <w:rFonts w:cstheme="minorHAnsi"/>
          <w:color w:val="000000" w:themeColor="text1"/>
        </w:rPr>
        <w:t xml:space="preserve"> be with you soon. Daddy’s </w:t>
      </w:r>
      <w:proofErr w:type="spellStart"/>
      <w:r w:rsidRPr="004332AA">
        <w:rPr>
          <w:rFonts w:cstheme="minorHAnsi"/>
          <w:color w:val="000000" w:themeColor="text1"/>
        </w:rPr>
        <w:t>gonna</w:t>
      </w:r>
      <w:proofErr w:type="spellEnd"/>
      <w:r w:rsidRPr="004332AA">
        <w:rPr>
          <w:rFonts w:cstheme="minorHAnsi"/>
          <w:color w:val="000000" w:themeColor="text1"/>
        </w:rPr>
        <w:t xml:space="preserve"> be with you soon.’ Every time, when they come and visit me, sometimes my son he doesn’t want to go. I have to say to him, ‘Listen, Daddy’s </w:t>
      </w:r>
      <w:proofErr w:type="spellStart"/>
      <w:r w:rsidRPr="004332AA">
        <w:rPr>
          <w:rFonts w:cstheme="minorHAnsi"/>
          <w:color w:val="000000" w:themeColor="text1"/>
        </w:rPr>
        <w:t>gonna</w:t>
      </w:r>
      <w:proofErr w:type="spellEnd"/>
      <w:r w:rsidRPr="004332AA">
        <w:rPr>
          <w:rFonts w:cstheme="minorHAnsi"/>
          <w:color w:val="000000" w:themeColor="text1"/>
        </w:rPr>
        <w:t xml:space="preserve"> be with you in a few hours.’ I have to lie to my son. It kills me. It kills me. My children used to be really good in school, but now they have changed completely.”</w:t>
      </w:r>
      <w:r w:rsidRPr="004332AA">
        <w:rPr>
          <w:rStyle w:val="FootnoteReference"/>
          <w:rFonts w:cstheme="minorHAnsi"/>
          <w:color w:val="000000" w:themeColor="text1"/>
        </w:rPr>
        <w:footnoteReference w:id="25"/>
      </w:r>
    </w:p>
    <w:p w14:paraId="23696C92" w14:textId="77777777" w:rsidR="004F3C0D" w:rsidRPr="004332AA" w:rsidRDefault="004F3C0D" w:rsidP="004F3C0D">
      <w:pPr>
        <w:pStyle w:val="ListParagraph"/>
        <w:ind w:left="1224"/>
        <w:jc w:val="both"/>
        <w:rPr>
          <w:rFonts w:cstheme="minorHAnsi"/>
          <w:color w:val="000000" w:themeColor="text1"/>
          <w:lang w:val="en-GB"/>
        </w:rPr>
      </w:pPr>
    </w:p>
    <w:p w14:paraId="4AD35251" w14:textId="3F23252B" w:rsidR="00BC2CCF" w:rsidRDefault="00E804A6" w:rsidP="00BC2CCF">
      <w:pPr>
        <w:pStyle w:val="ListParagraph"/>
        <w:numPr>
          <w:ilvl w:val="1"/>
          <w:numId w:val="8"/>
        </w:numPr>
        <w:jc w:val="both"/>
        <w:rPr>
          <w:rFonts w:cstheme="minorHAnsi"/>
          <w:b/>
          <w:color w:val="000000" w:themeColor="text1"/>
          <w:lang w:val="en-GB"/>
        </w:rPr>
      </w:pPr>
      <w:r w:rsidRPr="004332AA">
        <w:rPr>
          <w:rFonts w:cstheme="minorHAnsi"/>
          <w:b/>
          <w:color w:val="000000" w:themeColor="text1"/>
          <w:lang w:val="en-GB"/>
        </w:rPr>
        <w:t xml:space="preserve">Women in detention </w:t>
      </w:r>
    </w:p>
    <w:p w14:paraId="4255A6BB" w14:textId="77777777" w:rsidR="004332AA" w:rsidRPr="004332AA" w:rsidRDefault="004332AA" w:rsidP="004332AA">
      <w:pPr>
        <w:pStyle w:val="ListParagraph"/>
        <w:ind w:left="792"/>
        <w:jc w:val="both"/>
        <w:rPr>
          <w:rFonts w:cstheme="minorHAnsi"/>
          <w:b/>
          <w:color w:val="000000" w:themeColor="text1"/>
          <w:lang w:val="en-GB"/>
        </w:rPr>
      </w:pPr>
    </w:p>
    <w:p w14:paraId="28F0F86A" w14:textId="77777777" w:rsidR="00BC2CCF" w:rsidRPr="004332AA" w:rsidRDefault="00BC2CCF" w:rsidP="00BC2CCF">
      <w:pPr>
        <w:pStyle w:val="ListParagraph"/>
        <w:numPr>
          <w:ilvl w:val="2"/>
          <w:numId w:val="8"/>
        </w:numPr>
        <w:jc w:val="both"/>
        <w:rPr>
          <w:rFonts w:cstheme="minorHAnsi"/>
          <w:b/>
          <w:color w:val="000000" w:themeColor="text1"/>
          <w:lang w:val="en-GB"/>
        </w:rPr>
      </w:pPr>
      <w:r w:rsidRPr="004332AA">
        <w:rPr>
          <w:rFonts w:cstheme="minorHAnsi"/>
          <w:color w:val="000000" w:themeColor="text1"/>
        </w:rPr>
        <w:t>In 2017, 4,059 women entered immigration detention in the UK.</w:t>
      </w:r>
      <w:r w:rsidRPr="004332AA">
        <w:rPr>
          <w:rStyle w:val="FootnoteReference"/>
          <w:rFonts w:cstheme="minorHAnsi"/>
          <w:color w:val="000000" w:themeColor="text1"/>
        </w:rPr>
        <w:footnoteReference w:id="26"/>
      </w:r>
    </w:p>
    <w:p w14:paraId="718DA2D7" w14:textId="48462ACC" w:rsidR="00BC2CCF" w:rsidRPr="004332AA" w:rsidRDefault="00BC2CCF" w:rsidP="00C640F8">
      <w:pPr>
        <w:pStyle w:val="ListParagraph"/>
        <w:numPr>
          <w:ilvl w:val="2"/>
          <w:numId w:val="8"/>
        </w:numPr>
        <w:jc w:val="both"/>
        <w:rPr>
          <w:rFonts w:cstheme="minorHAnsi"/>
          <w:b/>
          <w:color w:val="000000" w:themeColor="text1"/>
          <w:lang w:val="en-GB"/>
        </w:rPr>
      </w:pPr>
      <w:r w:rsidRPr="004332AA">
        <w:rPr>
          <w:rFonts w:cstheme="minorHAnsi"/>
          <w:color w:val="000000" w:themeColor="text1"/>
        </w:rPr>
        <w:t xml:space="preserve">Women are held in detention at three </w:t>
      </w:r>
      <w:proofErr w:type="spellStart"/>
      <w:r w:rsidRPr="004332AA">
        <w:rPr>
          <w:rFonts w:cstheme="minorHAnsi"/>
          <w:color w:val="000000" w:themeColor="text1"/>
        </w:rPr>
        <w:t>centres</w:t>
      </w:r>
      <w:proofErr w:type="spellEnd"/>
      <w:r w:rsidRPr="004332AA">
        <w:rPr>
          <w:rFonts w:cstheme="minorHAnsi"/>
          <w:color w:val="000000" w:themeColor="text1"/>
        </w:rPr>
        <w:t xml:space="preserve">: </w:t>
      </w:r>
      <w:proofErr w:type="spellStart"/>
      <w:r w:rsidRPr="004332AA">
        <w:rPr>
          <w:rFonts w:cstheme="minorHAnsi"/>
          <w:color w:val="000000" w:themeColor="text1"/>
        </w:rPr>
        <w:t>Yarl’s</w:t>
      </w:r>
      <w:proofErr w:type="spellEnd"/>
      <w:r w:rsidRPr="004332AA">
        <w:rPr>
          <w:rFonts w:cstheme="minorHAnsi"/>
          <w:color w:val="000000" w:themeColor="text1"/>
        </w:rPr>
        <w:t xml:space="preserve"> Wood IRC, to a limited extent at </w:t>
      </w:r>
      <w:proofErr w:type="spellStart"/>
      <w:r w:rsidRPr="004332AA">
        <w:rPr>
          <w:rFonts w:cstheme="minorHAnsi"/>
          <w:color w:val="000000" w:themeColor="text1"/>
        </w:rPr>
        <w:t>Dungavel</w:t>
      </w:r>
      <w:proofErr w:type="spellEnd"/>
      <w:r w:rsidRPr="004332AA">
        <w:rPr>
          <w:rFonts w:cstheme="minorHAnsi"/>
          <w:color w:val="000000" w:themeColor="text1"/>
        </w:rPr>
        <w:t xml:space="preserve"> IRC and for a limited time period at Colnbrook IRC (separate unit).</w:t>
      </w:r>
    </w:p>
    <w:p w14:paraId="3B8EAB06" w14:textId="13790098" w:rsidR="00BC2CCF" w:rsidRPr="004332AA" w:rsidRDefault="00BC2CCF" w:rsidP="00BC2CCF">
      <w:pPr>
        <w:pStyle w:val="ListParagraph"/>
        <w:numPr>
          <w:ilvl w:val="2"/>
          <w:numId w:val="8"/>
        </w:numPr>
        <w:jc w:val="both"/>
        <w:rPr>
          <w:rFonts w:cstheme="minorHAnsi"/>
          <w:b/>
          <w:color w:val="000000" w:themeColor="text1"/>
          <w:lang w:val="en-GB"/>
        </w:rPr>
      </w:pPr>
      <w:r w:rsidRPr="004332AA">
        <w:rPr>
          <w:rFonts w:cstheme="minorHAnsi"/>
          <w:color w:val="000000" w:themeColor="text1"/>
        </w:rPr>
        <w:t xml:space="preserve">Statutory immigration powers do not </w:t>
      </w:r>
      <w:r w:rsidR="00C640F8" w:rsidRPr="004332AA">
        <w:rPr>
          <w:rFonts w:cstheme="minorHAnsi"/>
          <w:color w:val="000000" w:themeColor="text1"/>
        </w:rPr>
        <w:t xml:space="preserve">generally </w:t>
      </w:r>
      <w:r w:rsidRPr="004332AA">
        <w:rPr>
          <w:rFonts w:cstheme="minorHAnsi"/>
          <w:color w:val="000000" w:themeColor="text1"/>
        </w:rPr>
        <w:t>make distinctions between men and women</w:t>
      </w:r>
      <w:r w:rsidR="00C640F8" w:rsidRPr="004332AA">
        <w:rPr>
          <w:rFonts w:cstheme="minorHAnsi"/>
          <w:color w:val="000000" w:themeColor="text1"/>
        </w:rPr>
        <w:t>, with the exception of pregnant women (see below)</w:t>
      </w:r>
      <w:r w:rsidRPr="004332AA">
        <w:rPr>
          <w:rFonts w:cstheme="minorHAnsi"/>
          <w:color w:val="000000" w:themeColor="text1"/>
        </w:rPr>
        <w:t>.</w:t>
      </w:r>
      <w:r w:rsidRPr="004332AA">
        <w:rPr>
          <w:rStyle w:val="FootnoteReference"/>
          <w:rFonts w:cstheme="minorHAnsi"/>
          <w:color w:val="000000" w:themeColor="text1"/>
        </w:rPr>
        <w:footnoteReference w:id="27"/>
      </w:r>
    </w:p>
    <w:p w14:paraId="0470A6EB" w14:textId="79968069" w:rsidR="008D25D4" w:rsidRPr="004332AA" w:rsidRDefault="00BC2CCF" w:rsidP="008D25D4">
      <w:pPr>
        <w:pStyle w:val="ListParagraph"/>
        <w:numPr>
          <w:ilvl w:val="2"/>
          <w:numId w:val="8"/>
        </w:numPr>
        <w:jc w:val="both"/>
        <w:rPr>
          <w:rFonts w:cstheme="minorHAnsi"/>
          <w:b/>
          <w:color w:val="000000" w:themeColor="text1"/>
          <w:lang w:val="en-GB"/>
        </w:rPr>
      </w:pPr>
      <w:r w:rsidRPr="004332AA">
        <w:rPr>
          <w:rFonts w:cstheme="minorHAnsi"/>
          <w:color w:val="000000" w:themeColor="text1"/>
          <w:lang w:val="en-GB"/>
        </w:rPr>
        <w:t xml:space="preserve">Leading organisation </w:t>
      </w:r>
      <w:r w:rsidRPr="004332AA">
        <w:rPr>
          <w:rFonts w:cstheme="minorHAnsi"/>
          <w:color w:val="000000" w:themeColor="text1"/>
        </w:rPr>
        <w:t xml:space="preserve">Women for Refugee Women has demonstrated through multiple </w:t>
      </w:r>
      <w:r w:rsidR="008D25D4" w:rsidRPr="004332AA">
        <w:rPr>
          <w:rFonts w:cstheme="minorHAnsi"/>
          <w:color w:val="000000" w:themeColor="text1"/>
        </w:rPr>
        <w:t>research</w:t>
      </w:r>
      <w:r w:rsidRPr="004332AA">
        <w:rPr>
          <w:rFonts w:cstheme="minorHAnsi"/>
          <w:color w:val="000000" w:themeColor="text1"/>
        </w:rPr>
        <w:t xml:space="preserve"> studies the harm that immigration detention does to asylum seeking women. Their reports suggest that the majority of asylum-seeking women who are detained are survivors of sexual or gender-based violence. Detention risks re-</w:t>
      </w:r>
      <w:proofErr w:type="spellStart"/>
      <w:r w:rsidRPr="004332AA">
        <w:rPr>
          <w:rFonts w:cstheme="minorHAnsi"/>
          <w:color w:val="000000" w:themeColor="text1"/>
        </w:rPr>
        <w:t>traumatising</w:t>
      </w:r>
      <w:proofErr w:type="spellEnd"/>
      <w:r w:rsidRPr="004332AA">
        <w:rPr>
          <w:rFonts w:cstheme="minorHAnsi"/>
          <w:color w:val="000000" w:themeColor="text1"/>
        </w:rPr>
        <w:t xml:space="preserve"> them.</w:t>
      </w:r>
      <w:r w:rsidR="004F4D0B">
        <w:rPr>
          <w:rStyle w:val="FootnoteReference"/>
          <w:rFonts w:cstheme="minorHAnsi"/>
          <w:color w:val="000000" w:themeColor="text1"/>
        </w:rPr>
        <w:footnoteReference w:id="28"/>
      </w:r>
    </w:p>
    <w:p w14:paraId="4F67BDF2" w14:textId="72581BBF" w:rsidR="008D25D4" w:rsidRPr="004332AA" w:rsidRDefault="008D25D4" w:rsidP="00A507D1">
      <w:pPr>
        <w:pStyle w:val="ListParagraph"/>
        <w:numPr>
          <w:ilvl w:val="2"/>
          <w:numId w:val="8"/>
        </w:numPr>
        <w:jc w:val="both"/>
        <w:rPr>
          <w:rFonts w:cstheme="minorHAnsi"/>
          <w:color w:val="000000" w:themeColor="text1"/>
        </w:rPr>
      </w:pPr>
      <w:r w:rsidRPr="004332AA">
        <w:rPr>
          <w:rFonts w:cstheme="minorHAnsi"/>
          <w:color w:val="000000" w:themeColor="text1"/>
          <w:lang w:val="en-GB"/>
        </w:rPr>
        <w:t xml:space="preserve">In September 2016, </w:t>
      </w:r>
      <w:r w:rsidR="00487464" w:rsidRPr="004332AA">
        <w:rPr>
          <w:rFonts w:cstheme="minorHAnsi"/>
          <w:color w:val="000000" w:themeColor="text1"/>
          <w:lang w:val="en-GB"/>
        </w:rPr>
        <w:t xml:space="preserve">largely in response to the Stephen Shaw review published in </w:t>
      </w:r>
      <w:r w:rsidR="004F4D0B" w:rsidRPr="004332AA">
        <w:rPr>
          <w:rFonts w:cstheme="minorHAnsi"/>
          <w:color w:val="000000" w:themeColor="text1"/>
          <w:lang w:val="en-GB"/>
        </w:rPr>
        <w:t>January</w:t>
      </w:r>
      <w:r w:rsidR="00487464" w:rsidRPr="004332AA">
        <w:rPr>
          <w:rFonts w:cstheme="minorHAnsi"/>
          <w:color w:val="000000" w:themeColor="text1"/>
          <w:lang w:val="en-GB"/>
        </w:rPr>
        <w:t xml:space="preserve"> 2016</w:t>
      </w:r>
      <w:r w:rsidR="00487464" w:rsidRPr="004332AA">
        <w:rPr>
          <w:rStyle w:val="FootnoteReference"/>
          <w:rFonts w:cstheme="minorHAnsi"/>
          <w:color w:val="000000" w:themeColor="text1"/>
          <w:lang w:val="en-GB"/>
        </w:rPr>
        <w:footnoteReference w:id="29"/>
      </w:r>
      <w:r w:rsidR="00487464" w:rsidRPr="004332AA">
        <w:rPr>
          <w:rFonts w:cstheme="minorHAnsi"/>
          <w:color w:val="000000" w:themeColor="text1"/>
          <w:lang w:val="en-GB"/>
        </w:rPr>
        <w:t xml:space="preserve">, </w:t>
      </w:r>
      <w:r w:rsidRPr="004332AA">
        <w:rPr>
          <w:rFonts w:cstheme="minorHAnsi"/>
          <w:color w:val="000000" w:themeColor="text1"/>
          <w:lang w:val="en-GB"/>
        </w:rPr>
        <w:t>the UK G</w:t>
      </w:r>
      <w:proofErr w:type="spellStart"/>
      <w:r w:rsidR="00487464" w:rsidRPr="004332AA">
        <w:rPr>
          <w:rFonts w:cstheme="minorHAnsi"/>
          <w:color w:val="000000" w:themeColor="text1"/>
        </w:rPr>
        <w:t>overnment</w:t>
      </w:r>
      <w:proofErr w:type="spellEnd"/>
      <w:r w:rsidRPr="004332AA">
        <w:rPr>
          <w:rFonts w:cstheme="minorHAnsi"/>
          <w:color w:val="000000" w:themeColor="text1"/>
        </w:rPr>
        <w:t xml:space="preserve"> introduced an ‘Adults at Risk’ policy, which stipulates that individuals who are vulnerable or particularly ‘at risk’ of harm should generally not be detained. Under the policy, survivors of sexual or gender-based violence are </w:t>
      </w:r>
      <w:proofErr w:type="spellStart"/>
      <w:r w:rsidRPr="004332AA">
        <w:rPr>
          <w:rFonts w:cstheme="minorHAnsi"/>
          <w:color w:val="000000" w:themeColor="text1"/>
        </w:rPr>
        <w:t>recognised</w:t>
      </w:r>
      <w:proofErr w:type="spellEnd"/>
      <w:r w:rsidRPr="004332AA">
        <w:rPr>
          <w:rFonts w:cstheme="minorHAnsi"/>
          <w:color w:val="000000" w:themeColor="text1"/>
        </w:rPr>
        <w:t xml:space="preserve"> as ‘at risk’ and so unsuitable for detention</w:t>
      </w:r>
      <w:r w:rsidR="004F4D0B">
        <w:rPr>
          <w:rFonts w:cstheme="minorHAnsi"/>
          <w:color w:val="000000" w:themeColor="text1"/>
        </w:rPr>
        <w:t>.</w:t>
      </w:r>
      <w:r w:rsidRPr="004332AA">
        <w:rPr>
          <w:rFonts w:cstheme="minorHAnsi"/>
          <w:color w:val="000000" w:themeColor="text1"/>
        </w:rPr>
        <w:t xml:space="preserve"> </w:t>
      </w:r>
      <w:r w:rsidR="004F4D0B">
        <w:rPr>
          <w:rFonts w:cstheme="minorHAnsi"/>
          <w:color w:val="000000" w:themeColor="text1"/>
        </w:rPr>
        <w:t>T</w:t>
      </w:r>
      <w:r w:rsidRPr="004332AA">
        <w:rPr>
          <w:rFonts w:cstheme="minorHAnsi"/>
          <w:color w:val="000000" w:themeColor="text1"/>
        </w:rPr>
        <w:t xml:space="preserve">he Government also introduced a 72-hour time limit on the detention of pregnant women. </w:t>
      </w:r>
    </w:p>
    <w:p w14:paraId="72558382" w14:textId="77777777" w:rsidR="008D25D4" w:rsidRPr="004332AA" w:rsidRDefault="008D25D4" w:rsidP="00A507D1">
      <w:pPr>
        <w:pStyle w:val="ListParagraph"/>
        <w:numPr>
          <w:ilvl w:val="2"/>
          <w:numId w:val="8"/>
        </w:numPr>
        <w:jc w:val="both"/>
        <w:rPr>
          <w:rFonts w:cstheme="minorHAnsi"/>
          <w:color w:val="000000" w:themeColor="text1"/>
        </w:rPr>
      </w:pPr>
      <w:r w:rsidRPr="004332AA">
        <w:rPr>
          <w:rFonts w:cstheme="minorHAnsi"/>
          <w:color w:val="000000" w:themeColor="text1"/>
          <w:lang w:val="en-GB"/>
        </w:rPr>
        <w:t xml:space="preserve">While the ‘Adults at Risk’ policy is a positive step forward, it is unclear how the Home Office would be monitoring the impact of the policy. </w:t>
      </w:r>
    </w:p>
    <w:p w14:paraId="71D09F28" w14:textId="77777777" w:rsidR="00487464" w:rsidRPr="004332AA" w:rsidRDefault="008D25D4" w:rsidP="00487464">
      <w:pPr>
        <w:pStyle w:val="ListParagraph"/>
        <w:numPr>
          <w:ilvl w:val="2"/>
          <w:numId w:val="8"/>
        </w:numPr>
        <w:jc w:val="both"/>
        <w:rPr>
          <w:rFonts w:cstheme="minorHAnsi"/>
        </w:rPr>
      </w:pPr>
      <w:r w:rsidRPr="004332AA">
        <w:rPr>
          <w:rFonts w:cstheme="minorHAnsi"/>
        </w:rPr>
        <w:t>Women for Refugee women conducted research with the aim of assessing the effectiveness of this policy in May-September 2017</w:t>
      </w:r>
      <w:r w:rsidR="00487464" w:rsidRPr="004332AA">
        <w:rPr>
          <w:rFonts w:cstheme="minorHAnsi"/>
        </w:rPr>
        <w:t xml:space="preserve">. Based on interviews with </w:t>
      </w:r>
      <w:r w:rsidRPr="004332AA">
        <w:rPr>
          <w:rFonts w:cstheme="minorHAnsi"/>
        </w:rPr>
        <w:t xml:space="preserve">26 women who </w:t>
      </w:r>
      <w:r w:rsidR="00487464" w:rsidRPr="004332AA">
        <w:rPr>
          <w:rFonts w:cstheme="minorHAnsi"/>
        </w:rPr>
        <w:t xml:space="preserve">had </w:t>
      </w:r>
      <w:r w:rsidRPr="004332AA">
        <w:rPr>
          <w:rFonts w:cstheme="minorHAnsi"/>
        </w:rPr>
        <w:t xml:space="preserve">claimed asylum and been detained </w:t>
      </w:r>
      <w:r w:rsidR="00487464" w:rsidRPr="004332AA">
        <w:rPr>
          <w:rFonts w:cstheme="minorHAnsi"/>
        </w:rPr>
        <w:t xml:space="preserve">in </w:t>
      </w:r>
      <w:proofErr w:type="spellStart"/>
      <w:r w:rsidR="00487464" w:rsidRPr="004332AA">
        <w:rPr>
          <w:rFonts w:cstheme="minorHAnsi"/>
        </w:rPr>
        <w:t>Yarl’s</w:t>
      </w:r>
      <w:proofErr w:type="spellEnd"/>
      <w:r w:rsidR="00487464" w:rsidRPr="004332AA">
        <w:rPr>
          <w:rFonts w:cstheme="minorHAnsi"/>
        </w:rPr>
        <w:t xml:space="preserve"> Wood in Bedfordshire </w:t>
      </w:r>
      <w:r w:rsidRPr="004332AA">
        <w:rPr>
          <w:rFonts w:cstheme="minorHAnsi"/>
        </w:rPr>
        <w:t xml:space="preserve">since the Adults at Risk policy </w:t>
      </w:r>
      <w:r w:rsidR="00487464" w:rsidRPr="004332AA">
        <w:rPr>
          <w:rFonts w:cstheme="minorHAnsi"/>
        </w:rPr>
        <w:t>entered into force, the research illustrates that the new policy is ineffective in safeguarding and protecting women. Specifically, the report found:</w:t>
      </w:r>
    </w:p>
    <w:p w14:paraId="348788B9" w14:textId="77777777" w:rsidR="00487464" w:rsidRPr="004332AA" w:rsidRDefault="00487464" w:rsidP="00487464">
      <w:pPr>
        <w:pStyle w:val="ListParagraph"/>
        <w:numPr>
          <w:ilvl w:val="3"/>
          <w:numId w:val="13"/>
        </w:numPr>
        <w:jc w:val="both"/>
        <w:rPr>
          <w:rFonts w:cstheme="minorHAnsi"/>
        </w:rPr>
      </w:pPr>
      <w:r w:rsidRPr="004332AA">
        <w:rPr>
          <w:rFonts w:cstheme="minorHAnsi"/>
        </w:rPr>
        <w:t xml:space="preserve">There is no screening process that actively identifies if someone is vulnerable or “at risk” before they are detained. This means that survivors of sexual and gender-based violence would enter detention before any attempt is been made to assess their vulnerability; </w:t>
      </w:r>
    </w:p>
    <w:p w14:paraId="646E596D" w14:textId="77777777" w:rsidR="00487464" w:rsidRPr="004332AA" w:rsidRDefault="00487464" w:rsidP="00487464">
      <w:pPr>
        <w:pStyle w:val="ListParagraph"/>
        <w:numPr>
          <w:ilvl w:val="3"/>
          <w:numId w:val="13"/>
        </w:numPr>
        <w:jc w:val="both"/>
        <w:rPr>
          <w:rFonts w:cstheme="minorHAnsi"/>
        </w:rPr>
      </w:pPr>
      <w:r w:rsidRPr="004332AA">
        <w:rPr>
          <w:rFonts w:cstheme="minorHAnsi"/>
        </w:rPr>
        <w:t xml:space="preserve">Survivors of sexual and gender-based violence are typically not believed when disclosing their experiences. They tend to find it difficult to obtain supporting evidence the Home Office will accept; </w:t>
      </w:r>
    </w:p>
    <w:p w14:paraId="555A6B4B" w14:textId="77777777" w:rsidR="00487464" w:rsidRPr="004332AA" w:rsidRDefault="00487464" w:rsidP="00487464">
      <w:pPr>
        <w:pStyle w:val="ListParagraph"/>
        <w:numPr>
          <w:ilvl w:val="3"/>
          <w:numId w:val="13"/>
        </w:numPr>
        <w:jc w:val="both"/>
        <w:rPr>
          <w:rFonts w:cstheme="minorHAnsi"/>
        </w:rPr>
      </w:pPr>
      <w:r w:rsidRPr="004332AA">
        <w:rPr>
          <w:rFonts w:cstheme="minorHAnsi"/>
        </w:rPr>
        <w:t xml:space="preserve">Even when evidence is obtained and accepted by the Home Office, survivors of sexual and gender-based violence are being kept in detention; </w:t>
      </w:r>
    </w:p>
    <w:p w14:paraId="5AA107A3" w14:textId="13D17A58" w:rsidR="008D25D4" w:rsidRPr="004332AA" w:rsidRDefault="00487464" w:rsidP="00487464">
      <w:pPr>
        <w:pStyle w:val="ListParagraph"/>
        <w:numPr>
          <w:ilvl w:val="3"/>
          <w:numId w:val="13"/>
        </w:numPr>
        <w:jc w:val="both"/>
        <w:rPr>
          <w:rFonts w:cstheme="minorHAnsi"/>
        </w:rPr>
      </w:pPr>
      <w:r w:rsidRPr="004332AA">
        <w:rPr>
          <w:rFonts w:cstheme="minorHAnsi"/>
        </w:rPr>
        <w:t>Even when women’s mental and/or physical health is deteriorating, and they are becoming significantly more vulnerable, survivors of sexual and gender-based violence appear to be kept in detention.</w:t>
      </w:r>
      <w:r w:rsidRPr="004332AA">
        <w:rPr>
          <w:rStyle w:val="FootnoteReference"/>
          <w:rFonts w:cstheme="minorHAnsi"/>
        </w:rPr>
        <w:footnoteReference w:id="30"/>
      </w:r>
    </w:p>
    <w:p w14:paraId="641FADF6" w14:textId="71836986" w:rsidR="00BC2CCF" w:rsidRPr="004332AA" w:rsidRDefault="00BC2CCF" w:rsidP="00BC2CCF">
      <w:pPr>
        <w:pStyle w:val="ListParagraph"/>
        <w:numPr>
          <w:ilvl w:val="2"/>
          <w:numId w:val="8"/>
        </w:numPr>
        <w:jc w:val="both"/>
        <w:rPr>
          <w:rFonts w:cstheme="minorHAnsi"/>
          <w:b/>
          <w:color w:val="000000" w:themeColor="text1"/>
          <w:lang w:val="en-GB"/>
        </w:rPr>
      </w:pPr>
      <w:r w:rsidRPr="004332AA">
        <w:rPr>
          <w:rFonts w:cstheme="minorHAnsi"/>
          <w:color w:val="000000" w:themeColor="text1"/>
          <w:lang w:val="en-GB"/>
        </w:rPr>
        <w:t xml:space="preserve">A woman </w:t>
      </w:r>
      <w:r w:rsidRPr="004332AA">
        <w:rPr>
          <w:rFonts w:cstheme="minorHAnsi"/>
        </w:rPr>
        <w:t xml:space="preserve">who spent 6 months in detention during her asylum process, and who was later granted Leave to Remain in the UK, </w:t>
      </w:r>
      <w:r w:rsidR="008D25D4" w:rsidRPr="004332AA">
        <w:rPr>
          <w:rFonts w:cstheme="minorHAnsi"/>
        </w:rPr>
        <w:t>told the Baobab Women’s Project in an interview</w:t>
      </w:r>
      <w:r w:rsidRPr="004332AA">
        <w:rPr>
          <w:rFonts w:cstheme="minorHAnsi"/>
        </w:rPr>
        <w:t>: “When I applied for asylum, I was sick, I was stressed, I felt depressed… before my life was not good, but when I applied for asylum it got worse because they took me to detention but I was very ill at that time. […] Maybe because they thought I was lying, they were treating me like a criminal […] I [still] feel really sick and I panic and I stress because of that time in detention when I wasn’t feeling well.”</w:t>
      </w:r>
      <w:r w:rsidRPr="004332AA">
        <w:rPr>
          <w:rStyle w:val="FootnoteReference"/>
          <w:rFonts w:cstheme="minorHAnsi"/>
        </w:rPr>
        <w:footnoteReference w:id="31"/>
      </w:r>
    </w:p>
    <w:p w14:paraId="7518392B" w14:textId="615A669E" w:rsidR="00BC2CCF" w:rsidRPr="004332AA" w:rsidRDefault="00BC2CCF" w:rsidP="00487464">
      <w:pPr>
        <w:pStyle w:val="ListParagraph"/>
        <w:ind w:left="1224"/>
        <w:jc w:val="both"/>
        <w:rPr>
          <w:rFonts w:cstheme="minorHAnsi"/>
          <w:b/>
          <w:color w:val="000000" w:themeColor="text1"/>
          <w:lang w:val="en-GB"/>
        </w:rPr>
      </w:pPr>
    </w:p>
    <w:p w14:paraId="4DAFFFFF" w14:textId="04EF09F3" w:rsidR="00272983" w:rsidRDefault="00272983" w:rsidP="00272983">
      <w:pPr>
        <w:pStyle w:val="ListParagraph"/>
        <w:numPr>
          <w:ilvl w:val="0"/>
          <w:numId w:val="8"/>
        </w:numPr>
        <w:jc w:val="both"/>
        <w:rPr>
          <w:rFonts w:cstheme="minorHAnsi"/>
          <w:b/>
          <w:color w:val="000000" w:themeColor="text1"/>
          <w:lang w:val="en-GB"/>
        </w:rPr>
      </w:pPr>
      <w:r w:rsidRPr="004332AA">
        <w:rPr>
          <w:rFonts w:cstheme="minorHAnsi"/>
          <w:b/>
          <w:color w:val="000000" w:themeColor="text1"/>
          <w:lang w:val="en-GB"/>
        </w:rPr>
        <w:t>Alternatives to Detention</w:t>
      </w:r>
    </w:p>
    <w:p w14:paraId="615D6440" w14:textId="77777777" w:rsidR="004332AA" w:rsidRPr="004332AA" w:rsidRDefault="004332AA" w:rsidP="004332AA">
      <w:pPr>
        <w:pStyle w:val="ListParagraph"/>
        <w:ind w:left="360"/>
        <w:jc w:val="both"/>
        <w:rPr>
          <w:rFonts w:cstheme="minorHAnsi"/>
          <w:b/>
          <w:color w:val="000000" w:themeColor="text1"/>
          <w:lang w:val="en-GB"/>
        </w:rPr>
      </w:pPr>
    </w:p>
    <w:p w14:paraId="4BBFCE39" w14:textId="77777777" w:rsidR="00D83107" w:rsidRPr="004332AA" w:rsidRDefault="00272983" w:rsidP="00D83107">
      <w:pPr>
        <w:pStyle w:val="ListParagraph"/>
        <w:numPr>
          <w:ilvl w:val="1"/>
          <w:numId w:val="8"/>
        </w:numPr>
        <w:jc w:val="both"/>
        <w:rPr>
          <w:rFonts w:cstheme="minorHAnsi"/>
          <w:b/>
          <w:color w:val="000000" w:themeColor="text1"/>
          <w:lang w:val="en-GB"/>
        </w:rPr>
      </w:pPr>
      <w:r w:rsidRPr="004332AA">
        <w:rPr>
          <w:rFonts w:cstheme="minorHAnsi"/>
          <w:b/>
          <w:color w:val="000000" w:themeColor="text1"/>
          <w:lang w:val="en-GB"/>
        </w:rPr>
        <w:t xml:space="preserve">The use of alternatives to detention </w:t>
      </w:r>
    </w:p>
    <w:p w14:paraId="5E1F4500" w14:textId="4EA97840" w:rsidR="00D83107" w:rsidRPr="004F4D0B" w:rsidRDefault="004F4D0B" w:rsidP="00862F6D">
      <w:pPr>
        <w:pStyle w:val="ListParagraph"/>
        <w:numPr>
          <w:ilvl w:val="2"/>
          <w:numId w:val="8"/>
        </w:numPr>
        <w:jc w:val="both"/>
        <w:rPr>
          <w:rFonts w:cstheme="minorHAnsi"/>
          <w:b/>
          <w:color w:val="000000" w:themeColor="text1"/>
          <w:lang w:val="en-GB"/>
        </w:rPr>
      </w:pPr>
      <w:r w:rsidRPr="004F4D0B">
        <w:rPr>
          <w:rFonts w:cstheme="minorHAnsi"/>
        </w:rPr>
        <w:t xml:space="preserve">Where </w:t>
      </w:r>
      <w:r w:rsidR="00D83107" w:rsidRPr="004F4D0B">
        <w:rPr>
          <w:rFonts w:cstheme="minorHAnsi"/>
        </w:rPr>
        <w:t xml:space="preserve">detention is </w:t>
      </w:r>
      <w:r w:rsidRPr="004F4D0B">
        <w:rPr>
          <w:rFonts w:cstheme="minorHAnsi"/>
        </w:rPr>
        <w:t xml:space="preserve">supposed to be </w:t>
      </w:r>
      <w:r w:rsidR="00D83107" w:rsidRPr="004F4D0B">
        <w:rPr>
          <w:rFonts w:cstheme="minorHAnsi"/>
        </w:rPr>
        <w:t xml:space="preserve">used as a last resort, then alternatives to detention would have </w:t>
      </w:r>
      <w:r w:rsidRPr="004F4D0B">
        <w:rPr>
          <w:rFonts w:cstheme="minorHAnsi"/>
        </w:rPr>
        <w:t xml:space="preserve">to be </w:t>
      </w:r>
      <w:r w:rsidR="00D83107" w:rsidRPr="004F4D0B">
        <w:rPr>
          <w:rFonts w:cstheme="minorHAnsi"/>
        </w:rPr>
        <w:t xml:space="preserve">either exhausted or ruled inappropriate. </w:t>
      </w:r>
      <w:r w:rsidRPr="004F4D0B">
        <w:rPr>
          <w:rFonts w:cstheme="minorHAnsi"/>
        </w:rPr>
        <w:t xml:space="preserve">However, </w:t>
      </w:r>
      <w:r>
        <w:rPr>
          <w:rFonts w:cstheme="minorHAnsi"/>
        </w:rPr>
        <w:t>i</w:t>
      </w:r>
      <w:r w:rsidR="00D83107" w:rsidRPr="004F4D0B">
        <w:rPr>
          <w:rFonts w:cstheme="minorHAnsi"/>
        </w:rPr>
        <w:t xml:space="preserve">n 14 cases out of 28 examined by Amnesty International in 2017, it was not possible to identify any consideration of alternatives to detention </w:t>
      </w:r>
      <w:r>
        <w:rPr>
          <w:rFonts w:cstheme="minorHAnsi"/>
        </w:rPr>
        <w:t>at all</w:t>
      </w:r>
      <w:r w:rsidR="00D83107" w:rsidRPr="004F4D0B">
        <w:rPr>
          <w:rFonts w:cstheme="minorHAnsi"/>
        </w:rPr>
        <w:t xml:space="preserve">. In most of the cases examined, detention had been </w:t>
      </w:r>
      <w:proofErr w:type="spellStart"/>
      <w:r w:rsidR="00D83107" w:rsidRPr="004F4D0B">
        <w:rPr>
          <w:rFonts w:cstheme="minorHAnsi"/>
        </w:rPr>
        <w:t>authorised</w:t>
      </w:r>
      <w:proofErr w:type="spellEnd"/>
      <w:r w:rsidR="00D83107" w:rsidRPr="004F4D0B">
        <w:rPr>
          <w:rFonts w:cstheme="minorHAnsi"/>
        </w:rPr>
        <w:t xml:space="preserve"> because the person was considered ‘removable’ or ‘suitable for the DAC’.</w:t>
      </w:r>
      <w:r>
        <w:rPr>
          <w:rStyle w:val="FootnoteReference"/>
          <w:rFonts w:cstheme="minorHAnsi"/>
        </w:rPr>
        <w:footnoteReference w:id="32"/>
      </w:r>
      <w:r w:rsidR="00D83107" w:rsidRPr="004F4D0B">
        <w:rPr>
          <w:rFonts w:cstheme="minorHAnsi"/>
        </w:rPr>
        <w:t xml:space="preserve"> </w:t>
      </w:r>
    </w:p>
    <w:p w14:paraId="740A9C53" w14:textId="5632DD52" w:rsidR="00D83107" w:rsidRPr="004332AA" w:rsidRDefault="00D83107" w:rsidP="00D83107">
      <w:pPr>
        <w:pStyle w:val="ListParagraph"/>
        <w:numPr>
          <w:ilvl w:val="2"/>
          <w:numId w:val="8"/>
        </w:numPr>
        <w:jc w:val="both"/>
        <w:rPr>
          <w:rFonts w:cstheme="minorHAnsi"/>
          <w:b/>
          <w:color w:val="000000" w:themeColor="text1"/>
          <w:lang w:val="en-GB"/>
        </w:rPr>
      </w:pPr>
      <w:r w:rsidRPr="004332AA">
        <w:rPr>
          <w:rFonts w:cstheme="minorHAnsi"/>
        </w:rPr>
        <w:t>In the remaining cases</w:t>
      </w:r>
      <w:r w:rsidR="004F4D0B">
        <w:rPr>
          <w:rFonts w:cstheme="minorHAnsi"/>
        </w:rPr>
        <w:t xml:space="preserve"> assessed by Amnesty,</w:t>
      </w:r>
      <w:r w:rsidRPr="004332AA">
        <w:rPr>
          <w:rFonts w:cstheme="minorHAnsi"/>
        </w:rPr>
        <w:t xml:space="preserve"> the consideration of alternatives to detention </w:t>
      </w:r>
      <w:r w:rsidR="004F4D0B">
        <w:rPr>
          <w:rFonts w:cstheme="minorHAnsi"/>
        </w:rPr>
        <w:t>appeared to have been “</w:t>
      </w:r>
      <w:r w:rsidRPr="004332AA">
        <w:rPr>
          <w:rFonts w:cstheme="minorHAnsi"/>
        </w:rPr>
        <w:t>cursory and formulaic</w:t>
      </w:r>
      <w:r w:rsidR="004F4D0B">
        <w:rPr>
          <w:rFonts w:cstheme="minorHAnsi"/>
        </w:rPr>
        <w:t>”;</w:t>
      </w:r>
      <w:r w:rsidRPr="004332AA">
        <w:rPr>
          <w:rFonts w:cstheme="minorHAnsi"/>
        </w:rPr>
        <w:t xml:space="preserve"> mentioned </w:t>
      </w:r>
      <w:r w:rsidR="004F4D0B">
        <w:rPr>
          <w:rFonts w:cstheme="minorHAnsi"/>
        </w:rPr>
        <w:t xml:space="preserve">briefly </w:t>
      </w:r>
      <w:r w:rsidRPr="004332AA">
        <w:rPr>
          <w:rFonts w:cstheme="minorHAnsi"/>
        </w:rPr>
        <w:t xml:space="preserve">and then dismissed. </w:t>
      </w:r>
      <w:r w:rsidR="004F4D0B">
        <w:rPr>
          <w:rFonts w:cstheme="minorHAnsi"/>
        </w:rPr>
        <w:t xml:space="preserve">Oftentimes, </w:t>
      </w:r>
      <w:r w:rsidRPr="004332AA">
        <w:rPr>
          <w:rFonts w:cstheme="minorHAnsi"/>
        </w:rPr>
        <w:t xml:space="preserve">the range of alternatives </w:t>
      </w:r>
      <w:r w:rsidR="004F4D0B">
        <w:rPr>
          <w:rFonts w:cstheme="minorHAnsi"/>
        </w:rPr>
        <w:t xml:space="preserve">was reduced </w:t>
      </w:r>
      <w:r w:rsidRPr="004332AA">
        <w:rPr>
          <w:rFonts w:cstheme="minorHAnsi"/>
        </w:rPr>
        <w:t>to one</w:t>
      </w:r>
      <w:r w:rsidR="004F4D0B">
        <w:rPr>
          <w:rFonts w:cstheme="minorHAnsi"/>
        </w:rPr>
        <w:t xml:space="preserve"> option; so-called </w:t>
      </w:r>
      <w:r w:rsidRPr="004332AA">
        <w:rPr>
          <w:rFonts w:cstheme="minorHAnsi"/>
        </w:rPr>
        <w:t xml:space="preserve">‘voluntary’ departure. In some </w:t>
      </w:r>
      <w:r w:rsidR="004F4D0B">
        <w:rPr>
          <w:rFonts w:cstheme="minorHAnsi"/>
        </w:rPr>
        <w:t xml:space="preserve">cases, these </w:t>
      </w:r>
      <w:r w:rsidRPr="004332AA">
        <w:rPr>
          <w:rFonts w:cstheme="minorHAnsi"/>
        </w:rPr>
        <w:t xml:space="preserve">‘offers’ of voluntary </w:t>
      </w:r>
      <w:r w:rsidR="004F4D0B">
        <w:rPr>
          <w:rFonts w:cstheme="minorHAnsi"/>
        </w:rPr>
        <w:t xml:space="preserve">return </w:t>
      </w:r>
      <w:r w:rsidRPr="004332AA">
        <w:rPr>
          <w:rFonts w:cstheme="minorHAnsi"/>
        </w:rPr>
        <w:t xml:space="preserve">were made </w:t>
      </w:r>
      <w:r w:rsidR="004F4D0B">
        <w:rPr>
          <w:rFonts w:cstheme="minorHAnsi"/>
        </w:rPr>
        <w:t xml:space="preserve">through </w:t>
      </w:r>
      <w:r w:rsidRPr="004332AA">
        <w:rPr>
          <w:rFonts w:cstheme="minorHAnsi"/>
        </w:rPr>
        <w:t xml:space="preserve">a </w:t>
      </w:r>
      <w:r w:rsidR="004F4D0B">
        <w:rPr>
          <w:rFonts w:cstheme="minorHAnsi"/>
        </w:rPr>
        <w:t xml:space="preserve">generic </w:t>
      </w:r>
      <w:r w:rsidRPr="004332AA">
        <w:rPr>
          <w:rFonts w:cstheme="minorHAnsi"/>
        </w:rPr>
        <w:t>refusal letter</w:t>
      </w:r>
      <w:r w:rsidR="006D25A9">
        <w:rPr>
          <w:rFonts w:cstheme="minorHAnsi"/>
        </w:rPr>
        <w:t xml:space="preserve">, and in </w:t>
      </w:r>
      <w:r w:rsidRPr="004332AA">
        <w:rPr>
          <w:rFonts w:cstheme="minorHAnsi"/>
        </w:rPr>
        <w:t xml:space="preserve">others, the </w:t>
      </w:r>
      <w:r w:rsidR="006D25A9">
        <w:rPr>
          <w:rFonts w:cstheme="minorHAnsi"/>
        </w:rPr>
        <w:t xml:space="preserve">option </w:t>
      </w:r>
      <w:r w:rsidRPr="004332AA">
        <w:rPr>
          <w:rFonts w:cstheme="minorHAnsi"/>
        </w:rPr>
        <w:t xml:space="preserve">was raised </w:t>
      </w:r>
      <w:r w:rsidR="006D25A9">
        <w:rPr>
          <w:rFonts w:cstheme="minorHAnsi"/>
        </w:rPr>
        <w:t xml:space="preserve">during the asylum </w:t>
      </w:r>
      <w:r w:rsidRPr="004332AA">
        <w:rPr>
          <w:rFonts w:cstheme="minorHAnsi"/>
        </w:rPr>
        <w:t xml:space="preserve">interview but without </w:t>
      </w:r>
      <w:r w:rsidR="006D25A9">
        <w:rPr>
          <w:rFonts w:cstheme="minorHAnsi"/>
        </w:rPr>
        <w:t xml:space="preserve">further </w:t>
      </w:r>
      <w:r w:rsidRPr="004332AA">
        <w:rPr>
          <w:rFonts w:cstheme="minorHAnsi"/>
        </w:rPr>
        <w:t xml:space="preserve">context, support or access to legal advice. </w:t>
      </w:r>
      <w:r w:rsidR="006D25A9">
        <w:rPr>
          <w:rFonts w:cstheme="minorHAnsi"/>
        </w:rPr>
        <w:t xml:space="preserve">If a person was not </w:t>
      </w:r>
      <w:r w:rsidRPr="004332AA">
        <w:rPr>
          <w:rFonts w:cstheme="minorHAnsi"/>
        </w:rPr>
        <w:t xml:space="preserve">willing to return </w:t>
      </w:r>
      <w:r w:rsidR="006D25A9">
        <w:rPr>
          <w:rFonts w:cstheme="minorHAnsi"/>
        </w:rPr>
        <w:t xml:space="preserve">to their country of origin </w:t>
      </w:r>
      <w:r w:rsidRPr="004332AA">
        <w:rPr>
          <w:rFonts w:cstheme="minorHAnsi"/>
        </w:rPr>
        <w:t>voluntarily</w:t>
      </w:r>
      <w:r w:rsidR="006D25A9">
        <w:rPr>
          <w:rFonts w:cstheme="minorHAnsi"/>
        </w:rPr>
        <w:t>,</w:t>
      </w:r>
      <w:r w:rsidRPr="004332AA">
        <w:rPr>
          <w:rFonts w:cstheme="minorHAnsi"/>
        </w:rPr>
        <w:t xml:space="preserve"> </w:t>
      </w:r>
      <w:r w:rsidR="006D25A9">
        <w:rPr>
          <w:rFonts w:cstheme="minorHAnsi"/>
        </w:rPr>
        <w:t xml:space="preserve">this would be </w:t>
      </w:r>
      <w:r w:rsidRPr="004332AA">
        <w:rPr>
          <w:rFonts w:cstheme="minorHAnsi"/>
        </w:rPr>
        <w:t xml:space="preserve">interpreted as </w:t>
      </w:r>
      <w:r w:rsidR="006D25A9">
        <w:rPr>
          <w:rFonts w:cstheme="minorHAnsi"/>
        </w:rPr>
        <w:t xml:space="preserve">having </w:t>
      </w:r>
      <w:r w:rsidRPr="004332AA">
        <w:rPr>
          <w:rFonts w:cstheme="minorHAnsi"/>
        </w:rPr>
        <w:t>exhaust</w:t>
      </w:r>
      <w:r w:rsidR="006D25A9">
        <w:rPr>
          <w:rFonts w:cstheme="minorHAnsi"/>
        </w:rPr>
        <w:t>ed</w:t>
      </w:r>
      <w:r w:rsidRPr="004332AA">
        <w:rPr>
          <w:rFonts w:cstheme="minorHAnsi"/>
        </w:rPr>
        <w:t xml:space="preserve"> the alternatives</w:t>
      </w:r>
      <w:r w:rsidR="006D25A9">
        <w:rPr>
          <w:rFonts w:cstheme="minorHAnsi"/>
        </w:rPr>
        <w:t xml:space="preserve"> to detention</w:t>
      </w:r>
      <w:r w:rsidRPr="004332AA">
        <w:rPr>
          <w:rFonts w:cstheme="minorHAnsi"/>
        </w:rPr>
        <w:t>.</w:t>
      </w:r>
      <w:r w:rsidRPr="004332AA">
        <w:rPr>
          <w:rStyle w:val="FootnoteReference"/>
          <w:rFonts w:cstheme="minorHAnsi"/>
        </w:rPr>
        <w:footnoteReference w:id="33"/>
      </w:r>
    </w:p>
    <w:p w14:paraId="56BB6618" w14:textId="77777777" w:rsidR="00D83107" w:rsidRPr="004332AA" w:rsidRDefault="00D83107" w:rsidP="00D83107">
      <w:pPr>
        <w:pStyle w:val="ListParagraph"/>
        <w:ind w:left="1224"/>
        <w:jc w:val="both"/>
        <w:rPr>
          <w:rFonts w:cstheme="minorHAnsi"/>
          <w:b/>
          <w:color w:val="000000" w:themeColor="text1"/>
          <w:lang w:val="en-GB"/>
        </w:rPr>
      </w:pPr>
    </w:p>
    <w:p w14:paraId="649A4472" w14:textId="56DBD533" w:rsidR="00272983" w:rsidRDefault="00272983" w:rsidP="00272983">
      <w:pPr>
        <w:pStyle w:val="ListParagraph"/>
        <w:numPr>
          <w:ilvl w:val="1"/>
          <w:numId w:val="8"/>
        </w:numPr>
        <w:jc w:val="both"/>
        <w:rPr>
          <w:rFonts w:cstheme="minorHAnsi"/>
          <w:b/>
          <w:color w:val="000000" w:themeColor="text1"/>
          <w:lang w:val="en-GB"/>
        </w:rPr>
      </w:pPr>
      <w:r w:rsidRPr="004332AA">
        <w:rPr>
          <w:rFonts w:cstheme="minorHAnsi"/>
          <w:b/>
          <w:color w:val="000000" w:themeColor="text1"/>
          <w:lang w:val="en-GB"/>
        </w:rPr>
        <w:t xml:space="preserve">Proposed alternatives </w:t>
      </w:r>
    </w:p>
    <w:p w14:paraId="4A8ED939" w14:textId="77777777" w:rsidR="004332AA" w:rsidRPr="004332AA" w:rsidRDefault="004332AA" w:rsidP="004332AA">
      <w:pPr>
        <w:pStyle w:val="ListParagraph"/>
        <w:ind w:left="792"/>
        <w:jc w:val="both"/>
        <w:rPr>
          <w:rFonts w:cstheme="minorHAnsi"/>
          <w:b/>
          <w:color w:val="000000" w:themeColor="text1"/>
          <w:lang w:val="en-GB"/>
        </w:rPr>
      </w:pPr>
    </w:p>
    <w:p w14:paraId="50D0B1A7" w14:textId="20286B3B" w:rsidR="00D83107" w:rsidRPr="004332AA" w:rsidRDefault="00D83107" w:rsidP="00A507D1">
      <w:pPr>
        <w:pStyle w:val="ListParagraph"/>
        <w:numPr>
          <w:ilvl w:val="2"/>
          <w:numId w:val="8"/>
        </w:numPr>
        <w:jc w:val="both"/>
        <w:rPr>
          <w:rFonts w:cstheme="minorHAnsi"/>
          <w:color w:val="000000" w:themeColor="text1"/>
          <w:lang w:val="en-GB"/>
        </w:rPr>
      </w:pPr>
      <w:r w:rsidRPr="004332AA">
        <w:rPr>
          <w:rFonts w:cstheme="minorHAnsi"/>
          <w:color w:val="000000" w:themeColor="text1"/>
          <w:lang w:val="en-GB"/>
        </w:rPr>
        <w:t xml:space="preserve">As part of the government’s </w:t>
      </w:r>
      <w:r w:rsidR="006D25A9">
        <w:rPr>
          <w:rFonts w:cstheme="minorHAnsi"/>
          <w:color w:val="000000" w:themeColor="text1"/>
          <w:lang w:val="en-GB"/>
        </w:rPr>
        <w:t xml:space="preserve">further </w:t>
      </w:r>
      <w:r w:rsidRPr="004332AA">
        <w:rPr>
          <w:rFonts w:cstheme="minorHAnsi"/>
          <w:color w:val="000000" w:themeColor="text1"/>
          <w:lang w:val="en-GB"/>
        </w:rPr>
        <w:t xml:space="preserve">response to Stephen Shaw’s review of immigration detention, a pilot scheme was announced in December 2018 in collaboration with the Action Foundation charity. 21 ‘vulnerable women’, otherwise be liable for immigration detention at </w:t>
      </w:r>
      <w:proofErr w:type="spellStart"/>
      <w:r w:rsidRPr="004332AA">
        <w:rPr>
          <w:rFonts w:cstheme="minorHAnsi"/>
          <w:color w:val="000000" w:themeColor="text1"/>
          <w:lang w:val="en-GB"/>
        </w:rPr>
        <w:t>Yarl’s</w:t>
      </w:r>
      <w:proofErr w:type="spellEnd"/>
      <w:r w:rsidRPr="004332AA">
        <w:rPr>
          <w:rFonts w:cstheme="minorHAnsi"/>
          <w:color w:val="000000" w:themeColor="text1"/>
          <w:lang w:val="en-GB"/>
        </w:rPr>
        <w:t xml:space="preserve"> Wood, would be supported in their communities</w:t>
      </w:r>
      <w:r w:rsidR="006D25A9">
        <w:rPr>
          <w:rFonts w:cstheme="minorHAnsi"/>
          <w:color w:val="000000" w:themeColor="text1"/>
          <w:lang w:val="en-GB"/>
        </w:rPr>
        <w:t xml:space="preserve"> instead</w:t>
      </w:r>
      <w:r w:rsidRPr="004332AA">
        <w:rPr>
          <w:rFonts w:cstheme="minorHAnsi"/>
          <w:color w:val="000000" w:themeColor="text1"/>
          <w:lang w:val="en-GB"/>
        </w:rPr>
        <w:t xml:space="preserve">. </w:t>
      </w:r>
    </w:p>
    <w:p w14:paraId="2F9905EA" w14:textId="26D98C20" w:rsidR="00D83107" w:rsidRPr="004332AA" w:rsidRDefault="00D83107" w:rsidP="00A507D1">
      <w:pPr>
        <w:pStyle w:val="ListParagraph"/>
        <w:numPr>
          <w:ilvl w:val="2"/>
          <w:numId w:val="8"/>
        </w:numPr>
        <w:jc w:val="both"/>
        <w:rPr>
          <w:rFonts w:cstheme="minorHAnsi"/>
          <w:color w:val="000000" w:themeColor="text1"/>
          <w:lang w:val="en-GB"/>
        </w:rPr>
      </w:pPr>
      <w:r w:rsidRPr="004332AA">
        <w:rPr>
          <w:rFonts w:cstheme="minorHAnsi"/>
          <w:color w:val="000000" w:themeColor="text1"/>
          <w:lang w:val="en-GB"/>
        </w:rPr>
        <w:t>The pilot, named ‘Action Access’ is set to run for two years and would support up to 50 women during that time.</w:t>
      </w:r>
      <w:r w:rsidRPr="004332AA">
        <w:rPr>
          <w:rStyle w:val="FootnoteReference"/>
          <w:rFonts w:cstheme="minorHAnsi"/>
          <w:color w:val="000000" w:themeColor="text1"/>
          <w:lang w:val="en-GB"/>
        </w:rPr>
        <w:footnoteReference w:id="34"/>
      </w:r>
      <w:r w:rsidRPr="004332AA">
        <w:rPr>
          <w:rFonts w:cstheme="minorHAnsi"/>
          <w:color w:val="000000" w:themeColor="text1"/>
          <w:lang w:val="en-GB"/>
        </w:rPr>
        <w:t xml:space="preserve"> </w:t>
      </w:r>
    </w:p>
    <w:p w14:paraId="02E16452" w14:textId="5AAA3EC4" w:rsidR="00D83107" w:rsidRPr="004332AA" w:rsidRDefault="00D83107" w:rsidP="00A507D1">
      <w:pPr>
        <w:pStyle w:val="ListParagraph"/>
        <w:numPr>
          <w:ilvl w:val="2"/>
          <w:numId w:val="8"/>
        </w:numPr>
        <w:jc w:val="both"/>
        <w:rPr>
          <w:rFonts w:cstheme="minorHAnsi"/>
          <w:color w:val="000000" w:themeColor="text1"/>
          <w:lang w:val="en-GB"/>
        </w:rPr>
      </w:pPr>
      <w:r w:rsidRPr="004332AA">
        <w:rPr>
          <w:rFonts w:cstheme="minorHAnsi"/>
          <w:color w:val="000000" w:themeColor="text1"/>
          <w:lang w:val="en-GB"/>
        </w:rPr>
        <w:t xml:space="preserve">Civil society organisations have called on the Home Office to </w:t>
      </w:r>
      <w:r w:rsidR="006D25A9">
        <w:rPr>
          <w:rFonts w:cstheme="minorHAnsi"/>
          <w:color w:val="000000" w:themeColor="text1"/>
          <w:lang w:val="en-GB"/>
        </w:rPr>
        <w:t xml:space="preserve">also </w:t>
      </w:r>
      <w:r w:rsidRPr="004332AA">
        <w:rPr>
          <w:rFonts w:cstheme="minorHAnsi"/>
          <w:color w:val="000000" w:themeColor="text1"/>
          <w:lang w:val="en-GB"/>
        </w:rPr>
        <w:t>consider the International Detention Coalition’s Community Assessment and Placement (CAP) model</w:t>
      </w:r>
      <w:r w:rsidRPr="004332AA">
        <w:rPr>
          <w:rFonts w:cstheme="minorHAnsi"/>
          <w:color w:val="000000" w:themeColor="text1"/>
          <w:vertAlign w:val="superscript"/>
          <w:lang w:val="en-GB"/>
        </w:rPr>
        <w:footnoteReference w:id="35"/>
      </w:r>
      <w:r w:rsidRPr="004332AA">
        <w:rPr>
          <w:rFonts w:cstheme="minorHAnsi"/>
          <w:color w:val="000000" w:themeColor="text1"/>
          <w:lang w:val="en-GB"/>
        </w:rPr>
        <w:t xml:space="preserve">, </w:t>
      </w:r>
      <w:r w:rsidR="006D25A9">
        <w:rPr>
          <w:rFonts w:cstheme="minorHAnsi"/>
          <w:color w:val="000000" w:themeColor="text1"/>
          <w:lang w:val="en-GB"/>
        </w:rPr>
        <w:t xml:space="preserve">which is </w:t>
      </w:r>
      <w:r w:rsidRPr="004332AA">
        <w:rPr>
          <w:rFonts w:cstheme="minorHAnsi"/>
          <w:color w:val="000000" w:themeColor="text1"/>
          <w:lang w:val="en-GB"/>
        </w:rPr>
        <w:t>based on more than 250 examples of alternatives to detention in over 60 countries around the world.</w:t>
      </w:r>
      <w:r w:rsidRPr="004332AA">
        <w:rPr>
          <w:rStyle w:val="FootnoteReference"/>
          <w:rFonts w:cstheme="minorHAnsi"/>
          <w:color w:val="000000" w:themeColor="text1"/>
          <w:lang w:val="en-GB"/>
        </w:rPr>
        <w:footnoteReference w:id="36"/>
      </w:r>
    </w:p>
    <w:p w14:paraId="6B423FCE" w14:textId="06E42ED9" w:rsidR="00D83107" w:rsidRPr="004332AA" w:rsidRDefault="00D83107" w:rsidP="00D83107">
      <w:pPr>
        <w:pStyle w:val="ListParagraph"/>
        <w:ind w:left="1224"/>
        <w:jc w:val="both"/>
        <w:rPr>
          <w:rFonts w:cstheme="minorHAnsi"/>
          <w:color w:val="000000" w:themeColor="text1"/>
          <w:lang w:val="en-GB"/>
        </w:rPr>
      </w:pPr>
    </w:p>
    <w:p w14:paraId="72DBE27C" w14:textId="6530356C" w:rsidR="00272983" w:rsidRDefault="00272983" w:rsidP="00272983">
      <w:pPr>
        <w:pStyle w:val="ListParagraph"/>
        <w:numPr>
          <w:ilvl w:val="0"/>
          <w:numId w:val="8"/>
        </w:numPr>
        <w:jc w:val="both"/>
        <w:rPr>
          <w:rFonts w:cstheme="minorHAnsi"/>
          <w:b/>
          <w:color w:val="000000" w:themeColor="text1"/>
          <w:lang w:val="en-GB"/>
        </w:rPr>
      </w:pPr>
      <w:r w:rsidRPr="004332AA">
        <w:rPr>
          <w:rFonts w:cstheme="minorHAnsi"/>
          <w:b/>
          <w:color w:val="000000" w:themeColor="text1"/>
          <w:lang w:val="en-GB"/>
        </w:rPr>
        <w:t xml:space="preserve">Conclusion </w:t>
      </w:r>
    </w:p>
    <w:p w14:paraId="057E68A6" w14:textId="77777777" w:rsidR="004332AA" w:rsidRPr="004332AA" w:rsidRDefault="004332AA" w:rsidP="004332AA">
      <w:pPr>
        <w:pStyle w:val="ListParagraph"/>
        <w:ind w:left="360"/>
        <w:jc w:val="both"/>
        <w:rPr>
          <w:rFonts w:cstheme="minorHAnsi"/>
          <w:b/>
          <w:color w:val="000000" w:themeColor="text1"/>
          <w:lang w:val="en-GB"/>
        </w:rPr>
      </w:pPr>
    </w:p>
    <w:p w14:paraId="03E024D6" w14:textId="47895388" w:rsidR="00C94CA1" w:rsidRPr="004332AA" w:rsidRDefault="00C94CA1" w:rsidP="00C94CA1">
      <w:pPr>
        <w:pStyle w:val="ListParagraph"/>
        <w:numPr>
          <w:ilvl w:val="1"/>
          <w:numId w:val="8"/>
        </w:numPr>
        <w:jc w:val="both"/>
        <w:rPr>
          <w:rFonts w:cstheme="minorHAnsi"/>
          <w:b/>
          <w:color w:val="000000" w:themeColor="text1"/>
          <w:lang w:val="en-GB"/>
        </w:rPr>
      </w:pPr>
      <w:r w:rsidRPr="004332AA">
        <w:rPr>
          <w:rFonts w:cstheme="minorHAnsi"/>
          <w:color w:val="000000" w:themeColor="text1"/>
          <w:lang w:val="en-GB"/>
        </w:rPr>
        <w:t xml:space="preserve">The United Kingdom has one of the largest immigration detention </w:t>
      </w:r>
      <w:r w:rsidR="006D25A9">
        <w:rPr>
          <w:rFonts w:cstheme="minorHAnsi"/>
          <w:color w:val="000000" w:themeColor="text1"/>
          <w:lang w:val="en-GB"/>
        </w:rPr>
        <w:t>regimes</w:t>
      </w:r>
      <w:r w:rsidRPr="004332AA">
        <w:rPr>
          <w:rFonts w:cstheme="minorHAnsi"/>
          <w:color w:val="000000" w:themeColor="text1"/>
          <w:lang w:val="en-GB"/>
        </w:rPr>
        <w:t xml:space="preserve"> in Europe, and it is the sole European state without a maximum time limit on immigration detention.</w:t>
      </w:r>
    </w:p>
    <w:p w14:paraId="013BBA50" w14:textId="6A847F27" w:rsidR="00C94CA1" w:rsidRPr="004332AA" w:rsidRDefault="00C94CA1" w:rsidP="00C94CA1">
      <w:pPr>
        <w:pStyle w:val="ListParagraph"/>
        <w:numPr>
          <w:ilvl w:val="1"/>
          <w:numId w:val="8"/>
        </w:numPr>
        <w:jc w:val="both"/>
        <w:rPr>
          <w:rFonts w:cstheme="minorHAnsi"/>
          <w:b/>
          <w:color w:val="000000" w:themeColor="text1"/>
          <w:lang w:val="en-GB"/>
        </w:rPr>
      </w:pPr>
      <w:r w:rsidRPr="004332AA">
        <w:rPr>
          <w:rFonts w:cstheme="minorHAnsi"/>
          <w:color w:val="000000" w:themeColor="text1"/>
          <w:lang w:val="en-GB"/>
        </w:rPr>
        <w:t>The harmful impact of immigration detention</w:t>
      </w:r>
      <w:r w:rsidR="004332AA" w:rsidRPr="004332AA">
        <w:rPr>
          <w:rFonts w:cstheme="minorHAnsi"/>
          <w:color w:val="000000" w:themeColor="text1"/>
          <w:lang w:val="en-GB"/>
        </w:rPr>
        <w:t xml:space="preserve"> on </w:t>
      </w:r>
      <w:r w:rsidR="004332AA" w:rsidRPr="004332AA">
        <w:rPr>
          <w:rFonts w:cstheme="minorHAnsi"/>
          <w:color w:val="000000" w:themeColor="text1"/>
        </w:rPr>
        <w:t xml:space="preserve">detainees’ mental and physical health </w:t>
      </w:r>
      <w:r w:rsidRPr="004332AA">
        <w:rPr>
          <w:rFonts w:cstheme="minorHAnsi"/>
          <w:color w:val="000000" w:themeColor="text1"/>
          <w:lang w:val="en-GB"/>
        </w:rPr>
        <w:t xml:space="preserve">has been widely reported by a range of actors over the years. </w:t>
      </w:r>
    </w:p>
    <w:p w14:paraId="20835CC0" w14:textId="3972E985" w:rsidR="00A85A8A" w:rsidRPr="004332AA" w:rsidRDefault="00C94CA1" w:rsidP="004332AA">
      <w:pPr>
        <w:pStyle w:val="ListParagraph"/>
        <w:numPr>
          <w:ilvl w:val="1"/>
          <w:numId w:val="8"/>
        </w:numPr>
        <w:jc w:val="both"/>
        <w:rPr>
          <w:rFonts w:cstheme="minorHAnsi"/>
          <w:b/>
          <w:color w:val="000000" w:themeColor="text1"/>
          <w:lang w:val="en-GB"/>
        </w:rPr>
      </w:pPr>
      <w:r w:rsidRPr="004332AA">
        <w:rPr>
          <w:rFonts w:cstheme="minorHAnsi"/>
        </w:rPr>
        <w:t>The Home Office is currently faced with an opportunity to align its practices with international standards and to demonstrate commitment to a fair and humane system which upholds the human rights and dignity of those seeking sanctuary in the United Kingdom.</w:t>
      </w:r>
      <w:r w:rsidR="004332AA" w:rsidRPr="004332AA">
        <w:rPr>
          <w:rFonts w:cstheme="minorHAnsi"/>
        </w:rPr>
        <w:t xml:space="preserve"> It can do so, firstly, by introducing a 28-day time-limit, and secondly, by exploring alternatives to detention. </w:t>
      </w:r>
      <w:r w:rsidRPr="004332AA">
        <w:rPr>
          <w:rFonts w:cstheme="minorHAnsi"/>
        </w:rPr>
        <w:t xml:space="preserve"> </w:t>
      </w:r>
    </w:p>
    <w:sectPr w:rsidR="00A85A8A" w:rsidRPr="004332AA" w:rsidSect="00A507D1">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B3CB9" w14:textId="77777777" w:rsidR="00951A2B" w:rsidRDefault="00951A2B" w:rsidP="00C9268F">
      <w:pPr>
        <w:spacing w:after="0" w:line="240" w:lineRule="auto"/>
      </w:pPr>
      <w:r>
        <w:separator/>
      </w:r>
    </w:p>
  </w:endnote>
  <w:endnote w:type="continuationSeparator" w:id="0">
    <w:p w14:paraId="3EB8D556" w14:textId="77777777" w:rsidR="00951A2B" w:rsidRDefault="00951A2B" w:rsidP="00C9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409494"/>
      <w:docPartObj>
        <w:docPartGallery w:val="Page Numbers (Bottom of Page)"/>
        <w:docPartUnique/>
      </w:docPartObj>
    </w:sdtPr>
    <w:sdtEndPr>
      <w:rPr>
        <w:noProof/>
      </w:rPr>
    </w:sdtEndPr>
    <w:sdtContent>
      <w:p w14:paraId="1AADC67A" w14:textId="2D2D3858" w:rsidR="00A507D1" w:rsidRDefault="00A507D1">
        <w:pPr>
          <w:pStyle w:val="Footer"/>
          <w:jc w:val="right"/>
        </w:pPr>
        <w:r>
          <w:fldChar w:fldCharType="begin"/>
        </w:r>
        <w:r>
          <w:instrText xml:space="preserve"> PAGE   \* MERGEFORMAT </w:instrText>
        </w:r>
        <w:r>
          <w:fldChar w:fldCharType="separate"/>
        </w:r>
        <w:r w:rsidR="00DE7C66">
          <w:rPr>
            <w:noProof/>
          </w:rPr>
          <w:t>7</w:t>
        </w:r>
        <w:r>
          <w:rPr>
            <w:noProof/>
          </w:rPr>
          <w:fldChar w:fldCharType="end"/>
        </w:r>
      </w:p>
    </w:sdtContent>
  </w:sdt>
  <w:p w14:paraId="45AA92C3" w14:textId="77777777" w:rsidR="00A507D1" w:rsidRDefault="00A50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33A397" w14:textId="77777777" w:rsidR="00951A2B" w:rsidRDefault="00951A2B" w:rsidP="00C9268F">
      <w:pPr>
        <w:spacing w:after="0" w:line="240" w:lineRule="auto"/>
      </w:pPr>
      <w:r>
        <w:separator/>
      </w:r>
    </w:p>
  </w:footnote>
  <w:footnote w:type="continuationSeparator" w:id="0">
    <w:p w14:paraId="75F80EA4" w14:textId="77777777" w:rsidR="00951A2B" w:rsidRDefault="00951A2B" w:rsidP="00C9268F">
      <w:pPr>
        <w:spacing w:after="0" w:line="240" w:lineRule="auto"/>
      </w:pPr>
      <w:r>
        <w:continuationSeparator/>
      </w:r>
    </w:p>
  </w:footnote>
  <w:footnote w:id="1">
    <w:p w14:paraId="1D305652" w14:textId="66FA2693" w:rsidR="00A507D1" w:rsidRPr="004F4D0B" w:rsidRDefault="00A507D1">
      <w:pPr>
        <w:pStyle w:val="FootnoteText"/>
        <w:rPr>
          <w:sz w:val="18"/>
          <w:szCs w:val="18"/>
        </w:rPr>
      </w:pPr>
      <w:r w:rsidRPr="004F4D0B">
        <w:rPr>
          <w:rStyle w:val="FootnoteReference"/>
          <w:sz w:val="18"/>
          <w:szCs w:val="18"/>
        </w:rPr>
        <w:footnoteRef/>
      </w:r>
      <w:r w:rsidRPr="004F4D0B">
        <w:rPr>
          <w:sz w:val="18"/>
          <w:szCs w:val="18"/>
        </w:rPr>
        <w:t xml:space="preserve"> </w:t>
      </w:r>
      <w:hyperlink r:id="rId1" w:history="1">
        <w:r w:rsidRPr="004F4D0B">
          <w:rPr>
            <w:rStyle w:val="Hyperlink"/>
            <w:sz w:val="18"/>
            <w:szCs w:val="18"/>
          </w:rPr>
          <w:t>https://www.legislation.gov.uk/ukpga/1971/77/contents</w:t>
        </w:r>
      </w:hyperlink>
    </w:p>
  </w:footnote>
  <w:footnote w:id="2">
    <w:p w14:paraId="3E801088" w14:textId="3BAAC1F3" w:rsidR="00A507D1" w:rsidRPr="004F4D0B" w:rsidRDefault="00A507D1">
      <w:pPr>
        <w:pStyle w:val="FootnoteText"/>
        <w:rPr>
          <w:sz w:val="18"/>
          <w:szCs w:val="18"/>
        </w:rPr>
      </w:pPr>
      <w:r w:rsidRPr="004F4D0B">
        <w:rPr>
          <w:rStyle w:val="FootnoteReference"/>
          <w:sz w:val="18"/>
          <w:szCs w:val="18"/>
        </w:rPr>
        <w:footnoteRef/>
      </w:r>
      <w:r w:rsidRPr="004F4D0B">
        <w:rPr>
          <w:sz w:val="18"/>
          <w:szCs w:val="18"/>
        </w:rPr>
        <w:t xml:space="preserve"> </w:t>
      </w:r>
      <w:hyperlink r:id="rId2" w:history="1">
        <w:r w:rsidRPr="004F4D0B">
          <w:rPr>
            <w:rStyle w:val="Hyperlink"/>
            <w:sz w:val="18"/>
            <w:szCs w:val="18"/>
          </w:rPr>
          <w:t>https://migrationobservatory.ox.ac.uk/resources/briefings/immigration-detention-in-the-uk/</w:t>
        </w:r>
      </w:hyperlink>
    </w:p>
  </w:footnote>
  <w:footnote w:id="3">
    <w:p w14:paraId="18B78917" w14:textId="4F217D36" w:rsidR="00A507D1" w:rsidRPr="00850449" w:rsidRDefault="00A507D1" w:rsidP="0095735C">
      <w:pPr>
        <w:pStyle w:val="NoSpacing"/>
        <w:rPr>
          <w:sz w:val="18"/>
          <w:szCs w:val="18"/>
        </w:rPr>
      </w:pPr>
      <w:r w:rsidRPr="004F4D0B">
        <w:rPr>
          <w:rStyle w:val="FootnoteReference"/>
          <w:sz w:val="18"/>
          <w:szCs w:val="18"/>
        </w:rPr>
        <w:footnoteRef/>
      </w:r>
      <w:r w:rsidRPr="00850449">
        <w:rPr>
          <w:sz w:val="18"/>
          <w:szCs w:val="18"/>
        </w:rPr>
        <w:t xml:space="preserve"> Amnesty International (2017), p. 1 : </w:t>
      </w:r>
      <w:hyperlink r:id="rId3" w:history="1">
        <w:r w:rsidRPr="00850449">
          <w:rPr>
            <w:rStyle w:val="Hyperlink"/>
            <w:sz w:val="18"/>
            <w:szCs w:val="18"/>
          </w:rPr>
          <w:t>https://www.amnesty.org.uk/files/2017-12/A%20Matter%20Of%20Routine%20ADVANCE%20COPY.PDF?ya06n1Z2uH6J0bP8HmO7R2Pn7nabDymO</w:t>
        </w:r>
      </w:hyperlink>
      <w:r w:rsidRPr="00850449">
        <w:rPr>
          <w:sz w:val="18"/>
          <w:szCs w:val="18"/>
        </w:rPr>
        <w:t xml:space="preserve"> </w:t>
      </w:r>
    </w:p>
  </w:footnote>
  <w:footnote w:id="4">
    <w:p w14:paraId="11FAA64B" w14:textId="6A239CA8" w:rsidR="00A507D1" w:rsidRPr="004F4D0B" w:rsidRDefault="00A507D1" w:rsidP="0095735C">
      <w:pPr>
        <w:pStyle w:val="NoSpacing"/>
        <w:rPr>
          <w:sz w:val="18"/>
          <w:szCs w:val="18"/>
        </w:rPr>
      </w:pPr>
      <w:r w:rsidRPr="004F4D0B">
        <w:rPr>
          <w:rStyle w:val="FootnoteReference"/>
          <w:sz w:val="18"/>
          <w:szCs w:val="18"/>
        </w:rPr>
        <w:footnoteRef/>
      </w:r>
      <w:r w:rsidRPr="004F4D0B">
        <w:rPr>
          <w:sz w:val="18"/>
          <w:szCs w:val="18"/>
        </w:rPr>
        <w:t xml:space="preserve"> </w:t>
      </w:r>
      <w:hyperlink r:id="rId4" w:history="1">
        <w:r w:rsidRPr="004F4D0B">
          <w:rPr>
            <w:rStyle w:val="Hyperlink"/>
            <w:sz w:val="18"/>
            <w:szCs w:val="18"/>
          </w:rPr>
          <w:t>https://www.gov.uk/immigration-removal-centre</w:t>
        </w:r>
      </w:hyperlink>
    </w:p>
  </w:footnote>
  <w:footnote w:id="5">
    <w:p w14:paraId="4F388354" w14:textId="77777777" w:rsidR="00A507D1" w:rsidRPr="004F4D0B" w:rsidRDefault="00A507D1" w:rsidP="0095735C">
      <w:pPr>
        <w:pStyle w:val="NoSpacing"/>
        <w:rPr>
          <w:sz w:val="18"/>
          <w:szCs w:val="18"/>
        </w:rPr>
      </w:pPr>
      <w:r w:rsidRPr="004F4D0B">
        <w:rPr>
          <w:rStyle w:val="FootnoteReference"/>
          <w:sz w:val="18"/>
          <w:szCs w:val="18"/>
        </w:rPr>
        <w:footnoteRef/>
      </w:r>
      <w:r w:rsidRPr="004F4D0B">
        <w:rPr>
          <w:sz w:val="18"/>
          <w:szCs w:val="18"/>
        </w:rPr>
        <w:t xml:space="preserve"> </w:t>
      </w:r>
      <w:hyperlink r:id="rId5" w:history="1">
        <w:r w:rsidRPr="004F4D0B">
          <w:rPr>
            <w:rStyle w:val="Hyperlink"/>
            <w:sz w:val="18"/>
            <w:szCs w:val="18"/>
          </w:rPr>
          <w:t>https://www.gov.uk/government/news/campsfield-house-immigration-removal-centre-to-close</w:t>
        </w:r>
      </w:hyperlink>
    </w:p>
  </w:footnote>
  <w:footnote w:id="6">
    <w:p w14:paraId="7AC76460" w14:textId="429F4CC2" w:rsidR="00A507D1" w:rsidRPr="004F4D0B" w:rsidRDefault="00A507D1" w:rsidP="0095735C">
      <w:pPr>
        <w:pStyle w:val="NoSpacing"/>
        <w:rPr>
          <w:sz w:val="18"/>
          <w:szCs w:val="18"/>
        </w:rPr>
      </w:pPr>
      <w:r w:rsidRPr="004F4D0B">
        <w:rPr>
          <w:sz w:val="18"/>
          <w:szCs w:val="18"/>
          <w:vertAlign w:val="superscript"/>
        </w:rPr>
        <w:footnoteRef/>
      </w:r>
      <w:hyperlink r:id="rId6" w:history="1">
        <w:r w:rsidRPr="004F4D0B">
          <w:rPr>
            <w:rStyle w:val="Hyperlink"/>
            <w:sz w:val="18"/>
            <w:szCs w:val="18"/>
          </w:rPr>
          <w:t>http://www.g4s.com/</w:t>
        </w:r>
      </w:hyperlink>
      <w:r w:rsidRPr="004F4D0B">
        <w:rPr>
          <w:sz w:val="18"/>
          <w:szCs w:val="18"/>
        </w:rPr>
        <w:t xml:space="preserve"> </w:t>
      </w:r>
    </w:p>
  </w:footnote>
  <w:footnote w:id="7">
    <w:p w14:paraId="4E62ABEA" w14:textId="3184A2C8" w:rsidR="00A507D1" w:rsidRPr="004F4D0B" w:rsidRDefault="00A507D1" w:rsidP="0095735C">
      <w:pPr>
        <w:pStyle w:val="NoSpacing"/>
        <w:rPr>
          <w:sz w:val="18"/>
          <w:szCs w:val="18"/>
        </w:rPr>
      </w:pPr>
      <w:r w:rsidRPr="004F4D0B">
        <w:rPr>
          <w:sz w:val="18"/>
          <w:szCs w:val="18"/>
          <w:vertAlign w:val="superscript"/>
        </w:rPr>
        <w:footnoteRef/>
      </w:r>
      <w:hyperlink r:id="rId7" w:history="1">
        <w:r w:rsidRPr="004F4D0B">
          <w:rPr>
            <w:rStyle w:val="Hyperlink"/>
            <w:sz w:val="18"/>
            <w:szCs w:val="18"/>
          </w:rPr>
          <w:t>https://www.opendemocracy.net/shinealight/g4s-securing-whose-world</w:t>
        </w:r>
      </w:hyperlink>
      <w:r w:rsidRPr="004F4D0B">
        <w:rPr>
          <w:sz w:val="18"/>
          <w:szCs w:val="18"/>
        </w:rPr>
        <w:t xml:space="preserve"> </w:t>
      </w:r>
    </w:p>
  </w:footnote>
  <w:footnote w:id="8">
    <w:p w14:paraId="3A69FF5C" w14:textId="338C7329" w:rsidR="00A507D1" w:rsidRPr="004F4D0B" w:rsidRDefault="00A507D1" w:rsidP="0095735C">
      <w:pPr>
        <w:pStyle w:val="NoSpacing"/>
        <w:rPr>
          <w:sz w:val="18"/>
          <w:szCs w:val="18"/>
        </w:rPr>
      </w:pPr>
      <w:r w:rsidRPr="004F4D0B">
        <w:rPr>
          <w:sz w:val="18"/>
          <w:szCs w:val="18"/>
          <w:vertAlign w:val="superscript"/>
        </w:rPr>
        <w:footnoteRef/>
      </w:r>
      <w:hyperlink r:id="rId8" w:history="1">
        <w:r w:rsidRPr="004F4D0B">
          <w:rPr>
            <w:rStyle w:val="Hyperlink"/>
            <w:sz w:val="18"/>
            <w:szCs w:val="18"/>
          </w:rPr>
          <w:t>https://www.opendemocracy.net/shinealight/john-grayson/pregnant-woman-g4s-asylum-housing</w:t>
        </w:r>
      </w:hyperlink>
      <w:r w:rsidRPr="004F4D0B">
        <w:rPr>
          <w:sz w:val="18"/>
          <w:szCs w:val="18"/>
        </w:rPr>
        <w:t xml:space="preserve"> </w:t>
      </w:r>
    </w:p>
  </w:footnote>
  <w:footnote w:id="9">
    <w:p w14:paraId="0F762D9D" w14:textId="76714E07" w:rsidR="00A507D1" w:rsidRPr="004F4D0B" w:rsidRDefault="00A507D1" w:rsidP="0095735C">
      <w:pPr>
        <w:pStyle w:val="NoSpacing"/>
        <w:rPr>
          <w:sz w:val="18"/>
          <w:szCs w:val="18"/>
        </w:rPr>
      </w:pPr>
      <w:r w:rsidRPr="004F4D0B">
        <w:rPr>
          <w:sz w:val="18"/>
          <w:szCs w:val="18"/>
          <w:vertAlign w:val="superscript"/>
        </w:rPr>
        <w:footnoteRef/>
      </w:r>
      <w:hyperlink r:id="rId9" w:history="1">
        <w:r w:rsidRPr="004F4D0B">
          <w:rPr>
            <w:rStyle w:val="Hyperlink"/>
            <w:sz w:val="18"/>
            <w:szCs w:val="18"/>
          </w:rPr>
          <w:t>http://corporate-responsibility.org/bid-take-legal-action-uk-government-designate-g4s-high-risk-supplier/</w:t>
        </w:r>
      </w:hyperlink>
      <w:r w:rsidRPr="004F4D0B">
        <w:rPr>
          <w:sz w:val="18"/>
          <w:szCs w:val="18"/>
        </w:rPr>
        <w:t xml:space="preserve"> </w:t>
      </w:r>
    </w:p>
  </w:footnote>
  <w:footnote w:id="10">
    <w:p w14:paraId="3FF37884" w14:textId="77777777" w:rsidR="00A507D1" w:rsidRPr="004F4D0B" w:rsidRDefault="00A507D1" w:rsidP="0031645A">
      <w:pPr>
        <w:pStyle w:val="FootnoteText"/>
        <w:rPr>
          <w:sz w:val="18"/>
          <w:szCs w:val="18"/>
        </w:rPr>
      </w:pPr>
      <w:r w:rsidRPr="004F4D0B">
        <w:rPr>
          <w:rStyle w:val="FootnoteReference"/>
          <w:sz w:val="18"/>
          <w:szCs w:val="18"/>
        </w:rPr>
        <w:footnoteRef/>
      </w:r>
      <w:r w:rsidRPr="004F4D0B">
        <w:rPr>
          <w:sz w:val="18"/>
          <w:szCs w:val="18"/>
        </w:rPr>
        <w:t xml:space="preserve"> </w:t>
      </w:r>
      <w:hyperlink r:id="rId10" w:history="1">
        <w:r w:rsidRPr="004F4D0B">
          <w:rPr>
            <w:rStyle w:val="Hyperlink"/>
            <w:sz w:val="18"/>
            <w:szCs w:val="18"/>
          </w:rPr>
          <w:t>https://www.legislation.gov.uk/ukpga/1971/77/contents</w:t>
        </w:r>
      </w:hyperlink>
    </w:p>
  </w:footnote>
  <w:footnote w:id="11">
    <w:p w14:paraId="10C36C30" w14:textId="77777777" w:rsidR="004F4D0B" w:rsidRPr="004F4D0B" w:rsidRDefault="004F4D0B" w:rsidP="004F4D0B">
      <w:pPr>
        <w:pStyle w:val="FootnoteText"/>
        <w:rPr>
          <w:sz w:val="18"/>
          <w:szCs w:val="18"/>
        </w:rPr>
      </w:pPr>
      <w:r w:rsidRPr="004F4D0B">
        <w:rPr>
          <w:rStyle w:val="FootnoteReference"/>
          <w:sz w:val="18"/>
          <w:szCs w:val="18"/>
        </w:rPr>
        <w:footnoteRef/>
      </w:r>
      <w:r w:rsidRPr="004F4D0B">
        <w:rPr>
          <w:sz w:val="18"/>
          <w:szCs w:val="18"/>
        </w:rPr>
        <w:t xml:space="preserve"> Amnesty International (2017), p. 1 : </w:t>
      </w:r>
      <w:hyperlink r:id="rId11" w:history="1">
        <w:r w:rsidRPr="004F4D0B">
          <w:rPr>
            <w:rStyle w:val="Hyperlink"/>
            <w:sz w:val="18"/>
            <w:szCs w:val="18"/>
          </w:rPr>
          <w:t>https://www.amnesty.org.uk/files/2017-12/A%20Matter%20Of%20Routine%20ADVANCE%20COPY.PDF?ya06n1Z2uH6J0bP8HmO7R2Pn7nabDymO</w:t>
        </w:r>
      </w:hyperlink>
    </w:p>
  </w:footnote>
  <w:footnote w:id="12">
    <w:p w14:paraId="7593EFBC" w14:textId="65D4AD57" w:rsidR="00A507D1" w:rsidRPr="004F4D0B" w:rsidRDefault="00A507D1" w:rsidP="0043619A">
      <w:pPr>
        <w:pStyle w:val="FootnoteText"/>
        <w:rPr>
          <w:sz w:val="18"/>
          <w:szCs w:val="18"/>
        </w:rPr>
      </w:pPr>
      <w:r w:rsidRPr="004F4D0B">
        <w:rPr>
          <w:rStyle w:val="FootnoteReference"/>
          <w:sz w:val="18"/>
          <w:szCs w:val="18"/>
        </w:rPr>
        <w:footnoteRef/>
      </w:r>
      <w:r w:rsidRPr="004F4D0B">
        <w:rPr>
          <w:sz w:val="18"/>
          <w:szCs w:val="18"/>
        </w:rPr>
        <w:t xml:space="preserve"> Amnesty International (2017), p. 1 : </w:t>
      </w:r>
      <w:hyperlink r:id="rId12" w:history="1">
        <w:r w:rsidRPr="004F4D0B">
          <w:rPr>
            <w:rStyle w:val="Hyperlink"/>
            <w:sz w:val="18"/>
            <w:szCs w:val="18"/>
          </w:rPr>
          <w:t>https://www.amnesty.org.uk/files/2017-12/A%20Matter%20Of%20Routine%20ADVANCE%20COPY.PDF?ya06n1Z2uH6J0bP8HmO7R2Pn7nabDymO</w:t>
        </w:r>
      </w:hyperlink>
    </w:p>
  </w:footnote>
  <w:footnote w:id="13">
    <w:p w14:paraId="7DAB3606" w14:textId="1F1FE599" w:rsidR="00A507D1" w:rsidRPr="004F4D0B" w:rsidRDefault="00A507D1">
      <w:pPr>
        <w:pStyle w:val="FootnoteText"/>
        <w:rPr>
          <w:sz w:val="18"/>
          <w:szCs w:val="18"/>
        </w:rPr>
      </w:pPr>
      <w:r w:rsidRPr="004F4D0B">
        <w:rPr>
          <w:rStyle w:val="FootnoteReference"/>
          <w:sz w:val="18"/>
          <w:szCs w:val="18"/>
        </w:rPr>
        <w:footnoteRef/>
      </w:r>
      <w:r w:rsidRPr="004F4D0B">
        <w:rPr>
          <w:sz w:val="18"/>
          <w:szCs w:val="18"/>
        </w:rPr>
        <w:t xml:space="preserve"> </w:t>
      </w:r>
      <w:hyperlink r:id="rId13" w:history="1">
        <w:r w:rsidRPr="004F4D0B">
          <w:rPr>
            <w:rStyle w:val="Hyperlink"/>
            <w:sz w:val="18"/>
            <w:szCs w:val="18"/>
          </w:rPr>
          <w:t>https://www.refugeewomen.co.uk/campaign/research/</w:t>
        </w:r>
      </w:hyperlink>
    </w:p>
  </w:footnote>
  <w:footnote w:id="14">
    <w:p w14:paraId="2C4EB9F4" w14:textId="6B37528F" w:rsidR="00A507D1" w:rsidRPr="004F4D0B" w:rsidRDefault="00A507D1">
      <w:pPr>
        <w:pStyle w:val="FootnoteText"/>
        <w:rPr>
          <w:sz w:val="18"/>
          <w:szCs w:val="18"/>
        </w:rPr>
      </w:pPr>
      <w:r w:rsidRPr="004F4D0B">
        <w:rPr>
          <w:rStyle w:val="FootnoteReference"/>
          <w:sz w:val="18"/>
          <w:szCs w:val="18"/>
        </w:rPr>
        <w:footnoteRef/>
      </w:r>
      <w:r w:rsidRPr="004F4D0B">
        <w:rPr>
          <w:sz w:val="18"/>
          <w:szCs w:val="18"/>
        </w:rPr>
        <w:t xml:space="preserve"> </w:t>
      </w:r>
      <w:hyperlink r:id="rId14" w:history="1">
        <w:r w:rsidRPr="004F4D0B">
          <w:rPr>
            <w:rStyle w:val="Hyperlink"/>
            <w:sz w:val="18"/>
            <w:szCs w:val="18"/>
          </w:rPr>
          <w:t>https://www.libertyhumanrights.org.uk/campaigning/end-indefinite-detention/immigration-detention-faqs</w:t>
        </w:r>
      </w:hyperlink>
    </w:p>
  </w:footnote>
  <w:footnote w:id="15">
    <w:p w14:paraId="03A77F82" w14:textId="15A91361" w:rsidR="00A507D1" w:rsidRPr="004F4D0B" w:rsidRDefault="00A507D1">
      <w:pPr>
        <w:pStyle w:val="FootnoteText"/>
        <w:rPr>
          <w:sz w:val="18"/>
          <w:szCs w:val="18"/>
        </w:rPr>
      </w:pPr>
      <w:r w:rsidRPr="004F4D0B">
        <w:rPr>
          <w:rStyle w:val="FootnoteReference"/>
          <w:sz w:val="18"/>
          <w:szCs w:val="18"/>
        </w:rPr>
        <w:footnoteRef/>
      </w:r>
      <w:r w:rsidRPr="004F4D0B">
        <w:rPr>
          <w:sz w:val="18"/>
          <w:szCs w:val="18"/>
        </w:rPr>
        <w:t xml:space="preserve"> </w:t>
      </w:r>
      <w:hyperlink r:id="rId15" w:history="1">
        <w:r w:rsidRPr="004F4D0B">
          <w:rPr>
            <w:rStyle w:val="Hyperlink"/>
            <w:sz w:val="18"/>
            <w:szCs w:val="18"/>
          </w:rPr>
          <w:t>https://publications.parliament.uk/pa/cm201719/cmselect/cmhaff/913/91308.htm</w:t>
        </w:r>
      </w:hyperlink>
    </w:p>
  </w:footnote>
  <w:footnote w:id="16">
    <w:p w14:paraId="1884B001" w14:textId="77777777" w:rsidR="00A507D1" w:rsidRPr="004F4D0B" w:rsidRDefault="00A507D1" w:rsidP="00C94CA1">
      <w:pPr>
        <w:pStyle w:val="FootnoteText"/>
        <w:rPr>
          <w:sz w:val="18"/>
          <w:szCs w:val="18"/>
        </w:rPr>
      </w:pPr>
      <w:r w:rsidRPr="004F4D0B">
        <w:rPr>
          <w:rStyle w:val="FootnoteReference"/>
          <w:sz w:val="18"/>
          <w:szCs w:val="18"/>
        </w:rPr>
        <w:footnoteRef/>
      </w:r>
      <w:r w:rsidRPr="004F4D0B">
        <w:rPr>
          <w:sz w:val="18"/>
          <w:szCs w:val="18"/>
        </w:rPr>
        <w:t xml:space="preserve"> </w:t>
      </w:r>
      <w:hyperlink r:id="rId16" w:anchor="_idTextAnchor138" w:history="1">
        <w:r w:rsidRPr="004F4D0B">
          <w:rPr>
            <w:rStyle w:val="Hyperlink"/>
            <w:sz w:val="18"/>
            <w:szCs w:val="18"/>
          </w:rPr>
          <w:t>https://publications.parliament.uk/pa/cm201719/cmselect/cmhaff/913/91310.htm#_idTextAnchor138</w:t>
        </w:r>
      </w:hyperlink>
    </w:p>
  </w:footnote>
  <w:footnote w:id="17">
    <w:p w14:paraId="65A543F0" w14:textId="14AE7758" w:rsidR="00A507D1" w:rsidRPr="004F4D0B" w:rsidRDefault="00A507D1">
      <w:pPr>
        <w:pStyle w:val="FootnoteText"/>
        <w:rPr>
          <w:sz w:val="18"/>
          <w:szCs w:val="18"/>
        </w:rPr>
      </w:pPr>
      <w:r w:rsidRPr="004F4D0B">
        <w:rPr>
          <w:rStyle w:val="FootnoteReference"/>
          <w:sz w:val="18"/>
          <w:szCs w:val="18"/>
        </w:rPr>
        <w:footnoteRef/>
      </w:r>
      <w:r w:rsidRPr="004F4D0B">
        <w:rPr>
          <w:sz w:val="18"/>
          <w:szCs w:val="18"/>
        </w:rPr>
        <w:t xml:space="preserve"> </w:t>
      </w:r>
      <w:hyperlink r:id="rId17" w:history="1">
        <w:r w:rsidRPr="004F4D0B">
          <w:rPr>
            <w:rStyle w:val="Hyperlink"/>
            <w:sz w:val="18"/>
            <w:szCs w:val="18"/>
          </w:rPr>
          <w:t>https://migrationobservatory.ox.ac.uk/resources/briefings/immigration-detention-in-the-uk/</w:t>
        </w:r>
      </w:hyperlink>
    </w:p>
  </w:footnote>
  <w:footnote w:id="18">
    <w:p w14:paraId="4962A9B6" w14:textId="59252DF8" w:rsidR="00A507D1" w:rsidRPr="004F4D0B" w:rsidRDefault="00A507D1" w:rsidP="00356B8D">
      <w:pPr>
        <w:pStyle w:val="FootnoteText"/>
        <w:rPr>
          <w:sz w:val="18"/>
          <w:szCs w:val="18"/>
        </w:rPr>
      </w:pPr>
      <w:r w:rsidRPr="004F4D0B">
        <w:rPr>
          <w:rStyle w:val="FootnoteReference"/>
          <w:sz w:val="18"/>
          <w:szCs w:val="18"/>
        </w:rPr>
        <w:footnoteRef/>
      </w:r>
      <w:r w:rsidRPr="004F4D0B">
        <w:rPr>
          <w:sz w:val="18"/>
          <w:szCs w:val="18"/>
        </w:rPr>
        <w:t xml:space="preserve"> </w:t>
      </w:r>
      <w:r w:rsidRPr="00850449">
        <w:rPr>
          <w:sz w:val="18"/>
          <w:szCs w:val="18"/>
        </w:rPr>
        <w:t xml:space="preserve">Amnesty International (2017), p. 1 : </w:t>
      </w:r>
      <w:hyperlink r:id="rId18" w:history="1">
        <w:r w:rsidRPr="00850449">
          <w:rPr>
            <w:rStyle w:val="Hyperlink"/>
            <w:sz w:val="18"/>
            <w:szCs w:val="18"/>
          </w:rPr>
          <w:t>https://www.amnesty.org.uk/files/2017-12/A%20Matter%20Of%20Routine%20ADVANCE%20COPY.PDF?ya06n1Z2uH6J0bP8HmO7R2Pn7nabDymO</w:t>
        </w:r>
      </w:hyperlink>
    </w:p>
  </w:footnote>
  <w:footnote w:id="19">
    <w:p w14:paraId="4EED779C" w14:textId="75F938F8" w:rsidR="00A507D1" w:rsidRPr="004F4D0B" w:rsidRDefault="00A507D1">
      <w:pPr>
        <w:pStyle w:val="FootnoteText"/>
        <w:rPr>
          <w:sz w:val="18"/>
          <w:szCs w:val="18"/>
        </w:rPr>
      </w:pPr>
      <w:r w:rsidRPr="004F4D0B">
        <w:rPr>
          <w:rStyle w:val="FootnoteReference"/>
          <w:sz w:val="18"/>
          <w:szCs w:val="18"/>
        </w:rPr>
        <w:footnoteRef/>
      </w:r>
      <w:r w:rsidRPr="004F4D0B">
        <w:rPr>
          <w:sz w:val="18"/>
          <w:szCs w:val="18"/>
        </w:rPr>
        <w:t xml:space="preserve"> </w:t>
      </w:r>
      <w:hyperlink r:id="rId19" w:history="1">
        <w:r w:rsidRPr="004F4D0B">
          <w:rPr>
            <w:rStyle w:val="Hyperlink"/>
            <w:sz w:val="18"/>
            <w:szCs w:val="18"/>
          </w:rPr>
          <w:t>https://www.libertyhumanrights.org.uk/campaigning/end-indefinite-detention/immigration-detention-faqs</w:t>
        </w:r>
      </w:hyperlink>
    </w:p>
  </w:footnote>
  <w:footnote w:id="20">
    <w:p w14:paraId="5E139886" w14:textId="77777777" w:rsidR="00A507D1" w:rsidRPr="004F4D0B" w:rsidRDefault="00A507D1" w:rsidP="00356B8D">
      <w:pPr>
        <w:pStyle w:val="FootnoteText"/>
        <w:rPr>
          <w:sz w:val="18"/>
          <w:szCs w:val="18"/>
        </w:rPr>
      </w:pPr>
      <w:r w:rsidRPr="004F4D0B">
        <w:rPr>
          <w:rStyle w:val="FootnoteReference"/>
          <w:sz w:val="18"/>
          <w:szCs w:val="18"/>
        </w:rPr>
        <w:footnoteRef/>
      </w:r>
      <w:r w:rsidRPr="004F4D0B">
        <w:rPr>
          <w:sz w:val="18"/>
          <w:szCs w:val="18"/>
        </w:rPr>
        <w:t xml:space="preserve"> </w:t>
      </w:r>
      <w:hyperlink r:id="rId20" w:history="1">
        <w:r w:rsidRPr="004F4D0B">
          <w:rPr>
            <w:rStyle w:val="Hyperlink"/>
            <w:sz w:val="18"/>
            <w:szCs w:val="18"/>
          </w:rPr>
          <w:t>https://www.libertyhumanrights.org.uk/campaigning/end-indefinite-detention/immigration-detention-faqs</w:t>
        </w:r>
      </w:hyperlink>
    </w:p>
  </w:footnote>
  <w:footnote w:id="21">
    <w:p w14:paraId="02E8B5AA" w14:textId="57EED3F3" w:rsidR="00A507D1" w:rsidRPr="004F4D0B" w:rsidRDefault="00A507D1" w:rsidP="0015110A">
      <w:pPr>
        <w:pStyle w:val="FootnoteText"/>
        <w:rPr>
          <w:sz w:val="18"/>
          <w:szCs w:val="18"/>
        </w:rPr>
      </w:pPr>
      <w:r w:rsidRPr="004F4D0B">
        <w:rPr>
          <w:rStyle w:val="FootnoteReference"/>
          <w:sz w:val="18"/>
          <w:szCs w:val="18"/>
        </w:rPr>
        <w:footnoteRef/>
      </w:r>
      <w:r w:rsidRPr="004F4D0B">
        <w:rPr>
          <w:sz w:val="18"/>
          <w:szCs w:val="18"/>
        </w:rPr>
        <w:t xml:space="preserve"> </w:t>
      </w:r>
      <w:r w:rsidRPr="00850449">
        <w:rPr>
          <w:sz w:val="18"/>
          <w:szCs w:val="18"/>
        </w:rPr>
        <w:t xml:space="preserve">Amnesty International (2017), p. 24 : </w:t>
      </w:r>
      <w:hyperlink r:id="rId21" w:history="1">
        <w:r w:rsidRPr="00850449">
          <w:rPr>
            <w:rStyle w:val="Hyperlink"/>
            <w:sz w:val="18"/>
            <w:szCs w:val="18"/>
          </w:rPr>
          <w:t>https://www.amnesty.org.uk/files/2017-12/A%20Matter%20Of%20Routine%20ADVANCE%20COPY.PDF?ya06n1Z2uH6J0bP8HmO7R2Pn7nabDymO</w:t>
        </w:r>
      </w:hyperlink>
    </w:p>
  </w:footnote>
  <w:footnote w:id="22">
    <w:p w14:paraId="69FF3B18" w14:textId="77777777" w:rsidR="00A507D1" w:rsidRPr="004F4D0B" w:rsidRDefault="00A507D1" w:rsidP="0015110A">
      <w:pPr>
        <w:pStyle w:val="FootnoteText"/>
        <w:rPr>
          <w:sz w:val="18"/>
          <w:szCs w:val="18"/>
        </w:rPr>
      </w:pPr>
      <w:r w:rsidRPr="004F4D0B">
        <w:rPr>
          <w:rStyle w:val="FootnoteReference"/>
          <w:sz w:val="18"/>
          <w:szCs w:val="18"/>
        </w:rPr>
        <w:footnoteRef/>
      </w:r>
      <w:r w:rsidRPr="004F4D0B">
        <w:rPr>
          <w:sz w:val="18"/>
          <w:szCs w:val="18"/>
        </w:rPr>
        <w:t xml:space="preserve"> </w:t>
      </w:r>
      <w:hyperlink r:id="rId22" w:history="1">
        <w:r w:rsidRPr="004F4D0B">
          <w:rPr>
            <w:rStyle w:val="Hyperlink"/>
            <w:sz w:val="18"/>
            <w:szCs w:val="18"/>
          </w:rPr>
          <w:t>https://migrationobservatory.ox.ac.uk/resources/briefings/immigration-detention-in-the-uk/</w:t>
        </w:r>
      </w:hyperlink>
    </w:p>
  </w:footnote>
  <w:footnote w:id="23">
    <w:p w14:paraId="4510DF63" w14:textId="1CD79077" w:rsidR="00A507D1" w:rsidRPr="004F4D0B" w:rsidRDefault="00A507D1">
      <w:pPr>
        <w:pStyle w:val="FootnoteText"/>
        <w:rPr>
          <w:sz w:val="18"/>
          <w:szCs w:val="18"/>
        </w:rPr>
      </w:pPr>
      <w:r w:rsidRPr="004F4D0B">
        <w:rPr>
          <w:rStyle w:val="FootnoteReference"/>
          <w:sz w:val="18"/>
          <w:szCs w:val="18"/>
        </w:rPr>
        <w:footnoteRef/>
      </w:r>
      <w:r w:rsidRPr="004F4D0B">
        <w:rPr>
          <w:sz w:val="18"/>
          <w:szCs w:val="18"/>
        </w:rPr>
        <w:t xml:space="preserve"> </w:t>
      </w:r>
      <w:hyperlink r:id="rId23" w:history="1">
        <w:r w:rsidRPr="004F4D0B">
          <w:rPr>
            <w:rStyle w:val="Hyperlink"/>
            <w:sz w:val="18"/>
            <w:szCs w:val="18"/>
          </w:rPr>
          <w:t>https://migrationobservatory.ox.ac.uk/resources/briefings/immigration-detention-in-the-uk/</w:t>
        </w:r>
      </w:hyperlink>
    </w:p>
  </w:footnote>
  <w:footnote w:id="24">
    <w:p w14:paraId="0BFF7D27" w14:textId="70EFAC58" w:rsidR="00A507D1" w:rsidRPr="004F4D0B" w:rsidRDefault="00A507D1" w:rsidP="0015110A">
      <w:pPr>
        <w:pStyle w:val="FootnoteText"/>
        <w:rPr>
          <w:sz w:val="18"/>
          <w:szCs w:val="18"/>
        </w:rPr>
      </w:pPr>
      <w:r w:rsidRPr="004F4D0B">
        <w:rPr>
          <w:rStyle w:val="FootnoteReference"/>
          <w:sz w:val="18"/>
          <w:szCs w:val="18"/>
        </w:rPr>
        <w:footnoteRef/>
      </w:r>
      <w:r w:rsidRPr="004F4D0B">
        <w:rPr>
          <w:sz w:val="18"/>
          <w:szCs w:val="18"/>
        </w:rPr>
        <w:t xml:space="preserve"> </w:t>
      </w:r>
      <w:r w:rsidRPr="00850449">
        <w:rPr>
          <w:sz w:val="18"/>
          <w:szCs w:val="18"/>
        </w:rPr>
        <w:t xml:space="preserve">Amnesty International (2017), p. 2 : </w:t>
      </w:r>
      <w:hyperlink r:id="rId24" w:history="1">
        <w:r w:rsidRPr="00850449">
          <w:rPr>
            <w:rStyle w:val="Hyperlink"/>
            <w:sz w:val="18"/>
            <w:szCs w:val="18"/>
          </w:rPr>
          <w:t>https://www.amnesty.org.uk/files/2017-12/A%20Matter%20Of%20Routine%20ADVANCE%20COPY.PDF?ya06n1Z2uH6J0bP8HmO7R2Pn7nabDymO</w:t>
        </w:r>
      </w:hyperlink>
    </w:p>
  </w:footnote>
  <w:footnote w:id="25">
    <w:p w14:paraId="52660461" w14:textId="35B3AA00" w:rsidR="00A507D1" w:rsidRPr="004F4D0B" w:rsidRDefault="00A507D1" w:rsidP="004F3C0D">
      <w:pPr>
        <w:pStyle w:val="FootnoteText"/>
        <w:rPr>
          <w:sz w:val="18"/>
          <w:szCs w:val="18"/>
        </w:rPr>
      </w:pPr>
      <w:r w:rsidRPr="004F4D0B">
        <w:rPr>
          <w:rStyle w:val="FootnoteReference"/>
          <w:sz w:val="18"/>
          <w:szCs w:val="18"/>
        </w:rPr>
        <w:footnoteRef/>
      </w:r>
      <w:r w:rsidRPr="004F4D0B">
        <w:rPr>
          <w:sz w:val="18"/>
          <w:szCs w:val="18"/>
        </w:rPr>
        <w:t xml:space="preserve"> </w:t>
      </w:r>
      <w:r w:rsidRPr="00850449">
        <w:rPr>
          <w:sz w:val="18"/>
          <w:szCs w:val="18"/>
        </w:rPr>
        <w:t xml:space="preserve">Amnesty International (2017), p. 24 : </w:t>
      </w:r>
      <w:hyperlink r:id="rId25" w:history="1">
        <w:r w:rsidRPr="00850449">
          <w:rPr>
            <w:rStyle w:val="Hyperlink"/>
            <w:sz w:val="18"/>
            <w:szCs w:val="18"/>
          </w:rPr>
          <w:t>https://www.amnesty.org.uk/files/2017-12/A%20Matter%20Of%20Routine%20ADVANCE%20COPY.PDF?ya06n1Z2uH6J0bP8HmO7R2Pn7nabDymO</w:t>
        </w:r>
      </w:hyperlink>
    </w:p>
  </w:footnote>
  <w:footnote w:id="26">
    <w:p w14:paraId="6B701A94" w14:textId="77777777" w:rsidR="00A507D1" w:rsidRPr="004F4D0B" w:rsidRDefault="00A507D1" w:rsidP="00BC2CCF">
      <w:pPr>
        <w:pStyle w:val="FootnoteText"/>
        <w:rPr>
          <w:sz w:val="18"/>
          <w:szCs w:val="18"/>
        </w:rPr>
      </w:pPr>
      <w:r w:rsidRPr="004F4D0B">
        <w:rPr>
          <w:rStyle w:val="FootnoteReference"/>
          <w:sz w:val="18"/>
          <w:szCs w:val="18"/>
        </w:rPr>
        <w:footnoteRef/>
      </w:r>
      <w:r w:rsidRPr="004F4D0B">
        <w:rPr>
          <w:sz w:val="18"/>
          <w:szCs w:val="18"/>
        </w:rPr>
        <w:t xml:space="preserve"> </w:t>
      </w:r>
      <w:hyperlink r:id="rId26" w:history="1">
        <w:r w:rsidRPr="004F4D0B">
          <w:rPr>
            <w:rStyle w:val="Hyperlink"/>
            <w:sz w:val="18"/>
            <w:szCs w:val="18"/>
          </w:rPr>
          <w:t>https://migrationobservatory.ox.ac.uk/resources/briefings/immigration-detention-in-the-uk/</w:t>
        </w:r>
      </w:hyperlink>
    </w:p>
  </w:footnote>
  <w:footnote w:id="27">
    <w:p w14:paraId="46B882AC" w14:textId="51372A9E" w:rsidR="00A507D1" w:rsidRPr="004F4D0B" w:rsidRDefault="00A507D1" w:rsidP="00BC2CCF">
      <w:pPr>
        <w:pStyle w:val="FootnoteText"/>
        <w:rPr>
          <w:sz w:val="18"/>
          <w:szCs w:val="18"/>
        </w:rPr>
      </w:pPr>
      <w:r w:rsidRPr="004F4D0B">
        <w:rPr>
          <w:rStyle w:val="FootnoteReference"/>
          <w:sz w:val="18"/>
          <w:szCs w:val="18"/>
        </w:rPr>
        <w:footnoteRef/>
      </w:r>
      <w:r w:rsidRPr="004F4D0B">
        <w:rPr>
          <w:sz w:val="18"/>
          <w:szCs w:val="18"/>
        </w:rPr>
        <w:t xml:space="preserve"> Amnesty International (2017), p. 10 : </w:t>
      </w:r>
      <w:hyperlink r:id="rId27" w:history="1">
        <w:r w:rsidRPr="004F4D0B">
          <w:rPr>
            <w:rStyle w:val="Hyperlink"/>
            <w:sz w:val="18"/>
            <w:szCs w:val="18"/>
          </w:rPr>
          <w:t>https://www.amnesty.org.uk/files/2017-12/A%20Matter%20Of%20Routine%20ADVANCE%20COPY.PDF?ya06n1Z2uH6J0bP8HmO7R2Pn7nabDymO</w:t>
        </w:r>
      </w:hyperlink>
    </w:p>
  </w:footnote>
  <w:footnote w:id="28">
    <w:p w14:paraId="1DC93109" w14:textId="4C2E732C" w:rsidR="004F4D0B" w:rsidRPr="004F4D0B" w:rsidRDefault="004F4D0B">
      <w:pPr>
        <w:pStyle w:val="FootnoteText"/>
        <w:rPr>
          <w:sz w:val="18"/>
          <w:szCs w:val="18"/>
        </w:rPr>
      </w:pPr>
      <w:r w:rsidRPr="004F4D0B">
        <w:rPr>
          <w:rStyle w:val="FootnoteReference"/>
          <w:sz w:val="18"/>
          <w:szCs w:val="18"/>
        </w:rPr>
        <w:footnoteRef/>
      </w:r>
      <w:r w:rsidRPr="004F4D0B">
        <w:rPr>
          <w:sz w:val="18"/>
          <w:szCs w:val="18"/>
        </w:rPr>
        <w:t xml:space="preserve"> </w:t>
      </w:r>
      <w:hyperlink r:id="rId28" w:history="1">
        <w:r w:rsidRPr="004F4D0B">
          <w:rPr>
            <w:rStyle w:val="Hyperlink"/>
            <w:sz w:val="18"/>
            <w:szCs w:val="18"/>
          </w:rPr>
          <w:t>https://www.refugeewomen.co.uk/campaign/research/</w:t>
        </w:r>
      </w:hyperlink>
    </w:p>
  </w:footnote>
  <w:footnote w:id="29">
    <w:p w14:paraId="002FDB81" w14:textId="59DCC143" w:rsidR="00A507D1" w:rsidRPr="004F4D0B" w:rsidRDefault="00A507D1">
      <w:pPr>
        <w:pStyle w:val="FootnoteText"/>
        <w:rPr>
          <w:sz w:val="18"/>
          <w:szCs w:val="18"/>
        </w:rPr>
      </w:pPr>
      <w:r w:rsidRPr="004F4D0B">
        <w:rPr>
          <w:rStyle w:val="FootnoteReference"/>
          <w:sz w:val="18"/>
          <w:szCs w:val="18"/>
        </w:rPr>
        <w:footnoteRef/>
      </w:r>
      <w:r w:rsidRPr="004F4D0B">
        <w:rPr>
          <w:sz w:val="18"/>
          <w:szCs w:val="18"/>
        </w:rPr>
        <w:t xml:space="preserve"> </w:t>
      </w:r>
      <w:hyperlink r:id="rId29" w:history="1">
        <w:r w:rsidRPr="004F4D0B">
          <w:rPr>
            <w:rStyle w:val="Hyperlink"/>
            <w:sz w:val="18"/>
            <w:szCs w:val="18"/>
          </w:rPr>
          <w:t>https://assets.publishing.service.gov.uk/government/uploads/system/uploads/attachment_data/file/490782/52532_Shaw_Review_Accessible.pdf</w:t>
        </w:r>
      </w:hyperlink>
    </w:p>
  </w:footnote>
  <w:footnote w:id="30">
    <w:p w14:paraId="62BAEA6F" w14:textId="29DDF69C" w:rsidR="00A507D1" w:rsidRPr="004F4D0B" w:rsidRDefault="00A507D1" w:rsidP="00487464">
      <w:pPr>
        <w:pStyle w:val="FootnoteText"/>
        <w:rPr>
          <w:sz w:val="18"/>
          <w:szCs w:val="18"/>
        </w:rPr>
      </w:pPr>
      <w:r w:rsidRPr="004F4D0B">
        <w:rPr>
          <w:rStyle w:val="FootnoteReference"/>
          <w:sz w:val="18"/>
          <w:szCs w:val="18"/>
        </w:rPr>
        <w:footnoteRef/>
      </w:r>
      <w:r w:rsidRPr="004F4D0B">
        <w:rPr>
          <w:sz w:val="18"/>
          <w:szCs w:val="18"/>
        </w:rPr>
        <w:t xml:space="preserve"> Women for Refugee Women (2017), p. 5: </w:t>
      </w:r>
      <w:hyperlink r:id="rId30" w:history="1">
        <w:r w:rsidRPr="004F4D0B">
          <w:rPr>
            <w:rStyle w:val="Hyperlink"/>
            <w:sz w:val="18"/>
            <w:szCs w:val="18"/>
          </w:rPr>
          <w:t>https://www.refugeewomen.co.uk/wp-content/uploads/2019/01/women-for-refugee-women-reports-we-are-still-here.pdf</w:t>
        </w:r>
      </w:hyperlink>
    </w:p>
  </w:footnote>
  <w:footnote w:id="31">
    <w:p w14:paraId="2E61AC28" w14:textId="26361FE5" w:rsidR="00A507D1" w:rsidRPr="004F4D0B" w:rsidRDefault="00A507D1" w:rsidP="00BC2CCF">
      <w:pPr>
        <w:pStyle w:val="FootnoteText"/>
        <w:rPr>
          <w:sz w:val="18"/>
          <w:szCs w:val="18"/>
        </w:rPr>
      </w:pPr>
      <w:r w:rsidRPr="004F4D0B">
        <w:rPr>
          <w:rStyle w:val="FootnoteReference"/>
          <w:sz w:val="18"/>
          <w:szCs w:val="18"/>
        </w:rPr>
        <w:footnoteRef/>
      </w:r>
      <w:r w:rsidRPr="004F4D0B">
        <w:rPr>
          <w:sz w:val="18"/>
          <w:szCs w:val="18"/>
        </w:rPr>
        <w:t xml:space="preserve"> Refugee Rights Europe (2019): </w:t>
      </w:r>
      <w:hyperlink r:id="rId31" w:history="1">
        <w:r w:rsidRPr="004F4D0B">
          <w:rPr>
            <w:rStyle w:val="Hyperlink"/>
            <w:sz w:val="18"/>
            <w:szCs w:val="18"/>
          </w:rPr>
          <w:t>http://refugeerights.org.uk/wp-content/uploads/2019/02/RRE_SeekingAsylum.pdf</w:t>
        </w:r>
      </w:hyperlink>
    </w:p>
  </w:footnote>
  <w:footnote w:id="32">
    <w:p w14:paraId="56771DC5" w14:textId="1427C620" w:rsidR="004F4D0B" w:rsidRDefault="004F4D0B">
      <w:pPr>
        <w:pStyle w:val="FootnoteText"/>
      </w:pPr>
      <w:r>
        <w:rPr>
          <w:rStyle w:val="FootnoteReference"/>
        </w:rPr>
        <w:footnoteRef/>
      </w:r>
      <w:r>
        <w:t xml:space="preserve"> </w:t>
      </w:r>
      <w:r w:rsidRPr="004F4D0B">
        <w:rPr>
          <w:sz w:val="18"/>
          <w:szCs w:val="18"/>
        </w:rPr>
        <w:t xml:space="preserve">Amnesty International (2017), p. 33 : </w:t>
      </w:r>
      <w:hyperlink r:id="rId32" w:history="1">
        <w:r w:rsidRPr="004F4D0B">
          <w:rPr>
            <w:rStyle w:val="Hyperlink"/>
            <w:sz w:val="18"/>
            <w:szCs w:val="18"/>
          </w:rPr>
          <w:t>https://www.amnesty.org.uk/files/2017-12/A%20Matter%20Of%20Routine%20ADVANCE%20COPY.PDF?ya06n1Z2uH6J0bP8HmO7R2Pn7nabDymO</w:t>
        </w:r>
      </w:hyperlink>
    </w:p>
  </w:footnote>
  <w:footnote w:id="33">
    <w:p w14:paraId="0CC6BFD9" w14:textId="7EAED3FB" w:rsidR="00A507D1" w:rsidRPr="004F4D0B" w:rsidRDefault="00A507D1" w:rsidP="00D83107">
      <w:pPr>
        <w:pStyle w:val="FootnoteText"/>
        <w:rPr>
          <w:sz w:val="18"/>
          <w:szCs w:val="18"/>
        </w:rPr>
      </w:pPr>
      <w:r w:rsidRPr="004F4D0B">
        <w:rPr>
          <w:rStyle w:val="FootnoteReference"/>
          <w:sz w:val="18"/>
          <w:szCs w:val="18"/>
        </w:rPr>
        <w:footnoteRef/>
      </w:r>
      <w:r w:rsidRPr="004F4D0B">
        <w:rPr>
          <w:sz w:val="18"/>
          <w:szCs w:val="18"/>
        </w:rPr>
        <w:t xml:space="preserve"> </w:t>
      </w:r>
      <w:r w:rsidR="004F4D0B">
        <w:rPr>
          <w:sz w:val="18"/>
          <w:szCs w:val="18"/>
        </w:rPr>
        <w:t>Ibid.</w:t>
      </w:r>
    </w:p>
  </w:footnote>
  <w:footnote w:id="34">
    <w:p w14:paraId="5CAFB085" w14:textId="6D6FED0B" w:rsidR="00A507D1" w:rsidRPr="004F4D0B" w:rsidRDefault="00A507D1">
      <w:pPr>
        <w:pStyle w:val="FootnoteText"/>
        <w:rPr>
          <w:sz w:val="18"/>
          <w:szCs w:val="18"/>
        </w:rPr>
      </w:pPr>
      <w:r w:rsidRPr="004F4D0B">
        <w:rPr>
          <w:rStyle w:val="FootnoteReference"/>
          <w:sz w:val="18"/>
          <w:szCs w:val="18"/>
        </w:rPr>
        <w:footnoteRef/>
      </w:r>
      <w:r w:rsidRPr="004F4D0B">
        <w:rPr>
          <w:sz w:val="18"/>
          <w:szCs w:val="18"/>
        </w:rPr>
        <w:t xml:space="preserve"> </w:t>
      </w:r>
      <w:hyperlink r:id="rId33" w:history="1">
        <w:r w:rsidRPr="004F4D0B">
          <w:rPr>
            <w:rStyle w:val="Hyperlink"/>
            <w:sz w:val="18"/>
            <w:szCs w:val="18"/>
          </w:rPr>
          <w:t>https://www.gov.uk/government/news/new-pilot-schemes-to-support-migrants-at-risk-of-detention</w:t>
        </w:r>
      </w:hyperlink>
    </w:p>
  </w:footnote>
  <w:footnote w:id="35">
    <w:p w14:paraId="7D856E2D" w14:textId="77777777" w:rsidR="00A507D1" w:rsidRPr="004F4D0B" w:rsidRDefault="00A507D1" w:rsidP="00D83107">
      <w:pPr>
        <w:pStyle w:val="FootnoteText"/>
        <w:rPr>
          <w:sz w:val="18"/>
          <w:szCs w:val="18"/>
        </w:rPr>
      </w:pPr>
      <w:r w:rsidRPr="004F4D0B">
        <w:rPr>
          <w:rStyle w:val="FootnoteReference"/>
          <w:sz w:val="18"/>
          <w:szCs w:val="18"/>
        </w:rPr>
        <w:footnoteRef/>
      </w:r>
      <w:r w:rsidRPr="004F4D0B">
        <w:rPr>
          <w:sz w:val="18"/>
          <w:szCs w:val="18"/>
        </w:rPr>
        <w:t xml:space="preserve"> </w:t>
      </w:r>
      <w:hyperlink r:id="rId34" w:history="1">
        <w:r w:rsidRPr="004F4D0B">
          <w:rPr>
            <w:rStyle w:val="Hyperlink"/>
            <w:sz w:val="18"/>
            <w:szCs w:val="18"/>
          </w:rPr>
          <w:t>https://idcoalition.org/cap/</w:t>
        </w:r>
      </w:hyperlink>
    </w:p>
  </w:footnote>
  <w:footnote w:id="36">
    <w:p w14:paraId="4DB5856D" w14:textId="4F233C59" w:rsidR="00A507D1" w:rsidRPr="004F4D0B" w:rsidRDefault="00A507D1">
      <w:pPr>
        <w:pStyle w:val="FootnoteText"/>
        <w:rPr>
          <w:sz w:val="18"/>
          <w:szCs w:val="18"/>
        </w:rPr>
      </w:pPr>
      <w:r w:rsidRPr="004F4D0B">
        <w:rPr>
          <w:rStyle w:val="FootnoteReference"/>
          <w:sz w:val="18"/>
          <w:szCs w:val="18"/>
        </w:rPr>
        <w:footnoteRef/>
      </w:r>
      <w:r w:rsidRPr="004F4D0B">
        <w:rPr>
          <w:sz w:val="18"/>
          <w:szCs w:val="18"/>
        </w:rPr>
        <w:t xml:space="preserve"> </w:t>
      </w:r>
      <w:hyperlink r:id="rId35" w:history="1">
        <w:r w:rsidRPr="004F4D0B">
          <w:rPr>
            <w:rStyle w:val="Hyperlink"/>
            <w:sz w:val="18"/>
            <w:szCs w:val="18"/>
          </w:rPr>
          <w:t>http://refugeerights.org.uk/wp-content/uploads/2019/03/Letter-to-Home-Secretary-re-Detention.pdf?fbclid=IwAR1zUah9st23zILSHjXhUOy_o2G4tDk11toH4Ys--7B0jqZUbgCwknhuHNI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E09C0" w14:textId="5B7A5369" w:rsidR="00A507D1" w:rsidRDefault="00A507D1" w:rsidP="0088074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6A980" w14:textId="7EDECA51" w:rsidR="00A507D1" w:rsidRDefault="00A507D1" w:rsidP="00A507D1">
    <w:pPr>
      <w:pStyle w:val="Header"/>
      <w:jc w:val="center"/>
    </w:pPr>
    <w:r>
      <w:rPr>
        <w:noProof/>
        <w:lang w:val="en-GB" w:eastAsia="en-GB"/>
      </w:rPr>
      <w:drawing>
        <wp:inline distT="0" distB="0" distL="0" distR="0" wp14:anchorId="44048A33" wp14:editId="7D369B45">
          <wp:extent cx="2679700" cy="57534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1793" cy="5865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65E16"/>
    <w:multiLevelType w:val="hybridMultilevel"/>
    <w:tmpl w:val="DD48B6B4"/>
    <w:lvl w:ilvl="0" w:tplc="165C24E0">
      <w:start w:val="1"/>
      <w:numFmt w:val="decimal"/>
      <w:lvlText w:val="%1."/>
      <w:lvlJc w:val="left"/>
      <w:pPr>
        <w:ind w:left="915" w:hanging="555"/>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727D0"/>
    <w:multiLevelType w:val="hybridMultilevel"/>
    <w:tmpl w:val="92A8A41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880686"/>
    <w:multiLevelType w:val="multilevel"/>
    <w:tmpl w:val="05A83A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2A4E12"/>
    <w:multiLevelType w:val="multilevel"/>
    <w:tmpl w:val="523299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1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DF07F6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40412A"/>
    <w:multiLevelType w:val="hybridMultilevel"/>
    <w:tmpl w:val="43DA7390"/>
    <w:lvl w:ilvl="0" w:tplc="165C24E0">
      <w:start w:val="1"/>
      <w:numFmt w:val="decimal"/>
      <w:lvlText w:val="%1."/>
      <w:lvlJc w:val="left"/>
      <w:pPr>
        <w:ind w:left="915" w:hanging="555"/>
      </w:pPr>
      <w:rPr>
        <w:rFonts w:hint="default"/>
        <w:sz w:val="22"/>
      </w:rPr>
    </w:lvl>
    <w:lvl w:ilvl="1" w:tplc="D65C0370">
      <w:start w:val="1"/>
      <w:numFmt w:val="lowerLetter"/>
      <w:lvlText w:val="%2."/>
      <w:lvlJc w:val="left"/>
      <w:pPr>
        <w:ind w:left="1620" w:hanging="54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721DD"/>
    <w:multiLevelType w:val="hybridMultilevel"/>
    <w:tmpl w:val="B386B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C15F6"/>
    <w:multiLevelType w:val="multilevel"/>
    <w:tmpl w:val="49581F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FDF5768"/>
    <w:multiLevelType w:val="multilevel"/>
    <w:tmpl w:val="D2A6E6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09C1ACC"/>
    <w:multiLevelType w:val="multilevel"/>
    <w:tmpl w:val="6A0E26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1D672C5"/>
    <w:multiLevelType w:val="multilevel"/>
    <w:tmpl w:val="90DA84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numFmt w:val="bullet"/>
      <w:lvlText w:val="-"/>
      <w:lvlJc w:val="left"/>
      <w:pPr>
        <w:ind w:left="1728" w:hanging="648"/>
      </w:pPr>
      <w:rPr>
        <w:rFonts w:ascii="Calibri" w:eastAsiaTheme="minorHAnsi" w:hAnsi="Calibri" w:cs="Calibri"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7E96C45"/>
    <w:multiLevelType w:val="hybridMultilevel"/>
    <w:tmpl w:val="F498FFC8"/>
    <w:lvl w:ilvl="0" w:tplc="0409000F">
      <w:start w:val="1"/>
      <w:numFmt w:val="decimal"/>
      <w:lvlText w:val="%1."/>
      <w:lvlJc w:val="left"/>
      <w:pPr>
        <w:ind w:left="720" w:hanging="360"/>
      </w:pPr>
      <w:rPr>
        <w:rFonts w:hint="default"/>
      </w:rPr>
    </w:lvl>
    <w:lvl w:ilvl="1" w:tplc="431C101E">
      <w:start w:val="1"/>
      <w:numFmt w:val="lowerRoman"/>
      <w:lvlText w:val="%2."/>
      <w:lvlJc w:val="left"/>
      <w:pPr>
        <w:ind w:left="1800" w:hanging="72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3F06AC"/>
    <w:multiLevelType w:val="hybridMultilevel"/>
    <w:tmpl w:val="D146E3CE"/>
    <w:lvl w:ilvl="0" w:tplc="0409000F">
      <w:start w:val="1"/>
      <w:numFmt w:val="decimal"/>
      <w:lvlText w:val="%1."/>
      <w:lvlJc w:val="left"/>
      <w:pPr>
        <w:ind w:left="720" w:hanging="360"/>
      </w:pPr>
      <w:rPr>
        <w:rFonts w:hint="default"/>
      </w:rPr>
    </w:lvl>
    <w:lvl w:ilvl="1" w:tplc="F4A6042E">
      <w:start w:val="1"/>
      <w:numFmt w:val="lowerLetter"/>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118D0"/>
    <w:multiLevelType w:val="multilevel"/>
    <w:tmpl w:val="2F842F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11"/>
  </w:num>
  <w:num w:numId="4">
    <w:abstractNumId w:val="12"/>
  </w:num>
  <w:num w:numId="5">
    <w:abstractNumId w:val="0"/>
  </w:num>
  <w:num w:numId="6">
    <w:abstractNumId w:val="1"/>
  </w:num>
  <w:num w:numId="7">
    <w:abstractNumId w:val="4"/>
  </w:num>
  <w:num w:numId="8">
    <w:abstractNumId w:val="3"/>
  </w:num>
  <w:num w:numId="9">
    <w:abstractNumId w:val="2"/>
  </w:num>
  <w:num w:numId="10">
    <w:abstractNumId w:val="7"/>
  </w:num>
  <w:num w:numId="11">
    <w:abstractNumId w:val="13"/>
  </w:num>
  <w:num w:numId="12">
    <w:abstractNumId w:val="10"/>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ocumentProtection w:edit="readOnly" w:formatting="1" w:enforcement="1" w:cryptProviderType="rsaAES" w:cryptAlgorithmClass="hash" w:cryptAlgorithmType="typeAny" w:cryptAlgorithmSid="14" w:cryptSpinCount="100000" w:hash="ExqgTXpSWf7x3lAHFnhjmiQseY8uNCaHFc0U6zpvHoy5/PizMO5hAREXpKmSTeecWndyzYsjr1maFWLIlk2LUQ==" w:salt="joywp9l7rTBgxj+RB83xG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073"/>
    <w:rsid w:val="00071A88"/>
    <w:rsid w:val="0015110A"/>
    <w:rsid w:val="001D67BF"/>
    <w:rsid w:val="00272983"/>
    <w:rsid w:val="002F3FE0"/>
    <w:rsid w:val="0031645A"/>
    <w:rsid w:val="00356B8D"/>
    <w:rsid w:val="004332AA"/>
    <w:rsid w:val="0043619A"/>
    <w:rsid w:val="004413D4"/>
    <w:rsid w:val="00487464"/>
    <w:rsid w:val="004F19C5"/>
    <w:rsid w:val="004F3C0D"/>
    <w:rsid w:val="004F4D0B"/>
    <w:rsid w:val="005324FD"/>
    <w:rsid w:val="00593346"/>
    <w:rsid w:val="006A65B9"/>
    <w:rsid w:val="006D25A9"/>
    <w:rsid w:val="00850449"/>
    <w:rsid w:val="00880740"/>
    <w:rsid w:val="008D25D4"/>
    <w:rsid w:val="009046C7"/>
    <w:rsid w:val="00951A2B"/>
    <w:rsid w:val="0095735C"/>
    <w:rsid w:val="00A507D1"/>
    <w:rsid w:val="00A64073"/>
    <w:rsid w:val="00A85A8A"/>
    <w:rsid w:val="00BC2CCF"/>
    <w:rsid w:val="00C640F8"/>
    <w:rsid w:val="00C9268F"/>
    <w:rsid w:val="00C94CA1"/>
    <w:rsid w:val="00D051BA"/>
    <w:rsid w:val="00D83107"/>
    <w:rsid w:val="00DE587C"/>
    <w:rsid w:val="00DE7C66"/>
    <w:rsid w:val="00E229D4"/>
    <w:rsid w:val="00E804A6"/>
    <w:rsid w:val="00EF5A4A"/>
    <w:rsid w:val="00F816A8"/>
    <w:rsid w:val="00FD4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831F"/>
  <w15:chartTrackingRefBased/>
  <w15:docId w15:val="{783E55E7-84C2-41BB-875A-811F46B7B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7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073"/>
    <w:pPr>
      <w:ind w:left="720"/>
      <w:contextualSpacing/>
    </w:pPr>
  </w:style>
  <w:style w:type="paragraph" w:styleId="NormalWeb">
    <w:name w:val="Normal (Web)"/>
    <w:basedOn w:val="Normal"/>
    <w:uiPriority w:val="99"/>
    <w:semiHidden/>
    <w:unhideWhenUsed/>
    <w:rsid w:val="00A6407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A64073"/>
    <w:rPr>
      <w:b/>
      <w:bCs/>
    </w:rPr>
  </w:style>
  <w:style w:type="character" w:styleId="Hyperlink">
    <w:name w:val="Hyperlink"/>
    <w:basedOn w:val="DefaultParagraphFont"/>
    <w:uiPriority w:val="99"/>
    <w:unhideWhenUsed/>
    <w:rsid w:val="00A64073"/>
    <w:rPr>
      <w:color w:val="0000FF"/>
      <w:u w:val="single"/>
    </w:rPr>
  </w:style>
  <w:style w:type="paragraph" w:styleId="FootnoteText">
    <w:name w:val="footnote text"/>
    <w:basedOn w:val="Normal"/>
    <w:link w:val="FootnoteTextChar"/>
    <w:uiPriority w:val="99"/>
    <w:semiHidden/>
    <w:unhideWhenUsed/>
    <w:rsid w:val="00C9268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C9268F"/>
    <w:rPr>
      <w:sz w:val="20"/>
      <w:szCs w:val="20"/>
    </w:rPr>
  </w:style>
  <w:style w:type="character" w:styleId="FootnoteReference">
    <w:name w:val="footnote reference"/>
    <w:basedOn w:val="DefaultParagraphFont"/>
    <w:uiPriority w:val="99"/>
    <w:semiHidden/>
    <w:unhideWhenUsed/>
    <w:rsid w:val="00C9268F"/>
    <w:rPr>
      <w:vertAlign w:val="superscript"/>
    </w:rPr>
  </w:style>
  <w:style w:type="character" w:customStyle="1" w:styleId="UnresolvedMention">
    <w:name w:val="Unresolved Mention"/>
    <w:basedOn w:val="DefaultParagraphFont"/>
    <w:uiPriority w:val="99"/>
    <w:semiHidden/>
    <w:unhideWhenUsed/>
    <w:rsid w:val="00A85A8A"/>
    <w:rPr>
      <w:color w:val="605E5C"/>
      <w:shd w:val="clear" w:color="auto" w:fill="E1DFDD"/>
    </w:rPr>
  </w:style>
  <w:style w:type="paragraph" w:styleId="NoSpacing">
    <w:name w:val="No Spacing"/>
    <w:uiPriority w:val="1"/>
    <w:qFormat/>
    <w:rsid w:val="00880740"/>
    <w:pPr>
      <w:spacing w:after="0" w:line="240" w:lineRule="auto"/>
    </w:pPr>
  </w:style>
  <w:style w:type="paragraph" w:styleId="Header">
    <w:name w:val="header"/>
    <w:basedOn w:val="Normal"/>
    <w:link w:val="HeaderChar"/>
    <w:uiPriority w:val="99"/>
    <w:unhideWhenUsed/>
    <w:rsid w:val="008807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740"/>
    <w:rPr>
      <w:lang w:val="en-US"/>
    </w:rPr>
  </w:style>
  <w:style w:type="paragraph" w:styleId="Footer">
    <w:name w:val="footer"/>
    <w:basedOn w:val="Normal"/>
    <w:link w:val="FooterChar"/>
    <w:uiPriority w:val="99"/>
    <w:unhideWhenUsed/>
    <w:rsid w:val="008807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740"/>
    <w:rPr>
      <w:lang w:val="en-US"/>
    </w:rPr>
  </w:style>
  <w:style w:type="paragraph" w:styleId="BalloonText">
    <w:name w:val="Balloon Text"/>
    <w:basedOn w:val="Normal"/>
    <w:link w:val="BalloonTextChar"/>
    <w:uiPriority w:val="99"/>
    <w:semiHidden/>
    <w:unhideWhenUsed/>
    <w:rsid w:val="00880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74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977293">
      <w:bodyDiv w:val="1"/>
      <w:marLeft w:val="0"/>
      <w:marRight w:val="0"/>
      <w:marTop w:val="0"/>
      <w:marBottom w:val="0"/>
      <w:divBdr>
        <w:top w:val="none" w:sz="0" w:space="0" w:color="auto"/>
        <w:left w:val="none" w:sz="0" w:space="0" w:color="auto"/>
        <w:bottom w:val="none" w:sz="0" w:space="0" w:color="auto"/>
        <w:right w:val="none" w:sz="0" w:space="0" w:color="auto"/>
      </w:divBdr>
      <w:divsChild>
        <w:div w:id="1551306818">
          <w:marLeft w:val="0"/>
          <w:marRight w:val="0"/>
          <w:marTop w:val="0"/>
          <w:marBottom w:val="0"/>
          <w:divBdr>
            <w:top w:val="none" w:sz="0" w:space="0" w:color="auto"/>
            <w:left w:val="none" w:sz="0" w:space="0" w:color="auto"/>
            <w:bottom w:val="none" w:sz="0" w:space="0" w:color="auto"/>
            <w:right w:val="none" w:sz="0" w:space="0" w:color="auto"/>
          </w:divBdr>
        </w:div>
        <w:div w:id="878668364">
          <w:marLeft w:val="0"/>
          <w:marRight w:val="0"/>
          <w:marTop w:val="0"/>
          <w:marBottom w:val="0"/>
          <w:divBdr>
            <w:top w:val="none" w:sz="0" w:space="0" w:color="auto"/>
            <w:left w:val="none" w:sz="0" w:space="0" w:color="auto"/>
            <w:bottom w:val="none" w:sz="0" w:space="0" w:color="auto"/>
            <w:right w:val="none" w:sz="0" w:space="0" w:color="auto"/>
          </w:divBdr>
        </w:div>
        <w:div w:id="543444849">
          <w:marLeft w:val="0"/>
          <w:marRight w:val="0"/>
          <w:marTop w:val="0"/>
          <w:marBottom w:val="0"/>
          <w:divBdr>
            <w:top w:val="none" w:sz="0" w:space="0" w:color="auto"/>
            <w:left w:val="none" w:sz="0" w:space="0" w:color="auto"/>
            <w:bottom w:val="none" w:sz="0" w:space="0" w:color="auto"/>
            <w:right w:val="none" w:sz="0" w:space="0" w:color="auto"/>
          </w:divBdr>
        </w:div>
        <w:div w:id="1118571202">
          <w:marLeft w:val="0"/>
          <w:marRight w:val="0"/>
          <w:marTop w:val="0"/>
          <w:marBottom w:val="0"/>
          <w:divBdr>
            <w:top w:val="none" w:sz="0" w:space="0" w:color="auto"/>
            <w:left w:val="none" w:sz="0" w:space="0" w:color="auto"/>
            <w:bottom w:val="none" w:sz="0" w:space="0" w:color="auto"/>
            <w:right w:val="none" w:sz="0" w:space="0" w:color="auto"/>
          </w:divBdr>
        </w:div>
        <w:div w:id="1233811306">
          <w:marLeft w:val="0"/>
          <w:marRight w:val="0"/>
          <w:marTop w:val="0"/>
          <w:marBottom w:val="0"/>
          <w:divBdr>
            <w:top w:val="none" w:sz="0" w:space="0" w:color="auto"/>
            <w:left w:val="none" w:sz="0" w:space="0" w:color="auto"/>
            <w:bottom w:val="none" w:sz="0" w:space="0" w:color="auto"/>
            <w:right w:val="none" w:sz="0" w:space="0" w:color="auto"/>
          </w:divBdr>
        </w:div>
        <w:div w:id="1002705661">
          <w:marLeft w:val="0"/>
          <w:marRight w:val="0"/>
          <w:marTop w:val="0"/>
          <w:marBottom w:val="0"/>
          <w:divBdr>
            <w:top w:val="none" w:sz="0" w:space="0" w:color="auto"/>
            <w:left w:val="none" w:sz="0" w:space="0" w:color="auto"/>
            <w:bottom w:val="none" w:sz="0" w:space="0" w:color="auto"/>
            <w:right w:val="none" w:sz="0" w:space="0" w:color="auto"/>
          </w:divBdr>
        </w:div>
        <w:div w:id="134297715">
          <w:marLeft w:val="0"/>
          <w:marRight w:val="0"/>
          <w:marTop w:val="0"/>
          <w:marBottom w:val="0"/>
          <w:divBdr>
            <w:top w:val="none" w:sz="0" w:space="0" w:color="auto"/>
            <w:left w:val="none" w:sz="0" w:space="0" w:color="auto"/>
            <w:bottom w:val="none" w:sz="0" w:space="0" w:color="auto"/>
            <w:right w:val="none" w:sz="0" w:space="0" w:color="auto"/>
          </w:divBdr>
        </w:div>
        <w:div w:id="501895811">
          <w:marLeft w:val="0"/>
          <w:marRight w:val="0"/>
          <w:marTop w:val="0"/>
          <w:marBottom w:val="0"/>
          <w:divBdr>
            <w:top w:val="none" w:sz="0" w:space="0" w:color="auto"/>
            <w:left w:val="none" w:sz="0" w:space="0" w:color="auto"/>
            <w:bottom w:val="none" w:sz="0" w:space="0" w:color="auto"/>
            <w:right w:val="none" w:sz="0" w:space="0" w:color="auto"/>
          </w:divBdr>
        </w:div>
        <w:div w:id="254558674">
          <w:marLeft w:val="0"/>
          <w:marRight w:val="0"/>
          <w:marTop w:val="0"/>
          <w:marBottom w:val="0"/>
          <w:divBdr>
            <w:top w:val="none" w:sz="0" w:space="0" w:color="auto"/>
            <w:left w:val="none" w:sz="0" w:space="0" w:color="auto"/>
            <w:bottom w:val="none" w:sz="0" w:space="0" w:color="auto"/>
            <w:right w:val="none" w:sz="0" w:space="0" w:color="auto"/>
          </w:divBdr>
        </w:div>
        <w:div w:id="755636813">
          <w:marLeft w:val="0"/>
          <w:marRight w:val="0"/>
          <w:marTop w:val="0"/>
          <w:marBottom w:val="0"/>
          <w:divBdr>
            <w:top w:val="none" w:sz="0" w:space="0" w:color="auto"/>
            <w:left w:val="none" w:sz="0" w:space="0" w:color="auto"/>
            <w:bottom w:val="none" w:sz="0" w:space="0" w:color="auto"/>
            <w:right w:val="none" w:sz="0" w:space="0" w:color="auto"/>
          </w:divBdr>
        </w:div>
        <w:div w:id="2029484770">
          <w:marLeft w:val="0"/>
          <w:marRight w:val="0"/>
          <w:marTop w:val="0"/>
          <w:marBottom w:val="0"/>
          <w:divBdr>
            <w:top w:val="none" w:sz="0" w:space="0" w:color="auto"/>
            <w:left w:val="none" w:sz="0" w:space="0" w:color="auto"/>
            <w:bottom w:val="none" w:sz="0" w:space="0" w:color="auto"/>
            <w:right w:val="none" w:sz="0" w:space="0" w:color="auto"/>
          </w:divBdr>
        </w:div>
        <w:div w:id="1716346554">
          <w:marLeft w:val="0"/>
          <w:marRight w:val="0"/>
          <w:marTop w:val="0"/>
          <w:marBottom w:val="0"/>
          <w:divBdr>
            <w:top w:val="none" w:sz="0" w:space="0" w:color="auto"/>
            <w:left w:val="none" w:sz="0" w:space="0" w:color="auto"/>
            <w:bottom w:val="none" w:sz="0" w:space="0" w:color="auto"/>
            <w:right w:val="none" w:sz="0" w:space="0" w:color="auto"/>
          </w:divBdr>
        </w:div>
        <w:div w:id="694961066">
          <w:marLeft w:val="0"/>
          <w:marRight w:val="0"/>
          <w:marTop w:val="0"/>
          <w:marBottom w:val="0"/>
          <w:divBdr>
            <w:top w:val="none" w:sz="0" w:space="0" w:color="auto"/>
            <w:left w:val="none" w:sz="0" w:space="0" w:color="auto"/>
            <w:bottom w:val="none" w:sz="0" w:space="0" w:color="auto"/>
            <w:right w:val="none" w:sz="0" w:space="0" w:color="auto"/>
          </w:divBdr>
        </w:div>
        <w:div w:id="2068339982">
          <w:marLeft w:val="0"/>
          <w:marRight w:val="0"/>
          <w:marTop w:val="0"/>
          <w:marBottom w:val="0"/>
          <w:divBdr>
            <w:top w:val="none" w:sz="0" w:space="0" w:color="auto"/>
            <w:left w:val="none" w:sz="0" w:space="0" w:color="auto"/>
            <w:bottom w:val="none" w:sz="0" w:space="0" w:color="auto"/>
            <w:right w:val="none" w:sz="0" w:space="0" w:color="auto"/>
          </w:divBdr>
        </w:div>
        <w:div w:id="1966153561">
          <w:marLeft w:val="0"/>
          <w:marRight w:val="0"/>
          <w:marTop w:val="0"/>
          <w:marBottom w:val="0"/>
          <w:divBdr>
            <w:top w:val="none" w:sz="0" w:space="0" w:color="auto"/>
            <w:left w:val="none" w:sz="0" w:space="0" w:color="auto"/>
            <w:bottom w:val="none" w:sz="0" w:space="0" w:color="auto"/>
            <w:right w:val="none" w:sz="0" w:space="0" w:color="auto"/>
          </w:divBdr>
        </w:div>
        <w:div w:id="930549113">
          <w:marLeft w:val="0"/>
          <w:marRight w:val="0"/>
          <w:marTop w:val="0"/>
          <w:marBottom w:val="0"/>
          <w:divBdr>
            <w:top w:val="none" w:sz="0" w:space="0" w:color="auto"/>
            <w:left w:val="none" w:sz="0" w:space="0" w:color="auto"/>
            <w:bottom w:val="none" w:sz="0" w:space="0" w:color="auto"/>
            <w:right w:val="none" w:sz="0" w:space="0" w:color="auto"/>
          </w:divBdr>
        </w:div>
        <w:div w:id="1828089409">
          <w:marLeft w:val="0"/>
          <w:marRight w:val="0"/>
          <w:marTop w:val="0"/>
          <w:marBottom w:val="0"/>
          <w:divBdr>
            <w:top w:val="none" w:sz="0" w:space="0" w:color="auto"/>
            <w:left w:val="none" w:sz="0" w:space="0" w:color="auto"/>
            <w:bottom w:val="none" w:sz="0" w:space="0" w:color="auto"/>
            <w:right w:val="none" w:sz="0" w:space="0" w:color="auto"/>
          </w:divBdr>
        </w:div>
        <w:div w:id="1748262393">
          <w:marLeft w:val="0"/>
          <w:marRight w:val="0"/>
          <w:marTop w:val="0"/>
          <w:marBottom w:val="0"/>
          <w:divBdr>
            <w:top w:val="none" w:sz="0" w:space="0" w:color="auto"/>
            <w:left w:val="none" w:sz="0" w:space="0" w:color="auto"/>
            <w:bottom w:val="none" w:sz="0" w:space="0" w:color="auto"/>
            <w:right w:val="none" w:sz="0" w:space="0" w:color="auto"/>
          </w:divBdr>
        </w:div>
        <w:div w:id="813252224">
          <w:marLeft w:val="0"/>
          <w:marRight w:val="0"/>
          <w:marTop w:val="0"/>
          <w:marBottom w:val="0"/>
          <w:divBdr>
            <w:top w:val="none" w:sz="0" w:space="0" w:color="auto"/>
            <w:left w:val="none" w:sz="0" w:space="0" w:color="auto"/>
            <w:bottom w:val="none" w:sz="0" w:space="0" w:color="auto"/>
            <w:right w:val="none" w:sz="0" w:space="0" w:color="auto"/>
          </w:divBdr>
        </w:div>
        <w:div w:id="1272858082">
          <w:marLeft w:val="0"/>
          <w:marRight w:val="0"/>
          <w:marTop w:val="0"/>
          <w:marBottom w:val="0"/>
          <w:divBdr>
            <w:top w:val="none" w:sz="0" w:space="0" w:color="auto"/>
            <w:left w:val="none" w:sz="0" w:space="0" w:color="auto"/>
            <w:bottom w:val="none" w:sz="0" w:space="0" w:color="auto"/>
            <w:right w:val="none" w:sz="0" w:space="0" w:color="auto"/>
          </w:divBdr>
        </w:div>
        <w:div w:id="388188830">
          <w:marLeft w:val="0"/>
          <w:marRight w:val="0"/>
          <w:marTop w:val="0"/>
          <w:marBottom w:val="0"/>
          <w:divBdr>
            <w:top w:val="none" w:sz="0" w:space="0" w:color="auto"/>
            <w:left w:val="none" w:sz="0" w:space="0" w:color="auto"/>
            <w:bottom w:val="none" w:sz="0" w:space="0" w:color="auto"/>
            <w:right w:val="none" w:sz="0" w:space="0" w:color="auto"/>
          </w:divBdr>
        </w:div>
        <w:div w:id="741952158">
          <w:marLeft w:val="0"/>
          <w:marRight w:val="0"/>
          <w:marTop w:val="0"/>
          <w:marBottom w:val="0"/>
          <w:divBdr>
            <w:top w:val="none" w:sz="0" w:space="0" w:color="auto"/>
            <w:left w:val="none" w:sz="0" w:space="0" w:color="auto"/>
            <w:bottom w:val="none" w:sz="0" w:space="0" w:color="auto"/>
            <w:right w:val="none" w:sz="0" w:space="0" w:color="auto"/>
          </w:divBdr>
        </w:div>
        <w:div w:id="1064570983">
          <w:marLeft w:val="0"/>
          <w:marRight w:val="0"/>
          <w:marTop w:val="0"/>
          <w:marBottom w:val="0"/>
          <w:divBdr>
            <w:top w:val="none" w:sz="0" w:space="0" w:color="auto"/>
            <w:left w:val="none" w:sz="0" w:space="0" w:color="auto"/>
            <w:bottom w:val="none" w:sz="0" w:space="0" w:color="auto"/>
            <w:right w:val="none" w:sz="0" w:space="0" w:color="auto"/>
          </w:divBdr>
        </w:div>
        <w:div w:id="1448306808">
          <w:marLeft w:val="0"/>
          <w:marRight w:val="0"/>
          <w:marTop w:val="0"/>
          <w:marBottom w:val="0"/>
          <w:divBdr>
            <w:top w:val="none" w:sz="0" w:space="0" w:color="auto"/>
            <w:left w:val="none" w:sz="0" w:space="0" w:color="auto"/>
            <w:bottom w:val="none" w:sz="0" w:space="0" w:color="auto"/>
            <w:right w:val="none" w:sz="0" w:space="0" w:color="auto"/>
          </w:divBdr>
        </w:div>
        <w:div w:id="1820920278">
          <w:marLeft w:val="0"/>
          <w:marRight w:val="0"/>
          <w:marTop w:val="0"/>
          <w:marBottom w:val="0"/>
          <w:divBdr>
            <w:top w:val="none" w:sz="0" w:space="0" w:color="auto"/>
            <w:left w:val="none" w:sz="0" w:space="0" w:color="auto"/>
            <w:bottom w:val="none" w:sz="0" w:space="0" w:color="auto"/>
            <w:right w:val="none" w:sz="0" w:space="0" w:color="auto"/>
          </w:divBdr>
        </w:div>
        <w:div w:id="1692339026">
          <w:marLeft w:val="0"/>
          <w:marRight w:val="0"/>
          <w:marTop w:val="0"/>
          <w:marBottom w:val="0"/>
          <w:divBdr>
            <w:top w:val="none" w:sz="0" w:space="0" w:color="auto"/>
            <w:left w:val="none" w:sz="0" w:space="0" w:color="auto"/>
            <w:bottom w:val="none" w:sz="0" w:space="0" w:color="auto"/>
            <w:right w:val="none" w:sz="0" w:space="0" w:color="auto"/>
          </w:divBdr>
        </w:div>
        <w:div w:id="1185438832">
          <w:marLeft w:val="0"/>
          <w:marRight w:val="0"/>
          <w:marTop w:val="0"/>
          <w:marBottom w:val="0"/>
          <w:divBdr>
            <w:top w:val="none" w:sz="0" w:space="0" w:color="auto"/>
            <w:left w:val="none" w:sz="0" w:space="0" w:color="auto"/>
            <w:bottom w:val="none" w:sz="0" w:space="0" w:color="auto"/>
            <w:right w:val="none" w:sz="0" w:space="0" w:color="auto"/>
          </w:divBdr>
        </w:div>
        <w:div w:id="1207911554">
          <w:marLeft w:val="0"/>
          <w:marRight w:val="0"/>
          <w:marTop w:val="0"/>
          <w:marBottom w:val="0"/>
          <w:divBdr>
            <w:top w:val="none" w:sz="0" w:space="0" w:color="auto"/>
            <w:left w:val="none" w:sz="0" w:space="0" w:color="auto"/>
            <w:bottom w:val="none" w:sz="0" w:space="0" w:color="auto"/>
            <w:right w:val="none" w:sz="0" w:space="0" w:color="auto"/>
          </w:divBdr>
        </w:div>
        <w:div w:id="1564025377">
          <w:marLeft w:val="0"/>
          <w:marRight w:val="0"/>
          <w:marTop w:val="0"/>
          <w:marBottom w:val="0"/>
          <w:divBdr>
            <w:top w:val="none" w:sz="0" w:space="0" w:color="auto"/>
            <w:left w:val="none" w:sz="0" w:space="0" w:color="auto"/>
            <w:bottom w:val="none" w:sz="0" w:space="0" w:color="auto"/>
            <w:right w:val="none" w:sz="0" w:space="0" w:color="auto"/>
          </w:divBdr>
        </w:div>
        <w:div w:id="1551267119">
          <w:marLeft w:val="0"/>
          <w:marRight w:val="0"/>
          <w:marTop w:val="0"/>
          <w:marBottom w:val="0"/>
          <w:divBdr>
            <w:top w:val="none" w:sz="0" w:space="0" w:color="auto"/>
            <w:left w:val="none" w:sz="0" w:space="0" w:color="auto"/>
            <w:bottom w:val="none" w:sz="0" w:space="0" w:color="auto"/>
            <w:right w:val="none" w:sz="0" w:space="0" w:color="auto"/>
          </w:divBdr>
        </w:div>
      </w:divsChild>
    </w:div>
    <w:div w:id="1215894447">
      <w:bodyDiv w:val="1"/>
      <w:marLeft w:val="0"/>
      <w:marRight w:val="0"/>
      <w:marTop w:val="0"/>
      <w:marBottom w:val="0"/>
      <w:divBdr>
        <w:top w:val="none" w:sz="0" w:space="0" w:color="auto"/>
        <w:left w:val="none" w:sz="0" w:space="0" w:color="auto"/>
        <w:bottom w:val="none" w:sz="0" w:space="0" w:color="auto"/>
        <w:right w:val="none" w:sz="0" w:space="0" w:color="auto"/>
      </w:divBdr>
    </w:div>
    <w:div w:id="1244607469">
      <w:bodyDiv w:val="1"/>
      <w:marLeft w:val="0"/>
      <w:marRight w:val="0"/>
      <w:marTop w:val="0"/>
      <w:marBottom w:val="0"/>
      <w:divBdr>
        <w:top w:val="none" w:sz="0" w:space="0" w:color="auto"/>
        <w:left w:val="none" w:sz="0" w:space="0" w:color="auto"/>
        <w:bottom w:val="none" w:sz="0" w:space="0" w:color="auto"/>
        <w:right w:val="none" w:sz="0" w:space="0" w:color="auto"/>
      </w:divBdr>
    </w:div>
    <w:div w:id="1326208780">
      <w:bodyDiv w:val="1"/>
      <w:marLeft w:val="0"/>
      <w:marRight w:val="0"/>
      <w:marTop w:val="0"/>
      <w:marBottom w:val="0"/>
      <w:divBdr>
        <w:top w:val="none" w:sz="0" w:space="0" w:color="auto"/>
        <w:left w:val="none" w:sz="0" w:space="0" w:color="auto"/>
        <w:bottom w:val="none" w:sz="0" w:space="0" w:color="auto"/>
        <w:right w:val="none" w:sz="0" w:space="0" w:color="auto"/>
      </w:divBdr>
      <w:divsChild>
        <w:div w:id="1749424331">
          <w:marLeft w:val="0"/>
          <w:marRight w:val="0"/>
          <w:marTop w:val="0"/>
          <w:marBottom w:val="0"/>
          <w:divBdr>
            <w:top w:val="none" w:sz="0" w:space="0" w:color="auto"/>
            <w:left w:val="none" w:sz="0" w:space="0" w:color="auto"/>
            <w:bottom w:val="none" w:sz="0" w:space="0" w:color="auto"/>
            <w:right w:val="none" w:sz="0" w:space="0" w:color="auto"/>
          </w:divBdr>
        </w:div>
        <w:div w:id="774329814">
          <w:marLeft w:val="0"/>
          <w:marRight w:val="0"/>
          <w:marTop w:val="0"/>
          <w:marBottom w:val="0"/>
          <w:divBdr>
            <w:top w:val="none" w:sz="0" w:space="0" w:color="auto"/>
            <w:left w:val="none" w:sz="0" w:space="0" w:color="auto"/>
            <w:bottom w:val="none" w:sz="0" w:space="0" w:color="auto"/>
            <w:right w:val="none" w:sz="0" w:space="0" w:color="auto"/>
          </w:divBdr>
        </w:div>
        <w:div w:id="518741938">
          <w:marLeft w:val="0"/>
          <w:marRight w:val="0"/>
          <w:marTop w:val="0"/>
          <w:marBottom w:val="0"/>
          <w:divBdr>
            <w:top w:val="none" w:sz="0" w:space="0" w:color="auto"/>
            <w:left w:val="none" w:sz="0" w:space="0" w:color="auto"/>
            <w:bottom w:val="none" w:sz="0" w:space="0" w:color="auto"/>
            <w:right w:val="none" w:sz="0" w:space="0" w:color="auto"/>
          </w:divBdr>
        </w:div>
        <w:div w:id="1386952930">
          <w:marLeft w:val="0"/>
          <w:marRight w:val="0"/>
          <w:marTop w:val="0"/>
          <w:marBottom w:val="0"/>
          <w:divBdr>
            <w:top w:val="none" w:sz="0" w:space="0" w:color="auto"/>
            <w:left w:val="none" w:sz="0" w:space="0" w:color="auto"/>
            <w:bottom w:val="none" w:sz="0" w:space="0" w:color="auto"/>
            <w:right w:val="none" w:sz="0" w:space="0" w:color="auto"/>
          </w:divBdr>
        </w:div>
        <w:div w:id="1383940141">
          <w:marLeft w:val="0"/>
          <w:marRight w:val="0"/>
          <w:marTop w:val="0"/>
          <w:marBottom w:val="0"/>
          <w:divBdr>
            <w:top w:val="none" w:sz="0" w:space="0" w:color="auto"/>
            <w:left w:val="none" w:sz="0" w:space="0" w:color="auto"/>
            <w:bottom w:val="none" w:sz="0" w:space="0" w:color="auto"/>
            <w:right w:val="none" w:sz="0" w:space="0" w:color="auto"/>
          </w:divBdr>
        </w:div>
        <w:div w:id="117576392">
          <w:marLeft w:val="0"/>
          <w:marRight w:val="0"/>
          <w:marTop w:val="0"/>
          <w:marBottom w:val="0"/>
          <w:divBdr>
            <w:top w:val="none" w:sz="0" w:space="0" w:color="auto"/>
            <w:left w:val="none" w:sz="0" w:space="0" w:color="auto"/>
            <w:bottom w:val="none" w:sz="0" w:space="0" w:color="auto"/>
            <w:right w:val="none" w:sz="0" w:space="0" w:color="auto"/>
          </w:divBdr>
        </w:div>
        <w:div w:id="198475570">
          <w:marLeft w:val="0"/>
          <w:marRight w:val="0"/>
          <w:marTop w:val="0"/>
          <w:marBottom w:val="0"/>
          <w:divBdr>
            <w:top w:val="none" w:sz="0" w:space="0" w:color="auto"/>
            <w:left w:val="none" w:sz="0" w:space="0" w:color="auto"/>
            <w:bottom w:val="none" w:sz="0" w:space="0" w:color="auto"/>
            <w:right w:val="none" w:sz="0" w:space="0" w:color="auto"/>
          </w:divBdr>
        </w:div>
        <w:div w:id="1121461143">
          <w:marLeft w:val="0"/>
          <w:marRight w:val="0"/>
          <w:marTop w:val="0"/>
          <w:marBottom w:val="0"/>
          <w:divBdr>
            <w:top w:val="none" w:sz="0" w:space="0" w:color="auto"/>
            <w:left w:val="none" w:sz="0" w:space="0" w:color="auto"/>
            <w:bottom w:val="none" w:sz="0" w:space="0" w:color="auto"/>
            <w:right w:val="none" w:sz="0" w:space="0" w:color="auto"/>
          </w:divBdr>
        </w:div>
        <w:div w:id="1484463288">
          <w:marLeft w:val="0"/>
          <w:marRight w:val="0"/>
          <w:marTop w:val="0"/>
          <w:marBottom w:val="0"/>
          <w:divBdr>
            <w:top w:val="none" w:sz="0" w:space="0" w:color="auto"/>
            <w:left w:val="none" w:sz="0" w:space="0" w:color="auto"/>
            <w:bottom w:val="none" w:sz="0" w:space="0" w:color="auto"/>
            <w:right w:val="none" w:sz="0" w:space="0" w:color="auto"/>
          </w:divBdr>
        </w:div>
        <w:div w:id="1110514928">
          <w:marLeft w:val="0"/>
          <w:marRight w:val="0"/>
          <w:marTop w:val="0"/>
          <w:marBottom w:val="0"/>
          <w:divBdr>
            <w:top w:val="none" w:sz="0" w:space="0" w:color="auto"/>
            <w:left w:val="none" w:sz="0" w:space="0" w:color="auto"/>
            <w:bottom w:val="none" w:sz="0" w:space="0" w:color="auto"/>
            <w:right w:val="none" w:sz="0" w:space="0" w:color="auto"/>
          </w:divBdr>
        </w:div>
        <w:div w:id="1149708759">
          <w:marLeft w:val="0"/>
          <w:marRight w:val="0"/>
          <w:marTop w:val="0"/>
          <w:marBottom w:val="0"/>
          <w:divBdr>
            <w:top w:val="none" w:sz="0" w:space="0" w:color="auto"/>
            <w:left w:val="none" w:sz="0" w:space="0" w:color="auto"/>
            <w:bottom w:val="none" w:sz="0" w:space="0" w:color="auto"/>
            <w:right w:val="none" w:sz="0" w:space="0" w:color="auto"/>
          </w:divBdr>
        </w:div>
        <w:div w:id="592783186">
          <w:marLeft w:val="0"/>
          <w:marRight w:val="0"/>
          <w:marTop w:val="0"/>
          <w:marBottom w:val="0"/>
          <w:divBdr>
            <w:top w:val="none" w:sz="0" w:space="0" w:color="auto"/>
            <w:left w:val="none" w:sz="0" w:space="0" w:color="auto"/>
            <w:bottom w:val="none" w:sz="0" w:space="0" w:color="auto"/>
            <w:right w:val="none" w:sz="0" w:space="0" w:color="auto"/>
          </w:divBdr>
        </w:div>
        <w:div w:id="54427408">
          <w:marLeft w:val="0"/>
          <w:marRight w:val="0"/>
          <w:marTop w:val="0"/>
          <w:marBottom w:val="0"/>
          <w:divBdr>
            <w:top w:val="none" w:sz="0" w:space="0" w:color="auto"/>
            <w:left w:val="none" w:sz="0" w:space="0" w:color="auto"/>
            <w:bottom w:val="none" w:sz="0" w:space="0" w:color="auto"/>
            <w:right w:val="none" w:sz="0" w:space="0" w:color="auto"/>
          </w:divBdr>
        </w:div>
        <w:div w:id="898174554">
          <w:marLeft w:val="0"/>
          <w:marRight w:val="0"/>
          <w:marTop w:val="0"/>
          <w:marBottom w:val="0"/>
          <w:divBdr>
            <w:top w:val="none" w:sz="0" w:space="0" w:color="auto"/>
            <w:left w:val="none" w:sz="0" w:space="0" w:color="auto"/>
            <w:bottom w:val="none" w:sz="0" w:space="0" w:color="auto"/>
            <w:right w:val="none" w:sz="0" w:space="0" w:color="auto"/>
          </w:divBdr>
        </w:div>
        <w:div w:id="614168629">
          <w:marLeft w:val="0"/>
          <w:marRight w:val="0"/>
          <w:marTop w:val="0"/>
          <w:marBottom w:val="0"/>
          <w:divBdr>
            <w:top w:val="none" w:sz="0" w:space="0" w:color="auto"/>
            <w:left w:val="none" w:sz="0" w:space="0" w:color="auto"/>
            <w:bottom w:val="none" w:sz="0" w:space="0" w:color="auto"/>
            <w:right w:val="none" w:sz="0" w:space="0" w:color="auto"/>
          </w:divBdr>
        </w:div>
        <w:div w:id="865755837">
          <w:marLeft w:val="0"/>
          <w:marRight w:val="0"/>
          <w:marTop w:val="0"/>
          <w:marBottom w:val="0"/>
          <w:divBdr>
            <w:top w:val="none" w:sz="0" w:space="0" w:color="auto"/>
            <w:left w:val="none" w:sz="0" w:space="0" w:color="auto"/>
            <w:bottom w:val="none" w:sz="0" w:space="0" w:color="auto"/>
            <w:right w:val="none" w:sz="0" w:space="0" w:color="auto"/>
          </w:divBdr>
        </w:div>
        <w:div w:id="114717153">
          <w:marLeft w:val="0"/>
          <w:marRight w:val="0"/>
          <w:marTop w:val="0"/>
          <w:marBottom w:val="0"/>
          <w:divBdr>
            <w:top w:val="none" w:sz="0" w:space="0" w:color="auto"/>
            <w:left w:val="none" w:sz="0" w:space="0" w:color="auto"/>
            <w:bottom w:val="none" w:sz="0" w:space="0" w:color="auto"/>
            <w:right w:val="none" w:sz="0" w:space="0" w:color="auto"/>
          </w:divBdr>
        </w:div>
        <w:div w:id="1814330463">
          <w:marLeft w:val="0"/>
          <w:marRight w:val="0"/>
          <w:marTop w:val="0"/>
          <w:marBottom w:val="0"/>
          <w:divBdr>
            <w:top w:val="none" w:sz="0" w:space="0" w:color="auto"/>
            <w:left w:val="none" w:sz="0" w:space="0" w:color="auto"/>
            <w:bottom w:val="none" w:sz="0" w:space="0" w:color="auto"/>
            <w:right w:val="none" w:sz="0" w:space="0" w:color="auto"/>
          </w:divBdr>
        </w:div>
        <w:div w:id="1670593467">
          <w:marLeft w:val="0"/>
          <w:marRight w:val="0"/>
          <w:marTop w:val="0"/>
          <w:marBottom w:val="0"/>
          <w:divBdr>
            <w:top w:val="none" w:sz="0" w:space="0" w:color="auto"/>
            <w:left w:val="none" w:sz="0" w:space="0" w:color="auto"/>
            <w:bottom w:val="none" w:sz="0" w:space="0" w:color="auto"/>
            <w:right w:val="none" w:sz="0" w:space="0" w:color="auto"/>
          </w:divBdr>
        </w:div>
        <w:div w:id="521087487">
          <w:marLeft w:val="0"/>
          <w:marRight w:val="0"/>
          <w:marTop w:val="0"/>
          <w:marBottom w:val="0"/>
          <w:divBdr>
            <w:top w:val="none" w:sz="0" w:space="0" w:color="auto"/>
            <w:left w:val="none" w:sz="0" w:space="0" w:color="auto"/>
            <w:bottom w:val="none" w:sz="0" w:space="0" w:color="auto"/>
            <w:right w:val="none" w:sz="0" w:space="0" w:color="auto"/>
          </w:divBdr>
        </w:div>
        <w:div w:id="955910296">
          <w:marLeft w:val="0"/>
          <w:marRight w:val="0"/>
          <w:marTop w:val="0"/>
          <w:marBottom w:val="0"/>
          <w:divBdr>
            <w:top w:val="none" w:sz="0" w:space="0" w:color="auto"/>
            <w:left w:val="none" w:sz="0" w:space="0" w:color="auto"/>
            <w:bottom w:val="none" w:sz="0" w:space="0" w:color="auto"/>
            <w:right w:val="none" w:sz="0" w:space="0" w:color="auto"/>
          </w:divBdr>
        </w:div>
        <w:div w:id="713427017">
          <w:marLeft w:val="0"/>
          <w:marRight w:val="0"/>
          <w:marTop w:val="0"/>
          <w:marBottom w:val="0"/>
          <w:divBdr>
            <w:top w:val="none" w:sz="0" w:space="0" w:color="auto"/>
            <w:left w:val="none" w:sz="0" w:space="0" w:color="auto"/>
            <w:bottom w:val="none" w:sz="0" w:space="0" w:color="auto"/>
            <w:right w:val="none" w:sz="0" w:space="0" w:color="auto"/>
          </w:divBdr>
        </w:div>
        <w:div w:id="1866209378">
          <w:marLeft w:val="0"/>
          <w:marRight w:val="0"/>
          <w:marTop w:val="0"/>
          <w:marBottom w:val="0"/>
          <w:divBdr>
            <w:top w:val="none" w:sz="0" w:space="0" w:color="auto"/>
            <w:left w:val="none" w:sz="0" w:space="0" w:color="auto"/>
            <w:bottom w:val="none" w:sz="0" w:space="0" w:color="auto"/>
            <w:right w:val="none" w:sz="0" w:space="0" w:color="auto"/>
          </w:divBdr>
        </w:div>
        <w:div w:id="1766538699">
          <w:marLeft w:val="0"/>
          <w:marRight w:val="0"/>
          <w:marTop w:val="0"/>
          <w:marBottom w:val="0"/>
          <w:divBdr>
            <w:top w:val="none" w:sz="0" w:space="0" w:color="auto"/>
            <w:left w:val="none" w:sz="0" w:space="0" w:color="auto"/>
            <w:bottom w:val="none" w:sz="0" w:space="0" w:color="auto"/>
            <w:right w:val="none" w:sz="0" w:space="0" w:color="auto"/>
          </w:divBdr>
        </w:div>
        <w:div w:id="1041711335">
          <w:marLeft w:val="0"/>
          <w:marRight w:val="0"/>
          <w:marTop w:val="0"/>
          <w:marBottom w:val="0"/>
          <w:divBdr>
            <w:top w:val="none" w:sz="0" w:space="0" w:color="auto"/>
            <w:left w:val="none" w:sz="0" w:space="0" w:color="auto"/>
            <w:bottom w:val="none" w:sz="0" w:space="0" w:color="auto"/>
            <w:right w:val="none" w:sz="0" w:space="0" w:color="auto"/>
          </w:divBdr>
        </w:div>
        <w:div w:id="138882021">
          <w:marLeft w:val="0"/>
          <w:marRight w:val="0"/>
          <w:marTop w:val="0"/>
          <w:marBottom w:val="0"/>
          <w:divBdr>
            <w:top w:val="none" w:sz="0" w:space="0" w:color="auto"/>
            <w:left w:val="none" w:sz="0" w:space="0" w:color="auto"/>
            <w:bottom w:val="none" w:sz="0" w:space="0" w:color="auto"/>
            <w:right w:val="none" w:sz="0" w:space="0" w:color="auto"/>
          </w:divBdr>
        </w:div>
        <w:div w:id="323775471">
          <w:marLeft w:val="0"/>
          <w:marRight w:val="0"/>
          <w:marTop w:val="0"/>
          <w:marBottom w:val="0"/>
          <w:divBdr>
            <w:top w:val="none" w:sz="0" w:space="0" w:color="auto"/>
            <w:left w:val="none" w:sz="0" w:space="0" w:color="auto"/>
            <w:bottom w:val="none" w:sz="0" w:space="0" w:color="auto"/>
            <w:right w:val="none" w:sz="0" w:space="0" w:color="auto"/>
          </w:divBdr>
        </w:div>
        <w:div w:id="1306544158">
          <w:marLeft w:val="0"/>
          <w:marRight w:val="0"/>
          <w:marTop w:val="0"/>
          <w:marBottom w:val="0"/>
          <w:divBdr>
            <w:top w:val="none" w:sz="0" w:space="0" w:color="auto"/>
            <w:left w:val="none" w:sz="0" w:space="0" w:color="auto"/>
            <w:bottom w:val="none" w:sz="0" w:space="0" w:color="auto"/>
            <w:right w:val="none" w:sz="0" w:space="0" w:color="auto"/>
          </w:divBdr>
        </w:div>
        <w:div w:id="1098675741">
          <w:marLeft w:val="0"/>
          <w:marRight w:val="0"/>
          <w:marTop w:val="0"/>
          <w:marBottom w:val="0"/>
          <w:divBdr>
            <w:top w:val="none" w:sz="0" w:space="0" w:color="auto"/>
            <w:left w:val="none" w:sz="0" w:space="0" w:color="auto"/>
            <w:bottom w:val="none" w:sz="0" w:space="0" w:color="auto"/>
            <w:right w:val="none" w:sz="0" w:space="0" w:color="auto"/>
          </w:divBdr>
        </w:div>
        <w:div w:id="1874533500">
          <w:marLeft w:val="0"/>
          <w:marRight w:val="0"/>
          <w:marTop w:val="0"/>
          <w:marBottom w:val="0"/>
          <w:divBdr>
            <w:top w:val="none" w:sz="0" w:space="0" w:color="auto"/>
            <w:left w:val="none" w:sz="0" w:space="0" w:color="auto"/>
            <w:bottom w:val="none" w:sz="0" w:space="0" w:color="auto"/>
            <w:right w:val="none" w:sz="0" w:space="0" w:color="auto"/>
          </w:divBdr>
        </w:div>
      </w:divsChild>
    </w:div>
    <w:div w:id="1445882666">
      <w:bodyDiv w:val="1"/>
      <w:marLeft w:val="0"/>
      <w:marRight w:val="0"/>
      <w:marTop w:val="0"/>
      <w:marBottom w:val="0"/>
      <w:divBdr>
        <w:top w:val="none" w:sz="0" w:space="0" w:color="auto"/>
        <w:left w:val="none" w:sz="0" w:space="0" w:color="auto"/>
        <w:bottom w:val="none" w:sz="0" w:space="0" w:color="auto"/>
        <w:right w:val="none" w:sz="0" w:space="0" w:color="auto"/>
      </w:divBdr>
    </w:div>
    <w:div w:id="1465345494">
      <w:bodyDiv w:val="1"/>
      <w:marLeft w:val="0"/>
      <w:marRight w:val="0"/>
      <w:marTop w:val="0"/>
      <w:marBottom w:val="0"/>
      <w:divBdr>
        <w:top w:val="none" w:sz="0" w:space="0" w:color="auto"/>
        <w:left w:val="none" w:sz="0" w:space="0" w:color="auto"/>
        <w:bottom w:val="none" w:sz="0" w:space="0" w:color="auto"/>
        <w:right w:val="none" w:sz="0" w:space="0" w:color="auto"/>
      </w:divBdr>
    </w:div>
    <w:div w:id="1606694548">
      <w:bodyDiv w:val="1"/>
      <w:marLeft w:val="0"/>
      <w:marRight w:val="0"/>
      <w:marTop w:val="0"/>
      <w:marBottom w:val="0"/>
      <w:divBdr>
        <w:top w:val="none" w:sz="0" w:space="0" w:color="auto"/>
        <w:left w:val="none" w:sz="0" w:space="0" w:color="auto"/>
        <w:bottom w:val="none" w:sz="0" w:space="0" w:color="auto"/>
        <w:right w:val="none" w:sz="0" w:space="0" w:color="auto"/>
      </w:divBdr>
    </w:div>
    <w:div w:id="1867712182">
      <w:bodyDiv w:val="1"/>
      <w:marLeft w:val="0"/>
      <w:marRight w:val="0"/>
      <w:marTop w:val="0"/>
      <w:marBottom w:val="0"/>
      <w:divBdr>
        <w:top w:val="none" w:sz="0" w:space="0" w:color="auto"/>
        <w:left w:val="none" w:sz="0" w:space="0" w:color="auto"/>
        <w:bottom w:val="none" w:sz="0" w:space="0" w:color="auto"/>
        <w:right w:val="none" w:sz="0" w:space="0" w:color="auto"/>
      </w:divBdr>
    </w:div>
    <w:div w:id="206975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fugeeRight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opendemocracy.net/shinealight/john-grayson/pregnant-woman-g4s-asylum-housing" TargetMode="External"/><Relationship Id="rId13" Type="http://schemas.openxmlformats.org/officeDocument/2006/relationships/hyperlink" Target="https://www.refugeewomen.co.uk/campaign/research/" TargetMode="External"/><Relationship Id="rId18" Type="http://schemas.openxmlformats.org/officeDocument/2006/relationships/hyperlink" Target="https://www.amnesty.org.uk/files/2017-12/A%20Matter%20Of%20Routine%20ADVANCE%20COPY.PDF?ya06n1Z2uH6J0bP8HmO7R2Pn7nabDymO" TargetMode="External"/><Relationship Id="rId26" Type="http://schemas.openxmlformats.org/officeDocument/2006/relationships/hyperlink" Target="https://migrationobservatory.ox.ac.uk/resources/briefings/immigration-detention-in-the-uk/" TargetMode="External"/><Relationship Id="rId3" Type="http://schemas.openxmlformats.org/officeDocument/2006/relationships/hyperlink" Target="https://www.amnesty.org.uk/files/2017-12/A%20Matter%20Of%20Routine%20ADVANCE%20COPY.PDF?ya06n1Z2uH6J0bP8HmO7R2Pn7nabDymO" TargetMode="External"/><Relationship Id="rId21" Type="http://schemas.openxmlformats.org/officeDocument/2006/relationships/hyperlink" Target="https://www.amnesty.org.uk/files/2017-12/A%20Matter%20Of%20Routine%20ADVANCE%20COPY.PDF?ya06n1Z2uH6J0bP8HmO7R2Pn7nabDymO" TargetMode="External"/><Relationship Id="rId34" Type="http://schemas.openxmlformats.org/officeDocument/2006/relationships/hyperlink" Target="https://idcoalition.org/cap/" TargetMode="External"/><Relationship Id="rId7" Type="http://schemas.openxmlformats.org/officeDocument/2006/relationships/hyperlink" Target="https://www.opendemocracy.net/shinealight/g4s-securing-whose-world" TargetMode="External"/><Relationship Id="rId12" Type="http://schemas.openxmlformats.org/officeDocument/2006/relationships/hyperlink" Target="https://www.amnesty.org.uk/files/2017-12/A%20Matter%20Of%20Routine%20ADVANCE%20COPY.PDF?ya06n1Z2uH6J0bP8HmO7R2Pn7nabDymO" TargetMode="External"/><Relationship Id="rId17" Type="http://schemas.openxmlformats.org/officeDocument/2006/relationships/hyperlink" Target="https://migrationobservatory.ox.ac.uk/resources/briefings/immigration-detention-in-the-uk/" TargetMode="External"/><Relationship Id="rId25" Type="http://schemas.openxmlformats.org/officeDocument/2006/relationships/hyperlink" Target="https://www.amnesty.org.uk/files/2017-12/A%20Matter%20Of%20Routine%20ADVANCE%20COPY.PDF?ya06n1Z2uH6J0bP8HmO7R2Pn7nabDymO" TargetMode="External"/><Relationship Id="rId33" Type="http://schemas.openxmlformats.org/officeDocument/2006/relationships/hyperlink" Target="https://www.gov.uk/government/news/new-pilot-schemes-to-support-migrants-at-risk-of-detention" TargetMode="External"/><Relationship Id="rId2" Type="http://schemas.openxmlformats.org/officeDocument/2006/relationships/hyperlink" Target="https://migrationobservatory.ox.ac.uk/resources/briefings/immigration-detention-in-the-uk/" TargetMode="External"/><Relationship Id="rId16" Type="http://schemas.openxmlformats.org/officeDocument/2006/relationships/hyperlink" Target="https://publications.parliament.uk/pa/cm201719/cmselect/cmhaff/913/91310.htm" TargetMode="External"/><Relationship Id="rId20" Type="http://schemas.openxmlformats.org/officeDocument/2006/relationships/hyperlink" Target="https://www.libertyhumanrights.org.uk/campaigning/end-indefinite-detention/immigration-detention-faqs" TargetMode="External"/><Relationship Id="rId29" Type="http://schemas.openxmlformats.org/officeDocument/2006/relationships/hyperlink" Target="https://assets.publishing.service.gov.uk/government/uploads/system/uploads/attachment_data/file/490782/52532_Shaw_Review_Accessible.pdf" TargetMode="External"/><Relationship Id="rId1" Type="http://schemas.openxmlformats.org/officeDocument/2006/relationships/hyperlink" Target="https://www.legislation.gov.uk/ukpga/1971/77/contents" TargetMode="External"/><Relationship Id="rId6" Type="http://schemas.openxmlformats.org/officeDocument/2006/relationships/hyperlink" Target="http://www.g4s.com/" TargetMode="External"/><Relationship Id="rId11" Type="http://schemas.openxmlformats.org/officeDocument/2006/relationships/hyperlink" Target="https://www.amnesty.org.uk/files/2017-12/A%20Matter%20Of%20Routine%20ADVANCE%20COPY.PDF?ya06n1Z2uH6J0bP8HmO7R2Pn7nabDymO" TargetMode="External"/><Relationship Id="rId24" Type="http://schemas.openxmlformats.org/officeDocument/2006/relationships/hyperlink" Target="https://www.amnesty.org.uk/files/2017-12/A%20Matter%20Of%20Routine%20ADVANCE%20COPY.PDF?ya06n1Z2uH6J0bP8HmO7R2Pn7nabDymO" TargetMode="External"/><Relationship Id="rId32" Type="http://schemas.openxmlformats.org/officeDocument/2006/relationships/hyperlink" Target="https://www.amnesty.org.uk/files/2017-12/A%20Matter%20Of%20Routine%20ADVANCE%20COPY.PDF?ya06n1Z2uH6J0bP8HmO7R2Pn7nabDymO" TargetMode="External"/><Relationship Id="rId5" Type="http://schemas.openxmlformats.org/officeDocument/2006/relationships/hyperlink" Target="https://www.gov.uk/government/news/campsfield-house-immigration-removal-centre-to-close" TargetMode="External"/><Relationship Id="rId15" Type="http://schemas.openxmlformats.org/officeDocument/2006/relationships/hyperlink" Target="https://publications.parliament.uk/pa/cm201719/cmselect/cmhaff/913/91308.htm" TargetMode="External"/><Relationship Id="rId23" Type="http://schemas.openxmlformats.org/officeDocument/2006/relationships/hyperlink" Target="https://migrationobservatory.ox.ac.uk/resources/briefings/immigration-detention-in-the-uk/" TargetMode="External"/><Relationship Id="rId28" Type="http://schemas.openxmlformats.org/officeDocument/2006/relationships/hyperlink" Target="https://www.refugeewomen.co.uk/campaign/research/" TargetMode="External"/><Relationship Id="rId10" Type="http://schemas.openxmlformats.org/officeDocument/2006/relationships/hyperlink" Target="https://www.legislation.gov.uk/ukpga/1971/77/contents" TargetMode="External"/><Relationship Id="rId19" Type="http://schemas.openxmlformats.org/officeDocument/2006/relationships/hyperlink" Target="https://www.libertyhumanrights.org.uk/campaigning/end-indefinite-detention/immigration-detention-faqs" TargetMode="External"/><Relationship Id="rId31" Type="http://schemas.openxmlformats.org/officeDocument/2006/relationships/hyperlink" Target="http://refugeerights.org.uk/wp-content/uploads/2019/02/RRE_SeekingAsylum.pdf" TargetMode="External"/><Relationship Id="rId4" Type="http://schemas.openxmlformats.org/officeDocument/2006/relationships/hyperlink" Target="https://www.gov.uk/immigration-removal-centre" TargetMode="External"/><Relationship Id="rId9" Type="http://schemas.openxmlformats.org/officeDocument/2006/relationships/hyperlink" Target="http://corporate-responsibility.org/bid-take-legal-action-uk-government-designate-g4s-high-risk-supplier/" TargetMode="External"/><Relationship Id="rId14" Type="http://schemas.openxmlformats.org/officeDocument/2006/relationships/hyperlink" Target="https://www.libertyhumanrights.org.uk/campaigning/end-indefinite-detention/immigration-detention-faqs" TargetMode="External"/><Relationship Id="rId22" Type="http://schemas.openxmlformats.org/officeDocument/2006/relationships/hyperlink" Target="https://migrationobservatory.ox.ac.uk/resources/briefings/immigration-detention-in-the-uk/" TargetMode="External"/><Relationship Id="rId27" Type="http://schemas.openxmlformats.org/officeDocument/2006/relationships/hyperlink" Target="https://www.amnesty.org.uk/files/2017-12/A%20Matter%20Of%20Routine%20ADVANCE%20COPY.PDF?ya06n1Z2uH6J0bP8HmO7R2Pn7nabDymO" TargetMode="External"/><Relationship Id="rId30" Type="http://schemas.openxmlformats.org/officeDocument/2006/relationships/hyperlink" Target="https://www.refugeewomen.co.uk/wp-content/uploads/2019/01/women-for-refugee-women-reports-we-are-still-here.pdf" TargetMode="External"/><Relationship Id="rId35" Type="http://schemas.openxmlformats.org/officeDocument/2006/relationships/hyperlink" Target="http://refugeerights.org.uk/wp-content/uploads/2019/03/Letter-to-Home-Secretary-re-Detention.pdf?fbclid=IwAR1zUah9st23zILSHjXhUOy_o2G4tDk11toH4Ys--7B0jqZUbgCwknhuHN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9BDD0B-96A8-4C43-953D-7E8B35796E6A}">
  <ds:schemaRefs>
    <ds:schemaRef ds:uri="http://schemas.openxmlformats.org/officeDocument/2006/bibliography"/>
  </ds:schemaRefs>
</ds:datastoreItem>
</file>

<file path=customXml/itemProps2.xml><?xml version="1.0" encoding="utf-8"?>
<ds:datastoreItem xmlns:ds="http://schemas.openxmlformats.org/officeDocument/2006/customXml" ds:itemID="{063FAF47-9809-4DEF-8D80-E705BEBF65B0}"/>
</file>

<file path=customXml/itemProps3.xml><?xml version="1.0" encoding="utf-8"?>
<ds:datastoreItem xmlns:ds="http://schemas.openxmlformats.org/officeDocument/2006/customXml" ds:itemID="{9B17AC41-CE0F-4C3C-93CC-15813D05590E}"/>
</file>

<file path=customXml/itemProps4.xml><?xml version="1.0" encoding="utf-8"?>
<ds:datastoreItem xmlns:ds="http://schemas.openxmlformats.org/officeDocument/2006/customXml" ds:itemID="{A5F74AEF-15DD-4A31-B3D3-DE78D8DD5453}"/>
</file>

<file path=docProps/app.xml><?xml version="1.0" encoding="utf-8"?>
<Properties xmlns="http://schemas.openxmlformats.org/officeDocument/2006/extended-properties" xmlns:vt="http://schemas.openxmlformats.org/officeDocument/2006/docPropsVTypes">
  <Template>Normal.dotm</Template>
  <TotalTime>186</TotalTime>
  <Pages>7</Pages>
  <Words>2620</Words>
  <Characters>14939</Characters>
  <Application>Microsoft Office Word</Application>
  <DocSecurity>8</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Fleche Isabelle</cp:lastModifiedBy>
  <cp:revision>21</cp:revision>
  <dcterms:created xsi:type="dcterms:W3CDTF">2019-04-01T13:54:00Z</dcterms:created>
  <dcterms:modified xsi:type="dcterms:W3CDTF">2019-04-30T13:44:00Z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