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B7B" w:rsidRPr="009A6EF5" w:rsidRDefault="00030B7B" w:rsidP="00E12556">
      <w:pPr>
        <w:jc w:val="center"/>
        <w:rPr>
          <w:b/>
          <w:sz w:val="24"/>
          <w:szCs w:val="24"/>
        </w:rPr>
      </w:pPr>
      <w:bookmarkStart w:id="0" w:name="_GoBack"/>
      <w:bookmarkEnd w:id="0"/>
      <w:permStart w:id="1892616535" w:edGrp="everyone"/>
      <w:permEnd w:id="1892616535"/>
      <w:r w:rsidRPr="009A6EF5">
        <w:rPr>
          <w:b/>
          <w:sz w:val="24"/>
          <w:szCs w:val="24"/>
        </w:rPr>
        <w:t>Background Note</w:t>
      </w:r>
    </w:p>
    <w:p w:rsidR="00F03934" w:rsidRDefault="00F03934" w:rsidP="00E12556">
      <w:pPr>
        <w:jc w:val="center"/>
        <w:rPr>
          <w:b/>
          <w:sz w:val="24"/>
          <w:szCs w:val="24"/>
        </w:rPr>
      </w:pPr>
      <w:r>
        <w:rPr>
          <w:b/>
          <w:sz w:val="24"/>
          <w:szCs w:val="24"/>
        </w:rPr>
        <w:t>Expert Meeting, 21-22 November, Geneva</w:t>
      </w:r>
    </w:p>
    <w:p w:rsidR="00C86C89" w:rsidRDefault="00C86C89" w:rsidP="00E12556">
      <w:pPr>
        <w:jc w:val="center"/>
        <w:rPr>
          <w:b/>
          <w:sz w:val="24"/>
        </w:rPr>
      </w:pPr>
    </w:p>
    <w:p w:rsidR="00C86C89" w:rsidRPr="00332652" w:rsidRDefault="00C86C89" w:rsidP="004176E2">
      <w:pPr>
        <w:pStyle w:val="Heading1"/>
        <w:spacing w:before="0"/>
        <w:rPr>
          <w:rFonts w:asciiTheme="minorHAnsi" w:hAnsiTheme="minorHAnsi"/>
          <w:b/>
          <w:color w:val="auto"/>
          <w:sz w:val="24"/>
          <w:szCs w:val="22"/>
        </w:rPr>
      </w:pPr>
      <w:r w:rsidRPr="00332652">
        <w:rPr>
          <w:rFonts w:asciiTheme="minorHAnsi" w:hAnsiTheme="minorHAnsi"/>
          <w:b/>
          <w:color w:val="auto"/>
          <w:sz w:val="24"/>
          <w:szCs w:val="22"/>
        </w:rPr>
        <w:t>Introduction</w:t>
      </w:r>
    </w:p>
    <w:p w:rsidR="008A1255" w:rsidRPr="000618C3" w:rsidRDefault="008A1255" w:rsidP="008A1255">
      <w:r w:rsidRPr="000618C3">
        <w:t xml:space="preserve">This background paper is produced </w:t>
      </w:r>
      <w:r w:rsidR="004E00B1" w:rsidRPr="000618C3">
        <w:t xml:space="preserve">in preparation </w:t>
      </w:r>
      <w:r w:rsidR="00C45A34">
        <w:t>for</w:t>
      </w:r>
      <w:r w:rsidR="00C45A34" w:rsidRPr="000618C3">
        <w:t xml:space="preserve"> </w:t>
      </w:r>
      <w:r w:rsidRPr="000618C3">
        <w:t xml:space="preserve">a meeting of experts that will be convened by UN Women and OHCHR </w:t>
      </w:r>
      <w:r w:rsidR="00F03934" w:rsidRPr="000618C3">
        <w:t>to identify key issues and develop recommendations for addressing gender perspectives in the development of a global compact for safe, orderly and regular migration</w:t>
      </w:r>
      <w:r w:rsidR="00F03934" w:rsidRPr="000618C3">
        <w:rPr>
          <w:rStyle w:val="FootnoteReference"/>
        </w:rPr>
        <w:footnoteReference w:id="1"/>
      </w:r>
      <w:r w:rsidR="00F03934" w:rsidRPr="000618C3">
        <w:t xml:space="preserve"> and its subsequent implementation. </w:t>
      </w:r>
      <w:r w:rsidRPr="000618C3">
        <w:t>A primary aim of these recommendations will be to ensure</w:t>
      </w:r>
      <w:r w:rsidR="00000717" w:rsidRPr="000618C3">
        <w:t xml:space="preserve"> that</w:t>
      </w:r>
      <w:r w:rsidRPr="000618C3">
        <w:t xml:space="preserve"> th</w:t>
      </w:r>
      <w:r w:rsidR="0020359C" w:rsidRPr="000618C3">
        <w:t>e achievement of</w:t>
      </w:r>
      <w:r w:rsidRPr="000618C3">
        <w:t xml:space="preserve"> gender equality and the empowerment </w:t>
      </w:r>
      <w:r w:rsidR="006D34FB">
        <w:t xml:space="preserve">and human and labour rights </w:t>
      </w:r>
      <w:r w:rsidRPr="000618C3">
        <w:t>of</w:t>
      </w:r>
      <w:r w:rsidR="00D82C0C" w:rsidRPr="000618C3">
        <w:t xml:space="preserve"> all mig</w:t>
      </w:r>
      <w:r w:rsidRPr="000618C3">
        <w:t>rant women and girls</w:t>
      </w:r>
      <w:r w:rsidR="00AE292B" w:rsidRPr="000618C3">
        <w:t xml:space="preserve"> </w:t>
      </w:r>
      <w:r w:rsidR="00EA6DB2">
        <w:t xml:space="preserve">- </w:t>
      </w:r>
      <w:r w:rsidR="00AE292B" w:rsidRPr="000618C3">
        <w:t>irrespective of age, sexua</w:t>
      </w:r>
      <w:r w:rsidR="00000717" w:rsidRPr="000618C3">
        <w:t xml:space="preserve">lity, race, </w:t>
      </w:r>
      <w:r w:rsidR="00AE292B" w:rsidRPr="000618C3">
        <w:t>disability</w:t>
      </w:r>
      <w:r w:rsidR="005A597B">
        <w:t>, migration status,</w:t>
      </w:r>
      <w:r w:rsidR="00000717" w:rsidRPr="000618C3">
        <w:t xml:space="preserve"> or other </w:t>
      </w:r>
      <w:r w:rsidR="006F3D71">
        <w:t>identity markers</w:t>
      </w:r>
      <w:r w:rsidR="00EA6DB2">
        <w:t xml:space="preserve"> -</w:t>
      </w:r>
      <w:r w:rsidRPr="000618C3">
        <w:t xml:space="preserve"> are </w:t>
      </w:r>
      <w:r w:rsidR="0020359C" w:rsidRPr="000618C3">
        <w:t>central to the global compact</w:t>
      </w:r>
      <w:r w:rsidRPr="000618C3">
        <w:t>.</w:t>
      </w:r>
    </w:p>
    <w:p w:rsidR="008A1255" w:rsidRPr="000618C3" w:rsidRDefault="008A1255" w:rsidP="00E575FC"/>
    <w:p w:rsidR="00E575FC" w:rsidRPr="007A3999" w:rsidRDefault="00E575FC" w:rsidP="00E575FC">
      <w:pPr>
        <w:rPr>
          <w:b/>
        </w:rPr>
      </w:pPr>
      <w:r w:rsidRPr="000618C3">
        <w:t>This paper will</w:t>
      </w:r>
      <w:r w:rsidR="00F63CBF" w:rsidRPr="000618C3">
        <w:t xml:space="preserve"> briefly</w:t>
      </w:r>
      <w:r w:rsidRPr="000618C3">
        <w:t xml:space="preserve"> set out</w:t>
      </w:r>
      <w:r w:rsidR="00F63CBF" w:rsidRPr="000618C3">
        <w:t xml:space="preserve"> the</w:t>
      </w:r>
      <w:r w:rsidR="00141AAF" w:rsidRPr="000618C3">
        <w:t xml:space="preserve"> </w:t>
      </w:r>
      <w:r w:rsidR="00F63CBF" w:rsidRPr="000618C3">
        <w:t>existing in</w:t>
      </w:r>
      <w:r w:rsidR="00717A34" w:rsidRPr="000618C3">
        <w:t xml:space="preserve">ternational </w:t>
      </w:r>
      <w:r w:rsidR="008679BB">
        <w:t xml:space="preserve">legal and </w:t>
      </w:r>
      <w:r w:rsidR="00717A34" w:rsidRPr="000618C3">
        <w:t xml:space="preserve">normative framework </w:t>
      </w:r>
      <w:r w:rsidR="00141AAF" w:rsidRPr="000618C3">
        <w:t xml:space="preserve">as </w:t>
      </w:r>
      <w:r w:rsidR="00EA6DB2">
        <w:t>it</w:t>
      </w:r>
      <w:r w:rsidR="00EA6DB2" w:rsidRPr="000618C3">
        <w:t xml:space="preserve"> </w:t>
      </w:r>
      <w:r w:rsidR="00F63CBF" w:rsidRPr="000618C3">
        <w:t>respond</w:t>
      </w:r>
      <w:r w:rsidR="00EA6DB2">
        <w:t>s</w:t>
      </w:r>
      <w:r w:rsidR="00F63CBF" w:rsidRPr="000618C3">
        <w:t xml:space="preserve"> to the realities of migrant </w:t>
      </w:r>
      <w:r w:rsidR="00ED0268" w:rsidRPr="000618C3">
        <w:t>women</w:t>
      </w:r>
      <w:r w:rsidR="004E00B1" w:rsidRPr="000618C3">
        <w:t xml:space="preserve">. </w:t>
      </w:r>
      <w:r w:rsidR="00ED0268" w:rsidRPr="000618C3">
        <w:t>T</w:t>
      </w:r>
      <w:r w:rsidR="00141AAF" w:rsidRPr="000618C3">
        <w:t xml:space="preserve">he paper </w:t>
      </w:r>
      <w:r w:rsidR="006F3D71">
        <w:t>then provides an overview of</w:t>
      </w:r>
      <w:r w:rsidR="00141AAF" w:rsidRPr="000618C3">
        <w:t xml:space="preserve"> the </w:t>
      </w:r>
      <w:r w:rsidRPr="000618C3">
        <w:t>situation of migrant</w:t>
      </w:r>
      <w:r w:rsidR="00DA7929" w:rsidRPr="000618C3">
        <w:t xml:space="preserve"> </w:t>
      </w:r>
      <w:r w:rsidR="0020359C" w:rsidRPr="000618C3">
        <w:t>women</w:t>
      </w:r>
      <w:r w:rsidR="00141AAF" w:rsidRPr="000618C3">
        <w:t xml:space="preserve">. </w:t>
      </w:r>
      <w:r w:rsidR="002A1CD4">
        <w:t>Draft r</w:t>
      </w:r>
      <w:r w:rsidR="005A597B">
        <w:t xml:space="preserve">ecommendations on </w:t>
      </w:r>
      <w:r w:rsidR="00141AAF" w:rsidRPr="000618C3">
        <w:t xml:space="preserve"> addressing </w:t>
      </w:r>
      <w:r w:rsidR="002A1CD4">
        <w:t>gender in the global compact for</w:t>
      </w:r>
      <w:r w:rsidR="00141AAF" w:rsidRPr="000618C3">
        <w:t xml:space="preserve"> safe, orderly and regular migration of women are then set out briefly </w:t>
      </w:r>
      <w:r w:rsidRPr="000618C3">
        <w:t xml:space="preserve">through the lens of five thematic areas: </w:t>
      </w:r>
      <w:r w:rsidR="000618C3" w:rsidRPr="000618C3">
        <w:t xml:space="preserve">(1) </w:t>
      </w:r>
      <w:r w:rsidR="007A3999" w:rsidRPr="007A3999">
        <w:t>Developing evidence-based, gender-responsive migration policy</w:t>
      </w:r>
      <w:r w:rsidR="000618C3" w:rsidRPr="000618C3">
        <w:t xml:space="preserve">; (2) </w:t>
      </w:r>
      <w:r w:rsidR="006F3D71">
        <w:t xml:space="preserve">migrant </w:t>
      </w:r>
      <w:r w:rsidR="008679BB">
        <w:t>w</w:t>
      </w:r>
      <w:r w:rsidR="00717A34" w:rsidRPr="000618C3">
        <w:t>omen and girls’ access to human rights-based and gender-responsive services</w:t>
      </w:r>
      <w:r w:rsidR="000618C3" w:rsidRPr="000618C3">
        <w:t xml:space="preserve">; (3) </w:t>
      </w:r>
      <w:r w:rsidR="006F3D71">
        <w:t xml:space="preserve">migrant </w:t>
      </w:r>
      <w:r w:rsidR="008679BB">
        <w:t>w</w:t>
      </w:r>
      <w:r w:rsidR="000618C3" w:rsidRPr="000618C3">
        <w:t>o</w:t>
      </w:r>
      <w:r w:rsidR="00717A34" w:rsidRPr="000618C3">
        <w:t>men’</w:t>
      </w:r>
      <w:r w:rsidR="006F3D71">
        <w:t>s</w:t>
      </w:r>
      <w:r w:rsidR="007A3999">
        <w:t xml:space="preserve"> labour rights, </w:t>
      </w:r>
      <w:r w:rsidR="00717A34" w:rsidRPr="000618C3">
        <w:t>access to decent work</w:t>
      </w:r>
      <w:r w:rsidR="007A3999" w:rsidRPr="000618C3">
        <w:t xml:space="preserve"> and social protection</w:t>
      </w:r>
      <w:r w:rsidR="000618C3" w:rsidRPr="000618C3">
        <w:t xml:space="preserve">; (4) </w:t>
      </w:r>
      <w:r w:rsidR="008679BB">
        <w:t>w</w:t>
      </w:r>
      <w:r w:rsidR="00717A34" w:rsidRPr="000618C3">
        <w:t>omen’s human rights throughout the migration process (including at borders, in detention, residency status rights, and return and repatriation)</w:t>
      </w:r>
      <w:r w:rsidR="000618C3" w:rsidRPr="000618C3">
        <w:t xml:space="preserve">; </w:t>
      </w:r>
      <w:r w:rsidR="008679BB">
        <w:t xml:space="preserve">and </w:t>
      </w:r>
      <w:r w:rsidR="000618C3" w:rsidRPr="000618C3">
        <w:t xml:space="preserve">(5) </w:t>
      </w:r>
      <w:r w:rsidR="008679BB">
        <w:t>i</w:t>
      </w:r>
      <w:r w:rsidR="00717A34" w:rsidRPr="000618C3">
        <w:t>mproving migrant women’s access to empowering, safe, orderly and regular migration pathways</w:t>
      </w:r>
      <w:r w:rsidR="000618C3" w:rsidRPr="000618C3">
        <w:t xml:space="preserve">. </w:t>
      </w:r>
      <w:r w:rsidR="005A597B">
        <w:t>Drawing on evidence from global as well as regional contexts, this paper seeks to illustrate best practices, or successful approaches which recognize gender, and strengthen gender-responsive governance</w:t>
      </w:r>
      <w:r w:rsidRPr="000618C3">
        <w:t>.</w:t>
      </w:r>
    </w:p>
    <w:p w:rsidR="00F63CBF" w:rsidRDefault="00F63CBF" w:rsidP="00ED7BBF"/>
    <w:p w:rsidR="00570722" w:rsidRPr="004E00B1" w:rsidRDefault="004E00B1" w:rsidP="004176E2">
      <w:pPr>
        <w:pStyle w:val="Heading1"/>
        <w:spacing w:before="0"/>
        <w:rPr>
          <w:rFonts w:asciiTheme="minorHAnsi" w:hAnsiTheme="minorHAnsi"/>
          <w:b/>
          <w:color w:val="auto"/>
          <w:sz w:val="24"/>
          <w:szCs w:val="22"/>
        </w:rPr>
      </w:pPr>
      <w:r w:rsidRPr="004E00B1">
        <w:rPr>
          <w:rFonts w:asciiTheme="minorHAnsi" w:hAnsiTheme="minorHAnsi"/>
          <w:b/>
          <w:color w:val="auto"/>
          <w:sz w:val="24"/>
          <w:szCs w:val="22"/>
        </w:rPr>
        <w:t>Context</w:t>
      </w:r>
    </w:p>
    <w:p w:rsidR="00EA345F" w:rsidRDefault="00EA345F" w:rsidP="00EA345F">
      <w:pPr>
        <w:shd w:val="clear" w:color="auto" w:fill="FFFFFF"/>
      </w:pPr>
      <w:r>
        <w:t xml:space="preserve">During the Summit for Refugees and Migrants, Member States adopted the New York Declaration for Refugees and Migrants (A/RES/71/59), which expresses the political will of world leaders to protect the rights of refugees and migrants, to save lives and share responsibility for large population movements. The New York Declaration recognizes the specific vulnerabilities of women on the move (para 23) and makes commitments to ensure that responses mainstream a gender </w:t>
      </w:r>
      <w:proofErr w:type="gramStart"/>
      <w:r>
        <w:t>perspective</w:t>
      </w:r>
      <w:proofErr w:type="gramEnd"/>
      <w:r>
        <w:t>, promote gender equality and the empowerment of all women and girls, and respect and protect their rights (para 31). The New York Declaration also recognizes the significant contributions and leadership of women, committing to ensuring women’s full and meaningful participation in the development of local solutions (para 31). The New York Declaration refers to the existing international normative framework on the protection of migrant worker rights, calling upon States to ratify or accede to the ICRMW (para 48).</w:t>
      </w:r>
    </w:p>
    <w:p w:rsidR="00EA345F" w:rsidRDefault="00EA345F" w:rsidP="00EA345F">
      <w:pPr>
        <w:shd w:val="clear" w:color="auto" w:fill="FFFFFF"/>
      </w:pPr>
    </w:p>
    <w:p w:rsidR="00EA345F" w:rsidRDefault="00EA345F" w:rsidP="00EA345F">
      <w:pPr>
        <w:shd w:val="clear" w:color="auto" w:fill="FFFFFF"/>
      </w:pPr>
      <w:r>
        <w:lastRenderedPageBreak/>
        <w:t>Annex two of the New York Declaration, “Towards a global compact for safe, orderly and regular migration” (see annex) sets out a commitment to a process that will lead to the adoption of a new “Global compact for safe, orderly and regular migration”. The Global Compact is expected to stipulate a range of principles, commitments and understandings among Member States regarding international migration in all its dimensions, enhancing international coordination and cooperation on migrants and human mobility. The Global Compact is expected to address a number of key elements, including among other issues, protection of labour rights and a safe environment for migrant workers and those in precarious employment; protection of women migrant workers in all sectors; promotion of labour mobility, including circular migration (para8. q). The Global Compact will be elaborated through a process of intergovernmental negotiations, culminating in an intergovernmental conference on international migration in 2018 where the Global Compact will be presented for adoption.</w:t>
      </w:r>
      <w:r w:rsidRPr="005021D9">
        <w:t xml:space="preserve"> </w:t>
      </w:r>
      <w:r>
        <w:t xml:space="preserve">Preparations for this process have started, with the appointment by the President of the General Assembly in October of two co-facilitators who are tasked with finalizing a modalities resolution or the Summit by the end of January 2017 and negotiations on the Global Compact beginning thereafter.  </w:t>
      </w:r>
    </w:p>
    <w:p w:rsidR="00EA345F" w:rsidRPr="0032646B" w:rsidRDefault="00EA345F" w:rsidP="00EA345F">
      <w:pPr>
        <w:shd w:val="clear" w:color="auto" w:fill="FFFFFF"/>
      </w:pPr>
    </w:p>
    <w:p w:rsidR="00F50DE6" w:rsidRDefault="00B43CE8" w:rsidP="007D7D84">
      <w:r>
        <w:t>M</w:t>
      </w:r>
      <w:r w:rsidR="00892B78">
        <w:t xml:space="preserve">ember </w:t>
      </w:r>
      <w:r>
        <w:t>S</w:t>
      </w:r>
      <w:r w:rsidR="00570722">
        <w:t xml:space="preserve">tates </w:t>
      </w:r>
      <w:r w:rsidR="00892B78">
        <w:t xml:space="preserve">reaffirmed their </w:t>
      </w:r>
      <w:r w:rsidR="00570722">
        <w:t>commitment to implement</w:t>
      </w:r>
      <w:r w:rsidR="00892B78">
        <w:t>ing</w:t>
      </w:r>
      <w:r w:rsidR="00570722">
        <w:t xml:space="preserve"> the</w:t>
      </w:r>
      <w:r w:rsidR="00C45A34">
        <w:t xml:space="preserve"> </w:t>
      </w:r>
      <w:r w:rsidR="00570722">
        <w:t>Declaration and its annexes in accordance with international law (par</w:t>
      </w:r>
      <w:r w:rsidR="006F3D71">
        <w:t>a</w:t>
      </w:r>
      <w:r w:rsidR="009C47BA">
        <w:t>.</w:t>
      </w:r>
      <w:r w:rsidR="00570722">
        <w:t xml:space="preserve"> 21</w:t>
      </w:r>
      <w:r w:rsidR="00892B78">
        <w:t>)</w:t>
      </w:r>
      <w:r w:rsidR="00570722">
        <w:t>.</w:t>
      </w:r>
      <w:r>
        <w:rPr>
          <w:rStyle w:val="FootnoteReference"/>
        </w:rPr>
        <w:footnoteReference w:id="2"/>
      </w:r>
      <w:r w:rsidR="001F18AC">
        <w:t xml:space="preserve"> </w:t>
      </w:r>
      <w:r w:rsidR="00892B78">
        <w:t>Th</w:t>
      </w:r>
      <w:r>
        <w:t xml:space="preserve">ey also </w:t>
      </w:r>
      <w:r w:rsidR="00C53750">
        <w:t xml:space="preserve">committed </w:t>
      </w:r>
      <w:r w:rsidR="00892B78">
        <w:t xml:space="preserve">to </w:t>
      </w:r>
      <w:r w:rsidR="00C53750">
        <w:t xml:space="preserve">develop a </w:t>
      </w:r>
      <w:r w:rsidR="00916887">
        <w:t>g</w:t>
      </w:r>
      <w:r w:rsidR="00D75D03">
        <w:t xml:space="preserve">lobal </w:t>
      </w:r>
      <w:r w:rsidR="00916887">
        <w:t>c</w:t>
      </w:r>
      <w:r w:rsidR="00D75D03">
        <w:t xml:space="preserve">ompact on </w:t>
      </w:r>
      <w:r w:rsidR="00916887">
        <w:t>safe, orderly and regular m</w:t>
      </w:r>
      <w:r w:rsidR="00D75D03">
        <w:t>igration</w:t>
      </w:r>
      <w:r w:rsidR="00F50DE6">
        <w:t xml:space="preserve"> </w:t>
      </w:r>
      <w:r w:rsidR="00C45A34">
        <w:t xml:space="preserve">(Global Compact) </w:t>
      </w:r>
      <w:r w:rsidR="00C53750">
        <w:t xml:space="preserve">that promotes </w:t>
      </w:r>
      <w:r>
        <w:t xml:space="preserve">gender equality and the empowerment of women by agreeing that </w:t>
      </w:r>
      <w:r w:rsidR="008F3BBC">
        <w:t xml:space="preserve">the Global Compact would </w:t>
      </w:r>
      <w:r>
        <w:t xml:space="preserve">be </w:t>
      </w:r>
      <w:r w:rsidR="0064266E">
        <w:t>guided and informed by</w:t>
      </w:r>
      <w:r w:rsidR="00F50DE6">
        <w:t>:</w:t>
      </w:r>
    </w:p>
    <w:p w:rsidR="00E630C6" w:rsidRDefault="00E630C6" w:rsidP="007D7D84"/>
    <w:p w:rsidR="00F50DE6" w:rsidRDefault="0064266E" w:rsidP="004D79E3">
      <w:pPr>
        <w:pStyle w:val="ListParagraph"/>
        <w:numPr>
          <w:ilvl w:val="0"/>
          <w:numId w:val="3"/>
        </w:numPr>
      </w:pPr>
      <w:r>
        <w:rPr>
          <w:b/>
        </w:rPr>
        <w:t>The</w:t>
      </w:r>
      <w:r w:rsidR="00ED7BBF" w:rsidRPr="008F60F8">
        <w:rPr>
          <w:b/>
        </w:rPr>
        <w:t xml:space="preserve"> 2030 Agenda for Sustainable Development</w:t>
      </w:r>
      <w:r w:rsidR="00AB5D58">
        <w:t xml:space="preserve">, which </w:t>
      </w:r>
      <w:r w:rsidR="00972E9E">
        <w:t>is grounded</w:t>
      </w:r>
      <w:r w:rsidR="000620EB">
        <w:t xml:space="preserve"> in</w:t>
      </w:r>
      <w:r w:rsidR="00972E9E">
        <w:t xml:space="preserve"> international human rights treaties and </w:t>
      </w:r>
      <w:r w:rsidR="00AB5D58">
        <w:t>recognises that the systematic mainstreaming of a gender perspective in the implementation of the Agenda is crucial</w:t>
      </w:r>
      <w:r w:rsidR="000B5E82">
        <w:rPr>
          <w:rStyle w:val="FootnoteReference"/>
        </w:rPr>
        <w:footnoteReference w:id="3"/>
      </w:r>
      <w:r w:rsidR="006F3D71">
        <w:t>;</w:t>
      </w:r>
      <w:r w:rsidR="00526099">
        <w:t xml:space="preserve"> and includes </w:t>
      </w:r>
      <w:r w:rsidR="006F3D71">
        <w:t>in</w:t>
      </w:r>
      <w:r w:rsidR="00526099">
        <w:t xml:space="preserve"> Goal 5.</w:t>
      </w:r>
      <w:r>
        <w:t>c</w:t>
      </w:r>
      <w:r w:rsidR="00526099">
        <w:t xml:space="preserve"> the commitment to </w:t>
      </w:r>
      <w:r w:rsidR="007312D0">
        <w:t xml:space="preserve">adopt </w:t>
      </w:r>
      <w:r w:rsidR="00526099">
        <w:t>and strengthen sound policies and enforceable legislation for the promotion of gender equality and the empowerment of all women and girls</w:t>
      </w:r>
      <w:r w:rsidR="002D7D7C">
        <w:t xml:space="preserve"> in</w:t>
      </w:r>
      <w:r w:rsidR="002D7D7C" w:rsidRPr="002D7D7C">
        <w:t xml:space="preserve"> employment, leadership and decision-making</w:t>
      </w:r>
      <w:r w:rsidR="002D7D7C">
        <w:t xml:space="preserve"> </w:t>
      </w:r>
      <w:r w:rsidR="00526099">
        <w:t xml:space="preserve"> at all levels;</w:t>
      </w:r>
    </w:p>
    <w:p w:rsidR="00C86C89" w:rsidRDefault="0064266E" w:rsidP="004D79E3">
      <w:pPr>
        <w:pStyle w:val="ListParagraph"/>
        <w:numPr>
          <w:ilvl w:val="0"/>
          <w:numId w:val="3"/>
        </w:numPr>
      </w:pPr>
      <w:r>
        <w:rPr>
          <w:b/>
        </w:rPr>
        <w:t>The</w:t>
      </w:r>
      <w:r w:rsidR="00ED7BBF" w:rsidRPr="008F60F8">
        <w:rPr>
          <w:b/>
        </w:rPr>
        <w:t xml:space="preserve"> Addis Ababa Action Agenda of the Third International Conference on Financing for Development</w:t>
      </w:r>
      <w:r w:rsidR="00AB5D58">
        <w:t xml:space="preserve">, which reiterates the need for gender mainstreaming, including targeted actions and investments in the formulation and implementation of all financial, economic, environmental and social policies. </w:t>
      </w:r>
      <w:r>
        <w:t>It also includes a commitment</w:t>
      </w:r>
      <w:r w:rsidR="00AB5D58">
        <w:t xml:space="preserve"> to adopt and strengthen sound policies and enforceable legislation and transformative actions for the promotion of gender equality and women’s and girls’ empowerment at all levels, to ensure women’s equal rights, </w:t>
      </w:r>
      <w:r w:rsidR="00AB5D58">
        <w:lastRenderedPageBreak/>
        <w:t>access and opportunities for participation and leadership in the economy and to eliminate gender-based violence and discrimination in all its forms</w:t>
      </w:r>
      <w:r w:rsidR="000B5E82">
        <w:t xml:space="preserve"> (par 6)</w:t>
      </w:r>
      <w:r w:rsidR="00F50DE6">
        <w:t>;</w:t>
      </w:r>
      <w:r w:rsidR="000B5E82">
        <w:rPr>
          <w:rStyle w:val="FootnoteReference"/>
        </w:rPr>
        <w:footnoteReference w:id="4"/>
      </w:r>
      <w:r w:rsidR="00F50DE6">
        <w:t xml:space="preserve"> and </w:t>
      </w:r>
    </w:p>
    <w:p w:rsidR="00AB5D58" w:rsidRDefault="0064266E" w:rsidP="00042A8E">
      <w:pPr>
        <w:pStyle w:val="ListParagraph"/>
        <w:numPr>
          <w:ilvl w:val="0"/>
          <w:numId w:val="1"/>
        </w:numPr>
        <w:autoSpaceDE w:val="0"/>
        <w:autoSpaceDN w:val="0"/>
        <w:adjustRightInd w:val="0"/>
      </w:pPr>
      <w:r>
        <w:rPr>
          <w:b/>
        </w:rPr>
        <w:t xml:space="preserve">The </w:t>
      </w:r>
      <w:r w:rsidR="00ED7BBF" w:rsidRPr="008F60F8">
        <w:rPr>
          <w:b/>
        </w:rPr>
        <w:t>Declaration of the High-level Dialogue on International Migration and Development adopted in October 2013</w:t>
      </w:r>
      <w:r w:rsidR="00916887">
        <w:t>,</w:t>
      </w:r>
      <w:r w:rsidR="000B5E82">
        <w:t xml:space="preserve"> which </w:t>
      </w:r>
      <w:r w:rsidR="000620EB">
        <w:t>recognizes</w:t>
      </w:r>
      <w:r w:rsidR="000620EB" w:rsidRPr="007D7D84">
        <w:t xml:space="preserve"> </w:t>
      </w:r>
      <w:r w:rsidR="007D7D84" w:rsidRPr="007D7D84">
        <w:t>that women and girls account for almost half of all</w:t>
      </w:r>
      <w:r w:rsidR="007D7D84">
        <w:t xml:space="preserve"> </w:t>
      </w:r>
      <w:r w:rsidR="007D7D84" w:rsidRPr="007D7D84">
        <w:t>international migrants at the global level, and the need to address the special</w:t>
      </w:r>
      <w:r w:rsidR="007D7D84">
        <w:t xml:space="preserve"> </w:t>
      </w:r>
      <w:r w:rsidR="007D7D84" w:rsidRPr="007D7D84">
        <w:t>situation and vulnerability of migrant women and girls by, inter alia,</w:t>
      </w:r>
      <w:r w:rsidR="007D7D84">
        <w:t xml:space="preserve"> </w:t>
      </w:r>
      <w:r w:rsidR="007D7D84" w:rsidRPr="007D7D84">
        <w:t>incorporating a gender perspective into policies and strengthening national</w:t>
      </w:r>
      <w:r w:rsidR="007D7D84">
        <w:t xml:space="preserve"> </w:t>
      </w:r>
      <w:r w:rsidR="007D7D84" w:rsidRPr="007D7D84">
        <w:t>laws, institutions and programmes to combat gender-based violence</w:t>
      </w:r>
      <w:r w:rsidR="00326D79">
        <w:t xml:space="preserve"> (GBV)</w:t>
      </w:r>
      <w:r w:rsidR="007D7D84" w:rsidRPr="007D7D84">
        <w:t>, including</w:t>
      </w:r>
      <w:r w:rsidR="007D7D84">
        <w:t xml:space="preserve"> </w:t>
      </w:r>
      <w:r w:rsidR="007D7D84" w:rsidRPr="007D7D84">
        <w:t xml:space="preserve">trafficking in persons </w:t>
      </w:r>
      <w:r w:rsidR="007D7D84">
        <w:t>and discrimination against them</w:t>
      </w:r>
      <w:r w:rsidR="00ED7BBF" w:rsidRPr="00ED7BBF">
        <w:t>.</w:t>
      </w:r>
      <w:r w:rsidR="000B5E82">
        <w:rPr>
          <w:rStyle w:val="FootnoteReference"/>
        </w:rPr>
        <w:footnoteReference w:id="5"/>
      </w:r>
    </w:p>
    <w:p w:rsidR="00030B7B" w:rsidRDefault="00030B7B">
      <w:pPr>
        <w:rPr>
          <w:b/>
          <w:sz w:val="24"/>
        </w:rPr>
      </w:pPr>
    </w:p>
    <w:p w:rsidR="00555E70" w:rsidRDefault="00555E70" w:rsidP="00C21549">
      <w:pPr>
        <w:pStyle w:val="Heading1"/>
        <w:spacing w:before="0"/>
        <w:rPr>
          <w:rFonts w:asciiTheme="minorHAnsi" w:hAnsiTheme="minorHAnsi"/>
          <w:b/>
          <w:color w:val="auto"/>
          <w:sz w:val="24"/>
          <w:szCs w:val="22"/>
        </w:rPr>
      </w:pPr>
      <w:r>
        <w:rPr>
          <w:rFonts w:asciiTheme="minorHAnsi" w:hAnsiTheme="minorHAnsi"/>
          <w:b/>
          <w:color w:val="auto"/>
          <w:sz w:val="24"/>
          <w:szCs w:val="22"/>
        </w:rPr>
        <w:t>Existing global legal and normative framework</w:t>
      </w:r>
    </w:p>
    <w:p w:rsidR="008552A5" w:rsidRDefault="00D43DDF" w:rsidP="009628B4">
      <w:r>
        <w:t xml:space="preserve">Equality between women </w:t>
      </w:r>
      <w:r w:rsidR="00433EBF">
        <w:t xml:space="preserve">and men </w:t>
      </w:r>
      <w:r>
        <w:t xml:space="preserve">is a fundamental </w:t>
      </w:r>
      <w:r w:rsidR="00ED5264">
        <w:t xml:space="preserve">component </w:t>
      </w:r>
      <w:r>
        <w:t>of human rights</w:t>
      </w:r>
      <w:r w:rsidR="001D159C">
        <w:t xml:space="preserve"> law</w:t>
      </w:r>
      <w:r w:rsidR="00326D79">
        <w:t>,</w:t>
      </w:r>
      <w:r w:rsidR="00433EBF">
        <w:t xml:space="preserve"> and non-discrimination on the basis of sex is a key </w:t>
      </w:r>
      <w:r w:rsidR="001D159C">
        <w:t>pr</w:t>
      </w:r>
      <w:r w:rsidR="00D96D6E">
        <w:t>inciple</w:t>
      </w:r>
      <w:r w:rsidR="001D159C">
        <w:t xml:space="preserve"> </w:t>
      </w:r>
      <w:r w:rsidR="00D96D6E">
        <w:t xml:space="preserve">underscored throughout legal </w:t>
      </w:r>
      <w:r w:rsidR="00855178">
        <w:t xml:space="preserve">and normative </w:t>
      </w:r>
      <w:r w:rsidR="00D96D6E">
        <w:t>instruments</w:t>
      </w:r>
      <w:r w:rsidR="00433EBF">
        <w:t xml:space="preserve">. </w:t>
      </w:r>
      <w:r w:rsidR="00335922">
        <w:t xml:space="preserve">Both the International Covenant on Civil </w:t>
      </w:r>
      <w:r w:rsidR="00D96D6E">
        <w:t xml:space="preserve">and </w:t>
      </w:r>
      <w:r w:rsidR="00335922">
        <w:t>Political Rights</w:t>
      </w:r>
      <w:r w:rsidR="00A37A37">
        <w:rPr>
          <w:rStyle w:val="FootnoteReference"/>
        </w:rPr>
        <w:footnoteReference w:id="6"/>
      </w:r>
      <w:r w:rsidR="00335922">
        <w:t xml:space="preserve"> and the International Covenant on Economic, Social and Cultural Rights</w:t>
      </w:r>
      <w:r w:rsidR="00A37A37">
        <w:rPr>
          <w:rStyle w:val="FootnoteReference"/>
        </w:rPr>
        <w:footnoteReference w:id="7"/>
      </w:r>
      <w:r w:rsidR="00A37A37">
        <w:t xml:space="preserve"> </w:t>
      </w:r>
      <w:r w:rsidR="00335922">
        <w:t xml:space="preserve">prohibit discrimination based on sex </w:t>
      </w:r>
      <w:r w:rsidR="00ED5264">
        <w:t xml:space="preserve">for </w:t>
      </w:r>
      <w:r w:rsidR="00335922">
        <w:t xml:space="preserve">the enjoyment of all rights </w:t>
      </w:r>
      <w:r w:rsidR="00D96D6E">
        <w:t xml:space="preserve">secured </w:t>
      </w:r>
      <w:r w:rsidR="00335922">
        <w:t xml:space="preserve">within </w:t>
      </w:r>
      <w:r w:rsidR="00D96D6E">
        <w:t>the</w:t>
      </w:r>
      <w:r w:rsidR="00A37A37">
        <w:t>ir</w:t>
      </w:r>
      <w:r w:rsidR="00D96D6E">
        <w:t xml:space="preserve"> provisions</w:t>
      </w:r>
      <w:r w:rsidR="00335922">
        <w:t xml:space="preserve">. </w:t>
      </w:r>
      <w:r w:rsidR="009739FA">
        <w:t xml:space="preserve">Legal and normative instruments have subsequently been developed that </w:t>
      </w:r>
      <w:r w:rsidR="001C536F">
        <w:t>provide more detail</w:t>
      </w:r>
      <w:r w:rsidR="009739FA">
        <w:t xml:space="preserve"> on the particular needs and realities of women and migrants</w:t>
      </w:r>
      <w:r w:rsidR="00C45A34">
        <w:t>, an overview of which is provided below.</w:t>
      </w:r>
      <w:r w:rsidR="009739FA">
        <w:t xml:space="preserve"> </w:t>
      </w:r>
      <w:r w:rsidR="00326D79">
        <w:t>T</w:t>
      </w:r>
      <w:r w:rsidR="00335922">
        <w:t xml:space="preserve">he rights </w:t>
      </w:r>
      <w:r w:rsidR="009739FA">
        <w:t xml:space="preserve">contained in the international human rights conventions </w:t>
      </w:r>
      <w:r w:rsidR="00335922">
        <w:t>are universal and inalienable</w:t>
      </w:r>
      <w:r w:rsidR="00D96D6E">
        <w:t>,</w:t>
      </w:r>
      <w:r w:rsidR="00335922">
        <w:t xml:space="preserve"> and </w:t>
      </w:r>
      <w:r w:rsidR="00D96D6E">
        <w:t xml:space="preserve">are </w:t>
      </w:r>
      <w:r w:rsidR="00335922">
        <w:t>not dependent on citizenship or migration status.</w:t>
      </w:r>
      <w:r w:rsidR="00BA7E42">
        <w:rPr>
          <w:rStyle w:val="FootnoteReference"/>
        </w:rPr>
        <w:footnoteReference w:id="8"/>
      </w:r>
      <w:r w:rsidR="002E14DB">
        <w:t xml:space="preserve"> </w:t>
      </w:r>
      <w:r w:rsidR="009739FA">
        <w:t xml:space="preserve">As such, states of origin, transit and destination </w:t>
      </w:r>
      <w:r w:rsidR="00F21E1E">
        <w:t xml:space="preserve">are obligated to </w:t>
      </w:r>
      <w:r w:rsidR="009739FA">
        <w:t xml:space="preserve">protect </w:t>
      </w:r>
      <w:r w:rsidR="00F21E1E">
        <w:t xml:space="preserve">the rights of migrant women and girls </w:t>
      </w:r>
      <w:r w:rsidR="009739FA">
        <w:t>within the</w:t>
      </w:r>
      <w:r w:rsidR="001C536F">
        <w:t>ir</w:t>
      </w:r>
      <w:r w:rsidR="009739FA">
        <w:t xml:space="preserve"> territories</w:t>
      </w:r>
      <w:r w:rsidR="001C536F">
        <w:t>, regardless of</w:t>
      </w:r>
      <w:r w:rsidR="009739FA">
        <w:t xml:space="preserve"> nationality, origin,</w:t>
      </w:r>
      <w:r w:rsidR="00B653C5">
        <w:t xml:space="preserve"> religion</w:t>
      </w:r>
      <w:r w:rsidR="005A597B">
        <w:t xml:space="preserve">, race, </w:t>
      </w:r>
      <w:r w:rsidR="009739FA">
        <w:t>or immigration status.</w:t>
      </w:r>
      <w:r w:rsidR="009739FA">
        <w:rPr>
          <w:rStyle w:val="FootnoteReference"/>
        </w:rPr>
        <w:footnoteReference w:id="9"/>
      </w:r>
      <w:r w:rsidR="009739FA">
        <w:t xml:space="preserve"> </w:t>
      </w:r>
    </w:p>
    <w:p w:rsidR="00D65EE4" w:rsidRDefault="00D65EE4" w:rsidP="009628B4"/>
    <w:p w:rsidR="00EC4309" w:rsidRDefault="00EC4309" w:rsidP="009628B4">
      <w:pPr>
        <w:rPr>
          <w:i/>
        </w:rPr>
      </w:pPr>
      <w:r>
        <w:rPr>
          <w:i/>
        </w:rPr>
        <w:t xml:space="preserve">Existing legal and normative instruments: </w:t>
      </w:r>
    </w:p>
    <w:p w:rsidR="00697C15" w:rsidRDefault="009628B4" w:rsidP="009628B4">
      <w:r>
        <w:rPr>
          <w:i/>
        </w:rPr>
        <w:t xml:space="preserve">International Convention on the Elimination of </w:t>
      </w:r>
      <w:r w:rsidR="00EC4309">
        <w:rPr>
          <w:i/>
        </w:rPr>
        <w:t xml:space="preserve">All </w:t>
      </w:r>
      <w:r>
        <w:rPr>
          <w:i/>
        </w:rPr>
        <w:t>forms of Discrimination against Women</w:t>
      </w:r>
      <w:r w:rsidR="00326D79">
        <w:rPr>
          <w:i/>
        </w:rPr>
        <w:t xml:space="preserve"> (CEDAW)</w:t>
      </w:r>
      <w:r>
        <w:rPr>
          <w:i/>
        </w:rPr>
        <w:t>:</w:t>
      </w:r>
      <w:r>
        <w:t xml:space="preserve"> </w:t>
      </w:r>
      <w:r w:rsidR="00925189">
        <w:t xml:space="preserve">With </w:t>
      </w:r>
      <w:r w:rsidR="00697C15">
        <w:t>189 states parties</w:t>
      </w:r>
      <w:r w:rsidR="00925189">
        <w:t xml:space="preserve">, the </w:t>
      </w:r>
      <w:r w:rsidR="00697C15">
        <w:t xml:space="preserve">convention </w:t>
      </w:r>
      <w:r w:rsidR="00925189">
        <w:t xml:space="preserve">includes obligations </w:t>
      </w:r>
      <w:r w:rsidR="00697C15">
        <w:t>to suppress trafficking in women (Article 6); provide equal rights with me</w:t>
      </w:r>
      <w:r w:rsidR="00183673">
        <w:t>n</w:t>
      </w:r>
      <w:r w:rsidR="00697C15">
        <w:t xml:space="preserve"> to acquire, change or retain nationality (Article 9); eliminate discrimination against women in the field of employment (Article 11); eliminate discrimination against women in the field of health care and ensure access to health care including that related to family planning</w:t>
      </w:r>
      <w:r w:rsidR="005A597B">
        <w:t xml:space="preserve"> and specifically maternal care</w:t>
      </w:r>
      <w:r w:rsidR="00697C15">
        <w:t xml:space="preserve"> (Article 12); accord the same rights to women with regards to the law </w:t>
      </w:r>
      <w:r w:rsidR="00C17BD6">
        <w:t xml:space="preserve">in </w:t>
      </w:r>
      <w:r w:rsidR="00697C15">
        <w:t>relation to the movement of persons and the freedom to choose residence and domicile (Article 15.4).</w:t>
      </w:r>
    </w:p>
    <w:p w:rsidR="00D65EE4" w:rsidRPr="00697C15" w:rsidRDefault="00D65EE4" w:rsidP="009628B4"/>
    <w:p w:rsidR="00D65EE4" w:rsidRPr="00DB6D3D" w:rsidRDefault="009A2DA4" w:rsidP="009628B4">
      <w:pPr>
        <w:rPr>
          <w:rFonts w:cs="CMKAF M+ The Sans Light"/>
          <w:color w:val="000000"/>
        </w:rPr>
      </w:pPr>
      <w:r>
        <w:rPr>
          <w:rFonts w:cs="CMKAF M+ The Sans Light"/>
          <w:i/>
          <w:color w:val="000000"/>
        </w:rPr>
        <w:t xml:space="preserve">CEDAW </w:t>
      </w:r>
      <w:r w:rsidR="00D65EE4" w:rsidRPr="00697C15">
        <w:rPr>
          <w:rFonts w:cs="CMKAF M+ The Sans Light"/>
          <w:i/>
          <w:color w:val="000000"/>
        </w:rPr>
        <w:t>General Recommendation</w:t>
      </w:r>
      <w:r>
        <w:rPr>
          <w:rFonts w:cs="CMKAF M+ The Sans Light"/>
          <w:i/>
          <w:color w:val="000000"/>
        </w:rPr>
        <w:t>s:</w:t>
      </w:r>
      <w:r w:rsidR="00D65EE4" w:rsidRPr="00697C15">
        <w:rPr>
          <w:rFonts w:cs="CMKAF M+ The Sans Light"/>
          <w:i/>
          <w:color w:val="000000"/>
        </w:rPr>
        <w:t xml:space="preserve"> </w:t>
      </w:r>
      <w:r w:rsidR="000C333F" w:rsidRPr="000C333F">
        <w:rPr>
          <w:rFonts w:cs="CMKAF M+ The Sans Light"/>
          <w:color w:val="000000"/>
        </w:rPr>
        <w:t>The CEDAW Committee’s</w:t>
      </w:r>
      <w:r w:rsidR="000C333F">
        <w:rPr>
          <w:rFonts w:cs="CMKAF M+ The Sans Light"/>
          <w:i/>
          <w:color w:val="000000"/>
        </w:rPr>
        <w:t xml:space="preserve"> </w:t>
      </w:r>
      <w:r w:rsidR="00D06D32">
        <w:rPr>
          <w:rFonts w:cs="CMKAF M+ The Sans Light"/>
          <w:color w:val="000000"/>
        </w:rPr>
        <w:t>General Recommendation</w:t>
      </w:r>
      <w:r w:rsidR="00D06D32" w:rsidRPr="000C333F">
        <w:rPr>
          <w:rFonts w:cs="CMKAF M+ The Sans Light"/>
          <w:color w:val="000000"/>
        </w:rPr>
        <w:t xml:space="preserve"> </w:t>
      </w:r>
      <w:r w:rsidR="00D65EE4" w:rsidRPr="000C333F">
        <w:rPr>
          <w:rFonts w:cs="CMKAF M+ The Sans Light"/>
          <w:color w:val="000000"/>
        </w:rPr>
        <w:t>26</w:t>
      </w:r>
      <w:r w:rsidR="00D65EE4" w:rsidRPr="00697C15">
        <w:rPr>
          <w:rFonts w:cs="CMKAF M+ The Sans Light"/>
          <w:color w:val="000000"/>
        </w:rPr>
        <w:t xml:space="preserve"> addresses </w:t>
      </w:r>
      <w:r>
        <w:rPr>
          <w:rFonts w:cs="CMKAF M+ The Sans Light"/>
          <w:color w:val="000000"/>
        </w:rPr>
        <w:t xml:space="preserve">women migrant workers </w:t>
      </w:r>
      <w:r w:rsidR="00D65EE4" w:rsidRPr="00697C15">
        <w:rPr>
          <w:rFonts w:cs="CMKAF M+ The Sans Light"/>
          <w:color w:val="000000"/>
        </w:rPr>
        <w:t>in vulnerable situations</w:t>
      </w:r>
      <w:r>
        <w:rPr>
          <w:rFonts w:cs="CMKAF M+ The Sans Light"/>
          <w:color w:val="000000"/>
        </w:rPr>
        <w:t xml:space="preserve">, </w:t>
      </w:r>
      <w:r w:rsidR="00985D69">
        <w:rPr>
          <w:rFonts w:cs="CMKAF M+ The Sans Light"/>
          <w:color w:val="000000"/>
        </w:rPr>
        <w:t>as well as</w:t>
      </w:r>
      <w:r w:rsidR="00D65EE4" w:rsidRPr="00697C15">
        <w:rPr>
          <w:rFonts w:cs="CMKAF M+ The Sans Light"/>
          <w:color w:val="000000"/>
        </w:rPr>
        <w:t xml:space="preserve"> those who migrate for work, those who migrate as spousal dependents, and those who find themselves in undocumented situations.</w:t>
      </w:r>
      <w:r>
        <w:rPr>
          <w:rFonts w:cs="CMKAF M+ The Sans Light"/>
          <w:color w:val="000000"/>
        </w:rPr>
        <w:t xml:space="preserve"> </w:t>
      </w:r>
      <w:r w:rsidR="00D06D32">
        <w:rPr>
          <w:rFonts w:cs="CMKAF M+ The Sans Light"/>
          <w:color w:val="000000"/>
        </w:rPr>
        <w:t>General Recommendation</w:t>
      </w:r>
      <w:r w:rsidR="00701B99">
        <w:rPr>
          <w:rFonts w:cs="CMKAF M+ The Sans Light"/>
          <w:color w:val="000000"/>
        </w:rPr>
        <w:t xml:space="preserve"> 26</w:t>
      </w:r>
      <w:r w:rsidR="005A597B">
        <w:rPr>
          <w:rFonts w:cs="CMKAF M+ The Sans Light"/>
          <w:color w:val="000000"/>
        </w:rPr>
        <w:t xml:space="preserve"> outlines responsibilities specific to States of origin, transit and destination and</w:t>
      </w:r>
      <w:r w:rsidR="00701B99">
        <w:rPr>
          <w:rFonts w:cs="CMKAF M+ The Sans Light"/>
          <w:color w:val="000000"/>
        </w:rPr>
        <w:t xml:space="preserve"> provides: migration policy be gender responsive (para</w:t>
      </w:r>
      <w:r w:rsidR="004240B9">
        <w:rPr>
          <w:rFonts w:cs="CMKAF M+ The Sans Light"/>
          <w:color w:val="000000"/>
        </w:rPr>
        <w:t>.</w:t>
      </w:r>
      <w:r w:rsidR="00701B99">
        <w:rPr>
          <w:rFonts w:cs="CMKAF M+ The Sans Light"/>
          <w:color w:val="000000"/>
        </w:rPr>
        <w:t xml:space="preserve"> </w:t>
      </w:r>
      <w:proofErr w:type="gramStart"/>
      <w:r w:rsidR="00701B99">
        <w:rPr>
          <w:rFonts w:cs="CMKAF M+ The Sans Light"/>
          <w:color w:val="000000"/>
        </w:rPr>
        <w:t>23.</w:t>
      </w:r>
      <w:r w:rsidR="00EC4309">
        <w:rPr>
          <w:rFonts w:cs="CMKAF M+ The Sans Light"/>
          <w:color w:val="000000"/>
        </w:rPr>
        <w:t xml:space="preserve"> </w:t>
      </w:r>
      <w:r w:rsidR="00701B99">
        <w:rPr>
          <w:rFonts w:cs="CMKAF M+ The Sans Light"/>
          <w:color w:val="000000"/>
        </w:rPr>
        <w:t>(a)); that women migrant workers be involved in policy formulation (para</w:t>
      </w:r>
      <w:r w:rsidR="004240B9">
        <w:rPr>
          <w:rFonts w:cs="CMKAF M+ The Sans Light"/>
          <w:color w:val="000000"/>
        </w:rPr>
        <w:t>.</w:t>
      </w:r>
      <w:proofErr w:type="gramEnd"/>
      <w:r w:rsidR="00701B99">
        <w:rPr>
          <w:rFonts w:cs="CMKAF M+ The Sans Light"/>
          <w:color w:val="000000"/>
        </w:rPr>
        <w:t xml:space="preserve"> 23. (</w:t>
      </w:r>
      <w:proofErr w:type="gramStart"/>
      <w:r w:rsidR="00701B99">
        <w:rPr>
          <w:rFonts w:cs="CMKAF M+ The Sans Light"/>
          <w:color w:val="000000"/>
        </w:rPr>
        <w:t>b</w:t>
      </w:r>
      <w:proofErr w:type="gramEnd"/>
      <w:r w:rsidR="00701B99">
        <w:rPr>
          <w:rFonts w:cs="CMKAF M+ The Sans Light"/>
          <w:color w:val="000000"/>
        </w:rPr>
        <w:t xml:space="preserve">)); data reflect the situation of women migrant workers (23. </w:t>
      </w:r>
      <w:proofErr w:type="gramStart"/>
      <w:r w:rsidR="00701B99">
        <w:rPr>
          <w:rFonts w:cs="CMKAF M+ The Sans Light"/>
          <w:color w:val="000000"/>
        </w:rPr>
        <w:t>(c)); right to retain travel and ID documents (26.</w:t>
      </w:r>
      <w:proofErr w:type="gramEnd"/>
      <w:r w:rsidR="00701B99">
        <w:rPr>
          <w:rFonts w:cs="CMKAF M+ The Sans Light"/>
          <w:color w:val="000000"/>
        </w:rPr>
        <w:t xml:space="preserve"> (</w:t>
      </w:r>
      <w:proofErr w:type="gramStart"/>
      <w:r w:rsidR="00701B99">
        <w:rPr>
          <w:rFonts w:cs="CMKAF M+ The Sans Light"/>
          <w:color w:val="000000"/>
        </w:rPr>
        <w:t>d</w:t>
      </w:r>
      <w:proofErr w:type="gramEnd"/>
      <w:r w:rsidR="00701B99">
        <w:rPr>
          <w:rFonts w:cs="CMKAF M+ The Sans Light"/>
          <w:color w:val="000000"/>
        </w:rPr>
        <w:t>) and 24. (e));</w:t>
      </w:r>
      <w:r w:rsidR="00DB6D3D">
        <w:rPr>
          <w:rFonts w:cs="CMKAF M+ The Sans Light"/>
          <w:color w:val="000000"/>
        </w:rPr>
        <w:t xml:space="preserve"> </w:t>
      </w:r>
      <w:r w:rsidR="00701B99">
        <w:rPr>
          <w:rFonts w:cs="CMKAF M+ The Sans Light"/>
          <w:color w:val="000000"/>
        </w:rPr>
        <w:t>remittances</w:t>
      </w:r>
      <w:r w:rsidR="00DB6D3D">
        <w:rPr>
          <w:rFonts w:cs="CMKAF M+ The Sans Light"/>
          <w:color w:val="000000"/>
        </w:rPr>
        <w:t xml:space="preserve"> are safeguarded</w:t>
      </w:r>
      <w:r w:rsidR="00701B99">
        <w:rPr>
          <w:rFonts w:cs="CMKAF M+ The Sans Light"/>
          <w:color w:val="000000"/>
        </w:rPr>
        <w:t xml:space="preserve"> (24. (g));</w:t>
      </w:r>
      <w:r w:rsidR="00DB6D3D">
        <w:rPr>
          <w:rFonts w:cs="CMKAF M+ The Sans Light"/>
          <w:color w:val="000000"/>
        </w:rPr>
        <w:t xml:space="preserve"> that women in detention </w:t>
      </w:r>
      <w:r w:rsidR="004044E4">
        <w:rPr>
          <w:rFonts w:cs="CMKAF M+ The Sans Light"/>
          <w:color w:val="000000"/>
        </w:rPr>
        <w:t>do not</w:t>
      </w:r>
      <w:r w:rsidR="00DB6D3D">
        <w:rPr>
          <w:rFonts w:cs="CMKAF M+ The Sans Light"/>
          <w:color w:val="000000"/>
        </w:rPr>
        <w:t xml:space="preserve"> suffer discrimination (para</w:t>
      </w:r>
      <w:r w:rsidR="004240B9">
        <w:rPr>
          <w:rFonts w:cs="CMKAF M+ The Sans Light"/>
          <w:color w:val="000000"/>
        </w:rPr>
        <w:t>.</w:t>
      </w:r>
      <w:r w:rsidR="00701B99">
        <w:rPr>
          <w:rFonts w:cs="CMKAF M+ The Sans Light"/>
          <w:color w:val="000000"/>
        </w:rPr>
        <w:t xml:space="preserve"> </w:t>
      </w:r>
      <w:r w:rsidR="00DB6D3D">
        <w:rPr>
          <w:rFonts w:cs="CMKAF M+ The Sans Light"/>
          <w:color w:val="000000"/>
        </w:rPr>
        <w:t>25. (</w:t>
      </w:r>
      <w:proofErr w:type="gramStart"/>
      <w:r w:rsidR="00DB6D3D">
        <w:rPr>
          <w:rFonts w:cs="CMKAF M+ The Sans Light"/>
          <w:color w:val="000000"/>
        </w:rPr>
        <w:t>j</w:t>
      </w:r>
      <w:proofErr w:type="gramEnd"/>
      <w:r w:rsidR="00DB6D3D">
        <w:rPr>
          <w:rFonts w:cs="CMKAF M+ The Sans Light"/>
          <w:color w:val="000000"/>
        </w:rPr>
        <w:t>)); states should lift discriminatory bans on the movement of women (para</w:t>
      </w:r>
      <w:r w:rsidR="0012441E">
        <w:rPr>
          <w:rFonts w:cs="CMKAF M+ The Sans Light"/>
          <w:color w:val="000000"/>
        </w:rPr>
        <w:t>.</w:t>
      </w:r>
      <w:r w:rsidR="00DB6D3D">
        <w:rPr>
          <w:rFonts w:cs="CMKAF M+ The Sans Light"/>
          <w:color w:val="000000"/>
        </w:rPr>
        <w:t xml:space="preserve"> </w:t>
      </w:r>
      <w:proofErr w:type="gramStart"/>
      <w:r w:rsidR="00DB6D3D">
        <w:rPr>
          <w:rFonts w:cs="CMKAF M+ The Sans Light"/>
          <w:color w:val="000000"/>
        </w:rPr>
        <w:t>24. (a)); access to appropriate training pre-departure (para</w:t>
      </w:r>
      <w:r w:rsidR="0012441E">
        <w:rPr>
          <w:rFonts w:cs="CMKAF M+ The Sans Light"/>
          <w:color w:val="000000"/>
        </w:rPr>
        <w:t>.</w:t>
      </w:r>
      <w:proofErr w:type="gramEnd"/>
      <w:r w:rsidR="00DB6D3D">
        <w:rPr>
          <w:rFonts w:cs="CMKAF M+ The Sans Light"/>
          <w:color w:val="000000"/>
        </w:rPr>
        <w:t xml:space="preserve"> 24. (</w:t>
      </w:r>
      <w:proofErr w:type="gramStart"/>
      <w:r w:rsidR="00DB6D3D">
        <w:rPr>
          <w:rFonts w:cs="CMKAF M+ The Sans Light"/>
          <w:color w:val="000000"/>
        </w:rPr>
        <w:t>b</w:t>
      </w:r>
      <w:proofErr w:type="gramEnd"/>
      <w:r w:rsidR="00DB6D3D">
        <w:rPr>
          <w:rFonts w:cs="CMKAF M+ The Sans Light"/>
          <w:color w:val="000000"/>
        </w:rPr>
        <w:t>)); labour rights (para</w:t>
      </w:r>
      <w:r w:rsidR="0012441E">
        <w:rPr>
          <w:rFonts w:cs="CMKAF M+ The Sans Light"/>
          <w:color w:val="000000"/>
        </w:rPr>
        <w:t>.</w:t>
      </w:r>
      <w:r w:rsidR="00DB6D3D">
        <w:rPr>
          <w:rFonts w:cs="CMKAF M+ The Sans Light"/>
          <w:color w:val="000000"/>
        </w:rPr>
        <w:t xml:space="preserve"> 26. (</w:t>
      </w:r>
      <w:proofErr w:type="gramStart"/>
      <w:r w:rsidR="00DB6D3D">
        <w:rPr>
          <w:rFonts w:cs="CMKAF M+ The Sans Light"/>
          <w:color w:val="000000"/>
        </w:rPr>
        <w:t>b</w:t>
      </w:r>
      <w:proofErr w:type="gramEnd"/>
      <w:r w:rsidR="00DB6D3D">
        <w:rPr>
          <w:rFonts w:cs="CMKAF M+ The Sans Light"/>
          <w:color w:val="000000"/>
        </w:rPr>
        <w:t>)); access to health and social services (para</w:t>
      </w:r>
      <w:r w:rsidR="0012441E">
        <w:rPr>
          <w:rFonts w:cs="CMKAF M+ The Sans Light"/>
          <w:color w:val="000000"/>
        </w:rPr>
        <w:t>.</w:t>
      </w:r>
      <w:r w:rsidR="00DB6D3D">
        <w:rPr>
          <w:rFonts w:cs="CMKAF M+ The Sans Light"/>
          <w:color w:val="000000"/>
        </w:rPr>
        <w:t xml:space="preserve"> </w:t>
      </w:r>
      <w:proofErr w:type="gramStart"/>
      <w:r w:rsidR="00DB6D3D">
        <w:rPr>
          <w:rFonts w:cs="CMKAF M+ The Sans Light"/>
          <w:color w:val="000000"/>
        </w:rPr>
        <w:t>26. (</w:t>
      </w:r>
      <w:proofErr w:type="spellStart"/>
      <w:r w:rsidR="00DB6D3D">
        <w:rPr>
          <w:rFonts w:cs="CMKAF M+ The Sans Light"/>
          <w:color w:val="000000"/>
        </w:rPr>
        <w:t>i</w:t>
      </w:r>
      <w:proofErr w:type="spellEnd"/>
      <w:r w:rsidR="00DB6D3D">
        <w:rPr>
          <w:rFonts w:cs="CMKAF M+ The Sans Light"/>
          <w:color w:val="000000"/>
        </w:rPr>
        <w:t>)); access to legal and administrative assistance (para</w:t>
      </w:r>
      <w:r w:rsidR="0012441E">
        <w:rPr>
          <w:rFonts w:cs="CMKAF M+ The Sans Light"/>
          <w:color w:val="000000"/>
        </w:rPr>
        <w:t>.</w:t>
      </w:r>
      <w:proofErr w:type="gramEnd"/>
      <w:r w:rsidR="00DB6D3D">
        <w:rPr>
          <w:rFonts w:cs="CMKAF M+ The Sans Light"/>
          <w:color w:val="000000"/>
        </w:rPr>
        <w:t xml:space="preserve"> 24. (</w:t>
      </w:r>
      <w:proofErr w:type="gramStart"/>
      <w:r w:rsidR="00DB6D3D">
        <w:rPr>
          <w:rFonts w:cs="CMKAF M+ The Sans Light"/>
          <w:color w:val="000000"/>
        </w:rPr>
        <w:t>f</w:t>
      </w:r>
      <w:proofErr w:type="gramEnd"/>
      <w:r w:rsidR="00DB6D3D">
        <w:rPr>
          <w:rFonts w:cs="CMKAF M+ The Sans Light"/>
          <w:color w:val="000000"/>
        </w:rPr>
        <w:t>)); better cooperation between states (para</w:t>
      </w:r>
      <w:r w:rsidR="0012441E">
        <w:rPr>
          <w:rFonts w:cs="CMKAF M+ The Sans Light"/>
          <w:color w:val="000000"/>
        </w:rPr>
        <w:t>.</w:t>
      </w:r>
      <w:r w:rsidR="00DB6D3D">
        <w:rPr>
          <w:rFonts w:cs="CMKAF M+ The Sans Light"/>
          <w:color w:val="000000"/>
        </w:rPr>
        <w:t xml:space="preserve"> </w:t>
      </w:r>
      <w:proofErr w:type="gramStart"/>
      <w:r w:rsidR="00DB6D3D">
        <w:rPr>
          <w:rFonts w:cs="CMKAF M+ The Sans Light"/>
          <w:color w:val="000000"/>
        </w:rPr>
        <w:t>27. (a) and (b)).</w:t>
      </w:r>
      <w:proofErr w:type="gramEnd"/>
      <w:r w:rsidR="00DB6D3D">
        <w:rPr>
          <w:rFonts w:cs="CMKAF M+ The Sans Light"/>
          <w:color w:val="000000"/>
        </w:rPr>
        <w:t xml:space="preserve"> </w:t>
      </w:r>
      <w:r>
        <w:rPr>
          <w:rFonts w:cs="CMKAF M+ The Sans Light"/>
          <w:color w:val="000000"/>
        </w:rPr>
        <w:t xml:space="preserve">General Recommendation 9 highlights the importance of </w:t>
      </w:r>
      <w:r w:rsidR="00D06D32">
        <w:rPr>
          <w:rFonts w:cs="CMKAF M+ The Sans Light"/>
          <w:color w:val="000000"/>
        </w:rPr>
        <w:t>sex-</w:t>
      </w:r>
      <w:r>
        <w:rPr>
          <w:rFonts w:cs="CMKAF M+ The Sans Light"/>
          <w:color w:val="000000"/>
        </w:rPr>
        <w:t xml:space="preserve">disaggregated data to the promotion and protection of women’s rights. </w:t>
      </w:r>
      <w:r w:rsidR="00701B99">
        <w:rPr>
          <w:rFonts w:cs="CMKAF M+ The Sans Light"/>
          <w:color w:val="000000"/>
        </w:rPr>
        <w:t xml:space="preserve">General Recommendation 24 on women and health provides that measures to eliminate discrimination in health care are inappropriate if services do not prevent, detect and treat illnesses specific to women. </w:t>
      </w:r>
      <w:r w:rsidR="00183673">
        <w:rPr>
          <w:rFonts w:cs="CMKAF M+ The Sans Light"/>
          <w:color w:val="000000"/>
        </w:rPr>
        <w:t>General Recommendation 33 on women’s access to justice recognises that women migrants may find it harder to access justice</w:t>
      </w:r>
      <w:r w:rsidR="00ED5264">
        <w:rPr>
          <w:rFonts w:cs="CMKAF M+ The Sans Light"/>
          <w:color w:val="000000"/>
        </w:rPr>
        <w:t>,</w:t>
      </w:r>
      <w:r w:rsidR="00183673">
        <w:rPr>
          <w:rFonts w:cs="CMKAF M+ The Sans Light"/>
          <w:color w:val="000000"/>
        </w:rPr>
        <w:t xml:space="preserve"> </w:t>
      </w:r>
      <w:r w:rsidR="00ED5264">
        <w:rPr>
          <w:rFonts w:cs="CMKAF M+ The Sans Light"/>
          <w:color w:val="000000"/>
        </w:rPr>
        <w:t xml:space="preserve">are </w:t>
      </w:r>
      <w:r w:rsidR="00183673">
        <w:rPr>
          <w:rFonts w:cs="CMKAF M+ The Sans Light"/>
          <w:color w:val="000000"/>
        </w:rPr>
        <w:t xml:space="preserve">more likely to be criminalised for their migration status, </w:t>
      </w:r>
      <w:r w:rsidR="00ED5264">
        <w:rPr>
          <w:rFonts w:cs="CMKAF M+ The Sans Light"/>
          <w:color w:val="000000"/>
        </w:rPr>
        <w:t xml:space="preserve">and provides </w:t>
      </w:r>
      <w:r w:rsidR="00183673">
        <w:rPr>
          <w:rFonts w:cs="CMKAF M+ The Sans Light"/>
          <w:color w:val="000000"/>
        </w:rPr>
        <w:t xml:space="preserve">that migrant women should have equal access to justice mechanisms.  </w:t>
      </w:r>
    </w:p>
    <w:p w:rsidR="009628B4" w:rsidRDefault="009628B4" w:rsidP="009628B4"/>
    <w:p w:rsidR="009628B4" w:rsidRDefault="009628B4" w:rsidP="009628B4">
      <w:r>
        <w:rPr>
          <w:i/>
        </w:rPr>
        <w:t xml:space="preserve">International Convention on the </w:t>
      </w:r>
      <w:r w:rsidR="00BF2402">
        <w:rPr>
          <w:i/>
        </w:rPr>
        <w:t xml:space="preserve">Protection of the </w:t>
      </w:r>
      <w:r>
        <w:rPr>
          <w:i/>
        </w:rPr>
        <w:t xml:space="preserve">Rights of </w:t>
      </w:r>
      <w:r w:rsidR="00BF2402">
        <w:rPr>
          <w:i/>
        </w:rPr>
        <w:t xml:space="preserve">All </w:t>
      </w:r>
      <w:r>
        <w:rPr>
          <w:i/>
        </w:rPr>
        <w:t xml:space="preserve">Migrant Workers and </w:t>
      </w:r>
      <w:r w:rsidR="00ED5264">
        <w:rPr>
          <w:i/>
        </w:rPr>
        <w:t>M</w:t>
      </w:r>
      <w:r>
        <w:rPr>
          <w:i/>
        </w:rPr>
        <w:t xml:space="preserve">embers of </w:t>
      </w:r>
      <w:r w:rsidR="00BF2402">
        <w:rPr>
          <w:i/>
        </w:rPr>
        <w:t xml:space="preserve">Their </w:t>
      </w:r>
      <w:r>
        <w:rPr>
          <w:i/>
        </w:rPr>
        <w:t>Families</w:t>
      </w:r>
      <w:r w:rsidR="00D06D32">
        <w:rPr>
          <w:i/>
        </w:rPr>
        <w:t xml:space="preserve"> (ICRMW)</w:t>
      </w:r>
      <w:r>
        <w:rPr>
          <w:i/>
        </w:rPr>
        <w:t>:</w:t>
      </w:r>
      <w:r w:rsidR="00D06D32" w:rsidRPr="009E1ABA">
        <w:t xml:space="preserve"> ICRMW</w:t>
      </w:r>
      <w:r>
        <w:t xml:space="preserve"> </w:t>
      </w:r>
      <w:r w:rsidR="009A2DA4">
        <w:t xml:space="preserve">provides for the rights of migrant workers and their families without distinction on the grounds of sex (Article 1); </w:t>
      </w:r>
      <w:r w:rsidR="00183673">
        <w:t>that no migrant worker be held in slavery or be required to perform compulsory labour (Article 11); the right to receive urgent medical care on the basis of equality with nationals (Article 28); the right to equality of treatment in access</w:t>
      </w:r>
      <w:r w:rsidR="009E1ABA">
        <w:t>ing</w:t>
      </w:r>
      <w:r w:rsidR="00183673">
        <w:t xml:space="preserve"> educational services, vocational services, housing, social and health services and participation in cultural life (Article 43); the unity of the family be protected (Article 44 and 50); cooperation </w:t>
      </w:r>
      <w:r w:rsidR="00701B99">
        <w:t>between</w:t>
      </w:r>
      <w:r w:rsidR="00183673">
        <w:t xml:space="preserve"> states to promote sound, </w:t>
      </w:r>
      <w:r w:rsidR="00701B99">
        <w:t>equitable</w:t>
      </w:r>
      <w:r w:rsidR="00183673">
        <w:t xml:space="preserve"> and humane </w:t>
      </w:r>
      <w:r w:rsidR="00701B99">
        <w:t xml:space="preserve">conditions for migrant workers, in relation to labour, social, economic and cultural needs (Article 64); </w:t>
      </w:r>
      <w:r w:rsidR="009E1ABA">
        <w:t xml:space="preserve">and </w:t>
      </w:r>
      <w:r w:rsidR="00701B99">
        <w:t>that states collaborate to prevent illegal or clandestine movements and employment of migrant workers in an irregular situation (article 68 and 69).</w:t>
      </w:r>
      <w:r w:rsidR="00183673">
        <w:t xml:space="preserve"> </w:t>
      </w:r>
    </w:p>
    <w:p w:rsidR="00C555DD" w:rsidRDefault="00C555DD" w:rsidP="009628B4"/>
    <w:p w:rsidR="00BA7E42" w:rsidRPr="00AF4F80" w:rsidRDefault="00AF4F80" w:rsidP="009628B4">
      <w:r>
        <w:rPr>
          <w:i/>
        </w:rPr>
        <w:t xml:space="preserve">ICRMW General Comments: </w:t>
      </w:r>
      <w:r>
        <w:t xml:space="preserve">The ICRMW Committee’s General Comment No. 1 notes the </w:t>
      </w:r>
      <w:r w:rsidR="00921642">
        <w:t>o</w:t>
      </w:r>
      <w:r>
        <w:t>m</w:t>
      </w:r>
      <w:r w:rsidR="00921642">
        <w:t>i</w:t>
      </w:r>
      <w:r>
        <w:t>ssion of express references to either domestic work or domestic workers in a broad range of national and international frameworks of law and provides guidance on how States can implement their obligations under the ICRMW with respect to migrant domestic workers. The General Comment No. 1 provides that</w:t>
      </w:r>
      <w:r w:rsidR="00E25526">
        <w:t>:</w:t>
      </w:r>
      <w:r>
        <w:t xml:space="preserve"> States provide information on rights</w:t>
      </w:r>
      <w:r w:rsidR="00E25526">
        <w:t xml:space="preserve"> and prepare</w:t>
      </w:r>
      <w:r>
        <w:t xml:space="preserve"> nationals looking to </w:t>
      </w:r>
      <w:r w:rsidR="00E25526">
        <w:t xml:space="preserve">migrate for domestic work (para. 28 to 30); States of origin, transit and employment share the responsibility for regulating and monitoring recruitment and placement of domestic workers (para. 31); that States regulate and monitor recruitment agencies (para. 33); the rights of migrant domestic workers be properly regulated by national legislation (para. 37); migrant domestic workers be granted access to social security benefits on the basis of equal treatment with nationals (para. 42); and that domestic workers have access to complaint and justice mechanisms (para. 49). General Comment No. 2 addresses the rights of migrant workers in an irregular situation and members of their families and in particular provides that States should ensure that occupations dominated by women migrant workers, such as domestic work and some forms of entertainment, be protected by labour laws and subject to inspections (para. 60). It also provides that migrant women have access to appropriate prenatal and postnatal health care, safe reproductive health services and to emergency </w:t>
      </w:r>
      <w:r w:rsidR="00921642">
        <w:t>obstetric</w:t>
      </w:r>
      <w:r w:rsidR="00E25526">
        <w:t xml:space="preserve"> care (para. 72).</w:t>
      </w:r>
    </w:p>
    <w:p w:rsidR="00BA7E42" w:rsidRDefault="00BA7E42" w:rsidP="009628B4"/>
    <w:p w:rsidR="00C555DD" w:rsidRPr="00C555DD" w:rsidRDefault="00C555DD" w:rsidP="009628B4">
      <w:pPr>
        <w:rPr>
          <w:b/>
        </w:rPr>
      </w:pPr>
      <w:r>
        <w:rPr>
          <w:i/>
        </w:rPr>
        <w:t xml:space="preserve">International Convention on the Elimination of All Forms of Racial Discrimination (CERD) General Recommendation 25 on gendered-related dimensions of racial discrimination: </w:t>
      </w:r>
      <w:r>
        <w:t>The Committee on the Elimination of Racial Discrimination sought to elaborate States</w:t>
      </w:r>
      <w:r w:rsidR="00BF2402">
        <w:t xml:space="preserve">’ </w:t>
      </w:r>
      <w:r>
        <w:t>obligation</w:t>
      </w:r>
      <w:r w:rsidR="00BF2402">
        <w:t>s</w:t>
      </w:r>
      <w:r>
        <w:t xml:space="preserve"> to address prevailing gender relations and the persistence of gender-based stereotypes that affect women</w:t>
      </w:r>
      <w:r w:rsidR="00BF2402">
        <w:t>,</w:t>
      </w:r>
      <w:r>
        <w:t xml:space="preserve"> not only through individual acts by individuals</w:t>
      </w:r>
      <w:r w:rsidR="00BF2402">
        <w:t>,</w:t>
      </w:r>
      <w:r>
        <w:t xml:space="preserve"> but also in law, and legal and societal structures and institutions (para</w:t>
      </w:r>
      <w:r w:rsidR="00290F11">
        <w:t>.</w:t>
      </w:r>
      <w:r>
        <w:t xml:space="preserve"> 7).</w:t>
      </w:r>
    </w:p>
    <w:p w:rsidR="009628B4" w:rsidRPr="00701B99" w:rsidRDefault="009628B4" w:rsidP="00701B99"/>
    <w:p w:rsidR="009628B4" w:rsidRDefault="009628B4" w:rsidP="00FF21B2">
      <w:pPr>
        <w:pStyle w:val="Pa45"/>
        <w:spacing w:after="40" w:line="276" w:lineRule="auto"/>
        <w:jc w:val="both"/>
        <w:rPr>
          <w:rFonts w:asciiTheme="minorHAnsi" w:hAnsiTheme="minorHAnsi"/>
          <w:sz w:val="22"/>
          <w:szCs w:val="22"/>
        </w:rPr>
      </w:pPr>
      <w:r w:rsidRPr="00701B99">
        <w:rPr>
          <w:rFonts w:asciiTheme="minorHAnsi" w:hAnsiTheme="minorHAnsi"/>
          <w:i/>
          <w:sz w:val="22"/>
          <w:szCs w:val="22"/>
        </w:rPr>
        <w:t>ILO Conventions:</w:t>
      </w:r>
      <w:r w:rsidRPr="00701B99">
        <w:rPr>
          <w:rFonts w:asciiTheme="minorHAnsi" w:hAnsiTheme="minorHAnsi"/>
          <w:sz w:val="22"/>
          <w:szCs w:val="22"/>
        </w:rPr>
        <w:t xml:space="preserve"> </w:t>
      </w:r>
      <w:r w:rsidR="001E719D">
        <w:rPr>
          <w:rFonts w:asciiTheme="minorHAnsi" w:hAnsiTheme="minorHAnsi"/>
          <w:sz w:val="22"/>
          <w:szCs w:val="22"/>
        </w:rPr>
        <w:t>All international labour standards apply to all workers, irrespective of their nationality and migration status, unless otherwise specified.</w:t>
      </w:r>
      <w:r w:rsidR="00B25785" w:rsidRPr="00B25785">
        <w:rPr>
          <w:rFonts w:asciiTheme="minorHAnsi" w:hAnsiTheme="minorHAnsi"/>
          <w:sz w:val="22"/>
          <w:szCs w:val="22"/>
        </w:rPr>
        <w:t xml:space="preserve"> </w:t>
      </w:r>
      <w:r w:rsidR="00FF21B2">
        <w:rPr>
          <w:rFonts w:asciiTheme="minorHAnsi" w:hAnsiTheme="minorHAnsi"/>
          <w:sz w:val="22"/>
          <w:szCs w:val="22"/>
        </w:rPr>
        <w:t xml:space="preserve">As such, the </w:t>
      </w:r>
      <w:r w:rsidR="00B25785" w:rsidRPr="00B25785">
        <w:rPr>
          <w:rFonts w:asciiTheme="minorHAnsi" w:hAnsiTheme="minorHAnsi"/>
          <w:sz w:val="22"/>
          <w:szCs w:val="22"/>
        </w:rPr>
        <w:t xml:space="preserve">widely ratified ILO conventions of general application – such as those dealing with labour inspection, protection of wages, and safety and health at work – </w:t>
      </w:r>
      <w:r w:rsidR="00FF21B2">
        <w:rPr>
          <w:rFonts w:asciiTheme="minorHAnsi" w:hAnsiTheme="minorHAnsi"/>
          <w:sz w:val="22"/>
          <w:szCs w:val="22"/>
        </w:rPr>
        <w:t xml:space="preserve">apply </w:t>
      </w:r>
      <w:r w:rsidR="00613BF4">
        <w:rPr>
          <w:rFonts w:asciiTheme="minorHAnsi" w:hAnsiTheme="minorHAnsi"/>
          <w:sz w:val="22"/>
          <w:szCs w:val="22"/>
        </w:rPr>
        <w:t xml:space="preserve">to migrant women workers. </w:t>
      </w:r>
      <w:r w:rsidR="00FF21B2">
        <w:rPr>
          <w:rFonts w:asciiTheme="minorHAnsi" w:hAnsiTheme="minorHAnsi"/>
          <w:sz w:val="22"/>
          <w:szCs w:val="22"/>
        </w:rPr>
        <w:t>Also, a</w:t>
      </w:r>
      <w:r w:rsidR="00B25785" w:rsidRPr="00B25785">
        <w:rPr>
          <w:rFonts w:asciiTheme="minorHAnsi" w:hAnsiTheme="minorHAnsi"/>
          <w:sz w:val="22"/>
          <w:szCs w:val="22"/>
        </w:rPr>
        <w:t xml:space="preserve"> number of </w:t>
      </w:r>
      <w:r w:rsidR="00613BF4">
        <w:rPr>
          <w:rFonts w:asciiTheme="minorHAnsi" w:hAnsiTheme="minorHAnsi"/>
          <w:sz w:val="22"/>
          <w:szCs w:val="22"/>
        </w:rPr>
        <w:t>these (</w:t>
      </w:r>
      <w:r w:rsidR="00613BF4" w:rsidRPr="00B25785">
        <w:rPr>
          <w:rFonts w:asciiTheme="minorHAnsi" w:hAnsiTheme="minorHAnsi"/>
          <w:sz w:val="22"/>
          <w:szCs w:val="22"/>
        </w:rPr>
        <w:t>such as those addressing social security</w:t>
      </w:r>
      <w:r w:rsidR="00D060F9">
        <w:rPr>
          <w:rStyle w:val="FootnoteReference"/>
          <w:rFonts w:asciiTheme="minorHAnsi" w:hAnsiTheme="minorHAnsi"/>
          <w:sz w:val="22"/>
          <w:szCs w:val="22"/>
        </w:rPr>
        <w:footnoteReference w:id="10"/>
      </w:r>
      <w:r w:rsidR="00613BF4" w:rsidRPr="00B25785">
        <w:rPr>
          <w:rFonts w:asciiTheme="minorHAnsi" w:hAnsiTheme="minorHAnsi"/>
          <w:sz w:val="22"/>
          <w:szCs w:val="22"/>
        </w:rPr>
        <w:t xml:space="preserve"> and the regulation of private employment agencies</w:t>
      </w:r>
      <w:r w:rsidR="00613BF4">
        <w:rPr>
          <w:rFonts w:asciiTheme="minorHAnsi" w:hAnsiTheme="minorHAnsi"/>
          <w:sz w:val="22"/>
          <w:szCs w:val="22"/>
        </w:rPr>
        <w:t>) also</w:t>
      </w:r>
      <w:r w:rsidR="00B25785">
        <w:rPr>
          <w:rFonts w:asciiTheme="minorHAnsi" w:hAnsiTheme="minorHAnsi"/>
          <w:sz w:val="22"/>
          <w:szCs w:val="22"/>
        </w:rPr>
        <w:t xml:space="preserve"> </w:t>
      </w:r>
      <w:r w:rsidR="00B25785" w:rsidRPr="00B25785">
        <w:rPr>
          <w:rFonts w:asciiTheme="minorHAnsi" w:hAnsiTheme="minorHAnsi"/>
          <w:sz w:val="22"/>
          <w:szCs w:val="22"/>
        </w:rPr>
        <w:t>contain specifi</w:t>
      </w:r>
      <w:r w:rsidR="00613BF4">
        <w:rPr>
          <w:rFonts w:asciiTheme="minorHAnsi" w:hAnsiTheme="minorHAnsi"/>
          <w:sz w:val="22"/>
          <w:szCs w:val="22"/>
        </w:rPr>
        <w:t>c provisions on migrant workers</w:t>
      </w:r>
      <w:r w:rsidR="00B25785">
        <w:rPr>
          <w:rFonts w:asciiTheme="minorHAnsi" w:hAnsiTheme="minorHAnsi"/>
          <w:sz w:val="22"/>
          <w:szCs w:val="22"/>
        </w:rPr>
        <w:t xml:space="preserve">. </w:t>
      </w:r>
      <w:r w:rsidR="00FF21B2">
        <w:rPr>
          <w:rFonts w:asciiTheme="minorHAnsi" w:hAnsiTheme="minorHAnsi"/>
          <w:sz w:val="22"/>
          <w:szCs w:val="22"/>
        </w:rPr>
        <w:t>S</w:t>
      </w:r>
      <w:r w:rsidRPr="00701B99">
        <w:rPr>
          <w:rFonts w:asciiTheme="minorHAnsi" w:hAnsiTheme="minorHAnsi"/>
          <w:sz w:val="22"/>
          <w:szCs w:val="22"/>
        </w:rPr>
        <w:t>ome ILO conventions specifi</w:t>
      </w:r>
      <w:r w:rsidRPr="00701B99">
        <w:rPr>
          <w:rFonts w:asciiTheme="minorHAnsi" w:hAnsiTheme="minorHAnsi"/>
          <w:sz w:val="22"/>
          <w:szCs w:val="22"/>
        </w:rPr>
        <w:softHyphen/>
        <w:t xml:space="preserve">cally focus on migrant workers. For instance, </w:t>
      </w:r>
      <w:r w:rsidR="00B25785" w:rsidRPr="00B25785">
        <w:rPr>
          <w:rFonts w:asciiTheme="minorHAnsi" w:hAnsiTheme="minorHAnsi"/>
          <w:sz w:val="22"/>
          <w:szCs w:val="22"/>
        </w:rPr>
        <w:t>the Migration for</w:t>
      </w:r>
      <w:r w:rsidR="00B25785">
        <w:rPr>
          <w:rFonts w:asciiTheme="minorHAnsi" w:hAnsiTheme="minorHAnsi"/>
          <w:sz w:val="22"/>
          <w:szCs w:val="22"/>
        </w:rPr>
        <w:t xml:space="preserve"> Employment Convention</w:t>
      </w:r>
      <w:r w:rsidR="00B25785" w:rsidRPr="00B25785">
        <w:rPr>
          <w:rFonts w:asciiTheme="minorHAnsi" w:hAnsiTheme="minorHAnsi"/>
          <w:sz w:val="22"/>
          <w:szCs w:val="22"/>
        </w:rPr>
        <w:t xml:space="preserve">, 1949 (No. 97) </w:t>
      </w:r>
      <w:r w:rsidR="00B25785">
        <w:rPr>
          <w:rFonts w:asciiTheme="minorHAnsi" w:hAnsiTheme="minorHAnsi"/>
          <w:sz w:val="22"/>
          <w:szCs w:val="22"/>
        </w:rPr>
        <w:t xml:space="preserve">protects regular migrant workers from discrimination and exploitation, </w:t>
      </w:r>
      <w:r w:rsidR="004B5D19">
        <w:rPr>
          <w:rFonts w:asciiTheme="minorHAnsi" w:hAnsiTheme="minorHAnsi"/>
          <w:sz w:val="22"/>
          <w:szCs w:val="22"/>
        </w:rPr>
        <w:t>and</w:t>
      </w:r>
      <w:r w:rsidR="00D060F9">
        <w:rPr>
          <w:rFonts w:asciiTheme="minorHAnsi" w:hAnsiTheme="minorHAnsi"/>
          <w:sz w:val="22"/>
          <w:szCs w:val="22"/>
        </w:rPr>
        <w:t xml:space="preserve"> e</w:t>
      </w:r>
      <w:r w:rsidR="00D060F9" w:rsidRPr="00D060F9">
        <w:rPr>
          <w:rFonts w:asciiTheme="minorHAnsi" w:hAnsiTheme="minorHAnsi"/>
          <w:sz w:val="22"/>
          <w:szCs w:val="22"/>
        </w:rPr>
        <w:t>stablishes the principle of equality of</w:t>
      </w:r>
      <w:r w:rsidR="00D060F9">
        <w:rPr>
          <w:rFonts w:asciiTheme="minorHAnsi" w:hAnsiTheme="minorHAnsi"/>
          <w:sz w:val="22"/>
          <w:szCs w:val="22"/>
        </w:rPr>
        <w:t xml:space="preserve"> </w:t>
      </w:r>
      <w:r w:rsidR="00D060F9" w:rsidRPr="00D060F9">
        <w:rPr>
          <w:rFonts w:asciiTheme="minorHAnsi" w:hAnsiTheme="minorHAnsi"/>
          <w:sz w:val="22"/>
          <w:szCs w:val="22"/>
        </w:rPr>
        <w:t>treatment in respect of social security (Article 6).</w:t>
      </w:r>
      <w:r w:rsidR="00FF21B2">
        <w:rPr>
          <w:rFonts w:asciiTheme="minorHAnsi" w:hAnsiTheme="minorHAnsi"/>
          <w:sz w:val="22"/>
          <w:szCs w:val="22"/>
        </w:rPr>
        <w:t xml:space="preserve"> T</w:t>
      </w:r>
      <w:r w:rsidR="00B25785" w:rsidRPr="00B25785">
        <w:rPr>
          <w:rFonts w:asciiTheme="minorHAnsi" w:hAnsiTheme="minorHAnsi"/>
          <w:sz w:val="22"/>
          <w:szCs w:val="22"/>
        </w:rPr>
        <w:t>he Migrant Wo</w:t>
      </w:r>
      <w:r w:rsidR="00B25785">
        <w:rPr>
          <w:rFonts w:asciiTheme="minorHAnsi" w:hAnsiTheme="minorHAnsi"/>
          <w:sz w:val="22"/>
          <w:szCs w:val="22"/>
        </w:rPr>
        <w:t xml:space="preserve">rkers </w:t>
      </w:r>
      <w:r w:rsidR="00B25785" w:rsidRPr="00B25785">
        <w:rPr>
          <w:rFonts w:asciiTheme="minorHAnsi" w:hAnsiTheme="minorHAnsi"/>
          <w:sz w:val="22"/>
          <w:szCs w:val="22"/>
        </w:rPr>
        <w:t>Convention, 1975 (No. 143)</w:t>
      </w:r>
      <w:r w:rsidR="00B25785" w:rsidRPr="00B25785" w:rsidDel="00B25785">
        <w:rPr>
          <w:rFonts w:asciiTheme="minorHAnsi" w:hAnsiTheme="minorHAnsi"/>
          <w:sz w:val="22"/>
          <w:szCs w:val="22"/>
        </w:rPr>
        <w:t xml:space="preserve"> </w:t>
      </w:r>
      <w:r w:rsidR="00F32939" w:rsidRPr="00F32939">
        <w:rPr>
          <w:rFonts w:asciiTheme="minorHAnsi" w:hAnsiTheme="minorHAnsi"/>
          <w:sz w:val="22"/>
          <w:szCs w:val="22"/>
        </w:rPr>
        <w:t xml:space="preserve">includes explicit </w:t>
      </w:r>
      <w:r w:rsidR="00613BF4">
        <w:rPr>
          <w:rFonts w:asciiTheme="minorHAnsi" w:hAnsiTheme="minorHAnsi"/>
          <w:sz w:val="22"/>
          <w:szCs w:val="22"/>
        </w:rPr>
        <w:t xml:space="preserve">provisions on </w:t>
      </w:r>
      <w:r w:rsidR="00F32939" w:rsidRPr="00F32939">
        <w:rPr>
          <w:rFonts w:asciiTheme="minorHAnsi" w:hAnsiTheme="minorHAnsi"/>
          <w:sz w:val="22"/>
          <w:szCs w:val="22"/>
        </w:rPr>
        <w:t>equality of treatment for migrant workers in an irregular situation and members of their families</w:t>
      </w:r>
      <w:r w:rsidR="00F32939">
        <w:rPr>
          <w:rFonts w:asciiTheme="minorHAnsi" w:hAnsiTheme="minorHAnsi"/>
          <w:sz w:val="22"/>
          <w:szCs w:val="22"/>
        </w:rPr>
        <w:t xml:space="preserve">. </w:t>
      </w:r>
      <w:r w:rsidR="00FF21B2">
        <w:rPr>
          <w:rFonts w:asciiTheme="minorHAnsi" w:hAnsiTheme="minorHAnsi"/>
          <w:sz w:val="22"/>
          <w:szCs w:val="22"/>
        </w:rPr>
        <w:t xml:space="preserve">The </w:t>
      </w:r>
      <w:r w:rsidR="00F32939" w:rsidRPr="00F32939">
        <w:rPr>
          <w:rFonts w:asciiTheme="minorHAnsi" w:hAnsiTheme="minorHAnsi"/>
          <w:sz w:val="22"/>
          <w:szCs w:val="22"/>
        </w:rPr>
        <w:t>Domestic Workers Convention No. 189</w:t>
      </w:r>
      <w:r w:rsidR="00F32939">
        <w:rPr>
          <w:rFonts w:asciiTheme="minorHAnsi" w:hAnsiTheme="minorHAnsi"/>
          <w:sz w:val="22"/>
          <w:szCs w:val="22"/>
        </w:rPr>
        <w:t xml:space="preserve"> and its accompanying recommendation 201 </w:t>
      </w:r>
      <w:r w:rsidR="00FF21B2">
        <w:rPr>
          <w:rFonts w:asciiTheme="minorHAnsi" w:hAnsiTheme="minorHAnsi"/>
          <w:sz w:val="22"/>
          <w:szCs w:val="22"/>
        </w:rPr>
        <w:t>address</w:t>
      </w:r>
      <w:r w:rsidR="00F32939" w:rsidRPr="00F32939">
        <w:rPr>
          <w:rFonts w:asciiTheme="minorHAnsi" w:hAnsiTheme="minorHAnsi"/>
          <w:sz w:val="22"/>
          <w:szCs w:val="22"/>
        </w:rPr>
        <w:t xml:space="preserve"> the pr</w:t>
      </w:r>
      <w:r w:rsidR="00F32939">
        <w:rPr>
          <w:rFonts w:asciiTheme="minorHAnsi" w:hAnsiTheme="minorHAnsi"/>
          <w:sz w:val="22"/>
          <w:szCs w:val="22"/>
        </w:rPr>
        <w:t>otection of all domestic workers and</w:t>
      </w:r>
      <w:r w:rsidR="00F32939" w:rsidRPr="00F32939">
        <w:rPr>
          <w:rFonts w:asciiTheme="minorHAnsi" w:hAnsiTheme="minorHAnsi"/>
          <w:sz w:val="22"/>
          <w:szCs w:val="22"/>
        </w:rPr>
        <w:t xml:space="preserve"> generally do not distinguish between nationals and non-nationa</w:t>
      </w:r>
      <w:r w:rsidR="00F32939">
        <w:rPr>
          <w:rFonts w:asciiTheme="minorHAnsi" w:hAnsiTheme="minorHAnsi"/>
          <w:sz w:val="22"/>
          <w:szCs w:val="22"/>
        </w:rPr>
        <w:t xml:space="preserve">ls employed as domestic workers. </w:t>
      </w:r>
      <w:r w:rsidR="00FF21B2">
        <w:rPr>
          <w:rFonts w:asciiTheme="minorHAnsi" w:hAnsiTheme="minorHAnsi"/>
          <w:sz w:val="22"/>
          <w:szCs w:val="22"/>
        </w:rPr>
        <w:t xml:space="preserve">It </w:t>
      </w:r>
      <w:r w:rsidRPr="00701B99">
        <w:rPr>
          <w:rFonts w:asciiTheme="minorHAnsi" w:hAnsiTheme="minorHAnsi"/>
          <w:sz w:val="22"/>
          <w:szCs w:val="22"/>
        </w:rPr>
        <w:t>outlin</w:t>
      </w:r>
      <w:r w:rsidR="00335110">
        <w:rPr>
          <w:rFonts w:asciiTheme="minorHAnsi" w:hAnsiTheme="minorHAnsi"/>
          <w:sz w:val="22"/>
          <w:szCs w:val="22"/>
        </w:rPr>
        <w:t>es</w:t>
      </w:r>
      <w:r w:rsidRPr="00701B99">
        <w:rPr>
          <w:rFonts w:asciiTheme="minorHAnsi" w:hAnsiTheme="minorHAnsi"/>
          <w:sz w:val="22"/>
          <w:szCs w:val="22"/>
        </w:rPr>
        <w:t xml:space="preserve"> the need for </w:t>
      </w:r>
      <w:r w:rsidR="00DB6D3D">
        <w:rPr>
          <w:rFonts w:asciiTheme="minorHAnsi" w:hAnsiTheme="minorHAnsi"/>
          <w:sz w:val="22"/>
          <w:szCs w:val="22"/>
        </w:rPr>
        <w:t>written contracts</w:t>
      </w:r>
      <w:r w:rsidR="00613BF4" w:rsidRPr="00613BF4">
        <w:rPr>
          <w:rFonts w:asciiTheme="minorHAnsi" w:hAnsiTheme="minorHAnsi"/>
          <w:sz w:val="22"/>
          <w:szCs w:val="22"/>
        </w:rPr>
        <w:t>, or a written job offer, prior</w:t>
      </w:r>
      <w:r w:rsidR="00613BF4">
        <w:rPr>
          <w:rFonts w:asciiTheme="minorHAnsi" w:hAnsiTheme="minorHAnsi"/>
          <w:sz w:val="22"/>
          <w:szCs w:val="22"/>
        </w:rPr>
        <w:t xml:space="preserve"> </w:t>
      </w:r>
      <w:r w:rsidR="00335110">
        <w:rPr>
          <w:rFonts w:asciiTheme="minorHAnsi" w:hAnsiTheme="minorHAnsi"/>
          <w:sz w:val="22"/>
          <w:szCs w:val="22"/>
        </w:rPr>
        <w:t>to migration</w:t>
      </w:r>
      <w:r w:rsidR="00613BF4" w:rsidRPr="00613BF4">
        <w:rPr>
          <w:rFonts w:asciiTheme="minorHAnsi" w:hAnsiTheme="minorHAnsi"/>
          <w:sz w:val="22"/>
          <w:szCs w:val="22"/>
        </w:rPr>
        <w:t xml:space="preserve"> </w:t>
      </w:r>
      <w:r w:rsidR="00DB6D3D">
        <w:rPr>
          <w:rFonts w:asciiTheme="minorHAnsi" w:hAnsiTheme="minorHAnsi"/>
          <w:sz w:val="22"/>
          <w:szCs w:val="22"/>
        </w:rPr>
        <w:t>(Article 8.1);</w:t>
      </w:r>
      <w:r w:rsidRPr="00701B99">
        <w:rPr>
          <w:rFonts w:asciiTheme="minorHAnsi" w:hAnsiTheme="minorHAnsi"/>
          <w:sz w:val="22"/>
          <w:szCs w:val="22"/>
        </w:rPr>
        <w:t xml:space="preserve"> </w:t>
      </w:r>
      <w:r w:rsidR="00DB6D3D">
        <w:rPr>
          <w:rFonts w:asciiTheme="minorHAnsi" w:hAnsiTheme="minorHAnsi"/>
          <w:sz w:val="22"/>
          <w:szCs w:val="22"/>
        </w:rPr>
        <w:t>terms for repatriation (Article 8.4)</w:t>
      </w:r>
      <w:r w:rsidR="00DA7929">
        <w:rPr>
          <w:rFonts w:asciiTheme="minorHAnsi" w:hAnsiTheme="minorHAnsi"/>
          <w:sz w:val="22"/>
          <w:szCs w:val="22"/>
        </w:rPr>
        <w:t>; entitlement to weekly rest (Article 10) and a</w:t>
      </w:r>
      <w:r w:rsidR="00DA7929" w:rsidRPr="00701B99">
        <w:rPr>
          <w:rFonts w:asciiTheme="minorHAnsi" w:hAnsiTheme="minorHAnsi"/>
          <w:sz w:val="22"/>
          <w:szCs w:val="22"/>
        </w:rPr>
        <w:t xml:space="preserve"> minimum wage</w:t>
      </w:r>
      <w:r w:rsidR="00DA7929">
        <w:rPr>
          <w:rFonts w:asciiTheme="minorHAnsi" w:hAnsiTheme="minorHAnsi"/>
          <w:sz w:val="22"/>
          <w:szCs w:val="22"/>
        </w:rPr>
        <w:t xml:space="preserve"> (</w:t>
      </w:r>
      <w:r w:rsidR="00FF21B2">
        <w:rPr>
          <w:rFonts w:asciiTheme="minorHAnsi" w:hAnsiTheme="minorHAnsi"/>
          <w:sz w:val="22"/>
          <w:szCs w:val="22"/>
        </w:rPr>
        <w:t>A</w:t>
      </w:r>
      <w:r w:rsidR="00DA7929">
        <w:rPr>
          <w:rFonts w:asciiTheme="minorHAnsi" w:hAnsiTheme="minorHAnsi"/>
          <w:sz w:val="22"/>
          <w:szCs w:val="22"/>
        </w:rPr>
        <w:t>rticle 11); the right to safe and healthy working conditions</w:t>
      </w:r>
      <w:r w:rsidR="006E62BB">
        <w:rPr>
          <w:rFonts w:asciiTheme="minorHAnsi" w:hAnsiTheme="minorHAnsi"/>
          <w:sz w:val="22"/>
          <w:szCs w:val="22"/>
        </w:rPr>
        <w:t xml:space="preserve"> (Article 13); and equal conditions to workers generally, in relation to social protection and maternity</w:t>
      </w:r>
      <w:r w:rsidR="00DA7929">
        <w:rPr>
          <w:rFonts w:asciiTheme="minorHAnsi" w:hAnsiTheme="minorHAnsi"/>
          <w:sz w:val="22"/>
          <w:szCs w:val="22"/>
        </w:rPr>
        <w:t xml:space="preserve"> </w:t>
      </w:r>
      <w:r w:rsidR="006E62BB">
        <w:rPr>
          <w:rFonts w:asciiTheme="minorHAnsi" w:hAnsiTheme="minorHAnsi"/>
          <w:sz w:val="22"/>
          <w:szCs w:val="22"/>
        </w:rPr>
        <w:t>(Article 14)</w:t>
      </w:r>
      <w:r w:rsidRPr="00701B99">
        <w:rPr>
          <w:rFonts w:asciiTheme="minorHAnsi" w:hAnsiTheme="minorHAnsi"/>
          <w:sz w:val="22"/>
          <w:szCs w:val="22"/>
        </w:rPr>
        <w:t>.</w:t>
      </w:r>
      <w:r w:rsidR="00613BF4">
        <w:rPr>
          <w:rFonts w:asciiTheme="minorHAnsi" w:hAnsiTheme="minorHAnsi"/>
          <w:sz w:val="22"/>
          <w:szCs w:val="22"/>
        </w:rPr>
        <w:t xml:space="preserve"> It also contains a specific provision on the regulation of private recruitment agencies and investigation of complaints (</w:t>
      </w:r>
      <w:r w:rsidR="00FF21B2">
        <w:rPr>
          <w:rFonts w:asciiTheme="minorHAnsi" w:hAnsiTheme="minorHAnsi"/>
          <w:sz w:val="22"/>
          <w:szCs w:val="22"/>
        </w:rPr>
        <w:t>A</w:t>
      </w:r>
      <w:r w:rsidR="00613BF4">
        <w:rPr>
          <w:rFonts w:asciiTheme="minorHAnsi" w:hAnsiTheme="minorHAnsi"/>
          <w:sz w:val="22"/>
          <w:szCs w:val="22"/>
        </w:rPr>
        <w:t>rt</w:t>
      </w:r>
      <w:r w:rsidR="00FF21B2">
        <w:rPr>
          <w:rFonts w:asciiTheme="minorHAnsi" w:hAnsiTheme="minorHAnsi"/>
          <w:sz w:val="22"/>
          <w:szCs w:val="22"/>
        </w:rPr>
        <w:t>icle</w:t>
      </w:r>
      <w:r w:rsidR="00613BF4">
        <w:rPr>
          <w:rFonts w:asciiTheme="minorHAnsi" w:hAnsiTheme="minorHAnsi"/>
          <w:sz w:val="22"/>
          <w:szCs w:val="22"/>
        </w:rPr>
        <w:t xml:space="preserve"> 15)</w:t>
      </w:r>
      <w:r w:rsidR="00FF21B2">
        <w:rPr>
          <w:rFonts w:asciiTheme="minorHAnsi" w:hAnsiTheme="minorHAnsi"/>
          <w:sz w:val="22"/>
          <w:szCs w:val="22"/>
        </w:rPr>
        <w:t>.</w:t>
      </w:r>
      <w:r w:rsidR="00613BF4">
        <w:rPr>
          <w:rFonts w:asciiTheme="minorHAnsi" w:hAnsiTheme="minorHAnsi"/>
          <w:sz w:val="22"/>
          <w:szCs w:val="22"/>
        </w:rPr>
        <w:t xml:space="preserve"> </w:t>
      </w:r>
    </w:p>
    <w:p w:rsidR="00701B99" w:rsidRDefault="00701B99" w:rsidP="00335110">
      <w:pPr>
        <w:pStyle w:val="Default"/>
        <w:jc w:val="both"/>
        <w:rPr>
          <w:rFonts w:asciiTheme="minorHAnsi" w:hAnsiTheme="minorHAnsi" w:cstheme="minorBidi"/>
          <w:color w:val="auto"/>
          <w:sz w:val="22"/>
          <w:szCs w:val="22"/>
        </w:rPr>
      </w:pPr>
    </w:p>
    <w:p w:rsidR="00F32939" w:rsidRDefault="00F32939" w:rsidP="00335110">
      <w:pPr>
        <w:pStyle w:val="Default"/>
        <w:spacing w:line="276" w:lineRule="auto"/>
        <w:jc w:val="both"/>
        <w:rPr>
          <w:rFonts w:asciiTheme="minorHAnsi" w:hAnsiTheme="minorHAnsi" w:cstheme="minorBidi"/>
          <w:color w:val="auto"/>
          <w:sz w:val="22"/>
          <w:szCs w:val="22"/>
        </w:rPr>
      </w:pPr>
      <w:r w:rsidRPr="00335110">
        <w:rPr>
          <w:rFonts w:asciiTheme="minorHAnsi" w:hAnsiTheme="minorHAnsi" w:cstheme="minorBidi"/>
          <w:i/>
          <w:color w:val="auto"/>
          <w:sz w:val="22"/>
          <w:szCs w:val="22"/>
        </w:rPr>
        <w:t>ILO Multilateral Framework on Labour Migration</w:t>
      </w:r>
      <w:r w:rsidR="00FF21B2">
        <w:rPr>
          <w:rFonts w:asciiTheme="minorHAnsi" w:hAnsiTheme="minorHAnsi" w:cstheme="minorBidi"/>
          <w:i/>
          <w:color w:val="auto"/>
          <w:sz w:val="22"/>
          <w:szCs w:val="22"/>
        </w:rPr>
        <w:t xml:space="preserve">: </w:t>
      </w:r>
      <w:r w:rsidR="00613BF4" w:rsidRPr="00335110">
        <w:rPr>
          <w:rFonts w:asciiTheme="minorHAnsi" w:hAnsiTheme="minorHAnsi" w:cstheme="minorBidi"/>
          <w:i/>
          <w:color w:val="auto"/>
          <w:sz w:val="22"/>
          <w:szCs w:val="22"/>
        </w:rPr>
        <w:t>The</w:t>
      </w:r>
      <w:r w:rsidR="00613BF4">
        <w:rPr>
          <w:rFonts w:asciiTheme="minorHAnsi" w:hAnsiTheme="minorHAnsi" w:cstheme="minorBidi"/>
          <w:color w:val="auto"/>
          <w:sz w:val="22"/>
          <w:szCs w:val="22"/>
        </w:rPr>
        <w:t xml:space="preserve"> 2006 </w:t>
      </w:r>
      <w:r w:rsidRPr="00F32939">
        <w:rPr>
          <w:rFonts w:asciiTheme="minorHAnsi" w:hAnsiTheme="minorHAnsi" w:cstheme="minorBidi"/>
          <w:color w:val="auto"/>
          <w:sz w:val="22"/>
          <w:szCs w:val="22"/>
        </w:rPr>
        <w:t>ILO Multilateral Framework on Labour Migration</w:t>
      </w:r>
      <w:r w:rsidR="00613BF4">
        <w:rPr>
          <w:rFonts w:asciiTheme="minorHAnsi" w:hAnsiTheme="minorHAnsi" w:cstheme="minorBidi"/>
          <w:color w:val="auto"/>
          <w:sz w:val="22"/>
          <w:szCs w:val="22"/>
        </w:rPr>
        <w:t xml:space="preserve"> </w:t>
      </w:r>
      <w:r w:rsidR="00B92310">
        <w:rPr>
          <w:rFonts w:asciiTheme="minorHAnsi" w:hAnsiTheme="minorHAnsi" w:cstheme="minorBidi"/>
          <w:color w:val="auto"/>
          <w:sz w:val="22"/>
          <w:szCs w:val="22"/>
        </w:rPr>
        <w:t>is a set of n</w:t>
      </w:r>
      <w:r w:rsidR="00B92310" w:rsidRPr="00B92310">
        <w:rPr>
          <w:rFonts w:asciiTheme="minorHAnsi" w:hAnsiTheme="minorHAnsi" w:cstheme="minorBidi"/>
          <w:color w:val="auto"/>
          <w:sz w:val="22"/>
          <w:szCs w:val="22"/>
        </w:rPr>
        <w:t>on-binding principles and guidelines for</w:t>
      </w:r>
      <w:r w:rsidR="00B92310">
        <w:rPr>
          <w:rFonts w:asciiTheme="minorHAnsi" w:hAnsiTheme="minorHAnsi" w:cstheme="minorBidi"/>
          <w:color w:val="auto"/>
          <w:sz w:val="22"/>
          <w:szCs w:val="22"/>
        </w:rPr>
        <w:t xml:space="preserve"> </w:t>
      </w:r>
      <w:r w:rsidR="00B92310" w:rsidRPr="00B92310">
        <w:rPr>
          <w:rFonts w:asciiTheme="minorHAnsi" w:hAnsiTheme="minorHAnsi" w:cstheme="minorBidi"/>
          <w:color w:val="auto"/>
          <w:sz w:val="22"/>
          <w:szCs w:val="22"/>
        </w:rPr>
        <w:t>a rights-based approach to labour migration</w:t>
      </w:r>
      <w:r w:rsidR="00B92310">
        <w:rPr>
          <w:rFonts w:asciiTheme="minorHAnsi" w:hAnsiTheme="minorHAnsi" w:cstheme="minorBidi"/>
          <w:color w:val="auto"/>
          <w:sz w:val="22"/>
          <w:szCs w:val="22"/>
        </w:rPr>
        <w:t xml:space="preserve">. It </w:t>
      </w:r>
      <w:r w:rsidR="00613BF4" w:rsidRPr="00613BF4">
        <w:rPr>
          <w:rFonts w:asciiTheme="minorHAnsi" w:hAnsiTheme="minorHAnsi" w:cstheme="minorBidi"/>
          <w:color w:val="auto"/>
          <w:sz w:val="22"/>
          <w:szCs w:val="22"/>
        </w:rPr>
        <w:t>promotes the protection of female migrant</w:t>
      </w:r>
      <w:r w:rsidR="00613BF4">
        <w:rPr>
          <w:rFonts w:asciiTheme="minorHAnsi" w:hAnsiTheme="minorHAnsi" w:cstheme="minorBidi"/>
          <w:color w:val="auto"/>
          <w:sz w:val="22"/>
          <w:szCs w:val="22"/>
        </w:rPr>
        <w:t xml:space="preserve"> </w:t>
      </w:r>
      <w:r w:rsidR="00613BF4" w:rsidRPr="00613BF4">
        <w:rPr>
          <w:rFonts w:asciiTheme="minorHAnsi" w:hAnsiTheme="minorHAnsi" w:cstheme="minorBidi"/>
          <w:color w:val="auto"/>
          <w:sz w:val="22"/>
          <w:szCs w:val="22"/>
        </w:rPr>
        <w:t>workers by calling for gender-sensitive</w:t>
      </w:r>
      <w:r w:rsidR="00613BF4">
        <w:rPr>
          <w:rFonts w:asciiTheme="minorHAnsi" w:hAnsiTheme="minorHAnsi" w:cstheme="minorBidi"/>
          <w:color w:val="auto"/>
          <w:sz w:val="22"/>
          <w:szCs w:val="22"/>
        </w:rPr>
        <w:t xml:space="preserve"> </w:t>
      </w:r>
      <w:r w:rsidR="00613BF4" w:rsidRPr="00613BF4">
        <w:rPr>
          <w:rFonts w:asciiTheme="minorHAnsi" w:hAnsiTheme="minorHAnsi" w:cstheme="minorBidi"/>
          <w:color w:val="auto"/>
          <w:sz w:val="22"/>
          <w:szCs w:val="22"/>
        </w:rPr>
        <w:t>policies, sex-</w:t>
      </w:r>
      <w:r w:rsidR="00B92310">
        <w:rPr>
          <w:rFonts w:asciiTheme="minorHAnsi" w:hAnsiTheme="minorHAnsi" w:cstheme="minorBidi"/>
          <w:color w:val="auto"/>
          <w:sz w:val="22"/>
          <w:szCs w:val="22"/>
        </w:rPr>
        <w:t xml:space="preserve">disaggregated data, </w:t>
      </w:r>
      <w:proofErr w:type="gramStart"/>
      <w:r w:rsidR="00B92310" w:rsidRPr="00613BF4">
        <w:rPr>
          <w:rFonts w:asciiTheme="minorHAnsi" w:hAnsiTheme="minorHAnsi" w:cstheme="minorBidi"/>
          <w:color w:val="auto"/>
          <w:sz w:val="22"/>
          <w:szCs w:val="22"/>
        </w:rPr>
        <w:t>the</w:t>
      </w:r>
      <w:proofErr w:type="gramEnd"/>
      <w:r w:rsidR="00613BF4">
        <w:rPr>
          <w:rFonts w:asciiTheme="minorHAnsi" w:hAnsiTheme="minorHAnsi" w:cstheme="minorBidi"/>
          <w:color w:val="auto"/>
          <w:sz w:val="22"/>
          <w:szCs w:val="22"/>
        </w:rPr>
        <w:t xml:space="preserve"> </w:t>
      </w:r>
      <w:r w:rsidR="00613BF4" w:rsidRPr="00613BF4">
        <w:rPr>
          <w:rFonts w:asciiTheme="minorHAnsi" w:hAnsiTheme="minorHAnsi" w:cstheme="minorBidi"/>
          <w:color w:val="auto"/>
          <w:sz w:val="22"/>
          <w:szCs w:val="22"/>
        </w:rPr>
        <w:t>provision of opportunities for decent work</w:t>
      </w:r>
      <w:r w:rsidR="00613BF4">
        <w:rPr>
          <w:rFonts w:asciiTheme="minorHAnsi" w:hAnsiTheme="minorHAnsi" w:cstheme="minorBidi"/>
          <w:color w:val="auto"/>
          <w:sz w:val="22"/>
          <w:szCs w:val="22"/>
        </w:rPr>
        <w:t xml:space="preserve"> </w:t>
      </w:r>
      <w:r w:rsidR="00613BF4" w:rsidRPr="00613BF4">
        <w:rPr>
          <w:rFonts w:asciiTheme="minorHAnsi" w:hAnsiTheme="minorHAnsi" w:cstheme="minorBidi"/>
          <w:color w:val="auto"/>
          <w:sz w:val="22"/>
          <w:szCs w:val="22"/>
        </w:rPr>
        <w:t>for all women of working age, bilateral and</w:t>
      </w:r>
      <w:r w:rsidR="00613BF4">
        <w:rPr>
          <w:rFonts w:asciiTheme="minorHAnsi" w:hAnsiTheme="minorHAnsi" w:cstheme="minorBidi"/>
          <w:color w:val="auto"/>
          <w:sz w:val="22"/>
          <w:szCs w:val="22"/>
        </w:rPr>
        <w:t xml:space="preserve"> </w:t>
      </w:r>
      <w:r w:rsidR="00613BF4" w:rsidRPr="00613BF4">
        <w:rPr>
          <w:rFonts w:asciiTheme="minorHAnsi" w:hAnsiTheme="minorHAnsi" w:cstheme="minorBidi"/>
          <w:color w:val="auto"/>
          <w:sz w:val="22"/>
          <w:szCs w:val="22"/>
        </w:rPr>
        <w:t>multilateral agreements addressing gender</w:t>
      </w:r>
      <w:r w:rsidR="00613BF4">
        <w:rPr>
          <w:rFonts w:asciiTheme="minorHAnsi" w:hAnsiTheme="minorHAnsi" w:cstheme="minorBidi"/>
          <w:color w:val="auto"/>
          <w:sz w:val="22"/>
          <w:szCs w:val="22"/>
        </w:rPr>
        <w:t xml:space="preserve"> </w:t>
      </w:r>
      <w:r w:rsidR="00613BF4" w:rsidRPr="00613BF4">
        <w:rPr>
          <w:rFonts w:asciiTheme="minorHAnsi" w:hAnsiTheme="minorHAnsi" w:cstheme="minorBidi"/>
          <w:color w:val="auto"/>
          <w:sz w:val="22"/>
          <w:szCs w:val="22"/>
        </w:rPr>
        <w:t>specific</w:t>
      </w:r>
      <w:r w:rsidR="00613BF4">
        <w:rPr>
          <w:rFonts w:asciiTheme="minorHAnsi" w:hAnsiTheme="minorHAnsi" w:cstheme="minorBidi"/>
          <w:color w:val="auto"/>
          <w:sz w:val="22"/>
          <w:szCs w:val="22"/>
        </w:rPr>
        <w:t xml:space="preserve"> </w:t>
      </w:r>
      <w:r w:rsidR="00613BF4" w:rsidRPr="00613BF4">
        <w:rPr>
          <w:rFonts w:asciiTheme="minorHAnsi" w:hAnsiTheme="minorHAnsi" w:cstheme="minorBidi"/>
          <w:color w:val="auto"/>
          <w:sz w:val="22"/>
          <w:szCs w:val="22"/>
        </w:rPr>
        <w:t>trends, and measures to address</w:t>
      </w:r>
      <w:r w:rsidR="00613BF4">
        <w:rPr>
          <w:rFonts w:asciiTheme="minorHAnsi" w:hAnsiTheme="minorHAnsi" w:cstheme="minorBidi"/>
          <w:color w:val="auto"/>
          <w:sz w:val="22"/>
          <w:szCs w:val="22"/>
        </w:rPr>
        <w:t xml:space="preserve"> </w:t>
      </w:r>
      <w:r w:rsidR="00613BF4" w:rsidRPr="00613BF4">
        <w:rPr>
          <w:rFonts w:asciiTheme="minorHAnsi" w:hAnsiTheme="minorHAnsi" w:cstheme="minorBidi"/>
          <w:color w:val="auto"/>
          <w:sz w:val="22"/>
          <w:szCs w:val="22"/>
        </w:rPr>
        <w:t>trafficking.</w:t>
      </w:r>
      <w:r w:rsidRPr="00F32939">
        <w:rPr>
          <w:rFonts w:asciiTheme="minorHAnsi" w:hAnsiTheme="minorHAnsi" w:cstheme="minorBidi"/>
          <w:color w:val="auto"/>
          <w:sz w:val="22"/>
          <w:szCs w:val="22"/>
        </w:rPr>
        <w:t xml:space="preserve"> </w:t>
      </w:r>
      <w:r w:rsidR="00FF21B2" w:rsidRPr="00335110">
        <w:rPr>
          <w:rFonts w:asciiTheme="minorHAnsi" w:hAnsiTheme="minorHAnsi" w:cstheme="minorBidi"/>
          <w:color w:val="auto"/>
          <w:sz w:val="22"/>
          <w:szCs w:val="22"/>
        </w:rPr>
        <w:t>T</w:t>
      </w:r>
      <w:r w:rsidR="00B92310" w:rsidRPr="00B92310">
        <w:rPr>
          <w:rFonts w:asciiTheme="minorHAnsi" w:hAnsiTheme="minorHAnsi" w:cstheme="minorBidi"/>
          <w:color w:val="auto"/>
          <w:sz w:val="22"/>
          <w:szCs w:val="22"/>
        </w:rPr>
        <w:t xml:space="preserve">he </w:t>
      </w:r>
      <w:r w:rsidR="00B92310">
        <w:rPr>
          <w:rFonts w:asciiTheme="minorHAnsi" w:hAnsiTheme="minorHAnsi" w:cstheme="minorBidi"/>
          <w:color w:val="auto"/>
          <w:sz w:val="22"/>
          <w:szCs w:val="22"/>
        </w:rPr>
        <w:t xml:space="preserve">Framework </w:t>
      </w:r>
      <w:r w:rsidR="00B92310" w:rsidRPr="00B92310">
        <w:rPr>
          <w:rFonts w:asciiTheme="minorHAnsi" w:hAnsiTheme="minorHAnsi" w:cstheme="minorBidi"/>
          <w:color w:val="auto"/>
          <w:sz w:val="22"/>
          <w:szCs w:val="22"/>
        </w:rPr>
        <w:t xml:space="preserve">calls for the conclusion of social security agreements for the benefit of migrant </w:t>
      </w:r>
      <w:r w:rsidR="00B92310">
        <w:rPr>
          <w:rFonts w:asciiTheme="minorHAnsi" w:hAnsiTheme="minorHAnsi" w:cstheme="minorBidi"/>
          <w:color w:val="auto"/>
          <w:sz w:val="22"/>
          <w:szCs w:val="22"/>
        </w:rPr>
        <w:t>workers (Guideline 9.9. p. 18)</w:t>
      </w:r>
      <w:r w:rsidR="00B92310" w:rsidRPr="00B92310">
        <w:rPr>
          <w:rFonts w:asciiTheme="minorHAnsi" w:hAnsiTheme="minorHAnsi" w:cstheme="minorBidi"/>
          <w:color w:val="auto"/>
          <w:sz w:val="22"/>
          <w:szCs w:val="22"/>
        </w:rPr>
        <w:t>.</w:t>
      </w:r>
    </w:p>
    <w:p w:rsidR="00F32939" w:rsidRPr="00701B99" w:rsidRDefault="00F32939" w:rsidP="00335110">
      <w:pPr>
        <w:pStyle w:val="Default"/>
        <w:jc w:val="both"/>
        <w:rPr>
          <w:rFonts w:asciiTheme="minorHAnsi" w:hAnsiTheme="minorHAnsi" w:cstheme="minorBidi"/>
          <w:color w:val="auto"/>
          <w:sz w:val="22"/>
          <w:szCs w:val="22"/>
        </w:rPr>
      </w:pPr>
    </w:p>
    <w:p w:rsidR="00701B99" w:rsidRDefault="00701B99" w:rsidP="00546D3B">
      <w:pPr>
        <w:pStyle w:val="Default"/>
        <w:spacing w:line="276" w:lineRule="auto"/>
        <w:jc w:val="both"/>
        <w:rPr>
          <w:rFonts w:asciiTheme="minorHAnsi" w:hAnsiTheme="minorHAnsi" w:cstheme="minorBidi"/>
          <w:color w:val="auto"/>
          <w:sz w:val="22"/>
          <w:szCs w:val="22"/>
        </w:rPr>
      </w:pPr>
      <w:r w:rsidRPr="00701B99">
        <w:rPr>
          <w:rFonts w:asciiTheme="minorHAnsi" w:hAnsiTheme="minorHAnsi" w:cstheme="minorBidi"/>
          <w:i/>
          <w:color w:val="auto"/>
          <w:sz w:val="22"/>
          <w:szCs w:val="22"/>
        </w:rPr>
        <w:t xml:space="preserve">Protocol to </w:t>
      </w:r>
      <w:r w:rsidR="00A534E4">
        <w:rPr>
          <w:rFonts w:asciiTheme="minorHAnsi" w:hAnsiTheme="minorHAnsi" w:cstheme="minorBidi"/>
          <w:i/>
          <w:color w:val="auto"/>
          <w:sz w:val="22"/>
          <w:szCs w:val="22"/>
        </w:rPr>
        <w:t>P</w:t>
      </w:r>
      <w:r w:rsidR="00A534E4" w:rsidRPr="00701B99">
        <w:rPr>
          <w:rFonts w:asciiTheme="minorHAnsi" w:hAnsiTheme="minorHAnsi" w:cstheme="minorBidi"/>
          <w:i/>
          <w:color w:val="auto"/>
          <w:sz w:val="22"/>
          <w:szCs w:val="22"/>
        </w:rPr>
        <w:t>revent</w:t>
      </w:r>
      <w:r w:rsidRPr="00701B99">
        <w:rPr>
          <w:rFonts w:asciiTheme="minorHAnsi" w:hAnsiTheme="minorHAnsi" w:cstheme="minorBidi"/>
          <w:i/>
          <w:color w:val="auto"/>
          <w:sz w:val="22"/>
          <w:szCs w:val="22"/>
        </w:rPr>
        <w:t xml:space="preserve">, </w:t>
      </w:r>
      <w:r w:rsidR="00B248EE">
        <w:rPr>
          <w:rFonts w:asciiTheme="minorHAnsi" w:hAnsiTheme="minorHAnsi" w:cstheme="minorBidi"/>
          <w:i/>
          <w:color w:val="auto"/>
          <w:sz w:val="22"/>
          <w:szCs w:val="22"/>
        </w:rPr>
        <w:t>S</w:t>
      </w:r>
      <w:r w:rsidR="00B248EE" w:rsidRPr="00701B99">
        <w:rPr>
          <w:rFonts w:asciiTheme="minorHAnsi" w:hAnsiTheme="minorHAnsi" w:cstheme="minorBidi"/>
          <w:i/>
          <w:color w:val="auto"/>
          <w:sz w:val="22"/>
          <w:szCs w:val="22"/>
        </w:rPr>
        <w:t xml:space="preserve">uppress </w:t>
      </w:r>
      <w:r w:rsidRPr="00701B99">
        <w:rPr>
          <w:rFonts w:asciiTheme="minorHAnsi" w:hAnsiTheme="minorHAnsi" w:cstheme="minorBidi"/>
          <w:i/>
          <w:color w:val="auto"/>
          <w:sz w:val="22"/>
          <w:szCs w:val="22"/>
        </w:rPr>
        <w:t xml:space="preserve">and </w:t>
      </w:r>
      <w:r w:rsidR="00B248EE">
        <w:rPr>
          <w:rFonts w:asciiTheme="minorHAnsi" w:hAnsiTheme="minorHAnsi" w:cstheme="minorBidi"/>
          <w:i/>
          <w:color w:val="auto"/>
          <w:sz w:val="22"/>
          <w:szCs w:val="22"/>
        </w:rPr>
        <w:t>P</w:t>
      </w:r>
      <w:r w:rsidR="00B248EE" w:rsidRPr="00701B99">
        <w:rPr>
          <w:rFonts w:asciiTheme="minorHAnsi" w:hAnsiTheme="minorHAnsi" w:cstheme="minorBidi"/>
          <w:i/>
          <w:color w:val="auto"/>
          <w:sz w:val="22"/>
          <w:szCs w:val="22"/>
        </w:rPr>
        <w:t xml:space="preserve">unish </w:t>
      </w:r>
      <w:r w:rsidR="00B248EE">
        <w:rPr>
          <w:rFonts w:asciiTheme="minorHAnsi" w:hAnsiTheme="minorHAnsi" w:cstheme="minorBidi"/>
          <w:i/>
          <w:color w:val="auto"/>
          <w:sz w:val="22"/>
          <w:szCs w:val="22"/>
        </w:rPr>
        <w:t>T</w:t>
      </w:r>
      <w:r w:rsidR="00B248EE" w:rsidRPr="00701B99">
        <w:rPr>
          <w:rFonts w:asciiTheme="minorHAnsi" w:hAnsiTheme="minorHAnsi" w:cstheme="minorBidi"/>
          <w:i/>
          <w:color w:val="auto"/>
          <w:sz w:val="22"/>
          <w:szCs w:val="22"/>
        </w:rPr>
        <w:t xml:space="preserve">rafficking </w:t>
      </w:r>
      <w:r w:rsidRPr="00701B99">
        <w:rPr>
          <w:rFonts w:asciiTheme="minorHAnsi" w:hAnsiTheme="minorHAnsi" w:cstheme="minorBidi"/>
          <w:i/>
          <w:color w:val="auto"/>
          <w:sz w:val="22"/>
          <w:szCs w:val="22"/>
        </w:rPr>
        <w:t xml:space="preserve">in </w:t>
      </w:r>
      <w:r w:rsidR="00B248EE">
        <w:rPr>
          <w:rFonts w:asciiTheme="minorHAnsi" w:hAnsiTheme="minorHAnsi" w:cstheme="minorBidi"/>
          <w:i/>
          <w:color w:val="auto"/>
          <w:sz w:val="22"/>
          <w:szCs w:val="22"/>
        </w:rPr>
        <w:t>P</w:t>
      </w:r>
      <w:r w:rsidR="00B248EE" w:rsidRPr="00701B99">
        <w:rPr>
          <w:rFonts w:asciiTheme="minorHAnsi" w:hAnsiTheme="minorHAnsi" w:cstheme="minorBidi"/>
          <w:i/>
          <w:color w:val="auto"/>
          <w:sz w:val="22"/>
          <w:szCs w:val="22"/>
        </w:rPr>
        <w:t>ersons</w:t>
      </w:r>
      <w:r w:rsidRPr="00701B99">
        <w:rPr>
          <w:rFonts w:asciiTheme="minorHAnsi" w:hAnsiTheme="minorHAnsi" w:cstheme="minorBidi"/>
          <w:i/>
          <w:color w:val="auto"/>
          <w:sz w:val="22"/>
          <w:szCs w:val="22"/>
        </w:rPr>
        <w:t>,</w:t>
      </w:r>
      <w:r w:rsidR="00A534E4">
        <w:rPr>
          <w:rFonts w:asciiTheme="minorHAnsi" w:hAnsiTheme="minorHAnsi" w:cstheme="minorBidi"/>
          <w:i/>
          <w:color w:val="auto"/>
          <w:sz w:val="22"/>
          <w:szCs w:val="22"/>
        </w:rPr>
        <w:t xml:space="preserve"> Especially Women and Children,</w:t>
      </w:r>
      <w:r w:rsidRPr="00701B99">
        <w:rPr>
          <w:rFonts w:asciiTheme="minorHAnsi" w:hAnsiTheme="minorHAnsi" w:cstheme="minorBidi"/>
          <w:i/>
          <w:color w:val="auto"/>
          <w:sz w:val="22"/>
          <w:szCs w:val="22"/>
        </w:rPr>
        <w:t xml:space="preserve"> supplementing the </w:t>
      </w:r>
      <w:r w:rsidR="00B248EE">
        <w:rPr>
          <w:rFonts w:asciiTheme="minorHAnsi" w:hAnsiTheme="minorHAnsi" w:cstheme="minorBidi"/>
          <w:i/>
          <w:color w:val="auto"/>
          <w:sz w:val="22"/>
          <w:szCs w:val="22"/>
        </w:rPr>
        <w:t>United Nations</w:t>
      </w:r>
      <w:r w:rsidR="00B248EE" w:rsidRPr="00701B99">
        <w:rPr>
          <w:rFonts w:asciiTheme="minorHAnsi" w:hAnsiTheme="minorHAnsi" w:cstheme="minorBidi"/>
          <w:i/>
          <w:color w:val="auto"/>
          <w:sz w:val="22"/>
          <w:szCs w:val="22"/>
        </w:rPr>
        <w:t xml:space="preserve"> </w:t>
      </w:r>
      <w:r w:rsidRPr="00701B99">
        <w:rPr>
          <w:rFonts w:asciiTheme="minorHAnsi" w:hAnsiTheme="minorHAnsi" w:cstheme="minorBidi"/>
          <w:i/>
          <w:color w:val="auto"/>
          <w:sz w:val="22"/>
          <w:szCs w:val="22"/>
        </w:rPr>
        <w:t>Convention against Transnational Organized Crime</w:t>
      </w:r>
      <w:r w:rsidRPr="00701B99">
        <w:rPr>
          <w:rFonts w:asciiTheme="minorHAnsi" w:hAnsiTheme="minorHAnsi" w:cstheme="minorBidi"/>
          <w:color w:val="auto"/>
          <w:sz w:val="22"/>
          <w:szCs w:val="22"/>
        </w:rPr>
        <w:t>:  provides that states shall take into account the gender of victims of trafficking (Article 6).</w:t>
      </w:r>
    </w:p>
    <w:p w:rsidR="00C555DD" w:rsidRDefault="00C555DD" w:rsidP="00C555DD">
      <w:pPr>
        <w:pStyle w:val="Default"/>
        <w:spacing w:line="276" w:lineRule="auto"/>
        <w:jc w:val="both"/>
        <w:rPr>
          <w:rFonts w:asciiTheme="minorHAnsi" w:hAnsiTheme="minorHAnsi" w:cstheme="minorBidi"/>
          <w:color w:val="auto"/>
          <w:sz w:val="22"/>
          <w:szCs w:val="22"/>
        </w:rPr>
      </w:pPr>
    </w:p>
    <w:p w:rsidR="00C555DD" w:rsidRDefault="00C555DD" w:rsidP="003B69CC">
      <w:r w:rsidRPr="003B69CC">
        <w:rPr>
          <w:i/>
        </w:rPr>
        <w:t>The Beijing Declaration</w:t>
      </w:r>
      <w:r w:rsidR="00B90FEB" w:rsidRPr="00B90FEB">
        <w:rPr>
          <w:i/>
        </w:rPr>
        <w:t xml:space="preserve"> </w:t>
      </w:r>
      <w:r w:rsidR="00B90FEB">
        <w:rPr>
          <w:i/>
        </w:rPr>
        <w:t>and Platform for Action</w:t>
      </w:r>
      <w:r w:rsidR="003B69CC">
        <w:rPr>
          <w:i/>
        </w:rPr>
        <w:t>:</w:t>
      </w:r>
      <w:r w:rsidRPr="003B69CC">
        <w:t xml:space="preserve"> </w:t>
      </w:r>
      <w:r w:rsidR="00E178C5">
        <w:t xml:space="preserve">The Beijing Declaration </w:t>
      </w:r>
      <w:r w:rsidR="00546D3B">
        <w:t>reaffirmed the</w:t>
      </w:r>
      <w:r w:rsidR="003B69CC" w:rsidRPr="003B69CC">
        <w:t xml:space="preserve"> commitment </w:t>
      </w:r>
      <w:r w:rsidR="00546D3B">
        <w:t xml:space="preserve">of Member States </w:t>
      </w:r>
      <w:r w:rsidR="003B69CC" w:rsidRPr="003B69CC">
        <w:t>to</w:t>
      </w:r>
      <w:r w:rsidR="003B69CC">
        <w:t xml:space="preserve"> t</w:t>
      </w:r>
      <w:bookmarkStart w:id="1" w:name="declar.htm"/>
      <w:r w:rsidR="003B69CC" w:rsidRPr="003B69CC">
        <w:rPr>
          <w:rFonts w:eastAsia="Times New Roman" w:cs="Times New Roman"/>
          <w:color w:val="000000"/>
          <w:shd w:val="clear" w:color="auto" w:fill="FFFFFF"/>
          <w:lang w:eastAsia="en-GB"/>
        </w:rPr>
        <w:t>he empowerment and advancement of women</w:t>
      </w:r>
      <w:bookmarkEnd w:id="1"/>
      <w:r w:rsidR="003B69CC">
        <w:rPr>
          <w:rFonts w:eastAsia="Times New Roman" w:cs="Times New Roman"/>
          <w:color w:val="000000"/>
          <w:shd w:val="clear" w:color="auto" w:fill="FFFFFF"/>
          <w:lang w:eastAsia="en-GB"/>
        </w:rPr>
        <w:t xml:space="preserve"> (Article 12) and </w:t>
      </w:r>
      <w:r w:rsidRPr="003B69CC">
        <w:t>outlined the importance of recognising the multiple barriers that women face to their empowerment and advancement</w:t>
      </w:r>
      <w:r w:rsidR="008267E2">
        <w:t>, including</w:t>
      </w:r>
      <w:r w:rsidRPr="003B69CC">
        <w:t xml:space="preserve"> such factors as race, age, language, ethnicity, culture, religion</w:t>
      </w:r>
      <w:r w:rsidR="00ED5264">
        <w:t>,</w:t>
      </w:r>
      <w:r w:rsidRPr="003B69CC">
        <w:t xml:space="preserve"> disability or </w:t>
      </w:r>
      <w:r>
        <w:t xml:space="preserve">indigenous </w:t>
      </w:r>
      <w:r w:rsidR="00ED5264">
        <w:t xml:space="preserve">status </w:t>
      </w:r>
      <w:r>
        <w:t xml:space="preserve">(Article 32). </w:t>
      </w:r>
      <w:r w:rsidR="00B90FEB">
        <w:t>The Platform for Action specifically recognized the barriers to full equality and advancement that exist for migrant women (Article 46), providing that governments ensure the full realization of the human right</w:t>
      </w:r>
      <w:r w:rsidR="00ED5264">
        <w:t>s</w:t>
      </w:r>
      <w:r w:rsidR="00B90FEB">
        <w:t xml:space="preserve"> of all women migrants, and their protection against violence and exploitation</w:t>
      </w:r>
      <w:r w:rsidR="00ED5264">
        <w:t>;</w:t>
      </w:r>
      <w:r w:rsidR="00B90FEB">
        <w:t xml:space="preserve"> introduce measures for the empowerment of documented women migrants, including women migrant workers</w:t>
      </w:r>
      <w:r w:rsidR="00ED5264">
        <w:t>;</w:t>
      </w:r>
      <w:r w:rsidR="00B90FEB">
        <w:t xml:space="preserve"> facilitate the productive employment of document migrant women through greater recognition of their skills, foreign education and credentials</w:t>
      </w:r>
      <w:r w:rsidR="00ED5264">
        <w:t>;</w:t>
      </w:r>
      <w:r w:rsidR="00B90FEB">
        <w:t xml:space="preserve"> and facilitate their full integration into the labour force (Article 58 (k)).</w:t>
      </w:r>
    </w:p>
    <w:p w:rsidR="00C555DD" w:rsidRDefault="00C555DD" w:rsidP="00717A34">
      <w:pPr>
        <w:pStyle w:val="Default"/>
        <w:spacing w:line="276" w:lineRule="auto"/>
        <w:jc w:val="both"/>
        <w:rPr>
          <w:rFonts w:asciiTheme="minorHAnsi" w:hAnsiTheme="minorHAnsi" w:cstheme="minorBidi"/>
          <w:color w:val="auto"/>
          <w:sz w:val="22"/>
          <w:szCs w:val="22"/>
        </w:rPr>
      </w:pPr>
    </w:p>
    <w:p w:rsidR="004C7092" w:rsidRDefault="007070A0" w:rsidP="00717A34">
      <w:pPr>
        <w:pStyle w:val="Default"/>
        <w:spacing w:line="276" w:lineRule="auto"/>
        <w:jc w:val="both"/>
        <w:rPr>
          <w:rFonts w:asciiTheme="minorHAnsi" w:hAnsiTheme="minorHAnsi" w:cstheme="minorBidi"/>
          <w:color w:val="auto"/>
          <w:sz w:val="22"/>
          <w:szCs w:val="22"/>
        </w:rPr>
      </w:pPr>
      <w:r w:rsidRPr="003B69CC">
        <w:rPr>
          <w:rFonts w:asciiTheme="minorHAnsi" w:hAnsiTheme="minorHAnsi" w:cstheme="minorBidi"/>
          <w:i/>
          <w:color w:val="auto"/>
          <w:sz w:val="22"/>
          <w:szCs w:val="22"/>
        </w:rPr>
        <w:t>The</w:t>
      </w:r>
      <w:r w:rsidR="00FC7204" w:rsidRPr="003B69CC">
        <w:rPr>
          <w:rFonts w:asciiTheme="minorHAnsi" w:hAnsiTheme="minorHAnsi" w:cstheme="minorBidi"/>
          <w:i/>
          <w:color w:val="auto"/>
          <w:sz w:val="22"/>
          <w:szCs w:val="22"/>
        </w:rPr>
        <w:t xml:space="preserve"> </w:t>
      </w:r>
      <w:r w:rsidR="00861BA4" w:rsidRPr="003B69CC">
        <w:rPr>
          <w:rFonts w:asciiTheme="minorHAnsi" w:hAnsiTheme="minorHAnsi" w:cstheme="minorBidi"/>
          <w:i/>
          <w:color w:val="auto"/>
          <w:sz w:val="22"/>
          <w:szCs w:val="22"/>
        </w:rPr>
        <w:t>Sustainable Development Goals (SDGs)</w:t>
      </w:r>
      <w:r w:rsidR="003B69CC" w:rsidRPr="003B69CC">
        <w:rPr>
          <w:rFonts w:asciiTheme="minorHAnsi" w:hAnsiTheme="minorHAnsi" w:cstheme="minorBidi"/>
          <w:i/>
          <w:color w:val="auto"/>
          <w:sz w:val="22"/>
          <w:szCs w:val="22"/>
        </w:rPr>
        <w:t>:</w:t>
      </w:r>
      <w:r w:rsidR="00607F1D" w:rsidRPr="00717A34">
        <w:rPr>
          <w:rFonts w:asciiTheme="minorHAnsi" w:hAnsiTheme="minorHAnsi"/>
        </w:rPr>
        <w:t xml:space="preserve">  </w:t>
      </w:r>
      <w:r w:rsidR="00B90FEB">
        <w:rPr>
          <w:rFonts w:asciiTheme="minorHAnsi" w:hAnsiTheme="minorHAnsi"/>
        </w:rPr>
        <w:t xml:space="preserve">The SDGs </w:t>
      </w:r>
      <w:r w:rsidR="00607F1D" w:rsidRPr="00717A34">
        <w:rPr>
          <w:rFonts w:asciiTheme="minorHAnsi" w:hAnsiTheme="minorHAnsi"/>
        </w:rPr>
        <w:t xml:space="preserve">address </w:t>
      </w:r>
      <w:r w:rsidR="00607F1D">
        <w:rPr>
          <w:rFonts w:asciiTheme="minorHAnsi" w:hAnsiTheme="minorHAnsi"/>
        </w:rPr>
        <w:t xml:space="preserve">the </w:t>
      </w:r>
      <w:r w:rsidR="00607F1D" w:rsidRPr="00607F1D">
        <w:rPr>
          <w:rFonts w:asciiTheme="minorHAnsi" w:hAnsiTheme="minorHAnsi" w:cstheme="minorBidi"/>
          <w:color w:val="auto"/>
          <w:sz w:val="22"/>
          <w:szCs w:val="22"/>
        </w:rPr>
        <w:t xml:space="preserve">urgent environmental, political </w:t>
      </w:r>
      <w:r w:rsidR="003B69CC">
        <w:rPr>
          <w:rFonts w:asciiTheme="minorHAnsi" w:hAnsiTheme="minorHAnsi" w:cstheme="minorBidi"/>
          <w:color w:val="auto"/>
          <w:sz w:val="22"/>
          <w:szCs w:val="22"/>
        </w:rPr>
        <w:t>and economic challenges facing the</w:t>
      </w:r>
      <w:r w:rsidR="00607F1D" w:rsidRPr="00607F1D">
        <w:rPr>
          <w:rFonts w:asciiTheme="minorHAnsi" w:hAnsiTheme="minorHAnsi" w:cstheme="minorBidi"/>
          <w:color w:val="auto"/>
          <w:sz w:val="22"/>
          <w:szCs w:val="22"/>
        </w:rPr>
        <w:t xml:space="preserve"> world</w:t>
      </w:r>
      <w:r w:rsidR="003B69CC">
        <w:rPr>
          <w:rFonts w:asciiTheme="minorHAnsi" w:hAnsiTheme="minorHAnsi" w:cstheme="minorBidi"/>
          <w:color w:val="auto"/>
          <w:sz w:val="22"/>
          <w:szCs w:val="22"/>
        </w:rPr>
        <w:t xml:space="preserve">. </w:t>
      </w:r>
      <w:r w:rsidR="00ED5264">
        <w:rPr>
          <w:rFonts w:asciiTheme="minorHAnsi" w:hAnsiTheme="minorHAnsi" w:cstheme="minorBidi"/>
          <w:color w:val="auto"/>
          <w:sz w:val="22"/>
          <w:szCs w:val="22"/>
        </w:rPr>
        <w:t xml:space="preserve">In </w:t>
      </w:r>
      <w:r w:rsidR="00A37A37">
        <w:rPr>
          <w:rFonts w:asciiTheme="minorHAnsi" w:hAnsiTheme="minorHAnsi" w:cstheme="minorBidi"/>
          <w:color w:val="auto"/>
          <w:sz w:val="22"/>
          <w:szCs w:val="22"/>
        </w:rPr>
        <w:t xml:space="preserve">Goal 5, the SDGs emphasise the importance of </w:t>
      </w:r>
      <w:r w:rsidR="00326D79">
        <w:rPr>
          <w:rFonts w:asciiTheme="minorHAnsi" w:hAnsiTheme="minorHAnsi" w:cstheme="minorBidi"/>
          <w:color w:val="auto"/>
          <w:sz w:val="22"/>
          <w:szCs w:val="22"/>
        </w:rPr>
        <w:t xml:space="preserve">gender </w:t>
      </w:r>
      <w:r w:rsidR="00C93C0E">
        <w:rPr>
          <w:rFonts w:asciiTheme="minorHAnsi" w:hAnsiTheme="minorHAnsi" w:cstheme="minorBidi"/>
          <w:color w:val="auto"/>
          <w:sz w:val="22"/>
          <w:szCs w:val="22"/>
        </w:rPr>
        <w:t xml:space="preserve">equality and </w:t>
      </w:r>
      <w:r w:rsidR="00326D79">
        <w:rPr>
          <w:rFonts w:asciiTheme="minorHAnsi" w:hAnsiTheme="minorHAnsi" w:cstheme="minorBidi"/>
          <w:color w:val="auto"/>
          <w:sz w:val="22"/>
          <w:szCs w:val="22"/>
        </w:rPr>
        <w:t xml:space="preserve">the </w:t>
      </w:r>
      <w:r w:rsidR="00C93C0E">
        <w:rPr>
          <w:rFonts w:asciiTheme="minorHAnsi" w:hAnsiTheme="minorHAnsi" w:cstheme="minorBidi"/>
          <w:color w:val="auto"/>
          <w:sz w:val="22"/>
          <w:szCs w:val="22"/>
        </w:rPr>
        <w:t>empowerme</w:t>
      </w:r>
      <w:r w:rsidR="00E70613">
        <w:rPr>
          <w:rFonts w:asciiTheme="minorHAnsi" w:hAnsiTheme="minorHAnsi" w:cstheme="minorBidi"/>
          <w:color w:val="auto"/>
          <w:sz w:val="22"/>
          <w:szCs w:val="22"/>
        </w:rPr>
        <w:t>nt of all women and girls</w:t>
      </w:r>
      <w:r w:rsidR="00C93C0E">
        <w:rPr>
          <w:rFonts w:asciiTheme="minorHAnsi" w:hAnsiTheme="minorHAnsi" w:cstheme="minorBidi"/>
          <w:color w:val="auto"/>
          <w:sz w:val="22"/>
          <w:szCs w:val="22"/>
        </w:rPr>
        <w:t xml:space="preserve">. </w:t>
      </w:r>
      <w:r w:rsidR="003B69CC">
        <w:rPr>
          <w:rFonts w:asciiTheme="minorHAnsi" w:hAnsiTheme="minorHAnsi" w:cstheme="minorBidi"/>
          <w:color w:val="auto"/>
          <w:sz w:val="22"/>
          <w:szCs w:val="22"/>
        </w:rPr>
        <w:t>Goal 8.8 seeks to protect labour rights and promote safe and secure working environments for all workers, including migrant workers, in particular women migrants, and those in precarious employment. The</w:t>
      </w:r>
      <w:r w:rsidR="003F42F5" w:rsidRPr="00607F1D">
        <w:rPr>
          <w:rFonts w:asciiTheme="minorHAnsi" w:hAnsiTheme="minorHAnsi" w:cstheme="minorBidi"/>
          <w:color w:val="auto"/>
          <w:sz w:val="22"/>
          <w:szCs w:val="22"/>
        </w:rPr>
        <w:t xml:space="preserve"> goals and targets most pertinent to the advancement of women migrants can be found in Annex </w:t>
      </w:r>
      <w:r w:rsidR="003B69CC">
        <w:rPr>
          <w:rFonts w:asciiTheme="minorHAnsi" w:hAnsiTheme="minorHAnsi" w:cstheme="minorBidi"/>
          <w:color w:val="auto"/>
          <w:sz w:val="22"/>
          <w:szCs w:val="22"/>
        </w:rPr>
        <w:t>A</w:t>
      </w:r>
      <w:r w:rsidR="00CA7015" w:rsidRPr="00607F1D">
        <w:rPr>
          <w:rFonts w:asciiTheme="minorHAnsi" w:hAnsiTheme="minorHAnsi" w:cstheme="minorBidi"/>
          <w:color w:val="auto"/>
          <w:sz w:val="22"/>
          <w:szCs w:val="22"/>
        </w:rPr>
        <w:t xml:space="preserve"> of this paper. </w:t>
      </w:r>
    </w:p>
    <w:p w:rsidR="00D43DDF" w:rsidRPr="00607F1D" w:rsidRDefault="00D43DDF" w:rsidP="00717A34">
      <w:pPr>
        <w:pStyle w:val="Default"/>
        <w:spacing w:line="276" w:lineRule="auto"/>
        <w:jc w:val="both"/>
        <w:rPr>
          <w:rFonts w:asciiTheme="minorHAnsi" w:hAnsiTheme="minorHAnsi" w:cstheme="minorBidi"/>
          <w:color w:val="auto"/>
          <w:sz w:val="22"/>
          <w:szCs w:val="22"/>
        </w:rPr>
      </w:pPr>
    </w:p>
    <w:p w:rsidR="00555E70" w:rsidRPr="00555E70" w:rsidRDefault="00555E70" w:rsidP="00555E70">
      <w:pPr>
        <w:rPr>
          <w:rFonts w:eastAsiaTheme="majorEastAsia" w:cstheme="majorBidi"/>
          <w:b/>
          <w:sz w:val="24"/>
        </w:rPr>
      </w:pPr>
      <w:r w:rsidRPr="00555E70">
        <w:rPr>
          <w:rFonts w:eastAsiaTheme="majorEastAsia" w:cstheme="majorBidi"/>
          <w:b/>
          <w:sz w:val="24"/>
        </w:rPr>
        <w:t xml:space="preserve">Facts, figures </w:t>
      </w:r>
      <w:r w:rsidR="00ED5264">
        <w:rPr>
          <w:rFonts w:eastAsiaTheme="majorEastAsia" w:cstheme="majorBidi"/>
          <w:b/>
          <w:sz w:val="24"/>
        </w:rPr>
        <w:t xml:space="preserve">and </w:t>
      </w:r>
      <w:r w:rsidRPr="00555E70">
        <w:rPr>
          <w:rFonts w:eastAsiaTheme="majorEastAsia" w:cstheme="majorBidi"/>
          <w:b/>
          <w:sz w:val="24"/>
        </w:rPr>
        <w:t>trends</w:t>
      </w:r>
    </w:p>
    <w:p w:rsidR="00754723" w:rsidRDefault="00754723" w:rsidP="00964096">
      <w:pPr>
        <w:rPr>
          <w:bCs/>
          <w:iCs/>
        </w:rPr>
      </w:pPr>
      <w:r w:rsidRPr="00877D8C">
        <w:t>Women make up approximately half of the</w:t>
      </w:r>
      <w:r>
        <w:t xml:space="preserve"> 244 million</w:t>
      </w:r>
      <w:r w:rsidRPr="00877D8C">
        <w:t xml:space="preserve"> international migrants worldwide</w:t>
      </w:r>
      <w:r>
        <w:t xml:space="preserve">, </w:t>
      </w:r>
      <w:r w:rsidR="00916887">
        <w:t xml:space="preserve">and contribute </w:t>
      </w:r>
      <w:r>
        <w:t>to economic growth and human development</w:t>
      </w:r>
      <w:r w:rsidRPr="00877D8C">
        <w:t>.</w:t>
      </w:r>
      <w:r>
        <w:rPr>
          <w:rStyle w:val="FootnoteReference"/>
        </w:rPr>
        <w:footnoteReference w:id="11"/>
      </w:r>
      <w:r>
        <w:t xml:space="preserve"> Migration is not a gender neutral phenomenon. </w:t>
      </w:r>
      <w:r w:rsidRPr="007E15C6">
        <w:t>Gender influences</w:t>
      </w:r>
      <w:r>
        <w:t xml:space="preserve"> the </w:t>
      </w:r>
      <w:r w:rsidRPr="007E15C6">
        <w:t>specific</w:t>
      </w:r>
      <w:r>
        <w:t xml:space="preserve"> experiences and risks of women and men at all stages of migration</w:t>
      </w:r>
      <w:r w:rsidR="00ED5264">
        <w:t>,</w:t>
      </w:r>
      <w:r>
        <w:t xml:space="preserve"> including pre-departure, transit, entry, in destination and return. </w:t>
      </w:r>
    </w:p>
    <w:p w:rsidR="00754723" w:rsidRDefault="00754723" w:rsidP="00964096">
      <w:pPr>
        <w:rPr>
          <w:bCs/>
          <w:iCs/>
        </w:rPr>
      </w:pPr>
    </w:p>
    <w:p w:rsidR="00964096" w:rsidRPr="00022FF5" w:rsidRDefault="00964096" w:rsidP="00964096">
      <w:r w:rsidRPr="001E2700">
        <w:rPr>
          <w:bCs/>
          <w:iCs/>
        </w:rPr>
        <w:t>The</w:t>
      </w:r>
      <w:r w:rsidRPr="001E2700">
        <w:t xml:space="preserve"> experiences of migrant women can inform and change social, cultural</w:t>
      </w:r>
      <w:r w:rsidR="005A597B">
        <w:t xml:space="preserve">, </w:t>
      </w:r>
      <w:r w:rsidRPr="001E2700">
        <w:t>political</w:t>
      </w:r>
      <w:r w:rsidR="005A597B">
        <w:t xml:space="preserve"> and gender</w:t>
      </w:r>
      <w:r w:rsidRPr="001E2700">
        <w:t xml:space="preserve"> norms and can influence positive social change across households and communities in sending and destination count</w:t>
      </w:r>
      <w:r w:rsidR="00931517">
        <w:t>r</w:t>
      </w:r>
      <w:r w:rsidRPr="001E2700">
        <w:t>ies.</w:t>
      </w:r>
      <w:r>
        <w:t xml:space="preserve"> </w:t>
      </w:r>
      <w:r w:rsidRPr="000D4745">
        <w:t>For instance, when a woman’s new earning capacity has the effect of elevating her status in her family and/or community, she may have more influence on how that money is spent, as well as on other significant decisions that she might previously have been excluded from influencing.</w:t>
      </w:r>
      <w:r w:rsidRPr="00044F05">
        <w:rPr>
          <w:vertAlign w:val="superscript"/>
        </w:rPr>
        <w:footnoteReference w:id="12"/>
      </w:r>
      <w:r w:rsidRPr="000D4745">
        <w:rPr>
          <w:vertAlign w:val="superscript"/>
        </w:rPr>
        <w:t xml:space="preserve"> </w:t>
      </w:r>
      <w:r w:rsidRPr="000D4745">
        <w:t xml:space="preserve"> </w:t>
      </w:r>
      <w:r w:rsidRPr="000D4745">
        <w:rPr>
          <w:vertAlign w:val="superscript"/>
        </w:rPr>
        <w:t xml:space="preserve"> </w:t>
      </w:r>
      <w:r>
        <w:rPr>
          <w:vertAlign w:val="superscript"/>
        </w:rPr>
        <w:t xml:space="preserve"> </w:t>
      </w:r>
    </w:p>
    <w:p w:rsidR="00964096" w:rsidRDefault="00964096" w:rsidP="00C93B03">
      <w:pPr>
        <w:rPr>
          <w:rFonts w:eastAsiaTheme="minorEastAsia"/>
        </w:rPr>
      </w:pPr>
    </w:p>
    <w:p w:rsidR="00323FB4" w:rsidRPr="00A41C3C" w:rsidRDefault="00ED5264" w:rsidP="00A41C3C">
      <w:pPr>
        <w:autoSpaceDE w:val="0"/>
        <w:autoSpaceDN w:val="0"/>
        <w:adjustRightInd w:val="0"/>
        <w:rPr>
          <w:rFonts w:cs="Arial"/>
        </w:rPr>
      </w:pPr>
      <w:r>
        <w:rPr>
          <w:rFonts w:eastAsiaTheme="minorEastAsia"/>
        </w:rPr>
        <w:t>M</w:t>
      </w:r>
      <w:r w:rsidR="00323FB4" w:rsidRPr="00DF66EA">
        <w:rPr>
          <w:rFonts w:eastAsiaTheme="minorEastAsia"/>
        </w:rPr>
        <w:t xml:space="preserve">igrant women are responsible for half of the </w:t>
      </w:r>
      <w:r w:rsidR="00916887">
        <w:rPr>
          <w:rFonts w:eastAsiaTheme="minorEastAsia"/>
        </w:rPr>
        <w:t>world’s</w:t>
      </w:r>
      <w:r w:rsidR="00323FB4" w:rsidRPr="00DF66EA">
        <w:rPr>
          <w:rFonts w:eastAsiaTheme="minorEastAsia"/>
        </w:rPr>
        <w:t xml:space="preserve"> estimated $601 billion in global remittances</w:t>
      </w:r>
      <w:r w:rsidR="00222FA6">
        <w:rPr>
          <w:rFonts w:eastAsiaTheme="minorEastAsia"/>
        </w:rPr>
        <w:t>.</w:t>
      </w:r>
      <w:r w:rsidR="00323FB4" w:rsidRPr="00AE216B">
        <w:rPr>
          <w:rFonts w:eastAsiaTheme="minorEastAsia"/>
          <w:vertAlign w:val="superscript"/>
        </w:rPr>
        <w:footnoteReference w:id="13"/>
      </w:r>
      <w:r w:rsidR="00022FF5">
        <w:rPr>
          <w:rFonts w:eastAsiaTheme="minorEastAsia"/>
        </w:rPr>
        <w:t xml:space="preserve"> </w:t>
      </w:r>
      <w:r w:rsidR="00323FB4" w:rsidRPr="00DF66EA">
        <w:rPr>
          <w:rFonts w:eastAsiaTheme="minorEastAsia"/>
        </w:rPr>
        <w:t>Women can</w:t>
      </w:r>
      <w:r w:rsidR="00964096">
        <w:rPr>
          <w:rFonts w:eastAsiaTheme="minorEastAsia"/>
        </w:rPr>
        <w:t xml:space="preserve"> </w:t>
      </w:r>
      <w:r w:rsidR="00323FB4" w:rsidRPr="00DF66EA">
        <w:rPr>
          <w:rFonts w:eastAsiaTheme="minorEastAsia"/>
        </w:rPr>
        <w:t xml:space="preserve">exercise considerable individual and collective agency through their remitting practices, both by being central to household decision-making processes back home and by choosing to whom remittances are sent. </w:t>
      </w:r>
      <w:r w:rsidR="00E92ECC">
        <w:rPr>
          <w:rFonts w:eastAsiaTheme="minorEastAsia"/>
        </w:rPr>
        <w:t>Further</w:t>
      </w:r>
      <w:r w:rsidR="00323FB4" w:rsidRPr="00DF66EA">
        <w:rPr>
          <w:rFonts w:eastAsiaTheme="minorEastAsia"/>
        </w:rPr>
        <w:t>, women’s remittance sending behaviour can provide a substitute for poor social security in countries of origin</w:t>
      </w:r>
      <w:r w:rsidR="001E2F52">
        <w:rPr>
          <w:rFonts w:eastAsiaTheme="minorEastAsia"/>
        </w:rPr>
        <w:t xml:space="preserve">. When women are in charge of </w:t>
      </w:r>
      <w:r w:rsidR="00323FB4" w:rsidRPr="00DF66EA">
        <w:rPr>
          <w:rFonts w:eastAsiaTheme="minorEastAsia"/>
        </w:rPr>
        <w:t>remittances</w:t>
      </w:r>
      <w:r w:rsidR="001E2F52">
        <w:rPr>
          <w:rFonts w:eastAsiaTheme="minorEastAsia"/>
        </w:rPr>
        <w:t>, funds</w:t>
      </w:r>
      <w:r w:rsidR="00323FB4" w:rsidRPr="00DF66EA">
        <w:rPr>
          <w:rFonts w:eastAsiaTheme="minorEastAsia"/>
        </w:rPr>
        <w:t xml:space="preserve"> are more likely to be spent on health, education, </w:t>
      </w:r>
      <w:proofErr w:type="gramStart"/>
      <w:r w:rsidR="00323FB4" w:rsidRPr="00DF66EA">
        <w:rPr>
          <w:rFonts w:eastAsiaTheme="minorEastAsia"/>
        </w:rPr>
        <w:t>family</w:t>
      </w:r>
      <w:proofErr w:type="gramEnd"/>
      <w:r w:rsidR="00323FB4" w:rsidRPr="00DF66EA">
        <w:rPr>
          <w:rFonts w:eastAsiaTheme="minorEastAsia"/>
        </w:rPr>
        <w:t xml:space="preserve"> and community development.</w:t>
      </w:r>
      <w:r w:rsidR="00323FB4" w:rsidRPr="00AE216B">
        <w:rPr>
          <w:rFonts w:eastAsiaTheme="minorEastAsia"/>
          <w:vertAlign w:val="superscript"/>
        </w:rPr>
        <w:footnoteReference w:id="14"/>
      </w:r>
      <w:r w:rsidR="006D4B71">
        <w:rPr>
          <w:rFonts w:eastAsiaTheme="minorEastAsia"/>
        </w:rPr>
        <w:t xml:space="preserve"> </w:t>
      </w:r>
      <w:r w:rsidR="00450BBC">
        <w:rPr>
          <w:rFonts w:eastAsiaTheme="minorEastAsia"/>
        </w:rPr>
        <w:t xml:space="preserve">Women </w:t>
      </w:r>
      <w:r w:rsidR="00450BBC" w:rsidRPr="00DF66EA">
        <w:rPr>
          <w:rFonts w:eastAsiaTheme="minorEastAsia"/>
        </w:rPr>
        <w:t xml:space="preserve">are more likely to send home a higher proportion of their </w:t>
      </w:r>
      <w:r w:rsidR="00450BBC">
        <w:rPr>
          <w:rFonts w:eastAsiaTheme="minorEastAsia"/>
        </w:rPr>
        <w:t xml:space="preserve">lower </w:t>
      </w:r>
      <w:r w:rsidR="00450BBC" w:rsidRPr="00DF66EA">
        <w:rPr>
          <w:rFonts w:eastAsiaTheme="minorEastAsia"/>
        </w:rPr>
        <w:t>earnings more frequently</w:t>
      </w:r>
      <w:r w:rsidR="00450BBC">
        <w:rPr>
          <w:rFonts w:eastAsiaTheme="minorEastAsia"/>
        </w:rPr>
        <w:t>,</w:t>
      </w:r>
      <w:r w:rsidR="00450BBC">
        <w:rPr>
          <w:rStyle w:val="FootnoteReference"/>
          <w:rFonts w:eastAsiaTheme="minorEastAsia"/>
        </w:rPr>
        <w:footnoteReference w:id="15"/>
      </w:r>
      <w:r w:rsidR="00450BBC">
        <w:rPr>
          <w:rFonts w:eastAsiaTheme="minorEastAsia"/>
        </w:rPr>
        <w:t xml:space="preserve"> </w:t>
      </w:r>
      <w:r w:rsidR="001E2F52">
        <w:rPr>
          <w:rFonts w:eastAsiaTheme="minorEastAsia"/>
        </w:rPr>
        <w:t xml:space="preserve">but </w:t>
      </w:r>
      <w:r w:rsidR="00450BBC">
        <w:rPr>
          <w:rFonts w:eastAsiaTheme="minorEastAsia"/>
        </w:rPr>
        <w:t xml:space="preserve">barriers to accessing formal remittance channels and lack of financial literacy mean that women migrants commonly use unregulated channels </w:t>
      </w:r>
      <w:r w:rsidR="001E2F52">
        <w:rPr>
          <w:rFonts w:eastAsiaTheme="minorEastAsia"/>
        </w:rPr>
        <w:t>that</w:t>
      </w:r>
      <w:r w:rsidR="001E2F52" w:rsidRPr="00142858">
        <w:rPr>
          <w:rFonts w:cs="Arial"/>
        </w:rPr>
        <w:t xml:space="preserve"> </w:t>
      </w:r>
      <w:r w:rsidR="00450BBC" w:rsidRPr="00142858">
        <w:rPr>
          <w:rFonts w:cs="Arial"/>
        </w:rPr>
        <w:t>are seen as cheaper, more flexible and easier to access</w:t>
      </w:r>
      <w:r w:rsidR="00450BBC">
        <w:rPr>
          <w:rFonts w:cs="Arial"/>
        </w:rPr>
        <w:t>.</w:t>
      </w:r>
      <w:r w:rsidR="00450BBC" w:rsidRPr="00142858">
        <w:rPr>
          <w:rFonts w:cs="Arial"/>
        </w:rPr>
        <w:t xml:space="preserve"> </w:t>
      </w:r>
      <w:r>
        <w:rPr>
          <w:rFonts w:eastAsiaTheme="minorEastAsia"/>
        </w:rPr>
        <w:t>E</w:t>
      </w:r>
      <w:r w:rsidR="006D4B71">
        <w:rPr>
          <w:rFonts w:eastAsiaTheme="minorEastAsia"/>
        </w:rPr>
        <w:t xml:space="preserve">conomic remittances </w:t>
      </w:r>
      <w:r>
        <w:rPr>
          <w:rFonts w:eastAsiaTheme="minorEastAsia"/>
        </w:rPr>
        <w:t xml:space="preserve">are </w:t>
      </w:r>
      <w:r w:rsidR="006D4B71">
        <w:rPr>
          <w:rFonts w:eastAsiaTheme="minorEastAsia"/>
        </w:rPr>
        <w:t xml:space="preserve">often </w:t>
      </w:r>
      <w:r>
        <w:rPr>
          <w:rFonts w:eastAsiaTheme="minorEastAsia"/>
        </w:rPr>
        <w:t xml:space="preserve">lauded for the benefits </w:t>
      </w:r>
      <w:r w:rsidR="00BD2138">
        <w:rPr>
          <w:rFonts w:eastAsiaTheme="minorEastAsia"/>
        </w:rPr>
        <w:t>they</w:t>
      </w:r>
      <w:r w:rsidR="006D4B71">
        <w:rPr>
          <w:rFonts w:eastAsiaTheme="minorEastAsia"/>
        </w:rPr>
        <w:t xml:space="preserve"> can bring through productive investments in property and business</w:t>
      </w:r>
      <w:r>
        <w:rPr>
          <w:rFonts w:eastAsiaTheme="minorEastAsia"/>
        </w:rPr>
        <w:t xml:space="preserve">, but </w:t>
      </w:r>
      <w:r w:rsidR="00805321">
        <w:rPr>
          <w:rFonts w:eastAsiaTheme="minorEastAsia"/>
        </w:rPr>
        <w:t>this</w:t>
      </w:r>
      <w:r w:rsidR="006D4B71">
        <w:rPr>
          <w:rFonts w:eastAsiaTheme="minorEastAsia"/>
        </w:rPr>
        <w:t xml:space="preserve"> focus often fails to take into account the </w:t>
      </w:r>
      <w:r w:rsidR="00591FA0">
        <w:rPr>
          <w:rFonts w:eastAsiaTheme="minorEastAsia"/>
        </w:rPr>
        <w:t>social benefit of women’s remittances</w:t>
      </w:r>
      <w:r w:rsidR="006D4B71">
        <w:rPr>
          <w:rFonts w:eastAsiaTheme="minorEastAsia"/>
        </w:rPr>
        <w:t xml:space="preserve"> </w:t>
      </w:r>
      <w:r w:rsidR="00591FA0">
        <w:rPr>
          <w:rFonts w:eastAsiaTheme="minorEastAsia"/>
        </w:rPr>
        <w:t>or the economic and social costs borne by migrants.</w:t>
      </w:r>
      <w:r w:rsidR="00450BBC">
        <w:rPr>
          <w:rFonts w:eastAsiaTheme="minorEastAsia"/>
        </w:rPr>
        <w:t xml:space="preserve"> </w:t>
      </w:r>
      <w:r w:rsidR="001E2F52" w:rsidRPr="000D4745">
        <w:t xml:space="preserve">Migration </w:t>
      </w:r>
      <w:r w:rsidR="001E2F52">
        <w:t xml:space="preserve">may also provide </w:t>
      </w:r>
      <w:r w:rsidR="001E2F52" w:rsidRPr="000D4745">
        <w:t xml:space="preserve">significant </w:t>
      </w:r>
      <w:r w:rsidR="001E2F52">
        <w:t>social remittances for origin countries, such as the</w:t>
      </w:r>
      <w:r w:rsidR="001E2F52" w:rsidRPr="000D4745">
        <w:t xml:space="preserve"> transfer of knowledge, ideas, practices, skills and technologies.</w:t>
      </w:r>
      <w:r w:rsidR="001E2F52" w:rsidRPr="00044F05">
        <w:rPr>
          <w:vertAlign w:val="superscript"/>
        </w:rPr>
        <w:footnoteReference w:id="16"/>
      </w:r>
    </w:p>
    <w:p w:rsidR="00323FB4" w:rsidRDefault="00323FB4" w:rsidP="00323FB4">
      <w:pPr>
        <w:rPr>
          <w:sz w:val="24"/>
          <w:szCs w:val="24"/>
        </w:rPr>
      </w:pPr>
    </w:p>
    <w:p w:rsidR="00637AB3" w:rsidRDefault="00AE216B" w:rsidP="00AE216B">
      <w:r>
        <w:t xml:space="preserve">Despite the contributions that </w:t>
      </w:r>
      <w:r w:rsidR="00154812">
        <w:t xml:space="preserve">migrant women </w:t>
      </w:r>
      <w:r>
        <w:t>make and the agency that they demonstrate, m</w:t>
      </w:r>
      <w:r w:rsidR="00C93B03" w:rsidRPr="00877D8C">
        <w:t>igrant women are commonly subject to multiple and intersecting forms of discrimination</w:t>
      </w:r>
      <w:r w:rsidR="00E70B5F">
        <w:t>.</w:t>
      </w:r>
      <w:r w:rsidR="00C93B03" w:rsidRPr="00877D8C">
        <w:t xml:space="preserve"> Such gender-based discrimination</w:t>
      </w:r>
      <w:r w:rsidR="005B0311">
        <w:t xml:space="preserve"> may</w:t>
      </w:r>
      <w:r w:rsidR="00C93B03" w:rsidRPr="00877D8C">
        <w:t xml:space="preserve"> limit </w:t>
      </w:r>
      <w:r w:rsidR="00C93B03">
        <w:t xml:space="preserve">migrant </w:t>
      </w:r>
      <w:r w:rsidR="00C93B03" w:rsidRPr="00877D8C">
        <w:t>women’s decision-making and agency in the household and labo</w:t>
      </w:r>
      <w:r w:rsidR="00C93B03">
        <w:t>u</w:t>
      </w:r>
      <w:r w:rsidR="00C93B03" w:rsidRPr="00877D8C">
        <w:t>r market, as well as their mobility within and outside their countries of origin.</w:t>
      </w:r>
      <w:r w:rsidR="00C93B03">
        <w:t xml:space="preserve"> </w:t>
      </w:r>
    </w:p>
    <w:p w:rsidR="00003A6D" w:rsidRDefault="00003A6D" w:rsidP="00AE216B"/>
    <w:p w:rsidR="00003A6D" w:rsidRDefault="00003A6D" w:rsidP="00AE216B">
      <w:r>
        <w:rPr>
          <w:rFonts w:cs="Times New Roman"/>
          <w:lang w:val="en-CA"/>
        </w:rPr>
        <w:t xml:space="preserve">Individuals </w:t>
      </w:r>
      <w:r w:rsidRPr="005A706D">
        <w:rPr>
          <w:rFonts w:cs="Times New Roman"/>
          <w:lang w:val="en-CA"/>
        </w:rPr>
        <w:t xml:space="preserve">move for </w:t>
      </w:r>
      <w:r w:rsidR="005B0311">
        <w:rPr>
          <w:rFonts w:cs="Times New Roman"/>
          <w:lang w:val="en-CA"/>
        </w:rPr>
        <w:t xml:space="preserve">different </w:t>
      </w:r>
      <w:r w:rsidRPr="005A706D">
        <w:rPr>
          <w:rFonts w:cs="Times New Roman"/>
          <w:lang w:val="en-CA"/>
        </w:rPr>
        <w:t xml:space="preserve">reasons, </w:t>
      </w:r>
      <w:r>
        <w:rPr>
          <w:rFonts w:cs="Times New Roman"/>
          <w:lang w:val="en-CA"/>
        </w:rPr>
        <w:t>in response</w:t>
      </w:r>
      <w:r w:rsidRPr="005A706D">
        <w:rPr>
          <w:rFonts w:cs="Times New Roman"/>
          <w:lang w:val="en-CA"/>
        </w:rPr>
        <w:t xml:space="preserve"> to </w:t>
      </w:r>
      <w:r>
        <w:rPr>
          <w:rFonts w:cs="Times New Roman"/>
          <w:lang w:val="en-CA"/>
        </w:rPr>
        <w:t xml:space="preserve">a number of </w:t>
      </w:r>
      <w:r w:rsidRPr="005A706D">
        <w:rPr>
          <w:rFonts w:cs="Times New Roman"/>
          <w:lang w:val="en-CA"/>
        </w:rPr>
        <w:t xml:space="preserve">factors, </w:t>
      </w:r>
      <w:r w:rsidR="005A597B">
        <w:rPr>
          <w:rFonts w:cs="Times New Roman"/>
          <w:lang w:val="en-CA"/>
        </w:rPr>
        <w:t xml:space="preserve">including being </w:t>
      </w:r>
      <w:r w:rsidRPr="005A706D">
        <w:rPr>
          <w:rFonts w:cs="Times New Roman"/>
          <w:lang w:val="en-CA"/>
        </w:rPr>
        <w:t xml:space="preserve">forced to </w:t>
      </w:r>
      <w:r>
        <w:rPr>
          <w:rFonts w:cs="Times New Roman"/>
          <w:lang w:val="en-CA"/>
        </w:rPr>
        <w:t>migrate due to conflict and persecution</w:t>
      </w:r>
      <w:r w:rsidRPr="005A706D">
        <w:rPr>
          <w:rFonts w:cs="Times New Roman"/>
          <w:lang w:val="en-CA"/>
        </w:rPr>
        <w:t xml:space="preserve">. </w:t>
      </w:r>
      <w:r>
        <w:rPr>
          <w:rFonts w:cs="Times New Roman"/>
          <w:lang w:val="en-CA"/>
        </w:rPr>
        <w:t>The</w:t>
      </w:r>
      <w:r w:rsidRPr="005A706D">
        <w:rPr>
          <w:rFonts w:cs="Times New Roman"/>
          <w:lang w:val="en-CA"/>
        </w:rPr>
        <w:t xml:space="preserve"> root causes </w:t>
      </w:r>
      <w:r>
        <w:rPr>
          <w:rFonts w:cs="Times New Roman"/>
          <w:lang w:val="en-CA"/>
        </w:rPr>
        <w:t>influencing the</w:t>
      </w:r>
      <w:r w:rsidRPr="005A706D">
        <w:rPr>
          <w:rFonts w:cs="Times New Roman"/>
          <w:lang w:val="en-CA"/>
        </w:rPr>
        <w:t xml:space="preserve"> movement of migrants include </w:t>
      </w:r>
      <w:r w:rsidR="003C79B0">
        <w:t xml:space="preserve">poverty, </w:t>
      </w:r>
      <w:r w:rsidRPr="002425F7">
        <w:t xml:space="preserve">lack of opportunities, </w:t>
      </w:r>
      <w:r>
        <w:t xml:space="preserve">economic inequalities, </w:t>
      </w:r>
      <w:r w:rsidRPr="002425F7">
        <w:t>poor governance, environmental factors</w:t>
      </w:r>
      <w:r>
        <w:t xml:space="preserve"> and climate change</w:t>
      </w:r>
      <w:r w:rsidRPr="002425F7">
        <w:t xml:space="preserve">, multiple and intersecting forms of discrimination, </w:t>
      </w:r>
      <w:r w:rsidR="00ED5264">
        <w:t xml:space="preserve">gender inequalities, </w:t>
      </w:r>
      <w:r w:rsidRPr="002425F7">
        <w:t>gender-based violence, and women’s and girl’s l</w:t>
      </w:r>
      <w:r w:rsidR="00A604CE">
        <w:t xml:space="preserve">imited </w:t>
      </w:r>
      <w:r w:rsidRPr="002425F7">
        <w:t>access to educational, economic and other opportunities</w:t>
      </w:r>
      <w:r>
        <w:t xml:space="preserve">. </w:t>
      </w:r>
      <w:r w:rsidR="00ED5264">
        <w:t>I</w:t>
      </w:r>
      <w:r>
        <w:t xml:space="preserve">ndividuals may choose to migrate in search of career opportunities and skills development, to seek a better quality of life, or </w:t>
      </w:r>
      <w:r w:rsidR="00A604CE">
        <w:t>family reunification</w:t>
      </w:r>
      <w:r>
        <w:t>.</w:t>
      </w:r>
    </w:p>
    <w:p w:rsidR="00637AB3" w:rsidRDefault="00637AB3" w:rsidP="00AE216B"/>
    <w:p w:rsidR="00FC3CA2" w:rsidRPr="005F06D3" w:rsidRDefault="00FC3CA2" w:rsidP="00FC3CA2">
      <w:pPr>
        <w:shd w:val="clear" w:color="auto" w:fill="FFFFFF"/>
        <w:rPr>
          <w:lang w:eastAsia="en-GB"/>
        </w:rPr>
      </w:pPr>
      <w:r w:rsidRPr="00DB261F">
        <w:rPr>
          <w:rFonts w:cs="Arial"/>
        </w:rPr>
        <w:t xml:space="preserve">Frequently, </w:t>
      </w:r>
      <w:r>
        <w:rPr>
          <w:rFonts w:cs="Arial"/>
        </w:rPr>
        <w:t>women migrant workers</w:t>
      </w:r>
      <w:r w:rsidRPr="00DB261F">
        <w:rPr>
          <w:rFonts w:cs="Arial"/>
        </w:rPr>
        <w:t xml:space="preserve"> are subject to restrictive gendered immigration and emigration policies, such as: skill level or financial requirements for permanent entry; sector-specific programs which channel women into gendered streams of entry via temporary work permits; bans on women’s emigration applied to specific sectors (most commonly domestic work) or age restrictions on women’s migration. Such restrictions do not typically mitigate the costs associated with women’s labour migration and</w:t>
      </w:r>
      <w:r w:rsidR="00DD74E7">
        <w:rPr>
          <w:rFonts w:cs="Arial"/>
        </w:rPr>
        <w:t xml:space="preserve"> </w:t>
      </w:r>
      <w:r w:rsidRPr="00DB261F">
        <w:rPr>
          <w:rFonts w:cs="Arial"/>
        </w:rPr>
        <w:t>frequently</w:t>
      </w:r>
      <w:r>
        <w:rPr>
          <w:rFonts w:cs="Arial"/>
        </w:rPr>
        <w:t xml:space="preserve"> lead </w:t>
      </w:r>
      <w:r w:rsidRPr="00DB261F">
        <w:rPr>
          <w:rFonts w:cs="Arial"/>
        </w:rPr>
        <w:t>women to pursue migration through irregular, unregulated and unprotected channels</w:t>
      </w:r>
      <w:r w:rsidR="00ED5264">
        <w:rPr>
          <w:rFonts w:cs="Arial"/>
        </w:rPr>
        <w:t xml:space="preserve">, </w:t>
      </w:r>
      <w:r w:rsidRPr="00DB261F">
        <w:rPr>
          <w:rFonts w:cs="Arial"/>
        </w:rPr>
        <w:t>often with the assistance of unregulated recruiters</w:t>
      </w:r>
      <w:r>
        <w:rPr>
          <w:rFonts w:cs="Arial"/>
        </w:rPr>
        <w:t>, brokers or smugglers</w:t>
      </w:r>
      <w:r w:rsidRPr="00DB261F">
        <w:rPr>
          <w:rFonts w:cs="Arial"/>
        </w:rPr>
        <w:t>.</w:t>
      </w:r>
      <w:r>
        <w:rPr>
          <w:rStyle w:val="FootnoteReference"/>
        </w:rPr>
        <w:footnoteReference w:id="17"/>
      </w:r>
      <w:r w:rsidRPr="00DB261F">
        <w:rPr>
          <w:rFonts w:cs="Arial"/>
        </w:rPr>
        <w:t xml:space="preserve"> </w:t>
      </w:r>
      <w:r w:rsidRPr="005F06D3">
        <w:rPr>
          <w:lang w:eastAsia="en-GB"/>
        </w:rPr>
        <w:t>Women’s lack of access to full and reliable information about legal channels and terms and conditions of work make them vulnerable to unscrupulous recruiting agents and traffickers and puts them at risk of physical, emotional and sexual violence.</w:t>
      </w:r>
      <w:r>
        <w:rPr>
          <w:rStyle w:val="FootnoteReference"/>
          <w:lang w:eastAsia="en-GB"/>
        </w:rPr>
        <w:footnoteReference w:id="18"/>
      </w:r>
      <w:r>
        <w:rPr>
          <w:lang w:eastAsia="en-GB"/>
        </w:rPr>
        <w:t xml:space="preserve"> </w:t>
      </w:r>
      <w:r w:rsidR="00F566A9">
        <w:rPr>
          <w:lang w:eastAsia="en-GB"/>
        </w:rPr>
        <w:t>Further,</w:t>
      </w:r>
      <w:r w:rsidR="00BE391F">
        <w:rPr>
          <w:rFonts w:cs="Arial"/>
        </w:rPr>
        <w:t xml:space="preserve"> </w:t>
      </w:r>
      <w:r w:rsidR="00ED5264">
        <w:rPr>
          <w:rFonts w:cs="Arial"/>
        </w:rPr>
        <w:t xml:space="preserve">irregular migration </w:t>
      </w:r>
      <w:r w:rsidR="00BE391F">
        <w:rPr>
          <w:rFonts w:cs="Arial"/>
        </w:rPr>
        <w:t xml:space="preserve">or </w:t>
      </w:r>
      <w:r w:rsidR="00ED5264">
        <w:rPr>
          <w:rFonts w:cs="Arial"/>
        </w:rPr>
        <w:t xml:space="preserve">falling </w:t>
      </w:r>
      <w:r w:rsidR="00BE391F">
        <w:rPr>
          <w:rFonts w:cs="Arial"/>
        </w:rPr>
        <w:t xml:space="preserve">into an irregular status can </w:t>
      </w:r>
      <w:r w:rsidR="00ED5264">
        <w:rPr>
          <w:rFonts w:cs="Arial"/>
        </w:rPr>
        <w:t>result</w:t>
      </w:r>
      <w:r w:rsidR="00BE391F">
        <w:rPr>
          <w:rFonts w:cs="Arial"/>
        </w:rPr>
        <w:t xml:space="preserve"> in detention. </w:t>
      </w:r>
      <w:r w:rsidR="008D6607">
        <w:rPr>
          <w:rFonts w:cs="Arial"/>
        </w:rPr>
        <w:t>Detention violates migrant women’s rights, and exposes them to</w:t>
      </w:r>
      <w:r w:rsidR="00BE391F">
        <w:rPr>
          <w:rFonts w:cs="Arial"/>
        </w:rPr>
        <w:t xml:space="preserve"> sexual violence, separation from family, integrat</w:t>
      </w:r>
      <w:r w:rsidR="00ED5264">
        <w:rPr>
          <w:rFonts w:cs="Arial"/>
        </w:rPr>
        <w:t>ion</w:t>
      </w:r>
      <w:r w:rsidR="00BE391F">
        <w:rPr>
          <w:rFonts w:cs="Arial"/>
        </w:rPr>
        <w:t xml:space="preserve"> in mixed-sex detention situations, and</w:t>
      </w:r>
      <w:r w:rsidR="003A3A17">
        <w:rPr>
          <w:rFonts w:cs="Arial"/>
        </w:rPr>
        <w:t xml:space="preserve"> </w:t>
      </w:r>
      <w:r w:rsidR="007A3999">
        <w:rPr>
          <w:rFonts w:cs="Arial"/>
        </w:rPr>
        <w:t xml:space="preserve">limited or </w:t>
      </w:r>
      <w:r w:rsidR="003A3A17">
        <w:rPr>
          <w:rFonts w:cs="Arial"/>
        </w:rPr>
        <w:t>lack</w:t>
      </w:r>
      <w:r w:rsidR="00BE391F">
        <w:rPr>
          <w:rFonts w:cs="Arial"/>
        </w:rPr>
        <w:t xml:space="preserve"> </w:t>
      </w:r>
      <w:r w:rsidR="00ED5264">
        <w:rPr>
          <w:rFonts w:cs="Arial"/>
        </w:rPr>
        <w:t xml:space="preserve">of </w:t>
      </w:r>
      <w:r w:rsidR="00BE391F">
        <w:rPr>
          <w:rFonts w:cs="Arial"/>
        </w:rPr>
        <w:t>access to reproductive or maternity care.</w:t>
      </w:r>
      <w:r w:rsidR="00BE391F">
        <w:rPr>
          <w:rStyle w:val="FootnoteReference"/>
          <w:rFonts w:cs="Arial"/>
        </w:rPr>
        <w:footnoteReference w:id="19"/>
      </w:r>
    </w:p>
    <w:p w:rsidR="00FC3CA2" w:rsidRDefault="00FC3CA2" w:rsidP="00AE216B"/>
    <w:p w:rsidR="005413B3" w:rsidRPr="006A6DAE" w:rsidRDefault="00FC3CA2" w:rsidP="005413B3">
      <w:pPr>
        <w:shd w:val="clear" w:color="auto" w:fill="FFFFFF"/>
        <w:rPr>
          <w:rFonts w:cs="Arial"/>
          <w:vertAlign w:val="superscript"/>
        </w:rPr>
      </w:pPr>
      <w:r w:rsidRPr="00DB261F">
        <w:rPr>
          <w:rFonts w:cs="Arial"/>
        </w:rPr>
        <w:t xml:space="preserve">Whether migrating through regular or irregular channels, </w:t>
      </w:r>
      <w:r>
        <w:rPr>
          <w:rFonts w:cs="Arial"/>
        </w:rPr>
        <w:t xml:space="preserve">women migrants </w:t>
      </w:r>
      <w:r w:rsidRPr="00DB261F">
        <w:rPr>
          <w:rFonts w:cs="Arial"/>
        </w:rPr>
        <w:t>often face the risk of economic exploitation as well as sexual</w:t>
      </w:r>
      <w:r>
        <w:rPr>
          <w:rFonts w:cs="Arial"/>
        </w:rPr>
        <w:t xml:space="preserve"> and gender-based</w:t>
      </w:r>
      <w:r w:rsidRPr="00DB261F">
        <w:rPr>
          <w:rFonts w:cs="Arial"/>
        </w:rPr>
        <w:t xml:space="preserve"> violence</w:t>
      </w:r>
      <w:r>
        <w:rPr>
          <w:rFonts w:cs="Arial"/>
        </w:rPr>
        <w:t xml:space="preserve"> (SGBV)</w:t>
      </w:r>
      <w:r w:rsidRPr="00DB261F">
        <w:rPr>
          <w:rFonts w:cs="Arial"/>
        </w:rPr>
        <w:t xml:space="preserve"> from intermediaries and employers, with little access to legal protection or justice</w:t>
      </w:r>
      <w:r>
        <w:rPr>
          <w:rFonts w:cs="Arial"/>
        </w:rPr>
        <w:t xml:space="preserve"> and SGBV protection services</w:t>
      </w:r>
      <w:r w:rsidRPr="00DB261F">
        <w:rPr>
          <w:rFonts w:cs="Arial"/>
        </w:rPr>
        <w:t>.</w:t>
      </w:r>
      <w:r w:rsidRPr="00044F05">
        <w:rPr>
          <w:vertAlign w:val="superscript"/>
        </w:rPr>
        <w:footnoteReference w:id="20"/>
      </w:r>
      <w:r w:rsidRPr="00DB261F">
        <w:rPr>
          <w:rFonts w:cs="Arial"/>
          <w:vertAlign w:val="superscript"/>
        </w:rPr>
        <w:t xml:space="preserve"> </w:t>
      </w:r>
      <w:r w:rsidR="005413B3">
        <w:t xml:space="preserve">Migrant </w:t>
      </w:r>
      <w:r w:rsidR="005413B3" w:rsidRPr="00877D8C">
        <w:t>women</w:t>
      </w:r>
      <w:r w:rsidR="005413B3">
        <w:t xml:space="preserve"> also</w:t>
      </w:r>
      <w:r w:rsidR="005413B3" w:rsidRPr="00877D8C">
        <w:t xml:space="preserve"> face </w:t>
      </w:r>
      <w:r w:rsidR="005413B3">
        <w:t>high</w:t>
      </w:r>
      <w:r w:rsidR="005413B3" w:rsidRPr="00877D8C">
        <w:t xml:space="preserve"> risk</w:t>
      </w:r>
      <w:r w:rsidR="005413B3">
        <w:t>s</w:t>
      </w:r>
      <w:r w:rsidR="005413B3" w:rsidRPr="00877D8C">
        <w:t xml:space="preserve"> of psychosocial stress and trauma, health complications, physical harm</w:t>
      </w:r>
      <w:r w:rsidR="005413B3">
        <w:t>,</w:t>
      </w:r>
      <w:r w:rsidR="005413B3" w:rsidRPr="00877D8C">
        <w:t xml:space="preserve"> </w:t>
      </w:r>
      <w:r w:rsidR="00ED5264">
        <w:t xml:space="preserve">and </w:t>
      </w:r>
      <w:r w:rsidR="005413B3" w:rsidRPr="00877D8C">
        <w:t>injury and exploitation</w:t>
      </w:r>
      <w:r w:rsidR="005413B3">
        <w:t>,</w:t>
      </w:r>
      <w:r w:rsidR="005413B3">
        <w:rPr>
          <w:rStyle w:val="FootnoteReference"/>
        </w:rPr>
        <w:footnoteReference w:id="21"/>
      </w:r>
      <w:r w:rsidR="005413B3">
        <w:t xml:space="preserve"> </w:t>
      </w:r>
      <w:r w:rsidR="005413B3" w:rsidRPr="00CA37A4">
        <w:rPr>
          <w:rFonts w:cstheme="minorHAnsi"/>
        </w:rPr>
        <w:t>which in turn create obstacles to the achievement of equality, development and peace</w:t>
      </w:r>
      <w:r w:rsidR="005413B3">
        <w:rPr>
          <w:rFonts w:cstheme="minorHAnsi"/>
        </w:rPr>
        <w:t>.</w:t>
      </w:r>
      <w:r w:rsidR="005413B3" w:rsidRPr="00CA37A4">
        <w:rPr>
          <w:rStyle w:val="FootnoteReference"/>
          <w:rFonts w:cstheme="minorHAnsi"/>
        </w:rPr>
        <w:footnoteReference w:id="22"/>
      </w:r>
      <w:r w:rsidR="005413B3">
        <w:rPr>
          <w:rFonts w:cstheme="minorHAnsi"/>
        </w:rPr>
        <w:t xml:space="preserve"> </w:t>
      </w:r>
      <w:r w:rsidR="005413B3">
        <w:rPr>
          <w:rFonts w:cs="Arial"/>
        </w:rPr>
        <w:t xml:space="preserve">Moreover, women migrants </w:t>
      </w:r>
      <w:r w:rsidR="005413B3" w:rsidRPr="00044F05">
        <w:rPr>
          <w:rFonts w:cs="Arial"/>
        </w:rPr>
        <w:t>face a number of barriers to protection</w:t>
      </w:r>
      <w:r w:rsidR="005413B3">
        <w:rPr>
          <w:rFonts w:cs="Arial"/>
        </w:rPr>
        <w:t>, including</w:t>
      </w:r>
      <w:r w:rsidR="005413B3" w:rsidRPr="00044F05">
        <w:rPr>
          <w:rFonts w:cs="Arial"/>
        </w:rPr>
        <w:t>: exclusionary policies which limit access to gender-</w:t>
      </w:r>
      <w:r w:rsidR="005413B3">
        <w:rPr>
          <w:rFonts w:cs="Arial"/>
        </w:rPr>
        <w:t xml:space="preserve">responsive </w:t>
      </w:r>
      <w:r w:rsidR="005413B3" w:rsidRPr="00044F05">
        <w:rPr>
          <w:rFonts w:cs="Arial"/>
        </w:rPr>
        <w:t xml:space="preserve">services, health care, or legal support; </w:t>
      </w:r>
      <w:r w:rsidR="005413B3">
        <w:rPr>
          <w:rFonts w:cs="Arial"/>
        </w:rPr>
        <w:t xml:space="preserve">power imbalances between </w:t>
      </w:r>
      <w:r w:rsidR="005413B3" w:rsidRPr="00044F05">
        <w:rPr>
          <w:rFonts w:cs="Arial"/>
        </w:rPr>
        <w:t>employer</w:t>
      </w:r>
      <w:r w:rsidR="005413B3">
        <w:rPr>
          <w:rFonts w:cs="Arial"/>
        </w:rPr>
        <w:t>s</w:t>
      </w:r>
      <w:r w:rsidR="005413B3" w:rsidRPr="00044F05">
        <w:rPr>
          <w:rFonts w:cs="Arial"/>
        </w:rPr>
        <w:t xml:space="preserve"> </w:t>
      </w:r>
      <w:r w:rsidR="005413B3">
        <w:rPr>
          <w:rFonts w:cs="Arial"/>
        </w:rPr>
        <w:t>and migrant workers</w:t>
      </w:r>
      <w:r w:rsidR="005413B3" w:rsidRPr="00044F05">
        <w:rPr>
          <w:rFonts w:cs="Arial"/>
        </w:rPr>
        <w:t xml:space="preserve">, often enhanced by migration status tied </w:t>
      </w:r>
      <w:r w:rsidR="005413B3">
        <w:rPr>
          <w:rFonts w:cs="Arial"/>
        </w:rPr>
        <w:t xml:space="preserve">to </w:t>
      </w:r>
      <w:r w:rsidR="005413B3" w:rsidRPr="00044F05">
        <w:rPr>
          <w:rFonts w:cs="Arial"/>
        </w:rPr>
        <w:t>employment; isolation and lack of access to information on rights and protections; family separation and dependence on remittances; as well as sector specific risks</w:t>
      </w:r>
      <w:r w:rsidR="005413B3">
        <w:rPr>
          <w:rFonts w:cs="Arial"/>
        </w:rPr>
        <w:t xml:space="preserve"> and language barriers</w:t>
      </w:r>
      <w:r w:rsidR="005413B3" w:rsidRPr="00044F05">
        <w:rPr>
          <w:rFonts w:cs="Arial"/>
        </w:rPr>
        <w:t>.</w:t>
      </w:r>
      <w:r w:rsidR="005413B3">
        <w:rPr>
          <w:rFonts w:cs="Arial"/>
        </w:rPr>
        <w:t xml:space="preserve"> </w:t>
      </w:r>
    </w:p>
    <w:p w:rsidR="005413B3" w:rsidRDefault="005413B3" w:rsidP="006A6DAE">
      <w:pPr>
        <w:shd w:val="clear" w:color="auto" w:fill="FFFFFF"/>
        <w:rPr>
          <w:rFonts w:cs="Arial"/>
        </w:rPr>
      </w:pPr>
    </w:p>
    <w:p w:rsidR="00FC3CA2" w:rsidRDefault="00FC3CA2" w:rsidP="006A6DAE">
      <w:pPr>
        <w:shd w:val="clear" w:color="auto" w:fill="FFFFFF"/>
        <w:rPr>
          <w:lang w:eastAsia="en-GB"/>
        </w:rPr>
      </w:pPr>
      <w:r>
        <w:rPr>
          <w:rFonts w:cs="Arial"/>
        </w:rPr>
        <w:t>W</w:t>
      </w:r>
      <w:r w:rsidRPr="00DB261F">
        <w:rPr>
          <w:rFonts w:cs="Arial"/>
        </w:rPr>
        <w:t xml:space="preserve">hile forced labour is a risk for many individuals using irregular </w:t>
      </w:r>
      <w:r>
        <w:rPr>
          <w:rFonts w:cs="Arial"/>
        </w:rPr>
        <w:t xml:space="preserve">migration </w:t>
      </w:r>
      <w:r w:rsidRPr="00DB261F">
        <w:rPr>
          <w:rFonts w:cs="Arial"/>
        </w:rPr>
        <w:t>channels,</w:t>
      </w:r>
      <w:r>
        <w:rPr>
          <w:rStyle w:val="FootnoteReference"/>
          <w:rFonts w:cs="Arial"/>
        </w:rPr>
        <w:footnoteReference w:id="23"/>
      </w:r>
      <w:r w:rsidRPr="00DB261F">
        <w:rPr>
          <w:rFonts w:cs="Arial"/>
        </w:rPr>
        <w:t xml:space="preserve"> </w:t>
      </w:r>
      <w:r>
        <w:rPr>
          <w:rFonts w:cs="Arial"/>
        </w:rPr>
        <w:t>women migrants</w:t>
      </w:r>
      <w:r w:rsidRPr="00DB261F">
        <w:rPr>
          <w:rFonts w:cs="Arial"/>
        </w:rPr>
        <w:t xml:space="preserve"> are more susceptible</w:t>
      </w:r>
      <w:r>
        <w:rPr>
          <w:rFonts w:cs="Arial"/>
        </w:rPr>
        <w:t xml:space="preserve"> than men</w:t>
      </w:r>
      <w:r w:rsidRPr="00DB261F">
        <w:rPr>
          <w:rFonts w:cs="Arial"/>
        </w:rPr>
        <w:t xml:space="preserve"> to being trafficked</w:t>
      </w:r>
      <w:r>
        <w:rPr>
          <w:rFonts w:cs="Arial"/>
        </w:rPr>
        <w:t>, and account for 70 per cent of all trafficking victims detected globally and 97 per cent of all victims of trafficking for sexual exploitation</w:t>
      </w:r>
      <w:r w:rsidRPr="00DB261F">
        <w:rPr>
          <w:rFonts w:cs="Arial"/>
        </w:rPr>
        <w:t>.</w:t>
      </w:r>
      <w:r w:rsidRPr="00044F05">
        <w:rPr>
          <w:vertAlign w:val="superscript"/>
        </w:rPr>
        <w:footnoteReference w:id="24"/>
      </w:r>
      <w:r>
        <w:rPr>
          <w:rFonts w:cs="Arial"/>
        </w:rPr>
        <w:t xml:space="preserve"> </w:t>
      </w:r>
      <w:r>
        <w:rPr>
          <w:lang w:eastAsia="en-GB"/>
        </w:rPr>
        <w:t>A l</w:t>
      </w:r>
      <w:r w:rsidRPr="005F06D3">
        <w:rPr>
          <w:lang w:eastAsia="en-GB"/>
        </w:rPr>
        <w:t xml:space="preserve">ack of </w:t>
      </w:r>
      <w:r>
        <w:rPr>
          <w:lang w:eastAsia="en-GB"/>
        </w:rPr>
        <w:t>regular</w:t>
      </w:r>
      <w:r w:rsidRPr="005F06D3">
        <w:rPr>
          <w:lang w:eastAsia="en-GB"/>
        </w:rPr>
        <w:t xml:space="preserve"> status in countries of transit and destination means that those who are victims of abuse, exploitation and violence face greater chall</w:t>
      </w:r>
      <w:r>
        <w:rPr>
          <w:lang w:eastAsia="en-GB"/>
        </w:rPr>
        <w:t xml:space="preserve">enges </w:t>
      </w:r>
      <w:r w:rsidR="000A275F">
        <w:rPr>
          <w:lang w:eastAsia="en-GB"/>
        </w:rPr>
        <w:t xml:space="preserve">to </w:t>
      </w:r>
      <w:r>
        <w:rPr>
          <w:lang w:eastAsia="en-GB"/>
        </w:rPr>
        <w:t>prosecuting their abusers.</w:t>
      </w:r>
      <w:r>
        <w:rPr>
          <w:rStyle w:val="FootnoteReference"/>
          <w:lang w:eastAsia="en-GB"/>
        </w:rPr>
        <w:footnoteReference w:id="25"/>
      </w:r>
      <w:r>
        <w:rPr>
          <w:lang w:eastAsia="en-GB"/>
        </w:rPr>
        <w:t xml:space="preserve"> </w:t>
      </w:r>
    </w:p>
    <w:p w:rsidR="00EF44CB" w:rsidRDefault="00EF44CB" w:rsidP="00E66D0F">
      <w:pPr>
        <w:rPr>
          <w:rFonts w:cs="Arial"/>
        </w:rPr>
      </w:pPr>
    </w:p>
    <w:p w:rsidR="007D2230" w:rsidRPr="007D1567" w:rsidRDefault="00B35CEC" w:rsidP="00E66D0F">
      <w:pPr>
        <w:rPr>
          <w:rFonts w:cs="Arial"/>
        </w:rPr>
      </w:pPr>
      <w:r>
        <w:rPr>
          <w:rFonts w:cs="Arial"/>
        </w:rPr>
        <w:t>M</w:t>
      </w:r>
      <w:r w:rsidR="00AE216B" w:rsidRPr="00DB261F">
        <w:rPr>
          <w:rFonts w:cs="Arial"/>
        </w:rPr>
        <w:t>igrant women</w:t>
      </w:r>
      <w:r w:rsidR="00DF4108">
        <w:rPr>
          <w:rFonts w:cs="Arial"/>
        </w:rPr>
        <w:t xml:space="preserve"> also</w:t>
      </w:r>
      <w:r w:rsidR="00AE216B" w:rsidRPr="00DB261F">
        <w:rPr>
          <w:rFonts w:cs="Arial"/>
        </w:rPr>
        <w:t xml:space="preserve"> face gendered vulnerabilities that are specific to their sector of labour market insertion. </w:t>
      </w:r>
      <w:r w:rsidR="006446AE" w:rsidRPr="006446AE">
        <w:t>A key example is the high prevalence of migrant women in</w:t>
      </w:r>
      <w:r w:rsidR="006446AE">
        <w:t xml:space="preserve"> the domestic and care sectors</w:t>
      </w:r>
      <w:r w:rsidR="007D2230">
        <w:t xml:space="preserve">, which are </w:t>
      </w:r>
      <w:r w:rsidR="007D2230" w:rsidRPr="00DC0EC6">
        <w:rPr>
          <w:rFonts w:eastAsiaTheme="minorEastAsia"/>
        </w:rPr>
        <w:t>typical</w:t>
      </w:r>
      <w:r w:rsidR="007D2230">
        <w:rPr>
          <w:rFonts w:eastAsiaTheme="minorEastAsia"/>
        </w:rPr>
        <w:t>ly undervalued and</w:t>
      </w:r>
      <w:r w:rsidR="007D2230" w:rsidRPr="00DC0EC6">
        <w:rPr>
          <w:rFonts w:eastAsiaTheme="minorEastAsia"/>
        </w:rPr>
        <w:t xml:space="preserve"> </w:t>
      </w:r>
      <w:proofErr w:type="gramStart"/>
      <w:r w:rsidR="007D2230" w:rsidRPr="00DC0EC6">
        <w:rPr>
          <w:rFonts w:eastAsiaTheme="minorEastAsia"/>
        </w:rPr>
        <w:t>un/</w:t>
      </w:r>
      <w:proofErr w:type="gramEnd"/>
      <w:r w:rsidR="007D2230" w:rsidRPr="00DC0EC6">
        <w:rPr>
          <w:rFonts w:eastAsiaTheme="minorEastAsia"/>
        </w:rPr>
        <w:t>underco</w:t>
      </w:r>
      <w:r w:rsidR="007D2230">
        <w:rPr>
          <w:rFonts w:eastAsiaTheme="minorEastAsia"/>
        </w:rPr>
        <w:t>mpensated</w:t>
      </w:r>
      <w:r w:rsidR="007D2230">
        <w:t>.</w:t>
      </w:r>
      <w:r w:rsidR="006A6DAE" w:rsidRPr="006A6DAE">
        <w:rPr>
          <w:rStyle w:val="FootnoteReference"/>
        </w:rPr>
        <w:t xml:space="preserve"> </w:t>
      </w:r>
      <w:r w:rsidR="006A6DAE">
        <w:rPr>
          <w:rStyle w:val="FootnoteReference"/>
        </w:rPr>
        <w:footnoteReference w:id="26"/>
      </w:r>
      <w:r w:rsidR="00D703ED" w:rsidRPr="00D703ED">
        <w:t xml:space="preserve"> </w:t>
      </w:r>
      <w:r w:rsidR="007D2230" w:rsidRPr="007D2230">
        <w:t>The low status of domestic and care work contributes to its invisible, i</w:t>
      </w:r>
      <w:r w:rsidR="00F45EB9">
        <w:t xml:space="preserve">nformal and unregulated nature, and </w:t>
      </w:r>
      <w:r w:rsidR="00F45EB9" w:rsidRPr="00D703ED">
        <w:t>often leaves women migrants vulnerable to labour or human rights violations, including poor working conditions, with no limitations on working hours, limited freedom of movement and poor wages.</w:t>
      </w:r>
      <w:r w:rsidR="00A44B1E">
        <w:rPr>
          <w:rFonts w:cs="Arial"/>
        </w:rPr>
        <w:t xml:space="preserve"> </w:t>
      </w:r>
      <w:r w:rsidR="007D2230" w:rsidRPr="007D2230">
        <w:t>In the care sector, for example, workers are often isolated in private homes and/or with restricted movement, and without access to legal or social protection.</w:t>
      </w:r>
      <w:r w:rsidR="009A02A2" w:rsidRPr="009A02A2">
        <w:t xml:space="preserve"> </w:t>
      </w:r>
      <w:r w:rsidR="009A02A2">
        <w:t>The ILO Convention concerning decent work for domestic workers (No. 189) addresses the situation of migrant care workers, but currently only 23 States have ratified the Convention</w:t>
      </w:r>
      <w:r w:rsidR="007D2230" w:rsidRPr="007D2230">
        <w:t xml:space="preserve"> </w:t>
      </w:r>
    </w:p>
    <w:p w:rsidR="007D2230" w:rsidRDefault="007D2230" w:rsidP="00E66D0F"/>
    <w:p w:rsidR="00C93B03" w:rsidRPr="00D703ED" w:rsidRDefault="00E66D0F" w:rsidP="00AE216B">
      <w:pPr>
        <w:rPr>
          <w:rFonts w:cs="Arial"/>
        </w:rPr>
      </w:pPr>
      <w:r>
        <w:t>According to ILO data, there are currently 67 million domestic workers worldwide, of which 11.5</w:t>
      </w:r>
      <w:r w:rsidR="00F855D7">
        <w:t xml:space="preserve"> </w:t>
      </w:r>
      <w:r>
        <w:t>mil</w:t>
      </w:r>
      <w:r w:rsidR="001E2F52">
        <w:t>l</w:t>
      </w:r>
      <w:r>
        <w:t>ion are migrant domestic workers.</w:t>
      </w:r>
      <w:r>
        <w:rPr>
          <w:rStyle w:val="FootnoteReference"/>
          <w:rFonts w:eastAsiaTheme="minorEastAsia"/>
        </w:rPr>
        <w:footnoteReference w:id="27"/>
      </w:r>
      <w:r>
        <w:rPr>
          <w:rFonts w:eastAsiaTheme="minorEastAsia"/>
        </w:rPr>
        <w:t xml:space="preserve"> </w:t>
      </w:r>
      <w:r w:rsidR="00AE216B" w:rsidRPr="00DB261F">
        <w:rPr>
          <w:rFonts w:cs="Arial"/>
        </w:rPr>
        <w:t xml:space="preserve">Domestic workers are rarely </w:t>
      </w:r>
      <w:r w:rsidR="00ED5264">
        <w:rPr>
          <w:rFonts w:cs="Arial"/>
        </w:rPr>
        <w:t>protected</w:t>
      </w:r>
      <w:r w:rsidR="00ED5264" w:rsidRPr="00DB261F">
        <w:rPr>
          <w:rFonts w:cs="Arial"/>
        </w:rPr>
        <w:t xml:space="preserve"> </w:t>
      </w:r>
      <w:r w:rsidR="00AE216B" w:rsidRPr="00DB261F">
        <w:rPr>
          <w:rFonts w:cs="Arial"/>
        </w:rPr>
        <w:t xml:space="preserve">by labour laws and </w:t>
      </w:r>
      <w:r w:rsidR="001E2F52" w:rsidRPr="00DB261F">
        <w:rPr>
          <w:rFonts w:cs="Arial"/>
        </w:rPr>
        <w:t xml:space="preserve">their migration status </w:t>
      </w:r>
      <w:r w:rsidR="001E2F52">
        <w:rPr>
          <w:rFonts w:cs="Arial"/>
        </w:rPr>
        <w:t xml:space="preserve">is often </w:t>
      </w:r>
      <w:r w:rsidR="00AE216B" w:rsidRPr="00DB261F">
        <w:rPr>
          <w:rFonts w:cs="Arial"/>
        </w:rPr>
        <w:t>tied to a single employer.</w:t>
      </w:r>
      <w:r w:rsidR="00AE216B">
        <w:rPr>
          <w:rStyle w:val="FootnoteReference"/>
          <w:rFonts w:cs="Arial"/>
        </w:rPr>
        <w:footnoteReference w:id="28"/>
      </w:r>
      <w:r w:rsidR="00AE216B" w:rsidRPr="00DB261F">
        <w:rPr>
          <w:rFonts w:cs="Arial"/>
        </w:rPr>
        <w:t xml:space="preserve"> These gaps in protection for domestic workers are common </w:t>
      </w:r>
      <w:r w:rsidR="00A554DB">
        <w:rPr>
          <w:rFonts w:cs="Arial"/>
        </w:rPr>
        <w:t xml:space="preserve">across all </w:t>
      </w:r>
      <w:r w:rsidR="00AE216B" w:rsidRPr="00DB261F">
        <w:rPr>
          <w:rFonts w:cs="Arial"/>
        </w:rPr>
        <w:t>countries</w:t>
      </w:r>
      <w:r w:rsidR="00A554DB">
        <w:rPr>
          <w:rFonts w:cs="Arial"/>
        </w:rPr>
        <w:t>, even those</w:t>
      </w:r>
      <w:r w:rsidR="00AE216B" w:rsidRPr="00DB261F">
        <w:rPr>
          <w:rFonts w:cs="Arial"/>
        </w:rPr>
        <w:t xml:space="preserve"> known for better working conditions.</w:t>
      </w:r>
      <w:r w:rsidR="00AE216B">
        <w:rPr>
          <w:rFonts w:cs="Arial"/>
        </w:rPr>
        <w:t xml:space="preserve"> For example, t</w:t>
      </w:r>
      <w:r w:rsidR="00AE216B" w:rsidRPr="00DB261F">
        <w:rPr>
          <w:rFonts w:cs="Arial"/>
        </w:rPr>
        <w:t>he UK recently abolished the domestic worker visa, replacing it with a “tied visa” that prohibits workers from changing employers within six months.</w:t>
      </w:r>
      <w:r w:rsidR="00AE216B" w:rsidRPr="00044F05">
        <w:rPr>
          <w:vertAlign w:val="superscript"/>
        </w:rPr>
        <w:footnoteReference w:id="29"/>
      </w:r>
      <w:r w:rsidR="00AE216B" w:rsidRPr="00DB261F">
        <w:rPr>
          <w:rFonts w:cs="Arial"/>
        </w:rPr>
        <w:t xml:space="preserve"> The “tied visa” </w:t>
      </w:r>
      <w:r w:rsidR="00001AFD">
        <w:t>identifies a single employer on work permits and migrants are in contravention of immigration laws if they engage in work for any employer other than the ‘named’ employer. Similar systems are used in Canada</w:t>
      </w:r>
      <w:proofErr w:type="gramStart"/>
      <w:r w:rsidR="00001AFD">
        <w:t>.</w:t>
      </w:r>
      <w:r w:rsidR="00AE216B" w:rsidRPr="00DB261F">
        <w:rPr>
          <w:rFonts w:cs="Arial"/>
        </w:rPr>
        <w:t>.</w:t>
      </w:r>
      <w:proofErr w:type="gramEnd"/>
      <w:r w:rsidR="00AE216B" w:rsidRPr="00044F05">
        <w:rPr>
          <w:rStyle w:val="FootnoteReference"/>
          <w:rFonts w:cs="Arial"/>
        </w:rPr>
        <w:footnoteReference w:id="30"/>
      </w:r>
      <w:r w:rsidR="00A554DB">
        <w:rPr>
          <w:rFonts w:cs="Arial"/>
        </w:rPr>
        <w:t xml:space="preserve"> </w:t>
      </w:r>
      <w:r w:rsidR="00AF4F80">
        <w:rPr>
          <w:rFonts w:cs="Arial"/>
        </w:rPr>
        <w:t xml:space="preserve">In Middle Eastern countries, the </w:t>
      </w:r>
      <w:proofErr w:type="spellStart"/>
      <w:r w:rsidR="00AF4F80">
        <w:rPr>
          <w:rFonts w:cs="Arial"/>
        </w:rPr>
        <w:t>Kafalah</w:t>
      </w:r>
      <w:proofErr w:type="spellEnd"/>
      <w:r w:rsidR="00AF4F80">
        <w:rPr>
          <w:rFonts w:cs="Arial"/>
        </w:rPr>
        <w:t xml:space="preserve"> system requires all unskilled labourers to have an in-country sponsor, usually their employer, who is responsible for their visa and legal status. </w:t>
      </w:r>
      <w:r w:rsidR="00A554DB">
        <w:rPr>
          <w:rFonts w:cs="Arial"/>
        </w:rPr>
        <w:t xml:space="preserve">Programs such as these </w:t>
      </w:r>
      <w:r w:rsidR="00FF60D2">
        <w:rPr>
          <w:rFonts w:cs="Arial"/>
        </w:rPr>
        <w:t>that</w:t>
      </w:r>
      <w:r w:rsidR="00A554DB">
        <w:rPr>
          <w:rFonts w:cs="Arial"/>
        </w:rPr>
        <w:t xml:space="preserve"> link visa status with employers make it difficult for migrant workers to leave exploitative working conditions.</w:t>
      </w:r>
      <w:r w:rsidR="00427637">
        <w:rPr>
          <w:rFonts w:cs="Arial"/>
        </w:rPr>
        <w:t xml:space="preserve"> </w:t>
      </w:r>
    </w:p>
    <w:p w:rsidR="00D703ED" w:rsidRDefault="00D703ED" w:rsidP="00AE216B">
      <w:pPr>
        <w:rPr>
          <w:rFonts w:eastAsiaTheme="minorEastAsia"/>
        </w:rPr>
      </w:pPr>
    </w:p>
    <w:p w:rsidR="00764330" w:rsidRPr="006A6DAE" w:rsidRDefault="00764330" w:rsidP="00AE216B">
      <w:pPr>
        <w:rPr>
          <w:rFonts w:eastAsiaTheme="minorEastAsia"/>
        </w:rPr>
      </w:pPr>
      <w:r>
        <w:rPr>
          <w:rFonts w:eastAsiaTheme="minorEastAsia"/>
        </w:rPr>
        <w:t xml:space="preserve">The movement of migrant women </w:t>
      </w:r>
      <w:r w:rsidR="006401CC">
        <w:rPr>
          <w:rFonts w:eastAsiaTheme="minorEastAsia"/>
        </w:rPr>
        <w:t>results in</w:t>
      </w:r>
      <w:r>
        <w:rPr>
          <w:rFonts w:eastAsiaTheme="minorEastAsia"/>
        </w:rPr>
        <w:t xml:space="preserve"> their own caregiving roles </w:t>
      </w:r>
      <w:r w:rsidR="006401CC">
        <w:rPr>
          <w:rFonts w:eastAsiaTheme="minorEastAsia"/>
        </w:rPr>
        <w:t xml:space="preserve">being assigned </w:t>
      </w:r>
      <w:r>
        <w:rPr>
          <w:rFonts w:eastAsiaTheme="minorEastAsia"/>
        </w:rPr>
        <w:t xml:space="preserve">to </w:t>
      </w:r>
      <w:r w:rsidR="001E2F52">
        <w:rPr>
          <w:rFonts w:eastAsiaTheme="minorEastAsia"/>
        </w:rPr>
        <w:t xml:space="preserve">someone else, often </w:t>
      </w:r>
      <w:r>
        <w:rPr>
          <w:rFonts w:eastAsiaTheme="minorEastAsia"/>
        </w:rPr>
        <w:t>a</w:t>
      </w:r>
      <w:r w:rsidR="001E2F52">
        <w:rPr>
          <w:rFonts w:eastAsiaTheme="minorEastAsia"/>
        </w:rPr>
        <w:t>nother</w:t>
      </w:r>
      <w:r>
        <w:rPr>
          <w:rFonts w:eastAsiaTheme="minorEastAsia"/>
        </w:rPr>
        <w:t xml:space="preserve"> female migrant or </w:t>
      </w:r>
      <w:r w:rsidR="001E2F52">
        <w:rPr>
          <w:rFonts w:eastAsiaTheme="minorEastAsia"/>
        </w:rPr>
        <w:t xml:space="preserve">female </w:t>
      </w:r>
      <w:r>
        <w:rPr>
          <w:rFonts w:eastAsiaTheme="minorEastAsia"/>
        </w:rPr>
        <w:t>family member, which contribute</w:t>
      </w:r>
      <w:r w:rsidR="00ED5264">
        <w:rPr>
          <w:rFonts w:eastAsiaTheme="minorEastAsia"/>
        </w:rPr>
        <w:t>s</w:t>
      </w:r>
      <w:r>
        <w:rPr>
          <w:rFonts w:eastAsiaTheme="minorEastAsia"/>
        </w:rPr>
        <w:t xml:space="preserve"> to the growth of global care chains and reinforces long-standing gender roles and the undervaluation of female labour.</w:t>
      </w:r>
      <w:r w:rsidRPr="00C93B03">
        <w:rPr>
          <w:rFonts w:eastAsiaTheme="minorEastAsia"/>
          <w:vertAlign w:val="superscript"/>
        </w:rPr>
        <w:footnoteReference w:id="31"/>
      </w:r>
      <w:r>
        <w:rPr>
          <w:rFonts w:eastAsiaTheme="minorEastAsia"/>
        </w:rPr>
        <w:t xml:space="preserve"> However, growing numbers of women globally </w:t>
      </w:r>
      <w:r w:rsidR="00ED5264">
        <w:rPr>
          <w:rFonts w:eastAsiaTheme="minorEastAsia"/>
        </w:rPr>
        <w:t xml:space="preserve">are </w:t>
      </w:r>
      <w:r>
        <w:rPr>
          <w:rFonts w:eastAsiaTheme="minorEastAsia"/>
        </w:rPr>
        <w:t>achiev</w:t>
      </w:r>
      <w:r w:rsidR="00ED5264">
        <w:rPr>
          <w:rFonts w:eastAsiaTheme="minorEastAsia"/>
        </w:rPr>
        <w:t>ing</w:t>
      </w:r>
      <w:r>
        <w:rPr>
          <w:rFonts w:eastAsiaTheme="minorEastAsia"/>
        </w:rPr>
        <w:t xml:space="preserve"> economic independence through gainful employment</w:t>
      </w:r>
      <w:r w:rsidR="00ED5264">
        <w:rPr>
          <w:rFonts w:eastAsiaTheme="minorEastAsia"/>
        </w:rPr>
        <w:t>.</w:t>
      </w:r>
      <w:r>
        <w:rPr>
          <w:rFonts w:eastAsiaTheme="minorEastAsia"/>
        </w:rPr>
        <w:t xml:space="preserve"> </w:t>
      </w:r>
      <w:r w:rsidR="00ED5264">
        <w:rPr>
          <w:rFonts w:eastAsiaTheme="minorEastAsia"/>
        </w:rPr>
        <w:t>In most cases,</w:t>
      </w:r>
      <w:r>
        <w:rPr>
          <w:rFonts w:eastAsiaTheme="minorEastAsia"/>
        </w:rPr>
        <w:t xml:space="preserve"> women on the move display strength, endurance and resourcefulness</w:t>
      </w:r>
      <w:r w:rsidR="001E2F52">
        <w:rPr>
          <w:rFonts w:eastAsiaTheme="minorEastAsia"/>
        </w:rPr>
        <w:t>,</w:t>
      </w:r>
      <w:r>
        <w:rPr>
          <w:rFonts w:eastAsiaTheme="minorEastAsia"/>
        </w:rPr>
        <w:t xml:space="preserve"> </w:t>
      </w:r>
      <w:r w:rsidR="00F70056">
        <w:rPr>
          <w:rFonts w:eastAsiaTheme="minorEastAsia"/>
        </w:rPr>
        <w:t xml:space="preserve">and </w:t>
      </w:r>
      <w:r w:rsidR="00BA7E42">
        <w:rPr>
          <w:rFonts w:eastAsiaTheme="minorEastAsia"/>
        </w:rPr>
        <w:t>can</w:t>
      </w:r>
      <w:r>
        <w:rPr>
          <w:rFonts w:eastAsiaTheme="minorEastAsia"/>
        </w:rPr>
        <w:t xml:space="preserve"> offer positive contribution</w:t>
      </w:r>
      <w:r w:rsidR="00F70056">
        <w:rPr>
          <w:rFonts w:eastAsiaTheme="minorEastAsia"/>
        </w:rPr>
        <w:t>s</w:t>
      </w:r>
      <w:r>
        <w:rPr>
          <w:rFonts w:eastAsiaTheme="minorEastAsia"/>
        </w:rPr>
        <w:t xml:space="preserve"> to co</w:t>
      </w:r>
      <w:r w:rsidR="001E4E33">
        <w:rPr>
          <w:rFonts w:eastAsiaTheme="minorEastAsia"/>
        </w:rPr>
        <w:t>untries of origin, destination and</w:t>
      </w:r>
      <w:r>
        <w:rPr>
          <w:rFonts w:eastAsiaTheme="minorEastAsia"/>
        </w:rPr>
        <w:t xml:space="preserve"> return. </w:t>
      </w:r>
    </w:p>
    <w:p w:rsidR="001217EF" w:rsidRDefault="001217EF" w:rsidP="00AE216B">
      <w:pPr>
        <w:rPr>
          <w:rFonts w:cs="Arial"/>
        </w:rPr>
      </w:pPr>
    </w:p>
    <w:p w:rsidR="00177802" w:rsidRDefault="00F36B62" w:rsidP="00717A34">
      <w:r>
        <w:rPr>
          <w:rFonts w:cs="Arial"/>
        </w:rPr>
        <w:t>Policy and legislation addressing migration continue to be largely gender</w:t>
      </w:r>
      <w:r w:rsidR="001E2F52">
        <w:rPr>
          <w:rFonts w:cs="Arial"/>
        </w:rPr>
        <w:t>-</w:t>
      </w:r>
      <w:r>
        <w:rPr>
          <w:rFonts w:cs="Arial"/>
        </w:rPr>
        <w:t xml:space="preserve">blind. </w:t>
      </w:r>
      <w:r w:rsidR="00E36E11">
        <w:rPr>
          <w:rFonts w:cs="Arial"/>
        </w:rPr>
        <w:t xml:space="preserve">For example, women’s </w:t>
      </w:r>
      <w:r w:rsidR="001E4E33">
        <w:t>labour, such as in the care sector,</w:t>
      </w:r>
      <w:r w:rsidR="009A02A2" w:rsidDel="001E2F52">
        <w:rPr>
          <w:rFonts w:cs="Arial"/>
        </w:rPr>
        <w:t xml:space="preserve"> </w:t>
      </w:r>
      <w:r w:rsidR="00E36E11">
        <w:rPr>
          <w:rFonts w:cs="Arial"/>
        </w:rPr>
        <w:t xml:space="preserve">is more likely to substitute public services, infrastructure or social protection policies than be recognised or supported by them. </w:t>
      </w:r>
      <w:r>
        <w:rPr>
          <w:rFonts w:cs="Arial"/>
        </w:rPr>
        <w:t>This is compounded by the l</w:t>
      </w:r>
      <w:r w:rsidR="001217EF">
        <w:rPr>
          <w:rFonts w:cs="Arial"/>
        </w:rPr>
        <w:t xml:space="preserve">ack of standardised and </w:t>
      </w:r>
      <w:r w:rsidR="00B73E9B">
        <w:rPr>
          <w:rFonts w:cs="Arial"/>
        </w:rPr>
        <w:t>sex-</w:t>
      </w:r>
      <w:r w:rsidR="001217EF">
        <w:rPr>
          <w:rFonts w:cs="Arial"/>
        </w:rPr>
        <w:t>disaggregated data on migration</w:t>
      </w:r>
      <w:r w:rsidR="001E2F52">
        <w:rPr>
          <w:rFonts w:cs="Arial"/>
        </w:rPr>
        <w:t>,</w:t>
      </w:r>
      <w:r w:rsidR="001217EF">
        <w:rPr>
          <w:rFonts w:cs="Arial"/>
        </w:rPr>
        <w:t xml:space="preserve"> </w:t>
      </w:r>
      <w:r>
        <w:rPr>
          <w:rFonts w:cs="Arial"/>
        </w:rPr>
        <w:t>which creates a challenge to the development of evidence</w:t>
      </w:r>
      <w:r w:rsidR="001E2F52">
        <w:rPr>
          <w:rFonts w:cs="Arial"/>
        </w:rPr>
        <w:t>-</w:t>
      </w:r>
      <w:r>
        <w:rPr>
          <w:rFonts w:cs="Arial"/>
        </w:rPr>
        <w:t>based gender</w:t>
      </w:r>
      <w:r w:rsidR="006B74A9">
        <w:rPr>
          <w:rFonts w:cs="Arial"/>
        </w:rPr>
        <w:t>-</w:t>
      </w:r>
      <w:r>
        <w:rPr>
          <w:rFonts w:cs="Arial"/>
        </w:rPr>
        <w:t xml:space="preserve">responsive policy on migration. Similarly, the lack of data and evidence on the contributions that women make to development has resulted in development policies that are </w:t>
      </w:r>
      <w:r w:rsidR="00F70056">
        <w:rPr>
          <w:rFonts w:cs="Arial"/>
        </w:rPr>
        <w:t xml:space="preserve">not responsive </w:t>
      </w:r>
      <w:r>
        <w:rPr>
          <w:rFonts w:cs="Arial"/>
        </w:rPr>
        <w:t xml:space="preserve">to the specific </w:t>
      </w:r>
      <w:r w:rsidR="00541021">
        <w:rPr>
          <w:rFonts w:cs="Arial"/>
        </w:rPr>
        <w:t>rights, experiences, and needs</w:t>
      </w:r>
      <w:r>
        <w:rPr>
          <w:rFonts w:cs="Arial"/>
        </w:rPr>
        <w:t xml:space="preserve"> of women.</w:t>
      </w:r>
      <w:r w:rsidR="00717A34">
        <w:t xml:space="preserve"> </w:t>
      </w:r>
    </w:p>
    <w:p w:rsidR="00892DD7" w:rsidRDefault="00892DD7" w:rsidP="00717A34"/>
    <w:p w:rsidR="00001AFD" w:rsidRDefault="00001AFD">
      <w:pPr>
        <w:spacing w:after="200"/>
        <w:jc w:val="left"/>
        <w:rPr>
          <w:b/>
          <w:sz w:val="24"/>
          <w:szCs w:val="24"/>
        </w:rPr>
      </w:pPr>
      <w:r>
        <w:rPr>
          <w:b/>
          <w:sz w:val="24"/>
          <w:szCs w:val="24"/>
        </w:rPr>
        <w:br w:type="page"/>
      </w:r>
    </w:p>
    <w:p w:rsidR="009038FD" w:rsidRPr="00892DD7" w:rsidRDefault="002A1CD4" w:rsidP="009038FD">
      <w:pPr>
        <w:rPr>
          <w:b/>
          <w:sz w:val="24"/>
          <w:szCs w:val="24"/>
        </w:rPr>
      </w:pPr>
      <w:r>
        <w:rPr>
          <w:b/>
          <w:sz w:val="24"/>
          <w:szCs w:val="24"/>
        </w:rPr>
        <w:t>Draft r</w:t>
      </w:r>
      <w:r w:rsidR="00001AFD">
        <w:rPr>
          <w:b/>
          <w:sz w:val="24"/>
          <w:szCs w:val="24"/>
        </w:rPr>
        <w:t>ecommendations for addressing</w:t>
      </w:r>
      <w:r>
        <w:rPr>
          <w:b/>
          <w:sz w:val="24"/>
          <w:szCs w:val="24"/>
        </w:rPr>
        <w:t xml:space="preserve"> gender in the</w:t>
      </w:r>
      <w:r w:rsidR="00001AFD">
        <w:rPr>
          <w:b/>
          <w:sz w:val="24"/>
          <w:szCs w:val="24"/>
        </w:rPr>
        <w:t xml:space="preserve"> </w:t>
      </w:r>
      <w:r>
        <w:rPr>
          <w:b/>
          <w:sz w:val="24"/>
          <w:szCs w:val="24"/>
        </w:rPr>
        <w:t xml:space="preserve">global compact for </w:t>
      </w:r>
      <w:r w:rsidR="00892DD7" w:rsidRPr="00892DD7">
        <w:rPr>
          <w:b/>
          <w:sz w:val="24"/>
          <w:szCs w:val="24"/>
        </w:rPr>
        <w:t>safe, orderly and regular migration of women</w:t>
      </w:r>
    </w:p>
    <w:p w:rsidR="009038FD" w:rsidRDefault="009038FD" w:rsidP="009038FD">
      <w:r>
        <w:t xml:space="preserve">Key </w:t>
      </w:r>
      <w:r w:rsidR="0059777A">
        <w:t>recommendations</w:t>
      </w:r>
      <w:r>
        <w:t xml:space="preserve"> for ensuring gender-responsive approac</w:t>
      </w:r>
      <w:r w:rsidR="007E2821">
        <w:t>hes to migration are as follows</w:t>
      </w:r>
      <w:r w:rsidR="001E2F52">
        <w:t>:</w:t>
      </w:r>
    </w:p>
    <w:p w:rsidR="009038FD" w:rsidRPr="00456871" w:rsidRDefault="009038FD" w:rsidP="009038FD"/>
    <w:p w:rsidR="00F566A9" w:rsidRPr="00F566A9" w:rsidRDefault="00325D1D" w:rsidP="004D79E3">
      <w:pPr>
        <w:pStyle w:val="ListParagraph"/>
        <w:numPr>
          <w:ilvl w:val="0"/>
          <w:numId w:val="4"/>
        </w:numPr>
      </w:pPr>
      <w:r w:rsidRPr="00F566A9">
        <w:rPr>
          <w:b/>
        </w:rPr>
        <w:t>Developing evidence-based, gender-responsive migration policy</w:t>
      </w:r>
    </w:p>
    <w:p w:rsidR="00F566A9" w:rsidRDefault="000834A7" w:rsidP="004D79E3">
      <w:pPr>
        <w:pStyle w:val="ListParagraph"/>
        <w:numPr>
          <w:ilvl w:val="1"/>
          <w:numId w:val="4"/>
        </w:numPr>
      </w:pPr>
      <w:r>
        <w:t>Ensure that n</w:t>
      </w:r>
      <w:r w:rsidR="00EC3F8F" w:rsidRPr="00EC3F8F">
        <w:t>ational migration governance account</w:t>
      </w:r>
      <w:r>
        <w:t>s</w:t>
      </w:r>
      <w:r w:rsidR="00EC3F8F" w:rsidRPr="00EC3F8F">
        <w:t xml:space="preserve"> for the multiple and intersecting forms of discrimination that migrant women and girls face, including on the interrelated grounds of gender, sexuality, pregnancy, parenthood, nationality, ethnicity, religion or belief, age or disability.</w:t>
      </w:r>
      <w:r w:rsidR="00856163">
        <w:t xml:space="preserve"> </w:t>
      </w:r>
    </w:p>
    <w:p w:rsidR="00F566A9" w:rsidRDefault="00F566A9" w:rsidP="00F566A9">
      <w:pPr>
        <w:pStyle w:val="ListParagraph"/>
        <w:ind w:left="792"/>
      </w:pPr>
    </w:p>
    <w:p w:rsidR="00F566A9" w:rsidRDefault="000834A7" w:rsidP="004D79E3">
      <w:pPr>
        <w:pStyle w:val="ListParagraph"/>
        <w:numPr>
          <w:ilvl w:val="1"/>
          <w:numId w:val="4"/>
        </w:numPr>
      </w:pPr>
      <w:r>
        <w:t>Develop and strengthen s</w:t>
      </w:r>
      <w:r w:rsidR="00E61EDE">
        <w:t xml:space="preserve">ocial protection policies </w:t>
      </w:r>
      <w:r>
        <w:t>that</w:t>
      </w:r>
      <w:r w:rsidR="00E61EDE">
        <w:t xml:space="preserve"> support safe, orderly and regular migration</w:t>
      </w:r>
      <w:r w:rsidR="00F566A9">
        <w:t xml:space="preserve"> and contribute to achieving gender equality</w:t>
      </w:r>
      <w:r w:rsidR="00E61EDE">
        <w:t xml:space="preserve">; </w:t>
      </w:r>
      <w:r>
        <w:t xml:space="preserve">addressing the difficulties </w:t>
      </w:r>
      <w:r w:rsidR="00E61EDE">
        <w:t xml:space="preserve">migrant women face </w:t>
      </w:r>
      <w:r>
        <w:t xml:space="preserve">in </w:t>
      </w:r>
      <w:r w:rsidR="00E61EDE">
        <w:t xml:space="preserve">accessing social protection policies due to eligibility requirements, cost </w:t>
      </w:r>
      <w:r w:rsidR="00F42512">
        <w:t xml:space="preserve">and time </w:t>
      </w:r>
      <w:r w:rsidR="00E61EDE">
        <w:t xml:space="preserve">constraints, limitations in portability of pensions, as well as due to lack of information and language barriers. </w:t>
      </w:r>
      <w:r>
        <w:t>Recognise that f</w:t>
      </w:r>
      <w:r w:rsidR="008F7FBB">
        <w:t>ailure to provide social protection not only infringes on the fulfilment of the rights of migrant women, but further constrains progress towards gender equality and women’s empowerment.</w:t>
      </w:r>
      <w:r w:rsidR="004F2B9D">
        <w:t xml:space="preserve"> </w:t>
      </w:r>
      <w:r>
        <w:t>Note the example</w:t>
      </w:r>
      <w:r w:rsidR="000B13C1">
        <w:t>s</w:t>
      </w:r>
      <w:r>
        <w:t xml:space="preserve"> i</w:t>
      </w:r>
      <w:r w:rsidR="004F2B9D" w:rsidRPr="00F134AE">
        <w:t xml:space="preserve">n Azerbaijan, Jamaica, and Peru, </w:t>
      </w:r>
      <w:r>
        <w:t xml:space="preserve">where </w:t>
      </w:r>
      <w:r w:rsidR="004F2B9D" w:rsidRPr="00F134AE">
        <w:t>migrants are provided equal access to social protections, such as health care and pension schemes.</w:t>
      </w:r>
      <w:r w:rsidR="004F2B9D" w:rsidRPr="00F134AE">
        <w:rPr>
          <w:rStyle w:val="FootnoteReference"/>
        </w:rPr>
        <w:footnoteReference w:id="32"/>
      </w:r>
    </w:p>
    <w:p w:rsidR="00F566A9" w:rsidRDefault="00F566A9" w:rsidP="00F566A9">
      <w:pPr>
        <w:pStyle w:val="ListParagraph"/>
      </w:pPr>
    </w:p>
    <w:p w:rsidR="008F2391" w:rsidRPr="008F2391" w:rsidRDefault="006F378C" w:rsidP="004D79E3">
      <w:pPr>
        <w:pStyle w:val="ListParagraph"/>
        <w:numPr>
          <w:ilvl w:val="1"/>
          <w:numId w:val="4"/>
        </w:numPr>
      </w:pPr>
      <w:r>
        <w:t xml:space="preserve">Recognise the </w:t>
      </w:r>
      <w:r w:rsidR="00EC3F8F" w:rsidRPr="003670DD">
        <w:t>valuable contributions to economic growth and human development</w:t>
      </w:r>
      <w:r>
        <w:t xml:space="preserve"> that migrant women and girls make</w:t>
      </w:r>
      <w:r w:rsidR="00EC3F8F" w:rsidRPr="003670DD">
        <w:t>, including through care and reproductive labour</w:t>
      </w:r>
      <w:r w:rsidR="008F2391">
        <w:t>, taxes</w:t>
      </w:r>
      <w:r w:rsidR="00EC3F8F" w:rsidRPr="003670DD">
        <w:t xml:space="preserve"> and remittances. </w:t>
      </w:r>
      <w:r>
        <w:t xml:space="preserve">Ensure that </w:t>
      </w:r>
      <w:r w:rsidRPr="00F566A9">
        <w:rPr>
          <w:lang w:val="en-CA"/>
        </w:rPr>
        <w:t>development</w:t>
      </w:r>
      <w:r w:rsidR="0058559F" w:rsidRPr="00F566A9">
        <w:rPr>
          <w:lang w:val="en-CA"/>
        </w:rPr>
        <w:t xml:space="preserve"> policies mainstream migration from a gender perspective </w:t>
      </w:r>
      <w:r>
        <w:rPr>
          <w:lang w:val="en-CA"/>
        </w:rPr>
        <w:t xml:space="preserve">and </w:t>
      </w:r>
      <w:r w:rsidR="00F70056" w:rsidRPr="00F566A9">
        <w:rPr>
          <w:lang w:val="en-CA"/>
        </w:rPr>
        <w:t>recognize</w:t>
      </w:r>
      <w:r w:rsidR="0058559F" w:rsidRPr="00F566A9">
        <w:rPr>
          <w:lang w:val="en-CA"/>
        </w:rPr>
        <w:t xml:space="preserve"> the contributions of migrant women, including to social protection</w:t>
      </w:r>
      <w:r w:rsidR="00F70056" w:rsidRPr="00F566A9">
        <w:rPr>
          <w:lang w:val="en-CA"/>
        </w:rPr>
        <w:t>.</w:t>
      </w:r>
    </w:p>
    <w:p w:rsidR="008F2391" w:rsidRDefault="008F2391" w:rsidP="008F2391">
      <w:pPr>
        <w:pStyle w:val="ListParagraph"/>
      </w:pPr>
    </w:p>
    <w:p w:rsidR="008F2391" w:rsidRDefault="006F378C" w:rsidP="004D79E3">
      <w:pPr>
        <w:pStyle w:val="ListParagraph"/>
        <w:numPr>
          <w:ilvl w:val="1"/>
          <w:numId w:val="4"/>
        </w:numPr>
        <w:rPr>
          <w:lang w:val="en-CA"/>
        </w:rPr>
      </w:pPr>
      <w:r>
        <w:t>Implement r</w:t>
      </w:r>
      <w:r w:rsidR="009038FD" w:rsidRPr="003670DD">
        <w:t xml:space="preserve">obust gender-responsive research, data acquisition, analysis and auditing and accountability measures </w:t>
      </w:r>
      <w:r>
        <w:t xml:space="preserve">in order to </w:t>
      </w:r>
      <w:r w:rsidR="00517F44" w:rsidRPr="003670DD">
        <w:t xml:space="preserve">highlight </w:t>
      </w:r>
      <w:r w:rsidR="00ED0770">
        <w:t>the</w:t>
      </w:r>
      <w:r w:rsidR="00517F44" w:rsidRPr="003670DD">
        <w:t xml:space="preserve"> contributions</w:t>
      </w:r>
      <w:r w:rsidR="00ED0770">
        <w:t xml:space="preserve"> made by migrant women</w:t>
      </w:r>
      <w:r w:rsidR="001E2F52" w:rsidRPr="003670DD">
        <w:t>,</w:t>
      </w:r>
      <w:r w:rsidR="00517F44" w:rsidRPr="003670DD">
        <w:t xml:space="preserve"> as well as the </w:t>
      </w:r>
      <w:r w:rsidR="0058559F">
        <w:t xml:space="preserve">gendered drivers of migration, the </w:t>
      </w:r>
      <w:r w:rsidR="00517F44" w:rsidRPr="003670DD">
        <w:t>situation and realities of women migrants more broadly</w:t>
      </w:r>
      <w:r w:rsidR="000B72DB" w:rsidRPr="003670DD">
        <w:t xml:space="preserve">, and </w:t>
      </w:r>
      <w:r>
        <w:t xml:space="preserve">to </w:t>
      </w:r>
      <w:r w:rsidR="00452626" w:rsidRPr="003670DD">
        <w:t xml:space="preserve">inform </w:t>
      </w:r>
      <w:r w:rsidR="00001B79" w:rsidRPr="008F2391">
        <w:rPr>
          <w:lang w:val="en-CA"/>
        </w:rPr>
        <w:t>the design</w:t>
      </w:r>
      <w:r w:rsidR="009038FD" w:rsidRPr="008F2391">
        <w:rPr>
          <w:lang w:val="en-CA"/>
        </w:rPr>
        <w:t xml:space="preserve">, implementation and monitoring of </w:t>
      </w:r>
      <w:r w:rsidR="000B72DB" w:rsidRPr="008F2391">
        <w:rPr>
          <w:lang w:val="en-CA"/>
        </w:rPr>
        <w:t>evidence</w:t>
      </w:r>
      <w:r w:rsidR="001E2F52" w:rsidRPr="008F2391">
        <w:rPr>
          <w:lang w:val="en-CA"/>
        </w:rPr>
        <w:t>-</w:t>
      </w:r>
      <w:r w:rsidR="000B72DB" w:rsidRPr="008F2391">
        <w:rPr>
          <w:lang w:val="en-CA"/>
        </w:rPr>
        <w:t xml:space="preserve">based and </w:t>
      </w:r>
      <w:r w:rsidR="009038FD" w:rsidRPr="008F2391">
        <w:rPr>
          <w:lang w:val="en-CA"/>
        </w:rPr>
        <w:t>ge</w:t>
      </w:r>
      <w:r w:rsidR="0058559F" w:rsidRPr="008F2391">
        <w:rPr>
          <w:lang w:val="en-CA"/>
        </w:rPr>
        <w:t>nder-responsive migration policies.</w:t>
      </w:r>
      <w:r w:rsidR="008F2391" w:rsidRPr="008F2391">
        <w:rPr>
          <w:lang w:val="en-CA"/>
        </w:rPr>
        <w:t xml:space="preserve"> </w:t>
      </w:r>
    </w:p>
    <w:p w:rsidR="008F2391" w:rsidRPr="008F2391" w:rsidRDefault="008F2391" w:rsidP="008F2391">
      <w:pPr>
        <w:pStyle w:val="ListParagraph"/>
        <w:rPr>
          <w:lang w:val="en-CA"/>
        </w:rPr>
      </w:pPr>
    </w:p>
    <w:p w:rsidR="008F2391" w:rsidRPr="008F2391" w:rsidRDefault="006F378C" w:rsidP="004D79E3">
      <w:pPr>
        <w:pStyle w:val="ListParagraph"/>
        <w:numPr>
          <w:ilvl w:val="1"/>
          <w:numId w:val="4"/>
        </w:numPr>
      </w:pPr>
      <w:r>
        <w:rPr>
          <w:lang w:val="en-CA"/>
        </w:rPr>
        <w:t xml:space="preserve">Note </w:t>
      </w:r>
      <w:r w:rsidR="000405F6" w:rsidRPr="008F2391">
        <w:rPr>
          <w:lang w:val="en-CA"/>
        </w:rPr>
        <w:t>effort</w:t>
      </w:r>
      <w:r>
        <w:rPr>
          <w:lang w:val="en-CA"/>
        </w:rPr>
        <w:t>s</w:t>
      </w:r>
      <w:r w:rsidR="000405F6" w:rsidRPr="008F2391">
        <w:rPr>
          <w:lang w:val="en-CA"/>
        </w:rPr>
        <w:t xml:space="preserve"> to protect the rights of migrant women workers and other vulnerable populations,</w:t>
      </w:r>
      <w:r>
        <w:rPr>
          <w:lang w:val="en-CA"/>
        </w:rPr>
        <w:t xml:space="preserve"> for example the adoption by</w:t>
      </w:r>
      <w:r w:rsidR="000405F6" w:rsidRPr="008F2391">
        <w:rPr>
          <w:lang w:val="en-CA"/>
        </w:rPr>
        <w:t xml:space="preserve"> </w:t>
      </w:r>
      <w:r w:rsidR="007E2821" w:rsidRPr="008F2391">
        <w:rPr>
          <w:lang w:val="en-CA"/>
        </w:rPr>
        <w:t>Bosnia and Herzegovina</w:t>
      </w:r>
      <w:r w:rsidR="000405F6" w:rsidRPr="008F2391">
        <w:rPr>
          <w:lang w:val="en-CA"/>
        </w:rPr>
        <w:t xml:space="preserve"> </w:t>
      </w:r>
      <w:r>
        <w:rPr>
          <w:lang w:val="en-CA"/>
        </w:rPr>
        <w:t xml:space="preserve">of </w:t>
      </w:r>
      <w:r w:rsidR="000405F6" w:rsidRPr="008F2391">
        <w:rPr>
          <w:lang w:val="en-CA"/>
        </w:rPr>
        <w:t xml:space="preserve">guidelines </w:t>
      </w:r>
      <w:r w:rsidR="00326FA8" w:rsidRPr="008F2391">
        <w:rPr>
          <w:lang w:val="en-CA"/>
        </w:rPr>
        <w:t>on</w:t>
      </w:r>
      <w:r w:rsidR="007E2821" w:rsidRPr="008F2391">
        <w:rPr>
          <w:lang w:val="en-CA"/>
        </w:rPr>
        <w:t xml:space="preserve"> </w:t>
      </w:r>
      <w:r w:rsidR="000405F6" w:rsidRPr="008F2391">
        <w:rPr>
          <w:lang w:val="en-CA"/>
        </w:rPr>
        <w:t xml:space="preserve">methods of </w:t>
      </w:r>
      <w:r w:rsidR="007E2821" w:rsidRPr="008F2391">
        <w:rPr>
          <w:lang w:val="en-CA"/>
        </w:rPr>
        <w:t xml:space="preserve">data </w:t>
      </w:r>
      <w:r w:rsidR="000405F6" w:rsidRPr="008F2391">
        <w:rPr>
          <w:lang w:val="en-CA"/>
        </w:rPr>
        <w:t>acquisition</w:t>
      </w:r>
      <w:r w:rsidR="00326FA8" w:rsidRPr="008F2391">
        <w:rPr>
          <w:lang w:val="en-CA"/>
        </w:rPr>
        <w:t>, including reporting on gender discrimination and violence against women,</w:t>
      </w:r>
      <w:r w:rsidR="000405F6" w:rsidRPr="008F2391">
        <w:rPr>
          <w:lang w:val="en-CA"/>
        </w:rPr>
        <w:t xml:space="preserve"> in conjunction with a database </w:t>
      </w:r>
      <w:r w:rsidR="00F70056" w:rsidRPr="008F2391">
        <w:rPr>
          <w:lang w:val="en-CA"/>
        </w:rPr>
        <w:t>to</w:t>
      </w:r>
      <w:r w:rsidR="000405F6" w:rsidRPr="008F2391">
        <w:rPr>
          <w:lang w:val="en-CA"/>
        </w:rPr>
        <w:t xml:space="preserve"> increase information on women migrant workers</w:t>
      </w:r>
      <w:r w:rsidR="007E2821" w:rsidRPr="008F2391">
        <w:rPr>
          <w:lang w:val="en-CA"/>
        </w:rPr>
        <w:t>. Other member states, including Jamaica, Italy, Malta, Peru and the Philippines</w:t>
      </w:r>
      <w:r w:rsidR="000405F6" w:rsidRPr="008F2391">
        <w:rPr>
          <w:lang w:val="en-CA"/>
        </w:rPr>
        <w:t>,</w:t>
      </w:r>
      <w:r w:rsidR="007E2821" w:rsidRPr="008F2391">
        <w:rPr>
          <w:lang w:val="en-CA"/>
        </w:rPr>
        <w:t xml:space="preserve"> also adopted data collection methodologies that </w:t>
      </w:r>
      <w:r w:rsidR="00BC611D" w:rsidRPr="008F2391">
        <w:rPr>
          <w:lang w:val="en-CA"/>
        </w:rPr>
        <w:t>intend</w:t>
      </w:r>
      <w:r w:rsidR="007E2821" w:rsidRPr="008F2391">
        <w:rPr>
          <w:lang w:val="en-CA"/>
        </w:rPr>
        <w:t xml:space="preserve"> </w:t>
      </w:r>
      <w:r w:rsidR="00BC611D" w:rsidRPr="008F2391">
        <w:rPr>
          <w:lang w:val="en-CA"/>
        </w:rPr>
        <w:t xml:space="preserve">to </w:t>
      </w:r>
      <w:r w:rsidR="007E2821" w:rsidRPr="008F2391">
        <w:rPr>
          <w:lang w:val="en-CA"/>
        </w:rPr>
        <w:t>highlight infor</w:t>
      </w:r>
      <w:r w:rsidR="00F11D52" w:rsidRPr="008F2391">
        <w:rPr>
          <w:lang w:val="en-CA"/>
        </w:rPr>
        <w:t>mation on women migrant workers</w:t>
      </w:r>
      <w:r w:rsidR="009A02A2" w:rsidRPr="008F2391">
        <w:rPr>
          <w:lang w:val="en-CA"/>
        </w:rPr>
        <w:t>.</w:t>
      </w:r>
      <w:r w:rsidR="00F11D52">
        <w:rPr>
          <w:rStyle w:val="FootnoteReference"/>
          <w:lang w:val="en-CA"/>
        </w:rPr>
        <w:footnoteReference w:id="33"/>
      </w:r>
    </w:p>
    <w:p w:rsidR="008F2391" w:rsidRDefault="008F2391" w:rsidP="008F2391">
      <w:pPr>
        <w:pStyle w:val="ListParagraph"/>
      </w:pPr>
    </w:p>
    <w:p w:rsidR="004D79E3" w:rsidRDefault="006F378C" w:rsidP="004D79E3">
      <w:pPr>
        <w:pStyle w:val="ListParagraph"/>
        <w:numPr>
          <w:ilvl w:val="1"/>
          <w:numId w:val="4"/>
        </w:numPr>
      </w:pPr>
      <w:r>
        <w:t xml:space="preserve">Highlight measures by </w:t>
      </w:r>
      <w:r w:rsidR="00325D1D">
        <w:t xml:space="preserve">states, including </w:t>
      </w:r>
      <w:r w:rsidR="00325D1D" w:rsidRPr="0048450A">
        <w:t>Azerbaijan, Cambodia, Greece, Jamaica, Namibia and the United Arab Emirates</w:t>
      </w:r>
      <w:r w:rsidR="00325D1D">
        <w:t xml:space="preserve">, </w:t>
      </w:r>
      <w:r>
        <w:t xml:space="preserve">to </w:t>
      </w:r>
      <w:r w:rsidR="00325D1D">
        <w:t>develop the capacity of government officials to formulate gender-responsive legislation in order to better provide for the distinct needs of women migrant workers.</w:t>
      </w:r>
      <w:r w:rsidR="00325D1D">
        <w:rPr>
          <w:rStyle w:val="FootnoteReference"/>
        </w:rPr>
        <w:footnoteReference w:id="34"/>
      </w:r>
    </w:p>
    <w:p w:rsidR="00A377E4" w:rsidRDefault="00A377E4" w:rsidP="00A377E4">
      <w:pPr>
        <w:pStyle w:val="ListParagraph"/>
      </w:pPr>
    </w:p>
    <w:p w:rsidR="00877289" w:rsidRDefault="006F378C" w:rsidP="004D79E3">
      <w:pPr>
        <w:pStyle w:val="ListParagraph"/>
        <w:numPr>
          <w:ilvl w:val="1"/>
          <w:numId w:val="4"/>
        </w:numPr>
      </w:pPr>
      <w:r>
        <w:t>Ensure that m</w:t>
      </w:r>
      <w:r w:rsidR="00A377E4">
        <w:t>igrant women’s</w:t>
      </w:r>
      <w:r w:rsidR="00877289">
        <w:t xml:space="preserve"> organisations</w:t>
      </w:r>
      <w:r w:rsidR="00A377E4">
        <w:t xml:space="preserve"> and support groups</w:t>
      </w:r>
      <w:r w:rsidR="00877289">
        <w:t xml:space="preserve"> </w:t>
      </w:r>
      <w:r>
        <w:t xml:space="preserve">are included in </w:t>
      </w:r>
      <w:r w:rsidR="00877289">
        <w:t xml:space="preserve">the </w:t>
      </w:r>
      <w:r w:rsidR="00877289" w:rsidRPr="002414D0">
        <w:t>development</w:t>
      </w:r>
      <w:r w:rsidR="00877289">
        <w:t>, implementation and monitoring of policy, l</w:t>
      </w:r>
      <w:r w:rsidR="00877289" w:rsidRPr="002414D0">
        <w:t>egislati</w:t>
      </w:r>
      <w:r w:rsidR="00F70056">
        <w:t>on</w:t>
      </w:r>
      <w:r w:rsidR="00877289">
        <w:t xml:space="preserve"> and other </w:t>
      </w:r>
      <w:r w:rsidR="00877289" w:rsidRPr="002414D0">
        <w:t xml:space="preserve">measures </w:t>
      </w:r>
      <w:r w:rsidR="00877289">
        <w:t xml:space="preserve">that ensure women’s access to services, including </w:t>
      </w:r>
      <w:r w:rsidR="00877289" w:rsidRPr="002414D0">
        <w:t xml:space="preserve">appropriate education and awareness-raising programmes related to the protection of women migrants’ rights, </w:t>
      </w:r>
      <w:r w:rsidR="00F70056">
        <w:t>as well as</w:t>
      </w:r>
      <w:r w:rsidR="00F70056" w:rsidRPr="002414D0">
        <w:t xml:space="preserve"> </w:t>
      </w:r>
      <w:r w:rsidR="00877289" w:rsidRPr="002414D0">
        <w:t xml:space="preserve">efforts to prevent </w:t>
      </w:r>
      <w:r w:rsidR="00877289">
        <w:t xml:space="preserve">gender-based </w:t>
      </w:r>
      <w:r w:rsidR="00877289" w:rsidRPr="002414D0">
        <w:t>violence</w:t>
      </w:r>
      <w:r w:rsidR="00877289">
        <w:t>.</w:t>
      </w:r>
    </w:p>
    <w:p w:rsidR="00A377E4" w:rsidRDefault="00A377E4" w:rsidP="00A377E4">
      <w:pPr>
        <w:pStyle w:val="ListParagraph"/>
      </w:pPr>
    </w:p>
    <w:p w:rsidR="00A377E4" w:rsidRPr="00A377E4" w:rsidRDefault="006F378C" w:rsidP="004D79E3">
      <w:pPr>
        <w:pStyle w:val="ListParagraph"/>
        <w:numPr>
          <w:ilvl w:val="1"/>
          <w:numId w:val="4"/>
        </w:numPr>
        <w:rPr>
          <w:b/>
        </w:rPr>
      </w:pPr>
      <w:r>
        <w:t>Undertake measures to ensure that g</w:t>
      </w:r>
      <w:r w:rsidR="00A377E4">
        <w:t xml:space="preserve">ender responsive </w:t>
      </w:r>
      <w:r w:rsidR="00313306">
        <w:t xml:space="preserve">policies and programmes </w:t>
      </w:r>
      <w:r>
        <w:t xml:space="preserve">are </w:t>
      </w:r>
      <w:r w:rsidR="00313306">
        <w:t>adequately funded</w:t>
      </w:r>
      <w:r>
        <w:t>, as i</w:t>
      </w:r>
      <w:r w:rsidR="00A377E4">
        <w:t>n</w:t>
      </w:r>
      <w:r w:rsidR="00A377E4" w:rsidRPr="00325D1D">
        <w:t xml:space="preserve"> Italy,</w:t>
      </w:r>
      <w:r>
        <w:t xml:space="preserve"> where</w:t>
      </w:r>
      <w:r w:rsidR="00A377E4" w:rsidRPr="00325D1D">
        <w:t xml:space="preserve"> financial resources have been allocated to implement the state’s gender-sensitive migration and trafficking policies, which promote the respect of the human rights of migrants.</w:t>
      </w:r>
      <w:r w:rsidR="00A377E4" w:rsidRPr="00325D1D">
        <w:rPr>
          <w:rStyle w:val="FootnoteReference"/>
        </w:rPr>
        <w:footnoteReference w:id="35"/>
      </w:r>
    </w:p>
    <w:p w:rsidR="003C4D40" w:rsidRDefault="003C4D40" w:rsidP="003C4D40">
      <w:pPr>
        <w:rPr>
          <w:lang w:val="en-CA"/>
        </w:rPr>
      </w:pPr>
    </w:p>
    <w:p w:rsidR="00A377E4" w:rsidRDefault="001C6F9B" w:rsidP="004D79E3">
      <w:pPr>
        <w:pStyle w:val="ListParagraph"/>
        <w:numPr>
          <w:ilvl w:val="0"/>
          <w:numId w:val="4"/>
        </w:numPr>
        <w:rPr>
          <w:b/>
        </w:rPr>
      </w:pPr>
      <w:r w:rsidRPr="00A377E4">
        <w:rPr>
          <w:b/>
        </w:rPr>
        <w:t xml:space="preserve">Migrant </w:t>
      </w:r>
      <w:r w:rsidR="002A5C4B" w:rsidRPr="00A377E4">
        <w:rPr>
          <w:b/>
        </w:rPr>
        <w:t>w</w:t>
      </w:r>
      <w:r w:rsidR="009038FD" w:rsidRPr="00A377E4">
        <w:rPr>
          <w:b/>
        </w:rPr>
        <w:t>omen and girls</w:t>
      </w:r>
      <w:r w:rsidRPr="00A377E4">
        <w:rPr>
          <w:b/>
        </w:rPr>
        <w:t>’</w:t>
      </w:r>
      <w:r w:rsidR="009038FD" w:rsidRPr="00A377E4">
        <w:rPr>
          <w:b/>
        </w:rPr>
        <w:t xml:space="preserve"> access to human rights-based</w:t>
      </w:r>
      <w:r w:rsidR="006E7E6D" w:rsidRPr="00A377E4">
        <w:rPr>
          <w:b/>
        </w:rPr>
        <w:t>,</w:t>
      </w:r>
      <w:r w:rsidR="009038FD" w:rsidRPr="00A377E4">
        <w:rPr>
          <w:b/>
        </w:rPr>
        <w:t xml:space="preserve"> gender-responsive services </w:t>
      </w:r>
    </w:p>
    <w:p w:rsidR="00A377E4" w:rsidRPr="00A377E4" w:rsidRDefault="006F378C" w:rsidP="004D79E3">
      <w:pPr>
        <w:pStyle w:val="ListParagraph"/>
        <w:numPr>
          <w:ilvl w:val="1"/>
          <w:numId w:val="4"/>
        </w:numPr>
        <w:rPr>
          <w:b/>
        </w:rPr>
      </w:pPr>
      <w:r>
        <w:t>Recognise that t</w:t>
      </w:r>
      <w:r w:rsidR="00452626">
        <w:t>he opportunities that migration offers women and girls hinge on the provision and access to human</w:t>
      </w:r>
      <w:r w:rsidR="00424507">
        <w:t xml:space="preserve"> </w:t>
      </w:r>
      <w:r w:rsidR="00452626">
        <w:t>rights</w:t>
      </w:r>
      <w:r w:rsidR="00424507">
        <w:t>-</w:t>
      </w:r>
      <w:r w:rsidR="00452626">
        <w:t>ba</w:t>
      </w:r>
      <w:r w:rsidR="00325D1D">
        <w:t>sed, gender-responsive services.</w:t>
      </w:r>
    </w:p>
    <w:p w:rsidR="00A377E4" w:rsidRPr="00A377E4" w:rsidRDefault="00A377E4" w:rsidP="00A377E4">
      <w:pPr>
        <w:pStyle w:val="ListParagraph"/>
        <w:ind w:left="792"/>
        <w:rPr>
          <w:b/>
        </w:rPr>
      </w:pPr>
    </w:p>
    <w:p w:rsidR="00A377E4" w:rsidRPr="00A377E4" w:rsidRDefault="006F378C" w:rsidP="004D79E3">
      <w:pPr>
        <w:pStyle w:val="ListParagraph"/>
        <w:numPr>
          <w:ilvl w:val="1"/>
          <w:numId w:val="4"/>
        </w:numPr>
        <w:rPr>
          <w:b/>
        </w:rPr>
      </w:pPr>
      <w:r>
        <w:t xml:space="preserve">Take measures to ensure that </w:t>
      </w:r>
      <w:r w:rsidR="00325D1D">
        <w:t>access</w:t>
      </w:r>
      <w:r w:rsidR="00921642">
        <w:t xml:space="preserve"> to health services</w:t>
      </w:r>
      <w:r w:rsidR="00325D1D">
        <w:t xml:space="preserve"> </w:t>
      </w:r>
      <w:r>
        <w:t>is not restricted on the basis of migration status</w:t>
      </w:r>
      <w:r w:rsidR="00921642">
        <w:t>,</w:t>
      </w:r>
      <w:r>
        <w:t xml:space="preserve"> in</w:t>
      </w:r>
      <w:r w:rsidR="00921642">
        <w:t xml:space="preserve"> particular in</w:t>
      </w:r>
      <w:r>
        <w:t xml:space="preserve"> relation to </w:t>
      </w:r>
      <w:r w:rsidR="000B72DB" w:rsidRPr="007A3999">
        <w:t>r</w:t>
      </w:r>
      <w:r w:rsidR="00341270" w:rsidRPr="007A3999">
        <w:t>eproductive and sexual health care</w:t>
      </w:r>
      <w:r w:rsidR="000B72DB" w:rsidRPr="007A3999">
        <w:t>,</w:t>
      </w:r>
      <w:r w:rsidR="00341270" w:rsidRPr="007A3999">
        <w:t xml:space="preserve"> </w:t>
      </w:r>
      <w:r w:rsidR="000B72DB" w:rsidRPr="007A3999">
        <w:t xml:space="preserve">including </w:t>
      </w:r>
      <w:r w:rsidR="00341270" w:rsidRPr="007A3999">
        <w:t>safe and effective methods of modern contraception, emergency contraception, safe and accessible abortion care, maternal health care, pre- and post-natal care, services for sexually transmitted infections, and specialised care for sexual violence survivors.</w:t>
      </w:r>
      <w:r w:rsidR="000B72DB" w:rsidRPr="007A3999">
        <w:t xml:space="preserve"> In particular</w:t>
      </w:r>
      <w:r w:rsidR="00424507" w:rsidRPr="007A3999">
        <w:t>,</w:t>
      </w:r>
      <w:r>
        <w:t xml:space="preserve"> recognis</w:t>
      </w:r>
      <w:r w:rsidR="00921642">
        <w:t>e</w:t>
      </w:r>
      <w:r>
        <w:t xml:space="preserve"> that</w:t>
      </w:r>
      <w:r w:rsidR="000B72DB" w:rsidRPr="007A3999">
        <w:t xml:space="preserve"> women with irregular migration status in countries of transit and destination </w:t>
      </w:r>
      <w:r w:rsidR="00EC3CEA" w:rsidRPr="007A3999">
        <w:t xml:space="preserve">often </w:t>
      </w:r>
      <w:r w:rsidR="000B72DB" w:rsidRPr="007A3999">
        <w:t xml:space="preserve">struggle to access these services without cost and </w:t>
      </w:r>
      <w:r w:rsidR="00F70056">
        <w:t>may</w:t>
      </w:r>
      <w:r w:rsidR="00F70056" w:rsidRPr="007A3999">
        <w:t xml:space="preserve"> </w:t>
      </w:r>
      <w:r w:rsidR="000B72DB" w:rsidRPr="007A3999">
        <w:t xml:space="preserve">face physical harm and risk </w:t>
      </w:r>
      <w:r w:rsidR="00EC3CEA" w:rsidRPr="007A3999">
        <w:t xml:space="preserve">of deportation </w:t>
      </w:r>
      <w:r w:rsidR="000B72DB" w:rsidRPr="007A3999">
        <w:t xml:space="preserve">as a direct consequence. </w:t>
      </w:r>
    </w:p>
    <w:p w:rsidR="00A377E4" w:rsidRDefault="00A377E4" w:rsidP="00A377E4">
      <w:pPr>
        <w:pStyle w:val="ListParagraph"/>
      </w:pPr>
    </w:p>
    <w:p w:rsidR="00203A01" w:rsidRPr="00203A01" w:rsidRDefault="006F378C" w:rsidP="004D79E3">
      <w:pPr>
        <w:pStyle w:val="ListParagraph"/>
        <w:numPr>
          <w:ilvl w:val="1"/>
          <w:numId w:val="4"/>
        </w:numPr>
        <w:rPr>
          <w:b/>
        </w:rPr>
      </w:pPr>
      <w:r>
        <w:t xml:space="preserve">Ensure the provision of and access to </w:t>
      </w:r>
      <w:r w:rsidR="00A377E4">
        <w:t>g</w:t>
      </w:r>
      <w:r w:rsidR="00424507" w:rsidRPr="007A3999">
        <w:t>ender-responsive and culturally-appropriate legal representation, information, and other material assistance, including interpretation services</w:t>
      </w:r>
      <w:r w:rsidR="003670BA">
        <w:t>.</w:t>
      </w:r>
      <w:r w:rsidR="00424507" w:rsidRPr="007A3999">
        <w:t xml:space="preserve"> </w:t>
      </w:r>
    </w:p>
    <w:p w:rsidR="00203A01" w:rsidRDefault="00203A01" w:rsidP="00203A01">
      <w:pPr>
        <w:pStyle w:val="ListParagraph"/>
      </w:pPr>
    </w:p>
    <w:p w:rsidR="00203A01" w:rsidRPr="00203A01" w:rsidRDefault="00507A48" w:rsidP="004D79E3">
      <w:pPr>
        <w:pStyle w:val="ListParagraph"/>
        <w:numPr>
          <w:ilvl w:val="1"/>
          <w:numId w:val="4"/>
        </w:numPr>
        <w:rPr>
          <w:b/>
        </w:rPr>
      </w:pPr>
      <w:r>
        <w:t>Develop and implement</w:t>
      </w:r>
      <w:r w:rsidR="00A377E4">
        <w:t xml:space="preserve"> service</w:t>
      </w:r>
      <w:r>
        <w:t xml:space="preserve"> intervention</w:t>
      </w:r>
      <w:r w:rsidR="00A377E4">
        <w:t xml:space="preserve">s that work specifically to integrate migrant women into the </w:t>
      </w:r>
      <w:r w:rsidR="00341270" w:rsidRPr="007A3999">
        <w:t>society</w:t>
      </w:r>
      <w:r w:rsidR="00A377E4">
        <w:t xml:space="preserve"> in countries of transit or destination</w:t>
      </w:r>
      <w:r w:rsidR="00325D1D" w:rsidRPr="007A3999">
        <w:t>,</w:t>
      </w:r>
      <w:r w:rsidR="001D4038" w:rsidRPr="007A3999">
        <w:t xml:space="preserve"> particularly in</w:t>
      </w:r>
      <w:r w:rsidR="00341270" w:rsidRPr="007A3999">
        <w:t xml:space="preserve"> the political, social, economic and cultural fields</w:t>
      </w:r>
      <w:r w:rsidR="00A377E4">
        <w:t xml:space="preserve">. </w:t>
      </w:r>
      <w:r>
        <w:t>Ensuring at all times that</w:t>
      </w:r>
      <w:r w:rsidR="00A377E4">
        <w:t xml:space="preserve"> poli</w:t>
      </w:r>
      <w:r w:rsidR="00A377E4" w:rsidRPr="007A3999">
        <w:t xml:space="preserve">cies and programmes </w:t>
      </w:r>
      <w:r>
        <w:t>are</w:t>
      </w:r>
      <w:r w:rsidR="00341270" w:rsidRPr="007A3999">
        <w:t xml:space="preserve"> respectful of the cultural identity of </w:t>
      </w:r>
      <w:r w:rsidR="00A377E4">
        <w:t>m</w:t>
      </w:r>
      <w:r w:rsidR="005F007C">
        <w:t>igrant woma</w:t>
      </w:r>
      <w:r w:rsidR="00AA6385">
        <w:t>n</w:t>
      </w:r>
      <w:r w:rsidR="00341270" w:rsidRPr="007A3999">
        <w:t xml:space="preserve"> and protective of </w:t>
      </w:r>
      <w:r w:rsidR="00A377E4">
        <w:t>their</w:t>
      </w:r>
      <w:r w:rsidR="00341270" w:rsidRPr="007A3999">
        <w:t xml:space="preserve"> human rights</w:t>
      </w:r>
      <w:r w:rsidR="000B72DB" w:rsidRPr="007A3999">
        <w:t xml:space="preserve">, </w:t>
      </w:r>
      <w:r>
        <w:t xml:space="preserve">and recognising that </w:t>
      </w:r>
      <w:r w:rsidR="00A377E4">
        <w:t xml:space="preserve">the outcomes can include greater </w:t>
      </w:r>
      <w:r w:rsidR="000B72DB" w:rsidRPr="007A3999">
        <w:t>peace and prosper</w:t>
      </w:r>
      <w:r w:rsidR="00A377E4">
        <w:t xml:space="preserve">ity </w:t>
      </w:r>
      <w:r w:rsidR="000B72DB" w:rsidRPr="007A3999">
        <w:t>for the community and country</w:t>
      </w:r>
      <w:r w:rsidR="00341270" w:rsidRPr="007A3999">
        <w:t>.</w:t>
      </w:r>
      <w:r w:rsidR="00341270" w:rsidRPr="007A3999" w:rsidDel="00F2564F">
        <w:t xml:space="preserve"> </w:t>
      </w:r>
      <w:r>
        <w:t xml:space="preserve">See </w:t>
      </w:r>
      <w:r w:rsidR="00203A01" w:rsidRPr="004D79E3">
        <w:t>Spain’s social inclusion plan</w:t>
      </w:r>
      <w:r w:rsidRPr="004D79E3">
        <w:t>, which</w:t>
      </w:r>
      <w:r w:rsidR="00203A01" w:rsidRPr="004D79E3">
        <w:t xml:space="preserve"> promotes migrant women’s social and economic inclusion, as well as provides specific employment opportunities for survivors of human trafficking and other forms of violence.</w:t>
      </w:r>
      <w:r w:rsidR="00F906BF" w:rsidRPr="004D79E3">
        <w:rPr>
          <w:rStyle w:val="FootnoteReference"/>
        </w:rPr>
        <w:footnoteReference w:id="36"/>
      </w:r>
      <w:r w:rsidR="00203A01">
        <w:t xml:space="preserve"> </w:t>
      </w:r>
    </w:p>
    <w:p w:rsidR="00A377E4" w:rsidRDefault="00A377E4" w:rsidP="00A377E4">
      <w:pPr>
        <w:pStyle w:val="ListParagraph"/>
      </w:pPr>
    </w:p>
    <w:p w:rsidR="00313306" w:rsidRDefault="002A5C4B" w:rsidP="004D79E3">
      <w:pPr>
        <w:pStyle w:val="ListParagraph"/>
        <w:numPr>
          <w:ilvl w:val="0"/>
          <w:numId w:val="4"/>
        </w:numPr>
        <w:rPr>
          <w:b/>
        </w:rPr>
      </w:pPr>
      <w:r w:rsidRPr="00313306">
        <w:rPr>
          <w:b/>
        </w:rPr>
        <w:t>Migrant w</w:t>
      </w:r>
      <w:r w:rsidR="009038FD" w:rsidRPr="00313306">
        <w:rPr>
          <w:b/>
        </w:rPr>
        <w:t>omen</w:t>
      </w:r>
      <w:r w:rsidRPr="00313306">
        <w:rPr>
          <w:b/>
        </w:rPr>
        <w:t>’s</w:t>
      </w:r>
      <w:r w:rsidR="009038FD" w:rsidRPr="00313306">
        <w:rPr>
          <w:b/>
        </w:rPr>
        <w:t xml:space="preserve"> labour rights</w:t>
      </w:r>
      <w:r w:rsidR="006E7E6D" w:rsidRPr="00313306">
        <w:rPr>
          <w:b/>
        </w:rPr>
        <w:t>,</w:t>
      </w:r>
      <w:r w:rsidR="003670DD" w:rsidRPr="00313306">
        <w:rPr>
          <w:b/>
        </w:rPr>
        <w:t xml:space="preserve"> </w:t>
      </w:r>
      <w:r w:rsidR="009038FD" w:rsidRPr="00313306">
        <w:rPr>
          <w:b/>
        </w:rPr>
        <w:t xml:space="preserve">access to decent work </w:t>
      </w:r>
      <w:r w:rsidR="006E7E6D" w:rsidRPr="00313306">
        <w:rPr>
          <w:b/>
        </w:rPr>
        <w:t>and social protection</w:t>
      </w:r>
    </w:p>
    <w:p w:rsidR="00203A01" w:rsidRPr="00203A01" w:rsidRDefault="008F4BF1" w:rsidP="004D79E3">
      <w:pPr>
        <w:pStyle w:val="ListParagraph"/>
        <w:numPr>
          <w:ilvl w:val="1"/>
          <w:numId w:val="4"/>
        </w:numPr>
        <w:rPr>
          <w:b/>
        </w:rPr>
      </w:pPr>
      <w:r>
        <w:t>Ensure that n</w:t>
      </w:r>
      <w:r w:rsidR="00424507" w:rsidRPr="00456871">
        <w:t>ational labour law</w:t>
      </w:r>
      <w:r w:rsidR="00424507">
        <w:t>s</w:t>
      </w:r>
      <w:r w:rsidR="00424507" w:rsidRPr="00456871">
        <w:t xml:space="preserve"> </w:t>
      </w:r>
      <w:r w:rsidR="004D79E3">
        <w:t>pr</w:t>
      </w:r>
      <w:r w:rsidR="00424507" w:rsidRPr="00456871">
        <w:t>ovide women migrant workers</w:t>
      </w:r>
      <w:r w:rsidR="00203A01">
        <w:t>, in particular domestic workers,</w:t>
      </w:r>
      <w:r w:rsidR="00424507" w:rsidRPr="00456871">
        <w:t xml:space="preserve"> </w:t>
      </w:r>
      <w:r>
        <w:t xml:space="preserve">with </w:t>
      </w:r>
      <w:r w:rsidR="00424507" w:rsidRPr="00456871">
        <w:t xml:space="preserve">the </w:t>
      </w:r>
      <w:r w:rsidR="00424507" w:rsidRPr="009B6FA5">
        <w:t>same rights and protection</w:t>
      </w:r>
      <w:r w:rsidR="00753370">
        <w:t>s</w:t>
      </w:r>
      <w:r w:rsidR="00424507" w:rsidRPr="00456871">
        <w:t xml:space="preserve"> that are </w:t>
      </w:r>
      <w:r w:rsidR="00424507" w:rsidRPr="00325D1D">
        <w:t>extended to all workers in the country</w:t>
      </w:r>
      <w:r w:rsidR="00753370">
        <w:t xml:space="preserve"> of destination</w:t>
      </w:r>
      <w:r w:rsidR="00424507" w:rsidRPr="00325D1D">
        <w:t xml:space="preserve">, in respect </w:t>
      </w:r>
      <w:r w:rsidR="00FA01E6">
        <w:t>to</w:t>
      </w:r>
      <w:r w:rsidR="00424507" w:rsidRPr="00325D1D">
        <w:t xml:space="preserve"> the terms and conditions of employment, including wages, rights in the workplace, health and safety, social dialogue including trade union rights, recognition of skills and qualifications, and social protection.</w:t>
      </w:r>
      <w:r w:rsidR="00424507" w:rsidRPr="00456871">
        <w:t xml:space="preserve"> </w:t>
      </w:r>
      <w:r>
        <w:t xml:space="preserve">Note that </w:t>
      </w:r>
      <w:r w:rsidRPr="00EB5497">
        <w:t>i</w:t>
      </w:r>
      <w:r w:rsidR="00203A01" w:rsidRPr="004D79E3">
        <w:t>n many countries, specific laws that aim to protect migrant domestic workers are being introduced, including in Qatar and the United Arab Emirates.</w:t>
      </w:r>
      <w:r w:rsidR="00F906BF" w:rsidRPr="004D79E3">
        <w:rPr>
          <w:rStyle w:val="FootnoteReference"/>
        </w:rPr>
        <w:footnoteReference w:id="37"/>
      </w:r>
    </w:p>
    <w:p w:rsidR="00203A01" w:rsidRPr="00203A01" w:rsidRDefault="00203A01" w:rsidP="00203A01">
      <w:pPr>
        <w:pStyle w:val="ListParagraph"/>
        <w:ind w:left="792"/>
        <w:rPr>
          <w:b/>
        </w:rPr>
      </w:pPr>
    </w:p>
    <w:p w:rsidR="00203A01" w:rsidRDefault="008F4BF1" w:rsidP="004D79E3">
      <w:pPr>
        <w:pStyle w:val="ListParagraph"/>
        <w:numPr>
          <w:ilvl w:val="1"/>
          <w:numId w:val="4"/>
        </w:numPr>
      </w:pPr>
      <w:r>
        <w:t>Recognise that g</w:t>
      </w:r>
      <w:r w:rsidR="00F134AE" w:rsidRPr="00F134AE">
        <w:t xml:space="preserve">ender-neutral and gender-discriminatory labour policies and practices limit migrant women’s </w:t>
      </w:r>
      <w:r w:rsidR="00F70056">
        <w:t xml:space="preserve">access to the </w:t>
      </w:r>
      <w:r w:rsidR="00F134AE" w:rsidRPr="00F134AE">
        <w:t xml:space="preserve">labour market in countries of transit and destination, resulting in limited opportunities to formal employment and restricted pathways for safe, orderly and regular migration. As a result, women often migrate </w:t>
      </w:r>
      <w:r w:rsidR="00F70056">
        <w:t>irregularly</w:t>
      </w:r>
      <w:r w:rsidR="00F70056" w:rsidRPr="00F134AE">
        <w:t xml:space="preserve"> </w:t>
      </w:r>
      <w:r w:rsidR="00F134AE" w:rsidRPr="00F134AE">
        <w:t xml:space="preserve">and into informal </w:t>
      </w:r>
      <w:proofErr w:type="gramStart"/>
      <w:r w:rsidR="00F134AE" w:rsidRPr="00F134AE">
        <w:t>sectors, which perpetuates</w:t>
      </w:r>
      <w:proofErr w:type="gramEnd"/>
      <w:r w:rsidR="00F134AE" w:rsidRPr="00F134AE">
        <w:t xml:space="preserve"> the unrecognized, undervalued and informal nature of women migrant workers’ labour</w:t>
      </w:r>
      <w:r w:rsidR="008F0F6D">
        <w:t>. Promote the</w:t>
      </w:r>
      <w:r w:rsidR="00EA345F">
        <w:t xml:space="preserve"> </w:t>
      </w:r>
      <w:r w:rsidR="00F134AE" w:rsidRPr="00F134AE">
        <w:t xml:space="preserve">regularization and professionalization </w:t>
      </w:r>
      <w:r w:rsidR="008F0F6D">
        <w:t>of</w:t>
      </w:r>
      <w:r w:rsidR="008F0F6D" w:rsidRPr="00F134AE">
        <w:t xml:space="preserve"> </w:t>
      </w:r>
      <w:r w:rsidR="00F134AE" w:rsidRPr="00F134AE">
        <w:t xml:space="preserve">the sectors in which </w:t>
      </w:r>
      <w:r w:rsidR="008F0F6D">
        <w:t xml:space="preserve">migrant women </w:t>
      </w:r>
      <w:r w:rsidR="00F134AE" w:rsidRPr="00F134AE">
        <w:t xml:space="preserve">are employed. </w:t>
      </w:r>
    </w:p>
    <w:p w:rsidR="00203A01" w:rsidRDefault="00203A01" w:rsidP="00203A01">
      <w:pPr>
        <w:pStyle w:val="ListParagraph"/>
      </w:pPr>
    </w:p>
    <w:p w:rsidR="005B7A11" w:rsidRDefault="008F4BF1" w:rsidP="004D79E3">
      <w:pPr>
        <w:pStyle w:val="ListParagraph"/>
        <w:numPr>
          <w:ilvl w:val="1"/>
          <w:numId w:val="4"/>
        </w:numPr>
      </w:pPr>
      <w:r>
        <w:t>Recognise that t</w:t>
      </w:r>
      <w:r w:rsidR="00203A01">
        <w:t>he interaction of gender and migration create</w:t>
      </w:r>
      <w:r>
        <w:t>s</w:t>
      </w:r>
      <w:r w:rsidR="00203A01">
        <w:t xml:space="preserve"> particular disadvantages for women migrant workers. The sectors in which migrant women work commonly support social welfare in countries of destination. Similarly, their remittances may supplement poor social protection in countries of origin. At the same time, women’s reproductive care role creates a larger need for social protection. </w:t>
      </w:r>
      <w:r>
        <w:t xml:space="preserve">Take measures to ensure that </w:t>
      </w:r>
      <w:r w:rsidR="00203A01">
        <w:t>the contributions and benefits of social protection are transferable between countries</w:t>
      </w:r>
      <w:r>
        <w:t xml:space="preserve"> and provide access to social welfare in countries of employment and destination. </w:t>
      </w:r>
      <w:r w:rsidR="00EA345F">
        <w:t xml:space="preserve"> </w:t>
      </w:r>
      <w:r w:rsidR="00EA345F" w:rsidRPr="00F134AE">
        <w:t>Good</w:t>
      </w:r>
      <w:r w:rsidR="00F134AE" w:rsidRPr="00F134AE">
        <w:t xml:space="preserve"> practice can be drawn from Sweden’s labour migration legislation, whic</w:t>
      </w:r>
      <w:r w:rsidR="00203A01">
        <w:t xml:space="preserve">h provides equal opportunities </w:t>
      </w:r>
      <w:r w:rsidR="00F134AE" w:rsidRPr="00F134AE">
        <w:t xml:space="preserve">to </w:t>
      </w:r>
      <w:r w:rsidR="005B7A11">
        <w:t xml:space="preserve">social </w:t>
      </w:r>
      <w:r w:rsidR="00203A01">
        <w:t xml:space="preserve">welfare for </w:t>
      </w:r>
      <w:r w:rsidR="00F134AE" w:rsidRPr="00F134AE">
        <w:t xml:space="preserve">migrant women in Sweden, as well as those with </w:t>
      </w:r>
      <w:r w:rsidR="00203A01" w:rsidRPr="00F134AE">
        <w:t>year</w:t>
      </w:r>
      <w:r w:rsidR="00203A01">
        <w:t>l</w:t>
      </w:r>
      <w:r w:rsidR="00203A01" w:rsidRPr="00F134AE">
        <w:t>ong</w:t>
      </w:r>
      <w:r w:rsidR="00F134AE" w:rsidRPr="00F134AE">
        <w:t xml:space="preserve"> work permits. </w:t>
      </w:r>
    </w:p>
    <w:p w:rsidR="005B7A11" w:rsidRDefault="005B7A11" w:rsidP="005B7A11">
      <w:pPr>
        <w:pStyle w:val="ListParagraph"/>
        <w:ind w:left="792"/>
      </w:pPr>
    </w:p>
    <w:p w:rsidR="005B7A11" w:rsidRDefault="0092614A" w:rsidP="004D79E3">
      <w:pPr>
        <w:pStyle w:val="ListParagraph"/>
        <w:numPr>
          <w:ilvl w:val="1"/>
          <w:numId w:val="4"/>
        </w:numPr>
      </w:pPr>
      <w:r>
        <w:t>Ensure that the u</w:t>
      </w:r>
      <w:r w:rsidR="00473446" w:rsidRPr="004176E2">
        <w:t xml:space="preserve">npaid care and domestic </w:t>
      </w:r>
      <w:r w:rsidR="00EA345F" w:rsidRPr="004176E2">
        <w:t>work</w:t>
      </w:r>
      <w:r w:rsidR="00EA345F">
        <w:t xml:space="preserve"> of</w:t>
      </w:r>
      <w:r w:rsidR="00473446" w:rsidRPr="00456871">
        <w:t xml:space="preserve"> migrant women </w:t>
      </w:r>
      <w:r w:rsidR="00473446">
        <w:t>in the global care chain</w:t>
      </w:r>
      <w:r>
        <w:t xml:space="preserve"> is recognised and valued through the provision of p</w:t>
      </w:r>
      <w:r w:rsidR="00473446" w:rsidRPr="00456871">
        <w:t>ublic services, infrastructure and social protection</w:t>
      </w:r>
      <w:r>
        <w:t xml:space="preserve"> policies</w:t>
      </w:r>
      <w:r w:rsidR="002F103C">
        <w:t>, as well as recognising</w:t>
      </w:r>
      <w:r>
        <w:t xml:space="preserve"> the contribution that human capital makes to countries of origin. </w:t>
      </w:r>
      <w:r w:rsidR="00473446" w:rsidRPr="00456871">
        <w:t xml:space="preserve"> </w:t>
      </w:r>
    </w:p>
    <w:p w:rsidR="005B7A11" w:rsidRDefault="005B7A11" w:rsidP="005B7A11">
      <w:pPr>
        <w:pStyle w:val="ListParagraph"/>
      </w:pPr>
    </w:p>
    <w:p w:rsidR="005B7A11" w:rsidRDefault="008160B2" w:rsidP="004D79E3">
      <w:pPr>
        <w:pStyle w:val="ListParagraph"/>
        <w:numPr>
          <w:ilvl w:val="1"/>
          <w:numId w:val="4"/>
        </w:numPr>
      </w:pPr>
      <w:r>
        <w:t xml:space="preserve">Ensure that </w:t>
      </w:r>
      <w:r w:rsidR="005B7A11">
        <w:t xml:space="preserve">women who decide to work abroad are able to access accurate information on </w:t>
      </w:r>
      <w:r w:rsidR="00AC1009">
        <w:t>legal channels of migration</w:t>
      </w:r>
      <w:r w:rsidR="005B7A11">
        <w:t xml:space="preserve">, </w:t>
      </w:r>
      <w:r w:rsidR="002F103C">
        <w:t>and/</w:t>
      </w:r>
      <w:r w:rsidR="005B7A11">
        <w:t xml:space="preserve">or </w:t>
      </w:r>
      <w:r w:rsidR="002F103C">
        <w:t xml:space="preserve">provide </w:t>
      </w:r>
      <w:r w:rsidR="005B7A11">
        <w:t>pre-departure orientation</w:t>
      </w:r>
      <w:r w:rsidR="002F103C">
        <w:t xml:space="preserve"> which</w:t>
      </w:r>
      <w:r w:rsidR="005B7A11">
        <w:t xml:space="preserve"> including on </w:t>
      </w:r>
      <w:r w:rsidR="00AC1009">
        <w:t xml:space="preserve">terms and conditions of </w:t>
      </w:r>
      <w:r w:rsidR="00EA345F">
        <w:t>work.</w:t>
      </w:r>
      <w:r w:rsidR="009E730E">
        <w:t xml:space="preserve"> </w:t>
      </w:r>
    </w:p>
    <w:p w:rsidR="005B7A11" w:rsidRDefault="005B7A11" w:rsidP="005B7A11">
      <w:pPr>
        <w:pStyle w:val="ListParagraph"/>
      </w:pPr>
    </w:p>
    <w:p w:rsidR="005B7A11" w:rsidRDefault="008160B2" w:rsidP="004D79E3">
      <w:pPr>
        <w:pStyle w:val="ListParagraph"/>
        <w:numPr>
          <w:ilvl w:val="1"/>
          <w:numId w:val="4"/>
        </w:numPr>
      </w:pPr>
      <w:r>
        <w:t xml:space="preserve">Note the example of </w:t>
      </w:r>
      <w:r w:rsidR="00E157DF" w:rsidRPr="00E157DF">
        <w:t xml:space="preserve">Germany, Peru, the Philippines, Singapore and the United Arab Emirates </w:t>
      </w:r>
      <w:r>
        <w:t xml:space="preserve">who </w:t>
      </w:r>
      <w:r w:rsidR="007E454E">
        <w:t xml:space="preserve">provide pre-departure trainings and information programmes to migrants </w:t>
      </w:r>
      <w:r w:rsidR="00E157DF">
        <w:t>during</w:t>
      </w:r>
      <w:r w:rsidR="00091382">
        <w:t xml:space="preserve"> recruitment</w:t>
      </w:r>
      <w:r w:rsidR="00E157DF">
        <w:t xml:space="preserve">, in particular to domestic workers. </w:t>
      </w:r>
      <w:r>
        <w:t xml:space="preserve">Also </w:t>
      </w:r>
      <w:r w:rsidR="007E454E">
        <w:t xml:space="preserve">Azerbaijan, Cambodia, Germany, Jamaica, Peru, Philippines, Singapore and the United Arab Emirates have gone further by adopting legislation that </w:t>
      </w:r>
      <w:r w:rsidR="007E454E" w:rsidRPr="0058197B">
        <w:t>governs</w:t>
      </w:r>
      <w:r w:rsidR="007E454E">
        <w:t xml:space="preserve"> recruitment processes and the contracting of migrants, as well as </w:t>
      </w:r>
      <w:r w:rsidR="00F70056">
        <w:t xml:space="preserve">enacting </w:t>
      </w:r>
      <w:r w:rsidR="007E454E">
        <w:t xml:space="preserve">regulations that </w:t>
      </w:r>
      <w:r w:rsidR="007E454E" w:rsidRPr="0058197B">
        <w:t>govern</w:t>
      </w:r>
      <w:r w:rsidR="007E454E">
        <w:t xml:space="preserve"> recruitment agencies and employers</w:t>
      </w:r>
      <w:r w:rsidR="00E157DF">
        <w:t>.</w:t>
      </w:r>
      <w:r w:rsidR="00B66F69">
        <w:rPr>
          <w:rStyle w:val="FootnoteReference"/>
        </w:rPr>
        <w:footnoteReference w:id="38"/>
      </w:r>
    </w:p>
    <w:p w:rsidR="005B7A11" w:rsidRDefault="005B7A11" w:rsidP="005B7A11">
      <w:pPr>
        <w:pStyle w:val="ListParagraph"/>
      </w:pPr>
    </w:p>
    <w:p w:rsidR="005B7A11" w:rsidRDefault="008160B2" w:rsidP="004D79E3">
      <w:pPr>
        <w:pStyle w:val="ListParagraph"/>
        <w:numPr>
          <w:ilvl w:val="1"/>
          <w:numId w:val="4"/>
        </w:numPr>
      </w:pPr>
      <w:r>
        <w:t>Take measures to implement f</w:t>
      </w:r>
      <w:r w:rsidR="009038FD" w:rsidRPr="007A3999">
        <w:t>irewalls</w:t>
      </w:r>
      <w:r w:rsidR="009038FD" w:rsidRPr="005B7A11">
        <w:rPr>
          <w:b/>
        </w:rPr>
        <w:t xml:space="preserve"> </w:t>
      </w:r>
      <w:r w:rsidR="009038FD" w:rsidRPr="009B6FA5">
        <w:t>between labour inspection services and immigration enforcement authorities</w:t>
      </w:r>
      <w:r w:rsidR="009E730E">
        <w:t xml:space="preserve"> </w:t>
      </w:r>
      <w:r w:rsidR="00EA345F">
        <w:t>to ensure</w:t>
      </w:r>
      <w:r w:rsidR="009E730E">
        <w:t xml:space="preserve"> women migrant workers have access to labour right</w:t>
      </w:r>
      <w:r w:rsidR="00424507">
        <w:t>s</w:t>
      </w:r>
      <w:r w:rsidR="009E730E">
        <w:t xml:space="preserve"> regardless of their migration status</w:t>
      </w:r>
      <w:r w:rsidR="009038FD" w:rsidRPr="009B6FA5">
        <w:t>.</w:t>
      </w:r>
    </w:p>
    <w:p w:rsidR="005B7A11" w:rsidRDefault="005B7A11" w:rsidP="005B7A11">
      <w:pPr>
        <w:pStyle w:val="ListParagraph"/>
      </w:pPr>
    </w:p>
    <w:p w:rsidR="00010A0B" w:rsidRPr="00456871" w:rsidRDefault="008160B2" w:rsidP="004D79E3">
      <w:pPr>
        <w:pStyle w:val="ListParagraph"/>
        <w:numPr>
          <w:ilvl w:val="1"/>
          <w:numId w:val="4"/>
        </w:numPr>
      </w:pPr>
      <w:r>
        <w:t>See</w:t>
      </w:r>
      <w:r w:rsidR="009B4EBB">
        <w:t xml:space="preserve"> </w:t>
      </w:r>
      <w:r>
        <w:t xml:space="preserve">the case of </w:t>
      </w:r>
      <w:r w:rsidR="009B4EBB">
        <w:t>Namibia,</w:t>
      </w:r>
      <w:r>
        <w:t xml:space="preserve"> where</w:t>
      </w:r>
      <w:r w:rsidR="009B4EBB">
        <w:t xml:space="preserve"> the state has taken steps to enhance the identification of rights violations in the employment of migrant workers by linking labour inspectorates with social workers. </w:t>
      </w:r>
      <w:r w:rsidR="009B4EBB" w:rsidRPr="00CF5F93">
        <w:t>Singapo</w:t>
      </w:r>
      <w:r w:rsidR="009B4EBB">
        <w:t>re provides migrant workers with information and support during employment disputes, and offers alternative employment to trafficked victims during the investigation.</w:t>
      </w:r>
      <w:r w:rsidR="009B4EBB">
        <w:rPr>
          <w:rStyle w:val="FootnoteReference"/>
        </w:rPr>
        <w:footnoteReference w:id="39"/>
      </w:r>
      <w:r w:rsidR="00E7243E">
        <w:t xml:space="preserve"> </w:t>
      </w:r>
      <w:r w:rsidR="00EE210E">
        <w:t>Singapore has also put forward a penalty for abuse to respond to the distinct vulnerabilities faced by migrant domestic workers.</w:t>
      </w:r>
      <w:r w:rsidR="00EE210E">
        <w:rPr>
          <w:rStyle w:val="FootnoteReference"/>
        </w:rPr>
        <w:footnoteReference w:id="40"/>
      </w:r>
      <w:r w:rsidR="00EE210E">
        <w:t xml:space="preserve"> </w:t>
      </w:r>
      <w:r w:rsidR="0072418B">
        <w:t>In</w:t>
      </w:r>
      <w:r w:rsidR="00E7243E">
        <w:t xml:space="preserve"> </w:t>
      </w:r>
      <w:r w:rsidR="00E7243E" w:rsidRPr="00D777D3">
        <w:t>Jamaica</w:t>
      </w:r>
      <w:r w:rsidR="00E7243E">
        <w:t xml:space="preserve">, </w:t>
      </w:r>
      <w:r w:rsidR="00E7243E" w:rsidRPr="00D777D3">
        <w:t>occupational safety and health legislation</w:t>
      </w:r>
      <w:r w:rsidR="00E7243E">
        <w:t xml:space="preserve"> is being drafted</w:t>
      </w:r>
      <w:r w:rsidR="00EE210E">
        <w:t>,</w:t>
      </w:r>
      <w:r w:rsidR="00E7243E" w:rsidRPr="00D777D3">
        <w:t xml:space="preserve"> </w:t>
      </w:r>
      <w:r w:rsidR="00E7243E">
        <w:t xml:space="preserve">which </w:t>
      </w:r>
      <w:r w:rsidR="00C90C87">
        <w:t>aims</w:t>
      </w:r>
      <w:r w:rsidR="00E7243E">
        <w:t xml:space="preserve"> to address</w:t>
      </w:r>
      <w:r w:rsidR="00E7243E" w:rsidRPr="00D777D3">
        <w:t xml:space="preserve"> violence and </w:t>
      </w:r>
      <w:r w:rsidR="00E7243E">
        <w:t>abuse</w:t>
      </w:r>
      <w:r w:rsidR="00E7243E" w:rsidRPr="00D777D3">
        <w:t xml:space="preserve"> </w:t>
      </w:r>
      <w:r w:rsidR="00E7243E">
        <w:t>of migrant do</w:t>
      </w:r>
      <w:r w:rsidR="00C90C87">
        <w:t>mestic workers through workplace inspections</w:t>
      </w:r>
      <w:r w:rsidR="00E7243E">
        <w:t>.</w:t>
      </w:r>
      <w:r w:rsidR="00E7243E">
        <w:rPr>
          <w:rStyle w:val="FootnoteReference"/>
        </w:rPr>
        <w:footnoteReference w:id="41"/>
      </w:r>
      <w:r w:rsidR="00E7243E">
        <w:t xml:space="preserve"> </w:t>
      </w:r>
    </w:p>
    <w:p w:rsidR="009038FD" w:rsidRPr="00456871" w:rsidRDefault="009038FD" w:rsidP="009038FD">
      <w:pPr>
        <w:pStyle w:val="ListParagraph"/>
        <w:rPr>
          <w:b/>
          <w:u w:val="single"/>
        </w:rPr>
      </w:pPr>
    </w:p>
    <w:p w:rsidR="00E56341" w:rsidRPr="00E56341" w:rsidRDefault="000875EA" w:rsidP="004D79E3">
      <w:pPr>
        <w:pStyle w:val="ListParagraph"/>
        <w:numPr>
          <w:ilvl w:val="0"/>
          <w:numId w:val="4"/>
        </w:numPr>
      </w:pPr>
      <w:r w:rsidRPr="005B7A11">
        <w:rPr>
          <w:b/>
        </w:rPr>
        <w:t>W</w:t>
      </w:r>
      <w:r w:rsidR="009038FD" w:rsidRPr="005B7A11">
        <w:rPr>
          <w:b/>
        </w:rPr>
        <w:t>omen’s human rights throughout the migration process (including at borders, in detention, residency status rights, and return and repatriation)</w:t>
      </w:r>
    </w:p>
    <w:p w:rsidR="00E56341" w:rsidRPr="00E56341" w:rsidRDefault="003E73B4" w:rsidP="004D79E3">
      <w:pPr>
        <w:pStyle w:val="ListParagraph"/>
        <w:numPr>
          <w:ilvl w:val="1"/>
          <w:numId w:val="4"/>
        </w:numPr>
      </w:pPr>
      <w:r w:rsidRPr="003E73B4">
        <w:t xml:space="preserve">. </w:t>
      </w:r>
      <w:r w:rsidR="008160B2">
        <w:t>Provide t</w:t>
      </w:r>
      <w:r w:rsidRPr="003E73B4">
        <w:t xml:space="preserve">raining </w:t>
      </w:r>
      <w:r w:rsidR="008160B2">
        <w:t xml:space="preserve">to </w:t>
      </w:r>
      <w:r w:rsidR="003610C4">
        <w:t>public and private actors</w:t>
      </w:r>
      <w:r w:rsidRPr="003E73B4">
        <w:t xml:space="preserve"> </w:t>
      </w:r>
      <w:r w:rsidR="008160B2">
        <w:t xml:space="preserve">including </w:t>
      </w:r>
      <w:r w:rsidR="008160B2" w:rsidRPr="003E73B4">
        <w:t>relevant public and private recruitment agencies</w:t>
      </w:r>
      <w:r w:rsidR="008160B2">
        <w:t>,</w:t>
      </w:r>
      <w:r w:rsidR="008160B2" w:rsidRPr="003E73B4">
        <w:t xml:space="preserve"> employers and relevant state employees, such as criminal justice officers, border police, immigration authorities, border police and social service and health-care providers, consulates or embassies</w:t>
      </w:r>
      <w:r w:rsidR="008160B2">
        <w:t xml:space="preserve">, </w:t>
      </w:r>
      <w:r w:rsidRPr="003E73B4">
        <w:t xml:space="preserve">on the gendered nature of rights abuses </w:t>
      </w:r>
      <w:r w:rsidR="008160B2">
        <w:t xml:space="preserve">and </w:t>
      </w:r>
      <w:r w:rsidR="00470E48">
        <w:t xml:space="preserve">adequately </w:t>
      </w:r>
      <w:r w:rsidRPr="003E73B4">
        <w:t>equip public service staff to identify and address the distinct needs of women migrants in order to ensure the fulfilment of their human rights</w:t>
      </w:r>
      <w:r w:rsidR="002C0BCE">
        <w:t xml:space="preserve"> across all stages of migration</w:t>
      </w:r>
      <w:r w:rsidRPr="003E73B4">
        <w:t>.</w:t>
      </w:r>
      <w:r w:rsidR="00E56341">
        <w:t xml:space="preserve"> </w:t>
      </w:r>
    </w:p>
    <w:p w:rsidR="00E56341" w:rsidRPr="00E56341" w:rsidRDefault="00E56341" w:rsidP="00E56341">
      <w:pPr>
        <w:pStyle w:val="ListParagraph"/>
        <w:ind w:left="792"/>
        <w:rPr>
          <w:vertAlign w:val="superscript"/>
        </w:rPr>
      </w:pPr>
    </w:p>
    <w:p w:rsidR="00E56341" w:rsidRPr="00E56341" w:rsidRDefault="008160B2" w:rsidP="004D79E3">
      <w:pPr>
        <w:pStyle w:val="ListParagraph"/>
        <w:numPr>
          <w:ilvl w:val="1"/>
          <w:numId w:val="4"/>
        </w:numPr>
        <w:rPr>
          <w:vertAlign w:val="superscript"/>
        </w:rPr>
      </w:pPr>
      <w:r>
        <w:t xml:space="preserve">Ensure </w:t>
      </w:r>
      <w:r w:rsidR="00B63B4C" w:rsidRPr="00325D1D">
        <w:t>safe, culturally-appropriate and gender-responsive</w:t>
      </w:r>
      <w:r w:rsidR="00E56341">
        <w:t xml:space="preserve"> spaces and processes at</w:t>
      </w:r>
      <w:r w:rsidR="00B63B4C" w:rsidRPr="00325D1D">
        <w:t xml:space="preserve"> borders</w:t>
      </w:r>
      <w:r w:rsidR="00E56341">
        <w:t xml:space="preserve"> </w:t>
      </w:r>
      <w:r>
        <w:t>including the</w:t>
      </w:r>
      <w:r w:rsidR="00B63B4C">
        <w:t xml:space="preserve"> provision of </w:t>
      </w:r>
      <w:r w:rsidR="00424507" w:rsidRPr="00456871">
        <w:t>childcare</w:t>
      </w:r>
      <w:r w:rsidR="00424507">
        <w:t xml:space="preserve"> and </w:t>
      </w:r>
      <w:r w:rsidR="00B63B4C">
        <w:t>trained</w:t>
      </w:r>
      <w:r w:rsidR="009038FD" w:rsidRPr="00456871">
        <w:t xml:space="preserve"> caseworkers, interviewers and independent interpreters of both sex</w:t>
      </w:r>
      <w:r w:rsidR="00B63B4C">
        <w:t xml:space="preserve">es. </w:t>
      </w:r>
    </w:p>
    <w:p w:rsidR="00E56341" w:rsidRDefault="00E56341" w:rsidP="00E56341">
      <w:pPr>
        <w:pStyle w:val="ListParagraph"/>
      </w:pPr>
    </w:p>
    <w:p w:rsidR="00EA6EDD" w:rsidRPr="00EA6EDD" w:rsidRDefault="00470E48" w:rsidP="004D79E3">
      <w:pPr>
        <w:pStyle w:val="ListParagraph"/>
        <w:numPr>
          <w:ilvl w:val="1"/>
          <w:numId w:val="4"/>
        </w:numPr>
        <w:rPr>
          <w:vertAlign w:val="superscript"/>
        </w:rPr>
      </w:pPr>
      <w:r>
        <w:t>Review, reform and eliminate l</w:t>
      </w:r>
      <w:r w:rsidR="00026C60">
        <w:t>aws</w:t>
      </w:r>
      <w:r w:rsidR="009038FD" w:rsidRPr="00456871">
        <w:t xml:space="preserve">, regulations, </w:t>
      </w:r>
      <w:r w:rsidR="00026C60">
        <w:t>and</w:t>
      </w:r>
      <w:r w:rsidR="009038FD" w:rsidRPr="00456871">
        <w:t xml:space="preserve"> policies </w:t>
      </w:r>
      <w:r w:rsidR="000875F5">
        <w:t xml:space="preserve">that </w:t>
      </w:r>
      <w:r w:rsidR="00744FE9">
        <w:t>result in the</w:t>
      </w:r>
      <w:r w:rsidR="009038FD" w:rsidRPr="00456871">
        <w:t xml:space="preserve"> </w:t>
      </w:r>
      <w:r w:rsidR="009038FD" w:rsidRPr="004176E2">
        <w:t xml:space="preserve">disproportionate detention of women </w:t>
      </w:r>
      <w:r w:rsidR="00EA345F" w:rsidRPr="004176E2">
        <w:t>migrants</w:t>
      </w:r>
      <w:r w:rsidR="00EA345F">
        <w:t>.</w:t>
      </w:r>
      <w:r w:rsidR="00744FE9" w:rsidRPr="00744FE9">
        <w:t xml:space="preserve"> </w:t>
      </w:r>
      <w:r>
        <w:t>Adopt measures</w:t>
      </w:r>
      <w:r w:rsidR="000875F5">
        <w:t xml:space="preserve"> to ensure that, w</w:t>
      </w:r>
      <w:r w:rsidR="00744FE9">
        <w:t xml:space="preserve">hile in detention, women migrants </w:t>
      </w:r>
      <w:r w:rsidR="000875F5">
        <w:t xml:space="preserve">do </w:t>
      </w:r>
      <w:r w:rsidR="00EA345F">
        <w:t>not suffer</w:t>
      </w:r>
      <w:r w:rsidR="00744FE9">
        <w:t xml:space="preserve"> </w:t>
      </w:r>
      <w:r w:rsidR="00744FE9" w:rsidRPr="004176E2">
        <w:t xml:space="preserve">discrimination </w:t>
      </w:r>
      <w:r w:rsidR="00CD580F">
        <w:t>or</w:t>
      </w:r>
      <w:r w:rsidR="00744FE9" w:rsidRPr="004176E2">
        <w:t xml:space="preserve"> gender-based violence</w:t>
      </w:r>
      <w:r w:rsidR="00744FE9">
        <w:t xml:space="preserve">. </w:t>
      </w:r>
      <w:r>
        <w:t xml:space="preserve">Commit to ending the detention </w:t>
      </w:r>
      <w:r w:rsidR="00EA345F">
        <w:t>of migrants</w:t>
      </w:r>
      <w:r w:rsidR="000875F5">
        <w:t xml:space="preserve"> with </w:t>
      </w:r>
      <w:r w:rsidR="000875F5" w:rsidRPr="004D79E3">
        <w:t>special protection needs</w:t>
      </w:r>
      <w:r>
        <w:rPr>
          <w:b/>
        </w:rPr>
        <w:t>,</w:t>
      </w:r>
      <w:r w:rsidR="000875F5">
        <w:t xml:space="preserve"> including but not limited to pregnant or nursing women, children, survivors of sexual and gender-based violence and trafficked persons</w:t>
      </w:r>
      <w:r>
        <w:t>.</w:t>
      </w:r>
    </w:p>
    <w:p w:rsidR="00EA6EDD" w:rsidRDefault="00EA6EDD" w:rsidP="00EA6EDD">
      <w:pPr>
        <w:pStyle w:val="ListParagraph"/>
      </w:pPr>
    </w:p>
    <w:p w:rsidR="00EA6EDD" w:rsidRPr="00EA6EDD" w:rsidRDefault="00EA6EDD" w:rsidP="004D79E3">
      <w:pPr>
        <w:pStyle w:val="ListParagraph"/>
        <w:numPr>
          <w:ilvl w:val="1"/>
          <w:numId w:val="4"/>
        </w:numPr>
        <w:rPr>
          <w:vertAlign w:val="superscript"/>
        </w:rPr>
      </w:pPr>
      <w:r>
        <w:t xml:space="preserve">Ensure </w:t>
      </w:r>
      <w:r w:rsidRPr="00EA6EDD">
        <w:t xml:space="preserve">that </w:t>
      </w:r>
      <w:r w:rsidR="004D79E3">
        <w:t>i</w:t>
      </w:r>
      <w:r w:rsidRPr="00EA6EDD">
        <w:t>ndependent residency status for women</w:t>
      </w:r>
      <w:r>
        <w:t xml:space="preserve"> is secured, in particular to allow for the legal stay of wom</w:t>
      </w:r>
      <w:r w:rsidR="00FD4BCE">
        <w:t>e</w:t>
      </w:r>
      <w:r>
        <w:t xml:space="preserve">n who flee </w:t>
      </w:r>
      <w:r w:rsidR="00FD4BCE">
        <w:t xml:space="preserve">from an </w:t>
      </w:r>
      <w:r>
        <w:t>abusive employer or spouse</w:t>
      </w:r>
      <w:r w:rsidR="00FD4BCE">
        <w:t>,</w:t>
      </w:r>
      <w:r>
        <w:t xml:space="preserve"> or</w:t>
      </w:r>
      <w:r w:rsidR="00FD4BCE">
        <w:t xml:space="preserve"> who</w:t>
      </w:r>
      <w:r>
        <w:t xml:space="preserve"> </w:t>
      </w:r>
      <w:r w:rsidR="007B7998">
        <w:t>are</w:t>
      </w:r>
      <w:r>
        <w:t xml:space="preserve"> fired for complaining about abuse. Ensuring that the immigration status of migrant women workers, in particular domestic workers, is not conditional on the sponsorship or guardianship of a specific employer, since any such arrangement may unduly restrict the liberty of movement of migrant domestic workers and increases their vulnerability to exploitation and abuse, including in conditions of forced labour or servitude.</w:t>
      </w:r>
    </w:p>
    <w:p w:rsidR="00EA6EDD" w:rsidRPr="00EA6EDD" w:rsidRDefault="00EA6EDD" w:rsidP="00EA6EDD">
      <w:pPr>
        <w:pStyle w:val="ListParagraph"/>
        <w:ind w:left="792"/>
        <w:rPr>
          <w:vertAlign w:val="superscript"/>
        </w:rPr>
      </w:pPr>
    </w:p>
    <w:p w:rsidR="00EA6EDD" w:rsidRPr="00EA6EDD" w:rsidRDefault="00EA6EDD" w:rsidP="004D79E3">
      <w:pPr>
        <w:pStyle w:val="ListParagraph"/>
        <w:numPr>
          <w:ilvl w:val="1"/>
          <w:numId w:val="4"/>
        </w:numPr>
        <w:rPr>
          <w:vertAlign w:val="superscript"/>
        </w:rPr>
      </w:pPr>
      <w:r w:rsidRPr="00EA6EDD">
        <w:t>Ensure equal and independent access to travel documents</w:t>
      </w:r>
      <w:r w:rsidRPr="00EA6EDD">
        <w:rPr>
          <w:b/>
        </w:rPr>
        <w:t xml:space="preserve"> </w:t>
      </w:r>
      <w:r>
        <w:t xml:space="preserve">for </w:t>
      </w:r>
      <w:r w:rsidR="006963E6">
        <w:t xml:space="preserve">migrant </w:t>
      </w:r>
      <w:r>
        <w:t>women</w:t>
      </w:r>
      <w:r w:rsidR="006963E6">
        <w:t xml:space="preserve">, </w:t>
      </w:r>
      <w:r w:rsidR="00EA345F">
        <w:t>and protect</w:t>
      </w:r>
      <w:r w:rsidR="002D5CA1">
        <w:t xml:space="preserve"> against the confiscation and destruction of identify documents by </w:t>
      </w:r>
      <w:r>
        <w:t>employers and recruiters</w:t>
      </w:r>
      <w:r w:rsidR="002D5CA1">
        <w:t>.</w:t>
      </w:r>
    </w:p>
    <w:p w:rsidR="00EA6EDD" w:rsidRDefault="00EA6EDD" w:rsidP="00EA6EDD">
      <w:pPr>
        <w:pStyle w:val="ListParagraph"/>
      </w:pPr>
    </w:p>
    <w:p w:rsidR="00EA6EDD" w:rsidRPr="00EA345F" w:rsidRDefault="00EA6EDD" w:rsidP="00EA345F">
      <w:pPr>
        <w:pStyle w:val="ListParagraph"/>
        <w:numPr>
          <w:ilvl w:val="1"/>
          <w:numId w:val="4"/>
        </w:numPr>
        <w:rPr>
          <w:vertAlign w:val="superscript"/>
        </w:rPr>
      </w:pPr>
      <w:r>
        <w:t xml:space="preserve">Recognise the importance of family reunification schemes for migrants that are not directly or </w:t>
      </w:r>
      <w:r w:rsidRPr="00EA6EDD">
        <w:t>indirectly discriminatory on the basis of sex</w:t>
      </w:r>
      <w:r>
        <w:t xml:space="preserve">. </w:t>
      </w:r>
      <w:r w:rsidR="00B411E5">
        <w:t>F</w:t>
      </w:r>
      <w:r>
        <w:t>acilitate the reunification of migrants with their spouses or persons who, according to applicable law,</w:t>
      </w:r>
      <w:r w:rsidR="00B411E5">
        <w:t xml:space="preserve"> have a relationship with the migrant worker that</w:t>
      </w:r>
      <w:r>
        <w:t xml:space="preserve"> produces effects equivalent to marriage, as well as with their minor dependent unmarried children.</w:t>
      </w:r>
      <w:r w:rsidR="00B411E5">
        <w:t xml:space="preserve"> </w:t>
      </w:r>
    </w:p>
    <w:p w:rsidR="00E56341" w:rsidRDefault="00E56341" w:rsidP="00E56341">
      <w:pPr>
        <w:pStyle w:val="ListParagraph"/>
      </w:pPr>
    </w:p>
    <w:p w:rsidR="006A3F80" w:rsidRPr="00715B19" w:rsidRDefault="007F6349" w:rsidP="004D79E3">
      <w:pPr>
        <w:pStyle w:val="ListParagraph"/>
        <w:numPr>
          <w:ilvl w:val="1"/>
          <w:numId w:val="4"/>
        </w:numPr>
        <w:rPr>
          <w:vertAlign w:val="superscript"/>
        </w:rPr>
      </w:pPr>
      <w:r>
        <w:t xml:space="preserve">Ensure that </w:t>
      </w:r>
      <w:r w:rsidR="00D22811">
        <w:t>return</w:t>
      </w:r>
      <w:r w:rsidR="00026C60">
        <w:t xml:space="preserve"> to countries of origin is </w:t>
      </w:r>
      <w:r w:rsidR="009038FD" w:rsidRPr="004176E2">
        <w:t>free of coercion and abuse</w:t>
      </w:r>
      <w:r w:rsidR="005F61CE">
        <w:t>,</w:t>
      </w:r>
      <w:r w:rsidR="006E1F83">
        <w:t xml:space="preserve"> and</w:t>
      </w:r>
      <w:r w:rsidR="005F61CE">
        <w:t xml:space="preserve"> is</w:t>
      </w:r>
      <w:r w:rsidR="006E1F83">
        <w:t xml:space="preserve"> </w:t>
      </w:r>
      <w:r>
        <w:t xml:space="preserve">not </w:t>
      </w:r>
      <w:r w:rsidR="006E1F83">
        <w:t xml:space="preserve">based on an actual or </w:t>
      </w:r>
      <w:r w:rsidR="001F222E">
        <w:t>assumed</w:t>
      </w:r>
      <w:r w:rsidR="006E1F83">
        <w:t xml:space="preserve"> involuntary family separation, indefinite detention or detention in inadequate conditions</w:t>
      </w:r>
      <w:r w:rsidR="009038FD" w:rsidRPr="00456871">
        <w:t xml:space="preserve">. </w:t>
      </w:r>
      <w:r>
        <w:t>Provide c</w:t>
      </w:r>
      <w:r w:rsidR="009038FD" w:rsidRPr="00456871">
        <w:t>omprehensive socio-economic, psychological and legal services</w:t>
      </w:r>
      <w:r w:rsidR="001F222E">
        <w:t xml:space="preserve">, </w:t>
      </w:r>
      <w:r w:rsidR="001F222E" w:rsidRPr="00456871">
        <w:t xml:space="preserve">aimed at </w:t>
      </w:r>
      <w:r w:rsidR="001F222E" w:rsidRPr="004176E2">
        <w:t>facilitating</w:t>
      </w:r>
      <w:r w:rsidR="001F222E">
        <w:t xml:space="preserve"> the rights of returning women and their</w:t>
      </w:r>
      <w:r w:rsidR="001F222E" w:rsidRPr="004176E2">
        <w:t xml:space="preserve"> reintegration</w:t>
      </w:r>
      <w:r w:rsidR="001F222E">
        <w:t>,</w:t>
      </w:r>
      <w:r w:rsidR="006E1F83">
        <w:t xml:space="preserve"> </w:t>
      </w:r>
      <w:r w:rsidR="001F222E">
        <w:t>as well as</w:t>
      </w:r>
      <w:r w:rsidR="006E1F83">
        <w:t xml:space="preserve"> complaints/reporting mechanisms that protect women against </w:t>
      </w:r>
      <w:r w:rsidR="00DB75D1">
        <w:t>reprisals</w:t>
      </w:r>
      <w:r w:rsidR="001F222E">
        <w:t xml:space="preserve">, </w:t>
      </w:r>
      <w:r w:rsidR="00026C60">
        <w:t>identify and address coercion and abuse</w:t>
      </w:r>
      <w:r w:rsidR="005F61CE">
        <w:t xml:space="preserve">, and ensure </w:t>
      </w:r>
      <w:r w:rsidR="00026C60">
        <w:t>safe and sustainable reintegration</w:t>
      </w:r>
      <w:r w:rsidR="009038FD" w:rsidRPr="00456871">
        <w:t>.</w:t>
      </w:r>
    </w:p>
    <w:p w:rsidR="00715B19" w:rsidRPr="00715B19" w:rsidRDefault="00715B19" w:rsidP="00715B19">
      <w:pPr>
        <w:pStyle w:val="ListParagraph"/>
        <w:rPr>
          <w:vertAlign w:val="superscript"/>
        </w:rPr>
      </w:pPr>
    </w:p>
    <w:p w:rsidR="00715B19" w:rsidRPr="00715B19" w:rsidRDefault="007F6349" w:rsidP="004D79E3">
      <w:pPr>
        <w:pStyle w:val="ListParagraph"/>
        <w:numPr>
          <w:ilvl w:val="1"/>
          <w:numId w:val="4"/>
        </w:numPr>
      </w:pPr>
      <w:r>
        <w:t xml:space="preserve">Establish comprehensive gender based violence prevention and response strategies and services that are universally applicable and accessible notwithstanding migration status.  </w:t>
      </w:r>
    </w:p>
    <w:p w:rsidR="009038FD" w:rsidRPr="004176E2" w:rsidRDefault="009038FD" w:rsidP="004176E2">
      <w:pPr>
        <w:pStyle w:val="ListParagraph"/>
        <w:ind w:left="360"/>
      </w:pPr>
    </w:p>
    <w:p w:rsidR="00E56341" w:rsidRPr="00E56341" w:rsidRDefault="009038FD" w:rsidP="004D79E3">
      <w:pPr>
        <w:pStyle w:val="ListParagraph"/>
        <w:numPr>
          <w:ilvl w:val="0"/>
          <w:numId w:val="4"/>
        </w:numPr>
      </w:pPr>
      <w:r w:rsidRPr="00E56341">
        <w:rPr>
          <w:b/>
        </w:rPr>
        <w:t>Improving migrant women’s access to empowering, safe, orderly and regular migration pathways</w:t>
      </w:r>
    </w:p>
    <w:p w:rsidR="00E56341" w:rsidRDefault="0011450D" w:rsidP="0011450D">
      <w:pPr>
        <w:pStyle w:val="ListParagraph"/>
        <w:numPr>
          <w:ilvl w:val="1"/>
          <w:numId w:val="4"/>
        </w:numPr>
      </w:pPr>
      <w:r>
        <w:t xml:space="preserve">Undertake gender analysis in the development of policies and programmes in order to address </w:t>
      </w:r>
      <w:r w:rsidR="006A3F80">
        <w:t>the gendered drivers of migration</w:t>
      </w:r>
      <w:r>
        <w:t xml:space="preserve">, including in measures to achieve </w:t>
      </w:r>
      <w:r w:rsidR="006A3F80">
        <w:t xml:space="preserve">policy coherence in migration </w:t>
      </w:r>
      <w:r w:rsidR="00EC3F8F">
        <w:t xml:space="preserve">and other relevant </w:t>
      </w:r>
      <w:r w:rsidR="006A3F80">
        <w:t>policies. For example, g</w:t>
      </w:r>
      <w:r w:rsidR="006A3F80" w:rsidRPr="006A3F80">
        <w:t xml:space="preserve">ender-based discrimination and gender inequality are drivers of migration as well as risk factors that increase the vulnerability of women and girls to trafficking. Moreover, the vulnerability of women and girl migrants to trafficking increases during conflicts and disasters. </w:t>
      </w:r>
      <w:r>
        <w:t>Gender must be mainstreamed</w:t>
      </w:r>
      <w:r w:rsidR="006A3F80" w:rsidRPr="006A3F80">
        <w:t xml:space="preserve"> </w:t>
      </w:r>
      <w:r w:rsidR="001F222E">
        <w:t>in</w:t>
      </w:r>
      <w:r w:rsidR="001F222E" w:rsidRPr="006A3F80">
        <w:t xml:space="preserve"> </w:t>
      </w:r>
      <w:r w:rsidR="006A3F80" w:rsidRPr="006A3F80">
        <w:t>initiatives designed to respond to movements of people as a result of disasters and conflicts, as well as</w:t>
      </w:r>
      <w:r>
        <w:t xml:space="preserve"> in</w:t>
      </w:r>
      <w:r w:rsidR="006A3F80" w:rsidRPr="006A3F80">
        <w:t xml:space="preserve"> anti-trafficking measures in disaster risk management plans and recovery/post-conflict strategy</w:t>
      </w:r>
      <w:r w:rsidR="001F222E">
        <w:t xml:space="preserve">, </w:t>
      </w:r>
      <w:r>
        <w:t>with the aim of</w:t>
      </w:r>
      <w:r w:rsidR="001F222E" w:rsidRPr="006A3F80">
        <w:t xml:space="preserve"> prevent</w:t>
      </w:r>
      <w:r>
        <w:t>ing</w:t>
      </w:r>
      <w:r w:rsidR="001F222E" w:rsidRPr="006A3F80">
        <w:t xml:space="preserve"> trafficking</w:t>
      </w:r>
      <w:r w:rsidR="001F222E">
        <w:t>.</w:t>
      </w:r>
    </w:p>
    <w:p w:rsidR="00E56341" w:rsidRDefault="00E56341" w:rsidP="00E56341">
      <w:pPr>
        <w:pStyle w:val="ListParagraph"/>
        <w:ind w:left="792"/>
      </w:pPr>
    </w:p>
    <w:p w:rsidR="00557D01" w:rsidRDefault="0011450D" w:rsidP="0011450D">
      <w:pPr>
        <w:pStyle w:val="ListParagraph"/>
        <w:numPr>
          <w:ilvl w:val="1"/>
          <w:numId w:val="4"/>
        </w:numPr>
      </w:pPr>
      <w:r>
        <w:t xml:space="preserve">Take necessary measures to counter the challenges faced by women in </w:t>
      </w:r>
      <w:r w:rsidR="00557D01">
        <w:t xml:space="preserve">accessing formal remittance transfer systems. </w:t>
      </w:r>
      <w:r>
        <w:t>Ensure that a</w:t>
      </w:r>
      <w:r w:rsidR="00557D01">
        <w:t xml:space="preserve">ccess </w:t>
      </w:r>
      <w:r>
        <w:t xml:space="preserve">is not </w:t>
      </w:r>
      <w:r w:rsidR="00EA345F">
        <w:t>limited on</w:t>
      </w:r>
      <w:r>
        <w:t xml:space="preserve"> the basis of </w:t>
      </w:r>
      <w:r w:rsidR="00557D01">
        <w:t xml:space="preserve">irregular migration status, informal employment status, or </w:t>
      </w:r>
      <w:r>
        <w:t xml:space="preserve">due to </w:t>
      </w:r>
      <w:r w:rsidR="00557D01">
        <w:t>poor financial literacy. Incorporat</w:t>
      </w:r>
      <w:r>
        <w:t xml:space="preserve">e </w:t>
      </w:r>
      <w:r w:rsidR="00557D01">
        <w:t>a</w:t>
      </w:r>
      <w:r w:rsidR="00EC3F8F">
        <w:t xml:space="preserve"> gender perspective </w:t>
      </w:r>
      <w:r w:rsidR="002736BC">
        <w:t>in</w:t>
      </w:r>
      <w:r w:rsidR="002736BC" w:rsidRPr="00EC3F8F">
        <w:t xml:space="preserve"> </w:t>
      </w:r>
      <w:r w:rsidR="00EC3F8F" w:rsidRPr="00EC3F8F">
        <w:t>financial inclusion policies and strategies in the context of new remittance platforms</w:t>
      </w:r>
      <w:r w:rsidR="00557D01">
        <w:t xml:space="preserve"> </w:t>
      </w:r>
      <w:r>
        <w:t>in order to</w:t>
      </w:r>
      <w:r w:rsidR="00557D01">
        <w:t xml:space="preserve"> address these challenges</w:t>
      </w:r>
      <w:r w:rsidR="00EC3F8F" w:rsidRPr="00EC3F8F">
        <w:t xml:space="preserve">. </w:t>
      </w:r>
    </w:p>
    <w:p w:rsidR="00557D01" w:rsidRDefault="00557D01" w:rsidP="00557D01">
      <w:pPr>
        <w:pStyle w:val="ListParagraph"/>
      </w:pPr>
    </w:p>
    <w:p w:rsidR="00557D01" w:rsidRDefault="0011450D" w:rsidP="0011450D">
      <w:pPr>
        <w:pStyle w:val="ListParagraph"/>
        <w:numPr>
          <w:ilvl w:val="1"/>
          <w:numId w:val="4"/>
        </w:numPr>
      </w:pPr>
      <w:r>
        <w:t>Develop and implement b</w:t>
      </w:r>
      <w:r w:rsidR="009038FD" w:rsidRPr="00325D1D">
        <w:t xml:space="preserve">ilateral </w:t>
      </w:r>
      <w:r w:rsidR="00DB5F58" w:rsidRPr="00325D1D">
        <w:t>and</w:t>
      </w:r>
      <w:r w:rsidR="009038FD" w:rsidRPr="00325D1D">
        <w:t xml:space="preserve"> regional agreements or memorandums of understanding </w:t>
      </w:r>
      <w:r>
        <w:t>that are adequately equipped to promote the full protection of the rights of women migrants</w:t>
      </w:r>
      <w:r w:rsidR="009038FD" w:rsidRPr="00325D1D">
        <w:t xml:space="preserve"> throughout the migration cycle. </w:t>
      </w:r>
      <w:r>
        <w:t xml:space="preserve">Promote </w:t>
      </w:r>
      <w:r w:rsidR="00DB5F58" w:rsidRPr="00325D1D">
        <w:t>greater cooperation and sharing of information and best practices</w:t>
      </w:r>
      <w:r>
        <w:t xml:space="preserve"> amongst</w:t>
      </w:r>
      <w:r w:rsidR="00DB5F58" w:rsidRPr="00325D1D">
        <w:t xml:space="preserve"> </w:t>
      </w:r>
      <w:r w:rsidR="002736BC">
        <w:t>S</w:t>
      </w:r>
      <w:r w:rsidR="00DB5F58" w:rsidRPr="00325D1D">
        <w:t>tates</w:t>
      </w:r>
      <w:r>
        <w:t xml:space="preserve">, including in the </w:t>
      </w:r>
      <w:r w:rsidR="00DB5F58" w:rsidRPr="00325D1D">
        <w:t>identif</w:t>
      </w:r>
      <w:r>
        <w:t xml:space="preserve">ication of </w:t>
      </w:r>
      <w:r w:rsidR="00DB5F58" w:rsidRPr="00325D1D">
        <w:t>perpetrators of violations</w:t>
      </w:r>
      <w:r>
        <w:t xml:space="preserve">, </w:t>
      </w:r>
      <w:r w:rsidR="00DB5F58" w:rsidRPr="00325D1D">
        <w:t>abuse and exploitation.</w:t>
      </w:r>
    </w:p>
    <w:p w:rsidR="00557D01" w:rsidRDefault="00557D01" w:rsidP="00557D01">
      <w:pPr>
        <w:pStyle w:val="ListParagraph"/>
      </w:pPr>
    </w:p>
    <w:p w:rsidR="004323BC" w:rsidRDefault="004D79E3" w:rsidP="0011450D">
      <w:pPr>
        <w:pStyle w:val="ListParagraph"/>
        <w:numPr>
          <w:ilvl w:val="1"/>
          <w:numId w:val="4"/>
        </w:numPr>
      </w:pPr>
      <w:r>
        <w:t>Address</w:t>
      </w:r>
      <w:r w:rsidR="0011450D">
        <w:t xml:space="preserve"> </w:t>
      </w:r>
      <w:r w:rsidR="004323BC">
        <w:t xml:space="preserve">xenophobic and </w:t>
      </w:r>
      <w:r w:rsidR="00557D01">
        <w:t xml:space="preserve">racist discourse and actions </w:t>
      </w:r>
      <w:r w:rsidR="0011450D">
        <w:t xml:space="preserve">against migrants </w:t>
      </w:r>
      <w:r>
        <w:t>as they</w:t>
      </w:r>
      <w:r w:rsidR="0011450D">
        <w:t xml:space="preserve"> </w:t>
      </w:r>
      <w:r w:rsidR="00557D01">
        <w:t xml:space="preserve">have </w:t>
      </w:r>
      <w:r w:rsidR="004323BC">
        <w:t>far reaching effects for safe, orderly and regular migration</w:t>
      </w:r>
      <w:r w:rsidR="0011450D">
        <w:t>. Actively combat challenges resulting from discrimination against migrants, including those which</w:t>
      </w:r>
      <w:r w:rsidR="004323BC">
        <w:t xml:space="preserve"> lead to challenges for policy makers, </w:t>
      </w:r>
      <w:r w:rsidR="0011450D">
        <w:t xml:space="preserve">that create </w:t>
      </w:r>
      <w:r w:rsidR="004323BC">
        <w:t xml:space="preserve">barriers </w:t>
      </w:r>
      <w:r w:rsidR="002736BC">
        <w:t xml:space="preserve">to inclusion </w:t>
      </w:r>
      <w:r w:rsidR="004323BC">
        <w:t xml:space="preserve">of migrants in transit and in </w:t>
      </w:r>
      <w:r w:rsidR="0011450D">
        <w:t xml:space="preserve">destination </w:t>
      </w:r>
      <w:r w:rsidR="004323BC">
        <w:t xml:space="preserve">countries, </w:t>
      </w:r>
      <w:r w:rsidR="002736BC">
        <w:t>and</w:t>
      </w:r>
      <w:r w:rsidR="004323BC">
        <w:t xml:space="preserve"> </w:t>
      </w:r>
      <w:r w:rsidR="0011450D">
        <w:t xml:space="preserve">those which </w:t>
      </w:r>
      <w:r w:rsidR="004323BC">
        <w:t>hinder</w:t>
      </w:r>
      <w:r w:rsidR="0011450D">
        <w:t xml:space="preserve"> </w:t>
      </w:r>
      <w:r w:rsidR="004D101A">
        <w:t xml:space="preserve">the ability of </w:t>
      </w:r>
      <w:r w:rsidR="002736BC">
        <w:t>migrant</w:t>
      </w:r>
      <w:r w:rsidR="004D101A">
        <w:t>s</w:t>
      </w:r>
      <w:r w:rsidR="002736BC">
        <w:t xml:space="preserve"> </w:t>
      </w:r>
      <w:r w:rsidR="004D101A">
        <w:t xml:space="preserve">to </w:t>
      </w:r>
      <w:r w:rsidR="004323BC">
        <w:t>contribut</w:t>
      </w:r>
      <w:r w:rsidR="004D101A">
        <w:t>e</w:t>
      </w:r>
      <w:r w:rsidR="004323BC">
        <w:t xml:space="preserve"> to</w:t>
      </w:r>
      <w:r w:rsidR="002736BC">
        <w:t>wards</w:t>
      </w:r>
      <w:r w:rsidR="004323BC">
        <w:t xml:space="preserve"> sustainable development.</w:t>
      </w:r>
      <w:r w:rsidR="004D101A">
        <w:t xml:space="preserve"> </w:t>
      </w:r>
      <w:r w:rsidR="0011450D">
        <w:t xml:space="preserve">Recognise the </w:t>
      </w:r>
      <w:r w:rsidR="004D101A">
        <w:t>intersection of gender discrimination can have compounding effect</w:t>
      </w:r>
      <w:r w:rsidR="0011450D">
        <w:t>s</w:t>
      </w:r>
      <w:r w:rsidR="004D101A">
        <w:t xml:space="preserve"> for women migrants.</w:t>
      </w:r>
      <w:r w:rsidR="004323BC">
        <w:t xml:space="preserve"> </w:t>
      </w:r>
      <w:r w:rsidR="0011450D">
        <w:t>Take measures to implement t</w:t>
      </w:r>
      <w:r w:rsidR="004323BC">
        <w:t>he Secretary General</w:t>
      </w:r>
      <w:r w:rsidR="0011450D">
        <w:t xml:space="preserve">’s </w:t>
      </w:r>
      <w:r w:rsidR="004323BC">
        <w:t xml:space="preserve">multi-stakeholder rights-based campaign to </w:t>
      </w:r>
      <w:r w:rsidR="0011450D">
        <w:t xml:space="preserve">counter </w:t>
      </w:r>
      <w:r w:rsidR="004323BC">
        <w:t xml:space="preserve">xenophobic and racist discourse and actions committed against migrants by highlighting the positive contributions of migrants and through appealing to our </w:t>
      </w:r>
      <w:r w:rsidR="00F37F69">
        <w:t>shared and common</w:t>
      </w:r>
      <w:r w:rsidR="004323BC">
        <w:t xml:space="preserve"> humanity</w:t>
      </w:r>
      <w:r w:rsidR="00F37F69">
        <w:t xml:space="preserve"> as individuals deserving of dignity and respect</w:t>
      </w:r>
      <w:r w:rsidR="004323BC">
        <w:t>.</w:t>
      </w:r>
    </w:p>
    <w:p w:rsidR="006A3F80" w:rsidRDefault="006A3F80" w:rsidP="004323BC"/>
    <w:p w:rsidR="00E178C5" w:rsidRPr="00FF66E5" w:rsidRDefault="00E178C5" w:rsidP="0068374D">
      <w:pPr>
        <w:rPr>
          <w:b/>
        </w:rPr>
      </w:pPr>
      <w:r>
        <w:br w:type="page"/>
      </w:r>
      <w:r>
        <w:rPr>
          <w:b/>
        </w:rPr>
        <w:t>Annex A: Gender responsive migration and the SDGs</w:t>
      </w:r>
    </w:p>
    <w:p w:rsidR="00E178C5" w:rsidRPr="001C56B9" w:rsidRDefault="00E178C5" w:rsidP="00E178C5"/>
    <w:tbl>
      <w:tblPr>
        <w:tblStyle w:val="TableGrid"/>
        <w:tblW w:w="0" w:type="auto"/>
        <w:tblLook w:val="04A0" w:firstRow="1" w:lastRow="0" w:firstColumn="1" w:lastColumn="0" w:noHBand="0" w:noVBand="1"/>
      </w:tblPr>
      <w:tblGrid>
        <w:gridCol w:w="718"/>
        <w:gridCol w:w="4210"/>
        <w:gridCol w:w="4314"/>
      </w:tblGrid>
      <w:tr w:rsidR="00E178C5" w:rsidRPr="00713277" w:rsidTr="00CC5848">
        <w:tc>
          <w:tcPr>
            <w:tcW w:w="718" w:type="dxa"/>
            <w:tcBorders>
              <w:bottom w:val="single" w:sz="4" w:space="0" w:color="auto"/>
            </w:tcBorders>
            <w:shd w:val="clear" w:color="auto" w:fill="D9D9D9" w:themeFill="background1" w:themeFillShade="D9"/>
          </w:tcPr>
          <w:p w:rsidR="00E178C5" w:rsidRPr="00713277" w:rsidRDefault="00E178C5" w:rsidP="008A2B99">
            <w:pPr>
              <w:jc w:val="center"/>
              <w:rPr>
                <w:b/>
                <w:color w:val="000000"/>
                <w:shd w:val="clear" w:color="auto" w:fill="FFFFFF"/>
              </w:rPr>
            </w:pPr>
            <w:r w:rsidRPr="00713277">
              <w:rPr>
                <w:b/>
              </w:rPr>
              <w:t>SDG</w:t>
            </w:r>
          </w:p>
        </w:tc>
        <w:tc>
          <w:tcPr>
            <w:tcW w:w="4210" w:type="dxa"/>
            <w:tcBorders>
              <w:bottom w:val="single" w:sz="4" w:space="0" w:color="auto"/>
            </w:tcBorders>
            <w:shd w:val="clear" w:color="auto" w:fill="D9D9D9" w:themeFill="background1" w:themeFillShade="D9"/>
          </w:tcPr>
          <w:p w:rsidR="00E178C5" w:rsidRPr="00713277" w:rsidRDefault="00E178C5" w:rsidP="008A2B99">
            <w:pPr>
              <w:jc w:val="center"/>
              <w:rPr>
                <w:b/>
              </w:rPr>
            </w:pPr>
            <w:r w:rsidRPr="00713277">
              <w:rPr>
                <w:b/>
              </w:rPr>
              <w:t>Goal Description</w:t>
            </w:r>
          </w:p>
        </w:tc>
        <w:tc>
          <w:tcPr>
            <w:tcW w:w="4314" w:type="dxa"/>
            <w:tcBorders>
              <w:bottom w:val="single" w:sz="4" w:space="0" w:color="auto"/>
            </w:tcBorders>
            <w:shd w:val="clear" w:color="auto" w:fill="D9D9D9" w:themeFill="background1" w:themeFillShade="D9"/>
          </w:tcPr>
          <w:p w:rsidR="00E178C5" w:rsidRPr="00713277" w:rsidRDefault="00E178C5" w:rsidP="008A2B99">
            <w:pPr>
              <w:jc w:val="center"/>
              <w:rPr>
                <w:b/>
              </w:rPr>
            </w:pPr>
            <w:r>
              <w:rPr>
                <w:b/>
              </w:rPr>
              <w:t>Opportunity for safe, orderly, regular migration of women migrants</w:t>
            </w:r>
          </w:p>
        </w:tc>
      </w:tr>
      <w:tr w:rsidR="00E178C5" w:rsidTr="00764330">
        <w:tc>
          <w:tcPr>
            <w:tcW w:w="9242" w:type="dxa"/>
            <w:gridSpan w:val="3"/>
            <w:shd w:val="clear" w:color="auto" w:fill="F2F2F2" w:themeFill="background1" w:themeFillShade="F2"/>
          </w:tcPr>
          <w:p w:rsidR="00E178C5" w:rsidRPr="004D469F" w:rsidRDefault="00E178C5" w:rsidP="008A2B99">
            <w:pPr>
              <w:rPr>
                <w:b/>
              </w:rPr>
            </w:pPr>
            <w:r w:rsidRPr="00AA0723">
              <w:rPr>
                <w:b/>
              </w:rPr>
              <w:t>Goal 1: End poverty in all its forms everywhere</w:t>
            </w:r>
          </w:p>
        </w:tc>
      </w:tr>
      <w:tr w:rsidR="00E178C5" w:rsidTr="00CC5848">
        <w:tc>
          <w:tcPr>
            <w:tcW w:w="718" w:type="dxa"/>
          </w:tcPr>
          <w:p w:rsidR="00E178C5" w:rsidRDefault="00E178C5" w:rsidP="008A2B99">
            <w:pPr>
              <w:rPr>
                <w:color w:val="000000"/>
                <w:shd w:val="clear" w:color="auto" w:fill="FFFFFF"/>
              </w:rPr>
            </w:pPr>
            <w:r>
              <w:rPr>
                <w:color w:val="000000"/>
                <w:shd w:val="clear" w:color="auto" w:fill="FFFFFF"/>
              </w:rPr>
              <w:t>1.5</w:t>
            </w:r>
          </w:p>
        </w:tc>
        <w:tc>
          <w:tcPr>
            <w:tcW w:w="4210" w:type="dxa"/>
          </w:tcPr>
          <w:p w:rsidR="00E178C5" w:rsidRDefault="00E178C5" w:rsidP="008A2B99">
            <w:r w:rsidRPr="00BA313F">
              <w:t>By 2030, build the resilience of the poor and those in vulnerable situations and reduce their exposure and vulnerability to climate-related extreme events and other economic, social and environmental shocks and disasters</w:t>
            </w:r>
          </w:p>
        </w:tc>
        <w:tc>
          <w:tcPr>
            <w:tcW w:w="4314" w:type="dxa"/>
          </w:tcPr>
          <w:p w:rsidR="00E178C5" w:rsidRDefault="00E178C5" w:rsidP="008A2B99">
            <w:r>
              <w:t xml:space="preserve">Increased resilience and reduced vulnerability of the poor will reduce situations of precarious migration and increase opportunity to access safe, orderly and regular migration options. </w:t>
            </w:r>
          </w:p>
        </w:tc>
      </w:tr>
      <w:tr w:rsidR="00E178C5" w:rsidTr="00764330">
        <w:tc>
          <w:tcPr>
            <w:tcW w:w="9242" w:type="dxa"/>
            <w:gridSpan w:val="3"/>
            <w:shd w:val="clear" w:color="auto" w:fill="F2F2F2" w:themeFill="background1" w:themeFillShade="F2"/>
          </w:tcPr>
          <w:p w:rsidR="00E178C5" w:rsidRDefault="00E178C5" w:rsidP="008A2B99">
            <w:r w:rsidRPr="00744E55">
              <w:rPr>
                <w:b/>
              </w:rPr>
              <w:t>Goal 3: Ensure healthy lives and promote well-being for all at all ages</w:t>
            </w:r>
          </w:p>
        </w:tc>
      </w:tr>
      <w:tr w:rsidR="00E178C5" w:rsidTr="00CC5848">
        <w:tc>
          <w:tcPr>
            <w:tcW w:w="718" w:type="dxa"/>
          </w:tcPr>
          <w:p w:rsidR="00E178C5" w:rsidRDefault="00E178C5" w:rsidP="008A2B99">
            <w:pPr>
              <w:rPr>
                <w:color w:val="000000"/>
                <w:shd w:val="clear" w:color="auto" w:fill="FFFFFF"/>
              </w:rPr>
            </w:pPr>
            <w:r>
              <w:rPr>
                <w:color w:val="000000"/>
                <w:shd w:val="clear" w:color="auto" w:fill="FFFFFF"/>
              </w:rPr>
              <w:t>3.7</w:t>
            </w:r>
          </w:p>
        </w:tc>
        <w:tc>
          <w:tcPr>
            <w:tcW w:w="4210" w:type="dxa"/>
          </w:tcPr>
          <w:p w:rsidR="00E178C5" w:rsidRDefault="00E178C5" w:rsidP="008A2B99">
            <w:r w:rsidRPr="00BA313F">
              <w:t>By 2030, ensure universal access to sexual and reproductive health-care services, including for family planning, information and education, and the integration of reproductive health into national strategies and programmes</w:t>
            </w:r>
          </w:p>
        </w:tc>
        <w:tc>
          <w:tcPr>
            <w:tcW w:w="4314" w:type="dxa"/>
          </w:tcPr>
          <w:p w:rsidR="00E178C5" w:rsidRDefault="00E178C5" w:rsidP="008A2B99">
            <w:r>
              <w:t>Women migrants with irregular migration status struggle to access sexual and reproductive healthcare in countries of transit and destination and are at risk.</w:t>
            </w:r>
          </w:p>
        </w:tc>
      </w:tr>
      <w:tr w:rsidR="00E178C5" w:rsidTr="00CC5848">
        <w:tc>
          <w:tcPr>
            <w:tcW w:w="718" w:type="dxa"/>
          </w:tcPr>
          <w:p w:rsidR="00E178C5" w:rsidRDefault="00E178C5" w:rsidP="008A2B99">
            <w:pPr>
              <w:rPr>
                <w:color w:val="000000"/>
                <w:shd w:val="clear" w:color="auto" w:fill="FFFFFF"/>
              </w:rPr>
            </w:pPr>
            <w:r>
              <w:rPr>
                <w:color w:val="000000"/>
                <w:shd w:val="clear" w:color="auto" w:fill="FFFFFF"/>
              </w:rPr>
              <w:t>3.8</w:t>
            </w:r>
          </w:p>
        </w:tc>
        <w:tc>
          <w:tcPr>
            <w:tcW w:w="4210" w:type="dxa"/>
          </w:tcPr>
          <w:p w:rsidR="00E178C5" w:rsidRPr="00BA313F" w:rsidRDefault="00E178C5" w:rsidP="008A2B99">
            <w:r w:rsidRPr="00BA313F">
              <w:t>Achieve universal health coverage, including financial risk protection, access to quality essential health-care services and access to safe, effective, quality and affordable essential medicines and vaccines for all</w:t>
            </w:r>
          </w:p>
        </w:tc>
        <w:tc>
          <w:tcPr>
            <w:tcW w:w="4314" w:type="dxa"/>
          </w:tcPr>
          <w:p w:rsidR="00E178C5" w:rsidRDefault="00E178C5" w:rsidP="008A2B99">
            <w:r>
              <w:t xml:space="preserve">Access to universal healthcare for women migrants will increase their </w:t>
            </w:r>
            <w:r w:rsidR="00992285">
              <w:t xml:space="preserve">health and </w:t>
            </w:r>
            <w:r>
              <w:t>safety. Increased access for their family will reduce pressure on women migrants to remit money for healthcare.</w:t>
            </w:r>
          </w:p>
        </w:tc>
      </w:tr>
      <w:tr w:rsidR="00E178C5" w:rsidTr="00CC5848">
        <w:tc>
          <w:tcPr>
            <w:tcW w:w="718" w:type="dxa"/>
          </w:tcPr>
          <w:p w:rsidR="00E178C5" w:rsidRDefault="00E178C5" w:rsidP="008A2B99">
            <w:pPr>
              <w:rPr>
                <w:color w:val="000000"/>
                <w:shd w:val="clear" w:color="auto" w:fill="FFFFFF"/>
              </w:rPr>
            </w:pPr>
            <w:r>
              <w:rPr>
                <w:color w:val="000000"/>
                <w:shd w:val="clear" w:color="auto" w:fill="FFFFFF"/>
              </w:rPr>
              <w:t>3.c</w:t>
            </w:r>
          </w:p>
        </w:tc>
        <w:tc>
          <w:tcPr>
            <w:tcW w:w="4210" w:type="dxa"/>
          </w:tcPr>
          <w:p w:rsidR="00E178C5" w:rsidRPr="00BA313F" w:rsidRDefault="00E178C5" w:rsidP="008A2B99">
            <w:r w:rsidRPr="00BA313F">
              <w:t>Substantially increase health financing and the recruitment, development, training and retention of the health workforce in developing countries, especially in least developed countries and small island developing States</w:t>
            </w:r>
          </w:p>
        </w:tc>
        <w:tc>
          <w:tcPr>
            <w:tcW w:w="4314" w:type="dxa"/>
          </w:tcPr>
          <w:p w:rsidR="00E178C5" w:rsidRDefault="00E178C5" w:rsidP="008A2B99">
            <w:r>
              <w:t>The migration of women healthcare workers can leave deficits in countries of origin. A programme of retention will provide employment opportunities as an alternative to migration whilst increasing healthcare in countries of origin.</w:t>
            </w:r>
          </w:p>
        </w:tc>
      </w:tr>
      <w:tr w:rsidR="00E178C5" w:rsidTr="00764330">
        <w:tc>
          <w:tcPr>
            <w:tcW w:w="9242" w:type="dxa"/>
            <w:gridSpan w:val="3"/>
            <w:shd w:val="clear" w:color="auto" w:fill="F2F2F2" w:themeFill="background1" w:themeFillShade="F2"/>
          </w:tcPr>
          <w:p w:rsidR="00E178C5" w:rsidRDefault="00E178C5" w:rsidP="008A2B99">
            <w:r>
              <w:rPr>
                <w:b/>
              </w:rPr>
              <w:t>Goal 4. Ensure inclusive and equitable quality education and promote lifelong learning opportunities for all</w:t>
            </w:r>
          </w:p>
        </w:tc>
      </w:tr>
      <w:tr w:rsidR="00E178C5" w:rsidTr="00CC5848">
        <w:tc>
          <w:tcPr>
            <w:tcW w:w="718" w:type="dxa"/>
          </w:tcPr>
          <w:p w:rsidR="00E178C5" w:rsidRDefault="00E178C5" w:rsidP="008A2B99">
            <w:pPr>
              <w:rPr>
                <w:color w:val="000000"/>
                <w:shd w:val="clear" w:color="auto" w:fill="FFFFFF"/>
              </w:rPr>
            </w:pPr>
            <w:r>
              <w:rPr>
                <w:color w:val="000000"/>
                <w:shd w:val="clear" w:color="auto" w:fill="FFFFFF"/>
              </w:rPr>
              <w:t>4.3</w:t>
            </w:r>
          </w:p>
        </w:tc>
        <w:tc>
          <w:tcPr>
            <w:tcW w:w="4210" w:type="dxa"/>
          </w:tcPr>
          <w:p w:rsidR="00E178C5" w:rsidRPr="00202979" w:rsidRDefault="00E178C5" w:rsidP="008A2B99">
            <w:r>
              <w:t>Ensure equal access for all women and men to affordable and quality technical, vocational and tertiary education, including university.</w:t>
            </w:r>
          </w:p>
        </w:tc>
        <w:tc>
          <w:tcPr>
            <w:tcW w:w="4314" w:type="dxa"/>
          </w:tcPr>
          <w:p w:rsidR="00E178C5" w:rsidRDefault="00CC5848" w:rsidP="00CC5848">
            <w:r>
              <w:t>Q</w:t>
            </w:r>
            <w:r w:rsidR="00E178C5">
              <w:t>uality education increases employment opportunities and reduces women’s dependency on informal, irregular and unprotected migration options.</w:t>
            </w:r>
          </w:p>
        </w:tc>
      </w:tr>
      <w:tr w:rsidR="00E178C5" w:rsidTr="00CC5848">
        <w:tc>
          <w:tcPr>
            <w:tcW w:w="718" w:type="dxa"/>
            <w:tcBorders>
              <w:bottom w:val="single" w:sz="4" w:space="0" w:color="auto"/>
            </w:tcBorders>
          </w:tcPr>
          <w:p w:rsidR="00E178C5" w:rsidRDefault="00E178C5" w:rsidP="008A2B99">
            <w:pPr>
              <w:rPr>
                <w:color w:val="000000"/>
                <w:shd w:val="clear" w:color="auto" w:fill="FFFFFF"/>
              </w:rPr>
            </w:pPr>
            <w:r>
              <w:rPr>
                <w:color w:val="000000"/>
                <w:shd w:val="clear" w:color="auto" w:fill="FFFFFF"/>
              </w:rPr>
              <w:t>4.4</w:t>
            </w:r>
          </w:p>
        </w:tc>
        <w:tc>
          <w:tcPr>
            <w:tcW w:w="4210" w:type="dxa"/>
            <w:tcBorders>
              <w:bottom w:val="single" w:sz="4" w:space="0" w:color="auto"/>
            </w:tcBorders>
          </w:tcPr>
          <w:p w:rsidR="00E178C5" w:rsidRPr="00202979" w:rsidRDefault="00E178C5" w:rsidP="008A2B99">
            <w:r>
              <w:t>Substantially increase the number of youth and adults who have relevant skills, including technical and vocational skills, for employment, decent jobs and entrepreneurship.</w:t>
            </w:r>
          </w:p>
        </w:tc>
        <w:tc>
          <w:tcPr>
            <w:tcW w:w="4314" w:type="dxa"/>
            <w:tcBorders>
              <w:bottom w:val="single" w:sz="4" w:space="0" w:color="auto"/>
            </w:tcBorders>
          </w:tcPr>
          <w:p w:rsidR="00E178C5" w:rsidRDefault="00E178C5" w:rsidP="008A2B99">
            <w:r>
              <w:t>Many sectors in which migrant women work do not benefit from a recognized skills or training frameworks, including domestic work.</w:t>
            </w:r>
          </w:p>
        </w:tc>
      </w:tr>
      <w:tr w:rsidR="00E178C5" w:rsidTr="00764330">
        <w:tc>
          <w:tcPr>
            <w:tcW w:w="9242" w:type="dxa"/>
            <w:gridSpan w:val="3"/>
            <w:shd w:val="clear" w:color="auto" w:fill="F2F2F2" w:themeFill="background1" w:themeFillShade="F2"/>
          </w:tcPr>
          <w:p w:rsidR="00E178C5" w:rsidRPr="004D469F" w:rsidRDefault="00E178C5" w:rsidP="008A2B99">
            <w:pPr>
              <w:rPr>
                <w:b/>
              </w:rPr>
            </w:pPr>
            <w:r>
              <w:rPr>
                <w:b/>
              </w:rPr>
              <w:t>Goal 5. Achieve gender equality and empower all women and girls</w:t>
            </w:r>
          </w:p>
        </w:tc>
      </w:tr>
      <w:tr w:rsidR="00E178C5" w:rsidTr="00CC5848">
        <w:tc>
          <w:tcPr>
            <w:tcW w:w="718" w:type="dxa"/>
          </w:tcPr>
          <w:p w:rsidR="00E178C5" w:rsidRDefault="00E178C5" w:rsidP="008A2B99">
            <w:pPr>
              <w:rPr>
                <w:color w:val="000000"/>
                <w:shd w:val="clear" w:color="auto" w:fill="FFFFFF"/>
              </w:rPr>
            </w:pPr>
            <w:r>
              <w:rPr>
                <w:color w:val="000000"/>
                <w:shd w:val="clear" w:color="auto" w:fill="FFFFFF"/>
              </w:rPr>
              <w:t>5.2</w:t>
            </w:r>
          </w:p>
        </w:tc>
        <w:tc>
          <w:tcPr>
            <w:tcW w:w="4210" w:type="dxa"/>
          </w:tcPr>
          <w:p w:rsidR="00E178C5" w:rsidRPr="00202979" w:rsidRDefault="00E178C5" w:rsidP="008A2B99">
            <w:r>
              <w:t>Eliminate all forms of violence against all women and girls in the public and private sphere, including trafficking and sexual and other types of exploitation.</w:t>
            </w:r>
          </w:p>
        </w:tc>
        <w:tc>
          <w:tcPr>
            <w:tcW w:w="4314" w:type="dxa"/>
          </w:tcPr>
          <w:p w:rsidR="00E178C5" w:rsidRDefault="00E178C5" w:rsidP="008A2B99">
            <w:r>
              <w:t>Violence against migrant women takes many forms, including economic and sexual. The risk of violence is heightened in informal and irregular sectors in which many women migrants work.</w:t>
            </w:r>
          </w:p>
        </w:tc>
      </w:tr>
      <w:tr w:rsidR="00E178C5" w:rsidTr="00CC5848">
        <w:tc>
          <w:tcPr>
            <w:tcW w:w="718" w:type="dxa"/>
          </w:tcPr>
          <w:p w:rsidR="00E178C5" w:rsidRDefault="00E178C5" w:rsidP="008A2B99">
            <w:pPr>
              <w:rPr>
                <w:color w:val="000000"/>
                <w:shd w:val="clear" w:color="auto" w:fill="FFFFFF"/>
              </w:rPr>
            </w:pPr>
            <w:r>
              <w:rPr>
                <w:color w:val="000000"/>
                <w:shd w:val="clear" w:color="auto" w:fill="FFFFFF"/>
              </w:rPr>
              <w:t>5.4</w:t>
            </w:r>
          </w:p>
        </w:tc>
        <w:tc>
          <w:tcPr>
            <w:tcW w:w="4210" w:type="dxa"/>
          </w:tcPr>
          <w:p w:rsidR="00E178C5" w:rsidRPr="00202979" w:rsidRDefault="00E178C5" w:rsidP="008A2B99">
            <w:r>
              <w:t xml:space="preserve">Recognize and value unpaid care and domestic work through the provision of public services, infrastructure and social protection policies and the promotion of shared responsibility within the household and the family as nationally appropriate. </w:t>
            </w:r>
          </w:p>
        </w:tc>
        <w:tc>
          <w:tcPr>
            <w:tcW w:w="4314" w:type="dxa"/>
          </w:tcPr>
          <w:p w:rsidR="00E178C5" w:rsidRDefault="00E178C5" w:rsidP="008A2B99">
            <w:r>
              <w:t xml:space="preserve">Domestic and care work continues to be a highly feminized sector of work. Women migrant workers often fulfil the reproductive role within the household of a woman being employed outside the household. At the same time, women migrant workers in domestic work may employ a woman to fulfil their role at home. This has created global care chains and transnational mothering, both phenomena of development that are particular to women migrant work. </w:t>
            </w:r>
          </w:p>
        </w:tc>
      </w:tr>
      <w:tr w:rsidR="00E178C5" w:rsidTr="00CC5848">
        <w:tc>
          <w:tcPr>
            <w:tcW w:w="718" w:type="dxa"/>
          </w:tcPr>
          <w:p w:rsidR="00E178C5" w:rsidRDefault="00E178C5" w:rsidP="008A2B99">
            <w:pPr>
              <w:rPr>
                <w:color w:val="000000"/>
                <w:shd w:val="clear" w:color="auto" w:fill="FFFFFF"/>
              </w:rPr>
            </w:pPr>
            <w:r>
              <w:rPr>
                <w:color w:val="000000"/>
                <w:shd w:val="clear" w:color="auto" w:fill="FFFFFF"/>
              </w:rPr>
              <w:t>5.5</w:t>
            </w:r>
          </w:p>
        </w:tc>
        <w:tc>
          <w:tcPr>
            <w:tcW w:w="4210" w:type="dxa"/>
          </w:tcPr>
          <w:p w:rsidR="00E178C5" w:rsidRPr="00202979" w:rsidRDefault="00E178C5" w:rsidP="008A2B99">
            <w:r>
              <w:t>Ensure women’s full and effective participation and equal opportunities for leadership at all levels of decision making in political, economic and public life.</w:t>
            </w:r>
          </w:p>
        </w:tc>
        <w:tc>
          <w:tcPr>
            <w:tcW w:w="4314" w:type="dxa"/>
          </w:tcPr>
          <w:p w:rsidR="008A2B99" w:rsidRDefault="003670DD" w:rsidP="008A2B99">
            <w:r>
              <w:t>Women’s full and effective participation and leadership affects the laws and norms that may be barriers to women’s mobility and gender equality.</w:t>
            </w:r>
            <w:r w:rsidR="008A2B99">
              <w:t xml:space="preserve"> </w:t>
            </w:r>
          </w:p>
          <w:p w:rsidR="00E178C5" w:rsidRPr="00202979" w:rsidRDefault="008A2B99" w:rsidP="008A2B99">
            <w:r>
              <w:t>W</w:t>
            </w:r>
            <w:r w:rsidR="00E178C5">
              <w:t>here women migrant workers migrate to countries with more progressive values on women’s leadership, they</w:t>
            </w:r>
            <w:r w:rsidR="003670DD">
              <w:t xml:space="preserve"> may be</w:t>
            </w:r>
            <w:r w:rsidR="00E178C5">
              <w:t xml:space="preserve"> more likely to return with and replicate those values. </w:t>
            </w:r>
          </w:p>
        </w:tc>
      </w:tr>
      <w:tr w:rsidR="00E178C5" w:rsidTr="00CC5848">
        <w:tc>
          <w:tcPr>
            <w:tcW w:w="718" w:type="dxa"/>
          </w:tcPr>
          <w:p w:rsidR="00E178C5" w:rsidRDefault="00E178C5" w:rsidP="008A2B99">
            <w:pPr>
              <w:rPr>
                <w:color w:val="000000"/>
                <w:shd w:val="clear" w:color="auto" w:fill="FFFFFF"/>
              </w:rPr>
            </w:pPr>
            <w:r>
              <w:rPr>
                <w:color w:val="000000"/>
                <w:shd w:val="clear" w:color="auto" w:fill="FFFFFF"/>
              </w:rPr>
              <w:t>5.6</w:t>
            </w:r>
          </w:p>
        </w:tc>
        <w:tc>
          <w:tcPr>
            <w:tcW w:w="4210" w:type="dxa"/>
          </w:tcPr>
          <w:p w:rsidR="00E178C5" w:rsidRPr="001C56B9" w:rsidRDefault="00E178C5" w:rsidP="008A2B99">
            <w:r w:rsidRPr="001C56B9">
              <w:rPr>
                <w:rFonts w:cs="TimesNewRoman"/>
              </w:rPr>
              <w:t>Ensure universal access to sexual and reproductive health and reproductive rights as agreed in accordance with the Programme of Action of the International Conference on Population and Development and the Beijing Platform for Action and the outcome documents of their review conferences.</w:t>
            </w:r>
          </w:p>
        </w:tc>
        <w:tc>
          <w:tcPr>
            <w:tcW w:w="4314" w:type="dxa"/>
          </w:tcPr>
          <w:p w:rsidR="00E178C5" w:rsidRDefault="00E178C5" w:rsidP="008A2B99">
            <w:r>
              <w:t>Health and social services often preclude women migrants with an irregular status</w:t>
            </w:r>
            <w:r w:rsidR="00955BE4">
              <w:t>,</w:t>
            </w:r>
            <w:r>
              <w:t xml:space="preserve"> meaning</w:t>
            </w:r>
            <w:r w:rsidR="00955BE4">
              <w:t xml:space="preserve"> irregular migrant</w:t>
            </w:r>
            <w:r>
              <w:t xml:space="preserve"> women do not have universal access to reproductive and sexual health care.</w:t>
            </w:r>
          </w:p>
        </w:tc>
      </w:tr>
      <w:tr w:rsidR="00E178C5" w:rsidTr="00CC5848">
        <w:tc>
          <w:tcPr>
            <w:tcW w:w="718" w:type="dxa"/>
          </w:tcPr>
          <w:p w:rsidR="00E178C5" w:rsidRDefault="00E178C5" w:rsidP="008A2B99">
            <w:pPr>
              <w:rPr>
                <w:color w:val="000000"/>
                <w:shd w:val="clear" w:color="auto" w:fill="FFFFFF"/>
              </w:rPr>
            </w:pPr>
            <w:r>
              <w:rPr>
                <w:color w:val="000000"/>
                <w:shd w:val="clear" w:color="auto" w:fill="FFFFFF"/>
              </w:rPr>
              <w:t>5.C</w:t>
            </w:r>
          </w:p>
        </w:tc>
        <w:tc>
          <w:tcPr>
            <w:tcW w:w="4210" w:type="dxa"/>
          </w:tcPr>
          <w:p w:rsidR="00E178C5" w:rsidRPr="00202979" w:rsidRDefault="00E178C5" w:rsidP="008A2B99">
            <w:r>
              <w:t xml:space="preserve">Adopt and strengthen sound policies and enforceable legislation for the promotion of gender equality and the empowerment of all women and girls at all levels. </w:t>
            </w:r>
          </w:p>
        </w:tc>
        <w:tc>
          <w:tcPr>
            <w:tcW w:w="4314" w:type="dxa"/>
          </w:tcPr>
          <w:p w:rsidR="00E178C5" w:rsidRPr="00202979" w:rsidRDefault="00E178C5" w:rsidP="008A2B99">
            <w:r>
              <w:t xml:space="preserve">Mainstreaming gender into labour, migration and trafficking frameworks is necessary to ensure that the particular realities and needs of women migrant workers are addressed.  </w:t>
            </w:r>
          </w:p>
        </w:tc>
      </w:tr>
      <w:tr w:rsidR="00E178C5" w:rsidTr="00764330">
        <w:tc>
          <w:tcPr>
            <w:tcW w:w="9242" w:type="dxa"/>
            <w:gridSpan w:val="3"/>
            <w:shd w:val="clear" w:color="auto" w:fill="F2F2F2" w:themeFill="background1" w:themeFillShade="F2"/>
          </w:tcPr>
          <w:p w:rsidR="00E178C5" w:rsidRPr="00FA5336" w:rsidRDefault="00E178C5" w:rsidP="008A2B99">
            <w:pPr>
              <w:rPr>
                <w:b/>
              </w:rPr>
            </w:pPr>
            <w:r>
              <w:rPr>
                <w:b/>
              </w:rPr>
              <w:t>Goal 8. Promote sustained, inclusive and sustainable economic growth, full and productive employment and decent work for all</w:t>
            </w:r>
          </w:p>
        </w:tc>
      </w:tr>
      <w:tr w:rsidR="00E178C5" w:rsidTr="00CC5848">
        <w:tc>
          <w:tcPr>
            <w:tcW w:w="718" w:type="dxa"/>
          </w:tcPr>
          <w:p w:rsidR="00E178C5" w:rsidRDefault="00E178C5" w:rsidP="008A2B99">
            <w:pPr>
              <w:rPr>
                <w:color w:val="000000"/>
                <w:shd w:val="clear" w:color="auto" w:fill="FFFFFF"/>
              </w:rPr>
            </w:pPr>
            <w:r>
              <w:rPr>
                <w:color w:val="000000"/>
                <w:shd w:val="clear" w:color="auto" w:fill="FFFFFF"/>
              </w:rPr>
              <w:t>8.5</w:t>
            </w:r>
          </w:p>
        </w:tc>
        <w:tc>
          <w:tcPr>
            <w:tcW w:w="4210" w:type="dxa"/>
          </w:tcPr>
          <w:p w:rsidR="00E178C5" w:rsidRPr="00202979" w:rsidRDefault="00E178C5" w:rsidP="008A2B99">
            <w:r>
              <w:t>Achieve full and productive employment and decent work for all women and men, including for young people and persons with disabilities, and equal pay for work of equal value.</w:t>
            </w:r>
          </w:p>
        </w:tc>
        <w:tc>
          <w:tcPr>
            <w:tcW w:w="4314" w:type="dxa"/>
          </w:tcPr>
          <w:p w:rsidR="00E178C5" w:rsidRPr="00202979" w:rsidRDefault="00955BE4" w:rsidP="008A2B99">
            <w:r>
              <w:t>W</w:t>
            </w:r>
            <w:r w:rsidR="00E178C5">
              <w:t xml:space="preserve">omen migrant workers </w:t>
            </w:r>
            <w:r>
              <w:t xml:space="preserve">largely migrate irregularly into informal </w:t>
            </w:r>
            <w:proofErr w:type="gramStart"/>
            <w:r>
              <w:t>sectors,</w:t>
            </w:r>
            <w:proofErr w:type="gramEnd"/>
            <w:r>
              <w:t xml:space="preserve"> </w:t>
            </w:r>
            <w:r w:rsidR="00E178C5">
              <w:t>do not work in sectors that attract labour protection</w:t>
            </w:r>
            <w:r>
              <w:t>,</w:t>
            </w:r>
            <w:r w:rsidR="00E178C5">
              <w:t xml:space="preserve"> and as such are unlikely to </w:t>
            </w:r>
            <w:r>
              <w:t xml:space="preserve">have </w:t>
            </w:r>
            <w:r w:rsidR="00E178C5">
              <w:t>conditions for decent wor</w:t>
            </w:r>
            <w:r w:rsidR="008A2B99">
              <w:t xml:space="preserve">k. Some feminized sectors that </w:t>
            </w:r>
            <w:r w:rsidR="00E178C5">
              <w:t xml:space="preserve">demand female labour (including domestic work and entertainment/sex work) are not recognised formally as labour and </w:t>
            </w:r>
            <w:r>
              <w:t>thus remain as informal employment.</w:t>
            </w:r>
          </w:p>
        </w:tc>
      </w:tr>
      <w:tr w:rsidR="00E178C5" w:rsidTr="00CC5848">
        <w:tc>
          <w:tcPr>
            <w:tcW w:w="718" w:type="dxa"/>
          </w:tcPr>
          <w:p w:rsidR="00E178C5" w:rsidRDefault="00E178C5" w:rsidP="008A2B99">
            <w:pPr>
              <w:rPr>
                <w:color w:val="000000"/>
                <w:shd w:val="clear" w:color="auto" w:fill="FFFFFF"/>
              </w:rPr>
            </w:pPr>
            <w:r>
              <w:rPr>
                <w:color w:val="000000"/>
                <w:shd w:val="clear" w:color="auto" w:fill="FFFFFF"/>
              </w:rPr>
              <w:t>8.7</w:t>
            </w:r>
          </w:p>
        </w:tc>
        <w:tc>
          <w:tcPr>
            <w:tcW w:w="4210" w:type="dxa"/>
          </w:tcPr>
          <w:p w:rsidR="00E178C5" w:rsidRDefault="00E178C5" w:rsidP="008A2B99">
            <w:pPr>
              <w:rPr>
                <w:color w:val="000000"/>
                <w:shd w:val="clear" w:color="auto" w:fill="FFFFFF"/>
              </w:rPr>
            </w:pPr>
            <w:r w:rsidRPr="00202979">
              <w:t xml:space="preserve">To take immediate and effective measures to eradicate forced labour, end modern slavery and human trafficking and secure the prohibition of the worst forms of child labour, including recruitment and use of child soldiers, and by 2025 end child </w:t>
            </w:r>
            <w:r>
              <w:t>labour in all its forms.</w:t>
            </w:r>
          </w:p>
        </w:tc>
        <w:tc>
          <w:tcPr>
            <w:tcW w:w="4314" w:type="dxa"/>
          </w:tcPr>
          <w:p w:rsidR="00E178C5" w:rsidRPr="00202979" w:rsidRDefault="00E178C5" w:rsidP="008A2B99">
            <w:r>
              <w:t>Increasing regular and formal migration options for women will reduce vulnerability to trafficking and forced labour. In some circumstances, this will involve addressing the approach to the formalisation of some feminized sectors, to increase empowerment through labour rights and reduce victimhood and criminalisation.</w:t>
            </w:r>
          </w:p>
        </w:tc>
      </w:tr>
      <w:tr w:rsidR="00E178C5" w:rsidTr="00CC5848">
        <w:tc>
          <w:tcPr>
            <w:tcW w:w="718" w:type="dxa"/>
            <w:tcBorders>
              <w:bottom w:val="single" w:sz="4" w:space="0" w:color="auto"/>
            </w:tcBorders>
          </w:tcPr>
          <w:p w:rsidR="00E178C5" w:rsidRDefault="00E178C5" w:rsidP="008A2B99">
            <w:pPr>
              <w:rPr>
                <w:color w:val="000000"/>
                <w:shd w:val="clear" w:color="auto" w:fill="FFFFFF"/>
              </w:rPr>
            </w:pPr>
            <w:r>
              <w:rPr>
                <w:color w:val="000000"/>
                <w:shd w:val="clear" w:color="auto" w:fill="FFFFFF"/>
              </w:rPr>
              <w:t>8.8</w:t>
            </w:r>
          </w:p>
        </w:tc>
        <w:tc>
          <w:tcPr>
            <w:tcW w:w="4210" w:type="dxa"/>
            <w:tcBorders>
              <w:bottom w:val="single" w:sz="4" w:space="0" w:color="auto"/>
            </w:tcBorders>
          </w:tcPr>
          <w:p w:rsidR="00E178C5" w:rsidRDefault="00E178C5" w:rsidP="008A2B99">
            <w:pPr>
              <w:rPr>
                <w:color w:val="000000"/>
                <w:shd w:val="clear" w:color="auto" w:fill="FFFFFF"/>
              </w:rPr>
            </w:pPr>
            <w:r w:rsidRPr="00202979">
              <w:t>To protect labour rights and promote safe and secure working environments for all workers, including migrant workers, in particular women migrants, and</w:t>
            </w:r>
            <w:r>
              <w:t xml:space="preserve"> those in precarious employment.</w:t>
            </w:r>
          </w:p>
        </w:tc>
        <w:tc>
          <w:tcPr>
            <w:tcW w:w="4314" w:type="dxa"/>
            <w:tcBorders>
              <w:bottom w:val="single" w:sz="4" w:space="0" w:color="auto"/>
            </w:tcBorders>
          </w:tcPr>
          <w:p w:rsidR="00E178C5" w:rsidRPr="00202979" w:rsidRDefault="00E178C5" w:rsidP="008A2B99">
            <w:r>
              <w:t>Addressing the formalisation of feminized sectors and the methods of effective labour inspection within them will be necessary to promote safe and secure working environments.</w:t>
            </w:r>
          </w:p>
        </w:tc>
      </w:tr>
      <w:tr w:rsidR="00E178C5" w:rsidTr="00764330">
        <w:tc>
          <w:tcPr>
            <w:tcW w:w="9242" w:type="dxa"/>
            <w:gridSpan w:val="3"/>
            <w:shd w:val="clear" w:color="auto" w:fill="F2F2F2" w:themeFill="background1" w:themeFillShade="F2"/>
          </w:tcPr>
          <w:p w:rsidR="00E178C5" w:rsidRPr="001A478B" w:rsidRDefault="00E178C5" w:rsidP="008A2B99">
            <w:pPr>
              <w:rPr>
                <w:b/>
              </w:rPr>
            </w:pPr>
            <w:r>
              <w:rPr>
                <w:b/>
              </w:rPr>
              <w:t>Goal 10. Reduce inequality within and among countries</w:t>
            </w:r>
          </w:p>
        </w:tc>
      </w:tr>
      <w:tr w:rsidR="00E178C5" w:rsidTr="00CC5848">
        <w:tc>
          <w:tcPr>
            <w:tcW w:w="718" w:type="dxa"/>
          </w:tcPr>
          <w:p w:rsidR="00E178C5" w:rsidRDefault="00E178C5" w:rsidP="008A2B99">
            <w:pPr>
              <w:rPr>
                <w:color w:val="000000"/>
                <w:shd w:val="clear" w:color="auto" w:fill="FFFFFF"/>
              </w:rPr>
            </w:pPr>
            <w:r>
              <w:rPr>
                <w:color w:val="000000"/>
                <w:shd w:val="clear" w:color="auto" w:fill="FFFFFF"/>
              </w:rPr>
              <w:t>10.2</w:t>
            </w:r>
          </w:p>
        </w:tc>
        <w:tc>
          <w:tcPr>
            <w:tcW w:w="4210" w:type="dxa"/>
          </w:tcPr>
          <w:p w:rsidR="00E178C5" w:rsidRPr="00202979" w:rsidRDefault="00E178C5" w:rsidP="008A2B99">
            <w:r>
              <w:t>Empower and promote the social, economic and political inclusion of all, irrespective or age, sex, disability, race, ethnicity, origin, religion or economic or other status.</w:t>
            </w:r>
          </w:p>
        </w:tc>
        <w:tc>
          <w:tcPr>
            <w:tcW w:w="4314" w:type="dxa"/>
          </w:tcPr>
          <w:p w:rsidR="00E178C5" w:rsidRPr="00202979" w:rsidRDefault="00E178C5" w:rsidP="008A2B99">
            <w:r>
              <w:t>Providing regular and formal migration options promotes economic inclusion. It also impacts social and political inclusion, through the social elevation of the women migrant workers and the exposure to wider political discourse and engagement.</w:t>
            </w:r>
          </w:p>
        </w:tc>
      </w:tr>
      <w:tr w:rsidR="00E178C5" w:rsidTr="00CC5848">
        <w:trPr>
          <w:trHeight w:val="2060"/>
        </w:trPr>
        <w:tc>
          <w:tcPr>
            <w:tcW w:w="718" w:type="dxa"/>
          </w:tcPr>
          <w:p w:rsidR="00E178C5" w:rsidRDefault="00E178C5" w:rsidP="008A2B99">
            <w:pPr>
              <w:rPr>
                <w:color w:val="000000"/>
                <w:shd w:val="clear" w:color="auto" w:fill="FFFFFF"/>
              </w:rPr>
            </w:pPr>
            <w:r>
              <w:rPr>
                <w:color w:val="000000"/>
                <w:shd w:val="clear" w:color="auto" w:fill="FFFFFF"/>
              </w:rPr>
              <w:t>10.4</w:t>
            </w:r>
          </w:p>
        </w:tc>
        <w:tc>
          <w:tcPr>
            <w:tcW w:w="4210" w:type="dxa"/>
          </w:tcPr>
          <w:p w:rsidR="00E178C5" w:rsidRPr="00202979" w:rsidRDefault="00E178C5" w:rsidP="008A2B99">
            <w:r>
              <w:t>Adopt policies, especially fiscal, wage and social protection policies, and progressively achieve gender equality.</w:t>
            </w:r>
          </w:p>
        </w:tc>
        <w:tc>
          <w:tcPr>
            <w:tcW w:w="4314" w:type="dxa"/>
          </w:tcPr>
          <w:p w:rsidR="00E178C5" w:rsidRPr="00202979" w:rsidRDefault="00E178C5" w:rsidP="008A2B99">
            <w:r>
              <w:t xml:space="preserve">The interaction of gender and migration create particular disadvantages </w:t>
            </w:r>
            <w:r w:rsidR="008A2B99">
              <w:t xml:space="preserve">for women migrant workers. The sectors in which migrant women work commonly support social welfare in countries of destination. Similarly, their remittances may supplement poor social protection in countries of origin. At the same time, women’s reproductive care role creates a larger need for social protection. Because the contributions and benefits of social protection are rarely transferable between countries, however, migration may reduce women’s access to benefits when they are needed.  </w:t>
            </w:r>
          </w:p>
        </w:tc>
      </w:tr>
      <w:tr w:rsidR="00E178C5" w:rsidTr="00CC5848">
        <w:tc>
          <w:tcPr>
            <w:tcW w:w="718" w:type="dxa"/>
          </w:tcPr>
          <w:p w:rsidR="00E178C5" w:rsidRDefault="00E178C5" w:rsidP="008A2B99">
            <w:pPr>
              <w:rPr>
                <w:color w:val="000000"/>
                <w:shd w:val="clear" w:color="auto" w:fill="FFFFFF"/>
              </w:rPr>
            </w:pPr>
            <w:r>
              <w:rPr>
                <w:color w:val="000000"/>
                <w:shd w:val="clear" w:color="auto" w:fill="FFFFFF"/>
              </w:rPr>
              <w:t>10.7</w:t>
            </w:r>
          </w:p>
        </w:tc>
        <w:tc>
          <w:tcPr>
            <w:tcW w:w="4210" w:type="dxa"/>
          </w:tcPr>
          <w:p w:rsidR="00E178C5" w:rsidRDefault="00E178C5" w:rsidP="008A2B99">
            <w:pPr>
              <w:rPr>
                <w:color w:val="000000"/>
                <w:shd w:val="clear" w:color="auto" w:fill="FFFFFF"/>
              </w:rPr>
            </w:pPr>
            <w:r w:rsidRPr="00202979">
              <w:t>To facilitate orderly, safe, regular and responsible migration and mobility of people, including through the implementation of planned and well-managed migration policies</w:t>
            </w:r>
          </w:p>
        </w:tc>
        <w:tc>
          <w:tcPr>
            <w:tcW w:w="4314" w:type="dxa"/>
          </w:tcPr>
          <w:p w:rsidR="00E178C5" w:rsidRPr="00202979" w:rsidRDefault="00E178C5" w:rsidP="008A2B99">
            <w:r>
              <w:t>Policies for safe, orderly and regular migration will need to respond to the situation of women migrants to be able to ensure they benefit all migrants.</w:t>
            </w:r>
          </w:p>
        </w:tc>
      </w:tr>
      <w:tr w:rsidR="00E178C5" w:rsidTr="00CC5848">
        <w:tc>
          <w:tcPr>
            <w:tcW w:w="718" w:type="dxa"/>
          </w:tcPr>
          <w:p w:rsidR="00E178C5" w:rsidRDefault="00E178C5" w:rsidP="008A2B99">
            <w:pPr>
              <w:rPr>
                <w:color w:val="000000"/>
                <w:shd w:val="clear" w:color="auto" w:fill="FFFFFF"/>
              </w:rPr>
            </w:pPr>
            <w:r>
              <w:rPr>
                <w:color w:val="000000"/>
                <w:shd w:val="clear" w:color="auto" w:fill="FFFFFF"/>
              </w:rPr>
              <w:t>10.c</w:t>
            </w:r>
          </w:p>
        </w:tc>
        <w:tc>
          <w:tcPr>
            <w:tcW w:w="4210" w:type="dxa"/>
          </w:tcPr>
          <w:p w:rsidR="00E178C5" w:rsidRDefault="00E178C5" w:rsidP="008A2B99">
            <w:pPr>
              <w:rPr>
                <w:color w:val="000000"/>
                <w:shd w:val="clear" w:color="auto" w:fill="FFFFFF"/>
              </w:rPr>
            </w:pPr>
            <w:r>
              <w:t>T</w:t>
            </w:r>
            <w:r w:rsidRPr="00202979">
              <w:t>o reduce to less than 3 per cent the transaction costs of migrant remittances and eliminate remittance corridors with costs higher</w:t>
            </w:r>
            <w:r>
              <w:t xml:space="preserve"> than 5 per cent</w:t>
            </w:r>
          </w:p>
        </w:tc>
        <w:tc>
          <w:tcPr>
            <w:tcW w:w="4314" w:type="dxa"/>
          </w:tcPr>
          <w:p w:rsidR="00E178C5" w:rsidRDefault="00E178C5" w:rsidP="008A2B99">
            <w:r>
              <w:t xml:space="preserve">This goal interacts with issues of financial inclusion and regular migration more broadly – the goal of reducing remittance costs for women will likely be an outcome of the regularisation of their migration. </w:t>
            </w:r>
          </w:p>
        </w:tc>
      </w:tr>
      <w:tr w:rsidR="00E178C5" w:rsidTr="00764330">
        <w:tc>
          <w:tcPr>
            <w:tcW w:w="9242" w:type="dxa"/>
            <w:gridSpan w:val="3"/>
            <w:shd w:val="clear" w:color="auto" w:fill="F2F2F2" w:themeFill="background1" w:themeFillShade="F2"/>
          </w:tcPr>
          <w:p w:rsidR="00E178C5" w:rsidRPr="008125CA" w:rsidRDefault="00E178C5" w:rsidP="008A2B99">
            <w:pPr>
              <w:rPr>
                <w:b/>
              </w:rPr>
            </w:pPr>
            <w:r>
              <w:rPr>
                <w:b/>
              </w:rPr>
              <w:t>Goal 17: Strengthen the means of implementation and revitalize the Global Partnership for Sustainable Development</w:t>
            </w:r>
          </w:p>
        </w:tc>
      </w:tr>
      <w:tr w:rsidR="00E178C5" w:rsidTr="00CC5848">
        <w:tc>
          <w:tcPr>
            <w:tcW w:w="718" w:type="dxa"/>
          </w:tcPr>
          <w:p w:rsidR="00E178C5" w:rsidRDefault="00E178C5" w:rsidP="008A2B99">
            <w:pPr>
              <w:rPr>
                <w:color w:val="000000"/>
                <w:shd w:val="clear" w:color="auto" w:fill="FFFFFF"/>
              </w:rPr>
            </w:pPr>
            <w:r>
              <w:rPr>
                <w:color w:val="000000"/>
                <w:shd w:val="clear" w:color="auto" w:fill="FFFFFF"/>
              </w:rPr>
              <w:t>17.18</w:t>
            </w:r>
          </w:p>
        </w:tc>
        <w:tc>
          <w:tcPr>
            <w:tcW w:w="4210" w:type="dxa"/>
          </w:tcPr>
          <w:p w:rsidR="00E178C5" w:rsidRPr="001C56B9" w:rsidRDefault="00E178C5" w:rsidP="008A2B99">
            <w:r w:rsidRPr="001C56B9">
              <w:rPr>
                <w:rFonts w:cs="TimesNewRoman"/>
              </w:rPr>
              <w:t>By 2020, to enhance capacity-building support to developing countries, including for least developed countries and small island developing States, to increase significantly the availability of high-quality, timely and reliable data disaggregated by income, gender, age, race, ethnicity, migratory status, disability, geographic location and other characteristics relevant in national contexts</w:t>
            </w:r>
          </w:p>
        </w:tc>
        <w:tc>
          <w:tcPr>
            <w:tcW w:w="4314" w:type="dxa"/>
          </w:tcPr>
          <w:p w:rsidR="00E178C5" w:rsidRDefault="00E178C5" w:rsidP="008A2B99">
            <w:r>
              <w:t xml:space="preserve">Sex disaggregated data and research that captures the situation of women migrants can inform evidence based policy that responds to women migrants. </w:t>
            </w:r>
          </w:p>
        </w:tc>
      </w:tr>
    </w:tbl>
    <w:p w:rsidR="00E178C5" w:rsidRPr="004176E2" w:rsidRDefault="00E178C5" w:rsidP="00E178C5">
      <w:pPr>
        <w:spacing w:after="200"/>
        <w:jc w:val="left"/>
      </w:pPr>
    </w:p>
    <w:sectPr w:rsidR="00E178C5" w:rsidRPr="004176E2">
      <w:headerReference w:type="default" r:id="rId9"/>
      <w:footerReference w:type="even"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2A69" w:rsidRDefault="00572A69" w:rsidP="00ED7BBF">
      <w:pPr>
        <w:spacing w:line="240" w:lineRule="auto"/>
      </w:pPr>
      <w:r>
        <w:separator/>
      </w:r>
    </w:p>
  </w:endnote>
  <w:endnote w:type="continuationSeparator" w:id="0">
    <w:p w:rsidR="00572A69" w:rsidRDefault="00572A69" w:rsidP="00ED7B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MKAF M+ The Sans">
    <w:altName w:val="The Sans"/>
    <w:panose1 w:val="00000000000000000000"/>
    <w:charset w:val="00"/>
    <w:family w:val="swiss"/>
    <w:notTrueType/>
    <w:pitch w:val="default"/>
    <w:sig w:usb0="00000003" w:usb1="00000000" w:usb2="00000000" w:usb3="00000000" w:csb0="00000001" w:csb1="00000000"/>
  </w:font>
  <w:font w:name="Futura Std">
    <w:altName w:val="Futura Std"/>
    <w:panose1 w:val="00000000000000000000"/>
    <w:charset w:val="00"/>
    <w:family w:val="swiss"/>
    <w:notTrueType/>
    <w:pitch w:val="default"/>
    <w:sig w:usb0="00000003" w:usb1="00000000" w:usb2="00000000" w:usb3="00000000" w:csb0="00000001" w:csb1="00000000"/>
  </w:font>
  <w:font w:name="CMKAF M+ The Sans Light">
    <w:altName w:val="The Sans Light"/>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NewRoman">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76D" w:rsidRDefault="0082476D" w:rsidP="003670DD">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3397581"/>
      <w:docPartObj>
        <w:docPartGallery w:val="Page Numbers (Bottom of Page)"/>
        <w:docPartUnique/>
      </w:docPartObj>
    </w:sdtPr>
    <w:sdtEndPr>
      <w:rPr>
        <w:noProof/>
      </w:rPr>
    </w:sdtEndPr>
    <w:sdtContent>
      <w:p w:rsidR="0082476D" w:rsidRDefault="0082476D" w:rsidP="00332652">
        <w:pPr>
          <w:pStyle w:val="Footer"/>
          <w:jc w:val="right"/>
        </w:pPr>
        <w:r>
          <w:fldChar w:fldCharType="begin"/>
        </w:r>
        <w:r>
          <w:instrText xml:space="preserve"> PAGE   \* MERGEFORMAT </w:instrText>
        </w:r>
        <w:r>
          <w:fldChar w:fldCharType="separate"/>
        </w:r>
        <w:r w:rsidR="00C8091D">
          <w:rPr>
            <w:noProof/>
          </w:rPr>
          <w:t>1</w:t>
        </w:r>
        <w:r>
          <w:rPr>
            <w:noProof/>
          </w:rPr>
          <w:fldChar w:fldCharType="end"/>
        </w:r>
      </w:p>
    </w:sdtContent>
  </w:sdt>
  <w:p w:rsidR="0082476D" w:rsidRDefault="0082476D" w:rsidP="00D75D0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2A69" w:rsidRDefault="00572A69" w:rsidP="00ED7BBF">
      <w:pPr>
        <w:spacing w:line="240" w:lineRule="auto"/>
      </w:pPr>
      <w:r>
        <w:separator/>
      </w:r>
    </w:p>
  </w:footnote>
  <w:footnote w:type="continuationSeparator" w:id="0">
    <w:p w:rsidR="00572A69" w:rsidRDefault="00572A69" w:rsidP="00ED7BBF">
      <w:pPr>
        <w:spacing w:line="240" w:lineRule="auto"/>
      </w:pPr>
      <w:r>
        <w:continuationSeparator/>
      </w:r>
    </w:p>
  </w:footnote>
  <w:footnote w:id="1">
    <w:p w:rsidR="0082476D" w:rsidRDefault="0082476D" w:rsidP="00A37A37">
      <w:pPr>
        <w:pStyle w:val="FootnoteText"/>
        <w:jc w:val="left"/>
      </w:pPr>
      <w:r>
        <w:rPr>
          <w:rStyle w:val="FootnoteReference"/>
        </w:rPr>
        <w:footnoteRef/>
      </w:r>
      <w:r>
        <w:t xml:space="preserve"> See Annex II of the </w:t>
      </w:r>
      <w:r>
        <w:rPr>
          <w:lang w:val="en-US"/>
        </w:rPr>
        <w:t>UN General Assembly, New York Declaration for Refugees and Migrants, outcome document of the high-level plenary meeting of the General Assembly on addressing large movements of refugees and migrants, A/71/L.1, 13 September 2016.</w:t>
      </w:r>
    </w:p>
  </w:footnote>
  <w:footnote w:id="2">
    <w:p w:rsidR="0082476D" w:rsidRPr="00365F63" w:rsidRDefault="0082476D" w:rsidP="00A37A37">
      <w:pPr>
        <w:pStyle w:val="FootnoteText"/>
        <w:jc w:val="left"/>
        <w:rPr>
          <w:lang w:val="en-US"/>
        </w:rPr>
      </w:pPr>
      <w:r>
        <w:rPr>
          <w:rStyle w:val="FootnoteReference"/>
        </w:rPr>
        <w:footnoteRef/>
      </w:r>
      <w:r>
        <w:t xml:space="preserve"> Including the Convention on the Elimination of All Forms of Discrimination against Women (CEDAW), in particular General Recommendation 26 on women migrant workers (GR26), General Recommendation </w:t>
      </w:r>
      <w:r w:rsidRPr="00076FCB">
        <w:t>32</w:t>
      </w:r>
      <w:r>
        <w:t xml:space="preserve"> on </w:t>
      </w:r>
      <w:r w:rsidRPr="00076FCB">
        <w:t xml:space="preserve"> the gender-related dimensions of refugee status</w:t>
      </w:r>
      <w:r>
        <w:t xml:space="preserve"> (GR32), the International Convention on the Protection of the Rights of Migrant Workers and Members of their Families (ICRMW), including General Comment No. 1 on migrant domestic workers and the ILO Convention concerning Decent Work for Domestic W</w:t>
      </w:r>
      <w:r w:rsidRPr="00E41D65">
        <w:t>orkers</w:t>
      </w:r>
      <w:r>
        <w:t xml:space="preserve">, 2011  (No. 189) and the attending Domestic Workers Recommendation, 2011 (No. 201). </w:t>
      </w:r>
    </w:p>
    <w:p w:rsidR="0082476D" w:rsidRDefault="0082476D">
      <w:pPr>
        <w:pStyle w:val="FootnoteText"/>
      </w:pPr>
    </w:p>
  </w:footnote>
  <w:footnote w:id="3">
    <w:p w:rsidR="0082476D" w:rsidRDefault="0082476D" w:rsidP="00A37A37">
      <w:pPr>
        <w:pStyle w:val="FootnoteText"/>
        <w:jc w:val="left"/>
      </w:pPr>
      <w:r>
        <w:rPr>
          <w:rStyle w:val="FootnoteReference"/>
        </w:rPr>
        <w:footnoteRef/>
      </w:r>
      <w:r>
        <w:t xml:space="preserve"> UN General Assembly (2015) Transforming our World: the 2030 Agenda for Sustainable Development, A/Res/70/1, para. 20</w:t>
      </w:r>
    </w:p>
  </w:footnote>
  <w:footnote w:id="4">
    <w:p w:rsidR="0082476D" w:rsidRDefault="0082476D" w:rsidP="00A37A37">
      <w:pPr>
        <w:pStyle w:val="FootnoteText"/>
        <w:jc w:val="left"/>
      </w:pPr>
      <w:r>
        <w:rPr>
          <w:rStyle w:val="FootnoteReference"/>
        </w:rPr>
        <w:footnoteRef/>
      </w:r>
      <w:r>
        <w:t xml:space="preserve"> UN (2015) Addis Ababa Action Agenda of the Third International Conference on Financing for Development, para. 6</w:t>
      </w:r>
    </w:p>
  </w:footnote>
  <w:footnote w:id="5">
    <w:p w:rsidR="0082476D" w:rsidRDefault="0082476D" w:rsidP="00A37A37">
      <w:pPr>
        <w:pStyle w:val="FootnoteText"/>
        <w:jc w:val="left"/>
      </w:pPr>
      <w:r>
        <w:rPr>
          <w:rStyle w:val="FootnoteReference"/>
        </w:rPr>
        <w:footnoteRef/>
      </w:r>
      <w:r>
        <w:t xml:space="preserve"> </w:t>
      </w:r>
      <w:proofErr w:type="gramStart"/>
      <w:r>
        <w:t>UN General Assembly (2013) Declaration of the High-level Dialogue on International Migration and Development, A/68/L.5, para.</w:t>
      </w:r>
      <w:proofErr w:type="gramEnd"/>
      <w:r>
        <w:t xml:space="preserve"> 11</w:t>
      </w:r>
    </w:p>
  </w:footnote>
  <w:footnote w:id="6">
    <w:p w:rsidR="0082476D" w:rsidRDefault="0082476D" w:rsidP="00A37A37">
      <w:pPr>
        <w:pStyle w:val="FootnoteText"/>
        <w:jc w:val="left"/>
      </w:pPr>
      <w:r>
        <w:rPr>
          <w:rStyle w:val="FootnoteReference"/>
        </w:rPr>
        <w:footnoteRef/>
      </w:r>
      <w:r>
        <w:t xml:space="preserve"> Which guarantees, freedom from slavery, right to liberty, equality before the law and freedom of movement</w:t>
      </w:r>
    </w:p>
  </w:footnote>
  <w:footnote w:id="7">
    <w:p w:rsidR="0082476D" w:rsidRDefault="0082476D" w:rsidP="00A37A37">
      <w:pPr>
        <w:pStyle w:val="FootnoteText"/>
        <w:jc w:val="left"/>
      </w:pPr>
      <w:r>
        <w:rPr>
          <w:rStyle w:val="FootnoteReference"/>
        </w:rPr>
        <w:footnoteRef/>
      </w:r>
      <w:r>
        <w:t xml:space="preserve"> Which guarantees the right to work, to form trade unions, to an adequate standard of living, the right to health and the right to education</w:t>
      </w:r>
    </w:p>
  </w:footnote>
  <w:footnote w:id="8">
    <w:p w:rsidR="00BA7E42" w:rsidRDefault="00BA7E42">
      <w:pPr>
        <w:pStyle w:val="FootnoteText"/>
      </w:pPr>
      <w:r>
        <w:rPr>
          <w:rStyle w:val="FootnoteReference"/>
        </w:rPr>
        <w:footnoteRef/>
      </w:r>
      <w:r>
        <w:t xml:space="preserve"> With the exception of voting rights (for example in the ICCPR), which are limited to citizens. </w:t>
      </w:r>
    </w:p>
  </w:footnote>
  <w:footnote w:id="9">
    <w:p w:rsidR="0082476D" w:rsidRPr="009739FA" w:rsidRDefault="0082476D" w:rsidP="00A37A37">
      <w:pPr>
        <w:pStyle w:val="FootnoteText"/>
        <w:jc w:val="left"/>
      </w:pPr>
      <w:r w:rsidRPr="009739FA">
        <w:rPr>
          <w:rStyle w:val="FootnoteReference"/>
        </w:rPr>
        <w:footnoteRef/>
      </w:r>
      <w:r w:rsidRPr="009739FA">
        <w:t xml:space="preserve"> </w:t>
      </w:r>
      <w:proofErr w:type="gramStart"/>
      <w:r w:rsidRPr="009739FA">
        <w:rPr>
          <w:rFonts w:cs="Futura Std"/>
          <w:color w:val="000000"/>
        </w:rPr>
        <w:t>See, e.g., Human Rights Committee, general comment No. 31 (2004), para.</w:t>
      </w:r>
      <w:proofErr w:type="gramEnd"/>
      <w:r w:rsidRPr="009739FA">
        <w:rPr>
          <w:rFonts w:cs="Futura Std"/>
          <w:color w:val="000000"/>
        </w:rPr>
        <w:t xml:space="preserve"> </w:t>
      </w:r>
      <w:proofErr w:type="gramStart"/>
      <w:r w:rsidRPr="009739FA">
        <w:rPr>
          <w:rFonts w:cs="Futura Std"/>
          <w:color w:val="000000"/>
        </w:rPr>
        <w:t>10; Committee on the Elimination of Racial Discrimination, general recommendation No. 30 (2004) on discrimination against non-citizens, para.</w:t>
      </w:r>
      <w:proofErr w:type="gramEnd"/>
      <w:r w:rsidRPr="009739FA">
        <w:rPr>
          <w:rFonts w:cs="Futura Std"/>
          <w:color w:val="000000"/>
        </w:rPr>
        <w:t xml:space="preserve"> </w:t>
      </w:r>
      <w:proofErr w:type="gramStart"/>
      <w:r w:rsidRPr="009739FA">
        <w:rPr>
          <w:rFonts w:cs="Futura Std"/>
          <w:color w:val="000000"/>
        </w:rPr>
        <w:t>7 Committee on Economic, Social and Cultural Rights, general comment No. 20 (2009), para.</w:t>
      </w:r>
      <w:proofErr w:type="gramEnd"/>
      <w:r w:rsidRPr="009739FA">
        <w:rPr>
          <w:rFonts w:cs="Futura Std"/>
          <w:color w:val="000000"/>
        </w:rPr>
        <w:t xml:space="preserve"> 30. </w:t>
      </w:r>
      <w:r w:rsidRPr="009739FA">
        <w:t xml:space="preserve"> </w:t>
      </w:r>
    </w:p>
  </w:footnote>
  <w:footnote w:id="10">
    <w:p w:rsidR="00D060F9" w:rsidRPr="00D060F9" w:rsidRDefault="00D060F9" w:rsidP="00D060F9">
      <w:pPr>
        <w:pStyle w:val="FootnoteText"/>
      </w:pPr>
      <w:r w:rsidRPr="00FF21B2">
        <w:rPr>
          <w:rStyle w:val="FootnoteReference"/>
        </w:rPr>
        <w:footnoteRef/>
      </w:r>
      <w:r w:rsidRPr="00FF21B2">
        <w:t xml:space="preserve"> Relevant </w:t>
      </w:r>
      <w:proofErr w:type="spellStart"/>
      <w:proofErr w:type="gramStart"/>
      <w:r w:rsidRPr="00FF21B2">
        <w:t>ILo</w:t>
      </w:r>
      <w:proofErr w:type="spellEnd"/>
      <w:proofErr w:type="gramEnd"/>
      <w:r w:rsidRPr="00FF21B2">
        <w:t xml:space="preserve"> standards in the rea of social security are: Convention on Social Security (Minimum Standards), 1952 (No. 102), sets global minimum standards for all nine branches of social security. Part XII of Convention No. 102 (Article 68) is devoted to equality of treatment of non-national residents. Equality of Treatment (Social Security) Convention, 1962 (No. 118), sets forth the equality of treatment principle between national and non-national workers and their families. Maintenance of Social Security Rights Convention, 1982 (No. 157), calls for the maintenance of rights in the course of acquisition by providing for the totalization of qualifying periods completed in different countries. Maintenance of Social Security Rights Recommendation, 1983 (No. 167), sets out in its Annex a Model Agreement for the Coordination of Bilateral or Multilateral Social Security Instruments.</w:t>
      </w:r>
      <w:r w:rsidR="00FF21B2">
        <w:t xml:space="preserve"> </w:t>
      </w:r>
      <w:r w:rsidRPr="00FF21B2">
        <w:t>Social Protection Floors Recommendation, 2012 (No. 202),</w:t>
      </w:r>
      <w:r>
        <w:t xml:space="preserve"> sets four basic social security guarantees to all residents and children: (</w:t>
      </w:r>
      <w:proofErr w:type="spellStart"/>
      <w:r>
        <w:t>i</w:t>
      </w:r>
      <w:proofErr w:type="spellEnd"/>
      <w:r>
        <w:t>) access to a nationally defined set of goods and services constituting essential health care, including maternity care; (ii) basic income security for children, at least at a nationally defined minimum level; (iii) basic income security, at least at a nationally defined minimum level, for persons in active age who are unable to earn sufficient income; and (iv) basic income security, at least at a nationally defined minimum level, for older persons. Migrants and their families should have access to these basic social security guarantees</w:t>
      </w:r>
      <w:r w:rsidR="00FF21B2">
        <w:t xml:space="preserve"> </w:t>
      </w:r>
      <w:r>
        <w:t>in the State where they reside, as well as in their home country</w:t>
      </w:r>
    </w:p>
  </w:footnote>
  <w:footnote w:id="11">
    <w:p w:rsidR="0082476D" w:rsidRPr="00AE216B" w:rsidRDefault="0082476D" w:rsidP="00754723">
      <w:pPr>
        <w:pStyle w:val="FootnoteText"/>
        <w:jc w:val="left"/>
      </w:pPr>
      <w:r w:rsidRPr="00AE216B">
        <w:rPr>
          <w:rStyle w:val="FootnoteReference"/>
        </w:rPr>
        <w:footnoteRef/>
      </w:r>
      <w:r w:rsidRPr="00AE216B">
        <w:rPr>
          <w:rStyle w:val="FootnoteReference"/>
        </w:rPr>
        <w:t xml:space="preserve"> </w:t>
      </w:r>
      <w:proofErr w:type="gramStart"/>
      <w:r w:rsidRPr="00AE216B">
        <w:t>UN General Assembly (2013) Declaration of the High-level Dialogue on International Migration and Development, A/68/L.5 par</w:t>
      </w:r>
      <w:r>
        <w:t>a.</w:t>
      </w:r>
      <w:proofErr w:type="gramEnd"/>
      <w:r w:rsidRPr="00AE216B">
        <w:t xml:space="preserve"> 11</w:t>
      </w:r>
    </w:p>
  </w:footnote>
  <w:footnote w:id="12">
    <w:p w:rsidR="0082476D" w:rsidRPr="00AE216B" w:rsidRDefault="0082476D" w:rsidP="00964096">
      <w:pPr>
        <w:pStyle w:val="FootnoteText"/>
        <w:tabs>
          <w:tab w:val="left" w:pos="7590"/>
        </w:tabs>
        <w:jc w:val="left"/>
      </w:pPr>
      <w:r w:rsidRPr="00AE216B">
        <w:rPr>
          <w:rStyle w:val="FootnoteReference"/>
        </w:rPr>
        <w:footnoteRef/>
      </w:r>
      <w:r w:rsidRPr="00AE216B">
        <w:t xml:space="preserve"> Temin, M. et al. </w:t>
      </w:r>
      <w:r>
        <w:t>(</w:t>
      </w:r>
      <w:r w:rsidRPr="00AE216B">
        <w:t>2013</w:t>
      </w:r>
      <w:r>
        <w:t>)</w:t>
      </w:r>
      <w:r w:rsidRPr="00AE216B">
        <w:t xml:space="preserve"> “</w:t>
      </w:r>
      <w:r w:rsidRPr="00AE216B">
        <w:rPr>
          <w:iCs/>
        </w:rPr>
        <w:t>Adolescent Girls and Migration in the Developing World Policy Brief.” New York</w:t>
      </w:r>
      <w:r w:rsidRPr="00AE216B">
        <w:rPr>
          <w:i/>
          <w:iCs/>
        </w:rPr>
        <w:t>:</w:t>
      </w:r>
      <w:r w:rsidRPr="00AE216B">
        <w:t xml:space="preserve"> Population Council, p. 8. </w:t>
      </w:r>
    </w:p>
  </w:footnote>
  <w:footnote w:id="13">
    <w:p w:rsidR="0082476D" w:rsidRPr="00AE216B" w:rsidRDefault="0082476D" w:rsidP="0011098F">
      <w:pPr>
        <w:pStyle w:val="FootnoteText"/>
        <w:jc w:val="left"/>
      </w:pPr>
      <w:r w:rsidRPr="00AE216B">
        <w:rPr>
          <w:rStyle w:val="FootnoteReference"/>
        </w:rPr>
        <w:footnoteRef/>
      </w:r>
      <w:r w:rsidRPr="00AE216B">
        <w:t xml:space="preserve"> See, </w:t>
      </w:r>
      <w:hyperlink r:id="rId1" w:history="1">
        <w:r w:rsidRPr="00AE216B">
          <w:rPr>
            <w:rStyle w:val="Hyperlink"/>
          </w:rPr>
          <w:t>http://siteresources.worldbank.org/INTPROSPECTS/Resources/334934-1199807908806/4549025-1450455807487/Factbookpart1.pdf</w:t>
        </w:r>
      </w:hyperlink>
      <w:r w:rsidRPr="00AE216B">
        <w:t xml:space="preserve"> </w:t>
      </w:r>
    </w:p>
  </w:footnote>
  <w:footnote w:id="14">
    <w:p w:rsidR="0082476D" w:rsidRPr="0018354B" w:rsidRDefault="0082476D" w:rsidP="0011098F">
      <w:pPr>
        <w:pStyle w:val="FootnoteText"/>
        <w:jc w:val="left"/>
        <w:rPr>
          <w:sz w:val="16"/>
          <w:szCs w:val="16"/>
        </w:rPr>
      </w:pPr>
      <w:r w:rsidRPr="00AE216B">
        <w:rPr>
          <w:rStyle w:val="FootnoteReference"/>
        </w:rPr>
        <w:footnoteRef/>
      </w:r>
      <w:r w:rsidRPr="00AE216B">
        <w:t xml:space="preserve"> UN Women</w:t>
      </w:r>
      <w:r>
        <w:t xml:space="preserve"> (</w:t>
      </w:r>
      <w:r w:rsidRPr="00AE216B">
        <w:t>2013</w:t>
      </w:r>
      <w:r>
        <w:t>)</w:t>
      </w:r>
      <w:r w:rsidRPr="00AE216B">
        <w:t xml:space="preserve"> “Managing labour migration in ASEAN: Concerns for women migrant workers.” Bangkok: UN Women, p.8; </w:t>
      </w:r>
      <w:r w:rsidRPr="00AE216B">
        <w:rPr>
          <w:lang w:val="en-CA"/>
        </w:rPr>
        <w:t xml:space="preserve">Orozco, M; Lowell, L., Schneider, J. </w:t>
      </w:r>
      <w:r>
        <w:rPr>
          <w:lang w:val="en-CA"/>
        </w:rPr>
        <w:t>(</w:t>
      </w:r>
      <w:r w:rsidRPr="00AE216B">
        <w:rPr>
          <w:lang w:val="en-CA"/>
        </w:rPr>
        <w:t>2006</w:t>
      </w:r>
      <w:r>
        <w:rPr>
          <w:lang w:val="en-CA"/>
        </w:rPr>
        <w:t>)</w:t>
      </w:r>
      <w:r w:rsidRPr="00AE216B">
        <w:rPr>
          <w:lang w:val="en-CA"/>
        </w:rPr>
        <w:t xml:space="preserve"> “Gender-Specific Determinants of Remittances: Differences in Structure and Motivation.” Washington DC: The World Bank.</w:t>
      </w:r>
    </w:p>
  </w:footnote>
  <w:footnote w:id="15">
    <w:p w:rsidR="0082476D" w:rsidRDefault="0082476D" w:rsidP="00450BBC">
      <w:pPr>
        <w:pStyle w:val="FootnoteText"/>
      </w:pPr>
      <w:r>
        <w:rPr>
          <w:rStyle w:val="FootnoteReference"/>
        </w:rPr>
        <w:footnoteRef/>
      </w:r>
      <w:r>
        <w:t xml:space="preserve"> </w:t>
      </w:r>
      <w:proofErr w:type="spellStart"/>
      <w:r w:rsidRPr="00AE216B">
        <w:t>Petrozziello</w:t>
      </w:r>
      <w:proofErr w:type="spellEnd"/>
      <w:r w:rsidRPr="00AE216B">
        <w:t xml:space="preserve">, A. </w:t>
      </w:r>
      <w:r>
        <w:t>(</w:t>
      </w:r>
      <w:r w:rsidRPr="00AE216B">
        <w:t>2013</w:t>
      </w:r>
      <w:r>
        <w:t>)</w:t>
      </w:r>
      <w:r w:rsidRPr="00AE216B">
        <w:t>. “Gender on the Move: Working on the Migration-Development Nexus from a Gender Perspective.” Santo Domingo: UN Women.</w:t>
      </w:r>
    </w:p>
  </w:footnote>
  <w:footnote w:id="16">
    <w:p w:rsidR="0082476D" w:rsidRPr="00AE216B" w:rsidRDefault="0082476D" w:rsidP="001E2F52">
      <w:pPr>
        <w:pStyle w:val="FootnoteText"/>
        <w:jc w:val="left"/>
      </w:pPr>
      <w:r w:rsidRPr="00AE216B">
        <w:rPr>
          <w:rStyle w:val="FootnoteReference"/>
        </w:rPr>
        <w:footnoteRef/>
      </w:r>
      <w:r w:rsidRPr="00AE216B">
        <w:t xml:space="preserve"> </w:t>
      </w:r>
      <w:proofErr w:type="gramStart"/>
      <w:r w:rsidRPr="00AE216B">
        <w:t>UN Women</w:t>
      </w:r>
      <w:r>
        <w:t xml:space="preserve"> (</w:t>
      </w:r>
      <w:r w:rsidRPr="00AE216B">
        <w:t>2013</w:t>
      </w:r>
      <w:r>
        <w:t>)</w:t>
      </w:r>
      <w:r w:rsidRPr="00AE216B">
        <w:t xml:space="preserve"> “Contributions of migrant domestic workers to sustainable development.”</w:t>
      </w:r>
      <w:proofErr w:type="gramEnd"/>
      <w:r w:rsidRPr="00AE216B">
        <w:t xml:space="preserve"> Bangkok: UN Women, p.23</w:t>
      </w:r>
    </w:p>
  </w:footnote>
  <w:footnote w:id="17">
    <w:p w:rsidR="0082476D" w:rsidRPr="009C47BA" w:rsidRDefault="0082476D" w:rsidP="00450BBC">
      <w:pPr>
        <w:pStyle w:val="FootnoteText"/>
        <w:jc w:val="left"/>
      </w:pPr>
      <w:r w:rsidRPr="0011098F">
        <w:rPr>
          <w:rStyle w:val="FootnoteReference"/>
        </w:rPr>
        <w:footnoteRef/>
      </w:r>
      <w:r w:rsidRPr="009C47BA">
        <w:t xml:space="preserve"> UN General Assembly (2015) </w:t>
      </w:r>
      <w:r w:rsidRPr="00450BBC">
        <w:t>Report of the Secretary-General “Violence against women migrant workers</w:t>
      </w:r>
      <w:proofErr w:type="gramStart"/>
      <w:r w:rsidRPr="00450BBC">
        <w:t xml:space="preserve">” </w:t>
      </w:r>
      <w:r w:rsidRPr="00E40D7E">
        <w:t xml:space="preserve"> </w:t>
      </w:r>
      <w:r>
        <w:t>A</w:t>
      </w:r>
      <w:proofErr w:type="gramEnd"/>
      <w:r>
        <w:t xml:space="preserve">/70/205 , para. </w:t>
      </w:r>
      <w:r w:rsidRPr="009C47BA">
        <w:t>9</w:t>
      </w:r>
    </w:p>
  </w:footnote>
  <w:footnote w:id="18">
    <w:p w:rsidR="0082476D" w:rsidRPr="0011098F" w:rsidRDefault="0082476D" w:rsidP="00450BBC">
      <w:pPr>
        <w:pStyle w:val="FootnoteText"/>
        <w:jc w:val="left"/>
      </w:pPr>
      <w:r w:rsidRPr="0011098F">
        <w:rPr>
          <w:rStyle w:val="FootnoteReference"/>
        </w:rPr>
        <w:footnoteRef/>
      </w:r>
      <w:r w:rsidRPr="0011098F">
        <w:t xml:space="preserve"> </w:t>
      </w:r>
      <w:r w:rsidRPr="009C47BA">
        <w:t xml:space="preserve">UN General Assembly (2015) </w:t>
      </w:r>
      <w:r w:rsidRPr="00450BBC">
        <w:t>Report of the Secretary-General “Violence against women migrant workers</w:t>
      </w:r>
      <w:proofErr w:type="gramStart"/>
      <w:r w:rsidRPr="00450BBC">
        <w:t xml:space="preserve">” </w:t>
      </w:r>
      <w:r w:rsidRPr="00E40D7E">
        <w:t xml:space="preserve"> </w:t>
      </w:r>
      <w:r>
        <w:t>A</w:t>
      </w:r>
      <w:proofErr w:type="gramEnd"/>
      <w:r>
        <w:t xml:space="preserve">/70/205 , para. </w:t>
      </w:r>
      <w:proofErr w:type="gramStart"/>
      <w:r w:rsidRPr="0011098F">
        <w:rPr>
          <w:lang w:eastAsia="en-GB"/>
        </w:rPr>
        <w:t xml:space="preserve">6; </w:t>
      </w:r>
      <w:r w:rsidRPr="009C47BA">
        <w:t xml:space="preserve">UN General Assembly (2016) </w:t>
      </w:r>
      <w:r>
        <w:t>Report of the Secretary General “Trafficking in women and girls”</w:t>
      </w:r>
      <w:r w:rsidRPr="00EF1CD2">
        <w:t xml:space="preserve"> </w:t>
      </w:r>
      <w:r>
        <w:t xml:space="preserve">A/71/223, </w:t>
      </w:r>
      <w:r w:rsidRPr="0011098F">
        <w:t>para</w:t>
      </w:r>
      <w:r>
        <w:t>.</w:t>
      </w:r>
      <w:proofErr w:type="gramEnd"/>
      <w:r w:rsidRPr="0011098F">
        <w:t xml:space="preserve"> 67</w:t>
      </w:r>
    </w:p>
  </w:footnote>
  <w:footnote w:id="19">
    <w:p w:rsidR="0082476D" w:rsidRPr="00973DF0" w:rsidRDefault="0082476D" w:rsidP="00450BBC">
      <w:pPr>
        <w:pStyle w:val="FootnoteText"/>
        <w:jc w:val="left"/>
      </w:pPr>
      <w:r w:rsidRPr="00973DF0">
        <w:rPr>
          <w:rStyle w:val="FootnoteReference"/>
        </w:rPr>
        <w:footnoteRef/>
      </w:r>
      <w:r w:rsidRPr="00973DF0">
        <w:t xml:space="preserve"> </w:t>
      </w:r>
      <w:r w:rsidRPr="009C47BA">
        <w:t xml:space="preserve">UN General Assembly (2012) </w:t>
      </w:r>
      <w:r w:rsidRPr="00973DF0">
        <w:t>Report of the Special Rapporteur on the Human Rights of Migrants, A/HRC/20/24</w:t>
      </w:r>
    </w:p>
  </w:footnote>
  <w:footnote w:id="20">
    <w:p w:rsidR="0082476D" w:rsidRPr="00AE216B" w:rsidRDefault="0082476D" w:rsidP="00450BBC">
      <w:pPr>
        <w:pStyle w:val="FootnoteText"/>
        <w:jc w:val="left"/>
      </w:pPr>
      <w:r w:rsidRPr="00AE216B">
        <w:rPr>
          <w:rStyle w:val="FootnoteReference"/>
        </w:rPr>
        <w:footnoteRef/>
      </w:r>
      <w:r w:rsidRPr="00AE216B">
        <w:t xml:space="preserve"> UN Women</w:t>
      </w:r>
      <w:r>
        <w:t xml:space="preserve"> (</w:t>
      </w:r>
      <w:r w:rsidRPr="00AE216B">
        <w:t>2016</w:t>
      </w:r>
      <w:r>
        <w:t>)</w:t>
      </w:r>
      <w:r w:rsidRPr="00AE216B">
        <w:t xml:space="preserve"> “Progress of the world’s women: transforming economies, realizing ri</w:t>
      </w:r>
      <w:r>
        <w:t xml:space="preserve">ghts.” New York: UN Women, p.92 </w:t>
      </w:r>
    </w:p>
  </w:footnote>
  <w:footnote w:id="21">
    <w:p w:rsidR="0082476D" w:rsidRPr="00AE216B" w:rsidRDefault="0082476D" w:rsidP="00450BBC">
      <w:pPr>
        <w:pStyle w:val="FootnoteText"/>
        <w:jc w:val="left"/>
        <w:rPr>
          <w:lang w:val="en-US"/>
        </w:rPr>
      </w:pPr>
      <w:r w:rsidRPr="00AE216B">
        <w:rPr>
          <w:rStyle w:val="FootnoteReference"/>
        </w:rPr>
        <w:footnoteRef/>
      </w:r>
      <w:r w:rsidRPr="00AE216B">
        <w:t xml:space="preserve"> </w:t>
      </w:r>
      <w:r w:rsidRPr="009C47BA">
        <w:t xml:space="preserve">UN General Assembly (2015) </w:t>
      </w:r>
      <w:r w:rsidRPr="00AE216B">
        <w:t>Report of the Secretary-General, "In safety and dignity: addressing large movements of refugees and migrants"</w:t>
      </w:r>
      <w:r w:rsidRPr="00450BBC">
        <w:t xml:space="preserve"> </w:t>
      </w:r>
      <w:r>
        <w:t>A/71/59</w:t>
      </w:r>
    </w:p>
  </w:footnote>
  <w:footnote w:id="22">
    <w:p w:rsidR="0082476D" w:rsidRDefault="0082476D" w:rsidP="00450BBC">
      <w:pPr>
        <w:pStyle w:val="FootnoteText"/>
        <w:jc w:val="left"/>
      </w:pPr>
      <w:r>
        <w:rPr>
          <w:rStyle w:val="FootnoteReference"/>
        </w:rPr>
        <w:footnoteRef/>
      </w:r>
      <w:r>
        <w:t xml:space="preserve"> Beijing Declaration and Platform for Action, Article D.112 </w:t>
      </w:r>
    </w:p>
  </w:footnote>
  <w:footnote w:id="23">
    <w:p w:rsidR="0082476D" w:rsidRDefault="0082476D" w:rsidP="00450BBC">
      <w:pPr>
        <w:pStyle w:val="FootnoteText"/>
        <w:jc w:val="left"/>
      </w:pPr>
      <w:r>
        <w:rPr>
          <w:rStyle w:val="FootnoteReference"/>
        </w:rPr>
        <w:footnoteRef/>
      </w:r>
      <w:r>
        <w:t xml:space="preserve"> </w:t>
      </w:r>
      <w:r w:rsidRPr="00AE216B">
        <w:t xml:space="preserve">According to the ILO, globally, almost 21 million people are victims of forced labour, and 14.2 million are victims of forced labour exploitation. About 11.4 million are women and girls and 29% of all victims of forced labour are migrants. </w:t>
      </w:r>
      <w:r>
        <w:t>Available at:</w:t>
      </w:r>
      <w:r w:rsidRPr="00AE216B">
        <w:t xml:space="preserve"> </w:t>
      </w:r>
      <w:hyperlink r:id="rId2" w:history="1">
        <w:r w:rsidRPr="00973DF0">
          <w:rPr>
            <w:rStyle w:val="Hyperlink"/>
          </w:rPr>
          <w:t>http://www.ilo.org/wcmsp5/groups/public/---</w:t>
        </w:r>
        <w:proofErr w:type="spellStart"/>
        <w:r w:rsidRPr="00973DF0">
          <w:rPr>
            <w:rStyle w:val="Hyperlink"/>
          </w:rPr>
          <w:t>ed_norm</w:t>
        </w:r>
        <w:proofErr w:type="spellEnd"/>
        <w:r w:rsidRPr="00973DF0">
          <w:rPr>
            <w:rStyle w:val="Hyperlink"/>
          </w:rPr>
          <w:t>/---declaration/documents/publication/wcms_182004.pdf</w:t>
        </w:r>
      </w:hyperlink>
    </w:p>
  </w:footnote>
  <w:footnote w:id="24">
    <w:p w:rsidR="0082476D" w:rsidRPr="00973DF0" w:rsidRDefault="0082476D" w:rsidP="006A6DAE">
      <w:pPr>
        <w:pStyle w:val="FootnoteText"/>
        <w:jc w:val="left"/>
      </w:pPr>
      <w:r w:rsidRPr="00AE216B">
        <w:rPr>
          <w:rStyle w:val="FootnoteReference"/>
        </w:rPr>
        <w:footnoteRef/>
      </w:r>
      <w:r w:rsidRPr="00AE216B">
        <w:t xml:space="preserve"> </w:t>
      </w:r>
      <w:r w:rsidRPr="009C47BA">
        <w:t xml:space="preserve">UN General Assembly (2016) </w:t>
      </w:r>
      <w:r>
        <w:t>Report of the Secretary General “Trafficking in women and girls”</w:t>
      </w:r>
      <w:r w:rsidRPr="00EF1CD2">
        <w:t xml:space="preserve"> </w:t>
      </w:r>
      <w:r>
        <w:t>A/71/223</w:t>
      </w:r>
    </w:p>
  </w:footnote>
  <w:footnote w:id="25">
    <w:p w:rsidR="0082476D" w:rsidRPr="009C47BA" w:rsidRDefault="0082476D" w:rsidP="006A6DAE">
      <w:pPr>
        <w:pStyle w:val="FootnoteText"/>
        <w:jc w:val="left"/>
      </w:pPr>
      <w:r w:rsidRPr="0011098F">
        <w:rPr>
          <w:rStyle w:val="FootnoteReference"/>
        </w:rPr>
        <w:footnoteRef/>
      </w:r>
      <w:r w:rsidRPr="009C47BA">
        <w:t xml:space="preserve"> UN General Assembly (2015) </w:t>
      </w:r>
      <w:r w:rsidRPr="00450BBC">
        <w:t xml:space="preserve">Report of the Secretary-General “Violence against women migrant workers” </w:t>
      </w:r>
      <w:r>
        <w:t>A/70/</w:t>
      </w:r>
      <w:proofErr w:type="gramStart"/>
      <w:r>
        <w:t>205 ,</w:t>
      </w:r>
      <w:proofErr w:type="gramEnd"/>
      <w:r>
        <w:t xml:space="preserve"> para. 10</w:t>
      </w:r>
    </w:p>
  </w:footnote>
  <w:footnote w:id="26">
    <w:p w:rsidR="0082476D" w:rsidRDefault="0082476D" w:rsidP="006A6DAE">
      <w:pPr>
        <w:pStyle w:val="FootnoteText"/>
        <w:jc w:val="left"/>
      </w:pPr>
      <w:r>
        <w:rPr>
          <w:rStyle w:val="FootnoteReference"/>
        </w:rPr>
        <w:footnoteRef/>
      </w:r>
      <w:r>
        <w:t xml:space="preserve"> </w:t>
      </w:r>
      <w:r w:rsidRPr="007D2230">
        <w:t>The demand for women migrant workers in the domestic and care sectors is a product of aging populations, declining fertility rates and increasing female labour participation, which has resulted in a care deficit in many wealthier economies, often made worse due to lack of affordable public care services.</w:t>
      </w:r>
    </w:p>
  </w:footnote>
  <w:footnote w:id="27">
    <w:p w:rsidR="0082476D" w:rsidRDefault="0082476D" w:rsidP="006A6DAE">
      <w:pPr>
        <w:pStyle w:val="FootnoteText"/>
        <w:jc w:val="left"/>
      </w:pPr>
      <w:r>
        <w:rPr>
          <w:rStyle w:val="FootnoteReference"/>
        </w:rPr>
        <w:footnoteRef/>
      </w:r>
      <w:r>
        <w:t xml:space="preserve"> see: </w:t>
      </w:r>
      <w:hyperlink r:id="rId3" w:history="1">
        <w:r w:rsidRPr="00C81902">
          <w:rPr>
            <w:rStyle w:val="Hyperlink"/>
          </w:rPr>
          <w:t>http://www.ilo.org/wcmsp5/groups/public/---</w:t>
        </w:r>
        <w:proofErr w:type="spellStart"/>
        <w:r w:rsidRPr="00C81902">
          <w:rPr>
            <w:rStyle w:val="Hyperlink"/>
          </w:rPr>
          <w:t>dgreports</w:t>
        </w:r>
        <w:proofErr w:type="spellEnd"/>
        <w:r w:rsidRPr="00C81902">
          <w:rPr>
            <w:rStyle w:val="Hyperlink"/>
          </w:rPr>
          <w:t>/---</w:t>
        </w:r>
        <w:proofErr w:type="spellStart"/>
        <w:r w:rsidRPr="00C81902">
          <w:rPr>
            <w:rStyle w:val="Hyperlink"/>
          </w:rPr>
          <w:t>dcomm</w:t>
        </w:r>
        <w:proofErr w:type="spellEnd"/>
        <w:r w:rsidRPr="00C81902">
          <w:rPr>
            <w:rStyle w:val="Hyperlink"/>
          </w:rPr>
          <w:t>/documents/publication/wcms_436343.pdf</w:t>
        </w:r>
      </w:hyperlink>
      <w:r>
        <w:t xml:space="preserve"> </w:t>
      </w:r>
    </w:p>
  </w:footnote>
  <w:footnote w:id="28">
    <w:p w:rsidR="0082476D" w:rsidRPr="00973DF0" w:rsidRDefault="0082476D" w:rsidP="006A6DAE">
      <w:pPr>
        <w:pStyle w:val="FootnoteText"/>
        <w:jc w:val="left"/>
      </w:pPr>
      <w:r w:rsidRPr="00973DF0">
        <w:rPr>
          <w:rStyle w:val="FootnoteReference"/>
        </w:rPr>
        <w:footnoteRef/>
      </w:r>
      <w:r w:rsidRPr="00973DF0">
        <w:t>UN Women</w:t>
      </w:r>
      <w:r>
        <w:t xml:space="preserve"> (</w:t>
      </w:r>
      <w:r w:rsidRPr="00973DF0">
        <w:t>2016</w:t>
      </w:r>
      <w:r>
        <w:t>)</w:t>
      </w:r>
      <w:r w:rsidRPr="00973DF0">
        <w:t xml:space="preserve"> “Progress of the world’s women: transforming economies, realizing ri</w:t>
      </w:r>
      <w:r>
        <w:t>ghts.” New York: UN Women, p.34</w:t>
      </w:r>
    </w:p>
  </w:footnote>
  <w:footnote w:id="29">
    <w:p w:rsidR="0082476D" w:rsidRPr="00973DF0" w:rsidRDefault="0082476D" w:rsidP="006A6DAE">
      <w:pPr>
        <w:pStyle w:val="FootnoteText"/>
        <w:jc w:val="left"/>
      </w:pPr>
      <w:r w:rsidRPr="00973DF0">
        <w:rPr>
          <w:rStyle w:val="FootnoteReference"/>
        </w:rPr>
        <w:footnoteRef/>
      </w:r>
      <w:r w:rsidRPr="00973DF0">
        <w:t xml:space="preserve"> Human Rights Watch</w:t>
      </w:r>
      <w:r>
        <w:t xml:space="preserve"> (</w:t>
      </w:r>
      <w:r w:rsidRPr="00973DF0">
        <w:t>2014</w:t>
      </w:r>
      <w:r>
        <w:t>)</w:t>
      </w:r>
      <w:r w:rsidRPr="00973DF0">
        <w:t xml:space="preserve"> “UK: Migrant domestic workers face </w:t>
      </w:r>
      <w:r>
        <w:t>serious abuse.” A</w:t>
      </w:r>
      <w:r w:rsidRPr="00973DF0">
        <w:t xml:space="preserve">vailable at: </w:t>
      </w:r>
      <w:hyperlink r:id="rId4" w:history="1">
        <w:r w:rsidRPr="00973DF0">
          <w:rPr>
            <w:rStyle w:val="Hyperlink"/>
          </w:rPr>
          <w:t>https://www.hrw.org/news/2014/03/31/uk-migrant-domestic-workers-face-serious-abuse</w:t>
        </w:r>
      </w:hyperlink>
      <w:r>
        <w:rPr>
          <w:rStyle w:val="Hyperlink"/>
        </w:rPr>
        <w:t xml:space="preserve">; </w:t>
      </w:r>
      <w:r w:rsidRPr="00973DF0">
        <w:t xml:space="preserve">Donovan, P. </w:t>
      </w:r>
      <w:r>
        <w:t>(</w:t>
      </w:r>
      <w:r w:rsidRPr="00973DF0">
        <w:t>2013</w:t>
      </w:r>
      <w:r>
        <w:t>)</w:t>
      </w:r>
      <w:r w:rsidRPr="00973DF0">
        <w:t xml:space="preserve"> “Britain Turns Back the Clock on Migrant Domestic Workers”. </w:t>
      </w:r>
      <w:proofErr w:type="gramStart"/>
      <w:r w:rsidRPr="00973DF0">
        <w:t>New Internationalist Magazine.</w:t>
      </w:r>
      <w:proofErr w:type="gramEnd"/>
      <w:r w:rsidRPr="00973DF0">
        <w:t xml:space="preserve"> </w:t>
      </w:r>
      <w:proofErr w:type="gramStart"/>
      <w:r w:rsidRPr="00973DF0">
        <w:t>Online.</w:t>
      </w:r>
      <w:proofErr w:type="gramEnd"/>
      <w:r w:rsidRPr="00973DF0">
        <w:t xml:space="preserve"> 02 July. Available at </w:t>
      </w:r>
      <w:hyperlink r:id="rId5" w:history="1">
        <w:r w:rsidRPr="00973DF0">
          <w:t>http://newint.org/features/web-exclusive/2013/07/02/domestic-worker-visa-britain/</w:t>
        </w:r>
      </w:hyperlink>
      <w:r>
        <w:t xml:space="preserve"> </w:t>
      </w:r>
      <w:r w:rsidRPr="00973DF0">
        <w:t xml:space="preserve"> </w:t>
      </w:r>
    </w:p>
  </w:footnote>
  <w:footnote w:id="30">
    <w:p w:rsidR="0082476D" w:rsidRPr="001C56B9" w:rsidRDefault="0082476D" w:rsidP="006A6DAE">
      <w:pPr>
        <w:spacing w:line="240" w:lineRule="auto"/>
        <w:jc w:val="left"/>
        <w:rPr>
          <w:sz w:val="20"/>
          <w:szCs w:val="20"/>
        </w:rPr>
      </w:pPr>
      <w:r w:rsidRPr="00973DF0">
        <w:rPr>
          <w:rStyle w:val="FootnoteReference"/>
          <w:sz w:val="20"/>
          <w:szCs w:val="20"/>
        </w:rPr>
        <w:footnoteRef/>
      </w:r>
      <w:r w:rsidRPr="00973DF0">
        <w:rPr>
          <w:sz w:val="20"/>
          <w:szCs w:val="20"/>
        </w:rPr>
        <w:t xml:space="preserve"> </w:t>
      </w:r>
      <w:proofErr w:type="spellStart"/>
      <w:r w:rsidRPr="00973DF0">
        <w:rPr>
          <w:sz w:val="20"/>
          <w:szCs w:val="20"/>
        </w:rPr>
        <w:t>Hennebry</w:t>
      </w:r>
      <w:proofErr w:type="spellEnd"/>
      <w:r w:rsidRPr="00973DF0">
        <w:rPr>
          <w:sz w:val="20"/>
          <w:szCs w:val="20"/>
        </w:rPr>
        <w:t xml:space="preserve">, J. </w:t>
      </w:r>
      <w:r>
        <w:rPr>
          <w:sz w:val="20"/>
          <w:szCs w:val="20"/>
        </w:rPr>
        <w:t>(</w:t>
      </w:r>
      <w:r w:rsidRPr="00973DF0">
        <w:rPr>
          <w:sz w:val="20"/>
          <w:szCs w:val="20"/>
        </w:rPr>
        <w:t>2014</w:t>
      </w:r>
      <w:r>
        <w:rPr>
          <w:sz w:val="20"/>
          <w:szCs w:val="20"/>
        </w:rPr>
        <w:t>)</w:t>
      </w:r>
      <w:r w:rsidRPr="00973DF0">
        <w:rPr>
          <w:sz w:val="20"/>
          <w:szCs w:val="20"/>
        </w:rPr>
        <w:t xml:space="preserve"> “Falling through the cracks. </w:t>
      </w:r>
      <w:proofErr w:type="gramStart"/>
      <w:r w:rsidRPr="00973DF0">
        <w:rPr>
          <w:sz w:val="20"/>
          <w:szCs w:val="20"/>
        </w:rPr>
        <w:t>Migrant workers and Social Protection.”</w:t>
      </w:r>
      <w:proofErr w:type="gramEnd"/>
      <w:r w:rsidRPr="00973DF0">
        <w:rPr>
          <w:sz w:val="20"/>
          <w:szCs w:val="20"/>
        </w:rPr>
        <w:t xml:space="preserve"> </w:t>
      </w:r>
      <w:proofErr w:type="gramStart"/>
      <w:r w:rsidRPr="00973DF0">
        <w:rPr>
          <w:sz w:val="20"/>
          <w:szCs w:val="20"/>
        </w:rPr>
        <w:t>Global Social Policy</w:t>
      </w:r>
      <w:r w:rsidRPr="001C56B9">
        <w:rPr>
          <w:sz w:val="20"/>
          <w:szCs w:val="20"/>
        </w:rPr>
        <w:t>.</w:t>
      </w:r>
      <w:proofErr w:type="gramEnd"/>
    </w:p>
  </w:footnote>
  <w:footnote w:id="31">
    <w:p w:rsidR="0082476D" w:rsidRPr="00AE216B" w:rsidRDefault="0082476D" w:rsidP="006A6DAE">
      <w:pPr>
        <w:pStyle w:val="FootnoteText"/>
        <w:jc w:val="left"/>
      </w:pPr>
      <w:r w:rsidRPr="00AE216B">
        <w:rPr>
          <w:rStyle w:val="FootnoteReference"/>
        </w:rPr>
        <w:footnoteRef/>
      </w:r>
      <w:r w:rsidRPr="00AE216B">
        <w:t xml:space="preserve"> </w:t>
      </w:r>
      <w:proofErr w:type="spellStart"/>
      <w:proofErr w:type="gramStart"/>
      <w:r w:rsidRPr="00AE216B">
        <w:t>Hochschild</w:t>
      </w:r>
      <w:proofErr w:type="spellEnd"/>
      <w:r w:rsidRPr="00AE216B">
        <w:t xml:space="preserve">, A.R. </w:t>
      </w:r>
      <w:r>
        <w:t>(</w:t>
      </w:r>
      <w:r w:rsidRPr="00AE216B">
        <w:t>2000</w:t>
      </w:r>
      <w:r>
        <w:t>)</w:t>
      </w:r>
      <w:r w:rsidRPr="00AE216B">
        <w:t xml:space="preserve"> “Global care chains and emotional surplus value”.</w:t>
      </w:r>
      <w:proofErr w:type="gramEnd"/>
      <w:r w:rsidRPr="00AE216B">
        <w:t xml:space="preserve"> </w:t>
      </w:r>
      <w:proofErr w:type="gramStart"/>
      <w:r w:rsidRPr="00AE216B">
        <w:t>In W. Hutton, &amp; A. Giddens (Eds.).</w:t>
      </w:r>
      <w:proofErr w:type="gramEnd"/>
      <w:r w:rsidRPr="00AE216B">
        <w:t xml:space="preserve"> </w:t>
      </w:r>
      <w:r w:rsidRPr="00AE216B">
        <w:rPr>
          <w:i/>
          <w:iCs/>
        </w:rPr>
        <w:t>On the Edge: Living with Global Capitalism</w:t>
      </w:r>
      <w:r w:rsidRPr="00AE216B">
        <w:t>. London: Jonathan Cape.</w:t>
      </w:r>
    </w:p>
  </w:footnote>
  <w:footnote w:id="32">
    <w:p w:rsidR="0082476D" w:rsidRDefault="0082476D" w:rsidP="004F2B9D">
      <w:pPr>
        <w:pStyle w:val="FootnoteText"/>
      </w:pPr>
      <w:r>
        <w:rPr>
          <w:rStyle w:val="FootnoteReference"/>
        </w:rPr>
        <w:footnoteRef/>
      </w:r>
      <w:r>
        <w:t xml:space="preserve"> </w:t>
      </w:r>
      <w:proofErr w:type="gramStart"/>
      <w:r w:rsidRPr="000C4B52">
        <w:t xml:space="preserve">UN General Assembly (2015) </w:t>
      </w:r>
      <w:r w:rsidRPr="00450BBC">
        <w:t xml:space="preserve">Report of the Secretary-General “Violence against women migrant workers” </w:t>
      </w:r>
      <w:r>
        <w:t>A/70/205, para.</w:t>
      </w:r>
      <w:proofErr w:type="gramEnd"/>
      <w:r>
        <w:t xml:space="preserve"> 34</w:t>
      </w:r>
    </w:p>
  </w:footnote>
  <w:footnote w:id="33">
    <w:p w:rsidR="0082476D" w:rsidRDefault="0082476D" w:rsidP="00F11D52">
      <w:pPr>
        <w:pStyle w:val="CommentText"/>
      </w:pPr>
      <w:r>
        <w:rPr>
          <w:rStyle w:val="FootnoteReference"/>
        </w:rPr>
        <w:footnoteRef/>
      </w:r>
      <w:r>
        <w:t xml:space="preserve"> </w:t>
      </w:r>
      <w:proofErr w:type="gramStart"/>
      <w:r w:rsidRPr="00F11D52">
        <w:t xml:space="preserve">UN General Assembly (2015) </w:t>
      </w:r>
      <w:r w:rsidRPr="00450BBC">
        <w:t xml:space="preserve">Report of the Secretary-General “Violence against women migrant workers” </w:t>
      </w:r>
      <w:r>
        <w:t>A/70/205, para.</w:t>
      </w:r>
      <w:proofErr w:type="gramEnd"/>
      <w:r>
        <w:t xml:space="preserve"> 40-41.</w:t>
      </w:r>
    </w:p>
    <w:p w:rsidR="0082476D" w:rsidRDefault="0082476D">
      <w:pPr>
        <w:pStyle w:val="FootnoteText"/>
      </w:pPr>
    </w:p>
  </w:footnote>
  <w:footnote w:id="34">
    <w:p w:rsidR="0082476D" w:rsidRDefault="0082476D" w:rsidP="00325D1D">
      <w:pPr>
        <w:pStyle w:val="FootnoteText"/>
      </w:pPr>
      <w:r>
        <w:rPr>
          <w:rStyle w:val="FootnoteReference"/>
        </w:rPr>
        <w:footnoteRef/>
      </w:r>
      <w:r>
        <w:t xml:space="preserve"> </w:t>
      </w:r>
      <w:proofErr w:type="gramStart"/>
      <w:r w:rsidRPr="000C4B52">
        <w:t xml:space="preserve">UN General Assembly (2015) </w:t>
      </w:r>
      <w:r w:rsidRPr="00450BBC">
        <w:t xml:space="preserve">Report of the Secretary-General “Violence against women migrant workers” </w:t>
      </w:r>
      <w:r>
        <w:t>A/70/205, para.</w:t>
      </w:r>
      <w:proofErr w:type="gramEnd"/>
      <w:r>
        <w:t xml:space="preserve"> 36</w:t>
      </w:r>
    </w:p>
  </w:footnote>
  <w:footnote w:id="35">
    <w:p w:rsidR="0082476D" w:rsidRDefault="0082476D" w:rsidP="00A377E4">
      <w:pPr>
        <w:pStyle w:val="CommentText"/>
      </w:pPr>
      <w:r>
        <w:rPr>
          <w:rStyle w:val="FootnoteReference"/>
        </w:rPr>
        <w:footnoteRef/>
      </w:r>
      <w:r>
        <w:t xml:space="preserve"> </w:t>
      </w:r>
      <w:proofErr w:type="gramStart"/>
      <w:r w:rsidRPr="000C4B52">
        <w:t xml:space="preserve">UN General Assembly (2015) </w:t>
      </w:r>
      <w:r w:rsidRPr="00450BBC">
        <w:t xml:space="preserve">Report of the Secretary-General “Violence against women migrant workers” </w:t>
      </w:r>
      <w:r>
        <w:t>A/70/205, para.</w:t>
      </w:r>
      <w:proofErr w:type="gramEnd"/>
      <w:r>
        <w:t xml:space="preserve"> 29.</w:t>
      </w:r>
    </w:p>
    <w:p w:rsidR="0082476D" w:rsidRDefault="0082476D" w:rsidP="00A377E4">
      <w:pPr>
        <w:pStyle w:val="FootnoteText"/>
      </w:pPr>
    </w:p>
  </w:footnote>
  <w:footnote w:id="36">
    <w:p w:rsidR="00F906BF" w:rsidRPr="004D79E3" w:rsidRDefault="00F906BF">
      <w:pPr>
        <w:pStyle w:val="FootnoteText"/>
        <w:rPr>
          <w:lang w:val="en-US"/>
        </w:rPr>
      </w:pPr>
      <w:r>
        <w:rPr>
          <w:rStyle w:val="FootnoteReference"/>
        </w:rPr>
        <w:footnoteRef/>
      </w:r>
      <w:r>
        <w:t xml:space="preserve"> </w:t>
      </w:r>
      <w:r>
        <w:rPr>
          <w:lang w:val="pt-PT"/>
        </w:rPr>
        <w:t xml:space="preserve">UN General </w:t>
      </w:r>
      <w:proofErr w:type="spellStart"/>
      <w:r>
        <w:rPr>
          <w:lang w:val="pt-PT"/>
        </w:rPr>
        <w:t>Assembly</w:t>
      </w:r>
      <w:proofErr w:type="spellEnd"/>
      <w:r>
        <w:rPr>
          <w:lang w:val="pt-PT"/>
        </w:rPr>
        <w:t xml:space="preserve"> (2015) </w:t>
      </w:r>
      <w:r w:rsidRPr="00450BBC">
        <w:t>Report of the Secretary-General “</w:t>
      </w:r>
      <w:r>
        <w:t>Women in Development</w:t>
      </w:r>
      <w:r w:rsidRPr="00450BBC">
        <w:t>”</w:t>
      </w:r>
      <w:proofErr w:type="gramStart"/>
      <w:r w:rsidRPr="00450BBC">
        <w:t xml:space="preserve"> </w:t>
      </w:r>
      <w:r w:rsidRPr="00E40D7E">
        <w:t xml:space="preserve"> </w:t>
      </w:r>
      <w:r>
        <w:t>A</w:t>
      </w:r>
      <w:proofErr w:type="gramEnd"/>
      <w:r>
        <w:t>/70/256 , para. 27</w:t>
      </w:r>
    </w:p>
  </w:footnote>
  <w:footnote w:id="37">
    <w:p w:rsidR="00F906BF" w:rsidRPr="004D79E3" w:rsidRDefault="00F906BF">
      <w:pPr>
        <w:pStyle w:val="FootnoteText"/>
        <w:rPr>
          <w:lang w:val="en-US"/>
        </w:rPr>
      </w:pPr>
      <w:r>
        <w:rPr>
          <w:rStyle w:val="FootnoteReference"/>
        </w:rPr>
        <w:footnoteRef/>
      </w:r>
      <w:r>
        <w:t xml:space="preserve"> </w:t>
      </w:r>
      <w:r>
        <w:rPr>
          <w:lang w:val="pt-PT"/>
        </w:rPr>
        <w:t xml:space="preserve">UN General </w:t>
      </w:r>
      <w:proofErr w:type="spellStart"/>
      <w:r>
        <w:rPr>
          <w:lang w:val="pt-PT"/>
        </w:rPr>
        <w:t>Assembly</w:t>
      </w:r>
      <w:proofErr w:type="spellEnd"/>
      <w:r>
        <w:rPr>
          <w:lang w:val="pt-PT"/>
        </w:rPr>
        <w:t xml:space="preserve"> (2015) </w:t>
      </w:r>
      <w:r w:rsidRPr="00450BBC">
        <w:t xml:space="preserve">Report of the Secretary-General “Violence against women migrant workers” </w:t>
      </w:r>
      <w:r>
        <w:t>A/70/</w:t>
      </w:r>
      <w:proofErr w:type="gramStart"/>
      <w:r>
        <w:t>205 ,</w:t>
      </w:r>
      <w:proofErr w:type="gramEnd"/>
      <w:r>
        <w:t xml:space="preserve"> para. 34.</w:t>
      </w:r>
    </w:p>
  </w:footnote>
  <w:footnote w:id="38">
    <w:p w:rsidR="0082476D" w:rsidRDefault="0082476D">
      <w:pPr>
        <w:pStyle w:val="FootnoteText"/>
      </w:pPr>
      <w:r>
        <w:rPr>
          <w:rStyle w:val="FootnoteReference"/>
        </w:rPr>
        <w:footnoteRef/>
      </w:r>
      <w:r>
        <w:t xml:space="preserve"> </w:t>
      </w:r>
      <w:proofErr w:type="gramStart"/>
      <w:r w:rsidRPr="000C4B52">
        <w:t xml:space="preserve">UN General Assembly (2015) </w:t>
      </w:r>
      <w:r w:rsidRPr="00450BBC">
        <w:t xml:space="preserve">Report of the Secretary-General “Violence against women migrant workers” </w:t>
      </w:r>
      <w:r>
        <w:t>A/70/205, para.</w:t>
      </w:r>
      <w:proofErr w:type="gramEnd"/>
      <w:r>
        <w:t xml:space="preserve"> 35</w:t>
      </w:r>
    </w:p>
  </w:footnote>
  <w:footnote w:id="39">
    <w:p w:rsidR="0082476D" w:rsidRDefault="0082476D" w:rsidP="00537D97">
      <w:pPr>
        <w:pStyle w:val="CommentText"/>
      </w:pPr>
      <w:r>
        <w:rPr>
          <w:rStyle w:val="FootnoteReference"/>
        </w:rPr>
        <w:footnoteRef/>
      </w:r>
      <w:r>
        <w:t xml:space="preserve"> </w:t>
      </w:r>
      <w:proofErr w:type="gramStart"/>
      <w:r w:rsidRPr="000C4B52">
        <w:t xml:space="preserve">UN General Assembly (2015) </w:t>
      </w:r>
      <w:r w:rsidRPr="00450BBC">
        <w:t xml:space="preserve">Report of the Secretary-General “Violence against women migrant workers” </w:t>
      </w:r>
      <w:r>
        <w:t>A/70/205, para.</w:t>
      </w:r>
      <w:proofErr w:type="gramEnd"/>
      <w:r>
        <w:t xml:space="preserve"> 50.</w:t>
      </w:r>
    </w:p>
  </w:footnote>
  <w:footnote w:id="40">
    <w:p w:rsidR="0082476D" w:rsidRDefault="0082476D" w:rsidP="00EE210E">
      <w:pPr>
        <w:pStyle w:val="FootnoteText"/>
      </w:pPr>
      <w:r>
        <w:rPr>
          <w:rStyle w:val="FootnoteReference"/>
        </w:rPr>
        <w:footnoteRef/>
      </w:r>
      <w:r>
        <w:t xml:space="preserve"> </w:t>
      </w:r>
      <w:proofErr w:type="gramStart"/>
      <w:r w:rsidRPr="000C4B52">
        <w:t xml:space="preserve">UN General Assembly (2015) </w:t>
      </w:r>
      <w:r w:rsidRPr="00450BBC">
        <w:t xml:space="preserve">Report of the Secretary-General “Violence against women migrant workers” </w:t>
      </w:r>
      <w:r>
        <w:t>A/70/205, para.</w:t>
      </w:r>
      <w:proofErr w:type="gramEnd"/>
      <w:r>
        <w:t xml:space="preserve"> 32.</w:t>
      </w:r>
    </w:p>
  </w:footnote>
  <w:footnote w:id="41">
    <w:p w:rsidR="0082476D" w:rsidRDefault="0082476D" w:rsidP="00E7243E">
      <w:pPr>
        <w:pStyle w:val="CommentText"/>
      </w:pPr>
      <w:r>
        <w:rPr>
          <w:rStyle w:val="FootnoteReference"/>
        </w:rPr>
        <w:footnoteRef/>
      </w:r>
      <w:r>
        <w:t xml:space="preserve"> </w:t>
      </w:r>
      <w:proofErr w:type="gramStart"/>
      <w:r w:rsidRPr="000C4B52">
        <w:t xml:space="preserve">UN General Assembly (2015) </w:t>
      </w:r>
      <w:r w:rsidRPr="00450BBC">
        <w:t xml:space="preserve">Report of the Secretary-General “Violence against women migrant workers” </w:t>
      </w:r>
      <w:r>
        <w:t>A/70/205, para.</w:t>
      </w:r>
      <w:proofErr w:type="gramEnd"/>
      <w:r>
        <w:t xml:space="preserve"> 34.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76D" w:rsidRDefault="0082476D" w:rsidP="00332652">
    <w:pPr>
      <w:pStyle w:val="Header"/>
    </w:pPr>
    <w:r w:rsidRPr="00663886">
      <w:rPr>
        <w:b/>
        <w:noProof/>
        <w:lang w:eastAsia="en-GB"/>
      </w:rPr>
      <w:drawing>
        <wp:anchor distT="0" distB="0" distL="114300" distR="114300" simplePos="0" relativeHeight="251661312" behindDoc="0" locked="0" layoutInCell="1" allowOverlap="1" wp14:anchorId="2FC8B6DB" wp14:editId="421BBAB6">
          <wp:simplePos x="0" y="0"/>
          <wp:positionH relativeFrom="margin">
            <wp:posOffset>4057650</wp:posOffset>
          </wp:positionH>
          <wp:positionV relativeFrom="paragraph">
            <wp:posOffset>-87630</wp:posOffset>
          </wp:positionV>
          <wp:extent cx="1669415" cy="758825"/>
          <wp:effectExtent l="0" t="0" r="6985" b="3175"/>
          <wp:wrapNone/>
          <wp:docPr id="4" name="Picture 4" descr="UN_Women_English_Blue_Small_AL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_Women_English_Blue_Small_ALO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9415" cy="758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2476D" w:rsidRDefault="0082476D" w:rsidP="008F37AF">
    <w:pPr>
      <w:pStyle w:val="Header"/>
      <w:jc w:val="right"/>
    </w:pPr>
  </w:p>
  <w:p w:rsidR="0082476D" w:rsidRDefault="0082476D" w:rsidP="008F37AF">
    <w:pPr>
      <w:pStyle w:val="Header"/>
      <w:jc w:val="right"/>
    </w:pPr>
  </w:p>
  <w:p w:rsidR="0082476D" w:rsidRDefault="0082476D" w:rsidP="008F37AF">
    <w:pPr>
      <w:pStyle w:val="Header"/>
      <w:jc w:val="right"/>
    </w:pPr>
  </w:p>
  <w:p w:rsidR="0082476D" w:rsidRDefault="0082476D" w:rsidP="008F37AF">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A1A262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6DF1023"/>
    <w:multiLevelType w:val="hybridMultilevel"/>
    <w:tmpl w:val="89AADDB4"/>
    <w:lvl w:ilvl="0" w:tplc="0409000B">
      <w:start w:val="1"/>
      <w:numFmt w:val="bullet"/>
      <w:lvlText w:val=""/>
      <w:lvlJc w:val="left"/>
      <w:pPr>
        <w:ind w:left="405" w:hanging="360"/>
      </w:pPr>
      <w:rPr>
        <w:rFonts w:ascii="Wingdings" w:hAnsi="Wingdings"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2">
    <w:nsid w:val="2B1173D9"/>
    <w:multiLevelType w:val="multilevel"/>
    <w:tmpl w:val="E4065FB8"/>
    <w:lvl w:ilvl="0">
      <w:start w:val="1"/>
      <w:numFmt w:val="decimal"/>
      <w:lvlText w:val="%1."/>
      <w:lvlJc w:val="left"/>
      <w:pPr>
        <w:ind w:left="360" w:hanging="360"/>
      </w:pPr>
      <w:rPr>
        <w:b/>
      </w:rPr>
    </w:lvl>
    <w:lvl w:ilvl="1">
      <w:start w:val="1"/>
      <w:numFmt w:val="decimal"/>
      <w:lvlText w:val="%1.%2."/>
      <w:lvlJc w:val="left"/>
      <w:pPr>
        <w:ind w:left="792" w:hanging="432"/>
      </w:pPr>
      <w:rPr>
        <w:b w:val="0"/>
        <w:vertAlign w:val="baseline"/>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43386D36"/>
    <w:multiLevelType w:val="hybridMultilevel"/>
    <w:tmpl w:val="0E566ACE"/>
    <w:lvl w:ilvl="0" w:tplc="0409000B">
      <w:start w:val="1"/>
      <w:numFmt w:val="bullet"/>
      <w:lvlText w:val=""/>
      <w:lvlJc w:val="left"/>
      <w:pPr>
        <w:ind w:left="405" w:hanging="360"/>
      </w:pPr>
      <w:rPr>
        <w:rFonts w:ascii="Wingdings" w:hAnsi="Wingdings"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4">
    <w:nsid w:val="44B23436"/>
    <w:multiLevelType w:val="multilevel"/>
    <w:tmpl w:val="81E0F26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num>
  <w:num w:numId="3">
    <w:abstractNumId w:val="3"/>
  </w:num>
  <w:num w:numId="4">
    <w:abstractNumId w:val="2"/>
  </w:num>
  <w:num w:numId="5">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formatting="1" w:enforcement="1" w:cryptProviderType="rsaFull" w:cryptAlgorithmClass="hash" w:cryptAlgorithmType="typeAny" w:cryptAlgorithmSid="4" w:cryptSpinCount="100000" w:hash="OnZlLzr4fsZuX88n0ueVym+w1H8=" w:salt="dODZ9HVMaUBULlatub0RpQ=="/>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AC0"/>
    <w:rsid w:val="00000717"/>
    <w:rsid w:val="00000800"/>
    <w:rsid w:val="00000A69"/>
    <w:rsid w:val="000013A9"/>
    <w:rsid w:val="00001AFD"/>
    <w:rsid w:val="00001B79"/>
    <w:rsid w:val="00003A6D"/>
    <w:rsid w:val="00006123"/>
    <w:rsid w:val="00006DD9"/>
    <w:rsid w:val="0000728F"/>
    <w:rsid w:val="00010A0B"/>
    <w:rsid w:val="00012982"/>
    <w:rsid w:val="0001665D"/>
    <w:rsid w:val="00021C93"/>
    <w:rsid w:val="00022E5A"/>
    <w:rsid w:val="00022FF5"/>
    <w:rsid w:val="00026C60"/>
    <w:rsid w:val="00027EB9"/>
    <w:rsid w:val="00030B7B"/>
    <w:rsid w:val="00032C2B"/>
    <w:rsid w:val="00035050"/>
    <w:rsid w:val="000375ED"/>
    <w:rsid w:val="00037F9D"/>
    <w:rsid w:val="000405F6"/>
    <w:rsid w:val="00042A8E"/>
    <w:rsid w:val="00042B20"/>
    <w:rsid w:val="0004521F"/>
    <w:rsid w:val="000535AB"/>
    <w:rsid w:val="0005393B"/>
    <w:rsid w:val="000539F6"/>
    <w:rsid w:val="00057E1A"/>
    <w:rsid w:val="000618C3"/>
    <w:rsid w:val="000620EB"/>
    <w:rsid w:val="000635B4"/>
    <w:rsid w:val="000663F1"/>
    <w:rsid w:val="0007248F"/>
    <w:rsid w:val="00072847"/>
    <w:rsid w:val="00072CA5"/>
    <w:rsid w:val="00075BE6"/>
    <w:rsid w:val="00076FCB"/>
    <w:rsid w:val="0008107E"/>
    <w:rsid w:val="0008131B"/>
    <w:rsid w:val="0008188D"/>
    <w:rsid w:val="00081D48"/>
    <w:rsid w:val="0008234B"/>
    <w:rsid w:val="000829E6"/>
    <w:rsid w:val="000834A7"/>
    <w:rsid w:val="00084C1C"/>
    <w:rsid w:val="0008500F"/>
    <w:rsid w:val="00086CBF"/>
    <w:rsid w:val="00087157"/>
    <w:rsid w:val="000875EA"/>
    <w:rsid w:val="000875F5"/>
    <w:rsid w:val="00090AE6"/>
    <w:rsid w:val="00091382"/>
    <w:rsid w:val="000954D5"/>
    <w:rsid w:val="000974EA"/>
    <w:rsid w:val="000A1241"/>
    <w:rsid w:val="000A17D9"/>
    <w:rsid w:val="000A18C4"/>
    <w:rsid w:val="000A18D7"/>
    <w:rsid w:val="000A275F"/>
    <w:rsid w:val="000A790E"/>
    <w:rsid w:val="000B13C1"/>
    <w:rsid w:val="000B2624"/>
    <w:rsid w:val="000B2644"/>
    <w:rsid w:val="000B33B3"/>
    <w:rsid w:val="000B5E82"/>
    <w:rsid w:val="000B72DB"/>
    <w:rsid w:val="000C0D5C"/>
    <w:rsid w:val="000C1162"/>
    <w:rsid w:val="000C30BF"/>
    <w:rsid w:val="000C32A8"/>
    <w:rsid w:val="000C333F"/>
    <w:rsid w:val="000C7FC6"/>
    <w:rsid w:val="000D3F04"/>
    <w:rsid w:val="000D3FB2"/>
    <w:rsid w:val="000D6FD2"/>
    <w:rsid w:val="000E1AC5"/>
    <w:rsid w:val="000E3CD6"/>
    <w:rsid w:val="000E4390"/>
    <w:rsid w:val="000F2050"/>
    <w:rsid w:val="000F258D"/>
    <w:rsid w:val="000F3042"/>
    <w:rsid w:val="000F32F7"/>
    <w:rsid w:val="000F61F2"/>
    <w:rsid w:val="00101768"/>
    <w:rsid w:val="00103A8C"/>
    <w:rsid w:val="00104478"/>
    <w:rsid w:val="001048F9"/>
    <w:rsid w:val="001058D6"/>
    <w:rsid w:val="00107B5A"/>
    <w:rsid w:val="001108CB"/>
    <w:rsid w:val="0011098F"/>
    <w:rsid w:val="0011450D"/>
    <w:rsid w:val="0011735B"/>
    <w:rsid w:val="00117FAF"/>
    <w:rsid w:val="0012072B"/>
    <w:rsid w:val="001217EF"/>
    <w:rsid w:val="00122A3F"/>
    <w:rsid w:val="001243B4"/>
    <w:rsid w:val="0012441E"/>
    <w:rsid w:val="00125B54"/>
    <w:rsid w:val="00125DE6"/>
    <w:rsid w:val="00126AE4"/>
    <w:rsid w:val="001318CB"/>
    <w:rsid w:val="001334E0"/>
    <w:rsid w:val="001369EC"/>
    <w:rsid w:val="0014060D"/>
    <w:rsid w:val="00141090"/>
    <w:rsid w:val="00141AAF"/>
    <w:rsid w:val="00142858"/>
    <w:rsid w:val="00150CDC"/>
    <w:rsid w:val="001515A6"/>
    <w:rsid w:val="00153E5A"/>
    <w:rsid w:val="00154812"/>
    <w:rsid w:val="00154872"/>
    <w:rsid w:val="00155ADB"/>
    <w:rsid w:val="00160873"/>
    <w:rsid w:val="0016332A"/>
    <w:rsid w:val="0016428A"/>
    <w:rsid w:val="00166B99"/>
    <w:rsid w:val="00167A0D"/>
    <w:rsid w:val="00170DF1"/>
    <w:rsid w:val="00174002"/>
    <w:rsid w:val="00174AB4"/>
    <w:rsid w:val="00177802"/>
    <w:rsid w:val="00177D2B"/>
    <w:rsid w:val="001800E3"/>
    <w:rsid w:val="00180688"/>
    <w:rsid w:val="001823E7"/>
    <w:rsid w:val="00183673"/>
    <w:rsid w:val="0018618A"/>
    <w:rsid w:val="00186EAA"/>
    <w:rsid w:val="0019369A"/>
    <w:rsid w:val="001943CF"/>
    <w:rsid w:val="00196245"/>
    <w:rsid w:val="001A168B"/>
    <w:rsid w:val="001A1703"/>
    <w:rsid w:val="001A19AF"/>
    <w:rsid w:val="001A5D6F"/>
    <w:rsid w:val="001A7594"/>
    <w:rsid w:val="001B2859"/>
    <w:rsid w:val="001B3444"/>
    <w:rsid w:val="001B5A4A"/>
    <w:rsid w:val="001B5C32"/>
    <w:rsid w:val="001B6072"/>
    <w:rsid w:val="001B62FC"/>
    <w:rsid w:val="001B6897"/>
    <w:rsid w:val="001C0CFF"/>
    <w:rsid w:val="001C0D09"/>
    <w:rsid w:val="001C2490"/>
    <w:rsid w:val="001C536F"/>
    <w:rsid w:val="001C56B9"/>
    <w:rsid w:val="001C6F9B"/>
    <w:rsid w:val="001D01B9"/>
    <w:rsid w:val="001D02C1"/>
    <w:rsid w:val="001D159C"/>
    <w:rsid w:val="001D1F7C"/>
    <w:rsid w:val="001D4038"/>
    <w:rsid w:val="001D5DEA"/>
    <w:rsid w:val="001E0444"/>
    <w:rsid w:val="001E1277"/>
    <w:rsid w:val="001E2F52"/>
    <w:rsid w:val="001E301B"/>
    <w:rsid w:val="001E3E53"/>
    <w:rsid w:val="001E4E33"/>
    <w:rsid w:val="001E5893"/>
    <w:rsid w:val="001E719D"/>
    <w:rsid w:val="001F18AC"/>
    <w:rsid w:val="001F222E"/>
    <w:rsid w:val="001F226C"/>
    <w:rsid w:val="001F3FC6"/>
    <w:rsid w:val="001F6046"/>
    <w:rsid w:val="001F7A2F"/>
    <w:rsid w:val="001F7C36"/>
    <w:rsid w:val="00200118"/>
    <w:rsid w:val="00201CA7"/>
    <w:rsid w:val="00202D21"/>
    <w:rsid w:val="0020359C"/>
    <w:rsid w:val="00203A01"/>
    <w:rsid w:val="002056FA"/>
    <w:rsid w:val="00206B7A"/>
    <w:rsid w:val="00207026"/>
    <w:rsid w:val="0020704D"/>
    <w:rsid w:val="002222CF"/>
    <w:rsid w:val="00222360"/>
    <w:rsid w:val="00222FA6"/>
    <w:rsid w:val="00230DAB"/>
    <w:rsid w:val="00232FE7"/>
    <w:rsid w:val="0023300B"/>
    <w:rsid w:val="002370D1"/>
    <w:rsid w:val="002414D0"/>
    <w:rsid w:val="002425F7"/>
    <w:rsid w:val="002436F6"/>
    <w:rsid w:val="00244B00"/>
    <w:rsid w:val="00246CCD"/>
    <w:rsid w:val="00247994"/>
    <w:rsid w:val="00253E6C"/>
    <w:rsid w:val="00254EC2"/>
    <w:rsid w:val="00255890"/>
    <w:rsid w:val="00256086"/>
    <w:rsid w:val="00257001"/>
    <w:rsid w:val="00260249"/>
    <w:rsid w:val="00262513"/>
    <w:rsid w:val="00263922"/>
    <w:rsid w:val="00263C0E"/>
    <w:rsid w:val="00265A28"/>
    <w:rsid w:val="00265F8D"/>
    <w:rsid w:val="00267549"/>
    <w:rsid w:val="00273287"/>
    <w:rsid w:val="002736BC"/>
    <w:rsid w:val="002755B9"/>
    <w:rsid w:val="00276A98"/>
    <w:rsid w:val="0028151C"/>
    <w:rsid w:val="00282664"/>
    <w:rsid w:val="00283493"/>
    <w:rsid w:val="00284EAC"/>
    <w:rsid w:val="00285A14"/>
    <w:rsid w:val="00290F11"/>
    <w:rsid w:val="00291BB3"/>
    <w:rsid w:val="00293D2D"/>
    <w:rsid w:val="002A1CD4"/>
    <w:rsid w:val="002A2664"/>
    <w:rsid w:val="002A3ADA"/>
    <w:rsid w:val="002A5418"/>
    <w:rsid w:val="002A5C4B"/>
    <w:rsid w:val="002B18E0"/>
    <w:rsid w:val="002B1F4E"/>
    <w:rsid w:val="002B27B6"/>
    <w:rsid w:val="002B3D67"/>
    <w:rsid w:val="002B4AE1"/>
    <w:rsid w:val="002C0BCE"/>
    <w:rsid w:val="002C2E36"/>
    <w:rsid w:val="002C492E"/>
    <w:rsid w:val="002C5041"/>
    <w:rsid w:val="002D2773"/>
    <w:rsid w:val="002D4AA7"/>
    <w:rsid w:val="002D5CA1"/>
    <w:rsid w:val="002D7D7C"/>
    <w:rsid w:val="002E049E"/>
    <w:rsid w:val="002E14DB"/>
    <w:rsid w:val="002E1EBD"/>
    <w:rsid w:val="002E3D58"/>
    <w:rsid w:val="002E40F2"/>
    <w:rsid w:val="002F0B05"/>
    <w:rsid w:val="002F103C"/>
    <w:rsid w:val="002F1767"/>
    <w:rsid w:val="002F18FA"/>
    <w:rsid w:val="002F35AC"/>
    <w:rsid w:val="002F4279"/>
    <w:rsid w:val="00302871"/>
    <w:rsid w:val="003031CC"/>
    <w:rsid w:val="0030665C"/>
    <w:rsid w:val="003068DE"/>
    <w:rsid w:val="00313118"/>
    <w:rsid w:val="00313306"/>
    <w:rsid w:val="00313B36"/>
    <w:rsid w:val="00314B98"/>
    <w:rsid w:val="0031590A"/>
    <w:rsid w:val="0032255C"/>
    <w:rsid w:val="0032322A"/>
    <w:rsid w:val="00323C0E"/>
    <w:rsid w:val="00323FB4"/>
    <w:rsid w:val="00325D1D"/>
    <w:rsid w:val="00325D33"/>
    <w:rsid w:val="00326D79"/>
    <w:rsid w:val="00326FA8"/>
    <w:rsid w:val="00327B0E"/>
    <w:rsid w:val="00332652"/>
    <w:rsid w:val="00335110"/>
    <w:rsid w:val="00335922"/>
    <w:rsid w:val="00341269"/>
    <w:rsid w:val="00341270"/>
    <w:rsid w:val="0034152E"/>
    <w:rsid w:val="00342299"/>
    <w:rsid w:val="00345575"/>
    <w:rsid w:val="00346127"/>
    <w:rsid w:val="00347623"/>
    <w:rsid w:val="00352CE1"/>
    <w:rsid w:val="00356A20"/>
    <w:rsid w:val="00360CF5"/>
    <w:rsid w:val="003610C4"/>
    <w:rsid w:val="00361261"/>
    <w:rsid w:val="003630AC"/>
    <w:rsid w:val="003643B8"/>
    <w:rsid w:val="00364A13"/>
    <w:rsid w:val="00365F63"/>
    <w:rsid w:val="003670BA"/>
    <w:rsid w:val="003670DD"/>
    <w:rsid w:val="003771AB"/>
    <w:rsid w:val="00380546"/>
    <w:rsid w:val="003810B0"/>
    <w:rsid w:val="00382226"/>
    <w:rsid w:val="00385665"/>
    <w:rsid w:val="00387534"/>
    <w:rsid w:val="003968EE"/>
    <w:rsid w:val="00396B79"/>
    <w:rsid w:val="00396C25"/>
    <w:rsid w:val="003A0728"/>
    <w:rsid w:val="003A0CD7"/>
    <w:rsid w:val="003A22DD"/>
    <w:rsid w:val="003A2AE0"/>
    <w:rsid w:val="003A3A17"/>
    <w:rsid w:val="003A5C0F"/>
    <w:rsid w:val="003A67BC"/>
    <w:rsid w:val="003B0C21"/>
    <w:rsid w:val="003B3FD4"/>
    <w:rsid w:val="003B4935"/>
    <w:rsid w:val="003B6157"/>
    <w:rsid w:val="003B6940"/>
    <w:rsid w:val="003B69CC"/>
    <w:rsid w:val="003C067D"/>
    <w:rsid w:val="003C0969"/>
    <w:rsid w:val="003C2533"/>
    <w:rsid w:val="003C2697"/>
    <w:rsid w:val="003C4BE2"/>
    <w:rsid w:val="003C4D40"/>
    <w:rsid w:val="003C5C92"/>
    <w:rsid w:val="003C5E3B"/>
    <w:rsid w:val="003C79B0"/>
    <w:rsid w:val="003C7F73"/>
    <w:rsid w:val="003D3093"/>
    <w:rsid w:val="003D3250"/>
    <w:rsid w:val="003D5E1A"/>
    <w:rsid w:val="003D749E"/>
    <w:rsid w:val="003D7A90"/>
    <w:rsid w:val="003D7C84"/>
    <w:rsid w:val="003E0406"/>
    <w:rsid w:val="003E6F53"/>
    <w:rsid w:val="003E73B4"/>
    <w:rsid w:val="003F18AC"/>
    <w:rsid w:val="003F36B3"/>
    <w:rsid w:val="003F3CC2"/>
    <w:rsid w:val="003F42F5"/>
    <w:rsid w:val="003F52F3"/>
    <w:rsid w:val="003F6EDB"/>
    <w:rsid w:val="003F75DE"/>
    <w:rsid w:val="004015C1"/>
    <w:rsid w:val="004044E4"/>
    <w:rsid w:val="00406B90"/>
    <w:rsid w:val="00406BEE"/>
    <w:rsid w:val="00412BC6"/>
    <w:rsid w:val="00414B47"/>
    <w:rsid w:val="00416793"/>
    <w:rsid w:val="00416F04"/>
    <w:rsid w:val="004176E2"/>
    <w:rsid w:val="004220E7"/>
    <w:rsid w:val="0042230E"/>
    <w:rsid w:val="004240B9"/>
    <w:rsid w:val="00424507"/>
    <w:rsid w:val="00427637"/>
    <w:rsid w:val="00430DF1"/>
    <w:rsid w:val="00431806"/>
    <w:rsid w:val="00431E61"/>
    <w:rsid w:val="004323BC"/>
    <w:rsid w:val="00432567"/>
    <w:rsid w:val="00432663"/>
    <w:rsid w:val="0043378E"/>
    <w:rsid w:val="00433EBF"/>
    <w:rsid w:val="00434038"/>
    <w:rsid w:val="00436887"/>
    <w:rsid w:val="004408DA"/>
    <w:rsid w:val="00440E67"/>
    <w:rsid w:val="00446DF0"/>
    <w:rsid w:val="004470D4"/>
    <w:rsid w:val="00450BBC"/>
    <w:rsid w:val="00452626"/>
    <w:rsid w:val="00455F86"/>
    <w:rsid w:val="00461DAC"/>
    <w:rsid w:val="00462825"/>
    <w:rsid w:val="00463804"/>
    <w:rsid w:val="00465AF4"/>
    <w:rsid w:val="004665FF"/>
    <w:rsid w:val="0046675B"/>
    <w:rsid w:val="004667DE"/>
    <w:rsid w:val="00470B64"/>
    <w:rsid w:val="00470C1A"/>
    <w:rsid w:val="00470CAA"/>
    <w:rsid w:val="00470E48"/>
    <w:rsid w:val="004711A1"/>
    <w:rsid w:val="00471E89"/>
    <w:rsid w:val="00473446"/>
    <w:rsid w:val="004774CD"/>
    <w:rsid w:val="004801CB"/>
    <w:rsid w:val="0048040B"/>
    <w:rsid w:val="00484187"/>
    <w:rsid w:val="0048450A"/>
    <w:rsid w:val="004845FE"/>
    <w:rsid w:val="004847D0"/>
    <w:rsid w:val="0048508B"/>
    <w:rsid w:val="00486066"/>
    <w:rsid w:val="00496707"/>
    <w:rsid w:val="004A0118"/>
    <w:rsid w:val="004A1C77"/>
    <w:rsid w:val="004A265F"/>
    <w:rsid w:val="004A6143"/>
    <w:rsid w:val="004B168E"/>
    <w:rsid w:val="004B26F8"/>
    <w:rsid w:val="004B2BE6"/>
    <w:rsid w:val="004B5D19"/>
    <w:rsid w:val="004C3D45"/>
    <w:rsid w:val="004C6430"/>
    <w:rsid w:val="004C7092"/>
    <w:rsid w:val="004D01E2"/>
    <w:rsid w:val="004D101A"/>
    <w:rsid w:val="004D1CF5"/>
    <w:rsid w:val="004D3036"/>
    <w:rsid w:val="004D6860"/>
    <w:rsid w:val="004D79E3"/>
    <w:rsid w:val="004E00B1"/>
    <w:rsid w:val="004E0276"/>
    <w:rsid w:val="004E4DD8"/>
    <w:rsid w:val="004E6208"/>
    <w:rsid w:val="004E6818"/>
    <w:rsid w:val="004E7FB3"/>
    <w:rsid w:val="004F016C"/>
    <w:rsid w:val="004F1239"/>
    <w:rsid w:val="004F2B9D"/>
    <w:rsid w:val="004F7939"/>
    <w:rsid w:val="005009FA"/>
    <w:rsid w:val="00501952"/>
    <w:rsid w:val="00504618"/>
    <w:rsid w:val="005061A0"/>
    <w:rsid w:val="005072D6"/>
    <w:rsid w:val="00507A48"/>
    <w:rsid w:val="00512DB5"/>
    <w:rsid w:val="00516BF0"/>
    <w:rsid w:val="00517F44"/>
    <w:rsid w:val="00522414"/>
    <w:rsid w:val="00522B3E"/>
    <w:rsid w:val="0052371A"/>
    <w:rsid w:val="00524D31"/>
    <w:rsid w:val="00526099"/>
    <w:rsid w:val="005266DF"/>
    <w:rsid w:val="005276B8"/>
    <w:rsid w:val="00530401"/>
    <w:rsid w:val="00530BEC"/>
    <w:rsid w:val="0053538E"/>
    <w:rsid w:val="00537D97"/>
    <w:rsid w:val="00540FAB"/>
    <w:rsid w:val="00541021"/>
    <w:rsid w:val="005413B3"/>
    <w:rsid w:val="005444C0"/>
    <w:rsid w:val="005445D5"/>
    <w:rsid w:val="00544BFA"/>
    <w:rsid w:val="0054525C"/>
    <w:rsid w:val="00546D3B"/>
    <w:rsid w:val="00551849"/>
    <w:rsid w:val="00554439"/>
    <w:rsid w:val="00555168"/>
    <w:rsid w:val="00555E70"/>
    <w:rsid w:val="005565E4"/>
    <w:rsid w:val="005578E9"/>
    <w:rsid w:val="005579EF"/>
    <w:rsid w:val="00557D01"/>
    <w:rsid w:val="00560896"/>
    <w:rsid w:val="0056367E"/>
    <w:rsid w:val="005669BD"/>
    <w:rsid w:val="005672DA"/>
    <w:rsid w:val="00570722"/>
    <w:rsid w:val="00572A69"/>
    <w:rsid w:val="005731A4"/>
    <w:rsid w:val="005778B2"/>
    <w:rsid w:val="0058197B"/>
    <w:rsid w:val="0058246D"/>
    <w:rsid w:val="00585171"/>
    <w:rsid w:val="0058559F"/>
    <w:rsid w:val="00590953"/>
    <w:rsid w:val="005916D0"/>
    <w:rsid w:val="00591FA0"/>
    <w:rsid w:val="0059480A"/>
    <w:rsid w:val="0059777A"/>
    <w:rsid w:val="005A1D3E"/>
    <w:rsid w:val="005A597B"/>
    <w:rsid w:val="005A60C9"/>
    <w:rsid w:val="005A6EF4"/>
    <w:rsid w:val="005B0311"/>
    <w:rsid w:val="005B0A8D"/>
    <w:rsid w:val="005B26A3"/>
    <w:rsid w:val="005B3E41"/>
    <w:rsid w:val="005B7A11"/>
    <w:rsid w:val="005C073C"/>
    <w:rsid w:val="005C0A87"/>
    <w:rsid w:val="005C193E"/>
    <w:rsid w:val="005C6733"/>
    <w:rsid w:val="005C7FC0"/>
    <w:rsid w:val="005D079E"/>
    <w:rsid w:val="005D4269"/>
    <w:rsid w:val="005D4748"/>
    <w:rsid w:val="005D6344"/>
    <w:rsid w:val="005D7826"/>
    <w:rsid w:val="005E748C"/>
    <w:rsid w:val="005F007C"/>
    <w:rsid w:val="005F06D3"/>
    <w:rsid w:val="005F61CE"/>
    <w:rsid w:val="005F65C9"/>
    <w:rsid w:val="0060143B"/>
    <w:rsid w:val="00602FD9"/>
    <w:rsid w:val="0060550C"/>
    <w:rsid w:val="00605D9E"/>
    <w:rsid w:val="00606B98"/>
    <w:rsid w:val="00607255"/>
    <w:rsid w:val="00607F1D"/>
    <w:rsid w:val="0061268C"/>
    <w:rsid w:val="00613BF4"/>
    <w:rsid w:val="006162BE"/>
    <w:rsid w:val="006207F9"/>
    <w:rsid w:val="0062236C"/>
    <w:rsid w:val="0062291B"/>
    <w:rsid w:val="00624976"/>
    <w:rsid w:val="006278C6"/>
    <w:rsid w:val="00632DEF"/>
    <w:rsid w:val="00637AB3"/>
    <w:rsid w:val="00637E3F"/>
    <w:rsid w:val="006401CC"/>
    <w:rsid w:val="006407D5"/>
    <w:rsid w:val="0064266E"/>
    <w:rsid w:val="00642692"/>
    <w:rsid w:val="006446AE"/>
    <w:rsid w:val="00653180"/>
    <w:rsid w:val="006567B7"/>
    <w:rsid w:val="00664617"/>
    <w:rsid w:val="00665CDD"/>
    <w:rsid w:val="006660E5"/>
    <w:rsid w:val="0066719B"/>
    <w:rsid w:val="0067042C"/>
    <w:rsid w:val="00673DC8"/>
    <w:rsid w:val="0068156B"/>
    <w:rsid w:val="006829CC"/>
    <w:rsid w:val="0068374D"/>
    <w:rsid w:val="00683E9F"/>
    <w:rsid w:val="006840E6"/>
    <w:rsid w:val="00690A46"/>
    <w:rsid w:val="00695001"/>
    <w:rsid w:val="00695D60"/>
    <w:rsid w:val="006963E6"/>
    <w:rsid w:val="00697C15"/>
    <w:rsid w:val="006A100C"/>
    <w:rsid w:val="006A3B87"/>
    <w:rsid w:val="006A3F80"/>
    <w:rsid w:val="006A69F9"/>
    <w:rsid w:val="006A6DAE"/>
    <w:rsid w:val="006B3C12"/>
    <w:rsid w:val="006B6506"/>
    <w:rsid w:val="006B74A9"/>
    <w:rsid w:val="006C6913"/>
    <w:rsid w:val="006D2528"/>
    <w:rsid w:val="006D34FB"/>
    <w:rsid w:val="006D4B71"/>
    <w:rsid w:val="006E187C"/>
    <w:rsid w:val="006E1F83"/>
    <w:rsid w:val="006E4BE8"/>
    <w:rsid w:val="006E5C23"/>
    <w:rsid w:val="006E62BB"/>
    <w:rsid w:val="006E7E6D"/>
    <w:rsid w:val="006F1426"/>
    <w:rsid w:val="006F378C"/>
    <w:rsid w:val="006F3D71"/>
    <w:rsid w:val="006F522B"/>
    <w:rsid w:val="006F6F1B"/>
    <w:rsid w:val="006F745B"/>
    <w:rsid w:val="0070185C"/>
    <w:rsid w:val="00701B99"/>
    <w:rsid w:val="00703154"/>
    <w:rsid w:val="007070A0"/>
    <w:rsid w:val="007105DF"/>
    <w:rsid w:val="0071567E"/>
    <w:rsid w:val="00715B19"/>
    <w:rsid w:val="00715C8D"/>
    <w:rsid w:val="00715FB2"/>
    <w:rsid w:val="00717A34"/>
    <w:rsid w:val="007200B0"/>
    <w:rsid w:val="00720645"/>
    <w:rsid w:val="00720A5C"/>
    <w:rsid w:val="0072418B"/>
    <w:rsid w:val="00726604"/>
    <w:rsid w:val="00726765"/>
    <w:rsid w:val="0072697C"/>
    <w:rsid w:val="007312D0"/>
    <w:rsid w:val="00736E4A"/>
    <w:rsid w:val="007422A5"/>
    <w:rsid w:val="007436CE"/>
    <w:rsid w:val="00743AC7"/>
    <w:rsid w:val="00744FE9"/>
    <w:rsid w:val="007451C3"/>
    <w:rsid w:val="00747E2B"/>
    <w:rsid w:val="0075079C"/>
    <w:rsid w:val="00751871"/>
    <w:rsid w:val="00752D33"/>
    <w:rsid w:val="00753370"/>
    <w:rsid w:val="00754723"/>
    <w:rsid w:val="00754EDB"/>
    <w:rsid w:val="007563D5"/>
    <w:rsid w:val="00757CCC"/>
    <w:rsid w:val="007602B5"/>
    <w:rsid w:val="00764330"/>
    <w:rsid w:val="00765C68"/>
    <w:rsid w:val="007701C5"/>
    <w:rsid w:val="0077082C"/>
    <w:rsid w:val="007775FE"/>
    <w:rsid w:val="00781532"/>
    <w:rsid w:val="0078242B"/>
    <w:rsid w:val="0079064F"/>
    <w:rsid w:val="007915E9"/>
    <w:rsid w:val="007931E0"/>
    <w:rsid w:val="0079368E"/>
    <w:rsid w:val="00793897"/>
    <w:rsid w:val="007A1290"/>
    <w:rsid w:val="007A2CD9"/>
    <w:rsid w:val="007A3999"/>
    <w:rsid w:val="007B6669"/>
    <w:rsid w:val="007B7998"/>
    <w:rsid w:val="007C243D"/>
    <w:rsid w:val="007C59E6"/>
    <w:rsid w:val="007C5B3A"/>
    <w:rsid w:val="007D1567"/>
    <w:rsid w:val="007D2230"/>
    <w:rsid w:val="007D7D84"/>
    <w:rsid w:val="007E1BE7"/>
    <w:rsid w:val="007E2821"/>
    <w:rsid w:val="007E454E"/>
    <w:rsid w:val="007E473D"/>
    <w:rsid w:val="007E7048"/>
    <w:rsid w:val="007E7322"/>
    <w:rsid w:val="007F0CE7"/>
    <w:rsid w:val="007F39FC"/>
    <w:rsid w:val="007F53AD"/>
    <w:rsid w:val="007F5F46"/>
    <w:rsid w:val="007F6349"/>
    <w:rsid w:val="00800294"/>
    <w:rsid w:val="00800C9F"/>
    <w:rsid w:val="00802F31"/>
    <w:rsid w:val="00804C02"/>
    <w:rsid w:val="00805321"/>
    <w:rsid w:val="00805D9B"/>
    <w:rsid w:val="00813910"/>
    <w:rsid w:val="008160B2"/>
    <w:rsid w:val="00817B6A"/>
    <w:rsid w:val="00820F3C"/>
    <w:rsid w:val="0082116C"/>
    <w:rsid w:val="0082476D"/>
    <w:rsid w:val="00824BA5"/>
    <w:rsid w:val="008267E2"/>
    <w:rsid w:val="00826E86"/>
    <w:rsid w:val="008328BB"/>
    <w:rsid w:val="0083645F"/>
    <w:rsid w:val="00836E49"/>
    <w:rsid w:val="00837CCC"/>
    <w:rsid w:val="00842FC3"/>
    <w:rsid w:val="0084555D"/>
    <w:rsid w:val="0084707D"/>
    <w:rsid w:val="0085129F"/>
    <w:rsid w:val="00851A3A"/>
    <w:rsid w:val="00855178"/>
    <w:rsid w:val="008552A5"/>
    <w:rsid w:val="00856163"/>
    <w:rsid w:val="00861BA4"/>
    <w:rsid w:val="008622E6"/>
    <w:rsid w:val="00862C11"/>
    <w:rsid w:val="008679BB"/>
    <w:rsid w:val="00867AC0"/>
    <w:rsid w:val="00871F9A"/>
    <w:rsid w:val="008735F3"/>
    <w:rsid w:val="0087497F"/>
    <w:rsid w:val="00876864"/>
    <w:rsid w:val="00877005"/>
    <w:rsid w:val="00877289"/>
    <w:rsid w:val="00877C09"/>
    <w:rsid w:val="0088274F"/>
    <w:rsid w:val="00882E4B"/>
    <w:rsid w:val="0088321B"/>
    <w:rsid w:val="00887EF5"/>
    <w:rsid w:val="00892B78"/>
    <w:rsid w:val="00892DD7"/>
    <w:rsid w:val="00894CF7"/>
    <w:rsid w:val="008959E5"/>
    <w:rsid w:val="0089687B"/>
    <w:rsid w:val="008A02BC"/>
    <w:rsid w:val="008A1255"/>
    <w:rsid w:val="008A2B99"/>
    <w:rsid w:val="008A56E7"/>
    <w:rsid w:val="008A6F29"/>
    <w:rsid w:val="008A7689"/>
    <w:rsid w:val="008A7E9D"/>
    <w:rsid w:val="008B0249"/>
    <w:rsid w:val="008B3491"/>
    <w:rsid w:val="008C465C"/>
    <w:rsid w:val="008C5839"/>
    <w:rsid w:val="008C6E12"/>
    <w:rsid w:val="008C76CB"/>
    <w:rsid w:val="008D2C9D"/>
    <w:rsid w:val="008D3EF5"/>
    <w:rsid w:val="008D5B2D"/>
    <w:rsid w:val="008D6607"/>
    <w:rsid w:val="008D7328"/>
    <w:rsid w:val="008D74CC"/>
    <w:rsid w:val="008E168A"/>
    <w:rsid w:val="008E5498"/>
    <w:rsid w:val="008F0DEA"/>
    <w:rsid w:val="008F0F6D"/>
    <w:rsid w:val="008F2391"/>
    <w:rsid w:val="008F3384"/>
    <w:rsid w:val="008F37AF"/>
    <w:rsid w:val="008F3BBC"/>
    <w:rsid w:val="008F44A8"/>
    <w:rsid w:val="008F4524"/>
    <w:rsid w:val="008F4BF1"/>
    <w:rsid w:val="008F60F8"/>
    <w:rsid w:val="008F6BE8"/>
    <w:rsid w:val="008F7FBB"/>
    <w:rsid w:val="009007D4"/>
    <w:rsid w:val="009013DC"/>
    <w:rsid w:val="009038FD"/>
    <w:rsid w:val="009045CF"/>
    <w:rsid w:val="009062A3"/>
    <w:rsid w:val="009065D0"/>
    <w:rsid w:val="00913214"/>
    <w:rsid w:val="0091337F"/>
    <w:rsid w:val="00916887"/>
    <w:rsid w:val="00921642"/>
    <w:rsid w:val="00921FC5"/>
    <w:rsid w:val="00925189"/>
    <w:rsid w:val="0092614A"/>
    <w:rsid w:val="00926F0A"/>
    <w:rsid w:val="0093141E"/>
    <w:rsid w:val="00931517"/>
    <w:rsid w:val="009336D3"/>
    <w:rsid w:val="00936F42"/>
    <w:rsid w:val="00941A8B"/>
    <w:rsid w:val="00946007"/>
    <w:rsid w:val="0094759D"/>
    <w:rsid w:val="00950B83"/>
    <w:rsid w:val="00955A25"/>
    <w:rsid w:val="00955BE4"/>
    <w:rsid w:val="0095741F"/>
    <w:rsid w:val="009611AA"/>
    <w:rsid w:val="009628B4"/>
    <w:rsid w:val="00964096"/>
    <w:rsid w:val="00965579"/>
    <w:rsid w:val="00967D61"/>
    <w:rsid w:val="0097222E"/>
    <w:rsid w:val="00972E9E"/>
    <w:rsid w:val="0097321A"/>
    <w:rsid w:val="009739FA"/>
    <w:rsid w:val="00973DF0"/>
    <w:rsid w:val="00974590"/>
    <w:rsid w:val="00975631"/>
    <w:rsid w:val="00980E97"/>
    <w:rsid w:val="00981081"/>
    <w:rsid w:val="00985D69"/>
    <w:rsid w:val="00991C83"/>
    <w:rsid w:val="00992285"/>
    <w:rsid w:val="00992906"/>
    <w:rsid w:val="00993A02"/>
    <w:rsid w:val="00997845"/>
    <w:rsid w:val="009A02A2"/>
    <w:rsid w:val="009A1102"/>
    <w:rsid w:val="009A2DA4"/>
    <w:rsid w:val="009A6EF5"/>
    <w:rsid w:val="009A73E0"/>
    <w:rsid w:val="009A77AF"/>
    <w:rsid w:val="009B4B0A"/>
    <w:rsid w:val="009B4EBB"/>
    <w:rsid w:val="009B57E2"/>
    <w:rsid w:val="009C1B39"/>
    <w:rsid w:val="009C2BD6"/>
    <w:rsid w:val="009C47BA"/>
    <w:rsid w:val="009C7FAD"/>
    <w:rsid w:val="009D2C29"/>
    <w:rsid w:val="009D40D0"/>
    <w:rsid w:val="009D5D43"/>
    <w:rsid w:val="009D7FAF"/>
    <w:rsid w:val="009E1ABA"/>
    <w:rsid w:val="009E3D17"/>
    <w:rsid w:val="009E6B57"/>
    <w:rsid w:val="009E730E"/>
    <w:rsid w:val="009F3F0C"/>
    <w:rsid w:val="009F4AAB"/>
    <w:rsid w:val="009F67FC"/>
    <w:rsid w:val="00A01879"/>
    <w:rsid w:val="00A02AF4"/>
    <w:rsid w:val="00A056CF"/>
    <w:rsid w:val="00A07226"/>
    <w:rsid w:val="00A072A7"/>
    <w:rsid w:val="00A12EF0"/>
    <w:rsid w:val="00A14443"/>
    <w:rsid w:val="00A16332"/>
    <w:rsid w:val="00A17D00"/>
    <w:rsid w:val="00A22809"/>
    <w:rsid w:val="00A242BC"/>
    <w:rsid w:val="00A246DE"/>
    <w:rsid w:val="00A31059"/>
    <w:rsid w:val="00A33BD0"/>
    <w:rsid w:val="00A355C1"/>
    <w:rsid w:val="00A377E4"/>
    <w:rsid w:val="00A37A37"/>
    <w:rsid w:val="00A41C3C"/>
    <w:rsid w:val="00A42430"/>
    <w:rsid w:val="00A442F0"/>
    <w:rsid w:val="00A44B1E"/>
    <w:rsid w:val="00A467B0"/>
    <w:rsid w:val="00A50E2E"/>
    <w:rsid w:val="00A51116"/>
    <w:rsid w:val="00A534E4"/>
    <w:rsid w:val="00A554DB"/>
    <w:rsid w:val="00A57229"/>
    <w:rsid w:val="00A57C1F"/>
    <w:rsid w:val="00A604CE"/>
    <w:rsid w:val="00A605E0"/>
    <w:rsid w:val="00A6144F"/>
    <w:rsid w:val="00A634AB"/>
    <w:rsid w:val="00A63A22"/>
    <w:rsid w:val="00A700C0"/>
    <w:rsid w:val="00A72252"/>
    <w:rsid w:val="00A7529C"/>
    <w:rsid w:val="00A752E6"/>
    <w:rsid w:val="00A7584A"/>
    <w:rsid w:val="00A77834"/>
    <w:rsid w:val="00A815DA"/>
    <w:rsid w:val="00A854F3"/>
    <w:rsid w:val="00A8706D"/>
    <w:rsid w:val="00A906B1"/>
    <w:rsid w:val="00A908F5"/>
    <w:rsid w:val="00A942CB"/>
    <w:rsid w:val="00A94997"/>
    <w:rsid w:val="00A95391"/>
    <w:rsid w:val="00A9596A"/>
    <w:rsid w:val="00A96249"/>
    <w:rsid w:val="00A96D85"/>
    <w:rsid w:val="00AA0534"/>
    <w:rsid w:val="00AA0586"/>
    <w:rsid w:val="00AA46D9"/>
    <w:rsid w:val="00AA6385"/>
    <w:rsid w:val="00AB0968"/>
    <w:rsid w:val="00AB5D58"/>
    <w:rsid w:val="00AC1009"/>
    <w:rsid w:val="00AC6376"/>
    <w:rsid w:val="00AC7DCA"/>
    <w:rsid w:val="00AD09C3"/>
    <w:rsid w:val="00AD5061"/>
    <w:rsid w:val="00AD72C8"/>
    <w:rsid w:val="00AE216B"/>
    <w:rsid w:val="00AE292B"/>
    <w:rsid w:val="00AE4941"/>
    <w:rsid w:val="00AF0D32"/>
    <w:rsid w:val="00AF1200"/>
    <w:rsid w:val="00AF352F"/>
    <w:rsid w:val="00AF41B5"/>
    <w:rsid w:val="00AF4609"/>
    <w:rsid w:val="00AF4F80"/>
    <w:rsid w:val="00B01E02"/>
    <w:rsid w:val="00B024FC"/>
    <w:rsid w:val="00B04393"/>
    <w:rsid w:val="00B05A97"/>
    <w:rsid w:val="00B10011"/>
    <w:rsid w:val="00B12A2F"/>
    <w:rsid w:val="00B12EF8"/>
    <w:rsid w:val="00B17171"/>
    <w:rsid w:val="00B1781A"/>
    <w:rsid w:val="00B206D8"/>
    <w:rsid w:val="00B216FF"/>
    <w:rsid w:val="00B22AA7"/>
    <w:rsid w:val="00B2373B"/>
    <w:rsid w:val="00B248EE"/>
    <w:rsid w:val="00B2543C"/>
    <w:rsid w:val="00B25785"/>
    <w:rsid w:val="00B2595A"/>
    <w:rsid w:val="00B35CEC"/>
    <w:rsid w:val="00B3699A"/>
    <w:rsid w:val="00B411E5"/>
    <w:rsid w:val="00B421B7"/>
    <w:rsid w:val="00B42D7C"/>
    <w:rsid w:val="00B43CE8"/>
    <w:rsid w:val="00B53DDE"/>
    <w:rsid w:val="00B60E21"/>
    <w:rsid w:val="00B63B4C"/>
    <w:rsid w:val="00B6424A"/>
    <w:rsid w:val="00B653C5"/>
    <w:rsid w:val="00B66F69"/>
    <w:rsid w:val="00B67C37"/>
    <w:rsid w:val="00B71DDE"/>
    <w:rsid w:val="00B738B5"/>
    <w:rsid w:val="00B73C8A"/>
    <w:rsid w:val="00B73E9B"/>
    <w:rsid w:val="00B75DBD"/>
    <w:rsid w:val="00B77902"/>
    <w:rsid w:val="00B77912"/>
    <w:rsid w:val="00B77959"/>
    <w:rsid w:val="00B77A4E"/>
    <w:rsid w:val="00B807CF"/>
    <w:rsid w:val="00B83F01"/>
    <w:rsid w:val="00B85591"/>
    <w:rsid w:val="00B87C34"/>
    <w:rsid w:val="00B90FEB"/>
    <w:rsid w:val="00B92310"/>
    <w:rsid w:val="00B9387B"/>
    <w:rsid w:val="00B95FA9"/>
    <w:rsid w:val="00B96EC7"/>
    <w:rsid w:val="00BA07F4"/>
    <w:rsid w:val="00BA0873"/>
    <w:rsid w:val="00BA22B8"/>
    <w:rsid w:val="00BA242F"/>
    <w:rsid w:val="00BA30BF"/>
    <w:rsid w:val="00BA7E42"/>
    <w:rsid w:val="00BB1731"/>
    <w:rsid w:val="00BB1AA1"/>
    <w:rsid w:val="00BB1E2B"/>
    <w:rsid w:val="00BB26C4"/>
    <w:rsid w:val="00BB3B19"/>
    <w:rsid w:val="00BB52B4"/>
    <w:rsid w:val="00BC02B1"/>
    <w:rsid w:val="00BC30EC"/>
    <w:rsid w:val="00BC3ABC"/>
    <w:rsid w:val="00BC4447"/>
    <w:rsid w:val="00BC4F97"/>
    <w:rsid w:val="00BC6026"/>
    <w:rsid w:val="00BC611D"/>
    <w:rsid w:val="00BC6F08"/>
    <w:rsid w:val="00BC7628"/>
    <w:rsid w:val="00BD0EFF"/>
    <w:rsid w:val="00BD2138"/>
    <w:rsid w:val="00BD55AF"/>
    <w:rsid w:val="00BD7F4C"/>
    <w:rsid w:val="00BE0EF7"/>
    <w:rsid w:val="00BE391F"/>
    <w:rsid w:val="00BE4A25"/>
    <w:rsid w:val="00BE7859"/>
    <w:rsid w:val="00BF02AC"/>
    <w:rsid w:val="00BF0687"/>
    <w:rsid w:val="00BF0A06"/>
    <w:rsid w:val="00BF10EA"/>
    <w:rsid w:val="00BF2402"/>
    <w:rsid w:val="00BF2787"/>
    <w:rsid w:val="00BF3F0F"/>
    <w:rsid w:val="00BF7AE5"/>
    <w:rsid w:val="00C04854"/>
    <w:rsid w:val="00C058A5"/>
    <w:rsid w:val="00C05CE8"/>
    <w:rsid w:val="00C100A2"/>
    <w:rsid w:val="00C155B3"/>
    <w:rsid w:val="00C15AE9"/>
    <w:rsid w:val="00C15F2F"/>
    <w:rsid w:val="00C17BD6"/>
    <w:rsid w:val="00C213B7"/>
    <w:rsid w:val="00C21549"/>
    <w:rsid w:val="00C251C4"/>
    <w:rsid w:val="00C26370"/>
    <w:rsid w:val="00C335F2"/>
    <w:rsid w:val="00C417B0"/>
    <w:rsid w:val="00C43930"/>
    <w:rsid w:val="00C45A34"/>
    <w:rsid w:val="00C46074"/>
    <w:rsid w:val="00C50A42"/>
    <w:rsid w:val="00C50BAA"/>
    <w:rsid w:val="00C5267A"/>
    <w:rsid w:val="00C52A64"/>
    <w:rsid w:val="00C53750"/>
    <w:rsid w:val="00C554F3"/>
    <w:rsid w:val="00C555DD"/>
    <w:rsid w:val="00C55FB1"/>
    <w:rsid w:val="00C612C3"/>
    <w:rsid w:val="00C63156"/>
    <w:rsid w:val="00C63E1D"/>
    <w:rsid w:val="00C6750F"/>
    <w:rsid w:val="00C7025E"/>
    <w:rsid w:val="00C710E8"/>
    <w:rsid w:val="00C737DE"/>
    <w:rsid w:val="00C763E0"/>
    <w:rsid w:val="00C7720E"/>
    <w:rsid w:val="00C8091D"/>
    <w:rsid w:val="00C8328E"/>
    <w:rsid w:val="00C856C6"/>
    <w:rsid w:val="00C86C89"/>
    <w:rsid w:val="00C90C87"/>
    <w:rsid w:val="00C93B03"/>
    <w:rsid w:val="00C93C0E"/>
    <w:rsid w:val="00CA1A31"/>
    <w:rsid w:val="00CA3251"/>
    <w:rsid w:val="00CA37A4"/>
    <w:rsid w:val="00CA4940"/>
    <w:rsid w:val="00CA59DA"/>
    <w:rsid w:val="00CA6B2D"/>
    <w:rsid w:val="00CA7015"/>
    <w:rsid w:val="00CB16E5"/>
    <w:rsid w:val="00CB292F"/>
    <w:rsid w:val="00CC3A8F"/>
    <w:rsid w:val="00CC4077"/>
    <w:rsid w:val="00CC42C8"/>
    <w:rsid w:val="00CC49F7"/>
    <w:rsid w:val="00CC5848"/>
    <w:rsid w:val="00CC64E2"/>
    <w:rsid w:val="00CD2122"/>
    <w:rsid w:val="00CD580F"/>
    <w:rsid w:val="00CD69DB"/>
    <w:rsid w:val="00CE0080"/>
    <w:rsid w:val="00CE1BD3"/>
    <w:rsid w:val="00CE3D7D"/>
    <w:rsid w:val="00CE54D8"/>
    <w:rsid w:val="00CE5CB5"/>
    <w:rsid w:val="00CE7D24"/>
    <w:rsid w:val="00CF06DD"/>
    <w:rsid w:val="00CF4053"/>
    <w:rsid w:val="00CF4FFB"/>
    <w:rsid w:val="00CF5F93"/>
    <w:rsid w:val="00CF792F"/>
    <w:rsid w:val="00D0293B"/>
    <w:rsid w:val="00D031F0"/>
    <w:rsid w:val="00D03F8C"/>
    <w:rsid w:val="00D04D99"/>
    <w:rsid w:val="00D060F9"/>
    <w:rsid w:val="00D06D32"/>
    <w:rsid w:val="00D1311F"/>
    <w:rsid w:val="00D22811"/>
    <w:rsid w:val="00D25A49"/>
    <w:rsid w:val="00D35B75"/>
    <w:rsid w:val="00D42356"/>
    <w:rsid w:val="00D4340B"/>
    <w:rsid w:val="00D434D2"/>
    <w:rsid w:val="00D43DDF"/>
    <w:rsid w:val="00D4522E"/>
    <w:rsid w:val="00D45E8D"/>
    <w:rsid w:val="00D4636F"/>
    <w:rsid w:val="00D502EA"/>
    <w:rsid w:val="00D518D1"/>
    <w:rsid w:val="00D51C56"/>
    <w:rsid w:val="00D53E30"/>
    <w:rsid w:val="00D56BCF"/>
    <w:rsid w:val="00D56FED"/>
    <w:rsid w:val="00D624A7"/>
    <w:rsid w:val="00D65EE4"/>
    <w:rsid w:val="00D703ED"/>
    <w:rsid w:val="00D708A3"/>
    <w:rsid w:val="00D71A42"/>
    <w:rsid w:val="00D728CB"/>
    <w:rsid w:val="00D739FE"/>
    <w:rsid w:val="00D74B10"/>
    <w:rsid w:val="00D75D03"/>
    <w:rsid w:val="00D777D3"/>
    <w:rsid w:val="00D81355"/>
    <w:rsid w:val="00D82C0C"/>
    <w:rsid w:val="00D82EC7"/>
    <w:rsid w:val="00D85C27"/>
    <w:rsid w:val="00D872AC"/>
    <w:rsid w:val="00D93C38"/>
    <w:rsid w:val="00D969FD"/>
    <w:rsid w:val="00D96D6E"/>
    <w:rsid w:val="00D97334"/>
    <w:rsid w:val="00D97F20"/>
    <w:rsid w:val="00D97F89"/>
    <w:rsid w:val="00DA0831"/>
    <w:rsid w:val="00DA0BD5"/>
    <w:rsid w:val="00DA0C08"/>
    <w:rsid w:val="00DA160D"/>
    <w:rsid w:val="00DA22B7"/>
    <w:rsid w:val="00DA3506"/>
    <w:rsid w:val="00DA4A78"/>
    <w:rsid w:val="00DA581F"/>
    <w:rsid w:val="00DA6209"/>
    <w:rsid w:val="00DA663A"/>
    <w:rsid w:val="00DA762A"/>
    <w:rsid w:val="00DA7929"/>
    <w:rsid w:val="00DB3E30"/>
    <w:rsid w:val="00DB3FBC"/>
    <w:rsid w:val="00DB5F58"/>
    <w:rsid w:val="00DB6A55"/>
    <w:rsid w:val="00DB6D3D"/>
    <w:rsid w:val="00DB7599"/>
    <w:rsid w:val="00DB75D1"/>
    <w:rsid w:val="00DC2330"/>
    <w:rsid w:val="00DD0465"/>
    <w:rsid w:val="00DD1DF3"/>
    <w:rsid w:val="00DD374D"/>
    <w:rsid w:val="00DD584F"/>
    <w:rsid w:val="00DD5D68"/>
    <w:rsid w:val="00DD74E7"/>
    <w:rsid w:val="00DE0BF2"/>
    <w:rsid w:val="00DE20D6"/>
    <w:rsid w:val="00DE3BEB"/>
    <w:rsid w:val="00DE3F21"/>
    <w:rsid w:val="00DE507C"/>
    <w:rsid w:val="00DE5527"/>
    <w:rsid w:val="00DE615C"/>
    <w:rsid w:val="00DE77D8"/>
    <w:rsid w:val="00DF4108"/>
    <w:rsid w:val="00DF66EA"/>
    <w:rsid w:val="00E10589"/>
    <w:rsid w:val="00E12556"/>
    <w:rsid w:val="00E12B33"/>
    <w:rsid w:val="00E13BCF"/>
    <w:rsid w:val="00E13D17"/>
    <w:rsid w:val="00E157DF"/>
    <w:rsid w:val="00E178C5"/>
    <w:rsid w:val="00E215FD"/>
    <w:rsid w:val="00E228CC"/>
    <w:rsid w:val="00E241CE"/>
    <w:rsid w:val="00E25526"/>
    <w:rsid w:val="00E2605E"/>
    <w:rsid w:val="00E2641C"/>
    <w:rsid w:val="00E27106"/>
    <w:rsid w:val="00E32AA4"/>
    <w:rsid w:val="00E3466C"/>
    <w:rsid w:val="00E36E11"/>
    <w:rsid w:val="00E37DA9"/>
    <w:rsid w:val="00E41AB0"/>
    <w:rsid w:val="00E42ED9"/>
    <w:rsid w:val="00E46B93"/>
    <w:rsid w:val="00E47446"/>
    <w:rsid w:val="00E51480"/>
    <w:rsid w:val="00E53E20"/>
    <w:rsid w:val="00E55945"/>
    <w:rsid w:val="00E56341"/>
    <w:rsid w:val="00E575FC"/>
    <w:rsid w:val="00E5785F"/>
    <w:rsid w:val="00E61EDE"/>
    <w:rsid w:val="00E630C6"/>
    <w:rsid w:val="00E66D0F"/>
    <w:rsid w:val="00E70613"/>
    <w:rsid w:val="00E70B5F"/>
    <w:rsid w:val="00E7243E"/>
    <w:rsid w:val="00E80C79"/>
    <w:rsid w:val="00E8240F"/>
    <w:rsid w:val="00E84A08"/>
    <w:rsid w:val="00E86131"/>
    <w:rsid w:val="00E87398"/>
    <w:rsid w:val="00E92DB2"/>
    <w:rsid w:val="00E92ECC"/>
    <w:rsid w:val="00E979D6"/>
    <w:rsid w:val="00EA02AD"/>
    <w:rsid w:val="00EA345F"/>
    <w:rsid w:val="00EA38AC"/>
    <w:rsid w:val="00EA42EA"/>
    <w:rsid w:val="00EA6A8A"/>
    <w:rsid w:val="00EA6DB2"/>
    <w:rsid w:val="00EA6EDD"/>
    <w:rsid w:val="00EB21CB"/>
    <w:rsid w:val="00EB5497"/>
    <w:rsid w:val="00EB6028"/>
    <w:rsid w:val="00EC3CEA"/>
    <w:rsid w:val="00EC3F8F"/>
    <w:rsid w:val="00EC4309"/>
    <w:rsid w:val="00EC46E6"/>
    <w:rsid w:val="00ED0268"/>
    <w:rsid w:val="00ED0770"/>
    <w:rsid w:val="00ED0FEF"/>
    <w:rsid w:val="00ED2373"/>
    <w:rsid w:val="00ED5264"/>
    <w:rsid w:val="00ED5513"/>
    <w:rsid w:val="00ED75DE"/>
    <w:rsid w:val="00ED7BBF"/>
    <w:rsid w:val="00ED7FEF"/>
    <w:rsid w:val="00EE210E"/>
    <w:rsid w:val="00EE24A3"/>
    <w:rsid w:val="00EE359E"/>
    <w:rsid w:val="00EE4101"/>
    <w:rsid w:val="00EF1CD2"/>
    <w:rsid w:val="00EF2E12"/>
    <w:rsid w:val="00EF44CB"/>
    <w:rsid w:val="00EF545E"/>
    <w:rsid w:val="00EF62E7"/>
    <w:rsid w:val="00EF6585"/>
    <w:rsid w:val="00F018A0"/>
    <w:rsid w:val="00F03934"/>
    <w:rsid w:val="00F11C91"/>
    <w:rsid w:val="00F11D52"/>
    <w:rsid w:val="00F134AE"/>
    <w:rsid w:val="00F153FF"/>
    <w:rsid w:val="00F17902"/>
    <w:rsid w:val="00F20A7D"/>
    <w:rsid w:val="00F21E1E"/>
    <w:rsid w:val="00F24B54"/>
    <w:rsid w:val="00F25316"/>
    <w:rsid w:val="00F30CD9"/>
    <w:rsid w:val="00F32939"/>
    <w:rsid w:val="00F330B6"/>
    <w:rsid w:val="00F348D5"/>
    <w:rsid w:val="00F34DDB"/>
    <w:rsid w:val="00F359AB"/>
    <w:rsid w:val="00F36B62"/>
    <w:rsid w:val="00F37F69"/>
    <w:rsid w:val="00F42512"/>
    <w:rsid w:val="00F42CB6"/>
    <w:rsid w:val="00F45EB9"/>
    <w:rsid w:val="00F46BF0"/>
    <w:rsid w:val="00F50DE6"/>
    <w:rsid w:val="00F55EA0"/>
    <w:rsid w:val="00F56274"/>
    <w:rsid w:val="00F566A9"/>
    <w:rsid w:val="00F566C4"/>
    <w:rsid w:val="00F63CBF"/>
    <w:rsid w:val="00F65489"/>
    <w:rsid w:val="00F6587A"/>
    <w:rsid w:val="00F70056"/>
    <w:rsid w:val="00F70114"/>
    <w:rsid w:val="00F72FDD"/>
    <w:rsid w:val="00F75750"/>
    <w:rsid w:val="00F764C5"/>
    <w:rsid w:val="00F77C87"/>
    <w:rsid w:val="00F82053"/>
    <w:rsid w:val="00F854E2"/>
    <w:rsid w:val="00F855D7"/>
    <w:rsid w:val="00F86B83"/>
    <w:rsid w:val="00F906BF"/>
    <w:rsid w:val="00F9271D"/>
    <w:rsid w:val="00F92E42"/>
    <w:rsid w:val="00F944EE"/>
    <w:rsid w:val="00F97A76"/>
    <w:rsid w:val="00FA00EC"/>
    <w:rsid w:val="00FA01E6"/>
    <w:rsid w:val="00FA2EAA"/>
    <w:rsid w:val="00FA594D"/>
    <w:rsid w:val="00FB09E4"/>
    <w:rsid w:val="00FB0A4C"/>
    <w:rsid w:val="00FB15DD"/>
    <w:rsid w:val="00FB4C24"/>
    <w:rsid w:val="00FB6FFB"/>
    <w:rsid w:val="00FB79A0"/>
    <w:rsid w:val="00FB7E62"/>
    <w:rsid w:val="00FC00EF"/>
    <w:rsid w:val="00FC1761"/>
    <w:rsid w:val="00FC3673"/>
    <w:rsid w:val="00FC3CA2"/>
    <w:rsid w:val="00FC4EB5"/>
    <w:rsid w:val="00FC569F"/>
    <w:rsid w:val="00FC7204"/>
    <w:rsid w:val="00FD469D"/>
    <w:rsid w:val="00FD4BCE"/>
    <w:rsid w:val="00FD6616"/>
    <w:rsid w:val="00FD7B5A"/>
    <w:rsid w:val="00FE008F"/>
    <w:rsid w:val="00FE1669"/>
    <w:rsid w:val="00FE17AF"/>
    <w:rsid w:val="00FE33A7"/>
    <w:rsid w:val="00FE66A0"/>
    <w:rsid w:val="00FF21B2"/>
    <w:rsid w:val="00FF3882"/>
    <w:rsid w:val="00FF60D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968"/>
    <w:pPr>
      <w:spacing w:after="0"/>
      <w:jc w:val="both"/>
    </w:pPr>
  </w:style>
  <w:style w:type="paragraph" w:styleId="Heading1">
    <w:name w:val="heading 1"/>
    <w:basedOn w:val="Normal"/>
    <w:next w:val="Normal"/>
    <w:link w:val="Heading1Char"/>
    <w:uiPriority w:val="9"/>
    <w:qFormat/>
    <w:rsid w:val="00E630C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E630C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380546"/>
    <w:pPr>
      <w:keepNext/>
      <w:keepLines/>
      <w:spacing w:before="40"/>
      <w:outlineLvl w:val="2"/>
    </w:pPr>
    <w:rPr>
      <w:rFonts w:eastAsiaTheme="majorEastAsia" w:cstheme="majorBidi"/>
      <w:b/>
      <w:color w:val="6D6E70"/>
      <w:szCs w:val="24"/>
    </w:rPr>
  </w:style>
  <w:style w:type="paragraph" w:styleId="Heading4">
    <w:name w:val="heading 4"/>
    <w:basedOn w:val="Normal"/>
    <w:next w:val="Normal"/>
    <w:link w:val="Heading4Char"/>
    <w:uiPriority w:val="9"/>
    <w:unhideWhenUsed/>
    <w:qFormat/>
    <w:rsid w:val="00380546"/>
    <w:pPr>
      <w:keepNext/>
      <w:keepLines/>
      <w:spacing w:before="40"/>
      <w:outlineLvl w:val="3"/>
    </w:pPr>
    <w:rPr>
      <w:rFonts w:eastAsiaTheme="majorEastAsia" w:cstheme="majorBidi"/>
      <w:i/>
      <w:iCs/>
      <w:color w:val="6D6E70"/>
    </w:rPr>
  </w:style>
  <w:style w:type="paragraph" w:styleId="Heading5">
    <w:name w:val="heading 5"/>
    <w:basedOn w:val="Normal"/>
    <w:next w:val="Normal"/>
    <w:link w:val="Heading5Char"/>
    <w:uiPriority w:val="9"/>
    <w:unhideWhenUsed/>
    <w:qFormat/>
    <w:rsid w:val="00EE359E"/>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D7BBF"/>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ED7BBF"/>
    <w:pPr>
      <w:tabs>
        <w:tab w:val="center" w:pos="4513"/>
        <w:tab w:val="right" w:pos="9026"/>
      </w:tabs>
      <w:spacing w:line="240" w:lineRule="auto"/>
    </w:pPr>
  </w:style>
  <w:style w:type="character" w:customStyle="1" w:styleId="HeaderChar">
    <w:name w:val="Header Char"/>
    <w:basedOn w:val="DefaultParagraphFont"/>
    <w:link w:val="Header"/>
    <w:uiPriority w:val="99"/>
    <w:rsid w:val="00ED7BBF"/>
  </w:style>
  <w:style w:type="paragraph" w:styleId="Footer">
    <w:name w:val="footer"/>
    <w:basedOn w:val="Normal"/>
    <w:link w:val="FooterChar"/>
    <w:uiPriority w:val="99"/>
    <w:unhideWhenUsed/>
    <w:rsid w:val="00ED7BBF"/>
    <w:pPr>
      <w:tabs>
        <w:tab w:val="center" w:pos="4513"/>
        <w:tab w:val="right" w:pos="9026"/>
      </w:tabs>
      <w:spacing w:line="240" w:lineRule="auto"/>
    </w:pPr>
  </w:style>
  <w:style w:type="character" w:customStyle="1" w:styleId="FooterChar">
    <w:name w:val="Footer Char"/>
    <w:basedOn w:val="DefaultParagraphFont"/>
    <w:link w:val="Footer"/>
    <w:uiPriority w:val="99"/>
    <w:rsid w:val="00ED7BBF"/>
  </w:style>
  <w:style w:type="paragraph" w:styleId="ListParagraph">
    <w:name w:val="List Paragraph"/>
    <w:basedOn w:val="Normal"/>
    <w:link w:val="ListParagraphChar"/>
    <w:uiPriority w:val="34"/>
    <w:qFormat/>
    <w:rsid w:val="00F50DE6"/>
    <w:pPr>
      <w:ind w:left="720"/>
      <w:contextualSpacing/>
    </w:pPr>
  </w:style>
  <w:style w:type="paragraph" w:styleId="FootnoteText">
    <w:name w:val="footnote text"/>
    <w:aliases w:val="5_G,fn,footnote text,Footnote Text Char Char Char Char Char,Footnote Text Char Char Char Char,Footnote reference,FA Fu,Footnote Text Char Char Char,Footnote Text Cha,FA Fußnotentext,FA Fuﬂnotentext,Texto nota pie Car,Footnote Text Char Cha"/>
    <w:basedOn w:val="Normal"/>
    <w:link w:val="FootnoteTextChar"/>
    <w:uiPriority w:val="99"/>
    <w:unhideWhenUsed/>
    <w:qFormat/>
    <w:rsid w:val="000B5E82"/>
    <w:pPr>
      <w:spacing w:line="240" w:lineRule="auto"/>
    </w:pPr>
    <w:rPr>
      <w:sz w:val="20"/>
      <w:szCs w:val="20"/>
    </w:rPr>
  </w:style>
  <w:style w:type="character" w:customStyle="1" w:styleId="FootnoteTextChar">
    <w:name w:val="Footnote Text Char"/>
    <w:aliases w:val="5_G Char,fn Char,footnote text Char,Footnote Text Char Char Char Char Char Char,Footnote Text Char Char Char Char Char1,Footnote reference Char,FA Fu Char,Footnote Text Char Char Char Char1,Footnote Text Cha Char,FA Fußnotentext Char"/>
    <w:basedOn w:val="DefaultParagraphFont"/>
    <w:link w:val="FootnoteText"/>
    <w:uiPriority w:val="99"/>
    <w:rsid w:val="000B5E82"/>
    <w:rPr>
      <w:sz w:val="20"/>
      <w:szCs w:val="20"/>
    </w:rPr>
  </w:style>
  <w:style w:type="character" w:styleId="FootnoteReference">
    <w:name w:val="footnote reference"/>
    <w:aliases w:val="4_G,Footnotes refss,Footnote Refernece,Appel note de bas de p.,Footnote Ref,16 Point,Superscript 6 Point,Ref,de nota al pie,Footnote number,ftref,BVI fnr,BVI fnr Car Car,BVI fnr Car,BVI fnr Car Car Car Car,BVI fnr Car Car Car Car Char"/>
    <w:basedOn w:val="DefaultParagraphFont"/>
    <w:uiPriority w:val="99"/>
    <w:unhideWhenUsed/>
    <w:rsid w:val="000B5E82"/>
    <w:rPr>
      <w:vertAlign w:val="superscript"/>
    </w:rPr>
  </w:style>
  <w:style w:type="character" w:styleId="CommentReference">
    <w:name w:val="annotation reference"/>
    <w:basedOn w:val="DefaultParagraphFont"/>
    <w:uiPriority w:val="99"/>
    <w:semiHidden/>
    <w:unhideWhenUsed/>
    <w:rsid w:val="007D7D84"/>
    <w:rPr>
      <w:sz w:val="16"/>
      <w:szCs w:val="16"/>
    </w:rPr>
  </w:style>
  <w:style w:type="paragraph" w:styleId="CommentText">
    <w:name w:val="annotation text"/>
    <w:basedOn w:val="Normal"/>
    <w:link w:val="CommentTextChar"/>
    <w:uiPriority w:val="99"/>
    <w:unhideWhenUsed/>
    <w:rsid w:val="007D7D84"/>
    <w:pPr>
      <w:spacing w:line="240" w:lineRule="auto"/>
    </w:pPr>
    <w:rPr>
      <w:sz w:val="20"/>
      <w:szCs w:val="20"/>
    </w:rPr>
  </w:style>
  <w:style w:type="character" w:customStyle="1" w:styleId="CommentTextChar">
    <w:name w:val="Comment Text Char"/>
    <w:basedOn w:val="DefaultParagraphFont"/>
    <w:link w:val="CommentText"/>
    <w:uiPriority w:val="99"/>
    <w:rsid w:val="007D7D84"/>
    <w:rPr>
      <w:sz w:val="20"/>
      <w:szCs w:val="20"/>
    </w:rPr>
  </w:style>
  <w:style w:type="paragraph" w:styleId="CommentSubject">
    <w:name w:val="annotation subject"/>
    <w:basedOn w:val="CommentText"/>
    <w:next w:val="CommentText"/>
    <w:link w:val="CommentSubjectChar"/>
    <w:uiPriority w:val="99"/>
    <w:semiHidden/>
    <w:unhideWhenUsed/>
    <w:rsid w:val="007D7D84"/>
    <w:rPr>
      <w:b/>
      <w:bCs/>
    </w:rPr>
  </w:style>
  <w:style w:type="character" w:customStyle="1" w:styleId="CommentSubjectChar">
    <w:name w:val="Comment Subject Char"/>
    <w:basedOn w:val="CommentTextChar"/>
    <w:link w:val="CommentSubject"/>
    <w:uiPriority w:val="99"/>
    <w:semiHidden/>
    <w:rsid w:val="007D7D84"/>
    <w:rPr>
      <w:b/>
      <w:bCs/>
      <w:sz w:val="20"/>
      <w:szCs w:val="20"/>
    </w:rPr>
  </w:style>
  <w:style w:type="paragraph" w:styleId="BalloonText">
    <w:name w:val="Balloon Text"/>
    <w:basedOn w:val="Normal"/>
    <w:link w:val="BalloonTextChar"/>
    <w:uiPriority w:val="99"/>
    <w:semiHidden/>
    <w:unhideWhenUsed/>
    <w:rsid w:val="007D7D8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7D84"/>
    <w:rPr>
      <w:rFonts w:ascii="Tahoma" w:hAnsi="Tahoma" w:cs="Tahoma"/>
      <w:sz w:val="16"/>
      <w:szCs w:val="16"/>
    </w:rPr>
  </w:style>
  <w:style w:type="paragraph" w:styleId="ListBullet">
    <w:name w:val="List Bullet"/>
    <w:basedOn w:val="Normal"/>
    <w:uiPriority w:val="99"/>
    <w:unhideWhenUsed/>
    <w:rsid w:val="00200118"/>
    <w:pPr>
      <w:numPr>
        <w:numId w:val="2"/>
      </w:numPr>
      <w:spacing w:after="160" w:line="259" w:lineRule="auto"/>
      <w:contextualSpacing/>
      <w:jc w:val="left"/>
    </w:pPr>
    <w:rPr>
      <w:lang w:val="en-CA"/>
    </w:rPr>
  </w:style>
  <w:style w:type="character" w:styleId="Hyperlink">
    <w:name w:val="Hyperlink"/>
    <w:basedOn w:val="DefaultParagraphFont"/>
    <w:uiPriority w:val="99"/>
    <w:unhideWhenUsed/>
    <w:rsid w:val="00035050"/>
    <w:rPr>
      <w:color w:val="0000FF" w:themeColor="hyperlink"/>
      <w:u w:val="single"/>
    </w:rPr>
  </w:style>
  <w:style w:type="paragraph" w:styleId="NormalWeb">
    <w:name w:val="Normal (Web)"/>
    <w:basedOn w:val="Normal"/>
    <w:uiPriority w:val="99"/>
    <w:semiHidden/>
    <w:unhideWhenUsed/>
    <w:rsid w:val="001D1F7C"/>
    <w:pPr>
      <w:spacing w:before="100" w:beforeAutospacing="1" w:after="100" w:afterAutospacing="1" w:line="240" w:lineRule="auto"/>
      <w:jc w:val="left"/>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313B36"/>
  </w:style>
  <w:style w:type="character" w:styleId="Emphasis">
    <w:name w:val="Emphasis"/>
    <w:uiPriority w:val="20"/>
    <w:qFormat/>
    <w:rsid w:val="00BB26C4"/>
    <w:rPr>
      <w:rFonts w:cs="Times New Roman"/>
      <w:i/>
      <w:iCs/>
    </w:rPr>
  </w:style>
  <w:style w:type="paragraph" w:styleId="Title">
    <w:name w:val="Title"/>
    <w:basedOn w:val="Normal"/>
    <w:next w:val="Normal"/>
    <w:link w:val="TitleChar"/>
    <w:uiPriority w:val="10"/>
    <w:qFormat/>
    <w:rsid w:val="00E630C6"/>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630C6"/>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E630C6"/>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E630C6"/>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380546"/>
    <w:rPr>
      <w:rFonts w:eastAsiaTheme="majorEastAsia" w:cstheme="majorBidi"/>
      <w:b/>
      <w:color w:val="6D6E70"/>
      <w:szCs w:val="24"/>
    </w:rPr>
  </w:style>
  <w:style w:type="character" w:customStyle="1" w:styleId="Heading4Char">
    <w:name w:val="Heading 4 Char"/>
    <w:basedOn w:val="DefaultParagraphFont"/>
    <w:link w:val="Heading4"/>
    <w:uiPriority w:val="9"/>
    <w:rsid w:val="00380546"/>
    <w:rPr>
      <w:rFonts w:eastAsiaTheme="majorEastAsia" w:cstheme="majorBidi"/>
      <w:i/>
      <w:iCs/>
      <w:color w:val="6D6E70"/>
    </w:rPr>
  </w:style>
  <w:style w:type="paragraph" w:styleId="Revision">
    <w:name w:val="Revision"/>
    <w:hidden/>
    <w:uiPriority w:val="99"/>
    <w:semiHidden/>
    <w:rsid w:val="00FE33A7"/>
    <w:pPr>
      <w:spacing w:after="0" w:line="240" w:lineRule="auto"/>
    </w:pPr>
  </w:style>
  <w:style w:type="character" w:customStyle="1" w:styleId="Heading5Char">
    <w:name w:val="Heading 5 Char"/>
    <w:basedOn w:val="DefaultParagraphFont"/>
    <w:link w:val="Heading5"/>
    <w:uiPriority w:val="9"/>
    <w:rsid w:val="00EE359E"/>
    <w:rPr>
      <w:rFonts w:asciiTheme="majorHAnsi" w:eastAsiaTheme="majorEastAsia" w:hAnsiTheme="majorHAnsi" w:cstheme="majorBidi"/>
      <w:color w:val="365F91" w:themeColor="accent1" w:themeShade="BF"/>
    </w:rPr>
  </w:style>
  <w:style w:type="paragraph" w:customStyle="1" w:styleId="Normal1">
    <w:name w:val="Normal1"/>
    <w:rsid w:val="00E10589"/>
    <w:pPr>
      <w:spacing w:after="0"/>
    </w:pPr>
    <w:rPr>
      <w:rFonts w:ascii="Calibri" w:eastAsia="Calibri" w:hAnsi="Calibri" w:cs="Calibri"/>
      <w:color w:val="000000"/>
      <w:lang w:val="en-CA"/>
    </w:rPr>
  </w:style>
  <w:style w:type="paragraph" w:customStyle="1" w:styleId="Pa45">
    <w:name w:val="Pa45"/>
    <w:basedOn w:val="Default"/>
    <w:next w:val="Default"/>
    <w:uiPriority w:val="99"/>
    <w:rsid w:val="009628B4"/>
    <w:pPr>
      <w:spacing w:line="171" w:lineRule="atLeast"/>
    </w:pPr>
    <w:rPr>
      <w:rFonts w:ascii="CMKAF M+ The Sans" w:hAnsi="CMKAF M+ The Sans" w:cstheme="minorBidi"/>
      <w:color w:val="auto"/>
    </w:rPr>
  </w:style>
  <w:style w:type="character" w:customStyle="1" w:styleId="A7">
    <w:name w:val="A7"/>
    <w:uiPriority w:val="99"/>
    <w:rsid w:val="009628B4"/>
    <w:rPr>
      <w:rFonts w:cs="CMKAF M+ The Sans"/>
      <w:color w:val="000000"/>
      <w:sz w:val="22"/>
      <w:szCs w:val="22"/>
    </w:rPr>
  </w:style>
  <w:style w:type="character" w:customStyle="1" w:styleId="ListParagraphChar">
    <w:name w:val="List Paragraph Char"/>
    <w:basedOn w:val="DefaultParagraphFont"/>
    <w:link w:val="ListParagraph"/>
    <w:uiPriority w:val="34"/>
    <w:locked/>
    <w:rsid w:val="001C56B9"/>
  </w:style>
  <w:style w:type="table" w:styleId="TableGrid">
    <w:name w:val="Table Grid"/>
    <w:basedOn w:val="TableNormal"/>
    <w:uiPriority w:val="59"/>
    <w:rsid w:val="001C56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73DF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968"/>
    <w:pPr>
      <w:spacing w:after="0"/>
      <w:jc w:val="both"/>
    </w:pPr>
  </w:style>
  <w:style w:type="paragraph" w:styleId="Heading1">
    <w:name w:val="heading 1"/>
    <w:basedOn w:val="Normal"/>
    <w:next w:val="Normal"/>
    <w:link w:val="Heading1Char"/>
    <w:uiPriority w:val="9"/>
    <w:qFormat/>
    <w:rsid w:val="00E630C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E630C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380546"/>
    <w:pPr>
      <w:keepNext/>
      <w:keepLines/>
      <w:spacing w:before="40"/>
      <w:outlineLvl w:val="2"/>
    </w:pPr>
    <w:rPr>
      <w:rFonts w:eastAsiaTheme="majorEastAsia" w:cstheme="majorBidi"/>
      <w:b/>
      <w:color w:val="6D6E70"/>
      <w:szCs w:val="24"/>
    </w:rPr>
  </w:style>
  <w:style w:type="paragraph" w:styleId="Heading4">
    <w:name w:val="heading 4"/>
    <w:basedOn w:val="Normal"/>
    <w:next w:val="Normal"/>
    <w:link w:val="Heading4Char"/>
    <w:uiPriority w:val="9"/>
    <w:unhideWhenUsed/>
    <w:qFormat/>
    <w:rsid w:val="00380546"/>
    <w:pPr>
      <w:keepNext/>
      <w:keepLines/>
      <w:spacing w:before="40"/>
      <w:outlineLvl w:val="3"/>
    </w:pPr>
    <w:rPr>
      <w:rFonts w:eastAsiaTheme="majorEastAsia" w:cstheme="majorBidi"/>
      <w:i/>
      <w:iCs/>
      <w:color w:val="6D6E70"/>
    </w:rPr>
  </w:style>
  <w:style w:type="paragraph" w:styleId="Heading5">
    <w:name w:val="heading 5"/>
    <w:basedOn w:val="Normal"/>
    <w:next w:val="Normal"/>
    <w:link w:val="Heading5Char"/>
    <w:uiPriority w:val="9"/>
    <w:unhideWhenUsed/>
    <w:qFormat/>
    <w:rsid w:val="00EE359E"/>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D7BBF"/>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ED7BBF"/>
    <w:pPr>
      <w:tabs>
        <w:tab w:val="center" w:pos="4513"/>
        <w:tab w:val="right" w:pos="9026"/>
      </w:tabs>
      <w:spacing w:line="240" w:lineRule="auto"/>
    </w:pPr>
  </w:style>
  <w:style w:type="character" w:customStyle="1" w:styleId="HeaderChar">
    <w:name w:val="Header Char"/>
    <w:basedOn w:val="DefaultParagraphFont"/>
    <w:link w:val="Header"/>
    <w:uiPriority w:val="99"/>
    <w:rsid w:val="00ED7BBF"/>
  </w:style>
  <w:style w:type="paragraph" w:styleId="Footer">
    <w:name w:val="footer"/>
    <w:basedOn w:val="Normal"/>
    <w:link w:val="FooterChar"/>
    <w:uiPriority w:val="99"/>
    <w:unhideWhenUsed/>
    <w:rsid w:val="00ED7BBF"/>
    <w:pPr>
      <w:tabs>
        <w:tab w:val="center" w:pos="4513"/>
        <w:tab w:val="right" w:pos="9026"/>
      </w:tabs>
      <w:spacing w:line="240" w:lineRule="auto"/>
    </w:pPr>
  </w:style>
  <w:style w:type="character" w:customStyle="1" w:styleId="FooterChar">
    <w:name w:val="Footer Char"/>
    <w:basedOn w:val="DefaultParagraphFont"/>
    <w:link w:val="Footer"/>
    <w:uiPriority w:val="99"/>
    <w:rsid w:val="00ED7BBF"/>
  </w:style>
  <w:style w:type="paragraph" w:styleId="ListParagraph">
    <w:name w:val="List Paragraph"/>
    <w:basedOn w:val="Normal"/>
    <w:link w:val="ListParagraphChar"/>
    <w:uiPriority w:val="34"/>
    <w:qFormat/>
    <w:rsid w:val="00F50DE6"/>
    <w:pPr>
      <w:ind w:left="720"/>
      <w:contextualSpacing/>
    </w:pPr>
  </w:style>
  <w:style w:type="paragraph" w:styleId="FootnoteText">
    <w:name w:val="footnote text"/>
    <w:aliases w:val="5_G,fn,footnote text,Footnote Text Char Char Char Char Char,Footnote Text Char Char Char Char,Footnote reference,FA Fu,Footnote Text Char Char Char,Footnote Text Cha,FA Fußnotentext,FA Fuﬂnotentext,Texto nota pie Car,Footnote Text Char Cha"/>
    <w:basedOn w:val="Normal"/>
    <w:link w:val="FootnoteTextChar"/>
    <w:uiPriority w:val="99"/>
    <w:unhideWhenUsed/>
    <w:qFormat/>
    <w:rsid w:val="000B5E82"/>
    <w:pPr>
      <w:spacing w:line="240" w:lineRule="auto"/>
    </w:pPr>
    <w:rPr>
      <w:sz w:val="20"/>
      <w:szCs w:val="20"/>
    </w:rPr>
  </w:style>
  <w:style w:type="character" w:customStyle="1" w:styleId="FootnoteTextChar">
    <w:name w:val="Footnote Text Char"/>
    <w:aliases w:val="5_G Char,fn Char,footnote text Char,Footnote Text Char Char Char Char Char Char,Footnote Text Char Char Char Char Char1,Footnote reference Char,FA Fu Char,Footnote Text Char Char Char Char1,Footnote Text Cha Char,FA Fußnotentext Char"/>
    <w:basedOn w:val="DefaultParagraphFont"/>
    <w:link w:val="FootnoteText"/>
    <w:uiPriority w:val="99"/>
    <w:rsid w:val="000B5E82"/>
    <w:rPr>
      <w:sz w:val="20"/>
      <w:szCs w:val="20"/>
    </w:rPr>
  </w:style>
  <w:style w:type="character" w:styleId="FootnoteReference">
    <w:name w:val="footnote reference"/>
    <w:aliases w:val="4_G,Footnotes refss,Footnote Refernece,Appel note de bas de p.,Footnote Ref,16 Point,Superscript 6 Point,Ref,de nota al pie,Footnote number,ftref,BVI fnr,BVI fnr Car Car,BVI fnr Car,BVI fnr Car Car Car Car,BVI fnr Car Car Car Car Char"/>
    <w:basedOn w:val="DefaultParagraphFont"/>
    <w:uiPriority w:val="99"/>
    <w:unhideWhenUsed/>
    <w:rsid w:val="000B5E82"/>
    <w:rPr>
      <w:vertAlign w:val="superscript"/>
    </w:rPr>
  </w:style>
  <w:style w:type="character" w:styleId="CommentReference">
    <w:name w:val="annotation reference"/>
    <w:basedOn w:val="DefaultParagraphFont"/>
    <w:uiPriority w:val="99"/>
    <w:semiHidden/>
    <w:unhideWhenUsed/>
    <w:rsid w:val="007D7D84"/>
    <w:rPr>
      <w:sz w:val="16"/>
      <w:szCs w:val="16"/>
    </w:rPr>
  </w:style>
  <w:style w:type="paragraph" w:styleId="CommentText">
    <w:name w:val="annotation text"/>
    <w:basedOn w:val="Normal"/>
    <w:link w:val="CommentTextChar"/>
    <w:uiPriority w:val="99"/>
    <w:unhideWhenUsed/>
    <w:rsid w:val="007D7D84"/>
    <w:pPr>
      <w:spacing w:line="240" w:lineRule="auto"/>
    </w:pPr>
    <w:rPr>
      <w:sz w:val="20"/>
      <w:szCs w:val="20"/>
    </w:rPr>
  </w:style>
  <w:style w:type="character" w:customStyle="1" w:styleId="CommentTextChar">
    <w:name w:val="Comment Text Char"/>
    <w:basedOn w:val="DefaultParagraphFont"/>
    <w:link w:val="CommentText"/>
    <w:uiPriority w:val="99"/>
    <w:rsid w:val="007D7D84"/>
    <w:rPr>
      <w:sz w:val="20"/>
      <w:szCs w:val="20"/>
    </w:rPr>
  </w:style>
  <w:style w:type="paragraph" w:styleId="CommentSubject">
    <w:name w:val="annotation subject"/>
    <w:basedOn w:val="CommentText"/>
    <w:next w:val="CommentText"/>
    <w:link w:val="CommentSubjectChar"/>
    <w:uiPriority w:val="99"/>
    <w:semiHidden/>
    <w:unhideWhenUsed/>
    <w:rsid w:val="007D7D84"/>
    <w:rPr>
      <w:b/>
      <w:bCs/>
    </w:rPr>
  </w:style>
  <w:style w:type="character" w:customStyle="1" w:styleId="CommentSubjectChar">
    <w:name w:val="Comment Subject Char"/>
    <w:basedOn w:val="CommentTextChar"/>
    <w:link w:val="CommentSubject"/>
    <w:uiPriority w:val="99"/>
    <w:semiHidden/>
    <w:rsid w:val="007D7D84"/>
    <w:rPr>
      <w:b/>
      <w:bCs/>
      <w:sz w:val="20"/>
      <w:szCs w:val="20"/>
    </w:rPr>
  </w:style>
  <w:style w:type="paragraph" w:styleId="BalloonText">
    <w:name w:val="Balloon Text"/>
    <w:basedOn w:val="Normal"/>
    <w:link w:val="BalloonTextChar"/>
    <w:uiPriority w:val="99"/>
    <w:semiHidden/>
    <w:unhideWhenUsed/>
    <w:rsid w:val="007D7D8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7D84"/>
    <w:rPr>
      <w:rFonts w:ascii="Tahoma" w:hAnsi="Tahoma" w:cs="Tahoma"/>
      <w:sz w:val="16"/>
      <w:szCs w:val="16"/>
    </w:rPr>
  </w:style>
  <w:style w:type="paragraph" w:styleId="ListBullet">
    <w:name w:val="List Bullet"/>
    <w:basedOn w:val="Normal"/>
    <w:uiPriority w:val="99"/>
    <w:unhideWhenUsed/>
    <w:rsid w:val="00200118"/>
    <w:pPr>
      <w:numPr>
        <w:numId w:val="2"/>
      </w:numPr>
      <w:spacing w:after="160" w:line="259" w:lineRule="auto"/>
      <w:contextualSpacing/>
      <w:jc w:val="left"/>
    </w:pPr>
    <w:rPr>
      <w:lang w:val="en-CA"/>
    </w:rPr>
  </w:style>
  <w:style w:type="character" w:styleId="Hyperlink">
    <w:name w:val="Hyperlink"/>
    <w:basedOn w:val="DefaultParagraphFont"/>
    <w:uiPriority w:val="99"/>
    <w:unhideWhenUsed/>
    <w:rsid w:val="00035050"/>
    <w:rPr>
      <w:color w:val="0000FF" w:themeColor="hyperlink"/>
      <w:u w:val="single"/>
    </w:rPr>
  </w:style>
  <w:style w:type="paragraph" w:styleId="NormalWeb">
    <w:name w:val="Normal (Web)"/>
    <w:basedOn w:val="Normal"/>
    <w:uiPriority w:val="99"/>
    <w:semiHidden/>
    <w:unhideWhenUsed/>
    <w:rsid w:val="001D1F7C"/>
    <w:pPr>
      <w:spacing w:before="100" w:beforeAutospacing="1" w:after="100" w:afterAutospacing="1" w:line="240" w:lineRule="auto"/>
      <w:jc w:val="left"/>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313B36"/>
  </w:style>
  <w:style w:type="character" w:styleId="Emphasis">
    <w:name w:val="Emphasis"/>
    <w:uiPriority w:val="20"/>
    <w:qFormat/>
    <w:rsid w:val="00BB26C4"/>
    <w:rPr>
      <w:rFonts w:cs="Times New Roman"/>
      <w:i/>
      <w:iCs/>
    </w:rPr>
  </w:style>
  <w:style w:type="paragraph" w:styleId="Title">
    <w:name w:val="Title"/>
    <w:basedOn w:val="Normal"/>
    <w:next w:val="Normal"/>
    <w:link w:val="TitleChar"/>
    <w:uiPriority w:val="10"/>
    <w:qFormat/>
    <w:rsid w:val="00E630C6"/>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630C6"/>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E630C6"/>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E630C6"/>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380546"/>
    <w:rPr>
      <w:rFonts w:eastAsiaTheme="majorEastAsia" w:cstheme="majorBidi"/>
      <w:b/>
      <w:color w:val="6D6E70"/>
      <w:szCs w:val="24"/>
    </w:rPr>
  </w:style>
  <w:style w:type="character" w:customStyle="1" w:styleId="Heading4Char">
    <w:name w:val="Heading 4 Char"/>
    <w:basedOn w:val="DefaultParagraphFont"/>
    <w:link w:val="Heading4"/>
    <w:uiPriority w:val="9"/>
    <w:rsid w:val="00380546"/>
    <w:rPr>
      <w:rFonts w:eastAsiaTheme="majorEastAsia" w:cstheme="majorBidi"/>
      <w:i/>
      <w:iCs/>
      <w:color w:val="6D6E70"/>
    </w:rPr>
  </w:style>
  <w:style w:type="paragraph" w:styleId="Revision">
    <w:name w:val="Revision"/>
    <w:hidden/>
    <w:uiPriority w:val="99"/>
    <w:semiHidden/>
    <w:rsid w:val="00FE33A7"/>
    <w:pPr>
      <w:spacing w:after="0" w:line="240" w:lineRule="auto"/>
    </w:pPr>
  </w:style>
  <w:style w:type="character" w:customStyle="1" w:styleId="Heading5Char">
    <w:name w:val="Heading 5 Char"/>
    <w:basedOn w:val="DefaultParagraphFont"/>
    <w:link w:val="Heading5"/>
    <w:uiPriority w:val="9"/>
    <w:rsid w:val="00EE359E"/>
    <w:rPr>
      <w:rFonts w:asciiTheme="majorHAnsi" w:eastAsiaTheme="majorEastAsia" w:hAnsiTheme="majorHAnsi" w:cstheme="majorBidi"/>
      <w:color w:val="365F91" w:themeColor="accent1" w:themeShade="BF"/>
    </w:rPr>
  </w:style>
  <w:style w:type="paragraph" w:customStyle="1" w:styleId="Normal1">
    <w:name w:val="Normal1"/>
    <w:rsid w:val="00E10589"/>
    <w:pPr>
      <w:spacing w:after="0"/>
    </w:pPr>
    <w:rPr>
      <w:rFonts w:ascii="Calibri" w:eastAsia="Calibri" w:hAnsi="Calibri" w:cs="Calibri"/>
      <w:color w:val="000000"/>
      <w:lang w:val="en-CA"/>
    </w:rPr>
  </w:style>
  <w:style w:type="paragraph" w:customStyle="1" w:styleId="Pa45">
    <w:name w:val="Pa45"/>
    <w:basedOn w:val="Default"/>
    <w:next w:val="Default"/>
    <w:uiPriority w:val="99"/>
    <w:rsid w:val="009628B4"/>
    <w:pPr>
      <w:spacing w:line="171" w:lineRule="atLeast"/>
    </w:pPr>
    <w:rPr>
      <w:rFonts w:ascii="CMKAF M+ The Sans" w:hAnsi="CMKAF M+ The Sans" w:cstheme="minorBidi"/>
      <w:color w:val="auto"/>
    </w:rPr>
  </w:style>
  <w:style w:type="character" w:customStyle="1" w:styleId="A7">
    <w:name w:val="A7"/>
    <w:uiPriority w:val="99"/>
    <w:rsid w:val="009628B4"/>
    <w:rPr>
      <w:rFonts w:cs="CMKAF M+ The Sans"/>
      <w:color w:val="000000"/>
      <w:sz w:val="22"/>
      <w:szCs w:val="22"/>
    </w:rPr>
  </w:style>
  <w:style w:type="character" w:customStyle="1" w:styleId="ListParagraphChar">
    <w:name w:val="List Paragraph Char"/>
    <w:basedOn w:val="DefaultParagraphFont"/>
    <w:link w:val="ListParagraph"/>
    <w:uiPriority w:val="34"/>
    <w:locked/>
    <w:rsid w:val="001C56B9"/>
  </w:style>
  <w:style w:type="table" w:styleId="TableGrid">
    <w:name w:val="Table Grid"/>
    <w:basedOn w:val="TableNormal"/>
    <w:uiPriority w:val="59"/>
    <w:rsid w:val="001C56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73DF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74001">
      <w:bodyDiv w:val="1"/>
      <w:marLeft w:val="0"/>
      <w:marRight w:val="0"/>
      <w:marTop w:val="0"/>
      <w:marBottom w:val="0"/>
      <w:divBdr>
        <w:top w:val="none" w:sz="0" w:space="0" w:color="auto"/>
        <w:left w:val="none" w:sz="0" w:space="0" w:color="auto"/>
        <w:bottom w:val="none" w:sz="0" w:space="0" w:color="auto"/>
        <w:right w:val="none" w:sz="0" w:space="0" w:color="auto"/>
      </w:divBdr>
    </w:div>
    <w:div w:id="170949082">
      <w:bodyDiv w:val="1"/>
      <w:marLeft w:val="0"/>
      <w:marRight w:val="0"/>
      <w:marTop w:val="0"/>
      <w:marBottom w:val="0"/>
      <w:divBdr>
        <w:top w:val="none" w:sz="0" w:space="0" w:color="auto"/>
        <w:left w:val="none" w:sz="0" w:space="0" w:color="auto"/>
        <w:bottom w:val="none" w:sz="0" w:space="0" w:color="auto"/>
        <w:right w:val="none" w:sz="0" w:space="0" w:color="auto"/>
      </w:divBdr>
    </w:div>
    <w:div w:id="428043756">
      <w:bodyDiv w:val="1"/>
      <w:marLeft w:val="0"/>
      <w:marRight w:val="0"/>
      <w:marTop w:val="0"/>
      <w:marBottom w:val="0"/>
      <w:divBdr>
        <w:top w:val="none" w:sz="0" w:space="0" w:color="auto"/>
        <w:left w:val="none" w:sz="0" w:space="0" w:color="auto"/>
        <w:bottom w:val="none" w:sz="0" w:space="0" w:color="auto"/>
        <w:right w:val="none" w:sz="0" w:space="0" w:color="auto"/>
      </w:divBdr>
    </w:div>
    <w:div w:id="498543424">
      <w:bodyDiv w:val="1"/>
      <w:marLeft w:val="0"/>
      <w:marRight w:val="0"/>
      <w:marTop w:val="0"/>
      <w:marBottom w:val="0"/>
      <w:divBdr>
        <w:top w:val="none" w:sz="0" w:space="0" w:color="auto"/>
        <w:left w:val="none" w:sz="0" w:space="0" w:color="auto"/>
        <w:bottom w:val="none" w:sz="0" w:space="0" w:color="auto"/>
        <w:right w:val="none" w:sz="0" w:space="0" w:color="auto"/>
      </w:divBdr>
      <w:divsChild>
        <w:div w:id="112600097">
          <w:blockQuote w:val="1"/>
          <w:marLeft w:val="720"/>
          <w:marRight w:val="720"/>
          <w:marTop w:val="100"/>
          <w:marBottom w:val="100"/>
          <w:divBdr>
            <w:top w:val="none" w:sz="0" w:space="0" w:color="auto"/>
            <w:left w:val="none" w:sz="0" w:space="0" w:color="auto"/>
            <w:bottom w:val="none" w:sz="0" w:space="0" w:color="auto"/>
            <w:right w:val="none" w:sz="0" w:space="0" w:color="auto"/>
          </w:divBdr>
        </w:div>
        <w:div w:id="2131703308">
          <w:marLeft w:val="0"/>
          <w:marRight w:val="0"/>
          <w:marTop w:val="0"/>
          <w:marBottom w:val="0"/>
          <w:divBdr>
            <w:top w:val="none" w:sz="0" w:space="0" w:color="auto"/>
            <w:left w:val="none" w:sz="0" w:space="0" w:color="auto"/>
            <w:bottom w:val="none" w:sz="0" w:space="0" w:color="auto"/>
            <w:right w:val="none" w:sz="0" w:space="0" w:color="auto"/>
          </w:divBdr>
        </w:div>
      </w:divsChild>
    </w:div>
    <w:div w:id="732242805">
      <w:bodyDiv w:val="1"/>
      <w:marLeft w:val="0"/>
      <w:marRight w:val="0"/>
      <w:marTop w:val="0"/>
      <w:marBottom w:val="0"/>
      <w:divBdr>
        <w:top w:val="none" w:sz="0" w:space="0" w:color="auto"/>
        <w:left w:val="none" w:sz="0" w:space="0" w:color="auto"/>
        <w:bottom w:val="none" w:sz="0" w:space="0" w:color="auto"/>
        <w:right w:val="none" w:sz="0" w:space="0" w:color="auto"/>
      </w:divBdr>
    </w:div>
    <w:div w:id="778988472">
      <w:bodyDiv w:val="1"/>
      <w:marLeft w:val="0"/>
      <w:marRight w:val="0"/>
      <w:marTop w:val="0"/>
      <w:marBottom w:val="0"/>
      <w:divBdr>
        <w:top w:val="none" w:sz="0" w:space="0" w:color="auto"/>
        <w:left w:val="none" w:sz="0" w:space="0" w:color="auto"/>
        <w:bottom w:val="none" w:sz="0" w:space="0" w:color="auto"/>
        <w:right w:val="none" w:sz="0" w:space="0" w:color="auto"/>
      </w:divBdr>
    </w:div>
    <w:div w:id="1064068775">
      <w:bodyDiv w:val="1"/>
      <w:marLeft w:val="0"/>
      <w:marRight w:val="0"/>
      <w:marTop w:val="0"/>
      <w:marBottom w:val="0"/>
      <w:divBdr>
        <w:top w:val="none" w:sz="0" w:space="0" w:color="auto"/>
        <w:left w:val="none" w:sz="0" w:space="0" w:color="auto"/>
        <w:bottom w:val="none" w:sz="0" w:space="0" w:color="auto"/>
        <w:right w:val="none" w:sz="0" w:space="0" w:color="auto"/>
      </w:divBdr>
    </w:div>
    <w:div w:id="1288580961">
      <w:bodyDiv w:val="1"/>
      <w:marLeft w:val="0"/>
      <w:marRight w:val="0"/>
      <w:marTop w:val="0"/>
      <w:marBottom w:val="0"/>
      <w:divBdr>
        <w:top w:val="none" w:sz="0" w:space="0" w:color="auto"/>
        <w:left w:val="none" w:sz="0" w:space="0" w:color="auto"/>
        <w:bottom w:val="none" w:sz="0" w:space="0" w:color="auto"/>
        <w:right w:val="none" w:sz="0" w:space="0" w:color="auto"/>
      </w:divBdr>
    </w:div>
    <w:div w:id="1499036408">
      <w:bodyDiv w:val="1"/>
      <w:marLeft w:val="0"/>
      <w:marRight w:val="0"/>
      <w:marTop w:val="0"/>
      <w:marBottom w:val="0"/>
      <w:divBdr>
        <w:top w:val="none" w:sz="0" w:space="0" w:color="auto"/>
        <w:left w:val="none" w:sz="0" w:space="0" w:color="auto"/>
        <w:bottom w:val="none" w:sz="0" w:space="0" w:color="auto"/>
        <w:right w:val="none" w:sz="0" w:space="0" w:color="auto"/>
      </w:divBdr>
    </w:div>
    <w:div w:id="2036231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3" Type="http://schemas.openxmlformats.org/officeDocument/2006/relationships/hyperlink" Target="http://www.ilo.org/wcmsp5/groups/public/---dgreports/---dcomm/documents/publication/wcms_436343.pdf" TargetMode="External"/><Relationship Id="rId2" Type="http://schemas.openxmlformats.org/officeDocument/2006/relationships/hyperlink" Target="http://www.ilo.org/wcmsp5/groups/public/---ed_norm/---declaration/documents/publication/wcms_182004.pdf" TargetMode="External"/><Relationship Id="rId1" Type="http://schemas.openxmlformats.org/officeDocument/2006/relationships/hyperlink" Target="http://siteresources.worldbank.org/INTPROSPECTS/Resources/334934-1199807908806/4549025-1450455807487/Factbookpart1.pdf" TargetMode="External"/><Relationship Id="rId5" Type="http://schemas.openxmlformats.org/officeDocument/2006/relationships/hyperlink" Target="http://newint.org/features/web-exclusive/2013/07/02/domestic-worker-visa-britain/" TargetMode="External"/><Relationship Id="rId4" Type="http://schemas.openxmlformats.org/officeDocument/2006/relationships/hyperlink" Target="https://www.hrw.org/news/2014/03/31/uk-migrant-domestic-workers-face-serious-abu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188B237-BF57-4C61-A903-749C767D16A2}"/>
</file>

<file path=customXml/itemProps2.xml><?xml version="1.0" encoding="utf-8"?>
<ds:datastoreItem xmlns:ds="http://schemas.openxmlformats.org/officeDocument/2006/customXml" ds:itemID="{1E6532D2-0BB9-4FBA-8D89-F81785491B0B}"/>
</file>

<file path=customXml/itemProps3.xml><?xml version="1.0" encoding="utf-8"?>
<ds:datastoreItem xmlns:ds="http://schemas.openxmlformats.org/officeDocument/2006/customXml" ds:itemID="{E0173097-332B-487A-B3A3-9043CD7D28B4}"/>
</file>

<file path=customXml/itemProps4.xml><?xml version="1.0" encoding="utf-8"?>
<ds:datastoreItem xmlns:ds="http://schemas.openxmlformats.org/officeDocument/2006/customXml" ds:itemID="{E3724D56-1D06-49DF-AB66-9538BC646C86}"/>
</file>

<file path=docProps/app.xml><?xml version="1.0" encoding="utf-8"?>
<Properties xmlns="http://schemas.openxmlformats.org/officeDocument/2006/extended-properties" xmlns:vt="http://schemas.openxmlformats.org/officeDocument/2006/docPropsVTypes">
  <Template>Normal.dotm</Template>
  <TotalTime>2</TotalTime>
  <Pages>19</Pages>
  <Words>7544</Words>
  <Characters>43007</Characters>
  <Application>Microsoft Office Word</Application>
  <DocSecurity>8</DocSecurity>
  <Lines>358</Lines>
  <Paragraphs>100</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50451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 Women [Jen]</dc:creator>
  <cp:lastModifiedBy>Fleche Isabelle</cp:lastModifiedBy>
  <cp:revision>3</cp:revision>
  <cp:lastPrinted>2016-10-19T19:17:00Z</cp:lastPrinted>
  <dcterms:created xsi:type="dcterms:W3CDTF">2016-11-18T22:06:00Z</dcterms:created>
  <dcterms:modified xsi:type="dcterms:W3CDTF">2016-12-05T11:11:00Z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3904600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