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CB" w:rsidRPr="00384ACB" w:rsidRDefault="00384ACB" w:rsidP="00384ACB">
      <w:pPr>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b/>
          <w:color w:val="000000"/>
          <w:lang w:val="en-GB"/>
        </w:rPr>
      </w:pPr>
      <w:bookmarkStart w:id="0" w:name="_GoBack"/>
      <w:bookmarkEnd w:id="0"/>
      <w:r w:rsidRPr="00384ACB">
        <w:rPr>
          <w:rFonts w:cs="Times New Roman"/>
          <w:b/>
          <w:color w:val="000000"/>
          <w:lang w:val="en-GB"/>
        </w:rPr>
        <w:t xml:space="preserve">Written contribution </w:t>
      </w:r>
    </w:p>
    <w:p w:rsidR="00702DF9" w:rsidRPr="00384ACB" w:rsidRDefault="00702DF9" w:rsidP="00384ACB">
      <w:pPr>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b/>
          <w:color w:val="000000"/>
          <w:lang w:val="en-GB"/>
        </w:rPr>
      </w:pPr>
      <w:r w:rsidRPr="00384ACB">
        <w:rPr>
          <w:rFonts w:cs="Times New Roman"/>
          <w:b/>
          <w:color w:val="000000"/>
          <w:lang w:val="en-GB"/>
        </w:rPr>
        <w:t xml:space="preserve">The impact of environmental harm on children’s rights </w:t>
      </w:r>
    </w:p>
    <w:p w:rsidR="00384ACB" w:rsidRDefault="00384ACB" w:rsidP="00384ACB">
      <w:pPr>
        <w:pBdr>
          <w:top w:val="single" w:sz="4" w:space="1" w:color="auto"/>
          <w:left w:val="single" w:sz="4" w:space="4" w:color="auto"/>
          <w:bottom w:val="single" w:sz="4" w:space="1" w:color="auto"/>
          <w:right w:val="single" w:sz="4" w:space="4" w:color="auto"/>
        </w:pBdr>
        <w:jc w:val="both"/>
        <w:rPr>
          <w:b/>
          <w:lang w:val="en-GB"/>
        </w:rPr>
      </w:pPr>
      <w:r w:rsidRPr="00384ACB">
        <w:rPr>
          <w:b/>
          <w:lang w:val="en-GB"/>
        </w:rPr>
        <w:t>Working Group 2 – Children and the effects of environmental degradation</w:t>
      </w:r>
      <w:r w:rsidRPr="003313D7">
        <w:rPr>
          <w:b/>
          <w:lang w:val="en-GB"/>
        </w:rPr>
        <w:t xml:space="preserve"> </w:t>
      </w:r>
    </w:p>
    <w:p w:rsidR="00384ACB" w:rsidRDefault="00384ACB" w:rsidP="00702DF9">
      <w:pPr>
        <w:autoSpaceDE w:val="0"/>
        <w:autoSpaceDN w:val="0"/>
        <w:adjustRightInd w:val="0"/>
        <w:jc w:val="both"/>
        <w:rPr>
          <w:rFonts w:cs="Times New Roman"/>
          <w:b/>
          <w:color w:val="000000"/>
          <w:lang w:val="en-GB"/>
        </w:rPr>
      </w:pPr>
    </w:p>
    <w:p w:rsidR="00B93E60" w:rsidRPr="00B93E60" w:rsidRDefault="00B93E60" w:rsidP="00B93E60">
      <w:pPr>
        <w:rPr>
          <w:rFonts w:cs="Tahoma"/>
          <w:sz w:val="22"/>
          <w:szCs w:val="22"/>
          <w:lang w:val="es-PE"/>
        </w:rPr>
      </w:pPr>
    </w:p>
    <w:p w:rsidR="00B93E60" w:rsidRPr="00B93E60" w:rsidRDefault="00B93E60" w:rsidP="00702DF9">
      <w:pPr>
        <w:autoSpaceDE w:val="0"/>
        <w:autoSpaceDN w:val="0"/>
        <w:adjustRightInd w:val="0"/>
        <w:jc w:val="both"/>
        <w:rPr>
          <w:rFonts w:cs="Times New Roman"/>
          <w:b/>
          <w:color w:val="000000"/>
          <w:lang w:val="es-PE"/>
        </w:rPr>
      </w:pPr>
    </w:p>
    <w:p w:rsidR="000B6CB0" w:rsidRDefault="000B6CB0">
      <w:pPr>
        <w:rPr>
          <w:rFonts w:cs="Times New Roman"/>
          <w:b/>
          <w:bCs/>
          <w:color w:val="000000"/>
          <w:lang w:val="es-ES_tradnl"/>
        </w:rPr>
      </w:pPr>
      <w:r>
        <w:rPr>
          <w:rFonts w:cs="Times New Roman"/>
          <w:b/>
          <w:bCs/>
          <w:color w:val="000000"/>
          <w:lang w:val="es-ES_tradnl"/>
        </w:rPr>
        <w:br w:type="page"/>
      </w:r>
    </w:p>
    <w:p w:rsidR="00702DF9" w:rsidRDefault="00384ACB" w:rsidP="00702DF9">
      <w:pPr>
        <w:autoSpaceDE w:val="0"/>
        <w:autoSpaceDN w:val="0"/>
        <w:adjustRightInd w:val="0"/>
        <w:jc w:val="both"/>
        <w:rPr>
          <w:rFonts w:cs="Times New Roman"/>
          <w:b/>
          <w:bCs/>
          <w:color w:val="000000"/>
          <w:lang w:val="es-ES_tradnl"/>
        </w:rPr>
      </w:pPr>
      <w:r w:rsidRPr="00384ACB">
        <w:rPr>
          <w:rFonts w:cs="Times New Roman"/>
          <w:b/>
          <w:bCs/>
          <w:color w:val="000000"/>
          <w:lang w:val="es-ES_tradnl"/>
        </w:rPr>
        <w:lastRenderedPageBreak/>
        <w:t>Estimación de puntos de cociente intelectual perdidos en niños indígenas de la cuenca petrolera del río Corrientes, Perú</w:t>
      </w:r>
      <w:r w:rsidR="00BA2B76">
        <w:rPr>
          <w:rStyle w:val="Funotenzeichen"/>
          <w:rFonts w:cs="Times New Roman"/>
          <w:b/>
          <w:bCs/>
          <w:color w:val="000000"/>
          <w:lang w:val="es-ES_tradnl"/>
        </w:rPr>
        <w:footnoteReference w:id="1"/>
      </w:r>
    </w:p>
    <w:p w:rsidR="00CF4FE5" w:rsidRDefault="00CF4FE5" w:rsidP="00702DF9">
      <w:pPr>
        <w:autoSpaceDE w:val="0"/>
        <w:autoSpaceDN w:val="0"/>
        <w:adjustRightInd w:val="0"/>
        <w:jc w:val="both"/>
        <w:rPr>
          <w:rFonts w:cs="Times New Roman"/>
          <w:b/>
          <w:bCs/>
          <w:color w:val="000000"/>
          <w:lang w:val="es-ES_tradnl"/>
        </w:rPr>
      </w:pPr>
    </w:p>
    <w:p w:rsidR="00CF4FE5" w:rsidRDefault="00CF4FE5" w:rsidP="007A27C9">
      <w:pPr>
        <w:autoSpaceDE w:val="0"/>
        <w:autoSpaceDN w:val="0"/>
        <w:adjustRightInd w:val="0"/>
        <w:ind w:left="708"/>
        <w:jc w:val="right"/>
        <w:rPr>
          <w:rFonts w:cs="Times New Roman"/>
          <w:b/>
          <w:bCs/>
          <w:color w:val="000000"/>
          <w:lang w:val="es-ES_tradnl"/>
        </w:rPr>
      </w:pPr>
      <w:r w:rsidRPr="00B93E60">
        <w:rPr>
          <w:rFonts w:cs="Tahoma"/>
          <w:sz w:val="22"/>
          <w:szCs w:val="22"/>
          <w:lang w:val="es-PE"/>
        </w:rPr>
        <w:t xml:space="preserve">Frederica BARCLAY, José María ORDÓÑEZ, América ARIAS </w:t>
      </w:r>
    </w:p>
    <w:p w:rsidR="00384ACB" w:rsidRPr="00384ACB" w:rsidRDefault="00384ACB" w:rsidP="00702DF9">
      <w:pPr>
        <w:autoSpaceDE w:val="0"/>
        <w:autoSpaceDN w:val="0"/>
        <w:adjustRightInd w:val="0"/>
        <w:jc w:val="both"/>
        <w:rPr>
          <w:rFonts w:cs="Times New Roman"/>
          <w:color w:val="000000"/>
          <w:lang w:val="es-PE"/>
        </w:rPr>
      </w:pPr>
    </w:p>
    <w:p w:rsidR="00702DF9" w:rsidRDefault="00702DF9" w:rsidP="00702DF9">
      <w:pPr>
        <w:autoSpaceDE w:val="0"/>
        <w:autoSpaceDN w:val="0"/>
        <w:adjustRightInd w:val="0"/>
        <w:jc w:val="both"/>
        <w:rPr>
          <w:rFonts w:cs="Times New Roman"/>
          <w:color w:val="000000"/>
          <w:lang w:val="es-ES"/>
        </w:rPr>
      </w:pPr>
      <w:r w:rsidRPr="00702DF9">
        <w:rPr>
          <w:rFonts w:cs="Times New Roman"/>
          <w:color w:val="000000"/>
          <w:lang w:val="es-ES"/>
        </w:rPr>
        <w:t>El goce de</w:t>
      </w:r>
      <w:r w:rsidR="00CE25DB">
        <w:rPr>
          <w:rFonts w:cs="Times New Roman"/>
          <w:color w:val="000000"/>
          <w:lang w:val="es-ES"/>
        </w:rPr>
        <w:t xml:space="preserve"> los</w:t>
      </w:r>
      <w:r w:rsidRPr="00702DF9">
        <w:rPr>
          <w:rFonts w:cs="Times New Roman"/>
          <w:color w:val="000000"/>
          <w:lang w:val="es-ES"/>
        </w:rPr>
        <w:t xml:space="preserve"> derecho</w:t>
      </w:r>
      <w:r w:rsidR="00CE25DB">
        <w:rPr>
          <w:rFonts w:cs="Times New Roman"/>
          <w:color w:val="000000"/>
          <w:lang w:val="es-ES"/>
        </w:rPr>
        <w:t xml:space="preserve">s del niño/a incluye de manera preponderante el derecho a la </w:t>
      </w:r>
      <w:r w:rsidRPr="00702DF9">
        <w:rPr>
          <w:rFonts w:cs="Times New Roman"/>
          <w:color w:val="000000"/>
          <w:lang w:val="es-ES"/>
        </w:rPr>
        <w:t xml:space="preserve">salud </w:t>
      </w:r>
      <w:r w:rsidR="00CE25DB">
        <w:rPr>
          <w:rFonts w:cs="Times New Roman"/>
          <w:color w:val="000000"/>
          <w:lang w:val="es-ES"/>
        </w:rPr>
        <w:t xml:space="preserve">y </w:t>
      </w:r>
      <w:r w:rsidR="00B93E60">
        <w:rPr>
          <w:rFonts w:cs="Times New Roman"/>
          <w:color w:val="000000"/>
          <w:lang w:val="es-ES"/>
        </w:rPr>
        <w:t>el disfrute de un medio ambiente sano</w:t>
      </w:r>
      <w:r w:rsidR="002619AE">
        <w:rPr>
          <w:rFonts w:cs="Times New Roman"/>
          <w:color w:val="000000"/>
          <w:lang w:val="es-ES"/>
        </w:rPr>
        <w:t xml:space="preserve"> que los estados deben garantizar</w:t>
      </w:r>
      <w:r w:rsidRPr="00702DF9">
        <w:rPr>
          <w:rFonts w:cs="Times New Roman"/>
          <w:color w:val="000000"/>
          <w:lang w:val="es-ES"/>
        </w:rPr>
        <w:t>.</w:t>
      </w:r>
    </w:p>
    <w:p w:rsidR="00692601" w:rsidRPr="002619AE" w:rsidRDefault="00692601" w:rsidP="00702DF9">
      <w:pPr>
        <w:autoSpaceDE w:val="0"/>
        <w:autoSpaceDN w:val="0"/>
        <w:adjustRightInd w:val="0"/>
        <w:jc w:val="both"/>
        <w:rPr>
          <w:rFonts w:cs="Times New Roman"/>
          <w:color w:val="000000"/>
          <w:lang w:val="en-US"/>
        </w:rPr>
      </w:pPr>
    </w:p>
    <w:p w:rsidR="00CE25DB" w:rsidRDefault="00692601" w:rsidP="00692601">
      <w:pPr>
        <w:autoSpaceDE w:val="0"/>
        <w:autoSpaceDN w:val="0"/>
        <w:adjustRightInd w:val="0"/>
        <w:jc w:val="both"/>
        <w:rPr>
          <w:rFonts w:cs="Times New Roman"/>
          <w:color w:val="000000"/>
          <w:lang w:val="es-PE"/>
        </w:rPr>
      </w:pPr>
      <w:r>
        <w:rPr>
          <w:rFonts w:cs="Times New Roman"/>
          <w:color w:val="000000"/>
          <w:lang w:val="es-ES"/>
        </w:rPr>
        <w:t xml:space="preserve">El ejercicio del derecho a la salud, a la disponibilidad de alimentos nutritivos y otros derechos humanos se ve limitado en el caso </w:t>
      </w:r>
      <w:r>
        <w:rPr>
          <w:rFonts w:cs="Times New Roman"/>
          <w:color w:val="000000"/>
          <w:lang w:val="es-PE"/>
        </w:rPr>
        <w:t xml:space="preserve">de </w:t>
      </w:r>
      <w:r w:rsidR="00CE25DB">
        <w:rPr>
          <w:rFonts w:cs="Times New Roman"/>
          <w:color w:val="000000"/>
          <w:lang w:val="es-PE"/>
        </w:rPr>
        <w:t xml:space="preserve">las </w:t>
      </w:r>
      <w:r w:rsidRPr="00692601">
        <w:rPr>
          <w:rFonts w:cs="Times New Roman"/>
          <w:color w:val="000000"/>
          <w:lang w:val="es-PE"/>
        </w:rPr>
        <w:t xml:space="preserve">comunidades del Pueblo Achuar de la cuenca del río Corrientes, </w:t>
      </w:r>
      <w:r>
        <w:rPr>
          <w:rFonts w:cs="Times New Roman"/>
          <w:color w:val="000000"/>
          <w:lang w:val="es-PE"/>
        </w:rPr>
        <w:t>departamento de Loreto, Perú, dónde s</w:t>
      </w:r>
      <w:r w:rsidR="00702DF9" w:rsidRPr="00702DF9">
        <w:rPr>
          <w:rFonts w:cs="Times New Roman"/>
          <w:color w:val="000000"/>
          <w:lang w:val="es-PE"/>
        </w:rPr>
        <w:t xml:space="preserve">e ha identificado la presencia indiscriminada de plomo en el ambiente como producto </w:t>
      </w:r>
      <w:r w:rsidR="00166266">
        <w:rPr>
          <w:rFonts w:cs="Times New Roman"/>
          <w:color w:val="000000"/>
          <w:lang w:val="es-PE"/>
        </w:rPr>
        <w:t>prácticas irresponsables de la industria petrolera</w:t>
      </w:r>
      <w:r w:rsidR="00702DF9" w:rsidRPr="00702DF9">
        <w:rPr>
          <w:rFonts w:cs="Times New Roman"/>
          <w:color w:val="000000"/>
          <w:lang w:val="es-PE"/>
        </w:rPr>
        <w:t xml:space="preserve">. </w:t>
      </w:r>
    </w:p>
    <w:p w:rsidR="00CE25DB" w:rsidRDefault="00CE25DB" w:rsidP="00692601">
      <w:pPr>
        <w:autoSpaceDE w:val="0"/>
        <w:autoSpaceDN w:val="0"/>
        <w:adjustRightInd w:val="0"/>
        <w:jc w:val="both"/>
        <w:rPr>
          <w:rFonts w:cs="Times New Roman"/>
          <w:color w:val="000000"/>
          <w:lang w:val="es-PE"/>
        </w:rPr>
      </w:pPr>
    </w:p>
    <w:p w:rsidR="00702DF9" w:rsidRPr="00702DF9" w:rsidRDefault="00702DF9" w:rsidP="00692601">
      <w:pPr>
        <w:autoSpaceDE w:val="0"/>
        <w:autoSpaceDN w:val="0"/>
        <w:adjustRightInd w:val="0"/>
        <w:jc w:val="both"/>
        <w:rPr>
          <w:rFonts w:cs="Times New Roman"/>
          <w:color w:val="000000"/>
          <w:lang w:val="es-ES"/>
        </w:rPr>
      </w:pPr>
      <w:r w:rsidRPr="00702DF9">
        <w:rPr>
          <w:rFonts w:cs="Times New Roman"/>
          <w:color w:val="000000"/>
          <w:lang w:val="es-PE"/>
        </w:rPr>
        <w:t xml:space="preserve">El plomo genera efectos dañinos sobre la salud, entre los cuales destacan (según </w:t>
      </w:r>
      <w:r>
        <w:rPr>
          <w:rFonts w:cs="Times New Roman"/>
          <w:color w:val="000000"/>
          <w:lang w:val="es-PE"/>
        </w:rPr>
        <w:t xml:space="preserve">la </w:t>
      </w:r>
      <w:r w:rsidRPr="00702DF9">
        <w:rPr>
          <w:rFonts w:cs="Times New Roman"/>
          <w:color w:val="000000"/>
          <w:lang w:val="es-PE"/>
        </w:rPr>
        <w:t>OMS):</w:t>
      </w:r>
    </w:p>
    <w:p w:rsidR="00702DF9" w:rsidRPr="00702DF9" w:rsidRDefault="00702DF9" w:rsidP="00692601">
      <w:pPr>
        <w:numPr>
          <w:ilvl w:val="0"/>
          <w:numId w:val="3"/>
        </w:numPr>
        <w:autoSpaceDE w:val="0"/>
        <w:autoSpaceDN w:val="0"/>
        <w:adjustRightInd w:val="0"/>
        <w:jc w:val="both"/>
        <w:rPr>
          <w:rFonts w:cs="Times New Roman"/>
          <w:color w:val="000000"/>
          <w:lang w:val="es-ES"/>
        </w:rPr>
      </w:pPr>
      <w:r>
        <w:rPr>
          <w:rFonts w:cs="Times New Roman"/>
          <w:color w:val="000000"/>
          <w:lang w:val="es-PE"/>
        </w:rPr>
        <w:t>Efectos s</w:t>
      </w:r>
      <w:r w:rsidRPr="00702DF9">
        <w:rPr>
          <w:rFonts w:cs="Times New Roman"/>
          <w:color w:val="000000"/>
          <w:lang w:val="es-PE"/>
        </w:rPr>
        <w:t xml:space="preserve">obre el </w:t>
      </w:r>
      <w:r w:rsidRPr="00702DF9">
        <w:rPr>
          <w:rFonts w:cs="Times New Roman"/>
          <w:b/>
          <w:bCs/>
          <w:color w:val="000000"/>
          <w:lang w:val="es-PE"/>
        </w:rPr>
        <w:t>sistema nervioso y la inteligencia</w:t>
      </w:r>
    </w:p>
    <w:p w:rsidR="00702DF9" w:rsidRPr="00702DF9" w:rsidRDefault="00702DF9" w:rsidP="00692601">
      <w:pPr>
        <w:numPr>
          <w:ilvl w:val="0"/>
          <w:numId w:val="3"/>
        </w:numPr>
        <w:autoSpaceDE w:val="0"/>
        <w:autoSpaceDN w:val="0"/>
        <w:adjustRightInd w:val="0"/>
        <w:jc w:val="both"/>
        <w:rPr>
          <w:rFonts w:cs="Times New Roman"/>
          <w:color w:val="000000"/>
          <w:lang w:val="es-ES"/>
        </w:rPr>
      </w:pPr>
      <w:r w:rsidRPr="00702DF9">
        <w:rPr>
          <w:rFonts w:cs="Times New Roman"/>
          <w:color w:val="000000"/>
          <w:lang w:val="es-PE"/>
        </w:rPr>
        <w:t>Efectos sistémicos como presión sanguínea</w:t>
      </w:r>
      <w:r w:rsidR="00166266">
        <w:rPr>
          <w:rFonts w:cs="Times New Roman"/>
          <w:color w:val="000000"/>
          <w:lang w:val="es-PE"/>
        </w:rPr>
        <w:t xml:space="preserve"> </w:t>
      </w:r>
      <w:r w:rsidRPr="00702DF9">
        <w:rPr>
          <w:rFonts w:cs="Times New Roman"/>
          <w:color w:val="000000"/>
          <w:lang w:val="es-PE"/>
        </w:rPr>
        <w:t>elevada</w:t>
      </w:r>
    </w:p>
    <w:p w:rsidR="00702DF9" w:rsidRPr="00702DF9" w:rsidRDefault="00702DF9" w:rsidP="00692601">
      <w:pPr>
        <w:numPr>
          <w:ilvl w:val="0"/>
          <w:numId w:val="3"/>
        </w:numPr>
        <w:autoSpaceDE w:val="0"/>
        <w:autoSpaceDN w:val="0"/>
        <w:adjustRightInd w:val="0"/>
        <w:jc w:val="both"/>
        <w:rPr>
          <w:rFonts w:cs="Times New Roman"/>
          <w:color w:val="000000"/>
          <w:lang w:val="es-ES"/>
        </w:rPr>
      </w:pPr>
      <w:r w:rsidRPr="00702DF9">
        <w:rPr>
          <w:rFonts w:cs="Times New Roman"/>
          <w:color w:val="000000"/>
          <w:lang w:val="es-PE"/>
        </w:rPr>
        <w:t>Efectos gastrointestinales</w:t>
      </w:r>
    </w:p>
    <w:p w:rsidR="00702DF9" w:rsidRPr="00702DF9" w:rsidRDefault="00702DF9" w:rsidP="00692601">
      <w:pPr>
        <w:numPr>
          <w:ilvl w:val="0"/>
          <w:numId w:val="3"/>
        </w:numPr>
        <w:autoSpaceDE w:val="0"/>
        <w:autoSpaceDN w:val="0"/>
        <w:adjustRightInd w:val="0"/>
        <w:jc w:val="both"/>
        <w:rPr>
          <w:rFonts w:cs="Times New Roman"/>
          <w:color w:val="000000"/>
          <w:lang w:val="es-ES"/>
        </w:rPr>
      </w:pPr>
      <w:r w:rsidRPr="00702DF9">
        <w:rPr>
          <w:rFonts w:cs="Times New Roman"/>
          <w:color w:val="000000"/>
          <w:lang w:val="es-PE"/>
        </w:rPr>
        <w:t>Anemia</w:t>
      </w:r>
    </w:p>
    <w:p w:rsidR="00702DF9" w:rsidRPr="00702DF9" w:rsidRDefault="00702DF9" w:rsidP="00692601">
      <w:pPr>
        <w:numPr>
          <w:ilvl w:val="0"/>
          <w:numId w:val="3"/>
        </w:numPr>
        <w:autoSpaceDE w:val="0"/>
        <w:autoSpaceDN w:val="0"/>
        <w:adjustRightInd w:val="0"/>
        <w:jc w:val="both"/>
        <w:rPr>
          <w:rFonts w:cs="Times New Roman"/>
          <w:color w:val="000000"/>
          <w:lang w:val="es-ES"/>
        </w:rPr>
      </w:pPr>
      <w:r w:rsidRPr="00702DF9">
        <w:rPr>
          <w:rFonts w:cs="Times New Roman"/>
          <w:color w:val="000000"/>
          <w:lang w:val="es-PE"/>
        </w:rPr>
        <w:t xml:space="preserve">Efectos renales </w:t>
      </w:r>
    </w:p>
    <w:p w:rsidR="00702DF9" w:rsidRPr="00702DF9" w:rsidRDefault="00702DF9" w:rsidP="00692601">
      <w:pPr>
        <w:numPr>
          <w:ilvl w:val="0"/>
          <w:numId w:val="3"/>
        </w:numPr>
        <w:autoSpaceDE w:val="0"/>
        <w:autoSpaceDN w:val="0"/>
        <w:adjustRightInd w:val="0"/>
        <w:jc w:val="both"/>
        <w:rPr>
          <w:rFonts w:cs="Times New Roman"/>
          <w:color w:val="000000"/>
          <w:lang w:val="es-ES"/>
        </w:rPr>
      </w:pPr>
      <w:r w:rsidRPr="00702DF9">
        <w:rPr>
          <w:rFonts w:cs="Times New Roman"/>
          <w:color w:val="000000"/>
          <w:lang w:val="es-PE"/>
        </w:rPr>
        <w:t>Efectos en la reproducción en mujeres y varones</w:t>
      </w:r>
    </w:p>
    <w:p w:rsidR="00692601" w:rsidRDefault="00692601" w:rsidP="00692601">
      <w:pPr>
        <w:autoSpaceDE w:val="0"/>
        <w:autoSpaceDN w:val="0"/>
        <w:adjustRightInd w:val="0"/>
        <w:jc w:val="both"/>
        <w:rPr>
          <w:rFonts w:cs="Times New Roman"/>
          <w:color w:val="000000"/>
          <w:lang w:val="es-PE"/>
        </w:rPr>
      </w:pPr>
    </w:p>
    <w:p w:rsidR="00702DF9" w:rsidRPr="00702DF9" w:rsidRDefault="00702DF9" w:rsidP="00692601">
      <w:pPr>
        <w:autoSpaceDE w:val="0"/>
        <w:autoSpaceDN w:val="0"/>
        <w:adjustRightInd w:val="0"/>
        <w:jc w:val="both"/>
        <w:rPr>
          <w:rFonts w:cs="Times New Roman"/>
          <w:color w:val="000000"/>
          <w:lang w:val="es-ES"/>
        </w:rPr>
      </w:pPr>
      <w:r>
        <w:rPr>
          <w:rFonts w:cs="Times New Roman"/>
          <w:color w:val="000000"/>
          <w:lang w:val="es-PE"/>
        </w:rPr>
        <w:t>Además, l</w:t>
      </w:r>
      <w:r w:rsidRPr="00702DF9">
        <w:rPr>
          <w:rFonts w:cs="Times New Roman"/>
          <w:color w:val="000000"/>
          <w:lang w:val="es-PE"/>
        </w:rPr>
        <w:t xml:space="preserve">a Agencia de Protección del Ambiente de EEUU (EPA) y la Agencia Internacional de Investigación del Cáncer han determinado que el plomo es un </w:t>
      </w:r>
      <w:r w:rsidRPr="00702DF9">
        <w:rPr>
          <w:rFonts w:cs="Times New Roman"/>
          <w:b/>
          <w:bCs/>
          <w:color w:val="000000"/>
          <w:lang w:val="es-PE"/>
        </w:rPr>
        <w:t>probable carcinógeno</w:t>
      </w:r>
      <w:r w:rsidRPr="00702DF9">
        <w:rPr>
          <w:rFonts w:cs="Times New Roman"/>
          <w:color w:val="000000"/>
          <w:lang w:val="es-PE"/>
        </w:rPr>
        <w:t>.</w:t>
      </w:r>
    </w:p>
    <w:p w:rsidR="00692601" w:rsidRDefault="00692601" w:rsidP="00692601">
      <w:pPr>
        <w:autoSpaceDE w:val="0"/>
        <w:autoSpaceDN w:val="0"/>
        <w:adjustRightInd w:val="0"/>
        <w:jc w:val="both"/>
        <w:rPr>
          <w:rFonts w:cs="Times New Roman"/>
          <w:color w:val="000000"/>
          <w:lang w:val="es-PE"/>
        </w:rPr>
      </w:pPr>
    </w:p>
    <w:p w:rsidR="00702DF9" w:rsidRPr="00702DF9" w:rsidRDefault="00702DF9" w:rsidP="00692601">
      <w:pPr>
        <w:autoSpaceDE w:val="0"/>
        <w:autoSpaceDN w:val="0"/>
        <w:adjustRightInd w:val="0"/>
        <w:jc w:val="both"/>
        <w:rPr>
          <w:rFonts w:cs="Times New Roman"/>
          <w:color w:val="000000"/>
          <w:lang w:val="es-ES"/>
        </w:rPr>
      </w:pPr>
      <w:r w:rsidRPr="00702DF9">
        <w:rPr>
          <w:rFonts w:cs="Times New Roman"/>
          <w:color w:val="000000"/>
          <w:lang w:val="es-PE"/>
        </w:rPr>
        <w:t>Todos estos efectos so</w:t>
      </w:r>
      <w:r>
        <w:rPr>
          <w:rFonts w:cs="Times New Roman"/>
          <w:color w:val="000000"/>
          <w:lang w:val="es-PE"/>
        </w:rPr>
        <w:t>n</w:t>
      </w:r>
      <w:r w:rsidRPr="00702DF9">
        <w:rPr>
          <w:rFonts w:cs="Times New Roman"/>
          <w:color w:val="000000"/>
          <w:lang w:val="es-PE"/>
        </w:rPr>
        <w:t xml:space="preserve"> especialmente graves en la infancia ya que el </w:t>
      </w:r>
      <w:r w:rsidRPr="00702DF9">
        <w:rPr>
          <w:rFonts w:cs="Times New Roman"/>
          <w:b/>
          <w:bCs/>
          <w:color w:val="000000"/>
          <w:lang w:val="es-PE"/>
        </w:rPr>
        <w:t>riesgo de contaminación por plomo en niños es particularmente significativo</w:t>
      </w:r>
      <w:r w:rsidRPr="00702DF9">
        <w:rPr>
          <w:rFonts w:cs="Times New Roman"/>
          <w:color w:val="000000"/>
          <w:lang w:val="es-PE"/>
        </w:rPr>
        <w:t xml:space="preserve">: lo absorben a una mayor tasa (40-50% versus 10% en adultos). Además, se ha identificado que el plomo puede atravesar la barrera placentaria y hemato-encefálica. </w:t>
      </w:r>
    </w:p>
    <w:p w:rsidR="00692601" w:rsidRDefault="00692601" w:rsidP="00692601">
      <w:pPr>
        <w:autoSpaceDE w:val="0"/>
        <w:autoSpaceDN w:val="0"/>
        <w:adjustRightInd w:val="0"/>
        <w:jc w:val="both"/>
        <w:rPr>
          <w:rFonts w:cs="Times New Roman"/>
          <w:color w:val="000000"/>
          <w:lang w:val="es-ES"/>
        </w:rPr>
      </w:pPr>
    </w:p>
    <w:p w:rsidR="00BA2B76" w:rsidRDefault="00BA2B76" w:rsidP="00692601">
      <w:pPr>
        <w:autoSpaceDE w:val="0"/>
        <w:autoSpaceDN w:val="0"/>
        <w:adjustRightInd w:val="0"/>
        <w:jc w:val="both"/>
        <w:rPr>
          <w:rFonts w:cs="Times New Roman"/>
          <w:color w:val="000000"/>
          <w:lang w:val="es-ES"/>
        </w:rPr>
      </w:pPr>
    </w:p>
    <w:p w:rsidR="00702DF9" w:rsidRPr="00702DF9" w:rsidRDefault="00702DF9" w:rsidP="00692601">
      <w:pPr>
        <w:autoSpaceDE w:val="0"/>
        <w:autoSpaceDN w:val="0"/>
        <w:adjustRightInd w:val="0"/>
        <w:jc w:val="both"/>
        <w:rPr>
          <w:rFonts w:cs="Times New Roman"/>
          <w:color w:val="000000"/>
          <w:lang w:val="es-ES"/>
        </w:rPr>
      </w:pPr>
      <w:r w:rsidRPr="00702DF9">
        <w:rPr>
          <w:rFonts w:cs="Times New Roman"/>
          <w:color w:val="000000"/>
          <w:lang w:val="es-ES"/>
        </w:rPr>
        <w:t>La presen</w:t>
      </w:r>
      <w:r w:rsidRPr="00702DF9">
        <w:rPr>
          <w:rFonts w:cs="Times New Roman"/>
          <w:color w:val="000000"/>
          <w:lang w:val="es-PE"/>
        </w:rPr>
        <w:t>cia continuada de plomo en la cuenca del río Corrientes</w:t>
      </w:r>
      <w:r w:rsidR="00166266">
        <w:rPr>
          <w:rFonts w:cs="Times New Roman"/>
          <w:color w:val="000000"/>
          <w:lang w:val="es-PE"/>
        </w:rPr>
        <w:t xml:space="preserve">, desde la década de 1970, </w:t>
      </w:r>
      <w:r w:rsidRPr="00702DF9">
        <w:rPr>
          <w:rFonts w:cs="Times New Roman"/>
          <w:color w:val="000000"/>
          <w:lang w:val="es-PE"/>
        </w:rPr>
        <w:t>y la consecuente contaminación de la población Achuar</w:t>
      </w:r>
      <w:r>
        <w:rPr>
          <w:rFonts w:cs="Times New Roman"/>
          <w:color w:val="000000"/>
          <w:lang w:val="es-PE"/>
        </w:rPr>
        <w:t xml:space="preserve"> que vive en la zona</w:t>
      </w:r>
      <w:r w:rsidRPr="00702DF9">
        <w:rPr>
          <w:rFonts w:cs="Times New Roman"/>
          <w:color w:val="000000"/>
          <w:lang w:val="es-PE"/>
        </w:rPr>
        <w:t>, especialmente niños,</w:t>
      </w:r>
      <w:r w:rsidRPr="00702DF9">
        <w:rPr>
          <w:rFonts w:cs="Times New Roman"/>
          <w:color w:val="000000"/>
          <w:lang w:val="es-ES"/>
        </w:rPr>
        <w:t xml:space="preserve"> es una </w:t>
      </w:r>
      <w:r w:rsidRPr="00702DF9">
        <w:rPr>
          <w:rFonts w:cs="Times New Roman"/>
          <w:b/>
          <w:bCs/>
          <w:color w:val="000000"/>
          <w:lang w:val="es-ES"/>
        </w:rPr>
        <w:t>fuente importante de desigualdad</w:t>
      </w:r>
      <w:r>
        <w:rPr>
          <w:rFonts w:cs="Times New Roman"/>
          <w:color w:val="000000"/>
          <w:lang w:val="es-ES"/>
        </w:rPr>
        <w:t>, ya que l</w:t>
      </w:r>
      <w:r w:rsidRPr="00702DF9">
        <w:rPr>
          <w:rFonts w:cs="Times New Roman"/>
          <w:color w:val="000000"/>
          <w:lang w:val="es-ES"/>
        </w:rPr>
        <w:t xml:space="preserve">a afectación al desarrollo intelectual de los niños condiciona de forma muy determinante su futuro. </w:t>
      </w:r>
    </w:p>
    <w:p w:rsidR="00692601" w:rsidRDefault="00692601" w:rsidP="00692601">
      <w:pPr>
        <w:autoSpaceDE w:val="0"/>
        <w:autoSpaceDN w:val="0"/>
        <w:adjustRightInd w:val="0"/>
        <w:jc w:val="both"/>
        <w:rPr>
          <w:rFonts w:cs="Times New Roman"/>
          <w:color w:val="000000"/>
          <w:lang w:val="es-ES"/>
        </w:rPr>
      </w:pPr>
    </w:p>
    <w:p w:rsidR="00702DF9" w:rsidRDefault="00702DF9" w:rsidP="00166266">
      <w:pPr>
        <w:autoSpaceDE w:val="0"/>
        <w:autoSpaceDN w:val="0"/>
        <w:adjustRightInd w:val="0"/>
        <w:jc w:val="both"/>
        <w:rPr>
          <w:rFonts w:cs="Times New Roman"/>
          <w:color w:val="000000"/>
          <w:lang w:val="es-PE"/>
        </w:rPr>
      </w:pPr>
      <w:r w:rsidRPr="00702DF9">
        <w:rPr>
          <w:rFonts w:cs="Times New Roman"/>
          <w:color w:val="000000"/>
          <w:lang w:val="es-PE"/>
        </w:rPr>
        <w:t>En el año 200</w:t>
      </w:r>
      <w:r w:rsidR="00166266">
        <w:rPr>
          <w:rFonts w:cs="Times New Roman"/>
          <w:color w:val="000000"/>
          <w:lang w:val="es-PE"/>
        </w:rPr>
        <w:t xml:space="preserve">5 se analizó a la población de siete comunidades Achuar del río Corrientes por plomo en sangre venosa a </w:t>
      </w:r>
      <w:r w:rsidRPr="00702DF9">
        <w:rPr>
          <w:rFonts w:cs="Times New Roman"/>
          <w:color w:val="000000"/>
          <w:lang w:val="es-PE"/>
        </w:rPr>
        <w:t>insistencia de la Federación de Comunidades Nativas del Corrientes y de la Defensoría del Pueblo.</w:t>
      </w:r>
    </w:p>
    <w:p w:rsidR="00166266" w:rsidRDefault="00166266" w:rsidP="00166266">
      <w:pPr>
        <w:autoSpaceDE w:val="0"/>
        <w:autoSpaceDN w:val="0"/>
        <w:adjustRightInd w:val="0"/>
        <w:jc w:val="both"/>
        <w:rPr>
          <w:rFonts w:cs="Times New Roman"/>
          <w:color w:val="000000"/>
          <w:lang w:val="es-PE"/>
        </w:rPr>
      </w:pPr>
    </w:p>
    <w:p w:rsidR="00166266" w:rsidRDefault="00166266" w:rsidP="00166266">
      <w:pPr>
        <w:autoSpaceDE w:val="0"/>
        <w:autoSpaceDN w:val="0"/>
        <w:adjustRightInd w:val="0"/>
        <w:jc w:val="both"/>
        <w:rPr>
          <w:rFonts w:cs="Times New Roman"/>
          <w:color w:val="000000"/>
          <w:lang w:val="es-PE"/>
        </w:rPr>
      </w:pPr>
      <w:r>
        <w:rPr>
          <w:rFonts w:cs="Times New Roman"/>
          <w:color w:val="000000"/>
          <w:lang w:val="es-PE"/>
        </w:rPr>
        <w:lastRenderedPageBreak/>
        <w:t>La</w:t>
      </w:r>
      <w:r w:rsidRPr="00166266">
        <w:rPr>
          <w:rFonts w:cs="Times New Roman"/>
          <w:color w:val="000000"/>
          <w:lang w:val="es-ES"/>
        </w:rPr>
        <w:t xml:space="preserve"> </w:t>
      </w:r>
      <w:r w:rsidRPr="00692601">
        <w:rPr>
          <w:rFonts w:cs="Times New Roman"/>
          <w:color w:val="000000"/>
          <w:lang w:val="es-ES"/>
        </w:rPr>
        <w:t xml:space="preserve">sostenida movilización de las comunidades </w:t>
      </w:r>
      <w:r>
        <w:rPr>
          <w:rFonts w:cs="Times New Roman"/>
          <w:color w:val="000000"/>
          <w:lang w:val="es-ES"/>
        </w:rPr>
        <w:t xml:space="preserve">Achuar </w:t>
      </w:r>
      <w:r w:rsidRPr="00692601">
        <w:rPr>
          <w:rFonts w:cs="Times New Roman"/>
          <w:color w:val="000000"/>
          <w:lang w:val="es-ES"/>
        </w:rPr>
        <w:t>obligó a que en adelante las aguas de producción, que contienen sustancias altamente contaminantes y dañinas fueran reinyectadas</w:t>
      </w:r>
      <w:r>
        <w:rPr>
          <w:rFonts w:cs="Times New Roman"/>
          <w:color w:val="000000"/>
          <w:lang w:val="es-ES"/>
        </w:rPr>
        <w:t xml:space="preserve">. No obstante, </w:t>
      </w:r>
      <w:r w:rsidRPr="00692601">
        <w:rPr>
          <w:rFonts w:cs="Times New Roman"/>
          <w:color w:val="000000"/>
          <w:lang w:val="es-ES"/>
        </w:rPr>
        <w:t>evidencias posteriores han ameritado que la cuenca del Corrientes haya sido declarada hasta en dos oportunidades en emergencia ambiental y en el 2014 adicionalmente en emergencia sanitaria.</w:t>
      </w:r>
      <w:r>
        <w:rPr>
          <w:rFonts w:cs="Times New Roman"/>
          <w:color w:val="000000"/>
          <w:lang w:val="es-ES"/>
        </w:rPr>
        <w:t xml:space="preserve"> </w:t>
      </w:r>
    </w:p>
    <w:p w:rsidR="00692601" w:rsidRDefault="00692601" w:rsidP="00692601">
      <w:pPr>
        <w:autoSpaceDE w:val="0"/>
        <w:autoSpaceDN w:val="0"/>
        <w:adjustRightInd w:val="0"/>
        <w:jc w:val="both"/>
        <w:rPr>
          <w:rFonts w:cs="Times New Roman"/>
          <w:color w:val="000000"/>
          <w:lang w:val="es-ES"/>
        </w:rPr>
      </w:pPr>
    </w:p>
    <w:p w:rsidR="00692601" w:rsidRDefault="00692601" w:rsidP="00692601">
      <w:pPr>
        <w:autoSpaceDE w:val="0"/>
        <w:autoSpaceDN w:val="0"/>
        <w:adjustRightInd w:val="0"/>
        <w:jc w:val="both"/>
        <w:rPr>
          <w:rFonts w:cs="Times New Roman"/>
          <w:color w:val="000000"/>
          <w:lang w:val="es-ES"/>
        </w:rPr>
      </w:pPr>
      <w:r w:rsidRPr="00692601">
        <w:rPr>
          <w:rFonts w:cs="Times New Roman"/>
          <w:color w:val="000000"/>
          <w:lang w:val="es-ES"/>
        </w:rPr>
        <w:t xml:space="preserve">La presencia indiscriminada de plomo en el ambiente como producto de actividades extractivas en la cuenca del río Corrientes </w:t>
      </w:r>
      <w:r w:rsidR="00166266">
        <w:rPr>
          <w:rFonts w:cs="Times New Roman"/>
          <w:color w:val="000000"/>
          <w:lang w:val="es-ES"/>
        </w:rPr>
        <w:t xml:space="preserve">ha sido registrada desde la década de 1980 en </w:t>
      </w:r>
      <w:r w:rsidRPr="00692601">
        <w:rPr>
          <w:rFonts w:cs="Times New Roman"/>
          <w:color w:val="000000"/>
          <w:lang w:val="es-ES"/>
        </w:rPr>
        <w:t xml:space="preserve">sedimentos y agua y en especies animales consumidas como alimento. </w:t>
      </w:r>
      <w:r w:rsidR="00BA2B76">
        <w:rPr>
          <w:rFonts w:cs="Times New Roman"/>
          <w:color w:val="000000"/>
          <w:lang w:val="es-ES"/>
        </w:rPr>
        <w:t xml:space="preserve">Era </w:t>
      </w:r>
      <w:r w:rsidRPr="00692601">
        <w:rPr>
          <w:rFonts w:cs="Times New Roman"/>
          <w:color w:val="000000"/>
          <w:lang w:val="es-ES"/>
        </w:rPr>
        <w:t xml:space="preserve">práctica habitual </w:t>
      </w:r>
      <w:r w:rsidR="0068481B">
        <w:rPr>
          <w:rFonts w:cs="Times New Roman"/>
          <w:color w:val="000000"/>
          <w:lang w:val="es-ES"/>
        </w:rPr>
        <w:t xml:space="preserve">previa </w:t>
      </w:r>
      <w:r w:rsidRPr="00692601">
        <w:rPr>
          <w:rFonts w:cs="Times New Roman"/>
          <w:color w:val="000000"/>
          <w:lang w:val="es-ES"/>
        </w:rPr>
        <w:t xml:space="preserve">de la industria petrolera local </w:t>
      </w:r>
      <w:r w:rsidR="0068481B">
        <w:rPr>
          <w:rFonts w:cs="Times New Roman"/>
          <w:color w:val="000000"/>
          <w:lang w:val="es-ES"/>
        </w:rPr>
        <w:t>e</w:t>
      </w:r>
      <w:r w:rsidRPr="00692601">
        <w:rPr>
          <w:rFonts w:cs="Times New Roman"/>
          <w:color w:val="000000"/>
          <w:lang w:val="es-ES"/>
        </w:rPr>
        <w:t xml:space="preserve">l vertimiento de descargas masivas de </w:t>
      </w:r>
      <w:r w:rsidR="0068481B">
        <w:rPr>
          <w:rFonts w:cs="Times New Roman"/>
          <w:color w:val="000000"/>
          <w:lang w:val="es-ES"/>
        </w:rPr>
        <w:t xml:space="preserve">aguas de producción directamente </w:t>
      </w:r>
      <w:r w:rsidRPr="00692601">
        <w:rPr>
          <w:rFonts w:cs="Times New Roman"/>
          <w:color w:val="000000"/>
          <w:lang w:val="es-ES"/>
        </w:rPr>
        <w:t xml:space="preserve">a los cursos de agua y suelos. Asimismo, un ineficiente método de separación del crudo y un inapropiado sistema de construcción de las piscinas, sin revestimiento de mallas, </w:t>
      </w:r>
      <w:r w:rsidR="00BA2B76">
        <w:rPr>
          <w:rFonts w:cs="Times New Roman"/>
          <w:color w:val="000000"/>
          <w:lang w:val="es-ES"/>
        </w:rPr>
        <w:t xml:space="preserve">que </w:t>
      </w:r>
      <w:r w:rsidRPr="00692601">
        <w:rPr>
          <w:rFonts w:cs="Times New Roman"/>
          <w:color w:val="000000"/>
          <w:lang w:val="es-ES"/>
        </w:rPr>
        <w:t xml:space="preserve">permitía la filtración de sustancias y rebalses por lluvia, exponía al ambiente a la contaminación de diversos metales pesados, incluido el plomo. </w:t>
      </w:r>
      <w:r w:rsidR="0068481B" w:rsidRPr="00692601">
        <w:rPr>
          <w:rFonts w:cs="Times New Roman"/>
          <w:color w:val="000000"/>
          <w:lang w:val="es-ES"/>
        </w:rPr>
        <w:t xml:space="preserve">La reinyección de las aguas de producción como medida de mitigación de impactos se empezó a implementar </w:t>
      </w:r>
      <w:r w:rsidR="0068481B">
        <w:rPr>
          <w:rFonts w:cs="Times New Roman"/>
          <w:color w:val="000000"/>
          <w:lang w:val="es-ES"/>
        </w:rPr>
        <w:t xml:space="preserve">recién </w:t>
      </w:r>
      <w:r w:rsidR="0068481B" w:rsidRPr="00692601">
        <w:rPr>
          <w:rFonts w:cs="Times New Roman"/>
          <w:color w:val="000000"/>
          <w:lang w:val="es-ES"/>
        </w:rPr>
        <w:t>a partir del año 2007</w:t>
      </w:r>
      <w:r w:rsidR="00527B81">
        <w:rPr>
          <w:rFonts w:cs="Times New Roman"/>
          <w:color w:val="000000"/>
          <w:lang w:val="es-ES"/>
        </w:rPr>
        <w:t xml:space="preserve"> y se concluyó al 100% en el 2010</w:t>
      </w:r>
      <w:r w:rsidR="0068481B">
        <w:rPr>
          <w:rFonts w:cs="Times New Roman"/>
          <w:color w:val="000000"/>
          <w:lang w:val="es-ES"/>
        </w:rPr>
        <w:t>.</w:t>
      </w:r>
    </w:p>
    <w:p w:rsidR="00692601" w:rsidRPr="00692601" w:rsidRDefault="00692601" w:rsidP="00692601">
      <w:pPr>
        <w:autoSpaceDE w:val="0"/>
        <w:autoSpaceDN w:val="0"/>
        <w:adjustRightInd w:val="0"/>
        <w:jc w:val="both"/>
        <w:rPr>
          <w:rFonts w:cs="Times New Roman"/>
          <w:color w:val="000000"/>
          <w:lang w:val="es-ES"/>
        </w:rPr>
      </w:pPr>
    </w:p>
    <w:p w:rsidR="00692601" w:rsidRDefault="00692601" w:rsidP="00692601">
      <w:pPr>
        <w:autoSpaceDE w:val="0"/>
        <w:autoSpaceDN w:val="0"/>
        <w:adjustRightInd w:val="0"/>
        <w:jc w:val="both"/>
        <w:rPr>
          <w:rFonts w:cs="Times New Roman"/>
          <w:color w:val="000000"/>
          <w:lang w:val="es-ES"/>
        </w:rPr>
      </w:pPr>
      <w:r w:rsidRPr="00692601">
        <w:rPr>
          <w:rFonts w:cs="Times New Roman"/>
          <w:color w:val="000000"/>
          <w:lang w:val="es-ES"/>
        </w:rPr>
        <w:t xml:space="preserve">Aun cuando progresivamente se han establecidos estándares para el control de la contaminación ambiental y su impacto en la salud, </w:t>
      </w:r>
      <w:r w:rsidR="0068481B">
        <w:rPr>
          <w:rFonts w:cs="Times New Roman"/>
          <w:color w:val="000000"/>
          <w:lang w:val="es-ES"/>
        </w:rPr>
        <w:t xml:space="preserve">continúan siendo </w:t>
      </w:r>
      <w:r w:rsidRPr="00692601">
        <w:rPr>
          <w:rFonts w:cs="Times New Roman"/>
          <w:color w:val="000000"/>
          <w:lang w:val="es-ES"/>
        </w:rPr>
        <w:t xml:space="preserve">recurrentes los derrames de crudo </w:t>
      </w:r>
      <w:r w:rsidR="0068481B">
        <w:rPr>
          <w:rFonts w:cs="Times New Roman"/>
          <w:color w:val="000000"/>
          <w:lang w:val="es-ES"/>
        </w:rPr>
        <w:t xml:space="preserve">en la red de </w:t>
      </w:r>
      <w:r w:rsidRPr="00692601">
        <w:rPr>
          <w:rFonts w:cs="Times New Roman"/>
          <w:color w:val="000000"/>
          <w:lang w:val="es-ES"/>
        </w:rPr>
        <w:t>ductos que atraviesa el territorio de las comunidades del río Corrientes. La remediación de lugares contaminados, a la que obligan los instrumentos de gestión de los lotes petroleros, ha sido sistemáticamente incumplida o ha resultado mucha</w:t>
      </w:r>
      <w:r>
        <w:rPr>
          <w:rFonts w:cs="Times New Roman"/>
          <w:color w:val="000000"/>
          <w:lang w:val="es-ES"/>
        </w:rPr>
        <w:t>s veces deficiente y aún dañina</w:t>
      </w:r>
      <w:r w:rsidRPr="00692601">
        <w:rPr>
          <w:rFonts w:cs="Times New Roman"/>
          <w:color w:val="000000"/>
          <w:lang w:val="es-ES"/>
        </w:rPr>
        <w:t>. Diversos estudios oficiales –que determinaron la más reciente declaración de la emergencia ambiental de esa cuenca (2013)- indican que un alto nivel de contaminación en esta cuenca se mantiene en pie, configurando una situación de exposición crónica de la población al plomo, otros me</w:t>
      </w:r>
      <w:r>
        <w:rPr>
          <w:rFonts w:cs="Times New Roman"/>
          <w:color w:val="000000"/>
          <w:lang w:val="es-ES"/>
        </w:rPr>
        <w:t>tales pesados e hidrocarburos.</w:t>
      </w:r>
    </w:p>
    <w:p w:rsidR="00692601" w:rsidRPr="00692601" w:rsidRDefault="00692601" w:rsidP="00692601">
      <w:pPr>
        <w:autoSpaceDE w:val="0"/>
        <w:autoSpaceDN w:val="0"/>
        <w:adjustRightInd w:val="0"/>
        <w:jc w:val="both"/>
        <w:rPr>
          <w:rFonts w:cs="Times New Roman"/>
          <w:color w:val="000000"/>
          <w:lang w:val="es-ES"/>
        </w:rPr>
      </w:pPr>
    </w:p>
    <w:p w:rsidR="00692601" w:rsidRDefault="00692601" w:rsidP="00692601">
      <w:pPr>
        <w:autoSpaceDE w:val="0"/>
        <w:autoSpaceDN w:val="0"/>
        <w:adjustRightInd w:val="0"/>
        <w:jc w:val="both"/>
        <w:rPr>
          <w:rFonts w:cs="Times New Roman"/>
          <w:color w:val="000000"/>
          <w:lang w:val="es-ES"/>
        </w:rPr>
      </w:pPr>
      <w:r w:rsidRPr="00692601">
        <w:rPr>
          <w:rFonts w:cs="Times New Roman"/>
          <w:color w:val="000000"/>
          <w:lang w:val="es-ES"/>
        </w:rPr>
        <w:t xml:space="preserve">Concentraciones variables de plomo han sido halladas a lo largo del tiempo en la cuenca del río Corrientes en suelos agrícolas y patios de las viviendas, en </w:t>
      </w:r>
      <w:r w:rsidR="00527B81">
        <w:rPr>
          <w:rFonts w:cs="Times New Roman"/>
          <w:color w:val="000000"/>
          <w:lang w:val="es-ES"/>
        </w:rPr>
        <w:t xml:space="preserve">lugares a los </w:t>
      </w:r>
      <w:r w:rsidRPr="00692601">
        <w:rPr>
          <w:rFonts w:cs="Times New Roman"/>
          <w:color w:val="000000"/>
          <w:lang w:val="es-ES"/>
        </w:rPr>
        <w:t>que acuden los animales para consumir sal, cursos de agua</w:t>
      </w:r>
      <w:r w:rsidR="00527B81">
        <w:rPr>
          <w:rFonts w:cs="Times New Roman"/>
          <w:color w:val="000000"/>
          <w:lang w:val="es-ES"/>
        </w:rPr>
        <w:t xml:space="preserve"> y sus sedimentos</w:t>
      </w:r>
      <w:r w:rsidRPr="00692601">
        <w:rPr>
          <w:rFonts w:cs="Times New Roman"/>
          <w:color w:val="000000"/>
          <w:lang w:val="es-ES"/>
        </w:rPr>
        <w:t xml:space="preserve">. Las rutas de exposición humana al plomo son varias, incluyendo el consumo de peces, una de las fuentes tradicionales principales de proteínas para </w:t>
      </w:r>
      <w:r w:rsidR="00527B81">
        <w:rPr>
          <w:rFonts w:cs="Times New Roman"/>
          <w:color w:val="000000"/>
          <w:lang w:val="es-ES"/>
        </w:rPr>
        <w:t>esta</w:t>
      </w:r>
      <w:r w:rsidRPr="00692601">
        <w:rPr>
          <w:rFonts w:cs="Times New Roman"/>
          <w:color w:val="000000"/>
          <w:lang w:val="es-ES"/>
        </w:rPr>
        <w:t xml:space="preserve"> población. </w:t>
      </w:r>
    </w:p>
    <w:p w:rsidR="001E179B" w:rsidRDefault="001E179B" w:rsidP="00692601">
      <w:pPr>
        <w:autoSpaceDE w:val="0"/>
        <w:autoSpaceDN w:val="0"/>
        <w:adjustRightInd w:val="0"/>
        <w:jc w:val="both"/>
        <w:rPr>
          <w:rFonts w:cs="Times New Roman"/>
          <w:color w:val="000000"/>
          <w:lang w:val="es-ES"/>
        </w:rPr>
      </w:pPr>
    </w:p>
    <w:p w:rsidR="001E179B" w:rsidRDefault="001E179B" w:rsidP="001E179B">
      <w:pPr>
        <w:autoSpaceDE w:val="0"/>
        <w:autoSpaceDN w:val="0"/>
        <w:adjustRightInd w:val="0"/>
        <w:jc w:val="both"/>
        <w:rPr>
          <w:rFonts w:cs="Times New Roman"/>
          <w:color w:val="000000"/>
          <w:lang w:val="es-ES"/>
        </w:rPr>
      </w:pPr>
      <w:r w:rsidRPr="001E179B">
        <w:rPr>
          <w:rFonts w:cs="Times New Roman"/>
          <w:color w:val="000000"/>
          <w:lang w:val="es-ES"/>
        </w:rPr>
        <w:t xml:space="preserve">Todos los estudios epidemiológicos coinciden en señalar el efecto dañino del plomo (Pb) en la salud. El plomo es dañino, aún en pequeñas concentraciones, cuando es ingerido en los alimentos, a través del agua o del aire. La literatura sobre los efectos tóxicos de plomo en la salud de las personas es relativamente amplia, particularmente en relación </w:t>
      </w:r>
      <w:r w:rsidR="00527B81">
        <w:rPr>
          <w:rFonts w:cs="Times New Roman"/>
          <w:color w:val="000000"/>
          <w:lang w:val="es-ES"/>
        </w:rPr>
        <w:t xml:space="preserve">a </w:t>
      </w:r>
      <w:r w:rsidRPr="001E179B">
        <w:rPr>
          <w:rFonts w:cs="Times New Roman"/>
          <w:color w:val="000000"/>
          <w:lang w:val="es-ES"/>
        </w:rPr>
        <w:t>la salud ocupacional</w:t>
      </w:r>
      <w:r w:rsidR="00527B81">
        <w:rPr>
          <w:rFonts w:cs="Times New Roman"/>
          <w:color w:val="000000"/>
          <w:lang w:val="es-ES"/>
        </w:rPr>
        <w:t xml:space="preserve">, pero también </w:t>
      </w:r>
      <w:r w:rsidR="00527B81" w:rsidRPr="001E179B">
        <w:rPr>
          <w:rFonts w:cs="Times New Roman"/>
          <w:color w:val="000000"/>
          <w:lang w:val="es-ES"/>
        </w:rPr>
        <w:t>a los grupos vulnerables de niños y gestantes</w:t>
      </w:r>
      <w:r w:rsidRPr="001E179B">
        <w:rPr>
          <w:rFonts w:cs="Times New Roman"/>
          <w:color w:val="000000"/>
          <w:lang w:val="es-ES"/>
        </w:rPr>
        <w:t xml:space="preserve">. </w:t>
      </w:r>
    </w:p>
    <w:p w:rsidR="001E179B" w:rsidRDefault="001E179B" w:rsidP="00692601">
      <w:pPr>
        <w:autoSpaceDE w:val="0"/>
        <w:autoSpaceDN w:val="0"/>
        <w:adjustRightInd w:val="0"/>
        <w:jc w:val="both"/>
        <w:rPr>
          <w:rFonts w:cs="Times New Roman"/>
          <w:color w:val="000000"/>
          <w:lang w:val="es-ES"/>
        </w:rPr>
      </w:pPr>
    </w:p>
    <w:p w:rsidR="001E179B" w:rsidRDefault="001E179B" w:rsidP="001E179B">
      <w:pPr>
        <w:autoSpaceDE w:val="0"/>
        <w:autoSpaceDN w:val="0"/>
        <w:adjustRightInd w:val="0"/>
        <w:jc w:val="both"/>
        <w:rPr>
          <w:rFonts w:cs="Times New Roman"/>
          <w:color w:val="000000"/>
          <w:lang w:val="es-ES"/>
        </w:rPr>
      </w:pPr>
      <w:r w:rsidRPr="001E179B">
        <w:rPr>
          <w:rFonts w:cs="Times New Roman"/>
          <w:color w:val="000000"/>
          <w:lang w:val="es-ES"/>
        </w:rPr>
        <w:t>Los efectos de la contaminación por plomo son particularmente graves cuando se trata de niños</w:t>
      </w:r>
      <w:r w:rsidR="00C04445">
        <w:rPr>
          <w:rFonts w:cs="Times New Roman"/>
          <w:color w:val="000000"/>
          <w:lang w:val="es-ES"/>
        </w:rPr>
        <w:t>,</w:t>
      </w:r>
      <w:r w:rsidRPr="001E179B">
        <w:rPr>
          <w:rFonts w:cs="Times New Roman"/>
          <w:color w:val="000000"/>
          <w:lang w:val="es-ES"/>
        </w:rPr>
        <w:t xml:space="preserve"> pues los impactos neurológicos, expresados en reducción de puntos de cociente intelectual (CI), pérdida de concentración con consecuencias en el rendimiento escolar y alteraciones de conducta, pueden ser permanentes. Como señala la OMS puede esperarse efectos sutiles de pérdida de puntos de cociente intelectual a partir de umbrales de contaminación en sangre muy bajos (5 µg/dL). En neonatos y niños pequeños el plomo puede ocasionar retardo del desarrollo psicomotor. Una vez absorbido el plomo interfiere además con la absorción del calcio y hierro al tener los mismos receptores intestinales. En niños como adultos el plomo puede causar anemia debido a la perturbación de la biosíntesis de la hemoglobina. A su vez, el estado nutricional de los niños </w:t>
      </w:r>
      <w:r w:rsidR="00C04445">
        <w:rPr>
          <w:rFonts w:cs="Times New Roman"/>
          <w:color w:val="000000"/>
          <w:lang w:val="es-ES"/>
        </w:rPr>
        <w:t xml:space="preserve"> </w:t>
      </w:r>
      <w:r w:rsidRPr="001E179B">
        <w:rPr>
          <w:rFonts w:cs="Times New Roman"/>
          <w:color w:val="000000"/>
          <w:lang w:val="es-ES"/>
        </w:rPr>
        <w:t xml:space="preserve">incrementa la absorción de plomo por el organismo. </w:t>
      </w:r>
    </w:p>
    <w:p w:rsidR="001E179B" w:rsidRPr="001E179B" w:rsidRDefault="001E179B" w:rsidP="001E179B">
      <w:pPr>
        <w:autoSpaceDE w:val="0"/>
        <w:autoSpaceDN w:val="0"/>
        <w:adjustRightInd w:val="0"/>
        <w:jc w:val="both"/>
        <w:rPr>
          <w:rFonts w:cs="Times New Roman"/>
          <w:color w:val="000000"/>
          <w:lang w:val="es-ES"/>
        </w:rPr>
      </w:pPr>
    </w:p>
    <w:p w:rsidR="001E179B" w:rsidRPr="001E179B" w:rsidRDefault="001E179B" w:rsidP="001E179B">
      <w:pPr>
        <w:autoSpaceDE w:val="0"/>
        <w:autoSpaceDN w:val="0"/>
        <w:adjustRightInd w:val="0"/>
        <w:jc w:val="both"/>
        <w:rPr>
          <w:rFonts w:cs="Times New Roman"/>
          <w:color w:val="000000"/>
          <w:lang w:val="es-ES"/>
        </w:rPr>
      </w:pPr>
      <w:r w:rsidRPr="001E179B">
        <w:rPr>
          <w:rFonts w:cs="Times New Roman"/>
          <w:color w:val="000000"/>
          <w:lang w:val="es-ES"/>
        </w:rPr>
        <w:t>Los efectos de la contaminación por plomo en niños varían de acuerdo a la edad, el estado nutricional, la dosis absorbida y momento y duración de la exposición. En el caso de los niños del río Corrientes, la situación nutricional es deficiente en razón de la propia situación de contaminación del ambiente y la endemicidad de los parásitos intestinales</w:t>
      </w:r>
      <w:r w:rsidR="00C04445">
        <w:rPr>
          <w:rFonts w:cs="Times New Roman"/>
          <w:color w:val="000000"/>
          <w:lang w:val="es-ES"/>
        </w:rPr>
        <w:t>. A</w:t>
      </w:r>
      <w:r w:rsidRPr="001E179B">
        <w:rPr>
          <w:rFonts w:cs="Times New Roman"/>
          <w:color w:val="000000"/>
          <w:lang w:val="es-ES"/>
        </w:rPr>
        <w:t>dicionalmente, la exposición al plomo en el ambiente se encuentra presente por acumulación en la cadena trófica, suelos, sedimentos y agua</w:t>
      </w:r>
      <w:r w:rsidR="00527B81">
        <w:rPr>
          <w:rFonts w:cs="Times New Roman"/>
          <w:color w:val="000000"/>
          <w:lang w:val="es-ES"/>
        </w:rPr>
        <w:t xml:space="preserve"> de consumo</w:t>
      </w:r>
      <w:r w:rsidRPr="001E179B">
        <w:rPr>
          <w:rFonts w:cs="Times New Roman"/>
          <w:color w:val="000000"/>
          <w:lang w:val="es-ES"/>
        </w:rPr>
        <w:t xml:space="preserve">.   </w:t>
      </w:r>
    </w:p>
    <w:p w:rsidR="001E179B" w:rsidRDefault="001E179B" w:rsidP="00692601">
      <w:pPr>
        <w:autoSpaceDE w:val="0"/>
        <w:autoSpaceDN w:val="0"/>
        <w:adjustRightInd w:val="0"/>
        <w:jc w:val="both"/>
        <w:rPr>
          <w:rFonts w:cs="Times New Roman"/>
          <w:color w:val="000000"/>
          <w:lang w:val="es-ES"/>
        </w:rPr>
      </w:pPr>
    </w:p>
    <w:p w:rsidR="001E179B" w:rsidRDefault="001E179B" w:rsidP="00692601">
      <w:pPr>
        <w:autoSpaceDE w:val="0"/>
        <w:autoSpaceDN w:val="0"/>
        <w:adjustRightInd w:val="0"/>
        <w:jc w:val="both"/>
        <w:rPr>
          <w:rFonts w:cs="Times New Roman"/>
          <w:color w:val="000000"/>
          <w:lang w:val="es-ES"/>
        </w:rPr>
      </w:pPr>
      <w:r w:rsidRPr="001E179B">
        <w:rPr>
          <w:rFonts w:cs="Times New Roman"/>
          <w:color w:val="000000"/>
          <w:lang w:val="es-ES"/>
        </w:rPr>
        <w:t>El muestreo biológico para plomo</w:t>
      </w:r>
      <w:r w:rsidR="00527B81">
        <w:rPr>
          <w:rFonts w:cs="Times New Roman"/>
          <w:color w:val="000000"/>
          <w:lang w:val="es-ES"/>
        </w:rPr>
        <w:t xml:space="preserve">, </w:t>
      </w:r>
      <w:r w:rsidRPr="001E179B">
        <w:rPr>
          <w:rFonts w:cs="Times New Roman"/>
          <w:color w:val="000000"/>
          <w:lang w:val="es-ES"/>
        </w:rPr>
        <w:t xml:space="preserve">a cargo del </w:t>
      </w:r>
      <w:r w:rsidR="00C04445">
        <w:rPr>
          <w:rFonts w:cs="Times New Roman"/>
          <w:color w:val="000000"/>
          <w:lang w:val="es-ES"/>
        </w:rPr>
        <w:t>Ministerio de Salud,</w:t>
      </w:r>
      <w:r w:rsidRPr="001E179B">
        <w:rPr>
          <w:rFonts w:cs="Times New Roman"/>
          <w:color w:val="000000"/>
          <w:lang w:val="es-ES"/>
        </w:rPr>
        <w:t xml:space="preserve"> se llevó a cabo en 7 de comunidades</w:t>
      </w:r>
      <w:r w:rsidR="001C231B">
        <w:rPr>
          <w:rFonts w:cs="Times New Roman"/>
          <w:color w:val="000000"/>
          <w:lang w:val="es-ES"/>
        </w:rPr>
        <w:t xml:space="preserve"> del río Corrientes</w:t>
      </w:r>
      <w:r w:rsidRPr="001E179B">
        <w:rPr>
          <w:rFonts w:cs="Times New Roman"/>
          <w:color w:val="000000"/>
          <w:lang w:val="es-ES"/>
        </w:rPr>
        <w:t xml:space="preserve">: Nueva Jerusalén, José Olaya, San José Nueva Esperanza, Pucacuro, Santa Elena, Palmeras y Villa Trompeteros. Participaron 199 personas, de las cuales 74 </w:t>
      </w:r>
      <w:r w:rsidR="00527B81">
        <w:rPr>
          <w:rFonts w:cs="Times New Roman"/>
          <w:color w:val="000000"/>
          <w:lang w:val="es-ES"/>
        </w:rPr>
        <w:t xml:space="preserve">tenían entre 2 y </w:t>
      </w:r>
      <w:r w:rsidRPr="001E179B">
        <w:rPr>
          <w:rFonts w:cs="Times New Roman"/>
          <w:color w:val="000000"/>
          <w:lang w:val="es-ES"/>
        </w:rPr>
        <w:t xml:space="preserve">18 años. Estos resultados fueron dados a conocer en el </w:t>
      </w:r>
      <w:r w:rsidR="001C231B">
        <w:rPr>
          <w:rFonts w:cs="Times New Roman"/>
          <w:color w:val="000000"/>
          <w:lang w:val="es-ES"/>
        </w:rPr>
        <w:t xml:space="preserve">año </w:t>
      </w:r>
      <w:r w:rsidRPr="001E179B">
        <w:rPr>
          <w:rFonts w:cs="Times New Roman"/>
          <w:color w:val="000000"/>
          <w:lang w:val="es-ES"/>
        </w:rPr>
        <w:t>2006.</w:t>
      </w:r>
    </w:p>
    <w:p w:rsidR="001E179B" w:rsidRDefault="001E179B" w:rsidP="00692601">
      <w:pPr>
        <w:autoSpaceDE w:val="0"/>
        <w:autoSpaceDN w:val="0"/>
        <w:adjustRightInd w:val="0"/>
        <w:jc w:val="both"/>
        <w:rPr>
          <w:rFonts w:cs="Times New Roman"/>
          <w:color w:val="000000"/>
          <w:lang w:val="es-ES"/>
        </w:rPr>
      </w:pPr>
    </w:p>
    <w:p w:rsidR="001E179B" w:rsidRDefault="001E179B" w:rsidP="00692601">
      <w:pPr>
        <w:autoSpaceDE w:val="0"/>
        <w:autoSpaceDN w:val="0"/>
        <w:adjustRightInd w:val="0"/>
        <w:jc w:val="both"/>
        <w:rPr>
          <w:rFonts w:cs="Times New Roman"/>
          <w:color w:val="000000"/>
          <w:lang w:val="es-ES"/>
        </w:rPr>
      </w:pPr>
      <w:r w:rsidRPr="001E179B">
        <w:rPr>
          <w:rFonts w:cs="Times New Roman"/>
          <w:color w:val="000000"/>
          <w:lang w:val="es-ES"/>
        </w:rPr>
        <w:t>E</w:t>
      </w:r>
      <w:r w:rsidR="001C231B">
        <w:rPr>
          <w:rFonts w:cs="Times New Roman"/>
          <w:color w:val="000000"/>
          <w:lang w:val="es-ES"/>
        </w:rPr>
        <w:t>n</w:t>
      </w:r>
      <w:r w:rsidRPr="001E179B">
        <w:rPr>
          <w:rFonts w:cs="Times New Roman"/>
          <w:color w:val="000000"/>
          <w:lang w:val="es-ES"/>
        </w:rPr>
        <w:t xml:space="preserve"> menores de 18 años</w:t>
      </w:r>
      <w:r w:rsidR="001C231B">
        <w:rPr>
          <w:rFonts w:cs="Times New Roman"/>
          <w:color w:val="000000"/>
          <w:lang w:val="es-ES"/>
        </w:rPr>
        <w:t xml:space="preserve"> se</w:t>
      </w:r>
      <w:r w:rsidRPr="001E179B">
        <w:rPr>
          <w:rFonts w:cs="Times New Roman"/>
          <w:color w:val="000000"/>
          <w:lang w:val="es-ES"/>
        </w:rPr>
        <w:t xml:space="preserve"> encontró que</w:t>
      </w:r>
      <w:r w:rsidR="001C231B">
        <w:rPr>
          <w:rFonts w:cs="Times New Roman"/>
          <w:color w:val="000000"/>
          <w:lang w:val="es-ES"/>
        </w:rPr>
        <w:t xml:space="preserve"> el</w:t>
      </w:r>
      <w:r w:rsidRPr="001E179B">
        <w:rPr>
          <w:rFonts w:cs="Times New Roman"/>
          <w:color w:val="000000"/>
          <w:lang w:val="es-ES"/>
        </w:rPr>
        <w:t xml:space="preserve"> 66,2% de la muestra superaba el valor límite de absorción de 10 µg/dL empleado internaci</w:t>
      </w:r>
      <w:r>
        <w:rPr>
          <w:rFonts w:cs="Times New Roman"/>
          <w:color w:val="000000"/>
          <w:lang w:val="es-ES"/>
        </w:rPr>
        <w:t>onalmente por entonces</w:t>
      </w:r>
      <w:r w:rsidRPr="001E179B">
        <w:rPr>
          <w:rFonts w:cs="Times New Roman"/>
          <w:color w:val="000000"/>
          <w:lang w:val="es-ES"/>
        </w:rPr>
        <w:t>. El 13.5% de los niños de la muestra se encontraba en el rango de 10-44,9 µg/dL; no se halló casos que superaran el valor de 44,9 ug/dL.</w:t>
      </w:r>
    </w:p>
    <w:p w:rsidR="001E179B" w:rsidRDefault="001E179B" w:rsidP="00692601">
      <w:pPr>
        <w:autoSpaceDE w:val="0"/>
        <w:autoSpaceDN w:val="0"/>
        <w:adjustRightInd w:val="0"/>
        <w:jc w:val="both"/>
        <w:rPr>
          <w:rFonts w:cs="Times New Roman"/>
          <w:color w:val="000000"/>
          <w:lang w:val="es-ES"/>
        </w:rPr>
      </w:pPr>
    </w:p>
    <w:p w:rsidR="001E179B" w:rsidRDefault="001E179B" w:rsidP="00692601">
      <w:pPr>
        <w:autoSpaceDE w:val="0"/>
        <w:autoSpaceDN w:val="0"/>
        <w:adjustRightInd w:val="0"/>
        <w:jc w:val="both"/>
        <w:rPr>
          <w:rFonts w:cs="Times New Roman"/>
          <w:color w:val="000000"/>
          <w:lang w:val="es-ES"/>
        </w:rPr>
      </w:pPr>
      <w:r w:rsidRPr="001E179B">
        <w:rPr>
          <w:rFonts w:cs="Times New Roman"/>
          <w:color w:val="000000"/>
          <w:lang w:val="es-ES"/>
        </w:rPr>
        <w:t xml:space="preserve">Para el cálculo del impacto en términos de puntos de CI perdidos en niños de la cuenca del río Corrientes se </w:t>
      </w:r>
      <w:r w:rsidR="00527B81">
        <w:rPr>
          <w:rFonts w:cs="Times New Roman"/>
          <w:color w:val="000000"/>
          <w:lang w:val="es-ES"/>
        </w:rPr>
        <w:t>emplea aquí</w:t>
      </w:r>
      <w:r w:rsidRPr="001E179B">
        <w:rPr>
          <w:rFonts w:cs="Times New Roman"/>
          <w:color w:val="000000"/>
          <w:lang w:val="es-ES"/>
        </w:rPr>
        <w:t xml:space="preserve"> la metodología desarrollada por Lanphear et al. (2005), quienes establecieron tres rangos distintos de plomo según una relación loglinear, cada uno de ellos con un efecto en el CI. Así, al rango de concentración de 2,4-10,0 µg/dL le corresponde una pérdida de 2,4-5,4 puntos de CI; al rango de 10,1-20,0 µg/dL le corresponde una pérdida de 1,2-2,6 puntos de CI; y al rango mayor (&gt;) de 20 µg/dL le corresponde 0,7-1,5 puntos de CI</w:t>
      </w:r>
      <w:r>
        <w:rPr>
          <w:rFonts w:cs="Times New Roman"/>
          <w:color w:val="000000"/>
          <w:lang w:val="es-ES"/>
        </w:rPr>
        <w:t>.</w:t>
      </w:r>
    </w:p>
    <w:p w:rsidR="001E179B" w:rsidRDefault="001E179B" w:rsidP="00692601">
      <w:pPr>
        <w:autoSpaceDE w:val="0"/>
        <w:autoSpaceDN w:val="0"/>
        <w:adjustRightInd w:val="0"/>
        <w:jc w:val="both"/>
        <w:rPr>
          <w:rFonts w:cs="Times New Roman"/>
          <w:color w:val="000000"/>
          <w:lang w:val="es-ES"/>
        </w:rPr>
      </w:pPr>
    </w:p>
    <w:p w:rsidR="001E179B" w:rsidRDefault="001E179B" w:rsidP="001E179B">
      <w:pPr>
        <w:autoSpaceDE w:val="0"/>
        <w:autoSpaceDN w:val="0"/>
        <w:adjustRightInd w:val="0"/>
        <w:jc w:val="both"/>
        <w:rPr>
          <w:rFonts w:cs="Times New Roman"/>
          <w:color w:val="000000"/>
          <w:lang w:val="es-ES"/>
        </w:rPr>
      </w:pPr>
      <w:r w:rsidRPr="001E179B">
        <w:rPr>
          <w:rFonts w:cs="Times New Roman"/>
          <w:color w:val="000000"/>
          <w:lang w:val="es-ES"/>
        </w:rPr>
        <w:t xml:space="preserve">Nada indica que los niños de la muestra compuesta de manera aleatoria </w:t>
      </w:r>
      <w:r w:rsidR="001C231B">
        <w:rPr>
          <w:rFonts w:cs="Times New Roman"/>
          <w:color w:val="000000"/>
          <w:lang w:val="es-ES"/>
        </w:rPr>
        <w:t xml:space="preserve">(74) </w:t>
      </w:r>
      <w:r w:rsidRPr="001E179B">
        <w:rPr>
          <w:rFonts w:cs="Times New Roman"/>
          <w:color w:val="000000"/>
          <w:lang w:val="es-ES"/>
        </w:rPr>
        <w:t>hayan tenido una mayor exposición al riesgo de contaminación de plomo que el resto de niños menores de 18 años de estas comunidades. En esas mismas comunidades –las más directamente expuestas a la contaminación en la cuenca- había en esa fecha 1 270 niños y juveniles de 2 a 17 años, en los que presumiblemente la concentración de plomo sería equivalente a la</w:t>
      </w:r>
      <w:r w:rsidR="00891414">
        <w:rPr>
          <w:rFonts w:cs="Times New Roman"/>
          <w:color w:val="000000"/>
          <w:lang w:val="es-ES"/>
        </w:rPr>
        <w:t xml:space="preserve"> de la muestra estudiada</w:t>
      </w:r>
      <w:r w:rsidRPr="001E179B">
        <w:rPr>
          <w:rFonts w:cs="Times New Roman"/>
          <w:color w:val="000000"/>
          <w:lang w:val="es-ES"/>
        </w:rPr>
        <w:t xml:space="preserve">. Por esa razón a continuación </w:t>
      </w:r>
      <w:r w:rsidR="00527B81">
        <w:rPr>
          <w:rFonts w:cs="Times New Roman"/>
          <w:color w:val="000000"/>
          <w:lang w:val="es-ES"/>
        </w:rPr>
        <w:t xml:space="preserve">es posible expandir </w:t>
      </w:r>
      <w:r w:rsidRPr="001E179B">
        <w:rPr>
          <w:rFonts w:cs="Times New Roman"/>
          <w:color w:val="000000"/>
          <w:lang w:val="es-ES"/>
        </w:rPr>
        <w:t>el análisis al conjunto de la población de niños y juveniles en esas comunidades.</w:t>
      </w:r>
    </w:p>
    <w:p w:rsidR="00891414" w:rsidRPr="001E179B" w:rsidRDefault="00891414" w:rsidP="001E179B">
      <w:pPr>
        <w:autoSpaceDE w:val="0"/>
        <w:autoSpaceDN w:val="0"/>
        <w:adjustRightInd w:val="0"/>
        <w:jc w:val="both"/>
        <w:rPr>
          <w:rFonts w:cs="Times New Roman"/>
          <w:color w:val="000000"/>
          <w:lang w:val="es-ES"/>
        </w:rPr>
      </w:pPr>
    </w:p>
    <w:p w:rsidR="001E179B" w:rsidRPr="001E179B" w:rsidRDefault="001E179B" w:rsidP="001E179B">
      <w:pPr>
        <w:autoSpaceDE w:val="0"/>
        <w:autoSpaceDN w:val="0"/>
        <w:adjustRightInd w:val="0"/>
        <w:jc w:val="both"/>
        <w:rPr>
          <w:rFonts w:cs="Times New Roman"/>
          <w:color w:val="000000"/>
          <w:lang w:val="es-ES"/>
        </w:rPr>
      </w:pPr>
      <w:r w:rsidRPr="001E179B">
        <w:rPr>
          <w:rFonts w:cs="Times New Roman"/>
          <w:color w:val="000000"/>
          <w:lang w:val="es-ES"/>
        </w:rPr>
        <w:t xml:space="preserve">Aplicando los criterios establecidos por Lanphear et al. se puede calcular los puntos de CI perdidos en cada tramo en razón de los niveles de plomo que presentaban los niños </w:t>
      </w:r>
      <w:r w:rsidR="00527B81">
        <w:rPr>
          <w:rFonts w:cs="Times New Roman"/>
          <w:color w:val="000000"/>
          <w:lang w:val="es-ES"/>
        </w:rPr>
        <w:t xml:space="preserve">de las siete comunidades </w:t>
      </w:r>
      <w:r w:rsidR="00527B81" w:rsidRPr="00891414">
        <w:rPr>
          <w:rFonts w:cs="Times New Roman"/>
          <w:color w:val="000000"/>
          <w:lang w:val="es-ES"/>
        </w:rPr>
        <w:t>del río Corrientes aquí consideradas</w:t>
      </w:r>
      <w:r w:rsidR="00527B81" w:rsidRPr="001E179B">
        <w:rPr>
          <w:rFonts w:cs="Times New Roman"/>
          <w:color w:val="000000"/>
          <w:lang w:val="es-ES"/>
        </w:rPr>
        <w:t xml:space="preserve"> </w:t>
      </w:r>
      <w:r w:rsidRPr="001E179B">
        <w:rPr>
          <w:rFonts w:cs="Times New Roman"/>
          <w:color w:val="000000"/>
          <w:lang w:val="es-ES"/>
        </w:rPr>
        <w:t xml:space="preserve">en el año 2005. </w:t>
      </w:r>
    </w:p>
    <w:p w:rsidR="001E179B" w:rsidRDefault="001E179B" w:rsidP="00692601">
      <w:pPr>
        <w:autoSpaceDE w:val="0"/>
        <w:autoSpaceDN w:val="0"/>
        <w:adjustRightInd w:val="0"/>
        <w:jc w:val="both"/>
        <w:rPr>
          <w:rFonts w:cs="Times New Roman"/>
          <w:color w:val="000000"/>
          <w:lang w:val="es-ES"/>
        </w:rPr>
      </w:pPr>
    </w:p>
    <w:p w:rsidR="00891414" w:rsidRPr="00891414" w:rsidRDefault="001C231B" w:rsidP="00891414">
      <w:pPr>
        <w:autoSpaceDE w:val="0"/>
        <w:autoSpaceDN w:val="0"/>
        <w:adjustRightInd w:val="0"/>
        <w:jc w:val="both"/>
        <w:rPr>
          <w:rFonts w:cs="Times New Roman"/>
          <w:color w:val="000000"/>
          <w:lang w:val="es-ES"/>
        </w:rPr>
      </w:pPr>
      <w:r>
        <w:rPr>
          <w:rFonts w:cs="Times New Roman"/>
          <w:color w:val="000000"/>
          <w:lang w:val="es-ES"/>
        </w:rPr>
        <w:t>L</w:t>
      </w:r>
      <w:r w:rsidR="00891414" w:rsidRPr="00891414">
        <w:rPr>
          <w:rFonts w:cs="Times New Roman"/>
          <w:color w:val="000000"/>
          <w:lang w:val="es-ES"/>
        </w:rPr>
        <w:t xml:space="preserve">os niveles de plomo en sangre que se estima soportaban en el año 2005 los niños de 2 a 17 años de edad de </w:t>
      </w:r>
      <w:r w:rsidR="00527B81">
        <w:rPr>
          <w:rFonts w:cs="Times New Roman"/>
          <w:color w:val="000000"/>
          <w:lang w:val="es-ES"/>
        </w:rPr>
        <w:t xml:space="preserve">estas comunidades </w:t>
      </w:r>
      <w:r w:rsidR="00891414" w:rsidRPr="00891414">
        <w:rPr>
          <w:rFonts w:cs="Times New Roman"/>
          <w:color w:val="000000"/>
          <w:lang w:val="es-ES"/>
        </w:rPr>
        <w:t>provocaron una pérdida de puntos de CI que oscilaba entre los 3.907 y los 7.443, con una media de 5.675 puntos</w:t>
      </w:r>
      <w:r>
        <w:rPr>
          <w:rFonts w:cs="Times New Roman"/>
          <w:color w:val="000000"/>
          <w:lang w:val="es-ES"/>
        </w:rPr>
        <w:t xml:space="preserve"> (ver tabla)</w:t>
      </w:r>
      <w:r w:rsidR="00891414" w:rsidRPr="00891414">
        <w:rPr>
          <w:rFonts w:cs="Times New Roman"/>
          <w:color w:val="000000"/>
          <w:lang w:val="es-ES"/>
        </w:rPr>
        <w:t xml:space="preserve">.  Si se divide la pérdida media entre los 1 270 niños de 2 a 17 años que vivían en esas comunidades se obtiene una pérdida 4,5 puntos de CI por niño. Se trata de un valor muy alto que requiere la mayor atención. </w:t>
      </w:r>
    </w:p>
    <w:p w:rsidR="00891414" w:rsidRDefault="00891414" w:rsidP="00891414">
      <w:pPr>
        <w:autoSpaceDE w:val="0"/>
        <w:autoSpaceDN w:val="0"/>
        <w:adjustRightInd w:val="0"/>
        <w:jc w:val="both"/>
        <w:rPr>
          <w:rFonts w:cs="Times New Roman"/>
          <w:color w:val="000000"/>
          <w:lang w:val="es-ES"/>
        </w:rPr>
      </w:pPr>
    </w:p>
    <w:p w:rsidR="00891414" w:rsidRPr="00891414" w:rsidRDefault="00891414" w:rsidP="00891414">
      <w:pPr>
        <w:autoSpaceDE w:val="0"/>
        <w:autoSpaceDN w:val="0"/>
        <w:adjustRightInd w:val="0"/>
        <w:jc w:val="both"/>
        <w:rPr>
          <w:rFonts w:cs="Times New Roman"/>
          <w:b/>
          <w:color w:val="000000"/>
          <w:lang w:val="es-ES"/>
        </w:rPr>
      </w:pPr>
      <w:r w:rsidRPr="00891414">
        <w:rPr>
          <w:rFonts w:cs="Times New Roman"/>
          <w:b/>
          <w:color w:val="000000"/>
          <w:lang w:val="es-ES"/>
        </w:rPr>
        <w:t>Pérdida de puntos de CI en los niños de la zona de estudio del río Corrientes (2005)</w:t>
      </w:r>
    </w:p>
    <w:p w:rsidR="00891414" w:rsidRDefault="00891414" w:rsidP="00891414">
      <w:pPr>
        <w:autoSpaceDE w:val="0"/>
        <w:autoSpaceDN w:val="0"/>
        <w:adjustRightInd w:val="0"/>
        <w:jc w:val="both"/>
        <w:rPr>
          <w:rFonts w:cs="Times New Roman"/>
          <w:color w:val="000000"/>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0"/>
        <w:gridCol w:w="1482"/>
        <w:gridCol w:w="1140"/>
        <w:gridCol w:w="1367"/>
        <w:gridCol w:w="1024"/>
        <w:gridCol w:w="922"/>
        <w:gridCol w:w="1119"/>
      </w:tblGrid>
      <w:tr w:rsidR="00891414" w:rsidRPr="00384ACB" w:rsidTr="00891414">
        <w:trPr>
          <w:trHeight w:val="438"/>
        </w:trPr>
        <w:tc>
          <w:tcPr>
            <w:tcW w:w="1511" w:type="dxa"/>
            <w:vMerge w:val="restart"/>
            <w:shd w:val="clear" w:color="auto" w:fill="FF9900"/>
          </w:tcPr>
          <w:p w:rsidR="00891414" w:rsidRPr="00384ACB" w:rsidRDefault="00891414" w:rsidP="00891414">
            <w:pPr>
              <w:jc w:val="center"/>
              <w:rPr>
                <w:rFonts w:cs="Arial"/>
                <w:b/>
                <w:sz w:val="22"/>
                <w:szCs w:val="22"/>
                <w:lang w:val="es-PE"/>
              </w:rPr>
            </w:pPr>
            <w:r w:rsidRPr="00384ACB">
              <w:rPr>
                <w:rFonts w:cs="Arial"/>
                <w:b/>
                <w:sz w:val="22"/>
                <w:szCs w:val="22"/>
                <w:lang w:val="es-PE"/>
              </w:rPr>
              <w:t>Rangos de concentración (µg/dL)</w:t>
            </w:r>
          </w:p>
        </w:tc>
        <w:tc>
          <w:tcPr>
            <w:tcW w:w="1526" w:type="dxa"/>
            <w:vMerge w:val="restart"/>
            <w:shd w:val="clear" w:color="auto" w:fill="FF9900"/>
          </w:tcPr>
          <w:p w:rsidR="00891414" w:rsidRPr="00384ACB" w:rsidRDefault="00891414" w:rsidP="00891414">
            <w:pPr>
              <w:jc w:val="center"/>
              <w:rPr>
                <w:rFonts w:cs="Arial"/>
                <w:b/>
                <w:sz w:val="22"/>
                <w:szCs w:val="22"/>
                <w:lang w:val="es-PE"/>
              </w:rPr>
            </w:pPr>
            <w:r w:rsidRPr="00384ACB">
              <w:rPr>
                <w:rFonts w:cs="Arial"/>
                <w:b/>
                <w:sz w:val="22"/>
                <w:szCs w:val="22"/>
                <w:lang w:val="es-PE"/>
              </w:rPr>
              <w:t>Pérdida media de puntos  CI por cada  µg/dL</w:t>
            </w:r>
          </w:p>
        </w:tc>
        <w:tc>
          <w:tcPr>
            <w:tcW w:w="1178" w:type="dxa"/>
            <w:vMerge w:val="restart"/>
            <w:shd w:val="clear" w:color="auto" w:fill="FF9900"/>
          </w:tcPr>
          <w:p w:rsidR="00891414" w:rsidRPr="00384ACB" w:rsidRDefault="00891414" w:rsidP="00891414">
            <w:pPr>
              <w:jc w:val="center"/>
              <w:rPr>
                <w:rFonts w:cs="Arial"/>
                <w:b/>
                <w:sz w:val="22"/>
                <w:szCs w:val="22"/>
                <w:lang w:val="es-PE"/>
              </w:rPr>
            </w:pPr>
            <w:r w:rsidRPr="00384ACB">
              <w:rPr>
                <w:rFonts w:cs="Arial"/>
                <w:b/>
                <w:sz w:val="22"/>
                <w:szCs w:val="22"/>
                <w:lang w:val="es-PE"/>
              </w:rPr>
              <w:t>Media de plomo en sangre</w:t>
            </w:r>
          </w:p>
          <w:p w:rsidR="00891414" w:rsidRPr="00384ACB" w:rsidRDefault="00891414" w:rsidP="00891414">
            <w:pPr>
              <w:jc w:val="center"/>
              <w:rPr>
                <w:rFonts w:cs="Arial"/>
                <w:b/>
                <w:sz w:val="22"/>
                <w:szCs w:val="22"/>
                <w:lang w:val="es-PE"/>
              </w:rPr>
            </w:pPr>
            <w:r w:rsidRPr="00384ACB">
              <w:rPr>
                <w:rFonts w:cs="Arial"/>
                <w:b/>
                <w:sz w:val="22"/>
                <w:szCs w:val="22"/>
                <w:lang w:val="es-PE"/>
              </w:rPr>
              <w:t>µg/dL</w:t>
            </w:r>
          </w:p>
        </w:tc>
        <w:tc>
          <w:tcPr>
            <w:tcW w:w="1422" w:type="dxa"/>
            <w:vMerge w:val="restart"/>
            <w:shd w:val="clear" w:color="auto" w:fill="FF9900"/>
          </w:tcPr>
          <w:p w:rsidR="00891414" w:rsidRPr="00384ACB" w:rsidRDefault="00891414" w:rsidP="00891414">
            <w:pPr>
              <w:jc w:val="center"/>
              <w:rPr>
                <w:rFonts w:cs="Arial"/>
                <w:b/>
                <w:sz w:val="22"/>
                <w:szCs w:val="22"/>
                <w:lang w:val="es-PE"/>
              </w:rPr>
            </w:pPr>
            <w:r w:rsidRPr="00384ACB">
              <w:rPr>
                <w:rFonts w:cs="Arial"/>
                <w:b/>
                <w:sz w:val="22"/>
                <w:szCs w:val="22"/>
                <w:lang w:val="es-PE"/>
              </w:rPr>
              <w:t>Pérdida media de puntos CI por cada µg/dL</w:t>
            </w:r>
          </w:p>
        </w:tc>
        <w:tc>
          <w:tcPr>
            <w:tcW w:w="3084" w:type="dxa"/>
            <w:gridSpan w:val="3"/>
            <w:shd w:val="clear" w:color="auto" w:fill="FF9900"/>
          </w:tcPr>
          <w:p w:rsidR="00891414" w:rsidRPr="00384ACB" w:rsidRDefault="00891414" w:rsidP="00891414">
            <w:pPr>
              <w:jc w:val="center"/>
              <w:rPr>
                <w:rFonts w:cs="Arial"/>
                <w:b/>
                <w:sz w:val="22"/>
                <w:szCs w:val="22"/>
                <w:lang w:val="es-PE"/>
              </w:rPr>
            </w:pPr>
            <w:r w:rsidRPr="00384ACB">
              <w:rPr>
                <w:rFonts w:cs="Arial"/>
                <w:b/>
                <w:sz w:val="22"/>
                <w:szCs w:val="22"/>
                <w:lang w:val="es-PE"/>
              </w:rPr>
              <w:t>Pérdida de puntos de CI</w:t>
            </w:r>
          </w:p>
        </w:tc>
      </w:tr>
      <w:tr w:rsidR="00891414" w:rsidRPr="005E71B9" w:rsidTr="00891414">
        <w:trPr>
          <w:trHeight w:val="842"/>
        </w:trPr>
        <w:tc>
          <w:tcPr>
            <w:tcW w:w="1511" w:type="dxa"/>
            <w:vMerge/>
            <w:shd w:val="clear" w:color="auto" w:fill="FF9900"/>
          </w:tcPr>
          <w:p w:rsidR="00891414" w:rsidRPr="00384ACB" w:rsidRDefault="00891414" w:rsidP="00891414">
            <w:pPr>
              <w:jc w:val="center"/>
              <w:rPr>
                <w:rFonts w:cs="Arial"/>
                <w:b/>
                <w:sz w:val="22"/>
                <w:szCs w:val="22"/>
                <w:lang w:val="es-PE"/>
              </w:rPr>
            </w:pPr>
          </w:p>
        </w:tc>
        <w:tc>
          <w:tcPr>
            <w:tcW w:w="1526" w:type="dxa"/>
            <w:vMerge/>
            <w:shd w:val="clear" w:color="auto" w:fill="FF9900"/>
          </w:tcPr>
          <w:p w:rsidR="00891414" w:rsidRPr="00384ACB" w:rsidRDefault="00891414" w:rsidP="00891414">
            <w:pPr>
              <w:jc w:val="center"/>
              <w:rPr>
                <w:rFonts w:cs="Arial"/>
                <w:b/>
                <w:sz w:val="22"/>
                <w:szCs w:val="22"/>
                <w:lang w:val="es-PE"/>
              </w:rPr>
            </w:pPr>
          </w:p>
        </w:tc>
        <w:tc>
          <w:tcPr>
            <w:tcW w:w="1178" w:type="dxa"/>
            <w:vMerge/>
            <w:shd w:val="clear" w:color="auto" w:fill="FF9900"/>
          </w:tcPr>
          <w:p w:rsidR="00891414" w:rsidRPr="00384ACB" w:rsidRDefault="00891414" w:rsidP="00891414">
            <w:pPr>
              <w:jc w:val="center"/>
              <w:rPr>
                <w:rFonts w:cs="Arial"/>
                <w:b/>
                <w:sz w:val="22"/>
                <w:szCs w:val="22"/>
                <w:lang w:val="es-PE"/>
              </w:rPr>
            </w:pPr>
          </w:p>
        </w:tc>
        <w:tc>
          <w:tcPr>
            <w:tcW w:w="1422" w:type="dxa"/>
            <w:vMerge/>
            <w:shd w:val="clear" w:color="auto" w:fill="FF9900"/>
          </w:tcPr>
          <w:p w:rsidR="00891414" w:rsidRPr="00384ACB" w:rsidRDefault="00891414" w:rsidP="00891414">
            <w:pPr>
              <w:jc w:val="center"/>
              <w:rPr>
                <w:rFonts w:cs="Arial"/>
                <w:b/>
                <w:sz w:val="22"/>
                <w:szCs w:val="22"/>
                <w:lang w:val="es-PE"/>
              </w:rPr>
            </w:pPr>
          </w:p>
        </w:tc>
        <w:tc>
          <w:tcPr>
            <w:tcW w:w="1027" w:type="dxa"/>
            <w:shd w:val="clear" w:color="auto" w:fill="FF9900"/>
            <w:vAlign w:val="center"/>
          </w:tcPr>
          <w:p w:rsidR="00891414" w:rsidRPr="008D6212" w:rsidRDefault="00891414" w:rsidP="00891414">
            <w:pPr>
              <w:jc w:val="center"/>
              <w:rPr>
                <w:rFonts w:cs="Arial"/>
                <w:b/>
                <w:sz w:val="22"/>
                <w:szCs w:val="22"/>
              </w:rPr>
            </w:pPr>
            <w:r w:rsidRPr="008D6212">
              <w:rPr>
                <w:rFonts w:cs="Arial"/>
                <w:b/>
                <w:sz w:val="22"/>
                <w:szCs w:val="22"/>
              </w:rPr>
              <w:t>Límite</w:t>
            </w:r>
          </w:p>
          <w:p w:rsidR="00891414" w:rsidRPr="008D6212" w:rsidRDefault="00891414" w:rsidP="00891414">
            <w:pPr>
              <w:jc w:val="center"/>
              <w:rPr>
                <w:rFonts w:cs="Arial"/>
                <w:b/>
                <w:sz w:val="22"/>
                <w:szCs w:val="22"/>
              </w:rPr>
            </w:pPr>
            <w:r w:rsidRPr="008D6212">
              <w:rPr>
                <w:rFonts w:cs="Arial"/>
                <w:b/>
                <w:sz w:val="22"/>
                <w:szCs w:val="22"/>
              </w:rPr>
              <w:t>inferior</w:t>
            </w:r>
          </w:p>
        </w:tc>
        <w:tc>
          <w:tcPr>
            <w:tcW w:w="934" w:type="dxa"/>
            <w:shd w:val="clear" w:color="auto" w:fill="FF9900"/>
            <w:vAlign w:val="center"/>
          </w:tcPr>
          <w:p w:rsidR="00891414" w:rsidRPr="008D6212" w:rsidRDefault="00891414" w:rsidP="00891414">
            <w:pPr>
              <w:jc w:val="center"/>
              <w:rPr>
                <w:rFonts w:cs="Arial"/>
                <w:b/>
                <w:sz w:val="22"/>
                <w:szCs w:val="22"/>
              </w:rPr>
            </w:pPr>
            <w:r w:rsidRPr="008D6212">
              <w:rPr>
                <w:rFonts w:cs="Arial"/>
                <w:b/>
                <w:sz w:val="22"/>
                <w:szCs w:val="22"/>
              </w:rPr>
              <w:t>Medio</w:t>
            </w:r>
          </w:p>
        </w:tc>
        <w:tc>
          <w:tcPr>
            <w:tcW w:w="1123" w:type="dxa"/>
            <w:shd w:val="clear" w:color="auto" w:fill="FF9900"/>
            <w:vAlign w:val="center"/>
          </w:tcPr>
          <w:p w:rsidR="00891414" w:rsidRPr="008D6212" w:rsidRDefault="00891414" w:rsidP="00891414">
            <w:pPr>
              <w:jc w:val="center"/>
              <w:rPr>
                <w:rFonts w:cs="Arial"/>
                <w:b/>
                <w:sz w:val="22"/>
                <w:szCs w:val="22"/>
              </w:rPr>
            </w:pPr>
            <w:r w:rsidRPr="008D6212">
              <w:rPr>
                <w:rFonts w:cs="Arial"/>
                <w:b/>
                <w:sz w:val="22"/>
                <w:szCs w:val="22"/>
              </w:rPr>
              <w:t>Límite</w:t>
            </w:r>
          </w:p>
          <w:p w:rsidR="00891414" w:rsidRPr="008D6212" w:rsidRDefault="00891414" w:rsidP="00891414">
            <w:pPr>
              <w:jc w:val="center"/>
              <w:rPr>
                <w:rFonts w:cs="Arial"/>
                <w:b/>
                <w:sz w:val="22"/>
                <w:szCs w:val="22"/>
              </w:rPr>
            </w:pPr>
            <w:r w:rsidRPr="008D6212">
              <w:rPr>
                <w:rFonts w:cs="Arial"/>
                <w:b/>
                <w:sz w:val="22"/>
                <w:szCs w:val="22"/>
              </w:rPr>
              <w:t>superior</w:t>
            </w:r>
          </w:p>
        </w:tc>
      </w:tr>
      <w:tr w:rsidR="00891414" w:rsidRPr="005E71B9" w:rsidTr="00891414">
        <w:tc>
          <w:tcPr>
            <w:tcW w:w="1511" w:type="dxa"/>
          </w:tcPr>
          <w:p w:rsidR="00891414" w:rsidRPr="008D6212" w:rsidRDefault="00891414" w:rsidP="00891414">
            <w:pPr>
              <w:rPr>
                <w:rFonts w:cs="Arial"/>
                <w:sz w:val="22"/>
                <w:szCs w:val="22"/>
              </w:rPr>
            </w:pPr>
            <w:r w:rsidRPr="008D6212">
              <w:rPr>
                <w:rFonts w:cs="Arial"/>
                <w:sz w:val="22"/>
                <w:szCs w:val="22"/>
              </w:rPr>
              <w:t>&lt; 2,4</w:t>
            </w:r>
          </w:p>
        </w:tc>
        <w:tc>
          <w:tcPr>
            <w:tcW w:w="1526" w:type="dxa"/>
          </w:tcPr>
          <w:p w:rsidR="00891414" w:rsidRPr="008D6212" w:rsidRDefault="00891414" w:rsidP="00891414">
            <w:pPr>
              <w:jc w:val="center"/>
              <w:rPr>
                <w:rFonts w:cs="Arial"/>
                <w:sz w:val="22"/>
                <w:szCs w:val="22"/>
              </w:rPr>
            </w:pPr>
            <w:r w:rsidRPr="008D6212">
              <w:rPr>
                <w:rFonts w:cs="Arial"/>
                <w:sz w:val="22"/>
                <w:szCs w:val="22"/>
              </w:rPr>
              <w:t>-</w:t>
            </w:r>
          </w:p>
        </w:tc>
        <w:tc>
          <w:tcPr>
            <w:tcW w:w="1178" w:type="dxa"/>
          </w:tcPr>
          <w:p w:rsidR="00891414" w:rsidRPr="008D6212" w:rsidRDefault="00891414" w:rsidP="00891414">
            <w:pPr>
              <w:jc w:val="center"/>
              <w:rPr>
                <w:rFonts w:cs="Arial"/>
                <w:sz w:val="22"/>
                <w:szCs w:val="22"/>
              </w:rPr>
            </w:pPr>
            <w:r w:rsidRPr="008D6212">
              <w:rPr>
                <w:rFonts w:cs="Arial"/>
                <w:sz w:val="22"/>
                <w:szCs w:val="22"/>
              </w:rPr>
              <w:t>-</w:t>
            </w:r>
          </w:p>
        </w:tc>
        <w:tc>
          <w:tcPr>
            <w:tcW w:w="1422" w:type="dxa"/>
          </w:tcPr>
          <w:p w:rsidR="00891414" w:rsidRPr="008D6212" w:rsidRDefault="00891414" w:rsidP="00891414">
            <w:pPr>
              <w:jc w:val="center"/>
              <w:rPr>
                <w:rFonts w:cs="Arial"/>
                <w:sz w:val="22"/>
                <w:szCs w:val="22"/>
              </w:rPr>
            </w:pPr>
            <w:r w:rsidRPr="008D6212">
              <w:rPr>
                <w:rFonts w:cs="Arial"/>
                <w:sz w:val="22"/>
                <w:szCs w:val="22"/>
              </w:rPr>
              <w:t>-</w:t>
            </w:r>
          </w:p>
        </w:tc>
        <w:tc>
          <w:tcPr>
            <w:tcW w:w="1027" w:type="dxa"/>
          </w:tcPr>
          <w:p w:rsidR="00891414" w:rsidRPr="008D6212" w:rsidRDefault="00891414" w:rsidP="00891414">
            <w:pPr>
              <w:jc w:val="center"/>
              <w:rPr>
                <w:rFonts w:cs="Arial"/>
                <w:sz w:val="22"/>
                <w:szCs w:val="22"/>
              </w:rPr>
            </w:pPr>
            <w:r w:rsidRPr="008D6212">
              <w:rPr>
                <w:rFonts w:cs="Arial"/>
                <w:sz w:val="22"/>
                <w:szCs w:val="22"/>
              </w:rPr>
              <w:t>-</w:t>
            </w:r>
          </w:p>
        </w:tc>
        <w:tc>
          <w:tcPr>
            <w:tcW w:w="934" w:type="dxa"/>
          </w:tcPr>
          <w:p w:rsidR="00891414" w:rsidRPr="008D6212" w:rsidRDefault="00891414" w:rsidP="00891414">
            <w:pPr>
              <w:jc w:val="center"/>
              <w:rPr>
                <w:rFonts w:cs="Arial"/>
                <w:sz w:val="22"/>
                <w:szCs w:val="22"/>
              </w:rPr>
            </w:pPr>
            <w:r w:rsidRPr="008D6212">
              <w:rPr>
                <w:rFonts w:cs="Arial"/>
                <w:sz w:val="22"/>
                <w:szCs w:val="22"/>
              </w:rPr>
              <w:t>-</w:t>
            </w:r>
          </w:p>
        </w:tc>
        <w:tc>
          <w:tcPr>
            <w:tcW w:w="1123" w:type="dxa"/>
          </w:tcPr>
          <w:p w:rsidR="00891414" w:rsidRPr="008D6212" w:rsidRDefault="00891414" w:rsidP="00891414">
            <w:pPr>
              <w:jc w:val="center"/>
              <w:rPr>
                <w:rFonts w:cs="Arial"/>
                <w:sz w:val="22"/>
                <w:szCs w:val="22"/>
              </w:rPr>
            </w:pPr>
            <w:r w:rsidRPr="008D6212">
              <w:rPr>
                <w:rFonts w:cs="Arial"/>
                <w:sz w:val="22"/>
                <w:szCs w:val="22"/>
              </w:rPr>
              <w:t>-</w:t>
            </w:r>
          </w:p>
        </w:tc>
      </w:tr>
      <w:tr w:rsidR="00891414" w:rsidRPr="005E71B9" w:rsidTr="00891414">
        <w:tc>
          <w:tcPr>
            <w:tcW w:w="1511" w:type="dxa"/>
          </w:tcPr>
          <w:p w:rsidR="00891414" w:rsidRPr="008D6212" w:rsidRDefault="00891414" w:rsidP="00891414">
            <w:pPr>
              <w:rPr>
                <w:rFonts w:cs="Arial"/>
                <w:sz w:val="22"/>
                <w:szCs w:val="22"/>
              </w:rPr>
            </w:pPr>
            <w:r w:rsidRPr="008D6212">
              <w:rPr>
                <w:rFonts w:cs="Arial"/>
                <w:sz w:val="22"/>
                <w:szCs w:val="22"/>
              </w:rPr>
              <w:t>2,4-10,0</w:t>
            </w:r>
          </w:p>
        </w:tc>
        <w:tc>
          <w:tcPr>
            <w:tcW w:w="1526" w:type="dxa"/>
          </w:tcPr>
          <w:p w:rsidR="00891414" w:rsidRPr="008D6212" w:rsidRDefault="00891414" w:rsidP="00891414">
            <w:pPr>
              <w:jc w:val="center"/>
              <w:rPr>
                <w:rFonts w:cs="Arial"/>
                <w:sz w:val="22"/>
                <w:szCs w:val="22"/>
              </w:rPr>
            </w:pPr>
            <w:r w:rsidRPr="008D6212">
              <w:rPr>
                <w:rFonts w:cs="Arial"/>
                <w:sz w:val="22"/>
                <w:szCs w:val="22"/>
              </w:rPr>
              <w:t>3,9</w:t>
            </w:r>
          </w:p>
        </w:tc>
        <w:tc>
          <w:tcPr>
            <w:tcW w:w="1178" w:type="dxa"/>
          </w:tcPr>
          <w:p w:rsidR="00891414" w:rsidRPr="008D6212" w:rsidRDefault="00891414" w:rsidP="00891414">
            <w:pPr>
              <w:jc w:val="center"/>
              <w:rPr>
                <w:rFonts w:cs="Arial"/>
                <w:sz w:val="22"/>
                <w:szCs w:val="22"/>
              </w:rPr>
            </w:pPr>
            <w:r w:rsidRPr="008D6212">
              <w:rPr>
                <w:rFonts w:cs="Arial"/>
                <w:sz w:val="22"/>
                <w:szCs w:val="22"/>
              </w:rPr>
              <w:t>7,9</w:t>
            </w:r>
          </w:p>
        </w:tc>
        <w:tc>
          <w:tcPr>
            <w:tcW w:w="1422" w:type="dxa"/>
          </w:tcPr>
          <w:p w:rsidR="00891414" w:rsidRPr="008D6212" w:rsidRDefault="00891414" w:rsidP="00891414">
            <w:pPr>
              <w:jc w:val="center"/>
              <w:rPr>
                <w:rFonts w:cs="Arial"/>
                <w:sz w:val="22"/>
                <w:szCs w:val="22"/>
              </w:rPr>
            </w:pPr>
            <w:r w:rsidRPr="008D6212">
              <w:rPr>
                <w:rFonts w:cs="Arial"/>
                <w:sz w:val="22"/>
                <w:szCs w:val="22"/>
              </w:rPr>
              <w:t>3,3</w:t>
            </w:r>
          </w:p>
        </w:tc>
        <w:tc>
          <w:tcPr>
            <w:tcW w:w="1027" w:type="dxa"/>
          </w:tcPr>
          <w:p w:rsidR="00891414" w:rsidRPr="008D6212" w:rsidRDefault="00891414" w:rsidP="00891414">
            <w:pPr>
              <w:ind w:right="69"/>
              <w:jc w:val="right"/>
              <w:rPr>
                <w:rFonts w:cs="Arial"/>
                <w:sz w:val="22"/>
                <w:szCs w:val="22"/>
              </w:rPr>
            </w:pPr>
            <w:r w:rsidRPr="008D6212">
              <w:rPr>
                <w:rFonts w:cs="Arial"/>
                <w:sz w:val="22"/>
                <w:szCs w:val="22"/>
              </w:rPr>
              <w:t>957</w:t>
            </w:r>
          </w:p>
        </w:tc>
        <w:tc>
          <w:tcPr>
            <w:tcW w:w="934" w:type="dxa"/>
          </w:tcPr>
          <w:p w:rsidR="00891414" w:rsidRPr="008D6212" w:rsidRDefault="00891414" w:rsidP="00891414">
            <w:pPr>
              <w:jc w:val="center"/>
              <w:rPr>
                <w:rFonts w:cs="Arial"/>
                <w:sz w:val="22"/>
                <w:szCs w:val="22"/>
              </w:rPr>
            </w:pPr>
            <w:r w:rsidRPr="008D6212">
              <w:rPr>
                <w:rFonts w:cs="Arial"/>
                <w:sz w:val="22"/>
                <w:szCs w:val="22"/>
              </w:rPr>
              <w:t>1.416</w:t>
            </w:r>
          </w:p>
        </w:tc>
        <w:tc>
          <w:tcPr>
            <w:tcW w:w="1123" w:type="dxa"/>
          </w:tcPr>
          <w:p w:rsidR="00891414" w:rsidRPr="008D6212" w:rsidRDefault="00891414" w:rsidP="00891414">
            <w:pPr>
              <w:jc w:val="center"/>
              <w:rPr>
                <w:rFonts w:cs="Arial"/>
                <w:sz w:val="22"/>
                <w:szCs w:val="22"/>
              </w:rPr>
            </w:pPr>
            <w:r w:rsidRPr="008D6212">
              <w:rPr>
                <w:rFonts w:cs="Arial"/>
                <w:sz w:val="22"/>
                <w:szCs w:val="22"/>
              </w:rPr>
              <w:t>1.878</w:t>
            </w:r>
          </w:p>
        </w:tc>
      </w:tr>
      <w:tr w:rsidR="00891414" w:rsidRPr="005E71B9" w:rsidTr="00891414">
        <w:tc>
          <w:tcPr>
            <w:tcW w:w="1511" w:type="dxa"/>
          </w:tcPr>
          <w:p w:rsidR="00891414" w:rsidRPr="008D6212" w:rsidRDefault="00891414" w:rsidP="00891414">
            <w:pPr>
              <w:rPr>
                <w:rFonts w:cs="Arial"/>
                <w:sz w:val="22"/>
                <w:szCs w:val="22"/>
              </w:rPr>
            </w:pPr>
            <w:r w:rsidRPr="008D6212">
              <w:rPr>
                <w:rFonts w:cs="Arial"/>
                <w:sz w:val="22"/>
                <w:szCs w:val="22"/>
              </w:rPr>
              <w:t>10,1-20,0</w:t>
            </w:r>
          </w:p>
        </w:tc>
        <w:tc>
          <w:tcPr>
            <w:tcW w:w="1526" w:type="dxa"/>
          </w:tcPr>
          <w:p w:rsidR="00891414" w:rsidRPr="008D6212" w:rsidRDefault="00891414" w:rsidP="00891414">
            <w:pPr>
              <w:jc w:val="center"/>
              <w:rPr>
                <w:rFonts w:cs="Arial"/>
                <w:sz w:val="22"/>
                <w:szCs w:val="22"/>
              </w:rPr>
            </w:pPr>
            <w:r w:rsidRPr="008D6212">
              <w:rPr>
                <w:rFonts w:cs="Arial"/>
                <w:sz w:val="22"/>
                <w:szCs w:val="22"/>
              </w:rPr>
              <w:t>1,9 (+3,9)</w:t>
            </w:r>
          </w:p>
        </w:tc>
        <w:tc>
          <w:tcPr>
            <w:tcW w:w="1178" w:type="dxa"/>
          </w:tcPr>
          <w:p w:rsidR="00891414" w:rsidRPr="008D6212" w:rsidRDefault="00891414" w:rsidP="00891414">
            <w:pPr>
              <w:jc w:val="center"/>
              <w:rPr>
                <w:rFonts w:cs="Arial"/>
                <w:sz w:val="22"/>
                <w:szCs w:val="22"/>
              </w:rPr>
            </w:pPr>
            <w:r w:rsidRPr="008D6212">
              <w:rPr>
                <w:rFonts w:cs="Arial"/>
                <w:sz w:val="22"/>
                <w:szCs w:val="22"/>
              </w:rPr>
              <w:t>13,5</w:t>
            </w:r>
          </w:p>
        </w:tc>
        <w:tc>
          <w:tcPr>
            <w:tcW w:w="1422" w:type="dxa"/>
          </w:tcPr>
          <w:p w:rsidR="00891414" w:rsidRPr="008D6212" w:rsidRDefault="00891414" w:rsidP="00891414">
            <w:pPr>
              <w:jc w:val="center"/>
              <w:rPr>
                <w:rFonts w:cs="Arial"/>
                <w:sz w:val="22"/>
                <w:szCs w:val="22"/>
              </w:rPr>
            </w:pPr>
            <w:r w:rsidRPr="008D6212">
              <w:rPr>
                <w:rFonts w:cs="Arial"/>
                <w:sz w:val="22"/>
                <w:szCs w:val="22"/>
              </w:rPr>
              <w:t>4,72</w:t>
            </w:r>
          </w:p>
        </w:tc>
        <w:tc>
          <w:tcPr>
            <w:tcW w:w="1027" w:type="dxa"/>
          </w:tcPr>
          <w:p w:rsidR="00891414" w:rsidRPr="008D6212" w:rsidRDefault="00891414" w:rsidP="00891414">
            <w:pPr>
              <w:ind w:right="69"/>
              <w:jc w:val="right"/>
              <w:rPr>
                <w:rFonts w:cs="Arial"/>
                <w:sz w:val="22"/>
                <w:szCs w:val="22"/>
              </w:rPr>
            </w:pPr>
            <w:r w:rsidRPr="008D6212">
              <w:rPr>
                <w:rFonts w:cs="Arial"/>
                <w:sz w:val="22"/>
                <w:szCs w:val="22"/>
              </w:rPr>
              <w:t>2.502</w:t>
            </w:r>
          </w:p>
        </w:tc>
        <w:tc>
          <w:tcPr>
            <w:tcW w:w="934" w:type="dxa"/>
          </w:tcPr>
          <w:p w:rsidR="00891414" w:rsidRPr="008D6212" w:rsidRDefault="00891414" w:rsidP="00891414">
            <w:pPr>
              <w:jc w:val="center"/>
              <w:rPr>
                <w:rFonts w:cs="Arial"/>
                <w:sz w:val="22"/>
                <w:szCs w:val="22"/>
              </w:rPr>
            </w:pPr>
            <w:r w:rsidRPr="008D6212">
              <w:rPr>
                <w:rFonts w:cs="Arial"/>
                <w:sz w:val="22"/>
                <w:szCs w:val="22"/>
              </w:rPr>
              <w:t>3.158</w:t>
            </w:r>
          </w:p>
        </w:tc>
        <w:tc>
          <w:tcPr>
            <w:tcW w:w="1123" w:type="dxa"/>
          </w:tcPr>
          <w:p w:rsidR="00891414" w:rsidRPr="008D6212" w:rsidRDefault="00891414" w:rsidP="00891414">
            <w:pPr>
              <w:jc w:val="center"/>
              <w:rPr>
                <w:rFonts w:cs="Arial"/>
                <w:sz w:val="22"/>
                <w:szCs w:val="22"/>
              </w:rPr>
            </w:pPr>
            <w:r w:rsidRPr="008D6212">
              <w:rPr>
                <w:rFonts w:cs="Arial"/>
                <w:sz w:val="22"/>
                <w:szCs w:val="22"/>
              </w:rPr>
              <w:t>3.818</w:t>
            </w:r>
          </w:p>
        </w:tc>
      </w:tr>
      <w:tr w:rsidR="00891414" w:rsidRPr="005E71B9" w:rsidTr="00891414">
        <w:tc>
          <w:tcPr>
            <w:tcW w:w="1511" w:type="dxa"/>
          </w:tcPr>
          <w:p w:rsidR="00891414" w:rsidRPr="008D6212" w:rsidRDefault="00891414" w:rsidP="00891414">
            <w:pPr>
              <w:rPr>
                <w:rFonts w:cs="Arial"/>
                <w:sz w:val="22"/>
                <w:szCs w:val="22"/>
              </w:rPr>
            </w:pPr>
            <w:r w:rsidRPr="008D6212">
              <w:rPr>
                <w:rFonts w:cs="Arial"/>
                <w:sz w:val="22"/>
                <w:szCs w:val="22"/>
              </w:rPr>
              <w:t>&gt; 20,0</w:t>
            </w:r>
          </w:p>
        </w:tc>
        <w:tc>
          <w:tcPr>
            <w:tcW w:w="1526" w:type="dxa"/>
          </w:tcPr>
          <w:p w:rsidR="00891414" w:rsidRPr="008D6212" w:rsidRDefault="00891414" w:rsidP="00891414">
            <w:pPr>
              <w:jc w:val="center"/>
              <w:rPr>
                <w:rFonts w:cs="Arial"/>
                <w:sz w:val="22"/>
                <w:szCs w:val="22"/>
              </w:rPr>
            </w:pPr>
            <w:r w:rsidRPr="008D6212">
              <w:rPr>
                <w:rFonts w:cs="Arial"/>
                <w:sz w:val="22"/>
                <w:szCs w:val="22"/>
              </w:rPr>
              <w:t>1,1 (+1,9+3,9)</w:t>
            </w:r>
          </w:p>
        </w:tc>
        <w:tc>
          <w:tcPr>
            <w:tcW w:w="1178" w:type="dxa"/>
          </w:tcPr>
          <w:p w:rsidR="00891414" w:rsidRPr="008D6212" w:rsidRDefault="00891414" w:rsidP="00891414">
            <w:pPr>
              <w:jc w:val="center"/>
              <w:rPr>
                <w:rFonts w:cs="Arial"/>
                <w:sz w:val="22"/>
                <w:szCs w:val="22"/>
              </w:rPr>
            </w:pPr>
            <w:r w:rsidRPr="008D6212">
              <w:rPr>
                <w:rFonts w:cs="Arial"/>
                <w:sz w:val="22"/>
                <w:szCs w:val="22"/>
              </w:rPr>
              <w:t>23,0</w:t>
            </w:r>
          </w:p>
        </w:tc>
        <w:tc>
          <w:tcPr>
            <w:tcW w:w="1422" w:type="dxa"/>
          </w:tcPr>
          <w:p w:rsidR="00891414" w:rsidRPr="008D6212" w:rsidRDefault="00891414" w:rsidP="00891414">
            <w:pPr>
              <w:jc w:val="center"/>
              <w:rPr>
                <w:rFonts w:cs="Arial"/>
                <w:sz w:val="22"/>
                <w:szCs w:val="22"/>
              </w:rPr>
            </w:pPr>
            <w:r w:rsidRPr="008D6212">
              <w:rPr>
                <w:rFonts w:cs="Arial"/>
                <w:sz w:val="22"/>
                <w:szCs w:val="22"/>
              </w:rPr>
              <w:t>6,4</w:t>
            </w:r>
          </w:p>
        </w:tc>
        <w:tc>
          <w:tcPr>
            <w:tcW w:w="1027" w:type="dxa"/>
          </w:tcPr>
          <w:p w:rsidR="00891414" w:rsidRPr="008D6212" w:rsidRDefault="00891414" w:rsidP="00891414">
            <w:pPr>
              <w:ind w:right="69"/>
              <w:jc w:val="right"/>
              <w:rPr>
                <w:rFonts w:cs="Arial"/>
                <w:sz w:val="22"/>
                <w:szCs w:val="22"/>
              </w:rPr>
            </w:pPr>
            <w:r w:rsidRPr="008D6212">
              <w:rPr>
                <w:rFonts w:cs="Arial"/>
                <w:sz w:val="22"/>
                <w:szCs w:val="22"/>
              </w:rPr>
              <w:t>448</w:t>
            </w:r>
          </w:p>
        </w:tc>
        <w:tc>
          <w:tcPr>
            <w:tcW w:w="934" w:type="dxa"/>
          </w:tcPr>
          <w:p w:rsidR="00891414" w:rsidRPr="008D6212" w:rsidRDefault="00891414" w:rsidP="00891414">
            <w:pPr>
              <w:jc w:val="center"/>
              <w:rPr>
                <w:rFonts w:cs="Arial"/>
                <w:sz w:val="22"/>
                <w:szCs w:val="22"/>
              </w:rPr>
            </w:pPr>
            <w:r w:rsidRPr="008D6212">
              <w:rPr>
                <w:rFonts w:cs="Arial"/>
                <w:sz w:val="22"/>
                <w:szCs w:val="22"/>
              </w:rPr>
              <w:t>1.101</w:t>
            </w:r>
          </w:p>
        </w:tc>
        <w:tc>
          <w:tcPr>
            <w:tcW w:w="1123" w:type="dxa"/>
          </w:tcPr>
          <w:p w:rsidR="00891414" w:rsidRPr="008D6212" w:rsidRDefault="00891414" w:rsidP="00891414">
            <w:pPr>
              <w:jc w:val="center"/>
              <w:rPr>
                <w:rFonts w:cs="Arial"/>
                <w:sz w:val="22"/>
                <w:szCs w:val="22"/>
              </w:rPr>
            </w:pPr>
            <w:r w:rsidRPr="008D6212">
              <w:rPr>
                <w:rFonts w:cs="Arial"/>
                <w:sz w:val="22"/>
                <w:szCs w:val="22"/>
              </w:rPr>
              <w:t>1.747</w:t>
            </w:r>
          </w:p>
        </w:tc>
      </w:tr>
      <w:tr w:rsidR="00891414" w:rsidRPr="005E71B9" w:rsidTr="00891414">
        <w:tc>
          <w:tcPr>
            <w:tcW w:w="1511" w:type="dxa"/>
          </w:tcPr>
          <w:p w:rsidR="00891414" w:rsidRPr="008D6212" w:rsidRDefault="00891414" w:rsidP="00891414">
            <w:pPr>
              <w:rPr>
                <w:rFonts w:cs="Arial"/>
                <w:b/>
                <w:sz w:val="22"/>
                <w:szCs w:val="22"/>
              </w:rPr>
            </w:pPr>
            <w:r w:rsidRPr="008D6212">
              <w:rPr>
                <w:rFonts w:cs="Arial"/>
                <w:b/>
                <w:sz w:val="22"/>
                <w:szCs w:val="22"/>
              </w:rPr>
              <w:t>Total</w:t>
            </w:r>
          </w:p>
        </w:tc>
        <w:tc>
          <w:tcPr>
            <w:tcW w:w="1526" w:type="dxa"/>
          </w:tcPr>
          <w:p w:rsidR="00891414" w:rsidRPr="008D6212" w:rsidRDefault="00891414" w:rsidP="00891414">
            <w:pPr>
              <w:jc w:val="center"/>
              <w:rPr>
                <w:rFonts w:cs="Arial"/>
                <w:b/>
                <w:sz w:val="22"/>
                <w:szCs w:val="22"/>
              </w:rPr>
            </w:pPr>
          </w:p>
        </w:tc>
        <w:tc>
          <w:tcPr>
            <w:tcW w:w="1178" w:type="dxa"/>
          </w:tcPr>
          <w:p w:rsidR="00891414" w:rsidRPr="008D6212" w:rsidRDefault="00891414" w:rsidP="00891414">
            <w:pPr>
              <w:jc w:val="center"/>
              <w:rPr>
                <w:rFonts w:cs="Arial"/>
                <w:b/>
                <w:sz w:val="22"/>
                <w:szCs w:val="22"/>
              </w:rPr>
            </w:pPr>
          </w:p>
        </w:tc>
        <w:tc>
          <w:tcPr>
            <w:tcW w:w="1422" w:type="dxa"/>
          </w:tcPr>
          <w:p w:rsidR="00891414" w:rsidRPr="008D6212" w:rsidRDefault="00891414" w:rsidP="00891414">
            <w:pPr>
              <w:jc w:val="center"/>
              <w:rPr>
                <w:rFonts w:cs="Arial"/>
                <w:b/>
                <w:sz w:val="22"/>
                <w:szCs w:val="22"/>
              </w:rPr>
            </w:pPr>
          </w:p>
        </w:tc>
        <w:tc>
          <w:tcPr>
            <w:tcW w:w="1027" w:type="dxa"/>
          </w:tcPr>
          <w:p w:rsidR="00891414" w:rsidRPr="008D6212" w:rsidRDefault="00891414" w:rsidP="00891414">
            <w:pPr>
              <w:ind w:right="69"/>
              <w:jc w:val="right"/>
              <w:rPr>
                <w:rFonts w:cs="Arial"/>
                <w:b/>
                <w:sz w:val="22"/>
                <w:szCs w:val="22"/>
              </w:rPr>
            </w:pPr>
            <w:r w:rsidRPr="008D6212">
              <w:rPr>
                <w:rFonts w:cs="Arial"/>
                <w:b/>
                <w:sz w:val="22"/>
                <w:szCs w:val="22"/>
              </w:rPr>
              <w:t>3.907</w:t>
            </w:r>
          </w:p>
        </w:tc>
        <w:tc>
          <w:tcPr>
            <w:tcW w:w="934" w:type="dxa"/>
          </w:tcPr>
          <w:p w:rsidR="00891414" w:rsidRPr="008D6212" w:rsidRDefault="00891414" w:rsidP="00891414">
            <w:pPr>
              <w:jc w:val="center"/>
              <w:rPr>
                <w:rFonts w:cs="Arial"/>
                <w:b/>
                <w:sz w:val="22"/>
                <w:szCs w:val="22"/>
              </w:rPr>
            </w:pPr>
            <w:r w:rsidRPr="008D6212">
              <w:rPr>
                <w:rFonts w:cs="Arial"/>
                <w:b/>
                <w:sz w:val="22"/>
                <w:szCs w:val="22"/>
              </w:rPr>
              <w:t>5.675</w:t>
            </w:r>
          </w:p>
        </w:tc>
        <w:tc>
          <w:tcPr>
            <w:tcW w:w="1123" w:type="dxa"/>
          </w:tcPr>
          <w:p w:rsidR="00891414" w:rsidRPr="008D6212" w:rsidRDefault="00891414" w:rsidP="00891414">
            <w:pPr>
              <w:jc w:val="center"/>
              <w:rPr>
                <w:rFonts w:cs="Arial"/>
                <w:b/>
                <w:sz w:val="22"/>
                <w:szCs w:val="22"/>
              </w:rPr>
            </w:pPr>
            <w:r w:rsidRPr="008D6212">
              <w:rPr>
                <w:rFonts w:cs="Arial"/>
                <w:b/>
                <w:sz w:val="22"/>
                <w:szCs w:val="22"/>
              </w:rPr>
              <w:t>7.443</w:t>
            </w:r>
          </w:p>
        </w:tc>
      </w:tr>
    </w:tbl>
    <w:p w:rsidR="00891414" w:rsidRPr="00891414" w:rsidRDefault="00891414" w:rsidP="00891414">
      <w:pPr>
        <w:autoSpaceDE w:val="0"/>
        <w:autoSpaceDN w:val="0"/>
        <w:adjustRightInd w:val="0"/>
        <w:jc w:val="both"/>
        <w:rPr>
          <w:rFonts w:cs="Times New Roman"/>
          <w:color w:val="000000"/>
          <w:lang w:val="es-ES"/>
        </w:rPr>
      </w:pPr>
    </w:p>
    <w:p w:rsidR="001C231B" w:rsidRDefault="001C231B" w:rsidP="00891414">
      <w:pPr>
        <w:autoSpaceDE w:val="0"/>
        <w:autoSpaceDN w:val="0"/>
        <w:adjustRightInd w:val="0"/>
        <w:jc w:val="both"/>
        <w:rPr>
          <w:rFonts w:cs="Times New Roman"/>
          <w:color w:val="000000"/>
          <w:lang w:val="es-ES"/>
        </w:rPr>
      </w:pPr>
      <w:r>
        <w:rPr>
          <w:rFonts w:cs="Times New Roman"/>
          <w:color w:val="000000"/>
          <w:lang w:val="es-ES"/>
        </w:rPr>
        <w:t xml:space="preserve">Los resultados podrían ser empleados para estimar </w:t>
      </w:r>
      <w:r w:rsidRPr="00891414">
        <w:rPr>
          <w:rFonts w:cs="Times New Roman"/>
          <w:color w:val="000000"/>
          <w:lang w:val="es-ES"/>
        </w:rPr>
        <w:t>los costos en la salud de la contaminación por plomo en niños y los de la pérdida de CI específicamente</w:t>
      </w:r>
      <w:r>
        <w:rPr>
          <w:rFonts w:cs="Times New Roman"/>
          <w:color w:val="000000"/>
          <w:lang w:val="es-ES"/>
        </w:rPr>
        <w:t xml:space="preserve">, para lo cual existen diversas metodologías que toman en consideración </w:t>
      </w:r>
      <w:r w:rsidRPr="00891414">
        <w:rPr>
          <w:rFonts w:cs="Times New Roman"/>
          <w:color w:val="000000"/>
          <w:lang w:val="es-ES"/>
        </w:rPr>
        <w:t xml:space="preserve">el nivel de daño a la salud para la población afectada y las pérdidas económicas </w:t>
      </w:r>
      <w:r w:rsidR="003E3C7E">
        <w:rPr>
          <w:rFonts w:cs="Times New Roman"/>
          <w:color w:val="000000"/>
          <w:lang w:val="es-ES"/>
        </w:rPr>
        <w:t>derivadas de tal</w:t>
      </w:r>
      <w:r w:rsidRPr="00891414">
        <w:rPr>
          <w:rFonts w:cs="Times New Roman"/>
          <w:color w:val="000000"/>
          <w:lang w:val="es-ES"/>
        </w:rPr>
        <w:t xml:space="preserve"> nivel de daño para </w:t>
      </w:r>
      <w:r w:rsidR="003E3C7E">
        <w:rPr>
          <w:rFonts w:cs="Times New Roman"/>
          <w:color w:val="000000"/>
          <w:lang w:val="es-ES"/>
        </w:rPr>
        <w:t xml:space="preserve">tomar en cuenta </w:t>
      </w:r>
      <w:r w:rsidRPr="00891414">
        <w:rPr>
          <w:rFonts w:cs="Times New Roman"/>
          <w:color w:val="000000"/>
          <w:lang w:val="es-ES"/>
        </w:rPr>
        <w:t>pérdidas en el nivel de bienestar de la población afectada</w:t>
      </w:r>
      <w:r w:rsidR="00CE25DB">
        <w:rPr>
          <w:rFonts w:cs="Times New Roman"/>
          <w:color w:val="000000"/>
          <w:lang w:val="es-ES"/>
        </w:rPr>
        <w:t xml:space="preserve"> de forma directa o indirecta, entre</w:t>
      </w:r>
      <w:r w:rsidRPr="00891414">
        <w:rPr>
          <w:rFonts w:cs="Times New Roman"/>
          <w:color w:val="000000"/>
          <w:lang w:val="es-ES"/>
        </w:rPr>
        <w:t xml:space="preserve"> otros</w:t>
      </w:r>
      <w:r w:rsidR="008B766D" w:rsidRPr="008B766D">
        <w:rPr>
          <w:rFonts w:cs="Times New Roman"/>
          <w:color w:val="000000"/>
          <w:lang w:val="es-ES"/>
        </w:rPr>
        <w:t xml:space="preserve"> </w:t>
      </w:r>
      <w:r w:rsidR="008B766D">
        <w:rPr>
          <w:rFonts w:cs="Times New Roman"/>
          <w:color w:val="000000"/>
          <w:lang w:val="es-ES"/>
        </w:rPr>
        <w:t>(</w:t>
      </w:r>
      <w:r w:rsidR="008B766D" w:rsidRPr="00891414">
        <w:rPr>
          <w:rFonts w:cs="Times New Roman"/>
          <w:color w:val="000000"/>
          <w:lang w:val="es-ES"/>
        </w:rPr>
        <w:t>Loyola y Soncco 2007: 23)</w:t>
      </w:r>
      <w:r w:rsidRPr="00891414">
        <w:rPr>
          <w:rFonts w:cs="Times New Roman"/>
          <w:color w:val="000000"/>
          <w:lang w:val="es-ES"/>
        </w:rPr>
        <w:t>.</w:t>
      </w:r>
      <w:r w:rsidR="008B766D">
        <w:rPr>
          <w:rFonts w:cs="Times New Roman"/>
          <w:color w:val="000000"/>
          <w:lang w:val="es-ES"/>
        </w:rPr>
        <w:t xml:space="preserve"> </w:t>
      </w:r>
      <w:r w:rsidR="00047C53">
        <w:rPr>
          <w:rFonts w:cs="Times New Roman"/>
          <w:color w:val="000000"/>
          <w:lang w:val="es-ES"/>
        </w:rPr>
        <w:t xml:space="preserve">La ventaja de esta aproximación es que puede contribuir a internalizar el coste acumulado de la carga por metales pesados en el ambiente y la salud. </w:t>
      </w:r>
    </w:p>
    <w:p w:rsidR="001C231B" w:rsidRDefault="001C231B" w:rsidP="00891414">
      <w:pPr>
        <w:autoSpaceDE w:val="0"/>
        <w:autoSpaceDN w:val="0"/>
        <w:adjustRightInd w:val="0"/>
        <w:jc w:val="both"/>
        <w:rPr>
          <w:rFonts w:cs="Times New Roman"/>
          <w:color w:val="000000"/>
          <w:lang w:val="es-ES"/>
        </w:rPr>
      </w:pPr>
    </w:p>
    <w:p w:rsidR="00CF4FE5" w:rsidRDefault="00047C53" w:rsidP="00891414">
      <w:pPr>
        <w:autoSpaceDE w:val="0"/>
        <w:autoSpaceDN w:val="0"/>
        <w:adjustRightInd w:val="0"/>
        <w:jc w:val="both"/>
        <w:rPr>
          <w:rFonts w:cs="Times New Roman"/>
          <w:color w:val="000000"/>
          <w:lang w:val="es-ES"/>
        </w:rPr>
      </w:pPr>
      <w:r>
        <w:rPr>
          <w:rFonts w:cs="Times New Roman"/>
          <w:color w:val="000000"/>
          <w:lang w:val="es-ES"/>
        </w:rPr>
        <w:t>Sin embargo, e</w:t>
      </w:r>
      <w:r w:rsidR="00891414" w:rsidRPr="00891414">
        <w:rPr>
          <w:rFonts w:cs="Times New Roman"/>
          <w:color w:val="000000"/>
          <w:lang w:val="es-ES"/>
        </w:rPr>
        <w:t xml:space="preserve">ste tipo de análisis tiene sus limitaciones </w:t>
      </w:r>
      <w:r w:rsidR="00891414" w:rsidRPr="00CE25DB">
        <w:rPr>
          <w:rFonts w:cs="Times New Roman"/>
          <w:b/>
          <w:color w:val="000000"/>
          <w:lang w:val="es-ES"/>
        </w:rPr>
        <w:t>desde u</w:t>
      </w:r>
      <w:r w:rsidR="00CF4FE5" w:rsidRPr="00CE25DB">
        <w:rPr>
          <w:rFonts w:cs="Times New Roman"/>
          <w:b/>
          <w:color w:val="000000"/>
          <w:lang w:val="es-ES"/>
        </w:rPr>
        <w:t>na aproximación a los derechos</w:t>
      </w:r>
      <w:r w:rsidR="00CF4FE5">
        <w:rPr>
          <w:rFonts w:cs="Times New Roman"/>
          <w:color w:val="000000"/>
          <w:lang w:val="es-ES"/>
        </w:rPr>
        <w:t xml:space="preserve"> entre los que mencionamos los siguientes: 1. Las</w:t>
      </w:r>
      <w:r w:rsidR="00891414" w:rsidRPr="00891414">
        <w:rPr>
          <w:rFonts w:cs="Times New Roman"/>
          <w:color w:val="000000"/>
          <w:lang w:val="es-ES"/>
        </w:rPr>
        <w:t xml:space="preserve"> metodologías de cálculo no incorporan las pérdidas de bienestar resultantes del deterioro ambiental para una población que es altamente dependiente del aprovechamiento de los recursos naturales. </w:t>
      </w:r>
      <w:r w:rsidR="00CF4FE5">
        <w:rPr>
          <w:rFonts w:cs="Times New Roman"/>
          <w:color w:val="000000"/>
          <w:lang w:val="es-ES"/>
        </w:rPr>
        <w:t>2.</w:t>
      </w:r>
      <w:r w:rsidR="00891414" w:rsidRPr="00891414">
        <w:rPr>
          <w:rFonts w:cs="Times New Roman"/>
          <w:color w:val="000000"/>
          <w:lang w:val="es-ES"/>
        </w:rPr>
        <w:t xml:space="preserve"> los cálculos parten de datos de niños con niveles de plomo que exceden los estándares</w:t>
      </w:r>
      <w:r w:rsidR="005550DF">
        <w:rPr>
          <w:rFonts w:cs="Times New Roman"/>
          <w:color w:val="000000"/>
          <w:lang w:val="es-ES"/>
        </w:rPr>
        <w:t>,</w:t>
      </w:r>
      <w:r w:rsidR="00891414" w:rsidRPr="00891414">
        <w:rPr>
          <w:rFonts w:cs="Times New Roman"/>
          <w:color w:val="000000"/>
          <w:lang w:val="es-ES"/>
        </w:rPr>
        <w:t xml:space="preserve"> pero no toman en consideración a los niños con pérdida de puntos de CI que hayan podido morir y cuyos costos no son computados. En el caso del Corrientes existen diversos reportes de muertes de niños cuyas causas de fallecimiento no han sido determinadas.</w:t>
      </w:r>
      <w:r w:rsidR="00CF4FE5">
        <w:rPr>
          <w:rFonts w:cs="Times New Roman"/>
          <w:color w:val="000000"/>
          <w:lang w:val="es-ES"/>
        </w:rPr>
        <w:t xml:space="preserve"> 3. Para el caso peruano, una</w:t>
      </w:r>
      <w:r w:rsidR="00CF4FE5" w:rsidRPr="00891414">
        <w:rPr>
          <w:rFonts w:cs="Times New Roman"/>
          <w:color w:val="000000"/>
          <w:lang w:val="es-ES"/>
        </w:rPr>
        <w:t xml:space="preserve"> norma (R.M. 217-2014-MIDIS) declara automáticamente a los miembros de comunidades nativas como pobres extremos, </w:t>
      </w:r>
      <w:r w:rsidR="00CF4FE5">
        <w:rPr>
          <w:rFonts w:cs="Times New Roman"/>
          <w:color w:val="000000"/>
          <w:lang w:val="es-ES"/>
        </w:rPr>
        <w:t xml:space="preserve">por lo que </w:t>
      </w:r>
      <w:r w:rsidR="00CF4FE5" w:rsidRPr="00891414">
        <w:rPr>
          <w:rFonts w:cs="Times New Roman"/>
          <w:color w:val="000000"/>
          <w:lang w:val="es-ES"/>
        </w:rPr>
        <w:t>la pérdida imputada por ingresos no percibidos y pérdida de bienestar resultaría irrisoria.</w:t>
      </w:r>
    </w:p>
    <w:p w:rsidR="00047C53" w:rsidRDefault="00047C53"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La mayor importancia de los puntos de cociente intelectual perdidos radica en aquellos niños cuyo CI sería normal de no existir un riesgo de contaminación por plomo y una afectación por niveles de concentración en sangre.</w:t>
      </w:r>
    </w:p>
    <w:p w:rsidR="00891414" w:rsidRPr="00891414" w:rsidRDefault="00891414"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 xml:space="preserve">Los niveles de contaminación por plomo en los menores de 18 años hallados en las comunidades </w:t>
      </w:r>
      <w:r w:rsidR="00CE25DB">
        <w:rPr>
          <w:rFonts w:cs="Times New Roman"/>
          <w:color w:val="000000"/>
          <w:lang w:val="es-ES"/>
        </w:rPr>
        <w:t xml:space="preserve">Achuar </w:t>
      </w:r>
      <w:r w:rsidRPr="00891414">
        <w:rPr>
          <w:rFonts w:cs="Times New Roman"/>
          <w:color w:val="000000"/>
          <w:lang w:val="es-ES"/>
        </w:rPr>
        <w:t xml:space="preserve">del río Corrientes son considerables, como lo es la pérdida estimada de puntos de CI. </w:t>
      </w:r>
      <w:r w:rsidR="00CF4FE5">
        <w:rPr>
          <w:rFonts w:cs="Times New Roman"/>
          <w:color w:val="000000"/>
          <w:lang w:val="es-ES"/>
        </w:rPr>
        <w:t>Si bien no se reporta casos de retardo mental asociados a la presencia de plomo</w:t>
      </w:r>
      <w:r w:rsidRPr="00891414">
        <w:rPr>
          <w:rFonts w:cs="Times New Roman"/>
          <w:color w:val="000000"/>
          <w:lang w:val="es-ES"/>
        </w:rPr>
        <w:t xml:space="preserve">, puede esperarse que los niños con niveles de plomo en sangre por encima de 5,0 µg/dL experimenten en la escuela algún déficit de atención y menor rendimiento escolar. Este solo hecho es una fuente importante de desigualdad. La afectación al desarrollo intelectual de los niños condiciona de forma muy determinante su futuro. </w:t>
      </w:r>
    </w:p>
    <w:p w:rsidR="00891414" w:rsidRPr="00891414" w:rsidRDefault="00891414"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 xml:space="preserve">A ello se añade la incidencia de anemia por presencia de plomo y los síntomas gastrointestinales esperables, que se suman a las otras consecuencias derivadas del deterioro de la calidad del agua y los alimentos que incrementan la vulnerabilidad de esta población infanto-juvenil. </w:t>
      </w:r>
    </w:p>
    <w:p w:rsidR="00891414" w:rsidRPr="00891414" w:rsidRDefault="00891414"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 xml:space="preserve">Cuando se considera que el grupo de menores de 18 años están comprendidas también mujeres en edad fértil, los peligros de afectación a la salud se multiplican por el riesgo de traslado de la contaminación </w:t>
      </w:r>
      <w:r w:rsidR="00CE25DB">
        <w:rPr>
          <w:rFonts w:cs="Times New Roman"/>
          <w:color w:val="000000"/>
          <w:lang w:val="es-ES"/>
        </w:rPr>
        <w:t xml:space="preserve">al feto </w:t>
      </w:r>
      <w:r w:rsidRPr="00891414">
        <w:rPr>
          <w:rFonts w:cs="Times New Roman"/>
          <w:color w:val="000000"/>
          <w:lang w:val="es-ES"/>
        </w:rPr>
        <w:t xml:space="preserve">a través de la membrana placentaria. </w:t>
      </w:r>
    </w:p>
    <w:p w:rsidR="00891414" w:rsidRPr="00891414" w:rsidRDefault="00891414"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Si como se estima, es altamente probable que los niveles hallados en la muestra estudiada en el 2005 fueran extensivos a una alta proporción de los menores de 18 años en esas comunidades, se entiende que no se trata solo de una fuente de desigualdad que afecta a algunos niños</w:t>
      </w:r>
      <w:r w:rsidR="00CF4FE5">
        <w:rPr>
          <w:rFonts w:cs="Times New Roman"/>
          <w:color w:val="000000"/>
          <w:lang w:val="es-ES"/>
        </w:rPr>
        <w:t xml:space="preserve">. Antes bien </w:t>
      </w:r>
      <w:r w:rsidRPr="00891414">
        <w:rPr>
          <w:rFonts w:cs="Times New Roman"/>
          <w:color w:val="000000"/>
          <w:lang w:val="es-ES"/>
        </w:rPr>
        <w:t>la situación deviene en una afectación a las familias de esos niños –que experimentan sufrimiento- y adicionalmente en una afectación colectiva, en este caso al pueblo Achuar del Corrientes. Tratándose de una situación de exposición crónica a plomo la afectación compromete el futuro del pueblo Achuar.</w:t>
      </w:r>
    </w:p>
    <w:p w:rsidR="00891414" w:rsidRPr="00891414" w:rsidRDefault="00891414" w:rsidP="00891414">
      <w:pPr>
        <w:autoSpaceDE w:val="0"/>
        <w:autoSpaceDN w:val="0"/>
        <w:adjustRightInd w:val="0"/>
        <w:jc w:val="both"/>
        <w:rPr>
          <w:rFonts w:cs="Times New Roman"/>
          <w:color w:val="000000"/>
          <w:lang w:val="es-ES"/>
        </w:rPr>
      </w:pPr>
    </w:p>
    <w:p w:rsidR="00891414" w:rsidRDefault="00891414" w:rsidP="00891414">
      <w:pPr>
        <w:autoSpaceDE w:val="0"/>
        <w:autoSpaceDN w:val="0"/>
        <w:adjustRightInd w:val="0"/>
        <w:jc w:val="both"/>
        <w:rPr>
          <w:rFonts w:cs="Times New Roman"/>
          <w:color w:val="000000"/>
          <w:lang w:val="es-ES"/>
        </w:rPr>
      </w:pPr>
      <w:r w:rsidRPr="00891414">
        <w:rPr>
          <w:rFonts w:cs="Times New Roman"/>
          <w:color w:val="000000"/>
          <w:lang w:val="es-ES"/>
        </w:rPr>
        <w:t xml:space="preserve">Las familias de estas siete comunidades y otras viven con la incertidumbre de su situación de salud actual y futura. </w:t>
      </w:r>
      <w:r w:rsidR="00047C53">
        <w:rPr>
          <w:rFonts w:cs="Times New Roman"/>
          <w:color w:val="000000"/>
          <w:lang w:val="es-ES"/>
        </w:rPr>
        <w:t>Esta incertidumbre que genera sufrimiento redunda en el estado de salud de los miembros de las familias Achuar</w:t>
      </w:r>
      <w:r w:rsidR="00CE25DB">
        <w:rPr>
          <w:rFonts w:cs="Times New Roman"/>
          <w:color w:val="000000"/>
          <w:lang w:val="es-ES"/>
        </w:rPr>
        <w:t>, incluidos los niños</w:t>
      </w:r>
      <w:r w:rsidR="00047C53">
        <w:rPr>
          <w:rFonts w:cs="Times New Roman"/>
          <w:color w:val="000000"/>
          <w:lang w:val="es-ES"/>
        </w:rPr>
        <w:t xml:space="preserve">. </w:t>
      </w:r>
      <w:r w:rsidRPr="00891414">
        <w:rPr>
          <w:rFonts w:cs="Times New Roman"/>
          <w:color w:val="000000"/>
          <w:lang w:val="es-ES"/>
        </w:rPr>
        <w:t>Otro tanto ocurre en las otras cuencas donde se ha reportado niveles de plomo en suelos agrícolas, agua, sedimentos y/o animales</w:t>
      </w:r>
      <w:r w:rsidR="00E57372">
        <w:rPr>
          <w:rFonts w:cs="Times New Roman"/>
          <w:color w:val="000000"/>
          <w:lang w:val="es-ES"/>
        </w:rPr>
        <w:t xml:space="preserve"> en territorios indígenas</w:t>
      </w:r>
      <w:r w:rsidRPr="00891414">
        <w:rPr>
          <w:rFonts w:cs="Times New Roman"/>
          <w:color w:val="000000"/>
          <w:lang w:val="es-ES"/>
        </w:rPr>
        <w:t>.</w:t>
      </w:r>
      <w:r w:rsidR="00047C53">
        <w:rPr>
          <w:rFonts w:cs="Times New Roman"/>
          <w:color w:val="000000"/>
          <w:lang w:val="es-ES"/>
        </w:rPr>
        <w:t xml:space="preserve"> </w:t>
      </w:r>
    </w:p>
    <w:p w:rsidR="005550DF" w:rsidRPr="00891414" w:rsidRDefault="005550DF" w:rsidP="00891414">
      <w:pPr>
        <w:autoSpaceDE w:val="0"/>
        <w:autoSpaceDN w:val="0"/>
        <w:adjustRightInd w:val="0"/>
        <w:jc w:val="both"/>
        <w:rPr>
          <w:rFonts w:cs="Times New Roman"/>
          <w:color w:val="000000"/>
          <w:lang w:val="es-ES"/>
        </w:rPr>
      </w:pPr>
    </w:p>
    <w:p w:rsidR="00692601" w:rsidRPr="00702DF9" w:rsidRDefault="00692601" w:rsidP="00692601">
      <w:pPr>
        <w:autoSpaceDE w:val="0"/>
        <w:autoSpaceDN w:val="0"/>
        <w:adjustRightInd w:val="0"/>
        <w:jc w:val="both"/>
        <w:rPr>
          <w:rFonts w:cs="Times New Roman"/>
          <w:color w:val="000000"/>
          <w:lang w:val="es-ES"/>
        </w:rPr>
      </w:pPr>
    </w:p>
    <w:p w:rsidR="00702DF9" w:rsidRPr="00702DF9" w:rsidRDefault="00702DF9" w:rsidP="00891414">
      <w:pPr>
        <w:autoSpaceDE w:val="0"/>
        <w:autoSpaceDN w:val="0"/>
        <w:adjustRightInd w:val="0"/>
        <w:jc w:val="both"/>
        <w:rPr>
          <w:rFonts w:cs="Times New Roman"/>
          <w:color w:val="000000"/>
          <w:lang w:val="es-ES"/>
        </w:rPr>
      </w:pPr>
      <w:r w:rsidRPr="00702DF9">
        <w:rPr>
          <w:rFonts w:cs="Times New Roman"/>
          <w:color w:val="000000"/>
          <w:lang w:val="es-PE"/>
        </w:rPr>
        <w:t xml:space="preserve">Uno de los resultados más </w:t>
      </w:r>
      <w:r w:rsidR="00266B1E">
        <w:rPr>
          <w:rFonts w:cs="Times New Roman"/>
          <w:color w:val="000000"/>
          <w:lang w:val="es-PE"/>
        </w:rPr>
        <w:t>asombrosos</w:t>
      </w:r>
      <w:r w:rsidRPr="00702DF9">
        <w:rPr>
          <w:rFonts w:cs="Times New Roman"/>
          <w:color w:val="000000"/>
          <w:lang w:val="es-PE"/>
        </w:rPr>
        <w:t xml:space="preserve"> del estudio del 2005 en las </w:t>
      </w:r>
      <w:r w:rsidR="00266B1E">
        <w:rPr>
          <w:rFonts w:cs="Times New Roman"/>
          <w:color w:val="000000"/>
          <w:lang w:val="es-PE"/>
        </w:rPr>
        <w:t>siete</w:t>
      </w:r>
      <w:r w:rsidRPr="00702DF9">
        <w:rPr>
          <w:rFonts w:cs="Times New Roman"/>
          <w:color w:val="000000"/>
          <w:lang w:val="es-PE"/>
        </w:rPr>
        <w:t xml:space="preserve"> comunidades fue que </w:t>
      </w:r>
      <w:r w:rsidRPr="00702DF9">
        <w:rPr>
          <w:rFonts w:cs="Times New Roman"/>
          <w:b/>
          <w:bCs/>
          <w:color w:val="000000"/>
          <w:lang w:val="es-PE"/>
        </w:rPr>
        <w:t xml:space="preserve">no dio lugar a intervenciones </w:t>
      </w:r>
      <w:r w:rsidRPr="00702DF9">
        <w:rPr>
          <w:rFonts w:cs="Times New Roman"/>
          <w:color w:val="000000"/>
          <w:lang w:val="es-PE"/>
        </w:rPr>
        <w:t xml:space="preserve">desde el sector salud para implementar un sistema de vigilancia de los casos detectados. Los resultados de este estudio oficial </w:t>
      </w:r>
      <w:r w:rsidRPr="00702DF9">
        <w:rPr>
          <w:rFonts w:cs="Times New Roman"/>
          <w:b/>
          <w:bCs/>
          <w:color w:val="000000"/>
          <w:lang w:val="es-PE"/>
        </w:rPr>
        <w:t xml:space="preserve">no produjeron ninguna acción de respuesta </w:t>
      </w:r>
      <w:r w:rsidRPr="00702DF9">
        <w:rPr>
          <w:rFonts w:cs="Times New Roman"/>
          <w:color w:val="000000"/>
          <w:lang w:val="es-PE"/>
        </w:rPr>
        <w:t>del sector sobre la situación de salud específica en niños y en adultos relacionada con niveles de contaminación por plomo o cadmio, incluyendo estudios que pudieran ayudar a precisar las rutas de contaminación</w:t>
      </w:r>
      <w:r w:rsidR="00266B1E">
        <w:rPr>
          <w:rFonts w:cs="Times New Roman"/>
          <w:color w:val="000000"/>
          <w:lang w:val="es-PE"/>
        </w:rPr>
        <w:t>.</w:t>
      </w:r>
    </w:p>
    <w:p w:rsidR="00891414" w:rsidRDefault="00891414" w:rsidP="00891414">
      <w:pPr>
        <w:autoSpaceDE w:val="0"/>
        <w:autoSpaceDN w:val="0"/>
        <w:adjustRightInd w:val="0"/>
        <w:jc w:val="both"/>
        <w:rPr>
          <w:rFonts w:cs="Times New Roman"/>
          <w:b/>
          <w:bCs/>
          <w:color w:val="000000"/>
          <w:lang w:val="es-PE"/>
        </w:rPr>
      </w:pPr>
    </w:p>
    <w:p w:rsidR="00702DF9" w:rsidRPr="00702DF9" w:rsidRDefault="005550DF" w:rsidP="00891414">
      <w:pPr>
        <w:autoSpaceDE w:val="0"/>
        <w:autoSpaceDN w:val="0"/>
        <w:adjustRightInd w:val="0"/>
        <w:jc w:val="both"/>
        <w:rPr>
          <w:rFonts w:cs="Times New Roman"/>
          <w:color w:val="000000"/>
          <w:lang w:val="es-ES"/>
        </w:rPr>
      </w:pPr>
      <w:r>
        <w:rPr>
          <w:rFonts w:cs="Times New Roman"/>
          <w:b/>
          <w:bCs/>
          <w:color w:val="000000"/>
          <w:lang w:val="es-PE"/>
        </w:rPr>
        <w:t>No</w:t>
      </w:r>
      <w:r w:rsidR="00702DF9" w:rsidRPr="00702DF9">
        <w:rPr>
          <w:rFonts w:cs="Times New Roman"/>
          <w:b/>
          <w:bCs/>
          <w:color w:val="000000"/>
          <w:lang w:val="es-PE"/>
        </w:rPr>
        <w:t xml:space="preserve"> se tomó </w:t>
      </w:r>
      <w:r>
        <w:rPr>
          <w:rFonts w:cs="Times New Roman"/>
          <w:b/>
          <w:bCs/>
          <w:color w:val="000000"/>
          <w:lang w:val="es-PE"/>
        </w:rPr>
        <w:t xml:space="preserve">tampoco </w:t>
      </w:r>
      <w:r w:rsidR="00702DF9" w:rsidRPr="00702DF9">
        <w:rPr>
          <w:rFonts w:cs="Times New Roman"/>
          <w:b/>
          <w:bCs/>
          <w:color w:val="000000"/>
          <w:lang w:val="es-PE"/>
        </w:rPr>
        <w:t>medidas inmediatas para reducir el riesgo de contaminación</w:t>
      </w:r>
      <w:r w:rsidR="00E57372">
        <w:rPr>
          <w:rFonts w:cs="Times New Roman"/>
          <w:b/>
          <w:bCs/>
          <w:color w:val="000000"/>
          <w:lang w:val="es-PE"/>
        </w:rPr>
        <w:t xml:space="preserve">. </w:t>
      </w:r>
      <w:r w:rsidR="00E57372" w:rsidRPr="00E57372">
        <w:rPr>
          <w:rFonts w:cs="Times New Roman"/>
          <w:bCs/>
          <w:color w:val="000000"/>
          <w:lang w:val="es-PE"/>
        </w:rPr>
        <w:t xml:space="preserve">Solo </w:t>
      </w:r>
      <w:r w:rsidR="00702DF9" w:rsidRPr="00702DF9">
        <w:rPr>
          <w:rFonts w:cs="Times New Roman"/>
          <w:color w:val="000000"/>
          <w:lang w:val="es-PE"/>
        </w:rPr>
        <w:t xml:space="preserve">a partir de la </w:t>
      </w:r>
      <w:r>
        <w:rPr>
          <w:rFonts w:cs="Times New Roman"/>
          <w:color w:val="000000"/>
          <w:lang w:val="es-PE"/>
        </w:rPr>
        <w:t xml:space="preserve">activa </w:t>
      </w:r>
      <w:r w:rsidR="00702DF9" w:rsidRPr="00702DF9">
        <w:rPr>
          <w:rFonts w:cs="Times New Roman"/>
          <w:color w:val="000000"/>
          <w:lang w:val="es-PE"/>
        </w:rPr>
        <w:t xml:space="preserve">protesta de la población </w:t>
      </w:r>
      <w:r w:rsidR="00E57372">
        <w:rPr>
          <w:rFonts w:cs="Times New Roman"/>
          <w:color w:val="000000"/>
          <w:lang w:val="es-PE"/>
        </w:rPr>
        <w:t>-</w:t>
      </w:r>
      <w:r w:rsidR="00702DF9" w:rsidRPr="00702DF9">
        <w:rPr>
          <w:rFonts w:cs="Times New Roman"/>
          <w:color w:val="000000"/>
          <w:lang w:val="es-PE"/>
        </w:rPr>
        <w:t xml:space="preserve">que </w:t>
      </w:r>
      <w:r w:rsidR="00047C53">
        <w:rPr>
          <w:rFonts w:cs="Times New Roman"/>
          <w:color w:val="000000"/>
          <w:lang w:val="es-PE"/>
        </w:rPr>
        <w:t>result</w:t>
      </w:r>
      <w:r>
        <w:rPr>
          <w:rFonts w:cs="Times New Roman"/>
          <w:color w:val="000000"/>
          <w:lang w:val="es-PE"/>
        </w:rPr>
        <w:t>ó</w:t>
      </w:r>
      <w:r w:rsidR="00047C53">
        <w:rPr>
          <w:rFonts w:cs="Times New Roman"/>
          <w:color w:val="000000"/>
          <w:lang w:val="es-PE"/>
        </w:rPr>
        <w:t xml:space="preserve"> en la </w:t>
      </w:r>
      <w:r w:rsidR="00702DF9" w:rsidRPr="00702DF9">
        <w:rPr>
          <w:rFonts w:cs="Times New Roman"/>
          <w:color w:val="000000"/>
          <w:lang w:val="es-PE"/>
        </w:rPr>
        <w:t>firma del Acta de Dorissa</w:t>
      </w:r>
      <w:r w:rsidR="00047C53">
        <w:rPr>
          <w:rFonts w:cs="Times New Roman"/>
          <w:color w:val="000000"/>
          <w:lang w:val="es-PE"/>
        </w:rPr>
        <w:t xml:space="preserve"> (Oct. 2006)</w:t>
      </w:r>
      <w:r w:rsidR="00E57372">
        <w:rPr>
          <w:rFonts w:cs="Times New Roman"/>
          <w:color w:val="000000"/>
          <w:lang w:val="es-PE"/>
        </w:rPr>
        <w:t>-</w:t>
      </w:r>
      <w:r w:rsidR="00702DF9" w:rsidRPr="00702DF9">
        <w:rPr>
          <w:rFonts w:cs="Times New Roman"/>
          <w:color w:val="000000"/>
          <w:lang w:val="es-PE"/>
        </w:rPr>
        <w:t xml:space="preserve">  </w:t>
      </w:r>
      <w:r w:rsidR="00E57372">
        <w:rPr>
          <w:rFonts w:cs="Times New Roman"/>
          <w:color w:val="000000"/>
          <w:lang w:val="es-PE"/>
        </w:rPr>
        <w:t xml:space="preserve">se forzó </w:t>
      </w:r>
      <w:r w:rsidR="00702DF9" w:rsidRPr="00702DF9">
        <w:rPr>
          <w:rFonts w:cs="Times New Roman"/>
          <w:color w:val="000000"/>
          <w:lang w:val="es-PE"/>
        </w:rPr>
        <w:t xml:space="preserve">a la empresa Pluspetrol </w:t>
      </w:r>
      <w:r>
        <w:rPr>
          <w:rFonts w:cs="Times New Roman"/>
          <w:color w:val="000000"/>
          <w:lang w:val="es-PE"/>
        </w:rPr>
        <w:t xml:space="preserve">Norte </w:t>
      </w:r>
      <w:r w:rsidR="00702DF9" w:rsidRPr="00702DF9">
        <w:rPr>
          <w:rFonts w:cs="Times New Roman"/>
          <w:color w:val="000000"/>
          <w:lang w:val="es-PE"/>
        </w:rPr>
        <w:t xml:space="preserve">a comprometer un plan de reinyección de las aguas de producción y al Estado </w:t>
      </w:r>
      <w:r w:rsidR="00047C53">
        <w:rPr>
          <w:rFonts w:cs="Times New Roman"/>
          <w:color w:val="000000"/>
          <w:lang w:val="es-PE"/>
        </w:rPr>
        <w:t xml:space="preserve">peruano </w:t>
      </w:r>
      <w:r w:rsidR="00702DF9" w:rsidRPr="00702DF9">
        <w:rPr>
          <w:rFonts w:cs="Times New Roman"/>
          <w:color w:val="000000"/>
          <w:lang w:val="es-PE"/>
        </w:rPr>
        <w:t>a supervisar su implementación.</w:t>
      </w:r>
    </w:p>
    <w:p w:rsidR="00702DF9" w:rsidRPr="00891414" w:rsidRDefault="00702DF9" w:rsidP="00702DF9">
      <w:pPr>
        <w:autoSpaceDE w:val="0"/>
        <w:autoSpaceDN w:val="0"/>
        <w:adjustRightInd w:val="0"/>
        <w:jc w:val="both"/>
        <w:rPr>
          <w:rFonts w:cs="Times New Roman"/>
          <w:color w:val="000000"/>
          <w:lang w:val="es-ES_tradnl"/>
        </w:rPr>
      </w:pPr>
    </w:p>
    <w:p w:rsidR="00891414" w:rsidRPr="00891414" w:rsidRDefault="00047C53" w:rsidP="00047C53">
      <w:pPr>
        <w:rPr>
          <w:lang w:val="es-ES_tradnl"/>
        </w:rPr>
      </w:pPr>
      <w:r w:rsidRPr="00BA2B76">
        <w:rPr>
          <w:b/>
          <w:lang w:val="es-ES_tradnl"/>
        </w:rPr>
        <w:t>Conclusiones hacia políticas públicas</w:t>
      </w:r>
      <w:r>
        <w:rPr>
          <w:lang w:val="es-ES_tradnl"/>
        </w:rPr>
        <w:t xml:space="preserve">. </w:t>
      </w:r>
      <w:r w:rsidR="00E57372">
        <w:rPr>
          <w:lang w:val="es-ES_tradnl"/>
        </w:rPr>
        <w:t xml:space="preserve">A partir de este estudio se encuentra indispensable: 1. que la autoridad sanitaria nacional actualice </w:t>
      </w:r>
      <w:r w:rsidR="00891414" w:rsidRPr="00891414">
        <w:rPr>
          <w:lang w:val="es-ES_tradnl"/>
        </w:rPr>
        <w:t xml:space="preserve">los </w:t>
      </w:r>
      <w:r w:rsidR="00891414" w:rsidRPr="00891414">
        <w:rPr>
          <w:b/>
          <w:bCs/>
          <w:lang w:val="es-ES_tradnl"/>
        </w:rPr>
        <w:t xml:space="preserve">protocolos y guías técnicas </w:t>
      </w:r>
      <w:r w:rsidR="00E57372">
        <w:rPr>
          <w:lang w:val="es-ES_tradnl"/>
        </w:rPr>
        <w:t xml:space="preserve">reduciendo </w:t>
      </w:r>
      <w:r w:rsidR="00891414" w:rsidRPr="00891414">
        <w:rPr>
          <w:lang w:val="es-ES_tradnl"/>
        </w:rPr>
        <w:t xml:space="preserve">el </w:t>
      </w:r>
      <w:r w:rsidR="00891414" w:rsidRPr="00891414">
        <w:rPr>
          <w:b/>
          <w:bCs/>
          <w:lang w:val="es-ES_tradnl"/>
        </w:rPr>
        <w:t>valor guía de riesgo</w:t>
      </w:r>
      <w:r w:rsidR="00891414" w:rsidRPr="00891414">
        <w:rPr>
          <w:lang w:val="es-ES_tradnl"/>
        </w:rPr>
        <w:t xml:space="preserve"> de 10 µg/dL de plomo para niños a 5 μg/dL, como ya hacen los CDC de Estados U</w:t>
      </w:r>
      <w:r w:rsidR="00E57372">
        <w:rPr>
          <w:lang w:val="es-ES_tradnl"/>
        </w:rPr>
        <w:t xml:space="preserve">nidos y como señala la propia OMS; 2. que se desarrolle </w:t>
      </w:r>
      <w:r w:rsidR="00891414" w:rsidRPr="00891414">
        <w:rPr>
          <w:lang w:val="es-ES_tradnl"/>
        </w:rPr>
        <w:t xml:space="preserve">un </w:t>
      </w:r>
      <w:r w:rsidR="00891414" w:rsidRPr="00891414">
        <w:rPr>
          <w:b/>
          <w:bCs/>
          <w:lang w:val="es-ES_tradnl"/>
        </w:rPr>
        <w:t>plan sostenido de vigilancia</w:t>
      </w:r>
      <w:r w:rsidR="00891414" w:rsidRPr="00891414">
        <w:rPr>
          <w:lang w:val="es-ES_tradnl"/>
        </w:rPr>
        <w:t xml:space="preserve">, </w:t>
      </w:r>
      <w:r w:rsidR="00E57372">
        <w:rPr>
          <w:lang w:val="es-ES_tradnl"/>
        </w:rPr>
        <w:t xml:space="preserve">con creación de </w:t>
      </w:r>
      <w:r w:rsidR="00891414" w:rsidRPr="00891414">
        <w:rPr>
          <w:b/>
          <w:bCs/>
          <w:lang w:val="es-ES_tradnl"/>
        </w:rPr>
        <w:t>capacidades</w:t>
      </w:r>
      <w:r w:rsidR="00891414" w:rsidRPr="00891414">
        <w:rPr>
          <w:lang w:val="es-ES_tradnl"/>
        </w:rPr>
        <w:t xml:space="preserve"> a nivel central y descentralizado para atender las consecuencias de estos daños en la salud</w:t>
      </w:r>
      <w:r w:rsidR="00266B1E">
        <w:rPr>
          <w:lang w:val="es-ES_tradnl"/>
        </w:rPr>
        <w:t xml:space="preserve"> en niños y adultos</w:t>
      </w:r>
      <w:r w:rsidR="00891414" w:rsidRPr="00891414">
        <w:rPr>
          <w:lang w:val="es-ES_tradnl"/>
        </w:rPr>
        <w:t>, y asegurar su financiamiento</w:t>
      </w:r>
      <w:r w:rsidR="00E57372">
        <w:rPr>
          <w:lang w:val="es-ES_tradnl"/>
        </w:rPr>
        <w:t xml:space="preserve">; </w:t>
      </w:r>
      <w:r w:rsidR="005550DF">
        <w:rPr>
          <w:lang w:val="es-ES_tradnl"/>
        </w:rPr>
        <w:t xml:space="preserve">3. </w:t>
      </w:r>
      <w:r w:rsidR="00E57372">
        <w:rPr>
          <w:lang w:val="es-ES_tradnl"/>
        </w:rPr>
        <w:t xml:space="preserve">incorporar de forma sistemática </w:t>
      </w:r>
      <w:r w:rsidR="00E57372" w:rsidRPr="00891414">
        <w:rPr>
          <w:lang w:val="es-ES_tradnl"/>
        </w:rPr>
        <w:t>la exigencia de análisis del impacto en la salud de l</w:t>
      </w:r>
      <w:r w:rsidR="00E57372">
        <w:rPr>
          <w:lang w:val="es-ES_tradnl"/>
        </w:rPr>
        <w:t>os estudios de impacto ambiental</w:t>
      </w:r>
      <w:r w:rsidR="00266B1E">
        <w:rPr>
          <w:lang w:val="es-ES_tradnl"/>
        </w:rPr>
        <w:t xml:space="preserve"> asegurar una seria valoración de los riesgos de exposición para los niños y niñas de los proyectos económicos</w:t>
      </w:r>
      <w:r w:rsidR="00E57372">
        <w:rPr>
          <w:lang w:val="es-ES_tradnl"/>
        </w:rPr>
        <w:t>.</w:t>
      </w:r>
    </w:p>
    <w:p w:rsidR="00891414" w:rsidRDefault="00891414">
      <w:pPr>
        <w:rPr>
          <w:lang w:val="es-ES_tradnl"/>
        </w:rPr>
      </w:pPr>
    </w:p>
    <w:p w:rsidR="003E3C7E" w:rsidRDefault="003E3C7E">
      <w:pPr>
        <w:rPr>
          <w:b/>
          <w:lang w:val="es-PE"/>
        </w:rPr>
      </w:pPr>
      <w:r>
        <w:rPr>
          <w:b/>
          <w:lang w:val="es-PE"/>
        </w:rPr>
        <w:br w:type="page"/>
      </w:r>
    </w:p>
    <w:p w:rsidR="00D03DEE" w:rsidRDefault="00D03DEE" w:rsidP="00047C53">
      <w:pPr>
        <w:rPr>
          <w:b/>
          <w:lang w:val="es-PE"/>
        </w:rPr>
      </w:pPr>
      <w:r>
        <w:rPr>
          <w:b/>
          <w:lang w:val="es-PE"/>
        </w:rPr>
        <w:t>Annex</w:t>
      </w:r>
    </w:p>
    <w:p w:rsidR="00D03DEE" w:rsidRDefault="00D03DEE" w:rsidP="00047C53">
      <w:pPr>
        <w:rPr>
          <w:b/>
          <w:lang w:val="es-PE"/>
        </w:rPr>
      </w:pPr>
    </w:p>
    <w:p w:rsidR="003E3C7E" w:rsidRPr="003E3C7E" w:rsidRDefault="00047C53" w:rsidP="00047C53">
      <w:pPr>
        <w:rPr>
          <w:b/>
          <w:lang w:val="es-PE"/>
        </w:rPr>
      </w:pPr>
      <w:r w:rsidRPr="003E3C7E">
        <w:rPr>
          <w:b/>
          <w:lang w:val="es-PE"/>
        </w:rPr>
        <w:t>Recomendaciones</w:t>
      </w:r>
      <w:r w:rsidR="003E3C7E" w:rsidRPr="003E3C7E">
        <w:rPr>
          <w:b/>
          <w:lang w:val="es-PE"/>
        </w:rPr>
        <w:t xml:space="preserve"> para </w:t>
      </w:r>
      <w:r w:rsidR="008535CD" w:rsidRPr="003E3C7E">
        <w:rPr>
          <w:b/>
          <w:lang w:val="es-PE"/>
        </w:rPr>
        <w:t xml:space="preserve">el Comité de NNUU sobre el Derecho de los Derechos de los Niños </w:t>
      </w:r>
    </w:p>
    <w:p w:rsidR="008535CD" w:rsidRPr="008535CD" w:rsidRDefault="003E3C7E" w:rsidP="00047C53">
      <w:pPr>
        <w:rPr>
          <w:lang w:val="es-PE"/>
        </w:rPr>
      </w:pPr>
      <w:r>
        <w:rPr>
          <w:lang w:val="es-PE"/>
        </w:rPr>
        <w:t>P</w:t>
      </w:r>
      <w:r w:rsidR="008535CD">
        <w:rPr>
          <w:lang w:val="es-PE"/>
        </w:rPr>
        <w:t>rom</w:t>
      </w:r>
      <w:r>
        <w:rPr>
          <w:lang w:val="es-PE"/>
        </w:rPr>
        <w:t>over</w:t>
      </w:r>
      <w:r w:rsidR="008535CD">
        <w:rPr>
          <w:lang w:val="es-PE"/>
        </w:rPr>
        <w:t xml:space="preserve"> </w:t>
      </w:r>
      <w:r>
        <w:rPr>
          <w:lang w:val="es-PE"/>
        </w:rPr>
        <w:t xml:space="preserve">atención prioritaria a niños expuestos a la presencia de metales pesados en el ambiente producto de actividades económicas (estudios, reglamentación, estándares); Impulsar el desarrollo de medidas de atención y protocolos frente a situaciones de exposición crónica de niños.   </w:t>
      </w:r>
      <w:r w:rsidR="008535CD">
        <w:rPr>
          <w:lang w:val="es-PE"/>
        </w:rPr>
        <w:t xml:space="preserve"> </w:t>
      </w:r>
    </w:p>
    <w:p w:rsidR="00047C53" w:rsidRDefault="00047C53">
      <w:pPr>
        <w:rPr>
          <w:lang w:val="es-PE"/>
        </w:rPr>
      </w:pPr>
    </w:p>
    <w:p w:rsidR="008535CD" w:rsidRPr="003E3C7E" w:rsidRDefault="008535CD" w:rsidP="008535CD">
      <w:pPr>
        <w:pStyle w:val="StandardWeb"/>
        <w:shd w:val="clear" w:color="auto" w:fill="FFFFFF"/>
        <w:spacing w:line="288" w:lineRule="atLeast"/>
        <w:rPr>
          <w:rFonts w:ascii="Verdana" w:hAnsi="Verdana"/>
          <w:color w:val="000000"/>
          <w:sz w:val="19"/>
          <w:szCs w:val="19"/>
        </w:rPr>
      </w:pPr>
    </w:p>
    <w:p w:rsidR="008535CD" w:rsidRPr="003E3C7E" w:rsidRDefault="008535CD">
      <w:pPr>
        <w:rPr>
          <w:lang w:val="es-PE"/>
        </w:rPr>
      </w:pPr>
    </w:p>
    <w:p w:rsidR="008535CD" w:rsidRPr="003E3C7E" w:rsidRDefault="008535CD">
      <w:pPr>
        <w:rPr>
          <w:lang w:val="es-PE"/>
        </w:rPr>
      </w:pPr>
    </w:p>
    <w:p w:rsidR="000168A5" w:rsidRPr="00384ACB" w:rsidRDefault="000168A5">
      <w:pPr>
        <w:rPr>
          <w:lang w:val="en-US"/>
        </w:rPr>
      </w:pPr>
    </w:p>
    <w:sectPr w:rsidR="000168A5" w:rsidRPr="00384ACB" w:rsidSect="00F103A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29" w:rsidRDefault="00F32629" w:rsidP="00702DF9">
      <w:r>
        <w:separator/>
      </w:r>
    </w:p>
  </w:endnote>
  <w:endnote w:type="continuationSeparator" w:id="0">
    <w:p w:rsidR="00F32629" w:rsidRDefault="00F32629" w:rsidP="0070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29" w:rsidRDefault="00F32629" w:rsidP="00702DF9">
      <w:r>
        <w:separator/>
      </w:r>
    </w:p>
  </w:footnote>
  <w:footnote w:type="continuationSeparator" w:id="0">
    <w:p w:rsidR="00F32629" w:rsidRDefault="00F32629" w:rsidP="00702DF9">
      <w:r>
        <w:continuationSeparator/>
      </w:r>
    </w:p>
  </w:footnote>
  <w:footnote w:id="1">
    <w:p w:rsidR="00BA2B76" w:rsidRPr="005550DF" w:rsidRDefault="00BA2B76" w:rsidP="00BA2B76">
      <w:pPr>
        <w:autoSpaceDE w:val="0"/>
        <w:autoSpaceDN w:val="0"/>
        <w:adjustRightInd w:val="0"/>
        <w:rPr>
          <w:color w:val="548DD4" w:themeColor="text2" w:themeTint="99"/>
          <w:sz w:val="20"/>
          <w:szCs w:val="20"/>
          <w:lang w:val="es-PE"/>
        </w:rPr>
      </w:pPr>
      <w:r w:rsidRPr="00BA2B76">
        <w:rPr>
          <w:rStyle w:val="Funotenzeichen"/>
          <w:sz w:val="20"/>
          <w:szCs w:val="20"/>
        </w:rPr>
        <w:footnoteRef/>
      </w:r>
      <w:r w:rsidRPr="00BA2B76">
        <w:rPr>
          <w:sz w:val="20"/>
          <w:szCs w:val="20"/>
          <w:lang w:val="es-PE"/>
        </w:rPr>
        <w:t xml:space="preserve"> </w:t>
      </w:r>
      <w:r w:rsidRPr="00BA2B76">
        <w:rPr>
          <w:sz w:val="20"/>
          <w:szCs w:val="20"/>
          <w:lang w:val="es-ES"/>
        </w:rPr>
        <w:t xml:space="preserve">Basado en F. Barclay Y J.M. Ordóñez. 2016. </w:t>
      </w:r>
      <w:r w:rsidRPr="00BA2B76">
        <w:rPr>
          <w:rFonts w:cs="Calibri-Bold"/>
          <w:bCs/>
          <w:i/>
          <w:sz w:val="20"/>
          <w:szCs w:val="20"/>
          <w:lang w:val="es-PE" w:eastAsia="es-ES"/>
        </w:rPr>
        <w:t>Estimación de los puntos de cociente intelectual perdidos en niños indígenas debido a los niveles de plomo en sangre en la cuenca petrolera del río Corrientes, Perú</w:t>
      </w:r>
      <w:r w:rsidRPr="00BA2B76">
        <w:rPr>
          <w:rFonts w:cs="Calibri-Bold"/>
          <w:bCs/>
          <w:sz w:val="20"/>
          <w:szCs w:val="20"/>
          <w:lang w:val="es-PE" w:eastAsia="es-ES"/>
        </w:rPr>
        <w:t xml:space="preserve">. </w:t>
      </w:r>
      <w:r w:rsidRPr="00BA2B76">
        <w:rPr>
          <w:rFonts w:cs="Arial"/>
          <w:sz w:val="20"/>
          <w:szCs w:val="20"/>
          <w:lang w:val="es-PE"/>
        </w:rPr>
        <w:t xml:space="preserve">Programa de Políticas Públicas y Derechos de los Pueblos Indígenas. </w:t>
      </w:r>
      <w:r>
        <w:rPr>
          <w:rFonts w:cs="Arial"/>
          <w:sz w:val="20"/>
          <w:szCs w:val="20"/>
          <w:lang w:val="es-PE"/>
        </w:rPr>
        <w:t xml:space="preserve">Lima: </w:t>
      </w:r>
      <w:r w:rsidRPr="00BA2B76">
        <w:rPr>
          <w:rFonts w:cs="Arial"/>
          <w:sz w:val="20"/>
          <w:szCs w:val="20"/>
          <w:lang w:val="es-PE"/>
        </w:rPr>
        <w:t>Serie Cuadernos Perú EQUIDAD.</w:t>
      </w:r>
      <w:r w:rsidR="005550DF" w:rsidRPr="005550DF">
        <w:rPr>
          <w:rFonts w:ascii="Arial" w:hAnsi="Arial" w:cs="Arial"/>
          <w:color w:val="006621"/>
          <w:sz w:val="21"/>
          <w:szCs w:val="21"/>
          <w:shd w:val="clear" w:color="auto" w:fill="FFFFFF"/>
        </w:rPr>
        <w:t xml:space="preserve"> </w:t>
      </w:r>
      <w:hyperlink r:id="rId1" w:history="1">
        <w:r w:rsidR="007A27C9" w:rsidRPr="007A27C9">
          <w:rPr>
            <w:rStyle w:val="Hyperlink"/>
            <w:rFonts w:ascii="Arial" w:hAnsi="Arial" w:cs="Arial"/>
            <w:color w:val="365F91" w:themeColor="accent1" w:themeShade="BF"/>
            <w:sz w:val="21"/>
            <w:szCs w:val="21"/>
            <w:shd w:val="clear" w:color="auto" w:fill="FFFFFF"/>
            <w:lang w:val="es-PE"/>
          </w:rPr>
          <w:t>www.</w:t>
        </w:r>
        <w:r w:rsidR="007A27C9" w:rsidRPr="007A27C9">
          <w:rPr>
            <w:rStyle w:val="Hyperlink"/>
            <w:rFonts w:ascii="Arial" w:hAnsi="Arial" w:cs="Arial"/>
            <w:b/>
            <w:bCs/>
            <w:color w:val="365F91" w:themeColor="accent1" w:themeShade="BF"/>
            <w:sz w:val="21"/>
            <w:szCs w:val="21"/>
            <w:shd w:val="clear" w:color="auto" w:fill="FFFFFF"/>
            <w:lang w:val="es-PE"/>
          </w:rPr>
          <w:t>equidad</w:t>
        </w:r>
        <w:r w:rsidR="007A27C9" w:rsidRPr="007A27C9">
          <w:rPr>
            <w:rStyle w:val="Hyperlink"/>
            <w:rFonts w:ascii="Arial" w:hAnsi="Arial" w:cs="Arial"/>
            <w:color w:val="365F91" w:themeColor="accent1" w:themeShade="BF"/>
            <w:sz w:val="21"/>
            <w:szCs w:val="21"/>
            <w:shd w:val="clear" w:color="auto" w:fill="FFFFFF"/>
            <w:lang w:val="es-PE"/>
          </w:rPr>
          <w:t>.pe/</w:t>
        </w:r>
      </w:hyperlink>
      <w:r w:rsidR="007A27C9" w:rsidRPr="007A27C9">
        <w:rPr>
          <w:rFonts w:ascii="Arial" w:hAnsi="Arial" w:cs="Arial"/>
          <w:color w:val="365F91" w:themeColor="accent1" w:themeShade="BF"/>
          <w:sz w:val="21"/>
          <w:szCs w:val="21"/>
          <w:shd w:val="clear" w:color="auto" w:fill="FFFFFF"/>
          <w:lang w:val="es-PE"/>
        </w:rPr>
        <w:t>.</w:t>
      </w:r>
      <w:r w:rsidR="007A27C9" w:rsidRPr="007A27C9">
        <w:rPr>
          <w:rFonts w:ascii="Arial" w:hAnsi="Arial" w:cs="Arial"/>
          <w:color w:val="548DD4" w:themeColor="text2" w:themeTint="99"/>
          <w:sz w:val="21"/>
          <w:szCs w:val="21"/>
          <w:shd w:val="clear" w:color="auto" w:fill="FFFFFF"/>
          <w:lang w:val="es-PE"/>
        </w:rPr>
        <w:t xml:space="preserve"> </w:t>
      </w:r>
      <w:r w:rsidR="007A27C9" w:rsidRPr="007A27C9">
        <w:rPr>
          <w:rFonts w:cs="Arial"/>
          <w:sz w:val="20"/>
          <w:szCs w:val="20"/>
          <w:shd w:val="clear" w:color="auto" w:fill="FFFFFF"/>
          <w:lang w:val="es-PE"/>
        </w:rPr>
        <w:t>Las referencias bibliográficas citadas</w:t>
      </w:r>
      <w:r w:rsidR="007A27C9" w:rsidRPr="007A27C9">
        <w:rPr>
          <w:rFonts w:ascii="Arial" w:hAnsi="Arial" w:cs="Arial"/>
          <w:sz w:val="21"/>
          <w:szCs w:val="21"/>
          <w:shd w:val="clear" w:color="auto" w:fill="FFFFFF"/>
          <w:lang w:val="es-PE"/>
        </w:rPr>
        <w:t xml:space="preserve"> </w:t>
      </w:r>
      <w:r w:rsidR="007A27C9" w:rsidRPr="007A27C9">
        <w:rPr>
          <w:rFonts w:cs="Arial"/>
          <w:sz w:val="20"/>
          <w:szCs w:val="20"/>
          <w:shd w:val="clear" w:color="auto" w:fill="FFFFFF"/>
          <w:lang w:val="es-PE"/>
        </w:rPr>
        <w:t>provienen del mismo</w:t>
      </w:r>
      <w:r w:rsidR="007A27C9" w:rsidRPr="007A27C9">
        <w:rPr>
          <w:rFonts w:ascii="Arial" w:hAnsi="Arial" w:cs="Arial"/>
          <w:sz w:val="21"/>
          <w:szCs w:val="21"/>
          <w:shd w:val="clear" w:color="auto" w:fill="FFFFFF"/>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4DC"/>
    <w:multiLevelType w:val="hybridMultilevel"/>
    <w:tmpl w:val="4C408DF8"/>
    <w:lvl w:ilvl="0" w:tplc="AC34C6C8">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B83089"/>
    <w:multiLevelType w:val="hybridMultilevel"/>
    <w:tmpl w:val="7E260298"/>
    <w:lvl w:ilvl="0" w:tplc="E9B42636">
      <w:start w:val="1"/>
      <w:numFmt w:val="decimal"/>
      <w:lvlText w:val="%1."/>
      <w:lvlJc w:val="left"/>
      <w:pPr>
        <w:tabs>
          <w:tab w:val="num" w:pos="720"/>
        </w:tabs>
        <w:ind w:left="720" w:hanging="360"/>
      </w:pPr>
    </w:lvl>
    <w:lvl w:ilvl="1" w:tplc="351826EA" w:tentative="1">
      <w:start w:val="1"/>
      <w:numFmt w:val="decimal"/>
      <w:lvlText w:val="%2."/>
      <w:lvlJc w:val="left"/>
      <w:pPr>
        <w:tabs>
          <w:tab w:val="num" w:pos="1440"/>
        </w:tabs>
        <w:ind w:left="1440" w:hanging="360"/>
      </w:pPr>
    </w:lvl>
    <w:lvl w:ilvl="2" w:tplc="66765BBA">
      <w:numFmt w:val="bullet"/>
      <w:lvlText w:val="•"/>
      <w:lvlJc w:val="left"/>
      <w:pPr>
        <w:tabs>
          <w:tab w:val="num" w:pos="2160"/>
        </w:tabs>
        <w:ind w:left="2160" w:hanging="360"/>
      </w:pPr>
      <w:rPr>
        <w:rFonts w:ascii="Times" w:hAnsi="Times" w:hint="default"/>
      </w:rPr>
    </w:lvl>
    <w:lvl w:ilvl="3" w:tplc="8208F0FA" w:tentative="1">
      <w:start w:val="1"/>
      <w:numFmt w:val="decimal"/>
      <w:lvlText w:val="%4."/>
      <w:lvlJc w:val="left"/>
      <w:pPr>
        <w:tabs>
          <w:tab w:val="num" w:pos="2880"/>
        </w:tabs>
        <w:ind w:left="2880" w:hanging="360"/>
      </w:pPr>
    </w:lvl>
    <w:lvl w:ilvl="4" w:tplc="607878E6" w:tentative="1">
      <w:start w:val="1"/>
      <w:numFmt w:val="decimal"/>
      <w:lvlText w:val="%5."/>
      <w:lvlJc w:val="left"/>
      <w:pPr>
        <w:tabs>
          <w:tab w:val="num" w:pos="3600"/>
        </w:tabs>
        <w:ind w:left="3600" w:hanging="360"/>
      </w:pPr>
    </w:lvl>
    <w:lvl w:ilvl="5" w:tplc="A432888C" w:tentative="1">
      <w:start w:val="1"/>
      <w:numFmt w:val="decimal"/>
      <w:lvlText w:val="%6."/>
      <w:lvlJc w:val="left"/>
      <w:pPr>
        <w:tabs>
          <w:tab w:val="num" w:pos="4320"/>
        </w:tabs>
        <w:ind w:left="4320" w:hanging="360"/>
      </w:pPr>
    </w:lvl>
    <w:lvl w:ilvl="6" w:tplc="FA9256A8" w:tentative="1">
      <w:start w:val="1"/>
      <w:numFmt w:val="decimal"/>
      <w:lvlText w:val="%7."/>
      <w:lvlJc w:val="left"/>
      <w:pPr>
        <w:tabs>
          <w:tab w:val="num" w:pos="5040"/>
        </w:tabs>
        <w:ind w:left="5040" w:hanging="360"/>
      </w:pPr>
    </w:lvl>
    <w:lvl w:ilvl="7" w:tplc="D5F6F4C2" w:tentative="1">
      <w:start w:val="1"/>
      <w:numFmt w:val="decimal"/>
      <w:lvlText w:val="%8."/>
      <w:lvlJc w:val="left"/>
      <w:pPr>
        <w:tabs>
          <w:tab w:val="num" w:pos="5760"/>
        </w:tabs>
        <w:ind w:left="5760" w:hanging="360"/>
      </w:pPr>
    </w:lvl>
    <w:lvl w:ilvl="8" w:tplc="500A205C" w:tentative="1">
      <w:start w:val="1"/>
      <w:numFmt w:val="decimal"/>
      <w:lvlText w:val="%9."/>
      <w:lvlJc w:val="left"/>
      <w:pPr>
        <w:tabs>
          <w:tab w:val="num" w:pos="6480"/>
        </w:tabs>
        <w:ind w:left="6480" w:hanging="360"/>
      </w:pPr>
    </w:lvl>
  </w:abstractNum>
  <w:abstractNum w:abstractNumId="2">
    <w:nsid w:val="20260C4D"/>
    <w:multiLevelType w:val="hybridMultilevel"/>
    <w:tmpl w:val="495CD0F4"/>
    <w:lvl w:ilvl="0" w:tplc="9A808A7C">
      <w:start w:val="1"/>
      <w:numFmt w:val="bullet"/>
      <w:lvlText w:val="•"/>
      <w:lvlJc w:val="left"/>
      <w:pPr>
        <w:tabs>
          <w:tab w:val="num" w:pos="720"/>
        </w:tabs>
        <w:ind w:left="720" w:hanging="360"/>
      </w:pPr>
      <w:rPr>
        <w:rFonts w:ascii="Times" w:hAnsi="Times" w:hint="default"/>
      </w:rPr>
    </w:lvl>
    <w:lvl w:ilvl="1" w:tplc="613EDD90" w:tentative="1">
      <w:start w:val="1"/>
      <w:numFmt w:val="bullet"/>
      <w:lvlText w:val="•"/>
      <w:lvlJc w:val="left"/>
      <w:pPr>
        <w:tabs>
          <w:tab w:val="num" w:pos="1440"/>
        </w:tabs>
        <w:ind w:left="1440" w:hanging="360"/>
      </w:pPr>
      <w:rPr>
        <w:rFonts w:ascii="Times" w:hAnsi="Times" w:hint="default"/>
      </w:rPr>
    </w:lvl>
    <w:lvl w:ilvl="2" w:tplc="5E844E98" w:tentative="1">
      <w:start w:val="1"/>
      <w:numFmt w:val="bullet"/>
      <w:lvlText w:val="•"/>
      <w:lvlJc w:val="left"/>
      <w:pPr>
        <w:tabs>
          <w:tab w:val="num" w:pos="2160"/>
        </w:tabs>
        <w:ind w:left="2160" w:hanging="360"/>
      </w:pPr>
      <w:rPr>
        <w:rFonts w:ascii="Times" w:hAnsi="Times" w:hint="default"/>
      </w:rPr>
    </w:lvl>
    <w:lvl w:ilvl="3" w:tplc="8FCE6496" w:tentative="1">
      <w:start w:val="1"/>
      <w:numFmt w:val="bullet"/>
      <w:lvlText w:val="•"/>
      <w:lvlJc w:val="left"/>
      <w:pPr>
        <w:tabs>
          <w:tab w:val="num" w:pos="2880"/>
        </w:tabs>
        <w:ind w:left="2880" w:hanging="360"/>
      </w:pPr>
      <w:rPr>
        <w:rFonts w:ascii="Times" w:hAnsi="Times" w:hint="default"/>
      </w:rPr>
    </w:lvl>
    <w:lvl w:ilvl="4" w:tplc="2ACA0474" w:tentative="1">
      <w:start w:val="1"/>
      <w:numFmt w:val="bullet"/>
      <w:lvlText w:val="•"/>
      <w:lvlJc w:val="left"/>
      <w:pPr>
        <w:tabs>
          <w:tab w:val="num" w:pos="3600"/>
        </w:tabs>
        <w:ind w:left="3600" w:hanging="360"/>
      </w:pPr>
      <w:rPr>
        <w:rFonts w:ascii="Times" w:hAnsi="Times" w:hint="default"/>
      </w:rPr>
    </w:lvl>
    <w:lvl w:ilvl="5" w:tplc="58FAC712" w:tentative="1">
      <w:start w:val="1"/>
      <w:numFmt w:val="bullet"/>
      <w:lvlText w:val="•"/>
      <w:lvlJc w:val="left"/>
      <w:pPr>
        <w:tabs>
          <w:tab w:val="num" w:pos="4320"/>
        </w:tabs>
        <w:ind w:left="4320" w:hanging="360"/>
      </w:pPr>
      <w:rPr>
        <w:rFonts w:ascii="Times" w:hAnsi="Times" w:hint="default"/>
      </w:rPr>
    </w:lvl>
    <w:lvl w:ilvl="6" w:tplc="930A8E5A" w:tentative="1">
      <w:start w:val="1"/>
      <w:numFmt w:val="bullet"/>
      <w:lvlText w:val="•"/>
      <w:lvlJc w:val="left"/>
      <w:pPr>
        <w:tabs>
          <w:tab w:val="num" w:pos="5040"/>
        </w:tabs>
        <w:ind w:left="5040" w:hanging="360"/>
      </w:pPr>
      <w:rPr>
        <w:rFonts w:ascii="Times" w:hAnsi="Times" w:hint="default"/>
      </w:rPr>
    </w:lvl>
    <w:lvl w:ilvl="7" w:tplc="B65A26FC" w:tentative="1">
      <w:start w:val="1"/>
      <w:numFmt w:val="bullet"/>
      <w:lvlText w:val="•"/>
      <w:lvlJc w:val="left"/>
      <w:pPr>
        <w:tabs>
          <w:tab w:val="num" w:pos="5760"/>
        </w:tabs>
        <w:ind w:left="5760" w:hanging="360"/>
      </w:pPr>
      <w:rPr>
        <w:rFonts w:ascii="Times" w:hAnsi="Times" w:hint="default"/>
      </w:rPr>
    </w:lvl>
    <w:lvl w:ilvl="8" w:tplc="DE04FFF6" w:tentative="1">
      <w:start w:val="1"/>
      <w:numFmt w:val="bullet"/>
      <w:lvlText w:val="•"/>
      <w:lvlJc w:val="left"/>
      <w:pPr>
        <w:tabs>
          <w:tab w:val="num" w:pos="6480"/>
        </w:tabs>
        <w:ind w:left="6480" w:hanging="360"/>
      </w:pPr>
      <w:rPr>
        <w:rFonts w:ascii="Times" w:hAnsi="Times" w:hint="default"/>
      </w:rPr>
    </w:lvl>
  </w:abstractNum>
  <w:abstractNum w:abstractNumId="3">
    <w:nsid w:val="2E2F711B"/>
    <w:multiLevelType w:val="hybridMultilevel"/>
    <w:tmpl w:val="BE509C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6C4094E"/>
    <w:multiLevelType w:val="hybridMultilevel"/>
    <w:tmpl w:val="7004ED8C"/>
    <w:lvl w:ilvl="0" w:tplc="A950F2AA">
      <w:start w:val="1"/>
      <w:numFmt w:val="bullet"/>
      <w:lvlText w:val="•"/>
      <w:lvlJc w:val="left"/>
      <w:pPr>
        <w:tabs>
          <w:tab w:val="num" w:pos="720"/>
        </w:tabs>
        <w:ind w:left="720" w:hanging="360"/>
      </w:pPr>
      <w:rPr>
        <w:rFonts w:ascii="Times" w:hAnsi="Times" w:hint="default"/>
      </w:rPr>
    </w:lvl>
    <w:lvl w:ilvl="1" w:tplc="078AA624" w:tentative="1">
      <w:start w:val="1"/>
      <w:numFmt w:val="bullet"/>
      <w:lvlText w:val="•"/>
      <w:lvlJc w:val="left"/>
      <w:pPr>
        <w:tabs>
          <w:tab w:val="num" w:pos="1440"/>
        </w:tabs>
        <w:ind w:left="1440" w:hanging="360"/>
      </w:pPr>
      <w:rPr>
        <w:rFonts w:ascii="Times" w:hAnsi="Times" w:hint="default"/>
      </w:rPr>
    </w:lvl>
    <w:lvl w:ilvl="2" w:tplc="4974759E" w:tentative="1">
      <w:start w:val="1"/>
      <w:numFmt w:val="bullet"/>
      <w:lvlText w:val="•"/>
      <w:lvlJc w:val="left"/>
      <w:pPr>
        <w:tabs>
          <w:tab w:val="num" w:pos="2160"/>
        </w:tabs>
        <w:ind w:left="2160" w:hanging="360"/>
      </w:pPr>
      <w:rPr>
        <w:rFonts w:ascii="Times" w:hAnsi="Times" w:hint="default"/>
      </w:rPr>
    </w:lvl>
    <w:lvl w:ilvl="3" w:tplc="A2984AEC" w:tentative="1">
      <w:start w:val="1"/>
      <w:numFmt w:val="bullet"/>
      <w:lvlText w:val="•"/>
      <w:lvlJc w:val="left"/>
      <w:pPr>
        <w:tabs>
          <w:tab w:val="num" w:pos="2880"/>
        </w:tabs>
        <w:ind w:left="2880" w:hanging="360"/>
      </w:pPr>
      <w:rPr>
        <w:rFonts w:ascii="Times" w:hAnsi="Times" w:hint="default"/>
      </w:rPr>
    </w:lvl>
    <w:lvl w:ilvl="4" w:tplc="D0168774" w:tentative="1">
      <w:start w:val="1"/>
      <w:numFmt w:val="bullet"/>
      <w:lvlText w:val="•"/>
      <w:lvlJc w:val="left"/>
      <w:pPr>
        <w:tabs>
          <w:tab w:val="num" w:pos="3600"/>
        </w:tabs>
        <w:ind w:left="3600" w:hanging="360"/>
      </w:pPr>
      <w:rPr>
        <w:rFonts w:ascii="Times" w:hAnsi="Times" w:hint="default"/>
      </w:rPr>
    </w:lvl>
    <w:lvl w:ilvl="5" w:tplc="0EA2BCCA" w:tentative="1">
      <w:start w:val="1"/>
      <w:numFmt w:val="bullet"/>
      <w:lvlText w:val="•"/>
      <w:lvlJc w:val="left"/>
      <w:pPr>
        <w:tabs>
          <w:tab w:val="num" w:pos="4320"/>
        </w:tabs>
        <w:ind w:left="4320" w:hanging="360"/>
      </w:pPr>
      <w:rPr>
        <w:rFonts w:ascii="Times" w:hAnsi="Times" w:hint="default"/>
      </w:rPr>
    </w:lvl>
    <w:lvl w:ilvl="6" w:tplc="155CAC7E" w:tentative="1">
      <w:start w:val="1"/>
      <w:numFmt w:val="bullet"/>
      <w:lvlText w:val="•"/>
      <w:lvlJc w:val="left"/>
      <w:pPr>
        <w:tabs>
          <w:tab w:val="num" w:pos="5040"/>
        </w:tabs>
        <w:ind w:left="5040" w:hanging="360"/>
      </w:pPr>
      <w:rPr>
        <w:rFonts w:ascii="Times" w:hAnsi="Times" w:hint="default"/>
      </w:rPr>
    </w:lvl>
    <w:lvl w:ilvl="7" w:tplc="F38E104C" w:tentative="1">
      <w:start w:val="1"/>
      <w:numFmt w:val="bullet"/>
      <w:lvlText w:val="•"/>
      <w:lvlJc w:val="left"/>
      <w:pPr>
        <w:tabs>
          <w:tab w:val="num" w:pos="5760"/>
        </w:tabs>
        <w:ind w:left="5760" w:hanging="360"/>
      </w:pPr>
      <w:rPr>
        <w:rFonts w:ascii="Times" w:hAnsi="Times" w:hint="default"/>
      </w:rPr>
    </w:lvl>
    <w:lvl w:ilvl="8" w:tplc="B8227FEC" w:tentative="1">
      <w:start w:val="1"/>
      <w:numFmt w:val="bullet"/>
      <w:lvlText w:val="•"/>
      <w:lvlJc w:val="left"/>
      <w:pPr>
        <w:tabs>
          <w:tab w:val="num" w:pos="6480"/>
        </w:tabs>
        <w:ind w:left="6480" w:hanging="360"/>
      </w:pPr>
      <w:rPr>
        <w:rFonts w:ascii="Times" w:hAnsi="Times" w:hint="default"/>
      </w:rPr>
    </w:lvl>
  </w:abstractNum>
  <w:abstractNum w:abstractNumId="5">
    <w:nsid w:val="51F623D1"/>
    <w:multiLevelType w:val="hybridMultilevel"/>
    <w:tmpl w:val="6EBA2D88"/>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3E82BD4"/>
    <w:multiLevelType w:val="hybridMultilevel"/>
    <w:tmpl w:val="3776FC48"/>
    <w:lvl w:ilvl="0" w:tplc="08B6854A">
      <w:start w:val="1"/>
      <w:numFmt w:val="bullet"/>
      <w:lvlText w:val="•"/>
      <w:lvlJc w:val="left"/>
      <w:pPr>
        <w:tabs>
          <w:tab w:val="num" w:pos="720"/>
        </w:tabs>
        <w:ind w:left="720" w:hanging="360"/>
      </w:pPr>
      <w:rPr>
        <w:rFonts w:ascii="Times" w:hAnsi="Times" w:hint="default"/>
      </w:rPr>
    </w:lvl>
    <w:lvl w:ilvl="1" w:tplc="121E479C">
      <w:start w:val="1"/>
      <w:numFmt w:val="bullet"/>
      <w:lvlText w:val="•"/>
      <w:lvlJc w:val="left"/>
      <w:pPr>
        <w:tabs>
          <w:tab w:val="num" w:pos="1440"/>
        </w:tabs>
        <w:ind w:left="1440" w:hanging="360"/>
      </w:pPr>
      <w:rPr>
        <w:rFonts w:ascii="Times" w:hAnsi="Times" w:hint="default"/>
      </w:rPr>
    </w:lvl>
    <w:lvl w:ilvl="2" w:tplc="7E72582A">
      <w:numFmt w:val="bullet"/>
      <w:lvlText w:val="•"/>
      <w:lvlJc w:val="left"/>
      <w:pPr>
        <w:tabs>
          <w:tab w:val="num" w:pos="2160"/>
        </w:tabs>
        <w:ind w:left="2160" w:hanging="360"/>
      </w:pPr>
      <w:rPr>
        <w:rFonts w:ascii="Times" w:hAnsi="Times" w:hint="default"/>
      </w:rPr>
    </w:lvl>
    <w:lvl w:ilvl="3" w:tplc="D8EC5B6C" w:tentative="1">
      <w:start w:val="1"/>
      <w:numFmt w:val="bullet"/>
      <w:lvlText w:val="•"/>
      <w:lvlJc w:val="left"/>
      <w:pPr>
        <w:tabs>
          <w:tab w:val="num" w:pos="2880"/>
        </w:tabs>
        <w:ind w:left="2880" w:hanging="360"/>
      </w:pPr>
      <w:rPr>
        <w:rFonts w:ascii="Times" w:hAnsi="Times" w:hint="default"/>
      </w:rPr>
    </w:lvl>
    <w:lvl w:ilvl="4" w:tplc="B374EA56" w:tentative="1">
      <w:start w:val="1"/>
      <w:numFmt w:val="bullet"/>
      <w:lvlText w:val="•"/>
      <w:lvlJc w:val="left"/>
      <w:pPr>
        <w:tabs>
          <w:tab w:val="num" w:pos="3600"/>
        </w:tabs>
        <w:ind w:left="3600" w:hanging="360"/>
      </w:pPr>
      <w:rPr>
        <w:rFonts w:ascii="Times" w:hAnsi="Times" w:hint="default"/>
      </w:rPr>
    </w:lvl>
    <w:lvl w:ilvl="5" w:tplc="96A6F03A" w:tentative="1">
      <w:start w:val="1"/>
      <w:numFmt w:val="bullet"/>
      <w:lvlText w:val="•"/>
      <w:lvlJc w:val="left"/>
      <w:pPr>
        <w:tabs>
          <w:tab w:val="num" w:pos="4320"/>
        </w:tabs>
        <w:ind w:left="4320" w:hanging="360"/>
      </w:pPr>
      <w:rPr>
        <w:rFonts w:ascii="Times" w:hAnsi="Times" w:hint="default"/>
      </w:rPr>
    </w:lvl>
    <w:lvl w:ilvl="6" w:tplc="A9F6C068" w:tentative="1">
      <w:start w:val="1"/>
      <w:numFmt w:val="bullet"/>
      <w:lvlText w:val="•"/>
      <w:lvlJc w:val="left"/>
      <w:pPr>
        <w:tabs>
          <w:tab w:val="num" w:pos="5040"/>
        </w:tabs>
        <w:ind w:left="5040" w:hanging="360"/>
      </w:pPr>
      <w:rPr>
        <w:rFonts w:ascii="Times" w:hAnsi="Times" w:hint="default"/>
      </w:rPr>
    </w:lvl>
    <w:lvl w:ilvl="7" w:tplc="E39A4184" w:tentative="1">
      <w:start w:val="1"/>
      <w:numFmt w:val="bullet"/>
      <w:lvlText w:val="•"/>
      <w:lvlJc w:val="left"/>
      <w:pPr>
        <w:tabs>
          <w:tab w:val="num" w:pos="5760"/>
        </w:tabs>
        <w:ind w:left="5760" w:hanging="360"/>
      </w:pPr>
      <w:rPr>
        <w:rFonts w:ascii="Times" w:hAnsi="Times" w:hint="default"/>
      </w:rPr>
    </w:lvl>
    <w:lvl w:ilvl="8" w:tplc="DDFA6FF2" w:tentative="1">
      <w:start w:val="1"/>
      <w:numFmt w:val="bullet"/>
      <w:lvlText w:val="•"/>
      <w:lvlJc w:val="left"/>
      <w:pPr>
        <w:tabs>
          <w:tab w:val="num" w:pos="6480"/>
        </w:tabs>
        <w:ind w:left="6480" w:hanging="360"/>
      </w:pPr>
      <w:rPr>
        <w:rFonts w:ascii="Times" w:hAnsi="Times" w:hint="default"/>
      </w:rPr>
    </w:lvl>
  </w:abstractNum>
  <w:abstractNum w:abstractNumId="7">
    <w:nsid w:val="670C10B9"/>
    <w:multiLevelType w:val="hybridMultilevel"/>
    <w:tmpl w:val="54BAC0DC"/>
    <w:lvl w:ilvl="0" w:tplc="3132A854">
      <w:start w:val="1"/>
      <w:numFmt w:val="bullet"/>
      <w:lvlText w:val="•"/>
      <w:lvlJc w:val="left"/>
      <w:pPr>
        <w:tabs>
          <w:tab w:val="num" w:pos="720"/>
        </w:tabs>
        <w:ind w:left="720" w:hanging="360"/>
      </w:pPr>
      <w:rPr>
        <w:rFonts w:ascii="Times" w:hAnsi="Times" w:hint="default"/>
      </w:rPr>
    </w:lvl>
    <w:lvl w:ilvl="1" w:tplc="349ED8E2" w:tentative="1">
      <w:start w:val="1"/>
      <w:numFmt w:val="bullet"/>
      <w:lvlText w:val="•"/>
      <w:lvlJc w:val="left"/>
      <w:pPr>
        <w:tabs>
          <w:tab w:val="num" w:pos="1440"/>
        </w:tabs>
        <w:ind w:left="1440" w:hanging="360"/>
      </w:pPr>
      <w:rPr>
        <w:rFonts w:ascii="Times" w:hAnsi="Times" w:hint="default"/>
      </w:rPr>
    </w:lvl>
    <w:lvl w:ilvl="2" w:tplc="045EC5A0">
      <w:numFmt w:val="bullet"/>
      <w:lvlText w:val="•"/>
      <w:lvlJc w:val="left"/>
      <w:pPr>
        <w:tabs>
          <w:tab w:val="num" w:pos="2160"/>
        </w:tabs>
        <w:ind w:left="2160" w:hanging="360"/>
      </w:pPr>
      <w:rPr>
        <w:rFonts w:ascii="Times" w:hAnsi="Times" w:hint="default"/>
      </w:rPr>
    </w:lvl>
    <w:lvl w:ilvl="3" w:tplc="145A0A9A" w:tentative="1">
      <w:start w:val="1"/>
      <w:numFmt w:val="bullet"/>
      <w:lvlText w:val="•"/>
      <w:lvlJc w:val="left"/>
      <w:pPr>
        <w:tabs>
          <w:tab w:val="num" w:pos="2880"/>
        </w:tabs>
        <w:ind w:left="2880" w:hanging="360"/>
      </w:pPr>
      <w:rPr>
        <w:rFonts w:ascii="Times" w:hAnsi="Times" w:hint="default"/>
      </w:rPr>
    </w:lvl>
    <w:lvl w:ilvl="4" w:tplc="027458D0" w:tentative="1">
      <w:start w:val="1"/>
      <w:numFmt w:val="bullet"/>
      <w:lvlText w:val="•"/>
      <w:lvlJc w:val="left"/>
      <w:pPr>
        <w:tabs>
          <w:tab w:val="num" w:pos="3600"/>
        </w:tabs>
        <w:ind w:left="3600" w:hanging="360"/>
      </w:pPr>
      <w:rPr>
        <w:rFonts w:ascii="Times" w:hAnsi="Times" w:hint="default"/>
      </w:rPr>
    </w:lvl>
    <w:lvl w:ilvl="5" w:tplc="97D65E76" w:tentative="1">
      <w:start w:val="1"/>
      <w:numFmt w:val="bullet"/>
      <w:lvlText w:val="•"/>
      <w:lvlJc w:val="left"/>
      <w:pPr>
        <w:tabs>
          <w:tab w:val="num" w:pos="4320"/>
        </w:tabs>
        <w:ind w:left="4320" w:hanging="360"/>
      </w:pPr>
      <w:rPr>
        <w:rFonts w:ascii="Times" w:hAnsi="Times" w:hint="default"/>
      </w:rPr>
    </w:lvl>
    <w:lvl w:ilvl="6" w:tplc="5F0A7912" w:tentative="1">
      <w:start w:val="1"/>
      <w:numFmt w:val="bullet"/>
      <w:lvlText w:val="•"/>
      <w:lvlJc w:val="left"/>
      <w:pPr>
        <w:tabs>
          <w:tab w:val="num" w:pos="5040"/>
        </w:tabs>
        <w:ind w:left="5040" w:hanging="360"/>
      </w:pPr>
      <w:rPr>
        <w:rFonts w:ascii="Times" w:hAnsi="Times" w:hint="default"/>
      </w:rPr>
    </w:lvl>
    <w:lvl w:ilvl="7" w:tplc="4596E458" w:tentative="1">
      <w:start w:val="1"/>
      <w:numFmt w:val="bullet"/>
      <w:lvlText w:val="•"/>
      <w:lvlJc w:val="left"/>
      <w:pPr>
        <w:tabs>
          <w:tab w:val="num" w:pos="5760"/>
        </w:tabs>
        <w:ind w:left="5760" w:hanging="360"/>
      </w:pPr>
      <w:rPr>
        <w:rFonts w:ascii="Times" w:hAnsi="Times" w:hint="default"/>
      </w:rPr>
    </w:lvl>
    <w:lvl w:ilvl="8" w:tplc="C7189D40"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F9"/>
    <w:rsid w:val="000168A5"/>
    <w:rsid w:val="00047C53"/>
    <w:rsid w:val="0006505E"/>
    <w:rsid w:val="000B6CB0"/>
    <w:rsid w:val="00166266"/>
    <w:rsid w:val="001C231B"/>
    <w:rsid w:val="001E179B"/>
    <w:rsid w:val="00246E9A"/>
    <w:rsid w:val="002619AE"/>
    <w:rsid w:val="00266B1E"/>
    <w:rsid w:val="00384ACB"/>
    <w:rsid w:val="003E3C7E"/>
    <w:rsid w:val="00527B81"/>
    <w:rsid w:val="005550DF"/>
    <w:rsid w:val="0068481B"/>
    <w:rsid w:val="00692601"/>
    <w:rsid w:val="00702DF9"/>
    <w:rsid w:val="007A27C9"/>
    <w:rsid w:val="008535CD"/>
    <w:rsid w:val="00891414"/>
    <w:rsid w:val="008B766D"/>
    <w:rsid w:val="0096525E"/>
    <w:rsid w:val="00B55A4A"/>
    <w:rsid w:val="00B93E60"/>
    <w:rsid w:val="00BA2B76"/>
    <w:rsid w:val="00C04445"/>
    <w:rsid w:val="00CE25DB"/>
    <w:rsid w:val="00CF4FE5"/>
    <w:rsid w:val="00D03DEE"/>
    <w:rsid w:val="00D30D12"/>
    <w:rsid w:val="00E57372"/>
    <w:rsid w:val="00F103AA"/>
    <w:rsid w:val="00F326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DF9"/>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DF9"/>
    <w:pPr>
      <w:ind w:left="720"/>
      <w:contextualSpacing/>
    </w:pPr>
  </w:style>
  <w:style w:type="paragraph" w:styleId="StandardWeb">
    <w:name w:val="Normal (Web)"/>
    <w:basedOn w:val="Standard"/>
    <w:uiPriority w:val="99"/>
    <w:semiHidden/>
    <w:unhideWhenUsed/>
    <w:rsid w:val="008535CD"/>
    <w:pPr>
      <w:spacing w:before="100" w:beforeAutospacing="1" w:after="100" w:afterAutospacing="1"/>
    </w:pPr>
    <w:rPr>
      <w:rFonts w:ascii="Times New Roman" w:eastAsia="Times New Roman" w:hAnsi="Times New Roman" w:cs="Times New Roman"/>
      <w:lang w:val="es-PE" w:eastAsia="es-PE"/>
    </w:rPr>
  </w:style>
  <w:style w:type="character" w:customStyle="1" w:styleId="apple-converted-space">
    <w:name w:val="apple-converted-space"/>
    <w:basedOn w:val="Absatz-Standardschriftart"/>
    <w:rsid w:val="008535CD"/>
  </w:style>
  <w:style w:type="character" w:styleId="Hyperlink">
    <w:name w:val="Hyperlink"/>
    <w:basedOn w:val="Absatz-Standardschriftart"/>
    <w:uiPriority w:val="99"/>
    <w:unhideWhenUsed/>
    <w:rsid w:val="008535CD"/>
    <w:rPr>
      <w:color w:val="0000FF"/>
      <w:u w:val="single"/>
    </w:rPr>
  </w:style>
  <w:style w:type="paragraph" w:styleId="Funotentext">
    <w:name w:val="footnote text"/>
    <w:basedOn w:val="Standard"/>
    <w:link w:val="FunotentextZchn"/>
    <w:uiPriority w:val="99"/>
    <w:semiHidden/>
    <w:unhideWhenUsed/>
    <w:rsid w:val="00BA2B76"/>
    <w:rPr>
      <w:sz w:val="20"/>
      <w:szCs w:val="20"/>
    </w:rPr>
  </w:style>
  <w:style w:type="character" w:customStyle="1" w:styleId="FunotentextZchn">
    <w:name w:val="Fußnotentext Zchn"/>
    <w:basedOn w:val="Absatz-Standardschriftart"/>
    <w:link w:val="Funotentext"/>
    <w:uiPriority w:val="99"/>
    <w:semiHidden/>
    <w:rsid w:val="00BA2B76"/>
    <w:rPr>
      <w:sz w:val="20"/>
      <w:szCs w:val="20"/>
      <w:lang w:val="de-DE" w:eastAsia="de-DE"/>
    </w:rPr>
  </w:style>
  <w:style w:type="character" w:styleId="Funotenzeichen">
    <w:name w:val="footnote reference"/>
    <w:basedOn w:val="Absatz-Standardschriftart"/>
    <w:uiPriority w:val="99"/>
    <w:semiHidden/>
    <w:unhideWhenUsed/>
    <w:rsid w:val="00BA2B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DF9"/>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DF9"/>
    <w:pPr>
      <w:ind w:left="720"/>
      <w:contextualSpacing/>
    </w:pPr>
  </w:style>
  <w:style w:type="paragraph" w:styleId="StandardWeb">
    <w:name w:val="Normal (Web)"/>
    <w:basedOn w:val="Standard"/>
    <w:uiPriority w:val="99"/>
    <w:semiHidden/>
    <w:unhideWhenUsed/>
    <w:rsid w:val="008535CD"/>
    <w:pPr>
      <w:spacing w:before="100" w:beforeAutospacing="1" w:after="100" w:afterAutospacing="1"/>
    </w:pPr>
    <w:rPr>
      <w:rFonts w:ascii="Times New Roman" w:eastAsia="Times New Roman" w:hAnsi="Times New Roman" w:cs="Times New Roman"/>
      <w:lang w:val="es-PE" w:eastAsia="es-PE"/>
    </w:rPr>
  </w:style>
  <w:style w:type="character" w:customStyle="1" w:styleId="apple-converted-space">
    <w:name w:val="apple-converted-space"/>
    <w:basedOn w:val="Absatz-Standardschriftart"/>
    <w:rsid w:val="008535CD"/>
  </w:style>
  <w:style w:type="character" w:styleId="Hyperlink">
    <w:name w:val="Hyperlink"/>
    <w:basedOn w:val="Absatz-Standardschriftart"/>
    <w:uiPriority w:val="99"/>
    <w:unhideWhenUsed/>
    <w:rsid w:val="008535CD"/>
    <w:rPr>
      <w:color w:val="0000FF"/>
      <w:u w:val="single"/>
    </w:rPr>
  </w:style>
  <w:style w:type="paragraph" w:styleId="Funotentext">
    <w:name w:val="footnote text"/>
    <w:basedOn w:val="Standard"/>
    <w:link w:val="FunotentextZchn"/>
    <w:uiPriority w:val="99"/>
    <w:semiHidden/>
    <w:unhideWhenUsed/>
    <w:rsid w:val="00BA2B76"/>
    <w:rPr>
      <w:sz w:val="20"/>
      <w:szCs w:val="20"/>
    </w:rPr>
  </w:style>
  <w:style w:type="character" w:customStyle="1" w:styleId="FunotentextZchn">
    <w:name w:val="Fußnotentext Zchn"/>
    <w:basedOn w:val="Absatz-Standardschriftart"/>
    <w:link w:val="Funotentext"/>
    <w:uiPriority w:val="99"/>
    <w:semiHidden/>
    <w:rsid w:val="00BA2B76"/>
    <w:rPr>
      <w:sz w:val="20"/>
      <w:szCs w:val="20"/>
      <w:lang w:val="de-DE" w:eastAsia="de-DE"/>
    </w:rPr>
  </w:style>
  <w:style w:type="character" w:styleId="Funotenzeichen">
    <w:name w:val="footnote reference"/>
    <w:basedOn w:val="Absatz-Standardschriftart"/>
    <w:uiPriority w:val="99"/>
    <w:semiHidden/>
    <w:unhideWhenUsed/>
    <w:rsid w:val="00BA2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344">
      <w:bodyDiv w:val="1"/>
      <w:marLeft w:val="0"/>
      <w:marRight w:val="0"/>
      <w:marTop w:val="0"/>
      <w:marBottom w:val="0"/>
      <w:divBdr>
        <w:top w:val="none" w:sz="0" w:space="0" w:color="auto"/>
        <w:left w:val="none" w:sz="0" w:space="0" w:color="auto"/>
        <w:bottom w:val="none" w:sz="0" w:space="0" w:color="auto"/>
        <w:right w:val="none" w:sz="0" w:space="0" w:color="auto"/>
      </w:divBdr>
      <w:divsChild>
        <w:div w:id="496654873">
          <w:marLeft w:val="547"/>
          <w:marRight w:val="0"/>
          <w:marTop w:val="180"/>
          <w:marBottom w:val="60"/>
          <w:divBdr>
            <w:top w:val="none" w:sz="0" w:space="0" w:color="auto"/>
            <w:left w:val="none" w:sz="0" w:space="0" w:color="auto"/>
            <w:bottom w:val="none" w:sz="0" w:space="0" w:color="auto"/>
            <w:right w:val="none" w:sz="0" w:space="0" w:color="auto"/>
          </w:divBdr>
        </w:div>
        <w:div w:id="1639459930">
          <w:marLeft w:val="547"/>
          <w:marRight w:val="0"/>
          <w:marTop w:val="180"/>
          <w:marBottom w:val="60"/>
          <w:divBdr>
            <w:top w:val="none" w:sz="0" w:space="0" w:color="auto"/>
            <w:left w:val="none" w:sz="0" w:space="0" w:color="auto"/>
            <w:bottom w:val="none" w:sz="0" w:space="0" w:color="auto"/>
            <w:right w:val="none" w:sz="0" w:space="0" w:color="auto"/>
          </w:divBdr>
        </w:div>
        <w:div w:id="952514047">
          <w:marLeft w:val="547"/>
          <w:marRight w:val="0"/>
          <w:marTop w:val="180"/>
          <w:marBottom w:val="60"/>
          <w:divBdr>
            <w:top w:val="none" w:sz="0" w:space="0" w:color="auto"/>
            <w:left w:val="none" w:sz="0" w:space="0" w:color="auto"/>
            <w:bottom w:val="none" w:sz="0" w:space="0" w:color="auto"/>
            <w:right w:val="none" w:sz="0" w:space="0" w:color="auto"/>
          </w:divBdr>
        </w:div>
      </w:divsChild>
    </w:div>
    <w:div w:id="443424478">
      <w:bodyDiv w:val="1"/>
      <w:marLeft w:val="0"/>
      <w:marRight w:val="0"/>
      <w:marTop w:val="0"/>
      <w:marBottom w:val="0"/>
      <w:divBdr>
        <w:top w:val="none" w:sz="0" w:space="0" w:color="auto"/>
        <w:left w:val="none" w:sz="0" w:space="0" w:color="auto"/>
        <w:bottom w:val="none" w:sz="0" w:space="0" w:color="auto"/>
        <w:right w:val="none" w:sz="0" w:space="0" w:color="auto"/>
      </w:divBdr>
      <w:divsChild>
        <w:div w:id="1715497071">
          <w:marLeft w:val="547"/>
          <w:marRight w:val="0"/>
          <w:marTop w:val="180"/>
          <w:marBottom w:val="60"/>
          <w:divBdr>
            <w:top w:val="none" w:sz="0" w:space="0" w:color="auto"/>
            <w:left w:val="none" w:sz="0" w:space="0" w:color="auto"/>
            <w:bottom w:val="none" w:sz="0" w:space="0" w:color="auto"/>
            <w:right w:val="none" w:sz="0" w:space="0" w:color="auto"/>
          </w:divBdr>
        </w:div>
        <w:div w:id="1174883770">
          <w:marLeft w:val="547"/>
          <w:marRight w:val="0"/>
          <w:marTop w:val="180"/>
          <w:marBottom w:val="60"/>
          <w:divBdr>
            <w:top w:val="none" w:sz="0" w:space="0" w:color="auto"/>
            <w:left w:val="none" w:sz="0" w:space="0" w:color="auto"/>
            <w:bottom w:val="none" w:sz="0" w:space="0" w:color="auto"/>
            <w:right w:val="none" w:sz="0" w:space="0" w:color="auto"/>
          </w:divBdr>
        </w:div>
        <w:div w:id="2098211770">
          <w:marLeft w:val="547"/>
          <w:marRight w:val="0"/>
          <w:marTop w:val="180"/>
          <w:marBottom w:val="60"/>
          <w:divBdr>
            <w:top w:val="none" w:sz="0" w:space="0" w:color="auto"/>
            <w:left w:val="none" w:sz="0" w:space="0" w:color="auto"/>
            <w:bottom w:val="none" w:sz="0" w:space="0" w:color="auto"/>
            <w:right w:val="none" w:sz="0" w:space="0" w:color="auto"/>
          </w:divBdr>
        </w:div>
      </w:divsChild>
    </w:div>
    <w:div w:id="767313066">
      <w:bodyDiv w:val="1"/>
      <w:marLeft w:val="0"/>
      <w:marRight w:val="0"/>
      <w:marTop w:val="0"/>
      <w:marBottom w:val="0"/>
      <w:divBdr>
        <w:top w:val="none" w:sz="0" w:space="0" w:color="auto"/>
        <w:left w:val="none" w:sz="0" w:space="0" w:color="auto"/>
        <w:bottom w:val="none" w:sz="0" w:space="0" w:color="auto"/>
        <w:right w:val="none" w:sz="0" w:space="0" w:color="auto"/>
      </w:divBdr>
    </w:div>
    <w:div w:id="1051150744">
      <w:bodyDiv w:val="1"/>
      <w:marLeft w:val="0"/>
      <w:marRight w:val="0"/>
      <w:marTop w:val="0"/>
      <w:marBottom w:val="0"/>
      <w:divBdr>
        <w:top w:val="none" w:sz="0" w:space="0" w:color="auto"/>
        <w:left w:val="none" w:sz="0" w:space="0" w:color="auto"/>
        <w:bottom w:val="none" w:sz="0" w:space="0" w:color="auto"/>
        <w:right w:val="none" w:sz="0" w:space="0" w:color="auto"/>
      </w:divBdr>
      <w:divsChild>
        <w:div w:id="67776578">
          <w:marLeft w:val="547"/>
          <w:marRight w:val="0"/>
          <w:marTop w:val="60"/>
          <w:marBottom w:val="60"/>
          <w:divBdr>
            <w:top w:val="none" w:sz="0" w:space="0" w:color="auto"/>
            <w:left w:val="none" w:sz="0" w:space="0" w:color="auto"/>
            <w:bottom w:val="none" w:sz="0" w:space="0" w:color="auto"/>
            <w:right w:val="none" w:sz="0" w:space="0" w:color="auto"/>
          </w:divBdr>
        </w:div>
        <w:div w:id="1707677823">
          <w:marLeft w:val="1123"/>
          <w:marRight w:val="0"/>
          <w:marTop w:val="60"/>
          <w:marBottom w:val="60"/>
          <w:divBdr>
            <w:top w:val="none" w:sz="0" w:space="0" w:color="auto"/>
            <w:left w:val="none" w:sz="0" w:space="0" w:color="auto"/>
            <w:bottom w:val="none" w:sz="0" w:space="0" w:color="auto"/>
            <w:right w:val="none" w:sz="0" w:space="0" w:color="auto"/>
          </w:divBdr>
        </w:div>
        <w:div w:id="646328186">
          <w:marLeft w:val="1123"/>
          <w:marRight w:val="0"/>
          <w:marTop w:val="60"/>
          <w:marBottom w:val="60"/>
          <w:divBdr>
            <w:top w:val="none" w:sz="0" w:space="0" w:color="auto"/>
            <w:left w:val="none" w:sz="0" w:space="0" w:color="auto"/>
            <w:bottom w:val="none" w:sz="0" w:space="0" w:color="auto"/>
            <w:right w:val="none" w:sz="0" w:space="0" w:color="auto"/>
          </w:divBdr>
        </w:div>
        <w:div w:id="247887103">
          <w:marLeft w:val="1123"/>
          <w:marRight w:val="0"/>
          <w:marTop w:val="60"/>
          <w:marBottom w:val="60"/>
          <w:divBdr>
            <w:top w:val="none" w:sz="0" w:space="0" w:color="auto"/>
            <w:left w:val="none" w:sz="0" w:space="0" w:color="auto"/>
            <w:bottom w:val="none" w:sz="0" w:space="0" w:color="auto"/>
            <w:right w:val="none" w:sz="0" w:space="0" w:color="auto"/>
          </w:divBdr>
        </w:div>
        <w:div w:id="1099643147">
          <w:marLeft w:val="1123"/>
          <w:marRight w:val="0"/>
          <w:marTop w:val="60"/>
          <w:marBottom w:val="60"/>
          <w:divBdr>
            <w:top w:val="none" w:sz="0" w:space="0" w:color="auto"/>
            <w:left w:val="none" w:sz="0" w:space="0" w:color="auto"/>
            <w:bottom w:val="none" w:sz="0" w:space="0" w:color="auto"/>
            <w:right w:val="none" w:sz="0" w:space="0" w:color="auto"/>
          </w:divBdr>
        </w:div>
        <w:div w:id="1572042637">
          <w:marLeft w:val="1123"/>
          <w:marRight w:val="0"/>
          <w:marTop w:val="60"/>
          <w:marBottom w:val="60"/>
          <w:divBdr>
            <w:top w:val="none" w:sz="0" w:space="0" w:color="auto"/>
            <w:left w:val="none" w:sz="0" w:space="0" w:color="auto"/>
            <w:bottom w:val="none" w:sz="0" w:space="0" w:color="auto"/>
            <w:right w:val="none" w:sz="0" w:space="0" w:color="auto"/>
          </w:divBdr>
        </w:div>
        <w:div w:id="1091046503">
          <w:marLeft w:val="1123"/>
          <w:marRight w:val="0"/>
          <w:marTop w:val="60"/>
          <w:marBottom w:val="60"/>
          <w:divBdr>
            <w:top w:val="none" w:sz="0" w:space="0" w:color="auto"/>
            <w:left w:val="none" w:sz="0" w:space="0" w:color="auto"/>
            <w:bottom w:val="none" w:sz="0" w:space="0" w:color="auto"/>
            <w:right w:val="none" w:sz="0" w:space="0" w:color="auto"/>
          </w:divBdr>
        </w:div>
        <w:div w:id="1364475026">
          <w:marLeft w:val="547"/>
          <w:marRight w:val="0"/>
          <w:marTop w:val="60"/>
          <w:marBottom w:val="60"/>
          <w:divBdr>
            <w:top w:val="none" w:sz="0" w:space="0" w:color="auto"/>
            <w:left w:val="none" w:sz="0" w:space="0" w:color="auto"/>
            <w:bottom w:val="none" w:sz="0" w:space="0" w:color="auto"/>
            <w:right w:val="none" w:sz="0" w:space="0" w:color="auto"/>
          </w:divBdr>
        </w:div>
        <w:div w:id="1920558220">
          <w:marLeft w:val="547"/>
          <w:marRight w:val="0"/>
          <w:marTop w:val="60"/>
          <w:marBottom w:val="60"/>
          <w:divBdr>
            <w:top w:val="none" w:sz="0" w:space="0" w:color="auto"/>
            <w:left w:val="none" w:sz="0" w:space="0" w:color="auto"/>
            <w:bottom w:val="none" w:sz="0" w:space="0" w:color="auto"/>
            <w:right w:val="none" w:sz="0" w:space="0" w:color="auto"/>
          </w:divBdr>
        </w:div>
        <w:div w:id="2024933325">
          <w:marLeft w:val="547"/>
          <w:marRight w:val="0"/>
          <w:marTop w:val="60"/>
          <w:marBottom w:val="60"/>
          <w:divBdr>
            <w:top w:val="none" w:sz="0" w:space="0" w:color="auto"/>
            <w:left w:val="none" w:sz="0" w:space="0" w:color="auto"/>
            <w:bottom w:val="none" w:sz="0" w:space="0" w:color="auto"/>
            <w:right w:val="none" w:sz="0" w:space="0" w:color="auto"/>
          </w:divBdr>
        </w:div>
      </w:divsChild>
    </w:div>
    <w:div w:id="1402943074">
      <w:bodyDiv w:val="1"/>
      <w:marLeft w:val="0"/>
      <w:marRight w:val="0"/>
      <w:marTop w:val="0"/>
      <w:marBottom w:val="0"/>
      <w:divBdr>
        <w:top w:val="none" w:sz="0" w:space="0" w:color="auto"/>
        <w:left w:val="none" w:sz="0" w:space="0" w:color="auto"/>
        <w:bottom w:val="none" w:sz="0" w:space="0" w:color="auto"/>
        <w:right w:val="none" w:sz="0" w:space="0" w:color="auto"/>
      </w:divBdr>
      <w:divsChild>
        <w:div w:id="591549603">
          <w:marLeft w:val="547"/>
          <w:marRight w:val="0"/>
          <w:marTop w:val="180"/>
          <w:marBottom w:val="60"/>
          <w:divBdr>
            <w:top w:val="none" w:sz="0" w:space="0" w:color="auto"/>
            <w:left w:val="none" w:sz="0" w:space="0" w:color="auto"/>
            <w:bottom w:val="none" w:sz="0" w:space="0" w:color="auto"/>
            <w:right w:val="none" w:sz="0" w:space="0" w:color="auto"/>
          </w:divBdr>
        </w:div>
        <w:div w:id="1255943034">
          <w:marLeft w:val="547"/>
          <w:marRight w:val="0"/>
          <w:marTop w:val="180"/>
          <w:marBottom w:val="60"/>
          <w:divBdr>
            <w:top w:val="none" w:sz="0" w:space="0" w:color="auto"/>
            <w:left w:val="none" w:sz="0" w:space="0" w:color="auto"/>
            <w:bottom w:val="none" w:sz="0" w:space="0" w:color="auto"/>
            <w:right w:val="none" w:sz="0" w:space="0" w:color="auto"/>
          </w:divBdr>
        </w:div>
        <w:div w:id="1985424895">
          <w:marLeft w:val="547"/>
          <w:marRight w:val="0"/>
          <w:marTop w:val="180"/>
          <w:marBottom w:val="60"/>
          <w:divBdr>
            <w:top w:val="none" w:sz="0" w:space="0" w:color="auto"/>
            <w:left w:val="none" w:sz="0" w:space="0" w:color="auto"/>
            <w:bottom w:val="none" w:sz="0" w:space="0" w:color="auto"/>
            <w:right w:val="none" w:sz="0" w:space="0" w:color="auto"/>
          </w:divBdr>
        </w:div>
        <w:div w:id="942956022">
          <w:marLeft w:val="547"/>
          <w:marRight w:val="0"/>
          <w:marTop w:val="180"/>
          <w:marBottom w:val="60"/>
          <w:divBdr>
            <w:top w:val="none" w:sz="0" w:space="0" w:color="auto"/>
            <w:left w:val="none" w:sz="0" w:space="0" w:color="auto"/>
            <w:bottom w:val="none" w:sz="0" w:space="0" w:color="auto"/>
            <w:right w:val="none" w:sz="0" w:space="0" w:color="auto"/>
          </w:divBdr>
        </w:div>
        <w:div w:id="1002857423">
          <w:marLeft w:val="1123"/>
          <w:marRight w:val="0"/>
          <w:marTop w:val="180"/>
          <w:marBottom w:val="60"/>
          <w:divBdr>
            <w:top w:val="none" w:sz="0" w:space="0" w:color="auto"/>
            <w:left w:val="none" w:sz="0" w:space="0" w:color="auto"/>
            <w:bottom w:val="none" w:sz="0" w:space="0" w:color="auto"/>
            <w:right w:val="none" w:sz="0" w:space="0" w:color="auto"/>
          </w:divBdr>
        </w:div>
        <w:div w:id="1893691502">
          <w:marLeft w:val="1123"/>
          <w:marRight w:val="0"/>
          <w:marTop w:val="180"/>
          <w:marBottom w:val="60"/>
          <w:divBdr>
            <w:top w:val="none" w:sz="0" w:space="0" w:color="auto"/>
            <w:left w:val="none" w:sz="0" w:space="0" w:color="auto"/>
            <w:bottom w:val="none" w:sz="0" w:space="0" w:color="auto"/>
            <w:right w:val="none" w:sz="0" w:space="0" w:color="auto"/>
          </w:divBdr>
        </w:div>
      </w:divsChild>
    </w:div>
    <w:div w:id="1782608166">
      <w:bodyDiv w:val="1"/>
      <w:marLeft w:val="0"/>
      <w:marRight w:val="0"/>
      <w:marTop w:val="0"/>
      <w:marBottom w:val="0"/>
      <w:divBdr>
        <w:top w:val="none" w:sz="0" w:space="0" w:color="auto"/>
        <w:left w:val="none" w:sz="0" w:space="0" w:color="auto"/>
        <w:bottom w:val="none" w:sz="0" w:space="0" w:color="auto"/>
        <w:right w:val="none" w:sz="0" w:space="0" w:color="auto"/>
      </w:divBdr>
      <w:divsChild>
        <w:div w:id="762184556">
          <w:marLeft w:val="547"/>
          <w:marRight w:val="0"/>
          <w:marTop w:val="180"/>
          <w:marBottom w:val="60"/>
          <w:divBdr>
            <w:top w:val="none" w:sz="0" w:space="0" w:color="auto"/>
            <w:left w:val="none" w:sz="0" w:space="0" w:color="auto"/>
            <w:bottom w:val="none" w:sz="0" w:space="0" w:color="auto"/>
            <w:right w:val="none" w:sz="0" w:space="0" w:color="auto"/>
          </w:divBdr>
        </w:div>
        <w:div w:id="661086871">
          <w:marLeft w:val="547"/>
          <w:marRight w:val="0"/>
          <w:marTop w:val="180"/>
          <w:marBottom w:val="60"/>
          <w:divBdr>
            <w:top w:val="none" w:sz="0" w:space="0" w:color="auto"/>
            <w:left w:val="none" w:sz="0" w:space="0" w:color="auto"/>
            <w:bottom w:val="none" w:sz="0" w:space="0" w:color="auto"/>
            <w:right w:val="none" w:sz="0" w:space="0" w:color="auto"/>
          </w:divBdr>
        </w:div>
        <w:div w:id="465662068">
          <w:marLeft w:val="1123"/>
          <w:marRight w:val="0"/>
          <w:marTop w:val="180"/>
          <w:marBottom w:val="60"/>
          <w:divBdr>
            <w:top w:val="none" w:sz="0" w:space="0" w:color="auto"/>
            <w:left w:val="none" w:sz="0" w:space="0" w:color="auto"/>
            <w:bottom w:val="none" w:sz="0" w:space="0" w:color="auto"/>
            <w:right w:val="none" w:sz="0" w:space="0" w:color="auto"/>
          </w:divBdr>
        </w:div>
        <w:div w:id="1439523282">
          <w:marLeft w:val="1123"/>
          <w:marRight w:val="0"/>
          <w:marTop w:val="180"/>
          <w:marBottom w:val="60"/>
          <w:divBdr>
            <w:top w:val="none" w:sz="0" w:space="0" w:color="auto"/>
            <w:left w:val="none" w:sz="0" w:space="0" w:color="auto"/>
            <w:bottom w:val="none" w:sz="0" w:space="0" w:color="auto"/>
            <w:right w:val="none" w:sz="0" w:space="0" w:color="auto"/>
          </w:divBdr>
        </w:div>
        <w:div w:id="306008744">
          <w:marLeft w:val="1123"/>
          <w:marRight w:val="0"/>
          <w:marTop w:val="180"/>
          <w:marBottom w:val="60"/>
          <w:divBdr>
            <w:top w:val="none" w:sz="0" w:space="0" w:color="auto"/>
            <w:left w:val="none" w:sz="0" w:space="0" w:color="auto"/>
            <w:bottom w:val="none" w:sz="0" w:space="0" w:color="auto"/>
            <w:right w:val="none" w:sz="0" w:space="0" w:color="auto"/>
          </w:divBdr>
        </w:div>
        <w:div w:id="1383675431">
          <w:marLeft w:val="1123"/>
          <w:marRight w:val="0"/>
          <w:marTop w:val="180"/>
          <w:marBottom w:val="60"/>
          <w:divBdr>
            <w:top w:val="none" w:sz="0" w:space="0" w:color="auto"/>
            <w:left w:val="none" w:sz="0" w:space="0" w:color="auto"/>
            <w:bottom w:val="none" w:sz="0" w:space="0" w:color="auto"/>
            <w:right w:val="none" w:sz="0" w:space="0" w:color="auto"/>
          </w:divBdr>
        </w:div>
        <w:div w:id="82146635">
          <w:marLeft w:val="547"/>
          <w:marRight w:val="0"/>
          <w:marTop w:val="18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idad.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166AE-91E0-4F26-8DF9-098B0F573E4D}"/>
</file>

<file path=customXml/itemProps2.xml><?xml version="1.0" encoding="utf-8"?>
<ds:datastoreItem xmlns:ds="http://schemas.openxmlformats.org/officeDocument/2006/customXml" ds:itemID="{8F4D68E7-0E9E-43E6-8ED8-901C5AC5C810}"/>
</file>

<file path=customXml/itemProps3.xml><?xml version="1.0" encoding="utf-8"?>
<ds:datastoreItem xmlns:ds="http://schemas.openxmlformats.org/officeDocument/2006/customXml" ds:itemID="{72429EBE-A043-4DD3-835B-5C0CF9C3670A}"/>
</file>

<file path=customXml/itemProps4.xml><?xml version="1.0" encoding="utf-8"?>
<ds:datastoreItem xmlns:ds="http://schemas.openxmlformats.org/officeDocument/2006/customXml" ds:itemID="{4001E193-9D95-42F8-9AB1-C6FA1C768BF2}"/>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13321</Characters>
  <Application>Microsoft Office Word</Application>
  <DocSecurity>4</DocSecurity>
  <Lines>111</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America</dc:creator>
  <cp:lastModifiedBy>Katharina Oltmanns</cp:lastModifiedBy>
  <cp:revision>2</cp:revision>
  <dcterms:created xsi:type="dcterms:W3CDTF">2016-07-22T06:50:00Z</dcterms:created>
  <dcterms:modified xsi:type="dcterms:W3CDTF">2016-07-22T06:50:00Z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