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8"/>
        <w:gridCol w:w="3426"/>
      </w:tblGrid>
      <w:tr w:rsidR="00BA25E4" w:rsidRPr="00571E77" w:rsidTr="00BA25E4">
        <w:tc>
          <w:tcPr>
            <w:tcW w:w="4527" w:type="dxa"/>
          </w:tcPr>
          <w:p w:rsidR="00BA25E4" w:rsidRPr="00571E77" w:rsidRDefault="00BA25E4" w:rsidP="00571E77">
            <w:pPr>
              <w:tabs>
                <w:tab w:val="num" w:pos="720"/>
              </w:tabs>
              <w:spacing w:after="240" w:line="276" w:lineRule="auto"/>
              <w:rPr>
                <w:rFonts w:cstheme="minorHAnsi"/>
                <w:sz w:val="23"/>
                <w:szCs w:val="23"/>
              </w:rPr>
            </w:pPr>
            <w:bookmarkStart w:id="0" w:name="_GoBack"/>
            <w:bookmarkEnd w:id="0"/>
            <w:r w:rsidRPr="00571E77">
              <w:rPr>
                <w:rFonts w:cstheme="minorHAnsi"/>
                <w:noProof/>
                <w:sz w:val="23"/>
                <w:szCs w:val="23"/>
                <w:lang w:eastAsia="en-GB"/>
              </w:rPr>
              <w:drawing>
                <wp:inline distT="0" distB="0" distL="0" distR="0">
                  <wp:extent cx="3459933" cy="719666"/>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ticle-39-logo-fighting.jpeg"/>
                          <pic:cNvPicPr/>
                        </pic:nvPicPr>
                        <pic:blipFill>
                          <a:blip r:embed="rId7">
                            <a:extLst>
                              <a:ext uri="{28A0092B-C50C-407E-A947-70E740481C1C}">
                                <a14:useLocalDpi xmlns:a14="http://schemas.microsoft.com/office/drawing/2010/main" val="0"/>
                              </a:ext>
                            </a:extLst>
                          </a:blip>
                          <a:stretch>
                            <a:fillRect/>
                          </a:stretch>
                        </pic:blipFill>
                        <pic:spPr>
                          <a:xfrm>
                            <a:off x="0" y="0"/>
                            <a:ext cx="3474586" cy="722714"/>
                          </a:xfrm>
                          <a:prstGeom prst="rect">
                            <a:avLst/>
                          </a:prstGeom>
                        </pic:spPr>
                      </pic:pic>
                    </a:graphicData>
                  </a:graphic>
                </wp:inline>
              </w:drawing>
            </w:r>
          </w:p>
        </w:tc>
        <w:tc>
          <w:tcPr>
            <w:tcW w:w="4527" w:type="dxa"/>
          </w:tcPr>
          <w:p w:rsidR="00BA25E4" w:rsidRPr="00571E77" w:rsidRDefault="00BA25E4" w:rsidP="00571E77">
            <w:pPr>
              <w:tabs>
                <w:tab w:val="num" w:pos="720"/>
              </w:tabs>
              <w:spacing w:after="240" w:line="276" w:lineRule="auto"/>
              <w:rPr>
                <w:rFonts w:cstheme="minorHAnsi"/>
                <w:sz w:val="23"/>
                <w:szCs w:val="23"/>
              </w:rPr>
            </w:pPr>
            <w:r w:rsidRPr="00571E77">
              <w:rPr>
                <w:rFonts w:cstheme="minorHAnsi"/>
                <w:noProof/>
                <w:sz w:val="23"/>
                <w:szCs w:val="23"/>
                <w:lang w:eastAsia="en-GB"/>
              </w:rPr>
              <w:drawing>
                <wp:inline distT="0" distB="0" distL="0" distR="0">
                  <wp:extent cx="2048934" cy="1153769"/>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AYJ Logo for print 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89466" cy="1232904"/>
                          </a:xfrm>
                          <a:prstGeom prst="rect">
                            <a:avLst/>
                          </a:prstGeom>
                        </pic:spPr>
                      </pic:pic>
                    </a:graphicData>
                  </a:graphic>
                </wp:inline>
              </w:drawing>
            </w:r>
          </w:p>
        </w:tc>
      </w:tr>
    </w:tbl>
    <w:p w:rsidR="00BA25E4" w:rsidRPr="00571E77" w:rsidRDefault="00BA25E4" w:rsidP="00571E77">
      <w:pPr>
        <w:tabs>
          <w:tab w:val="num" w:pos="720"/>
        </w:tabs>
        <w:spacing w:after="240" w:line="276" w:lineRule="auto"/>
        <w:ind w:hanging="360"/>
        <w:rPr>
          <w:rFonts w:cstheme="minorHAnsi"/>
          <w:sz w:val="23"/>
          <w:szCs w:val="23"/>
        </w:rPr>
      </w:pPr>
    </w:p>
    <w:p w:rsidR="000544C3" w:rsidRPr="00571E77" w:rsidRDefault="000544C3" w:rsidP="00571E77">
      <w:pPr>
        <w:pStyle w:val="Heading2"/>
        <w:spacing w:before="0" w:beforeAutospacing="0" w:line="276" w:lineRule="auto"/>
        <w:jc w:val="center"/>
        <w:rPr>
          <w:rFonts w:asciiTheme="minorHAnsi" w:hAnsiTheme="minorHAnsi" w:cstheme="minorHAnsi"/>
          <w:sz w:val="24"/>
          <w:szCs w:val="24"/>
        </w:rPr>
      </w:pPr>
      <w:r w:rsidRPr="00571E77">
        <w:rPr>
          <w:rFonts w:asciiTheme="minorHAnsi" w:hAnsiTheme="minorHAnsi" w:cstheme="minorHAnsi"/>
          <w:sz w:val="24"/>
          <w:szCs w:val="24"/>
        </w:rPr>
        <w:t>Committee on the Rights of the Child</w:t>
      </w:r>
      <w:r w:rsidRPr="00571E77">
        <w:rPr>
          <w:rFonts w:asciiTheme="minorHAnsi" w:hAnsiTheme="minorHAnsi" w:cstheme="minorHAnsi"/>
          <w:sz w:val="24"/>
          <w:szCs w:val="24"/>
        </w:rPr>
        <w:br/>
        <w:t>Draft revised General Comment No. 10 (2007)</w:t>
      </w:r>
      <w:r w:rsidRPr="00571E77">
        <w:rPr>
          <w:rFonts w:asciiTheme="minorHAnsi" w:hAnsiTheme="minorHAnsi" w:cstheme="minorHAnsi"/>
          <w:sz w:val="24"/>
          <w:szCs w:val="24"/>
        </w:rPr>
        <w:br/>
        <w:t xml:space="preserve">on children’s rights in juvenile justice </w:t>
      </w:r>
      <w:r w:rsidRPr="00571E77">
        <w:rPr>
          <w:rFonts w:asciiTheme="minorHAnsi" w:hAnsiTheme="minorHAnsi" w:cstheme="minorHAnsi"/>
          <w:sz w:val="24"/>
          <w:szCs w:val="24"/>
        </w:rPr>
        <w:br/>
      </w:r>
      <w:r w:rsidRPr="00571E77">
        <w:rPr>
          <w:rFonts w:asciiTheme="minorHAnsi" w:hAnsiTheme="minorHAnsi" w:cstheme="minorHAnsi"/>
          <w:sz w:val="24"/>
          <w:szCs w:val="24"/>
        </w:rPr>
        <w:br/>
        <w:t>Joint submission</w:t>
      </w:r>
    </w:p>
    <w:p w:rsidR="00C80055" w:rsidRPr="00571E77" w:rsidRDefault="00F91FD1" w:rsidP="00571E77">
      <w:pPr>
        <w:pStyle w:val="NormalWeb"/>
        <w:spacing w:before="0" w:beforeAutospacing="0" w:line="276" w:lineRule="auto"/>
        <w:rPr>
          <w:rFonts w:asciiTheme="minorHAnsi" w:hAnsiTheme="minorHAnsi" w:cstheme="minorHAnsi"/>
          <w:sz w:val="23"/>
          <w:szCs w:val="23"/>
        </w:rPr>
      </w:pPr>
      <w:r w:rsidRPr="00571E77">
        <w:rPr>
          <w:rFonts w:asciiTheme="minorHAnsi" w:hAnsiTheme="minorHAnsi" w:cstheme="minorHAnsi"/>
          <w:b/>
          <w:color w:val="000000"/>
          <w:sz w:val="23"/>
          <w:szCs w:val="23"/>
        </w:rPr>
        <w:br/>
      </w:r>
      <w:r w:rsidR="003A7AE3" w:rsidRPr="00571E77">
        <w:rPr>
          <w:rFonts w:asciiTheme="minorHAnsi" w:hAnsiTheme="minorHAnsi" w:cstheme="minorHAnsi"/>
          <w:b/>
          <w:color w:val="000000"/>
        </w:rPr>
        <w:t>About us</w:t>
      </w:r>
      <w:r w:rsidR="003A7AE3" w:rsidRPr="00571E77">
        <w:rPr>
          <w:rFonts w:asciiTheme="minorHAnsi" w:hAnsiTheme="minorHAnsi" w:cstheme="minorHAnsi"/>
          <w:b/>
          <w:color w:val="000000"/>
        </w:rPr>
        <w:br/>
      </w:r>
      <w:r w:rsidR="00C80055" w:rsidRPr="00571E77">
        <w:rPr>
          <w:rFonts w:asciiTheme="minorHAnsi" w:hAnsiTheme="minorHAnsi" w:cstheme="minorHAnsi"/>
          <w:sz w:val="23"/>
          <w:szCs w:val="23"/>
        </w:rPr>
        <w:t>Article 39 is an England-wide charity which fights for the rights of children living in state and privately-run institutions (children’s homes, boarding and residential special schools, mental health inpatient units, prisons and immigration detention). We take our name from Article 39 of the United Nations Convention on the Rights of the Child</w:t>
      </w:r>
      <w:r w:rsidR="00AB4640" w:rsidRPr="00571E77">
        <w:rPr>
          <w:rFonts w:asciiTheme="minorHAnsi" w:hAnsiTheme="minorHAnsi" w:cstheme="minorHAnsi"/>
          <w:sz w:val="23"/>
          <w:szCs w:val="23"/>
        </w:rPr>
        <w:t xml:space="preserve"> (UNCRC)</w:t>
      </w:r>
      <w:r w:rsidR="00C80055" w:rsidRPr="00571E77">
        <w:rPr>
          <w:rFonts w:asciiTheme="minorHAnsi" w:hAnsiTheme="minorHAnsi" w:cstheme="minorHAnsi"/>
          <w:sz w:val="23"/>
          <w:szCs w:val="23"/>
        </w:rPr>
        <w:t>.</w:t>
      </w:r>
      <w:r w:rsidR="00C80055" w:rsidRPr="00571E77">
        <w:rPr>
          <w:rFonts w:asciiTheme="minorHAnsi" w:hAnsiTheme="minorHAnsi" w:cstheme="minorHAnsi"/>
          <w:sz w:val="23"/>
          <w:szCs w:val="23"/>
        </w:rPr>
        <w:br/>
      </w:r>
      <w:r w:rsidR="00C80055" w:rsidRPr="00571E77">
        <w:rPr>
          <w:rFonts w:asciiTheme="minorHAnsi" w:hAnsiTheme="minorHAnsi" w:cstheme="minorHAnsi"/>
          <w:sz w:val="23"/>
          <w:szCs w:val="23"/>
        </w:rPr>
        <w:br/>
      </w:r>
      <w:r w:rsidR="00C80055" w:rsidRPr="00571E77">
        <w:rPr>
          <w:rFonts w:asciiTheme="minorHAnsi" w:hAnsiTheme="minorHAnsi" w:cstheme="minorHAnsi"/>
          <w:bCs/>
          <w:sz w:val="23"/>
          <w:szCs w:val="23"/>
        </w:rPr>
        <w:t>The National Association for Youth Justice (NAYJ)</w:t>
      </w:r>
      <w:r w:rsidR="00C80055" w:rsidRPr="00571E77">
        <w:rPr>
          <w:rFonts w:asciiTheme="minorHAnsi" w:hAnsiTheme="minorHAnsi" w:cstheme="minorHAnsi"/>
          <w:sz w:val="23"/>
          <w:szCs w:val="23"/>
        </w:rPr>
        <w:t xml:space="preserve"> is the only membership </w:t>
      </w:r>
      <w:r w:rsidR="00C80055" w:rsidRPr="00B74711">
        <w:rPr>
          <w:rFonts w:asciiTheme="minorHAnsi" w:hAnsiTheme="minorHAnsi" w:cstheme="minorHAnsi"/>
          <w:sz w:val="23"/>
          <w:szCs w:val="23"/>
        </w:rPr>
        <w:t>organisation in England and Wales which exclusively campaigns for the rights of and justice for children and y</w:t>
      </w:r>
      <w:r w:rsidR="00C80055" w:rsidRPr="00571E77">
        <w:rPr>
          <w:rFonts w:asciiTheme="minorHAnsi" w:hAnsiTheme="minorHAnsi" w:cstheme="minorHAnsi"/>
          <w:sz w:val="23"/>
          <w:szCs w:val="23"/>
        </w:rPr>
        <w:t>oung people in trouble with the law.</w:t>
      </w:r>
    </w:p>
    <w:p w:rsidR="00571E77" w:rsidRDefault="00571E77" w:rsidP="00571E77">
      <w:pPr>
        <w:spacing w:line="276" w:lineRule="auto"/>
        <w:rPr>
          <w:rFonts w:cstheme="minorHAnsi"/>
          <w:sz w:val="23"/>
          <w:szCs w:val="23"/>
        </w:rPr>
      </w:pPr>
      <w:r w:rsidRPr="00571E77">
        <w:rPr>
          <w:rFonts w:cstheme="minorHAnsi"/>
          <w:b/>
        </w:rPr>
        <w:t>Introduction</w:t>
      </w:r>
      <w:r w:rsidRPr="00571E77">
        <w:rPr>
          <w:rFonts w:cstheme="minorHAnsi"/>
          <w:b/>
        </w:rPr>
        <w:br/>
      </w:r>
      <w:r w:rsidRPr="00571E77">
        <w:rPr>
          <w:rFonts w:cstheme="minorHAnsi"/>
          <w:sz w:val="23"/>
          <w:szCs w:val="23"/>
        </w:rPr>
        <w:t xml:space="preserve">We strongly welcome </w:t>
      </w:r>
      <w:r w:rsidR="00F04FFC">
        <w:rPr>
          <w:rFonts w:cstheme="minorHAnsi"/>
          <w:sz w:val="23"/>
          <w:szCs w:val="23"/>
        </w:rPr>
        <w:t xml:space="preserve">this </w:t>
      </w:r>
      <w:r w:rsidRPr="00571E77">
        <w:rPr>
          <w:rFonts w:cstheme="minorHAnsi"/>
          <w:sz w:val="23"/>
          <w:szCs w:val="23"/>
        </w:rPr>
        <w:t>revised GC on children’s rights in juvenile justice.</w:t>
      </w:r>
      <w:r w:rsidR="00945033">
        <w:rPr>
          <w:rFonts w:cstheme="minorHAnsi"/>
          <w:sz w:val="23"/>
          <w:szCs w:val="23"/>
        </w:rPr>
        <w:t xml:space="preserve"> Given space limitations, we </w:t>
      </w:r>
      <w:r w:rsidR="00945033">
        <w:rPr>
          <w:rFonts w:eastAsia="Times New Roman" w:cstheme="minorHAnsi"/>
          <w:color w:val="000000"/>
          <w:sz w:val="23"/>
          <w:szCs w:val="23"/>
        </w:rPr>
        <w:t xml:space="preserve">focus our comments on making suggestions for how the GC could be further strengthened to give the best protection to children. </w:t>
      </w:r>
      <w:r w:rsidR="00945033">
        <w:rPr>
          <w:rFonts w:eastAsia="Times New Roman" w:cstheme="minorHAnsi"/>
          <w:color w:val="000000"/>
          <w:sz w:val="23"/>
          <w:szCs w:val="23"/>
        </w:rPr>
        <w:br/>
      </w:r>
    </w:p>
    <w:p w:rsidR="006F6928" w:rsidRDefault="00571E77" w:rsidP="00571E77">
      <w:pPr>
        <w:spacing w:line="276" w:lineRule="auto"/>
        <w:rPr>
          <w:rFonts w:eastAsia="Times New Roman" w:cstheme="minorHAnsi"/>
          <w:color w:val="000000"/>
          <w:sz w:val="23"/>
          <w:szCs w:val="23"/>
        </w:rPr>
      </w:pPr>
      <w:r w:rsidRPr="00571E77">
        <w:rPr>
          <w:rFonts w:cstheme="minorHAnsi"/>
          <w:sz w:val="23"/>
          <w:szCs w:val="23"/>
        </w:rPr>
        <w:t xml:space="preserve">We believe the </w:t>
      </w:r>
      <w:r w:rsidR="006F6928">
        <w:rPr>
          <w:rFonts w:cstheme="minorHAnsi"/>
          <w:sz w:val="23"/>
          <w:szCs w:val="23"/>
        </w:rPr>
        <w:t xml:space="preserve">GC </w:t>
      </w:r>
      <w:r w:rsidRPr="00571E77">
        <w:rPr>
          <w:rFonts w:cstheme="minorHAnsi"/>
          <w:sz w:val="23"/>
          <w:szCs w:val="23"/>
        </w:rPr>
        <w:t>could go</w:t>
      </w:r>
      <w:r w:rsidR="00A87FAF">
        <w:rPr>
          <w:rFonts w:cstheme="minorHAnsi"/>
          <w:sz w:val="23"/>
          <w:szCs w:val="23"/>
        </w:rPr>
        <w:t xml:space="preserve"> much </w:t>
      </w:r>
      <w:r w:rsidRPr="00571E77">
        <w:rPr>
          <w:rFonts w:cstheme="minorHAnsi"/>
          <w:sz w:val="23"/>
          <w:szCs w:val="23"/>
        </w:rPr>
        <w:t xml:space="preserve">further in </w:t>
      </w:r>
      <w:r w:rsidR="00F04FFC">
        <w:rPr>
          <w:rFonts w:cstheme="minorHAnsi"/>
          <w:sz w:val="23"/>
          <w:szCs w:val="23"/>
        </w:rPr>
        <w:t xml:space="preserve">outlining </w:t>
      </w:r>
      <w:r w:rsidRPr="00571E77">
        <w:rPr>
          <w:rFonts w:cstheme="minorHAnsi"/>
          <w:sz w:val="23"/>
          <w:szCs w:val="23"/>
        </w:rPr>
        <w:t xml:space="preserve">the comprehensive and indivisible obligations of the </w:t>
      </w:r>
      <w:r w:rsidRPr="00571E77">
        <w:rPr>
          <w:rFonts w:eastAsia="Times New Roman" w:cstheme="minorHAnsi"/>
          <w:color w:val="000000"/>
          <w:sz w:val="23"/>
          <w:szCs w:val="23"/>
        </w:rPr>
        <w:t>UNCRC</w:t>
      </w:r>
      <w:r w:rsidR="006F6928">
        <w:rPr>
          <w:rFonts w:eastAsia="Times New Roman" w:cstheme="minorHAnsi"/>
          <w:color w:val="000000"/>
          <w:sz w:val="23"/>
          <w:szCs w:val="23"/>
        </w:rPr>
        <w:t xml:space="preserve">, and encourage </w:t>
      </w:r>
      <w:r w:rsidR="006F6928" w:rsidRPr="00571E77">
        <w:rPr>
          <w:rFonts w:eastAsia="Times New Roman" w:cstheme="minorHAnsi"/>
          <w:color w:val="000000"/>
          <w:sz w:val="23"/>
          <w:szCs w:val="23"/>
        </w:rPr>
        <w:t xml:space="preserve">the Committee </w:t>
      </w:r>
      <w:r w:rsidR="006F6928">
        <w:rPr>
          <w:rFonts w:eastAsia="Times New Roman" w:cstheme="minorHAnsi"/>
          <w:color w:val="000000"/>
          <w:sz w:val="23"/>
          <w:szCs w:val="23"/>
        </w:rPr>
        <w:t xml:space="preserve">to give even more </w:t>
      </w:r>
      <w:r w:rsidR="006F6928" w:rsidRPr="00571E77">
        <w:rPr>
          <w:rFonts w:eastAsia="Times New Roman" w:cstheme="minorHAnsi"/>
          <w:color w:val="000000"/>
          <w:sz w:val="23"/>
          <w:szCs w:val="23"/>
        </w:rPr>
        <w:t>emphasis</w:t>
      </w:r>
      <w:r w:rsidR="006F6928">
        <w:rPr>
          <w:rFonts w:eastAsia="Times New Roman" w:cstheme="minorHAnsi"/>
          <w:color w:val="000000"/>
          <w:sz w:val="23"/>
          <w:szCs w:val="23"/>
        </w:rPr>
        <w:t xml:space="preserve"> to the </w:t>
      </w:r>
      <w:r w:rsidR="006F6928" w:rsidRPr="00571E77">
        <w:rPr>
          <w:rFonts w:eastAsia="Times New Roman" w:cstheme="minorHAnsi"/>
          <w:color w:val="000000"/>
          <w:sz w:val="23"/>
          <w:szCs w:val="23"/>
        </w:rPr>
        <w:t xml:space="preserve">treaty </w:t>
      </w:r>
      <w:r w:rsidR="006F6928">
        <w:rPr>
          <w:rFonts w:eastAsia="Times New Roman" w:cstheme="minorHAnsi"/>
          <w:color w:val="000000"/>
          <w:sz w:val="23"/>
          <w:szCs w:val="23"/>
        </w:rPr>
        <w:t xml:space="preserve">obligations </w:t>
      </w:r>
      <w:r w:rsidR="006F6928" w:rsidRPr="00571E77">
        <w:rPr>
          <w:rFonts w:eastAsia="Times New Roman" w:cstheme="minorHAnsi"/>
          <w:color w:val="000000"/>
          <w:sz w:val="23"/>
          <w:szCs w:val="23"/>
        </w:rPr>
        <w:t>not usually associated with juvenile justice –</w:t>
      </w:r>
      <w:r w:rsidR="006F6928">
        <w:rPr>
          <w:rFonts w:cstheme="minorHAnsi"/>
          <w:sz w:val="23"/>
          <w:szCs w:val="23"/>
        </w:rPr>
        <w:t xml:space="preserve"> </w:t>
      </w:r>
      <w:r w:rsidR="006F6928" w:rsidRPr="00571E77">
        <w:rPr>
          <w:rFonts w:eastAsia="Times New Roman" w:cstheme="minorHAnsi"/>
          <w:color w:val="000000"/>
          <w:sz w:val="23"/>
          <w:szCs w:val="23"/>
        </w:rPr>
        <w:t xml:space="preserve">positive family support, inclusive education, </w:t>
      </w:r>
      <w:r w:rsidR="00AF67B7">
        <w:rPr>
          <w:rFonts w:eastAsia="Times New Roman" w:cstheme="minorHAnsi"/>
          <w:color w:val="000000"/>
          <w:sz w:val="23"/>
          <w:szCs w:val="23"/>
        </w:rPr>
        <w:t xml:space="preserve">adequate standard of living and </w:t>
      </w:r>
      <w:r w:rsidR="006F6928" w:rsidRPr="00571E77">
        <w:rPr>
          <w:rFonts w:eastAsia="Times New Roman" w:cstheme="minorHAnsi"/>
          <w:color w:val="000000"/>
          <w:sz w:val="23"/>
          <w:szCs w:val="23"/>
        </w:rPr>
        <w:t>social security</w:t>
      </w:r>
      <w:r w:rsidR="00430853">
        <w:rPr>
          <w:rFonts w:eastAsia="Times New Roman" w:cstheme="minorHAnsi"/>
          <w:color w:val="000000"/>
          <w:sz w:val="23"/>
          <w:szCs w:val="23"/>
        </w:rPr>
        <w:t xml:space="preserve">, therapeutic and other forms of assistance to recover from abuse, </w:t>
      </w:r>
      <w:r w:rsidR="006F6928" w:rsidRPr="00571E77">
        <w:rPr>
          <w:rFonts w:eastAsia="Times New Roman" w:cstheme="minorHAnsi"/>
          <w:color w:val="000000"/>
          <w:sz w:val="23"/>
          <w:szCs w:val="23"/>
        </w:rPr>
        <w:t>and so on.</w:t>
      </w:r>
      <w:r w:rsidR="006F6928">
        <w:rPr>
          <w:rFonts w:eastAsia="Times New Roman" w:cstheme="minorHAnsi"/>
          <w:color w:val="000000"/>
          <w:sz w:val="23"/>
          <w:szCs w:val="23"/>
        </w:rPr>
        <w:t xml:space="preserve"> </w:t>
      </w:r>
    </w:p>
    <w:p w:rsidR="006F6928" w:rsidRDefault="006F6928" w:rsidP="00571E77">
      <w:pPr>
        <w:spacing w:line="276" w:lineRule="auto"/>
        <w:rPr>
          <w:rFonts w:eastAsia="Times New Roman" w:cstheme="minorHAnsi"/>
          <w:color w:val="000000"/>
          <w:sz w:val="23"/>
          <w:szCs w:val="23"/>
        </w:rPr>
      </w:pPr>
    </w:p>
    <w:p w:rsidR="00571E77" w:rsidRPr="006F6928" w:rsidRDefault="00F04FFC" w:rsidP="00571E77">
      <w:pPr>
        <w:spacing w:line="276" w:lineRule="auto"/>
        <w:rPr>
          <w:rFonts w:eastAsia="Times New Roman" w:cstheme="minorHAnsi"/>
          <w:color w:val="000000"/>
          <w:sz w:val="23"/>
          <w:szCs w:val="23"/>
        </w:rPr>
      </w:pPr>
      <w:r>
        <w:rPr>
          <w:rFonts w:eastAsia="Times New Roman" w:cstheme="minorHAnsi"/>
          <w:color w:val="000000"/>
          <w:sz w:val="23"/>
          <w:szCs w:val="23"/>
        </w:rPr>
        <w:t xml:space="preserve">This is a </w:t>
      </w:r>
      <w:r w:rsidR="00571E77" w:rsidRPr="00571E77">
        <w:rPr>
          <w:rFonts w:eastAsia="Times New Roman" w:cstheme="minorHAnsi"/>
          <w:color w:val="000000"/>
          <w:sz w:val="23"/>
          <w:szCs w:val="23"/>
        </w:rPr>
        <w:t xml:space="preserve">policy area where children's </w:t>
      </w:r>
      <w:r>
        <w:rPr>
          <w:rFonts w:eastAsia="Times New Roman" w:cstheme="minorHAnsi"/>
          <w:color w:val="000000"/>
          <w:sz w:val="23"/>
          <w:szCs w:val="23"/>
        </w:rPr>
        <w:t xml:space="preserve">human </w:t>
      </w:r>
      <w:r w:rsidR="00571E77" w:rsidRPr="00571E77">
        <w:rPr>
          <w:rFonts w:eastAsia="Times New Roman" w:cstheme="minorHAnsi"/>
          <w:color w:val="000000"/>
          <w:sz w:val="23"/>
          <w:szCs w:val="23"/>
        </w:rPr>
        <w:t xml:space="preserve">rights breaches are </w:t>
      </w:r>
      <w:r>
        <w:rPr>
          <w:rFonts w:eastAsia="Times New Roman" w:cstheme="minorHAnsi"/>
          <w:color w:val="000000"/>
          <w:sz w:val="23"/>
          <w:szCs w:val="23"/>
        </w:rPr>
        <w:t xml:space="preserve">highly </w:t>
      </w:r>
      <w:r w:rsidR="00571E77" w:rsidRPr="00571E77">
        <w:rPr>
          <w:rFonts w:eastAsia="Times New Roman" w:cstheme="minorHAnsi"/>
          <w:color w:val="000000"/>
          <w:sz w:val="23"/>
          <w:szCs w:val="23"/>
        </w:rPr>
        <w:t xml:space="preserve">visible and serious </w:t>
      </w:r>
      <w:r w:rsidR="00945033">
        <w:rPr>
          <w:rFonts w:eastAsia="Times New Roman" w:cstheme="minorHAnsi"/>
          <w:color w:val="000000"/>
          <w:sz w:val="23"/>
          <w:szCs w:val="23"/>
        </w:rPr>
        <w:t>– before and after children’s contact with the criminal justice system</w:t>
      </w:r>
      <w:r w:rsidR="00571E77" w:rsidRPr="00571E77">
        <w:rPr>
          <w:rFonts w:eastAsia="Times New Roman" w:cstheme="minorHAnsi"/>
          <w:color w:val="000000"/>
          <w:sz w:val="23"/>
          <w:szCs w:val="23"/>
        </w:rPr>
        <w:t>. </w:t>
      </w:r>
      <w:r w:rsidR="006F6928">
        <w:rPr>
          <w:rFonts w:eastAsia="Times New Roman" w:cstheme="minorHAnsi"/>
          <w:color w:val="000000"/>
          <w:sz w:val="23"/>
          <w:szCs w:val="23"/>
        </w:rPr>
        <w:t xml:space="preserve">For this reason, we urge an even </w:t>
      </w:r>
      <w:r w:rsidR="00571E77" w:rsidRPr="00571E77">
        <w:rPr>
          <w:rFonts w:eastAsia="Times New Roman" w:cstheme="minorHAnsi"/>
          <w:color w:val="000000"/>
          <w:sz w:val="23"/>
          <w:szCs w:val="23"/>
        </w:rPr>
        <w:t>strong</w:t>
      </w:r>
      <w:r w:rsidR="006F6928">
        <w:rPr>
          <w:rFonts w:eastAsia="Times New Roman" w:cstheme="minorHAnsi"/>
          <w:color w:val="000000"/>
          <w:sz w:val="23"/>
          <w:szCs w:val="23"/>
        </w:rPr>
        <w:t>er</w:t>
      </w:r>
      <w:r w:rsidR="00571E77" w:rsidRPr="00571E77">
        <w:rPr>
          <w:rFonts w:eastAsia="Times New Roman" w:cstheme="minorHAnsi"/>
          <w:color w:val="000000"/>
          <w:sz w:val="23"/>
          <w:szCs w:val="23"/>
        </w:rPr>
        <w:t xml:space="preserve"> narrative on the rights violations which push children into contact with the criminal justice system, and the harms they suffer as a consequence – particularly</w:t>
      </w:r>
      <w:r w:rsidR="00A87FAF">
        <w:rPr>
          <w:rFonts w:eastAsia="Times New Roman" w:cstheme="minorHAnsi"/>
          <w:color w:val="000000"/>
          <w:sz w:val="23"/>
          <w:szCs w:val="23"/>
        </w:rPr>
        <w:t xml:space="preserve"> in prison and other places of detention</w:t>
      </w:r>
      <w:r w:rsidR="00571E77" w:rsidRPr="00571E77">
        <w:rPr>
          <w:rFonts w:eastAsia="Times New Roman" w:cstheme="minorHAnsi"/>
          <w:color w:val="000000"/>
          <w:sz w:val="23"/>
          <w:szCs w:val="23"/>
        </w:rPr>
        <w:t>. The Committee has consistently required States to pursue legislative reform and cultural change to end all forms of violence in the home. We urge similar boldness in ending the punitive treatment of children by the State.</w:t>
      </w:r>
    </w:p>
    <w:p w:rsidR="00571E77" w:rsidRDefault="00571E77" w:rsidP="00571E77">
      <w:pPr>
        <w:spacing w:line="276" w:lineRule="auto"/>
        <w:rPr>
          <w:rFonts w:cstheme="minorHAnsi"/>
          <w:b/>
          <w:sz w:val="23"/>
          <w:szCs w:val="23"/>
        </w:rPr>
      </w:pPr>
      <w:r w:rsidRPr="00571E77">
        <w:rPr>
          <w:rFonts w:eastAsia="Times New Roman" w:cstheme="minorHAnsi"/>
          <w:color w:val="000000"/>
          <w:sz w:val="23"/>
          <w:szCs w:val="23"/>
        </w:rPr>
        <w:br/>
      </w:r>
    </w:p>
    <w:p w:rsidR="00571E77" w:rsidRDefault="00571E77" w:rsidP="00571E77">
      <w:pPr>
        <w:spacing w:line="276" w:lineRule="auto"/>
        <w:rPr>
          <w:rFonts w:cstheme="minorHAnsi"/>
          <w:b/>
          <w:sz w:val="23"/>
          <w:szCs w:val="23"/>
        </w:rPr>
      </w:pPr>
    </w:p>
    <w:p w:rsidR="00F04FFC" w:rsidRDefault="00F04FFC" w:rsidP="00571E77">
      <w:pPr>
        <w:spacing w:line="276" w:lineRule="auto"/>
        <w:rPr>
          <w:rFonts w:cstheme="minorHAnsi"/>
          <w:b/>
          <w:sz w:val="23"/>
          <w:szCs w:val="23"/>
        </w:rPr>
      </w:pPr>
    </w:p>
    <w:p w:rsidR="00CD142E" w:rsidRDefault="00571E77" w:rsidP="00571E77">
      <w:pPr>
        <w:spacing w:line="276" w:lineRule="auto"/>
        <w:rPr>
          <w:rFonts w:eastAsia="Times New Roman" w:cstheme="minorHAnsi"/>
          <w:color w:val="000000"/>
          <w:sz w:val="23"/>
          <w:szCs w:val="23"/>
        </w:rPr>
      </w:pPr>
      <w:r w:rsidRPr="00571E77">
        <w:rPr>
          <w:rFonts w:cstheme="minorHAnsi"/>
          <w:b/>
        </w:rPr>
        <w:t>Headline concerns</w:t>
      </w:r>
      <w:r w:rsidRPr="00571E77">
        <w:rPr>
          <w:rFonts w:cstheme="minorHAnsi"/>
          <w:b/>
        </w:rPr>
        <w:br/>
      </w:r>
      <w:r w:rsidRPr="00571E77">
        <w:rPr>
          <w:rFonts w:eastAsia="Times New Roman" w:cstheme="minorHAnsi"/>
          <w:b/>
          <w:color w:val="000000"/>
          <w:sz w:val="23"/>
          <w:szCs w:val="23"/>
        </w:rPr>
        <w:br/>
      </w:r>
      <w:r w:rsidRPr="00571E77">
        <w:rPr>
          <w:rFonts w:eastAsia="Times New Roman" w:cstheme="minorHAnsi"/>
          <w:b/>
          <w:i/>
          <w:color w:val="000000"/>
          <w:sz w:val="23"/>
          <w:szCs w:val="23"/>
        </w:rPr>
        <w:t>Age of criminal responsibility</w:t>
      </w:r>
      <w:r w:rsidRPr="00571E77">
        <w:rPr>
          <w:rFonts w:eastAsia="Times New Roman" w:cstheme="minorHAnsi"/>
          <w:i/>
          <w:color w:val="000000"/>
          <w:sz w:val="23"/>
          <w:szCs w:val="23"/>
        </w:rPr>
        <w:br/>
      </w:r>
      <w:r w:rsidRPr="00571E77">
        <w:rPr>
          <w:rFonts w:eastAsia="Times New Roman" w:cstheme="minorHAnsi"/>
          <w:color w:val="000000"/>
          <w:sz w:val="23"/>
          <w:szCs w:val="23"/>
        </w:rPr>
        <w:t>The draft revised GC states that “</w:t>
      </w:r>
      <w:r w:rsidRPr="00571E77">
        <w:rPr>
          <w:rFonts w:cstheme="minorHAnsi"/>
          <w:sz w:val="23"/>
          <w:szCs w:val="23"/>
          <w:lang w:val="en-US"/>
        </w:rPr>
        <w:t>States parties are encouraged to increase their minimum age to at least 14 years of age”.</w:t>
      </w:r>
      <w:r w:rsidRPr="00571E77">
        <w:rPr>
          <w:rFonts w:eastAsia="Times New Roman" w:cstheme="minorHAnsi"/>
          <w:color w:val="000000"/>
          <w:sz w:val="23"/>
          <w:szCs w:val="23"/>
        </w:rPr>
        <w:t xml:space="preserve"> We believe this is too low, given the known – and often very severe – harms </w:t>
      </w:r>
      <w:r w:rsidR="00B74711">
        <w:rPr>
          <w:rFonts w:eastAsia="Times New Roman" w:cstheme="minorHAnsi"/>
          <w:color w:val="000000"/>
          <w:sz w:val="23"/>
          <w:szCs w:val="23"/>
        </w:rPr>
        <w:t xml:space="preserve">caused by </w:t>
      </w:r>
      <w:r w:rsidRPr="00571E77">
        <w:rPr>
          <w:rFonts w:eastAsia="Times New Roman" w:cstheme="minorHAnsi"/>
          <w:color w:val="000000"/>
          <w:sz w:val="23"/>
          <w:szCs w:val="23"/>
        </w:rPr>
        <w:t xml:space="preserve">contact with the criminal justice system and the treaty’s requirement that the arrest of children must be a measure of last resort </w:t>
      </w:r>
      <w:r w:rsidR="00FC3DD9">
        <w:rPr>
          <w:rFonts w:eastAsia="Times New Roman" w:cstheme="minorHAnsi"/>
          <w:color w:val="000000"/>
          <w:sz w:val="23"/>
          <w:szCs w:val="23"/>
        </w:rPr>
        <w:t xml:space="preserve">with </w:t>
      </w:r>
      <w:r w:rsidRPr="00571E77">
        <w:rPr>
          <w:rFonts w:eastAsia="Times New Roman" w:cstheme="minorHAnsi"/>
          <w:color w:val="000000"/>
          <w:sz w:val="23"/>
          <w:szCs w:val="23"/>
        </w:rPr>
        <w:t>non-judicial proceedings a</w:t>
      </w:r>
      <w:r w:rsidR="00FC3DD9">
        <w:rPr>
          <w:rFonts w:eastAsia="Times New Roman" w:cstheme="minorHAnsi"/>
          <w:color w:val="000000"/>
          <w:sz w:val="23"/>
          <w:szCs w:val="23"/>
        </w:rPr>
        <w:t xml:space="preserve">s </w:t>
      </w:r>
      <w:r w:rsidRPr="00571E77">
        <w:rPr>
          <w:rFonts w:eastAsia="Times New Roman" w:cstheme="minorHAnsi"/>
          <w:color w:val="000000"/>
          <w:sz w:val="23"/>
          <w:szCs w:val="23"/>
        </w:rPr>
        <w:t>the default position.</w:t>
      </w:r>
      <w:r w:rsidRPr="00571E77">
        <w:rPr>
          <w:rStyle w:val="FootnoteReference"/>
          <w:rFonts w:eastAsia="Times New Roman" w:cstheme="minorHAnsi"/>
          <w:color w:val="000000"/>
          <w:sz w:val="23"/>
          <w:szCs w:val="23"/>
        </w:rPr>
        <w:footnoteReference w:id="1"/>
      </w:r>
      <w:r w:rsidRPr="00571E77">
        <w:rPr>
          <w:rFonts w:eastAsia="Times New Roman" w:cstheme="minorHAnsi"/>
          <w:color w:val="000000"/>
          <w:sz w:val="23"/>
          <w:szCs w:val="23"/>
        </w:rPr>
        <w:t> </w:t>
      </w:r>
    </w:p>
    <w:p w:rsidR="00CD142E" w:rsidRDefault="00CD142E" w:rsidP="00571E77">
      <w:pPr>
        <w:spacing w:line="276" w:lineRule="auto"/>
        <w:rPr>
          <w:rFonts w:eastAsia="Times New Roman" w:cstheme="minorHAnsi"/>
          <w:color w:val="000000"/>
          <w:sz w:val="23"/>
          <w:szCs w:val="23"/>
        </w:rPr>
      </w:pPr>
    </w:p>
    <w:p w:rsidR="00571E77" w:rsidRPr="00571E77" w:rsidRDefault="00CD142E" w:rsidP="00571E77">
      <w:pPr>
        <w:spacing w:line="276" w:lineRule="auto"/>
        <w:rPr>
          <w:rFonts w:eastAsia="Times New Roman" w:cstheme="minorHAnsi"/>
          <w:color w:val="000000"/>
          <w:sz w:val="23"/>
          <w:szCs w:val="23"/>
        </w:rPr>
      </w:pPr>
      <w:r>
        <w:rPr>
          <w:rFonts w:eastAsia="Times New Roman" w:cstheme="minorHAnsi"/>
          <w:color w:val="000000"/>
          <w:sz w:val="23"/>
          <w:szCs w:val="23"/>
        </w:rPr>
        <w:t xml:space="preserve">Girls and boys </w:t>
      </w:r>
      <w:r w:rsidR="00571E77" w:rsidRPr="00571E77">
        <w:rPr>
          <w:rFonts w:eastAsia="Times New Roman" w:cstheme="minorHAnsi"/>
          <w:color w:val="000000"/>
          <w:sz w:val="23"/>
          <w:szCs w:val="23"/>
        </w:rPr>
        <w:t xml:space="preserve">living in poverty, street children, children from black and minority ethnic communities, children excluded from education, children with disabilities and children who have suffered violence within the home are disproportionately drawn into the criminal justice system. </w:t>
      </w:r>
    </w:p>
    <w:p w:rsidR="00571E77" w:rsidRPr="00571E77" w:rsidRDefault="00571E77" w:rsidP="00571E77">
      <w:pPr>
        <w:spacing w:line="276" w:lineRule="auto"/>
        <w:rPr>
          <w:rFonts w:eastAsia="Times New Roman" w:cstheme="minorHAnsi"/>
          <w:color w:val="000000"/>
          <w:sz w:val="23"/>
          <w:szCs w:val="23"/>
        </w:rPr>
      </w:pPr>
      <w:r w:rsidRPr="00571E77">
        <w:rPr>
          <w:rFonts w:eastAsia="Times New Roman" w:cstheme="minorHAnsi"/>
          <w:color w:val="000000"/>
          <w:sz w:val="23"/>
          <w:szCs w:val="23"/>
        </w:rPr>
        <w:t xml:space="preserve">We encourage the Committee to undertake a fuller interpretation of the treaty’s requirement for a minimum age of criminal responsibility, stressing States </w:t>
      </w:r>
      <w:r w:rsidR="00CD142E">
        <w:rPr>
          <w:rFonts w:eastAsia="Times New Roman" w:cstheme="minorHAnsi"/>
          <w:color w:val="000000"/>
          <w:sz w:val="23"/>
          <w:szCs w:val="23"/>
        </w:rPr>
        <w:t>P</w:t>
      </w:r>
      <w:r w:rsidRPr="00571E77">
        <w:rPr>
          <w:rFonts w:eastAsia="Times New Roman" w:cstheme="minorHAnsi"/>
          <w:color w:val="000000"/>
          <w:sz w:val="23"/>
          <w:szCs w:val="23"/>
        </w:rPr>
        <w:t xml:space="preserve">arties’ obligations to ensure all children can enjoy their rights without any form of discrimination and providing positive forms of recovery and rehabilitation to those who have suffered violations. Article 5’s provisions on the evolving capacities of children are also pertinent. It is </w:t>
      </w:r>
      <w:r w:rsidR="00CD142E">
        <w:rPr>
          <w:rFonts w:eastAsia="Times New Roman" w:cstheme="minorHAnsi"/>
          <w:color w:val="000000"/>
          <w:sz w:val="23"/>
          <w:szCs w:val="23"/>
        </w:rPr>
        <w:t xml:space="preserve">increasingly and widely </w:t>
      </w:r>
      <w:r w:rsidRPr="00571E77">
        <w:rPr>
          <w:rFonts w:eastAsia="Times New Roman" w:cstheme="minorHAnsi"/>
          <w:color w:val="000000"/>
          <w:sz w:val="23"/>
          <w:szCs w:val="23"/>
        </w:rPr>
        <w:t>accepted that there are no definitive ages and stages at which all children can be said to be equally capacitous. The Committee’s General Comment on the rights of the child during adolescence states:</w:t>
      </w:r>
    </w:p>
    <w:p w:rsidR="00571E77" w:rsidRPr="00571E77" w:rsidRDefault="00571E77" w:rsidP="00571E77">
      <w:pPr>
        <w:spacing w:line="276" w:lineRule="auto"/>
        <w:rPr>
          <w:rFonts w:eastAsia="Times New Roman" w:cstheme="minorHAnsi"/>
          <w:i/>
          <w:sz w:val="23"/>
          <w:szCs w:val="23"/>
        </w:rPr>
      </w:pPr>
    </w:p>
    <w:p w:rsidR="00571E77" w:rsidRPr="00571E77" w:rsidRDefault="00571E77" w:rsidP="00571E77">
      <w:pPr>
        <w:spacing w:line="276" w:lineRule="auto"/>
        <w:ind w:left="720"/>
        <w:rPr>
          <w:rFonts w:eastAsia="Times New Roman" w:cstheme="minorHAnsi"/>
          <w:sz w:val="23"/>
          <w:szCs w:val="23"/>
        </w:rPr>
      </w:pPr>
      <w:r w:rsidRPr="00571E77">
        <w:rPr>
          <w:rFonts w:eastAsia="Times New Roman" w:cstheme="minorHAnsi"/>
          <w:i/>
          <w:sz w:val="23"/>
          <w:szCs w:val="23"/>
        </w:rPr>
        <w:t>In seeking to provide an appropriate balance between respect for the evolving capacities of adolescents and appropriate levels of protection, consideration should be given to a range of factors affecting decision-making, including the level of risk involved, the potential for exploitation, understanding of adolescent development, recognition that competence and understanding do not necessarily develop equally across all fields at the same pace and recognition of individual experience and capacity.</w:t>
      </w:r>
      <w:r w:rsidRPr="00571E77">
        <w:rPr>
          <w:rStyle w:val="FootnoteReference"/>
          <w:rFonts w:eastAsia="Times New Roman" w:cstheme="minorHAnsi"/>
          <w:i/>
          <w:sz w:val="23"/>
          <w:szCs w:val="23"/>
        </w:rPr>
        <w:footnoteReference w:id="2"/>
      </w:r>
      <w:r w:rsidRPr="00571E77">
        <w:rPr>
          <w:rFonts w:eastAsia="Times New Roman" w:cstheme="minorHAnsi"/>
          <w:sz w:val="23"/>
          <w:szCs w:val="23"/>
        </w:rPr>
        <w:t xml:space="preserve"> </w:t>
      </w:r>
    </w:p>
    <w:p w:rsidR="00571E77" w:rsidRPr="00571E77" w:rsidRDefault="00571E77" w:rsidP="00571E77">
      <w:pPr>
        <w:spacing w:line="276" w:lineRule="auto"/>
        <w:rPr>
          <w:rFonts w:eastAsia="Times New Roman" w:cstheme="minorHAnsi"/>
          <w:sz w:val="23"/>
          <w:szCs w:val="23"/>
        </w:rPr>
      </w:pPr>
    </w:p>
    <w:p w:rsidR="00571E77" w:rsidRPr="00571E77" w:rsidRDefault="00571E77" w:rsidP="00571E77">
      <w:pPr>
        <w:spacing w:line="276" w:lineRule="auto"/>
        <w:rPr>
          <w:rFonts w:eastAsia="Times New Roman" w:cstheme="minorHAnsi"/>
          <w:sz w:val="23"/>
          <w:szCs w:val="23"/>
        </w:rPr>
      </w:pPr>
      <w:r w:rsidRPr="00571E77">
        <w:rPr>
          <w:rFonts w:eastAsia="Times New Roman" w:cstheme="minorHAnsi"/>
          <w:sz w:val="23"/>
          <w:szCs w:val="23"/>
        </w:rPr>
        <w:t xml:space="preserve">Given the apparent inconsistency between having a generic minimum age of criminal responsibility and respecting each child’s evolving capacities, we suggest the Committee adopts the approach taken in the Optional Protocol on Armed Conflict, whereby the harms of any form of contact with armed conflict provides the context for emphasising children’s right to special protection </w:t>
      </w:r>
      <w:r w:rsidRPr="00571E77">
        <w:rPr>
          <w:rFonts w:eastAsia="Times New Roman" w:cstheme="minorHAnsi"/>
          <w:sz w:val="23"/>
          <w:szCs w:val="23"/>
          <w:u w:val="single"/>
        </w:rPr>
        <w:t>to the age of 18</w:t>
      </w:r>
      <w:r w:rsidRPr="00571E77">
        <w:rPr>
          <w:rFonts w:eastAsia="Times New Roman" w:cstheme="minorHAnsi"/>
          <w:sz w:val="23"/>
          <w:szCs w:val="23"/>
        </w:rPr>
        <w:t xml:space="preserve">. </w:t>
      </w:r>
    </w:p>
    <w:p w:rsidR="00571E77" w:rsidRPr="00571E77" w:rsidRDefault="00571E77" w:rsidP="00571E77">
      <w:pPr>
        <w:spacing w:line="276" w:lineRule="auto"/>
        <w:rPr>
          <w:rFonts w:eastAsia="Times New Roman" w:cstheme="minorHAnsi"/>
          <w:sz w:val="23"/>
          <w:szCs w:val="23"/>
        </w:rPr>
      </w:pPr>
    </w:p>
    <w:p w:rsidR="00571E77" w:rsidRPr="00571E77" w:rsidRDefault="00571E77" w:rsidP="00571E77">
      <w:pPr>
        <w:spacing w:line="276" w:lineRule="auto"/>
        <w:rPr>
          <w:rFonts w:eastAsia="Times New Roman" w:cstheme="minorHAnsi"/>
          <w:sz w:val="23"/>
          <w:szCs w:val="23"/>
        </w:rPr>
      </w:pPr>
      <w:r w:rsidRPr="00571E77">
        <w:rPr>
          <w:rFonts w:eastAsia="Times New Roman" w:cstheme="minorHAnsi"/>
          <w:sz w:val="23"/>
          <w:szCs w:val="23"/>
        </w:rPr>
        <w:t xml:space="preserve">The risks to children’s survival and development of contact with the criminal justice system, particularly penal detention, make it impossible – from a children’s rights perspective – to appear to suggest that the risks are more manageable (legitimate) from age 14 onwards. </w:t>
      </w:r>
    </w:p>
    <w:p w:rsidR="00571E77" w:rsidRPr="00571E77" w:rsidRDefault="00571E77" w:rsidP="00571E77">
      <w:pPr>
        <w:spacing w:line="276" w:lineRule="auto"/>
        <w:rPr>
          <w:rFonts w:eastAsia="Times New Roman" w:cs="Times New Roman"/>
          <w:color w:val="000000" w:themeColor="text1"/>
          <w:sz w:val="23"/>
          <w:szCs w:val="23"/>
        </w:rPr>
      </w:pPr>
      <w:r w:rsidRPr="00571E77">
        <w:rPr>
          <w:rFonts w:eastAsia="Times New Roman" w:cstheme="minorHAnsi"/>
          <w:color w:val="000000"/>
          <w:sz w:val="23"/>
          <w:szCs w:val="23"/>
        </w:rPr>
        <w:br/>
      </w:r>
      <w:r w:rsidRPr="00571E77">
        <w:rPr>
          <w:rFonts w:eastAsia="Times New Roman" w:cstheme="minorHAnsi"/>
          <w:b/>
          <w:i/>
          <w:color w:val="000000"/>
          <w:sz w:val="23"/>
          <w:szCs w:val="23"/>
        </w:rPr>
        <w:t>Deprivation of liberty</w:t>
      </w:r>
      <w:r w:rsidRPr="00571E77">
        <w:rPr>
          <w:rFonts w:eastAsia="Times New Roman" w:cstheme="minorHAnsi"/>
          <w:b/>
          <w:i/>
          <w:color w:val="000000"/>
          <w:sz w:val="23"/>
          <w:szCs w:val="23"/>
        </w:rPr>
        <w:br/>
      </w:r>
      <w:r w:rsidRPr="00571E77">
        <w:rPr>
          <w:rFonts w:eastAsia="Times New Roman" w:cs="Times New Roman"/>
          <w:color w:val="000000" w:themeColor="text1"/>
          <w:sz w:val="23"/>
          <w:szCs w:val="23"/>
        </w:rPr>
        <w:t xml:space="preserve">We believe that the primary message of the GC in respect of deprivation of liberty (first mentioned para 3) is that it must be used extremely rarely. The best interests and maximum </w:t>
      </w:r>
      <w:r w:rsidRPr="00571E77">
        <w:rPr>
          <w:rFonts w:eastAsia="Times New Roman" w:cs="Times New Roman"/>
          <w:color w:val="000000" w:themeColor="text1"/>
          <w:sz w:val="23"/>
          <w:szCs w:val="23"/>
        </w:rPr>
        <w:lastRenderedPageBreak/>
        <w:t>development obligations of the UNCRC, combined with the last resort requirement and positive obligations to protect the child from all forms of violence and inhuman and degrading treatment</w:t>
      </w:r>
      <w:r w:rsidR="00CD142E">
        <w:rPr>
          <w:rFonts w:eastAsia="Times New Roman" w:cs="Times New Roman"/>
          <w:color w:val="000000" w:themeColor="text1"/>
          <w:sz w:val="23"/>
          <w:szCs w:val="23"/>
        </w:rPr>
        <w:t>,</w:t>
      </w:r>
      <w:r w:rsidRPr="00571E77">
        <w:rPr>
          <w:rFonts w:eastAsia="Times New Roman" w:cs="Times New Roman"/>
          <w:color w:val="000000" w:themeColor="text1"/>
          <w:sz w:val="23"/>
          <w:szCs w:val="23"/>
        </w:rPr>
        <w:t xml:space="preserve"> weigh heavily against any form of child detention.  </w:t>
      </w:r>
    </w:p>
    <w:p w:rsidR="00571E77" w:rsidRDefault="00571E77" w:rsidP="00571E77">
      <w:pPr>
        <w:spacing w:line="276" w:lineRule="auto"/>
        <w:rPr>
          <w:rFonts w:eastAsia="Times New Roman" w:cstheme="minorHAnsi"/>
          <w:color w:val="000000"/>
          <w:sz w:val="23"/>
          <w:szCs w:val="23"/>
        </w:rPr>
      </w:pPr>
      <w:r w:rsidRPr="00571E77">
        <w:rPr>
          <w:rFonts w:eastAsia="Times New Roman" w:cstheme="minorHAnsi"/>
          <w:color w:val="000000" w:themeColor="text1"/>
          <w:sz w:val="23"/>
          <w:szCs w:val="23"/>
        </w:rPr>
        <w:br/>
      </w:r>
      <w:r w:rsidRPr="00571E77">
        <w:rPr>
          <w:rFonts w:eastAsia="Times New Roman" w:cstheme="minorHAnsi"/>
          <w:color w:val="000000"/>
          <w:sz w:val="23"/>
          <w:szCs w:val="23"/>
        </w:rPr>
        <w:t xml:space="preserve">We are disappointed that the Committee does not give detailed consideration to the meaning of last resort. Our own broad interpretation of this is that all of the child's rights must have been implemented and, despite this, the child cannot be safely maintained within the community at the present time. </w:t>
      </w:r>
    </w:p>
    <w:p w:rsidR="00CD142E" w:rsidRPr="00571E77" w:rsidRDefault="00CD142E" w:rsidP="00571E77">
      <w:pPr>
        <w:spacing w:line="276" w:lineRule="auto"/>
        <w:rPr>
          <w:rFonts w:eastAsia="Times New Roman" w:cstheme="minorHAnsi"/>
          <w:color w:val="000000"/>
          <w:sz w:val="23"/>
          <w:szCs w:val="23"/>
        </w:rPr>
      </w:pPr>
    </w:p>
    <w:p w:rsidR="00571E77" w:rsidRPr="00571E77" w:rsidRDefault="00571E77" w:rsidP="00571E77">
      <w:pPr>
        <w:spacing w:line="276" w:lineRule="auto"/>
        <w:rPr>
          <w:rFonts w:eastAsia="Times New Roman" w:cstheme="minorHAnsi"/>
          <w:color w:val="000000"/>
          <w:sz w:val="23"/>
          <w:szCs w:val="23"/>
        </w:rPr>
      </w:pPr>
      <w:r w:rsidRPr="00571E77">
        <w:rPr>
          <w:rFonts w:eastAsia="Times New Roman" w:cstheme="minorHAnsi"/>
          <w:color w:val="000000"/>
          <w:sz w:val="23"/>
          <w:szCs w:val="23"/>
        </w:rPr>
        <w:t xml:space="preserve">We strongly recommend </w:t>
      </w:r>
      <w:r w:rsidR="00CD142E">
        <w:rPr>
          <w:rFonts w:eastAsia="Times New Roman" w:cstheme="minorHAnsi"/>
          <w:color w:val="000000"/>
          <w:sz w:val="23"/>
          <w:szCs w:val="23"/>
        </w:rPr>
        <w:t xml:space="preserve">that </w:t>
      </w:r>
      <w:r w:rsidRPr="00571E77">
        <w:rPr>
          <w:rFonts w:eastAsia="Times New Roman" w:cstheme="minorHAnsi"/>
          <w:color w:val="000000"/>
          <w:sz w:val="23"/>
          <w:szCs w:val="23"/>
        </w:rPr>
        <w:t xml:space="preserve">the Committee </w:t>
      </w:r>
      <w:r w:rsidR="005E5E5C">
        <w:rPr>
          <w:rFonts w:eastAsia="Times New Roman" w:cstheme="minorHAnsi"/>
          <w:color w:val="000000"/>
          <w:sz w:val="23"/>
          <w:szCs w:val="23"/>
        </w:rPr>
        <w:t xml:space="preserve">promotes </w:t>
      </w:r>
      <w:r w:rsidRPr="00571E77">
        <w:rPr>
          <w:rFonts w:eastAsia="Times New Roman" w:cstheme="minorHAnsi"/>
          <w:color w:val="000000"/>
          <w:sz w:val="23"/>
          <w:szCs w:val="23"/>
        </w:rPr>
        <w:t>secure settings which are not modelled on adult prisons but instead follow residential child care norms and standards. Additionally, the inherent risks and limitations of any form of institutionalised care must be stressed. </w:t>
      </w:r>
      <w:r w:rsidRPr="00571E77">
        <w:rPr>
          <w:rFonts w:eastAsia="Times New Roman" w:cstheme="minorHAnsi"/>
          <w:color w:val="000000"/>
          <w:sz w:val="23"/>
          <w:szCs w:val="23"/>
        </w:rPr>
        <w:br/>
      </w:r>
      <w:r w:rsidRPr="00571E77">
        <w:rPr>
          <w:rFonts w:eastAsia="Times New Roman" w:cstheme="minorHAnsi"/>
          <w:color w:val="000000"/>
          <w:sz w:val="23"/>
          <w:szCs w:val="23"/>
        </w:rPr>
        <w:br/>
        <w:t>The aims, ethos, culture and conditions in which children’s liberty is curtailed must all comply with the UNCRC principles and provisions. We suggest the ‘Treatment and conditions’ of deprivation of liberty section (paras 104-108) could be reframed as residential settings where children’s liberty may be restricted for the shortest period possible with a discussion of the various requirements of the UNCRC in terms of children’s welfare and safety, care, relationships with their family, education, health, leisure and so on, followed by safeguards and procedural rights including article 25 periodic review. The restriction of children’s liberty within these residential settings should only be to the extent necessary. We hope the final revised GC will state that practices transferred or adapted from adult prisons – such as solitary confinement, corporal punishment, the sanction of extra days for breaching rules, pain-inducing restraint techniques and strip-searching – have no place in children’s settings.</w:t>
      </w:r>
    </w:p>
    <w:p w:rsidR="00571E77" w:rsidRPr="00571E77" w:rsidRDefault="00571E77" w:rsidP="00571E77">
      <w:pPr>
        <w:spacing w:line="276" w:lineRule="auto"/>
        <w:rPr>
          <w:rFonts w:eastAsia="Times New Roman" w:cstheme="minorHAnsi"/>
          <w:color w:val="000000"/>
          <w:sz w:val="23"/>
          <w:szCs w:val="23"/>
        </w:rPr>
      </w:pPr>
      <w:r w:rsidRPr="00571E77">
        <w:rPr>
          <w:rFonts w:eastAsia="Times New Roman" w:cstheme="minorHAnsi"/>
          <w:color w:val="000000"/>
          <w:sz w:val="23"/>
          <w:szCs w:val="23"/>
        </w:rPr>
        <w:t> </w:t>
      </w:r>
    </w:p>
    <w:p w:rsidR="00571E77" w:rsidRPr="00571E77" w:rsidRDefault="00571E77" w:rsidP="00571E77">
      <w:pPr>
        <w:spacing w:line="276" w:lineRule="auto"/>
        <w:rPr>
          <w:rFonts w:eastAsia="Times New Roman" w:cstheme="minorHAnsi"/>
          <w:color w:val="000000"/>
          <w:sz w:val="23"/>
          <w:szCs w:val="23"/>
        </w:rPr>
      </w:pPr>
      <w:r w:rsidRPr="00571E77">
        <w:rPr>
          <w:rFonts w:eastAsia="Times New Roman" w:cstheme="minorHAnsi"/>
          <w:color w:val="000000"/>
          <w:sz w:val="23"/>
          <w:szCs w:val="23"/>
        </w:rPr>
        <w:t xml:space="preserve">The presumption of no deprivation of liberty below age 16 (para 101) is a welcome development in its acknowledgment of the harms of detention. However, to be consistent with the treaty’s principles and provisions the GC should require that </w:t>
      </w:r>
      <w:r w:rsidRPr="00571E77">
        <w:rPr>
          <w:rFonts w:eastAsia="Times New Roman" w:cstheme="minorHAnsi"/>
          <w:color w:val="000000"/>
          <w:sz w:val="23"/>
          <w:szCs w:val="23"/>
          <w:u w:val="single"/>
        </w:rPr>
        <w:t xml:space="preserve">all </w:t>
      </w:r>
      <w:r w:rsidRPr="00571E77">
        <w:rPr>
          <w:rFonts w:eastAsia="Times New Roman" w:cstheme="minorHAnsi"/>
          <w:color w:val="000000"/>
          <w:sz w:val="23"/>
          <w:szCs w:val="23"/>
        </w:rPr>
        <w:t>children be protected from penal detention. We draw the Committee’s attention to the UN Special Rapporteur on the Right to Health’s recent report on deprivation of liberty and confinement, which states:</w:t>
      </w:r>
    </w:p>
    <w:p w:rsidR="00571E77" w:rsidRPr="00571E77" w:rsidRDefault="00571E77" w:rsidP="00571E77">
      <w:pPr>
        <w:spacing w:line="276" w:lineRule="auto"/>
        <w:rPr>
          <w:rFonts w:eastAsia="Times New Roman" w:cstheme="minorHAnsi"/>
          <w:sz w:val="23"/>
          <w:szCs w:val="23"/>
        </w:rPr>
      </w:pPr>
    </w:p>
    <w:p w:rsidR="00571E77" w:rsidRPr="00571E77" w:rsidRDefault="00571E77" w:rsidP="00571E77">
      <w:pPr>
        <w:spacing w:line="276" w:lineRule="auto"/>
        <w:ind w:firstLine="720"/>
        <w:rPr>
          <w:rFonts w:eastAsia="Times New Roman" w:cstheme="minorHAnsi"/>
          <w:i/>
          <w:sz w:val="23"/>
          <w:szCs w:val="23"/>
        </w:rPr>
      </w:pPr>
      <w:r w:rsidRPr="00571E77">
        <w:rPr>
          <w:rFonts w:eastAsia="Times New Roman" w:cstheme="minorHAnsi"/>
          <w:i/>
          <w:sz w:val="23"/>
          <w:szCs w:val="23"/>
        </w:rPr>
        <w:t xml:space="preserve">The scale and magnitude of children’s suffering in detention and confinement call </w:t>
      </w:r>
    </w:p>
    <w:p w:rsidR="00571E77" w:rsidRPr="00571E77" w:rsidRDefault="00571E77" w:rsidP="00571E77">
      <w:pPr>
        <w:spacing w:line="276" w:lineRule="auto"/>
        <w:ind w:firstLine="720"/>
        <w:rPr>
          <w:rFonts w:eastAsia="Times New Roman" w:cstheme="minorHAnsi"/>
          <w:i/>
          <w:sz w:val="23"/>
          <w:szCs w:val="23"/>
        </w:rPr>
      </w:pPr>
      <w:r w:rsidRPr="00571E77">
        <w:rPr>
          <w:rFonts w:eastAsia="Times New Roman" w:cstheme="minorHAnsi"/>
          <w:i/>
          <w:sz w:val="23"/>
          <w:szCs w:val="23"/>
        </w:rPr>
        <w:t xml:space="preserve">for a global commitment to the abolition of child prisons and large care institutions </w:t>
      </w:r>
    </w:p>
    <w:p w:rsidR="00571E77" w:rsidRPr="00571E77" w:rsidRDefault="00571E77" w:rsidP="00571E77">
      <w:pPr>
        <w:spacing w:line="276" w:lineRule="auto"/>
        <w:ind w:firstLine="720"/>
        <w:rPr>
          <w:rFonts w:eastAsia="Times New Roman" w:cstheme="minorHAnsi"/>
          <w:i/>
          <w:sz w:val="23"/>
          <w:szCs w:val="23"/>
        </w:rPr>
      </w:pPr>
      <w:r w:rsidRPr="00571E77">
        <w:rPr>
          <w:rFonts w:eastAsia="Times New Roman" w:cstheme="minorHAnsi"/>
          <w:i/>
          <w:sz w:val="23"/>
          <w:szCs w:val="23"/>
        </w:rPr>
        <w:t>alongside scaled-up investment in community-based services.</w:t>
      </w:r>
      <w:r w:rsidRPr="00571E77">
        <w:rPr>
          <w:rStyle w:val="FootnoteReference"/>
          <w:rFonts w:eastAsia="Times New Roman" w:cstheme="minorHAnsi"/>
          <w:i/>
          <w:sz w:val="23"/>
          <w:szCs w:val="23"/>
        </w:rPr>
        <w:footnoteReference w:id="3"/>
      </w:r>
    </w:p>
    <w:p w:rsidR="00571E77" w:rsidRPr="00571E77" w:rsidRDefault="00571E77" w:rsidP="00571E77">
      <w:pPr>
        <w:spacing w:line="276" w:lineRule="auto"/>
        <w:rPr>
          <w:rFonts w:eastAsia="Times New Roman" w:cstheme="minorHAnsi"/>
          <w:color w:val="000000"/>
          <w:sz w:val="23"/>
          <w:szCs w:val="23"/>
        </w:rPr>
      </w:pPr>
      <w:r w:rsidRPr="00571E77">
        <w:rPr>
          <w:rFonts w:eastAsia="Times New Roman" w:cstheme="minorHAnsi"/>
          <w:color w:val="000000"/>
          <w:sz w:val="23"/>
          <w:szCs w:val="23"/>
        </w:rPr>
        <w:br/>
        <w:t>We urge the Committee to promote a presumption against pre-trial detention unless this is demonstrably necessary for public protection or the child’s safety. The reduction of pre-trial detention (para 97) is too weak a recommendation when deprivation of liberty is meant to be a measure of last resort.</w:t>
      </w:r>
    </w:p>
    <w:p w:rsidR="00571E77" w:rsidRPr="00571E77" w:rsidRDefault="00571E77" w:rsidP="00571E77">
      <w:pPr>
        <w:spacing w:line="276" w:lineRule="auto"/>
        <w:rPr>
          <w:rFonts w:eastAsia="Times New Roman" w:cstheme="minorHAnsi"/>
          <w:color w:val="000000"/>
          <w:sz w:val="23"/>
          <w:szCs w:val="23"/>
        </w:rPr>
      </w:pPr>
      <w:r w:rsidRPr="00571E77">
        <w:rPr>
          <w:rFonts w:eastAsia="Times New Roman" w:cstheme="minorHAnsi"/>
          <w:color w:val="000000"/>
          <w:sz w:val="23"/>
          <w:szCs w:val="23"/>
        </w:rPr>
        <w:t xml:space="preserve"> </w:t>
      </w:r>
    </w:p>
    <w:p w:rsidR="00571E77" w:rsidRPr="00571E77" w:rsidRDefault="00571E77" w:rsidP="00571E77">
      <w:pPr>
        <w:spacing w:line="276" w:lineRule="auto"/>
        <w:rPr>
          <w:rFonts w:eastAsia="Times New Roman" w:cstheme="minorHAnsi"/>
          <w:color w:val="000000"/>
          <w:sz w:val="23"/>
          <w:szCs w:val="23"/>
        </w:rPr>
      </w:pPr>
      <w:r w:rsidRPr="00571E77">
        <w:rPr>
          <w:rFonts w:eastAsia="Times New Roman" w:cstheme="minorHAnsi"/>
          <w:b/>
          <w:i/>
          <w:color w:val="000000"/>
          <w:sz w:val="23"/>
          <w:szCs w:val="23"/>
        </w:rPr>
        <w:t>Life imprisonment without possibility of release</w:t>
      </w:r>
      <w:r w:rsidRPr="00571E77">
        <w:rPr>
          <w:rFonts w:eastAsia="Times New Roman" w:cstheme="minorHAnsi"/>
          <w:b/>
          <w:i/>
          <w:color w:val="000000"/>
          <w:sz w:val="23"/>
          <w:szCs w:val="23"/>
        </w:rPr>
        <w:br/>
      </w:r>
      <w:r w:rsidRPr="00571E77">
        <w:rPr>
          <w:rFonts w:eastAsia="Times New Roman" w:cstheme="minorHAnsi"/>
          <w:color w:val="000000"/>
          <w:sz w:val="23"/>
          <w:szCs w:val="23"/>
        </w:rPr>
        <w:t xml:space="preserve">The Convention states that life imprisonment should not be “imposed” on children. We recommend the Committee’s consideration of this provision be (radically) reformulated to </w:t>
      </w:r>
      <w:r w:rsidRPr="00571E77">
        <w:rPr>
          <w:rFonts w:eastAsia="Times New Roman" w:cstheme="minorHAnsi"/>
          <w:color w:val="000000"/>
          <w:sz w:val="23"/>
          <w:szCs w:val="23"/>
        </w:rPr>
        <w:lastRenderedPageBreak/>
        <w:t xml:space="preserve">provide States </w:t>
      </w:r>
      <w:r w:rsidR="005E5E5C">
        <w:rPr>
          <w:rFonts w:eastAsia="Times New Roman" w:cstheme="minorHAnsi"/>
          <w:color w:val="000000"/>
          <w:sz w:val="23"/>
          <w:szCs w:val="23"/>
        </w:rPr>
        <w:t xml:space="preserve">Parties </w:t>
      </w:r>
      <w:r w:rsidRPr="00571E77">
        <w:rPr>
          <w:rFonts w:eastAsia="Times New Roman" w:cstheme="minorHAnsi"/>
          <w:color w:val="000000"/>
          <w:sz w:val="23"/>
          <w:szCs w:val="23"/>
        </w:rPr>
        <w:t xml:space="preserve">with guidance on effectively implementing articles 25 and 37b – that is, </w:t>
      </w:r>
      <w:r w:rsidR="005E5E5C">
        <w:rPr>
          <w:rFonts w:eastAsia="Times New Roman" w:cstheme="minorHAnsi"/>
          <w:color w:val="000000"/>
          <w:sz w:val="23"/>
          <w:szCs w:val="23"/>
        </w:rPr>
        <w:t xml:space="preserve">outlining the </w:t>
      </w:r>
      <w:r w:rsidRPr="00571E77">
        <w:rPr>
          <w:rFonts w:eastAsia="Times New Roman" w:cstheme="minorHAnsi"/>
          <w:color w:val="000000"/>
          <w:sz w:val="23"/>
          <w:szCs w:val="23"/>
        </w:rPr>
        <w:t xml:space="preserve">systems </w:t>
      </w:r>
      <w:r w:rsidR="005E5E5C">
        <w:rPr>
          <w:rFonts w:eastAsia="Times New Roman" w:cstheme="minorHAnsi"/>
          <w:color w:val="000000"/>
          <w:sz w:val="23"/>
          <w:szCs w:val="23"/>
        </w:rPr>
        <w:t xml:space="preserve">which </w:t>
      </w:r>
      <w:r w:rsidRPr="00571E77">
        <w:rPr>
          <w:rFonts w:eastAsia="Times New Roman" w:cstheme="minorHAnsi"/>
          <w:color w:val="000000"/>
          <w:sz w:val="23"/>
          <w:szCs w:val="23"/>
        </w:rPr>
        <w:t>need to be in place to ensure children are held in secure settings for the shortest possible duration. Clearly, implementation of these two articles – together with articles 3 and 6 especially – is not compatible with life imprisonment even when provisions for release or parole exist.</w:t>
      </w:r>
    </w:p>
    <w:p w:rsidR="00571E77" w:rsidRPr="00571E77" w:rsidRDefault="00571E77" w:rsidP="00571E77">
      <w:pPr>
        <w:spacing w:line="276" w:lineRule="auto"/>
        <w:rPr>
          <w:rFonts w:eastAsia="Times New Roman" w:cstheme="minorHAnsi"/>
          <w:b/>
          <w:i/>
          <w:color w:val="000000"/>
          <w:sz w:val="23"/>
          <w:szCs w:val="23"/>
        </w:rPr>
      </w:pPr>
      <w:r>
        <w:rPr>
          <w:rFonts w:eastAsia="Times New Roman" w:cstheme="minorHAnsi"/>
          <w:color w:val="000000"/>
          <w:sz w:val="23"/>
          <w:szCs w:val="23"/>
        </w:rPr>
        <w:br/>
      </w:r>
      <w:r w:rsidRPr="00571E77">
        <w:rPr>
          <w:rFonts w:eastAsia="Times New Roman" w:cstheme="minorHAnsi"/>
          <w:color w:val="000000"/>
          <w:sz w:val="23"/>
          <w:szCs w:val="23"/>
        </w:rPr>
        <w:t>We suggest the Committee includes some commentary on the severe harms to children's well-being and development of growing</w:t>
      </w:r>
      <w:r w:rsidR="005E5E5C">
        <w:rPr>
          <w:rFonts w:eastAsia="Times New Roman" w:cstheme="minorHAnsi"/>
          <w:color w:val="000000"/>
          <w:sz w:val="23"/>
          <w:szCs w:val="23"/>
        </w:rPr>
        <w:t xml:space="preserve"> </w:t>
      </w:r>
      <w:r w:rsidRPr="00571E77">
        <w:rPr>
          <w:rFonts w:eastAsia="Times New Roman" w:cstheme="minorHAnsi"/>
          <w:color w:val="000000"/>
          <w:sz w:val="23"/>
          <w:szCs w:val="23"/>
        </w:rPr>
        <w:t>up incarcerated. </w:t>
      </w:r>
    </w:p>
    <w:p w:rsidR="00571E77" w:rsidRDefault="00571E77" w:rsidP="00571E77">
      <w:pPr>
        <w:spacing w:line="276" w:lineRule="auto"/>
        <w:rPr>
          <w:rFonts w:eastAsia="Times New Roman" w:cstheme="minorHAnsi"/>
          <w:b/>
          <w:i/>
          <w:color w:val="000000"/>
          <w:sz w:val="23"/>
          <w:szCs w:val="23"/>
        </w:rPr>
      </w:pPr>
    </w:p>
    <w:p w:rsidR="00571E77" w:rsidRPr="00571E77" w:rsidRDefault="00571E77" w:rsidP="00571E77">
      <w:pPr>
        <w:spacing w:line="276" w:lineRule="auto"/>
        <w:rPr>
          <w:rFonts w:eastAsia="Times New Roman" w:cstheme="minorHAnsi"/>
          <w:b/>
          <w:i/>
          <w:color w:val="000000"/>
          <w:sz w:val="23"/>
          <w:szCs w:val="23"/>
        </w:rPr>
      </w:pPr>
      <w:r w:rsidRPr="00571E77">
        <w:rPr>
          <w:rFonts w:eastAsia="Times New Roman" w:cstheme="minorHAnsi"/>
          <w:b/>
          <w:i/>
          <w:color w:val="000000"/>
        </w:rPr>
        <w:t>Further comments</w:t>
      </w:r>
      <w:r w:rsidRPr="00571E77">
        <w:rPr>
          <w:rFonts w:eastAsia="Times New Roman" w:cstheme="minorHAnsi"/>
          <w:b/>
          <w:i/>
          <w:color w:val="000000"/>
        </w:rPr>
        <w:br/>
      </w:r>
      <w:r w:rsidRPr="00571E77">
        <w:rPr>
          <w:rFonts w:eastAsia="Times New Roman" w:cstheme="minorHAnsi"/>
          <w:b/>
          <w:i/>
          <w:color w:val="000000"/>
          <w:sz w:val="23"/>
          <w:szCs w:val="23"/>
        </w:rPr>
        <w:br/>
      </w:r>
      <w:r w:rsidRPr="00571E77">
        <w:rPr>
          <w:rFonts w:eastAsia="Times New Roman" w:cstheme="minorHAnsi"/>
          <w:color w:val="000000"/>
          <w:sz w:val="23"/>
          <w:szCs w:val="23"/>
        </w:rPr>
        <w:t xml:space="preserve">We recommend the GC includes a clear statement that punishment has no place in the juvenile justice system – </w:t>
      </w:r>
      <w:r w:rsidR="005E5E5C">
        <w:rPr>
          <w:rFonts w:eastAsia="Times New Roman" w:cstheme="minorHAnsi"/>
          <w:color w:val="000000"/>
          <w:sz w:val="23"/>
          <w:szCs w:val="23"/>
        </w:rPr>
        <w:t xml:space="preserve">citing knowledge and </w:t>
      </w:r>
      <w:r w:rsidRPr="00571E77">
        <w:rPr>
          <w:rFonts w:eastAsia="Times New Roman" w:cstheme="minorHAnsi"/>
          <w:color w:val="000000"/>
          <w:sz w:val="23"/>
          <w:szCs w:val="23"/>
        </w:rPr>
        <w:t xml:space="preserve">research on child development and the harms </w:t>
      </w:r>
      <w:r w:rsidR="005E5E5C">
        <w:rPr>
          <w:rFonts w:eastAsia="Times New Roman" w:cstheme="minorHAnsi"/>
          <w:color w:val="000000"/>
          <w:sz w:val="23"/>
          <w:szCs w:val="23"/>
        </w:rPr>
        <w:t xml:space="preserve">of inflicting suffering on children, together with its </w:t>
      </w:r>
      <w:r w:rsidRPr="00571E77">
        <w:rPr>
          <w:rFonts w:eastAsia="Times New Roman" w:cstheme="minorHAnsi"/>
          <w:color w:val="000000"/>
          <w:sz w:val="23"/>
          <w:szCs w:val="23"/>
        </w:rPr>
        <w:t>counterproductive nature.  </w:t>
      </w:r>
    </w:p>
    <w:p w:rsidR="005E5E5C" w:rsidRDefault="005E5E5C" w:rsidP="00571E77">
      <w:pPr>
        <w:spacing w:line="276" w:lineRule="auto"/>
        <w:rPr>
          <w:rFonts w:eastAsia="Times New Roman" w:cstheme="minorHAnsi"/>
          <w:color w:val="000000"/>
          <w:sz w:val="23"/>
          <w:szCs w:val="23"/>
        </w:rPr>
      </w:pPr>
    </w:p>
    <w:p w:rsidR="00571E77" w:rsidRPr="00571E77" w:rsidRDefault="00571E77" w:rsidP="00571E77">
      <w:pPr>
        <w:spacing w:line="276" w:lineRule="auto"/>
        <w:rPr>
          <w:rFonts w:eastAsia="Times New Roman" w:cstheme="minorHAnsi"/>
          <w:color w:val="000000"/>
          <w:sz w:val="23"/>
          <w:szCs w:val="23"/>
        </w:rPr>
      </w:pPr>
      <w:r w:rsidRPr="00571E77">
        <w:rPr>
          <w:rFonts w:eastAsia="Times New Roman" w:cstheme="minorHAnsi"/>
          <w:color w:val="000000"/>
          <w:sz w:val="23"/>
          <w:szCs w:val="23"/>
        </w:rPr>
        <w:t xml:space="preserve">The non-discrimination section (paras 8-11) could be improved by inserting a paragraph on the socio-economic factors affecting children’s contact with the criminal justice system, and States </w:t>
      </w:r>
      <w:r w:rsidR="005E5E5C">
        <w:rPr>
          <w:rFonts w:eastAsia="Times New Roman" w:cstheme="minorHAnsi"/>
          <w:color w:val="000000"/>
          <w:sz w:val="23"/>
          <w:szCs w:val="23"/>
        </w:rPr>
        <w:t>P</w:t>
      </w:r>
      <w:r w:rsidRPr="00571E77">
        <w:rPr>
          <w:rFonts w:eastAsia="Times New Roman" w:cstheme="minorHAnsi"/>
          <w:color w:val="000000"/>
          <w:sz w:val="23"/>
          <w:szCs w:val="23"/>
        </w:rPr>
        <w:t>arties</w:t>
      </w:r>
      <w:r w:rsidR="005E5E5C">
        <w:rPr>
          <w:rFonts w:eastAsia="Times New Roman" w:cstheme="minorHAnsi"/>
          <w:color w:val="000000"/>
          <w:sz w:val="23"/>
          <w:szCs w:val="23"/>
        </w:rPr>
        <w:t>’</w:t>
      </w:r>
      <w:r w:rsidRPr="00571E77">
        <w:rPr>
          <w:rFonts w:eastAsia="Times New Roman" w:cstheme="minorHAnsi"/>
          <w:color w:val="000000"/>
          <w:sz w:val="23"/>
          <w:szCs w:val="23"/>
        </w:rPr>
        <w:t xml:space="preserve"> obligations to ensure every child enjoys all of their rights without discrimination. The particular discrimination faced by children in alternative care, and disabled children, </w:t>
      </w:r>
      <w:r w:rsidR="005E5E5C">
        <w:rPr>
          <w:rFonts w:eastAsia="Times New Roman" w:cstheme="minorHAnsi"/>
          <w:color w:val="000000"/>
          <w:sz w:val="23"/>
          <w:szCs w:val="23"/>
        </w:rPr>
        <w:t>could be further emphasised here</w:t>
      </w:r>
      <w:r w:rsidRPr="00571E77">
        <w:rPr>
          <w:rFonts w:eastAsia="Times New Roman" w:cstheme="minorHAnsi"/>
          <w:color w:val="000000"/>
          <w:sz w:val="23"/>
          <w:szCs w:val="23"/>
        </w:rPr>
        <w:t>.</w:t>
      </w:r>
    </w:p>
    <w:p w:rsidR="00571E77" w:rsidRPr="00571E77" w:rsidRDefault="00571E77" w:rsidP="00571E77">
      <w:pPr>
        <w:spacing w:line="276" w:lineRule="auto"/>
        <w:rPr>
          <w:rFonts w:eastAsia="Times New Roman" w:cstheme="minorHAnsi"/>
          <w:color w:val="000000"/>
          <w:sz w:val="23"/>
          <w:szCs w:val="23"/>
        </w:rPr>
      </w:pPr>
      <w:r w:rsidRPr="00571E77">
        <w:rPr>
          <w:rFonts w:eastAsia="Times New Roman" w:cstheme="minorHAnsi"/>
          <w:color w:val="000000"/>
          <w:sz w:val="23"/>
          <w:szCs w:val="23"/>
        </w:rPr>
        <w:t> </w:t>
      </w:r>
    </w:p>
    <w:p w:rsidR="00571E77" w:rsidRPr="00571E77" w:rsidRDefault="00571E77" w:rsidP="00571E77">
      <w:pPr>
        <w:spacing w:line="276" w:lineRule="auto"/>
        <w:rPr>
          <w:rFonts w:eastAsia="Times New Roman" w:cstheme="minorHAnsi"/>
          <w:color w:val="000000"/>
          <w:sz w:val="23"/>
          <w:szCs w:val="23"/>
        </w:rPr>
      </w:pPr>
      <w:r w:rsidRPr="00571E77">
        <w:rPr>
          <w:rFonts w:eastAsia="Times New Roman" w:cstheme="minorHAnsi"/>
          <w:color w:val="000000"/>
          <w:sz w:val="23"/>
          <w:szCs w:val="23"/>
        </w:rPr>
        <w:t>The best interests section (para 12) needs to be applied to the child’s experiences from first contact with law enforcement agencies to diversion to proceedings to responses (not sanctions) aimed at affirming the child’s sense of dignity and worth, reintegration and  constructive role in society. Best interests </w:t>
      </w:r>
      <w:r w:rsidRPr="00571E77">
        <w:rPr>
          <w:rFonts w:eastAsia="Times New Roman" w:cstheme="minorHAnsi"/>
          <w:i/>
          <w:iCs/>
          <w:color w:val="000000"/>
          <w:sz w:val="23"/>
          <w:szCs w:val="23"/>
        </w:rPr>
        <w:t>must</w:t>
      </w:r>
      <w:r w:rsidRPr="00571E77">
        <w:rPr>
          <w:rFonts w:eastAsia="Times New Roman" w:cstheme="minorHAnsi"/>
          <w:color w:val="000000"/>
          <w:sz w:val="23"/>
          <w:szCs w:val="23"/>
        </w:rPr>
        <w:t> be a primary consideration (not ‘should’) (para 12).</w:t>
      </w:r>
    </w:p>
    <w:p w:rsidR="00571E77" w:rsidRPr="00571E77" w:rsidRDefault="00571E77" w:rsidP="00571E77">
      <w:pPr>
        <w:spacing w:line="276" w:lineRule="auto"/>
        <w:rPr>
          <w:rFonts w:eastAsia="Times New Roman" w:cstheme="minorHAnsi"/>
          <w:color w:val="000000"/>
          <w:sz w:val="23"/>
          <w:szCs w:val="23"/>
        </w:rPr>
      </w:pPr>
      <w:r w:rsidRPr="00571E77">
        <w:rPr>
          <w:rFonts w:eastAsia="Times New Roman" w:cstheme="minorHAnsi"/>
          <w:color w:val="000000"/>
          <w:sz w:val="23"/>
          <w:szCs w:val="23"/>
        </w:rPr>
        <w:t> </w:t>
      </w:r>
    </w:p>
    <w:p w:rsidR="00571E77" w:rsidRPr="00571E77" w:rsidRDefault="005E5E5C" w:rsidP="00571E77">
      <w:pPr>
        <w:spacing w:line="276" w:lineRule="auto"/>
        <w:rPr>
          <w:rFonts w:eastAsia="Times New Roman" w:cstheme="minorHAnsi"/>
          <w:color w:val="000000"/>
          <w:sz w:val="23"/>
          <w:szCs w:val="23"/>
        </w:rPr>
      </w:pPr>
      <w:r>
        <w:rPr>
          <w:rFonts w:eastAsia="Times New Roman" w:cstheme="minorHAnsi"/>
          <w:color w:val="000000"/>
          <w:sz w:val="23"/>
          <w:szCs w:val="23"/>
        </w:rPr>
        <w:t>We recommend that t</w:t>
      </w:r>
      <w:r w:rsidR="00571E77" w:rsidRPr="00571E77">
        <w:rPr>
          <w:rFonts w:eastAsia="Times New Roman" w:cstheme="minorHAnsi"/>
          <w:color w:val="000000"/>
          <w:sz w:val="23"/>
          <w:szCs w:val="23"/>
        </w:rPr>
        <w:t>he very negative effect</w:t>
      </w:r>
      <w:r>
        <w:rPr>
          <w:rFonts w:eastAsia="Times New Roman" w:cstheme="minorHAnsi"/>
          <w:color w:val="000000"/>
          <w:sz w:val="23"/>
          <w:szCs w:val="23"/>
        </w:rPr>
        <w:t>s</w:t>
      </w:r>
      <w:r w:rsidR="00571E77" w:rsidRPr="00571E77">
        <w:rPr>
          <w:rFonts w:eastAsia="Times New Roman" w:cstheme="minorHAnsi"/>
          <w:color w:val="000000"/>
          <w:sz w:val="23"/>
          <w:szCs w:val="23"/>
        </w:rPr>
        <w:t xml:space="preserve"> of contact with the criminal justice system </w:t>
      </w:r>
      <w:r>
        <w:rPr>
          <w:rFonts w:eastAsia="Times New Roman" w:cstheme="minorHAnsi"/>
          <w:color w:val="000000"/>
          <w:sz w:val="23"/>
          <w:szCs w:val="23"/>
        </w:rPr>
        <w:t xml:space="preserve">are </w:t>
      </w:r>
      <w:r w:rsidR="00571E77" w:rsidRPr="00571E77">
        <w:rPr>
          <w:rFonts w:eastAsia="Times New Roman" w:cstheme="minorHAnsi"/>
          <w:color w:val="000000"/>
          <w:sz w:val="23"/>
          <w:szCs w:val="23"/>
        </w:rPr>
        <w:t>emphasised in para 13, the right to maximum survival and development.</w:t>
      </w:r>
    </w:p>
    <w:p w:rsidR="00571E77" w:rsidRPr="00571E77" w:rsidRDefault="00571E77" w:rsidP="00571E77">
      <w:pPr>
        <w:spacing w:line="276" w:lineRule="auto"/>
        <w:rPr>
          <w:rFonts w:eastAsia="Times New Roman" w:cstheme="minorHAnsi"/>
          <w:color w:val="000000"/>
          <w:sz w:val="23"/>
          <w:szCs w:val="23"/>
        </w:rPr>
      </w:pPr>
      <w:r w:rsidRPr="00571E77">
        <w:rPr>
          <w:rFonts w:eastAsia="Times New Roman" w:cstheme="minorHAnsi"/>
          <w:color w:val="000000"/>
          <w:sz w:val="23"/>
          <w:szCs w:val="23"/>
        </w:rPr>
        <w:t> </w:t>
      </w:r>
    </w:p>
    <w:p w:rsidR="00571E77" w:rsidRPr="00571E77" w:rsidRDefault="00571E77" w:rsidP="00571E77">
      <w:pPr>
        <w:spacing w:line="276" w:lineRule="auto"/>
        <w:rPr>
          <w:rFonts w:eastAsia="Times New Roman" w:cstheme="minorHAnsi"/>
          <w:color w:val="000000"/>
          <w:sz w:val="23"/>
          <w:szCs w:val="23"/>
        </w:rPr>
      </w:pPr>
      <w:r w:rsidRPr="00571E77">
        <w:rPr>
          <w:rFonts w:eastAsia="Times New Roman" w:cstheme="minorHAnsi"/>
          <w:color w:val="000000"/>
          <w:sz w:val="23"/>
          <w:szCs w:val="23"/>
        </w:rPr>
        <w:t xml:space="preserve">The obligations of article 12 could be spelled out more generally (para 14) before being applied to </w:t>
      </w:r>
      <w:r w:rsidR="005E5E5C">
        <w:rPr>
          <w:rFonts w:eastAsia="Times New Roman" w:cstheme="minorHAnsi"/>
          <w:color w:val="000000"/>
          <w:sz w:val="23"/>
          <w:szCs w:val="23"/>
        </w:rPr>
        <w:t xml:space="preserve">the </w:t>
      </w:r>
      <w:r w:rsidRPr="00571E77">
        <w:rPr>
          <w:rFonts w:eastAsia="Times New Roman" w:cstheme="minorHAnsi"/>
          <w:color w:val="000000"/>
          <w:sz w:val="23"/>
          <w:szCs w:val="23"/>
        </w:rPr>
        <w:t xml:space="preserve">criminal justice system. In the latter context, the link with article 39 is vital – </w:t>
      </w:r>
      <w:r w:rsidR="00FC3DD9">
        <w:rPr>
          <w:rFonts w:eastAsia="Times New Roman" w:cstheme="minorHAnsi"/>
          <w:color w:val="000000"/>
          <w:sz w:val="23"/>
          <w:szCs w:val="23"/>
        </w:rPr>
        <w:t xml:space="preserve">in the UK, for example, the vast majority </w:t>
      </w:r>
      <w:r w:rsidRPr="00571E77">
        <w:rPr>
          <w:rFonts w:eastAsia="Times New Roman" w:cstheme="minorHAnsi"/>
          <w:color w:val="000000"/>
          <w:sz w:val="23"/>
          <w:szCs w:val="23"/>
        </w:rPr>
        <w:t xml:space="preserve">of children in </w:t>
      </w:r>
      <w:r w:rsidR="00FC3DD9">
        <w:rPr>
          <w:rFonts w:eastAsia="Times New Roman" w:cstheme="minorHAnsi"/>
          <w:color w:val="000000"/>
          <w:sz w:val="23"/>
          <w:szCs w:val="23"/>
        </w:rPr>
        <w:t xml:space="preserve">sustained </w:t>
      </w:r>
      <w:r w:rsidRPr="00571E77">
        <w:rPr>
          <w:rFonts w:eastAsia="Times New Roman" w:cstheme="minorHAnsi"/>
          <w:color w:val="000000"/>
          <w:sz w:val="23"/>
          <w:szCs w:val="23"/>
        </w:rPr>
        <w:t xml:space="preserve">contact with the criminal justice system have experienced neglect (broadly defined), abuse </w:t>
      </w:r>
      <w:r w:rsidR="005E5E5C">
        <w:rPr>
          <w:rFonts w:eastAsia="Times New Roman" w:cstheme="minorHAnsi"/>
          <w:color w:val="000000"/>
          <w:sz w:val="23"/>
          <w:szCs w:val="23"/>
        </w:rPr>
        <w:t>and/</w:t>
      </w:r>
      <w:r w:rsidRPr="00571E77">
        <w:rPr>
          <w:rFonts w:eastAsia="Times New Roman" w:cstheme="minorHAnsi"/>
          <w:color w:val="000000"/>
          <w:sz w:val="23"/>
          <w:szCs w:val="23"/>
        </w:rPr>
        <w:t>or exploitation. Hearing the child is critical to their recovery.</w:t>
      </w:r>
    </w:p>
    <w:p w:rsidR="00571E77" w:rsidRPr="00571E77" w:rsidRDefault="00571E77" w:rsidP="00571E77">
      <w:pPr>
        <w:spacing w:line="276" w:lineRule="auto"/>
        <w:rPr>
          <w:rFonts w:eastAsia="Times New Roman" w:cstheme="minorHAnsi"/>
          <w:color w:val="000000"/>
          <w:sz w:val="23"/>
          <w:szCs w:val="23"/>
        </w:rPr>
      </w:pPr>
      <w:r w:rsidRPr="00571E77">
        <w:rPr>
          <w:rFonts w:eastAsia="Times New Roman" w:cstheme="minorHAnsi"/>
          <w:color w:val="000000"/>
          <w:sz w:val="23"/>
          <w:szCs w:val="23"/>
        </w:rPr>
        <w:t> </w:t>
      </w:r>
    </w:p>
    <w:p w:rsidR="00571E77" w:rsidRPr="00571E77" w:rsidRDefault="00571E77" w:rsidP="00571E77">
      <w:pPr>
        <w:spacing w:line="276" w:lineRule="auto"/>
        <w:rPr>
          <w:rFonts w:eastAsia="Times New Roman" w:cstheme="minorHAnsi"/>
          <w:color w:val="000000"/>
          <w:sz w:val="23"/>
          <w:szCs w:val="23"/>
        </w:rPr>
      </w:pPr>
      <w:r w:rsidRPr="00571E77">
        <w:rPr>
          <w:rFonts w:eastAsia="Times New Roman" w:cstheme="minorHAnsi"/>
          <w:color w:val="000000"/>
          <w:sz w:val="23"/>
          <w:szCs w:val="23"/>
        </w:rPr>
        <w:t xml:space="preserve">Under the heading Dignity – fundamental principles – an additional section along the lines of ‘Treatment that recognises the social and economic factors affecting a child’s contact with the criminal justice system’ would be helpful. The current third bullet point – ‘Treatment that takes into account the child’s age…’ ought to stress prevention (general CRC implementation) and then diversion for the small number of children who do come into contact with the criminal justice system (since child arrest is meant to be a measure of last resort). The final bullet in this section – all forms of violence prohibited and prevented – </w:t>
      </w:r>
      <w:r w:rsidR="00836113">
        <w:rPr>
          <w:rFonts w:eastAsia="Times New Roman" w:cstheme="minorHAnsi"/>
          <w:color w:val="000000"/>
          <w:sz w:val="23"/>
          <w:szCs w:val="23"/>
        </w:rPr>
        <w:t xml:space="preserve">could be improved by referencing the duty to provide </w:t>
      </w:r>
      <w:r w:rsidRPr="00571E77">
        <w:rPr>
          <w:rFonts w:eastAsia="Times New Roman" w:cstheme="minorHAnsi"/>
          <w:color w:val="000000"/>
          <w:sz w:val="23"/>
          <w:szCs w:val="23"/>
        </w:rPr>
        <w:t>effective remedies for children.</w:t>
      </w:r>
    </w:p>
    <w:p w:rsidR="00571E77" w:rsidRPr="00571E77" w:rsidRDefault="00571E77" w:rsidP="00571E77">
      <w:pPr>
        <w:spacing w:line="276" w:lineRule="auto"/>
        <w:rPr>
          <w:rFonts w:eastAsia="Times New Roman" w:cstheme="minorHAnsi"/>
          <w:color w:val="000000"/>
          <w:sz w:val="23"/>
          <w:szCs w:val="23"/>
        </w:rPr>
      </w:pPr>
      <w:r w:rsidRPr="00571E77">
        <w:rPr>
          <w:rFonts w:eastAsia="Times New Roman" w:cstheme="minorHAnsi"/>
          <w:color w:val="000000"/>
          <w:sz w:val="23"/>
          <w:szCs w:val="23"/>
        </w:rPr>
        <w:t>  </w:t>
      </w:r>
    </w:p>
    <w:p w:rsidR="00571E77" w:rsidRPr="00571E77" w:rsidRDefault="00571E77" w:rsidP="00571E77">
      <w:pPr>
        <w:spacing w:line="276" w:lineRule="auto"/>
        <w:rPr>
          <w:rFonts w:eastAsia="Times New Roman" w:cstheme="minorHAnsi"/>
          <w:color w:val="000000"/>
          <w:sz w:val="23"/>
          <w:szCs w:val="23"/>
        </w:rPr>
      </w:pPr>
      <w:r w:rsidRPr="00571E77">
        <w:rPr>
          <w:rFonts w:eastAsia="Times New Roman" w:cstheme="minorHAnsi"/>
          <w:color w:val="000000"/>
          <w:sz w:val="23"/>
          <w:szCs w:val="23"/>
        </w:rPr>
        <w:lastRenderedPageBreak/>
        <w:t xml:space="preserve">Presumption of innocence (para 53) – the draft revised GC states that in the case of inconclusive evidence the child must be given “the benefit of the doubt”. We suggest this is redrafted to state that the child must be treated as innocent of any offence. </w:t>
      </w:r>
    </w:p>
    <w:p w:rsidR="00571E77" w:rsidRPr="00571E77" w:rsidRDefault="00571E77" w:rsidP="00571E77">
      <w:pPr>
        <w:spacing w:line="276" w:lineRule="auto"/>
        <w:rPr>
          <w:rFonts w:eastAsia="Times New Roman" w:cstheme="minorHAnsi"/>
          <w:color w:val="000000"/>
          <w:sz w:val="23"/>
          <w:szCs w:val="23"/>
        </w:rPr>
      </w:pPr>
      <w:r w:rsidRPr="00571E77">
        <w:rPr>
          <w:rFonts w:eastAsia="Times New Roman" w:cstheme="minorHAnsi"/>
          <w:color w:val="000000"/>
          <w:sz w:val="23"/>
          <w:szCs w:val="23"/>
        </w:rPr>
        <w:t> </w:t>
      </w:r>
    </w:p>
    <w:p w:rsidR="00571E77" w:rsidRPr="00571E77" w:rsidRDefault="00571E77" w:rsidP="00571E77">
      <w:pPr>
        <w:spacing w:line="276" w:lineRule="auto"/>
        <w:rPr>
          <w:rFonts w:eastAsia="Times New Roman" w:cstheme="minorHAnsi"/>
          <w:color w:val="000000"/>
          <w:sz w:val="23"/>
          <w:szCs w:val="23"/>
        </w:rPr>
      </w:pPr>
      <w:r w:rsidRPr="00571E77">
        <w:rPr>
          <w:rFonts w:eastAsia="Times New Roman" w:cstheme="minorHAnsi"/>
          <w:color w:val="000000"/>
          <w:sz w:val="23"/>
          <w:szCs w:val="23"/>
        </w:rPr>
        <w:t xml:space="preserve">Para 62 could be strengthened to explain the importance of legal representation, </w:t>
      </w:r>
      <w:r w:rsidR="006553CF">
        <w:rPr>
          <w:rFonts w:eastAsia="Times New Roman" w:cstheme="minorHAnsi"/>
          <w:color w:val="000000"/>
          <w:sz w:val="23"/>
          <w:szCs w:val="23"/>
        </w:rPr>
        <w:t xml:space="preserve">which must be tailored to the particular needs of </w:t>
      </w:r>
      <w:r w:rsidRPr="00571E77">
        <w:rPr>
          <w:rFonts w:eastAsia="Times New Roman" w:cstheme="minorHAnsi"/>
          <w:color w:val="000000"/>
          <w:sz w:val="23"/>
          <w:szCs w:val="23"/>
        </w:rPr>
        <w:t>children.</w:t>
      </w:r>
    </w:p>
    <w:p w:rsidR="00571E77" w:rsidRPr="00571E77" w:rsidRDefault="00571E77" w:rsidP="00571E77">
      <w:pPr>
        <w:spacing w:line="276" w:lineRule="auto"/>
        <w:rPr>
          <w:rFonts w:eastAsia="Times New Roman" w:cstheme="minorHAnsi"/>
          <w:color w:val="000000"/>
          <w:sz w:val="23"/>
          <w:szCs w:val="23"/>
        </w:rPr>
      </w:pPr>
      <w:r w:rsidRPr="00571E77">
        <w:rPr>
          <w:rFonts w:eastAsia="Times New Roman" w:cstheme="minorHAnsi"/>
          <w:color w:val="000000"/>
          <w:sz w:val="23"/>
          <w:szCs w:val="23"/>
        </w:rPr>
        <w:t> </w:t>
      </w:r>
    </w:p>
    <w:p w:rsidR="00571E77" w:rsidRPr="00571E77" w:rsidRDefault="00571E77" w:rsidP="00571E77">
      <w:pPr>
        <w:spacing w:line="276" w:lineRule="auto"/>
        <w:rPr>
          <w:rFonts w:eastAsia="Times New Roman" w:cstheme="minorHAnsi"/>
          <w:color w:val="000000"/>
          <w:sz w:val="23"/>
          <w:szCs w:val="23"/>
        </w:rPr>
      </w:pPr>
      <w:r w:rsidRPr="00571E77">
        <w:rPr>
          <w:rFonts w:eastAsia="Times New Roman" w:cstheme="minorHAnsi"/>
          <w:color w:val="000000"/>
          <w:sz w:val="23"/>
          <w:szCs w:val="23"/>
        </w:rPr>
        <w:t xml:space="preserve">Punishment of parents (para 69) for child offending – we recommend the Committee urges States to desist from punishing parents for the actions of their children as this is plainly not conducive with </w:t>
      </w:r>
      <w:r w:rsidR="00836113">
        <w:rPr>
          <w:rFonts w:eastAsia="Times New Roman" w:cstheme="minorHAnsi"/>
          <w:color w:val="000000"/>
          <w:sz w:val="23"/>
          <w:szCs w:val="23"/>
        </w:rPr>
        <w:t xml:space="preserve">the child’s best interests and </w:t>
      </w:r>
      <w:r w:rsidRPr="00571E77">
        <w:rPr>
          <w:rFonts w:eastAsia="Times New Roman" w:cstheme="minorHAnsi"/>
          <w:color w:val="000000"/>
          <w:sz w:val="23"/>
          <w:szCs w:val="23"/>
        </w:rPr>
        <w:t xml:space="preserve">UNCRC </w:t>
      </w:r>
      <w:r w:rsidR="00836113">
        <w:rPr>
          <w:rFonts w:eastAsia="Times New Roman" w:cstheme="minorHAnsi"/>
          <w:color w:val="000000"/>
          <w:sz w:val="23"/>
          <w:szCs w:val="23"/>
        </w:rPr>
        <w:t>obligations t</w:t>
      </w:r>
      <w:r w:rsidRPr="00571E77">
        <w:rPr>
          <w:rFonts w:eastAsia="Times New Roman" w:cstheme="minorHAnsi"/>
          <w:color w:val="000000"/>
          <w:sz w:val="23"/>
          <w:szCs w:val="23"/>
        </w:rPr>
        <w:t>o support parents. It also risks children suffering stigma within their communities and victimisation within the family.</w:t>
      </w:r>
    </w:p>
    <w:p w:rsidR="00571E77" w:rsidRPr="00571E77" w:rsidRDefault="00571E77" w:rsidP="00571E77">
      <w:pPr>
        <w:spacing w:line="276" w:lineRule="auto"/>
        <w:rPr>
          <w:rFonts w:eastAsia="Times New Roman" w:cstheme="minorHAnsi"/>
          <w:color w:val="000000"/>
          <w:sz w:val="23"/>
          <w:szCs w:val="23"/>
        </w:rPr>
      </w:pPr>
      <w:r w:rsidRPr="00571E77">
        <w:rPr>
          <w:rFonts w:eastAsia="Times New Roman" w:cstheme="minorHAnsi"/>
          <w:color w:val="000000"/>
          <w:sz w:val="23"/>
          <w:szCs w:val="23"/>
        </w:rPr>
        <w:t> </w:t>
      </w:r>
    </w:p>
    <w:p w:rsidR="00571E77" w:rsidRPr="00571E77" w:rsidRDefault="00571E77" w:rsidP="00571E77">
      <w:pPr>
        <w:spacing w:line="276" w:lineRule="auto"/>
        <w:rPr>
          <w:rFonts w:eastAsia="Times New Roman" w:cstheme="minorHAnsi"/>
          <w:color w:val="000000"/>
          <w:sz w:val="23"/>
          <w:szCs w:val="23"/>
        </w:rPr>
      </w:pPr>
      <w:r w:rsidRPr="00571E77">
        <w:rPr>
          <w:rFonts w:eastAsia="Times New Roman" w:cstheme="minorHAnsi"/>
          <w:color w:val="000000"/>
          <w:sz w:val="23"/>
          <w:szCs w:val="23"/>
        </w:rPr>
        <w:t>Privacy rights of children – paras 78-81 – we ask that this part of the GC explains the short and long-term harms of public shaming, and the strong requirement of children’s privacy being “fully respected” in article 40(2).</w:t>
      </w:r>
    </w:p>
    <w:p w:rsidR="00571E77" w:rsidRPr="00571E77" w:rsidRDefault="00571E77" w:rsidP="00571E77">
      <w:pPr>
        <w:spacing w:line="276" w:lineRule="auto"/>
        <w:rPr>
          <w:rFonts w:eastAsia="Times New Roman" w:cstheme="minorHAnsi"/>
          <w:color w:val="000000"/>
          <w:sz w:val="23"/>
          <w:szCs w:val="23"/>
        </w:rPr>
      </w:pPr>
      <w:r w:rsidRPr="00571E77">
        <w:rPr>
          <w:rFonts w:eastAsia="Times New Roman" w:cstheme="minorHAnsi"/>
          <w:color w:val="000000"/>
          <w:sz w:val="23"/>
          <w:szCs w:val="23"/>
        </w:rPr>
        <w:t> </w:t>
      </w:r>
    </w:p>
    <w:p w:rsidR="00571E77" w:rsidRPr="00571E77" w:rsidRDefault="00571E77" w:rsidP="00571E77">
      <w:pPr>
        <w:spacing w:line="276" w:lineRule="auto"/>
        <w:rPr>
          <w:rFonts w:eastAsia="Times New Roman" w:cstheme="minorHAnsi"/>
          <w:color w:val="000000"/>
          <w:sz w:val="23"/>
          <w:szCs w:val="23"/>
        </w:rPr>
      </w:pPr>
      <w:r w:rsidRPr="00571E77">
        <w:rPr>
          <w:rFonts w:eastAsia="Times New Roman" w:cstheme="minorHAnsi"/>
          <w:color w:val="000000"/>
          <w:sz w:val="23"/>
          <w:szCs w:val="23"/>
        </w:rPr>
        <w:t>Presumption of diversion (paras 82-83) needs to link with fundamental principles which currently start at page 5. </w:t>
      </w:r>
      <w:r w:rsidRPr="00571E77">
        <w:rPr>
          <w:rFonts w:eastAsia="Times New Roman" w:cstheme="minorHAnsi"/>
          <w:color w:val="000000"/>
          <w:sz w:val="23"/>
          <w:szCs w:val="23"/>
        </w:rPr>
        <w:br/>
      </w:r>
      <w:r w:rsidRPr="00571E77">
        <w:rPr>
          <w:rFonts w:eastAsia="Times New Roman" w:cstheme="minorHAnsi"/>
          <w:color w:val="000000"/>
          <w:sz w:val="23"/>
          <w:szCs w:val="23"/>
        </w:rPr>
        <w:br/>
      </w:r>
      <w:r w:rsidR="00836113">
        <w:rPr>
          <w:rFonts w:eastAsia="Times New Roman" w:cstheme="minorHAnsi"/>
          <w:color w:val="000000"/>
          <w:sz w:val="23"/>
          <w:szCs w:val="23"/>
        </w:rPr>
        <w:t>We recommend that the section on m</w:t>
      </w:r>
      <w:r w:rsidRPr="00571E77">
        <w:rPr>
          <w:rFonts w:eastAsia="Times New Roman" w:cstheme="minorHAnsi"/>
          <w:color w:val="000000"/>
          <w:sz w:val="23"/>
          <w:szCs w:val="23"/>
        </w:rPr>
        <w:t>onitoring (paras 93-94) begin</w:t>
      </w:r>
      <w:r w:rsidR="00836113">
        <w:rPr>
          <w:rFonts w:eastAsia="Times New Roman" w:cstheme="minorHAnsi"/>
          <w:color w:val="000000"/>
          <w:sz w:val="23"/>
          <w:szCs w:val="23"/>
        </w:rPr>
        <w:t>s</w:t>
      </w:r>
      <w:r w:rsidRPr="00571E77">
        <w:rPr>
          <w:rFonts w:eastAsia="Times New Roman" w:cstheme="minorHAnsi"/>
          <w:color w:val="000000"/>
          <w:sz w:val="23"/>
          <w:szCs w:val="23"/>
        </w:rPr>
        <w:t xml:space="preserve"> with a critical analysis of the backgrounds and circumstances of children who come into contact with the criminal justice system, and the extent to which this </w:t>
      </w:r>
      <w:r w:rsidR="00836113">
        <w:rPr>
          <w:rFonts w:eastAsia="Times New Roman" w:cstheme="minorHAnsi"/>
          <w:color w:val="000000"/>
          <w:sz w:val="23"/>
          <w:szCs w:val="23"/>
        </w:rPr>
        <w:t xml:space="preserve">reveals </w:t>
      </w:r>
      <w:r w:rsidRPr="00571E77">
        <w:rPr>
          <w:rFonts w:eastAsia="Times New Roman" w:cstheme="minorHAnsi"/>
          <w:color w:val="000000"/>
          <w:sz w:val="23"/>
          <w:szCs w:val="23"/>
        </w:rPr>
        <w:t>deficiencies in the implementation of the UNCRC.</w:t>
      </w:r>
      <w:r w:rsidRPr="00571E77">
        <w:rPr>
          <w:rFonts w:eastAsia="Times New Roman" w:cstheme="minorHAnsi"/>
          <w:color w:val="000000"/>
          <w:sz w:val="23"/>
          <w:szCs w:val="23"/>
        </w:rPr>
        <w:br/>
      </w:r>
    </w:p>
    <w:p w:rsidR="00845D31" w:rsidRPr="00571E77" w:rsidRDefault="00571E77" w:rsidP="00571E77">
      <w:pPr>
        <w:spacing w:line="276" w:lineRule="auto"/>
        <w:rPr>
          <w:rFonts w:eastAsia="Times New Roman" w:cstheme="minorHAnsi"/>
          <w:color w:val="000000"/>
          <w:sz w:val="23"/>
          <w:szCs w:val="23"/>
        </w:rPr>
      </w:pPr>
      <w:r w:rsidRPr="00571E77">
        <w:rPr>
          <w:rFonts w:eastAsia="Times New Roman" w:cstheme="minorHAnsi"/>
          <w:color w:val="000000"/>
          <w:sz w:val="23"/>
          <w:szCs w:val="23"/>
        </w:rPr>
        <w:br/>
      </w:r>
    </w:p>
    <w:p w:rsidR="00571E77" w:rsidRPr="00571E77" w:rsidRDefault="00845D31" w:rsidP="00571E77">
      <w:pPr>
        <w:spacing w:line="276" w:lineRule="auto"/>
        <w:rPr>
          <w:rFonts w:eastAsia="Times New Roman" w:cstheme="minorHAnsi"/>
          <w:color w:val="000000"/>
          <w:sz w:val="23"/>
          <w:szCs w:val="23"/>
        </w:rPr>
      </w:pPr>
      <w:r w:rsidRPr="00571E77">
        <w:rPr>
          <w:rFonts w:eastAsia="Times New Roman" w:cstheme="minorHAnsi"/>
          <w:b/>
          <w:color w:val="000000"/>
        </w:rPr>
        <w:t>Contacts</w:t>
      </w:r>
      <w:r w:rsidRPr="00571E77">
        <w:rPr>
          <w:rFonts w:eastAsia="Times New Roman" w:cstheme="minorHAnsi"/>
          <w:b/>
          <w:color w:val="000000"/>
        </w:rPr>
        <w:br/>
      </w:r>
      <w:r w:rsidR="00571E77">
        <w:rPr>
          <w:rFonts w:eastAsia="Times New Roman" w:cstheme="minorHAnsi"/>
          <w:color w:val="000000"/>
          <w:sz w:val="23"/>
          <w:szCs w:val="23"/>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571E77" w:rsidTr="00571E77">
        <w:tc>
          <w:tcPr>
            <w:tcW w:w="4527" w:type="dxa"/>
          </w:tcPr>
          <w:p w:rsidR="00571E77" w:rsidRDefault="00571E77" w:rsidP="00571E77">
            <w:pPr>
              <w:spacing w:line="276" w:lineRule="auto"/>
              <w:rPr>
                <w:rFonts w:eastAsia="Times New Roman" w:cstheme="minorHAnsi"/>
                <w:color w:val="000000"/>
                <w:sz w:val="23"/>
                <w:szCs w:val="23"/>
              </w:rPr>
            </w:pPr>
            <w:r w:rsidRPr="00571E77">
              <w:rPr>
                <w:rFonts w:eastAsia="Times New Roman" w:cstheme="minorHAnsi"/>
                <w:color w:val="000000"/>
                <w:sz w:val="23"/>
                <w:szCs w:val="23"/>
              </w:rPr>
              <w:t>Carolyne Willow</w:t>
            </w:r>
            <w:r w:rsidRPr="00571E77">
              <w:rPr>
                <w:rFonts w:eastAsia="Times New Roman" w:cstheme="minorHAnsi"/>
                <w:color w:val="000000"/>
                <w:sz w:val="23"/>
                <w:szCs w:val="23"/>
              </w:rPr>
              <w:br/>
              <w:t>Article 39 Director</w:t>
            </w:r>
            <w:r w:rsidRPr="00571E77">
              <w:rPr>
                <w:rFonts w:eastAsia="Times New Roman" w:cstheme="minorHAnsi"/>
                <w:color w:val="000000"/>
                <w:sz w:val="23"/>
                <w:szCs w:val="23"/>
              </w:rPr>
              <w:br/>
            </w:r>
            <w:hyperlink r:id="rId9" w:history="1">
              <w:r w:rsidRPr="00571E77">
                <w:rPr>
                  <w:rStyle w:val="Hyperlink"/>
                  <w:rFonts w:eastAsia="Times New Roman" w:cstheme="minorHAnsi"/>
                  <w:sz w:val="23"/>
                  <w:szCs w:val="23"/>
                </w:rPr>
                <w:t>carolyne.willow@article39.org.uk</w:t>
              </w:r>
            </w:hyperlink>
          </w:p>
        </w:tc>
        <w:tc>
          <w:tcPr>
            <w:tcW w:w="4527" w:type="dxa"/>
          </w:tcPr>
          <w:p w:rsidR="00571E77" w:rsidRDefault="00571E77" w:rsidP="00571E77">
            <w:pPr>
              <w:spacing w:line="276" w:lineRule="auto"/>
              <w:rPr>
                <w:rFonts w:eastAsia="Times New Roman" w:cstheme="minorHAnsi"/>
                <w:color w:val="000000"/>
                <w:sz w:val="23"/>
                <w:szCs w:val="23"/>
              </w:rPr>
            </w:pPr>
            <w:r w:rsidRPr="00571E77">
              <w:rPr>
                <w:rFonts w:eastAsia="Times New Roman" w:cstheme="minorHAnsi"/>
                <w:color w:val="000000"/>
                <w:sz w:val="23"/>
                <w:szCs w:val="23"/>
              </w:rPr>
              <w:t xml:space="preserve">Ross Little </w:t>
            </w:r>
            <w:r w:rsidRPr="00571E77">
              <w:rPr>
                <w:rFonts w:eastAsia="Times New Roman" w:cstheme="minorHAnsi"/>
                <w:color w:val="000000"/>
                <w:sz w:val="23"/>
                <w:szCs w:val="23"/>
              </w:rPr>
              <w:br/>
              <w:t>NAYJ Chair of Trustees</w:t>
            </w:r>
            <w:r w:rsidRPr="00571E77">
              <w:rPr>
                <w:rFonts w:eastAsia="Times New Roman" w:cstheme="minorHAnsi"/>
                <w:color w:val="000000"/>
                <w:sz w:val="23"/>
                <w:szCs w:val="23"/>
              </w:rPr>
              <w:br/>
            </w:r>
            <w:hyperlink r:id="rId10" w:history="1">
              <w:r w:rsidRPr="00571E77">
                <w:rPr>
                  <w:rStyle w:val="Hyperlink"/>
                  <w:rFonts w:eastAsia="Times New Roman" w:cstheme="minorHAnsi"/>
                  <w:sz w:val="23"/>
                  <w:szCs w:val="23"/>
                </w:rPr>
                <w:t>ross.little@dmu.ac.uk</w:t>
              </w:r>
            </w:hyperlink>
          </w:p>
        </w:tc>
      </w:tr>
    </w:tbl>
    <w:p w:rsidR="00845D31" w:rsidRPr="00571E77" w:rsidRDefault="00845D31" w:rsidP="00571E77">
      <w:pPr>
        <w:spacing w:line="276" w:lineRule="auto"/>
        <w:rPr>
          <w:rFonts w:eastAsia="Times New Roman" w:cstheme="minorHAnsi"/>
          <w:color w:val="000000"/>
          <w:sz w:val="23"/>
          <w:szCs w:val="23"/>
        </w:rPr>
      </w:pPr>
      <w:r w:rsidRPr="00571E77">
        <w:rPr>
          <w:rFonts w:eastAsia="Times New Roman" w:cstheme="minorHAnsi"/>
          <w:color w:val="000000"/>
          <w:sz w:val="23"/>
          <w:szCs w:val="23"/>
        </w:rPr>
        <w:br/>
      </w:r>
      <w:r w:rsidRPr="00571E77">
        <w:rPr>
          <w:rFonts w:eastAsia="Times New Roman" w:cstheme="minorHAnsi"/>
          <w:color w:val="000000"/>
          <w:sz w:val="23"/>
          <w:szCs w:val="23"/>
        </w:rPr>
        <w:br/>
      </w:r>
    </w:p>
    <w:p w:rsidR="00845D31" w:rsidRPr="00571E77" w:rsidRDefault="00845D31" w:rsidP="00571E77">
      <w:pPr>
        <w:spacing w:line="276" w:lineRule="auto"/>
        <w:rPr>
          <w:rFonts w:eastAsia="Times New Roman" w:cstheme="minorHAnsi"/>
          <w:color w:val="000000"/>
          <w:sz w:val="23"/>
          <w:szCs w:val="23"/>
        </w:rPr>
      </w:pPr>
    </w:p>
    <w:p w:rsidR="00845D31" w:rsidRPr="00571E77" w:rsidRDefault="00845D31" w:rsidP="00571E77">
      <w:pPr>
        <w:spacing w:line="276" w:lineRule="auto"/>
        <w:rPr>
          <w:rFonts w:eastAsia="Times New Roman" w:cstheme="minorHAnsi"/>
          <w:color w:val="000000"/>
          <w:sz w:val="23"/>
          <w:szCs w:val="23"/>
        </w:rPr>
      </w:pPr>
    </w:p>
    <w:p w:rsidR="00363AE5" w:rsidRPr="00571E77" w:rsidRDefault="00845D31" w:rsidP="00571E77">
      <w:pPr>
        <w:spacing w:line="276" w:lineRule="auto"/>
        <w:jc w:val="right"/>
        <w:rPr>
          <w:rFonts w:eastAsia="Times New Roman" w:cstheme="minorHAnsi"/>
          <w:color w:val="000000"/>
          <w:sz w:val="23"/>
          <w:szCs w:val="23"/>
        </w:rPr>
      </w:pPr>
      <w:r w:rsidRPr="00571E77">
        <w:rPr>
          <w:rFonts w:eastAsia="Times New Roman" w:cstheme="minorHAnsi"/>
          <w:color w:val="000000"/>
          <w:sz w:val="23"/>
          <w:szCs w:val="23"/>
        </w:rPr>
        <w:t>8 January 2019</w:t>
      </w:r>
      <w:r w:rsidR="00363AE5" w:rsidRPr="00571E77">
        <w:rPr>
          <w:rFonts w:eastAsia="Times New Roman" w:cstheme="minorHAnsi"/>
          <w:color w:val="000000"/>
          <w:sz w:val="23"/>
          <w:szCs w:val="23"/>
        </w:rPr>
        <w:br/>
      </w:r>
      <w:r w:rsidR="00363AE5" w:rsidRPr="00571E77">
        <w:rPr>
          <w:rFonts w:eastAsia="Times New Roman" w:cstheme="minorHAnsi"/>
          <w:color w:val="000000"/>
          <w:sz w:val="23"/>
          <w:szCs w:val="23"/>
        </w:rPr>
        <w:br/>
        <w:t> </w:t>
      </w:r>
    </w:p>
    <w:p w:rsidR="00363AE5" w:rsidRPr="00571E77" w:rsidRDefault="00363AE5" w:rsidP="00571E77">
      <w:pPr>
        <w:spacing w:line="276" w:lineRule="auto"/>
        <w:rPr>
          <w:rFonts w:cstheme="minorHAnsi"/>
          <w:sz w:val="23"/>
          <w:szCs w:val="23"/>
        </w:rPr>
      </w:pPr>
    </w:p>
    <w:sectPr w:rsidR="00363AE5" w:rsidRPr="00571E77" w:rsidSect="00363AE5">
      <w:footerReference w:type="even" r:id="rId11"/>
      <w:footerReference w:type="default" r:id="rId12"/>
      <w:pgSz w:w="11900" w:h="16840"/>
      <w:pgMar w:top="851" w:right="1418" w:bottom="56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7B84" w:rsidRDefault="00217B84" w:rsidP="00E36541">
      <w:r>
        <w:separator/>
      </w:r>
    </w:p>
  </w:endnote>
  <w:endnote w:type="continuationSeparator" w:id="0">
    <w:p w:rsidR="00217B84" w:rsidRDefault="00217B84" w:rsidP="00E365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221482907"/>
      <w:docPartObj>
        <w:docPartGallery w:val="Page Numbers (Bottom of Page)"/>
        <w:docPartUnique/>
      </w:docPartObj>
    </w:sdtPr>
    <w:sdtEndPr>
      <w:rPr>
        <w:rStyle w:val="PageNumber"/>
      </w:rPr>
    </w:sdtEndPr>
    <w:sdtContent>
      <w:p w:rsidR="00845D31" w:rsidRDefault="00845D31" w:rsidP="005D6FA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845D31" w:rsidRDefault="00845D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490717408"/>
      <w:docPartObj>
        <w:docPartGallery w:val="Page Numbers (Bottom of Page)"/>
        <w:docPartUnique/>
      </w:docPartObj>
    </w:sdtPr>
    <w:sdtEndPr>
      <w:rPr>
        <w:rStyle w:val="PageNumber"/>
      </w:rPr>
    </w:sdtEndPr>
    <w:sdtContent>
      <w:p w:rsidR="00845D31" w:rsidRDefault="00845D31" w:rsidP="005D6FA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C14364">
          <w:rPr>
            <w:rStyle w:val="PageNumber"/>
            <w:noProof/>
          </w:rPr>
          <w:t>1</w:t>
        </w:r>
        <w:r>
          <w:rPr>
            <w:rStyle w:val="PageNumber"/>
          </w:rPr>
          <w:fldChar w:fldCharType="end"/>
        </w:r>
      </w:p>
    </w:sdtContent>
  </w:sdt>
  <w:p w:rsidR="00845D31" w:rsidRDefault="00845D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7B84" w:rsidRDefault="00217B84" w:rsidP="00E36541">
      <w:r>
        <w:separator/>
      </w:r>
    </w:p>
  </w:footnote>
  <w:footnote w:type="continuationSeparator" w:id="0">
    <w:p w:rsidR="00217B84" w:rsidRDefault="00217B84" w:rsidP="00E36541">
      <w:r>
        <w:continuationSeparator/>
      </w:r>
    </w:p>
  </w:footnote>
  <w:footnote w:id="1">
    <w:p w:rsidR="00571E77" w:rsidRPr="00CD142E" w:rsidRDefault="00571E77" w:rsidP="00CD142E">
      <w:pPr>
        <w:rPr>
          <w:color w:val="000000" w:themeColor="text1"/>
          <w:sz w:val="20"/>
          <w:szCs w:val="20"/>
        </w:rPr>
      </w:pPr>
      <w:r w:rsidRPr="00CB2198">
        <w:rPr>
          <w:rStyle w:val="FootnoteReference"/>
          <w:color w:val="000000" w:themeColor="text1"/>
          <w:sz w:val="20"/>
          <w:szCs w:val="20"/>
        </w:rPr>
        <w:footnoteRef/>
      </w:r>
      <w:r w:rsidRPr="00CB2198">
        <w:rPr>
          <w:color w:val="000000" w:themeColor="text1"/>
          <w:sz w:val="20"/>
          <w:szCs w:val="20"/>
        </w:rPr>
        <w:t xml:space="preserve"> </w:t>
      </w:r>
      <w:r w:rsidRPr="00CB2198">
        <w:rPr>
          <w:rFonts w:eastAsia="Times New Roman" w:cs="Times New Roman"/>
          <w:color w:val="000000" w:themeColor="text1"/>
          <w:sz w:val="20"/>
          <w:szCs w:val="20"/>
        </w:rPr>
        <w:t xml:space="preserve">A paper published by the NAYJ suggests a minimum age of criminal responsibility of 16 years of, for consistency with legal ages of responsibility for other areas of social life: </w:t>
      </w:r>
      <w:hyperlink r:id="rId1" w:tgtFrame="_blank" w:history="1">
        <w:r w:rsidRPr="00CB2198">
          <w:rPr>
            <w:rStyle w:val="Hyperlink"/>
            <w:color w:val="000000" w:themeColor="text1"/>
            <w:sz w:val="20"/>
            <w:szCs w:val="20"/>
          </w:rPr>
          <w:t>http://thenayj.org.uk/wp-content/uploads/2015/06/2012-The-Age-of-Criminal-responsibility.pdf</w:t>
        </w:r>
      </w:hyperlink>
    </w:p>
  </w:footnote>
  <w:footnote w:id="2">
    <w:p w:rsidR="00571E77" w:rsidRPr="00331DBC" w:rsidRDefault="00571E77" w:rsidP="00571E77">
      <w:pPr>
        <w:pStyle w:val="NormalWeb"/>
        <w:spacing w:before="0" w:beforeAutospacing="0" w:after="0" w:afterAutospacing="0"/>
        <w:rPr>
          <w:rFonts w:asciiTheme="minorHAnsi" w:hAnsiTheme="minorHAnsi" w:cstheme="minorHAnsi"/>
          <w:bCs/>
          <w:sz w:val="20"/>
          <w:szCs w:val="20"/>
        </w:rPr>
      </w:pPr>
      <w:r w:rsidRPr="00331DBC">
        <w:rPr>
          <w:rStyle w:val="FootnoteReference"/>
          <w:rFonts w:asciiTheme="minorHAnsi" w:hAnsiTheme="minorHAnsi" w:cstheme="minorHAnsi"/>
          <w:sz w:val="20"/>
          <w:szCs w:val="20"/>
        </w:rPr>
        <w:footnoteRef/>
      </w:r>
      <w:r w:rsidRPr="00331DBC">
        <w:rPr>
          <w:rFonts w:asciiTheme="minorHAnsi" w:hAnsiTheme="minorHAnsi" w:cstheme="minorHAnsi"/>
          <w:sz w:val="20"/>
          <w:szCs w:val="20"/>
        </w:rPr>
        <w:t xml:space="preserve"> </w:t>
      </w:r>
      <w:r w:rsidRPr="00331DBC">
        <w:rPr>
          <w:rFonts w:asciiTheme="minorHAnsi" w:hAnsiTheme="minorHAnsi" w:cstheme="minorHAnsi"/>
          <w:bCs/>
          <w:sz w:val="20"/>
          <w:szCs w:val="20"/>
        </w:rPr>
        <w:t xml:space="preserve">Committee on the Rights of the Child (2016) </w:t>
      </w:r>
      <w:r w:rsidRPr="00331DBC">
        <w:rPr>
          <w:rFonts w:asciiTheme="minorHAnsi" w:hAnsiTheme="minorHAnsi" w:cstheme="minorHAnsi"/>
          <w:sz w:val="20"/>
          <w:szCs w:val="20"/>
        </w:rPr>
        <w:t>General comment No. 20 on the implementation of the rights of the child during adolescence. Paragraph 20.</w:t>
      </w:r>
    </w:p>
  </w:footnote>
  <w:footnote w:id="3">
    <w:p w:rsidR="00571E77" w:rsidRPr="00331DBC" w:rsidRDefault="00571E77" w:rsidP="00571E77">
      <w:pPr>
        <w:rPr>
          <w:rFonts w:eastAsia="Times New Roman" w:cstheme="minorHAnsi"/>
          <w:sz w:val="20"/>
          <w:szCs w:val="20"/>
        </w:rPr>
      </w:pPr>
      <w:r w:rsidRPr="00331DBC">
        <w:rPr>
          <w:rStyle w:val="FootnoteReference"/>
          <w:rFonts w:cstheme="minorHAnsi"/>
          <w:sz w:val="20"/>
          <w:szCs w:val="20"/>
        </w:rPr>
        <w:footnoteRef/>
      </w:r>
      <w:r w:rsidRPr="00331DBC">
        <w:rPr>
          <w:rFonts w:cstheme="minorHAnsi"/>
          <w:sz w:val="20"/>
          <w:szCs w:val="20"/>
        </w:rPr>
        <w:t xml:space="preserve"> </w:t>
      </w:r>
      <w:r w:rsidRPr="00331DBC">
        <w:rPr>
          <w:rFonts w:eastAsia="Times New Roman" w:cstheme="minorHAnsi"/>
          <w:sz w:val="20"/>
          <w:szCs w:val="20"/>
        </w:rPr>
        <w:t>Report of the Spe</w:t>
      </w:r>
      <w:r w:rsidRPr="00672FE4">
        <w:rPr>
          <w:rFonts w:eastAsia="Times New Roman" w:cstheme="minorHAnsi"/>
          <w:sz w:val="20"/>
          <w:szCs w:val="20"/>
        </w:rPr>
        <w:t>cial Rapporteur on the right of everyone to the enjoyment of the highest attainable standard of</w:t>
      </w:r>
      <w:r w:rsidRPr="00331DBC">
        <w:rPr>
          <w:rFonts w:eastAsia="Times New Roman" w:cstheme="minorHAnsi"/>
          <w:sz w:val="20"/>
          <w:szCs w:val="20"/>
        </w:rPr>
        <w:t xml:space="preserve"> </w:t>
      </w:r>
      <w:r w:rsidRPr="00672FE4">
        <w:rPr>
          <w:rFonts w:eastAsia="Times New Roman" w:cstheme="minorHAnsi"/>
          <w:sz w:val="20"/>
          <w:szCs w:val="20"/>
        </w:rPr>
        <w:t>physical and mental health</w:t>
      </w:r>
      <w:r w:rsidRPr="00331DBC">
        <w:rPr>
          <w:rFonts w:eastAsia="Times New Roman" w:cstheme="minorHAnsi"/>
          <w:sz w:val="20"/>
          <w:szCs w:val="20"/>
        </w:rPr>
        <w:t xml:space="preserve">, April 2018. </w:t>
      </w:r>
      <w:r w:rsidRPr="00331DBC">
        <w:rPr>
          <w:rFonts w:cstheme="minorHAnsi"/>
          <w:sz w:val="20"/>
          <w:szCs w:val="20"/>
        </w:rPr>
        <w:t>Paragraph 53. https://documents-dds-ny.un.org/doc/UNDOC/GEN/G18/101/42/PDF/G1810142.pdf?OpenElement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3122EC"/>
    <w:multiLevelType w:val="multilevel"/>
    <w:tmpl w:val="E208F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AE5"/>
    <w:rsid w:val="000544C3"/>
    <w:rsid w:val="001B56BB"/>
    <w:rsid w:val="001C0707"/>
    <w:rsid w:val="00217B84"/>
    <w:rsid w:val="002D4F6D"/>
    <w:rsid w:val="00325C7C"/>
    <w:rsid w:val="00331DBC"/>
    <w:rsid w:val="00363AE5"/>
    <w:rsid w:val="003A7AE3"/>
    <w:rsid w:val="003B2714"/>
    <w:rsid w:val="00430853"/>
    <w:rsid w:val="00463BC1"/>
    <w:rsid w:val="004B1195"/>
    <w:rsid w:val="004B2D4D"/>
    <w:rsid w:val="00571E77"/>
    <w:rsid w:val="005E5E5C"/>
    <w:rsid w:val="00631606"/>
    <w:rsid w:val="006553CF"/>
    <w:rsid w:val="00672FE4"/>
    <w:rsid w:val="006F6928"/>
    <w:rsid w:val="00803914"/>
    <w:rsid w:val="00836113"/>
    <w:rsid w:val="00845D31"/>
    <w:rsid w:val="008A72F2"/>
    <w:rsid w:val="00921366"/>
    <w:rsid w:val="00945033"/>
    <w:rsid w:val="009E3ACF"/>
    <w:rsid w:val="00A2325B"/>
    <w:rsid w:val="00A23D22"/>
    <w:rsid w:val="00A87FAF"/>
    <w:rsid w:val="00AB4640"/>
    <w:rsid w:val="00AD14AB"/>
    <w:rsid w:val="00AF67B7"/>
    <w:rsid w:val="00B74711"/>
    <w:rsid w:val="00BA25E4"/>
    <w:rsid w:val="00C14364"/>
    <w:rsid w:val="00C80055"/>
    <w:rsid w:val="00CD142E"/>
    <w:rsid w:val="00D63E07"/>
    <w:rsid w:val="00DA634D"/>
    <w:rsid w:val="00E27709"/>
    <w:rsid w:val="00E27786"/>
    <w:rsid w:val="00E36541"/>
    <w:rsid w:val="00E56FB7"/>
    <w:rsid w:val="00EE2E32"/>
    <w:rsid w:val="00F04FFC"/>
    <w:rsid w:val="00F352AD"/>
    <w:rsid w:val="00F91FD1"/>
    <w:rsid w:val="00FC3D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7631EB-27C4-BC43-A4C4-7445B4313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0544C3"/>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E36541"/>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63AE5"/>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363AE5"/>
  </w:style>
  <w:style w:type="character" w:styleId="Hyperlink">
    <w:name w:val="Hyperlink"/>
    <w:basedOn w:val="DefaultParagraphFont"/>
    <w:uiPriority w:val="99"/>
    <w:unhideWhenUsed/>
    <w:rsid w:val="00363AE5"/>
    <w:rPr>
      <w:color w:val="0000FF"/>
      <w:u w:val="single"/>
    </w:rPr>
  </w:style>
  <w:style w:type="table" w:styleId="TableGrid">
    <w:name w:val="Table Grid"/>
    <w:basedOn w:val="TableNormal"/>
    <w:uiPriority w:val="39"/>
    <w:rsid w:val="00BA25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544C3"/>
    <w:rPr>
      <w:rFonts w:ascii="Times New Roman" w:eastAsia="Times New Roman" w:hAnsi="Times New Roman" w:cs="Times New Roman"/>
      <w:b/>
      <w:bCs/>
      <w:sz w:val="36"/>
      <w:szCs w:val="36"/>
    </w:rPr>
  </w:style>
  <w:style w:type="character" w:styleId="Strong">
    <w:name w:val="Strong"/>
    <w:basedOn w:val="DefaultParagraphFont"/>
    <w:uiPriority w:val="22"/>
    <w:qFormat/>
    <w:rsid w:val="000544C3"/>
    <w:rPr>
      <w:b/>
      <w:bCs/>
    </w:rPr>
  </w:style>
  <w:style w:type="paragraph" w:styleId="FootnoteText">
    <w:name w:val="footnote text"/>
    <w:basedOn w:val="Normal"/>
    <w:link w:val="FootnoteTextChar"/>
    <w:uiPriority w:val="99"/>
    <w:semiHidden/>
    <w:unhideWhenUsed/>
    <w:rsid w:val="00E36541"/>
    <w:rPr>
      <w:sz w:val="20"/>
      <w:szCs w:val="20"/>
    </w:rPr>
  </w:style>
  <w:style w:type="character" w:customStyle="1" w:styleId="FootnoteTextChar">
    <w:name w:val="Footnote Text Char"/>
    <w:basedOn w:val="DefaultParagraphFont"/>
    <w:link w:val="FootnoteText"/>
    <w:uiPriority w:val="99"/>
    <w:semiHidden/>
    <w:rsid w:val="00E36541"/>
    <w:rPr>
      <w:sz w:val="20"/>
      <w:szCs w:val="20"/>
    </w:rPr>
  </w:style>
  <w:style w:type="character" w:styleId="FootnoteReference">
    <w:name w:val="footnote reference"/>
    <w:basedOn w:val="DefaultParagraphFont"/>
    <w:uiPriority w:val="99"/>
    <w:semiHidden/>
    <w:unhideWhenUsed/>
    <w:rsid w:val="00E36541"/>
    <w:rPr>
      <w:vertAlign w:val="superscript"/>
    </w:rPr>
  </w:style>
  <w:style w:type="character" w:customStyle="1" w:styleId="Heading3Char">
    <w:name w:val="Heading 3 Char"/>
    <w:basedOn w:val="DefaultParagraphFont"/>
    <w:link w:val="Heading3"/>
    <w:uiPriority w:val="9"/>
    <w:semiHidden/>
    <w:rsid w:val="00E36541"/>
    <w:rPr>
      <w:rFonts w:asciiTheme="majorHAnsi" w:eastAsiaTheme="majorEastAsia" w:hAnsiTheme="majorHAnsi" w:cstheme="majorBidi"/>
      <w:color w:val="1F3763" w:themeColor="accent1" w:themeShade="7F"/>
    </w:rPr>
  </w:style>
  <w:style w:type="paragraph" w:styleId="Footer">
    <w:name w:val="footer"/>
    <w:basedOn w:val="Normal"/>
    <w:link w:val="FooterChar"/>
    <w:uiPriority w:val="99"/>
    <w:unhideWhenUsed/>
    <w:rsid w:val="00845D31"/>
    <w:pPr>
      <w:tabs>
        <w:tab w:val="center" w:pos="4513"/>
        <w:tab w:val="right" w:pos="9026"/>
      </w:tabs>
    </w:pPr>
  </w:style>
  <w:style w:type="character" w:customStyle="1" w:styleId="FooterChar">
    <w:name w:val="Footer Char"/>
    <w:basedOn w:val="DefaultParagraphFont"/>
    <w:link w:val="Footer"/>
    <w:uiPriority w:val="99"/>
    <w:rsid w:val="00845D31"/>
  </w:style>
  <w:style w:type="character" w:styleId="PageNumber">
    <w:name w:val="page number"/>
    <w:basedOn w:val="DefaultParagraphFont"/>
    <w:uiPriority w:val="99"/>
    <w:semiHidden/>
    <w:unhideWhenUsed/>
    <w:rsid w:val="00845D31"/>
  </w:style>
  <w:style w:type="paragraph" w:styleId="Header">
    <w:name w:val="header"/>
    <w:basedOn w:val="Normal"/>
    <w:link w:val="HeaderChar"/>
    <w:uiPriority w:val="99"/>
    <w:unhideWhenUsed/>
    <w:rsid w:val="00845D31"/>
    <w:pPr>
      <w:tabs>
        <w:tab w:val="center" w:pos="4513"/>
        <w:tab w:val="right" w:pos="9026"/>
      </w:tabs>
    </w:pPr>
  </w:style>
  <w:style w:type="character" w:customStyle="1" w:styleId="HeaderChar">
    <w:name w:val="Header Char"/>
    <w:basedOn w:val="DefaultParagraphFont"/>
    <w:link w:val="Header"/>
    <w:uiPriority w:val="99"/>
    <w:rsid w:val="00845D31"/>
  </w:style>
  <w:style w:type="character" w:customStyle="1" w:styleId="UnresolvedMention">
    <w:name w:val="Unresolved Mention"/>
    <w:basedOn w:val="DefaultParagraphFont"/>
    <w:uiPriority w:val="99"/>
    <w:semiHidden/>
    <w:unhideWhenUsed/>
    <w:rsid w:val="00845D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661337">
      <w:bodyDiv w:val="1"/>
      <w:marLeft w:val="0"/>
      <w:marRight w:val="0"/>
      <w:marTop w:val="0"/>
      <w:marBottom w:val="0"/>
      <w:divBdr>
        <w:top w:val="none" w:sz="0" w:space="0" w:color="auto"/>
        <w:left w:val="none" w:sz="0" w:space="0" w:color="auto"/>
        <w:bottom w:val="none" w:sz="0" w:space="0" w:color="auto"/>
        <w:right w:val="none" w:sz="0" w:space="0" w:color="auto"/>
      </w:divBdr>
    </w:div>
    <w:div w:id="922641534">
      <w:bodyDiv w:val="1"/>
      <w:marLeft w:val="0"/>
      <w:marRight w:val="0"/>
      <w:marTop w:val="0"/>
      <w:marBottom w:val="0"/>
      <w:divBdr>
        <w:top w:val="none" w:sz="0" w:space="0" w:color="auto"/>
        <w:left w:val="none" w:sz="0" w:space="0" w:color="auto"/>
        <w:bottom w:val="none" w:sz="0" w:space="0" w:color="auto"/>
        <w:right w:val="none" w:sz="0" w:space="0" w:color="auto"/>
      </w:divBdr>
    </w:div>
    <w:div w:id="1136339489">
      <w:bodyDiv w:val="1"/>
      <w:marLeft w:val="0"/>
      <w:marRight w:val="0"/>
      <w:marTop w:val="0"/>
      <w:marBottom w:val="0"/>
      <w:divBdr>
        <w:top w:val="none" w:sz="0" w:space="0" w:color="auto"/>
        <w:left w:val="none" w:sz="0" w:space="0" w:color="auto"/>
        <w:bottom w:val="none" w:sz="0" w:space="0" w:color="auto"/>
        <w:right w:val="none" w:sz="0" w:space="0" w:color="auto"/>
      </w:divBdr>
      <w:divsChild>
        <w:div w:id="41637928">
          <w:marLeft w:val="0"/>
          <w:marRight w:val="0"/>
          <w:marTop w:val="0"/>
          <w:marBottom w:val="0"/>
          <w:divBdr>
            <w:top w:val="none" w:sz="0" w:space="0" w:color="auto"/>
            <w:left w:val="none" w:sz="0" w:space="0" w:color="auto"/>
            <w:bottom w:val="none" w:sz="0" w:space="0" w:color="auto"/>
            <w:right w:val="none" w:sz="0" w:space="0" w:color="auto"/>
          </w:divBdr>
        </w:div>
        <w:div w:id="401024315">
          <w:marLeft w:val="0"/>
          <w:marRight w:val="0"/>
          <w:marTop w:val="0"/>
          <w:marBottom w:val="0"/>
          <w:divBdr>
            <w:top w:val="none" w:sz="0" w:space="0" w:color="auto"/>
            <w:left w:val="none" w:sz="0" w:space="0" w:color="auto"/>
            <w:bottom w:val="none" w:sz="0" w:space="0" w:color="auto"/>
            <w:right w:val="none" w:sz="0" w:space="0" w:color="auto"/>
          </w:divBdr>
        </w:div>
        <w:div w:id="1679117022">
          <w:marLeft w:val="0"/>
          <w:marRight w:val="0"/>
          <w:marTop w:val="0"/>
          <w:marBottom w:val="0"/>
          <w:divBdr>
            <w:top w:val="none" w:sz="0" w:space="0" w:color="auto"/>
            <w:left w:val="none" w:sz="0" w:space="0" w:color="auto"/>
            <w:bottom w:val="none" w:sz="0" w:space="0" w:color="auto"/>
            <w:right w:val="none" w:sz="0" w:space="0" w:color="auto"/>
          </w:divBdr>
        </w:div>
        <w:div w:id="923760003">
          <w:marLeft w:val="0"/>
          <w:marRight w:val="0"/>
          <w:marTop w:val="0"/>
          <w:marBottom w:val="0"/>
          <w:divBdr>
            <w:top w:val="none" w:sz="0" w:space="0" w:color="auto"/>
            <w:left w:val="none" w:sz="0" w:space="0" w:color="auto"/>
            <w:bottom w:val="none" w:sz="0" w:space="0" w:color="auto"/>
            <w:right w:val="none" w:sz="0" w:space="0" w:color="auto"/>
          </w:divBdr>
        </w:div>
      </w:divsChild>
    </w:div>
    <w:div w:id="1256477337">
      <w:bodyDiv w:val="1"/>
      <w:marLeft w:val="0"/>
      <w:marRight w:val="0"/>
      <w:marTop w:val="0"/>
      <w:marBottom w:val="0"/>
      <w:divBdr>
        <w:top w:val="none" w:sz="0" w:space="0" w:color="auto"/>
        <w:left w:val="none" w:sz="0" w:space="0" w:color="auto"/>
        <w:bottom w:val="none" w:sz="0" w:space="0" w:color="auto"/>
        <w:right w:val="none" w:sz="0" w:space="0" w:color="auto"/>
      </w:divBdr>
      <w:divsChild>
        <w:div w:id="315568695">
          <w:marLeft w:val="0"/>
          <w:marRight w:val="0"/>
          <w:marTop w:val="0"/>
          <w:marBottom w:val="0"/>
          <w:divBdr>
            <w:top w:val="none" w:sz="0" w:space="0" w:color="auto"/>
            <w:left w:val="none" w:sz="0" w:space="0" w:color="auto"/>
            <w:bottom w:val="none" w:sz="0" w:space="0" w:color="auto"/>
            <w:right w:val="none" w:sz="0" w:space="0" w:color="auto"/>
          </w:divBdr>
        </w:div>
        <w:div w:id="247233366">
          <w:marLeft w:val="0"/>
          <w:marRight w:val="0"/>
          <w:marTop w:val="0"/>
          <w:marBottom w:val="0"/>
          <w:divBdr>
            <w:top w:val="none" w:sz="0" w:space="0" w:color="auto"/>
            <w:left w:val="none" w:sz="0" w:space="0" w:color="auto"/>
            <w:bottom w:val="none" w:sz="0" w:space="0" w:color="auto"/>
            <w:right w:val="none" w:sz="0" w:space="0" w:color="auto"/>
          </w:divBdr>
        </w:div>
        <w:div w:id="1278953525">
          <w:marLeft w:val="0"/>
          <w:marRight w:val="0"/>
          <w:marTop w:val="0"/>
          <w:marBottom w:val="0"/>
          <w:divBdr>
            <w:top w:val="none" w:sz="0" w:space="0" w:color="auto"/>
            <w:left w:val="none" w:sz="0" w:space="0" w:color="auto"/>
            <w:bottom w:val="none" w:sz="0" w:space="0" w:color="auto"/>
            <w:right w:val="none" w:sz="0" w:space="0" w:color="auto"/>
          </w:divBdr>
        </w:div>
        <w:div w:id="1204368189">
          <w:marLeft w:val="0"/>
          <w:marRight w:val="0"/>
          <w:marTop w:val="0"/>
          <w:marBottom w:val="0"/>
          <w:divBdr>
            <w:top w:val="none" w:sz="0" w:space="0" w:color="auto"/>
            <w:left w:val="none" w:sz="0" w:space="0" w:color="auto"/>
            <w:bottom w:val="none" w:sz="0" w:space="0" w:color="auto"/>
            <w:right w:val="none" w:sz="0" w:space="0" w:color="auto"/>
          </w:divBdr>
        </w:div>
      </w:divsChild>
    </w:div>
    <w:div w:id="1316180058">
      <w:bodyDiv w:val="1"/>
      <w:marLeft w:val="0"/>
      <w:marRight w:val="0"/>
      <w:marTop w:val="0"/>
      <w:marBottom w:val="0"/>
      <w:divBdr>
        <w:top w:val="none" w:sz="0" w:space="0" w:color="auto"/>
        <w:left w:val="none" w:sz="0" w:space="0" w:color="auto"/>
        <w:bottom w:val="none" w:sz="0" w:space="0" w:color="auto"/>
        <w:right w:val="none" w:sz="0" w:space="0" w:color="auto"/>
      </w:divBdr>
      <w:divsChild>
        <w:div w:id="1555241816">
          <w:marLeft w:val="0"/>
          <w:marRight w:val="0"/>
          <w:marTop w:val="0"/>
          <w:marBottom w:val="0"/>
          <w:divBdr>
            <w:top w:val="none" w:sz="0" w:space="0" w:color="auto"/>
            <w:left w:val="none" w:sz="0" w:space="0" w:color="auto"/>
            <w:bottom w:val="none" w:sz="0" w:space="0" w:color="auto"/>
            <w:right w:val="none" w:sz="0" w:space="0" w:color="auto"/>
          </w:divBdr>
        </w:div>
        <w:div w:id="292567488">
          <w:marLeft w:val="0"/>
          <w:marRight w:val="0"/>
          <w:marTop w:val="0"/>
          <w:marBottom w:val="0"/>
          <w:divBdr>
            <w:top w:val="none" w:sz="0" w:space="0" w:color="auto"/>
            <w:left w:val="none" w:sz="0" w:space="0" w:color="auto"/>
            <w:bottom w:val="none" w:sz="0" w:space="0" w:color="auto"/>
            <w:right w:val="none" w:sz="0" w:space="0" w:color="auto"/>
          </w:divBdr>
        </w:div>
        <w:div w:id="626006528">
          <w:marLeft w:val="0"/>
          <w:marRight w:val="0"/>
          <w:marTop w:val="0"/>
          <w:marBottom w:val="0"/>
          <w:divBdr>
            <w:top w:val="none" w:sz="0" w:space="0" w:color="auto"/>
            <w:left w:val="none" w:sz="0" w:space="0" w:color="auto"/>
            <w:bottom w:val="none" w:sz="0" w:space="0" w:color="auto"/>
            <w:right w:val="none" w:sz="0" w:space="0" w:color="auto"/>
          </w:divBdr>
        </w:div>
        <w:div w:id="1916360299">
          <w:marLeft w:val="0"/>
          <w:marRight w:val="0"/>
          <w:marTop w:val="0"/>
          <w:marBottom w:val="0"/>
          <w:divBdr>
            <w:top w:val="none" w:sz="0" w:space="0" w:color="auto"/>
            <w:left w:val="none" w:sz="0" w:space="0" w:color="auto"/>
            <w:bottom w:val="none" w:sz="0" w:space="0" w:color="auto"/>
            <w:right w:val="none" w:sz="0" w:space="0" w:color="auto"/>
          </w:divBdr>
        </w:div>
        <w:div w:id="1446341460">
          <w:marLeft w:val="0"/>
          <w:marRight w:val="0"/>
          <w:marTop w:val="0"/>
          <w:marBottom w:val="0"/>
          <w:divBdr>
            <w:top w:val="none" w:sz="0" w:space="0" w:color="auto"/>
            <w:left w:val="none" w:sz="0" w:space="0" w:color="auto"/>
            <w:bottom w:val="none" w:sz="0" w:space="0" w:color="auto"/>
            <w:right w:val="none" w:sz="0" w:space="0" w:color="auto"/>
          </w:divBdr>
        </w:div>
        <w:div w:id="366174687">
          <w:marLeft w:val="0"/>
          <w:marRight w:val="0"/>
          <w:marTop w:val="0"/>
          <w:marBottom w:val="0"/>
          <w:divBdr>
            <w:top w:val="none" w:sz="0" w:space="0" w:color="auto"/>
            <w:left w:val="none" w:sz="0" w:space="0" w:color="auto"/>
            <w:bottom w:val="none" w:sz="0" w:space="0" w:color="auto"/>
            <w:right w:val="none" w:sz="0" w:space="0" w:color="auto"/>
          </w:divBdr>
        </w:div>
        <w:div w:id="1511797747">
          <w:marLeft w:val="0"/>
          <w:marRight w:val="0"/>
          <w:marTop w:val="0"/>
          <w:marBottom w:val="0"/>
          <w:divBdr>
            <w:top w:val="none" w:sz="0" w:space="0" w:color="auto"/>
            <w:left w:val="none" w:sz="0" w:space="0" w:color="auto"/>
            <w:bottom w:val="none" w:sz="0" w:space="0" w:color="auto"/>
            <w:right w:val="none" w:sz="0" w:space="0" w:color="auto"/>
          </w:divBdr>
        </w:div>
        <w:div w:id="2028174015">
          <w:marLeft w:val="0"/>
          <w:marRight w:val="0"/>
          <w:marTop w:val="0"/>
          <w:marBottom w:val="0"/>
          <w:divBdr>
            <w:top w:val="none" w:sz="0" w:space="0" w:color="auto"/>
            <w:left w:val="none" w:sz="0" w:space="0" w:color="auto"/>
            <w:bottom w:val="none" w:sz="0" w:space="0" w:color="auto"/>
            <w:right w:val="none" w:sz="0" w:space="0" w:color="auto"/>
          </w:divBdr>
        </w:div>
        <w:div w:id="364255442">
          <w:marLeft w:val="0"/>
          <w:marRight w:val="0"/>
          <w:marTop w:val="0"/>
          <w:marBottom w:val="0"/>
          <w:divBdr>
            <w:top w:val="none" w:sz="0" w:space="0" w:color="auto"/>
            <w:left w:val="none" w:sz="0" w:space="0" w:color="auto"/>
            <w:bottom w:val="none" w:sz="0" w:space="0" w:color="auto"/>
            <w:right w:val="none" w:sz="0" w:space="0" w:color="auto"/>
          </w:divBdr>
        </w:div>
      </w:divsChild>
    </w:div>
    <w:div w:id="1444231361">
      <w:bodyDiv w:val="1"/>
      <w:marLeft w:val="0"/>
      <w:marRight w:val="0"/>
      <w:marTop w:val="0"/>
      <w:marBottom w:val="0"/>
      <w:divBdr>
        <w:top w:val="none" w:sz="0" w:space="0" w:color="auto"/>
        <w:left w:val="none" w:sz="0" w:space="0" w:color="auto"/>
        <w:bottom w:val="none" w:sz="0" w:space="0" w:color="auto"/>
        <w:right w:val="none" w:sz="0" w:space="0" w:color="auto"/>
      </w:divBdr>
    </w:div>
    <w:div w:id="1740517998">
      <w:bodyDiv w:val="1"/>
      <w:marLeft w:val="0"/>
      <w:marRight w:val="0"/>
      <w:marTop w:val="0"/>
      <w:marBottom w:val="0"/>
      <w:divBdr>
        <w:top w:val="none" w:sz="0" w:space="0" w:color="auto"/>
        <w:left w:val="none" w:sz="0" w:space="0" w:color="auto"/>
        <w:bottom w:val="none" w:sz="0" w:space="0" w:color="auto"/>
        <w:right w:val="none" w:sz="0" w:space="0" w:color="auto"/>
      </w:divBdr>
    </w:div>
    <w:div w:id="1939630619">
      <w:bodyDiv w:val="1"/>
      <w:marLeft w:val="0"/>
      <w:marRight w:val="0"/>
      <w:marTop w:val="0"/>
      <w:marBottom w:val="0"/>
      <w:divBdr>
        <w:top w:val="none" w:sz="0" w:space="0" w:color="auto"/>
        <w:left w:val="none" w:sz="0" w:space="0" w:color="auto"/>
        <w:bottom w:val="none" w:sz="0" w:space="0" w:color="auto"/>
        <w:right w:val="none" w:sz="0" w:space="0" w:color="auto"/>
      </w:divBdr>
    </w:div>
    <w:div w:id="1968968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hyperlink" Target="mailto:ross.little@dmu.ac.uk" TargetMode="External"/><Relationship Id="rId4" Type="http://schemas.openxmlformats.org/officeDocument/2006/relationships/webSettings" Target="webSettings.xml"/><Relationship Id="rId9" Type="http://schemas.openxmlformats.org/officeDocument/2006/relationships/hyperlink" Target="mailto:carolyne.willow@article39.org.uk"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thenayj.org.uk/wp-content/uploads/2015/06/2012-The-Age-of-Criminal-responsibilit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7EDAEAD-837D-41F1-B701-B3043C20E319}"/>
</file>

<file path=customXml/itemProps2.xml><?xml version="1.0" encoding="utf-8"?>
<ds:datastoreItem xmlns:ds="http://schemas.openxmlformats.org/officeDocument/2006/customXml" ds:itemID="{0B34306C-BFFD-4CD6-B103-AF45229E175C}"/>
</file>

<file path=customXml/itemProps3.xml><?xml version="1.0" encoding="utf-8"?>
<ds:datastoreItem xmlns:ds="http://schemas.openxmlformats.org/officeDocument/2006/customXml" ds:itemID="{348717FC-95CA-47C7-A8B3-144657799B43}"/>
</file>

<file path=docProps/app.xml><?xml version="1.0" encoding="utf-8"?>
<Properties xmlns="http://schemas.openxmlformats.org/officeDocument/2006/extended-properties" xmlns:vt="http://schemas.openxmlformats.org/officeDocument/2006/docPropsVTypes">
  <Template>Normal.dotm</Template>
  <TotalTime>1</TotalTime>
  <Pages>5</Pages>
  <Words>1857</Words>
  <Characters>10590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Carolyne Willow</dc:creator>
  <cp:keywords/>
  <dc:description/>
  <cp:lastModifiedBy>BOIT James</cp:lastModifiedBy>
  <cp:revision>2</cp:revision>
  <cp:lastPrinted>2019-01-08T21:26:00Z</cp:lastPrinted>
  <dcterms:created xsi:type="dcterms:W3CDTF">2019-01-10T10:52:00Z</dcterms:created>
  <dcterms:modified xsi:type="dcterms:W3CDTF">2019-01-10T10:52:00Z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