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14B" w:rsidRPr="00515B00" w:rsidRDefault="00E1214B" w:rsidP="004F3AFF">
      <w:pPr>
        <w:widowControl w:val="0"/>
        <w:spacing w:after="60" w:line="360" w:lineRule="auto"/>
        <w:jc w:val="center"/>
        <w:rPr>
          <w:rFonts w:ascii="Times New Roman" w:hAnsi="Times New Roman" w:cs="Times New Roman"/>
          <w:b/>
          <w:sz w:val="24"/>
          <w:szCs w:val="24"/>
        </w:rPr>
      </w:pPr>
      <w:r w:rsidRPr="00515B00">
        <w:rPr>
          <w:rFonts w:ascii="Times New Roman" w:hAnsi="Times New Roman" w:cs="Times New Roman"/>
          <w:b/>
          <w:sz w:val="24"/>
          <w:szCs w:val="24"/>
        </w:rPr>
        <w:t>Submission of the Australian Government</w:t>
      </w:r>
    </w:p>
    <w:p w:rsidR="009F41E2" w:rsidRPr="00515B00" w:rsidRDefault="00E1214B" w:rsidP="004F3AFF">
      <w:pPr>
        <w:widowControl w:val="0"/>
        <w:spacing w:after="60" w:line="360" w:lineRule="auto"/>
        <w:jc w:val="center"/>
        <w:rPr>
          <w:rFonts w:ascii="Times New Roman" w:hAnsi="Times New Roman" w:cs="Times New Roman"/>
          <w:b/>
          <w:sz w:val="24"/>
          <w:szCs w:val="24"/>
        </w:rPr>
      </w:pPr>
      <w:r w:rsidRPr="00515B00">
        <w:rPr>
          <w:rFonts w:ascii="Times New Roman" w:hAnsi="Times New Roman" w:cs="Times New Roman"/>
          <w:b/>
          <w:sz w:val="24"/>
          <w:szCs w:val="24"/>
        </w:rPr>
        <w:t xml:space="preserve">Draft General Comment </w:t>
      </w:r>
      <w:r w:rsidR="00137E80" w:rsidRPr="00515B00">
        <w:rPr>
          <w:rFonts w:ascii="Times New Roman" w:hAnsi="Times New Roman" w:cs="Times New Roman"/>
          <w:b/>
          <w:sz w:val="24"/>
          <w:szCs w:val="24"/>
        </w:rPr>
        <w:t xml:space="preserve">No. 24, replacing General Comment No. 10 </w:t>
      </w:r>
      <w:r w:rsidRPr="00515B00">
        <w:rPr>
          <w:rFonts w:ascii="Times New Roman" w:hAnsi="Times New Roman" w:cs="Times New Roman"/>
          <w:b/>
          <w:sz w:val="24"/>
          <w:szCs w:val="24"/>
        </w:rPr>
        <w:t>on</w:t>
      </w:r>
      <w:r w:rsidR="00515B00" w:rsidRPr="00515B00">
        <w:rPr>
          <w:rFonts w:ascii="Times New Roman" w:hAnsi="Times New Roman" w:cs="Times New Roman"/>
          <w:b/>
          <w:sz w:val="24"/>
          <w:szCs w:val="24"/>
        </w:rPr>
        <w:t xml:space="preserve"> Children’s rights in juvenile justice</w:t>
      </w:r>
    </w:p>
    <w:p w:rsidR="00E1214B" w:rsidRPr="00515B00" w:rsidRDefault="00E1214B" w:rsidP="004F3AFF">
      <w:pPr>
        <w:pStyle w:val="ListParagraph"/>
        <w:widowControl w:val="0"/>
        <w:numPr>
          <w:ilvl w:val="0"/>
          <w:numId w:val="5"/>
        </w:numPr>
        <w:spacing w:after="60" w:line="360" w:lineRule="auto"/>
        <w:contextualSpacing w:val="0"/>
        <w:jc w:val="both"/>
        <w:rPr>
          <w:rFonts w:ascii="Times New Roman" w:hAnsi="Times New Roman" w:cs="Times New Roman"/>
          <w:sz w:val="24"/>
          <w:szCs w:val="24"/>
        </w:rPr>
      </w:pPr>
      <w:r w:rsidRPr="00515B00">
        <w:rPr>
          <w:rFonts w:ascii="Times New Roman" w:hAnsi="Times New Roman" w:cs="Times New Roman"/>
          <w:sz w:val="24"/>
          <w:szCs w:val="24"/>
        </w:rPr>
        <w:t xml:space="preserve">The Australian Government presents its compliments to the United Nations Committee on the Rights of </w:t>
      </w:r>
      <w:r w:rsidR="00A81C8F" w:rsidRPr="00515B00">
        <w:rPr>
          <w:rFonts w:ascii="Times New Roman" w:hAnsi="Times New Roman" w:cs="Times New Roman"/>
          <w:sz w:val="24"/>
          <w:szCs w:val="24"/>
        </w:rPr>
        <w:t>the Child</w:t>
      </w:r>
      <w:r w:rsidRPr="00515B00">
        <w:rPr>
          <w:rFonts w:ascii="Times New Roman" w:hAnsi="Times New Roman" w:cs="Times New Roman"/>
          <w:sz w:val="24"/>
          <w:szCs w:val="24"/>
        </w:rPr>
        <w:t xml:space="preserve"> (the Committee) and has the honour to refer to the Committee’s invitation for written comments on draft General Comment </w:t>
      </w:r>
      <w:r w:rsidR="00515B00" w:rsidRPr="00515B00">
        <w:rPr>
          <w:rFonts w:ascii="Times New Roman" w:hAnsi="Times New Roman" w:cs="Times New Roman"/>
          <w:sz w:val="24"/>
          <w:szCs w:val="24"/>
        </w:rPr>
        <w:t>No. 24, replacing General Comment 10, on Children’s rights in juvenile justice</w:t>
      </w:r>
      <w:r w:rsidRPr="00515B00">
        <w:rPr>
          <w:rFonts w:ascii="Times New Roman" w:hAnsi="Times New Roman" w:cs="Times New Roman"/>
          <w:sz w:val="24"/>
          <w:szCs w:val="24"/>
        </w:rPr>
        <w:t>.</w:t>
      </w:r>
      <w:r w:rsidRPr="00515B00">
        <w:rPr>
          <w:rStyle w:val="FootnoteReference"/>
          <w:rFonts w:ascii="Times New Roman" w:hAnsi="Times New Roman" w:cs="Times New Roman"/>
          <w:sz w:val="24"/>
          <w:szCs w:val="24"/>
        </w:rPr>
        <w:footnoteReference w:id="1"/>
      </w:r>
    </w:p>
    <w:p w:rsidR="00121025" w:rsidRPr="00121025" w:rsidRDefault="00E1214B" w:rsidP="00121025">
      <w:pPr>
        <w:pStyle w:val="ListParagraph"/>
        <w:widowControl w:val="0"/>
        <w:numPr>
          <w:ilvl w:val="0"/>
          <w:numId w:val="5"/>
        </w:numPr>
        <w:spacing w:after="60" w:line="360" w:lineRule="auto"/>
        <w:contextualSpacing w:val="0"/>
        <w:jc w:val="both"/>
        <w:rPr>
          <w:rFonts w:ascii="Times New Roman" w:hAnsi="Times New Roman" w:cs="Times New Roman"/>
          <w:sz w:val="24"/>
          <w:szCs w:val="24"/>
        </w:rPr>
      </w:pPr>
      <w:r w:rsidRPr="00121025">
        <w:rPr>
          <w:rFonts w:ascii="Times New Roman" w:hAnsi="Times New Roman" w:cs="Times New Roman"/>
          <w:sz w:val="24"/>
          <w:szCs w:val="24"/>
        </w:rPr>
        <w:t>The Australian Government thanks the Committee for the opportunity to provide a written submission on the draft General Comment</w:t>
      </w:r>
      <w:r w:rsidR="00F11232" w:rsidRPr="00121025">
        <w:rPr>
          <w:rFonts w:ascii="Times New Roman" w:hAnsi="Times New Roman" w:cs="Times New Roman"/>
          <w:sz w:val="24"/>
          <w:szCs w:val="24"/>
        </w:rPr>
        <w:t xml:space="preserve"> and extension of time to do so</w:t>
      </w:r>
      <w:r w:rsidRPr="00121025">
        <w:rPr>
          <w:rFonts w:ascii="Times New Roman" w:hAnsi="Times New Roman" w:cs="Times New Roman"/>
          <w:sz w:val="24"/>
          <w:szCs w:val="24"/>
        </w:rPr>
        <w:t xml:space="preserve">. Australia is a longstanding party to the Convention on the Rights of </w:t>
      </w:r>
      <w:r w:rsidR="00A81C8F" w:rsidRPr="00121025">
        <w:rPr>
          <w:rFonts w:ascii="Times New Roman" w:hAnsi="Times New Roman" w:cs="Times New Roman"/>
          <w:sz w:val="24"/>
          <w:szCs w:val="24"/>
        </w:rPr>
        <w:t>the Child</w:t>
      </w:r>
      <w:r w:rsidR="0029485D" w:rsidRPr="00121025">
        <w:rPr>
          <w:rFonts w:ascii="Times New Roman" w:hAnsi="Times New Roman" w:cs="Times New Roman"/>
          <w:sz w:val="24"/>
          <w:szCs w:val="24"/>
        </w:rPr>
        <w:t xml:space="preserve"> (the Convention),</w:t>
      </w:r>
      <w:r w:rsidRPr="00121025">
        <w:rPr>
          <w:rFonts w:ascii="Times New Roman" w:hAnsi="Times New Roman" w:cs="Times New Roman"/>
          <w:sz w:val="24"/>
          <w:szCs w:val="24"/>
        </w:rPr>
        <w:t xml:space="preserve"> </w:t>
      </w:r>
      <w:r w:rsidR="0029485D" w:rsidRPr="00121025">
        <w:rPr>
          <w:rFonts w:ascii="Times New Roman" w:hAnsi="Times New Roman" w:cs="Times New Roman"/>
          <w:sz w:val="24"/>
          <w:szCs w:val="24"/>
        </w:rPr>
        <w:t xml:space="preserve">the </w:t>
      </w:r>
      <w:r w:rsidR="00996F34" w:rsidRPr="00121025">
        <w:rPr>
          <w:rFonts w:ascii="Times New Roman" w:hAnsi="Times New Roman" w:cs="Times New Roman"/>
          <w:sz w:val="24"/>
          <w:szCs w:val="24"/>
        </w:rPr>
        <w:t>Optional </w:t>
      </w:r>
      <w:r w:rsidRPr="00121025">
        <w:rPr>
          <w:rFonts w:ascii="Times New Roman" w:hAnsi="Times New Roman" w:cs="Times New Roman"/>
          <w:sz w:val="24"/>
          <w:szCs w:val="24"/>
        </w:rPr>
        <w:t>Protocol</w:t>
      </w:r>
      <w:r w:rsidR="0029485D" w:rsidRPr="00121025">
        <w:rPr>
          <w:rFonts w:ascii="Times New Roman" w:hAnsi="Times New Roman" w:cs="Times New Roman"/>
          <w:sz w:val="24"/>
          <w:szCs w:val="24"/>
        </w:rPr>
        <w:t xml:space="preserve"> on the sale of children, child prostitution and chi</w:t>
      </w:r>
      <w:r w:rsidR="00996F34" w:rsidRPr="00121025">
        <w:rPr>
          <w:rFonts w:ascii="Times New Roman" w:hAnsi="Times New Roman" w:cs="Times New Roman"/>
          <w:sz w:val="24"/>
          <w:szCs w:val="24"/>
        </w:rPr>
        <w:t>ld pornography and the Optional </w:t>
      </w:r>
      <w:r w:rsidR="0029485D" w:rsidRPr="00121025">
        <w:rPr>
          <w:rFonts w:ascii="Times New Roman" w:hAnsi="Times New Roman" w:cs="Times New Roman"/>
          <w:sz w:val="24"/>
          <w:szCs w:val="24"/>
        </w:rPr>
        <w:t>Protocol on the Involvement</w:t>
      </w:r>
      <w:r w:rsidR="005F750E" w:rsidRPr="00121025">
        <w:rPr>
          <w:rFonts w:ascii="Times New Roman" w:hAnsi="Times New Roman" w:cs="Times New Roman"/>
          <w:sz w:val="24"/>
          <w:szCs w:val="24"/>
        </w:rPr>
        <w:t xml:space="preserve"> of Children in Armed Conflict,</w:t>
      </w:r>
      <w:r w:rsidR="0029485D" w:rsidRPr="00121025">
        <w:rPr>
          <w:rFonts w:ascii="Times New Roman" w:hAnsi="Times New Roman" w:cs="Times New Roman"/>
          <w:sz w:val="24"/>
          <w:szCs w:val="24"/>
        </w:rPr>
        <w:t xml:space="preserve"> </w:t>
      </w:r>
      <w:r w:rsidRPr="00121025">
        <w:rPr>
          <w:rFonts w:ascii="Times New Roman" w:hAnsi="Times New Roman" w:cs="Times New Roman"/>
          <w:sz w:val="24"/>
          <w:szCs w:val="24"/>
        </w:rPr>
        <w:t>and is firmly committed to upholding its obligations.</w:t>
      </w:r>
      <w:r w:rsidR="00121025" w:rsidRPr="00121025">
        <w:rPr>
          <w:rFonts w:ascii="Times New Roman" w:hAnsi="Times New Roman" w:cs="Times New Roman"/>
          <w:sz w:val="24"/>
          <w:szCs w:val="24"/>
        </w:rPr>
        <w:t xml:space="preserve"> Australia has</w:t>
      </w:r>
      <w:r w:rsidR="00121025">
        <w:rPr>
          <w:rFonts w:ascii="Times New Roman" w:hAnsi="Times New Roman" w:cs="Times New Roman"/>
          <w:sz w:val="24"/>
          <w:szCs w:val="24"/>
        </w:rPr>
        <w:t xml:space="preserve"> identified </w:t>
      </w:r>
      <w:r w:rsidR="00121025" w:rsidRPr="00121025">
        <w:rPr>
          <w:rFonts w:ascii="Times New Roman" w:hAnsi="Times New Roman" w:cs="Times New Roman"/>
          <w:sz w:val="24"/>
          <w:szCs w:val="24"/>
        </w:rPr>
        <w:t xml:space="preserve">the </w:t>
      </w:r>
      <w:r w:rsidR="00121025" w:rsidRPr="00121025">
        <w:rPr>
          <w:rFonts w:ascii="Times New Roman" w:hAnsi="Times New Roman" w:cs="Times New Roman"/>
          <w:sz w:val="24"/>
          <w:szCs w:val="24"/>
        </w:rPr>
        <w:lastRenderedPageBreak/>
        <w:t xml:space="preserve">following </w:t>
      </w:r>
      <w:r w:rsidR="00121025">
        <w:rPr>
          <w:rFonts w:ascii="Times New Roman" w:hAnsi="Times New Roman" w:cs="Times New Roman"/>
          <w:sz w:val="24"/>
          <w:szCs w:val="24"/>
        </w:rPr>
        <w:t>matters that it wishes to bring to the attention of the Committee.</w:t>
      </w:r>
      <w:r w:rsidR="00CA58FE">
        <w:rPr>
          <w:rStyle w:val="FootnoteReference"/>
          <w:rFonts w:ascii="Times New Roman" w:hAnsi="Times New Roman" w:cs="Times New Roman"/>
          <w:sz w:val="24"/>
          <w:szCs w:val="24"/>
        </w:rPr>
        <w:footnoteReference w:id="2"/>
      </w:r>
    </w:p>
    <w:p w:rsidR="00BE788D" w:rsidRPr="00F11232" w:rsidRDefault="0000319E" w:rsidP="004F3AFF">
      <w:pPr>
        <w:widowControl w:val="0"/>
        <w:spacing w:after="60" w:line="360" w:lineRule="auto"/>
        <w:jc w:val="both"/>
        <w:rPr>
          <w:rFonts w:ascii="Times New Roman" w:hAnsi="Times New Roman" w:cs="Times New Roman"/>
          <w:sz w:val="24"/>
          <w:szCs w:val="24"/>
          <w:u w:val="single"/>
        </w:rPr>
      </w:pPr>
      <w:r w:rsidRPr="00F11232">
        <w:rPr>
          <w:rFonts w:ascii="Times New Roman" w:hAnsi="Times New Roman" w:cs="Times New Roman"/>
          <w:sz w:val="24"/>
          <w:szCs w:val="24"/>
          <w:u w:val="single"/>
        </w:rPr>
        <w:t>States Parties’ Obligations</w:t>
      </w:r>
    </w:p>
    <w:p w:rsidR="00121025" w:rsidRDefault="00B46B9F" w:rsidP="0058779B">
      <w:pPr>
        <w:pStyle w:val="ListParagraph"/>
        <w:widowControl w:val="0"/>
        <w:numPr>
          <w:ilvl w:val="0"/>
          <w:numId w:val="5"/>
        </w:numPr>
        <w:spacing w:after="60" w:line="360" w:lineRule="auto"/>
        <w:contextualSpacing w:val="0"/>
        <w:jc w:val="both"/>
        <w:rPr>
          <w:rFonts w:ascii="Times New Roman" w:hAnsi="Times New Roman" w:cs="Times New Roman"/>
          <w:sz w:val="24"/>
          <w:szCs w:val="24"/>
        </w:rPr>
      </w:pPr>
      <w:r w:rsidRPr="00996F34">
        <w:rPr>
          <w:rFonts w:ascii="Times New Roman" w:hAnsi="Times New Roman" w:cs="Times New Roman"/>
          <w:sz w:val="24"/>
          <w:szCs w:val="24"/>
        </w:rPr>
        <w:t>Australia is of the view that the draft General Comment would benefit from being less prescriptive</w:t>
      </w:r>
      <w:r w:rsidR="00EC1CCE">
        <w:rPr>
          <w:rFonts w:ascii="Times New Roman" w:hAnsi="Times New Roman" w:cs="Times New Roman"/>
          <w:sz w:val="24"/>
          <w:szCs w:val="24"/>
        </w:rPr>
        <w:t>,</w:t>
      </w:r>
      <w:r w:rsidRPr="00996F34">
        <w:rPr>
          <w:rFonts w:ascii="Times New Roman" w:hAnsi="Times New Roman" w:cs="Times New Roman"/>
          <w:sz w:val="24"/>
          <w:szCs w:val="24"/>
        </w:rPr>
        <w:t xml:space="preserve"> noting that </w:t>
      </w:r>
      <w:r w:rsidR="00996F34" w:rsidRPr="00996F34">
        <w:rPr>
          <w:rFonts w:ascii="Times New Roman" w:hAnsi="Times New Roman" w:cs="Times New Roman"/>
          <w:sz w:val="24"/>
          <w:szCs w:val="24"/>
        </w:rPr>
        <w:t>States </w:t>
      </w:r>
      <w:r w:rsidR="00996F34" w:rsidRPr="008712F7">
        <w:rPr>
          <w:rFonts w:ascii="Times New Roman" w:hAnsi="Times New Roman" w:cs="Times New Roman"/>
          <w:sz w:val="24"/>
          <w:szCs w:val="24"/>
        </w:rPr>
        <w:t xml:space="preserve">have a margin of appreciation in how they fulfil their </w:t>
      </w:r>
      <w:r w:rsidR="003E7502">
        <w:rPr>
          <w:rFonts w:ascii="Times New Roman" w:hAnsi="Times New Roman" w:cs="Times New Roman"/>
          <w:sz w:val="24"/>
          <w:szCs w:val="24"/>
        </w:rPr>
        <w:t xml:space="preserve">obligations under </w:t>
      </w:r>
      <w:r w:rsidR="00996F34" w:rsidRPr="008712F7">
        <w:rPr>
          <w:rFonts w:ascii="Times New Roman" w:hAnsi="Times New Roman" w:cs="Times New Roman"/>
          <w:sz w:val="24"/>
          <w:szCs w:val="24"/>
        </w:rPr>
        <w:t>human rights treaties</w:t>
      </w:r>
      <w:r w:rsidR="00EC1CCE">
        <w:rPr>
          <w:rFonts w:ascii="Times New Roman" w:hAnsi="Times New Roman" w:cs="Times New Roman"/>
          <w:sz w:val="24"/>
          <w:szCs w:val="24"/>
        </w:rPr>
        <w:t>.</w:t>
      </w:r>
      <w:r w:rsidR="00EC1CCE">
        <w:rPr>
          <w:rStyle w:val="FootnoteReference"/>
          <w:rFonts w:ascii="Times New Roman" w:hAnsi="Times New Roman" w:cs="Times New Roman"/>
          <w:sz w:val="24"/>
          <w:szCs w:val="24"/>
        </w:rPr>
        <w:footnoteReference w:id="3"/>
      </w:r>
      <w:r w:rsidR="0058779B" w:rsidRPr="008712F7">
        <w:rPr>
          <w:rFonts w:ascii="Times New Roman" w:hAnsi="Times New Roman" w:cs="Times New Roman"/>
          <w:sz w:val="24"/>
          <w:szCs w:val="24"/>
        </w:rPr>
        <w:t xml:space="preserve"> </w:t>
      </w:r>
      <w:r w:rsidRPr="008712F7">
        <w:rPr>
          <w:rFonts w:ascii="Times New Roman" w:hAnsi="Times New Roman" w:cs="Times New Roman"/>
          <w:sz w:val="24"/>
          <w:szCs w:val="24"/>
        </w:rPr>
        <w:t xml:space="preserve">Australia submits </w:t>
      </w:r>
      <w:r w:rsidR="009A0AA5">
        <w:rPr>
          <w:rFonts w:ascii="Times New Roman" w:hAnsi="Times New Roman" w:cs="Times New Roman"/>
          <w:sz w:val="24"/>
          <w:szCs w:val="24"/>
        </w:rPr>
        <w:t xml:space="preserve">that </w:t>
      </w:r>
      <w:r w:rsidRPr="008712F7">
        <w:rPr>
          <w:rFonts w:ascii="Times New Roman" w:hAnsi="Times New Roman" w:cs="Times New Roman"/>
          <w:sz w:val="24"/>
          <w:szCs w:val="24"/>
        </w:rPr>
        <w:t>a preferable approach would be to</w:t>
      </w:r>
      <w:r w:rsidR="00322FF8">
        <w:rPr>
          <w:rFonts w:ascii="Times New Roman" w:hAnsi="Times New Roman" w:cs="Times New Roman"/>
          <w:sz w:val="24"/>
          <w:szCs w:val="24"/>
        </w:rPr>
        <w:t xml:space="preserve"> recommend best practice and to</w:t>
      </w:r>
      <w:r w:rsidRPr="008712F7">
        <w:rPr>
          <w:rFonts w:ascii="Times New Roman" w:hAnsi="Times New Roman" w:cs="Times New Roman"/>
          <w:sz w:val="24"/>
          <w:szCs w:val="24"/>
        </w:rPr>
        <w:t xml:space="preserve"> provide examples of ways in which States</w:t>
      </w:r>
      <w:r w:rsidR="00322FF8">
        <w:rPr>
          <w:rFonts w:ascii="Times New Roman" w:hAnsi="Times New Roman" w:cs="Times New Roman"/>
          <w:sz w:val="24"/>
          <w:szCs w:val="24"/>
        </w:rPr>
        <w:t> </w:t>
      </w:r>
      <w:r w:rsidRPr="008712F7">
        <w:rPr>
          <w:rFonts w:ascii="Times New Roman" w:hAnsi="Times New Roman" w:cs="Times New Roman"/>
          <w:sz w:val="24"/>
          <w:szCs w:val="24"/>
        </w:rPr>
        <w:t xml:space="preserve">Parties could fulfil their obligations </w:t>
      </w:r>
      <w:r w:rsidR="0058779B" w:rsidRPr="008712F7">
        <w:rPr>
          <w:rFonts w:ascii="Times New Roman" w:hAnsi="Times New Roman" w:cs="Times New Roman"/>
          <w:sz w:val="24"/>
          <w:szCs w:val="24"/>
        </w:rPr>
        <w:t xml:space="preserve">to children in the </w:t>
      </w:r>
      <w:r w:rsidR="00722292">
        <w:rPr>
          <w:rFonts w:ascii="Times New Roman" w:hAnsi="Times New Roman" w:cs="Times New Roman"/>
          <w:sz w:val="24"/>
          <w:szCs w:val="24"/>
        </w:rPr>
        <w:t>youth</w:t>
      </w:r>
      <w:r w:rsidR="0058779B" w:rsidRPr="008712F7">
        <w:rPr>
          <w:rFonts w:ascii="Times New Roman" w:hAnsi="Times New Roman" w:cs="Times New Roman"/>
          <w:sz w:val="24"/>
          <w:szCs w:val="24"/>
        </w:rPr>
        <w:t xml:space="preserve"> justice context as suggestions or recommendations and not actions that States </w:t>
      </w:r>
      <w:r w:rsidR="00121025">
        <w:rPr>
          <w:rFonts w:ascii="Times New Roman" w:hAnsi="Times New Roman" w:cs="Times New Roman"/>
          <w:sz w:val="24"/>
          <w:szCs w:val="24"/>
        </w:rPr>
        <w:t>are required to, or must,</w:t>
      </w:r>
      <w:r w:rsidR="0058779B" w:rsidRPr="00CF3BDD">
        <w:rPr>
          <w:rFonts w:ascii="Times New Roman" w:hAnsi="Times New Roman" w:cs="Times New Roman"/>
          <w:sz w:val="24"/>
          <w:szCs w:val="24"/>
        </w:rPr>
        <w:t xml:space="preserve"> do in order to fulfil their obligations.</w:t>
      </w:r>
      <w:r w:rsidRPr="00CF3BDD">
        <w:rPr>
          <w:rFonts w:ascii="Times New Roman" w:hAnsi="Times New Roman" w:cs="Times New Roman"/>
          <w:sz w:val="24"/>
          <w:szCs w:val="24"/>
        </w:rPr>
        <w:t xml:space="preserve"> </w:t>
      </w:r>
    </w:p>
    <w:p w:rsidR="00B46B9F" w:rsidRPr="00CF3BDD" w:rsidRDefault="009A0AA5" w:rsidP="0058779B">
      <w:pPr>
        <w:pStyle w:val="ListParagraph"/>
        <w:widowControl w:val="0"/>
        <w:numPr>
          <w:ilvl w:val="0"/>
          <w:numId w:val="5"/>
        </w:numPr>
        <w:spacing w:after="6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Australia notes that economic, social and cultural rights addressed in the draft General Comment are progressively realisable and measures to achieve such rights should be taken by States to the maximum of their available resources.</w:t>
      </w:r>
      <w:r>
        <w:rPr>
          <w:rStyle w:val="FootnoteReference"/>
          <w:rFonts w:ascii="Times New Roman" w:hAnsi="Times New Roman" w:cs="Times New Roman"/>
          <w:sz w:val="24"/>
          <w:szCs w:val="24"/>
        </w:rPr>
        <w:footnoteReference w:id="4"/>
      </w:r>
    </w:p>
    <w:p w:rsidR="004C7234" w:rsidRPr="00CF3BDD" w:rsidRDefault="008712F7" w:rsidP="004F3AFF">
      <w:pPr>
        <w:pStyle w:val="ListParagraph"/>
        <w:widowControl w:val="0"/>
        <w:numPr>
          <w:ilvl w:val="0"/>
          <w:numId w:val="5"/>
        </w:numPr>
        <w:spacing w:after="60" w:line="360" w:lineRule="auto"/>
        <w:contextualSpacing w:val="0"/>
        <w:jc w:val="both"/>
        <w:rPr>
          <w:rFonts w:ascii="Times New Roman" w:hAnsi="Times New Roman" w:cs="Times New Roman"/>
          <w:sz w:val="24"/>
          <w:szCs w:val="24"/>
        </w:rPr>
      </w:pPr>
      <w:r w:rsidRPr="00CF3BDD">
        <w:rPr>
          <w:rFonts w:ascii="Times New Roman" w:hAnsi="Times New Roman" w:cs="Times New Roman"/>
          <w:sz w:val="24"/>
          <w:szCs w:val="24"/>
        </w:rPr>
        <w:lastRenderedPageBreak/>
        <w:t xml:space="preserve">Australia commends the Committee </w:t>
      </w:r>
      <w:r w:rsidR="003E7502" w:rsidRPr="00CF3BDD">
        <w:rPr>
          <w:rFonts w:ascii="Times New Roman" w:hAnsi="Times New Roman" w:cs="Times New Roman"/>
          <w:sz w:val="24"/>
          <w:szCs w:val="24"/>
        </w:rPr>
        <w:t xml:space="preserve">in </w:t>
      </w:r>
      <w:r w:rsidRPr="00CF3BDD">
        <w:rPr>
          <w:rFonts w:ascii="Times New Roman" w:hAnsi="Times New Roman" w:cs="Times New Roman"/>
          <w:sz w:val="24"/>
          <w:szCs w:val="24"/>
        </w:rPr>
        <w:t xml:space="preserve">adopting </w:t>
      </w:r>
      <w:r w:rsidR="003E7502" w:rsidRPr="00CF3BDD">
        <w:rPr>
          <w:rFonts w:ascii="Times New Roman" w:hAnsi="Times New Roman" w:cs="Times New Roman"/>
          <w:sz w:val="24"/>
          <w:szCs w:val="24"/>
        </w:rPr>
        <w:t xml:space="preserve">the </w:t>
      </w:r>
      <w:r w:rsidRPr="00CF3BDD">
        <w:rPr>
          <w:rFonts w:ascii="Times New Roman" w:hAnsi="Times New Roman" w:cs="Times New Roman"/>
          <w:sz w:val="24"/>
          <w:szCs w:val="24"/>
        </w:rPr>
        <w:t xml:space="preserve">language of the Convention </w:t>
      </w:r>
      <w:r w:rsidR="003E7502" w:rsidRPr="00CF3BDD">
        <w:rPr>
          <w:rFonts w:ascii="Times New Roman" w:hAnsi="Times New Roman" w:cs="Times New Roman"/>
          <w:sz w:val="24"/>
          <w:szCs w:val="24"/>
        </w:rPr>
        <w:t>throughout the draft General Comment</w:t>
      </w:r>
      <w:r w:rsidR="00DD7C69">
        <w:rPr>
          <w:rFonts w:ascii="Times New Roman" w:hAnsi="Times New Roman" w:cs="Times New Roman"/>
          <w:sz w:val="24"/>
          <w:szCs w:val="24"/>
        </w:rPr>
        <w:t>.  H</w:t>
      </w:r>
      <w:r w:rsidR="003E7502" w:rsidRPr="00CF3BDD">
        <w:rPr>
          <w:rFonts w:ascii="Times New Roman" w:hAnsi="Times New Roman" w:cs="Times New Roman"/>
          <w:sz w:val="24"/>
          <w:szCs w:val="24"/>
        </w:rPr>
        <w:t>owever</w:t>
      </w:r>
      <w:r w:rsidR="00DD7C69">
        <w:rPr>
          <w:rFonts w:ascii="Times New Roman" w:hAnsi="Times New Roman" w:cs="Times New Roman"/>
          <w:sz w:val="24"/>
          <w:szCs w:val="24"/>
        </w:rPr>
        <w:t>,</w:t>
      </w:r>
      <w:r w:rsidR="003E7502" w:rsidRPr="00CF3BDD">
        <w:rPr>
          <w:rFonts w:ascii="Times New Roman" w:hAnsi="Times New Roman" w:cs="Times New Roman"/>
          <w:sz w:val="24"/>
          <w:szCs w:val="24"/>
        </w:rPr>
        <w:t xml:space="preserve"> </w:t>
      </w:r>
      <w:r w:rsidR="004C7234" w:rsidRPr="00CF3BDD">
        <w:rPr>
          <w:rFonts w:ascii="Times New Roman" w:hAnsi="Times New Roman" w:cs="Times New Roman"/>
          <w:sz w:val="24"/>
          <w:szCs w:val="24"/>
        </w:rPr>
        <w:t>some parts of the draft purport to extend the responsibilities of States Parties beyond the legal obligations in the text of the Convention.</w:t>
      </w:r>
      <w:r w:rsidR="003E7502" w:rsidRPr="00CF3BDD">
        <w:rPr>
          <w:rStyle w:val="FootnoteReference"/>
          <w:rFonts w:ascii="Times New Roman" w:hAnsi="Times New Roman" w:cs="Times New Roman"/>
          <w:sz w:val="24"/>
          <w:szCs w:val="24"/>
        </w:rPr>
        <w:footnoteReference w:id="5"/>
      </w:r>
      <w:r w:rsidR="004C7234" w:rsidRPr="00CF3BDD">
        <w:rPr>
          <w:rFonts w:ascii="Times New Roman" w:hAnsi="Times New Roman" w:cs="Times New Roman"/>
          <w:sz w:val="24"/>
          <w:szCs w:val="24"/>
        </w:rPr>
        <w:t xml:space="preserve"> </w:t>
      </w:r>
    </w:p>
    <w:p w:rsidR="00412246" w:rsidRPr="00121025" w:rsidRDefault="007157A2" w:rsidP="004F3AFF">
      <w:pPr>
        <w:pStyle w:val="ListParagraph"/>
        <w:widowControl w:val="0"/>
        <w:numPr>
          <w:ilvl w:val="0"/>
          <w:numId w:val="5"/>
        </w:numPr>
        <w:spacing w:after="60" w:line="360" w:lineRule="auto"/>
        <w:contextualSpacing w:val="0"/>
        <w:jc w:val="both"/>
        <w:rPr>
          <w:rFonts w:ascii="Times New Roman" w:hAnsi="Times New Roman" w:cs="Times New Roman"/>
          <w:i/>
          <w:sz w:val="24"/>
          <w:szCs w:val="24"/>
        </w:rPr>
      </w:pPr>
      <w:r w:rsidRPr="00CF3BDD">
        <w:rPr>
          <w:rFonts w:ascii="Times New Roman" w:hAnsi="Times New Roman" w:cs="Times New Roman"/>
          <w:sz w:val="24"/>
          <w:szCs w:val="24"/>
        </w:rPr>
        <w:t>In particular</w:t>
      </w:r>
      <w:r w:rsidR="00DD7C69">
        <w:rPr>
          <w:rFonts w:ascii="Times New Roman" w:hAnsi="Times New Roman" w:cs="Times New Roman"/>
          <w:sz w:val="24"/>
          <w:szCs w:val="24"/>
        </w:rPr>
        <w:t>,</w:t>
      </w:r>
      <w:r w:rsidRPr="00CF3BDD">
        <w:rPr>
          <w:rFonts w:ascii="Times New Roman" w:hAnsi="Times New Roman" w:cs="Times New Roman"/>
          <w:sz w:val="24"/>
          <w:szCs w:val="24"/>
        </w:rPr>
        <w:t xml:space="preserve"> A</w:t>
      </w:r>
      <w:r w:rsidR="00B46B9F" w:rsidRPr="00CF3BDD">
        <w:rPr>
          <w:rFonts w:ascii="Times New Roman" w:hAnsi="Times New Roman" w:cs="Times New Roman"/>
          <w:sz w:val="24"/>
          <w:szCs w:val="24"/>
        </w:rPr>
        <w:t>ustralia invites the Committee to clarify the statements in the draft General Comment regarding the</w:t>
      </w:r>
      <w:bookmarkStart w:id="0" w:name="_GoBack"/>
      <w:bookmarkEnd w:id="0"/>
      <w:r w:rsidR="00B46B9F" w:rsidRPr="00CF3BDD">
        <w:rPr>
          <w:rFonts w:ascii="Times New Roman" w:hAnsi="Times New Roman" w:cs="Times New Roman"/>
          <w:sz w:val="24"/>
          <w:szCs w:val="24"/>
        </w:rPr>
        <w:t xml:space="preserve"> scope of the legal obligations of States Parties under the Convention, particularly the following:</w:t>
      </w:r>
    </w:p>
    <w:p w:rsidR="006F186E" w:rsidRPr="006F186E" w:rsidRDefault="006F186E" w:rsidP="004F3AFF">
      <w:pPr>
        <w:widowControl w:val="0"/>
        <w:spacing w:after="60" w:line="360" w:lineRule="auto"/>
        <w:jc w:val="both"/>
        <w:rPr>
          <w:rFonts w:ascii="Times New Roman" w:hAnsi="Times New Roman" w:cs="Times New Roman"/>
          <w:i/>
          <w:sz w:val="24"/>
          <w:szCs w:val="24"/>
        </w:rPr>
      </w:pPr>
      <w:r w:rsidRPr="006F186E">
        <w:rPr>
          <w:rFonts w:ascii="Times New Roman" w:hAnsi="Times New Roman" w:cs="Times New Roman"/>
          <w:i/>
          <w:sz w:val="24"/>
          <w:szCs w:val="24"/>
        </w:rPr>
        <w:t>The Best Interests of the Child</w:t>
      </w:r>
    </w:p>
    <w:p w:rsidR="006F186E" w:rsidRPr="006F186E" w:rsidRDefault="009227A5" w:rsidP="006F186E">
      <w:pPr>
        <w:pStyle w:val="ListParagraph"/>
        <w:widowControl w:val="0"/>
        <w:numPr>
          <w:ilvl w:val="0"/>
          <w:numId w:val="5"/>
        </w:numPr>
        <w:spacing w:after="6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Australia notes the </w:t>
      </w:r>
      <w:r w:rsidR="00AF4F76">
        <w:rPr>
          <w:rFonts w:ascii="Times New Roman" w:hAnsi="Times New Roman" w:cs="Times New Roman"/>
          <w:sz w:val="24"/>
          <w:szCs w:val="24"/>
        </w:rPr>
        <w:t xml:space="preserve">Committee’s view that ‘[t]he </w:t>
      </w:r>
      <w:r w:rsidR="00AF4F76" w:rsidRPr="00AF4F76">
        <w:rPr>
          <w:rFonts w:ascii="Times New Roman" w:hAnsi="Times New Roman" w:cs="Times New Roman"/>
          <w:sz w:val="24"/>
          <w:szCs w:val="24"/>
        </w:rPr>
        <w:t>protection of the best interests of the child means, for instance, that the traditional objectives of criminal justice, such as repression/retribution, must give way to rehabilitation and restorative justice objectives in dealing with child offenders.</w:t>
      </w:r>
      <w:r w:rsidR="00AF4F76">
        <w:rPr>
          <w:rFonts w:ascii="Times New Roman" w:hAnsi="Times New Roman" w:cs="Times New Roman"/>
          <w:sz w:val="24"/>
          <w:szCs w:val="24"/>
        </w:rPr>
        <w:t>’</w:t>
      </w:r>
      <w:r w:rsidR="00AF4F76">
        <w:rPr>
          <w:rStyle w:val="FootnoteReference"/>
          <w:rFonts w:ascii="Times New Roman" w:hAnsi="Times New Roman" w:cs="Times New Roman"/>
          <w:sz w:val="24"/>
          <w:szCs w:val="24"/>
        </w:rPr>
        <w:footnoteReference w:id="6"/>
      </w:r>
      <w:r w:rsidR="00AF4F76" w:rsidRPr="00AF4F76">
        <w:rPr>
          <w:rFonts w:ascii="Times New Roman" w:hAnsi="Times New Roman" w:cs="Times New Roman"/>
          <w:sz w:val="24"/>
          <w:szCs w:val="24"/>
        </w:rPr>
        <w:t xml:space="preserve"> </w:t>
      </w:r>
      <w:r w:rsidR="00057E1C">
        <w:rPr>
          <w:rFonts w:ascii="Times New Roman" w:hAnsi="Times New Roman" w:cs="Times New Roman"/>
          <w:sz w:val="24"/>
          <w:szCs w:val="24"/>
        </w:rPr>
        <w:t xml:space="preserve">Australia recalls that the best </w:t>
      </w:r>
      <w:r w:rsidR="00722292">
        <w:rPr>
          <w:rFonts w:ascii="Times New Roman" w:hAnsi="Times New Roman" w:cs="Times New Roman"/>
          <w:sz w:val="24"/>
          <w:szCs w:val="24"/>
        </w:rPr>
        <w:t>interests of the child are</w:t>
      </w:r>
      <w:r w:rsidR="00057E1C">
        <w:rPr>
          <w:rFonts w:ascii="Times New Roman" w:hAnsi="Times New Roman" w:cs="Times New Roman"/>
          <w:sz w:val="24"/>
          <w:szCs w:val="24"/>
        </w:rPr>
        <w:t xml:space="preserve"> ‘</w:t>
      </w:r>
      <w:r w:rsidR="00057E1C" w:rsidRPr="00322FF8">
        <w:rPr>
          <w:rFonts w:ascii="Times New Roman" w:hAnsi="Times New Roman" w:cs="Times New Roman"/>
          <w:i/>
          <w:sz w:val="24"/>
          <w:szCs w:val="24"/>
        </w:rPr>
        <w:t>a</w:t>
      </w:r>
      <w:r w:rsidR="00057E1C">
        <w:rPr>
          <w:rFonts w:ascii="Times New Roman" w:hAnsi="Times New Roman" w:cs="Times New Roman"/>
          <w:sz w:val="24"/>
          <w:szCs w:val="24"/>
        </w:rPr>
        <w:t xml:space="preserve"> primary consideration’ and not ‘</w:t>
      </w:r>
      <w:r w:rsidR="00057E1C" w:rsidRPr="00322FF8">
        <w:rPr>
          <w:rFonts w:ascii="Times New Roman" w:hAnsi="Times New Roman" w:cs="Times New Roman"/>
          <w:i/>
          <w:sz w:val="24"/>
          <w:szCs w:val="24"/>
        </w:rPr>
        <w:t>the</w:t>
      </w:r>
      <w:r w:rsidR="00057E1C">
        <w:rPr>
          <w:rFonts w:ascii="Times New Roman" w:hAnsi="Times New Roman" w:cs="Times New Roman"/>
          <w:sz w:val="24"/>
          <w:szCs w:val="24"/>
        </w:rPr>
        <w:t xml:space="preserve"> primary consideration’. </w:t>
      </w:r>
      <w:r w:rsidR="00121025">
        <w:rPr>
          <w:rFonts w:ascii="Times New Roman" w:hAnsi="Times New Roman" w:cs="Times New Roman"/>
          <w:sz w:val="24"/>
          <w:szCs w:val="24"/>
        </w:rPr>
        <w:t>Accordingly, Australia suggests this paragraph reflect that t</w:t>
      </w:r>
      <w:r w:rsidR="00057E1C">
        <w:rPr>
          <w:rFonts w:ascii="Times New Roman" w:hAnsi="Times New Roman" w:cs="Times New Roman"/>
          <w:sz w:val="24"/>
          <w:szCs w:val="24"/>
        </w:rPr>
        <w:t xml:space="preserve">he best interests of the child </w:t>
      </w:r>
      <w:r w:rsidR="00412246">
        <w:rPr>
          <w:rFonts w:ascii="Times New Roman" w:hAnsi="Times New Roman" w:cs="Times New Roman"/>
          <w:sz w:val="24"/>
          <w:szCs w:val="24"/>
        </w:rPr>
        <w:t xml:space="preserve">offender </w:t>
      </w:r>
      <w:r w:rsidR="00057E1C">
        <w:rPr>
          <w:rFonts w:ascii="Times New Roman" w:hAnsi="Times New Roman" w:cs="Times New Roman"/>
          <w:sz w:val="24"/>
          <w:szCs w:val="24"/>
        </w:rPr>
        <w:t>need to be considered in concert with other considerations such as</w:t>
      </w:r>
      <w:r w:rsidR="00073A43">
        <w:rPr>
          <w:rFonts w:ascii="Times New Roman" w:hAnsi="Times New Roman" w:cs="Times New Roman"/>
          <w:sz w:val="24"/>
          <w:szCs w:val="24"/>
        </w:rPr>
        <w:t>,</w:t>
      </w:r>
      <w:r w:rsidR="00057E1C">
        <w:rPr>
          <w:rFonts w:ascii="Times New Roman" w:hAnsi="Times New Roman" w:cs="Times New Roman"/>
          <w:sz w:val="24"/>
          <w:szCs w:val="24"/>
        </w:rPr>
        <w:t xml:space="preserve"> (in addition </w:t>
      </w:r>
      <w:r w:rsidR="00057E1C">
        <w:rPr>
          <w:rFonts w:ascii="Times New Roman" w:hAnsi="Times New Roman" w:cs="Times New Roman"/>
          <w:sz w:val="24"/>
          <w:szCs w:val="24"/>
        </w:rPr>
        <w:lastRenderedPageBreak/>
        <w:t xml:space="preserve">to </w:t>
      </w:r>
      <w:r w:rsidR="00412246">
        <w:rPr>
          <w:rFonts w:ascii="Times New Roman" w:hAnsi="Times New Roman" w:cs="Times New Roman"/>
          <w:sz w:val="24"/>
          <w:szCs w:val="24"/>
        </w:rPr>
        <w:t>‘</w:t>
      </w:r>
      <w:r w:rsidR="00057E1C">
        <w:rPr>
          <w:rFonts w:ascii="Times New Roman" w:hAnsi="Times New Roman" w:cs="Times New Roman"/>
          <w:sz w:val="24"/>
          <w:szCs w:val="24"/>
        </w:rPr>
        <w:t>public safety</w:t>
      </w:r>
      <w:r w:rsidR="00412246">
        <w:rPr>
          <w:rFonts w:ascii="Times New Roman" w:hAnsi="Times New Roman" w:cs="Times New Roman"/>
          <w:sz w:val="24"/>
          <w:szCs w:val="24"/>
        </w:rPr>
        <w:t>’</w:t>
      </w:r>
      <w:r w:rsidR="00057E1C">
        <w:rPr>
          <w:rFonts w:ascii="Times New Roman" w:hAnsi="Times New Roman" w:cs="Times New Roman"/>
          <w:sz w:val="24"/>
          <w:szCs w:val="24"/>
        </w:rPr>
        <w:t xml:space="preserve"> as identifi</w:t>
      </w:r>
      <w:r w:rsidR="00073A43">
        <w:rPr>
          <w:rFonts w:ascii="Times New Roman" w:hAnsi="Times New Roman" w:cs="Times New Roman"/>
          <w:sz w:val="24"/>
          <w:szCs w:val="24"/>
        </w:rPr>
        <w:t xml:space="preserve">ed by the Committee), </w:t>
      </w:r>
      <w:r w:rsidR="00722292">
        <w:rPr>
          <w:rFonts w:ascii="Times New Roman" w:hAnsi="Times New Roman" w:cs="Times New Roman"/>
          <w:sz w:val="24"/>
          <w:szCs w:val="24"/>
        </w:rPr>
        <w:t>access to justice for any</w:t>
      </w:r>
      <w:r w:rsidR="00073A43">
        <w:rPr>
          <w:rFonts w:ascii="Times New Roman" w:hAnsi="Times New Roman" w:cs="Times New Roman"/>
          <w:sz w:val="24"/>
          <w:szCs w:val="24"/>
        </w:rPr>
        <w:t xml:space="preserve"> vic</w:t>
      </w:r>
      <w:r w:rsidR="00722292">
        <w:rPr>
          <w:rFonts w:ascii="Times New Roman" w:hAnsi="Times New Roman" w:cs="Times New Roman"/>
          <w:sz w:val="24"/>
          <w:szCs w:val="24"/>
        </w:rPr>
        <w:t>tim(s) or the family of any victim(s) of youth offending</w:t>
      </w:r>
      <w:r w:rsidR="00412246">
        <w:rPr>
          <w:rFonts w:ascii="Times New Roman" w:hAnsi="Times New Roman" w:cs="Times New Roman"/>
          <w:sz w:val="24"/>
          <w:szCs w:val="24"/>
        </w:rPr>
        <w:t xml:space="preserve"> and the best interests of children who may come into contact with child offenders</w:t>
      </w:r>
      <w:r w:rsidR="003A305A">
        <w:rPr>
          <w:rFonts w:ascii="Times New Roman" w:hAnsi="Times New Roman" w:cs="Times New Roman"/>
          <w:sz w:val="24"/>
          <w:szCs w:val="24"/>
        </w:rPr>
        <w:t>, either in the general community or through diversion programmes</w:t>
      </w:r>
      <w:r w:rsidR="00412246">
        <w:rPr>
          <w:rFonts w:ascii="Times New Roman" w:hAnsi="Times New Roman" w:cs="Times New Roman"/>
          <w:sz w:val="24"/>
          <w:szCs w:val="24"/>
        </w:rPr>
        <w:t>.</w:t>
      </w:r>
    </w:p>
    <w:p w:rsidR="00B46B9F" w:rsidRPr="00AB5FDC" w:rsidRDefault="00B46B9F" w:rsidP="004F3AFF">
      <w:pPr>
        <w:widowControl w:val="0"/>
        <w:spacing w:after="60" w:line="360" w:lineRule="auto"/>
        <w:jc w:val="both"/>
        <w:rPr>
          <w:rFonts w:ascii="Times New Roman" w:hAnsi="Times New Roman" w:cs="Times New Roman"/>
          <w:i/>
          <w:sz w:val="24"/>
          <w:szCs w:val="24"/>
        </w:rPr>
      </w:pPr>
      <w:r w:rsidRPr="00AB5FDC">
        <w:rPr>
          <w:rFonts w:ascii="Times New Roman" w:hAnsi="Times New Roman" w:cs="Times New Roman"/>
          <w:i/>
          <w:sz w:val="24"/>
          <w:szCs w:val="24"/>
        </w:rPr>
        <w:t>Age of criminal responsibility</w:t>
      </w:r>
    </w:p>
    <w:p w:rsidR="006A5D7F" w:rsidRPr="006A5D7F" w:rsidRDefault="006A5D7F" w:rsidP="004F3AFF">
      <w:pPr>
        <w:pStyle w:val="ListParagraph"/>
        <w:widowControl w:val="0"/>
        <w:numPr>
          <w:ilvl w:val="0"/>
          <w:numId w:val="5"/>
        </w:numPr>
        <w:spacing w:after="60" w:line="360" w:lineRule="auto"/>
        <w:contextualSpacing w:val="0"/>
        <w:jc w:val="both"/>
        <w:rPr>
          <w:rFonts w:ascii="Times New Roman" w:hAnsi="Times New Roman" w:cs="Times New Roman"/>
          <w:sz w:val="24"/>
          <w:szCs w:val="24"/>
        </w:rPr>
      </w:pPr>
      <w:r w:rsidRPr="006A5D7F">
        <w:rPr>
          <w:rFonts w:ascii="Times New Roman" w:hAnsi="Times New Roman" w:cs="Times New Roman"/>
          <w:sz w:val="24"/>
          <w:szCs w:val="24"/>
        </w:rPr>
        <w:t xml:space="preserve">Paragraphs 6 and 30-36 </w:t>
      </w:r>
      <w:r w:rsidR="00121025">
        <w:rPr>
          <w:rFonts w:ascii="Times New Roman" w:hAnsi="Times New Roman" w:cs="Times New Roman"/>
          <w:sz w:val="24"/>
          <w:szCs w:val="24"/>
        </w:rPr>
        <w:t xml:space="preserve">of the draft General Comment </w:t>
      </w:r>
      <w:r w:rsidRPr="006A5D7F">
        <w:rPr>
          <w:rFonts w:ascii="Times New Roman" w:hAnsi="Times New Roman" w:cs="Times New Roman"/>
          <w:sz w:val="24"/>
          <w:szCs w:val="24"/>
        </w:rPr>
        <w:t xml:space="preserve">deal with the minimum age of criminal responsibility. </w:t>
      </w:r>
    </w:p>
    <w:p w:rsidR="00E658FD" w:rsidRPr="00945CD0" w:rsidRDefault="006A5D7F" w:rsidP="004F3AFF">
      <w:pPr>
        <w:pStyle w:val="ListParagraph"/>
        <w:widowControl w:val="0"/>
        <w:numPr>
          <w:ilvl w:val="0"/>
          <w:numId w:val="5"/>
        </w:numPr>
        <w:spacing w:after="60" w:line="360" w:lineRule="auto"/>
        <w:contextualSpacing w:val="0"/>
        <w:jc w:val="both"/>
        <w:rPr>
          <w:rFonts w:ascii="Times New Roman" w:hAnsi="Times New Roman" w:cs="Times New Roman"/>
          <w:sz w:val="24"/>
          <w:szCs w:val="24"/>
        </w:rPr>
      </w:pPr>
      <w:r w:rsidRPr="00E658FD">
        <w:rPr>
          <w:rFonts w:ascii="Times New Roman" w:hAnsi="Times New Roman" w:cs="Times New Roman"/>
          <w:sz w:val="24"/>
          <w:szCs w:val="24"/>
        </w:rPr>
        <w:t xml:space="preserve">Australia recalls that article 40(3)(a) requires States to establish a minimum age ‘below which children shall be </w:t>
      </w:r>
      <w:r w:rsidRPr="00E658FD">
        <w:rPr>
          <w:rFonts w:ascii="Times New Roman" w:hAnsi="Times New Roman" w:cs="Times New Roman"/>
          <w:i/>
          <w:sz w:val="24"/>
          <w:szCs w:val="24"/>
        </w:rPr>
        <w:t>presumed</w:t>
      </w:r>
      <w:r w:rsidRPr="00E658FD">
        <w:rPr>
          <w:rFonts w:ascii="Times New Roman" w:hAnsi="Times New Roman" w:cs="Times New Roman"/>
          <w:sz w:val="24"/>
          <w:szCs w:val="24"/>
        </w:rPr>
        <w:t xml:space="preserve"> not to have the capacity to infringe the penal law’ (emphasis added). This language has been largely replicated throughout the draft General Comment, with the exception of paragraph</w:t>
      </w:r>
      <w:r w:rsidR="00DD7C69">
        <w:rPr>
          <w:rFonts w:ascii="Times New Roman" w:hAnsi="Times New Roman" w:cs="Times New Roman"/>
          <w:sz w:val="24"/>
          <w:szCs w:val="24"/>
        </w:rPr>
        <w:t>s</w:t>
      </w:r>
      <w:r w:rsidRPr="00E658FD">
        <w:rPr>
          <w:rFonts w:ascii="Times New Roman" w:hAnsi="Times New Roman" w:cs="Times New Roman"/>
          <w:sz w:val="24"/>
          <w:szCs w:val="24"/>
        </w:rPr>
        <w:t xml:space="preserve"> </w:t>
      </w:r>
      <w:r w:rsidR="008E48CA">
        <w:rPr>
          <w:rFonts w:ascii="Times New Roman" w:hAnsi="Times New Roman" w:cs="Times New Roman"/>
          <w:sz w:val="24"/>
          <w:szCs w:val="24"/>
        </w:rPr>
        <w:t>30-31, where the draft describes</w:t>
      </w:r>
      <w:r w:rsidRPr="00E658FD">
        <w:rPr>
          <w:rFonts w:ascii="Times New Roman" w:hAnsi="Times New Roman" w:cs="Times New Roman"/>
          <w:sz w:val="24"/>
          <w:szCs w:val="24"/>
        </w:rPr>
        <w:t xml:space="preserve"> the minimum age of criminal responsibility as the age ‘below which children are considered by law not to have the capacity to infringe the criminal law</w:t>
      </w:r>
      <w:r w:rsidR="00E658FD" w:rsidRPr="00E658FD">
        <w:rPr>
          <w:rFonts w:ascii="Times New Roman" w:hAnsi="Times New Roman" w:cs="Times New Roman"/>
          <w:sz w:val="24"/>
          <w:szCs w:val="24"/>
        </w:rPr>
        <w:t>’</w:t>
      </w:r>
      <w:r w:rsidR="002A51D4">
        <w:rPr>
          <w:rStyle w:val="FootnoteReference"/>
          <w:rFonts w:ascii="Times New Roman" w:hAnsi="Times New Roman" w:cs="Times New Roman"/>
          <w:sz w:val="24"/>
          <w:szCs w:val="24"/>
        </w:rPr>
        <w:footnoteReference w:id="7"/>
      </w:r>
      <w:r w:rsidR="00E658FD" w:rsidRPr="00E658FD">
        <w:rPr>
          <w:rFonts w:ascii="Times New Roman" w:hAnsi="Times New Roman" w:cs="Times New Roman"/>
          <w:sz w:val="24"/>
          <w:szCs w:val="24"/>
        </w:rPr>
        <w:t xml:space="preserve"> and ‘when below the minimum age of criminal responsibility the operation of law dictates that they cannot be formally charged and held responsible’.</w:t>
      </w:r>
      <w:r w:rsidR="002A51D4">
        <w:rPr>
          <w:rStyle w:val="FootnoteReference"/>
          <w:rFonts w:ascii="Times New Roman" w:hAnsi="Times New Roman" w:cs="Times New Roman"/>
          <w:sz w:val="24"/>
          <w:szCs w:val="24"/>
        </w:rPr>
        <w:footnoteReference w:id="8"/>
      </w:r>
      <w:r w:rsidR="00E658FD" w:rsidRPr="00E658FD">
        <w:rPr>
          <w:rFonts w:ascii="Times New Roman" w:hAnsi="Times New Roman" w:cs="Times New Roman"/>
          <w:sz w:val="24"/>
          <w:szCs w:val="24"/>
        </w:rPr>
        <w:t xml:space="preserve"> Australia recommends that these sentences be amended to reflect that fact that the minimum age of </w:t>
      </w:r>
      <w:r w:rsidR="00E658FD" w:rsidRPr="00930920">
        <w:rPr>
          <w:rFonts w:ascii="Times New Roman" w:hAnsi="Times New Roman" w:cs="Times New Roman"/>
          <w:sz w:val="24"/>
          <w:szCs w:val="24"/>
        </w:rPr>
        <w:t xml:space="preserve">criminal responsibility involves a presumption. </w:t>
      </w:r>
      <w:r w:rsidR="00945CD0">
        <w:rPr>
          <w:rFonts w:ascii="Times New Roman" w:hAnsi="Times New Roman" w:cs="Times New Roman"/>
          <w:sz w:val="24"/>
          <w:szCs w:val="24"/>
        </w:rPr>
        <w:t xml:space="preserve">The </w:t>
      </w:r>
      <w:r w:rsidR="00945CD0">
        <w:rPr>
          <w:rFonts w:ascii="Times New Roman" w:hAnsi="Times New Roman" w:cs="Times New Roman"/>
          <w:sz w:val="24"/>
          <w:szCs w:val="24"/>
        </w:rPr>
        <w:lastRenderedPageBreak/>
        <w:t xml:space="preserve">Committee may wish to </w:t>
      </w:r>
      <w:r w:rsidR="00DD7C69">
        <w:rPr>
          <w:rFonts w:ascii="Times New Roman" w:hAnsi="Times New Roman" w:cs="Times New Roman"/>
          <w:sz w:val="24"/>
          <w:szCs w:val="24"/>
        </w:rPr>
        <w:t>note</w:t>
      </w:r>
      <w:r w:rsidR="00945CD0">
        <w:rPr>
          <w:rFonts w:ascii="Times New Roman" w:hAnsi="Times New Roman" w:cs="Times New Roman"/>
          <w:sz w:val="24"/>
          <w:szCs w:val="24"/>
        </w:rPr>
        <w:t xml:space="preserve"> that this does not </w:t>
      </w:r>
      <w:r w:rsidR="00945CD0">
        <w:rPr>
          <w:rFonts w:ascii="Times New Roman" w:hAnsi="Times New Roman" w:cs="Times New Roman"/>
          <w:i/>
          <w:sz w:val="24"/>
          <w:szCs w:val="24"/>
        </w:rPr>
        <w:t>prevent</w:t>
      </w:r>
      <w:r w:rsidR="00945CD0">
        <w:rPr>
          <w:rFonts w:ascii="Times New Roman" w:hAnsi="Times New Roman" w:cs="Times New Roman"/>
          <w:sz w:val="24"/>
          <w:szCs w:val="24"/>
        </w:rPr>
        <w:t xml:space="preserve"> States Parties from considering children under a certain age to be immune from prosecution. </w:t>
      </w:r>
      <w:r w:rsidR="00F60716">
        <w:rPr>
          <w:rFonts w:ascii="Times New Roman" w:hAnsi="Times New Roman" w:cs="Times New Roman"/>
          <w:sz w:val="24"/>
          <w:szCs w:val="24"/>
        </w:rPr>
        <w:t>For example, i</w:t>
      </w:r>
      <w:r w:rsidR="00945CD0">
        <w:rPr>
          <w:rFonts w:ascii="Times New Roman" w:hAnsi="Times New Roman" w:cs="Times New Roman"/>
          <w:sz w:val="24"/>
          <w:szCs w:val="24"/>
        </w:rPr>
        <w:t>n Australia, children under ten years of age cannot be charged with an offence</w:t>
      </w:r>
      <w:r w:rsidR="00F60716">
        <w:rPr>
          <w:rFonts w:ascii="Times New Roman" w:hAnsi="Times New Roman" w:cs="Times New Roman"/>
          <w:sz w:val="24"/>
          <w:szCs w:val="24"/>
        </w:rPr>
        <w:t>;</w:t>
      </w:r>
      <w:r w:rsidR="00E46660">
        <w:rPr>
          <w:rFonts w:ascii="Times New Roman" w:hAnsi="Times New Roman" w:cs="Times New Roman"/>
          <w:sz w:val="24"/>
          <w:szCs w:val="24"/>
        </w:rPr>
        <w:t xml:space="preserve"> and</w:t>
      </w:r>
      <w:r w:rsidR="00945CD0">
        <w:rPr>
          <w:rFonts w:ascii="Times New Roman" w:hAnsi="Times New Roman" w:cs="Times New Roman"/>
          <w:sz w:val="24"/>
          <w:szCs w:val="24"/>
        </w:rPr>
        <w:t xml:space="preserve"> children </w:t>
      </w:r>
      <w:r w:rsidR="00E46660">
        <w:rPr>
          <w:rFonts w:ascii="Times New Roman" w:hAnsi="Times New Roman" w:cs="Times New Roman"/>
          <w:sz w:val="24"/>
          <w:szCs w:val="24"/>
        </w:rPr>
        <w:t xml:space="preserve">under fourteen years </w:t>
      </w:r>
      <w:r w:rsidR="00945CD0">
        <w:rPr>
          <w:rFonts w:ascii="Times New Roman" w:hAnsi="Times New Roman" w:cs="Times New Roman"/>
          <w:sz w:val="24"/>
          <w:szCs w:val="24"/>
        </w:rPr>
        <w:t xml:space="preserve">are presumed </w:t>
      </w:r>
      <w:r w:rsidR="00945CD0" w:rsidRPr="00945CD0">
        <w:rPr>
          <w:rFonts w:ascii="Times New Roman" w:hAnsi="Times New Roman" w:cs="Times New Roman"/>
          <w:i/>
          <w:sz w:val="24"/>
          <w:szCs w:val="24"/>
        </w:rPr>
        <w:t>d</w:t>
      </w:r>
      <w:r w:rsidR="00E46660">
        <w:rPr>
          <w:rFonts w:ascii="Times New Roman" w:hAnsi="Times New Roman" w:cs="Times New Roman"/>
          <w:i/>
          <w:iCs/>
          <w:sz w:val="24"/>
          <w:szCs w:val="24"/>
        </w:rPr>
        <w:t>oli </w:t>
      </w:r>
      <w:r w:rsidR="00945CD0" w:rsidRPr="00945CD0">
        <w:rPr>
          <w:rFonts w:ascii="Times New Roman" w:hAnsi="Times New Roman" w:cs="Times New Roman"/>
          <w:i/>
          <w:iCs/>
          <w:sz w:val="24"/>
          <w:szCs w:val="24"/>
        </w:rPr>
        <w:t>incapax</w:t>
      </w:r>
      <w:r w:rsidR="00945CD0">
        <w:rPr>
          <w:rFonts w:ascii="Times New Roman" w:hAnsi="Times New Roman" w:cs="Times New Roman"/>
          <w:i/>
          <w:iCs/>
          <w:sz w:val="24"/>
          <w:szCs w:val="24"/>
        </w:rPr>
        <w:t xml:space="preserve"> </w:t>
      </w:r>
      <w:r w:rsidR="00945CD0">
        <w:rPr>
          <w:rFonts w:ascii="Times New Roman" w:hAnsi="Times New Roman" w:cs="Times New Roman"/>
          <w:iCs/>
          <w:sz w:val="24"/>
          <w:szCs w:val="24"/>
        </w:rPr>
        <w:t>(incapable of crime) with the onus of rebutting this presumption resting on the prosecution.</w:t>
      </w:r>
      <w:r w:rsidR="00945CD0">
        <w:rPr>
          <w:rStyle w:val="FootnoteReference"/>
          <w:rFonts w:ascii="Times New Roman" w:hAnsi="Times New Roman" w:cs="Times New Roman"/>
          <w:iCs/>
          <w:sz w:val="24"/>
          <w:szCs w:val="24"/>
        </w:rPr>
        <w:footnoteReference w:id="9"/>
      </w:r>
      <w:r w:rsidR="00945CD0">
        <w:rPr>
          <w:rFonts w:ascii="Times New Roman" w:hAnsi="Times New Roman" w:cs="Times New Roman"/>
          <w:iCs/>
          <w:sz w:val="24"/>
          <w:szCs w:val="24"/>
        </w:rPr>
        <w:t xml:space="preserve"> </w:t>
      </w:r>
    </w:p>
    <w:p w:rsidR="00B46B9F" w:rsidRPr="00945CD0" w:rsidRDefault="00E658FD" w:rsidP="004F3AFF">
      <w:pPr>
        <w:pStyle w:val="ListParagraph"/>
        <w:widowControl w:val="0"/>
        <w:numPr>
          <w:ilvl w:val="0"/>
          <w:numId w:val="5"/>
        </w:numPr>
        <w:spacing w:after="60" w:line="360" w:lineRule="auto"/>
        <w:contextualSpacing w:val="0"/>
        <w:jc w:val="both"/>
        <w:rPr>
          <w:rFonts w:ascii="Times New Roman" w:hAnsi="Times New Roman" w:cs="Times New Roman"/>
          <w:i/>
          <w:sz w:val="24"/>
          <w:szCs w:val="24"/>
        </w:rPr>
      </w:pPr>
      <w:r w:rsidRPr="00945CD0">
        <w:rPr>
          <w:rFonts w:ascii="Times New Roman" w:hAnsi="Times New Roman" w:cs="Times New Roman"/>
          <w:sz w:val="24"/>
          <w:szCs w:val="24"/>
        </w:rPr>
        <w:t>The draft further states that ‘States parties are encouraged to increase their minimum age to at least 14 years of age.’</w:t>
      </w:r>
      <w:r w:rsidRPr="00930920">
        <w:rPr>
          <w:rStyle w:val="FootnoteReference"/>
          <w:rFonts w:ascii="Times New Roman" w:hAnsi="Times New Roman" w:cs="Times New Roman"/>
          <w:sz w:val="24"/>
          <w:szCs w:val="24"/>
        </w:rPr>
        <w:footnoteReference w:id="10"/>
      </w:r>
      <w:r w:rsidR="00930920" w:rsidRPr="00945CD0">
        <w:rPr>
          <w:rFonts w:ascii="Times New Roman" w:hAnsi="Times New Roman" w:cs="Times New Roman"/>
          <w:sz w:val="24"/>
          <w:szCs w:val="24"/>
        </w:rPr>
        <w:t xml:space="preserve"> </w:t>
      </w:r>
      <w:r w:rsidR="00B46B9F" w:rsidRPr="00945CD0">
        <w:rPr>
          <w:rFonts w:ascii="Times New Roman" w:hAnsi="Times New Roman" w:cs="Times New Roman"/>
          <w:sz w:val="24"/>
          <w:szCs w:val="24"/>
        </w:rPr>
        <w:t>In Australia’s view</w:t>
      </w:r>
      <w:r w:rsidR="00AB5FDC" w:rsidRPr="00945CD0">
        <w:rPr>
          <w:rFonts w:ascii="Times New Roman" w:hAnsi="Times New Roman" w:cs="Times New Roman"/>
          <w:sz w:val="24"/>
          <w:szCs w:val="24"/>
        </w:rPr>
        <w:t>,</w:t>
      </w:r>
      <w:r w:rsidR="00B46B9F" w:rsidRPr="00945CD0">
        <w:rPr>
          <w:rFonts w:ascii="Times New Roman" w:hAnsi="Times New Roman" w:cs="Times New Roman"/>
          <w:sz w:val="24"/>
          <w:szCs w:val="24"/>
        </w:rPr>
        <w:t xml:space="preserve"> the obligation in </w:t>
      </w:r>
      <w:r w:rsidR="00F40EE8" w:rsidRPr="00945CD0">
        <w:rPr>
          <w:rFonts w:ascii="Times New Roman" w:hAnsi="Times New Roman" w:cs="Times New Roman"/>
          <w:sz w:val="24"/>
          <w:szCs w:val="24"/>
        </w:rPr>
        <w:t>a</w:t>
      </w:r>
      <w:r w:rsidR="00930920" w:rsidRPr="00945CD0">
        <w:rPr>
          <w:rFonts w:ascii="Times New Roman" w:hAnsi="Times New Roman" w:cs="Times New Roman"/>
          <w:sz w:val="24"/>
          <w:szCs w:val="24"/>
        </w:rPr>
        <w:t>rticle </w:t>
      </w:r>
      <w:r w:rsidR="00B46B9F" w:rsidRPr="00945CD0">
        <w:rPr>
          <w:rFonts w:ascii="Times New Roman" w:hAnsi="Times New Roman" w:cs="Times New Roman"/>
          <w:sz w:val="24"/>
          <w:szCs w:val="24"/>
        </w:rPr>
        <w:t xml:space="preserve">40(3)(a) of the Convention is to </w:t>
      </w:r>
      <w:r w:rsidR="00121025">
        <w:rPr>
          <w:rFonts w:ascii="Times New Roman" w:hAnsi="Times New Roman" w:cs="Times New Roman"/>
          <w:sz w:val="24"/>
          <w:szCs w:val="24"/>
        </w:rPr>
        <w:t>‘</w:t>
      </w:r>
      <w:r w:rsidR="00B46B9F" w:rsidRPr="00945CD0">
        <w:rPr>
          <w:rFonts w:ascii="Times New Roman" w:hAnsi="Times New Roman" w:cs="Times New Roman"/>
          <w:sz w:val="24"/>
          <w:szCs w:val="24"/>
        </w:rPr>
        <w:t xml:space="preserve">seek to promote </w:t>
      </w:r>
      <w:r w:rsidR="00121025">
        <w:rPr>
          <w:rFonts w:ascii="Times New Roman" w:hAnsi="Times New Roman" w:cs="Times New Roman"/>
          <w:sz w:val="24"/>
          <w:szCs w:val="24"/>
        </w:rPr>
        <w:t>[</w:t>
      </w:r>
      <w:r w:rsidR="00B46B9F" w:rsidRPr="00945CD0">
        <w:rPr>
          <w:rFonts w:ascii="Times New Roman" w:hAnsi="Times New Roman" w:cs="Times New Roman"/>
          <w:sz w:val="24"/>
          <w:szCs w:val="24"/>
        </w:rPr>
        <w:t>inter alia,</w:t>
      </w:r>
      <w:r w:rsidR="00121025">
        <w:rPr>
          <w:rFonts w:ascii="Times New Roman" w:hAnsi="Times New Roman" w:cs="Times New Roman"/>
          <w:sz w:val="24"/>
          <w:szCs w:val="24"/>
        </w:rPr>
        <w:t>]</w:t>
      </w:r>
      <w:r w:rsidR="00B46B9F" w:rsidRPr="00945CD0">
        <w:rPr>
          <w:rFonts w:ascii="Times New Roman" w:hAnsi="Times New Roman" w:cs="Times New Roman"/>
          <w:sz w:val="24"/>
          <w:szCs w:val="24"/>
        </w:rPr>
        <w:t xml:space="preserve"> </w:t>
      </w:r>
      <w:r w:rsidR="00121025">
        <w:rPr>
          <w:rFonts w:ascii="Times New Roman" w:hAnsi="Times New Roman" w:cs="Times New Roman"/>
          <w:sz w:val="24"/>
          <w:szCs w:val="24"/>
        </w:rPr>
        <w:t>[</w:t>
      </w:r>
      <w:r w:rsidR="00B46B9F" w:rsidRPr="00945CD0">
        <w:rPr>
          <w:rFonts w:ascii="Times New Roman" w:hAnsi="Times New Roman" w:cs="Times New Roman"/>
          <w:sz w:val="24"/>
          <w:szCs w:val="24"/>
        </w:rPr>
        <w:t>t</w:t>
      </w:r>
      <w:r w:rsidR="00121025">
        <w:rPr>
          <w:rFonts w:ascii="Times New Roman" w:hAnsi="Times New Roman" w:cs="Times New Roman"/>
          <w:sz w:val="24"/>
          <w:szCs w:val="24"/>
        </w:rPr>
        <w:t>]</w:t>
      </w:r>
      <w:r w:rsidR="00B46B9F" w:rsidRPr="00945CD0">
        <w:rPr>
          <w:rFonts w:ascii="Times New Roman" w:hAnsi="Times New Roman" w:cs="Times New Roman"/>
          <w:sz w:val="24"/>
          <w:szCs w:val="24"/>
        </w:rPr>
        <w:t>he establishment of a minimum age below which children shall be presumed not to have the capacity to infringe the penal law’.</w:t>
      </w:r>
      <w:r w:rsidR="00B46B9F" w:rsidRPr="00930920">
        <w:rPr>
          <w:rStyle w:val="FootnoteReference"/>
          <w:rFonts w:ascii="Times New Roman" w:hAnsi="Times New Roman" w:cs="Times New Roman"/>
          <w:sz w:val="24"/>
          <w:szCs w:val="24"/>
        </w:rPr>
        <w:footnoteReference w:id="11"/>
      </w:r>
      <w:r w:rsidR="00B46B9F" w:rsidRPr="00945CD0">
        <w:rPr>
          <w:rFonts w:ascii="Times New Roman" w:hAnsi="Times New Roman" w:cs="Times New Roman"/>
          <w:sz w:val="24"/>
          <w:szCs w:val="24"/>
        </w:rPr>
        <w:t xml:space="preserve"> As the Convention does not mention a specific minimum age in this regard, Australia views this obligation as an obligation for States to set a minimum age of criminal responsibility without a particular age limit being required</w:t>
      </w:r>
      <w:r w:rsidR="00855E13">
        <w:rPr>
          <w:rFonts w:ascii="Times New Roman" w:hAnsi="Times New Roman" w:cs="Times New Roman"/>
          <w:sz w:val="24"/>
          <w:szCs w:val="24"/>
        </w:rPr>
        <w:t xml:space="preserve"> by the Convention</w:t>
      </w:r>
      <w:r w:rsidR="00B46B9F" w:rsidRPr="00945CD0">
        <w:rPr>
          <w:rFonts w:ascii="Times New Roman" w:hAnsi="Times New Roman" w:cs="Times New Roman"/>
          <w:sz w:val="24"/>
          <w:szCs w:val="24"/>
        </w:rPr>
        <w:t>.</w:t>
      </w:r>
      <w:r w:rsidR="008646D4" w:rsidRPr="00945CD0">
        <w:rPr>
          <w:rFonts w:ascii="Times New Roman" w:hAnsi="Times New Roman" w:cs="Times New Roman"/>
          <w:sz w:val="24"/>
          <w:szCs w:val="24"/>
        </w:rPr>
        <w:t xml:space="preserve"> </w:t>
      </w:r>
      <w:r w:rsidR="00121025">
        <w:rPr>
          <w:rFonts w:ascii="Times New Roman" w:hAnsi="Times New Roman" w:cs="Times New Roman"/>
          <w:sz w:val="24"/>
          <w:szCs w:val="24"/>
        </w:rPr>
        <w:t xml:space="preserve">While </w:t>
      </w:r>
      <w:r w:rsidR="00B46B9F" w:rsidRPr="00945CD0">
        <w:rPr>
          <w:rFonts w:ascii="Times New Roman" w:hAnsi="Times New Roman" w:cs="Times New Roman"/>
          <w:sz w:val="24"/>
          <w:szCs w:val="24"/>
        </w:rPr>
        <w:t xml:space="preserve">Australia </w:t>
      </w:r>
      <w:r w:rsidR="00930920" w:rsidRPr="00945CD0">
        <w:rPr>
          <w:rFonts w:ascii="Times New Roman" w:hAnsi="Times New Roman" w:cs="Times New Roman"/>
          <w:sz w:val="24"/>
          <w:szCs w:val="24"/>
        </w:rPr>
        <w:t xml:space="preserve">commends the Committee </w:t>
      </w:r>
      <w:r w:rsidR="00DD7C69">
        <w:rPr>
          <w:rFonts w:ascii="Times New Roman" w:hAnsi="Times New Roman" w:cs="Times New Roman"/>
          <w:sz w:val="24"/>
          <w:szCs w:val="24"/>
        </w:rPr>
        <w:t>for</w:t>
      </w:r>
      <w:r w:rsidR="00DD7C69" w:rsidRPr="00945CD0">
        <w:rPr>
          <w:rFonts w:ascii="Times New Roman" w:hAnsi="Times New Roman" w:cs="Times New Roman"/>
          <w:sz w:val="24"/>
          <w:szCs w:val="24"/>
        </w:rPr>
        <w:t xml:space="preserve"> </w:t>
      </w:r>
      <w:r w:rsidR="00930920" w:rsidRPr="00945CD0">
        <w:rPr>
          <w:rFonts w:ascii="Times New Roman" w:hAnsi="Times New Roman" w:cs="Times New Roman"/>
          <w:sz w:val="24"/>
          <w:szCs w:val="24"/>
        </w:rPr>
        <w:t>encouraging States to reconsider very low ages of criminal responsibility</w:t>
      </w:r>
      <w:r w:rsidR="00121025">
        <w:rPr>
          <w:rFonts w:ascii="Times New Roman" w:hAnsi="Times New Roman" w:cs="Times New Roman"/>
          <w:sz w:val="24"/>
          <w:szCs w:val="24"/>
        </w:rPr>
        <w:t>, we</w:t>
      </w:r>
      <w:r w:rsidR="00930920" w:rsidRPr="00945CD0">
        <w:rPr>
          <w:rFonts w:ascii="Times New Roman" w:hAnsi="Times New Roman" w:cs="Times New Roman"/>
          <w:sz w:val="24"/>
          <w:szCs w:val="24"/>
        </w:rPr>
        <w:t xml:space="preserve"> consider </w:t>
      </w:r>
      <w:r w:rsidR="00930920" w:rsidRPr="00945CD0">
        <w:rPr>
          <w:rFonts w:ascii="Times New Roman" w:hAnsi="Times New Roman" w:cs="Times New Roman"/>
          <w:sz w:val="24"/>
          <w:szCs w:val="24"/>
        </w:rPr>
        <w:lastRenderedPageBreak/>
        <w:t xml:space="preserve">that this could still be </w:t>
      </w:r>
      <w:r w:rsidR="00AB5FDC" w:rsidRPr="00945CD0">
        <w:rPr>
          <w:rFonts w:ascii="Times New Roman" w:hAnsi="Times New Roman" w:cs="Times New Roman"/>
          <w:sz w:val="24"/>
          <w:szCs w:val="24"/>
        </w:rPr>
        <w:t>achieved whilst refraining from specifying a particular age.</w:t>
      </w:r>
    </w:p>
    <w:p w:rsidR="00E46660" w:rsidRPr="00E46660" w:rsidRDefault="00E46660" w:rsidP="004F3AFF">
      <w:pPr>
        <w:widowControl w:val="0"/>
        <w:spacing w:after="60" w:line="360" w:lineRule="auto"/>
        <w:jc w:val="both"/>
        <w:rPr>
          <w:rFonts w:ascii="Times New Roman" w:hAnsi="Times New Roman" w:cs="Times New Roman"/>
          <w:i/>
          <w:sz w:val="24"/>
          <w:szCs w:val="24"/>
        </w:rPr>
      </w:pPr>
      <w:r w:rsidRPr="00E46660">
        <w:rPr>
          <w:rFonts w:ascii="Times New Roman" w:hAnsi="Times New Roman" w:cs="Times New Roman"/>
          <w:i/>
          <w:sz w:val="24"/>
          <w:szCs w:val="24"/>
        </w:rPr>
        <w:t>Continuation of juvenile justice measures after criminal majority</w:t>
      </w:r>
      <w:r w:rsidR="00F43CC4">
        <w:rPr>
          <w:rStyle w:val="FootnoteReference"/>
          <w:rFonts w:ascii="Times New Roman" w:hAnsi="Times New Roman" w:cs="Times New Roman"/>
          <w:sz w:val="24"/>
          <w:szCs w:val="24"/>
        </w:rPr>
        <w:footnoteReference w:id="12"/>
      </w:r>
    </w:p>
    <w:p w:rsidR="00901DA6" w:rsidRDefault="00901DA6" w:rsidP="00E46660">
      <w:pPr>
        <w:pStyle w:val="ListParagraph"/>
        <w:widowControl w:val="0"/>
        <w:numPr>
          <w:ilvl w:val="0"/>
          <w:numId w:val="5"/>
        </w:numPr>
        <w:spacing w:after="60" w:line="360" w:lineRule="auto"/>
        <w:contextualSpacing w:val="0"/>
        <w:jc w:val="both"/>
        <w:rPr>
          <w:rFonts w:ascii="Times New Roman" w:hAnsi="Times New Roman" w:cs="Times New Roman"/>
          <w:sz w:val="24"/>
          <w:szCs w:val="24"/>
        </w:rPr>
      </w:pPr>
      <w:r w:rsidRPr="00901DA6">
        <w:rPr>
          <w:rFonts w:ascii="Times New Roman" w:hAnsi="Times New Roman" w:cs="Times New Roman"/>
          <w:sz w:val="24"/>
          <w:szCs w:val="24"/>
        </w:rPr>
        <w:t xml:space="preserve">The draft General Comment recommends </w:t>
      </w:r>
      <w:r w:rsidR="00680224">
        <w:rPr>
          <w:rFonts w:ascii="Times New Roman" w:hAnsi="Times New Roman" w:cs="Times New Roman"/>
          <w:sz w:val="24"/>
          <w:szCs w:val="24"/>
        </w:rPr>
        <w:t>in paragraph 46</w:t>
      </w:r>
      <w:r w:rsidRPr="00901DA6">
        <w:rPr>
          <w:rFonts w:ascii="Times New Roman" w:hAnsi="Times New Roman" w:cs="Times New Roman"/>
          <w:sz w:val="24"/>
          <w:szCs w:val="24"/>
        </w:rPr>
        <w:t xml:space="preserve"> that States Parties to the Convention ensure young </w:t>
      </w:r>
      <w:r w:rsidRPr="005013D8">
        <w:rPr>
          <w:rFonts w:ascii="Times New Roman" w:hAnsi="Times New Roman" w:cs="Times New Roman"/>
          <w:sz w:val="24"/>
          <w:szCs w:val="24"/>
        </w:rPr>
        <w:t xml:space="preserve">persons who reach eighteen years while undertaking a programme or sentence </w:t>
      </w:r>
      <w:r w:rsidR="00903349" w:rsidRPr="005013D8">
        <w:rPr>
          <w:rFonts w:ascii="Times New Roman" w:hAnsi="Times New Roman" w:cs="Times New Roman"/>
          <w:sz w:val="24"/>
          <w:szCs w:val="24"/>
        </w:rPr>
        <w:t>‘</w:t>
      </w:r>
      <w:r w:rsidR="00903349" w:rsidRPr="005013D8">
        <w:rPr>
          <w:rFonts w:ascii="Times New Roman" w:hAnsi="Times New Roman" w:cs="Times New Roman"/>
          <w:sz w:val="24"/>
          <w:szCs w:val="24"/>
          <w:lang w:val="en-US"/>
        </w:rPr>
        <w:t>can continue the completion of the programme or sentence in conditions suited to their age, maturity and needs and are not sent to centres for adults.’</w:t>
      </w:r>
      <w:r w:rsidRPr="005013D8">
        <w:rPr>
          <w:rFonts w:ascii="Times New Roman" w:hAnsi="Times New Roman" w:cs="Times New Roman"/>
          <w:sz w:val="24"/>
          <w:szCs w:val="24"/>
        </w:rPr>
        <w:t xml:space="preserve"> Australia</w:t>
      </w:r>
      <w:r w:rsidRPr="00901DA6">
        <w:rPr>
          <w:rFonts w:ascii="Times New Roman" w:hAnsi="Times New Roman" w:cs="Times New Roman"/>
          <w:sz w:val="24"/>
          <w:szCs w:val="24"/>
        </w:rPr>
        <w:t xml:space="preserve"> suggests that </w:t>
      </w:r>
      <w:r w:rsidR="00DD7C69">
        <w:rPr>
          <w:rFonts w:ascii="Times New Roman" w:hAnsi="Times New Roman" w:cs="Times New Roman"/>
          <w:sz w:val="24"/>
          <w:szCs w:val="24"/>
        </w:rPr>
        <w:t>the Committee</w:t>
      </w:r>
      <w:r>
        <w:rPr>
          <w:rFonts w:ascii="Times New Roman" w:hAnsi="Times New Roman" w:cs="Times New Roman"/>
          <w:sz w:val="24"/>
          <w:szCs w:val="24"/>
        </w:rPr>
        <w:t xml:space="preserve"> reiterat</w:t>
      </w:r>
      <w:r w:rsidR="00DD7C69">
        <w:rPr>
          <w:rFonts w:ascii="Times New Roman" w:hAnsi="Times New Roman" w:cs="Times New Roman"/>
          <w:sz w:val="24"/>
          <w:szCs w:val="24"/>
        </w:rPr>
        <w:t>e</w:t>
      </w:r>
      <w:r>
        <w:rPr>
          <w:rFonts w:ascii="Times New Roman" w:hAnsi="Times New Roman" w:cs="Times New Roman"/>
          <w:sz w:val="24"/>
          <w:szCs w:val="24"/>
        </w:rPr>
        <w:t xml:space="preserve"> that</w:t>
      </w:r>
      <w:r w:rsidR="00DD7C69">
        <w:rPr>
          <w:rFonts w:ascii="Times New Roman" w:hAnsi="Times New Roman" w:cs="Times New Roman"/>
          <w:sz w:val="24"/>
          <w:szCs w:val="24"/>
        </w:rPr>
        <w:t>,</w:t>
      </w:r>
      <w:r>
        <w:rPr>
          <w:rFonts w:ascii="Times New Roman" w:hAnsi="Times New Roman" w:cs="Times New Roman"/>
          <w:sz w:val="24"/>
          <w:szCs w:val="24"/>
        </w:rPr>
        <w:t xml:space="preserve"> in taking any such dec</w:t>
      </w:r>
      <w:r w:rsidR="00903349">
        <w:rPr>
          <w:rFonts w:ascii="Times New Roman" w:hAnsi="Times New Roman" w:cs="Times New Roman"/>
          <w:sz w:val="24"/>
          <w:szCs w:val="24"/>
        </w:rPr>
        <w:t>ision, the best interests of any</w:t>
      </w:r>
      <w:r>
        <w:rPr>
          <w:rFonts w:ascii="Times New Roman" w:hAnsi="Times New Roman" w:cs="Times New Roman"/>
          <w:sz w:val="24"/>
          <w:szCs w:val="24"/>
        </w:rPr>
        <w:t xml:space="preserve"> children in the programme or facility should be a primary considera</w:t>
      </w:r>
      <w:r w:rsidR="00BF428F">
        <w:rPr>
          <w:rFonts w:ascii="Times New Roman" w:hAnsi="Times New Roman" w:cs="Times New Roman"/>
          <w:sz w:val="24"/>
          <w:szCs w:val="24"/>
        </w:rPr>
        <w:t>tion</w:t>
      </w:r>
      <w:r>
        <w:rPr>
          <w:rFonts w:ascii="Times New Roman" w:hAnsi="Times New Roman" w:cs="Times New Roman"/>
          <w:sz w:val="24"/>
          <w:szCs w:val="24"/>
        </w:rPr>
        <w:t>.</w:t>
      </w:r>
    </w:p>
    <w:p w:rsidR="00B46B9F" w:rsidRPr="00BB626A" w:rsidRDefault="00B46B9F" w:rsidP="004F3AFF">
      <w:pPr>
        <w:widowControl w:val="0"/>
        <w:spacing w:after="60" w:line="360" w:lineRule="auto"/>
        <w:jc w:val="both"/>
        <w:rPr>
          <w:rFonts w:ascii="Times New Roman" w:hAnsi="Times New Roman" w:cs="Times New Roman"/>
          <w:i/>
          <w:sz w:val="24"/>
          <w:szCs w:val="24"/>
        </w:rPr>
      </w:pPr>
      <w:r w:rsidRPr="00BB626A">
        <w:rPr>
          <w:rFonts w:ascii="Times New Roman" w:hAnsi="Times New Roman" w:cs="Times New Roman"/>
          <w:i/>
          <w:sz w:val="24"/>
          <w:szCs w:val="24"/>
        </w:rPr>
        <w:t xml:space="preserve">Minimum age of </w:t>
      </w:r>
      <w:r w:rsidR="00BB626A" w:rsidRPr="00BB626A">
        <w:rPr>
          <w:rFonts w:ascii="Times New Roman" w:hAnsi="Times New Roman" w:cs="Times New Roman"/>
          <w:i/>
          <w:sz w:val="24"/>
          <w:szCs w:val="24"/>
        </w:rPr>
        <w:t>deprivation of liberty</w:t>
      </w:r>
    </w:p>
    <w:p w:rsidR="00F60716" w:rsidRDefault="001144AC" w:rsidP="00F60716">
      <w:pPr>
        <w:pStyle w:val="ListParagraph"/>
        <w:widowControl w:val="0"/>
        <w:numPr>
          <w:ilvl w:val="0"/>
          <w:numId w:val="5"/>
        </w:numPr>
        <w:spacing w:after="6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In paragraph 101 of the draft General Comment, the Committee </w:t>
      </w:r>
      <w:r w:rsidR="002A51D4">
        <w:rPr>
          <w:rFonts w:ascii="Times New Roman" w:hAnsi="Times New Roman" w:cs="Times New Roman"/>
          <w:sz w:val="24"/>
          <w:szCs w:val="24"/>
        </w:rPr>
        <w:t>‘</w:t>
      </w:r>
      <w:r w:rsidR="002A51D4" w:rsidRPr="002A51D4">
        <w:rPr>
          <w:rFonts w:ascii="Times New Roman" w:hAnsi="Times New Roman" w:cs="Times New Roman"/>
          <w:sz w:val="24"/>
          <w:szCs w:val="24"/>
        </w:rPr>
        <w:t xml:space="preserve">encourages the State parties to fix an age limit for the use of deprivation of liberty and recommends that no child in conflict with the law below the age of 16 </w:t>
      </w:r>
      <w:r w:rsidR="002A51D4" w:rsidRPr="002A51D4">
        <w:rPr>
          <w:rFonts w:ascii="Times New Roman" w:hAnsi="Times New Roman" w:cs="Times New Roman"/>
          <w:sz w:val="24"/>
          <w:szCs w:val="24"/>
        </w:rPr>
        <w:lastRenderedPageBreak/>
        <w:t>years old be deprived of liberty, either at the pre-trial or post-trial stage’</w:t>
      </w:r>
      <w:r w:rsidR="002A51D4">
        <w:rPr>
          <w:rFonts w:ascii="Times New Roman" w:hAnsi="Times New Roman" w:cs="Times New Roman"/>
          <w:sz w:val="24"/>
          <w:szCs w:val="24"/>
        </w:rPr>
        <w:t>.</w:t>
      </w:r>
      <w:r w:rsidR="000905DF">
        <w:rPr>
          <w:rFonts w:ascii="Times New Roman" w:hAnsi="Times New Roman" w:cs="Times New Roman"/>
          <w:sz w:val="24"/>
          <w:szCs w:val="24"/>
        </w:rPr>
        <w:t xml:space="preserve"> </w:t>
      </w:r>
    </w:p>
    <w:p w:rsidR="000905DF" w:rsidRPr="00AD6E55" w:rsidRDefault="00121025" w:rsidP="00121025">
      <w:pPr>
        <w:pStyle w:val="ListParagraph"/>
        <w:widowControl w:val="0"/>
        <w:numPr>
          <w:ilvl w:val="0"/>
          <w:numId w:val="5"/>
        </w:numPr>
        <w:spacing w:after="60" w:line="360" w:lineRule="auto"/>
        <w:contextualSpacing w:val="0"/>
        <w:jc w:val="both"/>
        <w:rPr>
          <w:rFonts w:ascii="Times New Roman" w:hAnsi="Times New Roman" w:cs="Times New Roman"/>
          <w:sz w:val="24"/>
          <w:szCs w:val="24"/>
        </w:rPr>
      </w:pPr>
      <w:r w:rsidRPr="00121025">
        <w:rPr>
          <w:rFonts w:ascii="Times New Roman" w:hAnsi="Times New Roman" w:cs="Times New Roman"/>
          <w:sz w:val="24"/>
          <w:szCs w:val="24"/>
        </w:rPr>
        <w:t>T</w:t>
      </w:r>
      <w:r w:rsidR="000905DF" w:rsidRPr="00AD6E55">
        <w:rPr>
          <w:rFonts w:ascii="Times New Roman" w:hAnsi="Times New Roman" w:cs="Times New Roman"/>
          <w:sz w:val="24"/>
          <w:szCs w:val="24"/>
        </w:rPr>
        <w:t xml:space="preserve">here is no obligation in </w:t>
      </w:r>
      <w:r w:rsidR="001144AC" w:rsidRPr="00AD6E55">
        <w:rPr>
          <w:rFonts w:ascii="Times New Roman" w:hAnsi="Times New Roman" w:cs="Times New Roman"/>
          <w:sz w:val="24"/>
          <w:szCs w:val="24"/>
        </w:rPr>
        <w:t xml:space="preserve">the Convention </w:t>
      </w:r>
      <w:r w:rsidR="000905DF" w:rsidRPr="00AD6E55">
        <w:rPr>
          <w:rFonts w:ascii="Times New Roman" w:hAnsi="Times New Roman" w:cs="Times New Roman"/>
          <w:sz w:val="24"/>
          <w:szCs w:val="24"/>
        </w:rPr>
        <w:t>to establish a minimum age for deprivation of liberty</w:t>
      </w:r>
      <w:r w:rsidRPr="00AD6E55">
        <w:rPr>
          <w:rFonts w:ascii="Times New Roman" w:hAnsi="Times New Roman" w:cs="Times New Roman"/>
          <w:sz w:val="24"/>
          <w:szCs w:val="24"/>
        </w:rPr>
        <w:t>. Australia considers that children are best protected by the</w:t>
      </w:r>
      <w:r w:rsidR="00AD6E55">
        <w:rPr>
          <w:rFonts w:ascii="Times New Roman" w:hAnsi="Times New Roman" w:cs="Times New Roman"/>
          <w:sz w:val="24"/>
          <w:szCs w:val="24"/>
        </w:rPr>
        <w:t xml:space="preserve"> increased </w:t>
      </w:r>
      <w:r w:rsidRPr="00AD6E55">
        <w:rPr>
          <w:rFonts w:ascii="Times New Roman" w:hAnsi="Times New Roman" w:cs="Times New Roman"/>
          <w:sz w:val="24"/>
          <w:szCs w:val="24"/>
        </w:rPr>
        <w:t xml:space="preserve">promotion of existing Convention obligations, including the establishment of an appropriate minimum age of criminal responsibility (article 40(3)(a)) and increased use of diversion measures (article 40(3)(b)) and alternatives to detention (article 40(4)). As such, </w:t>
      </w:r>
      <w:r w:rsidR="000905DF" w:rsidRPr="00AD6E55">
        <w:rPr>
          <w:rFonts w:ascii="Times New Roman" w:hAnsi="Times New Roman" w:cs="Times New Roman"/>
          <w:sz w:val="24"/>
          <w:szCs w:val="24"/>
        </w:rPr>
        <w:t xml:space="preserve">Australia considers that fixing </w:t>
      </w:r>
      <w:r w:rsidR="00AD6E55">
        <w:rPr>
          <w:rFonts w:ascii="Times New Roman" w:hAnsi="Times New Roman" w:cs="Times New Roman"/>
          <w:sz w:val="24"/>
          <w:szCs w:val="24"/>
        </w:rPr>
        <w:t>a minimum</w:t>
      </w:r>
      <w:r w:rsidR="000905DF" w:rsidRPr="00AD6E55">
        <w:rPr>
          <w:rFonts w:ascii="Times New Roman" w:hAnsi="Times New Roman" w:cs="Times New Roman"/>
          <w:sz w:val="24"/>
          <w:szCs w:val="24"/>
        </w:rPr>
        <w:t xml:space="preserve"> age </w:t>
      </w:r>
      <w:r w:rsidR="00AD6E55">
        <w:rPr>
          <w:rFonts w:ascii="Times New Roman" w:hAnsi="Times New Roman" w:cs="Times New Roman"/>
          <w:sz w:val="24"/>
          <w:szCs w:val="24"/>
        </w:rPr>
        <w:t xml:space="preserve">for deprivation of liberty </w:t>
      </w:r>
      <w:r w:rsidR="000905DF" w:rsidRPr="00AD6E55">
        <w:rPr>
          <w:rFonts w:ascii="Times New Roman" w:hAnsi="Times New Roman" w:cs="Times New Roman"/>
          <w:sz w:val="24"/>
          <w:szCs w:val="24"/>
        </w:rPr>
        <w:t xml:space="preserve">is neither required nor appropriate. </w:t>
      </w:r>
    </w:p>
    <w:p w:rsidR="001144AC" w:rsidRPr="00AD6E55" w:rsidRDefault="001144AC" w:rsidP="00AD6E55">
      <w:pPr>
        <w:pStyle w:val="ListParagraph"/>
        <w:widowControl w:val="0"/>
        <w:numPr>
          <w:ilvl w:val="0"/>
          <w:numId w:val="5"/>
        </w:numPr>
        <w:spacing w:after="60" w:line="360" w:lineRule="auto"/>
        <w:contextualSpacing w:val="0"/>
        <w:jc w:val="both"/>
        <w:rPr>
          <w:rFonts w:ascii="Times New Roman" w:hAnsi="Times New Roman" w:cs="Times New Roman"/>
          <w:sz w:val="24"/>
          <w:szCs w:val="24"/>
        </w:rPr>
      </w:pPr>
      <w:r w:rsidRPr="000905DF">
        <w:rPr>
          <w:rFonts w:ascii="Times New Roman" w:hAnsi="Times New Roman" w:cs="Times New Roman"/>
          <w:sz w:val="24"/>
          <w:szCs w:val="24"/>
        </w:rPr>
        <w:t xml:space="preserve">Australia </w:t>
      </w:r>
      <w:r w:rsidR="00162FC4" w:rsidRPr="00162FC4">
        <w:rPr>
          <w:rFonts w:ascii="Times New Roman" w:hAnsi="Times New Roman" w:cs="Times New Roman"/>
          <w:sz w:val="24"/>
          <w:szCs w:val="24"/>
        </w:rPr>
        <w:t>takes its obligations under international human rights law seriously and</w:t>
      </w:r>
      <w:r w:rsidR="00162FC4">
        <w:rPr>
          <w:rFonts w:ascii="Times New Roman" w:hAnsi="Times New Roman" w:cs="Times New Roman"/>
          <w:sz w:val="24"/>
          <w:szCs w:val="24"/>
        </w:rPr>
        <w:t xml:space="preserve"> recently became a State Party to the Optional Protocol to the Convention against </w:t>
      </w:r>
      <w:r w:rsidR="00162FC4" w:rsidRPr="00162FC4">
        <w:rPr>
          <w:rFonts w:ascii="Times New Roman" w:hAnsi="Times New Roman" w:cs="Times New Roman"/>
          <w:sz w:val="24"/>
          <w:szCs w:val="24"/>
        </w:rPr>
        <w:t>Torture and Other Cruel, Inhuman or D</w:t>
      </w:r>
      <w:r w:rsidR="00162FC4">
        <w:rPr>
          <w:rFonts w:ascii="Times New Roman" w:hAnsi="Times New Roman" w:cs="Times New Roman"/>
          <w:sz w:val="24"/>
          <w:szCs w:val="24"/>
        </w:rPr>
        <w:t>egrading Treatment or Punishment</w:t>
      </w:r>
      <w:r w:rsidR="00AD6E55">
        <w:rPr>
          <w:rFonts w:ascii="Times New Roman" w:hAnsi="Times New Roman" w:cs="Times New Roman"/>
          <w:sz w:val="24"/>
          <w:szCs w:val="24"/>
        </w:rPr>
        <w:t xml:space="preserve"> (OPCAT)</w:t>
      </w:r>
      <w:r w:rsidR="00162FC4">
        <w:rPr>
          <w:rFonts w:ascii="Times New Roman" w:hAnsi="Times New Roman" w:cs="Times New Roman"/>
          <w:sz w:val="24"/>
          <w:szCs w:val="24"/>
        </w:rPr>
        <w:t xml:space="preserve">. Australia considers that </w:t>
      </w:r>
      <w:r w:rsidR="00AD6E55">
        <w:rPr>
          <w:rFonts w:ascii="Times New Roman" w:hAnsi="Times New Roman" w:cs="Times New Roman"/>
          <w:sz w:val="24"/>
          <w:szCs w:val="24"/>
        </w:rPr>
        <w:t>the OPCAT</w:t>
      </w:r>
      <w:r w:rsidR="00162FC4">
        <w:rPr>
          <w:rFonts w:ascii="Times New Roman" w:hAnsi="Times New Roman" w:cs="Times New Roman"/>
          <w:sz w:val="24"/>
          <w:szCs w:val="24"/>
        </w:rPr>
        <w:t xml:space="preserve"> </w:t>
      </w:r>
      <w:r w:rsidR="00AD6E55" w:rsidRPr="00AD6E55">
        <w:rPr>
          <w:rFonts w:ascii="Times New Roman" w:hAnsi="Times New Roman" w:cs="Times New Roman"/>
          <w:sz w:val="24"/>
          <w:szCs w:val="24"/>
        </w:rPr>
        <w:t>strengthen</w:t>
      </w:r>
      <w:r w:rsidR="00AD6E55">
        <w:rPr>
          <w:rFonts w:ascii="Times New Roman" w:hAnsi="Times New Roman" w:cs="Times New Roman"/>
          <w:sz w:val="24"/>
          <w:szCs w:val="24"/>
        </w:rPr>
        <w:t>s</w:t>
      </w:r>
      <w:r w:rsidR="00AD6E55" w:rsidRPr="00AD6E55">
        <w:rPr>
          <w:rFonts w:ascii="Times New Roman" w:hAnsi="Times New Roman" w:cs="Times New Roman"/>
          <w:sz w:val="24"/>
          <w:szCs w:val="24"/>
        </w:rPr>
        <w:t xml:space="preserve"> the protection of persons deprived of their liberty</w:t>
      </w:r>
      <w:r w:rsidR="00AD6E55">
        <w:rPr>
          <w:rFonts w:ascii="Times New Roman" w:hAnsi="Times New Roman" w:cs="Times New Roman"/>
          <w:sz w:val="24"/>
          <w:szCs w:val="24"/>
        </w:rPr>
        <w:t xml:space="preserve">, </w:t>
      </w:r>
      <w:r w:rsidR="00AD6E55" w:rsidRPr="00771C9E">
        <w:rPr>
          <w:rFonts w:ascii="Times New Roman" w:hAnsi="Times New Roman" w:cs="Times New Roman"/>
          <w:sz w:val="24"/>
          <w:szCs w:val="24"/>
        </w:rPr>
        <w:t>including children, against acts of torture and other cruel, inhuman or degrading treatment or punishment.</w:t>
      </w:r>
      <w:r w:rsidR="00771C9E" w:rsidRPr="00771C9E">
        <w:rPr>
          <w:rFonts w:ascii="Times New Roman" w:hAnsi="Times New Roman" w:cs="Times New Roman"/>
          <w:sz w:val="24"/>
          <w:szCs w:val="24"/>
        </w:rPr>
        <w:t xml:space="preserve"> The Committee might encourage States Parties to the Convention to consider ratifying the OPCAT to provide further human rights protections and safeguard</w:t>
      </w:r>
      <w:r w:rsidR="00DD7C69">
        <w:rPr>
          <w:rFonts w:ascii="Times New Roman" w:hAnsi="Times New Roman" w:cs="Times New Roman"/>
          <w:sz w:val="24"/>
          <w:szCs w:val="24"/>
        </w:rPr>
        <w:t>s</w:t>
      </w:r>
      <w:r w:rsidR="00771C9E" w:rsidRPr="00771C9E">
        <w:rPr>
          <w:rFonts w:ascii="Times New Roman" w:hAnsi="Times New Roman" w:cs="Times New Roman"/>
          <w:sz w:val="24"/>
          <w:szCs w:val="24"/>
        </w:rPr>
        <w:t xml:space="preserve"> to children deprived of their liberty.</w:t>
      </w:r>
    </w:p>
    <w:p w:rsidR="00ED3486" w:rsidRPr="006F186E" w:rsidRDefault="00ED3486" w:rsidP="004F3AFF">
      <w:pPr>
        <w:widowControl w:val="0"/>
        <w:spacing w:after="60" w:line="360" w:lineRule="auto"/>
        <w:jc w:val="both"/>
        <w:rPr>
          <w:rFonts w:ascii="Times New Roman" w:hAnsi="Times New Roman" w:cs="Times New Roman"/>
          <w:i/>
          <w:sz w:val="24"/>
          <w:szCs w:val="24"/>
        </w:rPr>
      </w:pPr>
      <w:r w:rsidRPr="006F186E">
        <w:rPr>
          <w:rFonts w:ascii="Times New Roman" w:hAnsi="Times New Roman" w:cs="Times New Roman"/>
          <w:i/>
          <w:sz w:val="24"/>
          <w:szCs w:val="24"/>
        </w:rPr>
        <w:t>Expression of views</w:t>
      </w:r>
    </w:p>
    <w:p w:rsidR="00ED3486" w:rsidRPr="006F186E" w:rsidRDefault="00ED3486" w:rsidP="004F3AFF">
      <w:pPr>
        <w:pStyle w:val="ListParagraph"/>
        <w:widowControl w:val="0"/>
        <w:numPr>
          <w:ilvl w:val="0"/>
          <w:numId w:val="5"/>
        </w:numPr>
        <w:spacing w:after="60" w:line="360" w:lineRule="auto"/>
        <w:contextualSpacing w:val="0"/>
        <w:jc w:val="both"/>
        <w:rPr>
          <w:rFonts w:ascii="Times New Roman" w:hAnsi="Times New Roman" w:cs="Times New Roman"/>
          <w:sz w:val="24"/>
          <w:szCs w:val="24"/>
        </w:rPr>
      </w:pPr>
      <w:r w:rsidRPr="006F186E">
        <w:rPr>
          <w:rFonts w:ascii="Times New Roman" w:hAnsi="Times New Roman" w:cs="Times New Roman"/>
          <w:sz w:val="24"/>
          <w:szCs w:val="24"/>
        </w:rPr>
        <w:t>Australia notes the Comm</w:t>
      </w:r>
      <w:r w:rsidR="006F186E" w:rsidRPr="006F186E">
        <w:rPr>
          <w:rFonts w:ascii="Times New Roman" w:hAnsi="Times New Roman" w:cs="Times New Roman"/>
          <w:sz w:val="24"/>
          <w:szCs w:val="24"/>
        </w:rPr>
        <w:t>ittee’s comments in paragraph 14</w:t>
      </w:r>
      <w:r w:rsidRPr="006F186E">
        <w:rPr>
          <w:rFonts w:ascii="Times New Roman" w:hAnsi="Times New Roman" w:cs="Times New Roman"/>
          <w:sz w:val="24"/>
          <w:szCs w:val="24"/>
        </w:rPr>
        <w:t xml:space="preserve"> of the draft </w:t>
      </w:r>
      <w:r w:rsidRPr="006F186E">
        <w:rPr>
          <w:rFonts w:ascii="Times New Roman" w:hAnsi="Times New Roman" w:cs="Times New Roman"/>
          <w:sz w:val="24"/>
          <w:szCs w:val="24"/>
        </w:rPr>
        <w:lastRenderedPageBreak/>
        <w:t xml:space="preserve">General Comment on </w:t>
      </w:r>
      <w:r w:rsidR="006F186E" w:rsidRPr="006F186E">
        <w:rPr>
          <w:rFonts w:ascii="Times New Roman" w:hAnsi="Times New Roman" w:cs="Times New Roman"/>
          <w:sz w:val="24"/>
          <w:szCs w:val="24"/>
        </w:rPr>
        <w:t>the right to be heard (article 12).</w:t>
      </w:r>
      <w:r w:rsidRPr="006F186E">
        <w:rPr>
          <w:rFonts w:ascii="Times New Roman" w:hAnsi="Times New Roman" w:cs="Times New Roman"/>
          <w:sz w:val="24"/>
          <w:szCs w:val="24"/>
        </w:rPr>
        <w:t xml:space="preserve"> Australia </w:t>
      </w:r>
      <w:r w:rsidR="009227A5">
        <w:rPr>
          <w:rFonts w:ascii="Times New Roman" w:hAnsi="Times New Roman" w:cs="Times New Roman"/>
          <w:sz w:val="24"/>
          <w:szCs w:val="24"/>
        </w:rPr>
        <w:t>recalls</w:t>
      </w:r>
      <w:r w:rsidRPr="006F186E">
        <w:rPr>
          <w:rFonts w:ascii="Times New Roman" w:hAnsi="Times New Roman" w:cs="Times New Roman"/>
          <w:sz w:val="24"/>
          <w:szCs w:val="24"/>
        </w:rPr>
        <w:t xml:space="preserve"> that under </w:t>
      </w:r>
      <w:r w:rsidR="00F40EE8" w:rsidRPr="006F186E">
        <w:rPr>
          <w:rFonts w:ascii="Times New Roman" w:hAnsi="Times New Roman" w:cs="Times New Roman"/>
          <w:sz w:val="24"/>
          <w:szCs w:val="24"/>
        </w:rPr>
        <w:t>a</w:t>
      </w:r>
      <w:r w:rsidR="006F186E" w:rsidRPr="006F186E">
        <w:rPr>
          <w:rFonts w:ascii="Times New Roman" w:hAnsi="Times New Roman" w:cs="Times New Roman"/>
          <w:sz w:val="24"/>
          <w:szCs w:val="24"/>
        </w:rPr>
        <w:t>rticle 12(2</w:t>
      </w:r>
      <w:r w:rsidRPr="006F186E">
        <w:rPr>
          <w:rFonts w:ascii="Times New Roman" w:hAnsi="Times New Roman" w:cs="Times New Roman"/>
          <w:sz w:val="24"/>
          <w:szCs w:val="24"/>
        </w:rPr>
        <w:t>) of the Convention, children can be heard either directly or through a representative or an appropriate body in a manner consistent with the procedural rules of national law.</w:t>
      </w:r>
      <w:r w:rsidRPr="006F186E">
        <w:rPr>
          <w:rStyle w:val="FootnoteReference"/>
          <w:rFonts w:ascii="Times New Roman" w:hAnsi="Times New Roman" w:cs="Times New Roman"/>
          <w:sz w:val="24"/>
          <w:szCs w:val="24"/>
        </w:rPr>
        <w:footnoteReference w:id="13"/>
      </w:r>
    </w:p>
    <w:p w:rsidR="00B46B9F" w:rsidRPr="009A0AA5" w:rsidRDefault="00ED3486" w:rsidP="004F3AFF">
      <w:pPr>
        <w:widowControl w:val="0"/>
        <w:spacing w:after="60" w:line="360" w:lineRule="auto"/>
        <w:jc w:val="both"/>
        <w:rPr>
          <w:rFonts w:ascii="Times New Roman" w:hAnsi="Times New Roman" w:cs="Times New Roman"/>
          <w:sz w:val="24"/>
          <w:szCs w:val="24"/>
          <w:u w:val="single"/>
        </w:rPr>
      </w:pPr>
      <w:r w:rsidRPr="009A0AA5">
        <w:rPr>
          <w:rFonts w:ascii="Times New Roman" w:hAnsi="Times New Roman" w:cs="Times New Roman"/>
          <w:sz w:val="24"/>
          <w:szCs w:val="24"/>
          <w:u w:val="single"/>
        </w:rPr>
        <w:t>Interconnected nature of human rights</w:t>
      </w:r>
      <w:r w:rsidR="0041221D" w:rsidRPr="009A0AA5">
        <w:rPr>
          <w:rFonts w:ascii="Times New Roman" w:hAnsi="Times New Roman" w:cs="Times New Roman"/>
          <w:sz w:val="24"/>
          <w:szCs w:val="24"/>
          <w:u w:val="single"/>
        </w:rPr>
        <w:t xml:space="preserve"> obligations</w:t>
      </w:r>
    </w:p>
    <w:p w:rsidR="00951521" w:rsidRPr="00E756A3" w:rsidRDefault="00951521" w:rsidP="004F3AFF">
      <w:pPr>
        <w:widowControl w:val="0"/>
        <w:spacing w:after="60" w:line="360" w:lineRule="auto"/>
        <w:jc w:val="both"/>
        <w:rPr>
          <w:rFonts w:ascii="Times New Roman" w:hAnsi="Times New Roman" w:cs="Times New Roman"/>
          <w:i/>
          <w:sz w:val="24"/>
          <w:szCs w:val="24"/>
        </w:rPr>
      </w:pPr>
      <w:r w:rsidRPr="00E756A3">
        <w:rPr>
          <w:rFonts w:ascii="Times New Roman" w:hAnsi="Times New Roman" w:cs="Times New Roman"/>
          <w:i/>
          <w:sz w:val="24"/>
          <w:szCs w:val="24"/>
        </w:rPr>
        <w:t>Multiple forms of discrimination</w:t>
      </w:r>
    </w:p>
    <w:p w:rsidR="00951521" w:rsidRPr="00B2379F" w:rsidRDefault="00ED3486" w:rsidP="00D50E23">
      <w:pPr>
        <w:pStyle w:val="ListParagraph"/>
        <w:widowControl w:val="0"/>
        <w:numPr>
          <w:ilvl w:val="0"/>
          <w:numId w:val="5"/>
        </w:numPr>
        <w:spacing w:after="60" w:line="360" w:lineRule="auto"/>
        <w:contextualSpacing w:val="0"/>
        <w:jc w:val="both"/>
        <w:rPr>
          <w:rFonts w:ascii="Times New Roman" w:hAnsi="Times New Roman" w:cs="Times New Roman"/>
          <w:sz w:val="24"/>
          <w:szCs w:val="24"/>
        </w:rPr>
      </w:pPr>
      <w:r w:rsidRPr="00E756A3">
        <w:rPr>
          <w:rFonts w:ascii="Times New Roman" w:hAnsi="Times New Roman" w:cs="Times New Roman"/>
          <w:sz w:val="24"/>
          <w:szCs w:val="24"/>
        </w:rPr>
        <w:t>Given</w:t>
      </w:r>
      <w:r w:rsidR="00714867" w:rsidRPr="00E756A3">
        <w:rPr>
          <w:rFonts w:ascii="Times New Roman" w:hAnsi="Times New Roman" w:cs="Times New Roman"/>
          <w:sz w:val="24"/>
          <w:szCs w:val="24"/>
        </w:rPr>
        <w:t xml:space="preserve"> that age can be a ground of discrimination under ‘other status’</w:t>
      </w:r>
      <w:r w:rsidRPr="00E756A3">
        <w:rPr>
          <w:rFonts w:ascii="Times New Roman" w:hAnsi="Times New Roman" w:cs="Times New Roman"/>
          <w:sz w:val="24"/>
          <w:szCs w:val="24"/>
        </w:rPr>
        <w:t xml:space="preserve"> in </w:t>
      </w:r>
      <w:r w:rsidR="00F40EE8" w:rsidRPr="00E756A3">
        <w:rPr>
          <w:rFonts w:ascii="Times New Roman" w:hAnsi="Times New Roman" w:cs="Times New Roman"/>
          <w:sz w:val="24"/>
          <w:szCs w:val="24"/>
        </w:rPr>
        <w:t>a</w:t>
      </w:r>
      <w:r w:rsidRPr="00E756A3">
        <w:rPr>
          <w:rFonts w:ascii="Times New Roman" w:hAnsi="Times New Roman" w:cs="Times New Roman"/>
          <w:sz w:val="24"/>
          <w:szCs w:val="24"/>
        </w:rPr>
        <w:t>rticle 2 of the Convention, Australia</w:t>
      </w:r>
      <w:r w:rsidR="00714867" w:rsidRPr="00E756A3">
        <w:rPr>
          <w:rFonts w:ascii="Times New Roman" w:hAnsi="Times New Roman" w:cs="Times New Roman"/>
          <w:sz w:val="24"/>
          <w:szCs w:val="24"/>
        </w:rPr>
        <w:t xml:space="preserve"> </w:t>
      </w:r>
      <w:r w:rsidR="00951521" w:rsidRPr="00E756A3">
        <w:rPr>
          <w:rFonts w:ascii="Times New Roman" w:hAnsi="Times New Roman" w:cs="Times New Roman"/>
          <w:sz w:val="24"/>
          <w:szCs w:val="24"/>
        </w:rPr>
        <w:t>welcomes the guidance</w:t>
      </w:r>
      <w:r w:rsidR="00714867" w:rsidRPr="00E756A3">
        <w:rPr>
          <w:rFonts w:ascii="Times New Roman" w:hAnsi="Times New Roman" w:cs="Times New Roman"/>
          <w:sz w:val="24"/>
          <w:szCs w:val="24"/>
        </w:rPr>
        <w:t xml:space="preserve"> </w:t>
      </w:r>
      <w:r w:rsidR="00951521" w:rsidRPr="00E756A3">
        <w:rPr>
          <w:rFonts w:ascii="Times New Roman" w:hAnsi="Times New Roman" w:cs="Times New Roman"/>
          <w:sz w:val="24"/>
          <w:szCs w:val="24"/>
        </w:rPr>
        <w:t xml:space="preserve">in the draft General Comment about multiple </w:t>
      </w:r>
      <w:r w:rsidR="008F4BA1">
        <w:rPr>
          <w:rFonts w:ascii="Times New Roman" w:hAnsi="Times New Roman" w:cs="Times New Roman"/>
          <w:sz w:val="24"/>
          <w:szCs w:val="24"/>
        </w:rPr>
        <w:t xml:space="preserve">and interconnected </w:t>
      </w:r>
      <w:r w:rsidR="00951521" w:rsidRPr="00E756A3">
        <w:rPr>
          <w:rFonts w:ascii="Times New Roman" w:hAnsi="Times New Roman" w:cs="Times New Roman"/>
          <w:sz w:val="24"/>
          <w:szCs w:val="24"/>
        </w:rPr>
        <w:t>forms of discrimination.</w:t>
      </w:r>
      <w:r w:rsidR="00951521" w:rsidRPr="00E756A3">
        <w:rPr>
          <w:rStyle w:val="FootnoteReference"/>
          <w:rFonts w:ascii="Times New Roman" w:hAnsi="Times New Roman" w:cs="Times New Roman"/>
          <w:sz w:val="24"/>
          <w:szCs w:val="24"/>
        </w:rPr>
        <w:footnoteReference w:id="14"/>
      </w:r>
      <w:r w:rsidR="00951521" w:rsidRPr="00E756A3">
        <w:rPr>
          <w:rFonts w:ascii="Times New Roman" w:hAnsi="Times New Roman" w:cs="Times New Roman"/>
          <w:sz w:val="24"/>
          <w:szCs w:val="24"/>
        </w:rPr>
        <w:t xml:space="preserve"> </w:t>
      </w:r>
      <w:r w:rsidR="00E756A3">
        <w:rPr>
          <w:rFonts w:ascii="Times New Roman" w:hAnsi="Times New Roman" w:cs="Times New Roman"/>
          <w:sz w:val="24"/>
          <w:szCs w:val="24"/>
        </w:rPr>
        <w:t xml:space="preserve">Australia </w:t>
      </w:r>
      <w:r w:rsidR="00D50E23">
        <w:rPr>
          <w:rFonts w:ascii="Times New Roman" w:hAnsi="Times New Roman" w:cs="Times New Roman"/>
          <w:sz w:val="24"/>
          <w:szCs w:val="24"/>
        </w:rPr>
        <w:t xml:space="preserve">notes the importance of special measures in combatting systemic discrimination and further notes that </w:t>
      </w:r>
      <w:r w:rsidR="006E71A5" w:rsidRPr="00E756A3">
        <w:rPr>
          <w:rFonts w:ascii="Times New Roman" w:hAnsi="Times New Roman" w:cs="Times New Roman"/>
          <w:sz w:val="24"/>
          <w:szCs w:val="24"/>
        </w:rPr>
        <w:t xml:space="preserve">not every </w:t>
      </w:r>
      <w:r w:rsidR="009B670F" w:rsidRPr="00E756A3">
        <w:rPr>
          <w:rFonts w:ascii="Times New Roman" w:hAnsi="Times New Roman" w:cs="Times New Roman"/>
          <w:sz w:val="24"/>
          <w:szCs w:val="24"/>
        </w:rPr>
        <w:t>differentiation</w:t>
      </w:r>
      <w:r w:rsidR="006E71A5" w:rsidRPr="00E756A3">
        <w:rPr>
          <w:rFonts w:ascii="Times New Roman" w:hAnsi="Times New Roman" w:cs="Times New Roman"/>
          <w:sz w:val="24"/>
          <w:szCs w:val="24"/>
        </w:rPr>
        <w:t xml:space="preserve"> </w:t>
      </w:r>
      <w:r w:rsidR="009B670F" w:rsidRPr="00E756A3">
        <w:rPr>
          <w:rFonts w:ascii="Times New Roman" w:hAnsi="Times New Roman" w:cs="Times New Roman"/>
          <w:sz w:val="24"/>
          <w:szCs w:val="24"/>
        </w:rPr>
        <w:t>in treatment will constitute discrimination provided that such treatment constitutes leg</w:t>
      </w:r>
      <w:r w:rsidR="00714867" w:rsidRPr="00E756A3">
        <w:rPr>
          <w:rFonts w:ascii="Times New Roman" w:hAnsi="Times New Roman" w:cs="Times New Roman"/>
          <w:sz w:val="24"/>
          <w:szCs w:val="24"/>
        </w:rPr>
        <w:t xml:space="preserve">itimate differential </w:t>
      </w:r>
      <w:r w:rsidR="00714867" w:rsidRPr="00B2379F">
        <w:rPr>
          <w:rFonts w:ascii="Times New Roman" w:hAnsi="Times New Roman" w:cs="Times New Roman"/>
          <w:sz w:val="24"/>
          <w:szCs w:val="24"/>
        </w:rPr>
        <w:t>treatment.</w:t>
      </w:r>
    </w:p>
    <w:p w:rsidR="006263EA" w:rsidRPr="00B2379F" w:rsidRDefault="006263EA" w:rsidP="004F3AFF">
      <w:pPr>
        <w:widowControl w:val="0"/>
        <w:spacing w:after="60" w:line="360" w:lineRule="auto"/>
        <w:jc w:val="both"/>
        <w:rPr>
          <w:rFonts w:ascii="Times New Roman" w:hAnsi="Times New Roman" w:cs="Times New Roman"/>
          <w:i/>
          <w:sz w:val="24"/>
          <w:szCs w:val="24"/>
        </w:rPr>
      </w:pPr>
      <w:r w:rsidRPr="00B2379F">
        <w:rPr>
          <w:rFonts w:ascii="Times New Roman" w:hAnsi="Times New Roman" w:cs="Times New Roman"/>
          <w:i/>
          <w:sz w:val="24"/>
          <w:szCs w:val="24"/>
        </w:rPr>
        <w:t xml:space="preserve">References to obligations in other Conventions </w:t>
      </w:r>
    </w:p>
    <w:p w:rsidR="00B2379F" w:rsidRPr="00AD616C" w:rsidRDefault="006263EA" w:rsidP="00B2379F">
      <w:pPr>
        <w:pStyle w:val="ListParagraph"/>
        <w:widowControl w:val="0"/>
        <w:numPr>
          <w:ilvl w:val="0"/>
          <w:numId w:val="5"/>
        </w:numPr>
        <w:spacing w:after="60" w:line="360" w:lineRule="auto"/>
        <w:contextualSpacing w:val="0"/>
        <w:jc w:val="both"/>
        <w:rPr>
          <w:rFonts w:ascii="Times New Roman" w:hAnsi="Times New Roman" w:cs="Times New Roman"/>
          <w:sz w:val="24"/>
          <w:szCs w:val="24"/>
          <w:u w:val="single"/>
        </w:rPr>
      </w:pPr>
      <w:r w:rsidRPr="00B2379F">
        <w:rPr>
          <w:rFonts w:ascii="Times New Roman" w:hAnsi="Times New Roman" w:cs="Times New Roman"/>
          <w:sz w:val="24"/>
          <w:szCs w:val="24"/>
        </w:rPr>
        <w:t xml:space="preserve">In a number of places, the </w:t>
      </w:r>
      <w:r w:rsidR="00DD7C69">
        <w:rPr>
          <w:rFonts w:ascii="Times New Roman" w:hAnsi="Times New Roman" w:cs="Times New Roman"/>
          <w:sz w:val="24"/>
          <w:szCs w:val="24"/>
        </w:rPr>
        <w:t xml:space="preserve">draft </w:t>
      </w:r>
      <w:r w:rsidRPr="00B2379F">
        <w:rPr>
          <w:rFonts w:ascii="Times New Roman" w:hAnsi="Times New Roman" w:cs="Times New Roman"/>
          <w:sz w:val="24"/>
          <w:szCs w:val="24"/>
        </w:rPr>
        <w:t xml:space="preserve">General Comment refers to obligations in other Conventions, such as the </w:t>
      </w:r>
      <w:r w:rsidR="00FE51B6" w:rsidRPr="00B2379F">
        <w:rPr>
          <w:rFonts w:ascii="Times New Roman" w:hAnsi="Times New Roman" w:cs="Times New Roman"/>
          <w:sz w:val="24"/>
          <w:szCs w:val="24"/>
        </w:rPr>
        <w:t>International Covenan</w:t>
      </w:r>
      <w:r w:rsidR="005F261C" w:rsidRPr="00B2379F">
        <w:rPr>
          <w:rFonts w:ascii="Times New Roman" w:hAnsi="Times New Roman" w:cs="Times New Roman"/>
          <w:sz w:val="24"/>
          <w:szCs w:val="24"/>
        </w:rPr>
        <w:t xml:space="preserve">t on Civil and Political Rights or the Convention against Torture and Other Cruel, Inhuman </w:t>
      </w:r>
      <w:r w:rsidR="005F261C" w:rsidRPr="00B2379F">
        <w:rPr>
          <w:rFonts w:ascii="Times New Roman" w:hAnsi="Times New Roman" w:cs="Times New Roman"/>
          <w:sz w:val="24"/>
          <w:szCs w:val="24"/>
        </w:rPr>
        <w:lastRenderedPageBreak/>
        <w:t>or Degrading Treatment or Punishment</w:t>
      </w:r>
      <w:r w:rsidR="00FE51B6" w:rsidRPr="00B2379F">
        <w:rPr>
          <w:rFonts w:ascii="Times New Roman" w:hAnsi="Times New Roman" w:cs="Times New Roman"/>
          <w:sz w:val="24"/>
          <w:szCs w:val="24"/>
        </w:rPr>
        <w:t>.</w:t>
      </w:r>
      <w:r w:rsidR="00FE51B6" w:rsidRPr="00B2379F">
        <w:rPr>
          <w:rStyle w:val="FootnoteReference"/>
          <w:rFonts w:ascii="Times New Roman" w:hAnsi="Times New Roman" w:cs="Times New Roman"/>
          <w:sz w:val="24"/>
          <w:szCs w:val="24"/>
        </w:rPr>
        <w:footnoteReference w:id="15"/>
      </w:r>
      <w:r w:rsidR="00FE51B6" w:rsidRPr="00B2379F">
        <w:rPr>
          <w:rFonts w:ascii="Times New Roman" w:hAnsi="Times New Roman" w:cs="Times New Roman"/>
          <w:sz w:val="24"/>
          <w:szCs w:val="24"/>
        </w:rPr>
        <w:t xml:space="preserve"> </w:t>
      </w:r>
      <w:r w:rsidR="00CB7484" w:rsidRPr="00B2379F">
        <w:rPr>
          <w:rFonts w:ascii="Times New Roman" w:hAnsi="Times New Roman" w:cs="Times New Roman"/>
          <w:sz w:val="24"/>
          <w:szCs w:val="24"/>
        </w:rPr>
        <w:t xml:space="preserve">As mentioned in previous </w:t>
      </w:r>
      <w:r w:rsidR="00CB7484" w:rsidRPr="00AD616C">
        <w:rPr>
          <w:rFonts w:ascii="Times New Roman" w:hAnsi="Times New Roman" w:cs="Times New Roman"/>
          <w:sz w:val="24"/>
          <w:szCs w:val="24"/>
        </w:rPr>
        <w:t>government comments on draft General Comments,</w:t>
      </w:r>
      <w:r w:rsidR="00CB7484" w:rsidRPr="00AD616C">
        <w:rPr>
          <w:rStyle w:val="FootnoteReference"/>
          <w:rFonts w:ascii="Times New Roman" w:hAnsi="Times New Roman" w:cs="Times New Roman"/>
          <w:sz w:val="24"/>
          <w:szCs w:val="24"/>
        </w:rPr>
        <w:footnoteReference w:id="16"/>
      </w:r>
      <w:r w:rsidR="00CB7484" w:rsidRPr="00AD616C">
        <w:rPr>
          <w:rFonts w:ascii="Times New Roman" w:hAnsi="Times New Roman" w:cs="Times New Roman"/>
          <w:sz w:val="24"/>
          <w:szCs w:val="24"/>
        </w:rPr>
        <w:t xml:space="preserve"> </w:t>
      </w:r>
      <w:r w:rsidRPr="00AD616C">
        <w:rPr>
          <w:rFonts w:ascii="Times New Roman" w:hAnsi="Times New Roman" w:cs="Times New Roman"/>
          <w:sz w:val="24"/>
          <w:szCs w:val="24"/>
        </w:rPr>
        <w:t xml:space="preserve">Australia is supportive of this approach </w:t>
      </w:r>
      <w:r w:rsidR="00757A31" w:rsidRPr="00AD616C">
        <w:rPr>
          <w:rFonts w:ascii="Times New Roman" w:hAnsi="Times New Roman" w:cs="Times New Roman"/>
          <w:sz w:val="24"/>
          <w:szCs w:val="24"/>
        </w:rPr>
        <w:t>because it</w:t>
      </w:r>
      <w:r w:rsidRPr="00AD616C">
        <w:rPr>
          <w:rFonts w:ascii="Times New Roman" w:hAnsi="Times New Roman" w:cs="Times New Roman"/>
          <w:sz w:val="24"/>
          <w:szCs w:val="24"/>
        </w:rPr>
        <w:t xml:space="preserve"> ensures the United Nations Committees’ views as to the content of international human rights law are considered </w:t>
      </w:r>
      <w:r w:rsidR="00757A31" w:rsidRPr="00AD616C">
        <w:rPr>
          <w:rFonts w:ascii="Times New Roman" w:hAnsi="Times New Roman" w:cs="Times New Roman"/>
          <w:sz w:val="24"/>
          <w:szCs w:val="24"/>
        </w:rPr>
        <w:t>cohesively</w:t>
      </w:r>
      <w:r w:rsidRPr="00AD616C">
        <w:rPr>
          <w:rFonts w:ascii="Times New Roman" w:hAnsi="Times New Roman" w:cs="Times New Roman"/>
          <w:sz w:val="24"/>
          <w:szCs w:val="24"/>
        </w:rPr>
        <w:t>.</w:t>
      </w:r>
      <w:r w:rsidR="0041221D" w:rsidRPr="00AD616C">
        <w:rPr>
          <w:rFonts w:ascii="Times New Roman" w:hAnsi="Times New Roman" w:cs="Times New Roman"/>
          <w:sz w:val="24"/>
          <w:szCs w:val="24"/>
        </w:rPr>
        <w:t xml:space="preserve"> </w:t>
      </w:r>
    </w:p>
    <w:p w:rsidR="00A85D8A" w:rsidRPr="00B2379F" w:rsidRDefault="00E1214B" w:rsidP="004F3AFF">
      <w:pPr>
        <w:pStyle w:val="ListParagraph"/>
        <w:widowControl w:val="0"/>
        <w:numPr>
          <w:ilvl w:val="0"/>
          <w:numId w:val="5"/>
        </w:numPr>
        <w:spacing w:after="60" w:line="360" w:lineRule="auto"/>
        <w:contextualSpacing w:val="0"/>
        <w:jc w:val="both"/>
        <w:rPr>
          <w:rFonts w:ascii="Times New Roman" w:hAnsi="Times New Roman" w:cs="Times New Roman"/>
          <w:sz w:val="24"/>
          <w:szCs w:val="24"/>
        </w:rPr>
      </w:pPr>
      <w:r w:rsidRPr="00B2379F">
        <w:rPr>
          <w:rFonts w:ascii="Times New Roman" w:hAnsi="Times New Roman" w:cs="Times New Roman"/>
          <w:sz w:val="24"/>
          <w:szCs w:val="24"/>
        </w:rPr>
        <w:t>Australia reiterates its support for the work of the Committee and avails itself of this opportunity to renew to the Committee the assurances of its highest consideration.</w:t>
      </w:r>
    </w:p>
    <w:sectPr w:rsidR="00A85D8A" w:rsidRPr="00B2379F" w:rsidSect="004F3AFF">
      <w:footerReference w:type="default" r:id="rId8"/>
      <w:pgSz w:w="11906" w:h="16838"/>
      <w:pgMar w:top="1077" w:right="1077" w:bottom="1077" w:left="1077" w:header="851"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5CF" w:rsidRDefault="006375CF" w:rsidP="00F230B7">
      <w:pPr>
        <w:spacing w:after="0" w:line="240" w:lineRule="auto"/>
      </w:pPr>
      <w:r>
        <w:separator/>
      </w:r>
    </w:p>
  </w:endnote>
  <w:endnote w:type="continuationSeparator" w:id="0">
    <w:p w:rsidR="006375CF" w:rsidRDefault="006375CF" w:rsidP="00F23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542604"/>
      <w:docPartObj>
        <w:docPartGallery w:val="Page Numbers (Bottom of Page)"/>
        <w:docPartUnique/>
      </w:docPartObj>
    </w:sdtPr>
    <w:sdtEndPr/>
    <w:sdtContent>
      <w:sdt>
        <w:sdtPr>
          <w:id w:val="860082579"/>
          <w:docPartObj>
            <w:docPartGallery w:val="Page Numbers (Top of Page)"/>
            <w:docPartUnique/>
          </w:docPartObj>
        </w:sdtPr>
        <w:sdtEndPr/>
        <w:sdtContent>
          <w:p w:rsidR="00C83B3B" w:rsidRDefault="00C83B3B" w:rsidP="002C382B">
            <w:pPr>
              <w:pStyle w:val="Footer"/>
              <w:jc w:val="right"/>
            </w:pPr>
            <w:r w:rsidRPr="00E1214B">
              <w:rPr>
                <w:rFonts w:ascii="Times New Roman" w:hAnsi="Times New Roman" w:cs="Times New Roman"/>
              </w:rPr>
              <w:t xml:space="preserve">Page </w:t>
            </w:r>
            <w:r w:rsidRPr="00E1214B">
              <w:rPr>
                <w:rFonts w:ascii="Times New Roman" w:hAnsi="Times New Roman" w:cs="Times New Roman"/>
                <w:b/>
                <w:bCs/>
                <w:sz w:val="24"/>
                <w:szCs w:val="24"/>
              </w:rPr>
              <w:fldChar w:fldCharType="begin"/>
            </w:r>
            <w:r w:rsidRPr="00E1214B">
              <w:rPr>
                <w:rFonts w:ascii="Times New Roman" w:hAnsi="Times New Roman" w:cs="Times New Roman"/>
                <w:b/>
                <w:bCs/>
              </w:rPr>
              <w:instrText xml:space="preserve"> PAGE </w:instrText>
            </w:r>
            <w:r w:rsidRPr="00E1214B">
              <w:rPr>
                <w:rFonts w:ascii="Times New Roman" w:hAnsi="Times New Roman" w:cs="Times New Roman"/>
                <w:b/>
                <w:bCs/>
                <w:sz w:val="24"/>
                <w:szCs w:val="24"/>
              </w:rPr>
              <w:fldChar w:fldCharType="separate"/>
            </w:r>
            <w:r w:rsidR="003E2122">
              <w:rPr>
                <w:rFonts w:ascii="Times New Roman" w:hAnsi="Times New Roman" w:cs="Times New Roman"/>
                <w:b/>
                <w:bCs/>
                <w:noProof/>
              </w:rPr>
              <w:t>2</w:t>
            </w:r>
            <w:r w:rsidRPr="00E1214B">
              <w:rPr>
                <w:rFonts w:ascii="Times New Roman" w:hAnsi="Times New Roman" w:cs="Times New Roman"/>
                <w:b/>
                <w:bCs/>
                <w:sz w:val="24"/>
                <w:szCs w:val="24"/>
              </w:rPr>
              <w:fldChar w:fldCharType="end"/>
            </w:r>
            <w:r w:rsidRPr="00E1214B">
              <w:rPr>
                <w:rFonts w:ascii="Times New Roman" w:hAnsi="Times New Roman" w:cs="Times New Roman"/>
              </w:rPr>
              <w:t xml:space="preserve"> of </w:t>
            </w:r>
            <w:r w:rsidRPr="00E1214B">
              <w:rPr>
                <w:rFonts w:ascii="Times New Roman" w:hAnsi="Times New Roman" w:cs="Times New Roman"/>
                <w:b/>
                <w:bCs/>
                <w:sz w:val="24"/>
                <w:szCs w:val="24"/>
              </w:rPr>
              <w:fldChar w:fldCharType="begin"/>
            </w:r>
            <w:r w:rsidRPr="00E1214B">
              <w:rPr>
                <w:rFonts w:ascii="Times New Roman" w:hAnsi="Times New Roman" w:cs="Times New Roman"/>
                <w:b/>
                <w:bCs/>
              </w:rPr>
              <w:instrText xml:space="preserve"> NUMPAGES  </w:instrText>
            </w:r>
            <w:r w:rsidRPr="00E1214B">
              <w:rPr>
                <w:rFonts w:ascii="Times New Roman" w:hAnsi="Times New Roman" w:cs="Times New Roman"/>
                <w:b/>
                <w:bCs/>
                <w:sz w:val="24"/>
                <w:szCs w:val="24"/>
              </w:rPr>
              <w:fldChar w:fldCharType="separate"/>
            </w:r>
            <w:r w:rsidR="003E2122">
              <w:rPr>
                <w:rFonts w:ascii="Times New Roman" w:hAnsi="Times New Roman" w:cs="Times New Roman"/>
                <w:b/>
                <w:bCs/>
                <w:noProof/>
              </w:rPr>
              <w:t>4</w:t>
            </w:r>
            <w:r w:rsidRPr="00E1214B">
              <w:rPr>
                <w:rFonts w:ascii="Times New Roman" w:hAnsi="Times New Roman" w:cs="Times New Roman"/>
                <w:b/>
                <w:bCs/>
                <w:sz w:val="24"/>
                <w:szCs w:val="24"/>
              </w:rPr>
              <w:fldChar w:fldCharType="end"/>
            </w:r>
          </w:p>
        </w:sdtContent>
      </w:sdt>
    </w:sdtContent>
  </w:sdt>
  <w:p w:rsidR="00C83B3B" w:rsidRDefault="00C83B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5CF" w:rsidRDefault="006375CF" w:rsidP="00F230B7">
      <w:pPr>
        <w:spacing w:after="0" w:line="240" w:lineRule="auto"/>
      </w:pPr>
      <w:r>
        <w:separator/>
      </w:r>
    </w:p>
  </w:footnote>
  <w:footnote w:type="continuationSeparator" w:id="0">
    <w:p w:rsidR="006375CF" w:rsidRDefault="006375CF" w:rsidP="00F230B7">
      <w:pPr>
        <w:spacing w:after="0" w:line="240" w:lineRule="auto"/>
      </w:pPr>
      <w:r>
        <w:continuationSeparator/>
      </w:r>
    </w:p>
  </w:footnote>
  <w:footnote w:id="1">
    <w:p w:rsidR="00C83B3B" w:rsidRPr="002139C6" w:rsidRDefault="00C83B3B" w:rsidP="00B2379F">
      <w:pPr>
        <w:pStyle w:val="FootnoteText"/>
      </w:pPr>
      <w:r w:rsidRPr="002139C6">
        <w:rPr>
          <w:rStyle w:val="FootnoteReference"/>
        </w:rPr>
        <w:footnoteRef/>
      </w:r>
      <w:r w:rsidRPr="002139C6">
        <w:t xml:space="preserve"> Committee on the Rights of the Child, draft General Comment no. 24, replacing General Comment No. 10 (2007) on Children’s rights in juvenile justice, approx. December 2018</w:t>
      </w:r>
      <w:r>
        <w:t xml:space="preserve"> (the draft General Comment)</w:t>
      </w:r>
      <w:r w:rsidRPr="002139C6">
        <w:t>.</w:t>
      </w:r>
    </w:p>
  </w:footnote>
  <w:footnote w:id="2">
    <w:p w:rsidR="00CA58FE" w:rsidRDefault="00CA58FE">
      <w:pPr>
        <w:pStyle w:val="FootnoteText"/>
      </w:pPr>
      <w:r>
        <w:rPr>
          <w:rStyle w:val="FootnoteReference"/>
        </w:rPr>
        <w:footnoteRef/>
      </w:r>
      <w:r>
        <w:t xml:space="preserve"> An absence of comment on other parts of the</w:t>
      </w:r>
      <w:r w:rsidR="00266173">
        <w:t xml:space="preserve"> draft Comment</w:t>
      </w:r>
      <w:r>
        <w:t xml:space="preserve"> should not necessarily be taken as agreement by Australia with the Committee’s interpretation.</w:t>
      </w:r>
    </w:p>
  </w:footnote>
  <w:footnote w:id="3">
    <w:p w:rsidR="00EC1CCE" w:rsidRDefault="00EC1CCE" w:rsidP="00EC1CCE">
      <w:pPr>
        <w:pStyle w:val="FootnoteText"/>
      </w:pPr>
      <w:r>
        <w:rPr>
          <w:rStyle w:val="FootnoteReference"/>
        </w:rPr>
        <w:footnoteRef/>
      </w:r>
      <w:r>
        <w:t xml:space="preserve"> For example, paragraphs 10-11, 19-20, 44-45, 49, 59, 93-94, 102, 108, 114-115 and 119 of the draft General Comment.</w:t>
      </w:r>
    </w:p>
  </w:footnote>
  <w:footnote w:id="4">
    <w:p w:rsidR="00C83B3B" w:rsidRDefault="00C83B3B" w:rsidP="00B2379F">
      <w:pPr>
        <w:pStyle w:val="FootnoteText"/>
      </w:pPr>
      <w:r>
        <w:rPr>
          <w:rStyle w:val="FootnoteReference"/>
        </w:rPr>
        <w:footnoteRef/>
      </w:r>
      <w:r>
        <w:t xml:space="preserve"> For example, paragraph 18 of the draft General Comment.</w:t>
      </w:r>
    </w:p>
  </w:footnote>
  <w:footnote w:id="5">
    <w:p w:rsidR="00C83B3B" w:rsidRDefault="00C83B3B" w:rsidP="00B2379F">
      <w:pPr>
        <w:pStyle w:val="FootnoteText"/>
      </w:pPr>
      <w:r>
        <w:rPr>
          <w:rStyle w:val="FootnoteReference"/>
        </w:rPr>
        <w:footnoteRef/>
      </w:r>
      <w:r>
        <w:t xml:space="preserve"> For example and in addition to the below: the reference to a ‘nonpublication rule’ in paragraph 78; or the final dot point in paragraph 108 which suggests that States ‘should’ empower independent and qualified inspectors to conduct regular inspections of locations which children are detained.</w:t>
      </w:r>
    </w:p>
  </w:footnote>
  <w:footnote w:id="6">
    <w:p w:rsidR="00C83B3B" w:rsidRDefault="00C83B3B" w:rsidP="00B2379F">
      <w:pPr>
        <w:pStyle w:val="FootnoteText"/>
      </w:pPr>
      <w:r>
        <w:rPr>
          <w:rStyle w:val="FootnoteReference"/>
        </w:rPr>
        <w:footnoteRef/>
      </w:r>
      <w:r>
        <w:t xml:space="preserve"> Paragraph 12 of the draft General Comment.</w:t>
      </w:r>
    </w:p>
  </w:footnote>
  <w:footnote w:id="7">
    <w:p w:rsidR="002A51D4" w:rsidRDefault="002A51D4" w:rsidP="00B2379F">
      <w:pPr>
        <w:pStyle w:val="FootnoteText"/>
      </w:pPr>
      <w:r>
        <w:rPr>
          <w:rStyle w:val="FootnoteReference"/>
        </w:rPr>
        <w:footnoteRef/>
      </w:r>
      <w:r>
        <w:t xml:space="preserve"> Paragraph 30 of the draft General Comment.</w:t>
      </w:r>
    </w:p>
  </w:footnote>
  <w:footnote w:id="8">
    <w:p w:rsidR="002A51D4" w:rsidRDefault="002A51D4" w:rsidP="00B2379F">
      <w:pPr>
        <w:pStyle w:val="FootnoteText"/>
      </w:pPr>
      <w:r>
        <w:rPr>
          <w:rStyle w:val="FootnoteReference"/>
        </w:rPr>
        <w:footnoteRef/>
      </w:r>
      <w:r>
        <w:t xml:space="preserve"> Paragraph 31 of the draft General Comment.</w:t>
      </w:r>
    </w:p>
  </w:footnote>
  <w:footnote w:id="9">
    <w:p w:rsidR="00945CD0" w:rsidRPr="00945CD0" w:rsidRDefault="00945CD0" w:rsidP="00B2379F">
      <w:pPr>
        <w:pStyle w:val="FootnoteText"/>
      </w:pPr>
      <w:r>
        <w:rPr>
          <w:rStyle w:val="FootnoteReference"/>
        </w:rPr>
        <w:footnoteRef/>
      </w:r>
      <w:r>
        <w:t xml:space="preserve"> Australian Institute of Criminology, </w:t>
      </w:r>
      <w:r>
        <w:rPr>
          <w:i/>
        </w:rPr>
        <w:t>The Age of Criminal Responsibility</w:t>
      </w:r>
      <w:r>
        <w:t>, 13 September 2005, available at &lt;</w:t>
      </w:r>
      <w:r w:rsidRPr="00945CD0">
        <w:t>https://aic.gov.au/publications/cfi/cfi106</w:t>
      </w:r>
      <w:r>
        <w:t xml:space="preserve">&gt;. </w:t>
      </w:r>
    </w:p>
  </w:footnote>
  <w:footnote w:id="10">
    <w:p w:rsidR="00C83B3B" w:rsidRDefault="00C83B3B" w:rsidP="00B2379F">
      <w:pPr>
        <w:pStyle w:val="FootnoteText"/>
      </w:pPr>
      <w:r>
        <w:rPr>
          <w:rStyle w:val="FootnoteReference"/>
        </w:rPr>
        <w:footnoteRef/>
      </w:r>
      <w:r>
        <w:t xml:space="preserve"> Paragraph 32 of the draft General Comment.</w:t>
      </w:r>
    </w:p>
  </w:footnote>
  <w:footnote w:id="11">
    <w:p w:rsidR="00C83B3B" w:rsidRPr="00C83B3B" w:rsidRDefault="00C83B3B" w:rsidP="00B2379F">
      <w:pPr>
        <w:pStyle w:val="FootnoteText"/>
      </w:pPr>
      <w:r w:rsidRPr="00C83B3B">
        <w:rPr>
          <w:rStyle w:val="FootnoteReference"/>
        </w:rPr>
        <w:footnoteRef/>
      </w:r>
      <w:r w:rsidRPr="00C83B3B">
        <w:t xml:space="preserve"> Convention on the Rights of the Child, Article 40(3) and draft General Comment, paragraph 32.</w:t>
      </w:r>
    </w:p>
  </w:footnote>
  <w:footnote w:id="12">
    <w:p w:rsidR="00F43CC4" w:rsidRPr="00901DA6" w:rsidRDefault="00F43CC4" w:rsidP="00B2379F">
      <w:pPr>
        <w:pStyle w:val="FootnoteText"/>
      </w:pPr>
      <w:r w:rsidRPr="00901DA6">
        <w:rPr>
          <w:rStyle w:val="FootnoteReference"/>
        </w:rPr>
        <w:footnoteRef/>
      </w:r>
      <w:r w:rsidRPr="00901DA6">
        <w:t xml:space="preserve"> In accordance with Australia’s Reservation to the Convention of 17 December 1990, Australia accepts the obligation to separate children from adults in prison only to the extent that such imprisonment is considered by the responsible authorities to be feasible and consistent with the obligation that children be able to maintain contact with their families, having regard to the geography and demography of Australia</w:t>
      </w:r>
      <w:r w:rsidR="00515D27">
        <w:t xml:space="preserve">. These comments </w:t>
      </w:r>
      <w:r w:rsidR="00FE51B6">
        <w:t>do not</w:t>
      </w:r>
      <w:r w:rsidR="00515D27">
        <w:t xml:space="preserve"> affect this reservation.</w:t>
      </w:r>
    </w:p>
  </w:footnote>
  <w:footnote w:id="13">
    <w:p w:rsidR="00C83B3B" w:rsidRPr="00FE51B6" w:rsidRDefault="00C83B3B" w:rsidP="00B2379F">
      <w:pPr>
        <w:pStyle w:val="FootnoteText"/>
      </w:pPr>
      <w:r w:rsidRPr="00FE51B6">
        <w:rPr>
          <w:rStyle w:val="FootnoteReference"/>
        </w:rPr>
        <w:footnoteRef/>
      </w:r>
      <w:r w:rsidRPr="00FE51B6">
        <w:t xml:space="preserve"> See article 12(2) of the Convention.</w:t>
      </w:r>
    </w:p>
  </w:footnote>
  <w:footnote w:id="14">
    <w:p w:rsidR="00C83B3B" w:rsidRPr="00B2379F" w:rsidRDefault="00C83B3B" w:rsidP="00B2379F">
      <w:pPr>
        <w:pStyle w:val="FootnoteText"/>
      </w:pPr>
      <w:r w:rsidRPr="00B2379F">
        <w:rPr>
          <w:rStyle w:val="FootnoteReference"/>
        </w:rPr>
        <w:footnoteRef/>
      </w:r>
      <w:r w:rsidRPr="00B2379F">
        <w:t xml:space="preserve"> See paragraph 8-9 and 77 of the draft General Comment.</w:t>
      </w:r>
    </w:p>
  </w:footnote>
  <w:footnote w:id="15">
    <w:p w:rsidR="00FE51B6" w:rsidRPr="005F261C" w:rsidRDefault="00FE51B6" w:rsidP="00B2379F">
      <w:pPr>
        <w:pStyle w:val="FootnoteText"/>
      </w:pPr>
      <w:r w:rsidRPr="005F261C">
        <w:rPr>
          <w:rStyle w:val="FootnoteReference"/>
        </w:rPr>
        <w:footnoteRef/>
      </w:r>
      <w:r w:rsidRPr="005F261C">
        <w:t xml:space="preserve"> See paragraphs 49, 52, 61, 64, 65, 70, 74, and 90</w:t>
      </w:r>
      <w:r w:rsidR="005F261C">
        <w:t xml:space="preserve"> of the draft General Comment for intersections with the ICCPR and paragraph 70 for intersections with the CAT.</w:t>
      </w:r>
    </w:p>
  </w:footnote>
  <w:footnote w:id="16">
    <w:p w:rsidR="00CB7484" w:rsidRDefault="00CB7484" w:rsidP="00B2379F">
      <w:pPr>
        <w:pStyle w:val="FootnoteText"/>
      </w:pPr>
      <w:r w:rsidRPr="005F261C">
        <w:rPr>
          <w:rStyle w:val="FootnoteReference"/>
        </w:rPr>
        <w:footnoteRef/>
      </w:r>
      <w:r w:rsidRPr="005F261C">
        <w:t xml:space="preserve"> See for example the Australian Government Submission on the draft General Comment on the implementation of the </w:t>
      </w:r>
      <w:r w:rsidRPr="00CB7484">
        <w:t>rights of the child during adolescence</w:t>
      </w:r>
      <w:r>
        <w:t xml:space="preserve"> (2006).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54FF"/>
    <w:multiLevelType w:val="hybridMultilevel"/>
    <w:tmpl w:val="5404A218"/>
    <w:lvl w:ilvl="0" w:tplc="54D03AF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6F3CED"/>
    <w:multiLevelType w:val="hybridMultilevel"/>
    <w:tmpl w:val="459E18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6F6025"/>
    <w:multiLevelType w:val="hybridMultilevel"/>
    <w:tmpl w:val="749E37F4"/>
    <w:lvl w:ilvl="0" w:tplc="14624BE2">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CD4CF9"/>
    <w:multiLevelType w:val="hybridMultilevel"/>
    <w:tmpl w:val="4D32D10C"/>
    <w:lvl w:ilvl="0" w:tplc="21703DD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9357B7"/>
    <w:multiLevelType w:val="hybridMultilevel"/>
    <w:tmpl w:val="38B49910"/>
    <w:lvl w:ilvl="0" w:tplc="1EB8DC8A">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B300B6B"/>
    <w:multiLevelType w:val="hybridMultilevel"/>
    <w:tmpl w:val="8D8CDA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28227E"/>
    <w:multiLevelType w:val="hybridMultilevel"/>
    <w:tmpl w:val="DC5A1C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352716"/>
    <w:multiLevelType w:val="hybridMultilevel"/>
    <w:tmpl w:val="732A93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5E4A88"/>
    <w:multiLevelType w:val="hybridMultilevel"/>
    <w:tmpl w:val="29BC73D2"/>
    <w:lvl w:ilvl="0" w:tplc="A21233AA">
      <w:start w:val="1"/>
      <w:numFmt w:val="decimal"/>
      <w:lvlText w:val="%1."/>
      <w:lvlJc w:val="left"/>
      <w:pPr>
        <w:ind w:left="36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FD37CC"/>
    <w:multiLevelType w:val="hybridMultilevel"/>
    <w:tmpl w:val="30C0A6A6"/>
    <w:lvl w:ilvl="0" w:tplc="F4086294">
      <w:start w:val="1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A46EC8"/>
    <w:multiLevelType w:val="hybridMultilevel"/>
    <w:tmpl w:val="2BF01B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3AE6076"/>
    <w:multiLevelType w:val="hybridMultilevel"/>
    <w:tmpl w:val="8AF69E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0873CCD"/>
    <w:multiLevelType w:val="hybridMultilevel"/>
    <w:tmpl w:val="AD262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5DB32F2"/>
    <w:multiLevelType w:val="hybridMultilevel"/>
    <w:tmpl w:val="C212BBFE"/>
    <w:lvl w:ilvl="0" w:tplc="AACE34B8">
      <w:start w:val="2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E35DB7"/>
    <w:multiLevelType w:val="hybridMultilevel"/>
    <w:tmpl w:val="4C68C5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3"/>
  </w:num>
  <w:num w:numId="5">
    <w:abstractNumId w:val="8"/>
  </w:num>
  <w:num w:numId="6">
    <w:abstractNumId w:val="5"/>
  </w:num>
  <w:num w:numId="7">
    <w:abstractNumId w:val="1"/>
  </w:num>
  <w:num w:numId="8">
    <w:abstractNumId w:val="6"/>
  </w:num>
  <w:num w:numId="9">
    <w:abstractNumId w:val="4"/>
  </w:num>
  <w:num w:numId="10">
    <w:abstractNumId w:val="11"/>
  </w:num>
  <w:num w:numId="11">
    <w:abstractNumId w:val="9"/>
  </w:num>
  <w:num w:numId="12">
    <w:abstractNumId w:val="12"/>
  </w:num>
  <w:num w:numId="13">
    <w:abstractNumId w:val="10"/>
  </w:num>
  <w:num w:numId="14">
    <w:abstractNumId w:val="14"/>
  </w:num>
  <w:num w:numId="15">
    <w:abstractNumId w:val="7"/>
  </w:num>
  <w:num w:numId="16">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7A"/>
    <w:rsid w:val="0000319E"/>
    <w:rsid w:val="000102D0"/>
    <w:rsid w:val="000203B7"/>
    <w:rsid w:val="00022C33"/>
    <w:rsid w:val="00025679"/>
    <w:rsid w:val="00035F77"/>
    <w:rsid w:val="000408BD"/>
    <w:rsid w:val="000502F6"/>
    <w:rsid w:val="00057E1C"/>
    <w:rsid w:val="0006051D"/>
    <w:rsid w:val="0006512A"/>
    <w:rsid w:val="00073A43"/>
    <w:rsid w:val="00080CC6"/>
    <w:rsid w:val="00081158"/>
    <w:rsid w:val="0008788A"/>
    <w:rsid w:val="000905DF"/>
    <w:rsid w:val="0009060C"/>
    <w:rsid w:val="000B1D52"/>
    <w:rsid w:val="000C72F5"/>
    <w:rsid w:val="000D4848"/>
    <w:rsid w:val="000D4D17"/>
    <w:rsid w:val="000E4B5B"/>
    <w:rsid w:val="000F258A"/>
    <w:rsid w:val="00106BDB"/>
    <w:rsid w:val="00106BF9"/>
    <w:rsid w:val="00107689"/>
    <w:rsid w:val="00110D7D"/>
    <w:rsid w:val="00110F50"/>
    <w:rsid w:val="001144AC"/>
    <w:rsid w:val="001145B6"/>
    <w:rsid w:val="00121025"/>
    <w:rsid w:val="001247CC"/>
    <w:rsid w:val="00131746"/>
    <w:rsid w:val="00131EA0"/>
    <w:rsid w:val="00137E80"/>
    <w:rsid w:val="001451DC"/>
    <w:rsid w:val="00153B18"/>
    <w:rsid w:val="00162FC4"/>
    <w:rsid w:val="00165BC0"/>
    <w:rsid w:val="001676C9"/>
    <w:rsid w:val="00171E1E"/>
    <w:rsid w:val="00174DDA"/>
    <w:rsid w:val="001774B1"/>
    <w:rsid w:val="00186047"/>
    <w:rsid w:val="00192295"/>
    <w:rsid w:val="001936B6"/>
    <w:rsid w:val="001A67BF"/>
    <w:rsid w:val="001A7CF1"/>
    <w:rsid w:val="001B119A"/>
    <w:rsid w:val="001C7241"/>
    <w:rsid w:val="001F50CA"/>
    <w:rsid w:val="002139C6"/>
    <w:rsid w:val="002157B8"/>
    <w:rsid w:val="00224A28"/>
    <w:rsid w:val="00227954"/>
    <w:rsid w:val="00236B58"/>
    <w:rsid w:val="00236DDB"/>
    <w:rsid w:val="0024295C"/>
    <w:rsid w:val="00244100"/>
    <w:rsid w:val="00256048"/>
    <w:rsid w:val="00261B61"/>
    <w:rsid w:val="00264407"/>
    <w:rsid w:val="00266173"/>
    <w:rsid w:val="0028109C"/>
    <w:rsid w:val="00290258"/>
    <w:rsid w:val="00291FF9"/>
    <w:rsid w:val="0029485D"/>
    <w:rsid w:val="00295534"/>
    <w:rsid w:val="002965CF"/>
    <w:rsid w:val="00296FEA"/>
    <w:rsid w:val="002A21D1"/>
    <w:rsid w:val="002A4A59"/>
    <w:rsid w:val="002A51D4"/>
    <w:rsid w:val="002B0B78"/>
    <w:rsid w:val="002B1E4C"/>
    <w:rsid w:val="002B21C1"/>
    <w:rsid w:val="002B5829"/>
    <w:rsid w:val="002C382B"/>
    <w:rsid w:val="002D21BB"/>
    <w:rsid w:val="002E1407"/>
    <w:rsid w:val="002E4E86"/>
    <w:rsid w:val="002F5EBA"/>
    <w:rsid w:val="002F6142"/>
    <w:rsid w:val="002F742E"/>
    <w:rsid w:val="00301749"/>
    <w:rsid w:val="0030413E"/>
    <w:rsid w:val="003207C8"/>
    <w:rsid w:val="00321642"/>
    <w:rsid w:val="00321814"/>
    <w:rsid w:val="00321A73"/>
    <w:rsid w:val="00322FF8"/>
    <w:rsid w:val="003272DB"/>
    <w:rsid w:val="00335280"/>
    <w:rsid w:val="00355515"/>
    <w:rsid w:val="003604E3"/>
    <w:rsid w:val="00365510"/>
    <w:rsid w:val="00373BE3"/>
    <w:rsid w:val="0037663D"/>
    <w:rsid w:val="00391C32"/>
    <w:rsid w:val="003A24F1"/>
    <w:rsid w:val="003A2DFF"/>
    <w:rsid w:val="003A305A"/>
    <w:rsid w:val="003B1DD3"/>
    <w:rsid w:val="003B60E7"/>
    <w:rsid w:val="003C0AED"/>
    <w:rsid w:val="003D018A"/>
    <w:rsid w:val="003E2122"/>
    <w:rsid w:val="003E2DDE"/>
    <w:rsid w:val="003E4AC9"/>
    <w:rsid w:val="003E7213"/>
    <w:rsid w:val="003E7502"/>
    <w:rsid w:val="003F14AB"/>
    <w:rsid w:val="003F3BFE"/>
    <w:rsid w:val="003F757F"/>
    <w:rsid w:val="00410C90"/>
    <w:rsid w:val="0041221D"/>
    <w:rsid w:val="00412246"/>
    <w:rsid w:val="0041607F"/>
    <w:rsid w:val="00424737"/>
    <w:rsid w:val="004322AB"/>
    <w:rsid w:val="004468A6"/>
    <w:rsid w:val="00465D79"/>
    <w:rsid w:val="004728E8"/>
    <w:rsid w:val="00486D42"/>
    <w:rsid w:val="00492D2A"/>
    <w:rsid w:val="004B147B"/>
    <w:rsid w:val="004C7234"/>
    <w:rsid w:val="004D13D6"/>
    <w:rsid w:val="004D3053"/>
    <w:rsid w:val="004F0A02"/>
    <w:rsid w:val="004F3AFF"/>
    <w:rsid w:val="005013D8"/>
    <w:rsid w:val="00515B00"/>
    <w:rsid w:val="00515D27"/>
    <w:rsid w:val="005221E1"/>
    <w:rsid w:val="0052436E"/>
    <w:rsid w:val="005330F8"/>
    <w:rsid w:val="00535AA9"/>
    <w:rsid w:val="00550014"/>
    <w:rsid w:val="00552303"/>
    <w:rsid w:val="00554ECB"/>
    <w:rsid w:val="005602E3"/>
    <w:rsid w:val="00560497"/>
    <w:rsid w:val="0057040A"/>
    <w:rsid w:val="00571968"/>
    <w:rsid w:val="00582136"/>
    <w:rsid w:val="0058779B"/>
    <w:rsid w:val="005879DA"/>
    <w:rsid w:val="005B3B12"/>
    <w:rsid w:val="005B40BF"/>
    <w:rsid w:val="005C0E1F"/>
    <w:rsid w:val="005C30E1"/>
    <w:rsid w:val="005C4B1F"/>
    <w:rsid w:val="005C56C9"/>
    <w:rsid w:val="005D6D26"/>
    <w:rsid w:val="005E0529"/>
    <w:rsid w:val="005F261C"/>
    <w:rsid w:val="005F5083"/>
    <w:rsid w:val="005F750E"/>
    <w:rsid w:val="0061353A"/>
    <w:rsid w:val="006263EA"/>
    <w:rsid w:val="006375CF"/>
    <w:rsid w:val="00643AD4"/>
    <w:rsid w:val="00650404"/>
    <w:rsid w:val="00666B42"/>
    <w:rsid w:val="0066790A"/>
    <w:rsid w:val="00672CC2"/>
    <w:rsid w:val="006777D8"/>
    <w:rsid w:val="00680224"/>
    <w:rsid w:val="00684B30"/>
    <w:rsid w:val="006A39A5"/>
    <w:rsid w:val="006A3C5E"/>
    <w:rsid w:val="006A5D7F"/>
    <w:rsid w:val="006B617A"/>
    <w:rsid w:val="006B6B27"/>
    <w:rsid w:val="006D5243"/>
    <w:rsid w:val="006D5530"/>
    <w:rsid w:val="006E1A4A"/>
    <w:rsid w:val="006E71A5"/>
    <w:rsid w:val="006F186E"/>
    <w:rsid w:val="006F41A3"/>
    <w:rsid w:val="006F5246"/>
    <w:rsid w:val="006F63BB"/>
    <w:rsid w:val="007074B6"/>
    <w:rsid w:val="00711849"/>
    <w:rsid w:val="0071409C"/>
    <w:rsid w:val="00714867"/>
    <w:rsid w:val="007157A2"/>
    <w:rsid w:val="00715AF6"/>
    <w:rsid w:val="00722292"/>
    <w:rsid w:val="0072379D"/>
    <w:rsid w:val="00737D49"/>
    <w:rsid w:val="00745DDA"/>
    <w:rsid w:val="00757A31"/>
    <w:rsid w:val="00771C9E"/>
    <w:rsid w:val="00775F36"/>
    <w:rsid w:val="007827CB"/>
    <w:rsid w:val="00784233"/>
    <w:rsid w:val="00792E39"/>
    <w:rsid w:val="00795CFD"/>
    <w:rsid w:val="007A3C4C"/>
    <w:rsid w:val="007B659E"/>
    <w:rsid w:val="007B6B35"/>
    <w:rsid w:val="007C168A"/>
    <w:rsid w:val="007C7E59"/>
    <w:rsid w:val="007D0421"/>
    <w:rsid w:val="007D5320"/>
    <w:rsid w:val="007E46CE"/>
    <w:rsid w:val="007E5969"/>
    <w:rsid w:val="007E713A"/>
    <w:rsid w:val="007F346C"/>
    <w:rsid w:val="00814DBA"/>
    <w:rsid w:val="00824184"/>
    <w:rsid w:val="008330F1"/>
    <w:rsid w:val="00833A1A"/>
    <w:rsid w:val="00837914"/>
    <w:rsid w:val="00841E08"/>
    <w:rsid w:val="0085457F"/>
    <w:rsid w:val="00855E13"/>
    <w:rsid w:val="008625FB"/>
    <w:rsid w:val="008646D4"/>
    <w:rsid w:val="00865393"/>
    <w:rsid w:val="008712F7"/>
    <w:rsid w:val="00873746"/>
    <w:rsid w:val="00880A3C"/>
    <w:rsid w:val="008A2DB3"/>
    <w:rsid w:val="008B1BB7"/>
    <w:rsid w:val="008B59A8"/>
    <w:rsid w:val="008C19A0"/>
    <w:rsid w:val="008C3624"/>
    <w:rsid w:val="008C66E1"/>
    <w:rsid w:val="008D5B01"/>
    <w:rsid w:val="008D6574"/>
    <w:rsid w:val="008D6A68"/>
    <w:rsid w:val="008E48CA"/>
    <w:rsid w:val="008E48E5"/>
    <w:rsid w:val="008F4232"/>
    <w:rsid w:val="008F4270"/>
    <w:rsid w:val="008F4BA1"/>
    <w:rsid w:val="008F5011"/>
    <w:rsid w:val="00901DA6"/>
    <w:rsid w:val="00903349"/>
    <w:rsid w:val="00904BAF"/>
    <w:rsid w:val="00911EA1"/>
    <w:rsid w:val="00913AFA"/>
    <w:rsid w:val="009227A5"/>
    <w:rsid w:val="009274BC"/>
    <w:rsid w:val="00930920"/>
    <w:rsid w:val="00937AC6"/>
    <w:rsid w:val="00937FD1"/>
    <w:rsid w:val="00940A09"/>
    <w:rsid w:val="00945CD0"/>
    <w:rsid w:val="00947EDE"/>
    <w:rsid w:val="00951521"/>
    <w:rsid w:val="00951BC9"/>
    <w:rsid w:val="009559B4"/>
    <w:rsid w:val="00960562"/>
    <w:rsid w:val="00961871"/>
    <w:rsid w:val="00961AD5"/>
    <w:rsid w:val="00963A47"/>
    <w:rsid w:val="00966137"/>
    <w:rsid w:val="00974070"/>
    <w:rsid w:val="00974F2A"/>
    <w:rsid w:val="00996F34"/>
    <w:rsid w:val="009A0AA5"/>
    <w:rsid w:val="009A5610"/>
    <w:rsid w:val="009B01E7"/>
    <w:rsid w:val="009B176E"/>
    <w:rsid w:val="009B2AA0"/>
    <w:rsid w:val="009B670F"/>
    <w:rsid w:val="009C0BCE"/>
    <w:rsid w:val="009D1B92"/>
    <w:rsid w:val="009E075C"/>
    <w:rsid w:val="009E1BDA"/>
    <w:rsid w:val="009E393D"/>
    <w:rsid w:val="009E4EE5"/>
    <w:rsid w:val="009F41E2"/>
    <w:rsid w:val="009F51EA"/>
    <w:rsid w:val="00A14572"/>
    <w:rsid w:val="00A14C47"/>
    <w:rsid w:val="00A15EE4"/>
    <w:rsid w:val="00A223B8"/>
    <w:rsid w:val="00A269F8"/>
    <w:rsid w:val="00A35BD9"/>
    <w:rsid w:val="00A44EAF"/>
    <w:rsid w:val="00A77DA5"/>
    <w:rsid w:val="00A80CC9"/>
    <w:rsid w:val="00A81C8F"/>
    <w:rsid w:val="00A85D8A"/>
    <w:rsid w:val="00A872F7"/>
    <w:rsid w:val="00A924AA"/>
    <w:rsid w:val="00A93E0B"/>
    <w:rsid w:val="00AA7FE4"/>
    <w:rsid w:val="00AB4011"/>
    <w:rsid w:val="00AB5FDC"/>
    <w:rsid w:val="00AB7DF6"/>
    <w:rsid w:val="00AC0FD4"/>
    <w:rsid w:val="00AC1A3F"/>
    <w:rsid w:val="00AC1F31"/>
    <w:rsid w:val="00AD616C"/>
    <w:rsid w:val="00AD68E9"/>
    <w:rsid w:val="00AD6A81"/>
    <w:rsid w:val="00AD6E55"/>
    <w:rsid w:val="00AF024F"/>
    <w:rsid w:val="00AF13FB"/>
    <w:rsid w:val="00AF14C0"/>
    <w:rsid w:val="00AF4F76"/>
    <w:rsid w:val="00B04624"/>
    <w:rsid w:val="00B11D0A"/>
    <w:rsid w:val="00B1473C"/>
    <w:rsid w:val="00B20142"/>
    <w:rsid w:val="00B2379F"/>
    <w:rsid w:val="00B24FF2"/>
    <w:rsid w:val="00B417E2"/>
    <w:rsid w:val="00B4582E"/>
    <w:rsid w:val="00B46B9F"/>
    <w:rsid w:val="00B570A8"/>
    <w:rsid w:val="00B662F2"/>
    <w:rsid w:val="00B704E8"/>
    <w:rsid w:val="00B734F9"/>
    <w:rsid w:val="00B736FF"/>
    <w:rsid w:val="00B7651B"/>
    <w:rsid w:val="00B77C73"/>
    <w:rsid w:val="00B811C4"/>
    <w:rsid w:val="00B87B22"/>
    <w:rsid w:val="00B921EF"/>
    <w:rsid w:val="00B92D8C"/>
    <w:rsid w:val="00B94EE6"/>
    <w:rsid w:val="00B96397"/>
    <w:rsid w:val="00B976F9"/>
    <w:rsid w:val="00BA468D"/>
    <w:rsid w:val="00BA6A9F"/>
    <w:rsid w:val="00BB3CCD"/>
    <w:rsid w:val="00BB626A"/>
    <w:rsid w:val="00BC17F9"/>
    <w:rsid w:val="00BC356D"/>
    <w:rsid w:val="00BC487E"/>
    <w:rsid w:val="00BC79B6"/>
    <w:rsid w:val="00BD0CFD"/>
    <w:rsid w:val="00BD2B43"/>
    <w:rsid w:val="00BD499D"/>
    <w:rsid w:val="00BE3C9F"/>
    <w:rsid w:val="00BE788D"/>
    <w:rsid w:val="00BF23C0"/>
    <w:rsid w:val="00BF36EF"/>
    <w:rsid w:val="00BF428F"/>
    <w:rsid w:val="00C026F1"/>
    <w:rsid w:val="00C13C20"/>
    <w:rsid w:val="00C16D92"/>
    <w:rsid w:val="00C239C0"/>
    <w:rsid w:val="00C2464C"/>
    <w:rsid w:val="00C2531A"/>
    <w:rsid w:val="00C27BDB"/>
    <w:rsid w:val="00C32739"/>
    <w:rsid w:val="00C37DCC"/>
    <w:rsid w:val="00C45B0B"/>
    <w:rsid w:val="00C45BD5"/>
    <w:rsid w:val="00C735A1"/>
    <w:rsid w:val="00C83B3B"/>
    <w:rsid w:val="00C91175"/>
    <w:rsid w:val="00C94BF3"/>
    <w:rsid w:val="00C9509C"/>
    <w:rsid w:val="00C962F4"/>
    <w:rsid w:val="00CA4C2A"/>
    <w:rsid w:val="00CA58FE"/>
    <w:rsid w:val="00CB7484"/>
    <w:rsid w:val="00CC11AB"/>
    <w:rsid w:val="00CC459E"/>
    <w:rsid w:val="00CD6826"/>
    <w:rsid w:val="00CD7C2A"/>
    <w:rsid w:val="00CE12C0"/>
    <w:rsid w:val="00CE371A"/>
    <w:rsid w:val="00CE4F7A"/>
    <w:rsid w:val="00CE6726"/>
    <w:rsid w:val="00CF3BDD"/>
    <w:rsid w:val="00CF6FFB"/>
    <w:rsid w:val="00CF7D78"/>
    <w:rsid w:val="00D06CDA"/>
    <w:rsid w:val="00D10070"/>
    <w:rsid w:val="00D1122F"/>
    <w:rsid w:val="00D309CC"/>
    <w:rsid w:val="00D30CAE"/>
    <w:rsid w:val="00D36B3E"/>
    <w:rsid w:val="00D50E23"/>
    <w:rsid w:val="00D733A1"/>
    <w:rsid w:val="00DA5F38"/>
    <w:rsid w:val="00DB2216"/>
    <w:rsid w:val="00DC6B2E"/>
    <w:rsid w:val="00DD74AB"/>
    <w:rsid w:val="00DD7C69"/>
    <w:rsid w:val="00DE2065"/>
    <w:rsid w:val="00DE7205"/>
    <w:rsid w:val="00E01C38"/>
    <w:rsid w:val="00E01D84"/>
    <w:rsid w:val="00E1214B"/>
    <w:rsid w:val="00E1379E"/>
    <w:rsid w:val="00E145DC"/>
    <w:rsid w:val="00E239E9"/>
    <w:rsid w:val="00E25092"/>
    <w:rsid w:val="00E46660"/>
    <w:rsid w:val="00E47DE6"/>
    <w:rsid w:val="00E47EAC"/>
    <w:rsid w:val="00E509DE"/>
    <w:rsid w:val="00E5253B"/>
    <w:rsid w:val="00E558EB"/>
    <w:rsid w:val="00E65395"/>
    <w:rsid w:val="00E658FD"/>
    <w:rsid w:val="00E756A3"/>
    <w:rsid w:val="00E771D3"/>
    <w:rsid w:val="00E77CEB"/>
    <w:rsid w:val="00E80FC8"/>
    <w:rsid w:val="00E8214C"/>
    <w:rsid w:val="00E82A1F"/>
    <w:rsid w:val="00E86350"/>
    <w:rsid w:val="00E876E7"/>
    <w:rsid w:val="00E90E5A"/>
    <w:rsid w:val="00E92981"/>
    <w:rsid w:val="00E96F7F"/>
    <w:rsid w:val="00EB427F"/>
    <w:rsid w:val="00EB70C5"/>
    <w:rsid w:val="00EC0D16"/>
    <w:rsid w:val="00EC1CCE"/>
    <w:rsid w:val="00EC3FB5"/>
    <w:rsid w:val="00EC53AC"/>
    <w:rsid w:val="00EC6513"/>
    <w:rsid w:val="00ED32BD"/>
    <w:rsid w:val="00ED3486"/>
    <w:rsid w:val="00EE7C23"/>
    <w:rsid w:val="00EF374B"/>
    <w:rsid w:val="00F01059"/>
    <w:rsid w:val="00F03DC7"/>
    <w:rsid w:val="00F06E96"/>
    <w:rsid w:val="00F11232"/>
    <w:rsid w:val="00F1520B"/>
    <w:rsid w:val="00F230B7"/>
    <w:rsid w:val="00F24547"/>
    <w:rsid w:val="00F24D3E"/>
    <w:rsid w:val="00F31A91"/>
    <w:rsid w:val="00F37852"/>
    <w:rsid w:val="00F40346"/>
    <w:rsid w:val="00F40EE8"/>
    <w:rsid w:val="00F43CC4"/>
    <w:rsid w:val="00F50767"/>
    <w:rsid w:val="00F5418B"/>
    <w:rsid w:val="00F5500A"/>
    <w:rsid w:val="00F60716"/>
    <w:rsid w:val="00F62341"/>
    <w:rsid w:val="00F62417"/>
    <w:rsid w:val="00F73FBB"/>
    <w:rsid w:val="00F9097A"/>
    <w:rsid w:val="00F97B15"/>
    <w:rsid w:val="00FA3651"/>
    <w:rsid w:val="00FA4F18"/>
    <w:rsid w:val="00FA59B4"/>
    <w:rsid w:val="00FA5A99"/>
    <w:rsid w:val="00FC4FA4"/>
    <w:rsid w:val="00FD537A"/>
    <w:rsid w:val="00FD6E3E"/>
    <w:rsid w:val="00FE51B6"/>
    <w:rsid w:val="00FF27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F7A"/>
    <w:pPr>
      <w:ind w:left="720"/>
      <w:contextualSpacing/>
    </w:pPr>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 Char Char1"/>
    <w:basedOn w:val="DefaultParagraphFont"/>
    <w:link w:val="FootnoteText"/>
    <w:locked/>
    <w:rsid w:val="00B2379F"/>
    <w:rPr>
      <w:rFonts w:ascii="Times New Roman" w:eastAsia="Calibri" w:hAnsi="Times New Roman" w:cs="Times New Roman"/>
      <w:sz w:val="20"/>
      <w:szCs w:val="20"/>
    </w:rPr>
  </w:style>
  <w:style w:type="paragraph" w:styleId="FootnoteText">
    <w:name w:val="footnote text"/>
    <w:aliases w:val="Footnote Text Char1 Char,Footnote Text Char Char Char,Footnote Text Char1 Char Char Char,Footnote Text Char Char Char Char Char,Footnote Text Char2 Char Char Char Char Char,Footnote Text Char Char,fn,5_G,Char,FA Fu"/>
    <w:basedOn w:val="Normal"/>
    <w:link w:val="FootnoteTextChar"/>
    <w:autoRedefine/>
    <w:unhideWhenUsed/>
    <w:rsid w:val="00B2379F"/>
    <w:pPr>
      <w:spacing w:after="0" w:line="240" w:lineRule="auto"/>
    </w:pPr>
    <w:rPr>
      <w:rFonts w:ascii="Times New Roman" w:eastAsia="Calibri" w:hAnsi="Times New Roman" w:cs="Times New Roman"/>
      <w:sz w:val="20"/>
      <w:szCs w:val="20"/>
    </w:rPr>
  </w:style>
  <w:style w:type="character" w:customStyle="1" w:styleId="FootnoteTextChar1">
    <w:name w:val="Footnote Text Char1"/>
    <w:basedOn w:val="DefaultParagraphFont"/>
    <w:uiPriority w:val="99"/>
    <w:semiHidden/>
    <w:rsid w:val="00F230B7"/>
    <w:rPr>
      <w:sz w:val="20"/>
      <w:szCs w:val="20"/>
    </w:rPr>
  </w:style>
  <w:style w:type="character" w:styleId="FootnoteReference">
    <w:name w:val="footnote reference"/>
    <w:aliases w:val="Footnotes refss,ftref,4_G,(NECG) Footnote Reference"/>
    <w:basedOn w:val="DefaultParagraphFont"/>
    <w:unhideWhenUsed/>
    <w:rsid w:val="00F230B7"/>
    <w:rPr>
      <w:vertAlign w:val="superscript"/>
    </w:rPr>
  </w:style>
  <w:style w:type="paragraph" w:styleId="BalloonText">
    <w:name w:val="Balloon Text"/>
    <w:basedOn w:val="Normal"/>
    <w:link w:val="BalloonTextChar"/>
    <w:uiPriority w:val="99"/>
    <w:semiHidden/>
    <w:unhideWhenUsed/>
    <w:rsid w:val="002B2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1C1"/>
    <w:rPr>
      <w:rFonts w:ascii="Tahoma" w:hAnsi="Tahoma" w:cs="Tahoma"/>
      <w:sz w:val="16"/>
      <w:szCs w:val="16"/>
    </w:rPr>
  </w:style>
  <w:style w:type="paragraph" w:styleId="Header">
    <w:name w:val="header"/>
    <w:basedOn w:val="Normal"/>
    <w:link w:val="HeaderChar"/>
    <w:uiPriority w:val="99"/>
    <w:unhideWhenUsed/>
    <w:rsid w:val="005C5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6C9"/>
  </w:style>
  <w:style w:type="paragraph" w:styleId="Footer">
    <w:name w:val="footer"/>
    <w:basedOn w:val="Normal"/>
    <w:link w:val="FooterChar"/>
    <w:uiPriority w:val="99"/>
    <w:unhideWhenUsed/>
    <w:rsid w:val="005C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6C9"/>
  </w:style>
  <w:style w:type="paragraph" w:customStyle="1" w:styleId="Default">
    <w:name w:val="Default"/>
    <w:rsid w:val="005C4B1F"/>
    <w:pPr>
      <w:autoSpaceDE w:val="0"/>
      <w:autoSpaceDN w:val="0"/>
      <w:adjustRightInd w:val="0"/>
      <w:spacing w:after="0" w:line="240" w:lineRule="auto"/>
    </w:pPr>
    <w:rPr>
      <w:rFonts w:ascii="Calibri" w:hAnsi="Calibri" w:cs="Calibri"/>
      <w:color w:val="000000"/>
      <w:sz w:val="24"/>
      <w:szCs w:val="24"/>
    </w:rPr>
  </w:style>
  <w:style w:type="paragraph" w:customStyle="1" w:styleId="Paragraphnumbered">
    <w:name w:val="Paragraph (numbered)"/>
    <w:basedOn w:val="Normal"/>
    <w:rsid w:val="00EF374B"/>
    <w:pPr>
      <w:spacing w:before="240" w:after="0" w:line="240" w:lineRule="auto"/>
    </w:pPr>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D309CC"/>
    <w:rPr>
      <w:sz w:val="16"/>
      <w:szCs w:val="16"/>
    </w:rPr>
  </w:style>
  <w:style w:type="paragraph" w:styleId="CommentText">
    <w:name w:val="annotation text"/>
    <w:basedOn w:val="Normal"/>
    <w:link w:val="CommentTextChar"/>
    <w:uiPriority w:val="99"/>
    <w:semiHidden/>
    <w:unhideWhenUsed/>
    <w:rsid w:val="00D309CC"/>
    <w:pPr>
      <w:spacing w:line="240" w:lineRule="auto"/>
    </w:pPr>
    <w:rPr>
      <w:sz w:val="20"/>
      <w:szCs w:val="20"/>
    </w:rPr>
  </w:style>
  <w:style w:type="character" w:customStyle="1" w:styleId="CommentTextChar">
    <w:name w:val="Comment Text Char"/>
    <w:basedOn w:val="DefaultParagraphFont"/>
    <w:link w:val="CommentText"/>
    <w:uiPriority w:val="99"/>
    <w:semiHidden/>
    <w:rsid w:val="00D309CC"/>
    <w:rPr>
      <w:sz w:val="20"/>
      <w:szCs w:val="20"/>
    </w:rPr>
  </w:style>
  <w:style w:type="paragraph" w:styleId="CommentSubject">
    <w:name w:val="annotation subject"/>
    <w:basedOn w:val="CommentText"/>
    <w:next w:val="CommentText"/>
    <w:link w:val="CommentSubjectChar"/>
    <w:uiPriority w:val="99"/>
    <w:semiHidden/>
    <w:unhideWhenUsed/>
    <w:rsid w:val="00D309CC"/>
    <w:rPr>
      <w:b/>
      <w:bCs/>
    </w:rPr>
  </w:style>
  <w:style w:type="character" w:customStyle="1" w:styleId="CommentSubjectChar">
    <w:name w:val="Comment Subject Char"/>
    <w:basedOn w:val="CommentTextChar"/>
    <w:link w:val="CommentSubject"/>
    <w:uiPriority w:val="99"/>
    <w:semiHidden/>
    <w:rsid w:val="00D309CC"/>
    <w:rPr>
      <w:b/>
      <w:bCs/>
      <w:sz w:val="20"/>
      <w:szCs w:val="20"/>
    </w:rPr>
  </w:style>
  <w:style w:type="paragraph" w:styleId="Revision">
    <w:name w:val="Revision"/>
    <w:hidden/>
    <w:uiPriority w:val="99"/>
    <w:semiHidden/>
    <w:rsid w:val="00795CFD"/>
    <w:pPr>
      <w:spacing w:after="0" w:line="240" w:lineRule="auto"/>
    </w:pPr>
  </w:style>
  <w:style w:type="paragraph" w:styleId="NormalWeb">
    <w:name w:val="Normal (Web)"/>
    <w:basedOn w:val="Normal"/>
    <w:uiPriority w:val="99"/>
    <w:semiHidden/>
    <w:unhideWhenUsed/>
    <w:rsid w:val="00106BF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5C0E1F"/>
    <w:rPr>
      <w:color w:val="0000FF"/>
      <w:u w:val="single"/>
    </w:rPr>
  </w:style>
  <w:style w:type="character" w:styleId="Emphasis">
    <w:name w:val="Emphasis"/>
    <w:basedOn w:val="DefaultParagraphFont"/>
    <w:uiPriority w:val="20"/>
    <w:qFormat/>
    <w:rsid w:val="00945C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482">
      <w:bodyDiv w:val="1"/>
      <w:marLeft w:val="0"/>
      <w:marRight w:val="0"/>
      <w:marTop w:val="0"/>
      <w:marBottom w:val="0"/>
      <w:divBdr>
        <w:top w:val="none" w:sz="0" w:space="0" w:color="auto"/>
        <w:left w:val="none" w:sz="0" w:space="0" w:color="auto"/>
        <w:bottom w:val="none" w:sz="0" w:space="0" w:color="auto"/>
        <w:right w:val="none" w:sz="0" w:space="0" w:color="auto"/>
      </w:divBdr>
    </w:div>
    <w:div w:id="46346947">
      <w:bodyDiv w:val="1"/>
      <w:marLeft w:val="0"/>
      <w:marRight w:val="0"/>
      <w:marTop w:val="0"/>
      <w:marBottom w:val="0"/>
      <w:divBdr>
        <w:top w:val="none" w:sz="0" w:space="0" w:color="auto"/>
        <w:left w:val="none" w:sz="0" w:space="0" w:color="auto"/>
        <w:bottom w:val="none" w:sz="0" w:space="0" w:color="auto"/>
        <w:right w:val="none" w:sz="0" w:space="0" w:color="auto"/>
      </w:divBdr>
    </w:div>
    <w:div w:id="49161796">
      <w:bodyDiv w:val="1"/>
      <w:marLeft w:val="0"/>
      <w:marRight w:val="0"/>
      <w:marTop w:val="0"/>
      <w:marBottom w:val="0"/>
      <w:divBdr>
        <w:top w:val="none" w:sz="0" w:space="0" w:color="auto"/>
        <w:left w:val="none" w:sz="0" w:space="0" w:color="auto"/>
        <w:bottom w:val="none" w:sz="0" w:space="0" w:color="auto"/>
        <w:right w:val="none" w:sz="0" w:space="0" w:color="auto"/>
      </w:divBdr>
    </w:div>
    <w:div w:id="74977592">
      <w:bodyDiv w:val="1"/>
      <w:marLeft w:val="0"/>
      <w:marRight w:val="0"/>
      <w:marTop w:val="0"/>
      <w:marBottom w:val="0"/>
      <w:divBdr>
        <w:top w:val="none" w:sz="0" w:space="0" w:color="auto"/>
        <w:left w:val="none" w:sz="0" w:space="0" w:color="auto"/>
        <w:bottom w:val="none" w:sz="0" w:space="0" w:color="auto"/>
        <w:right w:val="none" w:sz="0" w:space="0" w:color="auto"/>
      </w:divBdr>
    </w:div>
    <w:div w:id="82839812">
      <w:bodyDiv w:val="1"/>
      <w:marLeft w:val="0"/>
      <w:marRight w:val="0"/>
      <w:marTop w:val="0"/>
      <w:marBottom w:val="0"/>
      <w:divBdr>
        <w:top w:val="none" w:sz="0" w:space="0" w:color="auto"/>
        <w:left w:val="none" w:sz="0" w:space="0" w:color="auto"/>
        <w:bottom w:val="none" w:sz="0" w:space="0" w:color="auto"/>
        <w:right w:val="none" w:sz="0" w:space="0" w:color="auto"/>
      </w:divBdr>
    </w:div>
    <w:div w:id="87972700">
      <w:bodyDiv w:val="1"/>
      <w:marLeft w:val="0"/>
      <w:marRight w:val="0"/>
      <w:marTop w:val="0"/>
      <w:marBottom w:val="0"/>
      <w:divBdr>
        <w:top w:val="none" w:sz="0" w:space="0" w:color="auto"/>
        <w:left w:val="none" w:sz="0" w:space="0" w:color="auto"/>
        <w:bottom w:val="none" w:sz="0" w:space="0" w:color="auto"/>
        <w:right w:val="none" w:sz="0" w:space="0" w:color="auto"/>
      </w:divBdr>
    </w:div>
    <w:div w:id="102499219">
      <w:bodyDiv w:val="1"/>
      <w:marLeft w:val="0"/>
      <w:marRight w:val="0"/>
      <w:marTop w:val="0"/>
      <w:marBottom w:val="0"/>
      <w:divBdr>
        <w:top w:val="none" w:sz="0" w:space="0" w:color="auto"/>
        <w:left w:val="none" w:sz="0" w:space="0" w:color="auto"/>
        <w:bottom w:val="none" w:sz="0" w:space="0" w:color="auto"/>
        <w:right w:val="none" w:sz="0" w:space="0" w:color="auto"/>
      </w:divBdr>
    </w:div>
    <w:div w:id="143015150">
      <w:bodyDiv w:val="1"/>
      <w:marLeft w:val="0"/>
      <w:marRight w:val="0"/>
      <w:marTop w:val="0"/>
      <w:marBottom w:val="0"/>
      <w:divBdr>
        <w:top w:val="none" w:sz="0" w:space="0" w:color="auto"/>
        <w:left w:val="none" w:sz="0" w:space="0" w:color="auto"/>
        <w:bottom w:val="none" w:sz="0" w:space="0" w:color="auto"/>
        <w:right w:val="none" w:sz="0" w:space="0" w:color="auto"/>
      </w:divBdr>
    </w:div>
    <w:div w:id="280378057">
      <w:bodyDiv w:val="1"/>
      <w:marLeft w:val="0"/>
      <w:marRight w:val="0"/>
      <w:marTop w:val="0"/>
      <w:marBottom w:val="0"/>
      <w:divBdr>
        <w:top w:val="none" w:sz="0" w:space="0" w:color="auto"/>
        <w:left w:val="none" w:sz="0" w:space="0" w:color="auto"/>
        <w:bottom w:val="none" w:sz="0" w:space="0" w:color="auto"/>
        <w:right w:val="none" w:sz="0" w:space="0" w:color="auto"/>
      </w:divBdr>
    </w:div>
    <w:div w:id="377970546">
      <w:bodyDiv w:val="1"/>
      <w:marLeft w:val="0"/>
      <w:marRight w:val="0"/>
      <w:marTop w:val="0"/>
      <w:marBottom w:val="0"/>
      <w:divBdr>
        <w:top w:val="none" w:sz="0" w:space="0" w:color="auto"/>
        <w:left w:val="none" w:sz="0" w:space="0" w:color="auto"/>
        <w:bottom w:val="none" w:sz="0" w:space="0" w:color="auto"/>
        <w:right w:val="none" w:sz="0" w:space="0" w:color="auto"/>
      </w:divBdr>
    </w:div>
    <w:div w:id="420181184">
      <w:bodyDiv w:val="1"/>
      <w:marLeft w:val="0"/>
      <w:marRight w:val="0"/>
      <w:marTop w:val="0"/>
      <w:marBottom w:val="0"/>
      <w:divBdr>
        <w:top w:val="none" w:sz="0" w:space="0" w:color="auto"/>
        <w:left w:val="none" w:sz="0" w:space="0" w:color="auto"/>
        <w:bottom w:val="none" w:sz="0" w:space="0" w:color="auto"/>
        <w:right w:val="none" w:sz="0" w:space="0" w:color="auto"/>
      </w:divBdr>
      <w:divsChild>
        <w:div w:id="2065786421">
          <w:marLeft w:val="0"/>
          <w:marRight w:val="0"/>
          <w:marTop w:val="0"/>
          <w:marBottom w:val="0"/>
          <w:divBdr>
            <w:top w:val="none" w:sz="0" w:space="0" w:color="auto"/>
            <w:left w:val="none" w:sz="0" w:space="0" w:color="auto"/>
            <w:bottom w:val="none" w:sz="0" w:space="0" w:color="auto"/>
            <w:right w:val="none" w:sz="0" w:space="0" w:color="auto"/>
          </w:divBdr>
          <w:divsChild>
            <w:div w:id="359474222">
              <w:marLeft w:val="0"/>
              <w:marRight w:val="0"/>
              <w:marTop w:val="0"/>
              <w:marBottom w:val="0"/>
              <w:divBdr>
                <w:top w:val="none" w:sz="0" w:space="0" w:color="auto"/>
                <w:left w:val="none" w:sz="0" w:space="0" w:color="auto"/>
                <w:bottom w:val="none" w:sz="0" w:space="0" w:color="auto"/>
                <w:right w:val="none" w:sz="0" w:space="0" w:color="auto"/>
              </w:divBdr>
              <w:divsChild>
                <w:div w:id="9965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83003">
      <w:bodyDiv w:val="1"/>
      <w:marLeft w:val="0"/>
      <w:marRight w:val="0"/>
      <w:marTop w:val="0"/>
      <w:marBottom w:val="0"/>
      <w:divBdr>
        <w:top w:val="none" w:sz="0" w:space="0" w:color="auto"/>
        <w:left w:val="none" w:sz="0" w:space="0" w:color="auto"/>
        <w:bottom w:val="none" w:sz="0" w:space="0" w:color="auto"/>
        <w:right w:val="none" w:sz="0" w:space="0" w:color="auto"/>
      </w:divBdr>
    </w:div>
    <w:div w:id="485896566">
      <w:bodyDiv w:val="1"/>
      <w:marLeft w:val="0"/>
      <w:marRight w:val="0"/>
      <w:marTop w:val="0"/>
      <w:marBottom w:val="0"/>
      <w:divBdr>
        <w:top w:val="none" w:sz="0" w:space="0" w:color="auto"/>
        <w:left w:val="none" w:sz="0" w:space="0" w:color="auto"/>
        <w:bottom w:val="none" w:sz="0" w:space="0" w:color="auto"/>
        <w:right w:val="none" w:sz="0" w:space="0" w:color="auto"/>
      </w:divBdr>
    </w:div>
    <w:div w:id="620503679">
      <w:bodyDiv w:val="1"/>
      <w:marLeft w:val="0"/>
      <w:marRight w:val="0"/>
      <w:marTop w:val="0"/>
      <w:marBottom w:val="0"/>
      <w:divBdr>
        <w:top w:val="none" w:sz="0" w:space="0" w:color="auto"/>
        <w:left w:val="none" w:sz="0" w:space="0" w:color="auto"/>
        <w:bottom w:val="none" w:sz="0" w:space="0" w:color="auto"/>
        <w:right w:val="none" w:sz="0" w:space="0" w:color="auto"/>
      </w:divBdr>
      <w:divsChild>
        <w:div w:id="1401253410">
          <w:marLeft w:val="0"/>
          <w:marRight w:val="0"/>
          <w:marTop w:val="0"/>
          <w:marBottom w:val="0"/>
          <w:divBdr>
            <w:top w:val="none" w:sz="0" w:space="0" w:color="auto"/>
            <w:left w:val="none" w:sz="0" w:space="0" w:color="auto"/>
            <w:bottom w:val="none" w:sz="0" w:space="0" w:color="auto"/>
            <w:right w:val="none" w:sz="0" w:space="0" w:color="auto"/>
          </w:divBdr>
          <w:divsChild>
            <w:div w:id="1987860291">
              <w:marLeft w:val="0"/>
              <w:marRight w:val="0"/>
              <w:marTop w:val="0"/>
              <w:marBottom w:val="0"/>
              <w:divBdr>
                <w:top w:val="none" w:sz="0" w:space="0" w:color="auto"/>
                <w:left w:val="none" w:sz="0" w:space="0" w:color="auto"/>
                <w:bottom w:val="none" w:sz="0" w:space="0" w:color="auto"/>
                <w:right w:val="none" w:sz="0" w:space="0" w:color="auto"/>
              </w:divBdr>
              <w:divsChild>
                <w:div w:id="5107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91001">
      <w:bodyDiv w:val="1"/>
      <w:marLeft w:val="0"/>
      <w:marRight w:val="0"/>
      <w:marTop w:val="0"/>
      <w:marBottom w:val="0"/>
      <w:divBdr>
        <w:top w:val="none" w:sz="0" w:space="0" w:color="auto"/>
        <w:left w:val="none" w:sz="0" w:space="0" w:color="auto"/>
        <w:bottom w:val="none" w:sz="0" w:space="0" w:color="auto"/>
        <w:right w:val="none" w:sz="0" w:space="0" w:color="auto"/>
      </w:divBdr>
    </w:div>
    <w:div w:id="786505914">
      <w:bodyDiv w:val="1"/>
      <w:marLeft w:val="0"/>
      <w:marRight w:val="0"/>
      <w:marTop w:val="0"/>
      <w:marBottom w:val="0"/>
      <w:divBdr>
        <w:top w:val="none" w:sz="0" w:space="0" w:color="auto"/>
        <w:left w:val="none" w:sz="0" w:space="0" w:color="auto"/>
        <w:bottom w:val="none" w:sz="0" w:space="0" w:color="auto"/>
        <w:right w:val="none" w:sz="0" w:space="0" w:color="auto"/>
      </w:divBdr>
    </w:div>
    <w:div w:id="795874805">
      <w:bodyDiv w:val="1"/>
      <w:marLeft w:val="0"/>
      <w:marRight w:val="0"/>
      <w:marTop w:val="0"/>
      <w:marBottom w:val="0"/>
      <w:divBdr>
        <w:top w:val="none" w:sz="0" w:space="0" w:color="auto"/>
        <w:left w:val="none" w:sz="0" w:space="0" w:color="auto"/>
        <w:bottom w:val="none" w:sz="0" w:space="0" w:color="auto"/>
        <w:right w:val="none" w:sz="0" w:space="0" w:color="auto"/>
      </w:divBdr>
    </w:div>
    <w:div w:id="923881842">
      <w:bodyDiv w:val="1"/>
      <w:marLeft w:val="0"/>
      <w:marRight w:val="0"/>
      <w:marTop w:val="0"/>
      <w:marBottom w:val="0"/>
      <w:divBdr>
        <w:top w:val="none" w:sz="0" w:space="0" w:color="auto"/>
        <w:left w:val="none" w:sz="0" w:space="0" w:color="auto"/>
        <w:bottom w:val="none" w:sz="0" w:space="0" w:color="auto"/>
        <w:right w:val="none" w:sz="0" w:space="0" w:color="auto"/>
      </w:divBdr>
    </w:div>
    <w:div w:id="1060056059">
      <w:bodyDiv w:val="1"/>
      <w:marLeft w:val="0"/>
      <w:marRight w:val="0"/>
      <w:marTop w:val="0"/>
      <w:marBottom w:val="0"/>
      <w:divBdr>
        <w:top w:val="none" w:sz="0" w:space="0" w:color="auto"/>
        <w:left w:val="none" w:sz="0" w:space="0" w:color="auto"/>
        <w:bottom w:val="none" w:sz="0" w:space="0" w:color="auto"/>
        <w:right w:val="none" w:sz="0" w:space="0" w:color="auto"/>
      </w:divBdr>
    </w:div>
    <w:div w:id="1353993822">
      <w:bodyDiv w:val="1"/>
      <w:marLeft w:val="0"/>
      <w:marRight w:val="0"/>
      <w:marTop w:val="0"/>
      <w:marBottom w:val="0"/>
      <w:divBdr>
        <w:top w:val="none" w:sz="0" w:space="0" w:color="auto"/>
        <w:left w:val="none" w:sz="0" w:space="0" w:color="auto"/>
        <w:bottom w:val="none" w:sz="0" w:space="0" w:color="auto"/>
        <w:right w:val="none" w:sz="0" w:space="0" w:color="auto"/>
      </w:divBdr>
    </w:div>
    <w:div w:id="1489512858">
      <w:bodyDiv w:val="1"/>
      <w:marLeft w:val="0"/>
      <w:marRight w:val="0"/>
      <w:marTop w:val="0"/>
      <w:marBottom w:val="0"/>
      <w:divBdr>
        <w:top w:val="none" w:sz="0" w:space="0" w:color="auto"/>
        <w:left w:val="none" w:sz="0" w:space="0" w:color="auto"/>
        <w:bottom w:val="none" w:sz="0" w:space="0" w:color="auto"/>
        <w:right w:val="none" w:sz="0" w:space="0" w:color="auto"/>
      </w:divBdr>
    </w:div>
    <w:div w:id="1587304641">
      <w:bodyDiv w:val="1"/>
      <w:marLeft w:val="0"/>
      <w:marRight w:val="0"/>
      <w:marTop w:val="0"/>
      <w:marBottom w:val="0"/>
      <w:divBdr>
        <w:top w:val="none" w:sz="0" w:space="0" w:color="auto"/>
        <w:left w:val="none" w:sz="0" w:space="0" w:color="auto"/>
        <w:bottom w:val="none" w:sz="0" w:space="0" w:color="auto"/>
        <w:right w:val="none" w:sz="0" w:space="0" w:color="auto"/>
      </w:divBdr>
    </w:div>
    <w:div w:id="1816071678">
      <w:bodyDiv w:val="1"/>
      <w:marLeft w:val="0"/>
      <w:marRight w:val="0"/>
      <w:marTop w:val="0"/>
      <w:marBottom w:val="0"/>
      <w:divBdr>
        <w:top w:val="none" w:sz="0" w:space="0" w:color="auto"/>
        <w:left w:val="none" w:sz="0" w:space="0" w:color="auto"/>
        <w:bottom w:val="none" w:sz="0" w:space="0" w:color="auto"/>
        <w:right w:val="none" w:sz="0" w:space="0" w:color="auto"/>
      </w:divBdr>
    </w:div>
    <w:div w:id="1876578648">
      <w:bodyDiv w:val="1"/>
      <w:marLeft w:val="0"/>
      <w:marRight w:val="0"/>
      <w:marTop w:val="0"/>
      <w:marBottom w:val="0"/>
      <w:divBdr>
        <w:top w:val="none" w:sz="0" w:space="0" w:color="auto"/>
        <w:left w:val="none" w:sz="0" w:space="0" w:color="auto"/>
        <w:bottom w:val="none" w:sz="0" w:space="0" w:color="auto"/>
        <w:right w:val="none" w:sz="0" w:space="0" w:color="auto"/>
      </w:divBdr>
    </w:div>
    <w:div w:id="2030764093">
      <w:bodyDiv w:val="1"/>
      <w:marLeft w:val="0"/>
      <w:marRight w:val="0"/>
      <w:marTop w:val="0"/>
      <w:marBottom w:val="0"/>
      <w:divBdr>
        <w:top w:val="none" w:sz="0" w:space="0" w:color="auto"/>
        <w:left w:val="none" w:sz="0" w:space="0" w:color="auto"/>
        <w:bottom w:val="none" w:sz="0" w:space="0" w:color="auto"/>
        <w:right w:val="none" w:sz="0" w:space="0" w:color="auto"/>
      </w:divBdr>
    </w:div>
    <w:div w:id="2035106430">
      <w:bodyDiv w:val="1"/>
      <w:marLeft w:val="0"/>
      <w:marRight w:val="0"/>
      <w:marTop w:val="0"/>
      <w:marBottom w:val="0"/>
      <w:divBdr>
        <w:top w:val="none" w:sz="0" w:space="0" w:color="auto"/>
        <w:left w:val="none" w:sz="0" w:space="0" w:color="auto"/>
        <w:bottom w:val="none" w:sz="0" w:space="0" w:color="auto"/>
        <w:right w:val="none" w:sz="0" w:space="0" w:color="auto"/>
      </w:divBdr>
    </w:div>
    <w:div w:id="208679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74DB71-CFA2-4BB5-9A2A-62EA2511E2E8}">
  <ds:schemaRefs>
    <ds:schemaRef ds:uri="http://schemas.openxmlformats.org/officeDocument/2006/bibliography"/>
  </ds:schemaRefs>
</ds:datastoreItem>
</file>

<file path=customXml/itemProps2.xml><?xml version="1.0" encoding="utf-8"?>
<ds:datastoreItem xmlns:ds="http://schemas.openxmlformats.org/officeDocument/2006/customXml" ds:itemID="{DFB5C628-474B-43BD-9046-41EBD7EFBEED}"/>
</file>

<file path=customXml/itemProps3.xml><?xml version="1.0" encoding="utf-8"?>
<ds:datastoreItem xmlns:ds="http://schemas.openxmlformats.org/officeDocument/2006/customXml" ds:itemID="{21920FCC-1C9B-4A59-A36E-60D9B313BA6A}"/>
</file>

<file path=customXml/itemProps4.xml><?xml version="1.0" encoding="utf-8"?>
<ds:datastoreItem xmlns:ds="http://schemas.openxmlformats.org/officeDocument/2006/customXml" ds:itemID="{B661F6FB-B12E-4AE5-A122-CFE0CF49FB63}"/>
</file>

<file path=docProps/app.xml><?xml version="1.0" encoding="utf-8"?>
<Properties xmlns="http://schemas.openxmlformats.org/officeDocument/2006/extended-properties" xmlns:vt="http://schemas.openxmlformats.org/officeDocument/2006/docPropsVTypes">
  <Template>Normal.dotm</Template>
  <TotalTime>0</TotalTime>
  <Pages>4</Pages>
  <Words>1369</Words>
  <Characters>7805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dc:title>
  <dc:creator/>
  <cp:lastModifiedBy/>
  <cp:revision>1</cp:revision>
  <dcterms:created xsi:type="dcterms:W3CDTF">2019-01-18T09:21:00Z</dcterms:created>
  <dcterms:modified xsi:type="dcterms:W3CDTF">2019-01-18T09:21:00Z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