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9EEC" w14:textId="585E205B" w:rsidR="00BC6A6C" w:rsidRPr="009D0C1D" w:rsidRDefault="00BC6A6C" w:rsidP="009D0C1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D0C1D">
        <w:rPr>
          <w:rFonts w:cstheme="minorHAnsi"/>
          <w:b/>
          <w:sz w:val="24"/>
          <w:szCs w:val="24"/>
        </w:rPr>
        <w:t>Comentarios</w:t>
      </w:r>
      <w:r w:rsidR="009D0C1D" w:rsidRPr="009D0C1D">
        <w:rPr>
          <w:rFonts w:cstheme="minorHAnsi"/>
          <w:b/>
          <w:sz w:val="24"/>
          <w:szCs w:val="24"/>
        </w:rPr>
        <w:t xml:space="preserve"> a </w:t>
      </w:r>
      <w:r w:rsidR="00471EE3">
        <w:rPr>
          <w:rFonts w:cstheme="minorHAnsi"/>
          <w:b/>
          <w:sz w:val="24"/>
          <w:szCs w:val="24"/>
        </w:rPr>
        <w:t xml:space="preserve">Revisión de </w:t>
      </w:r>
      <w:r w:rsidR="009D0C1D" w:rsidRPr="009D0C1D">
        <w:rPr>
          <w:rFonts w:cstheme="minorHAnsi"/>
          <w:b/>
          <w:sz w:val="24"/>
          <w:szCs w:val="24"/>
        </w:rPr>
        <w:t>Observación General N° 10</w:t>
      </w:r>
    </w:p>
    <w:p w14:paraId="51859CE6" w14:textId="77777777" w:rsidR="00BC6A6C" w:rsidRPr="009D0C1D" w:rsidRDefault="00BC6A6C" w:rsidP="009D0C1D">
      <w:pPr>
        <w:spacing w:after="0"/>
        <w:jc w:val="center"/>
        <w:rPr>
          <w:rFonts w:cstheme="minorHAnsi"/>
          <w:sz w:val="24"/>
          <w:szCs w:val="24"/>
        </w:rPr>
      </w:pPr>
      <w:bookmarkStart w:id="1" w:name="_Hlk534744852"/>
      <w:r w:rsidRPr="009D0C1D">
        <w:rPr>
          <w:rFonts w:cstheme="minorHAnsi"/>
          <w:sz w:val="24"/>
          <w:szCs w:val="24"/>
        </w:rPr>
        <w:t>Francisco Estrada V.</w:t>
      </w:r>
    </w:p>
    <w:p w14:paraId="0DE1033E" w14:textId="77777777" w:rsidR="00BC6A6C" w:rsidRPr="009D0C1D" w:rsidRDefault="00BC6A6C" w:rsidP="009D0C1D">
      <w:pPr>
        <w:spacing w:after="0"/>
        <w:jc w:val="center"/>
        <w:rPr>
          <w:rFonts w:cstheme="minorHAnsi"/>
          <w:sz w:val="24"/>
          <w:szCs w:val="24"/>
        </w:rPr>
      </w:pPr>
      <w:r w:rsidRPr="009D0C1D">
        <w:rPr>
          <w:rFonts w:cstheme="minorHAnsi"/>
          <w:sz w:val="24"/>
          <w:szCs w:val="24"/>
        </w:rPr>
        <w:t>Director Ejecutivo Co</w:t>
      </w:r>
      <w:r w:rsidR="009D0C1D">
        <w:rPr>
          <w:rFonts w:cstheme="minorHAnsi"/>
          <w:sz w:val="24"/>
          <w:szCs w:val="24"/>
        </w:rPr>
        <w:t>r</w:t>
      </w:r>
      <w:r w:rsidRPr="009D0C1D">
        <w:rPr>
          <w:rFonts w:cstheme="minorHAnsi"/>
          <w:sz w:val="24"/>
          <w:szCs w:val="24"/>
        </w:rPr>
        <w:t>poración INFAJUS (Chile)</w:t>
      </w:r>
    </w:p>
    <w:bookmarkEnd w:id="1"/>
    <w:p w14:paraId="0C461348" w14:textId="77777777" w:rsidR="00BC6A6C" w:rsidRPr="009D0C1D" w:rsidRDefault="00BC6A6C">
      <w:pPr>
        <w:rPr>
          <w:rFonts w:cstheme="minorHAnsi"/>
          <w:sz w:val="24"/>
          <w:szCs w:val="24"/>
        </w:rPr>
      </w:pPr>
    </w:p>
    <w:p w14:paraId="775E55A5" w14:textId="77777777" w:rsidR="009D0C1D" w:rsidRDefault="009D0C1D">
      <w:pPr>
        <w:rPr>
          <w:rFonts w:cstheme="minorHAnsi"/>
          <w:sz w:val="24"/>
          <w:szCs w:val="24"/>
        </w:rPr>
      </w:pPr>
    </w:p>
    <w:p w14:paraId="79088663" w14:textId="678D0E74" w:rsidR="009D0C1D" w:rsidRPr="004E1CB2" w:rsidRDefault="004E1CB2">
      <w:pPr>
        <w:rPr>
          <w:rFonts w:cstheme="minorHAnsi"/>
          <w:sz w:val="24"/>
          <w:szCs w:val="24"/>
          <w:u w:val="single"/>
        </w:rPr>
      </w:pPr>
      <w:r w:rsidRPr="004E1CB2">
        <w:rPr>
          <w:rFonts w:cstheme="minorHAnsi"/>
          <w:sz w:val="24"/>
          <w:szCs w:val="24"/>
          <w:u w:val="single"/>
        </w:rPr>
        <w:t xml:space="preserve">Comentario a N° </w:t>
      </w:r>
      <w:r w:rsidR="00471EE3">
        <w:rPr>
          <w:rFonts w:cstheme="minorHAnsi"/>
          <w:sz w:val="24"/>
          <w:szCs w:val="24"/>
          <w:u w:val="single"/>
        </w:rPr>
        <w:t>53</w:t>
      </w:r>
      <w:r w:rsidR="00060B8A">
        <w:rPr>
          <w:rFonts w:cstheme="minorHAnsi"/>
          <w:sz w:val="24"/>
          <w:szCs w:val="24"/>
          <w:u w:val="single"/>
        </w:rPr>
        <w:t xml:space="preserve"> y N° 70</w:t>
      </w:r>
      <w:r w:rsidRPr="004E1CB2">
        <w:rPr>
          <w:rFonts w:cstheme="minorHAnsi"/>
          <w:sz w:val="24"/>
          <w:szCs w:val="24"/>
          <w:u w:val="single"/>
        </w:rPr>
        <w:t>:</w:t>
      </w:r>
    </w:p>
    <w:p w14:paraId="57187016" w14:textId="77777777" w:rsidR="004E1CB2" w:rsidRDefault="004E1C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Estados deben asegurar el respeto del derecho del niño a guardar silencio y no auto incriminarse. </w:t>
      </w:r>
      <w:r w:rsidR="007460F4">
        <w:rPr>
          <w:rFonts w:cstheme="minorHAnsi"/>
          <w:sz w:val="24"/>
          <w:szCs w:val="24"/>
        </w:rPr>
        <w:t xml:space="preserve">La renuncia a este derecho debe contar con garantías de que fue realizada con conocimiento de sus consecuencias, y de manera libre y voluntaria. </w:t>
      </w:r>
    </w:p>
    <w:p w14:paraId="5F90DA07" w14:textId="77777777" w:rsidR="007460F4" w:rsidRDefault="007460F4">
      <w:pPr>
        <w:rPr>
          <w:rFonts w:cstheme="minorHAnsi"/>
          <w:sz w:val="24"/>
          <w:szCs w:val="24"/>
        </w:rPr>
      </w:pPr>
    </w:p>
    <w:p w14:paraId="530916CF" w14:textId="62E571C3" w:rsidR="00BC6A6C" w:rsidRPr="00072957" w:rsidRDefault="00BC6A6C">
      <w:pPr>
        <w:rPr>
          <w:rFonts w:cstheme="minorHAnsi"/>
          <w:sz w:val="24"/>
          <w:szCs w:val="24"/>
          <w:u w:val="single"/>
        </w:rPr>
      </w:pPr>
      <w:r w:rsidRPr="00072957">
        <w:rPr>
          <w:rFonts w:cstheme="minorHAnsi"/>
          <w:sz w:val="24"/>
          <w:szCs w:val="24"/>
          <w:u w:val="single"/>
        </w:rPr>
        <w:t xml:space="preserve">Comentario a N° </w:t>
      </w:r>
      <w:r w:rsidR="00060B8A">
        <w:rPr>
          <w:rFonts w:cstheme="minorHAnsi"/>
          <w:sz w:val="24"/>
          <w:szCs w:val="24"/>
          <w:u w:val="single"/>
        </w:rPr>
        <w:t>60</w:t>
      </w:r>
      <w:r w:rsidRPr="00072957">
        <w:rPr>
          <w:rFonts w:cstheme="minorHAnsi"/>
          <w:sz w:val="24"/>
          <w:szCs w:val="24"/>
          <w:u w:val="single"/>
        </w:rPr>
        <w:t>:</w:t>
      </w:r>
    </w:p>
    <w:p w14:paraId="1EBCDBFE" w14:textId="77777777" w:rsidR="00BC6A6C" w:rsidRDefault="00BC6A6C" w:rsidP="009D0C1D">
      <w:pPr>
        <w:jc w:val="both"/>
        <w:rPr>
          <w:rFonts w:cstheme="minorHAnsi"/>
          <w:sz w:val="24"/>
          <w:szCs w:val="24"/>
        </w:rPr>
      </w:pPr>
      <w:r w:rsidRPr="009D0C1D">
        <w:rPr>
          <w:rFonts w:cstheme="minorHAnsi"/>
          <w:sz w:val="24"/>
          <w:szCs w:val="24"/>
        </w:rPr>
        <w:t xml:space="preserve">Los Estados tienen el deber de otorgar a todos los niños y niñas el nivel más alto de calidad de su sistema penal de </w:t>
      </w:r>
      <w:r w:rsidR="00CF0677">
        <w:rPr>
          <w:rFonts w:cstheme="minorHAnsi"/>
          <w:sz w:val="24"/>
          <w:szCs w:val="24"/>
        </w:rPr>
        <w:t xml:space="preserve">defensa </w:t>
      </w:r>
      <w:r w:rsidRPr="009D0C1D">
        <w:rPr>
          <w:rFonts w:cstheme="minorHAnsi"/>
          <w:sz w:val="24"/>
          <w:szCs w:val="24"/>
        </w:rPr>
        <w:t>jurídica gratuita y especializada. La formación en litigación</w:t>
      </w:r>
      <w:r w:rsidR="009D0C1D">
        <w:rPr>
          <w:rFonts w:cstheme="minorHAnsi"/>
          <w:sz w:val="24"/>
          <w:szCs w:val="24"/>
        </w:rPr>
        <w:t xml:space="preserve"> debe incluir la perspectiva de la psicología sobre desarrollo adolescente, criminología</w:t>
      </w:r>
      <w:r w:rsidR="00555653">
        <w:rPr>
          <w:rFonts w:cstheme="minorHAnsi"/>
          <w:sz w:val="24"/>
          <w:szCs w:val="24"/>
        </w:rPr>
        <w:t xml:space="preserve"> juvenil</w:t>
      </w:r>
      <w:r w:rsidR="009D0C1D">
        <w:rPr>
          <w:rFonts w:cstheme="minorHAnsi"/>
          <w:sz w:val="24"/>
          <w:szCs w:val="24"/>
        </w:rPr>
        <w:t>, intervenciones basadas en evidencia, Convención sobre derechos del niño, deberes éticos del defensor del niño,</w:t>
      </w:r>
      <w:r w:rsidR="00555653">
        <w:rPr>
          <w:rFonts w:cstheme="minorHAnsi"/>
          <w:sz w:val="24"/>
          <w:szCs w:val="24"/>
        </w:rPr>
        <w:t xml:space="preserve"> entre otros.</w:t>
      </w:r>
      <w:r w:rsidR="009D0C1D">
        <w:rPr>
          <w:rFonts w:cstheme="minorHAnsi"/>
          <w:sz w:val="24"/>
          <w:szCs w:val="24"/>
        </w:rPr>
        <w:t xml:space="preserve"> </w:t>
      </w:r>
    </w:p>
    <w:p w14:paraId="4E505C1D" w14:textId="77777777" w:rsidR="00555653" w:rsidRDefault="00CF0677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especialización debe expresarse además de la formación y capacitación permanente, en rutinas de trabajo, indicadores de gestión, espacios idóneos, recursos adecuados, horarios acordes a la vida adolescente. </w:t>
      </w:r>
    </w:p>
    <w:p w14:paraId="7BEAB141" w14:textId="77777777" w:rsidR="00CF0677" w:rsidRDefault="00CF0677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defensa jurídica </w:t>
      </w:r>
      <w:r w:rsidR="0055626E">
        <w:rPr>
          <w:rFonts w:cstheme="minorHAnsi"/>
          <w:sz w:val="24"/>
          <w:szCs w:val="24"/>
        </w:rPr>
        <w:t xml:space="preserve">especializada </w:t>
      </w:r>
      <w:r>
        <w:rPr>
          <w:rFonts w:cstheme="minorHAnsi"/>
          <w:sz w:val="24"/>
          <w:szCs w:val="24"/>
        </w:rPr>
        <w:t>debe cubrir la fase de ejecución de la pena o medida</w:t>
      </w:r>
      <w:r w:rsidR="009D7B20">
        <w:rPr>
          <w:rFonts w:cstheme="minorHAnsi"/>
          <w:sz w:val="24"/>
          <w:szCs w:val="24"/>
        </w:rPr>
        <w:t>.</w:t>
      </w:r>
    </w:p>
    <w:p w14:paraId="759EF9F4" w14:textId="77777777" w:rsidR="009D7B20" w:rsidRDefault="009D7B20" w:rsidP="009D0C1D">
      <w:pPr>
        <w:jc w:val="both"/>
        <w:rPr>
          <w:rFonts w:cstheme="minorHAnsi"/>
          <w:sz w:val="24"/>
          <w:szCs w:val="24"/>
        </w:rPr>
      </w:pPr>
    </w:p>
    <w:p w14:paraId="6EE802D8" w14:textId="43FFC435" w:rsidR="009D7B20" w:rsidRPr="00072957" w:rsidRDefault="009D7B20" w:rsidP="009D0C1D">
      <w:pPr>
        <w:jc w:val="both"/>
        <w:rPr>
          <w:rFonts w:cstheme="minorHAnsi"/>
          <w:sz w:val="24"/>
          <w:szCs w:val="24"/>
          <w:u w:val="single"/>
        </w:rPr>
      </w:pPr>
      <w:r w:rsidRPr="00072957">
        <w:rPr>
          <w:rFonts w:cstheme="minorHAnsi"/>
          <w:sz w:val="24"/>
          <w:szCs w:val="24"/>
          <w:u w:val="single"/>
        </w:rPr>
        <w:t xml:space="preserve">Comentario a N° </w:t>
      </w:r>
      <w:r w:rsidR="00060B8A">
        <w:rPr>
          <w:rFonts w:cstheme="minorHAnsi"/>
          <w:sz w:val="24"/>
          <w:szCs w:val="24"/>
          <w:u w:val="single"/>
        </w:rPr>
        <w:t>85</w:t>
      </w:r>
      <w:r w:rsidRPr="00072957">
        <w:rPr>
          <w:rFonts w:cstheme="minorHAnsi"/>
          <w:sz w:val="24"/>
          <w:szCs w:val="24"/>
          <w:u w:val="single"/>
        </w:rPr>
        <w:t>:</w:t>
      </w:r>
    </w:p>
    <w:p w14:paraId="55C20663" w14:textId="3A52B646" w:rsidR="009D7B20" w:rsidRDefault="009D7B20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modo de resguardar que la respuesta que se dé al delito sea proporcional a la infracción y también a la edad, </w:t>
      </w:r>
      <w:r w:rsidRPr="009D7B20">
        <w:rPr>
          <w:rFonts w:cstheme="minorHAnsi"/>
          <w:sz w:val="24"/>
          <w:szCs w:val="24"/>
        </w:rPr>
        <w:t xml:space="preserve">circunstancias y necesidades del </w:t>
      </w:r>
      <w:r>
        <w:rPr>
          <w:rFonts w:cstheme="minorHAnsi"/>
          <w:sz w:val="24"/>
          <w:szCs w:val="24"/>
        </w:rPr>
        <w:t>niño, se deberán realizar evaluaciones psico sociales que aporten información con ese objetivo a los tomadores de decisión.</w:t>
      </w:r>
    </w:p>
    <w:p w14:paraId="0F7BEFCA" w14:textId="77777777" w:rsidR="00072957" w:rsidRDefault="00072957" w:rsidP="009D0C1D">
      <w:pPr>
        <w:jc w:val="both"/>
        <w:rPr>
          <w:rFonts w:cstheme="minorHAnsi"/>
          <w:sz w:val="24"/>
          <w:szCs w:val="24"/>
        </w:rPr>
      </w:pPr>
    </w:p>
    <w:p w14:paraId="20AADA79" w14:textId="5AAFA989" w:rsidR="003459BD" w:rsidRPr="003E7E24" w:rsidRDefault="00072957" w:rsidP="009D0C1D">
      <w:pPr>
        <w:jc w:val="both"/>
        <w:rPr>
          <w:rFonts w:cstheme="minorHAnsi"/>
          <w:sz w:val="24"/>
          <w:szCs w:val="24"/>
          <w:u w:val="single"/>
        </w:rPr>
      </w:pPr>
      <w:r w:rsidRPr="003E7E24">
        <w:rPr>
          <w:rFonts w:cstheme="minorHAnsi"/>
          <w:sz w:val="24"/>
          <w:szCs w:val="24"/>
          <w:u w:val="single"/>
        </w:rPr>
        <w:t xml:space="preserve">Comentario a N° </w:t>
      </w:r>
      <w:r w:rsidR="00060B8A">
        <w:rPr>
          <w:rFonts w:cstheme="minorHAnsi"/>
          <w:sz w:val="24"/>
          <w:szCs w:val="24"/>
          <w:u w:val="single"/>
        </w:rPr>
        <w:t>89</w:t>
      </w:r>
      <w:r w:rsidRPr="003E7E24">
        <w:rPr>
          <w:rFonts w:cstheme="minorHAnsi"/>
          <w:sz w:val="24"/>
          <w:szCs w:val="24"/>
          <w:u w:val="single"/>
        </w:rPr>
        <w:t>:</w:t>
      </w:r>
    </w:p>
    <w:p w14:paraId="558C0F60" w14:textId="77777777" w:rsidR="003E7E24" w:rsidRPr="003E7E24" w:rsidRDefault="003E7E24" w:rsidP="009D0C1D">
      <w:pPr>
        <w:jc w:val="both"/>
        <w:rPr>
          <w:rFonts w:cstheme="minorHAnsi"/>
          <w:b/>
          <w:sz w:val="24"/>
          <w:szCs w:val="24"/>
        </w:rPr>
      </w:pPr>
      <w:r w:rsidRPr="003E7E24">
        <w:rPr>
          <w:rFonts w:cstheme="minorHAnsi"/>
          <w:b/>
          <w:sz w:val="24"/>
          <w:szCs w:val="24"/>
        </w:rPr>
        <w:t>Agregar sobre fase de cumplimiento</w:t>
      </w:r>
    </w:p>
    <w:p w14:paraId="7936B149" w14:textId="77777777" w:rsidR="003459BD" w:rsidRDefault="00072957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intervención durante la medida o condena debe contar con regulación legal, con posibilidad de control judicial y debe ofrecer al adolescente la oportunidad de participar de modo de ser sujeto de la intervención y no un mero objeto de ésta.</w:t>
      </w:r>
    </w:p>
    <w:p w14:paraId="423C2E70" w14:textId="77777777" w:rsidR="003459BD" w:rsidRPr="00072957" w:rsidRDefault="003459BD" w:rsidP="003459BD">
      <w:pPr>
        <w:jc w:val="both"/>
        <w:rPr>
          <w:rFonts w:ascii="Calibri" w:hAnsi="Calibri" w:cs="Calibri"/>
          <w:sz w:val="24"/>
          <w:szCs w:val="24"/>
        </w:rPr>
      </w:pPr>
      <w:r w:rsidRPr="00072957">
        <w:rPr>
          <w:rFonts w:ascii="Calibri" w:hAnsi="Calibri" w:cs="Calibri"/>
          <w:sz w:val="24"/>
          <w:szCs w:val="24"/>
        </w:rPr>
        <w:t xml:space="preserve">La intervención </w:t>
      </w:r>
      <w:r w:rsidR="00072957">
        <w:rPr>
          <w:rFonts w:ascii="Calibri" w:hAnsi="Calibri" w:cs="Calibri"/>
          <w:sz w:val="24"/>
          <w:szCs w:val="24"/>
        </w:rPr>
        <w:t xml:space="preserve">debe </w:t>
      </w:r>
      <w:r w:rsidRPr="00072957">
        <w:rPr>
          <w:rFonts w:ascii="Calibri" w:hAnsi="Calibri" w:cs="Calibri"/>
          <w:sz w:val="24"/>
          <w:szCs w:val="24"/>
        </w:rPr>
        <w:t>est</w:t>
      </w:r>
      <w:r w:rsidR="00072957">
        <w:rPr>
          <w:rFonts w:ascii="Calibri" w:hAnsi="Calibri" w:cs="Calibri"/>
          <w:sz w:val="24"/>
          <w:szCs w:val="24"/>
        </w:rPr>
        <w:t>ar</w:t>
      </w:r>
      <w:r w:rsidRPr="00072957">
        <w:rPr>
          <w:rFonts w:ascii="Calibri" w:hAnsi="Calibri" w:cs="Calibri"/>
          <w:sz w:val="24"/>
          <w:szCs w:val="24"/>
        </w:rPr>
        <w:t xml:space="preserve"> sujeta</w:t>
      </w:r>
      <w:r w:rsidR="00072957">
        <w:rPr>
          <w:rFonts w:ascii="Calibri" w:hAnsi="Calibri" w:cs="Calibri"/>
          <w:sz w:val="24"/>
          <w:szCs w:val="24"/>
        </w:rPr>
        <w:t xml:space="preserve"> </w:t>
      </w:r>
      <w:r w:rsidRPr="00072957">
        <w:rPr>
          <w:rFonts w:ascii="Calibri" w:hAnsi="Calibri" w:cs="Calibri"/>
          <w:sz w:val="24"/>
          <w:szCs w:val="24"/>
        </w:rPr>
        <w:t>a determinados límites:</w:t>
      </w:r>
    </w:p>
    <w:p w14:paraId="19CE4E57" w14:textId="77777777" w:rsidR="003459BD" w:rsidRPr="00072957" w:rsidRDefault="003459BD" w:rsidP="003459BD">
      <w:pPr>
        <w:jc w:val="both"/>
        <w:rPr>
          <w:rFonts w:ascii="Calibri" w:hAnsi="Calibri" w:cs="Calibri"/>
          <w:sz w:val="24"/>
          <w:szCs w:val="24"/>
        </w:rPr>
      </w:pPr>
      <w:r w:rsidRPr="00072957">
        <w:rPr>
          <w:rFonts w:ascii="Calibri" w:hAnsi="Calibri" w:cs="Calibri"/>
          <w:sz w:val="24"/>
          <w:szCs w:val="24"/>
        </w:rPr>
        <w:lastRenderedPageBreak/>
        <w:t>a.</w:t>
      </w:r>
      <w:r w:rsidRPr="00072957">
        <w:rPr>
          <w:rFonts w:ascii="Calibri" w:hAnsi="Calibri" w:cs="Calibri"/>
          <w:sz w:val="24"/>
          <w:szCs w:val="24"/>
        </w:rPr>
        <w:tab/>
        <w:t xml:space="preserve">Durante toda la intervención, deben otorgarse amplias garantías de resguardo al derecho a defensa, esto es, debe permitirse el acceso a la carpeta de ejecución al defensor o al profesional que éste designe y debe ser informado prontamente de decisiones técnicas que pueden alterar significativamente el plan </w:t>
      </w:r>
      <w:r w:rsidR="0055626E">
        <w:rPr>
          <w:rFonts w:ascii="Calibri" w:hAnsi="Calibri" w:cs="Calibri"/>
          <w:sz w:val="24"/>
          <w:szCs w:val="24"/>
        </w:rPr>
        <w:t xml:space="preserve">decidido </w:t>
      </w:r>
      <w:r w:rsidR="00072957">
        <w:rPr>
          <w:rFonts w:ascii="Calibri" w:hAnsi="Calibri" w:cs="Calibri"/>
          <w:sz w:val="24"/>
          <w:szCs w:val="24"/>
        </w:rPr>
        <w:t>inicialmente</w:t>
      </w:r>
      <w:r w:rsidRPr="00072957">
        <w:rPr>
          <w:rFonts w:ascii="Calibri" w:hAnsi="Calibri" w:cs="Calibri"/>
          <w:sz w:val="24"/>
          <w:szCs w:val="24"/>
        </w:rPr>
        <w:t>.</w:t>
      </w:r>
    </w:p>
    <w:p w14:paraId="1AA0164E" w14:textId="77777777" w:rsidR="003459BD" w:rsidRPr="00072957" w:rsidRDefault="003459BD" w:rsidP="003459BD">
      <w:pPr>
        <w:jc w:val="both"/>
        <w:rPr>
          <w:rFonts w:ascii="Calibri" w:hAnsi="Calibri" w:cs="Calibri"/>
          <w:sz w:val="24"/>
          <w:szCs w:val="24"/>
        </w:rPr>
      </w:pPr>
      <w:r w:rsidRPr="00072957">
        <w:rPr>
          <w:rFonts w:ascii="Calibri" w:hAnsi="Calibri" w:cs="Calibri"/>
          <w:sz w:val="24"/>
          <w:szCs w:val="24"/>
        </w:rPr>
        <w:t>b.</w:t>
      </w:r>
      <w:r w:rsidRPr="00072957">
        <w:rPr>
          <w:rFonts w:ascii="Calibri" w:hAnsi="Calibri" w:cs="Calibri"/>
          <w:sz w:val="24"/>
          <w:szCs w:val="24"/>
        </w:rPr>
        <w:tab/>
        <w:t>La intervención debe acogerse al principio de doble vía, esto es, que en cuanto penal asuma el grado de coactividad que eso conlleva, pero que en cuanto acceso a oferta pública de políticas universales, éste debe ser voluntario y no acarrear consecuencias punitivas o de agravamiento de la pena para el adolescente. Máxima oferta, mínima restricción de derechos.</w:t>
      </w:r>
    </w:p>
    <w:p w14:paraId="0A8478BE" w14:textId="77777777" w:rsidR="003459BD" w:rsidRPr="00072957" w:rsidRDefault="003459BD" w:rsidP="003459BD">
      <w:pPr>
        <w:jc w:val="both"/>
        <w:rPr>
          <w:rFonts w:ascii="Calibri" w:hAnsi="Calibri" w:cs="Calibri"/>
          <w:sz w:val="24"/>
          <w:szCs w:val="24"/>
        </w:rPr>
      </w:pPr>
      <w:r w:rsidRPr="00072957">
        <w:rPr>
          <w:rFonts w:ascii="Calibri" w:hAnsi="Calibri" w:cs="Calibri"/>
          <w:sz w:val="24"/>
          <w:szCs w:val="24"/>
        </w:rPr>
        <w:t>c.</w:t>
      </w:r>
      <w:r w:rsidRPr="00072957">
        <w:rPr>
          <w:rFonts w:ascii="Calibri" w:hAnsi="Calibri" w:cs="Calibri"/>
          <w:sz w:val="24"/>
          <w:szCs w:val="24"/>
        </w:rPr>
        <w:tab/>
        <w:t xml:space="preserve">La intervención tiene límites temporales y </w:t>
      </w:r>
      <w:r w:rsidR="00072957">
        <w:rPr>
          <w:rFonts w:ascii="Calibri" w:hAnsi="Calibri" w:cs="Calibri"/>
          <w:sz w:val="24"/>
          <w:szCs w:val="24"/>
        </w:rPr>
        <w:t>de fines</w:t>
      </w:r>
      <w:r w:rsidRPr="00072957">
        <w:rPr>
          <w:rFonts w:ascii="Calibri" w:hAnsi="Calibri" w:cs="Calibri"/>
          <w:sz w:val="24"/>
          <w:szCs w:val="24"/>
        </w:rPr>
        <w:t>, encuadrados ambos por el plan de intervención o ejecución, aprobado jurisdiccionalmente;</w:t>
      </w:r>
    </w:p>
    <w:p w14:paraId="1718D2AA" w14:textId="77777777" w:rsidR="003459BD" w:rsidRPr="00072957" w:rsidRDefault="003459BD" w:rsidP="003459BD">
      <w:pPr>
        <w:jc w:val="both"/>
        <w:rPr>
          <w:rFonts w:ascii="Calibri" w:hAnsi="Calibri" w:cs="Calibri"/>
          <w:sz w:val="24"/>
          <w:szCs w:val="24"/>
        </w:rPr>
      </w:pPr>
      <w:r w:rsidRPr="00072957">
        <w:rPr>
          <w:rFonts w:ascii="Calibri" w:hAnsi="Calibri" w:cs="Calibri"/>
          <w:sz w:val="24"/>
          <w:szCs w:val="24"/>
        </w:rPr>
        <w:t>d.</w:t>
      </w:r>
      <w:r w:rsidRPr="00072957">
        <w:rPr>
          <w:rFonts w:ascii="Calibri" w:hAnsi="Calibri" w:cs="Calibri"/>
          <w:sz w:val="24"/>
          <w:szCs w:val="24"/>
        </w:rPr>
        <w:tab/>
        <w:t>La intervención debe conjugar el deber de informar el incumplimiento y el desarrollo del plan al tribunal, con el deber de confidencialidad propio de una relación profesional.</w:t>
      </w:r>
    </w:p>
    <w:p w14:paraId="2E567BBB" w14:textId="77777777" w:rsidR="003459BD" w:rsidRDefault="003E7E24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opinión del adolescente también debe ser considerada al momento de evaluar el programa o centro donde cumple sus medida o sanción.</w:t>
      </w:r>
    </w:p>
    <w:p w14:paraId="46D582B6" w14:textId="77777777" w:rsidR="0075574E" w:rsidRPr="003E7E24" w:rsidRDefault="0075574E" w:rsidP="009D0C1D">
      <w:pPr>
        <w:jc w:val="both"/>
        <w:rPr>
          <w:rFonts w:cstheme="minorHAnsi"/>
          <w:b/>
          <w:sz w:val="24"/>
          <w:szCs w:val="24"/>
        </w:rPr>
      </w:pPr>
      <w:r w:rsidRPr="003E7E24">
        <w:rPr>
          <w:rFonts w:cstheme="minorHAnsi"/>
          <w:b/>
          <w:sz w:val="24"/>
          <w:szCs w:val="24"/>
        </w:rPr>
        <w:t>Revisión de la medida o sanción</w:t>
      </w:r>
      <w:r w:rsidR="00B23736" w:rsidRPr="003E7E24">
        <w:rPr>
          <w:rFonts w:cstheme="minorHAnsi"/>
          <w:b/>
          <w:sz w:val="24"/>
          <w:szCs w:val="24"/>
        </w:rPr>
        <w:t>.</w:t>
      </w:r>
    </w:p>
    <w:p w14:paraId="0804486D" w14:textId="77777777" w:rsidR="0075574E" w:rsidRPr="0075574E" w:rsidRDefault="0075574E" w:rsidP="00B23736">
      <w:pPr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En consideración a los fines de reinserción que orientan el sistema de justicia juvenil, las medidas y sancion</w:t>
      </w:r>
      <w:r w:rsidR="00B23736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>s deben ser periódicamente revisadas de</w:t>
      </w:r>
      <w:r w:rsidR="00B2373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modo de </w:t>
      </w:r>
      <w:r w:rsidR="00B23736">
        <w:rPr>
          <w:rFonts w:ascii="Calibri" w:hAnsi="Calibri" w:cs="Calibri"/>
          <w:bCs/>
          <w:sz w:val="24"/>
          <w:szCs w:val="24"/>
        </w:rPr>
        <w:t>ajustar con flexibilidad la duración y modalidad a estos objetivos.</w:t>
      </w:r>
    </w:p>
    <w:p w14:paraId="275B3BF1" w14:textId="77777777" w:rsidR="00072957" w:rsidRDefault="003E7E24" w:rsidP="009D0C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estas revisiones será útil contar con informes sobre el cumplimiento de la sanción o medida, pero también será de utilidad la presencia del adolescente y la visita del juez al centro o programa.</w:t>
      </w:r>
    </w:p>
    <w:p w14:paraId="721744D2" w14:textId="77777777" w:rsidR="003E7E24" w:rsidRPr="009D0C1D" w:rsidRDefault="003E7E24" w:rsidP="009D0C1D">
      <w:pPr>
        <w:jc w:val="both"/>
        <w:rPr>
          <w:rFonts w:cstheme="minorHAnsi"/>
          <w:sz w:val="24"/>
          <w:szCs w:val="24"/>
        </w:rPr>
      </w:pPr>
    </w:p>
    <w:sectPr w:rsidR="003E7E24" w:rsidRPr="009D0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8339" w14:textId="77777777" w:rsidR="00144F47" w:rsidRDefault="00144F47" w:rsidP="0075574E">
      <w:pPr>
        <w:spacing w:after="0" w:line="240" w:lineRule="auto"/>
      </w:pPr>
      <w:r>
        <w:separator/>
      </w:r>
    </w:p>
  </w:endnote>
  <w:endnote w:type="continuationSeparator" w:id="0">
    <w:p w14:paraId="2A5D8022" w14:textId="77777777" w:rsidR="00144F47" w:rsidRDefault="00144F47" w:rsidP="0075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B03A" w14:textId="77777777" w:rsidR="00144F47" w:rsidRDefault="00144F47" w:rsidP="0075574E">
      <w:pPr>
        <w:spacing w:after="0" w:line="240" w:lineRule="auto"/>
      </w:pPr>
      <w:r>
        <w:separator/>
      </w:r>
    </w:p>
  </w:footnote>
  <w:footnote w:type="continuationSeparator" w:id="0">
    <w:p w14:paraId="7448D003" w14:textId="77777777" w:rsidR="00144F47" w:rsidRDefault="00144F47" w:rsidP="0075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C"/>
    <w:rsid w:val="00060B8A"/>
    <w:rsid w:val="00072957"/>
    <w:rsid w:val="00144F47"/>
    <w:rsid w:val="003432B0"/>
    <w:rsid w:val="003459BD"/>
    <w:rsid w:val="003E7E24"/>
    <w:rsid w:val="00471EE3"/>
    <w:rsid w:val="004E1CB2"/>
    <w:rsid w:val="004F4EE5"/>
    <w:rsid w:val="005166B2"/>
    <w:rsid w:val="00555653"/>
    <w:rsid w:val="0055626E"/>
    <w:rsid w:val="007460F4"/>
    <w:rsid w:val="0075574E"/>
    <w:rsid w:val="007813BD"/>
    <w:rsid w:val="009D0C1D"/>
    <w:rsid w:val="009D7B20"/>
    <w:rsid w:val="00A87A60"/>
    <w:rsid w:val="00B23736"/>
    <w:rsid w:val="00BC6A6C"/>
    <w:rsid w:val="00CF0677"/>
    <w:rsid w:val="00D116EB"/>
    <w:rsid w:val="00E67781"/>
    <w:rsid w:val="00FA6D0B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41E5"/>
  <w15:chartTrackingRefBased/>
  <w15:docId w15:val="{606C263F-CA02-4A94-B935-7D266EE8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459BD"/>
    <w:rPr>
      <w:i/>
      <w:iCs/>
    </w:rPr>
  </w:style>
  <w:style w:type="character" w:styleId="FootnoteReference">
    <w:name w:val="footnote reference"/>
    <w:basedOn w:val="DefaultParagraphFont"/>
    <w:semiHidden/>
    <w:rsid w:val="00755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1A921-0CFE-4F35-8CBC-AF592DF09783}"/>
</file>

<file path=customXml/itemProps2.xml><?xml version="1.0" encoding="utf-8"?>
<ds:datastoreItem xmlns:ds="http://schemas.openxmlformats.org/officeDocument/2006/customXml" ds:itemID="{7C004950-D7E0-42E8-93CE-72FCA7841247}"/>
</file>

<file path=customXml/itemProps3.xml><?xml version="1.0" encoding="utf-8"?>
<ds:datastoreItem xmlns:ds="http://schemas.openxmlformats.org/officeDocument/2006/customXml" ds:itemID="{67C62D9E-2DF6-4013-82F7-08530E96E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Estrada</dc:creator>
  <cp:keywords/>
  <dc:description/>
  <cp:lastModifiedBy>BOIT James</cp:lastModifiedBy>
  <cp:revision>2</cp:revision>
  <cp:lastPrinted>2019-01-09T00:24:00Z</cp:lastPrinted>
  <dcterms:created xsi:type="dcterms:W3CDTF">2019-01-13T14:56:00Z</dcterms:created>
  <dcterms:modified xsi:type="dcterms:W3CDTF">2019-01-13T14:56:00Z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