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5C84C" w14:textId="77777777" w:rsidR="002D6322" w:rsidRPr="002B1107" w:rsidRDefault="002D6322" w:rsidP="008B6D11">
      <w:pPr>
        <w:pStyle w:val="NoSpacing"/>
        <w:jc w:val="center"/>
        <w:rPr>
          <w:b/>
          <w:sz w:val="21"/>
          <w:lang w:val="en-GB"/>
        </w:rPr>
      </w:pPr>
      <w:bookmarkStart w:id="0" w:name="_GoBack"/>
      <w:bookmarkEnd w:id="0"/>
      <w:r w:rsidRPr="002B1107">
        <w:rPr>
          <w:b/>
          <w:noProof/>
          <w:sz w:val="21"/>
          <w:lang w:val="en-GB" w:eastAsia="en-GB"/>
        </w:rPr>
        <w:drawing>
          <wp:inline distT="0" distB="0" distL="0" distR="0" wp14:anchorId="73EBCCDF" wp14:editId="399649C8">
            <wp:extent cx="2044402" cy="1135781"/>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 - Algemeen Internationaal - RGB-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4402" cy="1135781"/>
                    </a:xfrm>
                    <a:prstGeom prst="rect">
                      <a:avLst/>
                    </a:prstGeom>
                  </pic:spPr>
                </pic:pic>
              </a:graphicData>
            </a:graphic>
          </wp:inline>
        </w:drawing>
      </w:r>
    </w:p>
    <w:p w14:paraId="4281CD8C" w14:textId="77777777" w:rsidR="000C7F07" w:rsidRPr="002B1107" w:rsidRDefault="002D6322" w:rsidP="00C1633A">
      <w:pPr>
        <w:pStyle w:val="NoSpacing"/>
        <w:jc w:val="center"/>
        <w:outlineLvl w:val="0"/>
        <w:rPr>
          <w:b/>
          <w:sz w:val="21"/>
          <w:lang w:val="en-GB"/>
        </w:rPr>
      </w:pPr>
      <w:r w:rsidRPr="002B1107">
        <w:rPr>
          <w:b/>
          <w:sz w:val="21"/>
          <w:lang w:val="en-GB"/>
        </w:rPr>
        <w:t>Comments on Draft General Comment No. 24 (201x),</w:t>
      </w:r>
    </w:p>
    <w:p w14:paraId="08B75613" w14:textId="77777777" w:rsidR="002D6322" w:rsidRPr="002B1107" w:rsidRDefault="002D6322" w:rsidP="00C1633A">
      <w:pPr>
        <w:pStyle w:val="NoSpacing"/>
        <w:jc w:val="center"/>
        <w:outlineLvl w:val="0"/>
        <w:rPr>
          <w:b/>
          <w:sz w:val="21"/>
          <w:lang w:val="en-GB"/>
        </w:rPr>
      </w:pPr>
      <w:r w:rsidRPr="002B1107">
        <w:rPr>
          <w:b/>
          <w:sz w:val="21"/>
          <w:lang w:val="en-GB"/>
        </w:rPr>
        <w:t>replacing General Comment 10 (2007)</w:t>
      </w:r>
      <w:r w:rsidR="00CD3AEB" w:rsidRPr="002B1107">
        <w:rPr>
          <w:b/>
          <w:sz w:val="21"/>
          <w:lang w:val="en-GB"/>
        </w:rPr>
        <w:t xml:space="preserve"> </w:t>
      </w:r>
      <w:r w:rsidR="00C90D3C" w:rsidRPr="002B1107">
        <w:rPr>
          <w:b/>
          <w:sz w:val="21"/>
          <w:lang w:val="en-GB"/>
        </w:rPr>
        <w:t>on Children’s rights in juvenile justice</w:t>
      </w:r>
    </w:p>
    <w:p w14:paraId="7C6DD743" w14:textId="77777777" w:rsidR="002D6322" w:rsidRPr="002B1107" w:rsidRDefault="002D6322" w:rsidP="008B6D11">
      <w:pPr>
        <w:pStyle w:val="NoSpacing"/>
        <w:jc w:val="center"/>
        <w:rPr>
          <w:b/>
          <w:sz w:val="21"/>
          <w:lang w:val="en-GB"/>
        </w:rPr>
      </w:pPr>
    </w:p>
    <w:p w14:paraId="1CE826AB" w14:textId="77777777" w:rsidR="002D6322" w:rsidRPr="002B1107" w:rsidRDefault="002D6322" w:rsidP="00C1633A">
      <w:pPr>
        <w:pStyle w:val="NoSpacing"/>
        <w:jc w:val="center"/>
        <w:outlineLvl w:val="0"/>
        <w:rPr>
          <w:i/>
          <w:sz w:val="21"/>
          <w:lang w:val="en-GB"/>
        </w:rPr>
      </w:pPr>
      <w:r w:rsidRPr="002B1107">
        <w:rPr>
          <w:i/>
          <w:sz w:val="21"/>
          <w:lang w:val="en-GB"/>
        </w:rPr>
        <w:t>Department of Child Law, Leiden Law School, Leiden University, The Netherlands</w:t>
      </w:r>
    </w:p>
    <w:p w14:paraId="11203562" w14:textId="1AB891DA" w:rsidR="00234037" w:rsidRPr="002B1107" w:rsidRDefault="00234037" w:rsidP="00C1633A">
      <w:pPr>
        <w:pStyle w:val="NoSpacing"/>
        <w:jc w:val="center"/>
        <w:outlineLvl w:val="0"/>
        <w:rPr>
          <w:sz w:val="21"/>
          <w:lang w:val="en-GB"/>
        </w:rPr>
      </w:pPr>
      <w:r w:rsidRPr="002B1107">
        <w:rPr>
          <w:sz w:val="21"/>
          <w:lang w:val="en-GB"/>
        </w:rPr>
        <w:t xml:space="preserve">Leiden, </w:t>
      </w:r>
      <w:r w:rsidR="00D37DD4">
        <w:rPr>
          <w:sz w:val="21"/>
          <w:lang w:val="en-GB"/>
        </w:rPr>
        <w:t>7</w:t>
      </w:r>
      <w:r w:rsidR="00172A54" w:rsidRPr="002B1107">
        <w:rPr>
          <w:sz w:val="21"/>
          <w:lang w:val="en-GB"/>
        </w:rPr>
        <w:t xml:space="preserve"> January 2019</w:t>
      </w:r>
      <w:r w:rsidR="000A6D9F" w:rsidRPr="002B1107">
        <w:rPr>
          <w:rStyle w:val="FootnoteReference"/>
          <w:sz w:val="21"/>
          <w:lang w:val="en-GB"/>
        </w:rPr>
        <w:footnoteReference w:id="1"/>
      </w:r>
    </w:p>
    <w:p w14:paraId="1BAC9A1D" w14:textId="77777777" w:rsidR="002D6322" w:rsidRPr="002B1107" w:rsidRDefault="002D6322" w:rsidP="008B6D11">
      <w:pPr>
        <w:pStyle w:val="NoSpacing"/>
        <w:jc w:val="both"/>
        <w:rPr>
          <w:b/>
          <w:sz w:val="21"/>
          <w:lang w:val="en-GB"/>
        </w:rPr>
      </w:pPr>
    </w:p>
    <w:p w14:paraId="47A11623" w14:textId="5E12ED51" w:rsidR="002D6322" w:rsidRPr="002B1107" w:rsidRDefault="002D6322" w:rsidP="00C1633A">
      <w:pPr>
        <w:pStyle w:val="NoSpacing"/>
        <w:jc w:val="both"/>
        <w:outlineLvl w:val="0"/>
        <w:rPr>
          <w:b/>
          <w:sz w:val="21"/>
          <w:lang w:val="en-GB"/>
        </w:rPr>
      </w:pPr>
      <w:r w:rsidRPr="002B1107">
        <w:rPr>
          <w:b/>
          <w:sz w:val="21"/>
          <w:lang w:val="en-GB"/>
        </w:rPr>
        <w:t>Introduction</w:t>
      </w:r>
    </w:p>
    <w:p w14:paraId="09DB211F" w14:textId="77777777" w:rsidR="002D6322" w:rsidRPr="002B1107" w:rsidRDefault="002D6322" w:rsidP="008B6D11">
      <w:pPr>
        <w:pStyle w:val="NoSpacing"/>
        <w:jc w:val="both"/>
        <w:rPr>
          <w:b/>
          <w:sz w:val="21"/>
          <w:lang w:val="en-GB"/>
        </w:rPr>
      </w:pPr>
    </w:p>
    <w:p w14:paraId="36926506" w14:textId="24BFFF8E" w:rsidR="00CD3AEB" w:rsidRPr="002B1107" w:rsidRDefault="00CD3AEB" w:rsidP="008B6D11">
      <w:pPr>
        <w:pStyle w:val="NoSpacing"/>
        <w:jc w:val="both"/>
        <w:rPr>
          <w:sz w:val="21"/>
          <w:lang w:val="en-GB"/>
        </w:rPr>
      </w:pPr>
      <w:r w:rsidRPr="002B1107">
        <w:rPr>
          <w:sz w:val="21"/>
          <w:lang w:val="en-GB"/>
        </w:rPr>
        <w:t>These comments aim to support the UN Committee on the Rights of Child (the Committee) with the revision of its General Comment No. 10 (2007) on children’s rights in juvenile justice. </w:t>
      </w:r>
      <w:r w:rsidR="00B33FFF" w:rsidRPr="002B1107">
        <w:rPr>
          <w:sz w:val="21"/>
          <w:lang w:val="en-GB"/>
        </w:rPr>
        <w:t>We concur with the Committee that this</w:t>
      </w:r>
      <w:r w:rsidRPr="002B1107">
        <w:rPr>
          <w:sz w:val="21"/>
          <w:lang w:val="en-GB"/>
        </w:rPr>
        <w:t xml:space="preserve"> General Comment </w:t>
      </w:r>
      <w:r w:rsidR="00B33FFF" w:rsidRPr="002B1107">
        <w:rPr>
          <w:sz w:val="21"/>
          <w:lang w:val="en-GB"/>
        </w:rPr>
        <w:t>could benefit from</w:t>
      </w:r>
      <w:r w:rsidRPr="002B1107">
        <w:rPr>
          <w:sz w:val="21"/>
          <w:lang w:val="en-GB"/>
        </w:rPr>
        <w:t xml:space="preserve"> </w:t>
      </w:r>
      <w:r w:rsidR="000C7F07" w:rsidRPr="002B1107">
        <w:rPr>
          <w:sz w:val="21"/>
          <w:lang w:val="en-GB"/>
        </w:rPr>
        <w:t>an update</w:t>
      </w:r>
      <w:r w:rsidRPr="002B1107">
        <w:rPr>
          <w:sz w:val="21"/>
          <w:lang w:val="en-GB"/>
        </w:rPr>
        <w:t xml:space="preserve"> in light of the developments since </w:t>
      </w:r>
      <w:r w:rsidR="000C7F07" w:rsidRPr="002B1107">
        <w:rPr>
          <w:sz w:val="21"/>
          <w:lang w:val="en-GB"/>
        </w:rPr>
        <w:t>its adoption in 2007</w:t>
      </w:r>
      <w:r w:rsidRPr="002B1107">
        <w:rPr>
          <w:sz w:val="21"/>
          <w:lang w:val="en-GB"/>
        </w:rPr>
        <w:t>, in particular the promulgation of international and regional standards</w:t>
      </w:r>
      <w:r w:rsidR="00077E1A" w:rsidRPr="002B1107">
        <w:rPr>
          <w:sz w:val="21"/>
          <w:lang w:val="en-GB"/>
        </w:rPr>
        <w:t xml:space="preserve"> (ánd case law)</w:t>
      </w:r>
      <w:r w:rsidRPr="002B1107">
        <w:rPr>
          <w:sz w:val="21"/>
          <w:lang w:val="en-GB"/>
        </w:rPr>
        <w:t>, the growing body of scientific knowledge on child and adolescent development</w:t>
      </w:r>
      <w:r w:rsidR="00077E1A" w:rsidRPr="002B1107">
        <w:rPr>
          <w:sz w:val="21"/>
          <w:lang w:val="en-GB"/>
        </w:rPr>
        <w:t xml:space="preserve"> (ánd</w:t>
      </w:r>
      <w:r w:rsidRPr="002B1107">
        <w:rPr>
          <w:sz w:val="21"/>
          <w:lang w:val="en-GB"/>
        </w:rPr>
        <w:t xml:space="preserve"> behaviour, effective participation and </w:t>
      </w:r>
      <w:r w:rsidR="004F407A" w:rsidRPr="002B1107">
        <w:rPr>
          <w:sz w:val="21"/>
          <w:lang w:val="en-GB"/>
        </w:rPr>
        <w:t>evidence-based</w:t>
      </w:r>
      <w:r w:rsidRPr="002B1107">
        <w:rPr>
          <w:sz w:val="21"/>
          <w:lang w:val="en-GB"/>
        </w:rPr>
        <w:t xml:space="preserve"> interventions</w:t>
      </w:r>
      <w:r w:rsidR="00077E1A" w:rsidRPr="002B1107">
        <w:rPr>
          <w:sz w:val="21"/>
          <w:lang w:val="en-GB"/>
        </w:rPr>
        <w:t>)</w:t>
      </w:r>
      <w:r w:rsidRPr="002B1107">
        <w:rPr>
          <w:sz w:val="21"/>
          <w:lang w:val="en-GB"/>
        </w:rPr>
        <w:t xml:space="preserve">, </w:t>
      </w:r>
      <w:r w:rsidR="000C7F07" w:rsidRPr="002B1107">
        <w:rPr>
          <w:sz w:val="21"/>
          <w:lang w:val="en-GB"/>
        </w:rPr>
        <w:t>persistent</w:t>
      </w:r>
      <w:r w:rsidRPr="002B1107">
        <w:rPr>
          <w:sz w:val="21"/>
          <w:lang w:val="en-GB"/>
        </w:rPr>
        <w:t xml:space="preserve"> challenges regarding children in the context of juvenile justice</w:t>
      </w:r>
      <w:r w:rsidR="000C7F07" w:rsidRPr="002B1107">
        <w:rPr>
          <w:sz w:val="21"/>
          <w:lang w:val="en-GB"/>
        </w:rPr>
        <w:t>, among other</w:t>
      </w:r>
      <w:r w:rsidR="00077E1A" w:rsidRPr="002B1107">
        <w:rPr>
          <w:sz w:val="21"/>
          <w:lang w:val="en-GB"/>
        </w:rPr>
        <w:t>s</w:t>
      </w:r>
      <w:r w:rsidR="000C7F07" w:rsidRPr="002B1107">
        <w:rPr>
          <w:sz w:val="21"/>
          <w:lang w:val="en-GB"/>
        </w:rPr>
        <w:t xml:space="preserve"> with regard to the use of deprivation of liberty</w:t>
      </w:r>
      <w:r w:rsidR="00504F17" w:rsidRPr="002B1107">
        <w:rPr>
          <w:sz w:val="21"/>
          <w:lang w:val="en-GB"/>
        </w:rPr>
        <w:t>, and frontiers, including children in</w:t>
      </w:r>
      <w:r w:rsidR="00283991" w:rsidRPr="002B1107">
        <w:rPr>
          <w:sz w:val="21"/>
          <w:lang w:val="en-GB"/>
        </w:rPr>
        <w:t>volved in</w:t>
      </w:r>
      <w:r w:rsidR="00504F17" w:rsidRPr="002B1107">
        <w:rPr>
          <w:sz w:val="21"/>
          <w:lang w:val="en-GB"/>
        </w:rPr>
        <w:t xml:space="preserve"> informal or customary justice systems</w:t>
      </w:r>
      <w:r w:rsidR="00294054" w:rsidRPr="002B1107">
        <w:rPr>
          <w:sz w:val="21"/>
          <w:lang w:val="en-GB"/>
        </w:rPr>
        <w:t>,</w:t>
      </w:r>
      <w:r w:rsidR="00504F17" w:rsidRPr="002B1107">
        <w:rPr>
          <w:sz w:val="21"/>
          <w:lang w:val="en-GB"/>
        </w:rPr>
        <w:t xml:space="preserve"> issues related to children associated with extreme violence or violent extremism</w:t>
      </w:r>
      <w:r w:rsidR="00294054" w:rsidRPr="002B1107">
        <w:rPr>
          <w:sz w:val="21"/>
          <w:lang w:val="en-GB"/>
        </w:rPr>
        <w:t xml:space="preserve"> and the position of adolescents in transition from childhood into adulthood (i.e. upper age limit; see further below)</w:t>
      </w:r>
      <w:r w:rsidR="00504F17" w:rsidRPr="002B1107">
        <w:rPr>
          <w:sz w:val="21"/>
          <w:lang w:val="en-GB"/>
        </w:rPr>
        <w:t>.</w:t>
      </w:r>
      <w:r w:rsidR="00B33FFF" w:rsidRPr="002B1107">
        <w:rPr>
          <w:sz w:val="21"/>
          <w:lang w:val="en-GB"/>
        </w:rPr>
        <w:t xml:space="preserve"> At the same time, we would recommend the Committee to uphold the </w:t>
      </w:r>
      <w:r w:rsidR="00172A54" w:rsidRPr="002B1107">
        <w:rPr>
          <w:sz w:val="21"/>
          <w:lang w:val="en-GB"/>
        </w:rPr>
        <w:t>comprehensiveness</w:t>
      </w:r>
      <w:r w:rsidR="00B33FFF" w:rsidRPr="002B1107">
        <w:rPr>
          <w:sz w:val="21"/>
          <w:lang w:val="en-GB"/>
        </w:rPr>
        <w:t xml:space="preserve">, key messages and strong, specific </w:t>
      </w:r>
      <w:r w:rsidR="00077E1A" w:rsidRPr="002B1107">
        <w:rPr>
          <w:sz w:val="21"/>
          <w:lang w:val="en-GB"/>
        </w:rPr>
        <w:t>á</w:t>
      </w:r>
      <w:r w:rsidR="00B33FFF" w:rsidRPr="002B1107">
        <w:rPr>
          <w:sz w:val="21"/>
          <w:lang w:val="en-GB"/>
        </w:rPr>
        <w:t>nd practical guidance of General Comment No. 10, which has serve</w:t>
      </w:r>
      <w:r w:rsidR="00077E1A" w:rsidRPr="002B1107">
        <w:rPr>
          <w:sz w:val="21"/>
          <w:lang w:val="en-GB"/>
        </w:rPr>
        <w:t>d</w:t>
      </w:r>
      <w:r w:rsidR="00B33FFF" w:rsidRPr="002B1107">
        <w:rPr>
          <w:sz w:val="21"/>
          <w:lang w:val="en-GB"/>
        </w:rPr>
        <w:t xml:space="preserve"> as a catalyst for law reform across the globe.</w:t>
      </w:r>
    </w:p>
    <w:p w14:paraId="293A6AF4" w14:textId="77777777" w:rsidR="00504F17" w:rsidRPr="002B1107" w:rsidRDefault="00504F17" w:rsidP="008B6D11">
      <w:pPr>
        <w:pStyle w:val="NoSpacing"/>
        <w:jc w:val="both"/>
        <w:rPr>
          <w:sz w:val="21"/>
          <w:lang w:val="en-GB"/>
        </w:rPr>
      </w:pPr>
    </w:p>
    <w:p w14:paraId="4125C8F7" w14:textId="54C9DB21" w:rsidR="00294054" w:rsidRPr="002B1107" w:rsidRDefault="00294054" w:rsidP="00C1633A">
      <w:pPr>
        <w:pStyle w:val="NoSpacing"/>
        <w:jc w:val="both"/>
        <w:outlineLvl w:val="0"/>
        <w:rPr>
          <w:b/>
          <w:sz w:val="21"/>
          <w:lang w:val="en-GB"/>
        </w:rPr>
      </w:pPr>
      <w:r w:rsidRPr="002B1107">
        <w:rPr>
          <w:b/>
          <w:sz w:val="21"/>
          <w:lang w:val="en-GB"/>
        </w:rPr>
        <w:t>General remarks</w:t>
      </w:r>
    </w:p>
    <w:p w14:paraId="619B79A7" w14:textId="77777777" w:rsidR="00294054" w:rsidRPr="002B1107" w:rsidRDefault="00294054" w:rsidP="008B6D11">
      <w:pPr>
        <w:pStyle w:val="NoSpacing"/>
        <w:jc w:val="both"/>
        <w:rPr>
          <w:sz w:val="21"/>
          <w:lang w:val="en-GB"/>
        </w:rPr>
      </w:pPr>
    </w:p>
    <w:p w14:paraId="2496F847" w14:textId="77777777" w:rsidR="00504F17" w:rsidRPr="002B1107" w:rsidRDefault="00294054" w:rsidP="00C1633A">
      <w:pPr>
        <w:pStyle w:val="NoSpacing"/>
        <w:jc w:val="both"/>
        <w:outlineLvl w:val="0"/>
        <w:rPr>
          <w:i/>
          <w:sz w:val="21"/>
          <w:lang w:val="en-GB"/>
        </w:rPr>
      </w:pPr>
      <w:r w:rsidRPr="002B1107">
        <w:rPr>
          <w:i/>
          <w:sz w:val="21"/>
          <w:lang w:val="en-GB"/>
        </w:rPr>
        <w:t>Scientific enough?</w:t>
      </w:r>
    </w:p>
    <w:p w14:paraId="4EBF71E4" w14:textId="7DA37E89" w:rsidR="00294054" w:rsidRPr="002B1107" w:rsidRDefault="00FF0D90" w:rsidP="008B6D11">
      <w:pPr>
        <w:pStyle w:val="NoSpacing"/>
        <w:jc w:val="both"/>
        <w:rPr>
          <w:sz w:val="21"/>
          <w:lang w:val="en-GB"/>
        </w:rPr>
      </w:pPr>
      <w:r w:rsidRPr="002B1107">
        <w:rPr>
          <w:sz w:val="21"/>
          <w:lang w:val="en-GB"/>
        </w:rPr>
        <w:t>We</w:t>
      </w:r>
      <w:r w:rsidR="00843D34" w:rsidRPr="002B1107">
        <w:rPr>
          <w:sz w:val="21"/>
          <w:lang w:val="en-GB"/>
        </w:rPr>
        <w:t xml:space="preserve"> submit</w:t>
      </w:r>
      <w:r w:rsidR="00AD65E4" w:rsidRPr="002B1107">
        <w:rPr>
          <w:sz w:val="21"/>
          <w:lang w:val="en-GB"/>
        </w:rPr>
        <w:t xml:space="preserve"> that the Committee </w:t>
      </w:r>
      <w:r w:rsidR="00294054" w:rsidRPr="002B1107">
        <w:rPr>
          <w:sz w:val="21"/>
          <w:lang w:val="en-GB"/>
        </w:rPr>
        <w:t xml:space="preserve">could use the opportunity to provide more guidance </w:t>
      </w:r>
      <w:r w:rsidRPr="002B1107">
        <w:rPr>
          <w:sz w:val="21"/>
          <w:lang w:val="en-GB"/>
        </w:rPr>
        <w:t xml:space="preserve">on the </w:t>
      </w:r>
      <w:r w:rsidR="00843D34" w:rsidRPr="002B1107">
        <w:rPr>
          <w:sz w:val="21"/>
          <w:lang w:val="en-GB"/>
        </w:rPr>
        <w:t>implications of</w:t>
      </w:r>
      <w:r w:rsidR="00294054" w:rsidRPr="002B1107">
        <w:rPr>
          <w:sz w:val="21"/>
          <w:lang w:val="en-GB"/>
        </w:rPr>
        <w:t xml:space="preserve"> the growing body of </w:t>
      </w:r>
      <w:r w:rsidRPr="002B1107">
        <w:rPr>
          <w:sz w:val="21"/>
          <w:lang w:val="en-GB"/>
        </w:rPr>
        <w:t>knowledge</w:t>
      </w:r>
      <w:r w:rsidR="00294054" w:rsidRPr="002B1107">
        <w:rPr>
          <w:sz w:val="21"/>
          <w:lang w:val="en-GB"/>
        </w:rPr>
        <w:t xml:space="preserve"> supporting the use of </w:t>
      </w:r>
      <w:r w:rsidR="00294054" w:rsidRPr="002B1107">
        <w:rPr>
          <w:i/>
          <w:sz w:val="21"/>
          <w:lang w:val="en-GB"/>
        </w:rPr>
        <w:t>diversion</w:t>
      </w:r>
      <w:r w:rsidR="00294054" w:rsidRPr="002B1107">
        <w:rPr>
          <w:sz w:val="21"/>
          <w:lang w:val="en-GB"/>
        </w:rPr>
        <w:t xml:space="preserve"> and the use of </w:t>
      </w:r>
      <w:r w:rsidR="00294054" w:rsidRPr="002B1107">
        <w:rPr>
          <w:i/>
          <w:sz w:val="21"/>
          <w:lang w:val="en-GB"/>
        </w:rPr>
        <w:t xml:space="preserve">non-custodial </w:t>
      </w:r>
      <w:r w:rsidR="0014795A" w:rsidRPr="002B1107">
        <w:rPr>
          <w:i/>
          <w:sz w:val="21"/>
          <w:lang w:val="en-GB"/>
        </w:rPr>
        <w:t xml:space="preserve">measures </w:t>
      </w:r>
      <w:r w:rsidR="00294054" w:rsidRPr="002B1107">
        <w:rPr>
          <w:sz w:val="21"/>
          <w:lang w:val="en-GB"/>
        </w:rPr>
        <w:t>as a more effective way of dealing with juvenile delinquency</w:t>
      </w:r>
      <w:r w:rsidR="0014795A" w:rsidRPr="002B1107">
        <w:rPr>
          <w:sz w:val="21"/>
          <w:lang w:val="en-GB"/>
        </w:rPr>
        <w:t>, benefiting both the interests of children in c</w:t>
      </w:r>
      <w:r w:rsidR="007535A7" w:rsidRPr="002B1107">
        <w:rPr>
          <w:sz w:val="21"/>
          <w:lang w:val="en-GB"/>
        </w:rPr>
        <w:t>onflict with law á</w:t>
      </w:r>
      <w:r w:rsidR="0014795A" w:rsidRPr="002B1107">
        <w:rPr>
          <w:sz w:val="21"/>
          <w:lang w:val="en-GB"/>
        </w:rPr>
        <w:t>nd public safety</w:t>
      </w:r>
      <w:r w:rsidR="00294054" w:rsidRPr="002B1107">
        <w:rPr>
          <w:sz w:val="21"/>
          <w:lang w:val="en-GB"/>
        </w:rPr>
        <w:t xml:space="preserve">. </w:t>
      </w:r>
      <w:r w:rsidR="00843D34" w:rsidRPr="002B1107">
        <w:rPr>
          <w:sz w:val="21"/>
          <w:lang w:val="en-GB"/>
        </w:rPr>
        <w:t xml:space="preserve">In addition, the extensive body of knowledge on children’s rights to effective participation in all criminal justice proceedings could be referred to more explicitly, since it provides </w:t>
      </w:r>
      <w:r w:rsidR="008A0E9E" w:rsidRPr="002B1107">
        <w:rPr>
          <w:sz w:val="21"/>
          <w:lang w:val="en-GB"/>
        </w:rPr>
        <w:t>strong</w:t>
      </w:r>
      <w:r w:rsidR="00843D34" w:rsidRPr="002B1107">
        <w:rPr>
          <w:sz w:val="21"/>
          <w:lang w:val="en-GB"/>
        </w:rPr>
        <w:t xml:space="preserve"> arguments, </w:t>
      </w:r>
      <w:r w:rsidR="00843D34" w:rsidRPr="002B1107">
        <w:rPr>
          <w:i/>
          <w:sz w:val="21"/>
          <w:lang w:val="en-GB"/>
        </w:rPr>
        <w:t>inter alia</w:t>
      </w:r>
      <w:r w:rsidR="00843D34" w:rsidRPr="002B1107">
        <w:rPr>
          <w:sz w:val="21"/>
          <w:lang w:val="en-GB"/>
        </w:rPr>
        <w:t xml:space="preserve">, </w:t>
      </w:r>
      <w:r w:rsidR="009064DA" w:rsidRPr="002B1107">
        <w:rPr>
          <w:sz w:val="21"/>
          <w:lang w:val="en-GB"/>
        </w:rPr>
        <w:t xml:space="preserve">for </w:t>
      </w:r>
      <w:r w:rsidR="00843D34" w:rsidRPr="002B1107">
        <w:rPr>
          <w:sz w:val="21"/>
          <w:lang w:val="en-GB"/>
        </w:rPr>
        <w:t xml:space="preserve">a minimum age of criminal responsibility of at least 14 years of age, </w:t>
      </w:r>
      <w:r w:rsidR="009064DA" w:rsidRPr="002B1107">
        <w:rPr>
          <w:sz w:val="21"/>
          <w:lang w:val="en-GB"/>
        </w:rPr>
        <w:t xml:space="preserve">for </w:t>
      </w:r>
      <w:r w:rsidR="00843D34" w:rsidRPr="002B1107">
        <w:rPr>
          <w:sz w:val="21"/>
          <w:lang w:val="en-GB"/>
        </w:rPr>
        <w:t>the right to legal or other appropriate assistance during police interrogations</w:t>
      </w:r>
      <w:r w:rsidRPr="002B1107">
        <w:rPr>
          <w:sz w:val="21"/>
          <w:lang w:val="en-GB"/>
        </w:rPr>
        <w:t>, for specific guidance to probation services on the enforcement of community or conditional/suspended sentences,</w:t>
      </w:r>
      <w:r w:rsidR="00843D34" w:rsidRPr="002B1107">
        <w:rPr>
          <w:sz w:val="21"/>
          <w:lang w:val="en-GB"/>
        </w:rPr>
        <w:t xml:space="preserve"> and </w:t>
      </w:r>
      <w:r w:rsidR="009064DA" w:rsidRPr="002B1107">
        <w:rPr>
          <w:sz w:val="21"/>
          <w:lang w:val="en-GB"/>
        </w:rPr>
        <w:t xml:space="preserve">for the safeguarding of </w:t>
      </w:r>
      <w:r w:rsidR="00843D34" w:rsidRPr="002B1107">
        <w:rPr>
          <w:sz w:val="21"/>
          <w:lang w:val="en-GB"/>
        </w:rPr>
        <w:t>child-specific court proceedings, in both the pre-trial and trial phase.</w:t>
      </w:r>
    </w:p>
    <w:p w14:paraId="21811737" w14:textId="77777777" w:rsidR="00294054" w:rsidRPr="002B1107" w:rsidRDefault="00294054" w:rsidP="008B6D11">
      <w:pPr>
        <w:pStyle w:val="NoSpacing"/>
        <w:jc w:val="both"/>
        <w:rPr>
          <w:sz w:val="21"/>
          <w:lang w:val="en-GB"/>
        </w:rPr>
      </w:pPr>
    </w:p>
    <w:p w14:paraId="70645538" w14:textId="77777777" w:rsidR="00294054" w:rsidRPr="002B1107" w:rsidRDefault="00294054" w:rsidP="00C1633A">
      <w:pPr>
        <w:pStyle w:val="NoSpacing"/>
        <w:jc w:val="both"/>
        <w:outlineLvl w:val="0"/>
        <w:rPr>
          <w:i/>
          <w:sz w:val="21"/>
          <w:lang w:val="en-GB"/>
        </w:rPr>
      </w:pPr>
      <w:r w:rsidRPr="002B1107">
        <w:rPr>
          <w:i/>
          <w:sz w:val="21"/>
          <w:lang w:val="en-GB"/>
        </w:rPr>
        <w:t>Comprehensive enough?</w:t>
      </w:r>
    </w:p>
    <w:p w14:paraId="5426470B" w14:textId="5EE85CC6" w:rsidR="002D6322" w:rsidRPr="002B1107" w:rsidRDefault="009064DA" w:rsidP="008B6D11">
      <w:pPr>
        <w:pStyle w:val="NoSpacing"/>
        <w:jc w:val="both"/>
        <w:rPr>
          <w:sz w:val="21"/>
          <w:lang w:val="en-GB"/>
        </w:rPr>
      </w:pPr>
      <w:r w:rsidRPr="002B1107">
        <w:rPr>
          <w:sz w:val="21"/>
          <w:lang w:val="en-GB"/>
        </w:rPr>
        <w:t xml:space="preserve">We </w:t>
      </w:r>
      <w:r w:rsidR="00FF0D90" w:rsidRPr="002B1107">
        <w:rPr>
          <w:sz w:val="21"/>
          <w:lang w:val="en-GB"/>
        </w:rPr>
        <w:t xml:space="preserve">also </w:t>
      </w:r>
      <w:r w:rsidRPr="002B1107">
        <w:rPr>
          <w:sz w:val="21"/>
          <w:lang w:val="en-GB"/>
        </w:rPr>
        <w:t xml:space="preserve">submit that the Committee could </w:t>
      </w:r>
      <w:r w:rsidR="008B6D11" w:rsidRPr="002B1107">
        <w:rPr>
          <w:sz w:val="21"/>
          <w:lang w:val="en-GB"/>
        </w:rPr>
        <w:t>refer more (and more explicitly) to legal developments in regional human rights system</w:t>
      </w:r>
      <w:r w:rsidR="00283991" w:rsidRPr="002B1107">
        <w:rPr>
          <w:sz w:val="21"/>
          <w:lang w:val="en-GB"/>
        </w:rPr>
        <w:t>s</w:t>
      </w:r>
      <w:r w:rsidR="008B6D11" w:rsidRPr="002B1107">
        <w:rPr>
          <w:sz w:val="21"/>
          <w:lang w:val="en-GB"/>
        </w:rPr>
        <w:t xml:space="preserve"> and domestic jurisdictions </w:t>
      </w:r>
      <w:r w:rsidRPr="002B1107">
        <w:rPr>
          <w:sz w:val="21"/>
          <w:lang w:val="en-GB"/>
        </w:rPr>
        <w:t>in its underpinning of recommendations and standpoints</w:t>
      </w:r>
      <w:r w:rsidR="00FF0D90" w:rsidRPr="002B1107">
        <w:rPr>
          <w:sz w:val="21"/>
          <w:lang w:val="en-GB"/>
        </w:rPr>
        <w:t>, particularly with regard to procedural safeguards, court proceedings and sentencing</w:t>
      </w:r>
      <w:r w:rsidR="008B6D11" w:rsidRPr="002B1107">
        <w:rPr>
          <w:sz w:val="21"/>
          <w:lang w:val="en-GB"/>
        </w:rPr>
        <w:t xml:space="preserve">. </w:t>
      </w:r>
      <w:r w:rsidRPr="002B1107">
        <w:rPr>
          <w:sz w:val="21"/>
          <w:lang w:val="en-GB"/>
        </w:rPr>
        <w:t xml:space="preserve">In doing so, it could </w:t>
      </w:r>
      <w:r w:rsidR="008B6D11" w:rsidRPr="002B1107">
        <w:rPr>
          <w:sz w:val="21"/>
          <w:lang w:val="en-GB"/>
        </w:rPr>
        <w:t>benefit from the emergence of a multi-layered and rather comprehensive legal framework on the rights of the child</w:t>
      </w:r>
      <w:r w:rsidR="00B33FFF" w:rsidRPr="002B1107">
        <w:rPr>
          <w:sz w:val="21"/>
          <w:lang w:val="en-GB"/>
        </w:rPr>
        <w:t xml:space="preserve"> since the adoption of the CRC</w:t>
      </w:r>
      <w:r w:rsidR="008B6D11" w:rsidRPr="002B1107">
        <w:rPr>
          <w:sz w:val="21"/>
          <w:lang w:val="en-GB"/>
        </w:rPr>
        <w:t>. For example, regarding minimum sentences</w:t>
      </w:r>
      <w:r w:rsidR="00B33FFF" w:rsidRPr="002B1107">
        <w:rPr>
          <w:sz w:val="21"/>
          <w:lang w:val="en-GB"/>
        </w:rPr>
        <w:t>,</w:t>
      </w:r>
      <w:r w:rsidR="008B6D11" w:rsidRPr="002B1107">
        <w:rPr>
          <w:sz w:val="21"/>
          <w:lang w:val="en-GB"/>
        </w:rPr>
        <w:t xml:space="preserve"> </w:t>
      </w:r>
      <w:r w:rsidR="00B33FFF" w:rsidRPr="002B1107">
        <w:rPr>
          <w:sz w:val="21"/>
          <w:lang w:val="en-GB"/>
        </w:rPr>
        <w:t>the Committee</w:t>
      </w:r>
      <w:r w:rsidR="008B6D11" w:rsidRPr="002B1107">
        <w:rPr>
          <w:sz w:val="21"/>
          <w:lang w:val="en-GB"/>
        </w:rPr>
        <w:t xml:space="preserve"> could underpin its </w:t>
      </w:r>
      <w:r w:rsidR="00B33FFF" w:rsidRPr="002B1107">
        <w:rPr>
          <w:sz w:val="21"/>
          <w:lang w:val="en-GB"/>
        </w:rPr>
        <w:t>recommendations</w:t>
      </w:r>
      <w:r w:rsidR="008B6D11" w:rsidRPr="002B1107">
        <w:rPr>
          <w:sz w:val="21"/>
          <w:lang w:val="en-GB"/>
        </w:rPr>
        <w:t xml:space="preserve"> with convincing case law from the South African Constitutional Court, which has ruled that minimum sentences are a violation of the principle that deprivation of liberty can only be </w:t>
      </w:r>
      <w:r w:rsidR="008B6D11" w:rsidRPr="002B1107">
        <w:rPr>
          <w:sz w:val="21"/>
          <w:lang w:val="en-GB"/>
        </w:rPr>
        <w:lastRenderedPageBreak/>
        <w:t>used as a measure of last resort.</w:t>
      </w:r>
      <w:r w:rsidR="00B33FFF" w:rsidRPr="002B1107">
        <w:rPr>
          <w:rStyle w:val="FootnoteReference"/>
          <w:sz w:val="21"/>
          <w:lang w:val="en-GB"/>
        </w:rPr>
        <w:footnoteReference w:id="2"/>
      </w:r>
      <w:r w:rsidR="008B6D11" w:rsidRPr="002B1107">
        <w:rPr>
          <w:sz w:val="21"/>
          <w:lang w:val="en-GB"/>
        </w:rPr>
        <w:t xml:space="preserve"> </w:t>
      </w:r>
      <w:r w:rsidR="00FF0D90" w:rsidRPr="002B1107">
        <w:rPr>
          <w:sz w:val="21"/>
          <w:lang w:val="en-GB"/>
        </w:rPr>
        <w:t xml:space="preserve">Case law could also be used regarding the Committee’s recommendations on child-friendly justice, legal assistance, mandatory sentencing and severe sentences, such as capital punishment and life imprisonment. </w:t>
      </w:r>
    </w:p>
    <w:p w14:paraId="5B805B05" w14:textId="77777777" w:rsidR="002D6322" w:rsidRPr="002B1107" w:rsidRDefault="002D6322" w:rsidP="008B6D11">
      <w:pPr>
        <w:pStyle w:val="NoSpacing"/>
        <w:jc w:val="both"/>
        <w:rPr>
          <w:b/>
          <w:sz w:val="21"/>
          <w:lang w:val="en-GB"/>
        </w:rPr>
      </w:pPr>
    </w:p>
    <w:p w14:paraId="6630A97A" w14:textId="77777777" w:rsidR="00294054" w:rsidRPr="002B1107" w:rsidRDefault="00294054" w:rsidP="00C1633A">
      <w:pPr>
        <w:pStyle w:val="NoSpacing"/>
        <w:jc w:val="both"/>
        <w:outlineLvl w:val="0"/>
        <w:rPr>
          <w:i/>
          <w:sz w:val="21"/>
          <w:lang w:val="en-GB"/>
        </w:rPr>
      </w:pPr>
      <w:r w:rsidRPr="002B1107">
        <w:rPr>
          <w:i/>
          <w:sz w:val="21"/>
          <w:lang w:val="en-GB"/>
        </w:rPr>
        <w:t>Innovative enough?</w:t>
      </w:r>
    </w:p>
    <w:p w14:paraId="73E2A547" w14:textId="47A6924D" w:rsidR="002D6322" w:rsidRPr="002B1107" w:rsidRDefault="009064DA" w:rsidP="00283991">
      <w:pPr>
        <w:pStyle w:val="NoSpacing"/>
        <w:jc w:val="both"/>
        <w:rPr>
          <w:sz w:val="21"/>
          <w:lang w:val="en-GB"/>
        </w:rPr>
      </w:pPr>
      <w:r w:rsidRPr="002B1107">
        <w:rPr>
          <w:sz w:val="21"/>
          <w:lang w:val="en-GB"/>
        </w:rPr>
        <w:t>We wonder if the draft is innovative enough</w:t>
      </w:r>
      <w:r w:rsidR="008B6D11" w:rsidRPr="002B1107">
        <w:rPr>
          <w:sz w:val="21"/>
          <w:lang w:val="en-GB"/>
        </w:rPr>
        <w:t xml:space="preserve"> and </w:t>
      </w:r>
      <w:r w:rsidR="00AB3DC2" w:rsidRPr="002B1107">
        <w:rPr>
          <w:sz w:val="21"/>
          <w:lang w:val="en-GB"/>
        </w:rPr>
        <w:t xml:space="preserve">– at the same time – </w:t>
      </w:r>
      <w:r w:rsidR="008B6D11" w:rsidRPr="002B1107">
        <w:rPr>
          <w:sz w:val="21"/>
          <w:lang w:val="en-GB"/>
        </w:rPr>
        <w:t xml:space="preserve">wary enough of the potential negative impact of new technologies </w:t>
      </w:r>
      <w:r w:rsidR="00AB3DC2" w:rsidRPr="002B1107">
        <w:rPr>
          <w:sz w:val="21"/>
          <w:lang w:val="en-GB"/>
        </w:rPr>
        <w:t xml:space="preserve">on children and families </w:t>
      </w:r>
      <w:r w:rsidR="008B6D11" w:rsidRPr="002B1107">
        <w:rPr>
          <w:sz w:val="21"/>
          <w:lang w:val="en-GB"/>
        </w:rPr>
        <w:t xml:space="preserve">(e.g. around </w:t>
      </w:r>
      <w:r w:rsidR="00283991" w:rsidRPr="002B1107">
        <w:rPr>
          <w:sz w:val="21"/>
          <w:lang w:val="en-GB"/>
        </w:rPr>
        <w:t xml:space="preserve">(racial and ethnic) </w:t>
      </w:r>
      <w:r w:rsidR="008B6D11" w:rsidRPr="002B1107">
        <w:rPr>
          <w:sz w:val="21"/>
          <w:lang w:val="en-GB"/>
        </w:rPr>
        <w:t>profiling)</w:t>
      </w:r>
      <w:r w:rsidRPr="002B1107">
        <w:rPr>
          <w:sz w:val="21"/>
          <w:lang w:val="en-GB"/>
        </w:rPr>
        <w:t xml:space="preserve">. We submit that the Committee could elaborate further on potential </w:t>
      </w:r>
      <w:r w:rsidR="00FF0D90" w:rsidRPr="002B1107">
        <w:rPr>
          <w:sz w:val="21"/>
          <w:lang w:val="en-GB"/>
        </w:rPr>
        <w:t xml:space="preserve">innovative </w:t>
      </w:r>
      <w:r w:rsidRPr="002B1107">
        <w:rPr>
          <w:sz w:val="21"/>
          <w:lang w:val="en-GB"/>
        </w:rPr>
        <w:t>avenues to address structural, persistent and systemic challenges</w:t>
      </w:r>
      <w:r w:rsidR="008B6D11" w:rsidRPr="002B1107">
        <w:rPr>
          <w:sz w:val="21"/>
          <w:lang w:val="en-GB"/>
        </w:rPr>
        <w:t xml:space="preserve">. For example, regarding the periodic review of pre-trial detention, the </w:t>
      </w:r>
      <w:r w:rsidR="00FF0D90" w:rsidRPr="002B1107">
        <w:rPr>
          <w:sz w:val="21"/>
          <w:lang w:val="en-GB"/>
        </w:rPr>
        <w:t>C</w:t>
      </w:r>
      <w:r w:rsidR="008B6D11" w:rsidRPr="002B1107">
        <w:rPr>
          <w:sz w:val="21"/>
          <w:lang w:val="en-GB"/>
        </w:rPr>
        <w:t xml:space="preserve">ommittee could elaborate on the potential use of audio-visual technologies to secure judicial oversight, but </w:t>
      </w:r>
      <w:r w:rsidR="00AB3DC2" w:rsidRPr="002B1107">
        <w:rPr>
          <w:sz w:val="21"/>
          <w:lang w:val="en-GB"/>
        </w:rPr>
        <w:t xml:space="preserve">also </w:t>
      </w:r>
      <w:r w:rsidR="00283991" w:rsidRPr="002B1107">
        <w:rPr>
          <w:sz w:val="21"/>
          <w:lang w:val="en-GB"/>
        </w:rPr>
        <w:t xml:space="preserve">to </w:t>
      </w:r>
      <w:r w:rsidR="008B6D11" w:rsidRPr="002B1107">
        <w:rPr>
          <w:sz w:val="21"/>
          <w:lang w:val="en-GB"/>
        </w:rPr>
        <w:t xml:space="preserve">protect children against unnecessary travels </w:t>
      </w:r>
      <w:r w:rsidR="00283991" w:rsidRPr="002B1107">
        <w:rPr>
          <w:sz w:val="21"/>
          <w:lang w:val="en-GB"/>
        </w:rPr>
        <w:t>back</w:t>
      </w:r>
      <w:r w:rsidR="008B6D11" w:rsidRPr="002B1107">
        <w:rPr>
          <w:sz w:val="21"/>
          <w:lang w:val="en-GB"/>
        </w:rPr>
        <w:t xml:space="preserve"> and</w:t>
      </w:r>
      <w:r w:rsidR="00283991" w:rsidRPr="002B1107">
        <w:rPr>
          <w:sz w:val="21"/>
          <w:lang w:val="en-GB"/>
        </w:rPr>
        <w:t xml:space="preserve"> forth</w:t>
      </w:r>
      <w:r w:rsidR="008B6D11" w:rsidRPr="002B1107">
        <w:rPr>
          <w:sz w:val="21"/>
          <w:lang w:val="en-GB"/>
        </w:rPr>
        <w:t xml:space="preserve"> </w:t>
      </w:r>
      <w:r w:rsidR="00283991" w:rsidRPr="002B1107">
        <w:rPr>
          <w:sz w:val="21"/>
          <w:lang w:val="en-GB"/>
        </w:rPr>
        <w:t>to</w:t>
      </w:r>
      <w:r w:rsidR="008B6D11" w:rsidRPr="002B1107">
        <w:rPr>
          <w:sz w:val="21"/>
          <w:lang w:val="en-GB"/>
        </w:rPr>
        <w:t xml:space="preserve"> courts, which can in practice be an ordeal or even </w:t>
      </w:r>
      <w:r w:rsidR="00AB3DC2" w:rsidRPr="002B1107">
        <w:rPr>
          <w:sz w:val="21"/>
          <w:lang w:val="en-GB"/>
        </w:rPr>
        <w:t xml:space="preserve">potentially </w:t>
      </w:r>
      <w:r w:rsidR="008B6D11" w:rsidRPr="002B1107">
        <w:rPr>
          <w:sz w:val="21"/>
          <w:lang w:val="en-GB"/>
        </w:rPr>
        <w:t xml:space="preserve">damaging. We also wonder to what extent the </w:t>
      </w:r>
      <w:r w:rsidR="00283991" w:rsidRPr="002B1107">
        <w:rPr>
          <w:sz w:val="21"/>
          <w:lang w:val="en-GB"/>
        </w:rPr>
        <w:t>C</w:t>
      </w:r>
      <w:r w:rsidR="008B6D11" w:rsidRPr="002B1107">
        <w:rPr>
          <w:sz w:val="21"/>
          <w:lang w:val="en-GB"/>
        </w:rPr>
        <w:t xml:space="preserve">ommittee has considered including some (critical) observations on the risks </w:t>
      </w:r>
      <w:r w:rsidR="00FF0D90" w:rsidRPr="002B1107">
        <w:rPr>
          <w:sz w:val="21"/>
          <w:lang w:val="en-GB"/>
        </w:rPr>
        <w:t xml:space="preserve">of </w:t>
      </w:r>
      <w:r w:rsidR="008B6D11" w:rsidRPr="002B1107">
        <w:rPr>
          <w:sz w:val="21"/>
          <w:lang w:val="en-GB"/>
        </w:rPr>
        <w:t>the use of technologies, such as algorithms, in risk assessment</w:t>
      </w:r>
      <w:r w:rsidR="00283991" w:rsidRPr="002B1107">
        <w:rPr>
          <w:sz w:val="21"/>
          <w:lang w:val="en-GB"/>
        </w:rPr>
        <w:t>, decision-making</w:t>
      </w:r>
      <w:r w:rsidR="008B6D11" w:rsidRPr="002B1107">
        <w:rPr>
          <w:sz w:val="21"/>
          <w:lang w:val="en-GB"/>
        </w:rPr>
        <w:t xml:space="preserve"> </w:t>
      </w:r>
      <w:r w:rsidR="00283991" w:rsidRPr="002B1107">
        <w:rPr>
          <w:sz w:val="21"/>
          <w:lang w:val="en-GB"/>
        </w:rPr>
        <w:t>and</w:t>
      </w:r>
      <w:r w:rsidR="008B6D11" w:rsidRPr="002B1107">
        <w:rPr>
          <w:sz w:val="21"/>
          <w:lang w:val="en-GB"/>
        </w:rPr>
        <w:t xml:space="preserve"> </w:t>
      </w:r>
      <w:r w:rsidR="00FF0D90" w:rsidRPr="002B1107">
        <w:rPr>
          <w:sz w:val="21"/>
          <w:lang w:val="en-GB"/>
        </w:rPr>
        <w:t>profiling</w:t>
      </w:r>
      <w:r w:rsidR="008B6D11" w:rsidRPr="002B1107">
        <w:rPr>
          <w:sz w:val="21"/>
          <w:lang w:val="en-GB"/>
        </w:rPr>
        <w:t>.</w:t>
      </w:r>
    </w:p>
    <w:p w14:paraId="58EB8D94" w14:textId="77777777" w:rsidR="008B6D11" w:rsidRPr="002B1107" w:rsidRDefault="008B6D11" w:rsidP="008B6D11">
      <w:pPr>
        <w:pStyle w:val="NoSpacing"/>
        <w:jc w:val="both"/>
        <w:rPr>
          <w:sz w:val="21"/>
          <w:lang w:val="en-GB"/>
        </w:rPr>
      </w:pPr>
    </w:p>
    <w:p w14:paraId="5FA3391C" w14:textId="77777777" w:rsidR="008B6D11" w:rsidRPr="002B1107" w:rsidRDefault="006D4471" w:rsidP="00C1633A">
      <w:pPr>
        <w:pStyle w:val="NoSpacing"/>
        <w:jc w:val="both"/>
        <w:outlineLvl w:val="0"/>
        <w:rPr>
          <w:i/>
          <w:sz w:val="21"/>
          <w:lang w:val="en-GB"/>
        </w:rPr>
      </w:pPr>
      <w:r w:rsidRPr="002B1107">
        <w:rPr>
          <w:i/>
          <w:sz w:val="21"/>
          <w:lang w:val="en-GB"/>
        </w:rPr>
        <w:t>Inclusive enough?</w:t>
      </w:r>
    </w:p>
    <w:p w14:paraId="13D2D8EB" w14:textId="0A346B29" w:rsidR="00AB3DC2" w:rsidRPr="002B1107" w:rsidRDefault="006D4471" w:rsidP="008B6D11">
      <w:pPr>
        <w:pStyle w:val="NoSpacing"/>
        <w:jc w:val="both"/>
        <w:rPr>
          <w:sz w:val="21"/>
          <w:lang w:val="en-GB"/>
        </w:rPr>
      </w:pPr>
      <w:r w:rsidRPr="002B1107">
        <w:rPr>
          <w:sz w:val="21"/>
          <w:lang w:val="en-GB"/>
        </w:rPr>
        <w:t>A final general remark</w:t>
      </w:r>
      <w:r w:rsidR="00AB3DC2" w:rsidRPr="002B1107">
        <w:rPr>
          <w:sz w:val="21"/>
          <w:lang w:val="en-GB"/>
        </w:rPr>
        <w:t xml:space="preserve"> relates to the persistent c</w:t>
      </w:r>
      <w:r w:rsidR="00172A54" w:rsidRPr="002B1107">
        <w:rPr>
          <w:sz w:val="21"/>
          <w:lang w:val="en-GB"/>
        </w:rPr>
        <w:t>hallenges</w:t>
      </w:r>
      <w:r w:rsidR="00AB3DC2" w:rsidRPr="002B1107">
        <w:rPr>
          <w:sz w:val="21"/>
          <w:lang w:val="en-GB"/>
        </w:rPr>
        <w:t xml:space="preserve"> around inequalities, discrimination (</w:t>
      </w:r>
      <w:r w:rsidR="00FF0D90" w:rsidRPr="002B1107">
        <w:rPr>
          <w:sz w:val="21"/>
          <w:lang w:val="en-GB"/>
        </w:rPr>
        <w:t xml:space="preserve">e.g. </w:t>
      </w:r>
      <w:r w:rsidR="00AB3DC2" w:rsidRPr="002B1107">
        <w:rPr>
          <w:sz w:val="21"/>
          <w:lang w:val="en-GB"/>
        </w:rPr>
        <w:t xml:space="preserve">on the basis of race, social class, gender, </w:t>
      </w:r>
      <w:r w:rsidR="007F489F" w:rsidRPr="002B1107">
        <w:rPr>
          <w:sz w:val="21"/>
          <w:lang w:val="en-GB"/>
        </w:rPr>
        <w:t>sexuality (</w:t>
      </w:r>
      <w:r w:rsidR="00AB3DC2" w:rsidRPr="002B1107">
        <w:rPr>
          <w:sz w:val="21"/>
          <w:lang w:val="en-GB"/>
        </w:rPr>
        <w:t>LGBTI</w:t>
      </w:r>
      <w:r w:rsidR="007F489F" w:rsidRPr="002B1107">
        <w:rPr>
          <w:sz w:val="21"/>
          <w:lang w:val="en-GB"/>
        </w:rPr>
        <w:t>)</w:t>
      </w:r>
      <w:r w:rsidR="00FF0D90" w:rsidRPr="002B1107">
        <w:rPr>
          <w:sz w:val="21"/>
          <w:lang w:val="en-GB"/>
        </w:rPr>
        <w:t xml:space="preserve">) </w:t>
      </w:r>
      <w:r w:rsidR="00AB3DC2" w:rsidRPr="002B1107">
        <w:rPr>
          <w:sz w:val="21"/>
          <w:lang w:val="en-GB"/>
        </w:rPr>
        <w:t xml:space="preserve">and disparities. We believe the Committee could </w:t>
      </w:r>
      <w:r w:rsidR="00FF0D90" w:rsidRPr="002B1107">
        <w:rPr>
          <w:sz w:val="21"/>
          <w:lang w:val="en-GB"/>
        </w:rPr>
        <w:t>strengthen the draft</w:t>
      </w:r>
      <w:r w:rsidR="00AB3DC2" w:rsidRPr="002B1107">
        <w:rPr>
          <w:sz w:val="21"/>
          <w:lang w:val="en-GB"/>
        </w:rPr>
        <w:t xml:space="preserve"> in terms of the Committee’s disapproval and </w:t>
      </w:r>
      <w:r w:rsidR="00B33FFF" w:rsidRPr="002B1107">
        <w:rPr>
          <w:sz w:val="21"/>
          <w:lang w:val="en-GB"/>
        </w:rPr>
        <w:t xml:space="preserve">its </w:t>
      </w:r>
      <w:r w:rsidR="00AB3DC2" w:rsidRPr="002B1107">
        <w:rPr>
          <w:sz w:val="21"/>
          <w:lang w:val="en-GB"/>
        </w:rPr>
        <w:t xml:space="preserve">recommendations on how to </w:t>
      </w:r>
      <w:r w:rsidR="00B33FFF" w:rsidRPr="002B1107">
        <w:rPr>
          <w:sz w:val="21"/>
          <w:lang w:val="en-GB"/>
        </w:rPr>
        <w:t>combat</w:t>
      </w:r>
      <w:r w:rsidR="00AB3DC2" w:rsidRPr="002B1107">
        <w:rPr>
          <w:sz w:val="21"/>
          <w:lang w:val="en-GB"/>
        </w:rPr>
        <w:t xml:space="preserve"> these challenges that </w:t>
      </w:r>
      <w:r w:rsidR="00B33FFF" w:rsidRPr="002B1107">
        <w:rPr>
          <w:sz w:val="21"/>
          <w:lang w:val="en-GB"/>
        </w:rPr>
        <w:t>go against the most fundamental principles underlying the CRC</w:t>
      </w:r>
      <w:r w:rsidR="00AB3DC2" w:rsidRPr="002B1107">
        <w:rPr>
          <w:sz w:val="21"/>
          <w:lang w:val="en-GB"/>
        </w:rPr>
        <w:t>.</w:t>
      </w:r>
      <w:r w:rsidR="00B33FFF" w:rsidRPr="002B1107">
        <w:rPr>
          <w:sz w:val="21"/>
          <w:lang w:val="en-GB"/>
        </w:rPr>
        <w:t xml:space="preserve"> Furthermore, we recommend the </w:t>
      </w:r>
      <w:r w:rsidR="007F489F" w:rsidRPr="002B1107">
        <w:rPr>
          <w:sz w:val="21"/>
          <w:lang w:val="en-GB"/>
        </w:rPr>
        <w:t>C</w:t>
      </w:r>
      <w:r w:rsidR="00B33FFF" w:rsidRPr="002B1107">
        <w:rPr>
          <w:sz w:val="21"/>
          <w:lang w:val="en-GB"/>
        </w:rPr>
        <w:t>ommittee to elaborate further on other groups of children that find themselves within the ambit of the criminal justice</w:t>
      </w:r>
      <w:r w:rsidR="007F489F" w:rsidRPr="002B1107">
        <w:rPr>
          <w:sz w:val="21"/>
          <w:lang w:val="en-GB"/>
        </w:rPr>
        <w:t xml:space="preserve"> system</w:t>
      </w:r>
      <w:r w:rsidR="00B33FFF" w:rsidRPr="002B1107">
        <w:rPr>
          <w:sz w:val="21"/>
          <w:lang w:val="en-GB"/>
        </w:rPr>
        <w:t>, e.g. as victims or witnesses</w:t>
      </w:r>
      <w:r w:rsidR="00FF0D90" w:rsidRPr="002B1107">
        <w:rPr>
          <w:sz w:val="21"/>
          <w:lang w:val="en-GB"/>
        </w:rPr>
        <w:t>, children of sentenced</w:t>
      </w:r>
      <w:r w:rsidR="007F489F" w:rsidRPr="002B1107">
        <w:rPr>
          <w:sz w:val="21"/>
          <w:lang w:val="en-GB"/>
        </w:rPr>
        <w:t xml:space="preserve"> and imprisoned</w:t>
      </w:r>
      <w:r w:rsidR="00FF0D90" w:rsidRPr="002B1107">
        <w:rPr>
          <w:sz w:val="21"/>
          <w:lang w:val="en-GB"/>
        </w:rPr>
        <w:t xml:space="preserve"> parents</w:t>
      </w:r>
      <w:r w:rsidR="007F489F" w:rsidRPr="002B1107">
        <w:rPr>
          <w:sz w:val="21"/>
          <w:lang w:val="en-GB"/>
        </w:rPr>
        <w:t>.</w:t>
      </w:r>
      <w:r w:rsidR="00FF0D90" w:rsidRPr="002B1107">
        <w:rPr>
          <w:rStyle w:val="FootnoteReference"/>
          <w:sz w:val="21"/>
          <w:lang w:val="en-GB"/>
        </w:rPr>
        <w:footnoteReference w:id="3"/>
      </w:r>
    </w:p>
    <w:p w14:paraId="1AD85882" w14:textId="77777777" w:rsidR="002D6322" w:rsidRPr="002B1107" w:rsidRDefault="002D6322" w:rsidP="008B6D11">
      <w:pPr>
        <w:pStyle w:val="NoSpacing"/>
        <w:jc w:val="both"/>
        <w:rPr>
          <w:b/>
          <w:sz w:val="21"/>
          <w:lang w:val="en-GB"/>
        </w:rPr>
      </w:pPr>
    </w:p>
    <w:p w14:paraId="78C84259" w14:textId="77777777" w:rsidR="00545E6C" w:rsidRPr="002B1107" w:rsidRDefault="006D4471" w:rsidP="00C1633A">
      <w:pPr>
        <w:pStyle w:val="NoSpacing"/>
        <w:jc w:val="both"/>
        <w:outlineLvl w:val="0"/>
        <w:rPr>
          <w:i/>
          <w:sz w:val="21"/>
          <w:lang w:val="en-GB"/>
        </w:rPr>
      </w:pPr>
      <w:r w:rsidRPr="002B1107">
        <w:rPr>
          <w:b/>
          <w:sz w:val="21"/>
          <w:lang w:val="en-GB"/>
        </w:rPr>
        <w:t>Specific remarks</w:t>
      </w:r>
    </w:p>
    <w:p w14:paraId="35A64958" w14:textId="77777777" w:rsidR="00545E6C" w:rsidRPr="002B1107" w:rsidRDefault="00545E6C" w:rsidP="008B6D11">
      <w:pPr>
        <w:pStyle w:val="NoSpacing"/>
        <w:jc w:val="both"/>
        <w:rPr>
          <w:b/>
          <w:sz w:val="21"/>
          <w:lang w:val="en-GB"/>
        </w:rPr>
      </w:pPr>
    </w:p>
    <w:p w14:paraId="3E3B2FC0" w14:textId="32A06170" w:rsidR="00A21A3D" w:rsidRPr="002B1107" w:rsidRDefault="00A21A3D" w:rsidP="008B6D11">
      <w:pPr>
        <w:pStyle w:val="NoSpacing"/>
        <w:jc w:val="both"/>
        <w:rPr>
          <w:i/>
          <w:sz w:val="21"/>
          <w:lang w:val="en-GB"/>
        </w:rPr>
      </w:pPr>
      <w:r w:rsidRPr="002B1107">
        <w:rPr>
          <w:i/>
          <w:sz w:val="21"/>
          <w:lang w:val="en-GB"/>
        </w:rPr>
        <w:t>1. Age limits: MACR and upper-age limit</w:t>
      </w:r>
    </w:p>
    <w:p w14:paraId="7FA3BAD4" w14:textId="77777777" w:rsidR="00A21A3D" w:rsidRPr="002B1107" w:rsidRDefault="00A21A3D" w:rsidP="008B6D11">
      <w:pPr>
        <w:pStyle w:val="NoSpacing"/>
        <w:jc w:val="both"/>
        <w:rPr>
          <w:b/>
          <w:sz w:val="21"/>
          <w:lang w:val="en-GB"/>
        </w:rPr>
      </w:pPr>
    </w:p>
    <w:p w14:paraId="7A53DCFD" w14:textId="311A559F" w:rsidR="00A21A3D" w:rsidRPr="002B1107" w:rsidRDefault="00A21A3D" w:rsidP="008B6D11">
      <w:pPr>
        <w:pStyle w:val="NoSpacing"/>
        <w:jc w:val="both"/>
        <w:rPr>
          <w:i/>
          <w:sz w:val="21"/>
          <w:u w:val="single"/>
          <w:lang w:val="en-GB"/>
        </w:rPr>
      </w:pPr>
      <w:r w:rsidRPr="002B1107">
        <w:rPr>
          <w:i/>
          <w:sz w:val="21"/>
          <w:u w:val="single"/>
          <w:lang w:val="en-GB"/>
        </w:rPr>
        <w:t>Minimum Age of Criminal Responsibility (MACR)</w:t>
      </w:r>
      <w:r w:rsidR="00D839D6" w:rsidRPr="002B1107">
        <w:rPr>
          <w:i/>
          <w:sz w:val="21"/>
          <w:u w:val="single"/>
          <w:lang w:val="en-GB"/>
        </w:rPr>
        <w:t xml:space="preserve"> (para. 30-36</w:t>
      </w:r>
      <w:r w:rsidR="002102F6" w:rsidRPr="002B1107">
        <w:rPr>
          <w:i/>
          <w:sz w:val="21"/>
          <w:u w:val="single"/>
          <w:lang w:val="en-GB"/>
        </w:rPr>
        <w:t xml:space="preserve"> and para. 43</w:t>
      </w:r>
      <w:r w:rsidRPr="002B1107">
        <w:rPr>
          <w:i/>
          <w:sz w:val="21"/>
          <w:u w:val="single"/>
          <w:lang w:val="en-GB"/>
        </w:rPr>
        <w:t>)</w:t>
      </w:r>
    </w:p>
    <w:p w14:paraId="7CB97D7B" w14:textId="53D385B0" w:rsidR="00A21A3D" w:rsidRPr="002B1107" w:rsidRDefault="000A7A2F" w:rsidP="00A21A3D">
      <w:pPr>
        <w:pStyle w:val="NoSpacing"/>
        <w:jc w:val="both"/>
        <w:rPr>
          <w:sz w:val="21"/>
          <w:lang w:val="en-ZA"/>
        </w:rPr>
      </w:pPr>
      <w:r w:rsidRPr="002B1107">
        <w:rPr>
          <w:sz w:val="21"/>
          <w:lang w:val="en-ZA"/>
        </w:rPr>
        <w:t xml:space="preserve">The Committee suggests that it finds the MACR of 12, named in General Comment No. 10 as ‘the absolute minimum age’, as being too low (para. 33). </w:t>
      </w:r>
      <w:r w:rsidR="00A21A3D" w:rsidRPr="002B1107">
        <w:rPr>
          <w:sz w:val="21"/>
          <w:lang w:val="en-ZA"/>
        </w:rPr>
        <w:t xml:space="preserve">The Committee should spell out </w:t>
      </w:r>
      <w:r w:rsidR="00A21A3D" w:rsidRPr="002B1107">
        <w:rPr>
          <w:sz w:val="21"/>
          <w:u w:val="single"/>
          <w:lang w:val="en-ZA"/>
        </w:rPr>
        <w:t>why</w:t>
      </w:r>
      <w:r w:rsidR="00A21A3D" w:rsidRPr="002B1107">
        <w:rPr>
          <w:sz w:val="21"/>
          <w:lang w:val="en-ZA"/>
        </w:rPr>
        <w:t xml:space="preserve"> (on what basis</w:t>
      </w:r>
      <w:r w:rsidR="00D839D6" w:rsidRPr="002B1107">
        <w:rPr>
          <w:sz w:val="21"/>
          <w:lang w:val="en-ZA"/>
        </w:rPr>
        <w:t>?</w:t>
      </w:r>
      <w:r w:rsidR="00A21A3D" w:rsidRPr="002B1107">
        <w:rPr>
          <w:sz w:val="21"/>
          <w:lang w:val="en-ZA"/>
        </w:rPr>
        <w:t xml:space="preserve">) it regards </w:t>
      </w:r>
      <w:r w:rsidRPr="002B1107">
        <w:rPr>
          <w:sz w:val="21"/>
          <w:lang w:val="en-ZA"/>
        </w:rPr>
        <w:t xml:space="preserve">a </w:t>
      </w:r>
      <w:r w:rsidR="00A21A3D" w:rsidRPr="002B1107">
        <w:rPr>
          <w:sz w:val="21"/>
          <w:lang w:val="en-ZA"/>
        </w:rPr>
        <w:t xml:space="preserve">MACR of 12 </w:t>
      </w:r>
      <w:r w:rsidRPr="002B1107">
        <w:rPr>
          <w:sz w:val="21"/>
          <w:lang w:val="en-ZA"/>
        </w:rPr>
        <w:t xml:space="preserve">as </w:t>
      </w:r>
      <w:r w:rsidR="009B668A" w:rsidRPr="002B1107">
        <w:rPr>
          <w:sz w:val="21"/>
          <w:lang w:val="en-ZA"/>
        </w:rPr>
        <w:t>too low</w:t>
      </w:r>
      <w:r w:rsidR="00A21A3D" w:rsidRPr="002B1107">
        <w:rPr>
          <w:sz w:val="21"/>
          <w:lang w:val="en-ZA"/>
        </w:rPr>
        <w:t xml:space="preserve">. There is also no explicit justification for why </w:t>
      </w:r>
      <w:r w:rsidRPr="002B1107">
        <w:rPr>
          <w:sz w:val="21"/>
          <w:lang w:val="en-ZA"/>
        </w:rPr>
        <w:t xml:space="preserve">states are encouraged to increase </w:t>
      </w:r>
      <w:r w:rsidR="0039764C" w:rsidRPr="002B1107">
        <w:rPr>
          <w:sz w:val="21"/>
          <w:lang w:val="en-ZA"/>
        </w:rPr>
        <w:t xml:space="preserve">the MACR </w:t>
      </w:r>
      <w:r w:rsidRPr="002B1107">
        <w:rPr>
          <w:sz w:val="21"/>
          <w:lang w:val="en-ZA"/>
        </w:rPr>
        <w:t xml:space="preserve">to at least </w:t>
      </w:r>
      <w:r w:rsidR="00A21A3D" w:rsidRPr="002B1107">
        <w:rPr>
          <w:sz w:val="21"/>
          <w:lang w:val="en-ZA"/>
        </w:rPr>
        <w:t xml:space="preserve">14 years, or why </w:t>
      </w:r>
      <w:r w:rsidR="009B668A" w:rsidRPr="002B1107">
        <w:rPr>
          <w:sz w:val="21"/>
          <w:lang w:val="en-ZA"/>
        </w:rPr>
        <w:t>a MACR</w:t>
      </w:r>
      <w:r w:rsidR="00A21A3D" w:rsidRPr="002B1107">
        <w:rPr>
          <w:sz w:val="21"/>
          <w:lang w:val="en-ZA"/>
        </w:rPr>
        <w:t xml:space="preserve"> of 15 or 16 years call</w:t>
      </w:r>
      <w:r w:rsidR="009B668A" w:rsidRPr="002B1107">
        <w:rPr>
          <w:sz w:val="21"/>
          <w:lang w:val="en-ZA"/>
        </w:rPr>
        <w:t>s</w:t>
      </w:r>
      <w:r w:rsidR="00A21A3D" w:rsidRPr="002B1107">
        <w:rPr>
          <w:sz w:val="21"/>
          <w:lang w:val="en-ZA"/>
        </w:rPr>
        <w:t xml:space="preserve"> for commendation. It would be prefer</w:t>
      </w:r>
      <w:r w:rsidR="002B1107" w:rsidRPr="002B1107">
        <w:rPr>
          <w:sz w:val="21"/>
          <w:lang w:val="en-ZA"/>
        </w:rPr>
        <w:t>r</w:t>
      </w:r>
      <w:r w:rsidR="009B668A" w:rsidRPr="002B1107">
        <w:rPr>
          <w:sz w:val="21"/>
          <w:lang w:val="en-ZA"/>
        </w:rPr>
        <w:t>ed</w:t>
      </w:r>
      <w:r w:rsidR="00A21A3D" w:rsidRPr="002B1107">
        <w:rPr>
          <w:sz w:val="21"/>
          <w:lang w:val="en-ZA"/>
        </w:rPr>
        <w:t xml:space="preserve"> </w:t>
      </w:r>
      <w:r w:rsidR="009B668A" w:rsidRPr="002B1107">
        <w:rPr>
          <w:sz w:val="21"/>
          <w:lang w:val="en-ZA"/>
        </w:rPr>
        <w:t>to cite</w:t>
      </w:r>
      <w:r w:rsidR="00A21A3D" w:rsidRPr="002B1107">
        <w:rPr>
          <w:sz w:val="21"/>
          <w:lang w:val="en-ZA"/>
        </w:rPr>
        <w:t xml:space="preserve"> scientific research to substantiate these chosen age</w:t>
      </w:r>
      <w:r w:rsidR="009B668A" w:rsidRPr="002B1107">
        <w:rPr>
          <w:sz w:val="21"/>
          <w:lang w:val="en-ZA"/>
        </w:rPr>
        <w:t xml:space="preserve"> limits</w:t>
      </w:r>
      <w:r w:rsidR="00A21A3D" w:rsidRPr="002B1107">
        <w:rPr>
          <w:sz w:val="21"/>
          <w:lang w:val="en-ZA"/>
        </w:rPr>
        <w:t xml:space="preserve">. </w:t>
      </w:r>
      <w:r w:rsidR="0039764C" w:rsidRPr="002B1107">
        <w:rPr>
          <w:sz w:val="21"/>
          <w:lang w:val="en-ZA"/>
        </w:rPr>
        <w:t>Moreover, we recommend the Committee to make explicit which age should be considered as the absolute minimum.</w:t>
      </w:r>
    </w:p>
    <w:p w14:paraId="730FC60D" w14:textId="77777777" w:rsidR="00A21A3D" w:rsidRPr="002B1107" w:rsidRDefault="00A21A3D" w:rsidP="00A21A3D">
      <w:pPr>
        <w:pStyle w:val="NoSpacing"/>
        <w:jc w:val="both"/>
        <w:rPr>
          <w:sz w:val="21"/>
          <w:lang w:val="en-ZA"/>
        </w:rPr>
      </w:pPr>
    </w:p>
    <w:p w14:paraId="3F2DCFFE" w14:textId="3E6DF39F" w:rsidR="00A21A3D" w:rsidRPr="002B1107" w:rsidRDefault="00A21A3D" w:rsidP="00A21A3D">
      <w:pPr>
        <w:pStyle w:val="NoSpacing"/>
        <w:jc w:val="both"/>
        <w:rPr>
          <w:sz w:val="21"/>
          <w:lang w:val="en-ZA"/>
        </w:rPr>
      </w:pPr>
      <w:r w:rsidRPr="002B1107">
        <w:rPr>
          <w:sz w:val="21"/>
          <w:lang w:val="en-ZA"/>
        </w:rPr>
        <w:t>Par</w:t>
      </w:r>
      <w:r w:rsidR="00D839D6" w:rsidRPr="002B1107">
        <w:rPr>
          <w:sz w:val="21"/>
          <w:lang w:val="en-ZA"/>
        </w:rPr>
        <w:t>a</w:t>
      </w:r>
      <w:r w:rsidR="00AA7430" w:rsidRPr="002B1107">
        <w:rPr>
          <w:sz w:val="21"/>
          <w:lang w:val="en-ZA"/>
        </w:rPr>
        <w:t>graph</w:t>
      </w:r>
      <w:r w:rsidRPr="002B1107">
        <w:rPr>
          <w:sz w:val="21"/>
          <w:lang w:val="en-ZA"/>
        </w:rPr>
        <w:t xml:space="preserve"> 35 deals with exceptions to the MACR. However, it does not expr</w:t>
      </w:r>
      <w:r w:rsidR="00AA7430" w:rsidRPr="002B1107">
        <w:rPr>
          <w:sz w:val="21"/>
          <w:lang w:val="en-ZA"/>
        </w:rPr>
        <w:t xml:space="preserve">essly and sufficiently clearly </w:t>
      </w:r>
      <w:r w:rsidRPr="002B1107">
        <w:rPr>
          <w:sz w:val="21"/>
          <w:lang w:val="en-ZA"/>
        </w:rPr>
        <w:t>deal with those countries where there exists a rebuttable presumption of incapacity for children between p</w:t>
      </w:r>
      <w:r w:rsidR="00AA7430" w:rsidRPr="002B1107">
        <w:rPr>
          <w:sz w:val="21"/>
          <w:lang w:val="en-ZA"/>
        </w:rPr>
        <w:t>articular ages (</w:t>
      </w:r>
      <w:r w:rsidRPr="002B1107">
        <w:rPr>
          <w:sz w:val="21"/>
          <w:lang w:val="en-ZA"/>
        </w:rPr>
        <w:t>e</w:t>
      </w:r>
      <w:r w:rsidR="00AA7430" w:rsidRPr="002B1107">
        <w:rPr>
          <w:sz w:val="21"/>
          <w:lang w:val="en-ZA"/>
        </w:rPr>
        <w:t>.</w:t>
      </w:r>
      <w:r w:rsidRPr="002B1107">
        <w:rPr>
          <w:sz w:val="21"/>
          <w:lang w:val="en-ZA"/>
        </w:rPr>
        <w:t>g</w:t>
      </w:r>
      <w:r w:rsidR="00AA7430" w:rsidRPr="002B1107">
        <w:rPr>
          <w:sz w:val="21"/>
          <w:lang w:val="en-ZA"/>
        </w:rPr>
        <w:t>.</w:t>
      </w:r>
      <w:r w:rsidRPr="002B1107">
        <w:rPr>
          <w:sz w:val="21"/>
          <w:lang w:val="en-ZA"/>
        </w:rPr>
        <w:t xml:space="preserve"> South Africa</w:t>
      </w:r>
      <w:r w:rsidR="00AA7430" w:rsidRPr="002B1107">
        <w:rPr>
          <w:sz w:val="21"/>
          <w:lang w:val="en-ZA"/>
        </w:rPr>
        <w:t>)</w:t>
      </w:r>
      <w:r w:rsidRPr="002B1107">
        <w:rPr>
          <w:sz w:val="21"/>
          <w:lang w:val="en-ZA"/>
        </w:rPr>
        <w:t>. The presumption has been said to operate as a ‘protective mantle’, removal of which would expose more children to prosecution. The General Comment should clearly state why such a presumption does not operate as a protection for childr</w:t>
      </w:r>
      <w:r w:rsidR="002102F6" w:rsidRPr="002B1107">
        <w:rPr>
          <w:sz w:val="21"/>
          <w:lang w:val="en-ZA"/>
        </w:rPr>
        <w:t xml:space="preserve">en, and why it is undesirable. </w:t>
      </w:r>
      <w:r w:rsidRPr="002B1107">
        <w:rPr>
          <w:sz w:val="21"/>
          <w:lang w:val="en-ZA"/>
        </w:rPr>
        <w:t>This i</w:t>
      </w:r>
      <w:r w:rsidR="002102F6" w:rsidRPr="002B1107">
        <w:rPr>
          <w:sz w:val="21"/>
          <w:lang w:val="en-ZA"/>
        </w:rPr>
        <w:t>s not cured by the discussion at</w:t>
      </w:r>
      <w:r w:rsidRPr="002B1107">
        <w:rPr>
          <w:sz w:val="21"/>
          <w:lang w:val="en-ZA"/>
        </w:rPr>
        <w:t xml:space="preserve"> par</w:t>
      </w:r>
      <w:r w:rsidR="002102F6" w:rsidRPr="002B1107">
        <w:rPr>
          <w:sz w:val="21"/>
          <w:lang w:val="en-ZA"/>
        </w:rPr>
        <w:t>agraph 43</w:t>
      </w:r>
      <w:r w:rsidRPr="002B1107">
        <w:rPr>
          <w:sz w:val="21"/>
          <w:lang w:val="en-ZA"/>
        </w:rPr>
        <w:t xml:space="preserve"> concerning two minimum ages. This is because the text speaks of children who are</w:t>
      </w:r>
      <w:r w:rsidR="002102F6" w:rsidRPr="002B1107">
        <w:rPr>
          <w:sz w:val="21"/>
          <w:lang w:val="en-ZA"/>
        </w:rPr>
        <w:t xml:space="preserve"> ‘</w:t>
      </w:r>
      <w:r w:rsidRPr="002B1107">
        <w:rPr>
          <w:sz w:val="21"/>
          <w:lang w:val="en-ZA"/>
        </w:rPr>
        <w:t>at or above the lower minimum age but below the higher minimum age [who] are assumed to be criminally responsible only if they have the required maturity in that regard</w:t>
      </w:r>
      <w:r w:rsidR="002102F6" w:rsidRPr="002B1107">
        <w:rPr>
          <w:sz w:val="21"/>
          <w:lang w:val="en-ZA"/>
        </w:rPr>
        <w:t>’. T</w:t>
      </w:r>
      <w:r w:rsidRPr="002B1107">
        <w:rPr>
          <w:sz w:val="21"/>
          <w:lang w:val="en-ZA"/>
        </w:rPr>
        <w:t xml:space="preserve">his turns the test around as the default position is the </w:t>
      </w:r>
      <w:r w:rsidRPr="002B1107">
        <w:rPr>
          <w:sz w:val="21"/>
          <w:u w:val="single"/>
          <w:lang w:val="en-ZA"/>
        </w:rPr>
        <w:t>lack</w:t>
      </w:r>
      <w:r w:rsidRPr="002B1107">
        <w:rPr>
          <w:sz w:val="21"/>
          <w:lang w:val="en-ZA"/>
        </w:rPr>
        <w:t xml:space="preserve"> </w:t>
      </w:r>
      <w:r w:rsidR="002102F6" w:rsidRPr="002B1107">
        <w:rPr>
          <w:sz w:val="21"/>
          <w:lang w:val="en-ZA"/>
        </w:rPr>
        <w:t xml:space="preserve">of assumption </w:t>
      </w:r>
      <w:r w:rsidR="004F5170" w:rsidRPr="002B1107">
        <w:rPr>
          <w:sz w:val="21"/>
          <w:lang w:val="en-ZA"/>
        </w:rPr>
        <w:t xml:space="preserve">of </w:t>
      </w:r>
      <w:r w:rsidRPr="002B1107">
        <w:rPr>
          <w:sz w:val="21"/>
          <w:lang w:val="en-ZA"/>
        </w:rPr>
        <w:t>capacity.</w:t>
      </w:r>
      <w:r w:rsidR="0039764C" w:rsidRPr="002B1107">
        <w:rPr>
          <w:sz w:val="21"/>
          <w:lang w:val="en-ZA"/>
        </w:rPr>
        <w:t xml:space="preserve"> The Committee could consider merging para. 43 with 35, since both paragraphs seem to regulate more or less the same issue.</w:t>
      </w:r>
    </w:p>
    <w:p w14:paraId="4A3D8F2E" w14:textId="77777777" w:rsidR="004C0928" w:rsidRPr="002B1107" w:rsidRDefault="004C0928" w:rsidP="00A21A3D">
      <w:pPr>
        <w:pStyle w:val="NoSpacing"/>
        <w:jc w:val="both"/>
        <w:rPr>
          <w:sz w:val="21"/>
          <w:lang w:val="en-ZA"/>
        </w:rPr>
      </w:pPr>
    </w:p>
    <w:p w14:paraId="4F362B34" w14:textId="4676D4C6" w:rsidR="004C0928" w:rsidRPr="002B1107" w:rsidRDefault="004C0928" w:rsidP="004C0928">
      <w:pPr>
        <w:pStyle w:val="NoSpacing"/>
        <w:rPr>
          <w:i/>
          <w:sz w:val="21"/>
          <w:lang w:val="en-GB"/>
        </w:rPr>
      </w:pPr>
      <w:r w:rsidRPr="002B1107">
        <w:rPr>
          <w:i/>
          <w:sz w:val="21"/>
          <w:u w:val="single"/>
          <w:lang w:val="en-GB"/>
        </w:rPr>
        <w:t>Upper age limit of the juvenile justice system (para.</w:t>
      </w:r>
      <w:r w:rsidR="00E713CF" w:rsidRPr="002B1107">
        <w:rPr>
          <w:i/>
          <w:sz w:val="21"/>
          <w:u w:val="single"/>
          <w:lang w:val="en-GB"/>
        </w:rPr>
        <w:t xml:space="preserve"> 37-42 and para. 46-48)</w:t>
      </w:r>
      <w:r w:rsidRPr="002B1107">
        <w:rPr>
          <w:i/>
          <w:sz w:val="21"/>
          <w:lang w:val="en-GB"/>
        </w:rPr>
        <w:t xml:space="preserve"> </w:t>
      </w:r>
    </w:p>
    <w:p w14:paraId="43C598DA" w14:textId="039824B7" w:rsidR="004C0928" w:rsidRPr="002B1107" w:rsidRDefault="004C0928" w:rsidP="004C0928">
      <w:pPr>
        <w:pStyle w:val="NoSpacing"/>
        <w:jc w:val="both"/>
        <w:rPr>
          <w:sz w:val="21"/>
          <w:lang w:val="en-GB"/>
        </w:rPr>
      </w:pPr>
      <w:r w:rsidRPr="002B1107">
        <w:rPr>
          <w:sz w:val="21"/>
          <w:lang w:val="en-GB"/>
        </w:rPr>
        <w:t xml:space="preserve">The Committee has named providing clarity on the upper age limit of the juvenile justice system, also referred to as the </w:t>
      </w:r>
      <w:r w:rsidR="00E713CF" w:rsidRPr="002B1107">
        <w:rPr>
          <w:sz w:val="21"/>
          <w:lang w:val="en-GB"/>
        </w:rPr>
        <w:t>‘</w:t>
      </w:r>
      <w:r w:rsidRPr="002B1107">
        <w:rPr>
          <w:sz w:val="21"/>
          <w:lang w:val="en-GB"/>
        </w:rPr>
        <w:t>age of criminal majority</w:t>
      </w:r>
      <w:r w:rsidR="00E713CF" w:rsidRPr="002B1107">
        <w:rPr>
          <w:sz w:val="21"/>
          <w:lang w:val="en-GB"/>
        </w:rPr>
        <w:t>’</w:t>
      </w:r>
      <w:r w:rsidRPr="002B1107">
        <w:rPr>
          <w:sz w:val="21"/>
          <w:lang w:val="en-GB"/>
        </w:rPr>
        <w:t xml:space="preserve">, as one of the objectives of the revised General Comment. As in </w:t>
      </w:r>
      <w:r w:rsidRPr="002B1107">
        <w:rPr>
          <w:sz w:val="21"/>
          <w:lang w:val="en-GB"/>
        </w:rPr>
        <w:lastRenderedPageBreak/>
        <w:t>General Comment No. 10, this age limit is seen as fixed at 18 years</w:t>
      </w:r>
      <w:r w:rsidR="00E713CF" w:rsidRPr="002B1107">
        <w:rPr>
          <w:sz w:val="21"/>
          <w:lang w:val="en-GB"/>
        </w:rPr>
        <w:t xml:space="preserve"> (‘at the time of the commission of the offence’). T</w:t>
      </w:r>
      <w:r w:rsidRPr="002B1107">
        <w:rPr>
          <w:sz w:val="21"/>
          <w:lang w:val="en-GB"/>
        </w:rPr>
        <w:t>he Committee</w:t>
      </w:r>
      <w:r w:rsidR="00E713CF" w:rsidRPr="002B1107">
        <w:rPr>
          <w:sz w:val="21"/>
          <w:lang w:val="en-GB"/>
        </w:rPr>
        <w:t xml:space="preserve">, again, ‘notes with appreciation </w:t>
      </w:r>
      <w:r w:rsidRPr="002B1107">
        <w:rPr>
          <w:sz w:val="21"/>
          <w:lang w:val="en-GB"/>
        </w:rPr>
        <w:t>that some States parties allow for the application of the rules and regulations of juvenile justice to persons aged 18 and older, usually until the age of 21, whether as a general rule or by way of exception’ (para. 42).</w:t>
      </w:r>
      <w:r w:rsidR="00E713CF" w:rsidRPr="002B1107">
        <w:rPr>
          <w:sz w:val="21"/>
          <w:lang w:val="en-GB"/>
        </w:rPr>
        <w:t xml:space="preserve"> </w:t>
      </w:r>
      <w:r w:rsidRPr="002B1107">
        <w:rPr>
          <w:sz w:val="21"/>
          <w:lang w:val="en-GB"/>
        </w:rPr>
        <w:t>However, a stronger endorsement of this application of juvenile justice to young adults could provide more of an impetus to the (increasing) attention for the cognitive and emotional development and the legal position of young adults.</w:t>
      </w:r>
      <w:r w:rsidRPr="002B1107">
        <w:rPr>
          <w:sz w:val="21"/>
          <w:vertAlign w:val="superscript"/>
          <w:lang w:val="en-GB"/>
        </w:rPr>
        <w:footnoteReference w:id="4"/>
      </w:r>
      <w:r w:rsidRPr="002B1107">
        <w:rPr>
          <w:sz w:val="21"/>
          <w:lang w:val="en-GB"/>
        </w:rPr>
        <w:t xml:space="preserve"> Moreover, some further guidance and clarification on the application of an extended upper age limit in practice is highly recommendable. For instance, if juvenile justice can be applied to young adults by way of exception, some of the factors to be taken into account for deciding on this application could be mentioned.</w:t>
      </w:r>
      <w:r w:rsidRPr="002B1107">
        <w:rPr>
          <w:sz w:val="21"/>
          <w:vertAlign w:val="superscript"/>
          <w:lang w:val="en-GB"/>
        </w:rPr>
        <w:footnoteReference w:id="5"/>
      </w:r>
      <w:r w:rsidRPr="002B1107">
        <w:rPr>
          <w:sz w:val="21"/>
          <w:lang w:val="en-GB"/>
        </w:rPr>
        <w:t xml:space="preserve"> Finally, the Committee merely mentions that the application of juvenile justice is usually reserved for young adults until the age of 21, without </w:t>
      </w:r>
      <w:r w:rsidR="00644250" w:rsidRPr="002B1107">
        <w:rPr>
          <w:sz w:val="21"/>
          <w:lang w:val="en-GB"/>
        </w:rPr>
        <w:t>providing a justification for</w:t>
      </w:r>
      <w:r w:rsidRPr="002B1107">
        <w:rPr>
          <w:sz w:val="21"/>
          <w:lang w:val="en-GB"/>
        </w:rPr>
        <w:t xml:space="preserve"> this particular age limit. Based on international research into the development of adolescents and young adults the age limit of 21 is not self-evident: young adults seem to develop until well into their twenties.</w:t>
      </w:r>
      <w:r w:rsidRPr="002B1107">
        <w:rPr>
          <w:sz w:val="21"/>
          <w:vertAlign w:val="superscript"/>
          <w:lang w:val="en-GB"/>
        </w:rPr>
        <w:footnoteReference w:id="6"/>
      </w:r>
      <w:r w:rsidRPr="002B1107">
        <w:rPr>
          <w:sz w:val="21"/>
          <w:lang w:val="en-GB"/>
        </w:rPr>
        <w:t xml:space="preserve">  </w:t>
      </w:r>
    </w:p>
    <w:p w14:paraId="4903A6D0" w14:textId="77777777" w:rsidR="0023206B" w:rsidRPr="002B1107" w:rsidRDefault="0023206B" w:rsidP="00E713CF">
      <w:pPr>
        <w:pStyle w:val="NoSpacing"/>
        <w:jc w:val="both"/>
        <w:rPr>
          <w:sz w:val="21"/>
          <w:lang w:val="en-GB"/>
        </w:rPr>
      </w:pPr>
    </w:p>
    <w:p w14:paraId="4EE59360" w14:textId="3F675A0E" w:rsidR="009B668A" w:rsidRPr="002B1107" w:rsidRDefault="004C0928" w:rsidP="00E713CF">
      <w:pPr>
        <w:pStyle w:val="NoSpacing"/>
        <w:jc w:val="both"/>
        <w:rPr>
          <w:sz w:val="21"/>
          <w:lang w:val="en-GB"/>
        </w:rPr>
      </w:pPr>
      <w:r w:rsidRPr="002B1107">
        <w:rPr>
          <w:sz w:val="21"/>
          <w:lang w:val="en-GB"/>
        </w:rPr>
        <w:t xml:space="preserve">We recommend the Committee </w:t>
      </w:r>
      <w:r w:rsidR="009B668A" w:rsidRPr="002B1107">
        <w:rPr>
          <w:sz w:val="21"/>
          <w:lang w:val="en-GB"/>
        </w:rPr>
        <w:t xml:space="preserve">to </w:t>
      </w:r>
      <w:r w:rsidR="0023206B" w:rsidRPr="002B1107">
        <w:rPr>
          <w:sz w:val="21"/>
          <w:lang w:val="en-GB"/>
        </w:rPr>
        <w:t>make all specialised services available for children who age out of the system during the application of the sentence/measure – in line with para</w:t>
      </w:r>
      <w:r w:rsidR="00422340" w:rsidRPr="002B1107">
        <w:rPr>
          <w:sz w:val="21"/>
          <w:lang w:val="en-GB"/>
        </w:rPr>
        <w:t>s</w:t>
      </w:r>
      <w:r w:rsidR="0023206B" w:rsidRPr="002B1107">
        <w:rPr>
          <w:sz w:val="21"/>
          <w:lang w:val="en-GB"/>
        </w:rPr>
        <w:t xml:space="preserve">. </w:t>
      </w:r>
      <w:r w:rsidR="002B1107" w:rsidRPr="002B1107">
        <w:rPr>
          <w:sz w:val="21"/>
          <w:lang w:val="en-GB"/>
        </w:rPr>
        <w:t>42,</w:t>
      </w:r>
      <w:r w:rsidR="00422340" w:rsidRPr="002B1107">
        <w:rPr>
          <w:sz w:val="21"/>
          <w:lang w:val="en-GB"/>
        </w:rPr>
        <w:t xml:space="preserve"> </w:t>
      </w:r>
      <w:r w:rsidR="0023206B" w:rsidRPr="002B1107">
        <w:rPr>
          <w:sz w:val="21"/>
          <w:lang w:val="en-GB"/>
        </w:rPr>
        <w:t>46</w:t>
      </w:r>
      <w:r w:rsidR="002B1107" w:rsidRPr="002B1107">
        <w:rPr>
          <w:sz w:val="21"/>
          <w:lang w:val="en-GB"/>
        </w:rPr>
        <w:t xml:space="preserve"> and</w:t>
      </w:r>
      <w:r w:rsidR="00422340" w:rsidRPr="002B1107">
        <w:rPr>
          <w:sz w:val="21"/>
          <w:lang w:val="en-GB"/>
        </w:rPr>
        <w:t xml:space="preserve"> 105</w:t>
      </w:r>
      <w:r w:rsidR="0023206B" w:rsidRPr="002B1107">
        <w:rPr>
          <w:sz w:val="21"/>
          <w:lang w:val="en-GB"/>
        </w:rPr>
        <w:t xml:space="preserve"> – at least until the age of 23. However, it should be born in mind that as a consequence more youth who are over </w:t>
      </w:r>
      <w:r w:rsidR="002B1107" w:rsidRPr="002B1107">
        <w:rPr>
          <w:sz w:val="21"/>
          <w:lang w:val="en-GB"/>
        </w:rPr>
        <w:t>18</w:t>
      </w:r>
      <w:r w:rsidR="004162F4">
        <w:rPr>
          <w:sz w:val="21"/>
          <w:lang w:val="en-GB"/>
        </w:rPr>
        <w:t xml:space="preserve"> </w:t>
      </w:r>
      <w:r w:rsidR="002B1107" w:rsidRPr="002B1107">
        <w:rPr>
          <w:sz w:val="21"/>
          <w:lang w:val="en-GB"/>
        </w:rPr>
        <w:t>will</w:t>
      </w:r>
      <w:r w:rsidR="004162F4">
        <w:rPr>
          <w:sz w:val="21"/>
          <w:lang w:val="en-GB"/>
        </w:rPr>
        <w:t xml:space="preserve"> </w:t>
      </w:r>
      <w:r w:rsidR="0023206B" w:rsidRPr="002B1107">
        <w:rPr>
          <w:sz w:val="21"/>
          <w:lang w:val="en-GB"/>
        </w:rPr>
        <w:t>inhabit youth custodial institutions. It would be helpful if the Committee could give practical recommendations on how States should deal with the extended age differences in youth facilities, without disregarding the righ</w:t>
      </w:r>
      <w:r w:rsidR="00422340" w:rsidRPr="002B1107">
        <w:rPr>
          <w:sz w:val="21"/>
          <w:lang w:val="en-GB"/>
        </w:rPr>
        <w:t xml:space="preserve">ts and well </w:t>
      </w:r>
      <w:r w:rsidR="0023206B" w:rsidRPr="002B1107">
        <w:rPr>
          <w:sz w:val="21"/>
          <w:lang w:val="en-GB"/>
        </w:rPr>
        <w:t>being of children in these facilities?</w:t>
      </w:r>
    </w:p>
    <w:p w14:paraId="6D8A6FE7" w14:textId="77777777" w:rsidR="00E713CF" w:rsidRPr="002B1107" w:rsidRDefault="00E713CF" w:rsidP="00E713CF">
      <w:pPr>
        <w:pStyle w:val="NoSpacing"/>
        <w:rPr>
          <w:sz w:val="21"/>
          <w:lang w:val="en-GB"/>
        </w:rPr>
      </w:pPr>
    </w:p>
    <w:p w14:paraId="72F3E401" w14:textId="51EC6365" w:rsidR="00E713CF" w:rsidRPr="002B1107" w:rsidRDefault="00E713CF" w:rsidP="00644250">
      <w:pPr>
        <w:pStyle w:val="NoSpacing"/>
        <w:jc w:val="both"/>
        <w:rPr>
          <w:sz w:val="21"/>
          <w:lang w:val="en-GB"/>
        </w:rPr>
      </w:pPr>
      <w:r w:rsidRPr="002B1107">
        <w:rPr>
          <w:sz w:val="21"/>
          <w:lang w:val="en-GB"/>
        </w:rPr>
        <w:t xml:space="preserve">Furthermore, </w:t>
      </w:r>
      <w:r w:rsidR="00644250" w:rsidRPr="002B1107">
        <w:rPr>
          <w:sz w:val="21"/>
          <w:lang w:val="en-GB"/>
        </w:rPr>
        <w:t>it would be appropriate if the Committee expresses it</w:t>
      </w:r>
      <w:r w:rsidR="00CC3046" w:rsidRPr="002B1107">
        <w:rPr>
          <w:sz w:val="21"/>
          <w:lang w:val="en-GB"/>
        </w:rPr>
        <w:t>s</w:t>
      </w:r>
      <w:r w:rsidR="00644250" w:rsidRPr="002B1107">
        <w:rPr>
          <w:sz w:val="21"/>
          <w:lang w:val="en-GB"/>
        </w:rPr>
        <w:t xml:space="preserve"> concerns about recent developments in countries</w:t>
      </w:r>
      <w:r w:rsidR="00CC3046" w:rsidRPr="002B1107">
        <w:rPr>
          <w:sz w:val="21"/>
          <w:lang w:val="en-GB"/>
        </w:rPr>
        <w:t>,</w:t>
      </w:r>
      <w:r w:rsidR="00644250" w:rsidRPr="002B1107">
        <w:rPr>
          <w:sz w:val="21"/>
          <w:lang w:val="en-GB"/>
        </w:rPr>
        <w:t xml:space="preserve"> such as India and Brazil, to lower the upper age limit allowing that children age</w:t>
      </w:r>
      <w:r w:rsidR="0023206B" w:rsidRPr="002B1107">
        <w:rPr>
          <w:sz w:val="21"/>
          <w:lang w:val="en-GB"/>
        </w:rPr>
        <w:t>d</w:t>
      </w:r>
      <w:r w:rsidR="00644250" w:rsidRPr="002B1107">
        <w:rPr>
          <w:sz w:val="21"/>
          <w:lang w:val="en-GB"/>
        </w:rPr>
        <w:t xml:space="preserve"> 16 and 17 are treated as adults. The Committee could include a stronger recommendation – in para. 37 – not to make any exception to the rule that </w:t>
      </w:r>
      <w:r w:rsidR="00CC3046" w:rsidRPr="002B1107">
        <w:rPr>
          <w:sz w:val="21"/>
          <w:lang w:val="en-GB"/>
        </w:rPr>
        <w:t>all persons below the age of 18</w:t>
      </w:r>
      <w:r w:rsidR="00644250" w:rsidRPr="002B1107">
        <w:rPr>
          <w:sz w:val="21"/>
          <w:lang w:val="en-GB"/>
        </w:rPr>
        <w:t xml:space="preserve"> accused of having committed an offence should be treated in full accordance with the CRC and related juvenile justice standards.</w:t>
      </w:r>
    </w:p>
    <w:p w14:paraId="627CC413" w14:textId="77777777" w:rsidR="00A21A3D" w:rsidRPr="002B1107" w:rsidRDefault="00A21A3D" w:rsidP="008B6D11">
      <w:pPr>
        <w:pStyle w:val="NoSpacing"/>
        <w:jc w:val="both"/>
        <w:rPr>
          <w:sz w:val="21"/>
          <w:lang w:val="en-GB"/>
        </w:rPr>
      </w:pPr>
    </w:p>
    <w:p w14:paraId="475875EE" w14:textId="548BD41F" w:rsidR="00D40560" w:rsidRPr="002B1107" w:rsidRDefault="00A21A3D" w:rsidP="008B6D11">
      <w:pPr>
        <w:pStyle w:val="NoSpacing"/>
        <w:jc w:val="both"/>
        <w:rPr>
          <w:i/>
          <w:sz w:val="21"/>
          <w:lang w:val="en-GB"/>
        </w:rPr>
      </w:pPr>
      <w:r w:rsidRPr="002B1107">
        <w:rPr>
          <w:i/>
          <w:sz w:val="21"/>
          <w:lang w:val="en-GB"/>
        </w:rPr>
        <w:t xml:space="preserve">2. </w:t>
      </w:r>
      <w:r w:rsidR="00D40560" w:rsidRPr="002B1107">
        <w:rPr>
          <w:i/>
          <w:sz w:val="21"/>
          <w:lang w:val="en-GB"/>
        </w:rPr>
        <w:t>Public safety</w:t>
      </w:r>
    </w:p>
    <w:p w14:paraId="3DFB96B5" w14:textId="77777777" w:rsidR="00DE50A3" w:rsidRPr="002B1107" w:rsidRDefault="00DE50A3" w:rsidP="00C4656A">
      <w:pPr>
        <w:pStyle w:val="NoSpacing"/>
        <w:jc w:val="both"/>
        <w:rPr>
          <w:sz w:val="21"/>
          <w:lang w:val="en-GB"/>
        </w:rPr>
      </w:pPr>
    </w:p>
    <w:p w14:paraId="427BCE0D" w14:textId="65E4F554" w:rsidR="00246021" w:rsidRPr="002B1107" w:rsidRDefault="0049580D" w:rsidP="00C4656A">
      <w:pPr>
        <w:pStyle w:val="NoSpacing"/>
        <w:jc w:val="both"/>
        <w:rPr>
          <w:sz w:val="21"/>
          <w:lang w:val="en-GB"/>
        </w:rPr>
      </w:pPr>
      <w:r w:rsidRPr="002B1107">
        <w:rPr>
          <w:sz w:val="21"/>
          <w:lang w:val="en-GB"/>
        </w:rPr>
        <w:t xml:space="preserve">Empirical research shows that public safety is broadly considered one of the key objectives of juvenile justice by </w:t>
      </w:r>
      <w:r w:rsidR="00C4656A" w:rsidRPr="002B1107">
        <w:rPr>
          <w:sz w:val="21"/>
          <w:lang w:val="en-GB"/>
        </w:rPr>
        <w:t xml:space="preserve">juvenile justice </w:t>
      </w:r>
      <w:r w:rsidRPr="002B1107">
        <w:rPr>
          <w:sz w:val="21"/>
          <w:lang w:val="en-GB"/>
        </w:rPr>
        <w:t xml:space="preserve">practitioners. This has </w:t>
      </w:r>
      <w:r w:rsidR="003F71EF" w:rsidRPr="002B1107">
        <w:rPr>
          <w:sz w:val="21"/>
          <w:lang w:val="en-GB"/>
        </w:rPr>
        <w:t xml:space="preserve">also </w:t>
      </w:r>
      <w:r w:rsidRPr="002B1107">
        <w:rPr>
          <w:sz w:val="21"/>
          <w:lang w:val="en-GB"/>
        </w:rPr>
        <w:t>been acknowledged by the Committee</w:t>
      </w:r>
      <w:r w:rsidR="003F71EF" w:rsidRPr="002B1107">
        <w:rPr>
          <w:sz w:val="21"/>
          <w:lang w:val="en-GB"/>
        </w:rPr>
        <w:t xml:space="preserve">, stating that public safety is a legitimate </w:t>
      </w:r>
      <w:r w:rsidR="00A21A3D" w:rsidRPr="002B1107">
        <w:rPr>
          <w:sz w:val="21"/>
          <w:lang w:val="en-GB"/>
        </w:rPr>
        <w:t>aim of juvenile justice, but ‘</w:t>
      </w:r>
      <w:r w:rsidRPr="002B1107">
        <w:rPr>
          <w:sz w:val="21"/>
          <w:lang w:val="en-GB"/>
        </w:rPr>
        <w:t>is best served by a full</w:t>
      </w:r>
      <w:r w:rsidR="003F71EF" w:rsidRPr="002B1107">
        <w:rPr>
          <w:sz w:val="21"/>
          <w:lang w:val="en-GB"/>
        </w:rPr>
        <w:t xml:space="preserve"> </w:t>
      </w:r>
      <w:r w:rsidRPr="002B1107">
        <w:rPr>
          <w:sz w:val="21"/>
          <w:lang w:val="en-GB"/>
        </w:rPr>
        <w:t>respect for and</w:t>
      </w:r>
      <w:r w:rsidR="003F71EF" w:rsidRPr="002B1107">
        <w:rPr>
          <w:sz w:val="21"/>
          <w:lang w:val="en-GB"/>
        </w:rPr>
        <w:t xml:space="preserve"> </w:t>
      </w:r>
      <w:r w:rsidRPr="002B1107">
        <w:rPr>
          <w:sz w:val="21"/>
          <w:lang w:val="en-GB"/>
        </w:rPr>
        <w:t>implementation of the leading and overarching principles of juvenile justice</w:t>
      </w:r>
      <w:r w:rsidR="003F71EF" w:rsidRPr="002B1107">
        <w:rPr>
          <w:sz w:val="21"/>
          <w:lang w:val="en-GB"/>
        </w:rPr>
        <w:t xml:space="preserve"> </w:t>
      </w:r>
      <w:r w:rsidRPr="002B1107">
        <w:rPr>
          <w:sz w:val="21"/>
          <w:lang w:val="en-GB"/>
        </w:rPr>
        <w:t xml:space="preserve">as enshrined in </w:t>
      </w:r>
      <w:r w:rsidR="00C4656A" w:rsidRPr="002B1107">
        <w:rPr>
          <w:sz w:val="21"/>
          <w:lang w:val="en-GB"/>
        </w:rPr>
        <w:t xml:space="preserve">the </w:t>
      </w:r>
      <w:r w:rsidRPr="002B1107">
        <w:rPr>
          <w:sz w:val="21"/>
          <w:lang w:val="en-GB"/>
        </w:rPr>
        <w:t>CRC</w:t>
      </w:r>
      <w:r w:rsidR="00A21A3D" w:rsidRPr="002B1107">
        <w:rPr>
          <w:sz w:val="21"/>
          <w:lang w:val="en-GB"/>
        </w:rPr>
        <w:t>’</w:t>
      </w:r>
      <w:r w:rsidR="003F71EF" w:rsidRPr="002B1107">
        <w:rPr>
          <w:sz w:val="21"/>
          <w:lang w:val="en-GB"/>
        </w:rPr>
        <w:t xml:space="preserve"> (para. 16)</w:t>
      </w:r>
      <w:r w:rsidRPr="002B1107">
        <w:rPr>
          <w:sz w:val="21"/>
          <w:lang w:val="en-GB"/>
        </w:rPr>
        <w:t>.</w:t>
      </w:r>
      <w:r w:rsidR="003F71EF" w:rsidRPr="002B1107">
        <w:rPr>
          <w:sz w:val="21"/>
          <w:lang w:val="en-GB"/>
        </w:rPr>
        <w:t xml:space="preserve"> </w:t>
      </w:r>
      <w:r w:rsidR="00761500" w:rsidRPr="002B1107">
        <w:rPr>
          <w:sz w:val="21"/>
          <w:lang w:val="en-GB"/>
        </w:rPr>
        <w:t>Yet, t</w:t>
      </w:r>
      <w:r w:rsidR="00246021" w:rsidRPr="002B1107">
        <w:rPr>
          <w:sz w:val="21"/>
          <w:lang w:val="en-GB"/>
        </w:rPr>
        <w:t>his claim</w:t>
      </w:r>
      <w:r w:rsidR="00761500" w:rsidRPr="002B1107">
        <w:rPr>
          <w:sz w:val="21"/>
          <w:lang w:val="en-GB"/>
        </w:rPr>
        <w:t xml:space="preserve"> </w:t>
      </w:r>
      <w:r w:rsidR="00246021" w:rsidRPr="002B1107">
        <w:rPr>
          <w:sz w:val="21"/>
          <w:lang w:val="en-GB"/>
        </w:rPr>
        <w:t xml:space="preserve">would be more convincing if substantiated with empirical evidence, for example by pointing out that </w:t>
      </w:r>
      <w:r w:rsidR="00505653" w:rsidRPr="002B1107">
        <w:rPr>
          <w:sz w:val="21"/>
          <w:lang w:val="en-GB"/>
        </w:rPr>
        <w:t xml:space="preserve">a </w:t>
      </w:r>
      <w:r w:rsidR="00761500" w:rsidRPr="002B1107">
        <w:rPr>
          <w:sz w:val="21"/>
          <w:lang w:val="en-GB"/>
        </w:rPr>
        <w:t>child-</w:t>
      </w:r>
      <w:r w:rsidR="00505653" w:rsidRPr="002B1107">
        <w:rPr>
          <w:sz w:val="21"/>
          <w:lang w:val="en-GB"/>
        </w:rPr>
        <w:t>friendly, tailored approach to dealing with children in conflict with the law, preferably using</w:t>
      </w:r>
      <w:r w:rsidR="00246021" w:rsidRPr="002B1107">
        <w:rPr>
          <w:sz w:val="21"/>
          <w:lang w:val="en-GB"/>
        </w:rPr>
        <w:t xml:space="preserve"> community-based, non-custodial interventions</w:t>
      </w:r>
      <w:r w:rsidR="00505653" w:rsidRPr="002B1107">
        <w:rPr>
          <w:sz w:val="21"/>
          <w:lang w:val="en-GB"/>
        </w:rPr>
        <w:t>, is</w:t>
      </w:r>
      <w:r w:rsidR="00246021" w:rsidRPr="002B1107">
        <w:rPr>
          <w:sz w:val="21"/>
          <w:lang w:val="en-GB"/>
        </w:rPr>
        <w:t xml:space="preserve"> </w:t>
      </w:r>
      <w:r w:rsidR="00505653" w:rsidRPr="002B1107">
        <w:rPr>
          <w:sz w:val="21"/>
          <w:lang w:val="en-GB"/>
        </w:rPr>
        <w:t>proven to be</w:t>
      </w:r>
      <w:r w:rsidR="00246021" w:rsidRPr="002B1107">
        <w:rPr>
          <w:sz w:val="21"/>
          <w:lang w:val="en-GB"/>
        </w:rPr>
        <w:t xml:space="preserve"> more effective </w:t>
      </w:r>
      <w:r w:rsidR="00761500" w:rsidRPr="002B1107">
        <w:rPr>
          <w:sz w:val="21"/>
          <w:lang w:val="en-GB"/>
        </w:rPr>
        <w:t>for</w:t>
      </w:r>
      <w:r w:rsidR="00246021" w:rsidRPr="002B1107">
        <w:rPr>
          <w:sz w:val="21"/>
          <w:lang w:val="en-GB"/>
        </w:rPr>
        <w:t xml:space="preserve"> preserving public safety than a</w:t>
      </w:r>
      <w:r w:rsidR="00761500" w:rsidRPr="002B1107">
        <w:rPr>
          <w:sz w:val="21"/>
          <w:lang w:val="en-GB"/>
        </w:rPr>
        <w:t xml:space="preserve"> strictly</w:t>
      </w:r>
      <w:r w:rsidR="00246021" w:rsidRPr="002B1107">
        <w:rPr>
          <w:sz w:val="21"/>
          <w:lang w:val="en-GB"/>
        </w:rPr>
        <w:t xml:space="preserve"> punitive approach (cf. the ‘What Works’ principles). </w:t>
      </w:r>
    </w:p>
    <w:p w14:paraId="702BE7ED" w14:textId="77777777" w:rsidR="00246021" w:rsidRPr="002B1107" w:rsidRDefault="00246021" w:rsidP="00C4656A">
      <w:pPr>
        <w:pStyle w:val="NoSpacing"/>
        <w:jc w:val="both"/>
        <w:rPr>
          <w:sz w:val="21"/>
          <w:lang w:val="en-GB"/>
        </w:rPr>
      </w:pPr>
    </w:p>
    <w:p w14:paraId="614E60FD" w14:textId="6264324E" w:rsidR="0039764C" w:rsidRPr="002B1107" w:rsidRDefault="00761500" w:rsidP="00C4656A">
      <w:pPr>
        <w:pStyle w:val="NoSpacing"/>
        <w:jc w:val="both"/>
        <w:rPr>
          <w:sz w:val="21"/>
          <w:lang w:val="en-GB"/>
        </w:rPr>
      </w:pPr>
      <w:r w:rsidRPr="002B1107">
        <w:rPr>
          <w:sz w:val="21"/>
          <w:lang w:val="en-GB"/>
        </w:rPr>
        <w:t>Moreover, t</w:t>
      </w:r>
      <w:r w:rsidR="0049580D" w:rsidRPr="002B1107">
        <w:rPr>
          <w:sz w:val="21"/>
          <w:lang w:val="en-GB"/>
        </w:rPr>
        <w:t xml:space="preserve">he General Comment </w:t>
      </w:r>
      <w:r w:rsidR="003F71EF" w:rsidRPr="002B1107">
        <w:rPr>
          <w:sz w:val="21"/>
          <w:lang w:val="en-GB"/>
        </w:rPr>
        <w:t xml:space="preserve">does </w:t>
      </w:r>
      <w:r w:rsidR="0049580D" w:rsidRPr="002B1107">
        <w:rPr>
          <w:sz w:val="21"/>
          <w:lang w:val="en-GB"/>
        </w:rPr>
        <w:t>not give clear guidance how children’s rights standards can be upheld without disregarding public safety concerns.</w:t>
      </w:r>
      <w:r w:rsidR="003F71EF" w:rsidRPr="002B1107">
        <w:rPr>
          <w:sz w:val="21"/>
          <w:lang w:val="en-GB"/>
        </w:rPr>
        <w:t xml:space="preserve"> In fact, new proposals such as the minimum age for deprivation of liberty at 16,</w:t>
      </w:r>
      <w:r w:rsidR="0039764C" w:rsidRPr="002B1107">
        <w:rPr>
          <w:sz w:val="21"/>
          <w:lang w:val="en-GB"/>
        </w:rPr>
        <w:t xml:space="preserve"> both at</w:t>
      </w:r>
      <w:r w:rsidR="005B0442" w:rsidRPr="002B1107">
        <w:rPr>
          <w:sz w:val="21"/>
          <w:lang w:val="en-GB"/>
        </w:rPr>
        <w:t xml:space="preserve"> the pre-trial and the post-trial stage,</w:t>
      </w:r>
      <w:r w:rsidR="0039764C" w:rsidRPr="002B1107">
        <w:rPr>
          <w:sz w:val="21"/>
          <w:lang w:val="en-GB"/>
        </w:rPr>
        <w:t xml:space="preserve"> seem to imply that police investigation and interrogation of children under the age of 16, who committed severe offence</w:t>
      </w:r>
      <w:r w:rsidR="004162F4">
        <w:rPr>
          <w:sz w:val="21"/>
          <w:lang w:val="en-GB"/>
        </w:rPr>
        <w:t>s</w:t>
      </w:r>
      <w:r w:rsidR="0039764C" w:rsidRPr="002B1107">
        <w:rPr>
          <w:sz w:val="21"/>
          <w:lang w:val="en-GB"/>
        </w:rPr>
        <w:t xml:space="preserve"> will be seriously limited, because these children cannot be</w:t>
      </w:r>
      <w:r w:rsidR="00246021" w:rsidRPr="002B1107">
        <w:rPr>
          <w:sz w:val="21"/>
          <w:lang w:val="en-GB"/>
        </w:rPr>
        <w:t xml:space="preserve"> arrested and</w:t>
      </w:r>
      <w:r w:rsidR="0039764C" w:rsidRPr="002B1107">
        <w:rPr>
          <w:sz w:val="21"/>
          <w:lang w:val="en-GB"/>
        </w:rPr>
        <w:t xml:space="preserve"> held in police custody. This may be seen </w:t>
      </w:r>
      <w:r w:rsidR="0039764C" w:rsidRPr="002B1107">
        <w:rPr>
          <w:sz w:val="21"/>
          <w:lang w:val="en-GB"/>
        </w:rPr>
        <w:lastRenderedPageBreak/>
        <w:t>as a measure that does not contribute to public safety or</w:t>
      </w:r>
      <w:r w:rsidR="00D90ED6" w:rsidRPr="002B1107">
        <w:rPr>
          <w:sz w:val="21"/>
          <w:lang w:val="en-GB"/>
        </w:rPr>
        <w:t xml:space="preserve"> that is</w:t>
      </w:r>
      <w:r w:rsidR="0039764C" w:rsidRPr="002B1107">
        <w:rPr>
          <w:sz w:val="21"/>
          <w:lang w:val="en-GB"/>
        </w:rPr>
        <w:t xml:space="preserve"> incompatible with the harsh realities juvenile justice practitioners face in daily practice. </w:t>
      </w:r>
    </w:p>
    <w:p w14:paraId="4FEB2CB3" w14:textId="77777777" w:rsidR="003F71EF" w:rsidRPr="002B1107" w:rsidRDefault="003F71EF" w:rsidP="008B6D11">
      <w:pPr>
        <w:pStyle w:val="NoSpacing"/>
        <w:jc w:val="both"/>
        <w:rPr>
          <w:b/>
          <w:sz w:val="21"/>
          <w:lang w:val="en-US"/>
        </w:rPr>
      </w:pPr>
    </w:p>
    <w:p w14:paraId="0C1EBA54" w14:textId="602E29BD" w:rsidR="00550540" w:rsidRPr="002B1107" w:rsidRDefault="00A21A3D" w:rsidP="008B6D11">
      <w:pPr>
        <w:pStyle w:val="NoSpacing"/>
        <w:jc w:val="both"/>
        <w:rPr>
          <w:i/>
          <w:sz w:val="21"/>
          <w:lang w:val="en-GB"/>
        </w:rPr>
      </w:pPr>
      <w:r w:rsidRPr="002B1107">
        <w:rPr>
          <w:i/>
          <w:sz w:val="21"/>
          <w:lang w:val="en-GB"/>
        </w:rPr>
        <w:t xml:space="preserve">3. </w:t>
      </w:r>
      <w:r w:rsidR="00550540" w:rsidRPr="002B1107">
        <w:rPr>
          <w:i/>
          <w:sz w:val="21"/>
          <w:lang w:val="en-GB"/>
        </w:rPr>
        <w:t>Deprivation of liberty</w:t>
      </w:r>
    </w:p>
    <w:p w14:paraId="66043174" w14:textId="77777777" w:rsidR="00106006" w:rsidRPr="002B1107" w:rsidRDefault="00106006" w:rsidP="00C4656A">
      <w:pPr>
        <w:pStyle w:val="NoSpacing"/>
        <w:jc w:val="both"/>
        <w:rPr>
          <w:sz w:val="21"/>
          <w:lang w:val="en-GB"/>
        </w:rPr>
      </w:pPr>
    </w:p>
    <w:p w14:paraId="49EA25FA" w14:textId="36BFC4CF" w:rsidR="00106006" w:rsidRPr="002B1107" w:rsidRDefault="00106006" w:rsidP="00C4656A">
      <w:pPr>
        <w:pStyle w:val="NoSpacing"/>
        <w:jc w:val="both"/>
        <w:rPr>
          <w:i/>
          <w:sz w:val="21"/>
          <w:u w:val="single"/>
          <w:lang w:val="en-GB"/>
        </w:rPr>
      </w:pPr>
      <w:r w:rsidRPr="002B1107">
        <w:rPr>
          <w:i/>
          <w:sz w:val="21"/>
          <w:u w:val="single"/>
          <w:lang w:val="en-GB"/>
        </w:rPr>
        <w:t>Non-custodial measures instead of alternative to detention</w:t>
      </w:r>
    </w:p>
    <w:p w14:paraId="11DEE031" w14:textId="4C08347E" w:rsidR="00550540" w:rsidRPr="002B1107" w:rsidRDefault="00106006" w:rsidP="00C4656A">
      <w:pPr>
        <w:pStyle w:val="NoSpacing"/>
        <w:jc w:val="both"/>
        <w:rPr>
          <w:sz w:val="21"/>
          <w:lang w:val="en-GB"/>
        </w:rPr>
      </w:pPr>
      <w:r w:rsidRPr="002B1107">
        <w:rPr>
          <w:sz w:val="21"/>
          <w:lang w:val="en-GB"/>
        </w:rPr>
        <w:t>It</w:t>
      </w:r>
      <w:r w:rsidR="00550540" w:rsidRPr="002B1107">
        <w:rPr>
          <w:sz w:val="21"/>
          <w:lang w:val="en-GB"/>
        </w:rPr>
        <w:t xml:space="preserve"> is noticeable that the Committee no longer uses the term ‘alternatives to detention’</w:t>
      </w:r>
      <w:r w:rsidR="00BE06B1" w:rsidRPr="002B1107">
        <w:rPr>
          <w:sz w:val="21"/>
          <w:lang w:val="en-GB"/>
        </w:rPr>
        <w:t xml:space="preserve"> in its General Comment</w:t>
      </w:r>
      <w:r w:rsidR="00DC15F2" w:rsidRPr="002B1107">
        <w:rPr>
          <w:sz w:val="21"/>
          <w:lang w:val="en-GB"/>
        </w:rPr>
        <w:t>,</w:t>
      </w:r>
      <w:r w:rsidR="00550540" w:rsidRPr="002B1107">
        <w:rPr>
          <w:sz w:val="21"/>
          <w:lang w:val="en-GB"/>
        </w:rPr>
        <w:t xml:space="preserve"> but </w:t>
      </w:r>
      <w:r w:rsidR="00C4656A" w:rsidRPr="002B1107">
        <w:rPr>
          <w:sz w:val="21"/>
          <w:lang w:val="en-GB"/>
        </w:rPr>
        <w:t xml:space="preserve">instead </w:t>
      </w:r>
      <w:r w:rsidR="00550540" w:rsidRPr="002B1107">
        <w:rPr>
          <w:sz w:val="21"/>
          <w:lang w:val="en-GB"/>
        </w:rPr>
        <w:t xml:space="preserve">uses ‘non-custodial measures’. </w:t>
      </w:r>
      <w:r w:rsidR="00BE06B1" w:rsidRPr="002B1107">
        <w:rPr>
          <w:sz w:val="21"/>
          <w:lang w:val="en-GB"/>
        </w:rPr>
        <w:t xml:space="preserve">This is a positive change. </w:t>
      </w:r>
      <w:r w:rsidR="00DC15F2" w:rsidRPr="002B1107">
        <w:rPr>
          <w:sz w:val="21"/>
          <w:lang w:val="en-GB"/>
        </w:rPr>
        <w:t>T</w:t>
      </w:r>
      <w:r w:rsidR="00550540" w:rsidRPr="002B1107">
        <w:rPr>
          <w:sz w:val="21"/>
          <w:lang w:val="en-GB"/>
        </w:rPr>
        <w:t xml:space="preserve">he term ‘alternatives to detention’ </w:t>
      </w:r>
      <w:r w:rsidR="00C4164E" w:rsidRPr="002B1107">
        <w:rPr>
          <w:sz w:val="21"/>
          <w:lang w:val="en-GB"/>
        </w:rPr>
        <w:t xml:space="preserve">implicitly </w:t>
      </w:r>
      <w:r w:rsidR="00DC15F2" w:rsidRPr="002B1107">
        <w:rPr>
          <w:sz w:val="21"/>
          <w:lang w:val="en-GB"/>
        </w:rPr>
        <w:t xml:space="preserve">and unjustly </w:t>
      </w:r>
      <w:r w:rsidR="00C4164E" w:rsidRPr="002B1107">
        <w:rPr>
          <w:sz w:val="21"/>
          <w:lang w:val="en-GB"/>
        </w:rPr>
        <w:t xml:space="preserve">presents </w:t>
      </w:r>
      <w:r w:rsidR="00550540" w:rsidRPr="002B1107">
        <w:rPr>
          <w:sz w:val="21"/>
          <w:lang w:val="en-GB"/>
        </w:rPr>
        <w:t>detention as the default position</w:t>
      </w:r>
      <w:r w:rsidR="00C4164E" w:rsidRPr="002B1107">
        <w:rPr>
          <w:sz w:val="21"/>
          <w:lang w:val="en-GB"/>
        </w:rPr>
        <w:t xml:space="preserve"> and non-custodial measures as ‘the alternative’, </w:t>
      </w:r>
      <w:r w:rsidR="00DC15F2" w:rsidRPr="002B1107">
        <w:rPr>
          <w:sz w:val="21"/>
          <w:lang w:val="en-GB"/>
        </w:rPr>
        <w:t>while</w:t>
      </w:r>
      <w:r w:rsidR="00BE06B1" w:rsidRPr="002B1107">
        <w:rPr>
          <w:sz w:val="21"/>
          <w:lang w:val="en-GB"/>
        </w:rPr>
        <w:t>, in fact,</w:t>
      </w:r>
      <w:r w:rsidR="00DC15F2" w:rsidRPr="002B1107">
        <w:rPr>
          <w:sz w:val="21"/>
          <w:lang w:val="en-GB"/>
        </w:rPr>
        <w:t xml:space="preserve"> under Art. 37(b) CRC detention should be ‘the alternative’ (i.e. the last resort</w:t>
      </w:r>
      <w:r w:rsidR="00BE06B1" w:rsidRPr="002B1107">
        <w:rPr>
          <w:sz w:val="21"/>
          <w:lang w:val="en-GB"/>
        </w:rPr>
        <w:t xml:space="preserve"> and absolute exception</w:t>
      </w:r>
      <w:r w:rsidR="00DC15F2" w:rsidRPr="002B1107">
        <w:rPr>
          <w:sz w:val="21"/>
          <w:lang w:val="en-GB"/>
        </w:rPr>
        <w:t xml:space="preserve">). The replacement of the term ‘alternatives to detention’ with the more neutral term ‘non-custodial measures’ </w:t>
      </w:r>
      <w:r w:rsidR="00BE06B1" w:rsidRPr="002B1107">
        <w:rPr>
          <w:sz w:val="21"/>
          <w:lang w:val="en-GB"/>
        </w:rPr>
        <w:t>is therefore an improvement</w:t>
      </w:r>
      <w:r w:rsidR="00DC15F2" w:rsidRPr="002B1107">
        <w:rPr>
          <w:sz w:val="21"/>
          <w:lang w:val="en-GB"/>
        </w:rPr>
        <w:t xml:space="preserve">. </w:t>
      </w:r>
    </w:p>
    <w:p w14:paraId="2E4B69B4" w14:textId="77777777" w:rsidR="00550540" w:rsidRPr="002B1107" w:rsidRDefault="00550540" w:rsidP="008B6D11">
      <w:pPr>
        <w:pStyle w:val="NoSpacing"/>
        <w:jc w:val="both"/>
        <w:rPr>
          <w:sz w:val="21"/>
          <w:lang w:val="en-GB"/>
        </w:rPr>
      </w:pPr>
    </w:p>
    <w:p w14:paraId="71D29E09" w14:textId="79A39CDA" w:rsidR="00106006" w:rsidRPr="002B1107" w:rsidRDefault="00106006" w:rsidP="008B6D11">
      <w:pPr>
        <w:pStyle w:val="NoSpacing"/>
        <w:jc w:val="both"/>
        <w:rPr>
          <w:i/>
          <w:sz w:val="21"/>
          <w:u w:val="single"/>
          <w:lang w:val="en-GB"/>
        </w:rPr>
      </w:pPr>
      <w:r w:rsidRPr="002B1107">
        <w:rPr>
          <w:i/>
          <w:sz w:val="21"/>
          <w:u w:val="single"/>
          <w:lang w:val="en-GB"/>
        </w:rPr>
        <w:t>Definition of diversion</w:t>
      </w:r>
    </w:p>
    <w:p w14:paraId="1E22F72F" w14:textId="6808FDE8" w:rsidR="000D7F9C" w:rsidRPr="002B1107" w:rsidRDefault="00106006" w:rsidP="00B903F9">
      <w:pPr>
        <w:pStyle w:val="NoSpacing"/>
        <w:jc w:val="both"/>
        <w:rPr>
          <w:sz w:val="21"/>
          <w:lang w:val="en-GB"/>
        </w:rPr>
      </w:pPr>
      <w:r w:rsidRPr="002B1107">
        <w:rPr>
          <w:sz w:val="21"/>
          <w:lang w:val="en-GB"/>
        </w:rPr>
        <w:t>T</w:t>
      </w:r>
      <w:r w:rsidR="00550540" w:rsidRPr="002B1107">
        <w:rPr>
          <w:sz w:val="21"/>
          <w:lang w:val="en-GB"/>
        </w:rPr>
        <w:t>he Committee</w:t>
      </w:r>
      <w:r w:rsidR="00BE06B1" w:rsidRPr="002B1107">
        <w:rPr>
          <w:sz w:val="21"/>
          <w:lang w:val="en-GB"/>
        </w:rPr>
        <w:t xml:space="preserve"> </w:t>
      </w:r>
      <w:r w:rsidR="00DC15F2" w:rsidRPr="002B1107">
        <w:rPr>
          <w:sz w:val="21"/>
          <w:lang w:val="en-GB"/>
        </w:rPr>
        <w:t>provides</w:t>
      </w:r>
      <w:r w:rsidR="00550540" w:rsidRPr="002B1107">
        <w:rPr>
          <w:sz w:val="21"/>
          <w:lang w:val="en-GB"/>
        </w:rPr>
        <w:t xml:space="preserve"> a clear definition of </w:t>
      </w:r>
      <w:r w:rsidR="00BE06B1" w:rsidRPr="002B1107">
        <w:rPr>
          <w:sz w:val="21"/>
          <w:lang w:val="en-GB"/>
        </w:rPr>
        <w:t>‘</w:t>
      </w:r>
      <w:r w:rsidR="00550540" w:rsidRPr="002B1107">
        <w:rPr>
          <w:sz w:val="21"/>
          <w:lang w:val="en-GB"/>
        </w:rPr>
        <w:t>diversion</w:t>
      </w:r>
      <w:r w:rsidRPr="002B1107">
        <w:rPr>
          <w:sz w:val="21"/>
          <w:lang w:val="en-GB"/>
        </w:rPr>
        <w:t>’: ‘</w:t>
      </w:r>
      <w:r w:rsidR="00BE06B1" w:rsidRPr="002B1107">
        <w:rPr>
          <w:sz w:val="21"/>
          <w:lang w:val="en-GB"/>
        </w:rPr>
        <w:t>measures for dealing with children in conflict with the law, taken by designated authorities, without resorting to judicial proceeding</w:t>
      </w:r>
      <w:r w:rsidRPr="002B1107">
        <w:rPr>
          <w:sz w:val="21"/>
          <w:lang w:val="en-GB"/>
        </w:rPr>
        <w:t>s’</w:t>
      </w:r>
      <w:r w:rsidR="000D7F9C" w:rsidRPr="002B1107">
        <w:rPr>
          <w:sz w:val="21"/>
          <w:lang w:val="en-GB"/>
        </w:rPr>
        <w:t xml:space="preserve"> (para. 6)</w:t>
      </w:r>
      <w:r w:rsidR="00550540" w:rsidRPr="002B1107">
        <w:rPr>
          <w:sz w:val="21"/>
          <w:lang w:val="en-GB"/>
        </w:rPr>
        <w:t xml:space="preserve">. </w:t>
      </w:r>
      <w:r w:rsidR="00BE06B1" w:rsidRPr="002B1107">
        <w:rPr>
          <w:sz w:val="21"/>
          <w:lang w:val="en-GB"/>
        </w:rPr>
        <w:t xml:space="preserve">This is </w:t>
      </w:r>
      <w:r w:rsidR="00BB3EDE" w:rsidRPr="002B1107">
        <w:rPr>
          <w:sz w:val="21"/>
          <w:lang w:val="en-GB"/>
        </w:rPr>
        <w:t xml:space="preserve">a </w:t>
      </w:r>
      <w:r w:rsidR="00BE06B1" w:rsidRPr="002B1107">
        <w:rPr>
          <w:sz w:val="21"/>
          <w:lang w:val="en-GB"/>
        </w:rPr>
        <w:t>very welcome</w:t>
      </w:r>
      <w:r w:rsidR="00BB3EDE" w:rsidRPr="002B1107">
        <w:rPr>
          <w:sz w:val="21"/>
          <w:lang w:val="en-GB"/>
        </w:rPr>
        <w:t xml:space="preserve"> </w:t>
      </w:r>
      <w:r w:rsidR="00B903F9" w:rsidRPr="002B1107">
        <w:rPr>
          <w:sz w:val="21"/>
          <w:lang w:val="en-GB"/>
        </w:rPr>
        <w:t>addition</w:t>
      </w:r>
      <w:r w:rsidR="00BE06B1" w:rsidRPr="002B1107">
        <w:rPr>
          <w:sz w:val="21"/>
          <w:lang w:val="en-GB"/>
        </w:rPr>
        <w:t xml:space="preserve">, after a long </w:t>
      </w:r>
      <w:r w:rsidR="00B903F9" w:rsidRPr="002B1107">
        <w:rPr>
          <w:sz w:val="21"/>
          <w:lang w:val="en-GB"/>
        </w:rPr>
        <w:t xml:space="preserve">time </w:t>
      </w:r>
      <w:r w:rsidR="00BE06B1" w:rsidRPr="002B1107">
        <w:rPr>
          <w:sz w:val="21"/>
          <w:lang w:val="en-GB"/>
        </w:rPr>
        <w:t xml:space="preserve">of inconsistency in defining the notion of ‘diversion’ in </w:t>
      </w:r>
      <w:r w:rsidR="000D7F9C" w:rsidRPr="002B1107">
        <w:rPr>
          <w:sz w:val="21"/>
          <w:lang w:val="en-GB"/>
        </w:rPr>
        <w:t xml:space="preserve">several of the Committee’s </w:t>
      </w:r>
      <w:r w:rsidR="00BE06B1" w:rsidRPr="002B1107">
        <w:rPr>
          <w:sz w:val="21"/>
          <w:lang w:val="en-GB"/>
        </w:rPr>
        <w:t>Concluding Observations</w:t>
      </w:r>
      <w:r w:rsidR="00B903F9" w:rsidRPr="002B1107">
        <w:rPr>
          <w:sz w:val="21"/>
          <w:lang w:val="en-GB"/>
        </w:rPr>
        <w:t xml:space="preserve">. </w:t>
      </w:r>
      <w:r w:rsidR="00BE06B1" w:rsidRPr="002B1107">
        <w:rPr>
          <w:sz w:val="21"/>
          <w:lang w:val="en-GB"/>
        </w:rPr>
        <w:t>‘</w:t>
      </w:r>
      <w:r w:rsidR="00B903F9" w:rsidRPr="002B1107">
        <w:rPr>
          <w:sz w:val="21"/>
          <w:lang w:val="en-GB"/>
        </w:rPr>
        <w:t>D</w:t>
      </w:r>
      <w:r w:rsidR="00BE06B1" w:rsidRPr="002B1107">
        <w:rPr>
          <w:sz w:val="21"/>
          <w:lang w:val="en-GB"/>
        </w:rPr>
        <w:t xml:space="preserve">iversion’ </w:t>
      </w:r>
      <w:r w:rsidR="00870855" w:rsidRPr="002B1107">
        <w:rPr>
          <w:sz w:val="21"/>
          <w:lang w:val="en-GB"/>
        </w:rPr>
        <w:t>wa</w:t>
      </w:r>
      <w:r w:rsidR="00BE06B1" w:rsidRPr="002B1107">
        <w:rPr>
          <w:sz w:val="21"/>
          <w:lang w:val="en-GB"/>
        </w:rPr>
        <w:t xml:space="preserve">s sometimes defined </w:t>
      </w:r>
      <w:r w:rsidR="000D7F9C" w:rsidRPr="002B1107">
        <w:rPr>
          <w:sz w:val="21"/>
          <w:lang w:val="en-GB"/>
        </w:rPr>
        <w:t xml:space="preserve">as </w:t>
      </w:r>
      <w:r w:rsidR="00BE06B1" w:rsidRPr="002B1107">
        <w:rPr>
          <w:sz w:val="21"/>
          <w:lang w:val="en-GB"/>
        </w:rPr>
        <w:t xml:space="preserve">‘alternative to </w:t>
      </w:r>
      <w:r w:rsidR="000D7F9C" w:rsidRPr="002B1107">
        <w:rPr>
          <w:sz w:val="21"/>
          <w:lang w:val="en-GB"/>
        </w:rPr>
        <w:t>judicial</w:t>
      </w:r>
      <w:r w:rsidR="00BE06B1" w:rsidRPr="002B1107">
        <w:rPr>
          <w:sz w:val="21"/>
          <w:lang w:val="en-GB"/>
        </w:rPr>
        <w:t xml:space="preserve"> proceedings’ (cf. Art. 40(3) CRC)</w:t>
      </w:r>
      <w:r w:rsidR="000D7F9C" w:rsidRPr="002B1107">
        <w:rPr>
          <w:sz w:val="21"/>
          <w:lang w:val="en-GB"/>
        </w:rPr>
        <w:t>,</w:t>
      </w:r>
      <w:r w:rsidR="00BE06B1" w:rsidRPr="002B1107">
        <w:rPr>
          <w:sz w:val="21"/>
          <w:lang w:val="en-GB"/>
        </w:rPr>
        <w:t xml:space="preserve"> </w:t>
      </w:r>
      <w:r w:rsidR="000D7F9C" w:rsidRPr="002B1107">
        <w:rPr>
          <w:sz w:val="21"/>
          <w:lang w:val="en-GB"/>
        </w:rPr>
        <w:t>but</w:t>
      </w:r>
      <w:r w:rsidR="00BE06B1" w:rsidRPr="002B1107">
        <w:rPr>
          <w:sz w:val="21"/>
          <w:lang w:val="en-GB"/>
        </w:rPr>
        <w:t xml:space="preserve"> sometimes </w:t>
      </w:r>
      <w:r w:rsidR="000D7F9C" w:rsidRPr="002B1107">
        <w:rPr>
          <w:sz w:val="21"/>
          <w:lang w:val="en-GB"/>
        </w:rPr>
        <w:t xml:space="preserve">used </w:t>
      </w:r>
      <w:r w:rsidR="00BE06B1" w:rsidRPr="002B1107">
        <w:rPr>
          <w:sz w:val="21"/>
          <w:lang w:val="en-GB"/>
        </w:rPr>
        <w:t xml:space="preserve">as ‘alternative to </w:t>
      </w:r>
      <w:r w:rsidR="000D7F9C" w:rsidRPr="002B1107">
        <w:rPr>
          <w:sz w:val="21"/>
          <w:lang w:val="en-GB"/>
        </w:rPr>
        <w:t>deprivation of liberty</w:t>
      </w:r>
      <w:r w:rsidR="00BE06B1" w:rsidRPr="002B1107">
        <w:rPr>
          <w:sz w:val="21"/>
          <w:lang w:val="en-GB"/>
        </w:rPr>
        <w:t>’ (</w:t>
      </w:r>
      <w:r w:rsidR="00870855" w:rsidRPr="002B1107">
        <w:rPr>
          <w:sz w:val="21"/>
          <w:lang w:val="en-GB"/>
        </w:rPr>
        <w:t xml:space="preserve">cf. </w:t>
      </w:r>
      <w:r w:rsidR="00BE06B1" w:rsidRPr="002B1107">
        <w:rPr>
          <w:sz w:val="21"/>
          <w:lang w:val="en-GB"/>
        </w:rPr>
        <w:t xml:space="preserve">Art. 37(b) CRC). </w:t>
      </w:r>
      <w:r w:rsidR="000D7F9C" w:rsidRPr="002B1107">
        <w:rPr>
          <w:sz w:val="21"/>
          <w:lang w:val="en-GB"/>
        </w:rPr>
        <w:t>However</w:t>
      </w:r>
      <w:r w:rsidR="00550540" w:rsidRPr="002B1107">
        <w:rPr>
          <w:sz w:val="21"/>
          <w:lang w:val="en-GB"/>
        </w:rPr>
        <w:t xml:space="preserve">, the use of </w:t>
      </w:r>
      <w:r w:rsidR="00B903F9" w:rsidRPr="002B1107">
        <w:rPr>
          <w:sz w:val="21"/>
          <w:lang w:val="en-GB"/>
        </w:rPr>
        <w:t xml:space="preserve">the term </w:t>
      </w:r>
      <w:r w:rsidR="00550540" w:rsidRPr="002B1107">
        <w:rPr>
          <w:sz w:val="21"/>
          <w:lang w:val="en-GB"/>
        </w:rPr>
        <w:t>diversion in par</w:t>
      </w:r>
      <w:r w:rsidR="000D7F9C" w:rsidRPr="002B1107">
        <w:rPr>
          <w:sz w:val="21"/>
          <w:lang w:val="en-GB"/>
        </w:rPr>
        <w:t>a</w:t>
      </w:r>
      <w:r w:rsidR="00550540" w:rsidRPr="002B1107">
        <w:rPr>
          <w:sz w:val="21"/>
          <w:lang w:val="en-GB"/>
        </w:rPr>
        <w:t>. 97</w:t>
      </w:r>
      <w:r w:rsidR="000D7F9C" w:rsidRPr="002B1107">
        <w:rPr>
          <w:sz w:val="21"/>
          <w:lang w:val="en-GB"/>
        </w:rPr>
        <w:t xml:space="preserve"> of the General Comment</w:t>
      </w:r>
      <w:r w:rsidR="00550540" w:rsidRPr="002B1107">
        <w:rPr>
          <w:sz w:val="21"/>
          <w:lang w:val="en-GB"/>
        </w:rPr>
        <w:t xml:space="preserve"> is </w:t>
      </w:r>
      <w:r w:rsidR="00870855" w:rsidRPr="002B1107">
        <w:rPr>
          <w:sz w:val="21"/>
          <w:lang w:val="en-GB"/>
        </w:rPr>
        <w:t>somewhat</w:t>
      </w:r>
      <w:r w:rsidR="000D7F9C" w:rsidRPr="002B1107">
        <w:rPr>
          <w:sz w:val="21"/>
          <w:lang w:val="en-GB"/>
        </w:rPr>
        <w:t xml:space="preserve"> </w:t>
      </w:r>
      <w:r w:rsidR="00550540" w:rsidRPr="002B1107">
        <w:rPr>
          <w:sz w:val="21"/>
          <w:lang w:val="en-GB"/>
        </w:rPr>
        <w:t>confusing again</w:t>
      </w:r>
      <w:r w:rsidR="00870855" w:rsidRPr="002B1107">
        <w:rPr>
          <w:sz w:val="21"/>
          <w:lang w:val="en-GB"/>
        </w:rPr>
        <w:t xml:space="preserve">, as </w:t>
      </w:r>
      <w:r w:rsidR="000D7F9C" w:rsidRPr="002B1107">
        <w:rPr>
          <w:sz w:val="21"/>
          <w:lang w:val="en-GB"/>
        </w:rPr>
        <w:t xml:space="preserve">‘diversion’ </w:t>
      </w:r>
      <w:r w:rsidR="00870855" w:rsidRPr="002B1107">
        <w:rPr>
          <w:sz w:val="21"/>
          <w:lang w:val="en-GB"/>
        </w:rPr>
        <w:t xml:space="preserve">is explicitly presented </w:t>
      </w:r>
      <w:r w:rsidR="000D7F9C" w:rsidRPr="002B1107">
        <w:rPr>
          <w:sz w:val="21"/>
          <w:lang w:val="en-GB"/>
        </w:rPr>
        <w:t>as avoiding deprivation of liberty</w:t>
      </w:r>
      <w:r w:rsidR="00870855" w:rsidRPr="002B1107">
        <w:rPr>
          <w:sz w:val="21"/>
          <w:lang w:val="en-GB"/>
        </w:rPr>
        <w:t>. This</w:t>
      </w:r>
      <w:r w:rsidR="000D7F9C" w:rsidRPr="002B1107">
        <w:rPr>
          <w:sz w:val="21"/>
          <w:lang w:val="en-GB"/>
        </w:rPr>
        <w:t xml:space="preserve"> seems to ignore that deprivation of liberty of children also takes place outside the juvenile justice system</w:t>
      </w:r>
      <w:r w:rsidR="00870855" w:rsidRPr="002B1107">
        <w:rPr>
          <w:sz w:val="21"/>
          <w:lang w:val="en-GB"/>
        </w:rPr>
        <w:t xml:space="preserve"> (i.e.</w:t>
      </w:r>
      <w:r w:rsidR="000D7F9C" w:rsidRPr="002B1107">
        <w:rPr>
          <w:sz w:val="21"/>
          <w:lang w:val="en-GB"/>
        </w:rPr>
        <w:t xml:space="preserve"> diverting a case to the child protection system can result in placement of</w:t>
      </w:r>
      <w:r w:rsidR="00B903F9" w:rsidRPr="002B1107">
        <w:rPr>
          <w:sz w:val="21"/>
          <w:lang w:val="en-GB"/>
        </w:rPr>
        <w:t xml:space="preserve"> a</w:t>
      </w:r>
      <w:r w:rsidR="000D7F9C" w:rsidRPr="002B1107">
        <w:rPr>
          <w:sz w:val="21"/>
          <w:lang w:val="en-GB"/>
        </w:rPr>
        <w:t xml:space="preserve"> child in a closed child care institution</w:t>
      </w:r>
      <w:r w:rsidR="00870855" w:rsidRPr="002B1107">
        <w:rPr>
          <w:sz w:val="21"/>
          <w:lang w:val="en-GB"/>
        </w:rPr>
        <w:t>)</w:t>
      </w:r>
      <w:r w:rsidR="000D7F9C" w:rsidRPr="002B1107">
        <w:rPr>
          <w:sz w:val="21"/>
          <w:lang w:val="en-GB"/>
        </w:rPr>
        <w:t xml:space="preserve">. </w:t>
      </w:r>
    </w:p>
    <w:p w14:paraId="3C01962E" w14:textId="77777777" w:rsidR="00106006" w:rsidRPr="002B1107" w:rsidRDefault="00106006" w:rsidP="00B903F9">
      <w:pPr>
        <w:pStyle w:val="NoSpacing"/>
        <w:jc w:val="both"/>
        <w:rPr>
          <w:sz w:val="21"/>
          <w:lang w:val="en-GB"/>
        </w:rPr>
      </w:pPr>
    </w:p>
    <w:p w14:paraId="3E7182EB" w14:textId="773280C7" w:rsidR="000D7F9C" w:rsidRPr="002B1107" w:rsidRDefault="00106006" w:rsidP="008B6D11">
      <w:pPr>
        <w:pStyle w:val="NoSpacing"/>
        <w:jc w:val="both"/>
        <w:rPr>
          <w:i/>
          <w:sz w:val="21"/>
          <w:u w:val="single"/>
          <w:lang w:val="en-GB"/>
        </w:rPr>
      </w:pPr>
      <w:r w:rsidRPr="002B1107">
        <w:rPr>
          <w:i/>
          <w:sz w:val="21"/>
          <w:u w:val="single"/>
          <w:lang w:val="en-GB"/>
        </w:rPr>
        <w:t>The risk of “net-widening”</w:t>
      </w:r>
    </w:p>
    <w:p w14:paraId="23B837BB" w14:textId="43656093" w:rsidR="00550540" w:rsidRPr="002B1107" w:rsidRDefault="00106006" w:rsidP="008B6D11">
      <w:pPr>
        <w:pStyle w:val="NoSpacing"/>
        <w:jc w:val="both"/>
        <w:rPr>
          <w:sz w:val="21"/>
          <w:lang w:val="en-GB"/>
        </w:rPr>
      </w:pPr>
      <w:r w:rsidRPr="002B1107">
        <w:rPr>
          <w:sz w:val="21"/>
          <w:lang w:val="en-GB"/>
        </w:rPr>
        <w:t>The</w:t>
      </w:r>
      <w:r w:rsidR="00870855" w:rsidRPr="002B1107">
        <w:rPr>
          <w:sz w:val="21"/>
          <w:lang w:val="en-GB"/>
        </w:rPr>
        <w:t xml:space="preserve"> explicit warning that developing alternatives to detention (i.e. non-custodial </w:t>
      </w:r>
      <w:r w:rsidR="00AB3DC2" w:rsidRPr="002B1107">
        <w:rPr>
          <w:sz w:val="21"/>
          <w:lang w:val="en-GB"/>
        </w:rPr>
        <w:t>measures) should</w:t>
      </w:r>
      <w:r w:rsidR="00870855" w:rsidRPr="002B1107">
        <w:rPr>
          <w:sz w:val="21"/>
          <w:lang w:val="en-GB"/>
        </w:rPr>
        <w:t xml:space="preserve"> </w:t>
      </w:r>
      <w:r w:rsidR="00250364" w:rsidRPr="002B1107">
        <w:rPr>
          <w:sz w:val="21"/>
          <w:lang w:val="en-GB"/>
        </w:rPr>
        <w:t xml:space="preserve">be carefully structured to </w:t>
      </w:r>
      <w:r w:rsidR="00870855" w:rsidRPr="002B1107">
        <w:rPr>
          <w:sz w:val="21"/>
          <w:lang w:val="en-GB"/>
        </w:rPr>
        <w:t xml:space="preserve">reduce the use of pre-trial detention </w:t>
      </w:r>
      <w:r w:rsidR="00870855" w:rsidRPr="002B1107">
        <w:rPr>
          <w:sz w:val="21"/>
          <w:u w:val="single"/>
          <w:lang w:val="en-GB"/>
        </w:rPr>
        <w:t>and should not ‘widen the net’</w:t>
      </w:r>
      <w:r w:rsidR="00870855" w:rsidRPr="002B1107">
        <w:rPr>
          <w:sz w:val="21"/>
          <w:lang w:val="en-GB"/>
        </w:rPr>
        <w:t xml:space="preserve"> of children subject to pre-trial interventions</w:t>
      </w:r>
      <w:r w:rsidR="004470F4" w:rsidRPr="002B1107">
        <w:rPr>
          <w:sz w:val="21"/>
          <w:lang w:val="en-GB"/>
        </w:rPr>
        <w:t>,</w:t>
      </w:r>
      <w:r w:rsidR="00870855" w:rsidRPr="002B1107">
        <w:rPr>
          <w:sz w:val="21"/>
          <w:lang w:val="en-GB"/>
        </w:rPr>
        <w:t xml:space="preserve"> has been removed from the General Comment</w:t>
      </w:r>
      <w:r w:rsidR="00250364" w:rsidRPr="002B1107">
        <w:rPr>
          <w:sz w:val="21"/>
          <w:lang w:val="en-GB"/>
        </w:rPr>
        <w:t xml:space="preserve"> (para. 97</w:t>
      </w:r>
      <w:r w:rsidRPr="002B1107">
        <w:rPr>
          <w:sz w:val="21"/>
          <w:lang w:val="en-GB"/>
        </w:rPr>
        <w:t>; cf. GC No. 10, para. 80</w:t>
      </w:r>
      <w:r w:rsidR="00250364" w:rsidRPr="002B1107">
        <w:rPr>
          <w:sz w:val="21"/>
          <w:lang w:val="en-GB"/>
        </w:rPr>
        <w:t>)</w:t>
      </w:r>
      <w:r w:rsidR="00870855" w:rsidRPr="002B1107">
        <w:rPr>
          <w:sz w:val="21"/>
          <w:lang w:val="en-GB"/>
        </w:rPr>
        <w:t xml:space="preserve">. </w:t>
      </w:r>
      <w:r w:rsidR="00250364" w:rsidRPr="002B1107">
        <w:rPr>
          <w:sz w:val="21"/>
          <w:lang w:val="en-GB"/>
        </w:rPr>
        <w:t>N</w:t>
      </w:r>
      <w:r w:rsidR="00550540" w:rsidRPr="002B1107">
        <w:rPr>
          <w:sz w:val="21"/>
          <w:lang w:val="en-GB"/>
        </w:rPr>
        <w:t xml:space="preserve">et-widening </w:t>
      </w:r>
      <w:r w:rsidR="00870855" w:rsidRPr="002B1107">
        <w:rPr>
          <w:sz w:val="21"/>
          <w:lang w:val="en-GB"/>
        </w:rPr>
        <w:t xml:space="preserve">is a real risk when States develop </w:t>
      </w:r>
      <w:r w:rsidR="004470F4" w:rsidRPr="002B1107">
        <w:rPr>
          <w:sz w:val="21"/>
          <w:lang w:val="en-GB"/>
        </w:rPr>
        <w:t>(</w:t>
      </w:r>
      <w:r w:rsidR="00870855" w:rsidRPr="002B1107">
        <w:rPr>
          <w:sz w:val="21"/>
          <w:lang w:val="en-GB"/>
        </w:rPr>
        <w:t>new</w:t>
      </w:r>
      <w:r w:rsidR="004470F4" w:rsidRPr="002B1107">
        <w:rPr>
          <w:sz w:val="21"/>
          <w:lang w:val="en-GB"/>
        </w:rPr>
        <w:t>)</w:t>
      </w:r>
      <w:r w:rsidR="00870855" w:rsidRPr="002B1107">
        <w:rPr>
          <w:sz w:val="21"/>
          <w:lang w:val="en-GB"/>
        </w:rPr>
        <w:t xml:space="preserve"> non-custodial measures</w:t>
      </w:r>
      <w:r w:rsidR="00250364" w:rsidRPr="002B1107">
        <w:rPr>
          <w:sz w:val="21"/>
          <w:lang w:val="en-GB"/>
        </w:rPr>
        <w:t xml:space="preserve"> to reduce the use of detention. This requires explicit attention in the General Comment. </w:t>
      </w:r>
    </w:p>
    <w:p w14:paraId="2DAFEBDA" w14:textId="77777777" w:rsidR="00D90ED6" w:rsidRPr="002B1107" w:rsidRDefault="00D90ED6" w:rsidP="008B6D11">
      <w:pPr>
        <w:pStyle w:val="NoSpacing"/>
        <w:jc w:val="both"/>
        <w:rPr>
          <w:sz w:val="21"/>
          <w:lang w:val="en-GB"/>
        </w:rPr>
      </w:pPr>
    </w:p>
    <w:p w14:paraId="4C4834BE" w14:textId="77777777" w:rsidR="00D90ED6" w:rsidRPr="002B1107" w:rsidRDefault="00D90ED6" w:rsidP="00D90ED6">
      <w:pPr>
        <w:pStyle w:val="NoSpacing"/>
        <w:jc w:val="both"/>
        <w:rPr>
          <w:i/>
          <w:sz w:val="21"/>
          <w:u w:val="single"/>
          <w:lang w:val="en-ZA"/>
        </w:rPr>
      </w:pPr>
      <w:r w:rsidRPr="002B1107">
        <w:rPr>
          <w:i/>
          <w:sz w:val="21"/>
          <w:u w:val="single"/>
          <w:lang w:val="en-ZA"/>
        </w:rPr>
        <w:t>Maximum duration of deprivation of liberty (para. 86)</w:t>
      </w:r>
    </w:p>
    <w:p w14:paraId="1894636E" w14:textId="55CAD0BB" w:rsidR="00D90ED6" w:rsidRPr="002B1107" w:rsidRDefault="00D90ED6" w:rsidP="00D90ED6">
      <w:pPr>
        <w:pStyle w:val="NoSpacing"/>
        <w:jc w:val="both"/>
        <w:rPr>
          <w:sz w:val="21"/>
          <w:lang w:val="en-ZA"/>
        </w:rPr>
      </w:pPr>
      <w:r w:rsidRPr="002B1107">
        <w:rPr>
          <w:sz w:val="21"/>
          <w:lang w:val="en-ZA"/>
        </w:rPr>
        <w:t xml:space="preserve">We welcome the Committee’s recommendation to set a maximum for the duration of the deprivation of liberty, which should be much shorter than the duration of custodial sentences for adults. However, the terms ‘penalty’ and ‘custodial sentences’ suggest that this recommendation is not applicable to pre-trial detention. We recommend that the Committee makes very clear that also the duration of pre-trial detention of children should be set at a maximum much shorter than the duration of pre-trial detention of adults. </w:t>
      </w:r>
    </w:p>
    <w:p w14:paraId="6D3EC9E9" w14:textId="77777777" w:rsidR="00550540" w:rsidRPr="002B1107" w:rsidRDefault="00550540" w:rsidP="008B6D11">
      <w:pPr>
        <w:pStyle w:val="NoSpacing"/>
        <w:jc w:val="both"/>
        <w:rPr>
          <w:sz w:val="21"/>
          <w:lang w:val="en-GB"/>
        </w:rPr>
      </w:pPr>
    </w:p>
    <w:p w14:paraId="2336C7B0" w14:textId="6B8F3C63" w:rsidR="00106006" w:rsidRPr="002B1107" w:rsidRDefault="00422340" w:rsidP="008B6D11">
      <w:pPr>
        <w:pStyle w:val="NoSpacing"/>
        <w:jc w:val="both"/>
        <w:rPr>
          <w:i/>
          <w:sz w:val="21"/>
          <w:u w:val="single"/>
          <w:lang w:val="en-GB"/>
        </w:rPr>
      </w:pPr>
      <w:r w:rsidRPr="002B1107">
        <w:rPr>
          <w:i/>
          <w:sz w:val="21"/>
          <w:u w:val="single"/>
          <w:lang w:val="en-US"/>
        </w:rPr>
        <w:t>Judicial review of pre-trial detention</w:t>
      </w:r>
    </w:p>
    <w:p w14:paraId="0465F0D0" w14:textId="040974DE" w:rsidR="00D90ED6" w:rsidRPr="002B1107" w:rsidRDefault="00550540" w:rsidP="006F0286">
      <w:pPr>
        <w:pStyle w:val="NoSpacing"/>
        <w:jc w:val="both"/>
        <w:rPr>
          <w:sz w:val="21"/>
          <w:lang w:val="en-GB"/>
        </w:rPr>
      </w:pPr>
      <w:r w:rsidRPr="002B1107">
        <w:rPr>
          <w:sz w:val="21"/>
          <w:lang w:val="en-GB"/>
        </w:rPr>
        <w:t>In the previous General Comment, the</w:t>
      </w:r>
      <w:r w:rsidR="00D27E3C" w:rsidRPr="002B1107">
        <w:rPr>
          <w:sz w:val="21"/>
          <w:lang w:val="en-GB"/>
        </w:rPr>
        <w:t xml:space="preserve"> judicial</w:t>
      </w:r>
      <w:r w:rsidRPr="002B1107">
        <w:rPr>
          <w:sz w:val="21"/>
          <w:lang w:val="en-GB"/>
        </w:rPr>
        <w:t xml:space="preserve"> review of pre-trial detention was recommended to take place every two weeks. This has been changed to every week (par</w:t>
      </w:r>
      <w:r w:rsidR="00D27E3C" w:rsidRPr="002B1107">
        <w:rPr>
          <w:sz w:val="21"/>
          <w:lang w:val="en-GB"/>
        </w:rPr>
        <w:t>a</w:t>
      </w:r>
      <w:r w:rsidRPr="002B1107">
        <w:rPr>
          <w:sz w:val="21"/>
          <w:lang w:val="en-GB"/>
        </w:rPr>
        <w:t xml:space="preserve">. 102). There are </w:t>
      </w:r>
      <w:r w:rsidR="00D27E3C" w:rsidRPr="002B1107">
        <w:rPr>
          <w:sz w:val="21"/>
          <w:lang w:val="en-GB"/>
        </w:rPr>
        <w:t xml:space="preserve">potential practical </w:t>
      </w:r>
      <w:r w:rsidRPr="002B1107">
        <w:rPr>
          <w:sz w:val="21"/>
          <w:lang w:val="en-GB"/>
        </w:rPr>
        <w:t>downsides to this</w:t>
      </w:r>
      <w:r w:rsidR="00D27E3C" w:rsidRPr="002B1107">
        <w:rPr>
          <w:sz w:val="21"/>
          <w:lang w:val="en-GB"/>
        </w:rPr>
        <w:t xml:space="preserve"> proposal</w:t>
      </w:r>
      <w:r w:rsidR="00106006" w:rsidRPr="002B1107">
        <w:rPr>
          <w:sz w:val="21"/>
          <w:lang w:val="en-GB"/>
        </w:rPr>
        <w:t xml:space="preserve"> </w:t>
      </w:r>
      <w:r w:rsidR="00422340" w:rsidRPr="002B1107">
        <w:rPr>
          <w:sz w:val="21"/>
          <w:lang w:val="en-GB"/>
        </w:rPr>
        <w:t xml:space="preserve">that </w:t>
      </w:r>
      <w:r w:rsidR="00106006" w:rsidRPr="002B1107">
        <w:rPr>
          <w:sz w:val="21"/>
          <w:lang w:val="en-GB"/>
        </w:rPr>
        <w:t>should be recognized and addressed</w:t>
      </w:r>
      <w:r w:rsidRPr="002B1107">
        <w:rPr>
          <w:sz w:val="21"/>
          <w:lang w:val="en-GB"/>
        </w:rPr>
        <w:t>, e.g. children t</w:t>
      </w:r>
      <w:r w:rsidR="00422340" w:rsidRPr="002B1107">
        <w:rPr>
          <w:sz w:val="21"/>
          <w:lang w:val="en-GB"/>
        </w:rPr>
        <w:t>raveling</w:t>
      </w:r>
      <w:r w:rsidRPr="002B1107">
        <w:rPr>
          <w:sz w:val="21"/>
          <w:lang w:val="en-GB"/>
        </w:rPr>
        <w:t xml:space="preserve"> often and far</w:t>
      </w:r>
      <w:r w:rsidR="00D27E3C" w:rsidRPr="002B1107">
        <w:rPr>
          <w:sz w:val="21"/>
          <w:lang w:val="en-GB"/>
        </w:rPr>
        <w:t xml:space="preserve"> to court</w:t>
      </w:r>
      <w:r w:rsidRPr="002B1107">
        <w:rPr>
          <w:sz w:val="21"/>
          <w:lang w:val="en-GB"/>
        </w:rPr>
        <w:t xml:space="preserve">, missing school, etc. </w:t>
      </w:r>
      <w:r w:rsidR="004C0928" w:rsidRPr="002B1107">
        <w:rPr>
          <w:sz w:val="21"/>
          <w:lang w:val="en-GB"/>
        </w:rPr>
        <w:t>The Committee should consider mentioning innovative ways to facilitate this proposal, e.g. by setting up video links or stimulating judges to travel to institutions.</w:t>
      </w:r>
    </w:p>
    <w:p w14:paraId="57F8BDE4" w14:textId="65AAFBEA" w:rsidR="000E6688" w:rsidRPr="002B1107" w:rsidRDefault="000E6688" w:rsidP="00076A51">
      <w:pPr>
        <w:pStyle w:val="NoSpacing"/>
        <w:jc w:val="both"/>
        <w:rPr>
          <w:sz w:val="21"/>
          <w:lang w:val="en-GB"/>
        </w:rPr>
      </w:pPr>
    </w:p>
    <w:p w14:paraId="437D7070" w14:textId="39503649" w:rsidR="000E6688" w:rsidRPr="002B1107" w:rsidRDefault="000E6688" w:rsidP="000E6688">
      <w:pPr>
        <w:pStyle w:val="NoSpacing"/>
        <w:jc w:val="both"/>
        <w:rPr>
          <w:i/>
          <w:sz w:val="21"/>
          <w:lang w:val="en-ZA"/>
        </w:rPr>
      </w:pPr>
      <w:r w:rsidRPr="002B1107">
        <w:rPr>
          <w:i/>
          <w:sz w:val="21"/>
          <w:lang w:val="en-ZA"/>
        </w:rPr>
        <w:t>4. Life imprisonment (para. 92)</w:t>
      </w:r>
    </w:p>
    <w:p w14:paraId="3E4F48F0" w14:textId="77777777" w:rsidR="000E6688" w:rsidRPr="002B1107" w:rsidRDefault="000E6688" w:rsidP="000E6688">
      <w:pPr>
        <w:pStyle w:val="NoSpacing"/>
        <w:jc w:val="both"/>
        <w:rPr>
          <w:sz w:val="21"/>
          <w:lang w:val="en-ZA"/>
        </w:rPr>
      </w:pPr>
    </w:p>
    <w:p w14:paraId="529EA17D" w14:textId="77777777" w:rsidR="002B1107" w:rsidRDefault="000E6688" w:rsidP="000E6688">
      <w:pPr>
        <w:pStyle w:val="NoSpacing"/>
        <w:jc w:val="both"/>
        <w:rPr>
          <w:sz w:val="21"/>
          <w:lang w:val="en-ZA"/>
        </w:rPr>
      </w:pPr>
      <w:r w:rsidRPr="002B1107">
        <w:rPr>
          <w:sz w:val="21"/>
          <w:lang w:val="en-ZA"/>
        </w:rPr>
        <w:t>Life imprisonment bears different meanings in different legal systems and this should possibly be reflected in the General Comment. Indeterminate sentencing generally should be condemned (such as detention at the pleasure of the executive). The General Comment should advocate for fixed term sentences (of shorter duration than those applicable to adults). Early release opportunities should always be possible.</w:t>
      </w:r>
    </w:p>
    <w:p w14:paraId="02ADE746" w14:textId="2AA60D9B" w:rsidR="000E6688" w:rsidRPr="002B1107" w:rsidRDefault="000E6688" w:rsidP="000E6688">
      <w:pPr>
        <w:pStyle w:val="NoSpacing"/>
        <w:jc w:val="both"/>
        <w:rPr>
          <w:sz w:val="21"/>
          <w:lang w:val="en-ZA"/>
        </w:rPr>
      </w:pPr>
      <w:r w:rsidRPr="002B1107">
        <w:rPr>
          <w:sz w:val="21"/>
          <w:lang w:val="en-ZA"/>
        </w:rPr>
        <w:t xml:space="preserve"> </w:t>
      </w:r>
    </w:p>
    <w:p w14:paraId="7C99AB0B" w14:textId="77777777" w:rsidR="000E6688" w:rsidRPr="002B1107" w:rsidRDefault="000E6688" w:rsidP="00076A51">
      <w:pPr>
        <w:pStyle w:val="NoSpacing"/>
        <w:jc w:val="both"/>
        <w:rPr>
          <w:sz w:val="21"/>
          <w:lang w:val="en-GB"/>
        </w:rPr>
      </w:pPr>
    </w:p>
    <w:p w14:paraId="54F29D2C" w14:textId="75F652AB" w:rsidR="00AB3DC2" w:rsidRPr="002B1107" w:rsidRDefault="000E6688" w:rsidP="00076A51">
      <w:pPr>
        <w:pStyle w:val="NoSpacing"/>
        <w:jc w:val="both"/>
        <w:rPr>
          <w:bCs/>
          <w:i/>
          <w:sz w:val="21"/>
          <w:lang w:val="en-GB"/>
        </w:rPr>
      </w:pPr>
      <w:r w:rsidRPr="002B1107">
        <w:rPr>
          <w:bCs/>
          <w:i/>
          <w:sz w:val="21"/>
          <w:lang w:val="en-GB"/>
        </w:rPr>
        <w:lastRenderedPageBreak/>
        <w:t>5. Child-friendly justice</w:t>
      </w:r>
    </w:p>
    <w:p w14:paraId="422D1E85" w14:textId="77777777" w:rsidR="000E6688" w:rsidRPr="002B1107" w:rsidRDefault="000E6688" w:rsidP="00076A51">
      <w:pPr>
        <w:pStyle w:val="NoSpacing"/>
        <w:jc w:val="both"/>
        <w:rPr>
          <w:bCs/>
          <w:i/>
          <w:sz w:val="21"/>
          <w:lang w:val="en-GB"/>
        </w:rPr>
      </w:pPr>
    </w:p>
    <w:p w14:paraId="7A849259" w14:textId="6CE42D1A" w:rsidR="00AB3DC2" w:rsidRPr="002B1107" w:rsidRDefault="00AB3DC2" w:rsidP="00076A51">
      <w:pPr>
        <w:pStyle w:val="NoSpacing"/>
        <w:jc w:val="both"/>
        <w:rPr>
          <w:sz w:val="21"/>
          <w:lang w:val="en-GB"/>
        </w:rPr>
      </w:pPr>
      <w:r w:rsidRPr="002B1107">
        <w:rPr>
          <w:sz w:val="21"/>
          <w:lang w:val="en-GB"/>
        </w:rPr>
        <w:t xml:space="preserve">The Committee recognises that ‘the child’s right to be heard is fundamental for a fair trial’ and that ‘a child who is considered to be criminally responsible should be considered competent to effectively participate in all aspects of the trial’ (para. 55). In the past decade, the notion of </w:t>
      </w:r>
      <w:r w:rsidRPr="002B1107">
        <w:rPr>
          <w:i/>
          <w:iCs/>
          <w:sz w:val="21"/>
          <w:lang w:val="en-GB"/>
        </w:rPr>
        <w:t>child-friendly justice</w:t>
      </w:r>
      <w:r w:rsidRPr="002B1107">
        <w:rPr>
          <w:sz w:val="21"/>
          <w:lang w:val="en-GB"/>
        </w:rPr>
        <w:t xml:space="preserve"> has increasingly gained attention, also in relation to children in conflict with the law. Specifically in Europe, the practical conceptualisation of this notion shows that participation of children is seen as a fundamental part of a child-friendly justice system. In the revised General </w:t>
      </w:r>
      <w:r w:rsidR="00582A69" w:rsidRPr="002B1107">
        <w:rPr>
          <w:sz w:val="21"/>
          <w:lang w:val="en-GB"/>
        </w:rPr>
        <w:t>Comment,</w:t>
      </w:r>
      <w:r w:rsidRPr="002B1107">
        <w:rPr>
          <w:sz w:val="21"/>
          <w:lang w:val="en-GB"/>
        </w:rPr>
        <w:t xml:space="preserve"> the Committee maintains its rather narrow focus on effective participation, namely by stressing the fact that children need to understand the language (as such</w:t>
      </w:r>
      <w:r w:rsidR="008A2BC8" w:rsidRPr="002B1107">
        <w:rPr>
          <w:sz w:val="21"/>
          <w:lang w:val="en-GB"/>
        </w:rPr>
        <w:t>) and the issues at stake (para</w:t>
      </w:r>
      <w:r w:rsidRPr="002B1107">
        <w:rPr>
          <w:sz w:val="21"/>
          <w:lang w:val="en-GB"/>
        </w:rPr>
        <w:t>. 57</w:t>
      </w:r>
      <w:r w:rsidR="008A2BC8" w:rsidRPr="002B1107">
        <w:rPr>
          <w:sz w:val="21"/>
          <w:lang w:val="en-GB"/>
        </w:rPr>
        <w:t>-</w:t>
      </w:r>
      <w:r w:rsidRPr="002B1107">
        <w:rPr>
          <w:sz w:val="21"/>
          <w:lang w:val="en-GB"/>
        </w:rPr>
        <w:t xml:space="preserve"> 59). It would be beneficial to make a more concrete link between the right to be heard (art. 12 CRC), effective participation (as among others conceptualised by the European Court of Human Rights) and child-friendly justice. This latter notion implies that justice systems are adapted to the age and level of maturity of children and are specialised in dealing with children’s cases and communicating with children, to make them not only understand but also feel heard in the procedures.</w:t>
      </w:r>
      <w:r w:rsidRPr="002B1107">
        <w:rPr>
          <w:sz w:val="21"/>
          <w:vertAlign w:val="superscript"/>
          <w:lang w:val="en-GB"/>
        </w:rPr>
        <w:footnoteReference w:id="7"/>
      </w:r>
      <w:r w:rsidRPr="002B1107">
        <w:rPr>
          <w:sz w:val="21"/>
          <w:lang w:val="en-GB"/>
        </w:rPr>
        <w:t xml:space="preserve"> The Committee merely acknowledges that ‘the child’s age and maturity </w:t>
      </w:r>
      <w:r w:rsidRPr="002B1107">
        <w:rPr>
          <w:i/>
          <w:sz w:val="21"/>
          <w:lang w:val="en-GB"/>
        </w:rPr>
        <w:t>may</w:t>
      </w:r>
      <w:r w:rsidRPr="002B1107">
        <w:rPr>
          <w:sz w:val="21"/>
          <w:lang w:val="en-GB"/>
        </w:rPr>
        <w:t xml:space="preserve"> also require modified courtroom procedures and practices’ (para. 57, emphasis added) and thereby ignores the importance of a specialised and child-friendly juvenile justice system. </w:t>
      </w:r>
    </w:p>
    <w:p w14:paraId="1F979BA0" w14:textId="77777777" w:rsidR="00E713CF" w:rsidRPr="002B1107" w:rsidRDefault="00E713CF" w:rsidP="00076A51">
      <w:pPr>
        <w:pStyle w:val="NoSpacing"/>
        <w:jc w:val="both"/>
        <w:rPr>
          <w:sz w:val="21"/>
          <w:lang w:val="en-GB"/>
        </w:rPr>
      </w:pPr>
    </w:p>
    <w:p w14:paraId="47E67CC5" w14:textId="2FFD772B" w:rsidR="00E713CF" w:rsidRPr="002B1107" w:rsidRDefault="00582A69" w:rsidP="00E713CF">
      <w:pPr>
        <w:pStyle w:val="NoSpacing"/>
        <w:jc w:val="both"/>
        <w:rPr>
          <w:i/>
          <w:sz w:val="21"/>
          <w:lang w:val="en-ZA"/>
        </w:rPr>
      </w:pPr>
      <w:r w:rsidRPr="002B1107">
        <w:rPr>
          <w:i/>
          <w:sz w:val="21"/>
          <w:lang w:val="en-ZA"/>
        </w:rPr>
        <w:t>6. Protection of children under international criminal law</w:t>
      </w:r>
    </w:p>
    <w:p w14:paraId="704D5C1E" w14:textId="77777777" w:rsidR="00E713CF" w:rsidRPr="002B1107" w:rsidRDefault="00E713CF" w:rsidP="00E713CF">
      <w:pPr>
        <w:pStyle w:val="NoSpacing"/>
        <w:jc w:val="both"/>
        <w:rPr>
          <w:sz w:val="21"/>
          <w:lang w:val="en-ZA"/>
        </w:rPr>
      </w:pPr>
    </w:p>
    <w:p w14:paraId="05CE593E" w14:textId="3692A903" w:rsidR="008A2BC8" w:rsidRPr="002B1107" w:rsidRDefault="008A2BC8" w:rsidP="00E713CF">
      <w:pPr>
        <w:pStyle w:val="NoSpacing"/>
        <w:jc w:val="both"/>
        <w:rPr>
          <w:sz w:val="21"/>
          <w:lang w:val="en-ZA"/>
        </w:rPr>
      </w:pPr>
      <w:r w:rsidRPr="002B1107">
        <w:rPr>
          <w:sz w:val="21"/>
          <w:lang w:val="en-ZA"/>
        </w:rPr>
        <w:t xml:space="preserve">We recommend the Committee to add a new paragraph after para. 110 highlighting the lack of adequate protection of children of 15, 16 and 17 years of age under international criminal law. </w:t>
      </w:r>
      <w:r w:rsidR="00821412" w:rsidRPr="002B1107">
        <w:rPr>
          <w:sz w:val="21"/>
          <w:lang w:val="en-ZA"/>
        </w:rPr>
        <w:t xml:space="preserve">While </w:t>
      </w:r>
      <w:r w:rsidR="00657CCE" w:rsidRPr="002B1107">
        <w:rPr>
          <w:sz w:val="21"/>
          <w:lang w:val="en-ZA"/>
        </w:rPr>
        <w:t xml:space="preserve"> the Optional Protocol on the involvement of children in armed conflict</w:t>
      </w:r>
      <w:r w:rsidR="00D90ED6" w:rsidRPr="002B1107">
        <w:rPr>
          <w:sz w:val="21"/>
          <w:lang w:val="en-ZA"/>
        </w:rPr>
        <w:t xml:space="preserve"> </w:t>
      </w:r>
      <w:r w:rsidR="00657CCE" w:rsidRPr="002B1107">
        <w:rPr>
          <w:sz w:val="21"/>
          <w:lang w:val="en-ZA"/>
        </w:rPr>
        <w:t>sets a widely adopted international rule that children (below the age of 18) must not be recruited in armed forces or armed groups, nor participate in hostilities</w:t>
      </w:r>
      <w:r w:rsidR="00821412" w:rsidRPr="002B1107">
        <w:rPr>
          <w:sz w:val="21"/>
          <w:lang w:val="en-ZA"/>
        </w:rPr>
        <w:t>, the Rome Statute of the International Criminal Court qualifies such recruitment and participation only as a war crime in case the child is below the age of 15 years</w:t>
      </w:r>
      <w:r w:rsidR="00657CCE" w:rsidRPr="002B1107">
        <w:rPr>
          <w:sz w:val="21"/>
          <w:lang w:val="en-ZA"/>
        </w:rPr>
        <w:t xml:space="preserve">. </w:t>
      </w:r>
      <w:r w:rsidR="00FC2CC1" w:rsidRPr="002B1107">
        <w:rPr>
          <w:sz w:val="21"/>
          <w:lang w:val="en-ZA"/>
        </w:rPr>
        <w:t xml:space="preserve">The Committee </w:t>
      </w:r>
      <w:r w:rsidR="00657CCE" w:rsidRPr="002B1107">
        <w:rPr>
          <w:sz w:val="21"/>
          <w:lang w:val="en-ZA"/>
        </w:rPr>
        <w:t>could also call upon states that are party to the CRC and OPAC, as well as to the Rome Statute to undertake all necessary measures to safeguard that all children</w:t>
      </w:r>
      <w:r w:rsidR="003B656A" w:rsidRPr="002B1107">
        <w:rPr>
          <w:sz w:val="21"/>
          <w:lang w:val="en-ZA"/>
        </w:rPr>
        <w:t xml:space="preserve"> recruited for or participating in armed conflict</w:t>
      </w:r>
      <w:r w:rsidR="00657CCE" w:rsidRPr="002B1107">
        <w:rPr>
          <w:sz w:val="21"/>
          <w:lang w:val="en-ZA"/>
        </w:rPr>
        <w:t>, including those who are 15, 16 and 17, are adequately protected.</w:t>
      </w:r>
    </w:p>
    <w:p w14:paraId="02C37582" w14:textId="77777777" w:rsidR="00657CCE" w:rsidRPr="002B1107" w:rsidRDefault="00657CCE" w:rsidP="00657CCE">
      <w:pPr>
        <w:pStyle w:val="NoSpacing"/>
        <w:jc w:val="both"/>
        <w:rPr>
          <w:sz w:val="21"/>
          <w:lang w:val="en-GB"/>
        </w:rPr>
      </w:pPr>
    </w:p>
    <w:p w14:paraId="25287828" w14:textId="1F7FA6B7" w:rsidR="00657CCE" w:rsidRPr="002B1107" w:rsidRDefault="00657CCE" w:rsidP="00657CCE">
      <w:pPr>
        <w:pStyle w:val="NoSpacing"/>
        <w:jc w:val="both"/>
        <w:rPr>
          <w:i/>
          <w:sz w:val="21"/>
          <w:lang w:val="en-ZA"/>
        </w:rPr>
      </w:pPr>
      <w:r w:rsidRPr="002B1107">
        <w:rPr>
          <w:i/>
          <w:sz w:val="21"/>
          <w:lang w:val="en-GB"/>
        </w:rPr>
        <w:t xml:space="preserve">7. </w:t>
      </w:r>
      <w:r w:rsidRPr="002B1107">
        <w:rPr>
          <w:i/>
          <w:sz w:val="21"/>
          <w:lang w:val="en-ZA"/>
        </w:rPr>
        <w:t xml:space="preserve">Role of social workers and other participants in the social workforce </w:t>
      </w:r>
    </w:p>
    <w:p w14:paraId="1C966B21" w14:textId="77777777" w:rsidR="00657CCE" w:rsidRPr="002B1107" w:rsidRDefault="00657CCE" w:rsidP="00657CCE">
      <w:pPr>
        <w:pStyle w:val="NoSpacing"/>
        <w:jc w:val="both"/>
        <w:rPr>
          <w:sz w:val="21"/>
          <w:lang w:val="en-ZA"/>
        </w:rPr>
      </w:pPr>
    </w:p>
    <w:p w14:paraId="5198873C" w14:textId="0BADC136" w:rsidR="00657CCE" w:rsidRPr="002B1107" w:rsidRDefault="00657CCE" w:rsidP="00657CCE">
      <w:pPr>
        <w:pStyle w:val="NoSpacing"/>
        <w:jc w:val="both"/>
        <w:rPr>
          <w:sz w:val="21"/>
          <w:lang w:val="en-ZA"/>
        </w:rPr>
      </w:pPr>
      <w:r w:rsidRPr="002B1107">
        <w:rPr>
          <w:sz w:val="21"/>
          <w:lang w:val="en-ZA"/>
        </w:rPr>
        <w:t xml:space="preserve">Overall, the draft General Comment does not accord enough significance to the need for social workers and </w:t>
      </w:r>
      <w:r w:rsidR="001A2052" w:rsidRPr="002B1107">
        <w:rPr>
          <w:sz w:val="21"/>
          <w:lang w:val="en-ZA"/>
        </w:rPr>
        <w:t xml:space="preserve">other participants in </w:t>
      </w:r>
      <w:r w:rsidRPr="002B1107">
        <w:rPr>
          <w:sz w:val="21"/>
          <w:lang w:val="en-ZA"/>
        </w:rPr>
        <w:t>the social workforce as integral to building an effective juvenile justic</w:t>
      </w:r>
      <w:r w:rsidR="001A2052" w:rsidRPr="002B1107">
        <w:rPr>
          <w:sz w:val="21"/>
          <w:lang w:val="en-ZA"/>
        </w:rPr>
        <w:t>e system and in specific areas, such as diversion</w:t>
      </w:r>
      <w:r w:rsidR="003D5187">
        <w:rPr>
          <w:sz w:val="21"/>
          <w:lang w:val="en-ZA"/>
        </w:rPr>
        <w:t xml:space="preserve"> and disposition</w:t>
      </w:r>
      <w:r w:rsidR="001A2052" w:rsidRPr="002B1107">
        <w:rPr>
          <w:sz w:val="21"/>
          <w:lang w:val="en-ZA"/>
        </w:rPr>
        <w:t xml:space="preserve">. Whilst social workers, </w:t>
      </w:r>
      <w:r w:rsidRPr="002B1107">
        <w:rPr>
          <w:sz w:val="21"/>
          <w:lang w:val="en-ZA"/>
        </w:rPr>
        <w:t>proba</w:t>
      </w:r>
      <w:r w:rsidR="001A2052" w:rsidRPr="002B1107">
        <w:rPr>
          <w:sz w:val="21"/>
          <w:lang w:val="en-ZA"/>
        </w:rPr>
        <w:t>tion officers and other relevant professionals are mentioned</w:t>
      </w:r>
      <w:r w:rsidR="003D5187">
        <w:rPr>
          <w:sz w:val="21"/>
          <w:lang w:val="en-ZA"/>
        </w:rPr>
        <w:t xml:space="preserve"> a number of times</w:t>
      </w:r>
      <w:r w:rsidR="001A2052" w:rsidRPr="002B1107">
        <w:rPr>
          <w:sz w:val="21"/>
          <w:lang w:val="en-ZA"/>
        </w:rPr>
        <w:t xml:space="preserve"> (see </w:t>
      </w:r>
      <w:r w:rsidR="003D5187">
        <w:rPr>
          <w:sz w:val="21"/>
          <w:lang w:val="en-ZA"/>
        </w:rPr>
        <w:t xml:space="preserve">e.g. </w:t>
      </w:r>
      <w:r w:rsidR="001A2052" w:rsidRPr="002B1107">
        <w:rPr>
          <w:sz w:val="21"/>
          <w:lang w:val="en-ZA"/>
        </w:rPr>
        <w:t>para. 25 and 28)</w:t>
      </w:r>
      <w:r w:rsidRPr="002B1107">
        <w:rPr>
          <w:sz w:val="21"/>
          <w:lang w:val="en-ZA"/>
        </w:rPr>
        <w:t xml:space="preserve">, insufficient emphasis is devoted to their wider role </w:t>
      </w:r>
      <w:r w:rsidR="003D5187">
        <w:rPr>
          <w:sz w:val="21"/>
          <w:lang w:val="en-ZA"/>
        </w:rPr>
        <w:t xml:space="preserve">as part </w:t>
      </w:r>
      <w:r w:rsidRPr="002B1107">
        <w:rPr>
          <w:sz w:val="21"/>
          <w:lang w:val="en-ZA"/>
        </w:rPr>
        <w:t>of a social workforce in accessing diversion, presenting diversion programmes, dealing with children below the MACR, and providing pre-sentence reports.</w:t>
      </w:r>
      <w:r w:rsidR="003D5187">
        <w:rPr>
          <w:sz w:val="21"/>
          <w:lang w:val="en-ZA"/>
        </w:rPr>
        <w:t xml:space="preserve"> The Committee could also better highlight the fundamental importance of the social workforce for the connection between </w:t>
      </w:r>
      <w:r w:rsidR="008650F6">
        <w:rPr>
          <w:sz w:val="21"/>
          <w:lang w:val="en-ZA"/>
        </w:rPr>
        <w:t xml:space="preserve">the </w:t>
      </w:r>
      <w:r w:rsidR="003D5187">
        <w:rPr>
          <w:sz w:val="21"/>
          <w:lang w:val="en-ZA"/>
        </w:rPr>
        <w:t xml:space="preserve">juvenile justice </w:t>
      </w:r>
      <w:r w:rsidR="008650F6">
        <w:rPr>
          <w:sz w:val="21"/>
          <w:lang w:val="en-ZA"/>
        </w:rPr>
        <w:t xml:space="preserve">system </w:t>
      </w:r>
      <w:r w:rsidR="003D5187">
        <w:rPr>
          <w:sz w:val="21"/>
          <w:lang w:val="en-ZA"/>
        </w:rPr>
        <w:t>and other systems relevant for children and families, such as the welfare system, child protection system</w:t>
      </w:r>
      <w:r w:rsidR="008018F1">
        <w:rPr>
          <w:sz w:val="21"/>
          <w:lang w:val="en-ZA"/>
        </w:rPr>
        <w:t>, educational system</w:t>
      </w:r>
      <w:r w:rsidR="003D5187">
        <w:rPr>
          <w:sz w:val="21"/>
          <w:lang w:val="en-ZA"/>
        </w:rPr>
        <w:t xml:space="preserve"> and (mental) health system.</w:t>
      </w:r>
    </w:p>
    <w:p w14:paraId="4AEF59B7" w14:textId="77777777" w:rsidR="000C7F07" w:rsidRPr="002B1107" w:rsidRDefault="000C7F07" w:rsidP="008B6D11">
      <w:pPr>
        <w:pStyle w:val="NoSpacing"/>
        <w:jc w:val="both"/>
        <w:rPr>
          <w:sz w:val="21"/>
          <w:lang w:val="en-GB"/>
        </w:rPr>
      </w:pPr>
    </w:p>
    <w:p w14:paraId="5B51A535" w14:textId="183ABECB" w:rsidR="006D4471" w:rsidRPr="002B1107" w:rsidRDefault="006D4471" w:rsidP="00C1633A">
      <w:pPr>
        <w:pStyle w:val="NoSpacing"/>
        <w:jc w:val="both"/>
        <w:outlineLvl w:val="0"/>
        <w:rPr>
          <w:b/>
          <w:sz w:val="21"/>
          <w:lang w:val="en-GB"/>
        </w:rPr>
      </w:pPr>
      <w:r w:rsidRPr="002B1107">
        <w:rPr>
          <w:b/>
          <w:sz w:val="21"/>
          <w:lang w:val="en-GB"/>
        </w:rPr>
        <w:t xml:space="preserve">Some final </w:t>
      </w:r>
      <w:r w:rsidR="00582A69" w:rsidRPr="002B1107">
        <w:rPr>
          <w:b/>
          <w:sz w:val="21"/>
          <w:lang w:val="en-GB"/>
        </w:rPr>
        <w:t>remarks</w:t>
      </w:r>
    </w:p>
    <w:p w14:paraId="663BD963" w14:textId="77777777" w:rsidR="000C7F07" w:rsidRPr="002B1107" w:rsidRDefault="000C7F07" w:rsidP="008B6D11">
      <w:pPr>
        <w:pStyle w:val="NoSpacing"/>
        <w:jc w:val="both"/>
        <w:rPr>
          <w:sz w:val="21"/>
          <w:lang w:val="en-GB"/>
        </w:rPr>
      </w:pPr>
    </w:p>
    <w:p w14:paraId="210FA3D4" w14:textId="76D20BF1" w:rsidR="00550540" w:rsidRPr="002B1107" w:rsidRDefault="006D4471" w:rsidP="008B6D11">
      <w:pPr>
        <w:pStyle w:val="NoSpacing"/>
        <w:jc w:val="both"/>
        <w:rPr>
          <w:sz w:val="21"/>
          <w:lang w:val="en-GB"/>
        </w:rPr>
      </w:pPr>
      <w:r w:rsidRPr="002B1107">
        <w:rPr>
          <w:sz w:val="21"/>
          <w:lang w:val="en-GB"/>
        </w:rPr>
        <w:t xml:space="preserve">We would like to conclude by recommending the Committee to include </w:t>
      </w:r>
      <w:r w:rsidR="00701E2F" w:rsidRPr="002B1107">
        <w:rPr>
          <w:sz w:val="21"/>
          <w:lang w:val="en-GB"/>
        </w:rPr>
        <w:t xml:space="preserve">in the General Comment </w:t>
      </w:r>
      <w:r w:rsidRPr="002B1107">
        <w:rPr>
          <w:sz w:val="21"/>
          <w:lang w:val="en-GB"/>
        </w:rPr>
        <w:t xml:space="preserve">the findings of the UN Global Study on </w:t>
      </w:r>
      <w:r w:rsidR="009B6143">
        <w:rPr>
          <w:sz w:val="21"/>
          <w:lang w:val="en-GB"/>
        </w:rPr>
        <w:t>C</w:t>
      </w:r>
      <w:r w:rsidRPr="002B1107">
        <w:rPr>
          <w:sz w:val="21"/>
          <w:lang w:val="en-GB"/>
        </w:rPr>
        <w:t xml:space="preserve">hildren </w:t>
      </w:r>
      <w:r w:rsidR="009B6143">
        <w:rPr>
          <w:sz w:val="21"/>
          <w:lang w:val="en-GB"/>
        </w:rPr>
        <w:t>D</w:t>
      </w:r>
      <w:r w:rsidRPr="002B1107">
        <w:rPr>
          <w:sz w:val="21"/>
          <w:lang w:val="en-GB"/>
        </w:rPr>
        <w:t xml:space="preserve">eprived of </w:t>
      </w:r>
      <w:r w:rsidR="009B6143">
        <w:rPr>
          <w:sz w:val="21"/>
          <w:lang w:val="en-GB"/>
        </w:rPr>
        <w:t>L</w:t>
      </w:r>
      <w:r w:rsidRPr="002B1107">
        <w:rPr>
          <w:sz w:val="21"/>
          <w:lang w:val="en-GB"/>
        </w:rPr>
        <w:t xml:space="preserve">iberty, which will come out in the course of 2019. In addition, we would like to inform the Committee that the Department of Child Law of Leiden University is willing to further assist in the revision of the </w:t>
      </w:r>
      <w:r w:rsidR="00C1633A" w:rsidRPr="002B1107">
        <w:rPr>
          <w:sz w:val="21"/>
          <w:lang w:val="en-GB"/>
        </w:rPr>
        <w:t>G</w:t>
      </w:r>
      <w:r w:rsidRPr="002B1107">
        <w:rPr>
          <w:sz w:val="21"/>
          <w:lang w:val="en-GB"/>
        </w:rPr>
        <w:t xml:space="preserve">eneral </w:t>
      </w:r>
      <w:r w:rsidR="00C1633A" w:rsidRPr="002B1107">
        <w:rPr>
          <w:sz w:val="21"/>
          <w:lang w:val="en-GB"/>
        </w:rPr>
        <w:t>C</w:t>
      </w:r>
      <w:r w:rsidRPr="002B1107">
        <w:rPr>
          <w:sz w:val="21"/>
          <w:lang w:val="en-GB"/>
        </w:rPr>
        <w:t>omment where needed.</w:t>
      </w:r>
    </w:p>
    <w:p w14:paraId="700CAEF7" w14:textId="77777777" w:rsidR="00F5647F" w:rsidRPr="004F407A" w:rsidRDefault="00F5647F" w:rsidP="008B6D11">
      <w:pPr>
        <w:pStyle w:val="NoSpacing"/>
        <w:jc w:val="both"/>
        <w:rPr>
          <w:lang w:val="en-GB"/>
        </w:rPr>
      </w:pPr>
    </w:p>
    <w:p w14:paraId="31A1275A" w14:textId="77777777" w:rsidR="002D6322" w:rsidRPr="004F407A" w:rsidRDefault="002D6322" w:rsidP="008B6D11">
      <w:pPr>
        <w:pStyle w:val="NoSpacing"/>
        <w:jc w:val="both"/>
        <w:rPr>
          <w:lang w:val="en-GB"/>
        </w:rPr>
      </w:pPr>
    </w:p>
    <w:p w14:paraId="654DC783" w14:textId="77777777" w:rsidR="002D6322" w:rsidRPr="004F407A" w:rsidRDefault="002D6322" w:rsidP="008B6D11">
      <w:pPr>
        <w:pStyle w:val="NoSpacing"/>
        <w:jc w:val="both"/>
        <w:rPr>
          <w:lang w:val="en-GB"/>
        </w:rPr>
      </w:pPr>
    </w:p>
    <w:sectPr w:rsidR="002D6322" w:rsidRPr="004F407A">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AFE7F" w14:textId="77777777" w:rsidR="0006728F" w:rsidRDefault="0006728F" w:rsidP="0019606A">
      <w:pPr>
        <w:spacing w:after="0" w:line="240" w:lineRule="auto"/>
      </w:pPr>
      <w:r>
        <w:separator/>
      </w:r>
    </w:p>
  </w:endnote>
  <w:endnote w:type="continuationSeparator" w:id="0">
    <w:p w14:paraId="22303971" w14:textId="77777777" w:rsidR="0006728F" w:rsidRDefault="0006728F" w:rsidP="0019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59277425"/>
      <w:docPartObj>
        <w:docPartGallery w:val="Page Numbers (Bottom of Page)"/>
        <w:docPartUnique/>
      </w:docPartObj>
    </w:sdtPr>
    <w:sdtEndPr>
      <w:rPr>
        <w:rStyle w:val="PageNumber"/>
      </w:rPr>
    </w:sdtEndPr>
    <w:sdtContent>
      <w:p w14:paraId="578E4EAF" w14:textId="77777777" w:rsidR="0023206B" w:rsidRDefault="0023206B" w:rsidP="009B66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6D73E8" w14:textId="77777777" w:rsidR="0023206B" w:rsidRDefault="0023206B" w:rsidP="001960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93678510"/>
      <w:docPartObj>
        <w:docPartGallery w:val="Page Numbers (Bottom of Page)"/>
        <w:docPartUnique/>
      </w:docPartObj>
    </w:sdtPr>
    <w:sdtEndPr>
      <w:rPr>
        <w:rStyle w:val="PageNumber"/>
      </w:rPr>
    </w:sdtEndPr>
    <w:sdtContent>
      <w:p w14:paraId="0A277BCC" w14:textId="4D005C4C" w:rsidR="0023206B" w:rsidRDefault="0023206B" w:rsidP="009B66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2759D">
          <w:rPr>
            <w:rStyle w:val="PageNumber"/>
            <w:noProof/>
          </w:rPr>
          <w:t>1</w:t>
        </w:r>
        <w:r>
          <w:rPr>
            <w:rStyle w:val="PageNumber"/>
          </w:rPr>
          <w:fldChar w:fldCharType="end"/>
        </w:r>
      </w:p>
    </w:sdtContent>
  </w:sdt>
  <w:p w14:paraId="27C4F70F" w14:textId="77777777" w:rsidR="0023206B" w:rsidRDefault="0023206B" w:rsidP="001960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19897" w14:textId="77777777" w:rsidR="0006728F" w:rsidRDefault="0006728F" w:rsidP="0019606A">
      <w:pPr>
        <w:spacing w:after="0" w:line="240" w:lineRule="auto"/>
      </w:pPr>
      <w:r>
        <w:separator/>
      </w:r>
    </w:p>
  </w:footnote>
  <w:footnote w:type="continuationSeparator" w:id="0">
    <w:p w14:paraId="1563837F" w14:textId="77777777" w:rsidR="0006728F" w:rsidRDefault="0006728F" w:rsidP="0019606A">
      <w:pPr>
        <w:spacing w:after="0" w:line="240" w:lineRule="auto"/>
      </w:pPr>
      <w:r>
        <w:continuationSeparator/>
      </w:r>
    </w:p>
  </w:footnote>
  <w:footnote w:id="1">
    <w:p w14:paraId="0893893A" w14:textId="7A78DFF3" w:rsidR="0023206B" w:rsidRPr="00076A51" w:rsidRDefault="0023206B" w:rsidP="00076A51">
      <w:pPr>
        <w:pStyle w:val="FootnoteText"/>
        <w:jc w:val="both"/>
        <w:rPr>
          <w:sz w:val="18"/>
          <w:szCs w:val="18"/>
          <w:lang w:val="en-GB"/>
        </w:rPr>
      </w:pPr>
      <w:r w:rsidRPr="00076A51">
        <w:rPr>
          <w:rStyle w:val="FootnoteReference"/>
          <w:sz w:val="18"/>
          <w:szCs w:val="18"/>
          <w:lang w:val="en-GB"/>
        </w:rPr>
        <w:footnoteRef/>
      </w:r>
      <w:r w:rsidRPr="00076A51">
        <w:rPr>
          <w:sz w:val="18"/>
          <w:szCs w:val="18"/>
          <w:lang w:val="en-GB"/>
        </w:rPr>
        <w:t xml:space="preserve"> </w:t>
      </w:r>
      <w:r w:rsidRPr="000A6D9F">
        <w:rPr>
          <w:sz w:val="18"/>
          <w:szCs w:val="18"/>
          <w:lang w:val="en-GB"/>
        </w:rPr>
        <w:t>This document has been prepared by:</w:t>
      </w:r>
      <w:r w:rsidRPr="00076A51">
        <w:rPr>
          <w:sz w:val="18"/>
          <w:szCs w:val="18"/>
          <w:lang w:val="en-GB"/>
        </w:rPr>
        <w:t xml:space="preserve"> </w:t>
      </w:r>
      <w:r w:rsidRPr="000A6D9F">
        <w:rPr>
          <w:sz w:val="18"/>
          <w:szCs w:val="18"/>
          <w:lang w:val="en-GB"/>
        </w:rPr>
        <w:t>Prof. Dr. Ton Liefaard, UNICEF Chair in Children’s Rights</w:t>
      </w:r>
      <w:r>
        <w:rPr>
          <w:sz w:val="18"/>
          <w:szCs w:val="18"/>
          <w:lang w:val="en-GB"/>
        </w:rPr>
        <w:t>, Leiden Law School</w:t>
      </w:r>
      <w:r w:rsidRPr="000A6D9F">
        <w:rPr>
          <w:sz w:val="18"/>
          <w:szCs w:val="18"/>
          <w:lang w:val="en-GB"/>
        </w:rPr>
        <w:t xml:space="preserve"> (</w:t>
      </w:r>
      <w:r w:rsidRPr="00076A51">
        <w:rPr>
          <w:sz w:val="18"/>
          <w:szCs w:val="18"/>
          <w:lang w:val="en-GB"/>
        </w:rPr>
        <w:t>corresponding</w:t>
      </w:r>
      <w:r w:rsidRPr="000A6D9F">
        <w:rPr>
          <w:sz w:val="18"/>
          <w:szCs w:val="18"/>
          <w:lang w:val="en-GB"/>
        </w:rPr>
        <w:t xml:space="preserve"> author: </w:t>
      </w:r>
      <w:hyperlink r:id="rId1" w:history="1">
        <w:r w:rsidRPr="000A6D9F">
          <w:rPr>
            <w:rStyle w:val="Hyperlink"/>
            <w:sz w:val="18"/>
            <w:szCs w:val="18"/>
            <w:lang w:val="en-GB"/>
          </w:rPr>
          <w:t>t.liefaard@law.leidenuniv.nl</w:t>
        </w:r>
      </w:hyperlink>
      <w:r w:rsidRPr="000A6D9F">
        <w:rPr>
          <w:sz w:val="18"/>
          <w:szCs w:val="18"/>
          <w:lang w:val="en-GB"/>
        </w:rPr>
        <w:t>)</w:t>
      </w:r>
      <w:r w:rsidRPr="00076A51">
        <w:rPr>
          <w:sz w:val="18"/>
          <w:szCs w:val="18"/>
          <w:lang w:val="en-GB"/>
        </w:rPr>
        <w:t xml:space="preserve">; </w:t>
      </w:r>
      <w:r w:rsidRPr="000A6D9F">
        <w:rPr>
          <w:sz w:val="18"/>
          <w:szCs w:val="18"/>
          <w:lang w:val="en-GB"/>
        </w:rPr>
        <w:t xml:space="preserve">Prof. Dr. Julia Sloth-Nielsen, </w:t>
      </w:r>
      <w:r>
        <w:rPr>
          <w:sz w:val="18"/>
          <w:szCs w:val="18"/>
          <w:lang w:val="en-GB"/>
        </w:rPr>
        <w:t xml:space="preserve">Leiden </w:t>
      </w:r>
      <w:r w:rsidRPr="000A6D9F">
        <w:rPr>
          <w:sz w:val="18"/>
          <w:szCs w:val="18"/>
          <w:lang w:val="en-GB"/>
        </w:rPr>
        <w:t>Chair of Children’s Rights in the Developing World</w:t>
      </w:r>
      <w:r w:rsidRPr="00076A51">
        <w:rPr>
          <w:sz w:val="18"/>
          <w:szCs w:val="18"/>
          <w:lang w:val="en-GB"/>
        </w:rPr>
        <w:t xml:space="preserve">; </w:t>
      </w:r>
      <w:r w:rsidRPr="000A6D9F">
        <w:rPr>
          <w:sz w:val="18"/>
          <w:szCs w:val="18"/>
          <w:lang w:val="en-GB"/>
        </w:rPr>
        <w:t>Prof. Dr. Jaap E. Doek, Emeritus Professor of Family and Child Law, Chair UN Committee on the Rights of the Child 2001-2007</w:t>
      </w:r>
      <w:r w:rsidRPr="00076A51">
        <w:rPr>
          <w:sz w:val="18"/>
          <w:szCs w:val="18"/>
          <w:lang w:val="en-GB"/>
        </w:rPr>
        <w:t xml:space="preserve">; </w:t>
      </w:r>
      <w:r w:rsidRPr="000A6D9F">
        <w:rPr>
          <w:sz w:val="18"/>
          <w:szCs w:val="18"/>
          <w:lang w:val="en-GB"/>
        </w:rPr>
        <w:t>Dr. Stephanie Rap, Assistant Professor in Children’s Rights</w:t>
      </w:r>
      <w:r w:rsidRPr="00076A51">
        <w:rPr>
          <w:sz w:val="18"/>
          <w:szCs w:val="18"/>
          <w:lang w:val="en-GB"/>
        </w:rPr>
        <w:t xml:space="preserve">; </w:t>
      </w:r>
      <w:r w:rsidRPr="000A6D9F">
        <w:rPr>
          <w:sz w:val="18"/>
          <w:szCs w:val="18"/>
          <w:lang w:val="en-GB"/>
        </w:rPr>
        <w:t>Dr. Yannick van den Brink, Assistant Professor in Child Law and Criminal Law</w:t>
      </w:r>
      <w:r w:rsidRPr="00076A51">
        <w:rPr>
          <w:sz w:val="18"/>
          <w:szCs w:val="18"/>
          <w:lang w:val="en-GB"/>
        </w:rPr>
        <w:t xml:space="preserve"> and Ms. Eva Schmidt, LL.M</w:t>
      </w:r>
      <w:r w:rsidR="004162F4">
        <w:rPr>
          <w:sz w:val="18"/>
          <w:szCs w:val="18"/>
          <w:lang w:val="en-GB"/>
        </w:rPr>
        <w:t xml:space="preserve"> </w:t>
      </w:r>
      <w:r w:rsidRPr="00076A51">
        <w:rPr>
          <w:sz w:val="18"/>
          <w:szCs w:val="18"/>
          <w:lang w:val="en-GB"/>
        </w:rPr>
        <w:t>/</w:t>
      </w:r>
      <w:r w:rsidR="004162F4">
        <w:rPr>
          <w:sz w:val="18"/>
          <w:szCs w:val="18"/>
          <w:lang w:val="en-GB"/>
        </w:rPr>
        <w:t xml:space="preserve"> B</w:t>
      </w:r>
      <w:r w:rsidRPr="00076A51">
        <w:rPr>
          <w:sz w:val="18"/>
          <w:szCs w:val="18"/>
          <w:lang w:val="en-GB"/>
        </w:rPr>
        <w:t>Sc, PhD Researcher.</w:t>
      </w:r>
    </w:p>
  </w:footnote>
  <w:footnote w:id="2">
    <w:p w14:paraId="1F041A57" w14:textId="77777777" w:rsidR="0023206B" w:rsidRPr="00076A51" w:rsidRDefault="0023206B" w:rsidP="00076A51">
      <w:pPr>
        <w:pStyle w:val="FootnoteText"/>
        <w:jc w:val="both"/>
        <w:rPr>
          <w:sz w:val="18"/>
          <w:szCs w:val="18"/>
          <w:lang w:val="en-GB"/>
        </w:rPr>
      </w:pPr>
      <w:r w:rsidRPr="00076A51">
        <w:rPr>
          <w:rStyle w:val="FootnoteReference"/>
          <w:sz w:val="18"/>
          <w:szCs w:val="18"/>
          <w:lang w:val="en-GB"/>
        </w:rPr>
        <w:footnoteRef/>
      </w:r>
      <w:r w:rsidRPr="00076A51">
        <w:rPr>
          <w:sz w:val="18"/>
          <w:szCs w:val="18"/>
          <w:lang w:val="en-GB"/>
        </w:rPr>
        <w:t xml:space="preserve"> See Centre for Child v. Minister for Justice etc., [2009] ZACC 18. See also A. Skelton, ‘South Africa’, in: T. Liefaard &amp; J.E. Doek, </w:t>
      </w:r>
      <w:r w:rsidRPr="00076A51">
        <w:rPr>
          <w:i/>
          <w:sz w:val="18"/>
          <w:szCs w:val="18"/>
          <w:lang w:val="en-GB"/>
        </w:rPr>
        <w:t>Litigating the Rights of the Child. The UN Convention on the Rights of the Child in Domestic and International Jurisprudence</w:t>
      </w:r>
      <w:r w:rsidRPr="00076A51">
        <w:rPr>
          <w:sz w:val="18"/>
          <w:szCs w:val="18"/>
          <w:lang w:val="en-GB"/>
        </w:rPr>
        <w:t>, Dordrecht: Springer 2015, pp. 13-30.</w:t>
      </w:r>
    </w:p>
  </w:footnote>
  <w:footnote w:id="3">
    <w:p w14:paraId="7B732BC8" w14:textId="56E169CD" w:rsidR="0023206B" w:rsidRPr="00076A51" w:rsidRDefault="0023206B" w:rsidP="00076A51">
      <w:pPr>
        <w:pStyle w:val="FootnoteText"/>
        <w:jc w:val="both"/>
        <w:rPr>
          <w:sz w:val="18"/>
          <w:szCs w:val="18"/>
          <w:lang w:val="en-GB"/>
        </w:rPr>
      </w:pPr>
      <w:r w:rsidRPr="00076A51">
        <w:rPr>
          <w:rStyle w:val="FootnoteReference"/>
          <w:sz w:val="18"/>
          <w:szCs w:val="18"/>
          <w:lang w:val="en-GB"/>
        </w:rPr>
        <w:footnoteRef/>
      </w:r>
      <w:r w:rsidRPr="00076A51">
        <w:rPr>
          <w:sz w:val="18"/>
          <w:szCs w:val="18"/>
          <w:lang w:val="en-GB"/>
        </w:rPr>
        <w:t xml:space="preserve"> See e.g. the South African landmark cas</w:t>
      </w:r>
      <w:r>
        <w:rPr>
          <w:sz w:val="18"/>
          <w:szCs w:val="18"/>
          <w:lang w:val="en-GB"/>
        </w:rPr>
        <w:t>e S v M, 2008 (3) SA 232 (CC).</w:t>
      </w:r>
    </w:p>
  </w:footnote>
  <w:footnote w:id="4">
    <w:p w14:paraId="12BFF67F" w14:textId="77777777" w:rsidR="0023206B" w:rsidRPr="00076A51" w:rsidRDefault="0023206B" w:rsidP="004C0928">
      <w:pPr>
        <w:pStyle w:val="FootnoteText"/>
        <w:jc w:val="both"/>
        <w:rPr>
          <w:sz w:val="18"/>
          <w:szCs w:val="18"/>
          <w:lang w:val="en-GB"/>
        </w:rPr>
      </w:pPr>
      <w:r w:rsidRPr="00076A51">
        <w:rPr>
          <w:rStyle w:val="FootnoteReference"/>
          <w:sz w:val="18"/>
          <w:szCs w:val="18"/>
          <w:lang w:val="en-GB"/>
        </w:rPr>
        <w:footnoteRef/>
      </w:r>
      <w:r w:rsidRPr="00076A51">
        <w:rPr>
          <w:sz w:val="18"/>
          <w:szCs w:val="18"/>
          <w:lang w:val="en-GB"/>
        </w:rPr>
        <w:t xml:space="preserve"> See for example Recommendation Rec(2003)20 of the Committee of Ministers (of the Council of Europe) to member states concerning new ways of dealing with juvenile delinquency and the role of juvenile justice, in which it is mentioned that ‘it </w:t>
      </w:r>
      <w:r w:rsidRPr="00076A51">
        <w:rPr>
          <w:i/>
          <w:sz w:val="18"/>
          <w:szCs w:val="18"/>
          <w:lang w:val="en-GB"/>
        </w:rPr>
        <w:t xml:space="preserve">should </w:t>
      </w:r>
      <w:r w:rsidRPr="00076A51">
        <w:rPr>
          <w:sz w:val="18"/>
          <w:szCs w:val="18"/>
          <w:lang w:val="en-GB"/>
        </w:rPr>
        <w:t>be possible for young adults under the age of 21 to be treated in a way comparable to juveniles and to be subject to the same interventions, when the judge is of the opinion that they are not as mature and responsible for their actions as full adults’ (emphasis added).</w:t>
      </w:r>
    </w:p>
  </w:footnote>
  <w:footnote w:id="5">
    <w:p w14:paraId="69601CE8" w14:textId="02EF1A3B" w:rsidR="0023206B" w:rsidRPr="00076A51" w:rsidRDefault="0023206B" w:rsidP="004C0928">
      <w:pPr>
        <w:pStyle w:val="FootnoteText"/>
        <w:jc w:val="both"/>
        <w:rPr>
          <w:sz w:val="18"/>
          <w:szCs w:val="18"/>
          <w:lang w:val="en-GB"/>
        </w:rPr>
      </w:pPr>
      <w:r w:rsidRPr="00076A51">
        <w:rPr>
          <w:rStyle w:val="FootnoteReference"/>
          <w:sz w:val="18"/>
          <w:szCs w:val="18"/>
          <w:lang w:val="en-GB"/>
        </w:rPr>
        <w:footnoteRef/>
      </w:r>
      <w:r w:rsidRPr="00076A51">
        <w:rPr>
          <w:sz w:val="18"/>
          <w:szCs w:val="18"/>
          <w:lang w:val="en-GB"/>
        </w:rPr>
        <w:t xml:space="preserve"> Compare again</w:t>
      </w:r>
      <w:r>
        <w:rPr>
          <w:sz w:val="18"/>
          <w:szCs w:val="18"/>
          <w:lang w:val="en-GB"/>
        </w:rPr>
        <w:t xml:space="preserve"> to Recommendation Rec(2003)20</w:t>
      </w:r>
      <w:r w:rsidRPr="00076A51">
        <w:rPr>
          <w:sz w:val="18"/>
          <w:szCs w:val="18"/>
          <w:lang w:val="en-GB"/>
        </w:rPr>
        <w:t>, in which the ‘maturity’ and ‘responsibility’ of the young adults are mentioned as factors to be taken into account by judges when deciding on the application of juvenile justice to young adults. In addition, the approach of Germany towards young adult offenders could provide inspiration in this respect. See for example F. Dünkel, ‘Juvenile Justice in Germany: Between Welfare and Justice’, especially p. 247-248, in J. Junger-Tas &amp; S.H. Decker (eds.), International Handbook of Juvenile Justice, Springer 2006.</w:t>
      </w:r>
    </w:p>
  </w:footnote>
  <w:footnote w:id="6">
    <w:p w14:paraId="2741E805" w14:textId="77777777" w:rsidR="0023206B" w:rsidRPr="00076A51" w:rsidRDefault="0023206B" w:rsidP="004C0928">
      <w:pPr>
        <w:pStyle w:val="FootnoteText"/>
        <w:jc w:val="both"/>
        <w:rPr>
          <w:sz w:val="18"/>
          <w:szCs w:val="18"/>
          <w:lang w:val="en-GB"/>
        </w:rPr>
      </w:pPr>
      <w:r w:rsidRPr="00076A51">
        <w:rPr>
          <w:rStyle w:val="FootnoteReference"/>
          <w:sz w:val="18"/>
          <w:szCs w:val="18"/>
          <w:lang w:val="en-GB"/>
        </w:rPr>
        <w:footnoteRef/>
      </w:r>
      <w:r w:rsidRPr="00076A51">
        <w:rPr>
          <w:sz w:val="18"/>
          <w:szCs w:val="18"/>
          <w:lang w:val="en-GB"/>
        </w:rPr>
        <w:t xml:space="preserve"> See an overview of international research in V. Schiraldi, B. Western &amp; K. Bradner, ‘Community-Based Responses to Justice-Involved Young Adults’, </w:t>
      </w:r>
      <w:r w:rsidRPr="00076A51">
        <w:rPr>
          <w:i/>
          <w:sz w:val="18"/>
          <w:szCs w:val="18"/>
          <w:lang w:val="en-GB"/>
        </w:rPr>
        <w:t>New Thinking in Community Corrections</w:t>
      </w:r>
      <w:r w:rsidRPr="00076A51">
        <w:rPr>
          <w:sz w:val="18"/>
          <w:szCs w:val="18"/>
          <w:lang w:val="en-GB"/>
        </w:rPr>
        <w:t xml:space="preserve"> 2015, no. 1.</w:t>
      </w:r>
    </w:p>
  </w:footnote>
  <w:footnote w:id="7">
    <w:p w14:paraId="5F570163" w14:textId="77777777" w:rsidR="0023206B" w:rsidRPr="00076A51" w:rsidRDefault="0023206B" w:rsidP="00076A51">
      <w:pPr>
        <w:pStyle w:val="FootnoteText"/>
        <w:jc w:val="both"/>
        <w:rPr>
          <w:sz w:val="18"/>
          <w:szCs w:val="18"/>
          <w:lang w:val="en-GB"/>
        </w:rPr>
      </w:pPr>
      <w:r w:rsidRPr="00076A51">
        <w:rPr>
          <w:rStyle w:val="FootnoteReference"/>
          <w:sz w:val="18"/>
          <w:szCs w:val="18"/>
          <w:lang w:val="en-GB"/>
        </w:rPr>
        <w:footnoteRef/>
      </w:r>
      <w:r w:rsidRPr="00076A51">
        <w:rPr>
          <w:sz w:val="18"/>
          <w:szCs w:val="18"/>
          <w:lang w:val="en-GB"/>
        </w:rPr>
        <w:t xml:space="preserve"> See Guidelines of the Committee of Ministers of the Council of Europe on Child-Friendly Justice 1, 13 (2010), available at: </w:t>
      </w:r>
      <w:hyperlink r:id="rId2" w:history="1">
        <w:r w:rsidRPr="00076A51">
          <w:rPr>
            <w:rStyle w:val="Hyperlink"/>
            <w:sz w:val="18"/>
            <w:szCs w:val="18"/>
            <w:lang w:val="en-GB"/>
          </w:rPr>
          <w:t>www.coe.int/childjustice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9D9"/>
    <w:multiLevelType w:val="hybridMultilevel"/>
    <w:tmpl w:val="5100E6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6C725DC"/>
    <w:multiLevelType w:val="hybridMultilevel"/>
    <w:tmpl w:val="2F1C8F32"/>
    <w:lvl w:ilvl="0" w:tplc="F6D275F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317493"/>
    <w:multiLevelType w:val="hybridMultilevel"/>
    <w:tmpl w:val="FBE07D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40"/>
    <w:rsid w:val="0002759D"/>
    <w:rsid w:val="0006728F"/>
    <w:rsid w:val="00076A51"/>
    <w:rsid w:val="00077E1A"/>
    <w:rsid w:val="000A2E42"/>
    <w:rsid w:val="000A6D9F"/>
    <w:rsid w:val="000A7A2F"/>
    <w:rsid w:val="000C7F07"/>
    <w:rsid w:val="000D7F9C"/>
    <w:rsid w:val="000E6688"/>
    <w:rsid w:val="00106006"/>
    <w:rsid w:val="00145D40"/>
    <w:rsid w:val="0014795A"/>
    <w:rsid w:val="00172A54"/>
    <w:rsid w:val="00174B64"/>
    <w:rsid w:val="0019606A"/>
    <w:rsid w:val="001A2052"/>
    <w:rsid w:val="002102F6"/>
    <w:rsid w:val="0023206B"/>
    <w:rsid w:val="00234037"/>
    <w:rsid w:val="00246021"/>
    <w:rsid w:val="00250364"/>
    <w:rsid w:val="00283991"/>
    <w:rsid w:val="00294054"/>
    <w:rsid w:val="002B1107"/>
    <w:rsid w:val="002C4A24"/>
    <w:rsid w:val="002D6322"/>
    <w:rsid w:val="003142D8"/>
    <w:rsid w:val="0039764C"/>
    <w:rsid w:val="003B656A"/>
    <w:rsid w:val="003D4166"/>
    <w:rsid w:val="003D5187"/>
    <w:rsid w:val="003F71EF"/>
    <w:rsid w:val="004162F4"/>
    <w:rsid w:val="00422340"/>
    <w:rsid w:val="00442C49"/>
    <w:rsid w:val="004470F4"/>
    <w:rsid w:val="004876DD"/>
    <w:rsid w:val="0049580D"/>
    <w:rsid w:val="004C0928"/>
    <w:rsid w:val="004F407A"/>
    <w:rsid w:val="004F5170"/>
    <w:rsid w:val="00504F17"/>
    <w:rsid w:val="00505653"/>
    <w:rsid w:val="00510DF6"/>
    <w:rsid w:val="00516C5E"/>
    <w:rsid w:val="00545E6C"/>
    <w:rsid w:val="00550540"/>
    <w:rsid w:val="00582A69"/>
    <w:rsid w:val="005903FD"/>
    <w:rsid w:val="005B0442"/>
    <w:rsid w:val="005D0024"/>
    <w:rsid w:val="00640EBF"/>
    <w:rsid w:val="00644250"/>
    <w:rsid w:val="00657CCE"/>
    <w:rsid w:val="006C357E"/>
    <w:rsid w:val="006D4471"/>
    <w:rsid w:val="006F0286"/>
    <w:rsid w:val="00701E2F"/>
    <w:rsid w:val="00703AE1"/>
    <w:rsid w:val="007535A7"/>
    <w:rsid w:val="00756BDD"/>
    <w:rsid w:val="00761500"/>
    <w:rsid w:val="00787227"/>
    <w:rsid w:val="007F489F"/>
    <w:rsid w:val="008018F1"/>
    <w:rsid w:val="00821412"/>
    <w:rsid w:val="00843D34"/>
    <w:rsid w:val="008650F6"/>
    <w:rsid w:val="00870855"/>
    <w:rsid w:val="008A0E9E"/>
    <w:rsid w:val="008A2BC8"/>
    <w:rsid w:val="008A6620"/>
    <w:rsid w:val="008B6D11"/>
    <w:rsid w:val="009064DA"/>
    <w:rsid w:val="0095698D"/>
    <w:rsid w:val="00961243"/>
    <w:rsid w:val="00963B80"/>
    <w:rsid w:val="009B6143"/>
    <w:rsid w:val="009B668A"/>
    <w:rsid w:val="00A11258"/>
    <w:rsid w:val="00A21A3D"/>
    <w:rsid w:val="00AA7430"/>
    <w:rsid w:val="00AB3DC2"/>
    <w:rsid w:val="00AD65E4"/>
    <w:rsid w:val="00B33FFF"/>
    <w:rsid w:val="00B903F9"/>
    <w:rsid w:val="00B929B9"/>
    <w:rsid w:val="00BB3EDE"/>
    <w:rsid w:val="00BE06B1"/>
    <w:rsid w:val="00C1633A"/>
    <w:rsid w:val="00C34D08"/>
    <w:rsid w:val="00C4164E"/>
    <w:rsid w:val="00C4656A"/>
    <w:rsid w:val="00C60C5B"/>
    <w:rsid w:val="00C90D3C"/>
    <w:rsid w:val="00CC3046"/>
    <w:rsid w:val="00CD3AEB"/>
    <w:rsid w:val="00D27E3C"/>
    <w:rsid w:val="00D37DD4"/>
    <w:rsid w:val="00D40560"/>
    <w:rsid w:val="00D839D6"/>
    <w:rsid w:val="00D90ED6"/>
    <w:rsid w:val="00DC15F2"/>
    <w:rsid w:val="00DE50A3"/>
    <w:rsid w:val="00E713CF"/>
    <w:rsid w:val="00F36EF0"/>
    <w:rsid w:val="00F53B1D"/>
    <w:rsid w:val="00F5647F"/>
    <w:rsid w:val="00FC2CC1"/>
    <w:rsid w:val="00FE30D2"/>
    <w:rsid w:val="00FF0D9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BBC38"/>
  <w15:docId w15:val="{53631811-246B-384B-B31A-4A2AD6CB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0540"/>
    <w:pPr>
      <w:spacing w:after="0" w:line="240" w:lineRule="auto"/>
    </w:pPr>
  </w:style>
  <w:style w:type="character" w:styleId="Hyperlink">
    <w:name w:val="Hyperlink"/>
    <w:basedOn w:val="DefaultParagraphFont"/>
    <w:uiPriority w:val="99"/>
    <w:unhideWhenUsed/>
    <w:rsid w:val="002D6322"/>
    <w:rPr>
      <w:color w:val="0563C1" w:themeColor="hyperlink"/>
      <w:u w:val="single"/>
    </w:rPr>
  </w:style>
  <w:style w:type="character" w:customStyle="1" w:styleId="Onopgelostemelding1">
    <w:name w:val="Onopgeloste melding1"/>
    <w:basedOn w:val="DefaultParagraphFont"/>
    <w:uiPriority w:val="99"/>
    <w:semiHidden/>
    <w:unhideWhenUsed/>
    <w:rsid w:val="002D6322"/>
    <w:rPr>
      <w:color w:val="605E5C"/>
      <w:shd w:val="clear" w:color="auto" w:fill="E1DFDD"/>
    </w:rPr>
  </w:style>
  <w:style w:type="paragraph" w:styleId="Footer">
    <w:name w:val="footer"/>
    <w:basedOn w:val="Normal"/>
    <w:link w:val="FooterChar"/>
    <w:uiPriority w:val="99"/>
    <w:unhideWhenUsed/>
    <w:rsid w:val="001960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606A"/>
  </w:style>
  <w:style w:type="character" w:styleId="PageNumber">
    <w:name w:val="page number"/>
    <w:basedOn w:val="DefaultParagraphFont"/>
    <w:uiPriority w:val="99"/>
    <w:semiHidden/>
    <w:unhideWhenUsed/>
    <w:rsid w:val="0019606A"/>
  </w:style>
  <w:style w:type="paragraph" w:styleId="FootnoteText">
    <w:name w:val="footnote text"/>
    <w:basedOn w:val="Normal"/>
    <w:link w:val="FootnoteTextChar"/>
    <w:uiPriority w:val="99"/>
    <w:semiHidden/>
    <w:unhideWhenUsed/>
    <w:rsid w:val="000A6D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D9F"/>
    <w:rPr>
      <w:sz w:val="20"/>
      <w:szCs w:val="20"/>
    </w:rPr>
  </w:style>
  <w:style w:type="character" w:styleId="FootnoteReference">
    <w:name w:val="footnote reference"/>
    <w:basedOn w:val="DefaultParagraphFont"/>
    <w:uiPriority w:val="99"/>
    <w:unhideWhenUsed/>
    <w:rsid w:val="000A6D9F"/>
    <w:rPr>
      <w:vertAlign w:val="superscript"/>
    </w:rPr>
  </w:style>
  <w:style w:type="paragraph" w:styleId="BalloonText">
    <w:name w:val="Balloon Text"/>
    <w:basedOn w:val="Normal"/>
    <w:link w:val="BalloonTextChar"/>
    <w:uiPriority w:val="99"/>
    <w:semiHidden/>
    <w:unhideWhenUsed/>
    <w:rsid w:val="00FF0D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0D9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83991"/>
    <w:rPr>
      <w:sz w:val="18"/>
      <w:szCs w:val="18"/>
    </w:rPr>
  </w:style>
  <w:style w:type="paragraph" w:styleId="CommentText">
    <w:name w:val="annotation text"/>
    <w:basedOn w:val="Normal"/>
    <w:link w:val="CommentTextChar"/>
    <w:uiPriority w:val="99"/>
    <w:semiHidden/>
    <w:unhideWhenUsed/>
    <w:rsid w:val="00283991"/>
    <w:pPr>
      <w:spacing w:line="240" w:lineRule="auto"/>
    </w:pPr>
    <w:rPr>
      <w:sz w:val="24"/>
      <w:szCs w:val="24"/>
    </w:rPr>
  </w:style>
  <w:style w:type="character" w:customStyle="1" w:styleId="CommentTextChar">
    <w:name w:val="Comment Text Char"/>
    <w:basedOn w:val="DefaultParagraphFont"/>
    <w:link w:val="CommentText"/>
    <w:uiPriority w:val="99"/>
    <w:semiHidden/>
    <w:rsid w:val="00283991"/>
    <w:rPr>
      <w:sz w:val="24"/>
      <w:szCs w:val="24"/>
    </w:rPr>
  </w:style>
  <w:style w:type="paragraph" w:styleId="CommentSubject">
    <w:name w:val="annotation subject"/>
    <w:basedOn w:val="CommentText"/>
    <w:next w:val="CommentText"/>
    <w:link w:val="CommentSubjectChar"/>
    <w:uiPriority w:val="99"/>
    <w:semiHidden/>
    <w:unhideWhenUsed/>
    <w:rsid w:val="00283991"/>
    <w:rPr>
      <w:b/>
      <w:bCs/>
      <w:sz w:val="20"/>
      <w:szCs w:val="20"/>
    </w:rPr>
  </w:style>
  <w:style w:type="character" w:customStyle="1" w:styleId="CommentSubjectChar">
    <w:name w:val="Comment Subject Char"/>
    <w:basedOn w:val="CommentTextChar"/>
    <w:link w:val="CommentSubject"/>
    <w:uiPriority w:val="99"/>
    <w:semiHidden/>
    <w:rsid w:val="002839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39045">
      <w:bodyDiv w:val="1"/>
      <w:marLeft w:val="0"/>
      <w:marRight w:val="0"/>
      <w:marTop w:val="0"/>
      <w:marBottom w:val="0"/>
      <w:divBdr>
        <w:top w:val="none" w:sz="0" w:space="0" w:color="auto"/>
        <w:left w:val="none" w:sz="0" w:space="0" w:color="auto"/>
        <w:bottom w:val="none" w:sz="0" w:space="0" w:color="auto"/>
        <w:right w:val="none" w:sz="0" w:space="0" w:color="auto"/>
      </w:divBdr>
    </w:div>
    <w:div w:id="423385465">
      <w:bodyDiv w:val="1"/>
      <w:marLeft w:val="0"/>
      <w:marRight w:val="0"/>
      <w:marTop w:val="0"/>
      <w:marBottom w:val="0"/>
      <w:divBdr>
        <w:top w:val="none" w:sz="0" w:space="0" w:color="auto"/>
        <w:left w:val="none" w:sz="0" w:space="0" w:color="auto"/>
        <w:bottom w:val="none" w:sz="0" w:space="0" w:color="auto"/>
        <w:right w:val="none" w:sz="0" w:space="0" w:color="auto"/>
      </w:divBdr>
    </w:div>
    <w:div w:id="530653076">
      <w:bodyDiv w:val="1"/>
      <w:marLeft w:val="0"/>
      <w:marRight w:val="0"/>
      <w:marTop w:val="0"/>
      <w:marBottom w:val="0"/>
      <w:divBdr>
        <w:top w:val="none" w:sz="0" w:space="0" w:color="auto"/>
        <w:left w:val="none" w:sz="0" w:space="0" w:color="auto"/>
        <w:bottom w:val="none" w:sz="0" w:space="0" w:color="auto"/>
        <w:right w:val="none" w:sz="0" w:space="0" w:color="auto"/>
      </w:divBdr>
    </w:div>
    <w:div w:id="780685001">
      <w:bodyDiv w:val="1"/>
      <w:marLeft w:val="0"/>
      <w:marRight w:val="0"/>
      <w:marTop w:val="0"/>
      <w:marBottom w:val="0"/>
      <w:divBdr>
        <w:top w:val="none" w:sz="0" w:space="0" w:color="auto"/>
        <w:left w:val="none" w:sz="0" w:space="0" w:color="auto"/>
        <w:bottom w:val="none" w:sz="0" w:space="0" w:color="auto"/>
        <w:right w:val="none" w:sz="0" w:space="0" w:color="auto"/>
      </w:divBdr>
    </w:div>
    <w:div w:id="969551953">
      <w:bodyDiv w:val="1"/>
      <w:marLeft w:val="0"/>
      <w:marRight w:val="0"/>
      <w:marTop w:val="0"/>
      <w:marBottom w:val="0"/>
      <w:divBdr>
        <w:top w:val="none" w:sz="0" w:space="0" w:color="auto"/>
        <w:left w:val="none" w:sz="0" w:space="0" w:color="auto"/>
        <w:bottom w:val="none" w:sz="0" w:space="0" w:color="auto"/>
        <w:right w:val="none" w:sz="0" w:space="0" w:color="auto"/>
      </w:divBdr>
    </w:div>
    <w:div w:id="1363703095">
      <w:bodyDiv w:val="1"/>
      <w:marLeft w:val="0"/>
      <w:marRight w:val="0"/>
      <w:marTop w:val="0"/>
      <w:marBottom w:val="0"/>
      <w:divBdr>
        <w:top w:val="none" w:sz="0" w:space="0" w:color="auto"/>
        <w:left w:val="none" w:sz="0" w:space="0" w:color="auto"/>
        <w:bottom w:val="none" w:sz="0" w:space="0" w:color="auto"/>
        <w:right w:val="none" w:sz="0" w:space="0" w:color="auto"/>
      </w:divBdr>
    </w:div>
    <w:div w:id="1816532865">
      <w:bodyDiv w:val="1"/>
      <w:marLeft w:val="0"/>
      <w:marRight w:val="0"/>
      <w:marTop w:val="0"/>
      <w:marBottom w:val="0"/>
      <w:divBdr>
        <w:top w:val="none" w:sz="0" w:space="0" w:color="auto"/>
        <w:left w:val="none" w:sz="0" w:space="0" w:color="auto"/>
        <w:bottom w:val="none" w:sz="0" w:space="0" w:color="auto"/>
        <w:right w:val="none" w:sz="0" w:space="0" w:color="auto"/>
      </w:divBdr>
    </w:div>
    <w:div w:id="184354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coe.int/childjustice" TargetMode="External"/><Relationship Id="rId1" Type="http://schemas.openxmlformats.org/officeDocument/2006/relationships/hyperlink" Target="mailto:t.liefaard@law.leidenuniv.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AB9694-EC4C-4A29-A0CB-BCD588BF598F}"/>
</file>

<file path=customXml/itemProps2.xml><?xml version="1.0" encoding="utf-8"?>
<ds:datastoreItem xmlns:ds="http://schemas.openxmlformats.org/officeDocument/2006/customXml" ds:itemID="{7C193E79-9A22-489B-85B4-7AF30571D3AA}"/>
</file>

<file path=customXml/itemProps3.xml><?xml version="1.0" encoding="utf-8"?>
<ds:datastoreItem xmlns:ds="http://schemas.openxmlformats.org/officeDocument/2006/customXml" ds:itemID="{C046009B-6977-4E3B-BB26-D8843767E20C}"/>
</file>

<file path=docProps/app.xml><?xml version="1.0" encoding="utf-8"?>
<Properties xmlns="http://schemas.openxmlformats.org/officeDocument/2006/extended-properties" xmlns:vt="http://schemas.openxmlformats.org/officeDocument/2006/docPropsVTypes">
  <Template>Normal.dotm</Template>
  <TotalTime>0</TotalTime>
  <Pages>5</Pages>
  <Words>2790</Words>
  <Characters>15908</Characters>
  <Application>Microsoft Office Word</Application>
  <DocSecurity>0</DocSecurity>
  <Lines>132</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Leiden</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Yannick</dc:creator>
  <cp:lastModifiedBy>BOIT James</cp:lastModifiedBy>
  <cp:revision>2</cp:revision>
  <dcterms:created xsi:type="dcterms:W3CDTF">2019-01-13T14:59:00Z</dcterms:created>
  <dcterms:modified xsi:type="dcterms:W3CDTF">2019-01-13T14:59:00Z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