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98" w:rsidRPr="00A60298" w:rsidRDefault="006C555E">
      <w:pPr>
        <w:rPr>
          <w:rFonts w:ascii="Times New Roman" w:hAnsi="Times New Roman" w:cs="Times New Roman"/>
          <w:b/>
          <w:sz w:val="24"/>
          <w:szCs w:val="26"/>
        </w:rPr>
      </w:pPr>
      <w:bookmarkStart w:id="0" w:name="_GoBack"/>
      <w:bookmarkEnd w:id="0"/>
      <w:r w:rsidRPr="00A60298">
        <w:rPr>
          <w:rFonts w:ascii="Times New Roman" w:hAnsi="Times New Roman" w:cs="Times New Roman"/>
          <w:b/>
          <w:sz w:val="24"/>
          <w:szCs w:val="26"/>
        </w:rPr>
        <w:t>Myanmar’s input on General Comment No 10 (2007)</w:t>
      </w:r>
    </w:p>
    <w:tbl>
      <w:tblPr>
        <w:tblStyle w:val="TableGrid"/>
        <w:tblW w:w="10458" w:type="dxa"/>
        <w:tblLook w:val="04A0" w:firstRow="1" w:lastRow="0" w:firstColumn="1" w:lastColumn="0" w:noHBand="0" w:noVBand="1"/>
      </w:tblPr>
      <w:tblGrid>
        <w:gridCol w:w="5058"/>
        <w:gridCol w:w="5400"/>
      </w:tblGrid>
      <w:tr w:rsidR="003B106C" w:rsidRPr="006C555E" w:rsidTr="00A60298">
        <w:tc>
          <w:tcPr>
            <w:tcW w:w="5058" w:type="dxa"/>
            <w:vAlign w:val="center"/>
          </w:tcPr>
          <w:p w:rsidR="003B106C" w:rsidRPr="00A60298" w:rsidRDefault="006C555E" w:rsidP="00682640">
            <w:pPr>
              <w:pStyle w:val="H23G"/>
              <w:spacing w:before="0" w:after="0" w:line="264" w:lineRule="auto"/>
              <w:ind w:right="-18"/>
              <w:jc w:val="center"/>
              <w:rPr>
                <w:bCs/>
                <w:sz w:val="24"/>
                <w:szCs w:val="26"/>
              </w:rPr>
            </w:pPr>
            <w:r w:rsidRPr="00A60298">
              <w:rPr>
                <w:bCs/>
                <w:sz w:val="24"/>
                <w:szCs w:val="26"/>
              </w:rPr>
              <w:t>Original text</w:t>
            </w:r>
          </w:p>
        </w:tc>
        <w:tc>
          <w:tcPr>
            <w:tcW w:w="5400" w:type="dxa"/>
            <w:vAlign w:val="center"/>
          </w:tcPr>
          <w:p w:rsidR="003B106C" w:rsidRPr="00A60298" w:rsidRDefault="006C555E" w:rsidP="00682640">
            <w:pPr>
              <w:spacing w:line="264" w:lineRule="auto"/>
              <w:jc w:val="center"/>
              <w:rPr>
                <w:rFonts w:ascii="Times New Roman" w:hAnsi="Times New Roman" w:cs="Times New Roman"/>
                <w:b/>
                <w:sz w:val="24"/>
                <w:szCs w:val="26"/>
              </w:rPr>
            </w:pPr>
            <w:r w:rsidRPr="00A60298">
              <w:rPr>
                <w:rFonts w:ascii="Times New Roman" w:hAnsi="Times New Roman" w:cs="Times New Roman"/>
                <w:b/>
                <w:sz w:val="24"/>
                <w:szCs w:val="26"/>
              </w:rPr>
              <w:t>Myanmar’s input</w:t>
            </w:r>
          </w:p>
        </w:tc>
      </w:tr>
      <w:tr w:rsidR="003B106C" w:rsidRPr="006C555E" w:rsidTr="00A60298">
        <w:trPr>
          <w:trHeight w:val="6749"/>
        </w:trPr>
        <w:tc>
          <w:tcPr>
            <w:tcW w:w="5058" w:type="dxa"/>
          </w:tcPr>
          <w:p w:rsidR="006C555E" w:rsidRPr="006C555E" w:rsidRDefault="006C555E" w:rsidP="00682640">
            <w:pPr>
              <w:pStyle w:val="H1G"/>
              <w:spacing w:before="0" w:after="120" w:line="264" w:lineRule="auto"/>
              <w:ind w:right="-18"/>
              <w:rPr>
                <w:szCs w:val="26"/>
              </w:rPr>
            </w:pPr>
            <w:r w:rsidRPr="006C555E">
              <w:rPr>
                <w:szCs w:val="26"/>
              </w:rPr>
              <w:t>C.</w:t>
            </w:r>
            <w:r w:rsidRPr="006C555E">
              <w:rPr>
                <w:szCs w:val="26"/>
              </w:rPr>
              <w:tab/>
              <w:t>Age and children in conflict with the law</w:t>
            </w:r>
          </w:p>
          <w:p w:rsidR="003B106C" w:rsidRPr="006C555E" w:rsidRDefault="006C555E" w:rsidP="00682640">
            <w:pPr>
              <w:spacing w:after="120" w:line="264" w:lineRule="auto"/>
              <w:ind w:right="-18"/>
              <w:rPr>
                <w:rFonts w:ascii="Times New Roman" w:hAnsi="Times New Roman" w:cs="Times New Roman"/>
                <w:sz w:val="24"/>
                <w:szCs w:val="26"/>
              </w:rPr>
            </w:pPr>
            <w:r w:rsidRPr="006C555E">
              <w:rPr>
                <w:rFonts w:ascii="Times New Roman" w:hAnsi="Times New Roman" w:cs="Times New Roman"/>
                <w:sz w:val="24"/>
                <w:szCs w:val="26"/>
              </w:rPr>
              <w:t>The minimum age of criminal responsibility</w:t>
            </w:r>
          </w:p>
          <w:p w:rsidR="006C555E" w:rsidRPr="00A60298" w:rsidRDefault="006C555E" w:rsidP="00682640">
            <w:pPr>
              <w:pStyle w:val="SingleTxtG"/>
              <w:spacing w:line="264" w:lineRule="auto"/>
              <w:ind w:left="0" w:right="-18"/>
              <w:rPr>
                <w:sz w:val="24"/>
                <w:szCs w:val="26"/>
                <w:lang w:val="en-US"/>
              </w:rPr>
            </w:pPr>
            <w:r w:rsidRPr="006C555E">
              <w:rPr>
                <w:sz w:val="24"/>
                <w:szCs w:val="26"/>
                <w:lang w:val="en-US"/>
              </w:rPr>
              <w:t xml:space="preserve">33. International standards recommend that the minimum age of criminal responsibility shall not be fixed at too low an age level, bearing in mind the facts of emotional, mental and intellectual maturity. In line with this rule, the Committee recommended States parties not to set a minimum age at too low a level and to increase the existing low minimum age to an internationally acceptable level. In the original general comment No. 10 (2007), the Committee had considered 12 years as the absolute minimum age. However, the Committee finds that this age indication is still low. States parties are encouraged to increase their minimum age to at least 14 years of age. At the same time, the Committee commends States parties that have a higher minimum age, for instance 15 or 16 years of age. The Committee recommends that State parties should under no circumstances reduce the minimum age of criminal responsibility, if its current penal law sets the minimum age of criminal responsibility at an age higher than 14 years. </w:t>
            </w:r>
          </w:p>
        </w:tc>
        <w:tc>
          <w:tcPr>
            <w:tcW w:w="5400" w:type="dxa"/>
          </w:tcPr>
          <w:p w:rsidR="006C555E" w:rsidRPr="006C555E" w:rsidRDefault="006C555E" w:rsidP="00682640">
            <w:pPr>
              <w:pStyle w:val="H1G"/>
              <w:spacing w:before="0" w:after="120" w:line="264" w:lineRule="auto"/>
              <w:ind w:right="-18"/>
              <w:rPr>
                <w:szCs w:val="26"/>
              </w:rPr>
            </w:pPr>
            <w:r w:rsidRPr="006C555E">
              <w:rPr>
                <w:szCs w:val="26"/>
              </w:rPr>
              <w:t>C.</w:t>
            </w:r>
            <w:r w:rsidRPr="006C555E">
              <w:rPr>
                <w:szCs w:val="26"/>
              </w:rPr>
              <w:tab/>
              <w:t>Age and children in conflict with the law</w:t>
            </w:r>
          </w:p>
          <w:p w:rsidR="006C555E" w:rsidRPr="006C555E" w:rsidRDefault="006C555E" w:rsidP="00682640">
            <w:pPr>
              <w:spacing w:after="120" w:line="264" w:lineRule="auto"/>
              <w:ind w:right="-18"/>
              <w:rPr>
                <w:rFonts w:ascii="Times New Roman" w:hAnsi="Times New Roman" w:cs="Times New Roman"/>
                <w:sz w:val="24"/>
                <w:szCs w:val="26"/>
              </w:rPr>
            </w:pPr>
            <w:r w:rsidRPr="006C555E">
              <w:rPr>
                <w:rFonts w:ascii="Times New Roman" w:hAnsi="Times New Roman" w:cs="Times New Roman"/>
                <w:sz w:val="24"/>
                <w:szCs w:val="26"/>
              </w:rPr>
              <w:t>The minimum age of criminal responsibility</w:t>
            </w:r>
          </w:p>
          <w:p w:rsidR="003B106C" w:rsidRPr="007151AE" w:rsidRDefault="006C555E" w:rsidP="00682640">
            <w:pPr>
              <w:pStyle w:val="SingleTxtG"/>
              <w:spacing w:line="264" w:lineRule="auto"/>
              <w:ind w:left="0" w:right="-18"/>
              <w:rPr>
                <w:color w:val="FF0000"/>
                <w:sz w:val="24"/>
                <w:szCs w:val="26"/>
                <w:u w:val="single"/>
              </w:rPr>
            </w:pPr>
            <w:r w:rsidRPr="006C555E">
              <w:rPr>
                <w:sz w:val="24"/>
                <w:szCs w:val="26"/>
                <w:lang w:val="en-US"/>
              </w:rPr>
              <w:t xml:space="preserve">33. International standards recommend that the minimum age of criminal responsibility shall not be fixed at too low an age level, bearing in mind the facts of emotional, mental and intellectual maturity. In line with this rule, the Committee recommended States parties not to set a minimum age at too low a level and to increase the existing low minimum age to an internationally acceptable level. In the original general comment No. 10 (2007), the Committee had considered 12 years as the absolute minimum age. However, the Committee finds that this age indication is still low. States parties are encouraged to increase their minimum age to at least 14 years of age. At the same time, the Committee commends States parties that have a higher minimum age, for instance 15 or 16 years of age. The Committee recommends that State parties should under no circumstances reduce the minimum age of criminal responsibility, if its current penal law sets the minimum age of criminal responsibility </w:t>
            </w:r>
            <w:r>
              <w:rPr>
                <w:sz w:val="24"/>
                <w:szCs w:val="26"/>
                <w:lang w:val="en-US"/>
              </w:rPr>
              <w:t xml:space="preserve">at an age higher than 14 years. </w:t>
            </w:r>
            <w:r w:rsidRPr="006C555E">
              <w:rPr>
                <w:color w:val="FF0000"/>
                <w:sz w:val="24"/>
                <w:szCs w:val="26"/>
                <w:u w:val="single"/>
              </w:rPr>
              <w:t>The minimum age of criminal responsibility</w:t>
            </w:r>
            <w:r w:rsidR="007151AE">
              <w:rPr>
                <w:color w:val="FF0000"/>
                <w:sz w:val="24"/>
                <w:szCs w:val="26"/>
                <w:u w:val="single"/>
              </w:rPr>
              <w:t xml:space="preserve"> shall be determined in accordance with the existing laws of the State parties.</w:t>
            </w:r>
          </w:p>
        </w:tc>
      </w:tr>
      <w:tr w:rsidR="003B106C" w:rsidRPr="006C555E" w:rsidTr="00A60298">
        <w:tc>
          <w:tcPr>
            <w:tcW w:w="5058" w:type="dxa"/>
          </w:tcPr>
          <w:p w:rsidR="006C555E" w:rsidRPr="006C555E" w:rsidRDefault="006C555E" w:rsidP="00682640">
            <w:pPr>
              <w:pStyle w:val="H23G"/>
              <w:tabs>
                <w:tab w:val="clear" w:pos="851"/>
              </w:tabs>
              <w:spacing w:before="0" w:line="264" w:lineRule="auto"/>
              <w:ind w:left="0" w:right="0" w:firstLine="0"/>
              <w:rPr>
                <w:sz w:val="24"/>
                <w:szCs w:val="26"/>
              </w:rPr>
            </w:pPr>
            <w:r w:rsidRPr="006C555E">
              <w:rPr>
                <w:sz w:val="24"/>
                <w:szCs w:val="26"/>
              </w:rPr>
              <w:t xml:space="preserve">Birth certificates and age </w:t>
            </w:r>
            <w:r>
              <w:rPr>
                <w:sz w:val="24"/>
                <w:szCs w:val="26"/>
              </w:rPr>
              <w:t xml:space="preserve"> </w:t>
            </w:r>
            <w:r w:rsidRPr="006C555E">
              <w:rPr>
                <w:sz w:val="24"/>
                <w:szCs w:val="26"/>
              </w:rPr>
              <w:t>determination</w:t>
            </w:r>
          </w:p>
          <w:p w:rsidR="003B106C" w:rsidRPr="00A60298" w:rsidRDefault="006C555E" w:rsidP="00682640">
            <w:pPr>
              <w:pStyle w:val="SingleTxtG"/>
              <w:spacing w:line="264" w:lineRule="auto"/>
              <w:ind w:left="0" w:right="-18"/>
              <w:rPr>
                <w:sz w:val="24"/>
                <w:szCs w:val="26"/>
                <w:lang w:val="en-US"/>
              </w:rPr>
            </w:pPr>
            <w:r w:rsidRPr="006C555E">
              <w:rPr>
                <w:sz w:val="24"/>
                <w:szCs w:val="26"/>
                <w:lang w:val="en-US"/>
              </w:rPr>
              <w:t xml:space="preserve">44. A child who does not have a birth certificate must be provided with one promptly and free of charge, whenever it is required to prove age. If there is no proof of age by birth certificate, the authority, with the assistance of social workers, if available, should accept all documentation such as notification of birth, extracts from birth registries, baptismal or equivalent documents, or school reports. Documents that are available should be considered genuine unless there is proof to the contrary. Authorities should allow for interviews with parents or testimony by parents regarding age, or for permitting questionnaires to be filed by teachers or religious or community leaders who know the age of the child. </w:t>
            </w:r>
          </w:p>
        </w:tc>
        <w:tc>
          <w:tcPr>
            <w:tcW w:w="5400" w:type="dxa"/>
          </w:tcPr>
          <w:p w:rsidR="00A60298" w:rsidRPr="006C555E" w:rsidRDefault="00A60298" w:rsidP="00682640">
            <w:pPr>
              <w:pStyle w:val="H23G"/>
              <w:tabs>
                <w:tab w:val="clear" w:pos="851"/>
              </w:tabs>
              <w:spacing w:before="0" w:line="264" w:lineRule="auto"/>
              <w:ind w:left="0" w:right="0" w:firstLine="0"/>
              <w:rPr>
                <w:sz w:val="24"/>
                <w:szCs w:val="26"/>
              </w:rPr>
            </w:pPr>
            <w:r w:rsidRPr="006C555E">
              <w:rPr>
                <w:sz w:val="24"/>
                <w:szCs w:val="26"/>
              </w:rPr>
              <w:t xml:space="preserve">Birth certificates and age </w:t>
            </w:r>
            <w:r>
              <w:rPr>
                <w:sz w:val="24"/>
                <w:szCs w:val="26"/>
              </w:rPr>
              <w:t xml:space="preserve"> </w:t>
            </w:r>
            <w:r w:rsidRPr="006C555E">
              <w:rPr>
                <w:sz w:val="24"/>
                <w:szCs w:val="26"/>
              </w:rPr>
              <w:t>determination</w:t>
            </w:r>
          </w:p>
          <w:p w:rsidR="003B106C" w:rsidRPr="00A60298" w:rsidRDefault="006C555E" w:rsidP="00682640">
            <w:pPr>
              <w:pStyle w:val="SingleTxtG"/>
              <w:spacing w:line="264" w:lineRule="auto"/>
              <w:ind w:left="0" w:right="-18"/>
              <w:rPr>
                <w:sz w:val="24"/>
                <w:szCs w:val="26"/>
                <w:lang w:val="en-US"/>
              </w:rPr>
            </w:pPr>
            <w:r w:rsidRPr="006C555E">
              <w:rPr>
                <w:sz w:val="24"/>
                <w:szCs w:val="26"/>
                <w:lang w:val="en-US"/>
              </w:rPr>
              <w:t>44. A child who does not have a birth certificate must be provided with one promptly and free of charge, whenever it is required to prove age. If there is no proof of age by birth certificate, the authority, with the assistance of social workers, if available, should accept all documentation such as notification of birth, extracts from birth registries, baptismal or equivalent documents, or school reports</w:t>
            </w:r>
            <w:r w:rsidRPr="006C555E">
              <w:rPr>
                <w:color w:val="FF0000"/>
                <w:sz w:val="24"/>
                <w:szCs w:val="26"/>
                <w:u w:val="single"/>
                <w:lang w:val="en-US"/>
              </w:rPr>
              <w:t>, or civil surgeon’s opinion or medical report</w:t>
            </w:r>
            <w:r w:rsidR="00682640">
              <w:rPr>
                <w:color w:val="FF0000"/>
                <w:sz w:val="24"/>
                <w:szCs w:val="26"/>
                <w:u w:val="single"/>
                <w:lang w:val="en-US"/>
              </w:rPr>
              <w:t>s</w:t>
            </w:r>
            <w:r w:rsidRPr="006C555E">
              <w:rPr>
                <w:sz w:val="24"/>
                <w:szCs w:val="26"/>
                <w:lang w:val="en-US"/>
              </w:rPr>
              <w:t xml:space="preserve">. Documents that are available should be considered genuine unless there is proof to the contrary. Authorities should allow for interviews with parents or testimony by parents regarding age, or for permitting questionnaires to be filed by teachers or religious or community leaders who know the age of the child. </w:t>
            </w:r>
          </w:p>
        </w:tc>
      </w:tr>
    </w:tbl>
    <w:p w:rsidR="003B106C" w:rsidRPr="006C555E" w:rsidRDefault="003B106C" w:rsidP="00A60298">
      <w:pPr>
        <w:spacing w:after="120" w:line="288" w:lineRule="auto"/>
        <w:rPr>
          <w:rFonts w:ascii="Times New Roman" w:hAnsi="Times New Roman" w:cs="Times New Roman"/>
          <w:sz w:val="24"/>
          <w:szCs w:val="26"/>
        </w:rPr>
      </w:pPr>
    </w:p>
    <w:sectPr w:rsidR="003B106C" w:rsidRPr="006C555E" w:rsidSect="006C555E">
      <w:pgSz w:w="11909" w:h="16834" w:code="9"/>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14A"/>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A980153"/>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75952F00"/>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6C"/>
    <w:rsid w:val="00237440"/>
    <w:rsid w:val="002B2864"/>
    <w:rsid w:val="003847E2"/>
    <w:rsid w:val="003B106C"/>
    <w:rsid w:val="00682640"/>
    <w:rsid w:val="006C555E"/>
    <w:rsid w:val="007151AE"/>
    <w:rsid w:val="00774A5D"/>
    <w:rsid w:val="00A60298"/>
    <w:rsid w:val="00DC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740AF-BB50-43A7-96B5-D9FD0959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3B106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table" w:styleId="TableGrid">
    <w:name w:val="Table Grid"/>
    <w:basedOn w:val="TableNormal"/>
    <w:uiPriority w:val="59"/>
    <w:rsid w:val="003B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Normal"/>
    <w:next w:val="Normal"/>
    <w:qFormat/>
    <w:rsid w:val="006C555E"/>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qFormat/>
    <w:rsid w:val="006C555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81B1F-1A02-4D2D-A61D-57DFDE0B52A6}"/>
</file>

<file path=customXml/itemProps2.xml><?xml version="1.0" encoding="utf-8"?>
<ds:datastoreItem xmlns:ds="http://schemas.openxmlformats.org/officeDocument/2006/customXml" ds:itemID="{F0AD57B8-3263-4268-819A-32329634E2E2}"/>
</file>

<file path=customXml/itemProps3.xml><?xml version="1.0" encoding="utf-8"?>
<ds:datastoreItem xmlns:ds="http://schemas.openxmlformats.org/officeDocument/2006/customXml" ds:itemID="{513551DD-84C7-4E97-AF5B-476F5C50998A}"/>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myanmar</dc:creator>
  <cp:lastModifiedBy>BOIT James</cp:lastModifiedBy>
  <cp:revision>2</cp:revision>
  <cp:lastPrinted>2019-01-11T16:37:00Z</cp:lastPrinted>
  <dcterms:created xsi:type="dcterms:W3CDTF">2019-01-13T15:45:00Z</dcterms:created>
  <dcterms:modified xsi:type="dcterms:W3CDTF">2019-01-13T15:45:00Z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