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40954" w14:textId="64752C9D" w:rsidR="00D278BB" w:rsidRDefault="00D278BB" w:rsidP="00F372AA">
      <w:pPr>
        <w:jc w:val="center"/>
        <w:rPr>
          <w:rFonts w:ascii="Verdana" w:hAnsi="Verdana"/>
          <w:b/>
          <w:sz w:val="18"/>
          <w:szCs w:val="18"/>
          <w:u w:val="single"/>
        </w:rPr>
      </w:pPr>
      <w:bookmarkStart w:id="0" w:name="_GoBack"/>
      <w:bookmarkEnd w:id="0"/>
      <w:r>
        <w:rPr>
          <w:rFonts w:ascii="Arial" w:hAnsi="Arial"/>
          <w:b/>
          <w:noProof/>
          <w:lang w:val="en-GB" w:eastAsia="en-GB"/>
        </w:rPr>
        <w:drawing>
          <wp:inline distT="0" distB="0" distL="0" distR="0" wp14:anchorId="7E3D62CA" wp14:editId="1403E4D5">
            <wp:extent cx="469265" cy="15792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265" cy="1579245"/>
                    </a:xfrm>
                    <a:prstGeom prst="rect">
                      <a:avLst/>
                    </a:prstGeom>
                    <a:noFill/>
                  </pic:spPr>
                </pic:pic>
              </a:graphicData>
            </a:graphic>
          </wp:inline>
        </w:drawing>
      </w:r>
    </w:p>
    <w:p w14:paraId="7EE382F3" w14:textId="46EC94C4" w:rsidR="00080ADA" w:rsidRPr="00D278BB" w:rsidRDefault="00EE3149" w:rsidP="00F372AA">
      <w:pPr>
        <w:jc w:val="center"/>
        <w:rPr>
          <w:rFonts w:ascii="Verdana" w:hAnsi="Verdana"/>
          <w:b/>
          <w:sz w:val="18"/>
          <w:szCs w:val="18"/>
        </w:rPr>
      </w:pPr>
      <w:r w:rsidRPr="00D278BB">
        <w:rPr>
          <w:rFonts w:ascii="Verdana" w:hAnsi="Verdana"/>
          <w:b/>
          <w:sz w:val="18"/>
          <w:szCs w:val="18"/>
        </w:rPr>
        <w:t xml:space="preserve">Comments of the </w:t>
      </w:r>
      <w:r w:rsidR="00D278BB" w:rsidRPr="00D278BB">
        <w:rPr>
          <w:rFonts w:ascii="Verdana" w:hAnsi="Verdana"/>
          <w:b/>
          <w:sz w:val="18"/>
          <w:szCs w:val="18"/>
        </w:rPr>
        <w:t xml:space="preserve">Government of the </w:t>
      </w:r>
      <w:r w:rsidRPr="00D278BB">
        <w:rPr>
          <w:rFonts w:ascii="Verdana" w:hAnsi="Verdana"/>
          <w:b/>
          <w:sz w:val="18"/>
          <w:szCs w:val="18"/>
        </w:rPr>
        <w:t>Netherlands to the Draft General Comment No. 24, replacing General Comment  No. 10, on Children’s rights in juvenile justice</w:t>
      </w:r>
    </w:p>
    <w:p w14:paraId="7923A800" w14:textId="746E862F" w:rsidR="00D278BB" w:rsidRDefault="00D278BB">
      <w:pPr>
        <w:spacing w:after="200" w:line="276" w:lineRule="auto"/>
        <w:rPr>
          <w:rFonts w:ascii="Verdana" w:hAnsi="Verdana"/>
          <w:b/>
          <w:sz w:val="18"/>
          <w:szCs w:val="18"/>
          <w:u w:val="single"/>
        </w:rPr>
      </w:pPr>
      <w:r>
        <w:rPr>
          <w:rFonts w:ascii="Verdana" w:hAnsi="Verdana"/>
          <w:b/>
          <w:sz w:val="18"/>
          <w:szCs w:val="18"/>
          <w:u w:val="single"/>
        </w:rPr>
        <w:br w:type="page"/>
      </w:r>
    </w:p>
    <w:p w14:paraId="67F0EE6D" w14:textId="41CFD9DD" w:rsidR="00EE3149" w:rsidRPr="00F01821" w:rsidRDefault="00EE3149" w:rsidP="00F372AA">
      <w:pPr>
        <w:jc w:val="both"/>
        <w:rPr>
          <w:rFonts w:ascii="Verdana" w:hAnsi="Verdana"/>
          <w:sz w:val="18"/>
          <w:szCs w:val="18"/>
        </w:rPr>
      </w:pPr>
      <w:r>
        <w:rPr>
          <w:rFonts w:ascii="Verdana" w:hAnsi="Verdana"/>
          <w:sz w:val="18"/>
          <w:szCs w:val="18"/>
        </w:rPr>
        <w:lastRenderedPageBreak/>
        <w:t xml:space="preserve">1. </w:t>
      </w:r>
      <w:r w:rsidRPr="00F01821">
        <w:rPr>
          <w:rFonts w:ascii="Verdana" w:hAnsi="Verdana"/>
          <w:sz w:val="18"/>
          <w:szCs w:val="18"/>
        </w:rPr>
        <w:t>The Government of the Netherlands welcomes the initiative by the Committee</w:t>
      </w:r>
      <w:r>
        <w:rPr>
          <w:rFonts w:ascii="Verdana" w:hAnsi="Verdana"/>
          <w:sz w:val="18"/>
          <w:szCs w:val="18"/>
        </w:rPr>
        <w:t xml:space="preserve"> on the Rights of the Child</w:t>
      </w:r>
      <w:r w:rsidRPr="00F01821">
        <w:rPr>
          <w:rFonts w:ascii="Verdana" w:hAnsi="Verdana"/>
          <w:sz w:val="18"/>
          <w:szCs w:val="18"/>
        </w:rPr>
        <w:t xml:space="preserve"> to prepare a revised General Comment</w:t>
      </w:r>
      <w:r>
        <w:rPr>
          <w:rFonts w:ascii="Verdana" w:hAnsi="Verdana"/>
          <w:sz w:val="18"/>
          <w:szCs w:val="18"/>
        </w:rPr>
        <w:t xml:space="preserve"> on Children’s rights in juvenile justice. In response to the Committee’s call for comments </w:t>
      </w:r>
      <w:r w:rsidRPr="00F01821">
        <w:rPr>
          <w:rFonts w:ascii="Verdana" w:hAnsi="Verdana"/>
          <w:sz w:val="18"/>
          <w:szCs w:val="18"/>
        </w:rPr>
        <w:t xml:space="preserve">the Government of the Netherlands would submit the following comments </w:t>
      </w:r>
      <w:r>
        <w:rPr>
          <w:rFonts w:ascii="Verdana" w:hAnsi="Verdana"/>
          <w:sz w:val="18"/>
          <w:szCs w:val="18"/>
        </w:rPr>
        <w:t>on the draft text.</w:t>
      </w:r>
    </w:p>
    <w:p w14:paraId="20F7B121" w14:textId="77777777" w:rsidR="00EE3149" w:rsidRDefault="00EE3149" w:rsidP="00F372AA">
      <w:pPr>
        <w:jc w:val="both"/>
        <w:rPr>
          <w:rFonts w:ascii="Verdana" w:hAnsi="Verdana"/>
          <w:sz w:val="18"/>
          <w:szCs w:val="18"/>
          <w:u w:val="single"/>
        </w:rPr>
      </w:pPr>
      <w:r>
        <w:rPr>
          <w:rFonts w:ascii="Verdana" w:hAnsi="Verdana"/>
          <w:sz w:val="18"/>
          <w:szCs w:val="18"/>
          <w:u w:val="single"/>
        </w:rPr>
        <w:t>General</w:t>
      </w:r>
    </w:p>
    <w:p w14:paraId="5952F72F" w14:textId="5DE5CEC5" w:rsidR="00875DB0" w:rsidRDefault="00EE3149" w:rsidP="00AD2D87">
      <w:pPr>
        <w:jc w:val="both"/>
        <w:rPr>
          <w:rFonts w:ascii="Verdana" w:hAnsi="Verdana"/>
          <w:sz w:val="18"/>
          <w:szCs w:val="18"/>
        </w:rPr>
      </w:pPr>
      <w:r>
        <w:rPr>
          <w:rFonts w:ascii="Verdana" w:hAnsi="Verdana"/>
          <w:sz w:val="18"/>
          <w:szCs w:val="18"/>
        </w:rPr>
        <w:t xml:space="preserve">2. </w:t>
      </w:r>
      <w:r w:rsidR="00875DB0">
        <w:rPr>
          <w:rFonts w:ascii="Verdana" w:hAnsi="Verdana"/>
          <w:sz w:val="18"/>
          <w:szCs w:val="18"/>
        </w:rPr>
        <w:t xml:space="preserve">The Government of the Netherlands endorses </w:t>
      </w:r>
      <w:r w:rsidR="001455A0">
        <w:rPr>
          <w:rFonts w:ascii="Verdana" w:hAnsi="Verdana"/>
          <w:sz w:val="18"/>
          <w:szCs w:val="18"/>
        </w:rPr>
        <w:t>many of the Committee’s recommendations in the draft text of the revised General Comment.</w:t>
      </w:r>
      <w:r w:rsidR="003A0A45">
        <w:rPr>
          <w:rFonts w:ascii="Verdana" w:hAnsi="Verdana"/>
          <w:sz w:val="18"/>
          <w:szCs w:val="18"/>
        </w:rPr>
        <w:t xml:space="preserve"> </w:t>
      </w:r>
      <w:r w:rsidR="00AD2D87">
        <w:rPr>
          <w:rFonts w:ascii="Verdana" w:hAnsi="Verdana"/>
          <w:sz w:val="18"/>
          <w:szCs w:val="18"/>
        </w:rPr>
        <w:t xml:space="preserve">The Government agrees </w:t>
      </w:r>
      <w:r w:rsidR="00D278BB">
        <w:rPr>
          <w:rFonts w:ascii="Verdana" w:hAnsi="Verdana"/>
          <w:sz w:val="18"/>
          <w:szCs w:val="18"/>
        </w:rPr>
        <w:t xml:space="preserve">for instance </w:t>
      </w:r>
      <w:r w:rsidR="00AD2D87">
        <w:rPr>
          <w:rFonts w:ascii="Verdana" w:hAnsi="Verdana"/>
          <w:sz w:val="18"/>
          <w:szCs w:val="18"/>
        </w:rPr>
        <w:t>with the Committee that the guarantees for a fair trial are of great importance for minors and that regard should at all times be had for both the specific requirements and the general principles enshrined in various articles of the Convention.</w:t>
      </w:r>
    </w:p>
    <w:p w14:paraId="5EE1A8C1" w14:textId="79B5F3CE" w:rsidR="00EE3149" w:rsidRPr="000E2DD3" w:rsidRDefault="00875DB0" w:rsidP="00F372AA">
      <w:pPr>
        <w:jc w:val="both"/>
        <w:rPr>
          <w:rFonts w:ascii="Verdana" w:hAnsi="Verdana"/>
          <w:b/>
          <w:sz w:val="18"/>
          <w:szCs w:val="18"/>
        </w:rPr>
      </w:pPr>
      <w:r>
        <w:rPr>
          <w:rFonts w:ascii="Verdana" w:hAnsi="Verdana"/>
          <w:sz w:val="18"/>
          <w:szCs w:val="18"/>
        </w:rPr>
        <w:t xml:space="preserve">3. </w:t>
      </w:r>
      <w:r w:rsidR="00D278BB">
        <w:rPr>
          <w:rFonts w:ascii="Verdana" w:hAnsi="Verdana"/>
          <w:sz w:val="18"/>
          <w:szCs w:val="18"/>
        </w:rPr>
        <w:t>The Government would point out, however, that t</w:t>
      </w:r>
      <w:r w:rsidR="00EE3149" w:rsidRPr="007238F4">
        <w:rPr>
          <w:rFonts w:ascii="Verdana" w:hAnsi="Verdana"/>
          <w:sz w:val="18"/>
          <w:szCs w:val="18"/>
        </w:rPr>
        <w:t xml:space="preserve">he </w:t>
      </w:r>
      <w:r w:rsidR="00EE3149">
        <w:rPr>
          <w:rFonts w:ascii="Verdana" w:hAnsi="Verdana"/>
          <w:sz w:val="18"/>
          <w:szCs w:val="18"/>
        </w:rPr>
        <w:t xml:space="preserve">Draft </w:t>
      </w:r>
      <w:r w:rsidR="00EE3149" w:rsidRPr="007238F4">
        <w:rPr>
          <w:rFonts w:ascii="Verdana" w:hAnsi="Verdana"/>
          <w:sz w:val="18"/>
          <w:szCs w:val="18"/>
        </w:rPr>
        <w:t>G</w:t>
      </w:r>
      <w:r w:rsidR="00EE3149">
        <w:rPr>
          <w:rFonts w:ascii="Verdana" w:hAnsi="Verdana"/>
          <w:sz w:val="18"/>
          <w:szCs w:val="18"/>
        </w:rPr>
        <w:t xml:space="preserve">eneral </w:t>
      </w:r>
      <w:r w:rsidR="00EE3149" w:rsidRPr="007238F4">
        <w:rPr>
          <w:rFonts w:ascii="Verdana" w:hAnsi="Verdana"/>
          <w:sz w:val="18"/>
          <w:szCs w:val="18"/>
        </w:rPr>
        <w:t>C</w:t>
      </w:r>
      <w:r w:rsidR="00EE3149">
        <w:rPr>
          <w:rFonts w:ascii="Verdana" w:hAnsi="Verdana"/>
          <w:sz w:val="18"/>
          <w:szCs w:val="18"/>
        </w:rPr>
        <w:t>omment</w:t>
      </w:r>
      <w:r w:rsidR="00EE3149" w:rsidRPr="007238F4">
        <w:rPr>
          <w:rFonts w:ascii="Verdana" w:hAnsi="Verdana"/>
          <w:sz w:val="18"/>
          <w:szCs w:val="18"/>
        </w:rPr>
        <w:t xml:space="preserve"> </w:t>
      </w:r>
      <w:r w:rsidR="00EE3149">
        <w:rPr>
          <w:rFonts w:ascii="Verdana" w:hAnsi="Verdana"/>
          <w:sz w:val="18"/>
          <w:szCs w:val="18"/>
        </w:rPr>
        <w:t xml:space="preserve">on Children’s rights in juvenile justice </w:t>
      </w:r>
      <w:r w:rsidR="00AB4DAA">
        <w:rPr>
          <w:rFonts w:ascii="Verdana" w:hAnsi="Verdana"/>
          <w:sz w:val="18"/>
          <w:szCs w:val="18"/>
        </w:rPr>
        <w:t>addresses</w:t>
      </w:r>
      <w:r w:rsidR="006843CE">
        <w:rPr>
          <w:rFonts w:ascii="Verdana" w:hAnsi="Verdana"/>
          <w:sz w:val="18"/>
          <w:szCs w:val="18"/>
        </w:rPr>
        <w:t xml:space="preserve"> a wide range of issues that are relevant for </w:t>
      </w:r>
      <w:r w:rsidR="003C4591">
        <w:rPr>
          <w:rFonts w:ascii="Verdana" w:hAnsi="Verdana"/>
          <w:sz w:val="18"/>
          <w:szCs w:val="18"/>
        </w:rPr>
        <w:t>quite a few articles of the Convention of the Rights of the Child</w:t>
      </w:r>
      <w:r w:rsidR="00D278BB">
        <w:rPr>
          <w:rFonts w:ascii="Verdana" w:hAnsi="Verdana"/>
          <w:sz w:val="18"/>
          <w:szCs w:val="18"/>
        </w:rPr>
        <w:t xml:space="preserve"> (CRC).</w:t>
      </w:r>
      <w:r w:rsidR="00EE3149" w:rsidRPr="007238F4">
        <w:rPr>
          <w:rFonts w:ascii="Verdana" w:hAnsi="Verdana"/>
          <w:sz w:val="18"/>
          <w:szCs w:val="18"/>
        </w:rPr>
        <w:t xml:space="preserve"> This runs the risk of contradicting G</w:t>
      </w:r>
      <w:r w:rsidR="00EE3149">
        <w:rPr>
          <w:rFonts w:ascii="Verdana" w:hAnsi="Verdana"/>
          <w:sz w:val="18"/>
          <w:szCs w:val="18"/>
        </w:rPr>
        <w:t xml:space="preserve">eneral </w:t>
      </w:r>
      <w:r w:rsidR="00EE3149" w:rsidRPr="007238F4">
        <w:rPr>
          <w:rFonts w:ascii="Verdana" w:hAnsi="Verdana"/>
          <w:sz w:val="18"/>
          <w:szCs w:val="18"/>
        </w:rPr>
        <w:t>C</w:t>
      </w:r>
      <w:r w:rsidR="00EE3149">
        <w:rPr>
          <w:rFonts w:ascii="Verdana" w:hAnsi="Verdana"/>
          <w:sz w:val="18"/>
          <w:szCs w:val="18"/>
        </w:rPr>
        <w:t>omment</w:t>
      </w:r>
      <w:r w:rsidR="00EE3149" w:rsidRPr="007238F4">
        <w:rPr>
          <w:rFonts w:ascii="Verdana" w:hAnsi="Verdana"/>
          <w:sz w:val="18"/>
          <w:szCs w:val="18"/>
        </w:rPr>
        <w:t xml:space="preserve">s already issued or making the provisions of the </w:t>
      </w:r>
      <w:r w:rsidR="00EE3149">
        <w:rPr>
          <w:rFonts w:ascii="Verdana" w:hAnsi="Verdana"/>
          <w:sz w:val="18"/>
          <w:szCs w:val="18"/>
        </w:rPr>
        <w:t>CRC</w:t>
      </w:r>
      <w:r w:rsidR="00EE3149" w:rsidRPr="007238F4">
        <w:rPr>
          <w:rFonts w:ascii="Verdana" w:hAnsi="Verdana"/>
          <w:sz w:val="18"/>
          <w:szCs w:val="18"/>
        </w:rPr>
        <w:t xml:space="preserve"> codependent instead of independently interactive across the </w:t>
      </w:r>
      <w:r w:rsidR="00EE3149">
        <w:rPr>
          <w:rFonts w:ascii="Verdana" w:hAnsi="Verdana"/>
          <w:sz w:val="18"/>
          <w:szCs w:val="18"/>
        </w:rPr>
        <w:t>CRC</w:t>
      </w:r>
      <w:r w:rsidR="00EE3149" w:rsidRPr="007238F4">
        <w:rPr>
          <w:rFonts w:ascii="Verdana" w:hAnsi="Verdana"/>
          <w:sz w:val="18"/>
          <w:szCs w:val="18"/>
        </w:rPr>
        <w:t xml:space="preserve"> as a whole.</w:t>
      </w:r>
      <w:r w:rsidR="00EE3149">
        <w:rPr>
          <w:rFonts w:ascii="Verdana" w:hAnsi="Verdana"/>
          <w:sz w:val="18"/>
          <w:szCs w:val="18"/>
        </w:rPr>
        <w:t xml:space="preserve"> The Netherlands requests the Committee to pay special attention to this.</w:t>
      </w:r>
    </w:p>
    <w:p w14:paraId="1213D66C" w14:textId="77777777" w:rsidR="00EE3149" w:rsidRPr="000E2DD3" w:rsidRDefault="00EE3149" w:rsidP="00F372AA">
      <w:pPr>
        <w:jc w:val="both"/>
        <w:rPr>
          <w:rFonts w:ascii="Verdana" w:hAnsi="Verdana"/>
          <w:sz w:val="18"/>
          <w:szCs w:val="18"/>
          <w:u w:val="single"/>
        </w:rPr>
      </w:pPr>
      <w:r w:rsidRPr="000E2DD3">
        <w:rPr>
          <w:rFonts w:ascii="Verdana" w:hAnsi="Verdana"/>
          <w:sz w:val="18"/>
          <w:szCs w:val="18"/>
          <w:u w:val="single"/>
        </w:rPr>
        <w:t>Specific</w:t>
      </w:r>
    </w:p>
    <w:p w14:paraId="1E15ACB3" w14:textId="77777777" w:rsidR="003C4591" w:rsidRPr="00D278BB" w:rsidRDefault="003C4591" w:rsidP="00F372AA">
      <w:pPr>
        <w:jc w:val="both"/>
        <w:rPr>
          <w:rFonts w:ascii="Verdana" w:hAnsi="Verdana"/>
          <w:i/>
          <w:sz w:val="18"/>
          <w:szCs w:val="18"/>
        </w:rPr>
      </w:pPr>
      <w:r w:rsidRPr="00D278BB">
        <w:rPr>
          <w:rFonts w:ascii="Verdana" w:hAnsi="Verdana"/>
          <w:i/>
          <w:sz w:val="18"/>
          <w:szCs w:val="18"/>
        </w:rPr>
        <w:t>Minimum age of criminal responsibility</w:t>
      </w:r>
    </w:p>
    <w:p w14:paraId="408F2319" w14:textId="54570F2F" w:rsidR="00EE3149" w:rsidRDefault="00875DB0" w:rsidP="00F372AA">
      <w:pPr>
        <w:jc w:val="both"/>
        <w:rPr>
          <w:rFonts w:ascii="Verdana" w:hAnsi="Verdana"/>
          <w:sz w:val="18"/>
          <w:szCs w:val="18"/>
        </w:rPr>
      </w:pPr>
      <w:r>
        <w:rPr>
          <w:rFonts w:ascii="Verdana" w:hAnsi="Verdana"/>
          <w:sz w:val="18"/>
          <w:szCs w:val="18"/>
        </w:rPr>
        <w:t>4</w:t>
      </w:r>
      <w:r w:rsidR="00EE3149">
        <w:rPr>
          <w:rFonts w:ascii="Verdana" w:hAnsi="Verdana"/>
          <w:sz w:val="18"/>
          <w:szCs w:val="18"/>
        </w:rPr>
        <w:t xml:space="preserve">. </w:t>
      </w:r>
      <w:r w:rsidR="003F3E1F">
        <w:rPr>
          <w:rFonts w:ascii="Verdana" w:hAnsi="Verdana"/>
          <w:sz w:val="18"/>
          <w:szCs w:val="18"/>
        </w:rPr>
        <w:t xml:space="preserve">In paragraphs </w:t>
      </w:r>
      <w:r w:rsidR="00EE3149">
        <w:rPr>
          <w:rFonts w:ascii="Verdana" w:hAnsi="Verdana"/>
          <w:sz w:val="18"/>
          <w:szCs w:val="18"/>
        </w:rPr>
        <w:t>3</w:t>
      </w:r>
      <w:r w:rsidR="003F3E1F">
        <w:rPr>
          <w:rFonts w:ascii="Verdana" w:hAnsi="Verdana"/>
          <w:sz w:val="18"/>
          <w:szCs w:val="18"/>
        </w:rPr>
        <w:t>0 – 36 the Committee addresses the minimum age of criminal responsibility</w:t>
      </w:r>
      <w:r w:rsidR="00EE3149">
        <w:rPr>
          <w:rFonts w:ascii="Verdana" w:hAnsi="Verdana"/>
          <w:sz w:val="18"/>
          <w:szCs w:val="18"/>
        </w:rPr>
        <w:t>.</w:t>
      </w:r>
      <w:r w:rsidR="003F3E1F">
        <w:rPr>
          <w:rFonts w:ascii="Verdana" w:hAnsi="Verdana"/>
          <w:sz w:val="18"/>
          <w:szCs w:val="18"/>
        </w:rPr>
        <w:t xml:space="preserve"> Whereas in General Comment No. 10 the Committee had considered the absolute minimum age of criminal responsibility </w:t>
      </w:r>
      <w:r w:rsidR="006843CE">
        <w:rPr>
          <w:rFonts w:ascii="Verdana" w:hAnsi="Verdana"/>
          <w:sz w:val="18"/>
          <w:szCs w:val="18"/>
        </w:rPr>
        <w:t>to be</w:t>
      </w:r>
      <w:r w:rsidR="0088431E">
        <w:rPr>
          <w:rFonts w:ascii="Verdana" w:hAnsi="Verdana"/>
          <w:sz w:val="18"/>
          <w:szCs w:val="18"/>
        </w:rPr>
        <w:t xml:space="preserve"> </w:t>
      </w:r>
      <w:r w:rsidR="003F3E1F">
        <w:rPr>
          <w:rFonts w:ascii="Verdana" w:hAnsi="Verdana"/>
          <w:sz w:val="18"/>
          <w:szCs w:val="18"/>
        </w:rPr>
        <w:t>12 years, the Committee now encourages States to increase this to at least 14 years of age.</w:t>
      </w:r>
    </w:p>
    <w:p w14:paraId="4E424847" w14:textId="3BF90C49" w:rsidR="00B331AE" w:rsidRDefault="00875DB0" w:rsidP="00271BD8">
      <w:pPr>
        <w:jc w:val="both"/>
        <w:rPr>
          <w:rFonts w:ascii="Verdana" w:hAnsi="Verdana"/>
          <w:sz w:val="18"/>
          <w:szCs w:val="18"/>
        </w:rPr>
      </w:pPr>
      <w:r>
        <w:rPr>
          <w:rFonts w:ascii="Verdana" w:hAnsi="Verdana"/>
          <w:sz w:val="18"/>
          <w:szCs w:val="18"/>
        </w:rPr>
        <w:t>5</w:t>
      </w:r>
      <w:r w:rsidR="00A00CAA">
        <w:rPr>
          <w:rFonts w:ascii="Verdana" w:hAnsi="Verdana"/>
          <w:sz w:val="18"/>
          <w:szCs w:val="18"/>
        </w:rPr>
        <w:t>. According to the Government of the Netherlands, t</w:t>
      </w:r>
      <w:r w:rsidR="00B331AE" w:rsidRPr="00B331AE">
        <w:rPr>
          <w:rFonts w:ascii="Verdana" w:hAnsi="Verdana"/>
          <w:sz w:val="18"/>
          <w:szCs w:val="18"/>
        </w:rPr>
        <w:t>he minimum age of criminal responsibility is a</w:t>
      </w:r>
      <w:r w:rsidR="00271BD8">
        <w:rPr>
          <w:rFonts w:ascii="Verdana" w:hAnsi="Verdana"/>
          <w:sz w:val="18"/>
          <w:szCs w:val="18"/>
        </w:rPr>
        <w:t>n important but</w:t>
      </w:r>
      <w:r w:rsidR="00B331AE" w:rsidRPr="00B331AE">
        <w:rPr>
          <w:rFonts w:ascii="Verdana" w:hAnsi="Verdana"/>
          <w:sz w:val="18"/>
          <w:szCs w:val="18"/>
        </w:rPr>
        <w:t xml:space="preserve"> complex issue.</w:t>
      </w:r>
      <w:r w:rsidR="00A00CAA">
        <w:rPr>
          <w:rFonts w:ascii="Verdana" w:hAnsi="Verdana"/>
          <w:sz w:val="18"/>
          <w:szCs w:val="18"/>
        </w:rPr>
        <w:t xml:space="preserve"> </w:t>
      </w:r>
      <w:r w:rsidR="006843CE">
        <w:rPr>
          <w:rFonts w:ascii="Verdana" w:hAnsi="Verdana"/>
          <w:sz w:val="18"/>
          <w:szCs w:val="18"/>
        </w:rPr>
        <w:t>The</w:t>
      </w:r>
      <w:r w:rsidR="00CB053A">
        <w:rPr>
          <w:rFonts w:ascii="Verdana" w:hAnsi="Verdana"/>
          <w:sz w:val="18"/>
          <w:szCs w:val="18"/>
        </w:rPr>
        <w:t xml:space="preserve"> minimum age of criminal responsibility</w:t>
      </w:r>
      <w:r w:rsidR="006843CE">
        <w:rPr>
          <w:rFonts w:ascii="Verdana" w:hAnsi="Verdana"/>
          <w:sz w:val="18"/>
          <w:szCs w:val="18"/>
        </w:rPr>
        <w:t xml:space="preserve"> differs greatly between states, depending on historical and cultural factors. </w:t>
      </w:r>
      <w:r w:rsidR="00297D01">
        <w:rPr>
          <w:rFonts w:ascii="Verdana" w:hAnsi="Verdana"/>
          <w:sz w:val="18"/>
          <w:szCs w:val="18"/>
        </w:rPr>
        <w:t>T</w:t>
      </w:r>
      <w:r w:rsidR="00257969">
        <w:rPr>
          <w:rFonts w:ascii="Verdana" w:hAnsi="Verdana"/>
          <w:sz w:val="18"/>
          <w:szCs w:val="18"/>
        </w:rPr>
        <w:t>he minimum age ranges</w:t>
      </w:r>
      <w:r w:rsidR="00F45CE9">
        <w:rPr>
          <w:rFonts w:ascii="Verdana" w:hAnsi="Verdana"/>
          <w:sz w:val="18"/>
          <w:szCs w:val="18"/>
        </w:rPr>
        <w:t xml:space="preserve"> </w:t>
      </w:r>
      <w:r w:rsidR="00AC1E7B">
        <w:rPr>
          <w:rFonts w:ascii="Verdana" w:hAnsi="Verdana"/>
          <w:sz w:val="18"/>
          <w:szCs w:val="18"/>
        </w:rPr>
        <w:t>from</w:t>
      </w:r>
      <w:r w:rsidR="00F83380">
        <w:rPr>
          <w:rFonts w:ascii="Verdana" w:hAnsi="Verdana"/>
          <w:sz w:val="18"/>
          <w:szCs w:val="18"/>
        </w:rPr>
        <w:t xml:space="preserve"> </w:t>
      </w:r>
      <w:r w:rsidR="00297D01">
        <w:rPr>
          <w:rFonts w:ascii="Verdana" w:hAnsi="Verdana"/>
          <w:sz w:val="18"/>
          <w:szCs w:val="18"/>
        </w:rPr>
        <w:t>as young as</w:t>
      </w:r>
      <w:r w:rsidR="00F83380">
        <w:rPr>
          <w:rFonts w:ascii="Verdana" w:hAnsi="Verdana"/>
          <w:sz w:val="18"/>
          <w:szCs w:val="18"/>
        </w:rPr>
        <w:t xml:space="preserve"> </w:t>
      </w:r>
      <w:r w:rsidR="00547056">
        <w:rPr>
          <w:rFonts w:ascii="Verdana" w:hAnsi="Verdana"/>
          <w:sz w:val="18"/>
          <w:szCs w:val="18"/>
        </w:rPr>
        <w:t>8</w:t>
      </w:r>
      <w:r w:rsidR="00F83380">
        <w:rPr>
          <w:rFonts w:ascii="Verdana" w:hAnsi="Verdana"/>
          <w:sz w:val="18"/>
          <w:szCs w:val="18"/>
        </w:rPr>
        <w:t xml:space="preserve"> to </w:t>
      </w:r>
      <w:r w:rsidR="00297D01">
        <w:rPr>
          <w:rFonts w:ascii="Verdana" w:hAnsi="Verdana"/>
          <w:sz w:val="18"/>
          <w:szCs w:val="18"/>
        </w:rPr>
        <w:t xml:space="preserve">the </w:t>
      </w:r>
      <w:r w:rsidR="00F83380">
        <w:rPr>
          <w:rFonts w:ascii="Verdana" w:hAnsi="Verdana"/>
          <w:sz w:val="18"/>
          <w:szCs w:val="18"/>
        </w:rPr>
        <w:t xml:space="preserve">age </w:t>
      </w:r>
      <w:r w:rsidR="00297D01">
        <w:rPr>
          <w:rFonts w:ascii="Verdana" w:hAnsi="Verdana"/>
          <w:sz w:val="18"/>
          <w:szCs w:val="18"/>
        </w:rPr>
        <w:t>of majority</w:t>
      </w:r>
      <w:r w:rsidR="00F83380">
        <w:rPr>
          <w:rFonts w:ascii="Verdana" w:hAnsi="Verdana"/>
          <w:sz w:val="18"/>
          <w:szCs w:val="18"/>
        </w:rPr>
        <w:t>.</w:t>
      </w:r>
      <w:r w:rsidR="00CC512C">
        <w:rPr>
          <w:rFonts w:ascii="Verdana" w:hAnsi="Verdana"/>
          <w:sz w:val="18"/>
          <w:szCs w:val="18"/>
        </w:rPr>
        <w:t xml:space="preserve"> In light of this wide range, the </w:t>
      </w:r>
      <w:r w:rsidR="000064CD">
        <w:rPr>
          <w:rFonts w:ascii="Verdana" w:hAnsi="Verdana"/>
          <w:sz w:val="18"/>
          <w:szCs w:val="18"/>
        </w:rPr>
        <w:t xml:space="preserve">Committee aims to provide </w:t>
      </w:r>
      <w:r w:rsidR="00CC512C">
        <w:rPr>
          <w:rFonts w:ascii="Verdana" w:hAnsi="Verdana"/>
          <w:sz w:val="18"/>
          <w:szCs w:val="18"/>
        </w:rPr>
        <w:t>guidance regarding the minimum age of criminal responsibility.</w:t>
      </w:r>
      <w:r w:rsidR="00CC512C">
        <w:rPr>
          <w:rStyle w:val="FootnoteReference"/>
          <w:rFonts w:ascii="Verdana" w:hAnsi="Verdana"/>
          <w:sz w:val="18"/>
          <w:szCs w:val="18"/>
        </w:rPr>
        <w:footnoteReference w:id="1"/>
      </w:r>
    </w:p>
    <w:p w14:paraId="5FDBAF99" w14:textId="08A63A7F" w:rsidR="00C92B89" w:rsidRPr="00547056" w:rsidRDefault="00875DB0" w:rsidP="00F372AA">
      <w:pPr>
        <w:jc w:val="both"/>
        <w:rPr>
          <w:rFonts w:ascii="Verdana" w:hAnsi="Verdana"/>
          <w:sz w:val="18"/>
          <w:szCs w:val="18"/>
        </w:rPr>
      </w:pPr>
      <w:r>
        <w:rPr>
          <w:rFonts w:ascii="Verdana" w:hAnsi="Verdana"/>
          <w:sz w:val="18"/>
          <w:szCs w:val="18"/>
        </w:rPr>
        <w:t>6</w:t>
      </w:r>
      <w:r w:rsidR="000064CD">
        <w:rPr>
          <w:rFonts w:ascii="Verdana" w:hAnsi="Verdana"/>
          <w:sz w:val="18"/>
          <w:szCs w:val="18"/>
        </w:rPr>
        <w:t xml:space="preserve">. </w:t>
      </w:r>
      <w:r w:rsidR="00257969">
        <w:rPr>
          <w:rFonts w:ascii="Verdana" w:hAnsi="Verdana"/>
          <w:sz w:val="18"/>
          <w:szCs w:val="18"/>
        </w:rPr>
        <w:t>The Government agrees with the Committee that</w:t>
      </w:r>
      <w:r w:rsidR="00C92B89" w:rsidRPr="00C310A9">
        <w:rPr>
          <w:rFonts w:ascii="Verdana" w:hAnsi="Verdana"/>
          <w:sz w:val="18"/>
          <w:szCs w:val="18"/>
        </w:rPr>
        <w:t xml:space="preserve"> the minimum age of criminal respo</w:t>
      </w:r>
      <w:r w:rsidR="00547056">
        <w:rPr>
          <w:rFonts w:ascii="Verdana" w:hAnsi="Verdana"/>
          <w:sz w:val="18"/>
          <w:szCs w:val="18"/>
        </w:rPr>
        <w:t>nsibility should not be too low and the Government believes that the Committee could provide guidance to States in this regard</w:t>
      </w:r>
      <w:r w:rsidR="00F45CE9" w:rsidRPr="00547056">
        <w:rPr>
          <w:rFonts w:ascii="Verdana" w:hAnsi="Verdana"/>
          <w:sz w:val="18"/>
          <w:szCs w:val="18"/>
        </w:rPr>
        <w:t xml:space="preserve">. </w:t>
      </w:r>
      <w:r w:rsidR="00547056" w:rsidRPr="00547056">
        <w:rPr>
          <w:rFonts w:ascii="Verdana" w:hAnsi="Verdana"/>
          <w:sz w:val="18"/>
          <w:szCs w:val="18"/>
        </w:rPr>
        <w:t>However, precisely because the minimum age ran</w:t>
      </w:r>
      <w:r w:rsidR="00547056">
        <w:rPr>
          <w:rFonts w:ascii="Verdana" w:hAnsi="Verdana"/>
          <w:sz w:val="18"/>
          <w:szCs w:val="18"/>
        </w:rPr>
        <w:t xml:space="preserve">ge among States is so wide, setting the minimum age of criminal responsibility at 14 years </w:t>
      </w:r>
      <w:r w:rsidR="0058099A">
        <w:rPr>
          <w:rFonts w:ascii="Verdana" w:hAnsi="Verdana"/>
          <w:sz w:val="18"/>
          <w:szCs w:val="18"/>
        </w:rPr>
        <w:t xml:space="preserve">rather than 12 years </w:t>
      </w:r>
      <w:r w:rsidR="00547056">
        <w:rPr>
          <w:rFonts w:ascii="Verdana" w:hAnsi="Verdana"/>
          <w:sz w:val="18"/>
          <w:szCs w:val="18"/>
        </w:rPr>
        <w:t xml:space="preserve">seems </w:t>
      </w:r>
      <w:r w:rsidR="003C4591">
        <w:rPr>
          <w:rFonts w:ascii="Verdana" w:hAnsi="Verdana"/>
          <w:sz w:val="18"/>
          <w:szCs w:val="18"/>
        </w:rPr>
        <w:t>unrealistic</w:t>
      </w:r>
      <w:r w:rsidR="00AC1E7B" w:rsidRPr="00547056">
        <w:rPr>
          <w:rFonts w:ascii="Verdana" w:hAnsi="Verdana"/>
          <w:sz w:val="18"/>
          <w:szCs w:val="18"/>
        </w:rPr>
        <w:t>.</w:t>
      </w:r>
    </w:p>
    <w:p w14:paraId="09EC5854" w14:textId="54B95BDA" w:rsidR="00AC1E7B" w:rsidRDefault="00875DB0" w:rsidP="00F372AA">
      <w:pPr>
        <w:jc w:val="both"/>
        <w:rPr>
          <w:rFonts w:ascii="Verdana" w:hAnsi="Verdana"/>
          <w:sz w:val="18"/>
          <w:szCs w:val="18"/>
        </w:rPr>
      </w:pPr>
      <w:r w:rsidRPr="00C2717C">
        <w:rPr>
          <w:rFonts w:ascii="Verdana" w:hAnsi="Verdana"/>
          <w:sz w:val="18"/>
          <w:szCs w:val="18"/>
        </w:rPr>
        <w:t>7</w:t>
      </w:r>
      <w:r w:rsidR="000064CD" w:rsidRPr="00C2717C">
        <w:rPr>
          <w:rFonts w:ascii="Verdana" w:hAnsi="Verdana"/>
          <w:sz w:val="18"/>
          <w:szCs w:val="18"/>
        </w:rPr>
        <w:t xml:space="preserve">. </w:t>
      </w:r>
      <w:r w:rsidR="003C4591">
        <w:rPr>
          <w:rFonts w:ascii="Verdana" w:hAnsi="Verdana"/>
          <w:sz w:val="18"/>
          <w:szCs w:val="18"/>
        </w:rPr>
        <w:t>The Government would note that o</w:t>
      </w:r>
      <w:r w:rsidR="00C2717C" w:rsidRPr="00C2717C">
        <w:rPr>
          <w:rFonts w:ascii="Verdana" w:hAnsi="Verdana"/>
          <w:sz w:val="18"/>
          <w:szCs w:val="18"/>
        </w:rPr>
        <w:t xml:space="preserve">ther international instruments, such as the </w:t>
      </w:r>
      <w:r w:rsidR="00C2717C">
        <w:rPr>
          <w:rFonts w:ascii="Verdana" w:hAnsi="Verdana"/>
          <w:sz w:val="18"/>
          <w:szCs w:val="18"/>
        </w:rPr>
        <w:t>“</w:t>
      </w:r>
      <w:r w:rsidR="00C2717C" w:rsidRPr="00C2717C">
        <w:rPr>
          <w:rFonts w:ascii="Verdana" w:hAnsi="Verdana"/>
          <w:sz w:val="18"/>
          <w:szCs w:val="18"/>
        </w:rPr>
        <w:t>Guidelines of the Committee of Ministers of the Council of Europe on child-friendly justice</w:t>
      </w:r>
      <w:r w:rsidR="00C2717C">
        <w:rPr>
          <w:rFonts w:ascii="Verdana" w:hAnsi="Verdana"/>
          <w:sz w:val="18"/>
          <w:szCs w:val="18"/>
        </w:rPr>
        <w:t>”</w:t>
      </w:r>
      <w:r w:rsidR="00C2717C" w:rsidRPr="00C2717C">
        <w:rPr>
          <w:rFonts w:ascii="Verdana" w:hAnsi="Verdana"/>
          <w:sz w:val="18"/>
          <w:szCs w:val="18"/>
        </w:rPr>
        <w:t xml:space="preserve"> and </w:t>
      </w:r>
      <w:r w:rsidR="00C2717C">
        <w:rPr>
          <w:rFonts w:ascii="Verdana" w:hAnsi="Verdana"/>
          <w:sz w:val="18"/>
          <w:szCs w:val="18"/>
        </w:rPr>
        <w:t>“</w:t>
      </w:r>
      <w:r w:rsidR="00C2717C" w:rsidRPr="00C2717C">
        <w:rPr>
          <w:rFonts w:ascii="Verdana" w:hAnsi="Verdana"/>
          <w:sz w:val="18"/>
          <w:szCs w:val="18"/>
        </w:rPr>
        <w:t>Recommendation CM/Rec(2008)11 of the Committee of Ministers to member states on the European Rules for juvenile offenders subject to sanctions or measures</w:t>
      </w:r>
      <w:r w:rsidR="00C2717C">
        <w:rPr>
          <w:rFonts w:ascii="Verdana" w:hAnsi="Verdana"/>
          <w:sz w:val="18"/>
          <w:szCs w:val="18"/>
        </w:rPr>
        <w:t>”</w:t>
      </w:r>
      <w:r w:rsidR="003C4591">
        <w:rPr>
          <w:rFonts w:ascii="Verdana" w:hAnsi="Verdana"/>
          <w:sz w:val="18"/>
          <w:szCs w:val="18"/>
        </w:rPr>
        <w:t>,</w:t>
      </w:r>
      <w:r w:rsidR="00C2717C">
        <w:rPr>
          <w:rFonts w:ascii="Verdana" w:hAnsi="Verdana"/>
          <w:sz w:val="18"/>
          <w:szCs w:val="18"/>
        </w:rPr>
        <w:t xml:space="preserve"> </w:t>
      </w:r>
      <w:r w:rsidR="001455A0">
        <w:rPr>
          <w:rFonts w:ascii="Verdana" w:hAnsi="Verdana"/>
          <w:sz w:val="18"/>
          <w:szCs w:val="18"/>
        </w:rPr>
        <w:t xml:space="preserve">do not set any </w:t>
      </w:r>
      <w:r w:rsidR="001455A0" w:rsidRPr="002E0B6C">
        <w:rPr>
          <w:rFonts w:ascii="Verdana" w:hAnsi="Verdana"/>
          <w:sz w:val="18"/>
          <w:szCs w:val="18"/>
        </w:rPr>
        <w:t>minimum age</w:t>
      </w:r>
      <w:r w:rsidR="001455A0">
        <w:rPr>
          <w:rFonts w:ascii="Verdana" w:hAnsi="Verdana"/>
          <w:sz w:val="18"/>
          <w:szCs w:val="18"/>
        </w:rPr>
        <w:t>. Rather</w:t>
      </w:r>
      <w:r w:rsidR="003C4591">
        <w:rPr>
          <w:rFonts w:ascii="Verdana" w:hAnsi="Verdana"/>
          <w:sz w:val="18"/>
          <w:szCs w:val="18"/>
        </w:rPr>
        <w:t>,</w:t>
      </w:r>
      <w:r w:rsidR="001455A0">
        <w:rPr>
          <w:rFonts w:ascii="Verdana" w:hAnsi="Verdana"/>
          <w:sz w:val="18"/>
          <w:szCs w:val="18"/>
        </w:rPr>
        <w:t xml:space="preserve"> they recommend that the minimum age of criminal responsibility should not be too low</w:t>
      </w:r>
      <w:r w:rsidR="0058099A" w:rsidRPr="0058099A">
        <w:rPr>
          <w:rFonts w:ascii="Verdana" w:hAnsi="Verdana"/>
          <w:sz w:val="18"/>
          <w:szCs w:val="18"/>
        </w:rPr>
        <w:t xml:space="preserve"> </w:t>
      </w:r>
      <w:r w:rsidR="0058099A">
        <w:rPr>
          <w:rFonts w:ascii="Verdana" w:hAnsi="Verdana"/>
          <w:sz w:val="18"/>
          <w:szCs w:val="18"/>
        </w:rPr>
        <w:t>and should be determined by law</w:t>
      </w:r>
      <w:r w:rsidR="0058099A" w:rsidRPr="000F5133">
        <w:rPr>
          <w:rFonts w:ascii="Verdana" w:hAnsi="Verdana"/>
          <w:sz w:val="18"/>
          <w:szCs w:val="18"/>
        </w:rPr>
        <w:t>, bearing in mind the facts of emotional, mental and intellectual maturity</w:t>
      </w:r>
      <w:r w:rsidR="001455A0">
        <w:rPr>
          <w:rFonts w:ascii="Verdana" w:hAnsi="Verdana"/>
          <w:sz w:val="18"/>
          <w:szCs w:val="18"/>
        </w:rPr>
        <w:t>.</w:t>
      </w:r>
      <w:r w:rsidR="0058099A">
        <w:rPr>
          <w:rFonts w:ascii="Verdana" w:hAnsi="Verdana"/>
          <w:sz w:val="18"/>
          <w:szCs w:val="18"/>
        </w:rPr>
        <w:t xml:space="preserve"> The Government believes that a minimum age of criminal responsibility of 12 years </w:t>
      </w:r>
      <w:r w:rsidR="003C4591">
        <w:rPr>
          <w:rFonts w:ascii="Verdana" w:hAnsi="Verdana"/>
          <w:sz w:val="18"/>
          <w:szCs w:val="18"/>
        </w:rPr>
        <w:t xml:space="preserve">is in line with </w:t>
      </w:r>
      <w:r w:rsidR="0058099A">
        <w:rPr>
          <w:rFonts w:ascii="Verdana" w:hAnsi="Verdana"/>
          <w:sz w:val="18"/>
          <w:szCs w:val="18"/>
        </w:rPr>
        <w:t>these considerations. I</w:t>
      </w:r>
      <w:r w:rsidR="0058099A" w:rsidRPr="0058099A">
        <w:rPr>
          <w:rFonts w:ascii="Verdana" w:hAnsi="Verdana"/>
          <w:sz w:val="18"/>
          <w:szCs w:val="18"/>
        </w:rPr>
        <w:t xml:space="preserve">n this context increasing the minimum age from </w:t>
      </w:r>
      <w:r w:rsidR="0058099A">
        <w:rPr>
          <w:rFonts w:ascii="Verdana" w:hAnsi="Verdana"/>
          <w:sz w:val="18"/>
          <w:szCs w:val="18"/>
        </w:rPr>
        <w:t xml:space="preserve">12 to 14 years seems </w:t>
      </w:r>
      <w:r w:rsidR="003C4591">
        <w:rPr>
          <w:rFonts w:ascii="Verdana" w:hAnsi="Verdana"/>
          <w:sz w:val="18"/>
          <w:szCs w:val="18"/>
        </w:rPr>
        <w:t>unnecessary</w:t>
      </w:r>
      <w:r w:rsidR="0058099A">
        <w:rPr>
          <w:rFonts w:ascii="Verdana" w:hAnsi="Verdana"/>
          <w:sz w:val="18"/>
          <w:szCs w:val="18"/>
        </w:rPr>
        <w:t>.</w:t>
      </w:r>
    </w:p>
    <w:p w14:paraId="4B053687" w14:textId="015D144E" w:rsidR="00D85C60" w:rsidRDefault="00D85C60" w:rsidP="00F372AA">
      <w:pPr>
        <w:jc w:val="both"/>
        <w:rPr>
          <w:rFonts w:ascii="Verdana" w:hAnsi="Verdana"/>
          <w:sz w:val="18"/>
          <w:szCs w:val="18"/>
        </w:rPr>
      </w:pPr>
      <w:r>
        <w:rPr>
          <w:rFonts w:ascii="Verdana" w:hAnsi="Verdana"/>
          <w:sz w:val="18"/>
          <w:szCs w:val="18"/>
        </w:rPr>
        <w:t xml:space="preserve">8. The Government of the Netherlands therefore suggests to maintain the </w:t>
      </w:r>
      <w:r w:rsidR="003C4591">
        <w:rPr>
          <w:rFonts w:ascii="Verdana" w:hAnsi="Verdana"/>
          <w:sz w:val="18"/>
          <w:szCs w:val="18"/>
        </w:rPr>
        <w:t xml:space="preserve">position as put forward in </w:t>
      </w:r>
      <w:r>
        <w:rPr>
          <w:rFonts w:ascii="Verdana" w:hAnsi="Verdana"/>
          <w:sz w:val="18"/>
          <w:szCs w:val="18"/>
        </w:rPr>
        <w:t>General Comment No. 10 in this regard and not</w:t>
      </w:r>
      <w:r w:rsidR="003C4591">
        <w:rPr>
          <w:rFonts w:ascii="Verdana" w:hAnsi="Verdana"/>
          <w:sz w:val="18"/>
          <w:szCs w:val="18"/>
        </w:rPr>
        <w:t xml:space="preserve"> to</w:t>
      </w:r>
      <w:r>
        <w:rPr>
          <w:rFonts w:ascii="Verdana" w:hAnsi="Verdana"/>
          <w:sz w:val="18"/>
          <w:szCs w:val="18"/>
        </w:rPr>
        <w:t xml:space="preserve"> increase the minimum age of criminal responsibility from 12 to 14 years.</w:t>
      </w:r>
    </w:p>
    <w:p w14:paraId="2209B2BC" w14:textId="77777777" w:rsidR="003C4591" w:rsidRPr="00D278BB" w:rsidRDefault="003C4591" w:rsidP="00F372AA">
      <w:pPr>
        <w:jc w:val="both"/>
        <w:rPr>
          <w:rFonts w:ascii="Verdana" w:hAnsi="Verdana"/>
          <w:i/>
          <w:sz w:val="18"/>
          <w:szCs w:val="18"/>
        </w:rPr>
      </w:pPr>
      <w:r w:rsidRPr="00D278BB">
        <w:rPr>
          <w:rFonts w:ascii="Verdana" w:hAnsi="Verdana"/>
          <w:i/>
          <w:sz w:val="18"/>
          <w:szCs w:val="18"/>
        </w:rPr>
        <w:t>Legal representation</w:t>
      </w:r>
    </w:p>
    <w:p w14:paraId="691A9A08" w14:textId="77777777" w:rsidR="00B2008F" w:rsidRDefault="00D85C60" w:rsidP="00D85C60">
      <w:pPr>
        <w:jc w:val="both"/>
        <w:rPr>
          <w:rFonts w:ascii="Verdana" w:hAnsi="Verdana"/>
          <w:sz w:val="18"/>
          <w:szCs w:val="18"/>
        </w:rPr>
      </w:pPr>
      <w:r>
        <w:rPr>
          <w:rFonts w:ascii="Verdana" w:hAnsi="Verdana"/>
          <w:sz w:val="18"/>
          <w:szCs w:val="18"/>
        </w:rPr>
        <w:t xml:space="preserve">9. </w:t>
      </w:r>
      <w:r w:rsidR="00B2008F">
        <w:rPr>
          <w:rFonts w:ascii="Verdana" w:hAnsi="Verdana"/>
          <w:sz w:val="18"/>
          <w:szCs w:val="18"/>
        </w:rPr>
        <w:t>In paragraphs 60 – 64 the Committee recommends that States provide legal representation for all children who are facing charges in juvenile courts.</w:t>
      </w:r>
      <w:r>
        <w:rPr>
          <w:rFonts w:ascii="Verdana" w:hAnsi="Verdana"/>
          <w:sz w:val="18"/>
          <w:szCs w:val="18"/>
        </w:rPr>
        <w:t xml:space="preserve"> This should be free of charge</w:t>
      </w:r>
      <w:r w:rsidR="0030566B">
        <w:rPr>
          <w:rFonts w:ascii="Verdana" w:hAnsi="Verdana"/>
          <w:sz w:val="18"/>
          <w:szCs w:val="18"/>
        </w:rPr>
        <w:t>.</w:t>
      </w:r>
      <w:r>
        <w:rPr>
          <w:rFonts w:ascii="Verdana" w:hAnsi="Verdana"/>
          <w:sz w:val="18"/>
          <w:szCs w:val="18"/>
        </w:rPr>
        <w:t xml:space="preserve"> According to the Committee, States that can provide legal representation for children during all processes should do so.</w:t>
      </w:r>
    </w:p>
    <w:p w14:paraId="15CBA99D" w14:textId="77777777" w:rsidR="00B2008F" w:rsidRDefault="0061187A" w:rsidP="00F372AA">
      <w:pPr>
        <w:jc w:val="both"/>
        <w:rPr>
          <w:rFonts w:ascii="Verdana" w:hAnsi="Verdana"/>
          <w:sz w:val="18"/>
          <w:szCs w:val="18"/>
        </w:rPr>
      </w:pPr>
      <w:r>
        <w:rPr>
          <w:rFonts w:ascii="Verdana" w:hAnsi="Verdana"/>
          <w:sz w:val="18"/>
          <w:szCs w:val="18"/>
        </w:rPr>
        <w:lastRenderedPageBreak/>
        <w:t xml:space="preserve">10. </w:t>
      </w:r>
      <w:r w:rsidR="00233090">
        <w:rPr>
          <w:rFonts w:ascii="Verdana" w:hAnsi="Verdana"/>
          <w:sz w:val="18"/>
          <w:szCs w:val="18"/>
        </w:rPr>
        <w:t>The Netherlands made a reservation to Article 40 of the Convention, which reads:</w:t>
      </w:r>
    </w:p>
    <w:p w14:paraId="41369878" w14:textId="77777777" w:rsidR="00233090" w:rsidRDefault="00233090" w:rsidP="00F372AA">
      <w:pPr>
        <w:ind w:left="708"/>
        <w:jc w:val="both"/>
        <w:rPr>
          <w:rFonts w:ascii="Verdana" w:hAnsi="Verdana"/>
          <w:sz w:val="18"/>
          <w:szCs w:val="18"/>
        </w:rPr>
      </w:pPr>
      <w:r>
        <w:rPr>
          <w:rFonts w:ascii="Verdana" w:hAnsi="Verdana"/>
          <w:sz w:val="18"/>
          <w:szCs w:val="18"/>
        </w:rPr>
        <w:t>“</w:t>
      </w:r>
      <w:r w:rsidRPr="00233090">
        <w:rPr>
          <w:rFonts w:ascii="Verdana" w:hAnsi="Verdana"/>
          <w:i/>
          <w:iCs/>
          <w:sz w:val="18"/>
          <w:szCs w:val="18"/>
        </w:rPr>
        <w:t>The Kingdom of the Netherlands accepts the provisions of article 40 of the Convention with the reservation that cases involving minor offences may be tried without the presence of legal assistance and that with respect to such offences the position remains that no provision is made in all cases for a review of the facts or of any measures imposed as a consequence.</w:t>
      </w:r>
      <w:r>
        <w:rPr>
          <w:rFonts w:ascii="Verdana" w:hAnsi="Verdana"/>
          <w:sz w:val="18"/>
          <w:szCs w:val="18"/>
        </w:rPr>
        <w:t>”</w:t>
      </w:r>
    </w:p>
    <w:p w14:paraId="6684026B" w14:textId="5C7F2299" w:rsidR="0030566B" w:rsidRDefault="0030566B" w:rsidP="0084157D">
      <w:pPr>
        <w:jc w:val="both"/>
        <w:rPr>
          <w:rFonts w:ascii="Verdana" w:hAnsi="Verdana"/>
          <w:sz w:val="18"/>
          <w:szCs w:val="18"/>
        </w:rPr>
      </w:pPr>
      <w:r>
        <w:rPr>
          <w:rFonts w:ascii="Verdana" w:hAnsi="Verdana"/>
          <w:sz w:val="18"/>
          <w:szCs w:val="18"/>
        </w:rPr>
        <w:t>11. This reservation leaves room to try cases involving minor offences without the presence of legal assistance.</w:t>
      </w:r>
      <w:r w:rsidR="007C62B1">
        <w:rPr>
          <w:rFonts w:ascii="Verdana" w:hAnsi="Verdana"/>
          <w:sz w:val="18"/>
          <w:szCs w:val="18"/>
        </w:rPr>
        <w:t xml:space="preserve"> Under currently applicable international and European law,</w:t>
      </w:r>
      <w:r w:rsidR="007C62B1">
        <w:rPr>
          <w:rStyle w:val="FootnoteReference"/>
          <w:rFonts w:ascii="Verdana" w:hAnsi="Verdana"/>
          <w:sz w:val="18"/>
          <w:szCs w:val="18"/>
        </w:rPr>
        <w:footnoteReference w:id="2"/>
      </w:r>
      <w:r w:rsidR="007C62B1">
        <w:rPr>
          <w:rFonts w:ascii="Verdana" w:hAnsi="Verdana"/>
          <w:sz w:val="18"/>
          <w:szCs w:val="18"/>
        </w:rPr>
        <w:t xml:space="preserve"> States are not required to provide legal representation for children at all times. </w:t>
      </w:r>
      <w:r w:rsidR="00897C62">
        <w:rPr>
          <w:rFonts w:ascii="Verdana" w:hAnsi="Verdana"/>
          <w:sz w:val="18"/>
          <w:szCs w:val="18"/>
        </w:rPr>
        <w:t>Regard</w:t>
      </w:r>
      <w:r w:rsidR="007C62B1">
        <w:rPr>
          <w:rFonts w:ascii="Verdana" w:hAnsi="Verdana"/>
          <w:sz w:val="18"/>
          <w:szCs w:val="18"/>
        </w:rPr>
        <w:t xml:space="preserve"> should be had </w:t>
      </w:r>
      <w:r w:rsidR="003C4591">
        <w:rPr>
          <w:rFonts w:ascii="Verdana" w:hAnsi="Verdana"/>
          <w:sz w:val="18"/>
          <w:szCs w:val="18"/>
        </w:rPr>
        <w:t>for</w:t>
      </w:r>
      <w:r w:rsidR="00897C62">
        <w:rPr>
          <w:rFonts w:ascii="Verdana" w:hAnsi="Verdana"/>
          <w:sz w:val="18"/>
          <w:szCs w:val="18"/>
        </w:rPr>
        <w:t xml:space="preserve"> </w:t>
      </w:r>
      <w:r w:rsidR="007C62B1">
        <w:rPr>
          <w:rFonts w:ascii="Verdana" w:hAnsi="Verdana"/>
          <w:sz w:val="18"/>
          <w:szCs w:val="18"/>
        </w:rPr>
        <w:t>the seriousness of the offence</w:t>
      </w:r>
      <w:r w:rsidR="00633BC6">
        <w:rPr>
          <w:rFonts w:ascii="Verdana" w:hAnsi="Verdana"/>
          <w:sz w:val="18"/>
          <w:szCs w:val="18"/>
        </w:rPr>
        <w:t>, the complexity of the case</w:t>
      </w:r>
      <w:r w:rsidR="007C62B1">
        <w:rPr>
          <w:rFonts w:ascii="Verdana" w:hAnsi="Verdana"/>
          <w:sz w:val="18"/>
          <w:szCs w:val="18"/>
        </w:rPr>
        <w:t xml:space="preserve"> and other relevant factors.</w:t>
      </w:r>
      <w:r w:rsidR="00633BC6">
        <w:rPr>
          <w:rFonts w:ascii="Verdana" w:hAnsi="Verdana"/>
          <w:sz w:val="18"/>
          <w:szCs w:val="18"/>
        </w:rPr>
        <w:t xml:space="preserve"> </w:t>
      </w:r>
      <w:r w:rsidR="00D75020">
        <w:rPr>
          <w:rFonts w:ascii="Verdana" w:hAnsi="Verdana"/>
          <w:sz w:val="18"/>
          <w:szCs w:val="18"/>
        </w:rPr>
        <w:t xml:space="preserve">Where deprivation of liberty may be imposed as a sanction, access to legal assistance </w:t>
      </w:r>
      <w:r w:rsidR="001A6D4F">
        <w:rPr>
          <w:rFonts w:ascii="Verdana" w:hAnsi="Verdana"/>
          <w:sz w:val="18"/>
          <w:szCs w:val="18"/>
        </w:rPr>
        <w:t>must be guaranteed</w:t>
      </w:r>
      <w:r w:rsidR="00D75020">
        <w:rPr>
          <w:rFonts w:ascii="Verdana" w:hAnsi="Verdana"/>
          <w:sz w:val="18"/>
          <w:szCs w:val="18"/>
        </w:rPr>
        <w:t xml:space="preserve"> at all times</w:t>
      </w:r>
      <w:r w:rsidR="00E52EEE">
        <w:rPr>
          <w:rFonts w:ascii="Verdana" w:hAnsi="Verdana"/>
          <w:sz w:val="18"/>
          <w:szCs w:val="18"/>
        </w:rPr>
        <w:t xml:space="preserve">, </w:t>
      </w:r>
      <w:r w:rsidR="0084157D">
        <w:rPr>
          <w:rFonts w:ascii="Verdana" w:hAnsi="Verdana"/>
          <w:sz w:val="18"/>
          <w:szCs w:val="18"/>
        </w:rPr>
        <w:t>free of charge</w:t>
      </w:r>
      <w:r w:rsidR="00D75020">
        <w:rPr>
          <w:rFonts w:ascii="Verdana" w:hAnsi="Verdana"/>
          <w:sz w:val="18"/>
          <w:szCs w:val="18"/>
        </w:rPr>
        <w:t xml:space="preserve">. </w:t>
      </w:r>
      <w:r w:rsidR="00633BC6">
        <w:rPr>
          <w:rFonts w:ascii="Verdana" w:hAnsi="Verdana"/>
          <w:sz w:val="18"/>
          <w:szCs w:val="18"/>
        </w:rPr>
        <w:t xml:space="preserve">The child’s best interests should always be </w:t>
      </w:r>
      <w:r w:rsidR="00D278BB">
        <w:rPr>
          <w:rFonts w:ascii="Verdana" w:hAnsi="Verdana"/>
          <w:sz w:val="18"/>
          <w:szCs w:val="18"/>
        </w:rPr>
        <w:t>a</w:t>
      </w:r>
      <w:r w:rsidR="00633BC6">
        <w:rPr>
          <w:rFonts w:ascii="Verdana" w:hAnsi="Verdana"/>
          <w:sz w:val="18"/>
          <w:szCs w:val="18"/>
        </w:rPr>
        <w:t xml:space="preserve"> primary consideration.</w:t>
      </w:r>
    </w:p>
    <w:p w14:paraId="2FD03E1A" w14:textId="6A96C4BA" w:rsidR="0030566B" w:rsidRDefault="00633BC6" w:rsidP="00F372AA">
      <w:pPr>
        <w:jc w:val="both"/>
        <w:rPr>
          <w:rFonts w:ascii="Verdana" w:hAnsi="Verdana"/>
          <w:sz w:val="18"/>
          <w:szCs w:val="18"/>
        </w:rPr>
      </w:pPr>
      <w:r>
        <w:rPr>
          <w:rFonts w:ascii="Verdana" w:hAnsi="Verdana"/>
          <w:sz w:val="18"/>
          <w:szCs w:val="18"/>
        </w:rPr>
        <w:t>1</w:t>
      </w:r>
      <w:r w:rsidR="00D278BB">
        <w:rPr>
          <w:rFonts w:ascii="Verdana" w:hAnsi="Verdana"/>
          <w:sz w:val="18"/>
          <w:szCs w:val="18"/>
        </w:rPr>
        <w:t>2</w:t>
      </w:r>
      <w:r>
        <w:rPr>
          <w:rFonts w:ascii="Verdana" w:hAnsi="Verdana"/>
          <w:sz w:val="18"/>
          <w:szCs w:val="18"/>
        </w:rPr>
        <w:t>. The text of the Draft General Comment seems to be more far-reaching. In light of the foregoing, the Government of the Netherlands would suggest to amend the text of the General Comment to include the possibility to try cases involving minor offences without the presence of legal assistance.</w:t>
      </w:r>
    </w:p>
    <w:p w14:paraId="62EB291C" w14:textId="77777777" w:rsidR="00E52EEE" w:rsidRPr="00D278BB" w:rsidRDefault="00E52EEE" w:rsidP="00F372AA">
      <w:pPr>
        <w:jc w:val="both"/>
        <w:rPr>
          <w:rFonts w:ascii="Verdana" w:hAnsi="Verdana"/>
          <w:i/>
          <w:sz w:val="18"/>
          <w:szCs w:val="18"/>
        </w:rPr>
      </w:pPr>
      <w:r w:rsidRPr="00D278BB">
        <w:rPr>
          <w:rFonts w:ascii="Verdana" w:hAnsi="Verdana"/>
          <w:i/>
          <w:sz w:val="18"/>
          <w:szCs w:val="18"/>
        </w:rPr>
        <w:t>Deprivation of liberty</w:t>
      </w:r>
    </w:p>
    <w:p w14:paraId="729503D1" w14:textId="54B6E111" w:rsidR="00D83976" w:rsidRDefault="004C59D2" w:rsidP="00F372AA">
      <w:pPr>
        <w:jc w:val="both"/>
        <w:rPr>
          <w:rFonts w:ascii="Verdana" w:hAnsi="Verdana"/>
          <w:sz w:val="18"/>
          <w:szCs w:val="18"/>
        </w:rPr>
      </w:pPr>
      <w:r>
        <w:rPr>
          <w:rFonts w:ascii="Verdana" w:hAnsi="Verdana"/>
          <w:sz w:val="18"/>
          <w:szCs w:val="18"/>
        </w:rPr>
        <w:t>1</w:t>
      </w:r>
      <w:r w:rsidR="00D278BB">
        <w:rPr>
          <w:rFonts w:ascii="Verdana" w:hAnsi="Verdana"/>
          <w:sz w:val="18"/>
          <w:szCs w:val="18"/>
        </w:rPr>
        <w:t>3</w:t>
      </w:r>
      <w:r>
        <w:rPr>
          <w:rFonts w:ascii="Verdana" w:hAnsi="Verdana"/>
          <w:sz w:val="18"/>
          <w:szCs w:val="18"/>
        </w:rPr>
        <w:t xml:space="preserve">. </w:t>
      </w:r>
      <w:r w:rsidR="00642060">
        <w:rPr>
          <w:rFonts w:ascii="Verdana" w:hAnsi="Verdana"/>
          <w:sz w:val="18"/>
          <w:szCs w:val="18"/>
        </w:rPr>
        <w:t>In paragraphs 95 – 108 the Committee addresses</w:t>
      </w:r>
      <w:r w:rsidR="00D83976">
        <w:rPr>
          <w:rFonts w:ascii="Verdana" w:hAnsi="Verdana"/>
          <w:sz w:val="18"/>
          <w:szCs w:val="18"/>
        </w:rPr>
        <w:t xml:space="preserve"> deprivation of liberty, including pre-trial detention and post-trial incarceration. According to paragraph 104, </w:t>
      </w:r>
      <w:r w:rsidR="00E52EEE">
        <w:rPr>
          <w:rFonts w:ascii="Verdana" w:hAnsi="Verdana"/>
          <w:sz w:val="18"/>
          <w:szCs w:val="18"/>
        </w:rPr>
        <w:t xml:space="preserve">no </w:t>
      </w:r>
      <w:r w:rsidR="00D83976">
        <w:rPr>
          <w:rFonts w:ascii="Verdana" w:hAnsi="Verdana"/>
          <w:sz w:val="18"/>
          <w:szCs w:val="18"/>
        </w:rPr>
        <w:t>child deprived of liberty shall</w:t>
      </w:r>
      <w:r w:rsidR="00273FAD">
        <w:rPr>
          <w:rFonts w:ascii="Verdana" w:hAnsi="Verdana"/>
          <w:sz w:val="18"/>
          <w:szCs w:val="18"/>
        </w:rPr>
        <w:t xml:space="preserve"> </w:t>
      </w:r>
      <w:r w:rsidR="00D83976">
        <w:rPr>
          <w:rFonts w:ascii="Verdana" w:hAnsi="Verdana"/>
          <w:sz w:val="18"/>
          <w:szCs w:val="18"/>
        </w:rPr>
        <w:t>be placed in a center of prison for adults.</w:t>
      </w:r>
      <w:r w:rsidR="00EB79A9">
        <w:rPr>
          <w:rFonts w:ascii="Verdana" w:hAnsi="Verdana"/>
          <w:sz w:val="18"/>
          <w:szCs w:val="18"/>
        </w:rPr>
        <w:t xml:space="preserve"> States parties should establish separate facilities for children deprived of their liberty, which include appropriately trained personnel and operate according to child-friendly policies and practices.</w:t>
      </w:r>
    </w:p>
    <w:p w14:paraId="59C0514D" w14:textId="06E520D8" w:rsidR="00F91FF1" w:rsidRDefault="009F1921" w:rsidP="00F372AA">
      <w:pPr>
        <w:jc w:val="both"/>
        <w:rPr>
          <w:rFonts w:ascii="Verdana" w:hAnsi="Verdana"/>
          <w:sz w:val="18"/>
          <w:szCs w:val="18"/>
        </w:rPr>
      </w:pPr>
      <w:r>
        <w:rPr>
          <w:rFonts w:ascii="Verdana" w:hAnsi="Verdana"/>
          <w:sz w:val="18"/>
          <w:szCs w:val="18"/>
        </w:rPr>
        <w:t>1</w:t>
      </w:r>
      <w:r w:rsidR="00D278BB">
        <w:rPr>
          <w:rFonts w:ascii="Verdana" w:hAnsi="Verdana"/>
          <w:sz w:val="18"/>
          <w:szCs w:val="18"/>
        </w:rPr>
        <w:t>4</w:t>
      </w:r>
      <w:r>
        <w:rPr>
          <w:rFonts w:ascii="Verdana" w:hAnsi="Verdana"/>
          <w:sz w:val="18"/>
          <w:szCs w:val="18"/>
        </w:rPr>
        <w:t xml:space="preserve">. </w:t>
      </w:r>
      <w:r w:rsidR="00526B16">
        <w:rPr>
          <w:rFonts w:ascii="Verdana" w:hAnsi="Verdana"/>
          <w:sz w:val="18"/>
          <w:szCs w:val="18"/>
        </w:rPr>
        <w:t xml:space="preserve">The Netherlands made a reservation to Article 37 (c) of the Convention, </w:t>
      </w:r>
      <w:r w:rsidR="00BC0D94">
        <w:rPr>
          <w:rFonts w:ascii="Verdana" w:hAnsi="Verdana"/>
          <w:sz w:val="18"/>
          <w:szCs w:val="18"/>
        </w:rPr>
        <w:t>which reads that this article</w:t>
      </w:r>
      <w:r w:rsidR="00526B16">
        <w:rPr>
          <w:rFonts w:ascii="Verdana" w:hAnsi="Verdana"/>
          <w:sz w:val="18"/>
          <w:szCs w:val="18"/>
        </w:rPr>
        <w:t xml:space="preserve"> “</w:t>
      </w:r>
      <w:r w:rsidR="00526B16" w:rsidRPr="00DE7295">
        <w:rPr>
          <w:rFonts w:ascii="Verdana" w:hAnsi="Verdana"/>
          <w:i/>
          <w:iCs/>
          <w:sz w:val="18"/>
          <w:szCs w:val="18"/>
        </w:rPr>
        <w:t>shall not prevent the application of adult penal law to children of sixteen years and older, provided that certain criteria laid down by law have been met</w:t>
      </w:r>
      <w:r w:rsidR="00526B16">
        <w:rPr>
          <w:rFonts w:ascii="Verdana" w:hAnsi="Verdana"/>
          <w:sz w:val="18"/>
          <w:szCs w:val="18"/>
        </w:rPr>
        <w:t>”.</w:t>
      </w:r>
      <w:r w:rsidR="00F91FF1">
        <w:rPr>
          <w:rFonts w:ascii="Verdana" w:hAnsi="Verdana"/>
          <w:sz w:val="18"/>
          <w:szCs w:val="18"/>
        </w:rPr>
        <w:t xml:space="preserve"> For the former Netherlands Antilles the Convention was accepted subject to the following reservation regarding Article 37 (c) of the Convention:</w:t>
      </w:r>
    </w:p>
    <w:p w14:paraId="41FBD1DC" w14:textId="77777777" w:rsidR="00F91FF1" w:rsidRPr="00BC0D94" w:rsidRDefault="00F91FF1" w:rsidP="00F372AA">
      <w:pPr>
        <w:ind w:left="708"/>
        <w:jc w:val="both"/>
        <w:rPr>
          <w:rFonts w:ascii="Verdana" w:hAnsi="Verdana"/>
          <w:i/>
          <w:iCs/>
          <w:sz w:val="18"/>
          <w:szCs w:val="18"/>
        </w:rPr>
      </w:pPr>
      <w:r>
        <w:rPr>
          <w:rFonts w:ascii="Verdana" w:hAnsi="Verdana"/>
          <w:sz w:val="18"/>
          <w:szCs w:val="18"/>
        </w:rPr>
        <w:t>“</w:t>
      </w:r>
      <w:r w:rsidRPr="00BC0D94">
        <w:rPr>
          <w:rFonts w:ascii="Verdana" w:hAnsi="Verdana"/>
          <w:i/>
          <w:iCs/>
          <w:sz w:val="18"/>
          <w:szCs w:val="18"/>
        </w:rPr>
        <w:t>The Kingdom of the Netherlands accepts the provisions of article 37 (c) of the Convention with the reservation that these provisions shall not prevent:</w:t>
      </w:r>
    </w:p>
    <w:p w14:paraId="74AECB6C" w14:textId="77777777" w:rsidR="00F91FF1" w:rsidRPr="00BC0D94" w:rsidRDefault="00F91FF1" w:rsidP="00F372AA">
      <w:pPr>
        <w:ind w:left="708"/>
        <w:jc w:val="both"/>
        <w:rPr>
          <w:rFonts w:ascii="Verdana" w:hAnsi="Verdana"/>
          <w:i/>
          <w:iCs/>
          <w:sz w:val="18"/>
          <w:szCs w:val="18"/>
        </w:rPr>
      </w:pPr>
      <w:r w:rsidRPr="00BC0D94">
        <w:rPr>
          <w:rFonts w:ascii="Verdana" w:hAnsi="Verdana"/>
          <w:i/>
          <w:iCs/>
          <w:sz w:val="18"/>
          <w:szCs w:val="18"/>
        </w:rPr>
        <w:t>- the application of adult penal law to children of sixteen years and older, provided that certain criteria laid down by law have been met;</w:t>
      </w:r>
    </w:p>
    <w:p w14:paraId="70BEDAA7" w14:textId="77777777" w:rsidR="00F91FF1" w:rsidRDefault="00F91FF1" w:rsidP="00F372AA">
      <w:pPr>
        <w:ind w:left="708"/>
        <w:jc w:val="both"/>
        <w:rPr>
          <w:rFonts w:ascii="Verdana" w:hAnsi="Verdana"/>
          <w:sz w:val="18"/>
          <w:szCs w:val="18"/>
        </w:rPr>
      </w:pPr>
      <w:r w:rsidRPr="00BC0D94">
        <w:rPr>
          <w:rFonts w:ascii="Verdana" w:hAnsi="Verdana"/>
          <w:i/>
          <w:iCs/>
          <w:sz w:val="18"/>
          <w:szCs w:val="18"/>
        </w:rPr>
        <w:t>- that a child which has been detained will not always be accommodated separately from adults; if the number of children that has to be detained at a certain time is unexpectedly large, (temporary) accommodations together with adults may be unavoidable.</w:t>
      </w:r>
      <w:r>
        <w:rPr>
          <w:rFonts w:ascii="Verdana" w:hAnsi="Verdana"/>
          <w:sz w:val="18"/>
          <w:szCs w:val="18"/>
        </w:rPr>
        <w:t>”</w:t>
      </w:r>
    </w:p>
    <w:p w14:paraId="64D73293" w14:textId="74C41B42" w:rsidR="00097C49" w:rsidRDefault="00737A8D" w:rsidP="009536D9">
      <w:pPr>
        <w:jc w:val="both"/>
        <w:rPr>
          <w:rFonts w:ascii="Verdana" w:hAnsi="Verdana"/>
          <w:sz w:val="18"/>
          <w:szCs w:val="18"/>
        </w:rPr>
      </w:pPr>
      <w:r>
        <w:rPr>
          <w:rFonts w:ascii="Verdana" w:hAnsi="Verdana"/>
          <w:sz w:val="18"/>
          <w:szCs w:val="18"/>
        </w:rPr>
        <w:t>1</w:t>
      </w:r>
      <w:r w:rsidR="00D278BB">
        <w:rPr>
          <w:rFonts w:ascii="Verdana" w:hAnsi="Verdana"/>
          <w:sz w:val="18"/>
          <w:szCs w:val="18"/>
        </w:rPr>
        <w:t>5</w:t>
      </w:r>
      <w:r>
        <w:rPr>
          <w:rFonts w:ascii="Verdana" w:hAnsi="Verdana"/>
          <w:sz w:val="18"/>
          <w:szCs w:val="18"/>
        </w:rPr>
        <w:t xml:space="preserve">. As becomes clear from </w:t>
      </w:r>
      <w:r w:rsidR="0087472B">
        <w:rPr>
          <w:rFonts w:ascii="Verdana" w:hAnsi="Verdana"/>
          <w:sz w:val="18"/>
          <w:szCs w:val="18"/>
        </w:rPr>
        <w:t>the second indent of the reservation</w:t>
      </w:r>
      <w:r>
        <w:rPr>
          <w:rFonts w:ascii="Verdana" w:hAnsi="Verdana"/>
          <w:sz w:val="18"/>
          <w:szCs w:val="18"/>
        </w:rPr>
        <w:t>, t</w:t>
      </w:r>
      <w:r w:rsidR="000A15F3">
        <w:rPr>
          <w:rFonts w:ascii="Verdana" w:hAnsi="Verdana"/>
          <w:sz w:val="18"/>
          <w:szCs w:val="18"/>
        </w:rPr>
        <w:t>he Go</w:t>
      </w:r>
      <w:r>
        <w:rPr>
          <w:rFonts w:ascii="Verdana" w:hAnsi="Verdana"/>
          <w:sz w:val="18"/>
          <w:szCs w:val="18"/>
        </w:rPr>
        <w:t>vernment of the Netherlands</w:t>
      </w:r>
      <w:r w:rsidR="000A15F3">
        <w:rPr>
          <w:rFonts w:ascii="Verdana" w:hAnsi="Verdana"/>
          <w:sz w:val="18"/>
          <w:szCs w:val="18"/>
        </w:rPr>
        <w:t xml:space="preserve"> believes that situations may occur where detaining children in the same detention facilities as adults cannot be avoided.</w:t>
      </w:r>
      <w:r w:rsidR="00CA6A2D">
        <w:rPr>
          <w:rFonts w:ascii="Verdana" w:hAnsi="Verdana"/>
          <w:sz w:val="18"/>
          <w:szCs w:val="18"/>
        </w:rPr>
        <w:t xml:space="preserve"> Such </w:t>
      </w:r>
      <w:r w:rsidR="00691E43">
        <w:rPr>
          <w:rFonts w:ascii="Verdana" w:hAnsi="Verdana"/>
          <w:sz w:val="18"/>
          <w:szCs w:val="18"/>
        </w:rPr>
        <w:t xml:space="preserve">a </w:t>
      </w:r>
      <w:r w:rsidR="00CA6A2D">
        <w:rPr>
          <w:rFonts w:ascii="Verdana" w:hAnsi="Verdana"/>
          <w:sz w:val="18"/>
          <w:szCs w:val="18"/>
        </w:rPr>
        <w:t>situati</w:t>
      </w:r>
      <w:r w:rsidR="00691E43">
        <w:rPr>
          <w:rFonts w:ascii="Verdana" w:hAnsi="Verdana"/>
          <w:sz w:val="18"/>
          <w:szCs w:val="18"/>
        </w:rPr>
        <w:t>on</w:t>
      </w:r>
      <w:r w:rsidR="00CA6A2D">
        <w:rPr>
          <w:rFonts w:ascii="Verdana" w:hAnsi="Verdana"/>
          <w:sz w:val="18"/>
          <w:szCs w:val="18"/>
        </w:rPr>
        <w:t xml:space="preserve"> may arise if the number of children to be detained is unexpectedly large</w:t>
      </w:r>
      <w:r w:rsidR="00097C49">
        <w:rPr>
          <w:rFonts w:ascii="Verdana" w:hAnsi="Verdana"/>
          <w:sz w:val="18"/>
          <w:szCs w:val="18"/>
        </w:rPr>
        <w:t xml:space="preserve"> or</w:t>
      </w:r>
      <w:r w:rsidR="00273FAD">
        <w:rPr>
          <w:rFonts w:ascii="Verdana" w:hAnsi="Verdana"/>
          <w:sz w:val="18"/>
          <w:szCs w:val="18"/>
        </w:rPr>
        <w:t xml:space="preserve"> </w:t>
      </w:r>
      <w:r w:rsidR="00097C49">
        <w:rPr>
          <w:rFonts w:ascii="Verdana" w:hAnsi="Verdana"/>
          <w:sz w:val="18"/>
          <w:szCs w:val="18"/>
        </w:rPr>
        <w:t>if</w:t>
      </w:r>
      <w:r w:rsidR="00691E43">
        <w:rPr>
          <w:rFonts w:ascii="Verdana" w:hAnsi="Verdana"/>
          <w:sz w:val="18"/>
          <w:szCs w:val="18"/>
        </w:rPr>
        <w:t xml:space="preserve"> the number of children that has to be detained </w:t>
      </w:r>
      <w:r w:rsidR="00097C49">
        <w:rPr>
          <w:rFonts w:ascii="Verdana" w:hAnsi="Verdana"/>
          <w:sz w:val="18"/>
          <w:szCs w:val="18"/>
        </w:rPr>
        <w:t>is</w:t>
      </w:r>
      <w:r w:rsidR="00CA6A2D">
        <w:rPr>
          <w:rFonts w:ascii="Verdana" w:hAnsi="Verdana"/>
          <w:sz w:val="18"/>
          <w:szCs w:val="18"/>
        </w:rPr>
        <w:t xml:space="preserve"> </w:t>
      </w:r>
      <w:r w:rsidR="007D01E8">
        <w:rPr>
          <w:rFonts w:ascii="Verdana" w:hAnsi="Verdana"/>
          <w:sz w:val="18"/>
          <w:szCs w:val="18"/>
        </w:rPr>
        <w:t>very</w:t>
      </w:r>
      <w:r w:rsidR="00CA6A2D">
        <w:rPr>
          <w:rFonts w:ascii="Verdana" w:hAnsi="Verdana"/>
          <w:sz w:val="18"/>
          <w:szCs w:val="18"/>
        </w:rPr>
        <w:t xml:space="preserve"> low</w:t>
      </w:r>
      <w:r w:rsidR="007C6E6E">
        <w:rPr>
          <w:rFonts w:ascii="Verdana" w:hAnsi="Verdana"/>
          <w:sz w:val="18"/>
          <w:szCs w:val="18"/>
        </w:rPr>
        <w:t xml:space="preserve"> </w:t>
      </w:r>
      <w:r w:rsidR="008F77D4">
        <w:rPr>
          <w:rFonts w:ascii="Verdana" w:hAnsi="Verdana"/>
          <w:sz w:val="18"/>
          <w:szCs w:val="18"/>
        </w:rPr>
        <w:t xml:space="preserve">(in small regions) </w:t>
      </w:r>
      <w:r w:rsidR="007C6E6E">
        <w:rPr>
          <w:rFonts w:ascii="Verdana" w:hAnsi="Verdana"/>
          <w:sz w:val="18"/>
          <w:szCs w:val="18"/>
        </w:rPr>
        <w:t>or undetermined</w:t>
      </w:r>
      <w:r w:rsidR="00B30984">
        <w:rPr>
          <w:rFonts w:ascii="Verdana" w:hAnsi="Verdana"/>
          <w:sz w:val="18"/>
          <w:szCs w:val="18"/>
        </w:rPr>
        <w:t xml:space="preserve"> (for instance in regions where juvenile justice is newly introduced)</w:t>
      </w:r>
      <w:r w:rsidR="00097C49">
        <w:rPr>
          <w:rFonts w:ascii="Verdana" w:hAnsi="Verdana"/>
          <w:sz w:val="18"/>
          <w:szCs w:val="18"/>
        </w:rPr>
        <w:t xml:space="preserve">. </w:t>
      </w:r>
      <w:r w:rsidR="0070212B">
        <w:rPr>
          <w:rFonts w:ascii="Verdana" w:hAnsi="Verdana"/>
          <w:sz w:val="18"/>
          <w:szCs w:val="18"/>
        </w:rPr>
        <w:t>In that particular situation</w:t>
      </w:r>
      <w:r w:rsidR="00097C49">
        <w:rPr>
          <w:rFonts w:ascii="Verdana" w:hAnsi="Verdana"/>
          <w:sz w:val="18"/>
          <w:szCs w:val="18"/>
        </w:rPr>
        <w:t xml:space="preserve"> it may be</w:t>
      </w:r>
      <w:r w:rsidR="00691E43">
        <w:rPr>
          <w:rFonts w:ascii="Verdana" w:hAnsi="Verdana"/>
          <w:sz w:val="18"/>
          <w:szCs w:val="18"/>
        </w:rPr>
        <w:t xml:space="preserve"> reasonable to</w:t>
      </w:r>
      <w:r w:rsidR="009536D9">
        <w:rPr>
          <w:rFonts w:ascii="Verdana" w:hAnsi="Verdana"/>
          <w:sz w:val="18"/>
          <w:szCs w:val="18"/>
        </w:rPr>
        <w:t xml:space="preserve"> </w:t>
      </w:r>
      <w:r w:rsidR="00AF7B5D">
        <w:rPr>
          <w:rFonts w:ascii="Verdana" w:hAnsi="Verdana"/>
          <w:sz w:val="18"/>
          <w:szCs w:val="18"/>
        </w:rPr>
        <w:t>(</w:t>
      </w:r>
      <w:r w:rsidR="009536D9">
        <w:rPr>
          <w:rFonts w:ascii="Verdana" w:hAnsi="Verdana"/>
          <w:sz w:val="18"/>
          <w:szCs w:val="18"/>
        </w:rPr>
        <w:t>temporarily</w:t>
      </w:r>
      <w:r w:rsidR="00AF7B5D">
        <w:rPr>
          <w:rFonts w:ascii="Verdana" w:hAnsi="Verdana"/>
          <w:sz w:val="18"/>
          <w:szCs w:val="18"/>
        </w:rPr>
        <w:t>)</w:t>
      </w:r>
      <w:r w:rsidR="00691E43">
        <w:rPr>
          <w:rFonts w:ascii="Verdana" w:hAnsi="Verdana"/>
          <w:sz w:val="18"/>
          <w:szCs w:val="18"/>
        </w:rPr>
        <w:t xml:space="preserve"> detain </w:t>
      </w:r>
      <w:r w:rsidR="00097C49">
        <w:rPr>
          <w:rFonts w:ascii="Verdana" w:hAnsi="Verdana"/>
          <w:sz w:val="18"/>
          <w:szCs w:val="18"/>
        </w:rPr>
        <w:t>those children</w:t>
      </w:r>
      <w:r w:rsidR="00691E43">
        <w:rPr>
          <w:rFonts w:ascii="Verdana" w:hAnsi="Verdana"/>
          <w:sz w:val="18"/>
          <w:szCs w:val="18"/>
        </w:rPr>
        <w:t xml:space="preserve"> in a special wing</w:t>
      </w:r>
      <w:r w:rsidR="0070212B">
        <w:rPr>
          <w:rFonts w:ascii="Verdana" w:hAnsi="Verdana"/>
          <w:sz w:val="18"/>
          <w:szCs w:val="18"/>
        </w:rPr>
        <w:t xml:space="preserve"> or a separated ward</w:t>
      </w:r>
      <w:r w:rsidR="00691E43">
        <w:rPr>
          <w:rFonts w:ascii="Verdana" w:hAnsi="Verdana"/>
          <w:sz w:val="18"/>
          <w:szCs w:val="18"/>
        </w:rPr>
        <w:t xml:space="preserve"> of a detention facility meant for adults.</w:t>
      </w:r>
      <w:r w:rsidR="00AF7B5D">
        <w:rPr>
          <w:rFonts w:ascii="Verdana" w:hAnsi="Verdana"/>
          <w:sz w:val="18"/>
          <w:szCs w:val="18"/>
        </w:rPr>
        <w:t xml:space="preserve"> Also in this regard, the child’s best interests should be a primary consideration.</w:t>
      </w:r>
    </w:p>
    <w:p w14:paraId="2EBC1FA0" w14:textId="2256BB6C" w:rsidR="00AD2028" w:rsidRPr="00DE4613" w:rsidRDefault="007D01E8" w:rsidP="00781CF5">
      <w:pPr>
        <w:jc w:val="both"/>
        <w:rPr>
          <w:rFonts w:ascii="Verdana" w:hAnsi="Verdana"/>
          <w:iCs/>
          <w:sz w:val="18"/>
          <w:szCs w:val="18"/>
        </w:rPr>
      </w:pPr>
      <w:r>
        <w:rPr>
          <w:rFonts w:ascii="Verdana" w:hAnsi="Verdana"/>
          <w:sz w:val="18"/>
          <w:szCs w:val="18"/>
        </w:rPr>
        <w:t>1</w:t>
      </w:r>
      <w:r w:rsidR="00D278BB">
        <w:rPr>
          <w:rFonts w:ascii="Verdana" w:hAnsi="Verdana"/>
          <w:sz w:val="18"/>
          <w:szCs w:val="18"/>
        </w:rPr>
        <w:t>6</w:t>
      </w:r>
      <w:r>
        <w:rPr>
          <w:rFonts w:ascii="Verdana" w:hAnsi="Verdana"/>
          <w:sz w:val="18"/>
          <w:szCs w:val="18"/>
        </w:rPr>
        <w:t xml:space="preserve">. </w:t>
      </w:r>
      <w:r w:rsidR="00097C49">
        <w:rPr>
          <w:rFonts w:ascii="Verdana" w:hAnsi="Verdana"/>
          <w:sz w:val="18"/>
          <w:szCs w:val="18"/>
        </w:rPr>
        <w:t xml:space="preserve">Paragraph 104 of the </w:t>
      </w:r>
      <w:r w:rsidR="00DB20F2">
        <w:rPr>
          <w:rFonts w:ascii="Verdana" w:hAnsi="Verdana"/>
          <w:sz w:val="18"/>
          <w:szCs w:val="18"/>
        </w:rPr>
        <w:t>D</w:t>
      </w:r>
      <w:r w:rsidR="00097C49">
        <w:rPr>
          <w:rFonts w:ascii="Verdana" w:hAnsi="Verdana"/>
          <w:sz w:val="18"/>
          <w:szCs w:val="18"/>
        </w:rPr>
        <w:t>raft text does not seem to leave room for such situations</w:t>
      </w:r>
      <w:r w:rsidR="00DB20F2">
        <w:rPr>
          <w:rFonts w:ascii="Verdana" w:hAnsi="Verdana"/>
          <w:sz w:val="18"/>
          <w:szCs w:val="18"/>
        </w:rPr>
        <w:t>, as it is formulated in rather absolute terms</w:t>
      </w:r>
      <w:r w:rsidR="00097C49">
        <w:rPr>
          <w:rFonts w:ascii="Verdana" w:hAnsi="Verdana"/>
          <w:sz w:val="18"/>
          <w:szCs w:val="18"/>
        </w:rPr>
        <w:t xml:space="preserve">. The Government would suggest an amendment of the text so as to </w:t>
      </w:r>
      <w:r w:rsidR="002B532E">
        <w:rPr>
          <w:rFonts w:ascii="Verdana" w:hAnsi="Verdana"/>
          <w:sz w:val="18"/>
          <w:szCs w:val="18"/>
        </w:rPr>
        <w:t xml:space="preserve">acknowledge that these situations may </w:t>
      </w:r>
      <w:r w:rsidR="002E0D9B">
        <w:rPr>
          <w:rFonts w:ascii="Verdana" w:hAnsi="Verdana"/>
          <w:sz w:val="18"/>
          <w:szCs w:val="18"/>
        </w:rPr>
        <w:t>occur</w:t>
      </w:r>
      <w:r w:rsidR="002B532E">
        <w:rPr>
          <w:rFonts w:ascii="Verdana" w:hAnsi="Verdana"/>
          <w:sz w:val="18"/>
          <w:szCs w:val="18"/>
        </w:rPr>
        <w:t>.</w:t>
      </w:r>
    </w:p>
    <w:sectPr w:rsidR="00AD2028" w:rsidRPr="00DE46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1E11E" w14:textId="77777777" w:rsidR="0038260C" w:rsidRDefault="0038260C" w:rsidP="00CC512C">
      <w:pPr>
        <w:spacing w:after="0" w:line="240" w:lineRule="auto"/>
      </w:pPr>
      <w:r>
        <w:separator/>
      </w:r>
    </w:p>
  </w:endnote>
  <w:endnote w:type="continuationSeparator" w:id="0">
    <w:p w14:paraId="78CE2169" w14:textId="77777777" w:rsidR="0038260C" w:rsidRDefault="0038260C" w:rsidP="00CC5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F69F2" w14:textId="77777777" w:rsidR="0038260C" w:rsidRDefault="0038260C" w:rsidP="00CC512C">
      <w:pPr>
        <w:spacing w:after="0" w:line="240" w:lineRule="auto"/>
      </w:pPr>
      <w:r>
        <w:separator/>
      </w:r>
    </w:p>
  </w:footnote>
  <w:footnote w:type="continuationSeparator" w:id="0">
    <w:p w14:paraId="23772F0D" w14:textId="77777777" w:rsidR="0038260C" w:rsidRDefault="0038260C" w:rsidP="00CC512C">
      <w:pPr>
        <w:spacing w:after="0" w:line="240" w:lineRule="auto"/>
      </w:pPr>
      <w:r>
        <w:continuationSeparator/>
      </w:r>
    </w:p>
  </w:footnote>
  <w:footnote w:id="1">
    <w:p w14:paraId="69F6C422" w14:textId="77777777" w:rsidR="00CC512C" w:rsidRPr="002E0D9B" w:rsidRDefault="00CC512C" w:rsidP="004A7235">
      <w:pPr>
        <w:pStyle w:val="FootnoteText"/>
        <w:rPr>
          <w:rFonts w:ascii="Verdana" w:hAnsi="Verdana"/>
          <w:sz w:val="16"/>
          <w:szCs w:val="16"/>
        </w:rPr>
      </w:pPr>
      <w:r w:rsidRPr="007C62B1">
        <w:rPr>
          <w:rStyle w:val="FootnoteReference"/>
          <w:rFonts w:ascii="Verdana" w:hAnsi="Verdana"/>
          <w:sz w:val="16"/>
          <w:szCs w:val="16"/>
        </w:rPr>
        <w:footnoteRef/>
      </w:r>
      <w:r w:rsidRPr="007C62B1">
        <w:rPr>
          <w:rFonts w:ascii="Verdana" w:hAnsi="Verdana"/>
          <w:sz w:val="16"/>
          <w:szCs w:val="16"/>
        </w:rPr>
        <w:t xml:space="preserve"> </w:t>
      </w:r>
      <w:r w:rsidRPr="002E0D9B">
        <w:rPr>
          <w:rFonts w:ascii="Verdana" w:hAnsi="Verdana"/>
          <w:sz w:val="16"/>
          <w:szCs w:val="16"/>
        </w:rPr>
        <w:t>Draft te</w:t>
      </w:r>
      <w:r w:rsidR="004A7235" w:rsidRPr="002E0D9B">
        <w:rPr>
          <w:rFonts w:ascii="Verdana" w:hAnsi="Verdana"/>
          <w:sz w:val="16"/>
          <w:szCs w:val="16"/>
        </w:rPr>
        <w:t>x</w:t>
      </w:r>
      <w:r w:rsidRPr="002E0D9B">
        <w:rPr>
          <w:rFonts w:ascii="Verdana" w:hAnsi="Verdana"/>
          <w:sz w:val="16"/>
          <w:szCs w:val="16"/>
        </w:rPr>
        <w:t>t para. 32.</w:t>
      </w:r>
    </w:p>
  </w:footnote>
  <w:footnote w:id="2">
    <w:p w14:paraId="3ACF2B70" w14:textId="77777777" w:rsidR="007C62B1" w:rsidRPr="007C62B1" w:rsidRDefault="007C62B1" w:rsidP="007C62B1">
      <w:pPr>
        <w:pStyle w:val="FootnoteText"/>
      </w:pPr>
      <w:r w:rsidRPr="007C62B1">
        <w:rPr>
          <w:rStyle w:val="FootnoteReference"/>
          <w:rFonts w:ascii="Verdana" w:hAnsi="Verdana"/>
          <w:sz w:val="16"/>
          <w:szCs w:val="16"/>
        </w:rPr>
        <w:footnoteRef/>
      </w:r>
      <w:r w:rsidRPr="007C62B1">
        <w:rPr>
          <w:rFonts w:ascii="Verdana" w:hAnsi="Verdana"/>
          <w:sz w:val="16"/>
          <w:szCs w:val="16"/>
        </w:rPr>
        <w:t xml:space="preserve"> See, for instance, D</w:t>
      </w:r>
      <w:r>
        <w:rPr>
          <w:rFonts w:ascii="Verdana" w:hAnsi="Verdana"/>
          <w:sz w:val="16"/>
          <w:szCs w:val="16"/>
        </w:rPr>
        <w:t>irective</w:t>
      </w:r>
      <w:r w:rsidRPr="007C62B1">
        <w:rPr>
          <w:rFonts w:ascii="Verdana" w:hAnsi="Verdana"/>
          <w:sz w:val="16"/>
          <w:szCs w:val="16"/>
        </w:rPr>
        <w:t xml:space="preserve"> (EU) 2016/800 </w:t>
      </w:r>
      <w:r>
        <w:rPr>
          <w:rFonts w:ascii="Verdana" w:hAnsi="Verdana"/>
          <w:sz w:val="16"/>
          <w:szCs w:val="16"/>
        </w:rPr>
        <w:t>of the</w:t>
      </w:r>
      <w:r w:rsidRPr="007C62B1">
        <w:rPr>
          <w:rFonts w:ascii="Verdana" w:hAnsi="Verdana"/>
          <w:sz w:val="16"/>
          <w:szCs w:val="16"/>
        </w:rPr>
        <w:t xml:space="preserve"> E</w:t>
      </w:r>
      <w:r>
        <w:rPr>
          <w:rFonts w:ascii="Verdana" w:hAnsi="Verdana"/>
          <w:sz w:val="16"/>
          <w:szCs w:val="16"/>
        </w:rPr>
        <w:t>uropean Parliament and of the Council</w:t>
      </w:r>
      <w:r w:rsidRPr="007C62B1">
        <w:rPr>
          <w:rFonts w:ascii="Verdana" w:hAnsi="Verdana"/>
          <w:sz w:val="16"/>
          <w:szCs w:val="16"/>
        </w:rPr>
        <w:t xml:space="preserve"> of 11 May 2016 on procedural safeguards for children who are suspects or accused persons in criminal proceedings.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149"/>
    <w:rsid w:val="000064CD"/>
    <w:rsid w:val="00080ADA"/>
    <w:rsid w:val="00097C49"/>
    <w:rsid w:val="000A15F3"/>
    <w:rsid w:val="000C48E8"/>
    <w:rsid w:val="000F5133"/>
    <w:rsid w:val="00100E67"/>
    <w:rsid w:val="001455A0"/>
    <w:rsid w:val="001976D4"/>
    <w:rsid w:val="001A6D4F"/>
    <w:rsid w:val="00233090"/>
    <w:rsid w:val="00257969"/>
    <w:rsid w:val="00271BD8"/>
    <w:rsid w:val="00273FAD"/>
    <w:rsid w:val="00297D01"/>
    <w:rsid w:val="002B532E"/>
    <w:rsid w:val="002E0B6C"/>
    <w:rsid w:val="002E0D9B"/>
    <w:rsid w:val="0030566B"/>
    <w:rsid w:val="003340F0"/>
    <w:rsid w:val="0038260C"/>
    <w:rsid w:val="003A0A45"/>
    <w:rsid w:val="003C0B52"/>
    <w:rsid w:val="003C4591"/>
    <w:rsid w:val="003F3E1F"/>
    <w:rsid w:val="004A3C12"/>
    <w:rsid w:val="004A7235"/>
    <w:rsid w:val="004C59D2"/>
    <w:rsid w:val="0050703C"/>
    <w:rsid w:val="00526B16"/>
    <w:rsid w:val="00547056"/>
    <w:rsid w:val="0058099A"/>
    <w:rsid w:val="00596C3F"/>
    <w:rsid w:val="0061187A"/>
    <w:rsid w:val="00612709"/>
    <w:rsid w:val="00633BC6"/>
    <w:rsid w:val="00637910"/>
    <w:rsid w:val="00642060"/>
    <w:rsid w:val="006843CE"/>
    <w:rsid w:val="00691E43"/>
    <w:rsid w:val="006B6FDA"/>
    <w:rsid w:val="0070212B"/>
    <w:rsid w:val="00737A8D"/>
    <w:rsid w:val="00781CF5"/>
    <w:rsid w:val="007C62B1"/>
    <w:rsid w:val="007C6E6E"/>
    <w:rsid w:val="007D01E8"/>
    <w:rsid w:val="0084157D"/>
    <w:rsid w:val="0087472B"/>
    <w:rsid w:val="00875DB0"/>
    <w:rsid w:val="0088431E"/>
    <w:rsid w:val="00892FBD"/>
    <w:rsid w:val="00897C62"/>
    <w:rsid w:val="008D24AD"/>
    <w:rsid w:val="008F77D4"/>
    <w:rsid w:val="009536D9"/>
    <w:rsid w:val="009F1921"/>
    <w:rsid w:val="00A00CAA"/>
    <w:rsid w:val="00A220E2"/>
    <w:rsid w:val="00A232E1"/>
    <w:rsid w:val="00A7536D"/>
    <w:rsid w:val="00AB4DAA"/>
    <w:rsid w:val="00AC1E7B"/>
    <w:rsid w:val="00AD2028"/>
    <w:rsid w:val="00AD2D87"/>
    <w:rsid w:val="00AF7B5D"/>
    <w:rsid w:val="00B2008F"/>
    <w:rsid w:val="00B30984"/>
    <w:rsid w:val="00B331AE"/>
    <w:rsid w:val="00B7302A"/>
    <w:rsid w:val="00BB337A"/>
    <w:rsid w:val="00BC0D94"/>
    <w:rsid w:val="00C2717C"/>
    <w:rsid w:val="00C310A9"/>
    <w:rsid w:val="00C92B89"/>
    <w:rsid w:val="00CA6A2D"/>
    <w:rsid w:val="00CB053A"/>
    <w:rsid w:val="00CC331F"/>
    <w:rsid w:val="00CC512C"/>
    <w:rsid w:val="00CE3BC5"/>
    <w:rsid w:val="00CE50C6"/>
    <w:rsid w:val="00CF598A"/>
    <w:rsid w:val="00D052A8"/>
    <w:rsid w:val="00D05670"/>
    <w:rsid w:val="00D278BB"/>
    <w:rsid w:val="00D75020"/>
    <w:rsid w:val="00D83976"/>
    <w:rsid w:val="00D85C60"/>
    <w:rsid w:val="00DB0592"/>
    <w:rsid w:val="00DB20F2"/>
    <w:rsid w:val="00DE4613"/>
    <w:rsid w:val="00DE7295"/>
    <w:rsid w:val="00E52EEE"/>
    <w:rsid w:val="00E53745"/>
    <w:rsid w:val="00E662A0"/>
    <w:rsid w:val="00E91023"/>
    <w:rsid w:val="00E94248"/>
    <w:rsid w:val="00EA3CC5"/>
    <w:rsid w:val="00EB79A9"/>
    <w:rsid w:val="00ED3212"/>
    <w:rsid w:val="00EE3149"/>
    <w:rsid w:val="00F372AA"/>
    <w:rsid w:val="00F45CE9"/>
    <w:rsid w:val="00F83380"/>
    <w:rsid w:val="00F91FF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297E5"/>
  <w15:docId w15:val="{15F0F655-6C75-47B1-86B7-930D2783A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149"/>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F3E1F"/>
    <w:rPr>
      <w:sz w:val="16"/>
      <w:szCs w:val="16"/>
    </w:rPr>
  </w:style>
  <w:style w:type="paragraph" w:styleId="CommentText">
    <w:name w:val="annotation text"/>
    <w:basedOn w:val="Normal"/>
    <w:link w:val="CommentTextChar"/>
    <w:uiPriority w:val="99"/>
    <w:semiHidden/>
    <w:unhideWhenUsed/>
    <w:rsid w:val="003F3E1F"/>
    <w:pPr>
      <w:spacing w:line="240" w:lineRule="auto"/>
    </w:pPr>
    <w:rPr>
      <w:sz w:val="20"/>
      <w:szCs w:val="20"/>
    </w:rPr>
  </w:style>
  <w:style w:type="character" w:customStyle="1" w:styleId="CommentTextChar">
    <w:name w:val="Comment Text Char"/>
    <w:basedOn w:val="DefaultParagraphFont"/>
    <w:link w:val="CommentText"/>
    <w:uiPriority w:val="99"/>
    <w:semiHidden/>
    <w:rsid w:val="003F3E1F"/>
    <w:rPr>
      <w:sz w:val="20"/>
      <w:szCs w:val="20"/>
      <w:lang w:val="en-US"/>
    </w:rPr>
  </w:style>
  <w:style w:type="paragraph" w:styleId="CommentSubject">
    <w:name w:val="annotation subject"/>
    <w:basedOn w:val="CommentText"/>
    <w:next w:val="CommentText"/>
    <w:link w:val="CommentSubjectChar"/>
    <w:uiPriority w:val="99"/>
    <w:semiHidden/>
    <w:unhideWhenUsed/>
    <w:rsid w:val="003F3E1F"/>
    <w:rPr>
      <w:b/>
      <w:bCs/>
    </w:rPr>
  </w:style>
  <w:style w:type="character" w:customStyle="1" w:styleId="CommentSubjectChar">
    <w:name w:val="Comment Subject Char"/>
    <w:basedOn w:val="CommentTextChar"/>
    <w:link w:val="CommentSubject"/>
    <w:uiPriority w:val="99"/>
    <w:semiHidden/>
    <w:rsid w:val="003F3E1F"/>
    <w:rPr>
      <w:b/>
      <w:bCs/>
      <w:sz w:val="20"/>
      <w:szCs w:val="20"/>
      <w:lang w:val="en-US"/>
    </w:rPr>
  </w:style>
  <w:style w:type="paragraph" w:styleId="BalloonText">
    <w:name w:val="Balloon Text"/>
    <w:basedOn w:val="Normal"/>
    <w:link w:val="BalloonTextChar"/>
    <w:uiPriority w:val="99"/>
    <w:semiHidden/>
    <w:unhideWhenUsed/>
    <w:rsid w:val="003F3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E1F"/>
    <w:rPr>
      <w:rFonts w:ascii="Tahoma" w:hAnsi="Tahoma" w:cs="Tahoma"/>
      <w:sz w:val="16"/>
      <w:szCs w:val="16"/>
      <w:lang w:val="en-US"/>
    </w:rPr>
  </w:style>
  <w:style w:type="paragraph" w:styleId="FootnoteText">
    <w:name w:val="footnote text"/>
    <w:basedOn w:val="Normal"/>
    <w:link w:val="FootnoteTextChar"/>
    <w:uiPriority w:val="99"/>
    <w:semiHidden/>
    <w:unhideWhenUsed/>
    <w:rsid w:val="00CC51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512C"/>
    <w:rPr>
      <w:sz w:val="20"/>
      <w:szCs w:val="20"/>
      <w:lang w:val="en-US"/>
    </w:rPr>
  </w:style>
  <w:style w:type="character" w:styleId="FootnoteReference">
    <w:name w:val="footnote reference"/>
    <w:basedOn w:val="DefaultParagraphFont"/>
    <w:uiPriority w:val="99"/>
    <w:semiHidden/>
    <w:unhideWhenUsed/>
    <w:rsid w:val="00CC512C"/>
    <w:rPr>
      <w:vertAlign w:val="superscript"/>
    </w:rPr>
  </w:style>
  <w:style w:type="character" w:styleId="Hyperlink">
    <w:name w:val="Hyperlink"/>
    <w:basedOn w:val="DefaultParagraphFont"/>
    <w:uiPriority w:val="99"/>
    <w:unhideWhenUsed/>
    <w:rsid w:val="00E91023"/>
    <w:rPr>
      <w:color w:val="0000FF" w:themeColor="hyperlink"/>
      <w:u w:val="single"/>
    </w:rPr>
  </w:style>
  <w:style w:type="character" w:styleId="FollowedHyperlink">
    <w:name w:val="FollowedHyperlink"/>
    <w:basedOn w:val="DefaultParagraphFont"/>
    <w:uiPriority w:val="99"/>
    <w:semiHidden/>
    <w:unhideWhenUsed/>
    <w:rsid w:val="00DB05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9E77F6-20BE-4E63-B785-4F662AA19E7F}">
  <ds:schemaRefs>
    <ds:schemaRef ds:uri="http://schemas.openxmlformats.org/officeDocument/2006/bibliography"/>
  </ds:schemaRefs>
</ds:datastoreItem>
</file>

<file path=customXml/itemProps2.xml><?xml version="1.0" encoding="utf-8"?>
<ds:datastoreItem xmlns:ds="http://schemas.openxmlformats.org/officeDocument/2006/customXml" ds:itemID="{5F892E96-4933-4A67-92B3-0C99D05E041B}"/>
</file>

<file path=customXml/itemProps3.xml><?xml version="1.0" encoding="utf-8"?>
<ds:datastoreItem xmlns:ds="http://schemas.openxmlformats.org/officeDocument/2006/customXml" ds:itemID="{365B5548-5CA5-437B-B35D-8152C8E988EA}"/>
</file>

<file path=customXml/itemProps4.xml><?xml version="1.0" encoding="utf-8"?>
<ds:datastoreItem xmlns:ds="http://schemas.openxmlformats.org/officeDocument/2006/customXml" ds:itemID="{FE3AF96B-4013-4CCD-9705-3A80F842169D}"/>
</file>

<file path=docProps/app.xml><?xml version="1.0" encoding="utf-8"?>
<Properties xmlns="http://schemas.openxmlformats.org/officeDocument/2006/extended-properties" xmlns:vt="http://schemas.openxmlformats.org/officeDocument/2006/docPropsVTypes">
  <Template>Normal.dotm</Template>
  <TotalTime>0</TotalTime>
  <Pages>3</Pages>
  <Words>1136</Words>
  <Characters>6477</Characters>
  <Application>Microsoft Office Word</Application>
  <DocSecurity>0</DocSecurity>
  <Lines>53</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Ministerie van Veiligheid en Justitie</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Veldhuizen, J. van - BD/DWJZ/JZW</dc:creator>
  <cp:lastModifiedBy>BOIT James</cp:lastModifiedBy>
  <cp:revision>2</cp:revision>
  <dcterms:created xsi:type="dcterms:W3CDTF">2019-01-13T15:11:00Z</dcterms:created>
  <dcterms:modified xsi:type="dcterms:W3CDTF">2019-01-13T15:11:00Z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