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09DD" w14:textId="7BE16BF1" w:rsidR="00A42936" w:rsidRPr="001C55F3" w:rsidRDefault="005E26D4" w:rsidP="001C164F">
      <w:pPr>
        <w:rPr>
          <w:rFonts w:cstheme="minorHAnsi"/>
          <w:b/>
          <w:sz w:val="20"/>
          <w:szCs w:val="20"/>
        </w:rPr>
      </w:pPr>
      <w:bookmarkStart w:id="0" w:name="_GoBack"/>
      <w:bookmarkEnd w:id="0"/>
      <w:r w:rsidRPr="001C55F3">
        <w:rPr>
          <w:rFonts w:cstheme="minorHAnsi"/>
          <w:b/>
          <w:sz w:val="20"/>
          <w:szCs w:val="20"/>
        </w:rPr>
        <w:t xml:space="preserve">Save the Children New Zealand </w:t>
      </w:r>
      <w:r w:rsidR="00505C4C" w:rsidRPr="001C55F3">
        <w:rPr>
          <w:rFonts w:cstheme="minorHAnsi"/>
          <w:b/>
          <w:sz w:val="20"/>
          <w:szCs w:val="20"/>
        </w:rPr>
        <w:t>S</w:t>
      </w:r>
      <w:r w:rsidR="00DA0801" w:rsidRPr="001C55F3">
        <w:rPr>
          <w:rFonts w:cstheme="minorHAnsi"/>
          <w:b/>
          <w:sz w:val="20"/>
          <w:szCs w:val="20"/>
        </w:rPr>
        <w:t>ubmission</w:t>
      </w:r>
    </w:p>
    <w:p w14:paraId="5BD9B6EA" w14:textId="06F2D536" w:rsidR="002815CC" w:rsidRPr="001C55F3" w:rsidRDefault="00B06F18" w:rsidP="001C164F">
      <w:pPr>
        <w:rPr>
          <w:rFonts w:cstheme="minorHAnsi"/>
          <w:sz w:val="20"/>
          <w:szCs w:val="20"/>
        </w:rPr>
      </w:pPr>
      <w:r w:rsidRPr="001C55F3">
        <w:rPr>
          <w:rFonts w:cstheme="minorHAnsi"/>
          <w:sz w:val="20"/>
          <w:szCs w:val="20"/>
        </w:rPr>
        <w:t>Committee on the</w:t>
      </w:r>
      <w:r w:rsidR="002815CC" w:rsidRPr="001C55F3">
        <w:rPr>
          <w:rFonts w:cstheme="minorHAnsi"/>
          <w:sz w:val="20"/>
          <w:szCs w:val="20"/>
        </w:rPr>
        <w:t xml:space="preserve"> Rights</w:t>
      </w:r>
      <w:r w:rsidRPr="001C55F3">
        <w:rPr>
          <w:rFonts w:cstheme="minorHAnsi"/>
          <w:sz w:val="20"/>
          <w:szCs w:val="20"/>
        </w:rPr>
        <w:t xml:space="preserve"> of the</w:t>
      </w:r>
      <w:r w:rsidR="002815CC" w:rsidRPr="001C55F3">
        <w:rPr>
          <w:rFonts w:cstheme="minorHAnsi"/>
          <w:sz w:val="20"/>
          <w:szCs w:val="20"/>
        </w:rPr>
        <w:t xml:space="preserve"> </w:t>
      </w:r>
      <w:r w:rsidRPr="001C55F3">
        <w:rPr>
          <w:rFonts w:cstheme="minorHAnsi"/>
          <w:sz w:val="20"/>
          <w:szCs w:val="20"/>
        </w:rPr>
        <w:t>Child Draft Revised General Comm</w:t>
      </w:r>
      <w:r w:rsidR="002815CC" w:rsidRPr="001C55F3">
        <w:rPr>
          <w:rFonts w:cstheme="minorHAnsi"/>
          <w:sz w:val="20"/>
          <w:szCs w:val="20"/>
        </w:rPr>
        <w:t>ent No. 24 replacing General Comment No. 10 (2007) on children’s rights in juvenile justice.</w:t>
      </w:r>
    </w:p>
    <w:p w14:paraId="1B15F29D" w14:textId="383E7A12" w:rsidR="00DA0801" w:rsidRPr="001C55F3" w:rsidRDefault="00C7610C" w:rsidP="001C164F">
      <w:pPr>
        <w:rPr>
          <w:rFonts w:cstheme="minorHAnsi"/>
          <w:sz w:val="20"/>
          <w:szCs w:val="20"/>
        </w:rPr>
      </w:pPr>
      <w:r w:rsidRPr="001C55F3">
        <w:rPr>
          <w:rFonts w:cstheme="minorHAnsi"/>
          <w:sz w:val="20"/>
          <w:szCs w:val="20"/>
        </w:rPr>
        <w:t xml:space="preserve">Comment from </w:t>
      </w:r>
      <w:r w:rsidR="00DA0801" w:rsidRPr="001C55F3">
        <w:rPr>
          <w:rFonts w:cstheme="minorHAnsi"/>
          <w:sz w:val="20"/>
          <w:szCs w:val="20"/>
        </w:rPr>
        <w:t xml:space="preserve">Save the Children New Zealand </w:t>
      </w:r>
    </w:p>
    <w:p w14:paraId="627D7775" w14:textId="77777777" w:rsidR="0057535B" w:rsidRPr="001C55F3" w:rsidRDefault="0057535B" w:rsidP="001C164F">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1D9F1670" w14:textId="3C6AA660" w:rsidR="00DA0801" w:rsidRPr="001C55F3" w:rsidRDefault="00DA0801" w:rsidP="001C164F">
      <w:pPr>
        <w:pStyle w:val="paragraph"/>
        <w:spacing w:before="0" w:beforeAutospacing="0" w:after="0" w:afterAutospacing="0"/>
        <w:textAlignment w:val="baseline"/>
        <w:rPr>
          <w:rFonts w:asciiTheme="minorHAnsi" w:hAnsiTheme="minorHAnsi" w:cstheme="minorHAnsi"/>
          <w:sz w:val="20"/>
          <w:szCs w:val="20"/>
        </w:rPr>
      </w:pPr>
      <w:r w:rsidRPr="001C55F3">
        <w:rPr>
          <w:rStyle w:val="normaltextrun"/>
          <w:rFonts w:asciiTheme="minorHAnsi" w:hAnsiTheme="minorHAnsi" w:cstheme="minorHAnsi"/>
          <w:b/>
          <w:bCs/>
          <w:sz w:val="20"/>
          <w:szCs w:val="20"/>
        </w:rPr>
        <w:t>Our Organisation:</w:t>
      </w:r>
      <w:r w:rsidRPr="001C55F3">
        <w:rPr>
          <w:rStyle w:val="normaltextrun"/>
          <w:rFonts w:asciiTheme="minorHAnsi" w:hAnsiTheme="minorHAnsi" w:cstheme="minorHAnsi"/>
          <w:sz w:val="20"/>
          <w:szCs w:val="20"/>
        </w:rPr>
        <w:t> Save the Children was founded in 1919 and is the world’s leading independent organisation for children.  We work in 120 countries to save and improve the lives of children around the world.</w:t>
      </w:r>
      <w:r w:rsidRPr="001C55F3">
        <w:rPr>
          <w:rStyle w:val="eop"/>
          <w:rFonts w:asciiTheme="minorHAnsi" w:hAnsiTheme="minorHAnsi" w:cstheme="minorHAnsi"/>
          <w:sz w:val="20"/>
          <w:szCs w:val="20"/>
        </w:rPr>
        <w:t> </w:t>
      </w:r>
    </w:p>
    <w:p w14:paraId="7B2C86F9" w14:textId="77777777" w:rsidR="00DA0801" w:rsidRPr="001C55F3" w:rsidRDefault="00DA0801" w:rsidP="001C164F">
      <w:pPr>
        <w:pStyle w:val="paragraph"/>
        <w:spacing w:before="0" w:beforeAutospacing="0" w:after="0" w:afterAutospacing="0"/>
        <w:textAlignment w:val="baseline"/>
        <w:rPr>
          <w:rFonts w:asciiTheme="minorHAnsi" w:hAnsiTheme="minorHAnsi" w:cstheme="minorHAnsi"/>
          <w:sz w:val="20"/>
          <w:szCs w:val="20"/>
        </w:rPr>
      </w:pPr>
      <w:r w:rsidRPr="001C55F3">
        <w:rPr>
          <w:rStyle w:val="normaltextrun"/>
          <w:rFonts w:asciiTheme="minorHAnsi" w:hAnsiTheme="minorHAnsi" w:cstheme="minorHAnsi"/>
          <w:b/>
          <w:bCs/>
          <w:sz w:val="20"/>
          <w:szCs w:val="20"/>
        </w:rPr>
        <w:t>Vision:</w:t>
      </w:r>
      <w:r w:rsidRPr="001C55F3">
        <w:rPr>
          <w:rStyle w:val="normaltextrun"/>
          <w:rFonts w:asciiTheme="minorHAnsi" w:hAnsiTheme="minorHAnsi" w:cstheme="minorHAnsi"/>
          <w:sz w:val="20"/>
          <w:szCs w:val="20"/>
        </w:rPr>
        <w:t> Save the Children’s vision is a world in which every child attains the right to survival, protection, development and participation.</w:t>
      </w:r>
      <w:r w:rsidRPr="001C55F3">
        <w:rPr>
          <w:rStyle w:val="eop"/>
          <w:rFonts w:asciiTheme="minorHAnsi" w:hAnsiTheme="minorHAnsi" w:cstheme="minorHAnsi"/>
          <w:sz w:val="20"/>
          <w:szCs w:val="20"/>
        </w:rPr>
        <w:t> </w:t>
      </w:r>
    </w:p>
    <w:p w14:paraId="7642F8D0" w14:textId="77777777" w:rsidR="00DA0801" w:rsidRPr="001C55F3" w:rsidRDefault="00DA0801" w:rsidP="001C164F">
      <w:pPr>
        <w:pStyle w:val="paragraph"/>
        <w:spacing w:before="0" w:beforeAutospacing="0" w:after="0" w:afterAutospacing="0"/>
        <w:textAlignment w:val="baseline"/>
        <w:rPr>
          <w:rFonts w:asciiTheme="minorHAnsi" w:hAnsiTheme="minorHAnsi" w:cstheme="minorHAnsi"/>
          <w:sz w:val="20"/>
          <w:szCs w:val="20"/>
        </w:rPr>
      </w:pPr>
      <w:r w:rsidRPr="001C55F3">
        <w:rPr>
          <w:rStyle w:val="normaltextrun"/>
          <w:rFonts w:asciiTheme="minorHAnsi" w:hAnsiTheme="minorHAnsi" w:cstheme="minorHAnsi"/>
          <w:b/>
          <w:bCs/>
          <w:sz w:val="20"/>
          <w:szCs w:val="20"/>
        </w:rPr>
        <w:t>Mission:</w:t>
      </w:r>
      <w:r w:rsidRPr="001C55F3">
        <w:rPr>
          <w:rStyle w:val="normaltextrun"/>
          <w:rFonts w:asciiTheme="minorHAnsi" w:hAnsiTheme="minorHAnsi" w:cstheme="minorHAnsi"/>
          <w:sz w:val="20"/>
          <w:szCs w:val="20"/>
        </w:rPr>
        <w:t> We work to inspire breakthroughs in the way the world treats children and to achieve immediate and lasting change in their lives.</w:t>
      </w:r>
      <w:r w:rsidRPr="001C55F3">
        <w:rPr>
          <w:rStyle w:val="eop"/>
          <w:rFonts w:asciiTheme="minorHAnsi" w:hAnsiTheme="minorHAnsi" w:cstheme="minorHAnsi"/>
          <w:sz w:val="20"/>
          <w:szCs w:val="20"/>
        </w:rPr>
        <w:t> </w:t>
      </w:r>
    </w:p>
    <w:p w14:paraId="0250353C" w14:textId="77777777" w:rsidR="00DA0801" w:rsidRPr="001C55F3" w:rsidRDefault="00DA0801" w:rsidP="001C164F">
      <w:pPr>
        <w:pStyle w:val="paragraph"/>
        <w:spacing w:before="0" w:beforeAutospacing="0" w:after="0" w:afterAutospacing="0"/>
        <w:textAlignment w:val="baseline"/>
        <w:rPr>
          <w:rFonts w:asciiTheme="minorHAnsi" w:hAnsiTheme="minorHAnsi" w:cstheme="minorHAnsi"/>
          <w:sz w:val="20"/>
          <w:szCs w:val="20"/>
        </w:rPr>
      </w:pPr>
      <w:r w:rsidRPr="001C55F3">
        <w:rPr>
          <w:rStyle w:val="normaltextrun"/>
          <w:rFonts w:asciiTheme="minorHAnsi" w:hAnsiTheme="minorHAnsi" w:cstheme="minorHAnsi"/>
          <w:sz w:val="20"/>
          <w:szCs w:val="20"/>
        </w:rPr>
        <w:t>Save the Children New Zealand was established in 1947 in Christchurch.  We work to uphold the rights of children both in New Zealand and overseas.</w:t>
      </w:r>
      <w:r w:rsidRPr="001C55F3">
        <w:rPr>
          <w:rStyle w:val="eop"/>
          <w:rFonts w:asciiTheme="minorHAnsi" w:hAnsiTheme="minorHAnsi" w:cstheme="minorHAnsi"/>
          <w:sz w:val="20"/>
          <w:szCs w:val="20"/>
        </w:rPr>
        <w:t> </w:t>
      </w:r>
    </w:p>
    <w:p w14:paraId="5A16E10A" w14:textId="77777777" w:rsidR="00DA0801" w:rsidRPr="001C55F3" w:rsidRDefault="00DA0801" w:rsidP="001C164F">
      <w:pPr>
        <w:pStyle w:val="paragraph"/>
        <w:spacing w:before="0" w:beforeAutospacing="0" w:after="0" w:afterAutospacing="0"/>
        <w:textAlignment w:val="baseline"/>
        <w:rPr>
          <w:rFonts w:asciiTheme="minorHAnsi" w:hAnsiTheme="minorHAnsi" w:cstheme="minorHAnsi"/>
          <w:sz w:val="20"/>
          <w:szCs w:val="20"/>
        </w:rPr>
      </w:pPr>
      <w:r w:rsidRPr="001C55F3">
        <w:rPr>
          <w:rStyle w:val="normaltextrun"/>
          <w:rFonts w:asciiTheme="minorHAnsi" w:hAnsiTheme="minorHAnsi" w:cstheme="minorHAnsi"/>
          <w:b/>
          <w:bCs/>
          <w:sz w:val="20"/>
          <w:szCs w:val="20"/>
        </w:rPr>
        <w:t>Our Ambition:</w:t>
      </w:r>
      <w:r w:rsidRPr="001C55F3">
        <w:rPr>
          <w:rStyle w:val="normaltextrun"/>
          <w:rFonts w:asciiTheme="minorHAnsi" w:hAnsiTheme="minorHAnsi" w:cstheme="minorHAnsi"/>
          <w:sz w:val="20"/>
          <w:szCs w:val="20"/>
        </w:rPr>
        <w:t> </w:t>
      </w:r>
      <w:r w:rsidRPr="001C55F3">
        <w:rPr>
          <w:rStyle w:val="normaltextrun"/>
          <w:rFonts w:asciiTheme="minorHAnsi" w:hAnsiTheme="minorHAnsi" w:cstheme="minorHAnsi"/>
          <w:color w:val="444444"/>
          <w:sz w:val="20"/>
          <w:szCs w:val="20"/>
        </w:rPr>
        <w:t> </w:t>
      </w:r>
      <w:r w:rsidRPr="001C55F3">
        <w:rPr>
          <w:rStyle w:val="normaltextrun"/>
          <w:rFonts w:asciiTheme="minorHAnsi" w:hAnsiTheme="minorHAnsi" w:cstheme="minorHAnsi"/>
          <w:sz w:val="20"/>
          <w:szCs w:val="20"/>
        </w:rPr>
        <w:t>We commit to doing whatever it takes to ensure by 2030 ALL children, especially the most marginalized and deprived, survive, learn, and are protected.</w:t>
      </w:r>
      <w:r w:rsidRPr="001C55F3">
        <w:rPr>
          <w:rStyle w:val="normaltextrun"/>
          <w:rFonts w:asciiTheme="minorHAnsi" w:hAnsiTheme="minorHAnsi" w:cstheme="minorHAnsi"/>
          <w:color w:val="444444"/>
          <w:sz w:val="20"/>
          <w:szCs w:val="20"/>
        </w:rPr>
        <w:t> </w:t>
      </w:r>
      <w:r w:rsidRPr="001C55F3">
        <w:rPr>
          <w:rStyle w:val="eop"/>
          <w:rFonts w:asciiTheme="minorHAnsi" w:hAnsiTheme="minorHAnsi" w:cstheme="minorHAnsi"/>
          <w:sz w:val="20"/>
          <w:szCs w:val="20"/>
        </w:rPr>
        <w:t> </w:t>
      </w:r>
    </w:p>
    <w:p w14:paraId="61AA3AA4" w14:textId="5C3EEB82" w:rsidR="00DA0801" w:rsidRPr="001C55F3" w:rsidRDefault="00DA0801" w:rsidP="001C164F">
      <w:pPr>
        <w:rPr>
          <w:rFonts w:cstheme="minorHAnsi"/>
          <w:sz w:val="20"/>
          <w:szCs w:val="20"/>
        </w:rPr>
      </w:pPr>
    </w:p>
    <w:p w14:paraId="105C1599" w14:textId="037FB125" w:rsidR="00DA0801" w:rsidRPr="001C55F3" w:rsidRDefault="00DA0801" w:rsidP="001C164F">
      <w:pPr>
        <w:pStyle w:val="paragraph"/>
        <w:spacing w:before="0" w:beforeAutospacing="0" w:after="0" w:afterAutospacing="0"/>
        <w:textAlignment w:val="baseline"/>
        <w:rPr>
          <w:rStyle w:val="eop"/>
          <w:rFonts w:asciiTheme="minorHAnsi" w:hAnsiTheme="minorHAnsi" w:cstheme="minorHAnsi"/>
          <w:sz w:val="20"/>
          <w:szCs w:val="20"/>
        </w:rPr>
      </w:pPr>
      <w:r w:rsidRPr="001C55F3">
        <w:rPr>
          <w:rStyle w:val="normaltextrun"/>
          <w:rFonts w:asciiTheme="minorHAnsi" w:hAnsiTheme="minorHAnsi" w:cstheme="minorHAnsi"/>
          <w:color w:val="000000"/>
          <w:sz w:val="20"/>
          <w:szCs w:val="20"/>
        </w:rPr>
        <w:t xml:space="preserve">Save the Children New Zealand has a vested interest in the rights and wellbeing of children globally, and in Aotearoa New Zealand.  We work to ensure the rights of all children in New Zealand </w:t>
      </w:r>
      <w:proofErr w:type="gramStart"/>
      <w:r w:rsidRPr="001C55F3">
        <w:rPr>
          <w:rStyle w:val="normaltextrun"/>
          <w:rFonts w:asciiTheme="minorHAnsi" w:hAnsiTheme="minorHAnsi" w:cstheme="minorHAnsi"/>
          <w:color w:val="000000"/>
          <w:sz w:val="20"/>
          <w:szCs w:val="20"/>
        </w:rPr>
        <w:t>are upheld</w:t>
      </w:r>
      <w:proofErr w:type="gramEnd"/>
      <w:r w:rsidR="00C1371E" w:rsidRPr="001C55F3">
        <w:rPr>
          <w:rStyle w:val="normaltextrun"/>
          <w:rFonts w:asciiTheme="minorHAnsi" w:hAnsiTheme="minorHAnsi" w:cstheme="minorHAnsi"/>
          <w:color w:val="000000"/>
          <w:sz w:val="20"/>
          <w:szCs w:val="20"/>
        </w:rPr>
        <w:t>,</w:t>
      </w:r>
      <w:r w:rsidR="00AF28AB" w:rsidRPr="001C55F3">
        <w:rPr>
          <w:rStyle w:val="eop"/>
          <w:rFonts w:asciiTheme="minorHAnsi" w:hAnsiTheme="minorHAnsi" w:cstheme="minorHAnsi"/>
          <w:sz w:val="20"/>
          <w:szCs w:val="20"/>
        </w:rPr>
        <w:t xml:space="preserve"> including those children who may be in conflict with the law.</w:t>
      </w:r>
    </w:p>
    <w:p w14:paraId="4C289D8C" w14:textId="77777777" w:rsidR="006366E1" w:rsidRPr="001C55F3" w:rsidRDefault="006366E1" w:rsidP="001C164F">
      <w:pPr>
        <w:pStyle w:val="paragraph"/>
        <w:spacing w:before="0" w:beforeAutospacing="0" w:after="0" w:afterAutospacing="0"/>
        <w:textAlignment w:val="baseline"/>
        <w:rPr>
          <w:rFonts w:asciiTheme="minorHAnsi" w:hAnsiTheme="minorHAnsi" w:cstheme="minorHAnsi"/>
          <w:sz w:val="20"/>
          <w:szCs w:val="20"/>
        </w:rPr>
      </w:pPr>
    </w:p>
    <w:p w14:paraId="1D21927B" w14:textId="057BCBA2" w:rsidR="00DA0801" w:rsidRPr="001C55F3" w:rsidRDefault="006366E1" w:rsidP="001C164F">
      <w:pPr>
        <w:pStyle w:val="paragraph"/>
        <w:spacing w:before="0" w:beforeAutospacing="0" w:after="0" w:afterAutospacing="0"/>
        <w:textAlignment w:val="baseline"/>
        <w:rPr>
          <w:rFonts w:asciiTheme="minorHAnsi" w:hAnsiTheme="minorHAnsi" w:cstheme="minorBidi"/>
          <w:sz w:val="20"/>
          <w:szCs w:val="20"/>
        </w:rPr>
      </w:pPr>
      <w:r w:rsidRPr="31F70C4D">
        <w:rPr>
          <w:rStyle w:val="normaltextrun"/>
          <w:rFonts w:asciiTheme="minorHAnsi" w:hAnsiTheme="minorHAnsi" w:cstheme="minorBidi"/>
          <w:sz w:val="20"/>
          <w:szCs w:val="20"/>
        </w:rPr>
        <w:t>Our work is guided by</w:t>
      </w:r>
      <w:r w:rsidR="00DA0801" w:rsidRPr="31F70C4D">
        <w:rPr>
          <w:rStyle w:val="normaltextrun"/>
          <w:rFonts w:asciiTheme="minorHAnsi" w:hAnsiTheme="minorHAnsi" w:cstheme="minorBidi"/>
          <w:sz w:val="20"/>
          <w:szCs w:val="20"/>
        </w:rPr>
        <w:t xml:space="preserve"> the guiding principles of the United Nations Convention on the Rights of the Child</w:t>
      </w:r>
      <w:r w:rsidR="00DA0801" w:rsidRPr="31F70C4D">
        <w:rPr>
          <w:rStyle w:val="scxw17953479"/>
          <w:rFonts w:asciiTheme="minorHAnsi" w:hAnsiTheme="minorHAnsi" w:cstheme="minorBidi"/>
          <w:sz w:val="20"/>
          <w:szCs w:val="20"/>
          <w:vertAlign w:val="superscript"/>
        </w:rPr>
        <w:t>2</w:t>
      </w:r>
      <w:r w:rsidR="00DA0801" w:rsidRPr="31F70C4D">
        <w:rPr>
          <w:rStyle w:val="normaltextrun"/>
          <w:rFonts w:asciiTheme="minorHAnsi" w:hAnsiTheme="minorHAnsi" w:cstheme="minorBidi"/>
          <w:sz w:val="20"/>
          <w:szCs w:val="20"/>
        </w:rPr>
        <w:t xml:space="preserve"> (the Convention </w:t>
      </w:r>
      <w:r w:rsidR="00496DDC" w:rsidRPr="31F70C4D">
        <w:rPr>
          <w:rStyle w:val="normaltextrun"/>
          <w:rFonts w:asciiTheme="minorHAnsi" w:hAnsiTheme="minorHAnsi" w:cstheme="minorBidi"/>
          <w:sz w:val="20"/>
          <w:szCs w:val="20"/>
        </w:rPr>
        <w:t>–</w:t>
      </w:r>
      <w:r w:rsidR="00DA0801" w:rsidRPr="31F70C4D">
        <w:rPr>
          <w:rStyle w:val="normaltextrun"/>
          <w:rFonts w:asciiTheme="minorHAnsi" w:hAnsiTheme="minorHAnsi" w:cstheme="minorBidi"/>
          <w:sz w:val="20"/>
          <w:szCs w:val="20"/>
        </w:rPr>
        <w:t> </w:t>
      </w:r>
      <w:r w:rsidR="00496DDC" w:rsidRPr="31F70C4D">
        <w:rPr>
          <w:rStyle w:val="normaltextrun"/>
          <w:rFonts w:asciiTheme="minorHAnsi" w:hAnsiTheme="minorHAnsi" w:cstheme="minorBidi"/>
          <w:sz w:val="20"/>
          <w:szCs w:val="20"/>
        </w:rPr>
        <w:t xml:space="preserve">to </w:t>
      </w:r>
      <w:r w:rsidR="00DA0801" w:rsidRPr="31F70C4D">
        <w:rPr>
          <w:rStyle w:val="normaltextrun"/>
          <w:rFonts w:asciiTheme="minorHAnsi" w:hAnsiTheme="minorHAnsi" w:cstheme="minorBidi"/>
          <w:sz w:val="20"/>
          <w:szCs w:val="20"/>
        </w:rPr>
        <w:t xml:space="preserve">which New Zealand is a States Party) and the range of rights guaranteed to all children under the </w:t>
      </w:r>
      <w:r w:rsidR="008A1ADF" w:rsidRPr="31F70C4D">
        <w:rPr>
          <w:rStyle w:val="normaltextrun"/>
          <w:rFonts w:asciiTheme="minorHAnsi" w:hAnsiTheme="minorHAnsi" w:cstheme="minorBidi"/>
          <w:sz w:val="20"/>
          <w:szCs w:val="20"/>
        </w:rPr>
        <w:t xml:space="preserve">United Nations </w:t>
      </w:r>
      <w:r w:rsidR="00DA0801" w:rsidRPr="31F70C4D">
        <w:rPr>
          <w:rStyle w:val="normaltextrun"/>
          <w:rFonts w:asciiTheme="minorHAnsi" w:hAnsiTheme="minorHAnsi" w:cstheme="minorBidi"/>
          <w:sz w:val="20"/>
          <w:szCs w:val="20"/>
        </w:rPr>
        <w:t>Convention</w:t>
      </w:r>
      <w:r w:rsidR="008A1ADF" w:rsidRPr="31F70C4D">
        <w:rPr>
          <w:rStyle w:val="normaltextrun"/>
          <w:rFonts w:asciiTheme="minorHAnsi" w:hAnsiTheme="minorHAnsi" w:cstheme="minorBidi"/>
          <w:sz w:val="20"/>
          <w:szCs w:val="20"/>
        </w:rPr>
        <w:t xml:space="preserve"> on the Rights of the Child</w:t>
      </w:r>
      <w:r w:rsidR="008A1ADF" w:rsidRPr="31F70C4D">
        <w:rPr>
          <w:rStyle w:val="FootnoteReference"/>
          <w:rFonts w:asciiTheme="minorHAnsi" w:hAnsiTheme="minorHAnsi" w:cstheme="minorBidi"/>
          <w:sz w:val="20"/>
          <w:szCs w:val="20"/>
        </w:rPr>
        <w:footnoteReference w:id="2"/>
      </w:r>
      <w:r w:rsidR="00DA0801" w:rsidRPr="31F70C4D">
        <w:rPr>
          <w:rStyle w:val="normaltextrun"/>
          <w:rFonts w:asciiTheme="minorHAnsi" w:hAnsiTheme="minorHAnsi" w:cstheme="minorBidi"/>
          <w:sz w:val="20"/>
          <w:szCs w:val="20"/>
        </w:rPr>
        <w:t> </w:t>
      </w:r>
      <w:r w:rsidR="00850A48" w:rsidRPr="31F70C4D">
        <w:rPr>
          <w:rStyle w:val="normaltextrun"/>
          <w:rFonts w:asciiTheme="minorHAnsi" w:hAnsiTheme="minorHAnsi" w:cstheme="minorBidi"/>
          <w:sz w:val="20"/>
          <w:szCs w:val="20"/>
        </w:rPr>
        <w:t>informing</w:t>
      </w:r>
      <w:r w:rsidR="00DA0801" w:rsidRPr="31F70C4D">
        <w:rPr>
          <w:rStyle w:val="normaltextrun"/>
          <w:rFonts w:asciiTheme="minorHAnsi" w:hAnsiTheme="minorHAnsi" w:cstheme="minorBidi"/>
          <w:sz w:val="20"/>
          <w:szCs w:val="20"/>
        </w:rPr>
        <w:t xml:space="preserve"> our advocacy for children’s rights and wellbeing. </w:t>
      </w:r>
      <w:r w:rsidR="00850A48" w:rsidRPr="31F70C4D">
        <w:rPr>
          <w:rStyle w:val="normaltextrun"/>
          <w:rFonts w:asciiTheme="minorHAnsi" w:hAnsiTheme="minorHAnsi" w:cstheme="minorBidi"/>
          <w:sz w:val="20"/>
          <w:szCs w:val="20"/>
        </w:rPr>
        <w:t xml:space="preserve"> </w:t>
      </w:r>
      <w:r w:rsidR="00DA0801" w:rsidRPr="31F70C4D">
        <w:rPr>
          <w:rStyle w:val="normaltextrun"/>
          <w:rFonts w:asciiTheme="minorHAnsi" w:hAnsiTheme="minorHAnsi" w:cstheme="minorBidi"/>
          <w:sz w:val="20"/>
          <w:szCs w:val="20"/>
        </w:rPr>
        <w:t xml:space="preserve">Save the Children </w:t>
      </w:r>
      <w:r w:rsidR="00850A48" w:rsidRPr="31F70C4D">
        <w:rPr>
          <w:rStyle w:val="normaltextrun"/>
          <w:rFonts w:asciiTheme="minorHAnsi" w:hAnsiTheme="minorHAnsi" w:cstheme="minorBidi"/>
          <w:sz w:val="20"/>
          <w:szCs w:val="20"/>
        </w:rPr>
        <w:t>is</w:t>
      </w:r>
      <w:r w:rsidR="00DA0801" w:rsidRPr="31F70C4D">
        <w:rPr>
          <w:rStyle w:val="normaltextrun"/>
          <w:rFonts w:asciiTheme="minorHAnsi" w:hAnsiTheme="minorHAnsi" w:cstheme="minorBidi"/>
          <w:sz w:val="20"/>
          <w:szCs w:val="20"/>
        </w:rPr>
        <w:t xml:space="preserve"> pleased to have this opportunity to provide a submission on the Draft of </w:t>
      </w:r>
      <w:r w:rsidR="00DA0801" w:rsidRPr="31F70C4D">
        <w:rPr>
          <w:rFonts w:asciiTheme="minorHAnsi" w:hAnsiTheme="minorHAnsi" w:cstheme="minorBidi"/>
          <w:sz w:val="20"/>
          <w:szCs w:val="20"/>
        </w:rPr>
        <w:t>General Comment No. 24, replacing General Comment No. 10 (2007): Children’s rights in juvenile justice.</w:t>
      </w:r>
    </w:p>
    <w:p w14:paraId="11AF3C8E" w14:textId="2981E739" w:rsidR="006E3274" w:rsidRPr="001C55F3" w:rsidRDefault="006E3274" w:rsidP="001C164F">
      <w:pPr>
        <w:pStyle w:val="paragraph"/>
        <w:spacing w:before="0" w:beforeAutospacing="0" w:after="0" w:afterAutospacing="0"/>
        <w:textAlignment w:val="baseline"/>
        <w:rPr>
          <w:rFonts w:asciiTheme="minorHAnsi" w:hAnsiTheme="minorHAnsi" w:cstheme="minorHAnsi"/>
          <w:sz w:val="20"/>
          <w:szCs w:val="20"/>
        </w:rPr>
      </w:pPr>
    </w:p>
    <w:p w14:paraId="77904727" w14:textId="0E01A2BB" w:rsidR="006E3274" w:rsidRPr="001C55F3" w:rsidRDefault="006E3274" w:rsidP="001C164F">
      <w:pPr>
        <w:pStyle w:val="paragraph"/>
        <w:spacing w:before="0" w:beforeAutospacing="0" w:after="0" w:afterAutospacing="0"/>
        <w:textAlignment w:val="baseline"/>
        <w:rPr>
          <w:rFonts w:asciiTheme="minorHAnsi" w:hAnsiTheme="minorHAnsi" w:cstheme="minorHAnsi"/>
          <w:sz w:val="20"/>
          <w:szCs w:val="20"/>
        </w:rPr>
      </w:pPr>
      <w:r w:rsidRPr="00010998">
        <w:rPr>
          <w:rFonts w:asciiTheme="minorHAnsi" w:hAnsiTheme="minorHAnsi" w:cstheme="minorHAnsi"/>
          <w:sz w:val="20"/>
          <w:szCs w:val="20"/>
        </w:rPr>
        <w:t>We have consulted with the Human Rights Commission</w:t>
      </w:r>
      <w:r w:rsidR="00505C4C" w:rsidRPr="00010998">
        <w:rPr>
          <w:rStyle w:val="FootnoteReference"/>
          <w:rFonts w:asciiTheme="minorHAnsi" w:hAnsiTheme="minorHAnsi" w:cstheme="minorHAnsi"/>
          <w:sz w:val="20"/>
          <w:szCs w:val="20"/>
        </w:rPr>
        <w:footnoteReference w:id="3"/>
      </w:r>
      <w:r w:rsidRPr="00010998">
        <w:rPr>
          <w:rFonts w:asciiTheme="minorHAnsi" w:hAnsiTheme="minorHAnsi" w:cstheme="minorHAnsi"/>
          <w:sz w:val="20"/>
          <w:szCs w:val="20"/>
        </w:rPr>
        <w:t xml:space="preserve"> in the development of this submission.</w:t>
      </w:r>
    </w:p>
    <w:p w14:paraId="2BFD36BA" w14:textId="330C1088" w:rsidR="00DA0801" w:rsidRPr="001C55F3" w:rsidRDefault="00DA0801" w:rsidP="001C164F">
      <w:pPr>
        <w:rPr>
          <w:rFonts w:cstheme="minorHAnsi"/>
          <w:sz w:val="20"/>
          <w:szCs w:val="20"/>
        </w:rPr>
      </w:pPr>
    </w:p>
    <w:p w14:paraId="70E30998" w14:textId="2C742F15" w:rsidR="00633147" w:rsidRPr="001C55F3" w:rsidRDefault="00633147" w:rsidP="001C164F">
      <w:pPr>
        <w:rPr>
          <w:rFonts w:cstheme="minorHAnsi"/>
          <w:b/>
          <w:sz w:val="20"/>
          <w:szCs w:val="20"/>
        </w:rPr>
      </w:pPr>
      <w:r w:rsidRPr="001C55F3">
        <w:rPr>
          <w:rFonts w:cstheme="minorHAnsi"/>
          <w:b/>
          <w:sz w:val="20"/>
          <w:szCs w:val="20"/>
        </w:rPr>
        <w:t>Introduction</w:t>
      </w:r>
    </w:p>
    <w:p w14:paraId="598B68CC" w14:textId="77777777" w:rsidR="00C10B38" w:rsidRDefault="00C7610C" w:rsidP="001C164F">
      <w:pPr>
        <w:rPr>
          <w:rFonts w:cstheme="minorHAnsi"/>
          <w:sz w:val="20"/>
          <w:szCs w:val="20"/>
        </w:rPr>
      </w:pPr>
      <w:r w:rsidRPr="001C55F3">
        <w:rPr>
          <w:rFonts w:cstheme="minorHAnsi"/>
          <w:sz w:val="20"/>
          <w:szCs w:val="20"/>
        </w:rPr>
        <w:t>Th</w:t>
      </w:r>
      <w:r w:rsidR="00097095" w:rsidRPr="001C55F3">
        <w:rPr>
          <w:rFonts w:cstheme="minorHAnsi"/>
          <w:sz w:val="20"/>
          <w:szCs w:val="20"/>
        </w:rPr>
        <w:t xml:space="preserve">e issue of juvenile justice is highly relevant to New Zealand.  In July 2019 </w:t>
      </w:r>
      <w:r w:rsidR="00F7089F" w:rsidRPr="001C55F3">
        <w:rPr>
          <w:rFonts w:cstheme="minorHAnsi"/>
          <w:sz w:val="20"/>
          <w:szCs w:val="20"/>
        </w:rPr>
        <w:t>the New Zealand</w:t>
      </w:r>
      <w:r w:rsidR="00EC52A7" w:rsidRPr="001C55F3">
        <w:rPr>
          <w:rFonts w:cstheme="minorHAnsi"/>
          <w:sz w:val="20"/>
          <w:szCs w:val="20"/>
        </w:rPr>
        <w:t xml:space="preserve"> </w:t>
      </w:r>
      <w:r w:rsidR="00097095" w:rsidRPr="001C55F3">
        <w:rPr>
          <w:rFonts w:cstheme="minorHAnsi"/>
          <w:sz w:val="20"/>
          <w:szCs w:val="20"/>
        </w:rPr>
        <w:t xml:space="preserve">justice system will include 17-year olds in the </w:t>
      </w:r>
      <w:r w:rsidR="001B317C" w:rsidRPr="001C55F3">
        <w:rPr>
          <w:rFonts w:cstheme="minorHAnsi"/>
          <w:sz w:val="20"/>
          <w:szCs w:val="20"/>
        </w:rPr>
        <w:t>juvenile</w:t>
      </w:r>
      <w:r w:rsidR="00097095" w:rsidRPr="001C55F3">
        <w:rPr>
          <w:rFonts w:cstheme="minorHAnsi"/>
          <w:sz w:val="20"/>
          <w:szCs w:val="20"/>
        </w:rPr>
        <w:t xml:space="preserve"> justice system</w:t>
      </w:r>
      <w:r w:rsidR="0039777F" w:rsidRPr="001C55F3">
        <w:rPr>
          <w:rFonts w:cstheme="minorHAnsi"/>
          <w:sz w:val="20"/>
          <w:szCs w:val="20"/>
        </w:rPr>
        <w:t xml:space="preserve"> as the age of criminal majority is raised to </w:t>
      </w:r>
      <w:r w:rsidR="0078402C" w:rsidRPr="001C55F3">
        <w:rPr>
          <w:rFonts w:cstheme="minorHAnsi"/>
          <w:sz w:val="20"/>
          <w:szCs w:val="20"/>
        </w:rPr>
        <w:t>18 years old</w:t>
      </w:r>
      <w:r w:rsidR="001B317C" w:rsidRPr="001C55F3">
        <w:rPr>
          <w:rFonts w:cstheme="minorHAnsi"/>
          <w:sz w:val="20"/>
          <w:szCs w:val="20"/>
        </w:rPr>
        <w:t>.  T</w:t>
      </w:r>
      <w:r w:rsidR="00097095" w:rsidRPr="001C55F3">
        <w:rPr>
          <w:rFonts w:cstheme="minorHAnsi"/>
          <w:sz w:val="20"/>
          <w:szCs w:val="20"/>
        </w:rPr>
        <w:t xml:space="preserve">his will see </w:t>
      </w:r>
      <w:r w:rsidR="00C72940" w:rsidRPr="001C55F3">
        <w:rPr>
          <w:rFonts w:cstheme="minorHAnsi"/>
          <w:sz w:val="20"/>
          <w:szCs w:val="20"/>
        </w:rPr>
        <w:t>New Zealand</w:t>
      </w:r>
      <w:r w:rsidR="00097095" w:rsidRPr="001C55F3">
        <w:rPr>
          <w:rFonts w:cstheme="minorHAnsi"/>
          <w:sz w:val="20"/>
          <w:szCs w:val="20"/>
        </w:rPr>
        <w:t xml:space="preserve"> comply with</w:t>
      </w:r>
      <w:r w:rsidR="0078402C" w:rsidRPr="001C55F3">
        <w:rPr>
          <w:rFonts w:cstheme="minorHAnsi"/>
          <w:sz w:val="20"/>
          <w:szCs w:val="20"/>
        </w:rPr>
        <w:t xml:space="preserve"> </w:t>
      </w:r>
      <w:r w:rsidR="00F7089F" w:rsidRPr="001C55F3">
        <w:rPr>
          <w:rFonts w:cstheme="minorHAnsi"/>
          <w:sz w:val="20"/>
          <w:szCs w:val="20"/>
        </w:rPr>
        <w:t>recommend</w:t>
      </w:r>
      <w:r w:rsidR="001B317C" w:rsidRPr="001C55F3">
        <w:rPr>
          <w:rFonts w:cstheme="minorHAnsi"/>
          <w:sz w:val="20"/>
          <w:szCs w:val="20"/>
        </w:rPr>
        <w:t>ed</w:t>
      </w:r>
      <w:r w:rsidR="00F7089F" w:rsidRPr="001C55F3">
        <w:rPr>
          <w:rFonts w:cstheme="minorHAnsi"/>
          <w:sz w:val="20"/>
          <w:szCs w:val="20"/>
        </w:rPr>
        <w:t xml:space="preserve"> international standards </w:t>
      </w:r>
      <w:r w:rsidR="0029678A" w:rsidRPr="001C55F3">
        <w:rPr>
          <w:rFonts w:cstheme="minorHAnsi"/>
          <w:sz w:val="20"/>
          <w:szCs w:val="20"/>
        </w:rPr>
        <w:t>and adhere to previous recommendations</w:t>
      </w:r>
      <w:r w:rsidR="005776F8" w:rsidRPr="001C55F3">
        <w:rPr>
          <w:rFonts w:cstheme="minorHAnsi"/>
          <w:sz w:val="20"/>
          <w:szCs w:val="20"/>
        </w:rPr>
        <w:t xml:space="preserve"> by the Committee on the Rights of the Child</w:t>
      </w:r>
      <w:r w:rsidR="00F74FAA" w:rsidRPr="001C55F3">
        <w:rPr>
          <w:rStyle w:val="FootnoteReference"/>
          <w:rFonts w:cstheme="minorHAnsi"/>
          <w:sz w:val="20"/>
          <w:szCs w:val="20"/>
        </w:rPr>
        <w:footnoteReference w:id="4"/>
      </w:r>
      <w:r w:rsidR="0029678A" w:rsidRPr="001C55F3">
        <w:rPr>
          <w:rFonts w:cstheme="minorHAnsi"/>
          <w:sz w:val="20"/>
          <w:szCs w:val="20"/>
        </w:rPr>
        <w:t xml:space="preserve"> to raise the age of criminal majority to 18 years</w:t>
      </w:r>
      <w:r w:rsidR="005776F8" w:rsidRPr="001C55F3">
        <w:rPr>
          <w:rFonts w:cstheme="minorHAnsi"/>
          <w:sz w:val="20"/>
          <w:szCs w:val="20"/>
        </w:rPr>
        <w:t>.  However, the age of criminal responsibility in New Zealand is currently 10 years of age</w:t>
      </w:r>
      <w:r w:rsidR="008960CF" w:rsidRPr="001C55F3">
        <w:rPr>
          <w:rStyle w:val="FootnoteReference"/>
          <w:rFonts w:cstheme="minorHAnsi"/>
          <w:sz w:val="20"/>
          <w:szCs w:val="20"/>
        </w:rPr>
        <w:footnoteReference w:id="5"/>
      </w:r>
      <w:r w:rsidR="00057985" w:rsidRPr="001C55F3">
        <w:rPr>
          <w:rFonts w:cstheme="minorHAnsi"/>
          <w:sz w:val="20"/>
          <w:szCs w:val="20"/>
        </w:rPr>
        <w:t xml:space="preserve"> which falls significantly below the international recommendations of 14 years of age.</w:t>
      </w:r>
      <w:r w:rsidR="00291077" w:rsidRPr="001C55F3">
        <w:rPr>
          <w:rFonts w:cstheme="minorHAnsi"/>
          <w:sz w:val="20"/>
          <w:szCs w:val="20"/>
        </w:rPr>
        <w:t xml:space="preserve">  </w:t>
      </w:r>
    </w:p>
    <w:p w14:paraId="6036E804" w14:textId="3F707D80" w:rsidR="00097095" w:rsidRPr="001C55F3" w:rsidRDefault="00057985" w:rsidP="001C164F">
      <w:pPr>
        <w:rPr>
          <w:rFonts w:cstheme="minorHAnsi"/>
          <w:sz w:val="20"/>
          <w:szCs w:val="20"/>
        </w:rPr>
      </w:pPr>
      <w:r w:rsidRPr="001C55F3">
        <w:rPr>
          <w:rFonts w:cstheme="minorHAnsi"/>
          <w:sz w:val="20"/>
          <w:szCs w:val="20"/>
        </w:rPr>
        <w:lastRenderedPageBreak/>
        <w:t xml:space="preserve">Further to this, New Zealand has </w:t>
      </w:r>
      <w:r w:rsidR="00097095" w:rsidRPr="001C55F3">
        <w:rPr>
          <w:rFonts w:cstheme="minorHAnsi"/>
          <w:sz w:val="20"/>
          <w:szCs w:val="20"/>
        </w:rPr>
        <w:t>high and growing rates of incarceration</w:t>
      </w:r>
      <w:r w:rsidR="00DE5EE8" w:rsidRPr="001C55F3">
        <w:rPr>
          <w:rStyle w:val="FootnoteReference"/>
          <w:rFonts w:cstheme="minorHAnsi"/>
          <w:sz w:val="20"/>
          <w:szCs w:val="20"/>
        </w:rPr>
        <w:footnoteReference w:id="6"/>
      </w:r>
      <w:r w:rsidR="00147B84" w:rsidRPr="001C55F3">
        <w:rPr>
          <w:rFonts w:cstheme="minorHAnsi"/>
          <w:sz w:val="20"/>
          <w:szCs w:val="20"/>
        </w:rPr>
        <w:t xml:space="preserve"> </w:t>
      </w:r>
      <w:r w:rsidR="00B60C0E" w:rsidRPr="001C55F3">
        <w:rPr>
          <w:rStyle w:val="FootnoteReference"/>
          <w:rFonts w:cstheme="minorHAnsi"/>
          <w:sz w:val="20"/>
          <w:szCs w:val="20"/>
        </w:rPr>
        <w:footnoteReference w:id="7"/>
      </w:r>
      <w:r w:rsidR="00097095" w:rsidRPr="001C55F3">
        <w:rPr>
          <w:rFonts w:cstheme="minorHAnsi"/>
          <w:sz w:val="20"/>
          <w:szCs w:val="20"/>
        </w:rPr>
        <w:t xml:space="preserve"> at huge societal and financial costs to society, building bigger prisons will not solve this problem, rather prevention and alternative justice measures ha</w:t>
      </w:r>
      <w:r w:rsidR="002C20DA" w:rsidRPr="001C55F3">
        <w:rPr>
          <w:rFonts w:cstheme="minorHAnsi"/>
          <w:sz w:val="20"/>
          <w:szCs w:val="20"/>
        </w:rPr>
        <w:t xml:space="preserve">ve </w:t>
      </w:r>
      <w:r w:rsidR="00097095" w:rsidRPr="001C55F3">
        <w:rPr>
          <w:rFonts w:cstheme="minorHAnsi"/>
          <w:sz w:val="20"/>
          <w:szCs w:val="20"/>
        </w:rPr>
        <w:t xml:space="preserve">the potential to </w:t>
      </w:r>
      <w:r w:rsidR="002C20DA" w:rsidRPr="001C55F3">
        <w:rPr>
          <w:rFonts w:cstheme="minorHAnsi"/>
          <w:sz w:val="20"/>
          <w:szCs w:val="20"/>
        </w:rPr>
        <w:t>deliver</w:t>
      </w:r>
      <w:r w:rsidR="00097095" w:rsidRPr="001C55F3">
        <w:rPr>
          <w:rFonts w:cstheme="minorHAnsi"/>
          <w:sz w:val="20"/>
          <w:szCs w:val="20"/>
        </w:rPr>
        <w:t xml:space="preserve"> the positive impacts we need</w:t>
      </w:r>
      <w:r w:rsidR="0009780D" w:rsidRPr="001C55F3">
        <w:rPr>
          <w:rStyle w:val="FootnoteReference"/>
          <w:rFonts w:cstheme="minorHAnsi"/>
          <w:sz w:val="20"/>
          <w:szCs w:val="20"/>
        </w:rPr>
        <w:footnoteReference w:id="8"/>
      </w:r>
      <w:r w:rsidR="00097095" w:rsidRPr="001C55F3">
        <w:rPr>
          <w:rFonts w:cstheme="minorHAnsi"/>
          <w:sz w:val="20"/>
          <w:szCs w:val="20"/>
        </w:rPr>
        <w:t xml:space="preserve">. </w:t>
      </w:r>
    </w:p>
    <w:p w14:paraId="10F25467" w14:textId="6031E665" w:rsidR="00F75A0D" w:rsidRPr="001C55F3" w:rsidRDefault="00DA0801" w:rsidP="001C164F">
      <w:pPr>
        <w:rPr>
          <w:rFonts w:cstheme="minorHAnsi"/>
          <w:sz w:val="20"/>
          <w:szCs w:val="20"/>
        </w:rPr>
      </w:pPr>
      <w:r w:rsidRPr="001C55F3">
        <w:rPr>
          <w:rFonts w:cstheme="minorHAnsi"/>
          <w:sz w:val="20"/>
          <w:szCs w:val="20"/>
        </w:rPr>
        <w:t>Save the Children</w:t>
      </w:r>
      <w:r w:rsidR="00AF28AB" w:rsidRPr="001C55F3">
        <w:rPr>
          <w:rFonts w:cstheme="minorHAnsi"/>
          <w:sz w:val="20"/>
          <w:szCs w:val="20"/>
        </w:rPr>
        <w:t xml:space="preserve"> </w:t>
      </w:r>
      <w:r w:rsidR="006E3274" w:rsidRPr="001C55F3">
        <w:rPr>
          <w:rFonts w:cstheme="minorHAnsi"/>
          <w:sz w:val="20"/>
          <w:szCs w:val="20"/>
        </w:rPr>
        <w:t>s</w:t>
      </w:r>
      <w:r w:rsidRPr="001C55F3">
        <w:rPr>
          <w:rFonts w:cstheme="minorHAnsi"/>
          <w:sz w:val="20"/>
          <w:szCs w:val="20"/>
        </w:rPr>
        <w:t>upport</w:t>
      </w:r>
      <w:r w:rsidR="006E3274" w:rsidRPr="001C55F3">
        <w:rPr>
          <w:rFonts w:cstheme="minorHAnsi"/>
          <w:sz w:val="20"/>
          <w:szCs w:val="20"/>
        </w:rPr>
        <w:t>s</w:t>
      </w:r>
      <w:r w:rsidRPr="001C55F3">
        <w:rPr>
          <w:rFonts w:cstheme="minorHAnsi"/>
          <w:sz w:val="20"/>
          <w:szCs w:val="20"/>
        </w:rPr>
        <w:t xml:space="preserve"> the intention of the General Comment No. 24 ‘Children’s rights in juvenile justice’ to improve guidance and updated information to State parties to support their development </w:t>
      </w:r>
      <w:r w:rsidR="00F75A0D" w:rsidRPr="001C55F3">
        <w:rPr>
          <w:rFonts w:cstheme="minorHAnsi"/>
          <w:sz w:val="20"/>
          <w:szCs w:val="20"/>
        </w:rPr>
        <w:t xml:space="preserve">and implementation of </w:t>
      </w:r>
      <w:r w:rsidRPr="001C55F3">
        <w:rPr>
          <w:rFonts w:cstheme="minorHAnsi"/>
          <w:sz w:val="20"/>
          <w:szCs w:val="20"/>
        </w:rPr>
        <w:t>juvenile justice systems</w:t>
      </w:r>
      <w:r w:rsidR="00F75A0D" w:rsidRPr="001C55F3">
        <w:rPr>
          <w:rFonts w:cstheme="minorHAnsi"/>
          <w:sz w:val="20"/>
          <w:szCs w:val="20"/>
        </w:rPr>
        <w:t>.</w:t>
      </w:r>
    </w:p>
    <w:p w14:paraId="2D3FFD25" w14:textId="39A76305" w:rsidR="005329FA" w:rsidRPr="001C55F3" w:rsidRDefault="001C164F" w:rsidP="001C164F">
      <w:pPr>
        <w:rPr>
          <w:rFonts w:cstheme="minorHAnsi"/>
          <w:sz w:val="20"/>
          <w:szCs w:val="20"/>
        </w:rPr>
      </w:pPr>
      <w:r w:rsidRPr="001C55F3">
        <w:rPr>
          <w:rFonts w:cstheme="minorHAnsi"/>
          <w:sz w:val="20"/>
          <w:szCs w:val="20"/>
        </w:rPr>
        <w:t xml:space="preserve">Further to this we welcome the intention to strengthen juvenile justice systems to align with </w:t>
      </w:r>
      <w:r w:rsidR="004D2FF7" w:rsidRPr="001C55F3">
        <w:rPr>
          <w:rFonts w:cstheme="minorHAnsi"/>
          <w:sz w:val="20"/>
          <w:szCs w:val="20"/>
        </w:rPr>
        <w:t xml:space="preserve">and uphold </w:t>
      </w:r>
      <w:r w:rsidRPr="001C55F3">
        <w:rPr>
          <w:rFonts w:cstheme="minorHAnsi"/>
          <w:sz w:val="20"/>
          <w:szCs w:val="20"/>
        </w:rPr>
        <w:t>the rights of children</w:t>
      </w:r>
      <w:r w:rsidR="005329FA" w:rsidRPr="001C55F3">
        <w:rPr>
          <w:rFonts w:cstheme="minorHAnsi"/>
          <w:sz w:val="20"/>
          <w:szCs w:val="20"/>
        </w:rPr>
        <w:t xml:space="preserve">, including those who may find themselves in conflict with the law.  </w:t>
      </w:r>
    </w:p>
    <w:p w14:paraId="23D24167" w14:textId="670BF7AF" w:rsidR="00DA0801" w:rsidRPr="001C55F3" w:rsidRDefault="005329FA" w:rsidP="001C164F">
      <w:pPr>
        <w:rPr>
          <w:rFonts w:cstheme="minorHAnsi"/>
          <w:sz w:val="20"/>
          <w:szCs w:val="20"/>
        </w:rPr>
      </w:pPr>
      <w:r w:rsidRPr="001C55F3">
        <w:rPr>
          <w:rFonts w:cstheme="minorHAnsi"/>
          <w:sz w:val="20"/>
          <w:szCs w:val="20"/>
        </w:rPr>
        <w:t>We recognise the revised comment seeks to reflect the developments that have occurred over the last decade</w:t>
      </w:r>
      <w:r w:rsidR="00AD1CD1" w:rsidRPr="001C55F3">
        <w:rPr>
          <w:rFonts w:cstheme="minorHAnsi"/>
          <w:sz w:val="20"/>
          <w:szCs w:val="20"/>
        </w:rPr>
        <w:t xml:space="preserve"> in </w:t>
      </w:r>
      <w:r w:rsidRPr="001C55F3">
        <w:rPr>
          <w:rFonts w:cstheme="minorHAnsi"/>
          <w:sz w:val="20"/>
          <w:szCs w:val="20"/>
        </w:rPr>
        <w:t>respons</w:t>
      </w:r>
      <w:r w:rsidR="003903D5" w:rsidRPr="001C55F3">
        <w:rPr>
          <w:rFonts w:cstheme="minorHAnsi"/>
          <w:sz w:val="20"/>
          <w:szCs w:val="20"/>
        </w:rPr>
        <w:t>e</w:t>
      </w:r>
      <w:r w:rsidRPr="001C55F3">
        <w:rPr>
          <w:rFonts w:cstheme="minorHAnsi"/>
          <w:sz w:val="20"/>
          <w:szCs w:val="20"/>
        </w:rPr>
        <w:t xml:space="preserve"> to </w:t>
      </w:r>
      <w:r w:rsidR="005C72FB" w:rsidRPr="001C55F3">
        <w:rPr>
          <w:rFonts w:cstheme="minorHAnsi"/>
          <w:sz w:val="20"/>
          <w:szCs w:val="20"/>
        </w:rPr>
        <w:t xml:space="preserve">resolutions and guiding documents on violence against children in juvenile </w:t>
      </w:r>
      <w:r w:rsidR="00B23AD5" w:rsidRPr="001C55F3">
        <w:rPr>
          <w:rFonts w:cstheme="minorHAnsi"/>
          <w:sz w:val="20"/>
          <w:szCs w:val="20"/>
        </w:rPr>
        <w:t>justice</w:t>
      </w:r>
      <w:r w:rsidR="005D05BB" w:rsidRPr="001C55F3">
        <w:rPr>
          <w:rFonts w:cstheme="minorHAnsi"/>
          <w:sz w:val="20"/>
          <w:szCs w:val="20"/>
        </w:rPr>
        <w:t xml:space="preserve">; </w:t>
      </w:r>
      <w:r w:rsidR="00B23AD5" w:rsidRPr="001C55F3">
        <w:rPr>
          <w:rFonts w:cstheme="minorHAnsi"/>
          <w:sz w:val="20"/>
          <w:szCs w:val="20"/>
        </w:rPr>
        <w:t>and</w:t>
      </w:r>
      <w:r w:rsidR="00B3486A" w:rsidRPr="001C55F3">
        <w:rPr>
          <w:rFonts w:cstheme="minorHAnsi"/>
          <w:sz w:val="20"/>
          <w:szCs w:val="20"/>
        </w:rPr>
        <w:t xml:space="preserve"> </w:t>
      </w:r>
      <w:r w:rsidR="005C72FB" w:rsidRPr="001C55F3">
        <w:rPr>
          <w:rFonts w:cstheme="minorHAnsi"/>
          <w:sz w:val="20"/>
          <w:szCs w:val="20"/>
        </w:rPr>
        <w:t>growing and deepening knowledge of child and adolescent development</w:t>
      </w:r>
      <w:r w:rsidR="00B3486A" w:rsidRPr="001C55F3">
        <w:rPr>
          <w:rFonts w:cstheme="minorHAnsi"/>
          <w:sz w:val="20"/>
          <w:szCs w:val="20"/>
        </w:rPr>
        <w:t xml:space="preserve"> that is directly related to child and youth justice issues. </w:t>
      </w:r>
    </w:p>
    <w:p w14:paraId="5D4608E3" w14:textId="74D8A695" w:rsidR="005C72FB" w:rsidRPr="001C55F3" w:rsidRDefault="005C72FB" w:rsidP="001C164F">
      <w:pPr>
        <w:rPr>
          <w:rFonts w:cstheme="minorHAnsi"/>
          <w:sz w:val="20"/>
          <w:szCs w:val="20"/>
        </w:rPr>
      </w:pPr>
      <w:r w:rsidRPr="001C55F3">
        <w:rPr>
          <w:rFonts w:cstheme="minorHAnsi"/>
          <w:sz w:val="20"/>
          <w:szCs w:val="20"/>
        </w:rPr>
        <w:t xml:space="preserve">We share the Committee’s concerns relating to negative trends </w:t>
      </w:r>
      <w:proofErr w:type="gramStart"/>
      <w:r w:rsidR="00910450" w:rsidRPr="001C55F3">
        <w:rPr>
          <w:rFonts w:cstheme="minorHAnsi"/>
          <w:sz w:val="20"/>
          <w:szCs w:val="20"/>
        </w:rPr>
        <w:t>in regard</w:t>
      </w:r>
      <w:r w:rsidRPr="001C55F3">
        <w:rPr>
          <w:rFonts w:cstheme="minorHAnsi"/>
          <w:sz w:val="20"/>
          <w:szCs w:val="20"/>
        </w:rPr>
        <w:t xml:space="preserve"> to</w:t>
      </w:r>
      <w:proofErr w:type="gramEnd"/>
      <w:r w:rsidRPr="001C55F3">
        <w:rPr>
          <w:rFonts w:cstheme="minorHAnsi"/>
          <w:sz w:val="20"/>
          <w:szCs w:val="20"/>
        </w:rPr>
        <w:t xml:space="preserve"> minimum age of criminal responsibility, the persistent use of deprivation of liberty, and em</w:t>
      </w:r>
      <w:r w:rsidR="00882E10" w:rsidRPr="001C55F3">
        <w:rPr>
          <w:rFonts w:cstheme="minorHAnsi"/>
          <w:sz w:val="20"/>
          <w:szCs w:val="20"/>
        </w:rPr>
        <w:t>e</w:t>
      </w:r>
      <w:r w:rsidRPr="001C55F3">
        <w:rPr>
          <w:rFonts w:cstheme="minorHAnsi"/>
          <w:sz w:val="20"/>
          <w:szCs w:val="20"/>
        </w:rPr>
        <w:t>rging issues of child recruitment and forced or coerced use of children by</w:t>
      </w:r>
      <w:r w:rsidR="00882E10" w:rsidRPr="001C55F3">
        <w:rPr>
          <w:rFonts w:cstheme="minorHAnsi"/>
          <w:sz w:val="20"/>
          <w:szCs w:val="20"/>
        </w:rPr>
        <w:t xml:space="preserve"> non-State armed groups</w:t>
      </w:r>
      <w:r w:rsidR="00910450" w:rsidRPr="001C55F3">
        <w:rPr>
          <w:rFonts w:cstheme="minorHAnsi"/>
          <w:sz w:val="20"/>
          <w:szCs w:val="20"/>
        </w:rPr>
        <w:t>,</w:t>
      </w:r>
      <w:r w:rsidR="00882E10" w:rsidRPr="001C55F3">
        <w:rPr>
          <w:rFonts w:cstheme="minorHAnsi"/>
          <w:sz w:val="20"/>
          <w:szCs w:val="20"/>
        </w:rPr>
        <w:t xml:space="preserve"> terrorist or violent extremist groups. </w:t>
      </w:r>
    </w:p>
    <w:p w14:paraId="367BA854" w14:textId="30B36959" w:rsidR="00910450" w:rsidRPr="001C55F3" w:rsidRDefault="00910450" w:rsidP="001C164F">
      <w:pPr>
        <w:rPr>
          <w:rFonts w:cstheme="minorHAnsi"/>
          <w:sz w:val="20"/>
          <w:szCs w:val="20"/>
        </w:rPr>
      </w:pPr>
      <w:r w:rsidRPr="001C55F3">
        <w:rPr>
          <w:rFonts w:cstheme="minorHAnsi"/>
          <w:sz w:val="20"/>
          <w:szCs w:val="20"/>
        </w:rPr>
        <w:t>It is our hope G</w:t>
      </w:r>
      <w:r w:rsidR="00CB5A40" w:rsidRPr="001C55F3">
        <w:rPr>
          <w:rFonts w:cstheme="minorHAnsi"/>
          <w:sz w:val="20"/>
          <w:szCs w:val="20"/>
        </w:rPr>
        <w:t xml:space="preserve">eneral </w:t>
      </w:r>
      <w:r w:rsidRPr="001C55F3">
        <w:rPr>
          <w:rFonts w:cstheme="minorHAnsi"/>
          <w:sz w:val="20"/>
          <w:szCs w:val="20"/>
        </w:rPr>
        <w:t>C</w:t>
      </w:r>
      <w:r w:rsidR="00CB5A40" w:rsidRPr="001C55F3">
        <w:rPr>
          <w:rFonts w:cstheme="minorHAnsi"/>
          <w:sz w:val="20"/>
          <w:szCs w:val="20"/>
        </w:rPr>
        <w:t>omment</w:t>
      </w:r>
      <w:r w:rsidRPr="001C55F3">
        <w:rPr>
          <w:rFonts w:cstheme="minorHAnsi"/>
          <w:sz w:val="20"/>
          <w:szCs w:val="20"/>
        </w:rPr>
        <w:t xml:space="preserve"> 24</w:t>
      </w:r>
      <w:r w:rsidR="00CB5A40" w:rsidRPr="001C55F3">
        <w:rPr>
          <w:rStyle w:val="FootnoteReference"/>
          <w:rFonts w:cstheme="minorHAnsi"/>
          <w:sz w:val="20"/>
          <w:szCs w:val="20"/>
        </w:rPr>
        <w:footnoteReference w:id="9"/>
      </w:r>
      <w:r w:rsidRPr="001C55F3">
        <w:rPr>
          <w:rFonts w:cstheme="minorHAnsi"/>
          <w:sz w:val="20"/>
          <w:szCs w:val="20"/>
        </w:rPr>
        <w:t xml:space="preserve"> will serve to support State parties to advance and strengthen state juvenile justice systems</w:t>
      </w:r>
      <w:r w:rsidR="003A2067" w:rsidRPr="001C55F3">
        <w:rPr>
          <w:rFonts w:cstheme="minorHAnsi"/>
          <w:sz w:val="20"/>
          <w:szCs w:val="20"/>
        </w:rPr>
        <w:t xml:space="preserve">, including the use of customary justice </w:t>
      </w:r>
      <w:r w:rsidR="00C45571" w:rsidRPr="001C55F3">
        <w:rPr>
          <w:rFonts w:cstheme="minorHAnsi"/>
          <w:sz w:val="20"/>
          <w:szCs w:val="20"/>
        </w:rPr>
        <w:t xml:space="preserve">practices </w:t>
      </w:r>
      <w:r w:rsidR="003A2067" w:rsidRPr="001C55F3">
        <w:rPr>
          <w:rFonts w:cstheme="minorHAnsi"/>
          <w:sz w:val="20"/>
          <w:szCs w:val="20"/>
        </w:rPr>
        <w:t xml:space="preserve">as part </w:t>
      </w:r>
      <w:r w:rsidR="00C45571" w:rsidRPr="001C55F3">
        <w:rPr>
          <w:rFonts w:cstheme="minorHAnsi"/>
          <w:sz w:val="20"/>
          <w:szCs w:val="20"/>
        </w:rPr>
        <w:t xml:space="preserve">of </w:t>
      </w:r>
      <w:r w:rsidR="008D530C" w:rsidRPr="001C55F3">
        <w:rPr>
          <w:rFonts w:cstheme="minorHAnsi"/>
          <w:sz w:val="20"/>
          <w:szCs w:val="20"/>
        </w:rPr>
        <w:t>juvenile justice</w:t>
      </w:r>
      <w:r w:rsidR="00020AA7" w:rsidRPr="001C55F3">
        <w:rPr>
          <w:rFonts w:cstheme="minorHAnsi"/>
          <w:sz w:val="20"/>
          <w:szCs w:val="20"/>
        </w:rPr>
        <w:t xml:space="preserve">, and that </w:t>
      </w:r>
      <w:r w:rsidR="002843D0" w:rsidRPr="001C55F3">
        <w:rPr>
          <w:rFonts w:cstheme="minorHAnsi"/>
          <w:sz w:val="20"/>
          <w:szCs w:val="20"/>
        </w:rPr>
        <w:t>juvenile justice</w:t>
      </w:r>
      <w:r w:rsidR="00020AA7" w:rsidRPr="001C55F3">
        <w:rPr>
          <w:rFonts w:cstheme="minorHAnsi"/>
          <w:sz w:val="20"/>
          <w:szCs w:val="20"/>
        </w:rPr>
        <w:t xml:space="preserve"> systems will align with and uphold of the rights of children who are in conflict with the law.</w:t>
      </w:r>
    </w:p>
    <w:p w14:paraId="17CF8125" w14:textId="08980A60" w:rsidR="001C164F" w:rsidRPr="001C55F3" w:rsidRDefault="00AF28AB" w:rsidP="001C164F">
      <w:pPr>
        <w:rPr>
          <w:rFonts w:cstheme="minorHAnsi"/>
          <w:sz w:val="20"/>
          <w:szCs w:val="20"/>
        </w:rPr>
      </w:pPr>
      <w:r w:rsidRPr="001C55F3">
        <w:rPr>
          <w:rFonts w:cstheme="minorHAnsi"/>
          <w:sz w:val="20"/>
          <w:szCs w:val="20"/>
        </w:rPr>
        <w:t xml:space="preserve">We welcome the Committee’s clear articulation of </w:t>
      </w:r>
      <w:r w:rsidR="004C4D6A" w:rsidRPr="001C55F3">
        <w:rPr>
          <w:rFonts w:cstheme="minorHAnsi"/>
          <w:sz w:val="20"/>
          <w:szCs w:val="20"/>
        </w:rPr>
        <w:t>t</w:t>
      </w:r>
      <w:r w:rsidRPr="001C55F3">
        <w:rPr>
          <w:rFonts w:cstheme="minorHAnsi"/>
          <w:sz w:val="20"/>
          <w:szCs w:val="20"/>
        </w:rPr>
        <w:t>erminology</w:t>
      </w:r>
      <w:r w:rsidR="00C74F59" w:rsidRPr="001C55F3">
        <w:rPr>
          <w:rStyle w:val="FootnoteReference"/>
          <w:rFonts w:cstheme="minorHAnsi"/>
          <w:sz w:val="20"/>
          <w:szCs w:val="20"/>
        </w:rPr>
        <w:footnoteReference w:id="10"/>
      </w:r>
      <w:r w:rsidR="004C4D6A" w:rsidRPr="001C55F3">
        <w:rPr>
          <w:rFonts w:cstheme="minorHAnsi"/>
          <w:sz w:val="20"/>
          <w:szCs w:val="20"/>
        </w:rPr>
        <w:t xml:space="preserve"> </w:t>
      </w:r>
      <w:r w:rsidR="000630D5" w:rsidRPr="001C55F3">
        <w:rPr>
          <w:rFonts w:cstheme="minorHAnsi"/>
          <w:sz w:val="20"/>
          <w:szCs w:val="20"/>
        </w:rPr>
        <w:t>c</w:t>
      </w:r>
      <w:r w:rsidRPr="001C55F3">
        <w:rPr>
          <w:rFonts w:cstheme="minorHAnsi"/>
          <w:sz w:val="20"/>
          <w:szCs w:val="20"/>
        </w:rPr>
        <w:t xml:space="preserve">entral to juvenile justice systems and application.  It is our view that clear definitions can serve to support </w:t>
      </w:r>
      <w:r w:rsidR="00E03F25" w:rsidRPr="001C55F3">
        <w:rPr>
          <w:rFonts w:cstheme="minorHAnsi"/>
          <w:sz w:val="20"/>
          <w:szCs w:val="20"/>
        </w:rPr>
        <w:t xml:space="preserve">a more </w:t>
      </w:r>
      <w:r w:rsidRPr="001C55F3">
        <w:rPr>
          <w:rFonts w:cstheme="minorHAnsi"/>
          <w:sz w:val="20"/>
          <w:szCs w:val="20"/>
        </w:rPr>
        <w:t>universal</w:t>
      </w:r>
      <w:r w:rsidR="00E03F25" w:rsidRPr="001C55F3">
        <w:rPr>
          <w:rFonts w:cstheme="minorHAnsi"/>
          <w:sz w:val="20"/>
          <w:szCs w:val="20"/>
        </w:rPr>
        <w:t xml:space="preserve"> </w:t>
      </w:r>
      <w:r w:rsidRPr="001C55F3">
        <w:rPr>
          <w:rFonts w:cstheme="minorHAnsi"/>
          <w:sz w:val="20"/>
          <w:szCs w:val="20"/>
        </w:rPr>
        <w:t xml:space="preserve">application </w:t>
      </w:r>
      <w:r w:rsidR="00E03F25" w:rsidRPr="001C55F3">
        <w:rPr>
          <w:rFonts w:cstheme="minorHAnsi"/>
          <w:sz w:val="20"/>
          <w:szCs w:val="20"/>
        </w:rPr>
        <w:t>of normative frameworks of juvenile justice</w:t>
      </w:r>
      <w:r w:rsidR="004C4D6A" w:rsidRPr="001C55F3">
        <w:rPr>
          <w:rFonts w:cstheme="minorHAnsi"/>
          <w:sz w:val="20"/>
          <w:szCs w:val="20"/>
        </w:rPr>
        <w:t>.</w:t>
      </w:r>
      <w:r w:rsidR="00E03F25" w:rsidRPr="001C55F3">
        <w:rPr>
          <w:rFonts w:cstheme="minorHAnsi"/>
          <w:sz w:val="20"/>
          <w:szCs w:val="20"/>
        </w:rPr>
        <w:t xml:space="preserve"> </w:t>
      </w:r>
    </w:p>
    <w:p w14:paraId="4B61F896" w14:textId="77777777" w:rsidR="00496970" w:rsidRPr="001C55F3" w:rsidRDefault="00496970" w:rsidP="001C164F">
      <w:pPr>
        <w:rPr>
          <w:rFonts w:cstheme="minorHAnsi"/>
          <w:sz w:val="20"/>
          <w:szCs w:val="20"/>
        </w:rPr>
      </w:pPr>
    </w:p>
    <w:p w14:paraId="692A3B3A" w14:textId="3DEBAFE3" w:rsidR="00DA0801" w:rsidRPr="001C55F3" w:rsidRDefault="00300E6F" w:rsidP="001C164F">
      <w:pPr>
        <w:rPr>
          <w:rFonts w:cstheme="minorHAnsi"/>
          <w:b/>
          <w:sz w:val="20"/>
          <w:szCs w:val="20"/>
        </w:rPr>
      </w:pPr>
      <w:r w:rsidRPr="001C55F3">
        <w:rPr>
          <w:rFonts w:cstheme="minorHAnsi"/>
          <w:b/>
          <w:sz w:val="20"/>
          <w:szCs w:val="20"/>
        </w:rPr>
        <w:t>Issues we wish to raise</w:t>
      </w:r>
    </w:p>
    <w:p w14:paraId="15C76698" w14:textId="13F5E5FB" w:rsidR="00300E6F" w:rsidRPr="001C55F3" w:rsidRDefault="00300E6F" w:rsidP="001C164F">
      <w:pPr>
        <w:rPr>
          <w:rFonts w:cstheme="minorHAnsi"/>
          <w:sz w:val="20"/>
          <w:szCs w:val="20"/>
        </w:rPr>
      </w:pPr>
      <w:r w:rsidRPr="001C55F3">
        <w:rPr>
          <w:rFonts w:cstheme="minorHAnsi"/>
          <w:sz w:val="20"/>
          <w:szCs w:val="20"/>
        </w:rPr>
        <w:t>There are two</w:t>
      </w:r>
      <w:r w:rsidR="00B800E6" w:rsidRPr="001C55F3">
        <w:rPr>
          <w:rFonts w:cstheme="minorHAnsi"/>
          <w:sz w:val="20"/>
          <w:szCs w:val="20"/>
        </w:rPr>
        <w:t xml:space="preserve"> issues we wish to raise that we see as highly relevant to juvenile justice</w:t>
      </w:r>
      <w:r w:rsidR="004274BF" w:rsidRPr="001C55F3">
        <w:rPr>
          <w:rFonts w:cstheme="minorHAnsi"/>
          <w:sz w:val="20"/>
          <w:szCs w:val="20"/>
        </w:rPr>
        <w:t xml:space="preserve">, </w:t>
      </w:r>
      <w:r w:rsidR="00457743" w:rsidRPr="001C55F3">
        <w:rPr>
          <w:rFonts w:cstheme="minorHAnsi"/>
          <w:sz w:val="20"/>
          <w:szCs w:val="20"/>
        </w:rPr>
        <w:t>the importance of reducing family violence as a prevention strategy, and the recognition that children are victims</w:t>
      </w:r>
      <w:r w:rsidR="007F7354" w:rsidRPr="001C55F3">
        <w:rPr>
          <w:rFonts w:cstheme="minorHAnsi"/>
          <w:sz w:val="20"/>
          <w:szCs w:val="20"/>
        </w:rPr>
        <w:t>, rather than perpetrators, o</w:t>
      </w:r>
      <w:r w:rsidR="00F74CBF" w:rsidRPr="001C55F3">
        <w:rPr>
          <w:rFonts w:cstheme="minorHAnsi"/>
          <w:sz w:val="20"/>
          <w:szCs w:val="20"/>
        </w:rPr>
        <w:t>f violent conflict or acts of terrorism</w:t>
      </w:r>
      <w:r w:rsidR="008A309E" w:rsidRPr="001C55F3">
        <w:rPr>
          <w:rFonts w:cstheme="minorHAnsi"/>
          <w:sz w:val="20"/>
          <w:szCs w:val="20"/>
        </w:rPr>
        <w:t>.</w:t>
      </w:r>
    </w:p>
    <w:p w14:paraId="077E8ADD" w14:textId="615B0516" w:rsidR="00580F06" w:rsidRPr="001C55F3" w:rsidRDefault="008A309E" w:rsidP="00E105D0">
      <w:pPr>
        <w:pStyle w:val="ListParagraph"/>
        <w:numPr>
          <w:ilvl w:val="0"/>
          <w:numId w:val="4"/>
        </w:numPr>
        <w:rPr>
          <w:sz w:val="20"/>
          <w:szCs w:val="20"/>
        </w:rPr>
      </w:pPr>
      <w:r w:rsidRPr="698CA2F1">
        <w:rPr>
          <w:b/>
          <w:sz w:val="20"/>
          <w:szCs w:val="20"/>
        </w:rPr>
        <w:t>Greater recognition of</w:t>
      </w:r>
      <w:r w:rsidR="00B800E6" w:rsidRPr="698CA2F1">
        <w:rPr>
          <w:b/>
          <w:sz w:val="20"/>
          <w:szCs w:val="20"/>
        </w:rPr>
        <w:t xml:space="preserve"> </w:t>
      </w:r>
      <w:r w:rsidR="00FF6EE7" w:rsidRPr="698CA2F1">
        <w:rPr>
          <w:b/>
          <w:sz w:val="20"/>
          <w:szCs w:val="20"/>
        </w:rPr>
        <w:t xml:space="preserve">the need to </w:t>
      </w:r>
      <w:r w:rsidR="00813FED" w:rsidRPr="698CA2F1">
        <w:rPr>
          <w:b/>
          <w:sz w:val="20"/>
          <w:szCs w:val="20"/>
        </w:rPr>
        <w:t>prevent</w:t>
      </w:r>
      <w:r w:rsidR="00B800E6" w:rsidRPr="698CA2F1">
        <w:rPr>
          <w:b/>
          <w:sz w:val="20"/>
          <w:szCs w:val="20"/>
        </w:rPr>
        <w:t xml:space="preserve"> Family Violence </w:t>
      </w:r>
      <w:r w:rsidR="000612C6" w:rsidRPr="698CA2F1">
        <w:rPr>
          <w:b/>
          <w:sz w:val="20"/>
          <w:szCs w:val="20"/>
        </w:rPr>
        <w:t>as a key</w:t>
      </w:r>
      <w:r w:rsidR="00B800E6" w:rsidRPr="698CA2F1">
        <w:rPr>
          <w:b/>
          <w:sz w:val="20"/>
          <w:szCs w:val="20"/>
        </w:rPr>
        <w:t xml:space="preserve"> preventative measure</w:t>
      </w:r>
      <w:r w:rsidR="000612C6" w:rsidRPr="698CA2F1">
        <w:rPr>
          <w:b/>
          <w:sz w:val="20"/>
          <w:szCs w:val="20"/>
        </w:rPr>
        <w:t xml:space="preserve"> </w:t>
      </w:r>
      <w:r w:rsidR="00580F06" w:rsidRPr="698CA2F1">
        <w:rPr>
          <w:b/>
          <w:sz w:val="20"/>
          <w:szCs w:val="20"/>
        </w:rPr>
        <w:t xml:space="preserve">to reduce </w:t>
      </w:r>
      <w:r w:rsidR="00292300" w:rsidRPr="698CA2F1">
        <w:rPr>
          <w:b/>
          <w:sz w:val="20"/>
          <w:szCs w:val="20"/>
        </w:rPr>
        <w:t>child offending</w:t>
      </w:r>
      <w:r w:rsidR="00580F06" w:rsidRPr="698CA2F1">
        <w:rPr>
          <w:b/>
          <w:sz w:val="20"/>
          <w:szCs w:val="20"/>
        </w:rPr>
        <w:t xml:space="preserve"> </w:t>
      </w:r>
    </w:p>
    <w:p w14:paraId="1C56DF05" w14:textId="77777777" w:rsidR="00D17FC1" w:rsidRPr="001C55F3" w:rsidRDefault="0066719B" w:rsidP="00E105D0">
      <w:pPr>
        <w:ind w:left="360"/>
        <w:rPr>
          <w:rFonts w:cstheme="minorHAnsi"/>
          <w:sz w:val="20"/>
          <w:szCs w:val="20"/>
        </w:rPr>
      </w:pPr>
      <w:r w:rsidRPr="001C55F3">
        <w:rPr>
          <w:rFonts w:cstheme="minorHAnsi"/>
          <w:sz w:val="20"/>
          <w:szCs w:val="20"/>
        </w:rPr>
        <w:t>The following statement tak</w:t>
      </w:r>
      <w:r w:rsidR="003E128D" w:rsidRPr="001C55F3">
        <w:rPr>
          <w:rFonts w:cstheme="minorHAnsi"/>
          <w:sz w:val="20"/>
          <w:szCs w:val="20"/>
        </w:rPr>
        <w:t>en</w:t>
      </w:r>
      <w:r w:rsidRPr="001C55F3">
        <w:rPr>
          <w:rFonts w:cstheme="minorHAnsi"/>
          <w:sz w:val="20"/>
          <w:szCs w:val="20"/>
        </w:rPr>
        <w:t xml:space="preserve"> from para</w:t>
      </w:r>
      <w:r w:rsidR="005E5BC9" w:rsidRPr="001C55F3">
        <w:rPr>
          <w:rFonts w:cstheme="minorHAnsi"/>
          <w:sz w:val="20"/>
          <w:szCs w:val="20"/>
        </w:rPr>
        <w:t>graph</w:t>
      </w:r>
      <w:r w:rsidRPr="001C55F3">
        <w:rPr>
          <w:rFonts w:cstheme="minorHAnsi"/>
          <w:sz w:val="20"/>
          <w:szCs w:val="20"/>
        </w:rPr>
        <w:t xml:space="preserve"> </w:t>
      </w:r>
      <w:r w:rsidR="002163AB" w:rsidRPr="001C55F3">
        <w:rPr>
          <w:rFonts w:cstheme="minorHAnsi"/>
          <w:sz w:val="20"/>
          <w:szCs w:val="20"/>
        </w:rPr>
        <w:t>18</w:t>
      </w:r>
      <w:r w:rsidR="002F5C97" w:rsidRPr="001C55F3">
        <w:rPr>
          <w:rStyle w:val="FootnoteReference"/>
          <w:rFonts w:cstheme="minorHAnsi"/>
          <w:sz w:val="20"/>
          <w:szCs w:val="20"/>
        </w:rPr>
        <w:footnoteReference w:id="11"/>
      </w:r>
      <w:r w:rsidR="002163AB" w:rsidRPr="001C55F3">
        <w:rPr>
          <w:rFonts w:cstheme="minorHAnsi"/>
          <w:sz w:val="20"/>
          <w:szCs w:val="20"/>
        </w:rPr>
        <w:t xml:space="preserve"> references the expectations of parent responsibility to provide for and guide </w:t>
      </w:r>
      <w:r w:rsidR="00C35206" w:rsidRPr="001C55F3">
        <w:rPr>
          <w:rFonts w:cstheme="minorHAnsi"/>
          <w:sz w:val="20"/>
          <w:szCs w:val="20"/>
        </w:rPr>
        <w:t>the</w:t>
      </w:r>
      <w:r w:rsidR="0040591C" w:rsidRPr="001C55F3">
        <w:rPr>
          <w:rFonts w:cstheme="minorHAnsi"/>
          <w:sz w:val="20"/>
          <w:szCs w:val="20"/>
        </w:rPr>
        <w:t xml:space="preserve">ir children, including protection from harm and violence, </w:t>
      </w:r>
    </w:p>
    <w:p w14:paraId="0770D9A8" w14:textId="49790743" w:rsidR="0066719B" w:rsidRPr="001C55F3" w:rsidRDefault="0040591C" w:rsidP="00D17FC1">
      <w:pPr>
        <w:ind w:left="720"/>
        <w:rPr>
          <w:rFonts w:cstheme="minorHAnsi"/>
          <w:i/>
          <w:sz w:val="20"/>
          <w:szCs w:val="20"/>
        </w:rPr>
      </w:pPr>
      <w:r w:rsidRPr="001C55F3">
        <w:rPr>
          <w:rFonts w:cstheme="minorHAnsi"/>
          <w:i/>
          <w:sz w:val="20"/>
          <w:szCs w:val="20"/>
          <w:lang w:val="en-US"/>
        </w:rPr>
        <w:t>‘</w:t>
      </w:r>
      <w:r w:rsidR="0066719B" w:rsidRPr="001C55F3">
        <w:rPr>
          <w:rFonts w:cstheme="minorHAnsi"/>
          <w:i/>
          <w:sz w:val="20"/>
          <w:szCs w:val="20"/>
          <w:lang w:val="en-US"/>
        </w:rPr>
        <w:t>In this regard, parents have the responsibility to provide the child, in a manner consistent with his/her evolving capacities, with appropriate direction and guidance in the exercise of his/her rights as recognized in the Convention. In the light of these and other provisions of</w:t>
      </w:r>
      <w:r w:rsidR="00B66A6A" w:rsidRPr="001C55F3">
        <w:rPr>
          <w:rFonts w:cstheme="minorHAnsi"/>
          <w:i/>
          <w:sz w:val="20"/>
          <w:szCs w:val="20"/>
          <w:lang w:val="en-US"/>
        </w:rPr>
        <w:t xml:space="preserve"> the</w:t>
      </w:r>
      <w:r w:rsidR="0066719B" w:rsidRPr="001C55F3">
        <w:rPr>
          <w:rFonts w:cstheme="minorHAnsi"/>
          <w:i/>
          <w:sz w:val="20"/>
          <w:szCs w:val="20"/>
          <w:lang w:val="en-US"/>
        </w:rPr>
        <w:t xml:space="preserve"> CRC, it is obviously not in the best interests of the child if he/she grows up in circumstances that may cause an increased or serious risk of becoming involved in criminal activities.</w:t>
      </w:r>
      <w:r w:rsidRPr="001C55F3">
        <w:rPr>
          <w:rFonts w:cstheme="minorHAnsi"/>
          <w:i/>
          <w:sz w:val="20"/>
          <w:szCs w:val="20"/>
          <w:lang w:val="en-US"/>
        </w:rPr>
        <w:t xml:space="preserve">  </w:t>
      </w:r>
      <w:r w:rsidR="00D467A7" w:rsidRPr="001C55F3">
        <w:rPr>
          <w:rFonts w:cstheme="minorHAnsi"/>
          <w:i/>
          <w:sz w:val="20"/>
          <w:szCs w:val="20"/>
          <w:lang w:val="en-US"/>
        </w:rPr>
        <w:t xml:space="preserve">Various measures should be taken for the full </w:t>
      </w:r>
      <w:r w:rsidR="00E30256" w:rsidRPr="001C55F3">
        <w:rPr>
          <w:rFonts w:cstheme="minorHAnsi"/>
          <w:i/>
          <w:sz w:val="20"/>
          <w:szCs w:val="20"/>
          <w:lang w:val="en-US"/>
        </w:rPr>
        <w:lastRenderedPageBreak/>
        <w:t xml:space="preserve">and </w:t>
      </w:r>
      <w:r w:rsidR="00A30653" w:rsidRPr="001C55F3">
        <w:rPr>
          <w:rFonts w:cstheme="minorHAnsi"/>
          <w:i/>
          <w:sz w:val="20"/>
          <w:szCs w:val="20"/>
          <w:lang w:val="en-US"/>
        </w:rPr>
        <w:t>equal implementation of the rights to an adequate standard of living (art.27)</w:t>
      </w:r>
      <w:r w:rsidR="00952F75" w:rsidRPr="001C55F3">
        <w:rPr>
          <w:rFonts w:cstheme="minorHAnsi"/>
          <w:i/>
          <w:sz w:val="20"/>
          <w:szCs w:val="20"/>
          <w:lang w:val="en-US"/>
        </w:rPr>
        <w:t>, to the highest attainable standard of health and access to health care (art. 24), to education</w:t>
      </w:r>
      <w:r w:rsidR="00D53328" w:rsidRPr="001C55F3">
        <w:rPr>
          <w:rFonts w:cstheme="minorHAnsi"/>
          <w:i/>
          <w:sz w:val="20"/>
          <w:szCs w:val="20"/>
          <w:lang w:val="en-US"/>
        </w:rPr>
        <w:t xml:space="preserve"> </w:t>
      </w:r>
      <w:r w:rsidR="00952F75" w:rsidRPr="001C55F3">
        <w:rPr>
          <w:rFonts w:cstheme="minorHAnsi"/>
          <w:i/>
          <w:sz w:val="20"/>
          <w:szCs w:val="20"/>
          <w:lang w:val="en-US"/>
        </w:rPr>
        <w:t>(arts</w:t>
      </w:r>
      <w:r w:rsidR="00D53328" w:rsidRPr="001C55F3">
        <w:rPr>
          <w:rFonts w:cstheme="minorHAnsi"/>
          <w:i/>
          <w:sz w:val="20"/>
          <w:szCs w:val="20"/>
          <w:lang w:val="en-US"/>
        </w:rPr>
        <w:t xml:space="preserve">. 28 and 29), </w:t>
      </w:r>
      <w:r w:rsidRPr="001C55F3">
        <w:rPr>
          <w:rFonts w:cstheme="minorHAnsi"/>
          <w:i/>
          <w:sz w:val="20"/>
          <w:szCs w:val="20"/>
          <w:lang w:val="en-US"/>
        </w:rPr>
        <w:t>protection from all forms of physical or mental violence, injury or abuse (art. 19),</w:t>
      </w:r>
      <w:r w:rsidR="00D53328" w:rsidRPr="001C55F3">
        <w:rPr>
          <w:rFonts w:cstheme="minorHAnsi"/>
          <w:i/>
          <w:sz w:val="20"/>
          <w:szCs w:val="20"/>
          <w:lang w:val="en-US"/>
        </w:rPr>
        <w:t xml:space="preserve"> and from economic or se</w:t>
      </w:r>
      <w:r w:rsidR="00D17FC1" w:rsidRPr="001C55F3">
        <w:rPr>
          <w:rFonts w:cstheme="minorHAnsi"/>
          <w:i/>
          <w:sz w:val="20"/>
          <w:szCs w:val="20"/>
          <w:lang w:val="en-US"/>
        </w:rPr>
        <w:t>x</w:t>
      </w:r>
      <w:r w:rsidR="00D53328" w:rsidRPr="001C55F3">
        <w:rPr>
          <w:rFonts w:cstheme="minorHAnsi"/>
          <w:i/>
          <w:sz w:val="20"/>
          <w:szCs w:val="20"/>
          <w:lang w:val="en-US"/>
        </w:rPr>
        <w:t>ual exploitation (arts</w:t>
      </w:r>
      <w:r w:rsidR="00D17FC1" w:rsidRPr="001C55F3">
        <w:rPr>
          <w:rFonts w:cstheme="minorHAnsi"/>
          <w:i/>
          <w:sz w:val="20"/>
          <w:szCs w:val="20"/>
          <w:lang w:val="en-US"/>
        </w:rPr>
        <w:t xml:space="preserve">. 32 and 34), and to other appropriate services for the care </w:t>
      </w:r>
      <w:r w:rsidR="00A416F6" w:rsidRPr="001C55F3">
        <w:rPr>
          <w:rFonts w:cstheme="minorHAnsi"/>
          <w:i/>
          <w:sz w:val="20"/>
          <w:szCs w:val="20"/>
          <w:lang w:val="en-US"/>
        </w:rPr>
        <w:t>o</w:t>
      </w:r>
      <w:r w:rsidR="00D17FC1" w:rsidRPr="001C55F3">
        <w:rPr>
          <w:rFonts w:cstheme="minorHAnsi"/>
          <w:i/>
          <w:sz w:val="20"/>
          <w:szCs w:val="20"/>
          <w:lang w:val="en-US"/>
        </w:rPr>
        <w:t>r protection of children.</w:t>
      </w:r>
      <w:r w:rsidRPr="001C55F3">
        <w:rPr>
          <w:rFonts w:cstheme="minorHAnsi"/>
          <w:i/>
          <w:sz w:val="20"/>
          <w:szCs w:val="20"/>
          <w:lang w:val="en-US"/>
        </w:rPr>
        <w:t>’</w:t>
      </w:r>
      <w:r w:rsidR="00A416F6" w:rsidRPr="001C55F3">
        <w:rPr>
          <w:rFonts w:cstheme="minorHAnsi"/>
          <w:i/>
          <w:sz w:val="20"/>
          <w:szCs w:val="20"/>
          <w:lang w:val="en-US"/>
        </w:rPr>
        <w:t xml:space="preserve"> p</w:t>
      </w:r>
      <w:r w:rsidR="00E837BB" w:rsidRPr="001C55F3">
        <w:rPr>
          <w:rFonts w:cstheme="minorHAnsi"/>
          <w:i/>
          <w:sz w:val="20"/>
          <w:szCs w:val="20"/>
          <w:lang w:val="en-US"/>
        </w:rPr>
        <w:t>p 6-7.</w:t>
      </w:r>
    </w:p>
    <w:p w14:paraId="4538A68E" w14:textId="4A198E38" w:rsidR="0066719B" w:rsidRPr="001C55F3" w:rsidRDefault="00E97198" w:rsidP="00E105D0">
      <w:pPr>
        <w:ind w:left="360"/>
        <w:rPr>
          <w:rFonts w:cstheme="minorHAnsi"/>
          <w:sz w:val="20"/>
          <w:szCs w:val="20"/>
        </w:rPr>
      </w:pPr>
      <w:r w:rsidRPr="001C55F3">
        <w:rPr>
          <w:rFonts w:cstheme="minorHAnsi"/>
          <w:sz w:val="20"/>
          <w:szCs w:val="20"/>
        </w:rPr>
        <w:t>Whilst we are in support of this statement and the links made between rights, parental responsibility,</w:t>
      </w:r>
      <w:r w:rsidR="00D55E7D" w:rsidRPr="001C55F3">
        <w:rPr>
          <w:rFonts w:cstheme="minorHAnsi"/>
          <w:sz w:val="20"/>
          <w:szCs w:val="20"/>
        </w:rPr>
        <w:t xml:space="preserve"> and the best interests </w:t>
      </w:r>
      <w:r w:rsidR="00A77B6C" w:rsidRPr="001C55F3">
        <w:rPr>
          <w:rFonts w:cstheme="minorHAnsi"/>
          <w:sz w:val="20"/>
          <w:szCs w:val="20"/>
        </w:rPr>
        <w:t>o</w:t>
      </w:r>
      <w:r w:rsidR="00D55E7D" w:rsidRPr="001C55F3">
        <w:rPr>
          <w:rFonts w:cstheme="minorHAnsi"/>
          <w:sz w:val="20"/>
          <w:szCs w:val="20"/>
        </w:rPr>
        <w:t xml:space="preserve">f the child to prevent </w:t>
      </w:r>
      <w:r w:rsidR="00A77B6C" w:rsidRPr="001C55F3">
        <w:rPr>
          <w:rFonts w:cstheme="minorHAnsi"/>
          <w:sz w:val="20"/>
          <w:szCs w:val="20"/>
        </w:rPr>
        <w:t>children becoming involved in criminal activity,</w:t>
      </w:r>
      <w:r w:rsidR="008B3B11" w:rsidRPr="001C55F3">
        <w:rPr>
          <w:rFonts w:cstheme="minorHAnsi"/>
          <w:sz w:val="20"/>
          <w:szCs w:val="20"/>
        </w:rPr>
        <w:t xml:space="preserve"> i</w:t>
      </w:r>
      <w:r w:rsidR="00375CD4" w:rsidRPr="001C55F3">
        <w:rPr>
          <w:rFonts w:cstheme="minorHAnsi"/>
          <w:sz w:val="20"/>
          <w:szCs w:val="20"/>
        </w:rPr>
        <w:t>t</w:t>
      </w:r>
      <w:r w:rsidR="0040591C" w:rsidRPr="001C55F3">
        <w:rPr>
          <w:rFonts w:cstheme="minorHAnsi"/>
          <w:sz w:val="20"/>
          <w:szCs w:val="20"/>
        </w:rPr>
        <w:t xml:space="preserve"> is </w:t>
      </w:r>
      <w:r w:rsidR="00724044" w:rsidRPr="001C55F3">
        <w:rPr>
          <w:rFonts w:cstheme="minorHAnsi"/>
          <w:sz w:val="20"/>
          <w:szCs w:val="20"/>
        </w:rPr>
        <w:t>the</w:t>
      </w:r>
      <w:r w:rsidR="0040591C" w:rsidRPr="001C55F3">
        <w:rPr>
          <w:rFonts w:cstheme="minorHAnsi"/>
          <w:sz w:val="20"/>
          <w:szCs w:val="20"/>
        </w:rPr>
        <w:t xml:space="preserve"> view </w:t>
      </w:r>
      <w:r w:rsidR="00724044" w:rsidRPr="001C55F3">
        <w:rPr>
          <w:rFonts w:cstheme="minorHAnsi"/>
          <w:sz w:val="20"/>
          <w:szCs w:val="20"/>
        </w:rPr>
        <w:t>of Save the Children NZ</w:t>
      </w:r>
      <w:r w:rsidR="003875CB" w:rsidRPr="001C55F3">
        <w:rPr>
          <w:rFonts w:cstheme="minorHAnsi"/>
          <w:sz w:val="20"/>
          <w:szCs w:val="20"/>
        </w:rPr>
        <w:t xml:space="preserve"> </w:t>
      </w:r>
      <w:r w:rsidR="0040591C" w:rsidRPr="001C55F3">
        <w:rPr>
          <w:rFonts w:cstheme="minorHAnsi"/>
          <w:sz w:val="20"/>
          <w:szCs w:val="20"/>
        </w:rPr>
        <w:t xml:space="preserve">that explicit recognition of the relationship between family violence and child offending or criminalisation should </w:t>
      </w:r>
      <w:r w:rsidR="00CA1617" w:rsidRPr="001C55F3">
        <w:rPr>
          <w:rFonts w:cstheme="minorHAnsi"/>
          <w:sz w:val="20"/>
          <w:szCs w:val="20"/>
        </w:rPr>
        <w:t>have</w:t>
      </w:r>
      <w:r w:rsidR="005C6280" w:rsidRPr="001C55F3">
        <w:rPr>
          <w:rFonts w:cstheme="minorHAnsi"/>
          <w:sz w:val="20"/>
          <w:szCs w:val="20"/>
        </w:rPr>
        <w:t xml:space="preserve"> increased prominence</w:t>
      </w:r>
      <w:r w:rsidR="0040591C" w:rsidRPr="001C55F3">
        <w:rPr>
          <w:rFonts w:cstheme="minorHAnsi"/>
          <w:sz w:val="20"/>
          <w:szCs w:val="20"/>
        </w:rPr>
        <w:t xml:space="preserve">.  Furthermore, explicit recognition </w:t>
      </w:r>
      <w:r w:rsidR="00496970" w:rsidRPr="001C55F3">
        <w:rPr>
          <w:rFonts w:cstheme="minorHAnsi"/>
          <w:sz w:val="20"/>
          <w:szCs w:val="20"/>
        </w:rPr>
        <w:t>of family violence in preventative measures would help to give weight to encouraging State parties to focus greater resources on prevention of family violence.</w:t>
      </w:r>
    </w:p>
    <w:p w14:paraId="19B249B9" w14:textId="136494B2" w:rsidR="00496970" w:rsidRPr="001C55F3" w:rsidRDefault="009935D5" w:rsidP="00E105D0">
      <w:pPr>
        <w:ind w:left="360"/>
        <w:rPr>
          <w:rFonts w:cstheme="minorHAnsi"/>
          <w:sz w:val="20"/>
          <w:szCs w:val="20"/>
        </w:rPr>
      </w:pPr>
      <w:r w:rsidRPr="001C55F3">
        <w:rPr>
          <w:rFonts w:cstheme="minorHAnsi"/>
          <w:sz w:val="20"/>
          <w:szCs w:val="20"/>
        </w:rPr>
        <w:t xml:space="preserve">In </w:t>
      </w:r>
      <w:r w:rsidR="00BF77E3" w:rsidRPr="001C55F3">
        <w:rPr>
          <w:rFonts w:cstheme="minorHAnsi"/>
          <w:sz w:val="20"/>
          <w:szCs w:val="20"/>
        </w:rPr>
        <w:t xml:space="preserve">a </w:t>
      </w:r>
      <w:r w:rsidRPr="001C55F3">
        <w:rPr>
          <w:rFonts w:cstheme="minorHAnsi"/>
          <w:sz w:val="20"/>
          <w:szCs w:val="20"/>
        </w:rPr>
        <w:t>recent New Zealand</w:t>
      </w:r>
      <w:r w:rsidR="0063709D" w:rsidRPr="001C55F3">
        <w:rPr>
          <w:rFonts w:cstheme="minorHAnsi"/>
          <w:sz w:val="20"/>
          <w:szCs w:val="20"/>
        </w:rPr>
        <w:t xml:space="preserve"> report published by the </w:t>
      </w:r>
      <w:r w:rsidR="009A70ED" w:rsidRPr="001C55F3">
        <w:rPr>
          <w:rFonts w:cstheme="minorHAnsi"/>
          <w:sz w:val="20"/>
          <w:szCs w:val="20"/>
        </w:rPr>
        <w:t xml:space="preserve">Office of the Prime Minister’s Chief Science Advisor, </w:t>
      </w:r>
      <w:r w:rsidR="00E55D6A" w:rsidRPr="001C55F3">
        <w:rPr>
          <w:rFonts w:cstheme="minorHAnsi"/>
          <w:sz w:val="20"/>
          <w:szCs w:val="20"/>
        </w:rPr>
        <w:t>‘</w:t>
      </w:r>
      <w:r w:rsidR="009A70ED" w:rsidRPr="001C55F3">
        <w:rPr>
          <w:rFonts w:cstheme="minorHAnsi"/>
          <w:sz w:val="20"/>
          <w:szCs w:val="20"/>
        </w:rPr>
        <w:t>E</w:t>
      </w:r>
      <w:r w:rsidR="00E55D6A" w:rsidRPr="001C55F3">
        <w:rPr>
          <w:rFonts w:cstheme="minorHAnsi"/>
          <w:sz w:val="20"/>
          <w:szCs w:val="20"/>
        </w:rPr>
        <w:t>v</w:t>
      </w:r>
      <w:r w:rsidRPr="001C55F3">
        <w:rPr>
          <w:rFonts w:cstheme="minorHAnsi"/>
          <w:sz w:val="20"/>
          <w:szCs w:val="20"/>
        </w:rPr>
        <w:t>ery 4 Minutes</w:t>
      </w:r>
      <w:r w:rsidR="00E55D6A" w:rsidRPr="001C55F3">
        <w:rPr>
          <w:rFonts w:cstheme="minorHAnsi"/>
          <w:sz w:val="20"/>
          <w:szCs w:val="20"/>
        </w:rPr>
        <w:t>’</w:t>
      </w:r>
      <w:r w:rsidR="00AD4F69" w:rsidRPr="001C55F3">
        <w:rPr>
          <w:rFonts w:cstheme="minorHAnsi"/>
          <w:sz w:val="20"/>
          <w:szCs w:val="20"/>
        </w:rPr>
        <w:t>, found a strong correlation between child</w:t>
      </w:r>
      <w:r w:rsidR="000D11E7" w:rsidRPr="001C55F3">
        <w:rPr>
          <w:rFonts w:cstheme="minorHAnsi"/>
          <w:sz w:val="20"/>
          <w:szCs w:val="20"/>
        </w:rPr>
        <w:t>ren</w:t>
      </w:r>
      <w:r w:rsidR="00AD4F69" w:rsidRPr="001C55F3">
        <w:rPr>
          <w:rFonts w:cstheme="minorHAnsi"/>
          <w:sz w:val="20"/>
          <w:szCs w:val="20"/>
        </w:rPr>
        <w:t xml:space="preserve"> experienc</w:t>
      </w:r>
      <w:r w:rsidR="000D11E7" w:rsidRPr="001C55F3">
        <w:rPr>
          <w:rFonts w:cstheme="minorHAnsi"/>
          <w:sz w:val="20"/>
          <w:szCs w:val="20"/>
        </w:rPr>
        <w:t>ing</w:t>
      </w:r>
      <w:r w:rsidR="00AD4F69" w:rsidRPr="001C55F3">
        <w:rPr>
          <w:rFonts w:cstheme="minorHAnsi"/>
          <w:sz w:val="20"/>
          <w:szCs w:val="20"/>
        </w:rPr>
        <w:t xml:space="preserve"> family violenc</w:t>
      </w:r>
      <w:r w:rsidR="000D11E7" w:rsidRPr="001C55F3">
        <w:rPr>
          <w:rFonts w:cstheme="minorHAnsi"/>
          <w:sz w:val="20"/>
          <w:szCs w:val="20"/>
        </w:rPr>
        <w:t>e</w:t>
      </w:r>
      <w:r w:rsidRPr="001C55F3">
        <w:rPr>
          <w:rFonts w:cstheme="minorHAnsi"/>
          <w:sz w:val="20"/>
          <w:szCs w:val="20"/>
        </w:rPr>
        <w:t xml:space="preserve"> </w:t>
      </w:r>
      <w:r w:rsidR="000D11E7" w:rsidRPr="001C55F3">
        <w:rPr>
          <w:rFonts w:cstheme="minorHAnsi"/>
          <w:sz w:val="20"/>
          <w:szCs w:val="20"/>
        </w:rPr>
        <w:t>and child/youth offending</w:t>
      </w:r>
      <w:r w:rsidR="00A66927" w:rsidRPr="001C55F3">
        <w:rPr>
          <w:rStyle w:val="FootnoteReference"/>
          <w:rFonts w:cstheme="minorHAnsi"/>
          <w:sz w:val="20"/>
          <w:szCs w:val="20"/>
        </w:rPr>
        <w:footnoteReference w:id="12"/>
      </w:r>
      <w:r w:rsidR="000D11E7" w:rsidRPr="001C55F3">
        <w:rPr>
          <w:rFonts w:cstheme="minorHAnsi"/>
          <w:sz w:val="20"/>
          <w:szCs w:val="20"/>
        </w:rPr>
        <w:t xml:space="preserve">. </w:t>
      </w:r>
    </w:p>
    <w:p w14:paraId="1B8F5C93" w14:textId="29676640" w:rsidR="00CD3A49" w:rsidRPr="001C55F3" w:rsidRDefault="004C5430" w:rsidP="4D7733F4">
      <w:pPr>
        <w:rPr>
          <w:sz w:val="20"/>
          <w:szCs w:val="20"/>
        </w:rPr>
      </w:pPr>
      <w:r w:rsidRPr="4D7733F4">
        <w:rPr>
          <w:sz w:val="20"/>
          <w:szCs w:val="20"/>
        </w:rPr>
        <w:t>A strong correlation has been found between family violence and child and youth offenders</w:t>
      </w:r>
      <w:r w:rsidR="007B5F3C" w:rsidRPr="4D7733F4">
        <w:rPr>
          <w:sz w:val="20"/>
          <w:szCs w:val="20"/>
        </w:rPr>
        <w:t>.</w:t>
      </w:r>
      <w:r w:rsidR="00CD3A49" w:rsidRPr="4D7733F4">
        <w:rPr>
          <w:sz w:val="20"/>
          <w:szCs w:val="20"/>
        </w:rPr>
        <w:t xml:space="preserve">  The following statistics have been taken from ‘Every 4 Minutes’</w:t>
      </w:r>
      <w:r w:rsidR="006804CB" w:rsidRPr="4D7733F4">
        <w:rPr>
          <w:rStyle w:val="FootnoteReference"/>
          <w:sz w:val="20"/>
          <w:szCs w:val="20"/>
        </w:rPr>
        <w:footnoteReference w:id="13"/>
      </w:r>
      <w:r w:rsidR="00CD3A49" w:rsidRPr="4D7733F4">
        <w:rPr>
          <w:sz w:val="20"/>
          <w:szCs w:val="20"/>
        </w:rPr>
        <w:t xml:space="preserve">; </w:t>
      </w:r>
    </w:p>
    <w:p w14:paraId="65DF2142" w14:textId="0ED43716" w:rsidR="00CD3A49" w:rsidRPr="001C55F3" w:rsidRDefault="00CD3A49" w:rsidP="002566BA">
      <w:pPr>
        <w:ind w:left="360"/>
        <w:rPr>
          <w:rFonts w:cstheme="minorHAnsi"/>
          <w:sz w:val="20"/>
          <w:szCs w:val="20"/>
        </w:rPr>
      </w:pPr>
      <w:r w:rsidRPr="001C55F3">
        <w:rPr>
          <w:rFonts w:cstheme="minorHAnsi"/>
          <w:sz w:val="20"/>
          <w:szCs w:val="20"/>
        </w:rPr>
        <w:t>Most criminal offenders have themselves been targets of violence:  </w:t>
      </w:r>
    </w:p>
    <w:p w14:paraId="3C0BC11C" w14:textId="77777777" w:rsidR="00CD3A49" w:rsidRPr="001C55F3" w:rsidRDefault="00CD3A49" w:rsidP="002566BA">
      <w:pPr>
        <w:pStyle w:val="ListParagraph"/>
        <w:numPr>
          <w:ilvl w:val="0"/>
          <w:numId w:val="5"/>
        </w:numPr>
        <w:ind w:left="1080"/>
        <w:rPr>
          <w:rFonts w:cstheme="minorHAnsi"/>
          <w:sz w:val="20"/>
          <w:szCs w:val="20"/>
        </w:rPr>
      </w:pPr>
      <w:r w:rsidRPr="001C55F3">
        <w:rPr>
          <w:rFonts w:cstheme="minorHAnsi"/>
          <w:sz w:val="20"/>
          <w:szCs w:val="20"/>
        </w:rPr>
        <w:t>80% of child and youth offenders have experience of family violence   </w:t>
      </w:r>
    </w:p>
    <w:p w14:paraId="29FC2ABC" w14:textId="77777777" w:rsidR="00CD3A49" w:rsidRPr="001C55F3" w:rsidRDefault="00CD3A49" w:rsidP="002566BA">
      <w:pPr>
        <w:pStyle w:val="ListParagraph"/>
        <w:numPr>
          <w:ilvl w:val="0"/>
          <w:numId w:val="5"/>
        </w:numPr>
        <w:ind w:left="1080"/>
        <w:rPr>
          <w:rFonts w:cstheme="minorHAnsi"/>
          <w:sz w:val="20"/>
          <w:szCs w:val="20"/>
        </w:rPr>
      </w:pPr>
      <w:r w:rsidRPr="001C55F3">
        <w:rPr>
          <w:rFonts w:cstheme="minorHAnsi"/>
          <w:sz w:val="20"/>
          <w:szCs w:val="20"/>
        </w:rPr>
        <w:t>87% of young offenders aged 14-16 years in 2016/17 had prior care and protection reports  </w:t>
      </w:r>
    </w:p>
    <w:p w14:paraId="4A0046C9" w14:textId="08152A92" w:rsidR="00CD3A49" w:rsidRPr="001C55F3" w:rsidRDefault="00CD3A49" w:rsidP="002566BA">
      <w:pPr>
        <w:pStyle w:val="ListParagraph"/>
        <w:numPr>
          <w:ilvl w:val="0"/>
          <w:numId w:val="5"/>
        </w:numPr>
        <w:ind w:left="1080"/>
        <w:rPr>
          <w:sz w:val="20"/>
          <w:szCs w:val="20"/>
        </w:rPr>
      </w:pPr>
      <w:r w:rsidRPr="5C56FADD">
        <w:rPr>
          <w:sz w:val="20"/>
          <w:szCs w:val="20"/>
        </w:rPr>
        <w:t xml:space="preserve">75% of women in prison have reported family violence and sexual </w:t>
      </w:r>
      <w:r w:rsidR="5C56FADD" w:rsidRPr="5C56FADD">
        <w:rPr>
          <w:sz w:val="20"/>
          <w:szCs w:val="20"/>
        </w:rPr>
        <w:t>violence. </w:t>
      </w:r>
      <w:r w:rsidRPr="5C56FADD">
        <w:rPr>
          <w:sz w:val="20"/>
          <w:szCs w:val="20"/>
        </w:rPr>
        <w:t> </w:t>
      </w:r>
    </w:p>
    <w:p w14:paraId="311324A2" w14:textId="07A87AB8" w:rsidR="004C5430" w:rsidRPr="001C55F3" w:rsidRDefault="00CD3A49" w:rsidP="002566BA">
      <w:pPr>
        <w:ind w:left="360"/>
        <w:rPr>
          <w:rFonts w:cstheme="minorHAnsi"/>
          <w:sz w:val="20"/>
          <w:szCs w:val="20"/>
          <w:highlight w:val="yellow"/>
        </w:rPr>
      </w:pPr>
      <w:r w:rsidRPr="001C55F3">
        <w:rPr>
          <w:rFonts w:cstheme="minorHAnsi"/>
          <w:sz w:val="20"/>
          <w:szCs w:val="20"/>
        </w:rPr>
        <w:t>A history of sexual abuse is the strongest predictor of reoffending by young females.   </w:t>
      </w:r>
      <w:r w:rsidR="007B5F3C" w:rsidRPr="001C55F3">
        <w:rPr>
          <w:rFonts w:cstheme="minorHAnsi"/>
          <w:sz w:val="20"/>
          <w:szCs w:val="20"/>
        </w:rPr>
        <w:t xml:space="preserve"> </w:t>
      </w:r>
    </w:p>
    <w:p w14:paraId="3785305C" w14:textId="094041A0" w:rsidR="0066719B" w:rsidRPr="001C55F3" w:rsidRDefault="0066719B" w:rsidP="00E105D0">
      <w:pPr>
        <w:pStyle w:val="ListParagraph"/>
        <w:numPr>
          <w:ilvl w:val="0"/>
          <w:numId w:val="4"/>
        </w:numPr>
        <w:rPr>
          <w:sz w:val="20"/>
          <w:szCs w:val="20"/>
        </w:rPr>
      </w:pPr>
      <w:r w:rsidRPr="3EDCAB1C">
        <w:rPr>
          <w:b/>
          <w:sz w:val="20"/>
          <w:szCs w:val="20"/>
        </w:rPr>
        <w:t xml:space="preserve">Children’s coerced or forced involvement in terrorist </w:t>
      </w:r>
      <w:r w:rsidR="007A654D" w:rsidRPr="3EDCAB1C">
        <w:rPr>
          <w:b/>
          <w:sz w:val="20"/>
          <w:szCs w:val="20"/>
        </w:rPr>
        <w:t xml:space="preserve">activities or violent conflict </w:t>
      </w:r>
    </w:p>
    <w:p w14:paraId="53976217" w14:textId="72E7E286" w:rsidR="00785D2D" w:rsidRPr="001C55F3" w:rsidRDefault="00E12A3B" w:rsidP="00B026E3">
      <w:pPr>
        <w:ind w:left="360"/>
        <w:rPr>
          <w:rFonts w:cstheme="minorHAnsi"/>
          <w:sz w:val="20"/>
          <w:szCs w:val="20"/>
        </w:rPr>
      </w:pPr>
      <w:r w:rsidRPr="001C55F3">
        <w:rPr>
          <w:rFonts w:cstheme="minorHAnsi"/>
          <w:sz w:val="20"/>
          <w:szCs w:val="20"/>
        </w:rPr>
        <w:t>T</w:t>
      </w:r>
      <w:r w:rsidR="00501F55" w:rsidRPr="001C55F3">
        <w:rPr>
          <w:rFonts w:cstheme="minorHAnsi"/>
          <w:sz w:val="20"/>
          <w:szCs w:val="20"/>
        </w:rPr>
        <w:t xml:space="preserve">he issue of children being coerced or forced into </w:t>
      </w:r>
      <w:r w:rsidR="00B90D58" w:rsidRPr="001C55F3">
        <w:rPr>
          <w:rFonts w:cstheme="minorHAnsi"/>
          <w:sz w:val="20"/>
          <w:szCs w:val="20"/>
        </w:rPr>
        <w:t xml:space="preserve">violent conflict or terrorist acts is </w:t>
      </w:r>
      <w:r w:rsidR="00785D2D" w:rsidRPr="001C55F3">
        <w:rPr>
          <w:rFonts w:cstheme="minorHAnsi"/>
          <w:sz w:val="20"/>
          <w:szCs w:val="20"/>
        </w:rPr>
        <w:t>particularly relevant as 1 in 6 children are living in conflict-impacted areas</w:t>
      </w:r>
      <w:r w:rsidR="00B90D58" w:rsidRPr="001C55F3">
        <w:rPr>
          <w:rStyle w:val="FootnoteReference"/>
          <w:rFonts w:cstheme="minorHAnsi"/>
          <w:sz w:val="20"/>
          <w:szCs w:val="20"/>
        </w:rPr>
        <w:footnoteReference w:id="14"/>
      </w:r>
      <w:r w:rsidR="00785D2D" w:rsidRPr="001C55F3">
        <w:rPr>
          <w:rFonts w:cstheme="minorHAnsi"/>
          <w:sz w:val="20"/>
          <w:szCs w:val="20"/>
        </w:rPr>
        <w:t>.  Children living in conflict zones often lack access to school, health facilities, and are more exposed to violence</w:t>
      </w:r>
      <w:r w:rsidR="00FC7BC3" w:rsidRPr="001C55F3">
        <w:rPr>
          <w:rFonts w:cstheme="minorHAnsi"/>
          <w:sz w:val="20"/>
          <w:szCs w:val="20"/>
        </w:rPr>
        <w:t>, and have a greater likelihood of being forced or coerced into participating in the conflict</w:t>
      </w:r>
      <w:r w:rsidR="00727CFE" w:rsidRPr="001C55F3">
        <w:rPr>
          <w:rStyle w:val="FootnoteReference"/>
          <w:rFonts w:cstheme="minorHAnsi"/>
          <w:sz w:val="20"/>
          <w:szCs w:val="20"/>
        </w:rPr>
        <w:footnoteReference w:id="15"/>
      </w:r>
      <w:r w:rsidR="00785D2D" w:rsidRPr="001C55F3">
        <w:rPr>
          <w:rFonts w:cstheme="minorHAnsi"/>
          <w:sz w:val="20"/>
          <w:szCs w:val="20"/>
        </w:rPr>
        <w:t>.</w:t>
      </w:r>
    </w:p>
    <w:p w14:paraId="719AEE19" w14:textId="1C184DB4" w:rsidR="00785D2D" w:rsidRPr="001C55F3" w:rsidRDefault="00785D2D" w:rsidP="00B026E3">
      <w:pPr>
        <w:ind w:left="360"/>
        <w:rPr>
          <w:rFonts w:cstheme="minorHAnsi"/>
          <w:sz w:val="20"/>
          <w:szCs w:val="20"/>
        </w:rPr>
      </w:pPr>
      <w:r w:rsidRPr="001C55F3">
        <w:rPr>
          <w:rFonts w:cstheme="minorHAnsi"/>
          <w:sz w:val="20"/>
          <w:szCs w:val="20"/>
        </w:rPr>
        <w:t>The gravity of this issue - children being recruited and or used in armed violence</w:t>
      </w:r>
      <w:r w:rsidR="00697EBF" w:rsidRPr="001C55F3">
        <w:rPr>
          <w:rFonts w:cstheme="minorHAnsi"/>
          <w:sz w:val="20"/>
          <w:szCs w:val="20"/>
        </w:rPr>
        <w:t>,</w:t>
      </w:r>
      <w:r w:rsidRPr="001C55F3">
        <w:rPr>
          <w:rFonts w:cstheme="minorHAnsi"/>
          <w:sz w:val="20"/>
          <w:szCs w:val="20"/>
        </w:rPr>
        <w:t xml:space="preserve"> is recognised by </w:t>
      </w:r>
      <w:r w:rsidR="00294590" w:rsidRPr="001C55F3">
        <w:rPr>
          <w:rFonts w:cstheme="minorHAnsi"/>
          <w:sz w:val="20"/>
          <w:szCs w:val="20"/>
        </w:rPr>
        <w:t>the</w:t>
      </w:r>
      <w:r w:rsidRPr="001C55F3">
        <w:rPr>
          <w:rFonts w:cstheme="minorHAnsi"/>
          <w:sz w:val="20"/>
          <w:szCs w:val="20"/>
        </w:rPr>
        <w:t xml:space="preserve"> Paris Principles and Guidelines on Children Associated with Armed Forces or Armed groups</w:t>
      </w:r>
      <w:r w:rsidR="00CB5729" w:rsidRPr="001C55F3">
        <w:rPr>
          <w:rStyle w:val="FootnoteReference"/>
          <w:rFonts w:cstheme="minorHAnsi"/>
          <w:sz w:val="20"/>
          <w:szCs w:val="20"/>
        </w:rPr>
        <w:footnoteReference w:id="16"/>
      </w:r>
      <w:r w:rsidRPr="001C55F3">
        <w:rPr>
          <w:rFonts w:cstheme="minorHAnsi"/>
          <w:sz w:val="20"/>
          <w:szCs w:val="20"/>
        </w:rPr>
        <w:t xml:space="preserve">, </w:t>
      </w:r>
      <w:r w:rsidR="00986B1B" w:rsidRPr="001C55F3">
        <w:rPr>
          <w:rFonts w:cstheme="minorHAnsi"/>
          <w:sz w:val="20"/>
          <w:szCs w:val="20"/>
        </w:rPr>
        <w:t>published</w:t>
      </w:r>
      <w:r w:rsidRPr="001C55F3">
        <w:rPr>
          <w:rFonts w:cstheme="minorHAnsi"/>
          <w:sz w:val="20"/>
          <w:szCs w:val="20"/>
        </w:rPr>
        <w:t xml:space="preserve"> in 2007, to prevent recruitment, protect children support their releases from armed forces or armed groups and reintegrate them in to civilian life.  However, despite this</w:t>
      </w:r>
      <w:r w:rsidR="00EE1CD1" w:rsidRPr="001C55F3">
        <w:rPr>
          <w:rFonts w:cstheme="minorHAnsi"/>
          <w:sz w:val="20"/>
          <w:szCs w:val="20"/>
        </w:rPr>
        <w:t xml:space="preserve"> issue being </w:t>
      </w:r>
      <w:r w:rsidRPr="001C55F3">
        <w:rPr>
          <w:rFonts w:cstheme="minorHAnsi"/>
          <w:sz w:val="20"/>
          <w:szCs w:val="20"/>
        </w:rPr>
        <w:t>recognised globally</w:t>
      </w:r>
      <w:r w:rsidR="009B3A56" w:rsidRPr="001C55F3">
        <w:rPr>
          <w:rFonts w:cstheme="minorHAnsi"/>
          <w:sz w:val="20"/>
          <w:szCs w:val="20"/>
        </w:rPr>
        <w:t xml:space="preserve"> for many years</w:t>
      </w:r>
      <w:r w:rsidRPr="001C55F3">
        <w:rPr>
          <w:rFonts w:cstheme="minorHAnsi"/>
          <w:sz w:val="20"/>
          <w:szCs w:val="20"/>
        </w:rPr>
        <w:t>, rates of child recruitment and use in armed conflict is increasing</w:t>
      </w:r>
      <w:r w:rsidR="00FB638C" w:rsidRPr="001C55F3">
        <w:rPr>
          <w:rStyle w:val="FootnoteReference"/>
          <w:rFonts w:cstheme="minorHAnsi"/>
          <w:sz w:val="20"/>
          <w:szCs w:val="20"/>
        </w:rPr>
        <w:footnoteReference w:id="17"/>
      </w:r>
      <w:r w:rsidR="009A3BBE" w:rsidRPr="001C55F3">
        <w:rPr>
          <w:rFonts w:cstheme="minorHAnsi"/>
          <w:sz w:val="20"/>
          <w:szCs w:val="20"/>
        </w:rPr>
        <w:t>, a</w:t>
      </w:r>
      <w:r w:rsidR="009467F4" w:rsidRPr="001C55F3">
        <w:rPr>
          <w:rFonts w:cstheme="minorHAnsi"/>
          <w:sz w:val="20"/>
          <w:szCs w:val="20"/>
        </w:rPr>
        <w:t xml:space="preserve">nd </w:t>
      </w:r>
      <w:r w:rsidR="00974AED" w:rsidRPr="001C55F3">
        <w:rPr>
          <w:rFonts w:cstheme="minorHAnsi"/>
          <w:sz w:val="20"/>
          <w:szCs w:val="20"/>
        </w:rPr>
        <w:t>vulnerable children – orphans, street children and children with disabilities are particularly vulnerable to being used in this way</w:t>
      </w:r>
      <w:r w:rsidR="00974AED" w:rsidRPr="001C55F3">
        <w:rPr>
          <w:rStyle w:val="FootnoteReference"/>
          <w:rFonts w:cstheme="minorHAnsi"/>
          <w:sz w:val="20"/>
          <w:szCs w:val="20"/>
        </w:rPr>
        <w:footnoteReference w:id="18"/>
      </w:r>
      <w:r w:rsidR="00974AED" w:rsidRPr="001C55F3">
        <w:rPr>
          <w:rFonts w:cstheme="minorHAnsi"/>
          <w:sz w:val="20"/>
          <w:szCs w:val="20"/>
        </w:rPr>
        <w:t xml:space="preserve">. </w:t>
      </w:r>
    </w:p>
    <w:p w14:paraId="45F046E0" w14:textId="58C51405" w:rsidR="00734602" w:rsidRPr="001C55F3" w:rsidRDefault="00734602" w:rsidP="00B026E3">
      <w:pPr>
        <w:ind w:left="360"/>
        <w:rPr>
          <w:sz w:val="20"/>
          <w:szCs w:val="20"/>
          <w:lang w:val="en-US"/>
        </w:rPr>
      </w:pPr>
      <w:r w:rsidRPr="34FA6433">
        <w:rPr>
          <w:sz w:val="20"/>
          <w:szCs w:val="20"/>
        </w:rPr>
        <w:t>Save the Children</w:t>
      </w:r>
      <w:r w:rsidR="00966E16" w:rsidRPr="34FA6433">
        <w:rPr>
          <w:sz w:val="20"/>
          <w:szCs w:val="20"/>
        </w:rPr>
        <w:t xml:space="preserve"> </w:t>
      </w:r>
      <w:r w:rsidRPr="34FA6433">
        <w:rPr>
          <w:sz w:val="20"/>
          <w:szCs w:val="20"/>
        </w:rPr>
        <w:t xml:space="preserve">supports the Committee’s recognition of the victimisation of children by </w:t>
      </w:r>
      <w:r w:rsidRPr="34FA6433">
        <w:rPr>
          <w:sz w:val="20"/>
          <w:szCs w:val="20"/>
          <w:lang w:val="en-US"/>
        </w:rPr>
        <w:t xml:space="preserve">non-State armed groups, terrorist and violent extremist </w:t>
      </w:r>
      <w:proofErr w:type="spellStart"/>
      <w:r w:rsidR="34FA6433" w:rsidRPr="34FA6433">
        <w:rPr>
          <w:sz w:val="20"/>
          <w:szCs w:val="20"/>
          <w:lang w:val="en-US"/>
        </w:rPr>
        <w:t>organisations</w:t>
      </w:r>
      <w:proofErr w:type="spellEnd"/>
      <w:r w:rsidRPr="34FA6433">
        <w:rPr>
          <w:sz w:val="20"/>
          <w:szCs w:val="20"/>
          <w:lang w:val="en-US"/>
        </w:rPr>
        <w:t xml:space="preserve">.  </w:t>
      </w:r>
    </w:p>
    <w:p w14:paraId="24692E94" w14:textId="7EA91CD0" w:rsidR="003C774D" w:rsidRPr="001C55F3" w:rsidRDefault="00734602" w:rsidP="00B026E3">
      <w:pPr>
        <w:ind w:left="360"/>
        <w:rPr>
          <w:rFonts w:cstheme="minorHAnsi"/>
          <w:sz w:val="20"/>
          <w:szCs w:val="20"/>
        </w:rPr>
      </w:pPr>
      <w:r w:rsidRPr="001C55F3">
        <w:rPr>
          <w:rFonts w:cstheme="minorHAnsi"/>
          <w:sz w:val="20"/>
          <w:szCs w:val="20"/>
        </w:rPr>
        <w:t>We agree that children forced or coerced into violent acts should be recognised and treated as victims in these situations</w:t>
      </w:r>
      <w:r w:rsidR="007A1CEE" w:rsidRPr="001C55F3">
        <w:rPr>
          <w:rStyle w:val="FootnoteReference"/>
          <w:rFonts w:cstheme="minorHAnsi"/>
          <w:sz w:val="20"/>
          <w:szCs w:val="20"/>
        </w:rPr>
        <w:footnoteReference w:id="19"/>
      </w:r>
      <w:r w:rsidRPr="001C55F3">
        <w:rPr>
          <w:rFonts w:cstheme="minorHAnsi"/>
          <w:sz w:val="20"/>
          <w:szCs w:val="20"/>
        </w:rPr>
        <w:t xml:space="preserve">.  We recognise the challenges that State parties have in responding to these challenges, </w:t>
      </w:r>
      <w:r w:rsidR="008A3685" w:rsidRPr="001C55F3">
        <w:rPr>
          <w:rFonts w:cstheme="minorHAnsi"/>
          <w:sz w:val="20"/>
          <w:szCs w:val="20"/>
        </w:rPr>
        <w:t>however we support the Committee’s recommendation in</w:t>
      </w:r>
      <w:r w:rsidRPr="001C55F3">
        <w:rPr>
          <w:rFonts w:cstheme="minorHAnsi"/>
          <w:sz w:val="20"/>
          <w:szCs w:val="20"/>
        </w:rPr>
        <w:t xml:space="preserve"> taking a child rights approach that focusses on treatment and rehabilitation of children</w:t>
      </w:r>
      <w:r w:rsidR="008A3685" w:rsidRPr="001C55F3">
        <w:rPr>
          <w:rFonts w:cstheme="minorHAnsi"/>
          <w:sz w:val="20"/>
          <w:szCs w:val="20"/>
        </w:rPr>
        <w:t xml:space="preserve"> that will support their future reintegration in to peaceful society</w:t>
      </w:r>
      <w:r w:rsidR="006A7093" w:rsidRPr="001C55F3">
        <w:rPr>
          <w:rStyle w:val="FootnoteReference"/>
          <w:rFonts w:cstheme="minorHAnsi"/>
          <w:sz w:val="20"/>
          <w:szCs w:val="20"/>
        </w:rPr>
        <w:footnoteReference w:id="20"/>
      </w:r>
      <w:r w:rsidR="008A3685" w:rsidRPr="001C55F3">
        <w:rPr>
          <w:rFonts w:cstheme="minorHAnsi"/>
          <w:sz w:val="20"/>
          <w:szCs w:val="20"/>
        </w:rPr>
        <w:t>.</w:t>
      </w:r>
      <w:r w:rsidR="003C774D" w:rsidRPr="001C55F3">
        <w:rPr>
          <w:rFonts w:cstheme="minorHAnsi"/>
          <w:sz w:val="20"/>
          <w:szCs w:val="20"/>
        </w:rPr>
        <w:t xml:space="preserve"> Furthermore, we strongly support </w:t>
      </w:r>
      <w:r w:rsidR="00916808" w:rsidRPr="001C55F3">
        <w:rPr>
          <w:rFonts w:cstheme="minorHAnsi"/>
          <w:sz w:val="20"/>
          <w:szCs w:val="20"/>
        </w:rPr>
        <w:t xml:space="preserve">recommendations that State parties should </w:t>
      </w:r>
      <w:r w:rsidR="006B264A" w:rsidRPr="001C55F3">
        <w:rPr>
          <w:rFonts w:cstheme="minorHAnsi"/>
          <w:sz w:val="20"/>
          <w:szCs w:val="20"/>
        </w:rPr>
        <w:t xml:space="preserve">adopt preventive interventions </w:t>
      </w:r>
      <w:r w:rsidR="00A13812" w:rsidRPr="001C55F3">
        <w:rPr>
          <w:rFonts w:cstheme="minorHAnsi"/>
          <w:sz w:val="20"/>
          <w:szCs w:val="20"/>
        </w:rPr>
        <w:t>to tackle social factors and root</w:t>
      </w:r>
      <w:r w:rsidR="00C74885" w:rsidRPr="001C55F3">
        <w:rPr>
          <w:rFonts w:cstheme="minorHAnsi"/>
          <w:sz w:val="20"/>
          <w:szCs w:val="20"/>
        </w:rPr>
        <w:t xml:space="preserve"> c</w:t>
      </w:r>
      <w:r w:rsidR="00A13812" w:rsidRPr="001C55F3">
        <w:rPr>
          <w:rFonts w:cstheme="minorHAnsi"/>
          <w:sz w:val="20"/>
          <w:szCs w:val="20"/>
        </w:rPr>
        <w:t>a</w:t>
      </w:r>
      <w:r w:rsidR="00C74885" w:rsidRPr="001C55F3">
        <w:rPr>
          <w:rFonts w:cstheme="minorHAnsi"/>
          <w:sz w:val="20"/>
          <w:szCs w:val="20"/>
        </w:rPr>
        <w:t>u</w:t>
      </w:r>
      <w:r w:rsidR="00A13812" w:rsidRPr="001C55F3">
        <w:rPr>
          <w:rFonts w:cstheme="minorHAnsi"/>
          <w:sz w:val="20"/>
          <w:szCs w:val="20"/>
        </w:rPr>
        <w:t xml:space="preserve">ses as well as rehabilitation and </w:t>
      </w:r>
      <w:r w:rsidR="00C74885" w:rsidRPr="001C55F3">
        <w:rPr>
          <w:rFonts w:cstheme="minorHAnsi"/>
          <w:sz w:val="20"/>
          <w:szCs w:val="20"/>
        </w:rPr>
        <w:t>reintegration</w:t>
      </w:r>
      <w:r w:rsidR="00A13812" w:rsidRPr="001C55F3">
        <w:rPr>
          <w:rFonts w:cstheme="minorHAnsi"/>
          <w:sz w:val="20"/>
          <w:szCs w:val="20"/>
        </w:rPr>
        <w:t xml:space="preserve"> measures</w:t>
      </w:r>
      <w:r w:rsidR="00983D0A" w:rsidRPr="001C55F3">
        <w:rPr>
          <w:rStyle w:val="FootnoteReference"/>
          <w:rFonts w:cstheme="minorHAnsi"/>
          <w:sz w:val="20"/>
          <w:szCs w:val="20"/>
        </w:rPr>
        <w:footnoteReference w:id="21"/>
      </w:r>
      <w:r w:rsidR="003B7C8F" w:rsidRPr="001C55F3">
        <w:rPr>
          <w:rFonts w:cstheme="minorHAnsi"/>
          <w:sz w:val="20"/>
          <w:szCs w:val="20"/>
        </w:rPr>
        <w:t xml:space="preserve"> as means to prevent</w:t>
      </w:r>
      <w:r w:rsidR="009D23FD" w:rsidRPr="001C55F3">
        <w:rPr>
          <w:rFonts w:cstheme="minorHAnsi"/>
          <w:sz w:val="20"/>
          <w:szCs w:val="20"/>
        </w:rPr>
        <w:t>,</w:t>
      </w:r>
      <w:r w:rsidR="003B7C8F" w:rsidRPr="001C55F3">
        <w:rPr>
          <w:rFonts w:cstheme="minorHAnsi"/>
          <w:sz w:val="20"/>
          <w:szCs w:val="20"/>
        </w:rPr>
        <w:t xml:space="preserve"> or stem </w:t>
      </w:r>
      <w:r w:rsidR="00BD2C14" w:rsidRPr="001C55F3">
        <w:rPr>
          <w:rFonts w:cstheme="minorHAnsi"/>
          <w:sz w:val="20"/>
          <w:szCs w:val="20"/>
        </w:rPr>
        <w:t>and reduce</w:t>
      </w:r>
      <w:r w:rsidR="009D23FD" w:rsidRPr="001C55F3">
        <w:rPr>
          <w:rFonts w:cstheme="minorHAnsi"/>
          <w:sz w:val="20"/>
          <w:szCs w:val="20"/>
        </w:rPr>
        <w:t>,</w:t>
      </w:r>
      <w:r w:rsidR="00BD2C14" w:rsidRPr="001C55F3">
        <w:rPr>
          <w:rFonts w:cstheme="minorHAnsi"/>
          <w:sz w:val="20"/>
          <w:szCs w:val="20"/>
        </w:rPr>
        <w:t xml:space="preserve"> the rise of use children in violent conflict by State and non-state </w:t>
      </w:r>
      <w:r w:rsidR="00983D0A" w:rsidRPr="001C55F3">
        <w:rPr>
          <w:rFonts w:cstheme="minorHAnsi"/>
          <w:sz w:val="20"/>
          <w:szCs w:val="20"/>
        </w:rPr>
        <w:t>armed groups</w:t>
      </w:r>
      <w:r w:rsidR="00BD2C14" w:rsidRPr="001C55F3">
        <w:rPr>
          <w:rFonts w:cstheme="minorHAnsi"/>
          <w:sz w:val="20"/>
          <w:szCs w:val="20"/>
        </w:rPr>
        <w:t xml:space="preserve">.  </w:t>
      </w:r>
    </w:p>
    <w:p w14:paraId="754E1F7F" w14:textId="77777777" w:rsidR="00673501" w:rsidRPr="001C55F3" w:rsidRDefault="00673501" w:rsidP="001C164F">
      <w:pPr>
        <w:rPr>
          <w:rFonts w:cstheme="minorHAnsi"/>
          <w:sz w:val="20"/>
          <w:szCs w:val="20"/>
        </w:rPr>
      </w:pPr>
    </w:p>
    <w:p w14:paraId="7B06D014" w14:textId="34608153" w:rsidR="0066719B" w:rsidRPr="001C55F3" w:rsidRDefault="00B026E3" w:rsidP="001C164F">
      <w:pPr>
        <w:rPr>
          <w:rFonts w:cstheme="minorHAnsi"/>
          <w:b/>
          <w:sz w:val="20"/>
          <w:szCs w:val="20"/>
        </w:rPr>
      </w:pPr>
      <w:r w:rsidRPr="001C55F3">
        <w:rPr>
          <w:rFonts w:cstheme="minorHAnsi"/>
          <w:b/>
          <w:sz w:val="20"/>
          <w:szCs w:val="20"/>
        </w:rPr>
        <w:t xml:space="preserve">Conclusion </w:t>
      </w:r>
    </w:p>
    <w:p w14:paraId="35791E19" w14:textId="73D07E5D" w:rsidR="00673501" w:rsidRPr="001C55F3" w:rsidRDefault="00673501" w:rsidP="001C164F">
      <w:pPr>
        <w:rPr>
          <w:sz w:val="20"/>
          <w:szCs w:val="20"/>
        </w:rPr>
      </w:pPr>
      <w:r w:rsidRPr="48B8290F">
        <w:rPr>
          <w:sz w:val="20"/>
          <w:szCs w:val="20"/>
        </w:rPr>
        <w:t>Save the Children New Zealand</w:t>
      </w:r>
      <w:r w:rsidR="00A4356B" w:rsidRPr="48B8290F">
        <w:rPr>
          <w:sz w:val="20"/>
          <w:szCs w:val="20"/>
        </w:rPr>
        <w:t xml:space="preserve"> </w:t>
      </w:r>
      <w:r w:rsidR="00AA60EC" w:rsidRPr="48B8290F">
        <w:rPr>
          <w:sz w:val="20"/>
          <w:szCs w:val="20"/>
        </w:rPr>
        <w:t xml:space="preserve">supports the draft revised </w:t>
      </w:r>
      <w:r w:rsidR="48B8290F" w:rsidRPr="48B8290F">
        <w:rPr>
          <w:sz w:val="20"/>
          <w:szCs w:val="20"/>
        </w:rPr>
        <w:t>General Comment No 24.</w:t>
      </w:r>
      <w:r w:rsidR="00FE5C6F" w:rsidRPr="48B8290F">
        <w:rPr>
          <w:sz w:val="20"/>
          <w:szCs w:val="20"/>
        </w:rPr>
        <w:t xml:space="preserve">  We recommend the Committee progresses the draft general commen</w:t>
      </w:r>
      <w:r w:rsidR="009946E9" w:rsidRPr="48B8290F">
        <w:rPr>
          <w:sz w:val="20"/>
          <w:szCs w:val="20"/>
        </w:rPr>
        <w:t xml:space="preserve">t 24 to replace general comment No 10.  We request the Committee </w:t>
      </w:r>
      <w:proofErr w:type="gramStart"/>
      <w:r w:rsidR="009946E9" w:rsidRPr="48B8290F">
        <w:rPr>
          <w:sz w:val="20"/>
          <w:szCs w:val="20"/>
        </w:rPr>
        <w:t>takes</w:t>
      </w:r>
      <w:proofErr w:type="gramEnd"/>
      <w:r w:rsidR="009946E9" w:rsidRPr="48B8290F">
        <w:rPr>
          <w:sz w:val="20"/>
          <w:szCs w:val="20"/>
        </w:rPr>
        <w:t xml:space="preserve"> the issues we have raised into account when finalising the content of draft </w:t>
      </w:r>
      <w:r w:rsidR="3EDCAB1C" w:rsidRPr="3EDCAB1C">
        <w:rPr>
          <w:sz w:val="20"/>
          <w:szCs w:val="20"/>
        </w:rPr>
        <w:t>General Comment No 24.</w:t>
      </w:r>
    </w:p>
    <w:p w14:paraId="715A70DD" w14:textId="292DE461" w:rsidR="005058FB" w:rsidRPr="001C55F3" w:rsidRDefault="005058FB" w:rsidP="001C164F">
      <w:pPr>
        <w:rPr>
          <w:rFonts w:cstheme="minorHAnsi"/>
          <w:sz w:val="20"/>
          <w:szCs w:val="20"/>
        </w:rPr>
      </w:pPr>
      <w:r w:rsidRPr="001C55F3">
        <w:rPr>
          <w:rFonts w:cstheme="minorHAnsi"/>
          <w:sz w:val="20"/>
          <w:szCs w:val="20"/>
        </w:rPr>
        <w:t>Save the Children New Zealand</w:t>
      </w:r>
      <w:r w:rsidR="00C52915" w:rsidRPr="001C55F3">
        <w:rPr>
          <w:rFonts w:cstheme="minorHAnsi"/>
          <w:sz w:val="20"/>
          <w:szCs w:val="20"/>
        </w:rPr>
        <w:t xml:space="preserve"> </w:t>
      </w:r>
      <w:r w:rsidRPr="001C55F3">
        <w:rPr>
          <w:rFonts w:cstheme="minorHAnsi"/>
          <w:sz w:val="20"/>
          <w:szCs w:val="20"/>
        </w:rPr>
        <w:t>is happy to provide further information on the issues we have raised</w:t>
      </w:r>
      <w:r w:rsidR="00C52915" w:rsidRPr="001C55F3">
        <w:rPr>
          <w:rFonts w:cstheme="minorHAnsi"/>
          <w:sz w:val="20"/>
          <w:szCs w:val="20"/>
        </w:rPr>
        <w:t xml:space="preserve"> in this submission</w:t>
      </w:r>
      <w:r w:rsidRPr="001C55F3">
        <w:rPr>
          <w:rFonts w:cstheme="minorHAnsi"/>
          <w:sz w:val="20"/>
          <w:szCs w:val="20"/>
        </w:rPr>
        <w:t xml:space="preserve"> if requested.</w:t>
      </w:r>
    </w:p>
    <w:p w14:paraId="608E7041" w14:textId="346AF5E6" w:rsidR="005058FB" w:rsidRPr="001C55F3" w:rsidRDefault="005058FB" w:rsidP="001C164F">
      <w:pPr>
        <w:rPr>
          <w:rFonts w:cstheme="minorHAnsi"/>
          <w:sz w:val="20"/>
          <w:szCs w:val="20"/>
        </w:rPr>
      </w:pPr>
      <w:r w:rsidRPr="001C55F3">
        <w:rPr>
          <w:rFonts w:cstheme="minorHAnsi"/>
          <w:sz w:val="20"/>
          <w:szCs w:val="20"/>
        </w:rPr>
        <w:t xml:space="preserve">For any further information contact Jacqui Southey, </w:t>
      </w:r>
      <w:hyperlink r:id="rId8" w:history="1">
        <w:r w:rsidR="00206FF0" w:rsidRPr="001C55F3">
          <w:rPr>
            <w:rStyle w:val="Hyperlink"/>
            <w:rFonts w:cstheme="minorHAnsi"/>
            <w:sz w:val="20"/>
            <w:szCs w:val="20"/>
          </w:rPr>
          <w:t>jacqui.southey@scnz.org.nz</w:t>
        </w:r>
      </w:hyperlink>
      <w:r w:rsidR="00206FF0" w:rsidRPr="001C55F3">
        <w:rPr>
          <w:rFonts w:cstheme="minorHAnsi"/>
          <w:sz w:val="20"/>
          <w:szCs w:val="20"/>
        </w:rPr>
        <w:t xml:space="preserve"> </w:t>
      </w:r>
    </w:p>
    <w:p w14:paraId="5F11A00A" w14:textId="467A410E" w:rsidR="002B6085" w:rsidRPr="001C55F3" w:rsidRDefault="00206FF0" w:rsidP="001C164F">
      <w:pPr>
        <w:rPr>
          <w:rFonts w:cstheme="minorHAnsi"/>
          <w:sz w:val="20"/>
          <w:szCs w:val="20"/>
        </w:rPr>
      </w:pPr>
      <w:r w:rsidRPr="001C55F3">
        <w:rPr>
          <w:rFonts w:cstheme="minorHAnsi"/>
          <w:sz w:val="20"/>
          <w:szCs w:val="20"/>
        </w:rPr>
        <w:t>Jacqui Southey</w:t>
      </w:r>
      <w:r w:rsidRPr="001C55F3">
        <w:rPr>
          <w:rFonts w:cstheme="minorHAnsi"/>
          <w:sz w:val="20"/>
          <w:szCs w:val="20"/>
        </w:rPr>
        <w:br/>
        <w:t xml:space="preserve">Child Rights Advocacy and Research Director </w:t>
      </w:r>
      <w:r w:rsidRPr="001C55F3">
        <w:rPr>
          <w:rFonts w:cstheme="minorHAnsi"/>
          <w:sz w:val="20"/>
          <w:szCs w:val="20"/>
        </w:rPr>
        <w:br/>
        <w:t>Save the Children New Zealand</w:t>
      </w:r>
      <w:r w:rsidR="002B6085">
        <w:rPr>
          <w:rFonts w:cstheme="minorHAnsi"/>
          <w:sz w:val="20"/>
          <w:szCs w:val="20"/>
        </w:rPr>
        <w:br/>
      </w:r>
      <w:hyperlink r:id="rId9" w:history="1">
        <w:r w:rsidR="00CB227D" w:rsidRPr="009C2430">
          <w:rPr>
            <w:rStyle w:val="Hyperlink"/>
            <w:rFonts w:cstheme="minorHAnsi"/>
            <w:sz w:val="20"/>
            <w:szCs w:val="20"/>
          </w:rPr>
          <w:t>www.savethechildren.org.nz</w:t>
        </w:r>
      </w:hyperlink>
      <w:r w:rsidR="00CB227D">
        <w:rPr>
          <w:rFonts w:cstheme="minorHAnsi"/>
          <w:sz w:val="20"/>
          <w:szCs w:val="20"/>
        </w:rPr>
        <w:t xml:space="preserve"> </w:t>
      </w:r>
    </w:p>
    <w:p w14:paraId="3D6BCA2A" w14:textId="7121FC22" w:rsidR="00B800E6" w:rsidRPr="001C55F3" w:rsidRDefault="00B800E6" w:rsidP="001C164F">
      <w:pPr>
        <w:rPr>
          <w:rFonts w:cstheme="minorHAnsi"/>
          <w:sz w:val="20"/>
          <w:szCs w:val="20"/>
        </w:rPr>
      </w:pPr>
    </w:p>
    <w:sectPr w:rsidR="00B800E6" w:rsidRPr="001C55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D9DA" w14:textId="77777777" w:rsidR="00B206EA" w:rsidRDefault="00B206EA" w:rsidP="00FB638C">
      <w:pPr>
        <w:spacing w:after="0" w:line="240" w:lineRule="auto"/>
      </w:pPr>
      <w:r>
        <w:separator/>
      </w:r>
    </w:p>
  </w:endnote>
  <w:endnote w:type="continuationSeparator" w:id="0">
    <w:p w14:paraId="0981CC64" w14:textId="77777777" w:rsidR="00B206EA" w:rsidRDefault="00B206EA" w:rsidP="00FB638C">
      <w:pPr>
        <w:spacing w:after="0" w:line="240" w:lineRule="auto"/>
      </w:pPr>
      <w:r>
        <w:continuationSeparator/>
      </w:r>
    </w:p>
  </w:endnote>
  <w:endnote w:type="continuationNotice" w:id="1">
    <w:p w14:paraId="101DDF7A" w14:textId="77777777" w:rsidR="00B206EA" w:rsidRDefault="00B20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CF60" w14:textId="77777777" w:rsidR="00B206EA" w:rsidRDefault="00B206EA" w:rsidP="00FB638C">
      <w:pPr>
        <w:spacing w:after="0" w:line="240" w:lineRule="auto"/>
      </w:pPr>
      <w:r>
        <w:separator/>
      </w:r>
    </w:p>
  </w:footnote>
  <w:footnote w:type="continuationSeparator" w:id="0">
    <w:p w14:paraId="1406809A" w14:textId="77777777" w:rsidR="00B206EA" w:rsidRDefault="00B206EA" w:rsidP="00FB638C">
      <w:pPr>
        <w:spacing w:after="0" w:line="240" w:lineRule="auto"/>
      </w:pPr>
      <w:r>
        <w:continuationSeparator/>
      </w:r>
    </w:p>
  </w:footnote>
  <w:footnote w:type="continuationNotice" w:id="1">
    <w:p w14:paraId="4DA53BDF" w14:textId="77777777" w:rsidR="00B206EA" w:rsidRDefault="00B206EA">
      <w:pPr>
        <w:spacing w:after="0" w:line="240" w:lineRule="auto"/>
      </w:pPr>
    </w:p>
  </w:footnote>
  <w:footnote w:id="2">
    <w:p w14:paraId="2458EF9A" w14:textId="61DD662B" w:rsidR="008A1ADF" w:rsidRDefault="008A1ADF">
      <w:pPr>
        <w:pStyle w:val="FootnoteText"/>
      </w:pPr>
      <w:r>
        <w:rPr>
          <w:rStyle w:val="FootnoteReference"/>
        </w:rPr>
        <w:footnoteRef/>
      </w:r>
      <w:r>
        <w:t xml:space="preserve"> </w:t>
      </w:r>
      <w:hyperlink r:id="rId1" w:history="1">
        <w:r w:rsidR="003E1C89" w:rsidRPr="008D2ECC">
          <w:rPr>
            <w:rStyle w:val="Hyperlink"/>
          </w:rPr>
          <w:t>https://www.ohchr.org/EN/ProfessionalInterest/Pages/CRC.aspx</w:t>
        </w:r>
      </w:hyperlink>
      <w:r w:rsidR="003E1C89">
        <w:t xml:space="preserve"> </w:t>
      </w:r>
    </w:p>
  </w:footnote>
  <w:footnote w:id="3">
    <w:p w14:paraId="6FCC95CE" w14:textId="2F877D5F" w:rsidR="00505C4C" w:rsidRDefault="00505C4C">
      <w:pPr>
        <w:pStyle w:val="FootnoteText"/>
      </w:pPr>
      <w:r>
        <w:rPr>
          <w:rStyle w:val="FootnoteReference"/>
        </w:rPr>
        <w:footnoteRef/>
      </w:r>
      <w:r>
        <w:t xml:space="preserve"> </w:t>
      </w:r>
      <w:hyperlink r:id="rId2" w:history="1">
        <w:r w:rsidRPr="009C2430">
          <w:rPr>
            <w:rStyle w:val="Hyperlink"/>
          </w:rPr>
          <w:t>https://www.hrc.co.nz/</w:t>
        </w:r>
      </w:hyperlink>
      <w:r>
        <w:t xml:space="preserve"> </w:t>
      </w:r>
    </w:p>
  </w:footnote>
  <w:footnote w:id="4">
    <w:p w14:paraId="308E34D0" w14:textId="25389903" w:rsidR="00F74FAA" w:rsidRDefault="00F74FAA">
      <w:pPr>
        <w:pStyle w:val="FootnoteText"/>
      </w:pPr>
      <w:r>
        <w:rPr>
          <w:rStyle w:val="FootnoteReference"/>
        </w:rPr>
        <w:footnoteRef/>
      </w:r>
      <w:r>
        <w:t xml:space="preserve"> </w:t>
      </w:r>
      <w:hyperlink r:id="rId3" w:history="1">
        <w:r w:rsidRPr="008D2ECC">
          <w:rPr>
            <w:rStyle w:val="Hyperlink"/>
          </w:rPr>
          <w:t>https://www.ohchr.org/en/hrbodies/crc/pages/crcindex.aspx</w:t>
        </w:r>
      </w:hyperlink>
      <w:r>
        <w:t xml:space="preserve"> </w:t>
      </w:r>
    </w:p>
  </w:footnote>
  <w:footnote w:id="5">
    <w:p w14:paraId="5EA67542" w14:textId="77777777" w:rsidR="008960CF" w:rsidRPr="00644F19" w:rsidRDefault="008960CF" w:rsidP="008960CF">
      <w:pPr>
        <w:pStyle w:val="FootnoteText"/>
        <w:rPr>
          <w:sz w:val="16"/>
          <w:szCs w:val="16"/>
          <w:lang w:val="mi-NZ"/>
        </w:rPr>
      </w:pPr>
      <w:r>
        <w:rPr>
          <w:rStyle w:val="FootnoteReference"/>
        </w:rPr>
        <w:footnoteRef/>
      </w:r>
      <w:r>
        <w:t xml:space="preserve"> </w:t>
      </w:r>
      <w:r w:rsidRPr="00644F19">
        <w:rPr>
          <w:sz w:val="16"/>
          <w:szCs w:val="16"/>
          <w:lang w:val="mi-NZ"/>
        </w:rPr>
        <w:t>Young person is defined by s2 of the Oranga Tamariki Act 1989 as a person over the age of 14 years but under the age of 17 years.</w:t>
      </w:r>
      <w:r w:rsidRPr="00644F19">
        <w:rPr>
          <w:sz w:val="16"/>
          <w:szCs w:val="16"/>
        </w:rPr>
        <w:t xml:space="preserve"> </w:t>
      </w:r>
      <w:r w:rsidRPr="00644F19">
        <w:rPr>
          <w:sz w:val="16"/>
          <w:szCs w:val="16"/>
          <w:lang w:val="mi-NZ"/>
        </w:rPr>
        <w:t>As at 1 July 2019, a</w:t>
      </w:r>
      <w:r w:rsidRPr="00644F19">
        <w:rPr>
          <w:sz w:val="16"/>
          <w:szCs w:val="16"/>
        </w:rPr>
        <w:t xml:space="preserve"> </w:t>
      </w:r>
      <w:r w:rsidRPr="00644F19">
        <w:rPr>
          <w:sz w:val="16"/>
          <w:szCs w:val="16"/>
          <w:lang w:val="mi-NZ"/>
        </w:rPr>
        <w:t xml:space="preserve">Young person will be defined by s2 of the Oranga Tamariki Act 1989 as a person over the age of 14 years but under 18 years old. </w:t>
      </w:r>
    </w:p>
    <w:p w14:paraId="2498DDC3" w14:textId="2EB7DD03" w:rsidR="008960CF" w:rsidRDefault="008960CF">
      <w:pPr>
        <w:pStyle w:val="FootnoteText"/>
      </w:pPr>
    </w:p>
  </w:footnote>
  <w:footnote w:id="6">
    <w:p w14:paraId="70346346" w14:textId="5B42DABA" w:rsidR="00DE5EE8" w:rsidRDefault="00DE5EE8">
      <w:pPr>
        <w:pStyle w:val="FootnoteText"/>
      </w:pPr>
      <w:r>
        <w:rPr>
          <w:rStyle w:val="FootnoteReference"/>
        </w:rPr>
        <w:footnoteRef/>
      </w:r>
      <w:r>
        <w:t xml:space="preserve"> </w:t>
      </w:r>
      <w:r w:rsidR="007D7B65">
        <w:t xml:space="preserve">Lambie, I. &amp; </w:t>
      </w:r>
      <w:r w:rsidR="000A0AA9">
        <w:t xml:space="preserve">Gerrard, J. (2018). </w:t>
      </w:r>
      <w:r>
        <w:t>Every 4 Minutes</w:t>
      </w:r>
      <w:r w:rsidR="000A0AA9">
        <w:t xml:space="preserve">: a discussion </w:t>
      </w:r>
      <w:r w:rsidR="000C3142">
        <w:t>paper</w:t>
      </w:r>
      <w:r w:rsidR="000A0AA9">
        <w:t xml:space="preserve"> on preventing family violence in New </w:t>
      </w:r>
      <w:r w:rsidR="000C3142">
        <w:t>Ze</w:t>
      </w:r>
      <w:r w:rsidR="00F22A2B">
        <w:t>a</w:t>
      </w:r>
      <w:r w:rsidR="000C3142">
        <w:t>land. Office of the Prime Minister’s Chief Science Advisor: Auckland</w:t>
      </w:r>
      <w:r>
        <w:t xml:space="preserve">, p 2. Retrieved from </w:t>
      </w:r>
      <w:hyperlink r:id="rId4" w:history="1">
        <w:r w:rsidR="007D7B65" w:rsidRPr="00AA305C">
          <w:rPr>
            <w:rStyle w:val="Hyperlink"/>
          </w:rPr>
          <w:t>https://library.nzfvc.org.nz/cgi-bin/koha/opac-detail.pl?biblionumber=6097</w:t>
        </w:r>
      </w:hyperlink>
      <w:r w:rsidR="007D7B65">
        <w:t xml:space="preserve"> </w:t>
      </w:r>
    </w:p>
  </w:footnote>
  <w:footnote w:id="7">
    <w:p w14:paraId="6F9A09F5" w14:textId="549393F2" w:rsidR="00B60C0E" w:rsidRDefault="00B60C0E">
      <w:pPr>
        <w:pStyle w:val="FootnoteText"/>
      </w:pPr>
      <w:r>
        <w:rPr>
          <w:rStyle w:val="FootnoteReference"/>
        </w:rPr>
        <w:footnoteRef/>
      </w:r>
      <w:r>
        <w:t xml:space="preserve"> </w:t>
      </w:r>
      <w:proofErr w:type="spellStart"/>
      <w:r w:rsidR="001B502A">
        <w:t>Gluckman</w:t>
      </w:r>
      <w:proofErr w:type="spellEnd"/>
      <w:r w:rsidR="00A63C64">
        <w:t xml:space="preserve">, P. (2018). </w:t>
      </w:r>
      <w:r w:rsidR="00340F9D">
        <w:t>Using evidence to build a better justice system</w:t>
      </w:r>
      <w:r w:rsidR="00B60893">
        <w:t>: The challenge of rising prison costs.</w:t>
      </w:r>
      <w:r w:rsidR="00436057">
        <w:t xml:space="preserve"> </w:t>
      </w:r>
      <w:r w:rsidR="00604D2A">
        <w:t>Office of the Prime Minister</w:t>
      </w:r>
      <w:r w:rsidR="005437D1">
        <w:t>’</w:t>
      </w:r>
      <w:r w:rsidR="00604D2A">
        <w:t>s Chief Science Advisor</w:t>
      </w:r>
      <w:r w:rsidR="00436057">
        <w:t>: Auckland.</w:t>
      </w:r>
      <w:r w:rsidR="00B60893">
        <w:t xml:space="preserve"> </w:t>
      </w:r>
      <w:r w:rsidR="00876AED">
        <w:t xml:space="preserve">P 12. Retrieved from </w:t>
      </w:r>
      <w:hyperlink r:id="rId5" w:history="1">
        <w:r w:rsidR="00876AED" w:rsidRPr="008D2ECC">
          <w:rPr>
            <w:rStyle w:val="Hyperlink"/>
          </w:rPr>
          <w:t>https://www.pmcsa.org.nz/wp-content/uploads/Using-evidence-to-build-a-better-justice-system.pdf</w:t>
        </w:r>
      </w:hyperlink>
      <w:r w:rsidR="00876AED">
        <w:t xml:space="preserve"> </w:t>
      </w:r>
    </w:p>
  </w:footnote>
  <w:footnote w:id="8">
    <w:p w14:paraId="0894FFF0" w14:textId="3E62756D" w:rsidR="0009780D" w:rsidRDefault="0009780D">
      <w:pPr>
        <w:pStyle w:val="FootnoteText"/>
      </w:pPr>
      <w:r>
        <w:rPr>
          <w:rStyle w:val="FootnoteReference"/>
        </w:rPr>
        <w:footnoteRef/>
      </w:r>
      <w:r>
        <w:t xml:space="preserve"> </w:t>
      </w:r>
      <w:r w:rsidR="005437D1">
        <w:t>Ibid, p</w:t>
      </w:r>
      <w:r w:rsidR="00133A7E">
        <w:t>p 5-</w:t>
      </w:r>
      <w:r w:rsidR="005D234C">
        <w:t>7</w:t>
      </w:r>
      <w:r w:rsidR="00133A7E">
        <w:t xml:space="preserve"> </w:t>
      </w:r>
    </w:p>
  </w:footnote>
  <w:footnote w:id="9">
    <w:p w14:paraId="4707F4F6" w14:textId="03867F48" w:rsidR="00CB5A40" w:rsidRDefault="00CB5A40">
      <w:pPr>
        <w:pStyle w:val="FootnoteText"/>
      </w:pPr>
      <w:r>
        <w:rPr>
          <w:rStyle w:val="FootnoteReference"/>
        </w:rPr>
        <w:footnoteRef/>
      </w:r>
      <w:r>
        <w:t xml:space="preserve"> Currently in draft form.</w:t>
      </w:r>
    </w:p>
  </w:footnote>
  <w:footnote w:id="10">
    <w:p w14:paraId="4B1AE9AC" w14:textId="3AF70E35" w:rsidR="00C74F59" w:rsidRDefault="00C74F59">
      <w:pPr>
        <w:pStyle w:val="FootnoteText"/>
      </w:pPr>
      <w:r>
        <w:rPr>
          <w:rStyle w:val="FootnoteReference"/>
        </w:rPr>
        <w:footnoteRef/>
      </w:r>
      <w:r>
        <w:t xml:space="preserve"> </w:t>
      </w:r>
      <w:r w:rsidR="002843D0">
        <w:t xml:space="preserve">Draft </w:t>
      </w:r>
      <w:r w:rsidRPr="00BB3309">
        <w:t>G</w:t>
      </w:r>
      <w:r w:rsidR="002843D0" w:rsidRPr="00BB3309">
        <w:t xml:space="preserve">eneral </w:t>
      </w:r>
      <w:r w:rsidRPr="00BB3309">
        <w:t>C</w:t>
      </w:r>
      <w:r w:rsidR="002843D0" w:rsidRPr="00BB3309">
        <w:t xml:space="preserve">omment </w:t>
      </w:r>
      <w:r w:rsidR="00BB3309" w:rsidRPr="00BB3309">
        <w:t xml:space="preserve">No. </w:t>
      </w:r>
      <w:r w:rsidR="002843D0" w:rsidRPr="00BB3309">
        <w:t>24</w:t>
      </w:r>
      <w:r w:rsidR="00BB3309" w:rsidRPr="00BB3309">
        <w:t>,</w:t>
      </w:r>
      <w:r w:rsidR="002843D0" w:rsidRPr="00BB3309">
        <w:t xml:space="preserve"> </w:t>
      </w:r>
      <w:r w:rsidR="00BB3309" w:rsidRPr="00BB3309">
        <w:t>replacing General Comment No. 10 (2007)</w:t>
      </w:r>
      <w:r w:rsidRPr="00BB3309">
        <w:t>, pp 3-4</w:t>
      </w:r>
    </w:p>
  </w:footnote>
  <w:footnote w:id="11">
    <w:p w14:paraId="3DF53E10" w14:textId="4C7B4C34" w:rsidR="002F5C97" w:rsidRDefault="002F5C97">
      <w:pPr>
        <w:pStyle w:val="FootnoteText"/>
      </w:pPr>
      <w:r>
        <w:rPr>
          <w:rStyle w:val="FootnoteReference"/>
        </w:rPr>
        <w:footnoteRef/>
      </w:r>
      <w:r>
        <w:t xml:space="preserve"> Draft </w:t>
      </w:r>
      <w:r w:rsidRPr="00BB3309">
        <w:t>General Comment No. 24, replacing General Comment No. 10 (2007), p</w:t>
      </w:r>
      <w:r w:rsidR="00820DCD">
        <w:t xml:space="preserve">p </w:t>
      </w:r>
      <w:r w:rsidR="00DA4A60">
        <w:t>6-7</w:t>
      </w:r>
    </w:p>
  </w:footnote>
  <w:footnote w:id="12">
    <w:p w14:paraId="7181F876" w14:textId="4996D923" w:rsidR="00A66927" w:rsidRDefault="00A66927">
      <w:pPr>
        <w:pStyle w:val="FootnoteText"/>
      </w:pPr>
      <w:r>
        <w:rPr>
          <w:rStyle w:val="FootnoteReference"/>
        </w:rPr>
        <w:footnoteRef/>
      </w:r>
      <w:r>
        <w:t xml:space="preserve"> </w:t>
      </w:r>
      <w:r w:rsidR="006E5F62">
        <w:t xml:space="preserve">Lambie, I. &amp; Gerrard, J. (2018). Every 4 Minutes: a discussion paper on preventing family violence in New Zealand. Office of the Prime Minister’s Chief Science Advisor: Auckland, p 4. Retrieved from </w:t>
      </w:r>
      <w:hyperlink r:id="rId6" w:history="1">
        <w:r w:rsidR="006E5F62" w:rsidRPr="00AA305C">
          <w:rPr>
            <w:rStyle w:val="Hyperlink"/>
          </w:rPr>
          <w:t>https://library.nzfvc.org.nz/cgi-bin/koha/opac-detail.pl?biblionumber=6097</w:t>
        </w:r>
      </w:hyperlink>
    </w:p>
  </w:footnote>
  <w:footnote w:id="13">
    <w:p w14:paraId="7ECA76FE" w14:textId="10529F6C" w:rsidR="006804CB" w:rsidRDefault="006804CB">
      <w:pPr>
        <w:pStyle w:val="FootnoteText"/>
      </w:pPr>
      <w:r>
        <w:rPr>
          <w:rStyle w:val="FootnoteReference"/>
        </w:rPr>
        <w:footnoteRef/>
      </w:r>
      <w:r>
        <w:t xml:space="preserve"> Ibid</w:t>
      </w:r>
    </w:p>
  </w:footnote>
  <w:footnote w:id="14">
    <w:p w14:paraId="4539DD30" w14:textId="7B2D43EA" w:rsidR="00B90D58" w:rsidRDefault="00B90D58">
      <w:pPr>
        <w:pStyle w:val="FootnoteText"/>
      </w:pPr>
      <w:r>
        <w:rPr>
          <w:rStyle w:val="FootnoteReference"/>
        </w:rPr>
        <w:footnoteRef/>
      </w:r>
      <w:r>
        <w:t xml:space="preserve"> Save the Children. (2018). The War on Children. London: Save the Children International, p</w:t>
      </w:r>
      <w:r w:rsidR="002A775D">
        <w:t xml:space="preserve"> 3</w:t>
      </w:r>
      <w:r>
        <w:t xml:space="preserve">. </w:t>
      </w:r>
      <w:r w:rsidRPr="00A20106">
        <w:t xml:space="preserve">Retrieved from </w:t>
      </w:r>
      <w:hyperlink r:id="rId7" w:history="1">
        <w:r w:rsidR="00E12A3B" w:rsidRPr="008D2ECC">
          <w:rPr>
            <w:rStyle w:val="Hyperlink"/>
          </w:rPr>
          <w:t>https://www.savethechildren.org/content/dam/global/reports/education-and-child-protection/war_on_children-web.pdf</w:t>
        </w:r>
      </w:hyperlink>
      <w:r w:rsidR="00E12A3B">
        <w:t xml:space="preserve"> </w:t>
      </w:r>
    </w:p>
  </w:footnote>
  <w:footnote w:id="15">
    <w:p w14:paraId="44EA1482" w14:textId="5540C1D9" w:rsidR="00727CFE" w:rsidRDefault="00727CFE">
      <w:pPr>
        <w:pStyle w:val="FootnoteText"/>
      </w:pPr>
      <w:r>
        <w:rPr>
          <w:rStyle w:val="FootnoteReference"/>
        </w:rPr>
        <w:footnoteRef/>
      </w:r>
      <w:r>
        <w:t xml:space="preserve"> Ibid, p 22</w:t>
      </w:r>
    </w:p>
  </w:footnote>
  <w:footnote w:id="16">
    <w:p w14:paraId="2A8B9B1F" w14:textId="27B50929" w:rsidR="00CB5729" w:rsidRDefault="00CB5729">
      <w:pPr>
        <w:pStyle w:val="FootnoteText"/>
      </w:pPr>
      <w:r>
        <w:rPr>
          <w:rStyle w:val="FootnoteReference"/>
        </w:rPr>
        <w:footnoteRef/>
      </w:r>
      <w:r w:rsidR="007A2233">
        <w:t xml:space="preserve"> </w:t>
      </w:r>
      <w:r w:rsidR="00886BA0">
        <w:t>United Nations. (2007).</w:t>
      </w:r>
      <w:r>
        <w:t xml:space="preserve"> </w:t>
      </w:r>
      <w:r w:rsidR="00232947" w:rsidRPr="00232947">
        <w:t>Paris Principles and Guidelines on Children Associated with Armed Forces or Armed groups</w:t>
      </w:r>
      <w:r w:rsidR="00232947">
        <w:t xml:space="preserve">. </w:t>
      </w:r>
      <w:r w:rsidR="006A5AF1">
        <w:t xml:space="preserve">Retrieved from </w:t>
      </w:r>
      <w:hyperlink r:id="rId8" w:history="1">
        <w:r w:rsidR="00886BA0" w:rsidRPr="00AA305C">
          <w:rPr>
            <w:rStyle w:val="Hyperlink"/>
          </w:rPr>
          <w:t>https://childrenandarmedconflict.un.org/publications/ParisPrinciples_EN.pdf</w:t>
        </w:r>
      </w:hyperlink>
      <w:r w:rsidR="00886BA0">
        <w:t xml:space="preserve"> </w:t>
      </w:r>
    </w:p>
  </w:footnote>
  <w:footnote w:id="17">
    <w:p w14:paraId="18898C3F" w14:textId="672D4049" w:rsidR="00FB638C" w:rsidRPr="00A20106" w:rsidRDefault="00FB638C">
      <w:pPr>
        <w:pStyle w:val="FootnoteText"/>
      </w:pPr>
      <w:r>
        <w:rPr>
          <w:rStyle w:val="FootnoteReference"/>
        </w:rPr>
        <w:footnoteRef/>
      </w:r>
      <w:r w:rsidR="007A2233">
        <w:t xml:space="preserve"> </w:t>
      </w:r>
      <w:r w:rsidR="006A221B">
        <w:t>Save the Children. (2018)</w:t>
      </w:r>
      <w:r w:rsidR="0094733A">
        <w:t>.</w:t>
      </w:r>
      <w:r w:rsidR="006A221B">
        <w:t xml:space="preserve"> The </w:t>
      </w:r>
      <w:r w:rsidR="00276DCA">
        <w:t xml:space="preserve">War on Children. </w:t>
      </w:r>
      <w:r w:rsidR="00C57ACE">
        <w:t>London</w:t>
      </w:r>
      <w:r w:rsidR="0094733A">
        <w:t xml:space="preserve">: </w:t>
      </w:r>
      <w:r w:rsidR="000F45B1">
        <w:t>Save the Children International</w:t>
      </w:r>
      <w:r w:rsidR="00DB1BBB">
        <w:t>,</w:t>
      </w:r>
      <w:r w:rsidR="000F45B1">
        <w:t xml:space="preserve"> </w:t>
      </w:r>
      <w:r w:rsidR="00276DCA">
        <w:t>p</w:t>
      </w:r>
      <w:r w:rsidR="00D1154A">
        <w:t>22</w:t>
      </w:r>
      <w:r w:rsidR="00276DCA">
        <w:t>.</w:t>
      </w:r>
      <w:r>
        <w:t xml:space="preserve"> </w:t>
      </w:r>
      <w:r w:rsidRPr="00A20106">
        <w:t>Retrieved from https://www.savethechildren.org/content/dam/global/reports/education-and-child-protection/war_on_children-web.pdf</w:t>
      </w:r>
    </w:p>
  </w:footnote>
  <w:footnote w:id="18">
    <w:p w14:paraId="0E886FCE" w14:textId="1E5D008D" w:rsidR="00974AED" w:rsidRDefault="00974AED">
      <w:pPr>
        <w:pStyle w:val="FootnoteText"/>
      </w:pPr>
      <w:r w:rsidRPr="00A20106">
        <w:rPr>
          <w:rStyle w:val="FootnoteReference"/>
        </w:rPr>
        <w:footnoteRef/>
      </w:r>
      <w:r w:rsidRPr="00A20106">
        <w:t xml:space="preserve"> </w:t>
      </w:r>
      <w:r w:rsidR="00FB0950" w:rsidRPr="00A20106">
        <w:t>Ibid, p</w:t>
      </w:r>
      <w:r w:rsidR="00D1154A" w:rsidRPr="00A20106">
        <w:t xml:space="preserve"> 23</w:t>
      </w:r>
      <w:r w:rsidR="00FB0950" w:rsidRPr="00A20106">
        <w:t xml:space="preserve"> </w:t>
      </w:r>
      <w:r w:rsidRPr="00A20106">
        <w:t xml:space="preserve"> </w:t>
      </w:r>
    </w:p>
  </w:footnote>
  <w:footnote w:id="19">
    <w:p w14:paraId="29E8C3BA" w14:textId="3919AD49" w:rsidR="007A1CEE" w:rsidRDefault="007A1CEE">
      <w:pPr>
        <w:pStyle w:val="FootnoteText"/>
      </w:pPr>
      <w:r>
        <w:rPr>
          <w:rStyle w:val="FootnoteReference"/>
        </w:rPr>
        <w:footnoteRef/>
      </w:r>
      <w:r>
        <w:t xml:space="preserve"> Ibid, </w:t>
      </w:r>
      <w:r w:rsidR="00A1250A">
        <w:t>p 40</w:t>
      </w:r>
    </w:p>
  </w:footnote>
  <w:footnote w:id="20">
    <w:p w14:paraId="38C35478" w14:textId="4E3BE26C" w:rsidR="006A7093" w:rsidRDefault="006A7093">
      <w:pPr>
        <w:pStyle w:val="FootnoteText"/>
      </w:pPr>
      <w:r>
        <w:rPr>
          <w:rStyle w:val="FootnoteReference"/>
        </w:rPr>
        <w:footnoteRef/>
      </w:r>
      <w:r>
        <w:t xml:space="preserve"> States should also be implementing existing mechanisms to protect children in conflict, including the Geneva Conventions, the Convention on the Rights of the Child and its Optional Protocol on the Involvement of Children in Armed Conflict, and championing political commitments such as the Safe School Declaration (SSD), Paris Commitments and Principles, and Vancouver Principles. </w:t>
      </w:r>
    </w:p>
  </w:footnote>
  <w:footnote w:id="21">
    <w:p w14:paraId="70987EBB" w14:textId="1743A8BE" w:rsidR="00983D0A" w:rsidRDefault="00983D0A">
      <w:pPr>
        <w:pStyle w:val="FootnoteText"/>
      </w:pPr>
      <w:r>
        <w:rPr>
          <w:rStyle w:val="FootnoteReference"/>
        </w:rPr>
        <w:footnoteRef/>
      </w:r>
      <w:r>
        <w:t xml:space="preserve"> </w:t>
      </w:r>
      <w:r w:rsidR="000936A8">
        <w:t xml:space="preserve">Draft </w:t>
      </w:r>
      <w:r w:rsidR="000936A8" w:rsidRPr="00BB3309">
        <w:t>General Comment No. 24, replacing General Comment No. 10 (2007), p</w:t>
      </w:r>
      <w:r w:rsidR="000936A8">
        <w:t xml:space="preserve"> 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1F2F" w14:textId="7C5AC9DA" w:rsidR="002B6085" w:rsidRDefault="002B6085">
    <w:pPr>
      <w:pStyle w:val="Header"/>
    </w:pPr>
    <w:r>
      <w:rPr>
        <w:noProof/>
        <w:lang w:val="en-GB" w:eastAsia="en-GB"/>
      </w:rPr>
      <w:drawing>
        <wp:anchor distT="0" distB="0" distL="114300" distR="114300" simplePos="0" relativeHeight="251658240" behindDoc="0" locked="0" layoutInCell="1" allowOverlap="1" wp14:anchorId="41FE9D5E" wp14:editId="13DC3154">
          <wp:simplePos x="0" y="0"/>
          <wp:positionH relativeFrom="margin">
            <wp:posOffset>3794044</wp:posOffset>
          </wp:positionH>
          <wp:positionV relativeFrom="margin">
            <wp:posOffset>-772732</wp:posOffset>
          </wp:positionV>
          <wp:extent cx="2791215" cy="695422"/>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 the Children logo.png"/>
                  <pic:cNvPicPr/>
                </pic:nvPicPr>
                <pic:blipFill>
                  <a:blip r:embed="rId1">
                    <a:extLst>
                      <a:ext uri="{28A0092B-C50C-407E-A947-70E740481C1C}">
                        <a14:useLocalDpi xmlns:a14="http://schemas.microsoft.com/office/drawing/2010/main" val="0"/>
                      </a:ext>
                    </a:extLst>
                  </a:blip>
                  <a:stretch>
                    <a:fillRect/>
                  </a:stretch>
                </pic:blipFill>
                <pic:spPr>
                  <a:xfrm>
                    <a:off x="0" y="0"/>
                    <a:ext cx="2791215" cy="6954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14A"/>
    <w:multiLevelType w:val="hybridMultilevel"/>
    <w:tmpl w:val="7A16FFF2"/>
    <w:lvl w:ilvl="0" w:tplc="0809000F">
      <w:start w:val="1"/>
      <w:numFmt w:val="decimal"/>
      <w:lvlText w:val="%1."/>
      <w:lvlJc w:val="left"/>
      <w:pPr>
        <w:ind w:left="1637"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 w15:restartNumberingAfterBreak="0">
    <w:nsid w:val="0D43676B"/>
    <w:multiLevelType w:val="multilevel"/>
    <w:tmpl w:val="760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A52736"/>
    <w:multiLevelType w:val="multilevel"/>
    <w:tmpl w:val="D366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C56C51"/>
    <w:multiLevelType w:val="hybridMultilevel"/>
    <w:tmpl w:val="51E65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CE26C6F"/>
    <w:multiLevelType w:val="hybridMultilevel"/>
    <w:tmpl w:val="D166CF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01"/>
    <w:rsid w:val="00010998"/>
    <w:rsid w:val="00020AA7"/>
    <w:rsid w:val="000406E8"/>
    <w:rsid w:val="00057985"/>
    <w:rsid w:val="000612C6"/>
    <w:rsid w:val="000630D5"/>
    <w:rsid w:val="0007645B"/>
    <w:rsid w:val="000936A8"/>
    <w:rsid w:val="00097095"/>
    <w:rsid w:val="0009780D"/>
    <w:rsid w:val="000A0AA9"/>
    <w:rsid w:val="000B1EBD"/>
    <w:rsid w:val="000B7756"/>
    <w:rsid w:val="000C3142"/>
    <w:rsid w:val="000D11E7"/>
    <w:rsid w:val="000E12FE"/>
    <w:rsid w:val="000F45B1"/>
    <w:rsid w:val="001101A4"/>
    <w:rsid w:val="00127774"/>
    <w:rsid w:val="00133A7E"/>
    <w:rsid w:val="0014718F"/>
    <w:rsid w:val="00147B84"/>
    <w:rsid w:val="0015144A"/>
    <w:rsid w:val="00195106"/>
    <w:rsid w:val="001B2689"/>
    <w:rsid w:val="001B317C"/>
    <w:rsid w:val="001B502A"/>
    <w:rsid w:val="001C164F"/>
    <w:rsid w:val="001C55F3"/>
    <w:rsid w:val="001F1E16"/>
    <w:rsid w:val="001F394F"/>
    <w:rsid w:val="002049DF"/>
    <w:rsid w:val="00206FF0"/>
    <w:rsid w:val="002160EA"/>
    <w:rsid w:val="002163AB"/>
    <w:rsid w:val="00221269"/>
    <w:rsid w:val="00224235"/>
    <w:rsid w:val="00224D41"/>
    <w:rsid w:val="00224D57"/>
    <w:rsid w:val="00232947"/>
    <w:rsid w:val="002566BA"/>
    <w:rsid w:val="00261DAF"/>
    <w:rsid w:val="00276DCA"/>
    <w:rsid w:val="002815CC"/>
    <w:rsid w:val="0028279C"/>
    <w:rsid w:val="002843D0"/>
    <w:rsid w:val="00291077"/>
    <w:rsid w:val="00292300"/>
    <w:rsid w:val="00294590"/>
    <w:rsid w:val="0029678A"/>
    <w:rsid w:val="002A775D"/>
    <w:rsid w:val="002B6085"/>
    <w:rsid w:val="002C20DA"/>
    <w:rsid w:val="002F58E7"/>
    <w:rsid w:val="002F5C97"/>
    <w:rsid w:val="003003A8"/>
    <w:rsid w:val="00300E6F"/>
    <w:rsid w:val="00340F9D"/>
    <w:rsid w:val="00375CD4"/>
    <w:rsid w:val="003875CB"/>
    <w:rsid w:val="003903D5"/>
    <w:rsid w:val="0039777F"/>
    <w:rsid w:val="003A09FE"/>
    <w:rsid w:val="003A2067"/>
    <w:rsid w:val="003A2598"/>
    <w:rsid w:val="003B7C8F"/>
    <w:rsid w:val="003C774D"/>
    <w:rsid w:val="003D4DC9"/>
    <w:rsid w:val="003E128D"/>
    <w:rsid w:val="003E1C89"/>
    <w:rsid w:val="0040591C"/>
    <w:rsid w:val="004274BF"/>
    <w:rsid w:val="00436057"/>
    <w:rsid w:val="00457743"/>
    <w:rsid w:val="004664BD"/>
    <w:rsid w:val="00474CE9"/>
    <w:rsid w:val="00496970"/>
    <w:rsid w:val="00496DDC"/>
    <w:rsid w:val="004C4D6A"/>
    <w:rsid w:val="004C5430"/>
    <w:rsid w:val="004D2FF7"/>
    <w:rsid w:val="00501F55"/>
    <w:rsid w:val="005058FB"/>
    <w:rsid w:val="00505C4C"/>
    <w:rsid w:val="005111EE"/>
    <w:rsid w:val="005243B8"/>
    <w:rsid w:val="00525E37"/>
    <w:rsid w:val="005329FA"/>
    <w:rsid w:val="005437D1"/>
    <w:rsid w:val="00547F00"/>
    <w:rsid w:val="0057535B"/>
    <w:rsid w:val="005776F8"/>
    <w:rsid w:val="00580F06"/>
    <w:rsid w:val="00592C77"/>
    <w:rsid w:val="00597A2B"/>
    <w:rsid w:val="005C6280"/>
    <w:rsid w:val="005C72FB"/>
    <w:rsid w:val="005D039C"/>
    <w:rsid w:val="005D05BB"/>
    <w:rsid w:val="005D234C"/>
    <w:rsid w:val="005E1D99"/>
    <w:rsid w:val="005E26D4"/>
    <w:rsid w:val="005E5BC9"/>
    <w:rsid w:val="00604D2A"/>
    <w:rsid w:val="006228CB"/>
    <w:rsid w:val="00633147"/>
    <w:rsid w:val="006366E1"/>
    <w:rsid w:val="00636AAB"/>
    <w:rsid w:val="0063709D"/>
    <w:rsid w:val="0066719B"/>
    <w:rsid w:val="00673501"/>
    <w:rsid w:val="00677D5E"/>
    <w:rsid w:val="006804CB"/>
    <w:rsid w:val="00697EBF"/>
    <w:rsid w:val="006A221B"/>
    <w:rsid w:val="006A5AF1"/>
    <w:rsid w:val="006A7093"/>
    <w:rsid w:val="006B264A"/>
    <w:rsid w:val="006E3274"/>
    <w:rsid w:val="006E5F62"/>
    <w:rsid w:val="00724044"/>
    <w:rsid w:val="00727CFE"/>
    <w:rsid w:val="00734602"/>
    <w:rsid w:val="0078402C"/>
    <w:rsid w:val="007843A5"/>
    <w:rsid w:val="00784A97"/>
    <w:rsid w:val="0078555B"/>
    <w:rsid w:val="00785D2D"/>
    <w:rsid w:val="007A1CEE"/>
    <w:rsid w:val="007A2233"/>
    <w:rsid w:val="007A654D"/>
    <w:rsid w:val="007B5F3C"/>
    <w:rsid w:val="007D7B65"/>
    <w:rsid w:val="007E4643"/>
    <w:rsid w:val="007F348A"/>
    <w:rsid w:val="007F7354"/>
    <w:rsid w:val="00813FED"/>
    <w:rsid w:val="00820DCD"/>
    <w:rsid w:val="00850A48"/>
    <w:rsid w:val="00867125"/>
    <w:rsid w:val="00873881"/>
    <w:rsid w:val="00876AED"/>
    <w:rsid w:val="00882E10"/>
    <w:rsid w:val="00886BA0"/>
    <w:rsid w:val="008960CF"/>
    <w:rsid w:val="008A1ADF"/>
    <w:rsid w:val="008A309E"/>
    <w:rsid w:val="008A3685"/>
    <w:rsid w:val="008A5238"/>
    <w:rsid w:val="008B3B11"/>
    <w:rsid w:val="008D530C"/>
    <w:rsid w:val="008F4084"/>
    <w:rsid w:val="00910450"/>
    <w:rsid w:val="00916808"/>
    <w:rsid w:val="009467F4"/>
    <w:rsid w:val="0094733A"/>
    <w:rsid w:val="00952F75"/>
    <w:rsid w:val="00963992"/>
    <w:rsid w:val="00966E16"/>
    <w:rsid w:val="009713D8"/>
    <w:rsid w:val="00974AED"/>
    <w:rsid w:val="00983D0A"/>
    <w:rsid w:val="00986B1B"/>
    <w:rsid w:val="009935D5"/>
    <w:rsid w:val="009946E9"/>
    <w:rsid w:val="009A3BBE"/>
    <w:rsid w:val="009A70ED"/>
    <w:rsid w:val="009B0662"/>
    <w:rsid w:val="009B3A56"/>
    <w:rsid w:val="009D23FD"/>
    <w:rsid w:val="009D7D32"/>
    <w:rsid w:val="009E0C28"/>
    <w:rsid w:val="009F0627"/>
    <w:rsid w:val="009F4562"/>
    <w:rsid w:val="00A1250A"/>
    <w:rsid w:val="00A13812"/>
    <w:rsid w:val="00A20106"/>
    <w:rsid w:val="00A30653"/>
    <w:rsid w:val="00A416F6"/>
    <w:rsid w:val="00A41A27"/>
    <w:rsid w:val="00A42936"/>
    <w:rsid w:val="00A4356B"/>
    <w:rsid w:val="00A50C8F"/>
    <w:rsid w:val="00A616C2"/>
    <w:rsid w:val="00A63C64"/>
    <w:rsid w:val="00A66927"/>
    <w:rsid w:val="00A77B6C"/>
    <w:rsid w:val="00A859AF"/>
    <w:rsid w:val="00A933E6"/>
    <w:rsid w:val="00AA0943"/>
    <w:rsid w:val="00AA60EC"/>
    <w:rsid w:val="00AB63B1"/>
    <w:rsid w:val="00AB68E6"/>
    <w:rsid w:val="00AC1905"/>
    <w:rsid w:val="00AC6173"/>
    <w:rsid w:val="00AD00F6"/>
    <w:rsid w:val="00AD1CD1"/>
    <w:rsid w:val="00AD4F69"/>
    <w:rsid w:val="00AD5DCB"/>
    <w:rsid w:val="00AF28AB"/>
    <w:rsid w:val="00B026E3"/>
    <w:rsid w:val="00B06F18"/>
    <w:rsid w:val="00B206EA"/>
    <w:rsid w:val="00B23AD5"/>
    <w:rsid w:val="00B3486A"/>
    <w:rsid w:val="00B60893"/>
    <w:rsid w:val="00B60C0E"/>
    <w:rsid w:val="00B620B9"/>
    <w:rsid w:val="00B66A6A"/>
    <w:rsid w:val="00B800E6"/>
    <w:rsid w:val="00B83BB7"/>
    <w:rsid w:val="00B90D58"/>
    <w:rsid w:val="00BB3309"/>
    <w:rsid w:val="00BD2C14"/>
    <w:rsid w:val="00BD54F4"/>
    <w:rsid w:val="00BE3F0F"/>
    <w:rsid w:val="00BE457E"/>
    <w:rsid w:val="00BF77E3"/>
    <w:rsid w:val="00C10B38"/>
    <w:rsid w:val="00C1371E"/>
    <w:rsid w:val="00C22BC3"/>
    <w:rsid w:val="00C35206"/>
    <w:rsid w:val="00C45571"/>
    <w:rsid w:val="00C52915"/>
    <w:rsid w:val="00C57ACE"/>
    <w:rsid w:val="00C72940"/>
    <w:rsid w:val="00C74885"/>
    <w:rsid w:val="00C74F59"/>
    <w:rsid w:val="00C7610C"/>
    <w:rsid w:val="00CA1617"/>
    <w:rsid w:val="00CB227D"/>
    <w:rsid w:val="00CB5729"/>
    <w:rsid w:val="00CB5A40"/>
    <w:rsid w:val="00CD3A49"/>
    <w:rsid w:val="00CD7A7D"/>
    <w:rsid w:val="00CE0AC6"/>
    <w:rsid w:val="00D1154A"/>
    <w:rsid w:val="00D17FC1"/>
    <w:rsid w:val="00D467A7"/>
    <w:rsid w:val="00D53328"/>
    <w:rsid w:val="00D55E7D"/>
    <w:rsid w:val="00D573E4"/>
    <w:rsid w:val="00D91E8C"/>
    <w:rsid w:val="00DA0801"/>
    <w:rsid w:val="00DA4A60"/>
    <w:rsid w:val="00DB1BBB"/>
    <w:rsid w:val="00DE5EE8"/>
    <w:rsid w:val="00E03F25"/>
    <w:rsid w:val="00E105D0"/>
    <w:rsid w:val="00E12A3B"/>
    <w:rsid w:val="00E176CD"/>
    <w:rsid w:val="00E30256"/>
    <w:rsid w:val="00E55D6A"/>
    <w:rsid w:val="00E61151"/>
    <w:rsid w:val="00E837BB"/>
    <w:rsid w:val="00E93E89"/>
    <w:rsid w:val="00E97198"/>
    <w:rsid w:val="00EB6FD7"/>
    <w:rsid w:val="00EC52A7"/>
    <w:rsid w:val="00EE1CD1"/>
    <w:rsid w:val="00F10665"/>
    <w:rsid w:val="00F17856"/>
    <w:rsid w:val="00F22A2B"/>
    <w:rsid w:val="00F43B8C"/>
    <w:rsid w:val="00F674F2"/>
    <w:rsid w:val="00F7089F"/>
    <w:rsid w:val="00F74CBF"/>
    <w:rsid w:val="00F74FAA"/>
    <w:rsid w:val="00F75A0D"/>
    <w:rsid w:val="00F8508C"/>
    <w:rsid w:val="00FA1747"/>
    <w:rsid w:val="00FA4D74"/>
    <w:rsid w:val="00FB0950"/>
    <w:rsid w:val="00FB3D6F"/>
    <w:rsid w:val="00FB638C"/>
    <w:rsid w:val="00FC4A5F"/>
    <w:rsid w:val="00FC7BC3"/>
    <w:rsid w:val="00FD02D3"/>
    <w:rsid w:val="00FE5C6F"/>
    <w:rsid w:val="00FF6EE7"/>
    <w:rsid w:val="0EB1E597"/>
    <w:rsid w:val="31F70C4D"/>
    <w:rsid w:val="34FA6433"/>
    <w:rsid w:val="3EDCAB1C"/>
    <w:rsid w:val="48B8290F"/>
    <w:rsid w:val="4D7733F4"/>
    <w:rsid w:val="5C56FADD"/>
    <w:rsid w:val="698CA2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965E9"/>
  <w15:chartTrackingRefBased/>
  <w15:docId w15:val="{F59703FE-1C35-4FC9-8312-81F8AFC7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080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A0801"/>
  </w:style>
  <w:style w:type="character" w:customStyle="1" w:styleId="eop">
    <w:name w:val="eop"/>
    <w:basedOn w:val="DefaultParagraphFont"/>
    <w:rsid w:val="00DA0801"/>
  </w:style>
  <w:style w:type="character" w:customStyle="1" w:styleId="spellingerror">
    <w:name w:val="spellingerror"/>
    <w:basedOn w:val="DefaultParagraphFont"/>
    <w:rsid w:val="00DA0801"/>
  </w:style>
  <w:style w:type="character" w:customStyle="1" w:styleId="scxw17953479">
    <w:name w:val="scxw17953479"/>
    <w:basedOn w:val="DefaultParagraphFont"/>
    <w:rsid w:val="00DA0801"/>
  </w:style>
  <w:style w:type="paragraph" w:customStyle="1" w:styleId="HChG">
    <w:name w:val="_ H _Ch_G"/>
    <w:basedOn w:val="Normal"/>
    <w:next w:val="Normal"/>
    <w:qFormat/>
    <w:rsid w:val="00DA080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FA4D74"/>
    <w:rPr>
      <w:sz w:val="16"/>
      <w:szCs w:val="16"/>
    </w:rPr>
  </w:style>
  <w:style w:type="paragraph" w:styleId="CommentText">
    <w:name w:val="annotation text"/>
    <w:basedOn w:val="Normal"/>
    <w:link w:val="CommentTextChar"/>
    <w:uiPriority w:val="99"/>
    <w:semiHidden/>
    <w:unhideWhenUsed/>
    <w:rsid w:val="00FA4D74"/>
    <w:pPr>
      <w:spacing w:line="240" w:lineRule="auto"/>
    </w:pPr>
    <w:rPr>
      <w:sz w:val="20"/>
      <w:szCs w:val="20"/>
    </w:rPr>
  </w:style>
  <w:style w:type="character" w:customStyle="1" w:styleId="CommentTextChar">
    <w:name w:val="Comment Text Char"/>
    <w:basedOn w:val="DefaultParagraphFont"/>
    <w:link w:val="CommentText"/>
    <w:uiPriority w:val="99"/>
    <w:semiHidden/>
    <w:rsid w:val="00FA4D74"/>
    <w:rPr>
      <w:sz w:val="20"/>
      <w:szCs w:val="20"/>
    </w:rPr>
  </w:style>
  <w:style w:type="paragraph" w:styleId="CommentSubject">
    <w:name w:val="annotation subject"/>
    <w:basedOn w:val="CommentText"/>
    <w:next w:val="CommentText"/>
    <w:link w:val="CommentSubjectChar"/>
    <w:uiPriority w:val="99"/>
    <w:semiHidden/>
    <w:unhideWhenUsed/>
    <w:rsid w:val="00FA4D74"/>
    <w:rPr>
      <w:b/>
      <w:bCs/>
    </w:rPr>
  </w:style>
  <w:style w:type="character" w:customStyle="1" w:styleId="CommentSubjectChar">
    <w:name w:val="Comment Subject Char"/>
    <w:basedOn w:val="CommentTextChar"/>
    <w:link w:val="CommentSubject"/>
    <w:uiPriority w:val="99"/>
    <w:semiHidden/>
    <w:rsid w:val="00FA4D74"/>
    <w:rPr>
      <w:b/>
      <w:bCs/>
      <w:sz w:val="20"/>
      <w:szCs w:val="20"/>
    </w:rPr>
  </w:style>
  <w:style w:type="paragraph" w:styleId="BalloonText">
    <w:name w:val="Balloon Text"/>
    <w:basedOn w:val="Normal"/>
    <w:link w:val="BalloonTextChar"/>
    <w:uiPriority w:val="99"/>
    <w:semiHidden/>
    <w:unhideWhenUsed/>
    <w:rsid w:val="00FA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D74"/>
    <w:rPr>
      <w:rFonts w:ascii="Segoe UI" w:hAnsi="Segoe UI" w:cs="Segoe UI"/>
      <w:sz w:val="18"/>
      <w:szCs w:val="18"/>
    </w:rPr>
  </w:style>
  <w:style w:type="paragraph" w:customStyle="1" w:styleId="SingleTxtG">
    <w:name w:val="_ Single Txt_G"/>
    <w:basedOn w:val="Normal"/>
    <w:qFormat/>
    <w:rsid w:val="00FA4D7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7F348A"/>
    <w:rPr>
      <w:color w:val="0563C1" w:themeColor="hyperlink"/>
      <w:u w:val="single"/>
    </w:rPr>
  </w:style>
  <w:style w:type="character" w:customStyle="1" w:styleId="UnresolvedMention">
    <w:name w:val="Unresolved Mention"/>
    <w:basedOn w:val="DefaultParagraphFont"/>
    <w:uiPriority w:val="99"/>
    <w:semiHidden/>
    <w:unhideWhenUsed/>
    <w:rsid w:val="007F348A"/>
    <w:rPr>
      <w:color w:val="605E5C"/>
      <w:shd w:val="clear" w:color="auto" w:fill="E1DFDD"/>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
    <w:basedOn w:val="Normal"/>
    <w:link w:val="FootnoteTextChar"/>
    <w:uiPriority w:val="99"/>
    <w:unhideWhenUsed/>
    <w:rsid w:val="00FB638C"/>
    <w:pPr>
      <w:spacing w:after="0" w:line="240" w:lineRule="auto"/>
    </w:pPr>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FB638C"/>
    <w:rPr>
      <w:sz w:val="20"/>
      <w:szCs w:val="20"/>
    </w:rPr>
  </w:style>
  <w:style w:type="character" w:styleId="FootnoteReference">
    <w:name w:val="footnote reference"/>
    <w:basedOn w:val="DefaultParagraphFont"/>
    <w:uiPriority w:val="99"/>
    <w:semiHidden/>
    <w:unhideWhenUsed/>
    <w:rsid w:val="00FB638C"/>
    <w:rPr>
      <w:vertAlign w:val="superscript"/>
    </w:rPr>
  </w:style>
  <w:style w:type="paragraph" w:styleId="ListParagraph">
    <w:name w:val="List Paragraph"/>
    <w:basedOn w:val="Normal"/>
    <w:uiPriority w:val="34"/>
    <w:qFormat/>
    <w:rsid w:val="00E105D0"/>
    <w:pPr>
      <w:ind w:left="720"/>
      <w:contextualSpacing/>
    </w:pPr>
  </w:style>
  <w:style w:type="character" w:styleId="FollowedHyperlink">
    <w:name w:val="FollowedHyperlink"/>
    <w:basedOn w:val="DefaultParagraphFont"/>
    <w:uiPriority w:val="99"/>
    <w:semiHidden/>
    <w:unhideWhenUsed/>
    <w:rsid w:val="002160EA"/>
    <w:rPr>
      <w:color w:val="954F72" w:themeColor="followedHyperlink"/>
      <w:u w:val="single"/>
    </w:rPr>
  </w:style>
  <w:style w:type="paragraph" w:styleId="Header">
    <w:name w:val="header"/>
    <w:basedOn w:val="Normal"/>
    <w:link w:val="HeaderChar"/>
    <w:uiPriority w:val="99"/>
    <w:unhideWhenUsed/>
    <w:rsid w:val="00A50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C8F"/>
  </w:style>
  <w:style w:type="paragraph" w:styleId="Footer">
    <w:name w:val="footer"/>
    <w:basedOn w:val="Normal"/>
    <w:link w:val="FooterChar"/>
    <w:uiPriority w:val="99"/>
    <w:unhideWhenUsed/>
    <w:rsid w:val="00A50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9585">
      <w:bodyDiv w:val="1"/>
      <w:marLeft w:val="0"/>
      <w:marRight w:val="0"/>
      <w:marTop w:val="0"/>
      <w:marBottom w:val="0"/>
      <w:divBdr>
        <w:top w:val="none" w:sz="0" w:space="0" w:color="auto"/>
        <w:left w:val="none" w:sz="0" w:space="0" w:color="auto"/>
        <w:bottom w:val="none" w:sz="0" w:space="0" w:color="auto"/>
        <w:right w:val="none" w:sz="0" w:space="0" w:color="auto"/>
      </w:divBdr>
      <w:divsChild>
        <w:div w:id="60251176">
          <w:marLeft w:val="0"/>
          <w:marRight w:val="0"/>
          <w:marTop w:val="0"/>
          <w:marBottom w:val="0"/>
          <w:divBdr>
            <w:top w:val="none" w:sz="0" w:space="0" w:color="auto"/>
            <w:left w:val="none" w:sz="0" w:space="0" w:color="auto"/>
            <w:bottom w:val="none" w:sz="0" w:space="0" w:color="auto"/>
            <w:right w:val="none" w:sz="0" w:space="0" w:color="auto"/>
          </w:divBdr>
        </w:div>
        <w:div w:id="737092785">
          <w:marLeft w:val="0"/>
          <w:marRight w:val="0"/>
          <w:marTop w:val="0"/>
          <w:marBottom w:val="0"/>
          <w:divBdr>
            <w:top w:val="none" w:sz="0" w:space="0" w:color="auto"/>
            <w:left w:val="none" w:sz="0" w:space="0" w:color="auto"/>
            <w:bottom w:val="none" w:sz="0" w:space="0" w:color="auto"/>
            <w:right w:val="none" w:sz="0" w:space="0" w:color="auto"/>
          </w:divBdr>
        </w:div>
        <w:div w:id="1975941289">
          <w:marLeft w:val="0"/>
          <w:marRight w:val="0"/>
          <w:marTop w:val="0"/>
          <w:marBottom w:val="0"/>
          <w:divBdr>
            <w:top w:val="none" w:sz="0" w:space="0" w:color="auto"/>
            <w:left w:val="none" w:sz="0" w:space="0" w:color="auto"/>
            <w:bottom w:val="none" w:sz="0" w:space="0" w:color="auto"/>
            <w:right w:val="none" w:sz="0" w:space="0" w:color="auto"/>
          </w:divBdr>
        </w:div>
      </w:divsChild>
    </w:div>
    <w:div w:id="760225991">
      <w:bodyDiv w:val="1"/>
      <w:marLeft w:val="0"/>
      <w:marRight w:val="0"/>
      <w:marTop w:val="0"/>
      <w:marBottom w:val="0"/>
      <w:divBdr>
        <w:top w:val="none" w:sz="0" w:space="0" w:color="auto"/>
        <w:left w:val="none" w:sz="0" w:space="0" w:color="auto"/>
        <w:bottom w:val="none" w:sz="0" w:space="0" w:color="auto"/>
        <w:right w:val="none" w:sz="0" w:space="0" w:color="auto"/>
      </w:divBdr>
      <w:divsChild>
        <w:div w:id="1768379796">
          <w:marLeft w:val="0"/>
          <w:marRight w:val="0"/>
          <w:marTop w:val="0"/>
          <w:marBottom w:val="0"/>
          <w:divBdr>
            <w:top w:val="none" w:sz="0" w:space="0" w:color="auto"/>
            <w:left w:val="none" w:sz="0" w:space="0" w:color="auto"/>
            <w:bottom w:val="none" w:sz="0" w:space="0" w:color="auto"/>
            <w:right w:val="none" w:sz="0" w:space="0" w:color="auto"/>
          </w:divBdr>
        </w:div>
        <w:div w:id="1112897114">
          <w:marLeft w:val="0"/>
          <w:marRight w:val="0"/>
          <w:marTop w:val="0"/>
          <w:marBottom w:val="0"/>
          <w:divBdr>
            <w:top w:val="none" w:sz="0" w:space="0" w:color="auto"/>
            <w:left w:val="none" w:sz="0" w:space="0" w:color="auto"/>
            <w:bottom w:val="none" w:sz="0" w:space="0" w:color="auto"/>
            <w:right w:val="none" w:sz="0" w:space="0" w:color="auto"/>
          </w:divBdr>
        </w:div>
        <w:div w:id="151411689">
          <w:marLeft w:val="0"/>
          <w:marRight w:val="0"/>
          <w:marTop w:val="0"/>
          <w:marBottom w:val="0"/>
          <w:divBdr>
            <w:top w:val="none" w:sz="0" w:space="0" w:color="auto"/>
            <w:left w:val="none" w:sz="0" w:space="0" w:color="auto"/>
            <w:bottom w:val="none" w:sz="0" w:space="0" w:color="auto"/>
            <w:right w:val="none" w:sz="0" w:space="0" w:color="auto"/>
          </w:divBdr>
        </w:div>
        <w:div w:id="653608723">
          <w:marLeft w:val="0"/>
          <w:marRight w:val="0"/>
          <w:marTop w:val="0"/>
          <w:marBottom w:val="0"/>
          <w:divBdr>
            <w:top w:val="none" w:sz="0" w:space="0" w:color="auto"/>
            <w:left w:val="none" w:sz="0" w:space="0" w:color="auto"/>
            <w:bottom w:val="none" w:sz="0" w:space="0" w:color="auto"/>
            <w:right w:val="none" w:sz="0" w:space="0" w:color="auto"/>
          </w:divBdr>
        </w:div>
        <w:div w:id="1026713498">
          <w:marLeft w:val="0"/>
          <w:marRight w:val="0"/>
          <w:marTop w:val="0"/>
          <w:marBottom w:val="0"/>
          <w:divBdr>
            <w:top w:val="none" w:sz="0" w:space="0" w:color="auto"/>
            <w:left w:val="none" w:sz="0" w:space="0" w:color="auto"/>
            <w:bottom w:val="none" w:sz="0" w:space="0" w:color="auto"/>
            <w:right w:val="none" w:sz="0" w:space="0" w:color="auto"/>
          </w:divBdr>
        </w:div>
      </w:divsChild>
    </w:div>
    <w:div w:id="1024791622">
      <w:bodyDiv w:val="1"/>
      <w:marLeft w:val="0"/>
      <w:marRight w:val="0"/>
      <w:marTop w:val="0"/>
      <w:marBottom w:val="0"/>
      <w:divBdr>
        <w:top w:val="none" w:sz="0" w:space="0" w:color="auto"/>
        <w:left w:val="none" w:sz="0" w:space="0" w:color="auto"/>
        <w:bottom w:val="none" w:sz="0" w:space="0" w:color="auto"/>
        <w:right w:val="none" w:sz="0" w:space="0" w:color="auto"/>
      </w:divBdr>
      <w:divsChild>
        <w:div w:id="1255281108">
          <w:marLeft w:val="0"/>
          <w:marRight w:val="0"/>
          <w:marTop w:val="0"/>
          <w:marBottom w:val="0"/>
          <w:divBdr>
            <w:top w:val="none" w:sz="0" w:space="0" w:color="auto"/>
            <w:left w:val="none" w:sz="0" w:space="0" w:color="auto"/>
            <w:bottom w:val="none" w:sz="0" w:space="0" w:color="auto"/>
            <w:right w:val="none" w:sz="0" w:space="0" w:color="auto"/>
          </w:divBdr>
        </w:div>
        <w:div w:id="219218909">
          <w:marLeft w:val="0"/>
          <w:marRight w:val="0"/>
          <w:marTop w:val="0"/>
          <w:marBottom w:val="0"/>
          <w:divBdr>
            <w:top w:val="none" w:sz="0" w:space="0" w:color="auto"/>
            <w:left w:val="none" w:sz="0" w:space="0" w:color="auto"/>
            <w:bottom w:val="none" w:sz="0" w:space="0" w:color="auto"/>
            <w:right w:val="none" w:sz="0" w:space="0" w:color="auto"/>
          </w:divBdr>
        </w:div>
        <w:div w:id="1112626380">
          <w:marLeft w:val="0"/>
          <w:marRight w:val="0"/>
          <w:marTop w:val="0"/>
          <w:marBottom w:val="0"/>
          <w:divBdr>
            <w:top w:val="none" w:sz="0" w:space="0" w:color="auto"/>
            <w:left w:val="none" w:sz="0" w:space="0" w:color="auto"/>
            <w:bottom w:val="none" w:sz="0" w:space="0" w:color="auto"/>
            <w:right w:val="none" w:sz="0" w:space="0" w:color="auto"/>
          </w:divBdr>
        </w:div>
      </w:divsChild>
    </w:div>
    <w:div w:id="1471629905">
      <w:bodyDiv w:val="1"/>
      <w:marLeft w:val="0"/>
      <w:marRight w:val="0"/>
      <w:marTop w:val="0"/>
      <w:marBottom w:val="0"/>
      <w:divBdr>
        <w:top w:val="none" w:sz="0" w:space="0" w:color="auto"/>
        <w:left w:val="none" w:sz="0" w:space="0" w:color="auto"/>
        <w:bottom w:val="none" w:sz="0" w:space="0" w:color="auto"/>
        <w:right w:val="none" w:sz="0" w:space="0" w:color="auto"/>
      </w:divBdr>
    </w:div>
    <w:div w:id="16199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i.southey@scnz.org.n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vethechildren.org.nz"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childrenandarmedconflict.un.org/publications/ParisPrinciples_EN.pdf" TargetMode="External"/><Relationship Id="rId3" Type="http://schemas.openxmlformats.org/officeDocument/2006/relationships/hyperlink" Target="https://www.ohchr.org/en/hrbodies/crc/pages/crcindex.aspx" TargetMode="External"/><Relationship Id="rId7" Type="http://schemas.openxmlformats.org/officeDocument/2006/relationships/hyperlink" Target="https://www.savethechildren.org/content/dam/global/reports/education-and-child-protection/war_on_children-web.pdf" TargetMode="External"/><Relationship Id="rId2" Type="http://schemas.openxmlformats.org/officeDocument/2006/relationships/hyperlink" Target="https://www.hrc.co.nz/" TargetMode="External"/><Relationship Id="rId1" Type="http://schemas.openxmlformats.org/officeDocument/2006/relationships/hyperlink" Target="https://www.ohchr.org/EN/ProfessionalInterest/Pages/CRC.aspx" TargetMode="External"/><Relationship Id="rId6" Type="http://schemas.openxmlformats.org/officeDocument/2006/relationships/hyperlink" Target="https://library.nzfvc.org.nz/cgi-bin/koha/opac-detail.pl?biblionumber=6097" TargetMode="External"/><Relationship Id="rId5" Type="http://schemas.openxmlformats.org/officeDocument/2006/relationships/hyperlink" Target="https://www.pmcsa.org.nz/wp-content/uploads/Using-evidence-to-build-a-better-justice-system.pdf" TargetMode="External"/><Relationship Id="rId4" Type="http://schemas.openxmlformats.org/officeDocument/2006/relationships/hyperlink" Target="https://library.nzfvc.org.nz/cgi-bin/koha/opac-detail.pl?biblionumber=60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57E0A0-FF11-4DB7-A712-4AAB83F8CF94}">
  <ds:schemaRefs>
    <ds:schemaRef ds:uri="http://schemas.openxmlformats.org/officeDocument/2006/bibliography"/>
  </ds:schemaRefs>
</ds:datastoreItem>
</file>

<file path=customXml/itemProps2.xml><?xml version="1.0" encoding="utf-8"?>
<ds:datastoreItem xmlns:ds="http://schemas.openxmlformats.org/officeDocument/2006/customXml" ds:itemID="{FF0F1C54-9306-4A32-A687-19E8B5897DB9}"/>
</file>

<file path=customXml/itemProps3.xml><?xml version="1.0" encoding="utf-8"?>
<ds:datastoreItem xmlns:ds="http://schemas.openxmlformats.org/officeDocument/2006/customXml" ds:itemID="{DBEFF463-850E-4A2B-B5A5-61AF0970F93F}"/>
</file>

<file path=customXml/itemProps4.xml><?xml version="1.0" encoding="utf-8"?>
<ds:datastoreItem xmlns:ds="http://schemas.openxmlformats.org/officeDocument/2006/customXml" ds:itemID="{9B05898A-1847-49A5-A7E7-1D5115218917}"/>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Southey</dc:creator>
  <cp:keywords/>
  <dc:description/>
  <cp:lastModifiedBy>BOIT James</cp:lastModifiedBy>
  <cp:revision>2</cp:revision>
  <dcterms:created xsi:type="dcterms:W3CDTF">2019-01-13T15:24:00Z</dcterms:created>
  <dcterms:modified xsi:type="dcterms:W3CDTF">2019-01-13T15:24:00Z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