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28538" w14:textId="48A6AF05" w:rsidR="005342B1" w:rsidRDefault="00E07949" w:rsidP="005342B1">
      <w:pPr>
        <w:ind w:left="714" w:hanging="357"/>
        <w:jc w:val="center"/>
        <w:rPr>
          <w:b/>
          <w:u w:val="single"/>
        </w:rPr>
      </w:pPr>
      <w:bookmarkStart w:id="0" w:name="_GoBack"/>
      <w:bookmarkEnd w:id="0"/>
      <w:r w:rsidRPr="00E07949">
        <w:rPr>
          <w:b/>
          <w:u w:val="single"/>
        </w:rPr>
        <w:t>Comentarios a proyecto de Observación General N° 24</w:t>
      </w:r>
    </w:p>
    <w:p w14:paraId="3D952DEE" w14:textId="1A47C948" w:rsidR="00244B50" w:rsidRDefault="00244B50" w:rsidP="005342B1">
      <w:pPr>
        <w:ind w:left="714" w:hanging="357"/>
        <w:jc w:val="center"/>
        <w:rPr>
          <w:b/>
          <w:u w:val="single"/>
        </w:rPr>
      </w:pPr>
      <w:r>
        <w:rPr>
          <w:b/>
          <w:u w:val="single"/>
        </w:rPr>
        <w:t xml:space="preserve">UNICEF Peru </w:t>
      </w:r>
    </w:p>
    <w:p w14:paraId="4F019D87" w14:textId="4B93209C" w:rsidR="00244B50" w:rsidRPr="00244B50" w:rsidRDefault="00244B50" w:rsidP="005342B1">
      <w:pPr>
        <w:ind w:left="714" w:hanging="357"/>
        <w:jc w:val="center"/>
      </w:pPr>
      <w:r w:rsidRPr="00244B50">
        <w:t>Enero 2019</w:t>
      </w:r>
    </w:p>
    <w:p w14:paraId="33FEDA09" w14:textId="2A9B004B" w:rsidR="00B216EC" w:rsidRPr="00B216EC" w:rsidRDefault="00B216EC" w:rsidP="003B4FED">
      <w:pPr>
        <w:pStyle w:val="ListParagraph"/>
        <w:numPr>
          <w:ilvl w:val="0"/>
          <w:numId w:val="1"/>
        </w:numPr>
        <w:ind w:left="714" w:hanging="357"/>
        <w:contextualSpacing w:val="0"/>
        <w:rPr>
          <w:lang w:val="es-MX"/>
        </w:rPr>
      </w:pPr>
      <w:r w:rsidRPr="006809F3">
        <w:rPr>
          <w:b/>
          <w:lang w:val="es-MX"/>
        </w:rPr>
        <w:t xml:space="preserve">Párrafo </w:t>
      </w:r>
      <w:r>
        <w:rPr>
          <w:b/>
          <w:lang w:val="es-MX"/>
        </w:rPr>
        <w:t>12</w:t>
      </w:r>
      <w:r w:rsidR="00F55436">
        <w:rPr>
          <w:b/>
          <w:lang w:val="es-MX"/>
        </w:rPr>
        <w:t>.</w:t>
      </w:r>
      <w:r>
        <w:rPr>
          <w:b/>
          <w:lang w:val="es-MX"/>
        </w:rPr>
        <w:t xml:space="preserve"> </w:t>
      </w:r>
      <w:r w:rsidR="00F55436">
        <w:rPr>
          <w:b/>
          <w:lang w:val="es-MX"/>
        </w:rPr>
        <w:t xml:space="preserve"> </w:t>
      </w:r>
      <w:r w:rsidR="00F55436" w:rsidRPr="00F55436">
        <w:rPr>
          <w:lang w:val="es-MX"/>
        </w:rPr>
        <w:t>Sugerimos incorporar en este párrafo</w:t>
      </w:r>
      <w:r w:rsidR="00F55436">
        <w:rPr>
          <w:b/>
          <w:lang w:val="es-MX"/>
        </w:rPr>
        <w:t xml:space="preserve"> </w:t>
      </w:r>
      <w:r w:rsidR="000421AD">
        <w:rPr>
          <w:lang w:val="es-MX"/>
        </w:rPr>
        <w:t xml:space="preserve">que </w:t>
      </w:r>
      <w:r w:rsidRPr="00B216EC">
        <w:rPr>
          <w:lang w:val="es-MX"/>
        </w:rPr>
        <w:t xml:space="preserve">en el ámbito del derecho penal juvenil, la conciliación entre el </w:t>
      </w:r>
      <w:r w:rsidRPr="0091528E">
        <w:rPr>
          <w:i/>
          <w:lang w:val="es-MX"/>
        </w:rPr>
        <w:t>Interés Superior del Niño</w:t>
      </w:r>
      <w:r w:rsidRPr="00B216EC">
        <w:rPr>
          <w:lang w:val="es-MX"/>
        </w:rPr>
        <w:t xml:space="preserve"> y la demanda de seguridad pública, debe </w:t>
      </w:r>
      <w:r w:rsidR="00F55436">
        <w:rPr>
          <w:lang w:val="es-MX"/>
        </w:rPr>
        <w:t>tomar en cuenta</w:t>
      </w:r>
      <w:r w:rsidR="000421AD">
        <w:rPr>
          <w:lang w:val="es-MX"/>
        </w:rPr>
        <w:t xml:space="preserve"> e</w:t>
      </w:r>
      <w:r w:rsidRPr="00B216EC">
        <w:rPr>
          <w:lang w:val="es-MX"/>
        </w:rPr>
        <w:t>l estatuto jurídico de los adolescentes</w:t>
      </w:r>
      <w:r w:rsidR="0091528E">
        <w:rPr>
          <w:lang w:val="es-MX"/>
        </w:rPr>
        <w:t>. Este estatuto</w:t>
      </w:r>
      <w:r w:rsidRPr="00B216EC">
        <w:rPr>
          <w:lang w:val="es-MX"/>
        </w:rPr>
        <w:t xml:space="preserve"> impone a los Estados un deber de protección especial, que determina una </w:t>
      </w:r>
      <w:r w:rsidRPr="000E044C">
        <w:rPr>
          <w:lang w:val="es-MX"/>
        </w:rPr>
        <w:t>modulación</w:t>
      </w:r>
      <w:r w:rsidRPr="00B216EC">
        <w:rPr>
          <w:lang w:val="es-MX"/>
        </w:rPr>
        <w:t xml:space="preserve"> </w:t>
      </w:r>
      <w:r w:rsidR="003B293E">
        <w:rPr>
          <w:lang w:val="es-MX"/>
        </w:rPr>
        <w:t>de la respuesta punitiva</w:t>
      </w:r>
      <w:r w:rsidR="0091528E">
        <w:rPr>
          <w:lang w:val="es-MX"/>
        </w:rPr>
        <w:t>,</w:t>
      </w:r>
      <w:r w:rsidR="003B293E">
        <w:rPr>
          <w:lang w:val="es-MX"/>
        </w:rPr>
        <w:t xml:space="preserve"> que se traduce en un enfoque restaurativo y socializador.</w:t>
      </w:r>
      <w:r w:rsidR="000421AD">
        <w:rPr>
          <w:lang w:val="es-MX"/>
        </w:rPr>
        <w:t xml:space="preserve"> </w:t>
      </w:r>
    </w:p>
    <w:p w14:paraId="075450A6" w14:textId="62683A61" w:rsidR="00244B50" w:rsidRDefault="00F55436" w:rsidP="00244B50">
      <w:pPr>
        <w:pStyle w:val="ListParagraph"/>
        <w:numPr>
          <w:ilvl w:val="0"/>
          <w:numId w:val="1"/>
        </w:numPr>
        <w:ind w:left="714" w:hanging="357"/>
        <w:contextualSpacing w:val="0"/>
        <w:rPr>
          <w:lang w:val="es-MX"/>
        </w:rPr>
      </w:pPr>
      <w:r>
        <w:rPr>
          <w:b/>
          <w:lang w:val="es-MX"/>
        </w:rPr>
        <w:t>Párrafo 29.</w:t>
      </w:r>
      <w:r w:rsidR="003B4FED" w:rsidRPr="003B4FED">
        <w:rPr>
          <w:lang w:val="es-MX"/>
        </w:rPr>
        <w:t xml:space="preserve"> </w:t>
      </w:r>
      <w:r w:rsidR="0091528E">
        <w:rPr>
          <w:lang w:val="es-MX"/>
        </w:rPr>
        <w:t>E</w:t>
      </w:r>
      <w:r w:rsidR="003B4FED">
        <w:rPr>
          <w:lang w:val="es-MX"/>
        </w:rPr>
        <w:t xml:space="preserve">stimamos conveniente que </w:t>
      </w:r>
      <w:r w:rsidR="00AF4AC6">
        <w:rPr>
          <w:lang w:val="es-MX"/>
        </w:rPr>
        <w:t xml:space="preserve">este párrafo indique además </w:t>
      </w:r>
      <w:r w:rsidR="003B4FED">
        <w:rPr>
          <w:lang w:val="es-MX"/>
        </w:rPr>
        <w:t xml:space="preserve">de modo expreso que </w:t>
      </w:r>
      <w:r w:rsidR="003A06BA">
        <w:rPr>
          <w:lang w:val="es-MX"/>
        </w:rPr>
        <w:t>la e</w:t>
      </w:r>
      <w:r w:rsidR="003A06BA" w:rsidRPr="003B4FED">
        <w:rPr>
          <w:lang w:val="es-MX"/>
        </w:rPr>
        <w:t>stigmatización debe</w:t>
      </w:r>
      <w:r w:rsidR="003B4FED" w:rsidRPr="003B4FED">
        <w:rPr>
          <w:lang w:val="es-MX"/>
        </w:rPr>
        <w:t xml:space="preserve"> ser evitada en todas las fases del procedimiento, incluyendo su</w:t>
      </w:r>
      <w:r w:rsidR="00AF4AC6">
        <w:rPr>
          <w:lang w:val="es-MX"/>
        </w:rPr>
        <w:t xml:space="preserve"> fase inicial de investigación. A</w:t>
      </w:r>
      <w:r w:rsidR="003B4FED" w:rsidRPr="003B4FED">
        <w:rPr>
          <w:lang w:val="es-MX"/>
        </w:rPr>
        <w:t xml:space="preserve"> través por ejemplo de la implementación de protocolos de actuación policial que </w:t>
      </w:r>
      <w:r w:rsidR="00EE7501" w:rsidRPr="003B4FED">
        <w:rPr>
          <w:lang w:val="es-MX"/>
        </w:rPr>
        <w:t>establezcan procedimientos</w:t>
      </w:r>
      <w:r w:rsidR="003B4FED" w:rsidRPr="003B4FED">
        <w:rPr>
          <w:lang w:val="es-MX"/>
        </w:rPr>
        <w:t xml:space="preserve"> orientados</w:t>
      </w:r>
      <w:r w:rsidR="00EE7501">
        <w:rPr>
          <w:lang w:val="es-MX"/>
        </w:rPr>
        <w:t xml:space="preserve">, en la medida de lo posible, </w:t>
      </w:r>
      <w:r w:rsidR="003B4FED" w:rsidRPr="003B4FED">
        <w:rPr>
          <w:lang w:val="es-MX"/>
        </w:rPr>
        <w:t xml:space="preserve">a </w:t>
      </w:r>
      <w:r w:rsidR="00EE7501">
        <w:rPr>
          <w:lang w:val="es-MX"/>
        </w:rPr>
        <w:t xml:space="preserve">una intervención discreta que </w:t>
      </w:r>
      <w:r w:rsidR="003B4FED" w:rsidRPr="003B4FED">
        <w:rPr>
          <w:lang w:val="es-MX"/>
        </w:rPr>
        <w:t>imp</w:t>
      </w:r>
      <w:r w:rsidR="00EE7501">
        <w:rPr>
          <w:lang w:val="es-MX"/>
        </w:rPr>
        <w:t>ida</w:t>
      </w:r>
      <w:r w:rsidR="003B4FED" w:rsidRPr="003B4FED">
        <w:rPr>
          <w:lang w:val="es-MX"/>
        </w:rPr>
        <w:t xml:space="preserve"> </w:t>
      </w:r>
      <w:r w:rsidR="00EE7501">
        <w:rPr>
          <w:lang w:val="es-MX"/>
        </w:rPr>
        <w:t xml:space="preserve">la </w:t>
      </w:r>
      <w:r w:rsidR="003B4FED" w:rsidRPr="003B4FED">
        <w:rPr>
          <w:lang w:val="es-MX"/>
        </w:rPr>
        <w:t>identi</w:t>
      </w:r>
      <w:r w:rsidR="007A64CE">
        <w:rPr>
          <w:lang w:val="es-MX"/>
        </w:rPr>
        <w:t xml:space="preserve">ficación </w:t>
      </w:r>
      <w:r w:rsidR="007A64CE" w:rsidRPr="003B4FED">
        <w:rPr>
          <w:lang w:val="es-MX"/>
        </w:rPr>
        <w:t>del</w:t>
      </w:r>
      <w:r w:rsidR="003B4FED" w:rsidRPr="003B4FED">
        <w:rPr>
          <w:lang w:val="es-MX"/>
        </w:rPr>
        <w:t xml:space="preserve"> presunto adolescente infractor.</w:t>
      </w:r>
      <w:r w:rsidR="00DA73A9" w:rsidRPr="003B4FED">
        <w:rPr>
          <w:lang w:val="es-MX"/>
        </w:rPr>
        <w:t xml:space="preserve"> </w:t>
      </w:r>
    </w:p>
    <w:p w14:paraId="52FF6987" w14:textId="269142BD" w:rsidR="00BF4EDC" w:rsidRPr="00244B50" w:rsidRDefault="00244B50" w:rsidP="00244B50">
      <w:pPr>
        <w:pStyle w:val="ListParagraph"/>
        <w:numPr>
          <w:ilvl w:val="0"/>
          <w:numId w:val="1"/>
        </w:numPr>
        <w:ind w:left="714" w:hanging="357"/>
        <w:contextualSpacing w:val="0"/>
        <w:rPr>
          <w:lang w:val="es-MX"/>
        </w:rPr>
      </w:pPr>
      <w:r w:rsidRPr="00D867B0">
        <w:rPr>
          <w:b/>
          <w:lang w:val="es-MX"/>
        </w:rPr>
        <w:t>Para 33</w:t>
      </w:r>
      <w:r w:rsidRPr="00D867B0">
        <w:rPr>
          <w:lang w:val="es-MX"/>
        </w:rPr>
        <w:t>.</w:t>
      </w:r>
      <w:r w:rsidR="00D867B0" w:rsidRPr="00D867B0">
        <w:rPr>
          <w:lang w:val="es-MX"/>
        </w:rPr>
        <w:t xml:space="preserve"> </w:t>
      </w:r>
      <w:r w:rsidR="00F55436">
        <w:rPr>
          <w:lang w:val="es-MX"/>
        </w:rPr>
        <w:t>Creemos</w:t>
      </w:r>
      <w:r w:rsidR="00D867B0" w:rsidRPr="00D867B0">
        <w:rPr>
          <w:lang w:val="es-MX"/>
        </w:rPr>
        <w:t xml:space="preserve"> que el </w:t>
      </w:r>
      <w:r w:rsidRPr="00D867B0">
        <w:rPr>
          <w:lang w:val="es-MX"/>
        </w:rPr>
        <w:t>Comité</w:t>
      </w:r>
      <w:r w:rsidR="00D867B0">
        <w:rPr>
          <w:lang w:val="es-MX"/>
        </w:rPr>
        <w:t xml:space="preserve"> </w:t>
      </w:r>
      <w:r w:rsidR="00F55436">
        <w:rPr>
          <w:lang w:val="es-MX"/>
        </w:rPr>
        <w:t>puede brindar</w:t>
      </w:r>
      <w:r w:rsidRPr="00D867B0">
        <w:rPr>
          <w:lang w:val="es-MX"/>
        </w:rPr>
        <w:t xml:space="preserve"> una mejor orientación a los Estados si la</w:t>
      </w:r>
      <w:r w:rsidR="00AF4AC6">
        <w:rPr>
          <w:lang w:val="es-MX"/>
        </w:rPr>
        <w:t xml:space="preserve"> recomendación se </w:t>
      </w:r>
      <w:r w:rsidR="00F55436">
        <w:rPr>
          <w:lang w:val="es-MX"/>
        </w:rPr>
        <w:t xml:space="preserve">formula como </w:t>
      </w:r>
      <w:r w:rsidRPr="00D867B0">
        <w:rPr>
          <w:lang w:val="es-MX"/>
        </w:rPr>
        <w:t>en la OG anterior, es deci</w:t>
      </w:r>
      <w:r w:rsidR="00D867B0" w:rsidRPr="00D867B0">
        <w:rPr>
          <w:lang w:val="es-MX"/>
        </w:rPr>
        <w:t xml:space="preserve">r que es inaceptable que la edad mínima de responsabilidad penal </w:t>
      </w:r>
      <w:r w:rsidRPr="00D867B0">
        <w:rPr>
          <w:lang w:val="es-MX"/>
        </w:rPr>
        <w:t>se establezca por debajo de los 14 años</w:t>
      </w:r>
      <w:r w:rsidRPr="00244B50">
        <w:rPr>
          <w:lang w:val="es-MX"/>
        </w:rPr>
        <w:t>.</w:t>
      </w:r>
    </w:p>
    <w:p w14:paraId="2B804D37" w14:textId="02A376B3" w:rsidR="00CD0DEA" w:rsidRDefault="00F55436" w:rsidP="00CD0DEA">
      <w:pPr>
        <w:pStyle w:val="ListParagraph"/>
        <w:numPr>
          <w:ilvl w:val="0"/>
          <w:numId w:val="1"/>
        </w:numPr>
        <w:ind w:left="714" w:hanging="357"/>
        <w:contextualSpacing w:val="0"/>
        <w:rPr>
          <w:lang w:val="es-MX"/>
        </w:rPr>
      </w:pPr>
      <w:r>
        <w:rPr>
          <w:b/>
          <w:lang w:val="es-MX"/>
        </w:rPr>
        <w:t>Párrafo 34.</w:t>
      </w:r>
      <w:r w:rsidR="00CD0DEA">
        <w:rPr>
          <w:lang w:val="es-MX"/>
        </w:rPr>
        <w:t xml:space="preserve"> </w:t>
      </w:r>
      <w:r>
        <w:rPr>
          <w:lang w:val="es-MX"/>
        </w:rPr>
        <w:t>Además de</w:t>
      </w:r>
      <w:r w:rsidR="00CD0DEA">
        <w:rPr>
          <w:lang w:val="es-MX"/>
        </w:rPr>
        <w:t xml:space="preserve"> establecer la obligación estatal de proporcionar información detallada sobre el tipo de garantías aplicables y el trato brindado a los niños que </w:t>
      </w:r>
      <w:r w:rsidR="007A64CE">
        <w:rPr>
          <w:lang w:val="es-MX"/>
        </w:rPr>
        <w:t>infringen</w:t>
      </w:r>
      <w:r w:rsidR="00CD0DEA">
        <w:rPr>
          <w:lang w:val="es-MX"/>
        </w:rPr>
        <w:t xml:space="preserve"> la ley penal</w:t>
      </w:r>
      <w:r w:rsidR="00220B0F">
        <w:rPr>
          <w:lang w:val="es-MX"/>
        </w:rPr>
        <w:t xml:space="preserve"> y </w:t>
      </w:r>
      <w:r w:rsidR="00CD0DEA">
        <w:rPr>
          <w:lang w:val="es-MX"/>
        </w:rPr>
        <w:t xml:space="preserve"> </w:t>
      </w:r>
      <w:r w:rsidR="00220B0F">
        <w:rPr>
          <w:lang w:val="es-MX"/>
        </w:rPr>
        <w:t xml:space="preserve">que </w:t>
      </w:r>
      <w:r w:rsidR="005C613F">
        <w:rPr>
          <w:lang w:val="es-MX"/>
        </w:rPr>
        <w:t>están</w:t>
      </w:r>
      <w:r w:rsidR="00CD0DEA">
        <w:rPr>
          <w:lang w:val="es-MX"/>
        </w:rPr>
        <w:t xml:space="preserve"> por debajo de la edad mínima de responsabilidad penal, consideramos que se debería poner más énfasis en la necesidad de </w:t>
      </w:r>
      <w:r w:rsidR="000E044C">
        <w:rPr>
          <w:lang w:val="es-MX"/>
        </w:rPr>
        <w:t xml:space="preserve">establecer </w:t>
      </w:r>
      <w:r w:rsidR="00CD0DEA">
        <w:rPr>
          <w:lang w:val="es-MX"/>
        </w:rPr>
        <w:t>dichas garantías en la etapa de investigación orientada al esclarecimiento de los hechos</w:t>
      </w:r>
      <w:r w:rsidR="007A64CE">
        <w:rPr>
          <w:lang w:val="es-MX"/>
        </w:rPr>
        <w:t xml:space="preserve">. </w:t>
      </w:r>
      <w:r w:rsidR="00220B0F">
        <w:rPr>
          <w:lang w:val="es-MX"/>
        </w:rPr>
        <w:t>Porque es en</w:t>
      </w:r>
      <w:r w:rsidR="007A64CE">
        <w:rPr>
          <w:lang w:val="es-MX"/>
        </w:rPr>
        <w:t xml:space="preserve"> esta fase donde se </w:t>
      </w:r>
      <w:r w:rsidR="00CD0DEA">
        <w:rPr>
          <w:lang w:val="es-MX"/>
        </w:rPr>
        <w:t>con</w:t>
      </w:r>
      <w:r w:rsidR="007A64CE">
        <w:rPr>
          <w:lang w:val="es-MX"/>
        </w:rPr>
        <w:t>figura el</w:t>
      </w:r>
      <w:r w:rsidR="00D867B0">
        <w:rPr>
          <w:lang w:val="es-MX"/>
        </w:rPr>
        <w:t xml:space="preserve"> supuesto </w:t>
      </w:r>
      <w:r w:rsidR="007A64CE">
        <w:rPr>
          <w:lang w:val="es-MX"/>
        </w:rPr>
        <w:t>que habilitaría</w:t>
      </w:r>
      <w:r w:rsidR="00CD0DEA">
        <w:rPr>
          <w:lang w:val="es-MX"/>
        </w:rPr>
        <w:t xml:space="preserve"> </w:t>
      </w:r>
      <w:r w:rsidR="007A64CE">
        <w:rPr>
          <w:lang w:val="es-MX"/>
        </w:rPr>
        <w:t>la eventual injerencia estatal en el ámbito familiar, a través de l</w:t>
      </w:r>
      <w:r w:rsidR="00CD0DEA">
        <w:rPr>
          <w:lang w:val="es-MX"/>
        </w:rPr>
        <w:t>a imposición de una medida de protección (pá</w:t>
      </w:r>
      <w:r w:rsidR="00D867B0">
        <w:rPr>
          <w:lang w:val="es-MX"/>
        </w:rPr>
        <w:t xml:space="preserve">rrafo 31). La práctica de los Estados muestra que cuando se trata de niños por debajo de la edad mínima de responsabilidad penal, lo sistemas suelen obviar en muchas ocasiones las garantías mínimas necesarias a la hora de determinar su participación en hechos considerados como delitos. </w:t>
      </w:r>
    </w:p>
    <w:p w14:paraId="741F0368" w14:textId="7AED1A09" w:rsidR="00CD0DEA" w:rsidRDefault="006D1842" w:rsidP="00CD0DEA">
      <w:pPr>
        <w:pStyle w:val="ListParagraph"/>
        <w:ind w:left="714"/>
        <w:contextualSpacing w:val="0"/>
        <w:rPr>
          <w:lang w:val="es-MX"/>
        </w:rPr>
      </w:pPr>
      <w:r w:rsidRPr="00332568">
        <w:rPr>
          <w:lang w:val="es-MX"/>
        </w:rPr>
        <w:t xml:space="preserve">Asimismo, se </w:t>
      </w:r>
      <w:r>
        <w:rPr>
          <w:lang w:val="es-MX"/>
        </w:rPr>
        <w:t xml:space="preserve">podría precisar </w:t>
      </w:r>
      <w:r w:rsidRPr="00332568">
        <w:rPr>
          <w:lang w:val="es-MX"/>
        </w:rPr>
        <w:t xml:space="preserve">que la </w:t>
      </w:r>
      <w:r>
        <w:rPr>
          <w:lang w:val="es-MX"/>
        </w:rPr>
        <w:t xml:space="preserve">determinación </w:t>
      </w:r>
      <w:r w:rsidRPr="00332568">
        <w:rPr>
          <w:lang w:val="es-MX"/>
        </w:rPr>
        <w:t>de toda medida de protección debe guiarse por los principios de necesidad e idoneidad</w:t>
      </w:r>
      <w:r>
        <w:rPr>
          <w:lang w:val="es-MX"/>
        </w:rPr>
        <w:t>, que constituyen límites específicos del poder discrecional de la autoridad competente para dictarlas</w:t>
      </w:r>
      <w:r w:rsidR="00CD0DEA" w:rsidRPr="00332568">
        <w:rPr>
          <w:lang w:val="es-MX"/>
        </w:rPr>
        <w:t xml:space="preserve"> </w:t>
      </w:r>
    </w:p>
    <w:p w14:paraId="72C03750" w14:textId="46B3E91D" w:rsidR="00F55436" w:rsidRDefault="00D867B0" w:rsidP="00F55436">
      <w:pPr>
        <w:pStyle w:val="ListParagraph"/>
        <w:ind w:left="714"/>
        <w:contextualSpacing w:val="0"/>
        <w:rPr>
          <w:lang w:val="es-MX"/>
        </w:rPr>
      </w:pPr>
      <w:r>
        <w:rPr>
          <w:lang w:val="es-MX"/>
        </w:rPr>
        <w:t xml:space="preserve">Sugerimos que este párrafo se coloque a continuación del párrafo </w:t>
      </w:r>
      <w:r w:rsidR="00AF4AC6">
        <w:rPr>
          <w:lang w:val="es-MX"/>
        </w:rPr>
        <w:t>31 e incluso como parte de este párra</w:t>
      </w:r>
      <w:r w:rsidR="00CD3D58">
        <w:rPr>
          <w:lang w:val="es-MX"/>
        </w:rPr>
        <w:t>fo 31. Asi se deja</w:t>
      </w:r>
      <w:r w:rsidR="00AF4AC6">
        <w:rPr>
          <w:lang w:val="es-MX"/>
        </w:rPr>
        <w:t xml:space="preserve"> claramente establecida la línea que deben seguir los Estados en relación con los niños que estando por debajo de la edad mínima de responsabilidad penal</w:t>
      </w:r>
      <w:r w:rsidR="00F55436">
        <w:rPr>
          <w:lang w:val="es-MX"/>
        </w:rPr>
        <w:t>.</w:t>
      </w:r>
    </w:p>
    <w:p w14:paraId="64D2911C" w14:textId="64DA7888" w:rsidR="00580245" w:rsidRPr="001C0AD2" w:rsidRDefault="00220B0F" w:rsidP="00F55436">
      <w:pPr>
        <w:pStyle w:val="ListParagraph"/>
        <w:ind w:left="714"/>
        <w:contextualSpacing w:val="0"/>
        <w:rPr>
          <w:lang w:val="es-MX"/>
        </w:rPr>
      </w:pPr>
      <w:r>
        <w:rPr>
          <w:b/>
          <w:lang w:val="es-MX"/>
        </w:rPr>
        <w:t>Párrafo 63.</w:t>
      </w:r>
      <w:r w:rsidR="00580245" w:rsidRPr="003710CB">
        <w:rPr>
          <w:lang w:val="es-MX"/>
        </w:rPr>
        <w:t xml:space="preserve">  </w:t>
      </w:r>
      <w:r>
        <w:rPr>
          <w:lang w:val="es-MX"/>
        </w:rPr>
        <w:t>R</w:t>
      </w:r>
      <w:r w:rsidR="005B0BF4" w:rsidRPr="003710CB">
        <w:rPr>
          <w:lang w:val="es-MX"/>
        </w:rPr>
        <w:t>especto al papel del abogado defensor</w:t>
      </w:r>
      <w:r w:rsidR="001C0AD2">
        <w:rPr>
          <w:lang w:val="es-MX"/>
        </w:rPr>
        <w:t xml:space="preserve"> o asistente </w:t>
      </w:r>
      <w:r>
        <w:rPr>
          <w:lang w:val="es-MX"/>
        </w:rPr>
        <w:t xml:space="preserve">legal </w:t>
      </w:r>
      <w:r w:rsidR="00F55436">
        <w:rPr>
          <w:lang w:val="es-MX"/>
        </w:rPr>
        <w:t>el C</w:t>
      </w:r>
      <w:r w:rsidR="00244B50">
        <w:rPr>
          <w:lang w:val="es-MX"/>
        </w:rPr>
        <w:t>omité podría brindar qui</w:t>
      </w:r>
      <w:r w:rsidR="00F55436">
        <w:rPr>
          <w:lang w:val="es-MX"/>
        </w:rPr>
        <w:t>zá una mejor orientación a los E</w:t>
      </w:r>
      <w:r w:rsidR="00244B50">
        <w:rPr>
          <w:lang w:val="es-MX"/>
        </w:rPr>
        <w:t xml:space="preserve">stados, </w:t>
      </w:r>
      <w:r w:rsidR="00CD3D58">
        <w:rPr>
          <w:lang w:val="es-MX"/>
        </w:rPr>
        <w:t>si indica que</w:t>
      </w:r>
      <w:r w:rsidR="00244B50">
        <w:rPr>
          <w:lang w:val="es-MX"/>
        </w:rPr>
        <w:t xml:space="preserve">  </w:t>
      </w:r>
      <w:r w:rsidR="005B0BF4" w:rsidRPr="003710CB">
        <w:t>la</w:t>
      </w:r>
      <w:r w:rsidR="001C0AD2">
        <w:t xml:space="preserve"> obligación de “estar capacitado</w:t>
      </w:r>
      <w:r w:rsidR="005B0BF4" w:rsidRPr="003710CB">
        <w:t xml:space="preserve"> para trabajar con</w:t>
      </w:r>
      <w:r>
        <w:t xml:space="preserve"> niños en conflicto con la ley”</w:t>
      </w:r>
      <w:r w:rsidR="005B0BF4" w:rsidRPr="003710CB">
        <w:t xml:space="preserve"> implica que su función no se limite a</w:t>
      </w:r>
      <w:r w:rsidR="001C0AD2">
        <w:t xml:space="preserve"> la clásica defensa técnica. </w:t>
      </w:r>
      <w:r>
        <w:t xml:space="preserve">Puede ser útil </w:t>
      </w:r>
      <w:r w:rsidR="001C0AD2">
        <w:t xml:space="preserve">describir algunas tareas clave que deben ser capaces de desempeñar los asistentes legales, por ejemplo: </w:t>
      </w:r>
      <w:r w:rsidR="005B0BF4" w:rsidRPr="003710CB">
        <w:t xml:space="preserve"> hacer comprensible el proceso</w:t>
      </w:r>
      <w:r w:rsidR="00060E8C" w:rsidRPr="003710CB">
        <w:t xml:space="preserve">, así como las decisiones y las consecuencias que se adopten, preparar el caso con los padres, brindar consejos sobre como comportarse ante la autoridad competente y </w:t>
      </w:r>
      <w:r w:rsidR="003710CB" w:rsidRPr="003710CB">
        <w:t>reconocer</w:t>
      </w:r>
      <w:r w:rsidR="001C0AD2">
        <w:t xml:space="preserve"> las capacidades de los niños y adolescentes para opinar y ser </w:t>
      </w:r>
      <w:r w:rsidR="00F55436">
        <w:t>oídos</w:t>
      </w:r>
      <w:r w:rsidR="001C0AD2">
        <w:t xml:space="preserve"> sobre todas las decisiones que se adopten en el proceso.</w:t>
      </w:r>
      <w:r w:rsidR="00060E8C" w:rsidRPr="003710CB">
        <w:t xml:space="preserve"> </w:t>
      </w:r>
    </w:p>
    <w:p w14:paraId="4C4E86D8" w14:textId="5996803F" w:rsidR="001C0AD2" w:rsidRPr="00836565" w:rsidRDefault="00F55436" w:rsidP="00CD0DEA">
      <w:pPr>
        <w:pStyle w:val="ListParagraph"/>
        <w:numPr>
          <w:ilvl w:val="0"/>
          <w:numId w:val="1"/>
        </w:numPr>
        <w:contextualSpacing w:val="0"/>
        <w:rPr>
          <w:lang w:val="es-MX"/>
        </w:rPr>
      </w:pPr>
      <w:r>
        <w:rPr>
          <w:b/>
          <w:lang w:val="es-MX"/>
        </w:rPr>
        <w:lastRenderedPageBreak/>
        <w:t>Párrafo</w:t>
      </w:r>
      <w:r w:rsidR="001C0AD2">
        <w:rPr>
          <w:b/>
          <w:lang w:val="es-MX"/>
        </w:rPr>
        <w:t xml:space="preserve"> 68.</w:t>
      </w:r>
      <w:r w:rsidR="001C0AD2">
        <w:rPr>
          <w:lang w:val="es-MX"/>
        </w:rPr>
        <w:t xml:space="preserve">  Sugerimos incluir al final de este párrafo que las leyes de los Estados deben establecer expresamente la obligación de notificación inmediata a los padres d</w:t>
      </w:r>
      <w:r w:rsidR="00220B0F">
        <w:rPr>
          <w:lang w:val="es-MX"/>
        </w:rPr>
        <w:t>e la detención de un niño</w:t>
      </w:r>
      <w:r>
        <w:rPr>
          <w:lang w:val="es-MX"/>
        </w:rPr>
        <w:t xml:space="preserve"> por </w:t>
      </w:r>
      <w:r w:rsidR="001C0AD2">
        <w:rPr>
          <w:lang w:val="es-MX"/>
        </w:rPr>
        <w:t xml:space="preserve">parte de las autoridades que lo detienen, estableciendo </w:t>
      </w:r>
      <w:r w:rsidR="00220B0F">
        <w:rPr>
          <w:lang w:val="es-MX"/>
        </w:rPr>
        <w:t>plazos concretos inferiores a 24 h</w:t>
      </w:r>
      <w:r w:rsidR="001C0AD2" w:rsidRPr="00836565">
        <w:rPr>
          <w:lang w:val="es-MX"/>
        </w:rPr>
        <w:t xml:space="preserve">. </w:t>
      </w:r>
    </w:p>
    <w:p w14:paraId="46A96B47" w14:textId="0312B0EC" w:rsidR="00CD0DEA" w:rsidRPr="0091528E" w:rsidRDefault="00F55436" w:rsidP="0091528E">
      <w:pPr>
        <w:pStyle w:val="ListParagraph"/>
        <w:numPr>
          <w:ilvl w:val="0"/>
          <w:numId w:val="1"/>
        </w:numPr>
        <w:contextualSpacing w:val="0"/>
        <w:rPr>
          <w:lang w:val="es-MX"/>
        </w:rPr>
      </w:pPr>
      <w:r>
        <w:rPr>
          <w:b/>
          <w:lang w:val="es-MX"/>
        </w:rPr>
        <w:t>Párrafo 85.</w:t>
      </w:r>
      <w:r>
        <w:rPr>
          <w:lang w:val="es-MX"/>
        </w:rPr>
        <w:t xml:space="preserve"> S</w:t>
      </w:r>
      <w:r w:rsidR="00CD0DEA" w:rsidRPr="00836565">
        <w:rPr>
          <w:lang w:val="es-MX"/>
        </w:rPr>
        <w:t>ugerimos</w:t>
      </w:r>
      <w:r w:rsidR="00836565" w:rsidRPr="00836565">
        <w:rPr>
          <w:lang w:val="es-MX"/>
        </w:rPr>
        <w:t xml:space="preserve"> que en este párrafo se haga referencia a lo preocupación</w:t>
      </w:r>
      <w:r w:rsidR="0091528E">
        <w:rPr>
          <w:lang w:val="es-MX"/>
        </w:rPr>
        <w:t xml:space="preserve"> del </w:t>
      </w:r>
      <w:r w:rsidR="00220B0F">
        <w:rPr>
          <w:lang w:val="es-MX"/>
        </w:rPr>
        <w:t>Comité</w:t>
      </w:r>
      <w:r w:rsidR="00836565" w:rsidRPr="00836565">
        <w:rPr>
          <w:lang w:val="es-MX"/>
        </w:rPr>
        <w:t xml:space="preserve"> por una tendencia</w:t>
      </w:r>
      <w:r>
        <w:rPr>
          <w:lang w:val="es-MX"/>
        </w:rPr>
        <w:t xml:space="preserve"> de los Estados</w:t>
      </w:r>
      <w:r w:rsidR="00836565" w:rsidRPr="00836565">
        <w:rPr>
          <w:lang w:val="es-MX"/>
        </w:rPr>
        <w:t xml:space="preserve"> a </w:t>
      </w:r>
      <w:r>
        <w:rPr>
          <w:lang w:val="es-MX"/>
        </w:rPr>
        <w:t>limitar</w:t>
      </w:r>
      <w:r w:rsidR="00836565" w:rsidRPr="00836565">
        <w:rPr>
          <w:lang w:val="es-MX"/>
        </w:rPr>
        <w:t xml:space="preserve"> la capacidad de los órganos judiciales para disponer las medidas socioeducativas </w:t>
      </w:r>
      <w:r w:rsidRPr="00836565">
        <w:rPr>
          <w:lang w:val="es-MX"/>
        </w:rPr>
        <w:t>más</w:t>
      </w:r>
      <w:r w:rsidR="00836565" w:rsidRPr="00836565">
        <w:rPr>
          <w:lang w:val="es-MX"/>
        </w:rPr>
        <w:t xml:space="preserve"> </w:t>
      </w:r>
      <w:r>
        <w:rPr>
          <w:lang w:val="es-MX"/>
        </w:rPr>
        <w:t xml:space="preserve">idóneas </w:t>
      </w:r>
      <w:r w:rsidRPr="00836565">
        <w:rPr>
          <w:lang w:val="es-MX"/>
        </w:rPr>
        <w:t>en</w:t>
      </w:r>
      <w:r w:rsidR="0091528E">
        <w:rPr>
          <w:lang w:val="es-MX"/>
        </w:rPr>
        <w:t xml:space="preserve"> los casos de delitos graves, estableciendo </w:t>
      </w:r>
      <w:r w:rsidR="00836565" w:rsidRPr="00836565">
        <w:rPr>
          <w:lang w:val="es-MX"/>
        </w:rPr>
        <w:t xml:space="preserve">como única medida posible </w:t>
      </w:r>
      <w:r w:rsidR="0091528E">
        <w:rPr>
          <w:lang w:val="es-MX"/>
        </w:rPr>
        <w:t>en estos casos</w:t>
      </w:r>
      <w:r w:rsidR="00836565" w:rsidRPr="00836565">
        <w:rPr>
          <w:lang w:val="es-MX"/>
        </w:rPr>
        <w:t xml:space="preserve"> la privación de libertad. Estas medidas ignoran el </w:t>
      </w:r>
      <w:r w:rsidR="00836565" w:rsidRPr="00836565">
        <w:rPr>
          <w:i/>
          <w:lang w:val="es-MX"/>
        </w:rPr>
        <w:t>principio del interés superior del niño,</w:t>
      </w:r>
      <w:r w:rsidR="0091528E">
        <w:rPr>
          <w:lang w:val="es-MX"/>
        </w:rPr>
        <w:t xml:space="preserve"> </w:t>
      </w:r>
      <w:r w:rsidR="00836565" w:rsidRPr="00836565">
        <w:rPr>
          <w:lang w:val="es-MX"/>
        </w:rPr>
        <w:t xml:space="preserve">van en contra de lo establecido </w:t>
      </w:r>
      <w:r w:rsidR="00CD0DEA" w:rsidRPr="00836565">
        <w:rPr>
          <w:lang w:val="es-MX"/>
        </w:rPr>
        <w:t>en los artículos 40.4 de la Convención de los Derechos del Niño y 6.1 de las Reglas mínimas de las Naciones Unidas para la administración de la justicia</w:t>
      </w:r>
      <w:r w:rsidR="00836565" w:rsidRPr="00836565">
        <w:rPr>
          <w:lang w:val="es-MX"/>
        </w:rPr>
        <w:t xml:space="preserve"> de menores (“Reglas de Beijin”) y del </w:t>
      </w:r>
      <w:r w:rsidR="00CD0DEA" w:rsidRPr="00836565">
        <w:rPr>
          <w:lang w:val="es-MX"/>
        </w:rPr>
        <w:t xml:space="preserve">principio de </w:t>
      </w:r>
      <w:r w:rsidR="00CD0DEA" w:rsidRPr="0091528E">
        <w:rPr>
          <w:i/>
          <w:lang w:val="es-MX"/>
        </w:rPr>
        <w:t xml:space="preserve">especialidad de </w:t>
      </w:r>
      <w:r w:rsidR="00836565" w:rsidRPr="0091528E">
        <w:rPr>
          <w:i/>
          <w:lang w:val="es-MX"/>
        </w:rPr>
        <w:t>la justicia penal juvenil</w:t>
      </w:r>
      <w:r w:rsidR="00836565" w:rsidRPr="00836565">
        <w:rPr>
          <w:lang w:val="es-MX"/>
        </w:rPr>
        <w:t xml:space="preserve">. </w:t>
      </w:r>
      <w:r w:rsidR="00836565" w:rsidRPr="0091528E">
        <w:rPr>
          <w:lang w:val="es-MX"/>
        </w:rPr>
        <w:t xml:space="preserve"> Con este tipo de medidas los Estados </w:t>
      </w:r>
      <w:r w:rsidR="00220B0F">
        <w:rPr>
          <w:lang w:val="es-MX"/>
        </w:rPr>
        <w:t>tienden a establecer</w:t>
      </w:r>
      <w:r w:rsidR="00CD0DEA" w:rsidRPr="0091528E">
        <w:rPr>
          <w:lang w:val="es-MX"/>
        </w:rPr>
        <w:t xml:space="preserve"> políticas criminales </w:t>
      </w:r>
      <w:r w:rsidR="00220B0F">
        <w:rPr>
          <w:lang w:val="es-MX"/>
        </w:rPr>
        <w:t>básicamente</w:t>
      </w:r>
      <w:r w:rsidR="00CD0DEA" w:rsidRPr="0091528E">
        <w:rPr>
          <w:lang w:val="es-MX"/>
        </w:rPr>
        <w:t xml:space="preserve"> retributivas o punitivas similares a las previstas en el derecho penal de adultos. </w:t>
      </w:r>
    </w:p>
    <w:p w14:paraId="61974A37" w14:textId="37C153D9" w:rsidR="009C39C7" w:rsidRDefault="00F400DA" w:rsidP="00CD0DEA">
      <w:pPr>
        <w:pStyle w:val="ListParagraph"/>
        <w:numPr>
          <w:ilvl w:val="0"/>
          <w:numId w:val="1"/>
        </w:numPr>
        <w:contextualSpacing w:val="0"/>
        <w:rPr>
          <w:lang w:val="es-MX"/>
        </w:rPr>
      </w:pPr>
      <w:r w:rsidRPr="006809F3">
        <w:rPr>
          <w:b/>
          <w:lang w:val="es-MX"/>
        </w:rPr>
        <w:t>Párrafo 8</w:t>
      </w:r>
      <w:r>
        <w:rPr>
          <w:b/>
          <w:lang w:val="es-MX"/>
        </w:rPr>
        <w:t>6</w:t>
      </w:r>
      <w:r w:rsidRPr="006809F3">
        <w:rPr>
          <w:b/>
          <w:lang w:val="es-MX"/>
        </w:rPr>
        <w:t>:</w:t>
      </w:r>
      <w:r>
        <w:rPr>
          <w:b/>
          <w:lang w:val="es-MX"/>
        </w:rPr>
        <w:t xml:space="preserve"> </w:t>
      </w:r>
      <w:r w:rsidR="00836565">
        <w:rPr>
          <w:lang w:val="es-MX"/>
        </w:rPr>
        <w:t>Sugerimos</w:t>
      </w:r>
      <w:r w:rsidR="009C39C7">
        <w:rPr>
          <w:lang w:val="es-MX"/>
        </w:rPr>
        <w:t xml:space="preserve"> con mucho </w:t>
      </w:r>
      <w:r w:rsidR="00CB6728">
        <w:rPr>
          <w:lang w:val="es-MX"/>
        </w:rPr>
        <w:t>énfasis</w:t>
      </w:r>
      <w:r w:rsidR="00836565">
        <w:rPr>
          <w:lang w:val="es-MX"/>
        </w:rPr>
        <w:t xml:space="preserve"> la eliminación de la </w:t>
      </w:r>
      <w:r w:rsidR="009C39C7">
        <w:rPr>
          <w:lang w:val="es-MX"/>
        </w:rPr>
        <w:t>última</w:t>
      </w:r>
      <w:r w:rsidR="00836565">
        <w:rPr>
          <w:lang w:val="es-MX"/>
        </w:rPr>
        <w:t xml:space="preserve"> frase de este párrafo, porque deja la puerta abierta a</w:t>
      </w:r>
      <w:r w:rsidR="009C39C7">
        <w:rPr>
          <w:lang w:val="es-MX"/>
        </w:rPr>
        <w:t xml:space="preserve"> que los estados establezcan excepciones al periodo de duración máxima de la privación de libertad y al hecho de que deban ser tiempos considerablemente menores que para el caso de los adultos.  Creemos que el </w:t>
      </w:r>
      <w:r w:rsidR="00CB6728">
        <w:rPr>
          <w:lang w:val="es-MX"/>
        </w:rPr>
        <w:t>Comité</w:t>
      </w:r>
      <w:r w:rsidR="009C39C7">
        <w:rPr>
          <w:lang w:val="es-MX"/>
        </w:rPr>
        <w:t xml:space="preserve"> </w:t>
      </w:r>
      <w:r w:rsidR="00CB6728">
        <w:rPr>
          <w:lang w:val="es-MX"/>
        </w:rPr>
        <w:t>orientaría</w:t>
      </w:r>
      <w:r w:rsidR="009C39C7">
        <w:rPr>
          <w:lang w:val="es-MX"/>
        </w:rPr>
        <w:t xml:space="preserve"> mejor a los Estados si este párrafo deja claras dos ideas: obligación de establecimiento de duración máxima de privación de libertad y obligación de que esos tiempos máximos sean censurablemente menores que los establecidos para los adultos. Sin dejar espacio para ninguna excepción.  Si se deja abierta la puerta a la excepción de desnaturaliza el principio de especialización de la justicia penal juvenil y las razones que fundamentan esta especificidad.</w:t>
      </w:r>
    </w:p>
    <w:p w14:paraId="561C0DDD" w14:textId="100404BC" w:rsidR="00FF25D3" w:rsidRDefault="009C39C7" w:rsidP="00FF25D3">
      <w:pPr>
        <w:pStyle w:val="ListParagraph"/>
        <w:numPr>
          <w:ilvl w:val="0"/>
          <w:numId w:val="1"/>
        </w:numPr>
        <w:contextualSpacing w:val="0"/>
        <w:rPr>
          <w:lang w:val="es-MX"/>
        </w:rPr>
      </w:pPr>
      <w:r>
        <w:rPr>
          <w:b/>
          <w:lang w:val="es-MX"/>
        </w:rPr>
        <w:t>Pàrrafo 98.</w:t>
      </w:r>
      <w:r>
        <w:rPr>
          <w:lang w:val="es-MX"/>
        </w:rPr>
        <w:t xml:space="preserve">  Sugerimos que este párrafo incorpore el criterio de que </w:t>
      </w:r>
      <w:r w:rsidR="00FF25D3">
        <w:rPr>
          <w:lang w:val="es-MX"/>
        </w:rPr>
        <w:t xml:space="preserve">la prisión provisional o “ </w:t>
      </w:r>
      <w:r w:rsidR="00FF25D3" w:rsidRPr="00F55436">
        <w:rPr>
          <w:i/>
          <w:lang w:val="es-MX"/>
        </w:rPr>
        <w:t>pre-trial detention</w:t>
      </w:r>
      <w:r w:rsidR="00FF25D3">
        <w:rPr>
          <w:lang w:val="es-MX"/>
        </w:rPr>
        <w:t xml:space="preserve">” debe cumplir tb con el principio de ser una medida de último recurso y por “ el menor tiempo posible”.  Además sugerimos la posibilidad de que el Comité estudie la inclusión de una duración máxima admisible de la prisión provisional o </w:t>
      </w:r>
      <w:r w:rsidR="00FF25D3" w:rsidRPr="00F55436">
        <w:rPr>
          <w:i/>
          <w:lang w:val="es-MX"/>
        </w:rPr>
        <w:t>pre</w:t>
      </w:r>
      <w:r w:rsidR="00F55436" w:rsidRPr="00F55436">
        <w:rPr>
          <w:i/>
          <w:lang w:val="es-MX"/>
        </w:rPr>
        <w:t>-</w:t>
      </w:r>
      <w:r w:rsidR="00FF25D3" w:rsidRPr="00F55436">
        <w:rPr>
          <w:i/>
          <w:lang w:val="es-MX"/>
        </w:rPr>
        <w:t>trial detention</w:t>
      </w:r>
      <w:r w:rsidR="00FF25D3">
        <w:rPr>
          <w:lang w:val="es-MX"/>
        </w:rPr>
        <w:t>. Quiz</w:t>
      </w:r>
      <w:r w:rsidR="00CD3D58">
        <w:rPr>
          <w:lang w:val="es-MX"/>
        </w:rPr>
        <w:t>á con una fórmula que indique “</w:t>
      </w:r>
      <w:r w:rsidR="00FF25D3">
        <w:rPr>
          <w:lang w:val="es-MX"/>
        </w:rPr>
        <w:t xml:space="preserve">que no es aceptable el establecimiento de la duración de la  prisión preventiva por encima de XX tiempo”. </w:t>
      </w:r>
      <w:r w:rsidR="00CD3D58">
        <w:rPr>
          <w:lang w:val="es-MX"/>
        </w:rPr>
        <w:t>Además,</w:t>
      </w:r>
      <w:r w:rsidR="00F655A4">
        <w:rPr>
          <w:lang w:val="es-MX"/>
        </w:rPr>
        <w:t xml:space="preserve"> podría señalarse que los criterios para determinar la necesidad de la prisión preventiva deben ser considerablemente </w:t>
      </w:r>
      <w:r w:rsidR="00F55436">
        <w:rPr>
          <w:lang w:val="es-MX"/>
        </w:rPr>
        <w:t>más</w:t>
      </w:r>
      <w:r w:rsidR="00F655A4">
        <w:rPr>
          <w:lang w:val="es-MX"/>
        </w:rPr>
        <w:t xml:space="preserve"> restrictivos que los que se establecen en el sistema penal de adultos. </w:t>
      </w:r>
    </w:p>
    <w:p w14:paraId="3CCAE408" w14:textId="61D1607E" w:rsidR="00F655A4" w:rsidRPr="00EB1FDB" w:rsidRDefault="00CD3D58" w:rsidP="00EB1FDB">
      <w:pPr>
        <w:pStyle w:val="ListParagraph"/>
        <w:numPr>
          <w:ilvl w:val="0"/>
          <w:numId w:val="1"/>
        </w:numPr>
        <w:contextualSpacing w:val="0"/>
        <w:rPr>
          <w:lang w:val="es-MX"/>
        </w:rPr>
      </w:pPr>
      <w:r>
        <w:rPr>
          <w:b/>
          <w:lang w:val="es-MX"/>
        </w:rPr>
        <w:t>Párrafo</w:t>
      </w:r>
      <w:r w:rsidR="00F655A4">
        <w:rPr>
          <w:b/>
          <w:lang w:val="es-MX"/>
        </w:rPr>
        <w:t xml:space="preserve"> 101. </w:t>
      </w:r>
      <w:r w:rsidR="00F655A4" w:rsidRPr="00EB1FDB">
        <w:rPr>
          <w:lang w:val="es-MX"/>
        </w:rPr>
        <w:t>Celebramos la decisión del Comité de indicar a lo</w:t>
      </w:r>
      <w:r w:rsidR="00F55436">
        <w:rPr>
          <w:lang w:val="es-MX"/>
        </w:rPr>
        <w:t>s</w:t>
      </w:r>
      <w:r w:rsidR="00F655A4" w:rsidRPr="00EB1FDB">
        <w:rPr>
          <w:lang w:val="es-MX"/>
        </w:rPr>
        <w:t xml:space="preserve"> Estados que establezcan en 16 años la edad para imponer medidas de privación de libertad. Sin embargo, creemos que tal y como queda redactado el párrafo puede ser mal interpretado o usado para afirmar que los adolescentes en conflicto con la ley son impunes o no enfrentan consecuencias por sus actos. Podría revi</w:t>
      </w:r>
      <w:r w:rsidR="00F55436">
        <w:rPr>
          <w:lang w:val="es-MX"/>
        </w:rPr>
        <w:t>sarse su redacción para incluir</w:t>
      </w:r>
      <w:r w:rsidR="00F655A4" w:rsidRPr="00EB1FDB">
        <w:rPr>
          <w:lang w:val="es-MX"/>
        </w:rPr>
        <w:t xml:space="preserve"> información que recuerde el principio de que la privación de libertad es una medida de último recurso, excepcional y por e</w:t>
      </w:r>
      <w:r w:rsidR="00220B0F">
        <w:rPr>
          <w:lang w:val="es-MX"/>
        </w:rPr>
        <w:t xml:space="preserve">l menor tiempo posible; </w:t>
      </w:r>
      <w:r w:rsidR="00F655A4" w:rsidRPr="00EB1FDB">
        <w:rPr>
          <w:lang w:val="es-MX"/>
        </w:rPr>
        <w:t xml:space="preserve"> información sobre la  evidencia internacional de los daños que produce en personas en esa etapa de desarrollo y en sus posibilidades futuras individuales y comunitarias.  </w:t>
      </w:r>
      <w:r w:rsidR="00220B0F">
        <w:rPr>
          <w:lang w:val="es-MX"/>
        </w:rPr>
        <w:t>Estos argumentos</w:t>
      </w:r>
      <w:r w:rsidR="00F655A4" w:rsidRPr="00EB1FDB">
        <w:rPr>
          <w:lang w:val="es-MX"/>
        </w:rPr>
        <w:t xml:space="preserve"> ayudaran a los Estados a </w:t>
      </w:r>
      <w:r w:rsidR="00220B0F">
        <w:rPr>
          <w:lang w:val="es-MX"/>
        </w:rPr>
        <w:t>argumentar</w:t>
      </w:r>
      <w:r w:rsidR="00F655A4" w:rsidRPr="00EB1FDB">
        <w:rPr>
          <w:lang w:val="es-MX"/>
        </w:rPr>
        <w:t xml:space="preserve"> el </w:t>
      </w:r>
      <w:r w:rsidR="00EB1FDB" w:rsidRPr="00EB1FDB">
        <w:rPr>
          <w:lang w:val="es-MX"/>
        </w:rPr>
        <w:t>límite</w:t>
      </w:r>
      <w:r w:rsidR="00F655A4" w:rsidRPr="00EB1FDB">
        <w:rPr>
          <w:lang w:val="es-MX"/>
        </w:rPr>
        <w:t xml:space="preserve"> de 16 años para </w:t>
      </w:r>
      <w:r w:rsidR="00220B0F">
        <w:rPr>
          <w:lang w:val="es-MX"/>
        </w:rPr>
        <w:t xml:space="preserve">imponer privación de libertad. </w:t>
      </w:r>
      <w:r w:rsidR="00F655A4" w:rsidRPr="00EB1FDB">
        <w:rPr>
          <w:lang w:val="es-MX"/>
        </w:rPr>
        <w:t xml:space="preserve"> </w:t>
      </w:r>
      <w:r w:rsidR="00220B0F">
        <w:rPr>
          <w:lang w:val="es-MX"/>
        </w:rPr>
        <w:t>Además</w:t>
      </w:r>
      <w:r w:rsidR="00F655A4" w:rsidRPr="00EB1FDB">
        <w:rPr>
          <w:lang w:val="es-MX"/>
        </w:rPr>
        <w:t xml:space="preserve"> sugerimos incluir un </w:t>
      </w:r>
      <w:r w:rsidR="00EB1FDB" w:rsidRPr="00EB1FDB">
        <w:rPr>
          <w:lang w:val="es-MX"/>
        </w:rPr>
        <w:t>último</w:t>
      </w:r>
      <w:r w:rsidR="00F655A4" w:rsidRPr="00EB1FDB">
        <w:rPr>
          <w:lang w:val="es-MX"/>
        </w:rPr>
        <w:t xml:space="preserve"> párrafo que haga énfasis en que </w:t>
      </w:r>
      <w:r w:rsidR="00EB1FDB" w:rsidRPr="00EB1FDB">
        <w:rPr>
          <w:lang w:val="es-MX"/>
        </w:rPr>
        <w:t xml:space="preserve">establecer en 16 años la edad </w:t>
      </w:r>
      <w:r w:rsidR="00F55436" w:rsidRPr="00EB1FDB">
        <w:rPr>
          <w:lang w:val="es-MX"/>
        </w:rPr>
        <w:t>mínima</w:t>
      </w:r>
      <w:r w:rsidR="00EB1FDB" w:rsidRPr="00EB1FDB">
        <w:rPr>
          <w:lang w:val="es-MX"/>
        </w:rPr>
        <w:t xml:space="preserve"> para imponer medidas privativas de libertad no significa que por debajo de esa edad los adolescentes están exentos de responsabilidad penal</w:t>
      </w:r>
      <w:r w:rsidR="00F655A4" w:rsidRPr="00EB1FDB">
        <w:rPr>
          <w:lang w:val="es-MX"/>
        </w:rPr>
        <w:t xml:space="preserve">, sino que los </w:t>
      </w:r>
      <w:r w:rsidR="00F655A4" w:rsidRPr="00EB1FDB">
        <w:rPr>
          <w:lang w:val="es-MX"/>
        </w:rPr>
        <w:lastRenderedPageBreak/>
        <w:t>Estados disponen de una gama de opciones no privativas de libertad para exigir esa responsabilidad y reparar el daño que haya podido ocasionar.</w:t>
      </w:r>
    </w:p>
    <w:p w14:paraId="294B9C68" w14:textId="7D69C077" w:rsidR="00BD3F11" w:rsidRDefault="00220B0F" w:rsidP="00FF25D3">
      <w:pPr>
        <w:pStyle w:val="ListParagraph"/>
        <w:numPr>
          <w:ilvl w:val="0"/>
          <w:numId w:val="1"/>
        </w:numPr>
        <w:contextualSpacing w:val="0"/>
        <w:rPr>
          <w:lang w:val="es-MX"/>
        </w:rPr>
      </w:pPr>
      <w:r>
        <w:rPr>
          <w:b/>
          <w:lang w:val="es-MX"/>
        </w:rPr>
        <w:t>Párrafo 122.</w:t>
      </w:r>
      <w:r w:rsidR="00FB33E6">
        <w:rPr>
          <w:lang w:val="es-MX"/>
        </w:rPr>
        <w:t xml:space="preserve"> </w:t>
      </w:r>
      <w:r w:rsidR="00244B50">
        <w:rPr>
          <w:lang w:val="es-MX"/>
        </w:rPr>
        <w:t xml:space="preserve"> </w:t>
      </w:r>
      <w:r>
        <w:rPr>
          <w:lang w:val="es-MX"/>
        </w:rPr>
        <w:t>Puede ser</w:t>
      </w:r>
      <w:r w:rsidR="00244B50">
        <w:rPr>
          <w:lang w:val="es-MX"/>
        </w:rPr>
        <w:t xml:space="preserve"> útil para orientar mejor la labor de los Estados, indicar que </w:t>
      </w:r>
      <w:r w:rsidR="00FB33E6">
        <w:rPr>
          <w:lang w:val="es-MX"/>
        </w:rPr>
        <w:t>la sensibilización no sólo debe orientarse a la creación de una conciencia sobre la necesidad y la obligación de brindar un tratamiento distinto a los niños que presuntamente violan la ley penal</w:t>
      </w:r>
      <w:r w:rsidR="003665C2">
        <w:rPr>
          <w:lang w:val="es-MX"/>
        </w:rPr>
        <w:t>, sino</w:t>
      </w:r>
      <w:r w:rsidR="00FB33E6">
        <w:rPr>
          <w:lang w:val="es-MX"/>
        </w:rPr>
        <w:t xml:space="preserve"> </w:t>
      </w:r>
      <w:r w:rsidR="003665C2">
        <w:rPr>
          <w:lang w:val="es-MX"/>
        </w:rPr>
        <w:t xml:space="preserve">también </w:t>
      </w:r>
      <w:r w:rsidR="00FB33E6">
        <w:rPr>
          <w:lang w:val="es-MX"/>
        </w:rPr>
        <w:t xml:space="preserve">a </w:t>
      </w:r>
      <w:r w:rsidR="00244B50">
        <w:rPr>
          <w:lang w:val="es-MX"/>
        </w:rPr>
        <w:t xml:space="preserve">atajar la idea de que  </w:t>
      </w:r>
      <w:r w:rsidR="003665C2">
        <w:rPr>
          <w:lang w:val="es-MX"/>
        </w:rPr>
        <w:t xml:space="preserve"> </w:t>
      </w:r>
      <w:r w:rsidR="00FB33E6">
        <w:rPr>
          <w:lang w:val="es-MX"/>
        </w:rPr>
        <w:t xml:space="preserve">la justicia penal juvenil </w:t>
      </w:r>
      <w:r w:rsidR="00244B50">
        <w:rPr>
          <w:lang w:val="es-MX"/>
        </w:rPr>
        <w:t xml:space="preserve"> es benigna y genera impunidad. </w:t>
      </w:r>
    </w:p>
    <w:p w14:paraId="5D098B8A" w14:textId="3DFF2203" w:rsidR="00BE7093" w:rsidRPr="00BE7093" w:rsidRDefault="00BE7093" w:rsidP="00BE7093">
      <w:pPr>
        <w:pStyle w:val="ListParagraph"/>
        <w:numPr>
          <w:ilvl w:val="0"/>
          <w:numId w:val="1"/>
        </w:numPr>
        <w:contextualSpacing w:val="0"/>
        <w:rPr>
          <w:lang w:val="es-MX"/>
        </w:rPr>
      </w:pPr>
      <w:r w:rsidRPr="00BD4447">
        <w:rPr>
          <w:lang w:val="es-MX"/>
        </w:rPr>
        <w:t>Finalmente, sugerimos la posibilidad de que el Comentario General pueda abordar específicamente tres situaciones</w:t>
      </w:r>
      <w:r w:rsidR="00BD4447" w:rsidRPr="00BD4447">
        <w:rPr>
          <w:lang w:val="es-MX"/>
        </w:rPr>
        <w:t xml:space="preserve"> </w:t>
      </w:r>
      <w:r w:rsidRPr="00BD4447">
        <w:rPr>
          <w:lang w:val="es-MX"/>
        </w:rPr>
        <w:t xml:space="preserve">para dar orientación a los Estados sobre como abordarlas en concordancia con los </w:t>
      </w:r>
      <w:r w:rsidR="00BD4447" w:rsidRPr="00BD4447">
        <w:rPr>
          <w:lang w:val="es-MX"/>
        </w:rPr>
        <w:t>estándares</w:t>
      </w:r>
      <w:r w:rsidRPr="00BD4447">
        <w:rPr>
          <w:lang w:val="es-MX"/>
        </w:rPr>
        <w:t xml:space="preserve"> internacionales</w:t>
      </w:r>
      <w:r>
        <w:rPr>
          <w:b/>
          <w:lang w:val="es-MX"/>
        </w:rPr>
        <w:t>:</w:t>
      </w:r>
      <w:r>
        <w:rPr>
          <w:lang w:val="es-MX"/>
        </w:rPr>
        <w:t xml:space="preserve"> 1. Los derechos de los y las adolescentes que son madres y padres y de sus hijos; 2. l</w:t>
      </w:r>
      <w:r w:rsidRPr="00BE7093">
        <w:rPr>
          <w:lang w:val="es-MX"/>
        </w:rPr>
        <w:t xml:space="preserve">os derechos de los y las adolescentes que tienen pareja y/o </w:t>
      </w:r>
      <w:r w:rsidR="00BD4447" w:rsidRPr="00BE7093">
        <w:rPr>
          <w:lang w:val="es-MX"/>
        </w:rPr>
        <w:t>están</w:t>
      </w:r>
      <w:r w:rsidRPr="00BE7093">
        <w:rPr>
          <w:lang w:val="es-MX"/>
        </w:rPr>
        <w:t xml:space="preserve"> casados o formalmente unidos</w:t>
      </w:r>
      <w:r>
        <w:rPr>
          <w:lang w:val="es-MX"/>
        </w:rPr>
        <w:t xml:space="preserve"> y 3. Las responsabilidades de los </w:t>
      </w:r>
      <w:r w:rsidR="00BD4447">
        <w:rPr>
          <w:lang w:val="es-MX"/>
        </w:rPr>
        <w:t>Ministerios de educación</w:t>
      </w:r>
      <w:r>
        <w:rPr>
          <w:lang w:val="es-MX"/>
        </w:rPr>
        <w:t xml:space="preserve"> para garantizar el acceso a una educación inclusiva y de calidad para todos los adolescentes que se encuentran privados de libertad.</w:t>
      </w:r>
    </w:p>
    <w:p w14:paraId="54BC1673" w14:textId="6AE1E980" w:rsidR="00FB33E6" w:rsidRDefault="00FB33E6" w:rsidP="00D91A5D">
      <w:pPr>
        <w:pStyle w:val="ListParagraph"/>
        <w:contextualSpacing w:val="0"/>
        <w:rPr>
          <w:lang w:val="es-MX"/>
        </w:rPr>
      </w:pPr>
    </w:p>
    <w:sectPr w:rsidR="00FB33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97AC3"/>
    <w:multiLevelType w:val="hybridMultilevel"/>
    <w:tmpl w:val="375C38E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26"/>
    <w:rsid w:val="00000866"/>
    <w:rsid w:val="000421AD"/>
    <w:rsid w:val="00060E8C"/>
    <w:rsid w:val="000E044C"/>
    <w:rsid w:val="001C0AD2"/>
    <w:rsid w:val="00220B0F"/>
    <w:rsid w:val="00244B50"/>
    <w:rsid w:val="002A3DFC"/>
    <w:rsid w:val="00332568"/>
    <w:rsid w:val="003665C2"/>
    <w:rsid w:val="003710CB"/>
    <w:rsid w:val="003A06BA"/>
    <w:rsid w:val="003B1F7E"/>
    <w:rsid w:val="003B293E"/>
    <w:rsid w:val="003B4FED"/>
    <w:rsid w:val="003F504C"/>
    <w:rsid w:val="00403CC7"/>
    <w:rsid w:val="00430F6D"/>
    <w:rsid w:val="00497526"/>
    <w:rsid w:val="005342B1"/>
    <w:rsid w:val="00580245"/>
    <w:rsid w:val="005B0BF4"/>
    <w:rsid w:val="005C613F"/>
    <w:rsid w:val="005F507A"/>
    <w:rsid w:val="006809F3"/>
    <w:rsid w:val="006D1842"/>
    <w:rsid w:val="006E3279"/>
    <w:rsid w:val="007119B9"/>
    <w:rsid w:val="0073218F"/>
    <w:rsid w:val="0073663E"/>
    <w:rsid w:val="0073789F"/>
    <w:rsid w:val="007A64CE"/>
    <w:rsid w:val="00836565"/>
    <w:rsid w:val="008A57C8"/>
    <w:rsid w:val="008C1965"/>
    <w:rsid w:val="0091528E"/>
    <w:rsid w:val="0092225F"/>
    <w:rsid w:val="009A6FA9"/>
    <w:rsid w:val="009C39C7"/>
    <w:rsid w:val="00A15194"/>
    <w:rsid w:val="00AE12A3"/>
    <w:rsid w:val="00AF1F8F"/>
    <w:rsid w:val="00AF4AC6"/>
    <w:rsid w:val="00B10072"/>
    <w:rsid w:val="00B216EC"/>
    <w:rsid w:val="00B853E4"/>
    <w:rsid w:val="00BD3F11"/>
    <w:rsid w:val="00BD4447"/>
    <w:rsid w:val="00BE7093"/>
    <w:rsid w:val="00BF4EDC"/>
    <w:rsid w:val="00C1425C"/>
    <w:rsid w:val="00CA46E0"/>
    <w:rsid w:val="00CB6728"/>
    <w:rsid w:val="00CD0DEA"/>
    <w:rsid w:val="00CD3D58"/>
    <w:rsid w:val="00CD4B04"/>
    <w:rsid w:val="00CD54AD"/>
    <w:rsid w:val="00D21898"/>
    <w:rsid w:val="00D345D3"/>
    <w:rsid w:val="00D867B0"/>
    <w:rsid w:val="00D91A5D"/>
    <w:rsid w:val="00DA73A9"/>
    <w:rsid w:val="00E07949"/>
    <w:rsid w:val="00E643AF"/>
    <w:rsid w:val="00E92E87"/>
    <w:rsid w:val="00EB1FDB"/>
    <w:rsid w:val="00EB583D"/>
    <w:rsid w:val="00EE7501"/>
    <w:rsid w:val="00F400DA"/>
    <w:rsid w:val="00F55436"/>
    <w:rsid w:val="00F655A4"/>
    <w:rsid w:val="00FB33E6"/>
    <w:rsid w:val="00FF25D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9C80B"/>
  <w15:chartTrackingRefBased/>
  <w15:docId w15:val="{C5F7BB8C-50CB-4445-AEBA-4FB27992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before="120" w:after="120" w:line="259" w:lineRule="auto"/>
        <w:ind w:left="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3E6"/>
    <w:pPr>
      <w:contextualSpacing/>
    </w:pPr>
  </w:style>
  <w:style w:type="paragraph" w:styleId="Revision">
    <w:name w:val="Revision"/>
    <w:hidden/>
    <w:uiPriority w:val="99"/>
    <w:semiHidden/>
    <w:rsid w:val="00CB6728"/>
    <w:pPr>
      <w:spacing w:before="0" w:after="0" w:line="240" w:lineRule="auto"/>
      <w:ind w:left="0"/>
      <w:jc w:val="left"/>
    </w:pPr>
  </w:style>
  <w:style w:type="paragraph" w:styleId="BalloonText">
    <w:name w:val="Balloon Text"/>
    <w:basedOn w:val="Normal"/>
    <w:link w:val="BalloonTextChar"/>
    <w:uiPriority w:val="99"/>
    <w:semiHidden/>
    <w:unhideWhenUsed/>
    <w:rsid w:val="00CB672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7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5E1682-D5F3-4344-87F6-55DA4D9D982F}"/>
</file>

<file path=customXml/itemProps2.xml><?xml version="1.0" encoding="utf-8"?>
<ds:datastoreItem xmlns:ds="http://schemas.openxmlformats.org/officeDocument/2006/customXml" ds:itemID="{3FF905BC-6E04-429C-8E71-3F22E42E8266}"/>
</file>

<file path=customXml/itemProps3.xml><?xml version="1.0" encoding="utf-8"?>
<ds:datastoreItem xmlns:ds="http://schemas.openxmlformats.org/officeDocument/2006/customXml" ds:itemID="{B0590907-B76D-4A95-9BFD-46FB026FF02B}"/>
</file>

<file path=docProps/app.xml><?xml version="1.0" encoding="utf-8"?>
<Properties xmlns="http://schemas.openxmlformats.org/officeDocument/2006/extended-properties" xmlns:vt="http://schemas.openxmlformats.org/officeDocument/2006/docPropsVTypes">
  <Template>Normal.dotm</Template>
  <TotalTime>0</TotalTime>
  <Pages>3</Pages>
  <Words>1231</Words>
  <Characters>7018</Characters>
  <Application>Microsoft Office Word</Application>
  <DocSecurity>4</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UNICEF_LACRO_SP</dc:title>
  <dc:subject/>
  <dc:creator>Jorge</dc:creator>
  <cp:keywords/>
  <dc:description/>
  <cp:lastModifiedBy>BOIT James</cp:lastModifiedBy>
  <cp:revision>2</cp:revision>
  <dcterms:created xsi:type="dcterms:W3CDTF">2019-02-26T16:51:00Z</dcterms:created>
  <dcterms:modified xsi:type="dcterms:W3CDTF">2019-02-26T16:51:00Z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