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233C" w14:textId="71E2772F" w:rsidR="007155F4" w:rsidRPr="00565A86" w:rsidRDefault="007A6983" w:rsidP="00BA6175">
      <w:pPr>
        <w:shd w:val="clear" w:color="auto" w:fill="FFFFFF"/>
        <w:spacing w:before="100" w:beforeAutospacing="1" w:after="100" w:afterAutospacing="1" w:line="240" w:lineRule="auto"/>
        <w:jc w:val="center"/>
        <w:outlineLvl w:val="1"/>
        <w:rPr>
          <w:rFonts w:ascii="Arial Narrow" w:eastAsia="Times New Roman" w:hAnsi="Arial Narrow" w:cs="Arial"/>
          <w:b/>
          <w:color w:val="000000"/>
          <w:lang w:eastAsia="es-MX"/>
        </w:rPr>
      </w:pPr>
      <w:bookmarkStart w:id="0" w:name="_GoBack"/>
      <w:bookmarkEnd w:id="0"/>
      <w:r w:rsidRPr="00565A86">
        <w:rPr>
          <w:rFonts w:ascii="Arial Narrow" w:eastAsia="Times New Roman" w:hAnsi="Arial Narrow" w:cs="Arial"/>
          <w:b/>
          <w:color w:val="000000"/>
          <w:lang w:eastAsia="es-MX"/>
        </w:rPr>
        <w:t xml:space="preserve">Comentarios al </w:t>
      </w:r>
      <w:r w:rsidR="00BA6175" w:rsidRPr="00565A86">
        <w:rPr>
          <w:rFonts w:ascii="Arial Narrow" w:eastAsia="Times New Roman" w:hAnsi="Arial Narrow" w:cs="Arial"/>
          <w:b/>
          <w:color w:val="000000"/>
          <w:lang w:eastAsia="es-MX"/>
        </w:rPr>
        <w:t xml:space="preserve">Proyecto de </w:t>
      </w:r>
      <w:r w:rsidR="007B2776" w:rsidRPr="00565A86">
        <w:rPr>
          <w:rFonts w:ascii="Arial Narrow" w:eastAsia="Times New Roman" w:hAnsi="Arial Narrow" w:cs="Arial"/>
          <w:b/>
          <w:color w:val="000000"/>
          <w:lang w:eastAsia="es-MX"/>
        </w:rPr>
        <w:t>revisión de la Observación G</w:t>
      </w:r>
      <w:r w:rsidR="00BA6175" w:rsidRPr="00565A86">
        <w:rPr>
          <w:rFonts w:ascii="Arial Narrow" w:eastAsia="Times New Roman" w:hAnsi="Arial Narrow" w:cs="Arial"/>
          <w:b/>
          <w:color w:val="000000"/>
          <w:lang w:eastAsia="es-MX"/>
        </w:rPr>
        <w:t xml:space="preserve">eneral Nº 10 (2007) sobre </w:t>
      </w:r>
      <w:r w:rsidRPr="00565A86">
        <w:rPr>
          <w:rFonts w:ascii="Arial Narrow" w:eastAsia="Times New Roman" w:hAnsi="Arial Narrow" w:cs="Arial"/>
          <w:b/>
          <w:color w:val="000000"/>
          <w:lang w:eastAsia="es-MX"/>
        </w:rPr>
        <w:t xml:space="preserve">derechos de la niñez </w:t>
      </w:r>
      <w:r w:rsidR="00BA6175" w:rsidRPr="00565A86">
        <w:rPr>
          <w:rFonts w:ascii="Arial Narrow" w:eastAsia="Times New Roman" w:hAnsi="Arial Narrow" w:cs="Arial"/>
          <w:b/>
          <w:color w:val="000000"/>
          <w:lang w:eastAsia="es-MX"/>
        </w:rPr>
        <w:t xml:space="preserve">en la justicia </w:t>
      </w:r>
      <w:r w:rsidRPr="00565A86">
        <w:rPr>
          <w:rFonts w:ascii="Arial Narrow" w:eastAsia="Times New Roman" w:hAnsi="Arial Narrow" w:cs="Arial"/>
          <w:b/>
          <w:color w:val="000000"/>
          <w:lang w:eastAsia="es-MX"/>
        </w:rPr>
        <w:t>juvenil</w:t>
      </w:r>
    </w:p>
    <w:p w14:paraId="01D66AD3" w14:textId="18096480" w:rsidR="00092AA1" w:rsidRPr="00995141" w:rsidRDefault="00092AA1" w:rsidP="00092AA1">
      <w:pPr>
        <w:jc w:val="both"/>
        <w:rPr>
          <w:rFonts w:ascii="Arial Narrow" w:eastAsia="Times New Roman" w:hAnsi="Arial Narrow" w:cs="Arial"/>
          <w:color w:val="000000"/>
          <w:lang w:eastAsia="es-MX"/>
        </w:rPr>
      </w:pPr>
      <w:r w:rsidRPr="00565A86">
        <w:rPr>
          <w:rFonts w:ascii="Arial Narrow" w:eastAsia="Times New Roman" w:hAnsi="Arial Narrow" w:cs="Arial"/>
          <w:color w:val="000000"/>
          <w:lang w:eastAsia="es-MX"/>
        </w:rPr>
        <w:t xml:space="preserve">Con motivo de la convocatoria </w:t>
      </w:r>
      <w:r w:rsidR="003E39CB" w:rsidRPr="00565A86">
        <w:rPr>
          <w:rFonts w:ascii="Arial Narrow" w:eastAsia="Times New Roman" w:hAnsi="Arial Narrow" w:cs="Arial"/>
          <w:color w:val="000000"/>
          <w:lang w:eastAsia="es-MX"/>
        </w:rPr>
        <w:t xml:space="preserve">lanzada por </w:t>
      </w:r>
      <w:r w:rsidRPr="00565A86">
        <w:rPr>
          <w:rFonts w:ascii="Arial Narrow" w:eastAsia="Times New Roman" w:hAnsi="Arial Narrow" w:cs="Arial"/>
          <w:color w:val="000000"/>
          <w:lang w:eastAsia="es-MX"/>
        </w:rPr>
        <w:t xml:space="preserve">el Comité de los Derechos del Niño de Naciones Unidas, </w:t>
      </w:r>
      <w:r w:rsidR="003E39CB" w:rsidRPr="00565A86">
        <w:rPr>
          <w:rFonts w:ascii="Arial Narrow" w:eastAsia="Times New Roman" w:hAnsi="Arial Narrow" w:cs="Arial"/>
          <w:color w:val="000000"/>
          <w:lang w:eastAsia="es-MX"/>
        </w:rPr>
        <w:t>relacionada con</w:t>
      </w:r>
      <w:r w:rsidRPr="00565A86">
        <w:rPr>
          <w:rFonts w:ascii="Arial Narrow" w:eastAsia="Times New Roman" w:hAnsi="Arial Narrow" w:cs="Arial"/>
          <w:color w:val="000000"/>
          <w:lang w:eastAsia="es-MX"/>
        </w:rPr>
        <w:t xml:space="preserve"> la revisión de </w:t>
      </w:r>
      <w:r w:rsidR="00037A20" w:rsidRPr="00565A86">
        <w:rPr>
          <w:rFonts w:ascii="Arial Narrow" w:eastAsia="Times New Roman" w:hAnsi="Arial Narrow" w:cs="Arial"/>
          <w:color w:val="000000"/>
          <w:lang w:eastAsia="es-MX"/>
        </w:rPr>
        <w:t>su</w:t>
      </w:r>
      <w:r w:rsidRPr="00565A86">
        <w:rPr>
          <w:rFonts w:ascii="Arial Narrow" w:eastAsia="Times New Roman" w:hAnsi="Arial Narrow" w:cs="Arial"/>
          <w:color w:val="000000"/>
          <w:lang w:eastAsia="es-MX"/>
        </w:rPr>
        <w:t xml:space="preserve"> Observación General No. 10, esta Comisión de Derechos Humanos del Distrito Federal (CDHDF),</w:t>
      </w:r>
      <w:r w:rsidR="00037A20" w:rsidRPr="00565A86">
        <w:rPr>
          <w:rFonts w:ascii="Arial Narrow" w:eastAsia="Times New Roman" w:hAnsi="Arial Narrow" w:cs="Arial"/>
          <w:color w:val="000000"/>
          <w:lang w:eastAsia="es-MX"/>
        </w:rPr>
        <w:t xml:space="preserve"> organismo público autónomo de derechos humanos en la Ciudad de México,</w:t>
      </w:r>
      <w:r w:rsidRPr="00565A86">
        <w:rPr>
          <w:rFonts w:ascii="Arial Narrow" w:eastAsia="Times New Roman" w:hAnsi="Arial Narrow" w:cs="Arial"/>
          <w:color w:val="000000"/>
          <w:lang w:eastAsia="es-MX"/>
        </w:rPr>
        <w:t xml:space="preserve"> </w:t>
      </w:r>
      <w:r w:rsidR="00995141">
        <w:rPr>
          <w:rFonts w:ascii="Arial Narrow" w:eastAsia="Times New Roman" w:hAnsi="Arial Narrow" w:cs="Arial"/>
          <w:color w:val="000000"/>
          <w:lang w:eastAsia="es-MX"/>
        </w:rPr>
        <w:t>elaboró el presente documento de</w:t>
      </w:r>
      <w:r w:rsidRPr="00565A86">
        <w:rPr>
          <w:rFonts w:ascii="Arial Narrow" w:eastAsia="Times New Roman" w:hAnsi="Arial Narrow" w:cs="Arial"/>
          <w:color w:val="000000"/>
          <w:lang w:eastAsia="es-MX"/>
        </w:rPr>
        <w:t xml:space="preserve"> comentarios</w:t>
      </w:r>
      <w:r w:rsidR="00995141">
        <w:rPr>
          <w:rFonts w:ascii="Arial Narrow" w:eastAsia="Times New Roman" w:hAnsi="Arial Narrow" w:cs="Arial"/>
          <w:color w:val="000000"/>
          <w:lang w:eastAsia="es-MX"/>
        </w:rPr>
        <w:t xml:space="preserve"> al proyecto de revisión, </w:t>
      </w:r>
      <w:r w:rsidR="00995141" w:rsidRPr="00565A86">
        <w:rPr>
          <w:rFonts w:ascii="Arial Narrow" w:eastAsia="Times New Roman" w:hAnsi="Arial Narrow" w:cs="Arial"/>
          <w:color w:val="000000"/>
          <w:lang w:eastAsia="es-MX"/>
        </w:rPr>
        <w:t xml:space="preserve">esperando sean de utilidad para fortalecer la nueva Observación General No. 24, en favor de los derechos de las niñas, niños y adolescentes </w:t>
      </w:r>
      <w:r w:rsidR="00995141" w:rsidRPr="00565A86">
        <w:rPr>
          <w:rFonts w:ascii="Arial Narrow" w:eastAsia="Times New Roman" w:hAnsi="Arial Narrow" w:cs="Arial"/>
          <w:lang w:eastAsia="es-MX"/>
        </w:rPr>
        <w:t>en el sistema de justicia juvenil</w:t>
      </w:r>
      <w:r w:rsidR="00995141" w:rsidRPr="00565A86">
        <w:rPr>
          <w:rFonts w:ascii="Arial Narrow" w:eastAsia="Times New Roman" w:hAnsi="Arial Narrow" w:cs="Arial"/>
          <w:color w:val="000000"/>
          <w:lang w:eastAsia="es-MX"/>
        </w:rPr>
        <w:t xml:space="preserve">, conforme a los más altos </w:t>
      </w:r>
      <w:r w:rsidR="00995141" w:rsidRPr="00995141">
        <w:rPr>
          <w:rFonts w:ascii="Arial Narrow" w:eastAsia="Times New Roman" w:hAnsi="Arial Narrow" w:cs="Arial"/>
          <w:color w:val="000000"/>
          <w:lang w:eastAsia="es-MX"/>
        </w:rPr>
        <w:t xml:space="preserve">estándares </w:t>
      </w:r>
      <w:r w:rsidR="00995141">
        <w:rPr>
          <w:rFonts w:ascii="Arial Narrow" w:eastAsia="Times New Roman" w:hAnsi="Arial Narrow" w:cs="Arial"/>
          <w:color w:val="000000"/>
          <w:lang w:eastAsia="es-MX"/>
        </w:rPr>
        <w:t>internacionales.</w:t>
      </w:r>
    </w:p>
    <w:p w14:paraId="19CCD2B5" w14:textId="77777777" w:rsidR="00EA1125" w:rsidRPr="00565A86" w:rsidRDefault="00EA1125" w:rsidP="00EA1125">
      <w:pPr>
        <w:rPr>
          <w:rFonts w:ascii="Arial Narrow" w:hAnsi="Arial Narrow" w:cs="Arial"/>
          <w:b/>
        </w:rPr>
      </w:pPr>
      <w:r w:rsidRPr="00565A86">
        <w:rPr>
          <w:rFonts w:ascii="Arial Narrow" w:hAnsi="Arial Narrow" w:cs="Arial"/>
          <w:b/>
        </w:rPr>
        <w:t>Título</w:t>
      </w:r>
    </w:p>
    <w:p w14:paraId="61BC2A1E" w14:textId="1BDFEB22" w:rsidR="00EA1125" w:rsidRPr="00565A86" w:rsidRDefault="00EA1125" w:rsidP="00533148">
      <w:pPr>
        <w:jc w:val="both"/>
        <w:rPr>
          <w:rFonts w:ascii="Arial Narrow" w:hAnsi="Arial Narrow" w:cs="Arial"/>
        </w:rPr>
      </w:pPr>
      <w:r w:rsidRPr="00565A86">
        <w:rPr>
          <w:rFonts w:ascii="Arial Narrow" w:hAnsi="Arial Narrow" w:cs="Arial"/>
        </w:rPr>
        <w:t xml:space="preserve">Se propone </w:t>
      </w:r>
      <w:r w:rsidR="00B501B9" w:rsidRPr="00565A86">
        <w:rPr>
          <w:rFonts w:ascii="Arial Narrow" w:hAnsi="Arial Narrow" w:cs="Arial"/>
        </w:rPr>
        <w:t xml:space="preserve">que, en </w:t>
      </w:r>
      <w:r w:rsidR="00DA458F" w:rsidRPr="00565A86">
        <w:rPr>
          <w:rFonts w:ascii="Arial Narrow" w:hAnsi="Arial Narrow" w:cs="Arial"/>
        </w:rPr>
        <w:t xml:space="preserve">la traducción al español </w:t>
      </w:r>
      <w:r w:rsidRPr="00565A86">
        <w:rPr>
          <w:rFonts w:ascii="Arial Narrow" w:hAnsi="Arial Narrow" w:cs="Arial"/>
        </w:rPr>
        <w:t xml:space="preserve">de la </w:t>
      </w:r>
      <w:r w:rsidR="00DA458F" w:rsidRPr="00565A86">
        <w:rPr>
          <w:rFonts w:ascii="Arial Narrow" w:hAnsi="Arial Narrow" w:cs="Arial"/>
        </w:rPr>
        <w:t>O</w:t>
      </w:r>
      <w:r w:rsidRPr="00565A86">
        <w:rPr>
          <w:rFonts w:ascii="Arial Narrow" w:hAnsi="Arial Narrow" w:cs="Arial"/>
        </w:rPr>
        <w:t>bservación</w:t>
      </w:r>
      <w:r w:rsidR="00DA458F" w:rsidRPr="00565A86">
        <w:rPr>
          <w:rFonts w:ascii="Arial Narrow" w:hAnsi="Arial Narrow" w:cs="Arial"/>
        </w:rPr>
        <w:t xml:space="preserve"> General</w:t>
      </w:r>
      <w:r w:rsidRPr="00565A86">
        <w:rPr>
          <w:rFonts w:ascii="Arial Narrow" w:hAnsi="Arial Narrow" w:cs="Arial"/>
        </w:rPr>
        <w:t xml:space="preserve"> 24</w:t>
      </w:r>
      <w:r w:rsidR="00DA458F" w:rsidRPr="00565A86">
        <w:rPr>
          <w:rFonts w:ascii="Arial Narrow" w:hAnsi="Arial Narrow" w:cs="Arial"/>
        </w:rPr>
        <w:t xml:space="preserve"> del Comité,</w:t>
      </w:r>
      <w:r w:rsidRPr="00565A86">
        <w:rPr>
          <w:rFonts w:ascii="Arial Narrow" w:hAnsi="Arial Narrow" w:cs="Arial"/>
        </w:rPr>
        <w:t xml:space="preserve"> </w:t>
      </w:r>
      <w:r w:rsidR="00B501B9" w:rsidRPr="00565A86">
        <w:rPr>
          <w:rFonts w:ascii="Arial Narrow" w:hAnsi="Arial Narrow" w:cs="Arial"/>
        </w:rPr>
        <w:t xml:space="preserve">desde el título se haga referencia a los derechos de niñas, niños y adolescentes, no sólo de los “niños”, </w:t>
      </w:r>
      <w:r w:rsidRPr="00565A86">
        <w:rPr>
          <w:rFonts w:ascii="Arial Narrow" w:hAnsi="Arial Narrow" w:cs="Arial"/>
        </w:rPr>
        <w:t>reconociendo la importancia de incorporar un lenguaje incluyente y con perspectiva de género.</w:t>
      </w:r>
    </w:p>
    <w:p w14:paraId="0AA8B2DE" w14:textId="77777777" w:rsidR="00F25733" w:rsidRPr="00565A86" w:rsidRDefault="00F25733">
      <w:pPr>
        <w:rPr>
          <w:rFonts w:ascii="Arial Narrow" w:hAnsi="Arial Narrow" w:cs="Arial"/>
          <w:b/>
        </w:rPr>
      </w:pPr>
      <w:r w:rsidRPr="00565A86">
        <w:rPr>
          <w:rFonts w:ascii="Arial Narrow" w:hAnsi="Arial Narrow" w:cs="Arial"/>
          <w:b/>
        </w:rPr>
        <w:t>Párrafo 8</w:t>
      </w:r>
    </w:p>
    <w:p w14:paraId="04E2ACB1" w14:textId="77777777" w:rsidR="00936439" w:rsidRPr="00565A86" w:rsidRDefault="00BC00E1" w:rsidP="004A329F">
      <w:pPr>
        <w:jc w:val="both"/>
        <w:rPr>
          <w:rFonts w:ascii="Arial Narrow" w:hAnsi="Arial Narrow" w:cs="Arial"/>
          <w:shd w:val="clear" w:color="auto" w:fill="FFFFFF"/>
        </w:rPr>
      </w:pPr>
      <w:r w:rsidRPr="00565A86">
        <w:rPr>
          <w:rFonts w:ascii="Arial Narrow" w:hAnsi="Arial Narrow" w:cs="Arial"/>
          <w:shd w:val="clear" w:color="auto" w:fill="FFFFFF"/>
        </w:rPr>
        <w:t>Se sugiere ampliar el contenido del principio de</w:t>
      </w:r>
      <w:r w:rsidR="00F25733" w:rsidRPr="00565A86">
        <w:rPr>
          <w:rFonts w:ascii="Arial Narrow" w:hAnsi="Arial Narrow" w:cs="Arial"/>
          <w:shd w:val="clear" w:color="auto" w:fill="FFFFFF"/>
        </w:rPr>
        <w:t xml:space="preserve"> igualdad y no discriminación,</w:t>
      </w:r>
      <w:r w:rsidRPr="00565A86">
        <w:rPr>
          <w:rFonts w:ascii="Arial Narrow" w:hAnsi="Arial Narrow" w:cs="Arial"/>
          <w:shd w:val="clear" w:color="auto" w:fill="FFFFFF"/>
        </w:rPr>
        <w:t xml:space="preserve"> </w:t>
      </w:r>
      <w:r w:rsidR="00D30BA7" w:rsidRPr="00565A86">
        <w:rPr>
          <w:rFonts w:ascii="Arial Narrow" w:hAnsi="Arial Narrow" w:cs="Arial"/>
          <w:shd w:val="clear" w:color="auto" w:fill="FFFFFF"/>
        </w:rPr>
        <w:t>y especificar</w:t>
      </w:r>
      <w:r w:rsidR="004A329F" w:rsidRPr="00565A86">
        <w:rPr>
          <w:rFonts w:ascii="Arial Narrow" w:hAnsi="Arial Narrow" w:cs="Arial"/>
          <w:shd w:val="clear" w:color="auto" w:fill="FFFFFF"/>
        </w:rPr>
        <w:t xml:space="preserve"> de forma expresa</w:t>
      </w:r>
      <w:r w:rsidRPr="00565A86">
        <w:rPr>
          <w:rFonts w:ascii="Arial Narrow" w:hAnsi="Arial Narrow" w:cs="Arial"/>
          <w:shd w:val="clear" w:color="auto" w:fill="FFFFFF"/>
        </w:rPr>
        <w:t xml:space="preserve"> que</w:t>
      </w:r>
      <w:r w:rsidR="004A329F" w:rsidRPr="00565A86">
        <w:rPr>
          <w:rFonts w:ascii="Arial Narrow" w:hAnsi="Arial Narrow" w:cs="Arial"/>
          <w:shd w:val="clear" w:color="auto" w:fill="FFFFFF"/>
        </w:rPr>
        <w:t>,</w:t>
      </w:r>
      <w:r w:rsidRPr="00565A86">
        <w:rPr>
          <w:rFonts w:ascii="Arial Narrow" w:hAnsi="Arial Narrow" w:cs="Arial"/>
          <w:shd w:val="clear" w:color="auto" w:fill="FFFFFF"/>
        </w:rPr>
        <w:t xml:space="preserve"> además de la prohibición de la diferencia de trato arbitrario</w:t>
      </w:r>
      <w:r w:rsidR="004A329F" w:rsidRPr="00565A86">
        <w:rPr>
          <w:rFonts w:ascii="Arial Narrow" w:hAnsi="Arial Narrow" w:cs="Arial"/>
          <w:shd w:val="clear" w:color="auto" w:fill="FFFFFF"/>
        </w:rPr>
        <w:t xml:space="preserve"> que requiere un escrutinio más estricto </w:t>
      </w:r>
      <w:r w:rsidR="004A329F" w:rsidRPr="00565A86">
        <w:rPr>
          <w:rFonts w:ascii="Arial Narrow" w:hAnsi="Arial Narrow" w:cs="Arial"/>
        </w:rPr>
        <w:t>cuando es</w:t>
      </w:r>
      <w:r w:rsidR="00D30BA7" w:rsidRPr="00565A86">
        <w:rPr>
          <w:rFonts w:ascii="Arial Narrow" w:hAnsi="Arial Narrow" w:cs="Arial"/>
        </w:rPr>
        <w:t xml:space="preserve">tá basada en </w:t>
      </w:r>
      <w:r w:rsidR="004A329F" w:rsidRPr="00565A86">
        <w:rPr>
          <w:rFonts w:ascii="Arial Narrow" w:hAnsi="Arial Narrow" w:cs="Arial"/>
        </w:rPr>
        <w:t>“categorías sospechosas”</w:t>
      </w:r>
      <w:r w:rsidRPr="00565A86">
        <w:rPr>
          <w:rFonts w:ascii="Arial Narrow" w:hAnsi="Arial Narrow" w:cs="Arial"/>
          <w:shd w:val="clear" w:color="auto" w:fill="FFFFFF"/>
        </w:rPr>
        <w:t xml:space="preserve">, </w:t>
      </w:r>
      <w:r w:rsidR="00533B24" w:rsidRPr="00565A86">
        <w:rPr>
          <w:rFonts w:ascii="Arial Narrow" w:hAnsi="Arial Narrow" w:cs="Arial"/>
          <w:shd w:val="clear" w:color="auto" w:fill="FFFFFF"/>
        </w:rPr>
        <w:t xml:space="preserve">también </w:t>
      </w:r>
      <w:r w:rsidRPr="00565A86">
        <w:rPr>
          <w:rFonts w:ascii="Arial Narrow" w:hAnsi="Arial Narrow" w:cs="Arial"/>
          <w:shd w:val="clear" w:color="auto" w:fill="FFFFFF"/>
        </w:rPr>
        <w:t>implica l</w:t>
      </w:r>
      <w:r w:rsidRPr="00565A86">
        <w:rPr>
          <w:rFonts w:ascii="Arial Narrow" w:hAnsi="Arial Narrow" w:cs="Arial"/>
        </w:rPr>
        <w:t>a obligación</w:t>
      </w:r>
      <w:r w:rsidR="00533B24" w:rsidRPr="00565A86">
        <w:rPr>
          <w:rFonts w:ascii="Arial Narrow" w:hAnsi="Arial Narrow" w:cs="Arial"/>
        </w:rPr>
        <w:t xml:space="preserve"> de los</w:t>
      </w:r>
      <w:r w:rsidRPr="00565A86">
        <w:rPr>
          <w:rFonts w:ascii="Arial Narrow" w:hAnsi="Arial Narrow" w:cs="Arial"/>
        </w:rPr>
        <w:t xml:space="preserve"> Estado</w:t>
      </w:r>
      <w:r w:rsidR="00533B24" w:rsidRPr="00565A86">
        <w:rPr>
          <w:rFonts w:ascii="Arial Narrow" w:hAnsi="Arial Narrow" w:cs="Arial"/>
        </w:rPr>
        <w:t>s</w:t>
      </w:r>
      <w:r w:rsidRPr="00565A86">
        <w:rPr>
          <w:rFonts w:ascii="Arial Narrow" w:hAnsi="Arial Narrow" w:cs="Arial"/>
        </w:rPr>
        <w:t xml:space="preserve"> “de crear condiciones de igualdad real frente a grupos que han sido históricamente excluidos y se encuentran en mayor riesgo de ser discriminados”</w:t>
      </w:r>
      <w:r w:rsidRPr="00565A86">
        <w:rPr>
          <w:rStyle w:val="FootnoteReference"/>
          <w:rFonts w:ascii="Arial Narrow" w:hAnsi="Arial Narrow" w:cs="Arial"/>
        </w:rPr>
        <w:footnoteReference w:id="1"/>
      </w:r>
      <w:r w:rsidR="001A380E" w:rsidRPr="00565A86">
        <w:rPr>
          <w:rFonts w:ascii="Arial Narrow" w:hAnsi="Arial Narrow" w:cs="Arial"/>
        </w:rPr>
        <w:t>. C</w:t>
      </w:r>
      <w:r w:rsidR="00D30BA7" w:rsidRPr="00565A86">
        <w:rPr>
          <w:rFonts w:ascii="Arial Narrow" w:hAnsi="Arial Narrow" w:cs="Arial"/>
        </w:rPr>
        <w:t>omo ha señalado la Corte IDH, “e</w:t>
      </w:r>
      <w:r w:rsidR="001A380E" w:rsidRPr="00565A86">
        <w:rPr>
          <w:rFonts w:ascii="Arial Narrow" w:hAnsi="Arial Narrow" w:cs="Arial"/>
        </w:rPr>
        <w:t>xisten ciertas desigualdades de hecho que pueden traducirse, legítimamente, en desigualdades de tratamiento jurídico, sin qu</w:t>
      </w:r>
      <w:r w:rsidR="00936439" w:rsidRPr="00565A86">
        <w:rPr>
          <w:rFonts w:ascii="Arial Narrow" w:hAnsi="Arial Narrow" w:cs="Arial"/>
        </w:rPr>
        <w:t>e esto contraríe la justicia. </w:t>
      </w:r>
      <w:r w:rsidR="001A380E" w:rsidRPr="00565A86">
        <w:rPr>
          <w:rFonts w:ascii="Arial Narrow" w:hAnsi="Arial Narrow" w:cs="Arial"/>
        </w:rPr>
        <w:t>Más aún, tales distinciones pueden ser un instrumento para la protección de quienes deban ser protegidos, considerando la situación de mayor o menor debilidad o desvalimiento en que se encuentran”</w:t>
      </w:r>
      <w:r w:rsidR="001A380E" w:rsidRPr="00565A86">
        <w:rPr>
          <w:rStyle w:val="FootnoteReference"/>
          <w:rFonts w:ascii="Arial Narrow" w:hAnsi="Arial Narrow" w:cs="Arial"/>
        </w:rPr>
        <w:footnoteReference w:id="2"/>
      </w:r>
      <w:r w:rsidR="00533B24" w:rsidRPr="00565A86">
        <w:rPr>
          <w:rFonts w:ascii="Arial Narrow" w:hAnsi="Arial Narrow" w:cs="Arial"/>
        </w:rPr>
        <w:t>.</w:t>
      </w:r>
    </w:p>
    <w:p w14:paraId="0707C511" w14:textId="4BEB707D" w:rsidR="00F25733" w:rsidRPr="00565A86" w:rsidRDefault="00533B24" w:rsidP="00936439">
      <w:pPr>
        <w:jc w:val="both"/>
        <w:rPr>
          <w:rFonts w:ascii="Arial Narrow" w:hAnsi="Arial Narrow" w:cs="Arial"/>
        </w:rPr>
      </w:pPr>
      <w:r w:rsidRPr="00565A86">
        <w:rPr>
          <w:rFonts w:ascii="Arial Narrow" w:hAnsi="Arial Narrow" w:cs="Arial"/>
          <w:shd w:val="clear" w:color="auto" w:fill="FFFFFF"/>
        </w:rPr>
        <w:t>En ese sentido, s</w:t>
      </w:r>
      <w:r w:rsidR="007B5663" w:rsidRPr="00565A86">
        <w:rPr>
          <w:rFonts w:ascii="Arial Narrow" w:hAnsi="Arial Narrow" w:cs="Arial"/>
          <w:shd w:val="clear" w:color="auto" w:fill="FFFFFF"/>
        </w:rPr>
        <w:t>e recomienda señalar la obligación de los</w:t>
      </w:r>
      <w:r w:rsidR="00F25733" w:rsidRPr="00565A86">
        <w:rPr>
          <w:rFonts w:ascii="Arial Narrow" w:hAnsi="Arial Narrow" w:cs="Arial"/>
          <w:shd w:val="clear" w:color="auto" w:fill="FFFFFF"/>
        </w:rPr>
        <w:t xml:space="preserve"> Estado</w:t>
      </w:r>
      <w:r w:rsidR="007B5663" w:rsidRPr="00565A86">
        <w:rPr>
          <w:rFonts w:ascii="Arial Narrow" w:hAnsi="Arial Narrow" w:cs="Arial"/>
          <w:shd w:val="clear" w:color="auto" w:fill="FFFFFF"/>
        </w:rPr>
        <w:t>s</w:t>
      </w:r>
      <w:r w:rsidR="00F25733" w:rsidRPr="00565A86">
        <w:rPr>
          <w:rFonts w:ascii="Arial Narrow" w:hAnsi="Arial Narrow" w:cs="Arial"/>
          <w:shd w:val="clear" w:color="auto" w:fill="FFFFFF"/>
        </w:rPr>
        <w:t xml:space="preserve"> de responder a las necesidades especiales de niñas, niños y adolescentes en mayor situación de </w:t>
      </w:r>
      <w:r w:rsidR="00697D22" w:rsidRPr="00565A86">
        <w:rPr>
          <w:rFonts w:ascii="Arial Narrow" w:hAnsi="Arial Narrow" w:cs="Arial"/>
          <w:shd w:val="clear" w:color="auto" w:fill="FFFFFF"/>
        </w:rPr>
        <w:t xml:space="preserve">vulnerabilidad por </w:t>
      </w:r>
      <w:r w:rsidR="009315F7" w:rsidRPr="00565A86">
        <w:rPr>
          <w:rFonts w:ascii="Arial Narrow" w:hAnsi="Arial Narrow" w:cs="Arial"/>
          <w:shd w:val="clear" w:color="auto" w:fill="FFFFFF"/>
        </w:rPr>
        <w:t>discriminación</w:t>
      </w:r>
      <w:r w:rsidR="00F25733" w:rsidRPr="00565A86">
        <w:rPr>
          <w:rFonts w:ascii="Arial Narrow" w:hAnsi="Arial Narrow" w:cs="Arial"/>
          <w:shd w:val="clear" w:color="auto" w:fill="FFFFFF"/>
        </w:rPr>
        <w:t xml:space="preserve">, </w:t>
      </w:r>
      <w:r w:rsidRPr="00565A86">
        <w:rPr>
          <w:rFonts w:ascii="Arial Narrow" w:hAnsi="Arial Narrow" w:cs="Arial"/>
        </w:rPr>
        <w:t xml:space="preserve">por condiciones </w:t>
      </w:r>
      <w:r w:rsidRPr="00565A86">
        <w:rPr>
          <w:rFonts w:ascii="Arial Narrow" w:hAnsi="Arial Narrow" w:cs="Arial"/>
          <w:shd w:val="clear" w:color="auto" w:fill="FFFFFF"/>
        </w:rPr>
        <w:t>raciales, étnicas, estatus migratorio y pertenencia a la comunidad LGBTTTI,</w:t>
      </w:r>
      <w:r w:rsidR="00697D22" w:rsidRPr="00565A86">
        <w:rPr>
          <w:rFonts w:ascii="Arial Narrow" w:hAnsi="Arial Narrow" w:cs="Arial"/>
          <w:shd w:val="clear" w:color="auto" w:fill="FFFFFF"/>
        </w:rPr>
        <w:t xml:space="preserve"> </w:t>
      </w:r>
      <w:r w:rsidR="00F25733" w:rsidRPr="00565A86">
        <w:rPr>
          <w:rFonts w:ascii="Arial Narrow" w:hAnsi="Arial Narrow" w:cs="Arial"/>
          <w:shd w:val="clear" w:color="auto" w:fill="FFFFFF"/>
        </w:rPr>
        <w:t>a fin de prevenir la tortura y los malos tratos</w:t>
      </w:r>
      <w:r w:rsidR="00F25733" w:rsidRPr="00565A86">
        <w:rPr>
          <w:rStyle w:val="FootnoteReference"/>
          <w:rFonts w:ascii="Arial Narrow" w:hAnsi="Arial Narrow" w:cs="Arial"/>
          <w:shd w:val="clear" w:color="auto" w:fill="FFFFFF"/>
        </w:rPr>
        <w:footnoteReference w:id="3"/>
      </w:r>
      <w:r w:rsidR="007B5663" w:rsidRPr="00565A86">
        <w:rPr>
          <w:rFonts w:ascii="Arial Narrow" w:hAnsi="Arial Narrow" w:cs="Arial"/>
          <w:shd w:val="clear" w:color="auto" w:fill="FFFFFF"/>
        </w:rPr>
        <w:t>, las privaciones de la libertad ilegales o arbitrarias, y otras violaciones a sus derechos humanos. Sería preciso resaltar que los Estados están</w:t>
      </w:r>
      <w:r w:rsidR="00F25733" w:rsidRPr="00565A86">
        <w:rPr>
          <w:rFonts w:ascii="Arial Narrow" w:hAnsi="Arial Narrow" w:cs="Arial"/>
          <w:shd w:val="clear" w:color="auto" w:fill="FFFFFF"/>
        </w:rPr>
        <w:t xml:space="preserve"> “</w:t>
      </w:r>
      <w:r w:rsidR="00F25733" w:rsidRPr="00565A86">
        <w:rPr>
          <w:rFonts w:ascii="Arial Narrow" w:hAnsi="Arial Narrow" w:cs="Arial"/>
        </w:rPr>
        <w:t>obligado</w:t>
      </w:r>
      <w:r w:rsidR="007B5663" w:rsidRPr="00565A86">
        <w:rPr>
          <w:rFonts w:ascii="Arial Narrow" w:hAnsi="Arial Narrow" w:cs="Arial"/>
        </w:rPr>
        <w:t>[s]</w:t>
      </w:r>
      <w:r w:rsidR="00F25733" w:rsidRPr="00565A86">
        <w:rPr>
          <w:rFonts w:ascii="Arial Narrow" w:hAnsi="Arial Narrow" w:cs="Arial"/>
        </w:rPr>
        <w:t xml:space="preserve"> a eliminar todas las leyes, políticas y prácticas que generen diferencias arbitrarias en el tratamiento o que discriminen a los niños de ciertas razas y etnias. Además, el Estado debe implementar medidas especiales dirigidas a cualquier grupo desproporcionadamente representado de niños en conflicto con la ley, cuando son víctimas de discriminación”</w:t>
      </w:r>
      <w:r w:rsidR="00F25733" w:rsidRPr="00565A86">
        <w:rPr>
          <w:rStyle w:val="FootnoteReference"/>
          <w:rFonts w:ascii="Arial Narrow" w:hAnsi="Arial Narrow" w:cs="Arial"/>
        </w:rPr>
        <w:footnoteReference w:id="4"/>
      </w:r>
      <w:r w:rsidR="007B5663" w:rsidRPr="00565A86">
        <w:rPr>
          <w:rFonts w:ascii="Arial Narrow" w:hAnsi="Arial Narrow" w:cs="Arial"/>
        </w:rPr>
        <w:t>, como lo ha señalado la Comisión Interamericana de Derechos Humanos (CIDH).</w:t>
      </w:r>
    </w:p>
    <w:p w14:paraId="0D57275C" w14:textId="77777777" w:rsidR="00565A86" w:rsidRPr="00565A86" w:rsidRDefault="00884ECE" w:rsidP="00565A86">
      <w:pPr>
        <w:rPr>
          <w:rFonts w:ascii="Arial Narrow" w:hAnsi="Arial Narrow" w:cs="Arial"/>
          <w:b/>
        </w:rPr>
      </w:pPr>
      <w:r w:rsidRPr="00565A86">
        <w:rPr>
          <w:rFonts w:ascii="Arial Narrow" w:hAnsi="Arial Narrow" w:cs="Arial"/>
          <w:b/>
        </w:rPr>
        <w:t>Párrafo 7</w:t>
      </w:r>
    </w:p>
    <w:p w14:paraId="4EBCB326" w14:textId="098D5088" w:rsidR="00682A9C" w:rsidRPr="00565A86" w:rsidRDefault="00F0596B" w:rsidP="000D441F">
      <w:pPr>
        <w:jc w:val="both"/>
        <w:rPr>
          <w:rFonts w:ascii="Arial Narrow" w:hAnsi="Arial Narrow" w:cs="Arial"/>
          <w:b/>
        </w:rPr>
      </w:pPr>
      <w:r w:rsidRPr="00565A86">
        <w:rPr>
          <w:rFonts w:ascii="Arial Narrow" w:hAnsi="Arial Narrow" w:cs="Arial"/>
        </w:rPr>
        <w:lastRenderedPageBreak/>
        <w:t>Al abordar los</w:t>
      </w:r>
      <w:r w:rsidR="00682A9C" w:rsidRPr="00565A86">
        <w:rPr>
          <w:rFonts w:ascii="Arial Narrow" w:hAnsi="Arial Narrow" w:cs="Arial"/>
        </w:rPr>
        <w:t xml:space="preserve"> principios fundamentales para el trato de las niñas, niños y adolescentes en conflicto con la ley</w:t>
      </w:r>
      <w:r w:rsidR="00E12229" w:rsidRPr="00565A86">
        <w:rPr>
          <w:rFonts w:ascii="Arial Narrow" w:hAnsi="Arial Narrow" w:cs="Arial"/>
        </w:rPr>
        <w:t>, se sugiere agregar los</w:t>
      </w:r>
      <w:r w:rsidR="00E12229" w:rsidRPr="00565A86">
        <w:rPr>
          <w:rFonts w:ascii="Arial Narrow" w:hAnsi="Arial Narrow" w:cs="Arial"/>
          <w:shd w:val="clear" w:color="auto" w:fill="FFFFFF"/>
        </w:rPr>
        <w:t xml:space="preserve"> principios de</w:t>
      </w:r>
      <w:r w:rsidRPr="00565A86">
        <w:rPr>
          <w:rFonts w:ascii="Arial Narrow" w:hAnsi="Arial Narrow" w:cs="Arial"/>
          <w:shd w:val="clear" w:color="auto" w:fill="FFFFFF"/>
        </w:rPr>
        <w:t>:</w:t>
      </w:r>
      <w:r w:rsidR="00E12229" w:rsidRPr="00565A86">
        <w:rPr>
          <w:rFonts w:ascii="Arial Narrow" w:hAnsi="Arial Narrow" w:cs="Arial"/>
          <w:shd w:val="clear" w:color="auto" w:fill="FFFFFF"/>
        </w:rPr>
        <w:t xml:space="preserve"> especialización</w:t>
      </w:r>
      <w:r w:rsidR="00E12229" w:rsidRPr="00565A86">
        <w:rPr>
          <w:rStyle w:val="FootnoteReference"/>
          <w:rFonts w:ascii="Arial Narrow" w:hAnsi="Arial Narrow" w:cs="Arial"/>
          <w:shd w:val="clear" w:color="auto" w:fill="FFFFFF"/>
        </w:rPr>
        <w:footnoteReference w:id="5"/>
      </w:r>
      <w:r w:rsidR="00E12229" w:rsidRPr="00565A86">
        <w:rPr>
          <w:rFonts w:ascii="Arial Narrow" w:hAnsi="Arial Narrow" w:cs="Arial"/>
          <w:shd w:val="clear" w:color="auto" w:fill="FFFFFF"/>
        </w:rPr>
        <w:t xml:space="preserve">, </w:t>
      </w:r>
      <w:r w:rsidR="00967A83" w:rsidRPr="00565A86">
        <w:rPr>
          <w:rFonts w:ascii="Arial Narrow" w:hAnsi="Arial Narrow" w:cs="Arial"/>
          <w:shd w:val="clear" w:color="auto" w:fill="FFFFFF"/>
        </w:rPr>
        <w:t>legalidad</w:t>
      </w:r>
      <w:r w:rsidR="00387CB9" w:rsidRPr="00565A86">
        <w:rPr>
          <w:rStyle w:val="FootnoteReference"/>
          <w:rFonts w:ascii="Arial Narrow" w:hAnsi="Arial Narrow" w:cs="Arial"/>
          <w:shd w:val="clear" w:color="auto" w:fill="FFFFFF"/>
        </w:rPr>
        <w:footnoteReference w:id="6"/>
      </w:r>
      <w:r w:rsidR="00967A83" w:rsidRPr="00565A86">
        <w:rPr>
          <w:rFonts w:ascii="Arial Narrow" w:hAnsi="Arial Narrow" w:cs="Arial"/>
          <w:shd w:val="clear" w:color="auto" w:fill="FFFFFF"/>
        </w:rPr>
        <w:t>, no regresividad</w:t>
      </w:r>
      <w:r w:rsidR="004D4CDE" w:rsidRPr="00565A86">
        <w:rPr>
          <w:rStyle w:val="FootnoteReference"/>
          <w:rFonts w:ascii="Arial Narrow" w:hAnsi="Arial Narrow" w:cs="Arial"/>
          <w:shd w:val="clear" w:color="auto" w:fill="FFFFFF"/>
        </w:rPr>
        <w:footnoteReference w:id="7"/>
      </w:r>
      <w:r w:rsidR="00322F40" w:rsidRPr="00565A86">
        <w:rPr>
          <w:rFonts w:ascii="Arial Narrow" w:hAnsi="Arial Narrow" w:cs="Arial"/>
          <w:shd w:val="clear" w:color="auto" w:fill="FFFFFF"/>
        </w:rPr>
        <w:t xml:space="preserve">, </w:t>
      </w:r>
      <w:r w:rsidR="00967A83" w:rsidRPr="00565A86">
        <w:rPr>
          <w:rFonts w:ascii="Arial Narrow" w:hAnsi="Arial Narrow" w:cs="Arial"/>
          <w:shd w:val="clear" w:color="auto" w:fill="FFFFFF"/>
        </w:rPr>
        <w:t>excepcionalidad</w:t>
      </w:r>
      <w:r w:rsidR="00CE67B9" w:rsidRPr="00565A86">
        <w:rPr>
          <w:rStyle w:val="FootnoteReference"/>
          <w:rFonts w:ascii="Arial Narrow" w:hAnsi="Arial Narrow" w:cs="Arial"/>
          <w:shd w:val="clear" w:color="auto" w:fill="FFFFFF"/>
        </w:rPr>
        <w:footnoteReference w:id="8"/>
      </w:r>
      <w:r w:rsidR="00322F40" w:rsidRPr="00565A86">
        <w:rPr>
          <w:rFonts w:ascii="Arial Narrow" w:hAnsi="Arial Narrow" w:cs="Arial"/>
          <w:shd w:val="clear" w:color="auto" w:fill="FFFFFF"/>
        </w:rPr>
        <w:t xml:space="preserve"> y celeridad</w:t>
      </w:r>
      <w:r w:rsidR="00322F40" w:rsidRPr="00565A86">
        <w:rPr>
          <w:rStyle w:val="FootnoteReference"/>
          <w:rFonts w:ascii="Arial Narrow" w:hAnsi="Arial Narrow" w:cs="Arial"/>
          <w:shd w:val="clear" w:color="auto" w:fill="FFFFFF"/>
        </w:rPr>
        <w:footnoteReference w:id="9"/>
      </w:r>
      <w:r w:rsidR="00322F40" w:rsidRPr="00565A86">
        <w:rPr>
          <w:rFonts w:ascii="Arial Narrow" w:hAnsi="Arial Narrow" w:cs="Arial"/>
          <w:shd w:val="clear" w:color="auto" w:fill="FFFFFF"/>
        </w:rPr>
        <w:t>,</w:t>
      </w:r>
      <w:r w:rsidR="00967A83" w:rsidRPr="00565A86">
        <w:rPr>
          <w:rFonts w:ascii="Arial Narrow" w:hAnsi="Arial Narrow" w:cs="Arial"/>
          <w:shd w:val="clear" w:color="auto" w:fill="FFFFFF"/>
        </w:rPr>
        <w:t xml:space="preserve"> mismos que no son mencionados expresamente en este apartado, a pesar de que son abordados en otros párrafos a lo largo de la Observación y que forman parte del </w:t>
      </w:r>
      <w:r w:rsidR="00967A83" w:rsidRPr="00565A86">
        <w:rPr>
          <w:rFonts w:ascii="Arial Narrow" w:hAnsi="Arial Narrow" w:cs="Arial"/>
          <w:i/>
          <w:shd w:val="clear" w:color="auto" w:fill="FFFFFF"/>
        </w:rPr>
        <w:t xml:space="preserve">corpus juris </w:t>
      </w:r>
      <w:r w:rsidR="00967A83" w:rsidRPr="00565A86">
        <w:rPr>
          <w:rFonts w:ascii="Arial Narrow" w:hAnsi="Arial Narrow" w:cs="Arial"/>
          <w:shd w:val="clear" w:color="auto" w:fill="FFFFFF"/>
        </w:rPr>
        <w:t>de los derechos humanos de las niñas, niños y adolescentes.</w:t>
      </w:r>
    </w:p>
    <w:p w14:paraId="38319830" w14:textId="77777777" w:rsidR="00E03937" w:rsidRPr="00565A86" w:rsidRDefault="003339C1" w:rsidP="00E03937">
      <w:pPr>
        <w:jc w:val="both"/>
        <w:rPr>
          <w:rFonts w:ascii="Arial Narrow" w:hAnsi="Arial Narrow" w:cs="Arial"/>
          <w:shd w:val="clear" w:color="auto" w:fill="FFFFFF"/>
        </w:rPr>
      </w:pPr>
      <w:r w:rsidRPr="00565A86">
        <w:rPr>
          <w:rFonts w:ascii="Arial Narrow" w:hAnsi="Arial Narrow" w:cs="Arial"/>
          <w:shd w:val="clear" w:color="auto" w:fill="FFFFFF"/>
        </w:rPr>
        <w:t>A su vez</w:t>
      </w:r>
      <w:r w:rsidR="00FD34BA" w:rsidRPr="00565A86">
        <w:rPr>
          <w:rFonts w:ascii="Arial Narrow" w:hAnsi="Arial Narrow" w:cs="Arial"/>
          <w:shd w:val="clear" w:color="auto" w:fill="FFFFFF"/>
        </w:rPr>
        <w:t xml:space="preserve">, se sugiere </w:t>
      </w:r>
      <w:r w:rsidRPr="00565A86">
        <w:rPr>
          <w:rFonts w:ascii="Arial Narrow" w:hAnsi="Arial Narrow" w:cs="Arial"/>
          <w:shd w:val="clear" w:color="auto" w:fill="FFFFFF"/>
        </w:rPr>
        <w:t>agregar</w:t>
      </w:r>
      <w:r w:rsidR="00FD34BA" w:rsidRPr="00565A86">
        <w:rPr>
          <w:rFonts w:ascii="Arial Narrow" w:hAnsi="Arial Narrow" w:cs="Arial"/>
          <w:shd w:val="clear" w:color="auto" w:fill="FFFFFF"/>
        </w:rPr>
        <w:t xml:space="preserve"> que los Estados debe garantizar los derechos de las niñas, niños y adolescentes a un</w:t>
      </w:r>
      <w:r w:rsidR="00682A9C" w:rsidRPr="00565A86">
        <w:rPr>
          <w:rFonts w:ascii="Arial Narrow" w:hAnsi="Arial Narrow" w:cs="Arial"/>
          <w:shd w:val="clear" w:color="auto" w:fill="FFFFFF"/>
        </w:rPr>
        <w:t xml:space="preserve"> nivel de vida adecuado, a </w:t>
      </w:r>
      <w:r w:rsidR="00FD34BA" w:rsidRPr="00565A86">
        <w:rPr>
          <w:rFonts w:ascii="Arial Narrow" w:hAnsi="Arial Narrow" w:cs="Arial"/>
          <w:shd w:val="clear" w:color="auto" w:fill="FFFFFF"/>
        </w:rPr>
        <w:t>una vida libre de violencia,</w:t>
      </w:r>
      <w:r w:rsidR="00682A9C" w:rsidRPr="00565A86">
        <w:rPr>
          <w:rFonts w:ascii="Arial Narrow" w:hAnsi="Arial Narrow" w:cs="Arial"/>
          <w:shd w:val="clear" w:color="auto" w:fill="FFFFFF"/>
        </w:rPr>
        <w:t xml:space="preserve"> a la integridad personal</w:t>
      </w:r>
      <w:r w:rsidR="00FD34BA" w:rsidRPr="00565A86">
        <w:rPr>
          <w:rFonts w:ascii="Arial Narrow" w:hAnsi="Arial Narrow" w:cs="Arial"/>
          <w:shd w:val="clear" w:color="auto" w:fill="FFFFFF"/>
        </w:rPr>
        <w:t xml:space="preserve"> y </w:t>
      </w:r>
      <w:r w:rsidR="00682A9C" w:rsidRPr="00565A86">
        <w:rPr>
          <w:rFonts w:ascii="Arial Narrow" w:hAnsi="Arial Narrow" w:cs="Arial"/>
          <w:shd w:val="clear" w:color="auto" w:fill="FFFFFF"/>
        </w:rPr>
        <w:t>a la seguridad jurídica</w:t>
      </w:r>
      <w:r w:rsidR="00E03937" w:rsidRPr="00565A86">
        <w:rPr>
          <w:rFonts w:ascii="Arial Narrow" w:hAnsi="Arial Narrow" w:cs="Arial"/>
          <w:shd w:val="clear" w:color="auto" w:fill="FFFFFF"/>
        </w:rPr>
        <w:t xml:space="preserve">, ya que tales derechos dotan de contenido obligacional al trato que deben brindar las autoridades en contacto con las niñas, niños y adolescentes, </w:t>
      </w:r>
      <w:r w:rsidR="00A84584" w:rsidRPr="00565A86">
        <w:rPr>
          <w:rFonts w:ascii="Arial Narrow" w:hAnsi="Arial Narrow" w:cs="Arial"/>
          <w:color w:val="000000"/>
          <w:shd w:val="clear" w:color="auto" w:fill="FFFFFF"/>
        </w:rPr>
        <w:t>e incluyen condiciones mínimas de internamiento o privación de la libertad, como alimentación nutritiva, acceso a agua para consumo y saneamiento, programas de educación y capacitación profesional</w:t>
      </w:r>
      <w:r w:rsidRPr="00565A86">
        <w:rPr>
          <w:rFonts w:ascii="Arial Narrow" w:hAnsi="Arial Narrow" w:cs="Arial"/>
          <w:color w:val="000000"/>
          <w:shd w:val="clear" w:color="auto" w:fill="FFFFFF"/>
        </w:rPr>
        <w:t>, c</w:t>
      </w:r>
      <w:r w:rsidR="00E03937" w:rsidRPr="00565A86">
        <w:rPr>
          <w:rFonts w:ascii="Arial Narrow" w:hAnsi="Arial Narrow" w:cs="Arial"/>
          <w:shd w:val="clear" w:color="auto" w:fill="FFFFFF"/>
        </w:rPr>
        <w:t xml:space="preserve">on el objetivo de la reinserción social y </w:t>
      </w:r>
      <w:r w:rsidRPr="00565A86">
        <w:rPr>
          <w:rFonts w:ascii="Arial Narrow" w:hAnsi="Arial Narrow" w:cs="Arial"/>
          <w:shd w:val="clear" w:color="auto" w:fill="FFFFFF"/>
        </w:rPr>
        <w:t>el respeto a la dignidad humana</w:t>
      </w:r>
      <w:r w:rsidR="00E03937" w:rsidRPr="00565A86">
        <w:rPr>
          <w:rFonts w:ascii="Arial Narrow" w:hAnsi="Arial Narrow" w:cs="Arial"/>
          <w:shd w:val="clear" w:color="auto" w:fill="FFFFFF"/>
        </w:rPr>
        <w:t>.</w:t>
      </w:r>
      <w:r w:rsidR="00E67948" w:rsidRPr="00565A86">
        <w:rPr>
          <w:rFonts w:ascii="Arial Narrow" w:hAnsi="Arial Narrow" w:cs="Arial"/>
          <w:shd w:val="clear" w:color="auto" w:fill="FFFFFF"/>
        </w:rPr>
        <w:t xml:space="preserve"> </w:t>
      </w:r>
    </w:p>
    <w:p w14:paraId="2F88F5CA" w14:textId="77777777" w:rsidR="00D57E68" w:rsidRPr="00565A86" w:rsidRDefault="00D57E68" w:rsidP="00E03937">
      <w:pPr>
        <w:jc w:val="both"/>
        <w:rPr>
          <w:rFonts w:ascii="Arial Narrow" w:hAnsi="Arial Narrow" w:cs="Arial"/>
          <w:b/>
        </w:rPr>
      </w:pPr>
      <w:r w:rsidRPr="00565A86">
        <w:rPr>
          <w:rFonts w:ascii="Arial Narrow" w:hAnsi="Arial Narrow" w:cs="Arial"/>
          <w:b/>
        </w:rPr>
        <w:t>Párrafo 19</w:t>
      </w:r>
    </w:p>
    <w:p w14:paraId="344A1C40" w14:textId="77777777" w:rsidR="00D57E68" w:rsidRPr="00565A86" w:rsidRDefault="00D57E68" w:rsidP="00E03937">
      <w:pPr>
        <w:jc w:val="both"/>
        <w:rPr>
          <w:rFonts w:ascii="Arial Narrow" w:hAnsi="Arial Narrow" w:cs="Arial"/>
        </w:rPr>
      </w:pPr>
      <w:r w:rsidRPr="00565A86">
        <w:rPr>
          <w:rFonts w:ascii="Arial Narrow" w:hAnsi="Arial Narrow" w:cs="Arial"/>
        </w:rPr>
        <w:t xml:space="preserve">En las medidas de prevención, se sugiere incluir </w:t>
      </w:r>
      <w:r w:rsidR="00CE156B" w:rsidRPr="00565A86">
        <w:rPr>
          <w:rFonts w:ascii="Arial Narrow" w:hAnsi="Arial Narrow" w:cs="Arial"/>
        </w:rPr>
        <w:t xml:space="preserve">la </w:t>
      </w:r>
      <w:r w:rsidR="00CE156B" w:rsidRPr="00565A86">
        <w:rPr>
          <w:rFonts w:ascii="Arial Narrow" w:hAnsi="Arial Narrow" w:cs="Arial"/>
          <w:shd w:val="clear" w:color="auto" w:fill="FFFFFF"/>
        </w:rPr>
        <w:t>cultura</w:t>
      </w:r>
      <w:r w:rsidR="0094272A" w:rsidRPr="00565A86">
        <w:rPr>
          <w:rStyle w:val="FootnoteReference"/>
          <w:rFonts w:ascii="Arial Narrow" w:hAnsi="Arial Narrow" w:cs="Arial"/>
          <w:shd w:val="clear" w:color="auto" w:fill="FFFFFF"/>
        </w:rPr>
        <w:footnoteReference w:id="10"/>
      </w:r>
      <w:r w:rsidR="00CE156B" w:rsidRPr="00565A86">
        <w:rPr>
          <w:rFonts w:ascii="Arial Narrow" w:hAnsi="Arial Narrow" w:cs="Arial"/>
          <w:shd w:val="clear" w:color="auto" w:fill="FFFFFF"/>
        </w:rPr>
        <w:t xml:space="preserve"> y la erradicación de la violencia.</w:t>
      </w:r>
      <w:r w:rsidR="00E5338D" w:rsidRPr="00565A86">
        <w:rPr>
          <w:rFonts w:ascii="Arial Narrow" w:hAnsi="Arial Narrow" w:cs="Arial"/>
          <w:shd w:val="clear" w:color="auto" w:fill="FFFFFF"/>
        </w:rPr>
        <w:t xml:space="preserve"> Como ha precisado la CIDH, </w:t>
      </w:r>
      <w:r w:rsidR="00E5338D" w:rsidRPr="00565A86">
        <w:rPr>
          <w:rFonts w:ascii="Arial Narrow" w:hAnsi="Arial Narrow" w:cs="Arial"/>
        </w:rPr>
        <w:t>“las respuestas de los Estados al abordar a las comunidades afectadas por la violencia y la actividad delictiva deberían basarse en un enfoque holístico de la aplicación de la ley y la justicia, dirigido a la identificación de las causas de la delincuencia y a su prevención a través de medidas que aborden las necesidades individuales de los adolescentes y sus entornos socioeconómicos”</w:t>
      </w:r>
      <w:r w:rsidR="00E5338D" w:rsidRPr="00565A86">
        <w:rPr>
          <w:rStyle w:val="FootnoteReference"/>
          <w:rFonts w:ascii="Arial Narrow" w:hAnsi="Arial Narrow" w:cs="Arial"/>
        </w:rPr>
        <w:footnoteReference w:id="11"/>
      </w:r>
      <w:r w:rsidR="00E5338D" w:rsidRPr="00565A86">
        <w:rPr>
          <w:rFonts w:ascii="Arial Narrow" w:hAnsi="Arial Narrow" w:cs="Arial"/>
        </w:rPr>
        <w:t>.</w:t>
      </w:r>
    </w:p>
    <w:p w14:paraId="1A2AA33C" w14:textId="77777777" w:rsidR="00F27544" w:rsidRPr="00565A86" w:rsidRDefault="00F27544" w:rsidP="00E03937">
      <w:pPr>
        <w:jc w:val="both"/>
        <w:rPr>
          <w:rFonts w:ascii="Arial Narrow" w:hAnsi="Arial Narrow" w:cs="Arial"/>
          <w:b/>
        </w:rPr>
      </w:pPr>
      <w:r w:rsidRPr="00565A86">
        <w:rPr>
          <w:rFonts w:ascii="Arial Narrow" w:hAnsi="Arial Narrow" w:cs="Arial"/>
          <w:b/>
        </w:rPr>
        <w:t>Párrafo 27</w:t>
      </w:r>
      <w:r w:rsidR="003665B4" w:rsidRPr="00565A86">
        <w:rPr>
          <w:rFonts w:ascii="Arial Narrow" w:hAnsi="Arial Narrow" w:cs="Arial"/>
          <w:b/>
        </w:rPr>
        <w:t xml:space="preserve"> (cuarta viñeta)</w:t>
      </w:r>
      <w:r w:rsidRPr="00565A86">
        <w:rPr>
          <w:rFonts w:ascii="Arial Narrow" w:hAnsi="Arial Narrow" w:cs="Arial"/>
          <w:b/>
        </w:rPr>
        <w:t xml:space="preserve"> y </w:t>
      </w:r>
      <w:r w:rsidR="00E758FD" w:rsidRPr="00565A86">
        <w:rPr>
          <w:rFonts w:ascii="Arial Narrow" w:hAnsi="Arial Narrow" w:cs="Arial"/>
          <w:b/>
        </w:rPr>
        <w:t xml:space="preserve">párrafo </w:t>
      </w:r>
      <w:r w:rsidRPr="00565A86">
        <w:rPr>
          <w:rFonts w:ascii="Arial Narrow" w:hAnsi="Arial Narrow" w:cs="Arial"/>
          <w:b/>
        </w:rPr>
        <w:t>60</w:t>
      </w:r>
    </w:p>
    <w:p w14:paraId="70C5026C" w14:textId="77777777" w:rsidR="00BA46B6" w:rsidRPr="00565A86" w:rsidRDefault="006B4D61" w:rsidP="00FC006E">
      <w:pPr>
        <w:jc w:val="both"/>
        <w:rPr>
          <w:rFonts w:ascii="Arial Narrow" w:hAnsi="Arial Narrow" w:cs="Arial"/>
          <w:shd w:val="clear" w:color="auto" w:fill="FFFFFF"/>
        </w:rPr>
      </w:pPr>
      <w:r w:rsidRPr="00565A86">
        <w:rPr>
          <w:rFonts w:ascii="Arial Narrow" w:hAnsi="Arial Narrow" w:cs="Arial"/>
          <w:shd w:val="clear" w:color="auto" w:fill="FFFFFF"/>
        </w:rPr>
        <w:t>Se sugiere modificar la redacción</w:t>
      </w:r>
      <w:r w:rsidR="003665B4" w:rsidRPr="00565A86">
        <w:rPr>
          <w:rFonts w:ascii="Arial Narrow" w:hAnsi="Arial Narrow" w:cs="Arial"/>
          <w:shd w:val="clear" w:color="auto" w:fill="FFFFFF"/>
        </w:rPr>
        <w:t xml:space="preserve">, sustituyendo la conjunción “o” </w:t>
      </w:r>
      <w:r w:rsidR="002A2FAB" w:rsidRPr="00565A86">
        <w:rPr>
          <w:rFonts w:ascii="Arial Narrow" w:hAnsi="Arial Narrow" w:cs="Arial"/>
          <w:shd w:val="clear" w:color="auto" w:fill="FFFFFF"/>
        </w:rPr>
        <w:t xml:space="preserve">por “y”, </w:t>
      </w:r>
      <w:r w:rsidRPr="00565A86">
        <w:rPr>
          <w:rFonts w:ascii="Arial Narrow" w:hAnsi="Arial Narrow" w:cs="Arial"/>
          <w:shd w:val="clear" w:color="auto" w:fill="FFFFFF"/>
        </w:rPr>
        <w:t xml:space="preserve">para que no sean excluyentes la asistencia legal y las otras formas de asistencia apropiada, sino que se prevea que el Estado debe garantizar </w:t>
      </w:r>
      <w:r w:rsidR="009A1208" w:rsidRPr="00565A86">
        <w:rPr>
          <w:rFonts w:ascii="Arial Narrow" w:hAnsi="Arial Narrow" w:cs="Arial"/>
          <w:shd w:val="clear" w:color="auto" w:fill="FFFFFF"/>
        </w:rPr>
        <w:t xml:space="preserve">ambas: </w:t>
      </w:r>
      <w:r w:rsidRPr="00565A86">
        <w:rPr>
          <w:rFonts w:ascii="Arial Narrow" w:hAnsi="Arial Narrow" w:cs="Arial"/>
          <w:shd w:val="clear" w:color="auto" w:fill="FFFFFF"/>
        </w:rPr>
        <w:t>siempre la asistencia legal, acompañada de otra asistencia ne</w:t>
      </w:r>
      <w:r w:rsidR="003665B4" w:rsidRPr="00565A86">
        <w:rPr>
          <w:rFonts w:ascii="Arial Narrow" w:hAnsi="Arial Narrow" w:cs="Arial"/>
          <w:shd w:val="clear" w:color="auto" w:fill="FFFFFF"/>
        </w:rPr>
        <w:t xml:space="preserve">cesaria, </w:t>
      </w:r>
      <w:r w:rsidR="00585CBE" w:rsidRPr="00565A86">
        <w:rPr>
          <w:rFonts w:ascii="Arial Narrow" w:hAnsi="Arial Narrow" w:cs="Arial"/>
          <w:shd w:val="clear" w:color="auto" w:fill="FFFFFF"/>
        </w:rPr>
        <w:t>como</w:t>
      </w:r>
      <w:r w:rsidR="003665B4" w:rsidRPr="00565A86">
        <w:rPr>
          <w:rFonts w:ascii="Arial Narrow" w:hAnsi="Arial Narrow" w:cs="Arial"/>
          <w:shd w:val="clear" w:color="auto" w:fill="FFFFFF"/>
        </w:rPr>
        <w:t xml:space="preserve"> trabajo social</w:t>
      </w:r>
      <w:r w:rsidR="00585CBE" w:rsidRPr="00565A86">
        <w:rPr>
          <w:rFonts w:ascii="Arial Narrow" w:hAnsi="Arial Narrow" w:cs="Arial"/>
          <w:shd w:val="clear" w:color="auto" w:fill="FFFFFF"/>
        </w:rPr>
        <w:t xml:space="preserve"> o asistencia psicoemocional</w:t>
      </w:r>
      <w:r w:rsidR="003665B4" w:rsidRPr="00565A86">
        <w:rPr>
          <w:rFonts w:ascii="Arial Narrow" w:hAnsi="Arial Narrow" w:cs="Arial"/>
          <w:shd w:val="clear" w:color="auto" w:fill="FFFFFF"/>
        </w:rPr>
        <w:t>.</w:t>
      </w:r>
      <w:r w:rsidR="00C443BF" w:rsidRPr="00565A86">
        <w:rPr>
          <w:rFonts w:ascii="Arial Narrow" w:hAnsi="Arial Narrow" w:cs="Arial"/>
          <w:shd w:val="clear" w:color="auto" w:fill="FFFFFF"/>
        </w:rPr>
        <w:t xml:space="preserve"> Lo anterior, en atención a la obligación del Estado de garantizar el derecho a una defensa adecuada</w:t>
      </w:r>
      <w:r w:rsidR="00C443BF" w:rsidRPr="00565A86">
        <w:rPr>
          <w:rStyle w:val="FootnoteReference"/>
          <w:rFonts w:ascii="Arial Narrow" w:hAnsi="Arial Narrow" w:cs="Arial"/>
          <w:shd w:val="clear" w:color="auto" w:fill="FFFFFF"/>
        </w:rPr>
        <w:footnoteReference w:id="12"/>
      </w:r>
      <w:r w:rsidR="00C443BF" w:rsidRPr="00565A86">
        <w:rPr>
          <w:rFonts w:ascii="Arial Narrow" w:hAnsi="Arial Narrow" w:cs="Arial"/>
          <w:shd w:val="clear" w:color="auto" w:fill="FFFFFF"/>
        </w:rPr>
        <w:t xml:space="preserve"> y a un recurso efectivo</w:t>
      </w:r>
      <w:r w:rsidR="009A1208" w:rsidRPr="00565A86">
        <w:rPr>
          <w:rStyle w:val="FootnoteReference"/>
          <w:rFonts w:ascii="Arial Narrow" w:hAnsi="Arial Narrow" w:cs="Arial"/>
          <w:shd w:val="clear" w:color="auto" w:fill="FFFFFF"/>
        </w:rPr>
        <w:footnoteReference w:id="13"/>
      </w:r>
      <w:r w:rsidR="00C443BF" w:rsidRPr="00565A86">
        <w:rPr>
          <w:rFonts w:ascii="Arial Narrow" w:hAnsi="Arial Narrow" w:cs="Arial"/>
          <w:shd w:val="clear" w:color="auto" w:fill="FFFFFF"/>
        </w:rPr>
        <w:t>, así como el derecho a contar con otra asistencia apropiada</w:t>
      </w:r>
      <w:r w:rsidR="00134985" w:rsidRPr="00565A86">
        <w:rPr>
          <w:rStyle w:val="FootnoteReference"/>
          <w:rFonts w:ascii="Arial Narrow" w:hAnsi="Arial Narrow" w:cs="Arial"/>
          <w:shd w:val="clear" w:color="auto" w:fill="FFFFFF"/>
        </w:rPr>
        <w:footnoteReference w:id="14"/>
      </w:r>
      <w:r w:rsidR="00134985" w:rsidRPr="00565A86">
        <w:rPr>
          <w:rFonts w:ascii="Arial Narrow" w:hAnsi="Arial Narrow" w:cs="Arial"/>
          <w:shd w:val="clear" w:color="auto" w:fill="FFFFFF"/>
        </w:rPr>
        <w:t>,</w:t>
      </w:r>
      <w:r w:rsidR="00D95E48" w:rsidRPr="00565A86">
        <w:rPr>
          <w:rFonts w:ascii="Arial Narrow" w:hAnsi="Arial Narrow" w:cs="Arial"/>
          <w:shd w:val="clear" w:color="auto" w:fill="FFFFFF"/>
        </w:rPr>
        <w:t xml:space="preserve"> ya que </w:t>
      </w:r>
      <w:r w:rsidR="00D95E48" w:rsidRPr="00565A86">
        <w:rPr>
          <w:rFonts w:ascii="Arial Narrow" w:hAnsi="Arial Narrow" w:cs="Arial"/>
        </w:rPr>
        <w:t xml:space="preserve">“el debido proceso y las garantías judiciales deben respetarse no sólo en los procesos judiciales, sino en </w:t>
      </w:r>
      <w:r w:rsidR="00D95E48" w:rsidRPr="00565A86">
        <w:rPr>
          <w:rFonts w:ascii="Arial Narrow" w:hAnsi="Arial Narrow" w:cs="Arial"/>
        </w:rPr>
        <w:lastRenderedPageBreak/>
        <w:t>cualesquiera otros procesos que siga el Estado, o bien, que estén bajo la supervisión del mismo”</w:t>
      </w:r>
      <w:r w:rsidR="00D95E48" w:rsidRPr="00565A86">
        <w:rPr>
          <w:rStyle w:val="FootnoteReference"/>
          <w:rFonts w:ascii="Arial Narrow" w:hAnsi="Arial Narrow" w:cs="Arial"/>
        </w:rPr>
        <w:footnoteReference w:id="15"/>
      </w:r>
      <w:r w:rsidR="00D95E48" w:rsidRPr="00565A86">
        <w:rPr>
          <w:rFonts w:ascii="Arial Narrow" w:hAnsi="Arial Narrow" w:cs="Arial"/>
        </w:rPr>
        <w:t>.</w:t>
      </w:r>
      <w:r w:rsidR="00F47E7C" w:rsidRPr="00565A86">
        <w:rPr>
          <w:rFonts w:ascii="Arial Narrow" w:hAnsi="Arial Narrow" w:cs="Arial"/>
        </w:rPr>
        <w:t xml:space="preserve"> Resalta que, e</w:t>
      </w:r>
      <w:r w:rsidR="00C443BF" w:rsidRPr="00565A86">
        <w:rPr>
          <w:rFonts w:ascii="Arial Narrow" w:hAnsi="Arial Narrow" w:cs="Arial"/>
        </w:rPr>
        <w:t xml:space="preserve">n el caso de niñas, niños y adolescentes en conflicto con la ley, el </w:t>
      </w:r>
      <w:r w:rsidR="00C443BF" w:rsidRPr="00565A86">
        <w:rPr>
          <w:rFonts w:ascii="Arial Narrow" w:hAnsi="Arial Narrow" w:cs="Arial"/>
          <w:shd w:val="clear" w:color="auto" w:fill="FFFFFF"/>
        </w:rPr>
        <w:t>derecho a una defensa especializada “es vital en […] los procedimientos”</w:t>
      </w:r>
      <w:r w:rsidR="00C443BF" w:rsidRPr="00565A86">
        <w:rPr>
          <w:rStyle w:val="FootnoteReference"/>
          <w:rFonts w:ascii="Arial Narrow" w:hAnsi="Arial Narrow" w:cs="Arial"/>
          <w:shd w:val="clear" w:color="auto" w:fill="FFFFFF"/>
        </w:rPr>
        <w:footnoteReference w:id="16"/>
      </w:r>
      <w:r w:rsidR="00C443BF" w:rsidRPr="00565A86">
        <w:rPr>
          <w:rFonts w:ascii="Arial Narrow" w:hAnsi="Arial Narrow" w:cs="Arial"/>
          <w:shd w:val="clear" w:color="auto" w:fill="FFFFFF"/>
        </w:rPr>
        <w:t>, lo cual se ha visto evidenciado incluso por casos de deportaciones de niñas, niños y adolescentes por un acompañamiento no especializado.</w:t>
      </w:r>
      <w:r w:rsidR="002D4953" w:rsidRPr="00565A86">
        <w:rPr>
          <w:rFonts w:ascii="Arial Narrow" w:hAnsi="Arial Narrow" w:cs="Arial"/>
          <w:shd w:val="clear" w:color="auto" w:fill="FFFFFF"/>
        </w:rPr>
        <w:t xml:space="preserve"> </w:t>
      </w:r>
    </w:p>
    <w:p w14:paraId="50FAC9F7" w14:textId="77777777" w:rsidR="00BA46B6" w:rsidRPr="00565A86" w:rsidRDefault="00FC006E" w:rsidP="002D4953">
      <w:pPr>
        <w:jc w:val="both"/>
        <w:rPr>
          <w:rFonts w:ascii="Arial Narrow" w:hAnsi="Arial Narrow" w:cs="Arial"/>
          <w:shd w:val="clear" w:color="auto" w:fill="FFFFFF"/>
        </w:rPr>
      </w:pPr>
      <w:r w:rsidRPr="00565A86">
        <w:rPr>
          <w:rFonts w:ascii="Arial Narrow" w:hAnsi="Arial Narrow" w:cs="Arial"/>
          <w:shd w:val="clear" w:color="auto" w:fill="FFFFFF"/>
        </w:rPr>
        <w:t>Al respecto, la CIDH ha subrayado que “</w:t>
      </w:r>
      <w:r w:rsidR="009E6BAA" w:rsidRPr="00565A86">
        <w:rPr>
          <w:rFonts w:ascii="Arial Narrow" w:hAnsi="Arial Narrow" w:cs="Arial"/>
          <w:shd w:val="clear" w:color="auto" w:fill="FFFFFF"/>
        </w:rPr>
        <w:t>l</w:t>
      </w:r>
      <w:r w:rsidRPr="00565A86">
        <w:rPr>
          <w:rFonts w:ascii="Arial Narrow" w:hAnsi="Arial Narrow" w:cs="Arial"/>
        </w:rPr>
        <w:t>os servicios de un defensor público con estándares de servicio de alta calidad y especialización en justicia juvenil, deben estar disponibles en todo el territorio”</w:t>
      </w:r>
      <w:r w:rsidRPr="00565A86">
        <w:rPr>
          <w:rStyle w:val="FootnoteReference"/>
          <w:rFonts w:ascii="Arial Narrow" w:hAnsi="Arial Narrow" w:cs="Arial"/>
        </w:rPr>
        <w:footnoteReference w:id="17"/>
      </w:r>
      <w:r w:rsidRPr="00565A86">
        <w:rPr>
          <w:rFonts w:ascii="Arial Narrow" w:hAnsi="Arial Narrow" w:cs="Arial"/>
        </w:rPr>
        <w:t>.</w:t>
      </w:r>
      <w:r w:rsidR="00BA46B6" w:rsidRPr="00565A86">
        <w:rPr>
          <w:rFonts w:ascii="Arial Narrow" w:hAnsi="Arial Narrow" w:cs="Arial"/>
        </w:rPr>
        <w:t xml:space="preserve"> </w:t>
      </w:r>
      <w:r w:rsidR="0082049F" w:rsidRPr="00565A86">
        <w:rPr>
          <w:rFonts w:ascii="Arial Narrow" w:hAnsi="Arial Narrow" w:cs="Arial"/>
        </w:rPr>
        <w:t>A su vez,</w:t>
      </w:r>
      <w:r w:rsidR="00BA46B6" w:rsidRPr="00565A86">
        <w:rPr>
          <w:rFonts w:ascii="Arial Narrow" w:hAnsi="Arial Narrow" w:cs="Arial"/>
        </w:rPr>
        <w:t xml:space="preserve"> la Corte IDH ha señalado que “la asistencia jurídica debe ser ejercida por un profesional del derecho para poder satisfacer los requisitos de una defensa técnica a través de la cual se asesore a la persona sometida a proceso, </w:t>
      </w:r>
      <w:r w:rsidR="00BA46B6" w:rsidRPr="00565A86">
        <w:rPr>
          <w:rFonts w:ascii="Arial Narrow" w:hAnsi="Arial Narrow" w:cs="Arial"/>
          <w:i/>
        </w:rPr>
        <w:t>inter alia</w:t>
      </w:r>
      <w:r w:rsidR="00BA46B6" w:rsidRPr="00565A86">
        <w:rPr>
          <w:rFonts w:ascii="Arial Narrow" w:hAnsi="Arial Narrow" w:cs="Arial"/>
        </w:rPr>
        <w:t>, sobre la posibilidad de ejercer recursos contra actos que afecten derechos”</w:t>
      </w:r>
      <w:r w:rsidR="00BA46B6" w:rsidRPr="00565A86">
        <w:rPr>
          <w:rStyle w:val="FootnoteReference"/>
          <w:rFonts w:ascii="Arial Narrow" w:hAnsi="Arial Narrow" w:cs="Arial"/>
        </w:rPr>
        <w:footnoteReference w:id="18"/>
      </w:r>
      <w:r w:rsidR="00BA46B6" w:rsidRPr="00565A86">
        <w:rPr>
          <w:rFonts w:ascii="Arial Narrow" w:hAnsi="Arial Narrow" w:cs="Arial"/>
        </w:rPr>
        <w:t>.</w:t>
      </w:r>
      <w:r w:rsidR="00BA46B6" w:rsidRPr="00565A86">
        <w:rPr>
          <w:rFonts w:ascii="Arial Narrow" w:hAnsi="Arial Narrow" w:cs="Arial"/>
          <w:shd w:val="clear" w:color="auto" w:fill="FFFFFF"/>
        </w:rPr>
        <w:t xml:space="preserve"> </w:t>
      </w:r>
    </w:p>
    <w:p w14:paraId="4022F5C0" w14:textId="5C2907A4" w:rsidR="00682A9C" w:rsidRPr="00565A86" w:rsidRDefault="002D4953" w:rsidP="0082049F">
      <w:pPr>
        <w:jc w:val="both"/>
        <w:rPr>
          <w:rFonts w:ascii="Arial Narrow" w:hAnsi="Arial Narrow" w:cs="Arial"/>
          <w:color w:val="C00000"/>
          <w:shd w:val="clear" w:color="auto" w:fill="FFFFFF"/>
        </w:rPr>
      </w:pPr>
      <w:r w:rsidRPr="00565A86">
        <w:rPr>
          <w:rFonts w:ascii="Arial Narrow" w:hAnsi="Arial Narrow" w:cs="Arial"/>
          <w:shd w:val="clear" w:color="auto" w:fill="FFFFFF"/>
        </w:rPr>
        <w:t>Por lo tanto, se recomienda especificar que el Estado de</w:t>
      </w:r>
      <w:r w:rsidR="0082049F" w:rsidRPr="00565A86">
        <w:rPr>
          <w:rFonts w:ascii="Arial Narrow" w:hAnsi="Arial Narrow" w:cs="Arial"/>
          <w:shd w:val="clear" w:color="auto" w:fill="FFFFFF"/>
        </w:rPr>
        <w:t>berá proveer asistencia legal al niño, niña o adolescente</w:t>
      </w:r>
      <w:r w:rsidRPr="00565A86">
        <w:rPr>
          <w:rFonts w:ascii="Arial Narrow" w:hAnsi="Arial Narrow" w:cs="Arial"/>
          <w:shd w:val="clear" w:color="auto" w:fill="FFFFFF"/>
        </w:rPr>
        <w:t xml:space="preserve">, para que se le asesore sobre la medida </w:t>
      </w:r>
      <w:r w:rsidR="00BA46B6" w:rsidRPr="00565A86">
        <w:rPr>
          <w:rFonts w:ascii="Arial Narrow" w:hAnsi="Arial Narrow" w:cs="Arial"/>
          <w:shd w:val="clear" w:color="auto" w:fill="FFFFFF"/>
        </w:rPr>
        <w:t xml:space="preserve">adoptada, </w:t>
      </w:r>
      <w:r w:rsidRPr="00565A86">
        <w:rPr>
          <w:rFonts w:ascii="Arial Narrow" w:hAnsi="Arial Narrow" w:cs="Arial"/>
          <w:shd w:val="clear" w:color="auto" w:fill="FFFFFF"/>
        </w:rPr>
        <w:t>la posibilidad de apelarla</w:t>
      </w:r>
      <w:r w:rsidR="00BA46B6" w:rsidRPr="00565A86">
        <w:rPr>
          <w:rFonts w:ascii="Arial Narrow" w:hAnsi="Arial Narrow" w:cs="Arial"/>
          <w:shd w:val="clear" w:color="auto" w:fill="FFFFFF"/>
        </w:rPr>
        <w:t xml:space="preserve">, y en general, se garanticen </w:t>
      </w:r>
      <w:r w:rsidR="0082049F" w:rsidRPr="00565A86">
        <w:rPr>
          <w:rFonts w:ascii="Arial Narrow" w:hAnsi="Arial Narrow" w:cs="Arial"/>
          <w:shd w:val="clear" w:color="auto" w:fill="FFFFFF"/>
        </w:rPr>
        <w:t>sus</w:t>
      </w:r>
      <w:r w:rsidR="00BA46B6" w:rsidRPr="00565A86">
        <w:rPr>
          <w:rFonts w:ascii="Arial Narrow" w:hAnsi="Arial Narrow" w:cs="Arial"/>
          <w:shd w:val="clear" w:color="auto" w:fill="FFFFFF"/>
        </w:rPr>
        <w:t xml:space="preserve"> garantías del debido proceso en todo procedimiento administrativo o penal al que sea </w:t>
      </w:r>
      <w:r w:rsidR="0082049F" w:rsidRPr="00565A86">
        <w:rPr>
          <w:rFonts w:ascii="Arial Narrow" w:hAnsi="Arial Narrow" w:cs="Arial"/>
          <w:shd w:val="clear" w:color="auto" w:fill="FFFFFF"/>
        </w:rPr>
        <w:t>sujeto</w:t>
      </w:r>
      <w:r w:rsidR="00BA46B6" w:rsidRPr="00565A86">
        <w:rPr>
          <w:rFonts w:ascii="Arial Narrow" w:hAnsi="Arial Narrow" w:cs="Arial"/>
          <w:shd w:val="clear" w:color="auto" w:fill="FFFFFF"/>
        </w:rPr>
        <w:t>.</w:t>
      </w:r>
      <w:r w:rsidR="0082049F" w:rsidRPr="00565A86">
        <w:rPr>
          <w:rFonts w:ascii="Arial Narrow" w:hAnsi="Arial Narrow" w:cs="Arial"/>
          <w:shd w:val="clear" w:color="auto" w:fill="FFFFFF"/>
        </w:rPr>
        <w:t xml:space="preserve"> En México, incluso en la legislación se prevé el derecho de toda persona adolescente de ser asistida por un abogado especializado en el Sistema de Justicia Penal para Adolescentes, durante todas las etapas del procedimiento, desde su detención hasta el cumplimiento de la medida impuesta</w:t>
      </w:r>
      <w:r w:rsidR="0082049F" w:rsidRPr="00565A86">
        <w:rPr>
          <w:rStyle w:val="FootnoteReference"/>
          <w:rFonts w:ascii="Arial Narrow" w:hAnsi="Arial Narrow" w:cs="Arial"/>
          <w:shd w:val="clear" w:color="auto" w:fill="FFFFFF"/>
        </w:rPr>
        <w:footnoteReference w:id="19"/>
      </w:r>
      <w:r w:rsidR="0082049F" w:rsidRPr="00565A86">
        <w:rPr>
          <w:rFonts w:ascii="Arial Narrow" w:hAnsi="Arial Narrow" w:cs="Arial"/>
          <w:shd w:val="clear" w:color="auto" w:fill="FFFFFF"/>
        </w:rPr>
        <w:t>.</w:t>
      </w:r>
      <w:r w:rsidR="00DA3583" w:rsidRPr="00565A86">
        <w:rPr>
          <w:rFonts w:ascii="Arial Narrow" w:hAnsi="Arial Narrow" w:cs="Arial"/>
          <w:color w:val="C00000"/>
          <w:shd w:val="clear" w:color="auto" w:fill="FFFFFF"/>
        </w:rPr>
        <w:t xml:space="preserve"> </w:t>
      </w:r>
    </w:p>
    <w:p w14:paraId="3A83EC5C" w14:textId="77777777" w:rsidR="00D42957" w:rsidRPr="00565A86" w:rsidRDefault="00D42957" w:rsidP="009930A2">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50</w:t>
      </w:r>
    </w:p>
    <w:p w14:paraId="720F645A" w14:textId="50A6462F" w:rsidR="004A3D23" w:rsidRPr="00565A86" w:rsidRDefault="00D42957" w:rsidP="009930A2">
      <w:pPr>
        <w:jc w:val="both"/>
        <w:rPr>
          <w:rFonts w:ascii="Arial Narrow" w:hAnsi="Arial Narrow" w:cs="Arial"/>
          <w:color w:val="C00000"/>
          <w:shd w:val="clear" w:color="auto" w:fill="FFFFFF"/>
        </w:rPr>
      </w:pPr>
      <w:r w:rsidRPr="00565A86">
        <w:rPr>
          <w:rFonts w:ascii="Arial Narrow" w:hAnsi="Arial Narrow" w:cs="Arial"/>
          <w:color w:val="000000"/>
          <w:shd w:val="clear" w:color="auto" w:fill="FFFFFF"/>
        </w:rPr>
        <w:t>Se recomienda especificar que la perspectiva de género debe transversalizarse en el sistema de justicia para adolescentes</w:t>
      </w:r>
      <w:r w:rsidRPr="00565A86">
        <w:rPr>
          <w:rStyle w:val="FootnoteReference"/>
          <w:rFonts w:ascii="Arial Narrow" w:hAnsi="Arial Narrow" w:cs="Arial"/>
          <w:color w:val="000000"/>
          <w:shd w:val="clear" w:color="auto" w:fill="FFFFFF"/>
        </w:rPr>
        <w:footnoteReference w:id="20"/>
      </w:r>
      <w:r w:rsidRPr="00565A86">
        <w:rPr>
          <w:rFonts w:ascii="Arial Narrow" w:hAnsi="Arial Narrow" w:cs="Arial"/>
          <w:color w:val="000000"/>
          <w:shd w:val="clear" w:color="auto" w:fill="FFFFFF"/>
        </w:rPr>
        <w:t xml:space="preserve">, para identificar las necesidades particulares de las niñas, así como </w:t>
      </w:r>
      <w:r w:rsidR="00326B4F" w:rsidRPr="00565A86">
        <w:rPr>
          <w:rFonts w:ascii="Arial Narrow" w:hAnsi="Arial Narrow" w:cs="Arial"/>
          <w:color w:val="000000"/>
          <w:shd w:val="clear" w:color="auto" w:fill="FFFFFF"/>
        </w:rPr>
        <w:t xml:space="preserve">para </w:t>
      </w:r>
      <w:r w:rsidRPr="00565A86">
        <w:rPr>
          <w:rFonts w:ascii="Arial Narrow" w:hAnsi="Arial Narrow" w:cs="Arial"/>
          <w:color w:val="000000"/>
          <w:shd w:val="clear" w:color="auto" w:fill="FFFFFF"/>
        </w:rPr>
        <w:t xml:space="preserve">reconocer las relaciones </w:t>
      </w:r>
      <w:r w:rsidR="00E56D68" w:rsidRPr="00565A86">
        <w:rPr>
          <w:rFonts w:ascii="Arial Narrow" w:hAnsi="Arial Narrow" w:cs="Arial"/>
          <w:color w:val="000000"/>
          <w:shd w:val="clear" w:color="auto" w:fill="FFFFFF"/>
        </w:rPr>
        <w:t xml:space="preserve">asimétricas </w:t>
      </w:r>
      <w:r w:rsidRPr="00565A86">
        <w:rPr>
          <w:rFonts w:ascii="Arial Narrow" w:hAnsi="Arial Narrow" w:cs="Arial"/>
          <w:color w:val="000000"/>
          <w:shd w:val="clear" w:color="auto" w:fill="FFFFFF"/>
        </w:rPr>
        <w:t>de poder, abusos y situaciones de violencia que contextualizaron la comisión de la ofensa</w:t>
      </w:r>
      <w:r w:rsidR="00326B4F" w:rsidRPr="00565A86">
        <w:rPr>
          <w:rFonts w:ascii="Arial Narrow" w:hAnsi="Arial Narrow" w:cs="Arial"/>
          <w:color w:val="000000"/>
          <w:shd w:val="clear" w:color="auto" w:fill="FFFFFF"/>
        </w:rPr>
        <w:t>/infracción</w:t>
      </w:r>
      <w:r w:rsidRPr="00565A86">
        <w:rPr>
          <w:rFonts w:ascii="Arial Narrow" w:hAnsi="Arial Narrow" w:cs="Arial"/>
          <w:color w:val="000000"/>
          <w:shd w:val="clear" w:color="auto" w:fill="FFFFFF"/>
        </w:rPr>
        <w:t xml:space="preserve">, </w:t>
      </w:r>
      <w:r w:rsidR="00326B4F" w:rsidRPr="00565A86">
        <w:rPr>
          <w:rFonts w:ascii="Arial Narrow" w:hAnsi="Arial Narrow" w:cs="Arial"/>
          <w:color w:val="000000"/>
          <w:shd w:val="clear" w:color="auto" w:fill="FFFFFF"/>
        </w:rPr>
        <w:t>y</w:t>
      </w:r>
      <w:r w:rsidRPr="00565A86">
        <w:rPr>
          <w:rFonts w:ascii="Arial Narrow" w:hAnsi="Arial Narrow" w:cs="Arial"/>
          <w:color w:val="000000"/>
          <w:shd w:val="clear" w:color="auto" w:fill="FFFFFF"/>
        </w:rPr>
        <w:t xml:space="preserve"> </w:t>
      </w:r>
      <w:r w:rsidR="00326B4F" w:rsidRPr="00565A86">
        <w:rPr>
          <w:rFonts w:ascii="Arial Narrow" w:hAnsi="Arial Narrow" w:cs="Arial"/>
          <w:color w:val="000000"/>
          <w:shd w:val="clear" w:color="auto" w:fill="FFFFFF"/>
        </w:rPr>
        <w:t>que las autoridades consideren</w:t>
      </w:r>
      <w:r w:rsidRPr="00565A86">
        <w:rPr>
          <w:rFonts w:ascii="Arial Narrow" w:hAnsi="Arial Narrow" w:cs="Arial"/>
          <w:color w:val="000000"/>
          <w:shd w:val="clear" w:color="auto" w:fill="FFFFFF"/>
        </w:rPr>
        <w:t xml:space="preserve"> tales cuestiones al determinar su responsabilidad e imponerles una sanción.</w:t>
      </w:r>
      <w:r w:rsidR="004A3D23" w:rsidRPr="00565A86">
        <w:rPr>
          <w:rFonts w:ascii="Arial Narrow" w:hAnsi="Arial Narrow" w:cs="Arial"/>
          <w:color w:val="000000"/>
          <w:shd w:val="clear" w:color="auto" w:fill="FFFFFF"/>
        </w:rPr>
        <w:t xml:space="preserve"> </w:t>
      </w:r>
    </w:p>
    <w:p w14:paraId="28BD460A" w14:textId="7D58AADA" w:rsidR="00464B86" w:rsidRPr="001F5496" w:rsidRDefault="00A34C0D" w:rsidP="003921E4">
      <w:pPr>
        <w:jc w:val="both"/>
        <w:rPr>
          <w:rFonts w:ascii="Arial Narrow" w:hAnsi="Arial Narrow" w:cs="Arial"/>
          <w:color w:val="000000"/>
          <w:shd w:val="clear" w:color="auto" w:fill="FFFFFF"/>
        </w:rPr>
      </w:pPr>
      <w:r w:rsidRPr="00565A86">
        <w:rPr>
          <w:rFonts w:ascii="Arial Narrow" w:hAnsi="Arial Narrow" w:cs="Arial"/>
          <w:color w:val="000000"/>
          <w:shd w:val="clear" w:color="auto" w:fill="FFFFFF"/>
        </w:rPr>
        <w:t>En relación con las garantías para un juicio justo</w:t>
      </w:r>
      <w:r w:rsidR="004A3D23" w:rsidRPr="00565A86">
        <w:rPr>
          <w:rFonts w:ascii="Arial Narrow" w:hAnsi="Arial Narrow" w:cs="Arial"/>
          <w:color w:val="000000"/>
          <w:shd w:val="clear" w:color="auto" w:fill="FFFFFF"/>
        </w:rPr>
        <w:t xml:space="preserve">, se recomienda </w:t>
      </w:r>
      <w:r w:rsidRPr="00565A86">
        <w:rPr>
          <w:rFonts w:ascii="Arial Narrow" w:hAnsi="Arial Narrow" w:cs="Arial"/>
          <w:color w:val="000000"/>
          <w:shd w:val="clear" w:color="auto" w:fill="FFFFFF"/>
        </w:rPr>
        <w:t>agregar un párrafo acerca de</w:t>
      </w:r>
      <w:r w:rsidR="004A3D23" w:rsidRPr="00565A86">
        <w:rPr>
          <w:rFonts w:ascii="Arial Narrow" w:hAnsi="Arial Narrow" w:cs="Arial"/>
          <w:color w:val="000000"/>
          <w:shd w:val="clear" w:color="auto" w:fill="FFFFFF"/>
        </w:rPr>
        <w:t xml:space="preserve"> la obligación de los Estados de llevar a cabo ajustes razonables a los procedimientos</w:t>
      </w:r>
      <w:r w:rsidR="004A3D23" w:rsidRPr="00565A86">
        <w:rPr>
          <w:rStyle w:val="FootnoteReference"/>
          <w:rFonts w:ascii="Arial Narrow" w:hAnsi="Arial Narrow" w:cs="Arial"/>
          <w:color w:val="000000"/>
          <w:shd w:val="clear" w:color="auto" w:fill="FFFFFF"/>
        </w:rPr>
        <w:footnoteReference w:id="21"/>
      </w:r>
      <w:r w:rsidR="004A3D23" w:rsidRPr="00565A86">
        <w:rPr>
          <w:rFonts w:ascii="Arial Narrow" w:hAnsi="Arial Narrow" w:cs="Arial"/>
          <w:color w:val="000000"/>
          <w:shd w:val="clear" w:color="auto" w:fill="FFFFFF"/>
        </w:rPr>
        <w:t>, a efecto de garantizar el debido proceso y el acceso a la justicia a las niñas y niños con discapacidad.</w:t>
      </w:r>
    </w:p>
    <w:p w14:paraId="5F5B1245" w14:textId="77777777" w:rsidR="00AF49B7" w:rsidRPr="00565A86" w:rsidRDefault="00AF49B7" w:rsidP="009930A2">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76</w:t>
      </w:r>
    </w:p>
    <w:p w14:paraId="43D8C013" w14:textId="65199B06" w:rsidR="00AF49B7" w:rsidRPr="00565A86" w:rsidRDefault="00CB43EB" w:rsidP="00DD0A36">
      <w:pPr>
        <w:jc w:val="both"/>
        <w:rPr>
          <w:rFonts w:ascii="Arial Narrow" w:hAnsi="Arial Narrow" w:cs="Arial"/>
          <w:color w:val="C00000"/>
          <w:shd w:val="clear" w:color="auto" w:fill="FFFFFF"/>
        </w:rPr>
      </w:pPr>
      <w:r w:rsidRPr="00565A86">
        <w:rPr>
          <w:rFonts w:ascii="Arial Narrow" w:hAnsi="Arial Narrow" w:cs="Arial"/>
          <w:color w:val="000000"/>
          <w:shd w:val="clear" w:color="auto" w:fill="FFFFFF"/>
        </w:rPr>
        <w:t>En relación</w:t>
      </w:r>
      <w:r w:rsidR="00D818C2" w:rsidRPr="00565A86">
        <w:rPr>
          <w:rFonts w:ascii="Arial Narrow" w:hAnsi="Arial Narrow" w:cs="Arial"/>
          <w:color w:val="000000"/>
          <w:shd w:val="clear" w:color="auto" w:fill="FFFFFF"/>
        </w:rPr>
        <w:t xml:space="preserve"> al derecho de asistencia gratuita de un intérprete, se sugiere </w:t>
      </w:r>
      <w:r w:rsidR="00AF49B7" w:rsidRPr="00565A86">
        <w:rPr>
          <w:rFonts w:ascii="Arial Narrow" w:hAnsi="Arial Narrow" w:cs="Arial"/>
          <w:color w:val="000000"/>
          <w:shd w:val="clear" w:color="auto" w:fill="FFFFFF"/>
        </w:rPr>
        <w:t>agregar que el Estado también deberá garantizar que las niñas y los niños indígenas cuenten con intérprete en todos los casos</w:t>
      </w:r>
      <w:r w:rsidR="00D818C2" w:rsidRPr="00565A86">
        <w:rPr>
          <w:rStyle w:val="FootnoteReference"/>
          <w:rFonts w:ascii="Arial Narrow" w:hAnsi="Arial Narrow" w:cs="Arial"/>
          <w:color w:val="000000"/>
          <w:shd w:val="clear" w:color="auto" w:fill="FFFFFF"/>
        </w:rPr>
        <w:footnoteReference w:id="22"/>
      </w:r>
      <w:r w:rsidR="00DA6EDD" w:rsidRPr="00565A86">
        <w:rPr>
          <w:rFonts w:ascii="Arial Narrow" w:hAnsi="Arial Narrow" w:cs="Arial"/>
          <w:color w:val="000000"/>
          <w:shd w:val="clear" w:color="auto" w:fill="FFFFFF"/>
        </w:rPr>
        <w:t xml:space="preserve">, a efecto de que </w:t>
      </w:r>
      <w:r w:rsidR="00DA6EDD" w:rsidRPr="00565A86">
        <w:rPr>
          <w:rFonts w:ascii="Arial Narrow" w:eastAsia="Arial" w:hAnsi="Arial Narrow" w:cs="Arial"/>
          <w:color w:val="000000"/>
        </w:rPr>
        <w:t>puedan “comprender y hacerse comprender en los procedimientos”</w:t>
      </w:r>
      <w:r w:rsidR="00DA6EDD" w:rsidRPr="00565A86">
        <w:rPr>
          <w:rStyle w:val="FootnoteReference"/>
          <w:rFonts w:ascii="Arial Narrow" w:eastAsia="Arial" w:hAnsi="Arial Narrow" w:cs="Arial"/>
          <w:color w:val="000000"/>
        </w:rPr>
        <w:footnoteReference w:id="23"/>
      </w:r>
      <w:r w:rsidR="00DA6EDD" w:rsidRPr="00565A86">
        <w:rPr>
          <w:rFonts w:ascii="Arial Narrow" w:eastAsia="Arial" w:hAnsi="Arial Narrow" w:cs="Arial"/>
          <w:color w:val="000000"/>
        </w:rPr>
        <w:t>.</w:t>
      </w:r>
      <w:r w:rsidR="00DD0A36" w:rsidRPr="00565A86">
        <w:rPr>
          <w:rFonts w:ascii="Arial Narrow" w:eastAsia="Arial" w:hAnsi="Arial Narrow" w:cs="Arial"/>
          <w:color w:val="000000"/>
        </w:rPr>
        <w:t xml:space="preserve"> </w:t>
      </w:r>
    </w:p>
    <w:p w14:paraId="6D4D7F07" w14:textId="77777777" w:rsidR="004A15D7" w:rsidRPr="00565A86" w:rsidRDefault="004A15D7" w:rsidP="009930A2">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lastRenderedPageBreak/>
        <w:t>Párrafo 85</w:t>
      </w:r>
    </w:p>
    <w:p w14:paraId="4C37C046" w14:textId="7B0E786B" w:rsidR="006B318F" w:rsidRPr="00565A86" w:rsidRDefault="004A15D7" w:rsidP="00856FA4">
      <w:pPr>
        <w:jc w:val="both"/>
        <w:rPr>
          <w:rFonts w:ascii="Arial Narrow" w:hAnsi="Arial Narrow" w:cs="Arial"/>
          <w:b/>
          <w:color w:val="000000"/>
          <w:shd w:val="clear" w:color="auto" w:fill="FFFFFF"/>
        </w:rPr>
      </w:pPr>
      <w:r w:rsidRPr="00565A86">
        <w:rPr>
          <w:rFonts w:ascii="Arial Narrow" w:hAnsi="Arial Narrow" w:cs="Arial"/>
          <w:color w:val="000000"/>
          <w:shd w:val="clear" w:color="auto" w:fill="FFFFFF"/>
        </w:rPr>
        <w:t xml:space="preserve">En cuanto a las circunstancias personales que el Estado debe considerar </w:t>
      </w:r>
      <w:r w:rsidR="00E739E3" w:rsidRPr="00565A86">
        <w:rPr>
          <w:rFonts w:ascii="Arial Narrow" w:hAnsi="Arial Narrow" w:cs="Arial"/>
          <w:color w:val="000000"/>
          <w:shd w:val="clear" w:color="auto" w:fill="FFFFFF"/>
        </w:rPr>
        <w:t xml:space="preserve">al evaluar una </w:t>
      </w:r>
      <w:r w:rsidRPr="00565A86">
        <w:rPr>
          <w:rFonts w:ascii="Arial Narrow" w:hAnsi="Arial Narrow" w:cs="Arial"/>
          <w:color w:val="000000"/>
          <w:shd w:val="clear" w:color="auto" w:fill="FFFFFF"/>
        </w:rPr>
        <w:t>ofensa o infracción, se sugiere agregar la cultura</w:t>
      </w:r>
      <w:r w:rsidR="00E739E3" w:rsidRPr="00565A86">
        <w:rPr>
          <w:rFonts w:ascii="Arial Narrow" w:hAnsi="Arial Narrow" w:cs="Arial"/>
          <w:color w:val="000000"/>
          <w:shd w:val="clear" w:color="auto" w:fill="FFFFFF"/>
        </w:rPr>
        <w:t xml:space="preserve"> </w:t>
      </w:r>
      <w:r w:rsidRPr="00565A86">
        <w:rPr>
          <w:rFonts w:ascii="Arial Narrow" w:hAnsi="Arial Narrow" w:cs="Arial"/>
          <w:color w:val="000000"/>
          <w:shd w:val="clear" w:color="auto" w:fill="FFFFFF"/>
        </w:rPr>
        <w:t>y la pertenencia a pueblos indígenas</w:t>
      </w:r>
      <w:r w:rsidR="005D1878" w:rsidRPr="00565A86">
        <w:rPr>
          <w:rFonts w:ascii="Arial Narrow" w:hAnsi="Arial Narrow" w:cs="Arial"/>
          <w:color w:val="000000"/>
          <w:shd w:val="clear" w:color="auto" w:fill="FFFFFF"/>
        </w:rPr>
        <w:t>, en aras de garantizar efectivamente el acceso a la justicia</w:t>
      </w:r>
      <w:r w:rsidR="003C5B24" w:rsidRPr="00565A86">
        <w:rPr>
          <w:rFonts w:ascii="Arial Narrow" w:hAnsi="Arial Narrow" w:cs="Arial"/>
          <w:color w:val="000000"/>
          <w:shd w:val="clear" w:color="auto" w:fill="FFFFFF"/>
        </w:rPr>
        <w:t xml:space="preserve"> con perspectiva pluricultural</w:t>
      </w:r>
      <w:r w:rsidRPr="00565A86">
        <w:rPr>
          <w:rStyle w:val="FootnoteReference"/>
          <w:rFonts w:ascii="Arial Narrow" w:hAnsi="Arial Narrow" w:cs="Arial"/>
          <w:color w:val="000000"/>
          <w:shd w:val="clear" w:color="auto" w:fill="FFFFFF"/>
        </w:rPr>
        <w:footnoteReference w:id="24"/>
      </w:r>
      <w:r w:rsidRPr="00565A86">
        <w:rPr>
          <w:rFonts w:ascii="Arial Narrow" w:hAnsi="Arial Narrow" w:cs="Arial"/>
          <w:color w:val="000000"/>
          <w:shd w:val="clear" w:color="auto" w:fill="FFFFFF"/>
        </w:rPr>
        <w:t xml:space="preserve">. </w:t>
      </w:r>
    </w:p>
    <w:p w14:paraId="11D80A4F" w14:textId="77777777" w:rsidR="00856FA4" w:rsidRPr="00565A86" w:rsidRDefault="00856FA4" w:rsidP="00856FA4">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89</w:t>
      </w:r>
    </w:p>
    <w:p w14:paraId="28103A1D" w14:textId="77777777" w:rsidR="00856FA4" w:rsidRPr="00565A86" w:rsidRDefault="00856FA4" w:rsidP="00856FA4">
      <w:pPr>
        <w:jc w:val="both"/>
        <w:rPr>
          <w:rFonts w:ascii="Arial Narrow" w:hAnsi="Arial Narrow" w:cs="Arial"/>
          <w:color w:val="000000"/>
          <w:shd w:val="clear" w:color="auto" w:fill="FFFFFF"/>
        </w:rPr>
      </w:pPr>
      <w:r w:rsidRPr="00565A86">
        <w:rPr>
          <w:rFonts w:ascii="Arial Narrow" w:hAnsi="Arial Narrow" w:cs="Arial"/>
          <w:color w:val="000000"/>
          <w:shd w:val="clear" w:color="auto" w:fill="FFFFFF"/>
        </w:rPr>
        <w:t>Respecto de las medida</w:t>
      </w:r>
      <w:r w:rsidR="0039259C" w:rsidRPr="00565A86">
        <w:rPr>
          <w:rFonts w:ascii="Arial Narrow" w:hAnsi="Arial Narrow" w:cs="Arial"/>
          <w:color w:val="000000"/>
          <w:shd w:val="clear" w:color="auto" w:fill="FFFFFF"/>
        </w:rPr>
        <w:t>s prohibidas por el artículo 37.</w:t>
      </w:r>
      <w:r w:rsidR="00413F1B" w:rsidRPr="00565A86">
        <w:rPr>
          <w:rFonts w:ascii="Arial Narrow" w:hAnsi="Arial Narrow" w:cs="Arial"/>
          <w:color w:val="000000"/>
          <w:shd w:val="clear" w:color="auto" w:fill="FFFFFF"/>
        </w:rPr>
        <w:t xml:space="preserve">a) </w:t>
      </w:r>
      <w:r w:rsidRPr="00565A86">
        <w:rPr>
          <w:rFonts w:ascii="Arial Narrow" w:hAnsi="Arial Narrow" w:cs="Arial"/>
          <w:color w:val="000000"/>
          <w:shd w:val="clear" w:color="auto" w:fill="FFFFFF"/>
        </w:rPr>
        <w:t xml:space="preserve">de la Convención sobre los Derechos del Niño, </w:t>
      </w:r>
      <w:r w:rsidR="0039259C" w:rsidRPr="00565A86">
        <w:rPr>
          <w:rFonts w:ascii="Arial Narrow" w:hAnsi="Arial Narrow" w:cs="Arial"/>
          <w:color w:val="000000"/>
          <w:shd w:val="clear" w:color="auto" w:fill="FFFFFF"/>
        </w:rPr>
        <w:t>en la Observación</w:t>
      </w:r>
      <w:r w:rsidRPr="00565A86">
        <w:rPr>
          <w:rFonts w:ascii="Arial Narrow" w:hAnsi="Arial Narrow" w:cs="Arial"/>
          <w:color w:val="000000"/>
          <w:shd w:val="clear" w:color="auto" w:fill="FFFFFF"/>
        </w:rPr>
        <w:t xml:space="preserve"> </w:t>
      </w:r>
      <w:r w:rsidR="0039259C" w:rsidRPr="00565A86">
        <w:rPr>
          <w:rFonts w:ascii="Arial Narrow" w:hAnsi="Arial Narrow" w:cs="Arial"/>
          <w:color w:val="000000"/>
          <w:shd w:val="clear" w:color="auto" w:fill="FFFFFF"/>
        </w:rPr>
        <w:t xml:space="preserve">sólo </w:t>
      </w:r>
      <w:r w:rsidRPr="00565A86">
        <w:rPr>
          <w:rFonts w:ascii="Arial Narrow" w:hAnsi="Arial Narrow" w:cs="Arial"/>
          <w:color w:val="000000"/>
          <w:shd w:val="clear" w:color="auto" w:fill="FFFFFF"/>
        </w:rPr>
        <w:t xml:space="preserve">se ahonda en la pena de </w:t>
      </w:r>
      <w:r w:rsidR="0039259C" w:rsidRPr="00565A86">
        <w:rPr>
          <w:rFonts w:ascii="Arial Narrow" w:hAnsi="Arial Narrow" w:cs="Arial"/>
          <w:color w:val="000000"/>
          <w:shd w:val="clear" w:color="auto" w:fill="FFFFFF"/>
        </w:rPr>
        <w:t xml:space="preserve">muerte y en la cadena perpetua. Por lo tanto, </w:t>
      </w:r>
      <w:r w:rsidRPr="00565A86">
        <w:rPr>
          <w:rFonts w:ascii="Arial Narrow" w:hAnsi="Arial Narrow" w:cs="Arial"/>
          <w:color w:val="000000"/>
          <w:shd w:val="clear" w:color="auto" w:fill="FFFFFF"/>
        </w:rPr>
        <w:t>se sugiere agregar un párrafo sobre la tortura y otros tratos o penas crueles, inhumanas o degradantes</w:t>
      </w:r>
      <w:r w:rsidR="0039259C" w:rsidRPr="00565A86">
        <w:rPr>
          <w:rFonts w:ascii="Arial Narrow" w:hAnsi="Arial Narrow" w:cs="Arial"/>
          <w:color w:val="000000"/>
          <w:shd w:val="clear" w:color="auto" w:fill="FFFFFF"/>
        </w:rPr>
        <w:t xml:space="preserve"> en contra de niñas, niños y adolescentes en conflicto con la ley</w:t>
      </w:r>
      <w:r w:rsidR="00381C5A" w:rsidRPr="00565A86">
        <w:rPr>
          <w:rStyle w:val="FootnoteReference"/>
          <w:rFonts w:ascii="Arial Narrow" w:hAnsi="Arial Narrow" w:cs="Arial"/>
          <w:color w:val="000000"/>
          <w:shd w:val="clear" w:color="auto" w:fill="FFFFFF"/>
        </w:rPr>
        <w:footnoteReference w:id="25"/>
      </w:r>
      <w:r w:rsidR="0039259C" w:rsidRPr="00565A86">
        <w:rPr>
          <w:rFonts w:ascii="Arial Narrow" w:hAnsi="Arial Narrow" w:cs="Arial"/>
          <w:color w:val="000000"/>
          <w:shd w:val="clear" w:color="auto" w:fill="FFFFFF"/>
        </w:rPr>
        <w:t>.</w:t>
      </w:r>
    </w:p>
    <w:p w14:paraId="119233F8" w14:textId="77777777" w:rsidR="00C6107D" w:rsidRPr="00565A86" w:rsidRDefault="00C6107D" w:rsidP="00C6107D">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108, sexta viñeta</w:t>
      </w:r>
    </w:p>
    <w:p w14:paraId="30E064DF" w14:textId="77777777" w:rsidR="00C6107D" w:rsidRPr="00565A86" w:rsidRDefault="00C6107D" w:rsidP="00C6107D">
      <w:pPr>
        <w:jc w:val="both"/>
        <w:rPr>
          <w:rFonts w:ascii="Arial Narrow" w:hAnsi="Arial Narrow" w:cs="Arial"/>
        </w:rPr>
      </w:pPr>
      <w:r w:rsidRPr="00565A86">
        <w:rPr>
          <w:rFonts w:ascii="Arial Narrow" w:hAnsi="Arial Narrow" w:cs="Arial"/>
          <w:color w:val="000000"/>
          <w:shd w:val="clear" w:color="auto" w:fill="FFFFFF"/>
        </w:rPr>
        <w:t xml:space="preserve">En cuanto al uso de la fuerza, se sugiere </w:t>
      </w:r>
      <w:r w:rsidR="00C52497" w:rsidRPr="00565A86">
        <w:rPr>
          <w:rFonts w:ascii="Arial Narrow" w:hAnsi="Arial Narrow" w:cs="Arial"/>
          <w:color w:val="000000"/>
          <w:shd w:val="clear" w:color="auto" w:fill="FFFFFF"/>
        </w:rPr>
        <w:t xml:space="preserve">especificar que </w:t>
      </w:r>
      <w:r w:rsidRPr="00565A86">
        <w:rPr>
          <w:rFonts w:ascii="Arial Narrow" w:hAnsi="Arial Narrow" w:cs="Arial"/>
          <w:color w:val="000000"/>
          <w:shd w:val="clear" w:color="auto" w:fill="FFFFFF"/>
        </w:rPr>
        <w:t>“</w:t>
      </w:r>
      <w:r w:rsidRPr="00565A86">
        <w:rPr>
          <w:rFonts w:ascii="Arial Narrow" w:hAnsi="Arial Narrow" w:cs="Arial"/>
          <w:color w:val="333333"/>
        </w:rPr>
        <w:t>los Estados tienen particulares y especiales deberes de prevención y protección en relación con el uso de la fuerza por parte de agentes de seguridad en situaciones en que están o puedan estar involucrados niños, niñas o adolescentes”</w:t>
      </w:r>
      <w:r w:rsidRPr="00565A86">
        <w:rPr>
          <w:rStyle w:val="FootnoteReference"/>
          <w:rFonts w:ascii="Arial Narrow" w:hAnsi="Arial Narrow" w:cs="Arial"/>
          <w:color w:val="333333"/>
        </w:rPr>
        <w:footnoteReference w:id="26"/>
      </w:r>
      <w:r w:rsidR="00C52497" w:rsidRPr="00565A86">
        <w:rPr>
          <w:rFonts w:ascii="Arial Narrow" w:hAnsi="Arial Narrow" w:cs="Arial"/>
          <w:color w:val="333333"/>
        </w:rPr>
        <w:t xml:space="preserve"> y que la fuerza sólo debe usarse en </w:t>
      </w:r>
      <w:r w:rsidR="00C52497" w:rsidRPr="00565A86">
        <w:rPr>
          <w:rFonts w:ascii="Arial Narrow" w:hAnsi="Arial Narrow" w:cs="Arial"/>
        </w:rPr>
        <w:t xml:space="preserve">circunstancias excepcionales, con el fin de protección, </w:t>
      </w:r>
      <w:r w:rsidRPr="00565A86">
        <w:rPr>
          <w:rFonts w:ascii="Arial Narrow" w:hAnsi="Arial Narrow" w:cs="Arial"/>
        </w:rPr>
        <w:t>por el menor tiempo posible y con el debido cuidado para impedir actos de fuerza innecesarios</w:t>
      </w:r>
      <w:r w:rsidRPr="00565A86">
        <w:rPr>
          <w:rStyle w:val="FootnoteReference"/>
          <w:rFonts w:ascii="Arial Narrow" w:hAnsi="Arial Narrow" w:cs="Arial"/>
        </w:rPr>
        <w:footnoteReference w:id="27"/>
      </w:r>
      <w:r w:rsidR="00C52497" w:rsidRPr="00565A86">
        <w:rPr>
          <w:rFonts w:ascii="Arial Narrow" w:hAnsi="Arial Narrow" w:cs="Arial"/>
        </w:rPr>
        <w:t>.</w:t>
      </w:r>
    </w:p>
    <w:p w14:paraId="62A88343" w14:textId="77777777" w:rsidR="00C52497" w:rsidRPr="00565A86" w:rsidRDefault="00BC530C" w:rsidP="00BC530C">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108, séptima viñeta</w:t>
      </w:r>
    </w:p>
    <w:p w14:paraId="75C0855E" w14:textId="77777777" w:rsidR="00E231D9" w:rsidRPr="00565A86" w:rsidRDefault="00BC530C" w:rsidP="00BC530C">
      <w:pPr>
        <w:jc w:val="both"/>
        <w:rPr>
          <w:rFonts w:ascii="Arial Narrow" w:hAnsi="Arial Narrow" w:cs="Arial"/>
          <w:color w:val="000000"/>
          <w:shd w:val="clear" w:color="auto" w:fill="FFFFFF"/>
        </w:rPr>
      </w:pPr>
      <w:r w:rsidRPr="00565A86">
        <w:rPr>
          <w:rFonts w:ascii="Arial Narrow" w:hAnsi="Arial Narrow" w:cs="Arial"/>
          <w:color w:val="000000"/>
          <w:shd w:val="clear" w:color="auto" w:fill="FFFFFF"/>
        </w:rPr>
        <w:t>Respecto de las medidas disciplinarias, se sugiere precisar que la imposición de estas medidas debe respetar las garantías del debido proceso</w:t>
      </w:r>
      <w:r w:rsidR="00A06C7B" w:rsidRPr="00565A86">
        <w:rPr>
          <w:rStyle w:val="FootnoteReference"/>
          <w:rFonts w:ascii="Arial Narrow" w:hAnsi="Arial Narrow" w:cs="Arial"/>
          <w:color w:val="000000"/>
          <w:shd w:val="clear" w:color="auto" w:fill="FFFFFF"/>
        </w:rPr>
        <w:footnoteReference w:id="28"/>
      </w:r>
      <w:r w:rsidRPr="00565A86">
        <w:rPr>
          <w:rFonts w:ascii="Arial Narrow" w:hAnsi="Arial Narrow" w:cs="Arial"/>
          <w:color w:val="000000"/>
          <w:shd w:val="clear" w:color="auto" w:fill="FFFFFF"/>
        </w:rPr>
        <w:t>, entre ellas, la garantía de audiencia y el derecho a una defensa adecuada.</w:t>
      </w:r>
      <w:r w:rsidR="00E231D9" w:rsidRPr="00565A86">
        <w:rPr>
          <w:rFonts w:ascii="Arial Narrow" w:hAnsi="Arial Narrow" w:cs="Arial"/>
          <w:color w:val="000000"/>
          <w:shd w:val="clear" w:color="auto" w:fill="FFFFFF"/>
        </w:rPr>
        <w:t xml:space="preserve"> </w:t>
      </w:r>
    </w:p>
    <w:p w14:paraId="47A07B45" w14:textId="77777777" w:rsidR="002F71B5" w:rsidRPr="00565A86" w:rsidRDefault="002F71B5" w:rsidP="002F71B5">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 108, octava viñeta</w:t>
      </w:r>
    </w:p>
    <w:p w14:paraId="17F4A73D" w14:textId="5F70918D" w:rsidR="00464B86" w:rsidRPr="00565A86" w:rsidRDefault="002F71B5" w:rsidP="00182700">
      <w:pPr>
        <w:jc w:val="both"/>
        <w:rPr>
          <w:rFonts w:ascii="Arial Narrow" w:hAnsi="Arial Narrow" w:cs="Arial"/>
          <w:color w:val="000000"/>
          <w:shd w:val="clear" w:color="auto" w:fill="FFFFFF"/>
        </w:rPr>
      </w:pPr>
      <w:r w:rsidRPr="00565A86">
        <w:rPr>
          <w:rFonts w:ascii="Arial Narrow" w:hAnsi="Arial Narrow" w:cs="Arial"/>
          <w:color w:val="000000"/>
          <w:shd w:val="clear" w:color="auto" w:fill="FFFFFF"/>
        </w:rPr>
        <w:t>Se recomienda precisar que el Estado debe garantizar mecanismos de queja o denuncias confidenciales sin represalias, que sean investigadas por una autoridad imparcial</w:t>
      </w:r>
      <w:r w:rsidRPr="00565A86">
        <w:rPr>
          <w:rStyle w:val="FootnoteReference"/>
          <w:rFonts w:ascii="Arial Narrow" w:hAnsi="Arial Narrow" w:cs="Arial"/>
          <w:color w:val="000000"/>
          <w:shd w:val="clear" w:color="auto" w:fill="FFFFFF"/>
        </w:rPr>
        <w:footnoteReference w:id="29"/>
      </w:r>
      <w:r w:rsidRPr="00565A86">
        <w:rPr>
          <w:rFonts w:ascii="Arial Narrow" w:hAnsi="Arial Narrow" w:cs="Arial"/>
          <w:color w:val="000000"/>
          <w:shd w:val="clear" w:color="auto" w:fill="FFFFFF"/>
        </w:rPr>
        <w:t>.</w:t>
      </w:r>
    </w:p>
    <w:p w14:paraId="0D7A5C51" w14:textId="77777777" w:rsidR="00182700" w:rsidRPr="00565A86" w:rsidRDefault="00182700" w:rsidP="00182700">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Párrafos 12, 108, 111 y 112:</w:t>
      </w:r>
    </w:p>
    <w:p w14:paraId="2A34436D" w14:textId="162643E5" w:rsidR="00182700" w:rsidRPr="00565A86" w:rsidRDefault="00182700" w:rsidP="00902796">
      <w:pPr>
        <w:jc w:val="both"/>
        <w:rPr>
          <w:rFonts w:ascii="Arial Narrow" w:hAnsi="Arial Narrow" w:cs="Arial"/>
          <w:color w:val="C00000"/>
          <w:shd w:val="clear" w:color="auto" w:fill="FFFFFF"/>
        </w:rPr>
      </w:pPr>
      <w:r w:rsidRPr="00565A86">
        <w:rPr>
          <w:rFonts w:ascii="Arial Narrow" w:hAnsi="Arial Narrow" w:cs="Arial"/>
          <w:color w:val="000000"/>
          <w:shd w:val="clear" w:color="auto" w:fill="FFFFFF"/>
        </w:rPr>
        <w:t>Al hacer referencia a los objetivos de la sanción penal y del sistema penal en su conjunto, se sugiere sustituir la “rehabilitación” por la “reinserción social”, ya que tal modificación en la terminología implica un cambio de paradigma sobre las finalidades de las penas y la importancia de los derechos humanos. Al sustituir “el término "readaptación </w:t>
      </w:r>
      <w:r w:rsidRPr="00565A86">
        <w:rPr>
          <w:rFonts w:ascii="Arial Narrow" w:hAnsi="Arial Narrow" w:cs="Arial"/>
          <w:bCs/>
          <w:color w:val="000000"/>
          <w:shd w:val="clear" w:color="auto" w:fill="FFFFFF"/>
        </w:rPr>
        <w:t>social</w:t>
      </w:r>
      <w:r w:rsidRPr="00565A86">
        <w:rPr>
          <w:rFonts w:ascii="Arial Narrow" w:hAnsi="Arial Narrow" w:cs="Arial"/>
          <w:color w:val="000000"/>
          <w:shd w:val="clear" w:color="auto" w:fill="FFFFFF"/>
        </w:rPr>
        <w:t>" por el de "</w:t>
      </w:r>
      <w:r w:rsidRPr="00565A86">
        <w:rPr>
          <w:rFonts w:ascii="Arial Narrow" w:hAnsi="Arial Narrow" w:cs="Arial"/>
          <w:bCs/>
          <w:color w:val="000000"/>
          <w:shd w:val="clear" w:color="auto" w:fill="FFFFFF"/>
        </w:rPr>
        <w:t>reinserción</w:t>
      </w:r>
      <w:r w:rsidRPr="00565A86">
        <w:rPr>
          <w:rFonts w:ascii="Arial Narrow" w:hAnsi="Arial Narrow" w:cs="Arial"/>
          <w:color w:val="000000"/>
          <w:shd w:val="clear" w:color="auto" w:fill="FFFFFF"/>
        </w:rPr>
        <w:t> del sentenciado a la sociedad" el cual, a diferencia del primero, reconoce a la delincuencia como un problema </w:t>
      </w:r>
      <w:r w:rsidRPr="00565A86">
        <w:rPr>
          <w:rFonts w:ascii="Arial Narrow" w:hAnsi="Arial Narrow" w:cs="Arial"/>
          <w:bCs/>
          <w:color w:val="000000"/>
          <w:shd w:val="clear" w:color="auto" w:fill="FFFFFF"/>
        </w:rPr>
        <w:t>social</w:t>
      </w:r>
      <w:r w:rsidRPr="00565A86">
        <w:rPr>
          <w:rFonts w:ascii="Arial Narrow" w:hAnsi="Arial Narrow" w:cs="Arial"/>
          <w:color w:val="000000"/>
          <w:shd w:val="clear" w:color="auto" w:fill="FFFFFF"/>
        </w:rPr>
        <w:t> y no individual, de forma que el fin de la prisión cambia radicalmente, pues ya no se intentará readaptar sino regresar al sujeto a la vida en sociedad, a través de diversos medios que fungen como herramienta y motor de transformación, tanto del entorno como de [la persona] privad[a] de su libertad. Así, en tanto se asume que quien comete un acto delictivo se aparta de la sociedad porque no se encuentra integrado a ella, para su </w:t>
      </w:r>
      <w:r w:rsidRPr="00565A86">
        <w:rPr>
          <w:rFonts w:ascii="Arial Narrow" w:hAnsi="Arial Narrow" w:cs="Arial"/>
          <w:bCs/>
          <w:color w:val="000000"/>
          <w:shd w:val="clear" w:color="auto" w:fill="FFFFFF"/>
        </w:rPr>
        <w:t>reinserción</w:t>
      </w:r>
      <w:r w:rsidRPr="00565A86">
        <w:rPr>
          <w:rFonts w:ascii="Arial Narrow" w:hAnsi="Arial Narrow" w:cs="Arial"/>
          <w:color w:val="000000"/>
          <w:shd w:val="clear" w:color="auto" w:fill="FFFFFF"/>
        </w:rPr>
        <w:t> se prevé un conjunto de actividades y programas que se diseñan y aplican para permitir a las personas condenadas a pena privativa de la libertad en los establecimientos de reclusión su regreso a la sociedad, cuestión que, […] no es posible sin una instrucción previa, creadora o revitalizadora de habilidades y hábitos laborales, así como la atención de la salud, la educación y el deporte.”</w:t>
      </w:r>
      <w:r w:rsidRPr="00565A86">
        <w:rPr>
          <w:rStyle w:val="FootnoteReference"/>
          <w:rFonts w:ascii="Arial Narrow" w:hAnsi="Arial Narrow" w:cs="Arial"/>
          <w:color w:val="000000"/>
          <w:shd w:val="clear" w:color="auto" w:fill="FFFFFF"/>
        </w:rPr>
        <w:footnoteReference w:id="30"/>
      </w:r>
      <w:r w:rsidRPr="00565A86">
        <w:rPr>
          <w:rFonts w:ascii="Arial Narrow" w:hAnsi="Arial Narrow" w:cs="Arial"/>
          <w:color w:val="000000"/>
          <w:shd w:val="clear" w:color="auto" w:fill="FFFFFF"/>
        </w:rPr>
        <w:t xml:space="preserve"> Como ha precisado la Suprema Corte de Justicia de la Nación</w:t>
      </w:r>
      <w:r w:rsidRPr="00565A86">
        <w:rPr>
          <w:rStyle w:val="FootnoteReference"/>
          <w:rFonts w:ascii="Arial Narrow" w:hAnsi="Arial Narrow" w:cs="Arial"/>
          <w:color w:val="000000"/>
          <w:shd w:val="clear" w:color="auto" w:fill="FFFFFF"/>
        </w:rPr>
        <w:footnoteReference w:id="31"/>
      </w:r>
      <w:r w:rsidRPr="00565A86">
        <w:rPr>
          <w:rFonts w:ascii="Arial Narrow" w:hAnsi="Arial Narrow" w:cs="Arial"/>
          <w:color w:val="000000"/>
          <w:shd w:val="clear" w:color="auto" w:fill="FFFFFF"/>
        </w:rPr>
        <w:t xml:space="preserve"> en México, la evolución histórica de esta terminología refleja el actual rechazo a considerar al autor del delito como una persona </w:t>
      </w:r>
      <w:r w:rsidRPr="00565A86">
        <w:rPr>
          <w:rFonts w:ascii="Arial Narrow" w:hAnsi="Arial Narrow" w:cs="Arial"/>
          <w:i/>
          <w:color w:val="000000"/>
          <w:shd w:val="clear" w:color="auto" w:fill="FFFFFF"/>
        </w:rPr>
        <w:t>degenerada, desadaptada o enferma</w:t>
      </w:r>
      <w:r w:rsidRPr="00565A86">
        <w:rPr>
          <w:rFonts w:ascii="Arial Narrow" w:hAnsi="Arial Narrow" w:cs="Arial"/>
          <w:color w:val="000000"/>
          <w:shd w:val="clear" w:color="auto" w:fill="FFFFFF"/>
        </w:rPr>
        <w:t xml:space="preserve"> que había que regenerar, readaptar o rehabilitar; en cambio, se acoge el enfoque de derechos humanos, como medio para lograr la reinserción y reintegración social.</w:t>
      </w:r>
      <w:r w:rsidR="00AC7E57" w:rsidRPr="00565A86">
        <w:rPr>
          <w:rFonts w:ascii="Arial Narrow" w:hAnsi="Arial Narrow" w:cs="Arial"/>
          <w:color w:val="000000"/>
          <w:shd w:val="clear" w:color="auto" w:fill="FFFFFF"/>
        </w:rPr>
        <w:t xml:space="preserve"> </w:t>
      </w:r>
    </w:p>
    <w:p w14:paraId="320B88B0" w14:textId="77777777" w:rsidR="00902796" w:rsidRPr="00565A86" w:rsidRDefault="00902796" w:rsidP="00902796">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 xml:space="preserve">Párrafos 124 y 125 </w:t>
      </w:r>
    </w:p>
    <w:p w14:paraId="7F87847A" w14:textId="6A345FB2" w:rsidR="00902796" w:rsidRPr="00565A86" w:rsidRDefault="00E92C95" w:rsidP="00902796">
      <w:pPr>
        <w:jc w:val="both"/>
        <w:rPr>
          <w:rFonts w:ascii="Arial Narrow" w:hAnsi="Arial Narrow" w:cs="Arial"/>
          <w:color w:val="C00000"/>
          <w:shd w:val="clear" w:color="auto" w:fill="FFFFFF"/>
        </w:rPr>
      </w:pPr>
      <w:r w:rsidRPr="00565A86">
        <w:rPr>
          <w:rFonts w:ascii="Arial Narrow" w:hAnsi="Arial Narrow" w:cs="Arial"/>
          <w:color w:val="000000"/>
          <w:shd w:val="clear" w:color="auto" w:fill="FFFFFF"/>
        </w:rPr>
        <w:t>Se sugiere señalar la necesidad de recopilar y analizar datos estadísticos</w:t>
      </w:r>
      <w:r w:rsidR="00902796" w:rsidRPr="00565A86">
        <w:rPr>
          <w:rFonts w:ascii="Arial Narrow" w:hAnsi="Arial Narrow" w:cs="Arial"/>
          <w:color w:val="000000"/>
          <w:shd w:val="clear" w:color="auto" w:fill="FFFFFF"/>
        </w:rPr>
        <w:t xml:space="preserve"> que permitan identificar prácticas discriminatorias e impactos desproporcionados en niñas, niños y adolescentes en situaciones interseccionales de vulnerabilidad, por </w:t>
      </w:r>
      <w:r w:rsidRPr="00565A86">
        <w:rPr>
          <w:rFonts w:ascii="Arial Narrow" w:hAnsi="Arial Narrow" w:cs="Arial"/>
          <w:color w:val="000000"/>
          <w:shd w:val="clear" w:color="auto" w:fill="FFFFFF"/>
        </w:rPr>
        <w:t>su pertenencia a un grupo étnico,</w:t>
      </w:r>
      <w:r w:rsidR="00902796" w:rsidRPr="00565A86">
        <w:rPr>
          <w:rFonts w:ascii="Arial Narrow" w:hAnsi="Arial Narrow" w:cs="Arial"/>
          <w:color w:val="000000"/>
          <w:shd w:val="clear" w:color="auto" w:fill="FFFFFF"/>
        </w:rPr>
        <w:t xml:space="preserve"> racial</w:t>
      </w:r>
      <w:r w:rsidRPr="00565A86">
        <w:rPr>
          <w:rFonts w:ascii="Arial Narrow" w:hAnsi="Arial Narrow" w:cs="Arial"/>
          <w:color w:val="000000"/>
          <w:shd w:val="clear" w:color="auto" w:fill="FFFFFF"/>
        </w:rPr>
        <w:t xml:space="preserve"> o social</w:t>
      </w:r>
      <w:r w:rsidR="00664321" w:rsidRPr="00565A86">
        <w:rPr>
          <w:rFonts w:ascii="Arial Narrow" w:hAnsi="Arial Narrow" w:cs="Arial"/>
          <w:color w:val="000000"/>
          <w:shd w:val="clear" w:color="auto" w:fill="FFFFFF"/>
        </w:rPr>
        <w:t xml:space="preserve">, estatus migratorio, </w:t>
      </w:r>
      <w:r w:rsidRPr="00565A86">
        <w:rPr>
          <w:rFonts w:ascii="Arial Narrow" w:hAnsi="Arial Narrow" w:cs="Arial"/>
          <w:color w:val="000000"/>
          <w:shd w:val="clear" w:color="auto" w:fill="FFFFFF"/>
        </w:rPr>
        <w:t>por vivir con una discapacidad o por</w:t>
      </w:r>
      <w:r w:rsidR="00902796" w:rsidRPr="00565A86">
        <w:rPr>
          <w:rFonts w:ascii="Arial Narrow" w:hAnsi="Arial Narrow" w:cs="Arial"/>
          <w:color w:val="000000"/>
          <w:shd w:val="clear" w:color="auto" w:fill="FFFFFF"/>
        </w:rPr>
        <w:t xml:space="preserve"> haber sido víctimas de trata de personas</w:t>
      </w:r>
      <w:r w:rsidRPr="00565A86">
        <w:rPr>
          <w:rFonts w:ascii="Arial Narrow" w:hAnsi="Arial Narrow" w:cs="Arial"/>
          <w:color w:val="000000"/>
          <w:shd w:val="clear" w:color="auto" w:fill="FFFFFF"/>
        </w:rPr>
        <w:t>. Tales datos resultan necesarios pa</w:t>
      </w:r>
      <w:r w:rsidR="00902796" w:rsidRPr="00565A86">
        <w:rPr>
          <w:rFonts w:ascii="Arial Narrow" w:hAnsi="Arial Narrow" w:cs="Arial"/>
          <w:color w:val="000000"/>
          <w:shd w:val="clear" w:color="auto" w:fill="FFFFFF"/>
        </w:rPr>
        <w:t>ra generar políticas de prevención efectivas, realizar las adecuaciones normativas necesarias y adopt</w:t>
      </w:r>
      <w:r w:rsidR="00337B72" w:rsidRPr="00565A86">
        <w:rPr>
          <w:rFonts w:ascii="Arial Narrow" w:hAnsi="Arial Narrow" w:cs="Arial"/>
          <w:color w:val="000000"/>
          <w:shd w:val="clear" w:color="auto" w:fill="FFFFFF"/>
        </w:rPr>
        <w:t>ar las salvaguardas pertinentes en todo el sistema de justicia para adolescentes.</w:t>
      </w:r>
      <w:r w:rsidR="006C1F4D" w:rsidRPr="00565A86">
        <w:rPr>
          <w:rFonts w:ascii="Arial Narrow" w:hAnsi="Arial Narrow" w:cs="Arial"/>
          <w:color w:val="000000"/>
          <w:shd w:val="clear" w:color="auto" w:fill="FFFFFF"/>
        </w:rPr>
        <w:t xml:space="preserve"> </w:t>
      </w:r>
    </w:p>
    <w:p w14:paraId="0CF23389" w14:textId="77777777" w:rsidR="00510727" w:rsidRPr="00565A86" w:rsidRDefault="005B5FBA" w:rsidP="00510727">
      <w:pPr>
        <w:jc w:val="both"/>
        <w:rPr>
          <w:rFonts w:ascii="Arial Narrow" w:hAnsi="Arial Narrow" w:cs="Arial"/>
          <w:b/>
          <w:color w:val="000000"/>
          <w:shd w:val="clear" w:color="auto" w:fill="FFFFFF"/>
        </w:rPr>
      </w:pPr>
      <w:r w:rsidRPr="00565A86">
        <w:rPr>
          <w:rFonts w:ascii="Arial Narrow" w:hAnsi="Arial Narrow" w:cs="Arial"/>
          <w:b/>
          <w:color w:val="000000"/>
          <w:shd w:val="clear" w:color="auto" w:fill="FFFFFF"/>
        </w:rPr>
        <w:t xml:space="preserve">Apartado G, </w:t>
      </w:r>
      <w:r w:rsidR="00510727" w:rsidRPr="00565A86">
        <w:rPr>
          <w:rFonts w:ascii="Arial Narrow" w:hAnsi="Arial Narrow" w:cs="Arial"/>
          <w:b/>
          <w:color w:val="000000"/>
          <w:shd w:val="clear" w:color="auto" w:fill="FFFFFF"/>
        </w:rPr>
        <w:t xml:space="preserve">Temas específicos </w:t>
      </w:r>
    </w:p>
    <w:p w14:paraId="42AFC1F2" w14:textId="3439C9BF" w:rsidR="009930A2" w:rsidRPr="00565A86" w:rsidRDefault="00510727" w:rsidP="008F3677">
      <w:pPr>
        <w:jc w:val="both"/>
        <w:rPr>
          <w:rFonts w:ascii="Arial Narrow" w:hAnsi="Arial Narrow" w:cs="Arial"/>
          <w:color w:val="C00000"/>
          <w:shd w:val="clear" w:color="auto" w:fill="FFFFFF"/>
        </w:rPr>
      </w:pPr>
      <w:r w:rsidRPr="00565A86">
        <w:rPr>
          <w:rFonts w:ascii="Arial Narrow" w:hAnsi="Arial Narrow" w:cs="Arial"/>
          <w:color w:val="000000"/>
          <w:shd w:val="clear" w:color="auto" w:fill="FFFFFF"/>
        </w:rPr>
        <w:t xml:space="preserve">Se sugiere incluir </w:t>
      </w:r>
      <w:r w:rsidR="005B5FBA" w:rsidRPr="00565A86">
        <w:rPr>
          <w:rFonts w:ascii="Arial Narrow" w:hAnsi="Arial Narrow" w:cs="Arial"/>
          <w:color w:val="000000"/>
          <w:shd w:val="clear" w:color="auto" w:fill="FFFFFF"/>
        </w:rPr>
        <w:t xml:space="preserve">como tema </w:t>
      </w:r>
      <w:r w:rsidRPr="00565A86">
        <w:rPr>
          <w:rFonts w:ascii="Arial Narrow" w:hAnsi="Arial Narrow" w:cs="Arial"/>
          <w:color w:val="000000"/>
          <w:shd w:val="clear" w:color="auto" w:fill="FFFFFF"/>
        </w:rPr>
        <w:t xml:space="preserve">el </w:t>
      </w:r>
      <w:r w:rsidR="005B5FBA" w:rsidRPr="00565A86">
        <w:rPr>
          <w:rFonts w:ascii="Arial Narrow" w:hAnsi="Arial Narrow" w:cs="Arial"/>
          <w:color w:val="000000"/>
          <w:shd w:val="clear" w:color="auto" w:fill="FFFFFF"/>
        </w:rPr>
        <w:t>“</w:t>
      </w:r>
      <w:r w:rsidRPr="00565A86">
        <w:rPr>
          <w:rFonts w:ascii="Arial Narrow" w:hAnsi="Arial Narrow" w:cs="Arial"/>
          <w:color w:val="000000"/>
          <w:shd w:val="clear" w:color="auto" w:fill="FFFFFF"/>
        </w:rPr>
        <w:t>riesgo de suicidio o lesiones autoinfligidas</w:t>
      </w:r>
      <w:r w:rsidR="005B5FBA" w:rsidRPr="00565A86">
        <w:rPr>
          <w:rFonts w:ascii="Arial Narrow" w:hAnsi="Arial Narrow" w:cs="Arial"/>
          <w:color w:val="000000"/>
          <w:shd w:val="clear" w:color="auto" w:fill="FFFFFF"/>
        </w:rPr>
        <w:t>”</w:t>
      </w:r>
      <w:r w:rsidR="00420575" w:rsidRPr="00565A86">
        <w:rPr>
          <w:rFonts w:ascii="Arial Narrow" w:hAnsi="Arial Narrow" w:cs="Arial"/>
          <w:color w:val="000000"/>
          <w:shd w:val="clear" w:color="auto" w:fill="FFFFFF"/>
        </w:rPr>
        <w:t xml:space="preserve">. </w:t>
      </w:r>
      <w:r w:rsidR="00420575" w:rsidRPr="00565A86">
        <w:rPr>
          <w:rFonts w:ascii="Arial Narrow" w:hAnsi="Arial Narrow" w:cs="Arial"/>
        </w:rPr>
        <w:t>En el Sistema Interamericano de Derechos Humanos</w:t>
      </w:r>
      <w:r w:rsidR="00124199" w:rsidRPr="00565A86">
        <w:rPr>
          <w:rFonts w:ascii="Arial Narrow" w:hAnsi="Arial Narrow" w:cs="Arial"/>
        </w:rPr>
        <w:t xml:space="preserve">, </w:t>
      </w:r>
      <w:r w:rsidR="00420575" w:rsidRPr="00565A86">
        <w:rPr>
          <w:rFonts w:ascii="Arial Narrow" w:hAnsi="Arial Narrow" w:cs="Arial"/>
        </w:rPr>
        <w:t xml:space="preserve">ha sido una preocupación reiterada que se </w:t>
      </w:r>
      <w:r w:rsidRPr="00565A86">
        <w:rPr>
          <w:rFonts w:ascii="Arial Narrow" w:hAnsi="Arial Narrow" w:cs="Arial"/>
        </w:rPr>
        <w:t>“debe erradicar concretamente los riesgos de atentados contra la vida e integridad personal de los internos, tanto en sus relaciones entre sí como por parte de los agentes estatales y garantizar que el régimen disciplinario respete sus derechos humanos”</w:t>
      </w:r>
      <w:r w:rsidRPr="00565A86">
        <w:rPr>
          <w:rStyle w:val="FootnoteReference"/>
          <w:rFonts w:ascii="Arial Narrow" w:hAnsi="Arial Narrow" w:cs="Arial"/>
        </w:rPr>
        <w:footnoteReference w:id="32"/>
      </w:r>
      <w:r w:rsidR="00420575" w:rsidRPr="00565A86">
        <w:rPr>
          <w:rFonts w:ascii="Arial Narrow" w:hAnsi="Arial Narrow" w:cs="Arial"/>
        </w:rPr>
        <w:t xml:space="preserve">. Lo cual </w:t>
      </w:r>
      <w:r w:rsidR="00420575" w:rsidRPr="00565A86">
        <w:rPr>
          <w:rFonts w:ascii="Arial Narrow" w:hAnsi="Arial Narrow" w:cs="Arial"/>
          <w:color w:val="000000"/>
          <w:shd w:val="clear" w:color="auto" w:fill="FFFFFF"/>
        </w:rPr>
        <w:t>adquiere mayor urgencia al considerar que “</w:t>
      </w:r>
      <w:r w:rsidR="00124199" w:rsidRPr="00565A86">
        <w:rPr>
          <w:rFonts w:ascii="Arial Narrow" w:hAnsi="Arial Narrow" w:cs="Arial"/>
          <w:color w:val="000000"/>
          <w:shd w:val="clear" w:color="auto" w:fill="FFFFFF"/>
        </w:rPr>
        <w:t>c</w:t>
      </w:r>
      <w:r w:rsidR="00420575" w:rsidRPr="00565A86">
        <w:rPr>
          <w:rFonts w:ascii="Arial Narrow" w:hAnsi="Arial Narrow" w:cs="Arial"/>
        </w:rPr>
        <w:t>ualquier niño privado de libertad corre mayor riesgo de sufrir depresión y ansiedad, con una mayor tendencia a experimentar enfermedades mentales y problemas de desarrollo, [aunado a que] los malos tratos durante la privación de libertad pueden causar mayores daños, y tienen mayor probabilidad de ser irreversibles, en los niños que en los adultos”</w:t>
      </w:r>
      <w:r w:rsidR="00420575" w:rsidRPr="00565A86">
        <w:rPr>
          <w:rStyle w:val="FootnoteReference"/>
          <w:rFonts w:ascii="Arial Narrow" w:hAnsi="Arial Narrow" w:cs="Arial"/>
        </w:rPr>
        <w:footnoteReference w:id="33"/>
      </w:r>
      <w:r w:rsidR="00420575" w:rsidRPr="00565A86">
        <w:rPr>
          <w:rFonts w:ascii="Arial Narrow" w:hAnsi="Arial Narrow" w:cs="Arial"/>
        </w:rPr>
        <w:t>.</w:t>
      </w:r>
      <w:r w:rsidR="00533148" w:rsidRPr="00565A86">
        <w:rPr>
          <w:rFonts w:ascii="Arial Narrow" w:hAnsi="Arial Narrow" w:cs="Arial"/>
          <w:color w:val="C00000"/>
          <w:shd w:val="clear" w:color="auto" w:fill="FFFFFF"/>
        </w:rPr>
        <w:t xml:space="preserve"> </w:t>
      </w:r>
    </w:p>
    <w:sectPr w:rsidR="009930A2" w:rsidRPr="00565A86" w:rsidSect="0058093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9A06" w14:textId="77777777" w:rsidR="00080FDB" w:rsidRDefault="00080FDB" w:rsidP="00EE370D">
      <w:pPr>
        <w:spacing w:after="0" w:line="240" w:lineRule="auto"/>
      </w:pPr>
      <w:r>
        <w:separator/>
      </w:r>
    </w:p>
  </w:endnote>
  <w:endnote w:type="continuationSeparator" w:id="0">
    <w:p w14:paraId="5D92D1CA" w14:textId="77777777" w:rsidR="00080FDB" w:rsidRDefault="00080FDB" w:rsidP="00EE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57673"/>
      <w:docPartObj>
        <w:docPartGallery w:val="Page Numbers (Bottom of Page)"/>
        <w:docPartUnique/>
      </w:docPartObj>
    </w:sdtPr>
    <w:sdtEndPr>
      <w:rPr>
        <w:rFonts w:ascii="Arial" w:hAnsi="Arial" w:cs="Arial"/>
      </w:rPr>
    </w:sdtEndPr>
    <w:sdtContent>
      <w:p w14:paraId="1F04576D" w14:textId="1DF3D3F4" w:rsidR="00D311D1" w:rsidRPr="00181CD8" w:rsidRDefault="00D311D1">
        <w:pPr>
          <w:pStyle w:val="Footer"/>
          <w:jc w:val="right"/>
          <w:rPr>
            <w:rFonts w:ascii="Arial" w:hAnsi="Arial" w:cs="Arial"/>
          </w:rPr>
        </w:pPr>
        <w:r w:rsidRPr="00181CD8">
          <w:rPr>
            <w:rFonts w:ascii="Arial" w:hAnsi="Arial" w:cs="Arial"/>
          </w:rPr>
          <w:fldChar w:fldCharType="begin"/>
        </w:r>
        <w:r w:rsidRPr="00181CD8">
          <w:rPr>
            <w:rFonts w:ascii="Arial" w:hAnsi="Arial" w:cs="Arial"/>
          </w:rPr>
          <w:instrText>PAGE   \* MERGEFORMAT</w:instrText>
        </w:r>
        <w:r w:rsidRPr="00181CD8">
          <w:rPr>
            <w:rFonts w:ascii="Arial" w:hAnsi="Arial" w:cs="Arial"/>
          </w:rPr>
          <w:fldChar w:fldCharType="separate"/>
        </w:r>
        <w:r w:rsidR="00274B71" w:rsidRPr="00274B71">
          <w:rPr>
            <w:rFonts w:ascii="Arial" w:hAnsi="Arial" w:cs="Arial"/>
            <w:noProof/>
            <w:lang w:val="es-ES"/>
          </w:rPr>
          <w:t>1</w:t>
        </w:r>
        <w:r w:rsidRPr="00181CD8">
          <w:rPr>
            <w:rFonts w:ascii="Arial" w:hAnsi="Arial" w:cs="Arial"/>
          </w:rPr>
          <w:fldChar w:fldCharType="end"/>
        </w:r>
      </w:p>
    </w:sdtContent>
  </w:sdt>
  <w:p w14:paraId="049AA234" w14:textId="77777777" w:rsidR="00D311D1" w:rsidRDefault="00D3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397A" w14:textId="77777777" w:rsidR="00080FDB" w:rsidRDefault="00080FDB" w:rsidP="00EE370D">
      <w:pPr>
        <w:spacing w:after="0" w:line="240" w:lineRule="auto"/>
      </w:pPr>
      <w:r>
        <w:separator/>
      </w:r>
    </w:p>
  </w:footnote>
  <w:footnote w:type="continuationSeparator" w:id="0">
    <w:p w14:paraId="6DAE7552" w14:textId="77777777" w:rsidR="00080FDB" w:rsidRDefault="00080FDB" w:rsidP="00EE370D">
      <w:pPr>
        <w:spacing w:after="0" w:line="240" w:lineRule="auto"/>
      </w:pPr>
      <w:r>
        <w:continuationSeparator/>
      </w:r>
    </w:p>
  </w:footnote>
  <w:footnote w:id="1">
    <w:p w14:paraId="76F145EE"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Comisión Interamericana de Derechos Humanos (CIDH), Justicia Juvenil y Derechos Humanos en las Américas, OEA/Ser.L/V/II., Doc. 78, Julio 13, 2011, párr. 101 y 102. </w:t>
      </w:r>
    </w:p>
  </w:footnote>
  <w:footnote w:id="2">
    <w:p w14:paraId="2114BA3E"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Interamericana de Derechos Humanos (Corte IDH), Condición Jurídica y Derechos Humanos del Niño.  Opinión Consultiva OC</w:t>
      </w:r>
      <w:r w:rsidRPr="00565A86">
        <w:rPr>
          <w:rFonts w:ascii="Cambria Math" w:hAnsi="Cambria Math" w:cs="Cambria Math"/>
          <w:sz w:val="18"/>
          <w:szCs w:val="18"/>
        </w:rPr>
        <w:t>‐</w:t>
      </w:r>
      <w:r w:rsidRPr="00565A86">
        <w:rPr>
          <w:rFonts w:ascii="Arial Narrow" w:hAnsi="Arial Narrow" w:cs="Arial"/>
          <w:sz w:val="18"/>
          <w:szCs w:val="18"/>
        </w:rPr>
        <w:t>17/02 del 28 de agosto de 2002.  Serie A No. 17, párr. 46.</w:t>
      </w:r>
    </w:p>
  </w:footnote>
  <w:footnote w:id="3">
    <w:p w14:paraId="33399CE3"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ONU, Informe del Relator Especial sobre la tortura y otros tratos o penas crueles, inhumanos o degradantes, Juan E. Méndez, A/HRC/28/685, marzo 2015, Consejo de Derechos Humanos, Sesión No. 28, párr. 86(g).</w:t>
      </w:r>
    </w:p>
  </w:footnote>
  <w:footnote w:id="4">
    <w:p w14:paraId="44448B6E"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Justicia Juvenil y Derechos Humanos en las Américas, OEA/Ser.L/V/II., Doc. 78, Julio 13, 2011, párr. 137.</w:t>
      </w:r>
    </w:p>
  </w:footnote>
  <w:footnote w:id="5">
    <w:p w14:paraId="14A5C212"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Convención sobre los Derechos del Niño, artículo 40.3; Convención Americana sobre Derechos Humanos, artículo 5.5; CIDH, Justicia Juvenil y Derechos Humanos en las Américas, OEA/Ser.L/V/II., Doc. 78, Julio 13, 2011, párr. 83-98; CIDH, La situación de niños y niñas y adolescentes en el sistema penal de justicia para adultos en Estados Unidos, OAS/Ser.L/V/II.167, Doc. 34, 1 de marzo de 2018, párr. 168;</w:t>
      </w:r>
    </w:p>
  </w:footnote>
  <w:footnote w:id="6">
    <w:p w14:paraId="3612EE7A"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Convención sobre los Derechos del Niño, artículo 40; Convención Americana sobre Derechos Humanos, artículos 7 y 9; Reglas de Tokio, reglas 3.1 y 11.1; CIDH, Justicia Juvenil y Derechos Humanos en las Américas, OEA/Ser.L/V/II., Doc. 78, Julio 13, 2011, párr. 61-74; Corte IDH, Condición Jurídica y Derechos Humanos del Niño. Opinión Consultiva OC</w:t>
      </w:r>
      <w:r w:rsidRPr="00565A86">
        <w:rPr>
          <w:rFonts w:ascii="Cambria Math" w:hAnsi="Cambria Math" w:cs="Cambria Math"/>
          <w:sz w:val="18"/>
          <w:szCs w:val="18"/>
        </w:rPr>
        <w:t>‐</w:t>
      </w:r>
      <w:r w:rsidRPr="00565A86">
        <w:rPr>
          <w:rFonts w:ascii="Arial Narrow" w:hAnsi="Arial Narrow" w:cs="Arial"/>
          <w:sz w:val="18"/>
          <w:szCs w:val="18"/>
        </w:rPr>
        <w:t>17/02 de 28 de agosto de 2002. Serie A No. 17, párr. 108.</w:t>
      </w:r>
    </w:p>
  </w:footnote>
  <w:footnote w:id="7">
    <w:p w14:paraId="0F53922B"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Justicia Juvenil y Derechos Humanos en las Américas, OEA/Ser.L/V/II., Doc. 78, Julio 13, 2011, párr. 139-144.</w:t>
      </w:r>
    </w:p>
  </w:footnote>
  <w:footnote w:id="8">
    <w:p w14:paraId="141B38EA"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Convención sobre los Derechos del Niño, artículo 37.b); Convención Americana sobre Derechos Humanos, artículo 19; CIDH, Justicia Juvenil y Derechos Humanos en las Américas, OEA/Ser.L/V/II., Doc. 78, Julio 13, 2011, párr.75-80.</w:t>
      </w:r>
    </w:p>
  </w:footnote>
  <w:footnote w:id="9">
    <w:p w14:paraId="736332CF"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Ley Nacional del Sistema Integral de Justicia Penal para Adolescentes, Diario Oficial de la Federación, 16 de junio de 2016, artículo 33: Los procesos en los que están involucradas personas adolescentes se realizarán sin demora y con la mínima duración posible, por lo que las autoridades y órganos operadores del Sistema, deberán ejercer sus funciones y atender las solicitudes de los interesados con prontitud y eficacia, sin causar dilaciones injustificadas, siempre que no afecte el derecho de defensa</w:t>
      </w:r>
      <w:r w:rsidRPr="00565A86">
        <w:rPr>
          <w:rFonts w:ascii="Arial Narrow" w:hAnsi="Arial Narrow" w:cs="Arial"/>
          <w:b/>
          <w:sz w:val="18"/>
          <w:szCs w:val="18"/>
        </w:rPr>
        <w:t xml:space="preserve">. </w:t>
      </w:r>
    </w:p>
  </w:footnote>
  <w:footnote w:id="10">
    <w:p w14:paraId="2528B9A7"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w:t>
      </w:r>
      <w:r w:rsidRPr="00565A86">
        <w:rPr>
          <w:rFonts w:ascii="Arial Narrow" w:hAnsi="Arial Narrow" w:cs="Arial"/>
          <w:sz w:val="18"/>
          <w:szCs w:val="18"/>
          <w:shd w:val="clear" w:color="auto" w:fill="FFFFFF"/>
        </w:rPr>
        <w:t>Convención de los Derechos del Niño, artículo 31.</w:t>
      </w:r>
    </w:p>
  </w:footnote>
  <w:footnote w:id="11">
    <w:p w14:paraId="26670673"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358.</w:t>
      </w:r>
    </w:p>
  </w:footnote>
  <w:footnote w:id="12">
    <w:p w14:paraId="596F27E4"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41; Convención Americana sobre Derechos Humanos, artículo 8; Pacto Internacional de Derechos Civiles y Políticos, artículo 14.</w:t>
      </w:r>
    </w:p>
  </w:footnote>
  <w:footnote w:id="13">
    <w:p w14:paraId="185A45EC"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Convención Americana sobre Derechos Humanos, artículo 25; Pacto Internacional de Derechos Civiles y Políticos, artículo 2.3.</w:t>
      </w:r>
    </w:p>
  </w:footnote>
  <w:footnote w:id="14">
    <w:p w14:paraId="5A393E62"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Convención sobre los Derechos del Niño, </w:t>
      </w:r>
      <w:r w:rsidRPr="00565A86">
        <w:rPr>
          <w:rFonts w:ascii="Arial Narrow" w:hAnsi="Arial Narrow" w:cs="Arial"/>
          <w:sz w:val="18"/>
          <w:szCs w:val="18"/>
          <w:shd w:val="clear" w:color="auto" w:fill="FFFFFF"/>
        </w:rPr>
        <w:t>artículo 40.2 b) ii).</w:t>
      </w:r>
    </w:p>
  </w:footnote>
  <w:footnote w:id="15">
    <w:p w14:paraId="611B12A9"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IDH, Caso Mendoza y otros Vs. Argentina. Excepciones Preliminares, Fondo y Reparaciones. Sentencia de 14 de mayo de 2013 Serie C No. 260, párr. 149.</w:t>
      </w:r>
    </w:p>
  </w:footnote>
  <w:footnote w:id="16">
    <w:p w14:paraId="66A7CE29"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166.</w:t>
      </w:r>
    </w:p>
  </w:footnote>
  <w:footnote w:id="17">
    <w:p w14:paraId="4E9CE2E5"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168.</w:t>
      </w:r>
    </w:p>
  </w:footnote>
  <w:footnote w:id="18">
    <w:p w14:paraId="73B94986"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IDH, Derechos y garantías de niñas y niños en el contexto de la migración y/o en necesidad de protección internacional. Opinión Consultiva OC-21/14 de 19 de agosto de 2014, párr. 204.</w:t>
      </w:r>
    </w:p>
  </w:footnote>
  <w:footnote w:id="19">
    <w:p w14:paraId="26468DD2"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Ley Nacional del Sistema Integral de Justicia Penal para Adolescentes, Diario Oficial de la Federación, 16 de junio de 2016, artículo 41.</w:t>
      </w:r>
    </w:p>
  </w:footnote>
  <w:footnote w:id="20">
    <w:p w14:paraId="7BBB79BE"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lang w:val="en-US"/>
        </w:rPr>
        <w:t xml:space="preserve"> Véase, UN, Human Rights Council, </w:t>
      </w:r>
      <w:r w:rsidRPr="00565A86">
        <w:rPr>
          <w:rFonts w:ascii="Arial Narrow" w:hAnsi="Arial Narrow" w:cs="Arial"/>
          <w:sz w:val="18"/>
          <w:szCs w:val="18"/>
          <w:lang w:val="en-GB"/>
        </w:rPr>
        <w:t xml:space="preserve">Report of the Special Rapporteur on torture and other cruel, inhuman or degrading treatment or punishment, A/HRC/31/57, 5 January 2016, </w:t>
      </w:r>
      <w:r w:rsidRPr="00565A86">
        <w:rPr>
          <w:rFonts w:ascii="Arial Narrow" w:hAnsi="Arial Narrow" w:cs="Arial"/>
          <w:sz w:val="18"/>
          <w:szCs w:val="18"/>
          <w:lang w:val="en-US"/>
        </w:rPr>
        <w:t xml:space="preserve">párr. </w:t>
      </w:r>
      <w:r w:rsidRPr="00565A86">
        <w:rPr>
          <w:rFonts w:ascii="Arial Narrow" w:hAnsi="Arial Narrow" w:cs="Arial"/>
          <w:sz w:val="18"/>
          <w:szCs w:val="18"/>
        </w:rPr>
        <w:t>30</w:t>
      </w:r>
    </w:p>
  </w:footnote>
  <w:footnote w:id="21">
    <w:p w14:paraId="623A60A9"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Convención sobre los Derechos de las Personas con Discapacidad, artículo 13.</w:t>
      </w:r>
    </w:p>
  </w:footnote>
  <w:footnote w:id="22">
    <w:p w14:paraId="749B304C"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w:t>
      </w:r>
      <w:r w:rsidRPr="00565A86">
        <w:rPr>
          <w:rFonts w:ascii="Arial Narrow" w:eastAsia="Arial" w:hAnsi="Arial Narrow" w:cs="Arial"/>
          <w:color w:val="000000"/>
          <w:sz w:val="18"/>
          <w:szCs w:val="18"/>
        </w:rPr>
        <w:t>Convenio 169 de la OIT, artículos 10 y 12; Convención Americana sobre Derechos Humanos, artículo 8.2, inciso a); Declaración de las Naciones Unidas sobre los Derechos de los Pueblos indígenas, artículo 13.2.</w:t>
      </w:r>
    </w:p>
  </w:footnote>
  <w:footnote w:id="23">
    <w:p w14:paraId="0098CBF3"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w:t>
      </w:r>
      <w:r w:rsidRPr="00565A86">
        <w:rPr>
          <w:rFonts w:ascii="Arial Narrow" w:eastAsia="Arial Narrow" w:hAnsi="Arial Narrow" w:cs="Arial"/>
          <w:color w:val="000000"/>
          <w:sz w:val="18"/>
          <w:szCs w:val="18"/>
        </w:rPr>
        <w:t>Corte IDH, Caso Tiu Tojín vs. Guatemala. Fondo, Reparaciones y Costas</w:t>
      </w:r>
      <w:r w:rsidRPr="00565A86">
        <w:rPr>
          <w:rFonts w:ascii="Arial Narrow" w:eastAsia="Arial Narrow" w:hAnsi="Arial Narrow" w:cs="Arial"/>
          <w:i/>
          <w:color w:val="000000"/>
          <w:sz w:val="18"/>
          <w:szCs w:val="18"/>
        </w:rPr>
        <w:t>.</w:t>
      </w:r>
      <w:r w:rsidRPr="00565A86">
        <w:rPr>
          <w:rFonts w:ascii="Arial Narrow" w:eastAsia="Arial Narrow" w:hAnsi="Arial Narrow" w:cs="Arial"/>
          <w:color w:val="000000"/>
          <w:sz w:val="18"/>
          <w:szCs w:val="18"/>
        </w:rPr>
        <w:t xml:space="preserve"> Sentencia de 26 de noviembre de 2008. Serie C No. 190, párr. 100</w:t>
      </w:r>
    </w:p>
  </w:footnote>
  <w:footnote w:id="24">
    <w:p w14:paraId="00D4D1F8"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Véase </w:t>
      </w:r>
      <w:r w:rsidRPr="00565A86">
        <w:rPr>
          <w:rStyle w:val="Strong"/>
          <w:rFonts w:ascii="Arial Narrow" w:hAnsi="Arial Narrow" w:cs="Arial"/>
          <w:b w:val="0"/>
          <w:color w:val="000000"/>
          <w:sz w:val="18"/>
          <w:szCs w:val="18"/>
          <w:shd w:val="clear" w:color="auto" w:fill="FFFFFF"/>
        </w:rPr>
        <w:t>Corte IDH, Caso Rosendo Cantú y otra Vs. México. Excepción Preliminar, Fondo, Reparaciones y Costas. Sentencia de 31 de agosto de 2010. Serie C No. 216, párr. 185.</w:t>
      </w:r>
    </w:p>
  </w:footnote>
  <w:footnote w:id="25">
    <w:p w14:paraId="7F87BC68"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Véase </w:t>
      </w:r>
      <w:r w:rsidRPr="00565A86">
        <w:rPr>
          <w:rFonts w:ascii="Arial Narrow" w:hAnsi="Arial Narrow" w:cs="Arial"/>
          <w:sz w:val="18"/>
          <w:szCs w:val="18"/>
        </w:rPr>
        <w:t>CIDH, Justicia Juvenil y Derechos Humanos en las Américas, OEA/Ser.L/V/II., Doc. 78, Julio 13, 2011, párr. 452, 457 y 460.</w:t>
      </w:r>
    </w:p>
  </w:footnote>
  <w:footnote w:id="26">
    <w:p w14:paraId="1553D8A8"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IDH, Caso García Ibarra y otros Vs. Ecuador. Excepciones Preliminares, Fondo, Reparaciones y Costas. Sentencia de 17 de noviembre de 2015. Serie C No. 306, párr. 117.</w:t>
      </w:r>
    </w:p>
  </w:footnote>
  <w:footnote w:id="27">
    <w:p w14:paraId="4CAB5B5B"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IDH, Asunto de la Unidad de Internación Socioeducativa respecto de Brasil. Resolución de la Corte Interamericana de Derechos Humanos del 26 de abril de 2012, Considerando vigésimo segundo.</w:t>
      </w:r>
    </w:p>
  </w:footnote>
  <w:footnote w:id="28">
    <w:p w14:paraId="64DC7FFB"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Véase CIDH, Principios y buenas prácticas sobre la Protección de las Personas Privadas de la Libertad en la Américas, Principio XXII; Corte IDH, Caso del Tribunal Constitucional Vs. Perú. Fondo, Reparaciones y Costas. Sentencia de 31 de enero de 2001. Serie C No. 71, párr. 71.</w:t>
      </w:r>
    </w:p>
  </w:footnote>
  <w:footnote w:id="29">
    <w:p w14:paraId="7A26BCC9"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339 y 342.</w:t>
      </w:r>
    </w:p>
  </w:footnote>
  <w:footnote w:id="30">
    <w:p w14:paraId="3B256DD8"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Pleno de la Suprema Corte de Justicia de la Nación, Reinserción del sentenciado a la sociedad. Su alcance conforme al artículo 18 de la constitución política de los estados unidos mexicanos. Tesis de Jurisprudencia: P./J. 31/2013 (10a.), Décima época, Gaceta del Semanario Judicial de la Federación, Libro 1,</w:t>
      </w:r>
      <w:r w:rsidRPr="00565A86">
        <w:rPr>
          <w:rFonts w:ascii="Arial Narrow" w:hAnsi="Arial Narrow" w:cs="Calibri"/>
          <w:color w:val="444444"/>
          <w:sz w:val="18"/>
          <w:szCs w:val="18"/>
        </w:rPr>
        <w:t xml:space="preserve"> </w:t>
      </w:r>
      <w:r w:rsidRPr="00565A86">
        <w:rPr>
          <w:rFonts w:ascii="Arial Narrow" w:hAnsi="Arial Narrow"/>
          <w:sz w:val="18"/>
          <w:szCs w:val="18"/>
        </w:rPr>
        <w:t>Diciembre de 2013, Tomo I, pág. 124</w:t>
      </w:r>
    </w:p>
  </w:footnote>
  <w:footnote w:id="31">
    <w:p w14:paraId="25F3D701" w14:textId="77777777" w:rsidR="00D311D1" w:rsidRPr="00565A86" w:rsidRDefault="00D311D1" w:rsidP="00565A86">
      <w:pPr>
        <w:pStyle w:val="FootnoteText"/>
        <w:jc w:val="both"/>
        <w:rPr>
          <w:rFonts w:ascii="Arial Narrow" w:hAnsi="Arial Narrow"/>
          <w:sz w:val="18"/>
          <w:szCs w:val="18"/>
        </w:rPr>
      </w:pPr>
      <w:r w:rsidRPr="00565A86">
        <w:rPr>
          <w:rStyle w:val="FootnoteReference"/>
          <w:rFonts w:ascii="Arial Narrow" w:hAnsi="Arial Narrow"/>
          <w:sz w:val="18"/>
          <w:szCs w:val="18"/>
        </w:rPr>
        <w:footnoteRef/>
      </w:r>
      <w:r w:rsidRPr="00565A86">
        <w:rPr>
          <w:rFonts w:ascii="Arial Narrow" w:hAnsi="Arial Narrow"/>
          <w:sz w:val="18"/>
          <w:szCs w:val="18"/>
        </w:rPr>
        <w:t xml:space="preserve"> Suprema Corte de Justicia de la Nación, Primera Sala, Reinserción social. Alcances de este principio establecido en el artículo 18, párrafo segundo, de la constitución política de los estados unidos mexicanos. Décima Época, Tesis: 1a. CCXXI/2016 (10a.), Gaceta del Semanario Judicial de la Federación, Libro 34, Septiembre de 2016, Tomo I, pág. 509.</w:t>
      </w:r>
    </w:p>
  </w:footnote>
  <w:footnote w:id="32">
    <w:p w14:paraId="168C0B8C"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Corte IDH, Asunto de la Unidad de Internación Socioeducativa respecto de Brasil. Resolución de la Corte Interamericana de Derechos Humanos de 26 de abril de 2012, párr. 21.</w:t>
      </w:r>
    </w:p>
  </w:footnote>
  <w:footnote w:id="33">
    <w:p w14:paraId="15A3A698" w14:textId="77777777" w:rsidR="00D311D1" w:rsidRPr="00565A86" w:rsidRDefault="00D311D1" w:rsidP="00565A86">
      <w:pPr>
        <w:pStyle w:val="FootnoteText"/>
        <w:jc w:val="both"/>
        <w:rPr>
          <w:rFonts w:ascii="Arial Narrow" w:hAnsi="Arial Narrow" w:cs="Arial"/>
          <w:sz w:val="18"/>
          <w:szCs w:val="18"/>
        </w:rPr>
      </w:pPr>
      <w:r w:rsidRPr="00565A86">
        <w:rPr>
          <w:rStyle w:val="FootnoteReference"/>
          <w:rFonts w:ascii="Arial Narrow" w:hAnsi="Arial Narrow" w:cs="Arial"/>
          <w:sz w:val="18"/>
          <w:szCs w:val="18"/>
        </w:rPr>
        <w:footnoteRef/>
      </w:r>
      <w:r w:rsidRPr="00565A86">
        <w:rPr>
          <w:rFonts w:ascii="Arial Narrow" w:hAnsi="Arial Narrow" w:cs="Arial"/>
          <w:sz w:val="18"/>
          <w:szCs w:val="18"/>
        </w:rPr>
        <w:t xml:space="preserve"> CIDH, La situación de niños y niñas y adolescentes en el sistema penal de justicia para adultos en Estados Unidos, OAS/Ser.L/V/II.167, Doc. 34, 1 de marzo de 2018, párr. 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A236" w14:textId="1863F69D" w:rsidR="00D311D1" w:rsidRPr="00BD5541" w:rsidRDefault="00D311D1" w:rsidP="00181CD8">
    <w:pPr>
      <w:pStyle w:val="Header"/>
      <w:jc w:val="right"/>
      <w:rPr>
        <w:rFonts w:ascii="Arial Narrow" w:hAnsi="Arial Narrow" w:cs="Arial"/>
        <w:b/>
        <w:sz w:val="18"/>
      </w:rPr>
    </w:pPr>
    <w:r w:rsidRPr="00BD5541">
      <w:rPr>
        <w:rFonts w:ascii="Arial Narrow" w:eastAsia="Arial" w:hAnsi="Arial Narrow" w:cs="Arial"/>
        <w:b/>
        <w:noProof/>
        <w:szCs w:val="28"/>
        <w:lang w:val="en-GB" w:eastAsia="en-GB"/>
      </w:rPr>
      <w:drawing>
        <wp:anchor distT="0" distB="0" distL="114300" distR="114300" simplePos="0" relativeHeight="251658240" behindDoc="1" locked="0" layoutInCell="1" allowOverlap="1" wp14:anchorId="0A9672E8" wp14:editId="48C2DEFC">
          <wp:simplePos x="0" y="0"/>
          <wp:positionH relativeFrom="column">
            <wp:posOffset>-239120</wp:posOffset>
          </wp:positionH>
          <wp:positionV relativeFrom="paragraph">
            <wp:posOffset>-237849</wp:posOffset>
          </wp:positionV>
          <wp:extent cx="523875" cy="542925"/>
          <wp:effectExtent l="0" t="0" r="9525" b="9525"/>
          <wp:wrapTight wrapText="bothSides">
            <wp:wrapPolygon edited="0">
              <wp:start x="0" y="0"/>
              <wp:lineTo x="0" y="21221"/>
              <wp:lineTo x="21207" y="21221"/>
              <wp:lineTo x="21207"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23875" cy="542925"/>
                  </a:xfrm>
                  <a:prstGeom prst="rect">
                    <a:avLst/>
                  </a:prstGeom>
                  <a:ln/>
                </pic:spPr>
              </pic:pic>
            </a:graphicData>
          </a:graphic>
        </wp:anchor>
      </w:drawing>
    </w:r>
    <w:r w:rsidRPr="00BD5541">
      <w:rPr>
        <w:rFonts w:ascii="Arial Narrow" w:hAnsi="Arial Narrow" w:cs="Arial"/>
        <w:b/>
        <w:sz w:val="18"/>
      </w:rPr>
      <w:t>Comisión de Derechos Humanos del Distrito Federal</w:t>
    </w:r>
  </w:p>
  <w:p w14:paraId="4DF89D75" w14:textId="4A06CF79" w:rsidR="00533148" w:rsidRPr="00BD5541" w:rsidRDefault="00533148" w:rsidP="00181CD8">
    <w:pPr>
      <w:pStyle w:val="Header"/>
      <w:jc w:val="right"/>
      <w:rPr>
        <w:rFonts w:ascii="Arial Narrow" w:hAnsi="Arial Narrow" w:cs="Arial"/>
        <w:sz w:val="18"/>
      </w:rPr>
    </w:pPr>
    <w:r w:rsidRPr="00BD5541">
      <w:rPr>
        <w:rFonts w:ascii="Arial Narrow" w:hAnsi="Arial Narrow" w:cs="Arial"/>
        <w:sz w:val="18"/>
      </w:rPr>
      <w:t>Dirección Ejecutiva de Vinculación Estratégica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76A"/>
    <w:multiLevelType w:val="hybridMultilevel"/>
    <w:tmpl w:val="F4087A0C"/>
    <w:lvl w:ilvl="0" w:tplc="7EF8859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E91C4B"/>
    <w:multiLevelType w:val="hybridMultilevel"/>
    <w:tmpl w:val="F476FB74"/>
    <w:lvl w:ilvl="0" w:tplc="3A10F22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605ADF"/>
    <w:multiLevelType w:val="hybridMultilevel"/>
    <w:tmpl w:val="928C6B9C"/>
    <w:lvl w:ilvl="0" w:tplc="4F502FBC">
      <w:start w:val="5"/>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EB13F6"/>
    <w:multiLevelType w:val="hybridMultilevel"/>
    <w:tmpl w:val="6380BAE6"/>
    <w:lvl w:ilvl="0" w:tplc="BD46CD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8685243"/>
    <w:multiLevelType w:val="hybridMultilevel"/>
    <w:tmpl w:val="2CAE876E"/>
    <w:lvl w:ilvl="0" w:tplc="81D41B56">
      <w:start w:val="5"/>
      <w:numFmt w:val="bullet"/>
      <w:lvlText w:val="-"/>
      <w:lvlJc w:val="left"/>
      <w:pPr>
        <w:ind w:left="1800" w:hanging="360"/>
      </w:pPr>
      <w:rPr>
        <w:rFonts w:ascii="Arial Narrow" w:eastAsiaTheme="minorHAnsi" w:hAnsi="Arial Narrow"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69082C11"/>
    <w:multiLevelType w:val="hybridMultilevel"/>
    <w:tmpl w:val="9D2AF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5E7013"/>
    <w:multiLevelType w:val="hybridMultilevel"/>
    <w:tmpl w:val="B5CA9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E4E92"/>
    <w:multiLevelType w:val="hybridMultilevel"/>
    <w:tmpl w:val="56E86FB2"/>
    <w:lvl w:ilvl="0" w:tplc="6BACFF00">
      <w:start w:val="5"/>
      <w:numFmt w:val="bullet"/>
      <w:lvlText w:val="-"/>
      <w:lvlJc w:val="left"/>
      <w:pPr>
        <w:ind w:left="1800" w:hanging="360"/>
      </w:pPr>
      <w:rPr>
        <w:rFonts w:ascii="Arial Narrow" w:eastAsiaTheme="minorHAnsi" w:hAnsi="Arial Narrow"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F4"/>
    <w:rsid w:val="000118C5"/>
    <w:rsid w:val="00022092"/>
    <w:rsid w:val="000256D7"/>
    <w:rsid w:val="00030B6F"/>
    <w:rsid w:val="00037A20"/>
    <w:rsid w:val="0007028D"/>
    <w:rsid w:val="00077768"/>
    <w:rsid w:val="00080FDB"/>
    <w:rsid w:val="000870E3"/>
    <w:rsid w:val="00092AA1"/>
    <w:rsid w:val="000C0A5A"/>
    <w:rsid w:val="000C1348"/>
    <w:rsid w:val="000D1142"/>
    <w:rsid w:val="000D3030"/>
    <w:rsid w:val="000D441F"/>
    <w:rsid w:val="000D5E68"/>
    <w:rsid w:val="000E55ED"/>
    <w:rsid w:val="00101503"/>
    <w:rsid w:val="00124199"/>
    <w:rsid w:val="00134985"/>
    <w:rsid w:val="0016360D"/>
    <w:rsid w:val="001636EA"/>
    <w:rsid w:val="00176AED"/>
    <w:rsid w:val="00181CD8"/>
    <w:rsid w:val="00182700"/>
    <w:rsid w:val="001A0232"/>
    <w:rsid w:val="001A380E"/>
    <w:rsid w:val="001C55E2"/>
    <w:rsid w:val="001C7FD0"/>
    <w:rsid w:val="001F20AC"/>
    <w:rsid w:val="001F5496"/>
    <w:rsid w:val="0020555A"/>
    <w:rsid w:val="00216AB5"/>
    <w:rsid w:val="0026498B"/>
    <w:rsid w:val="00274B71"/>
    <w:rsid w:val="002773EC"/>
    <w:rsid w:val="00286BFE"/>
    <w:rsid w:val="00297783"/>
    <w:rsid w:val="002A2FAB"/>
    <w:rsid w:val="002A5961"/>
    <w:rsid w:val="002D4953"/>
    <w:rsid w:val="002E5BFD"/>
    <w:rsid w:val="002F4061"/>
    <w:rsid w:val="002F71B5"/>
    <w:rsid w:val="00307CD0"/>
    <w:rsid w:val="00322F40"/>
    <w:rsid w:val="00326B4F"/>
    <w:rsid w:val="003339C1"/>
    <w:rsid w:val="00333C46"/>
    <w:rsid w:val="00337B72"/>
    <w:rsid w:val="00343F79"/>
    <w:rsid w:val="00346A03"/>
    <w:rsid w:val="00364412"/>
    <w:rsid w:val="003665B4"/>
    <w:rsid w:val="00366C4C"/>
    <w:rsid w:val="00370A29"/>
    <w:rsid w:val="00381C5A"/>
    <w:rsid w:val="00387CB9"/>
    <w:rsid w:val="003921E4"/>
    <w:rsid w:val="0039259C"/>
    <w:rsid w:val="00395D21"/>
    <w:rsid w:val="00397C76"/>
    <w:rsid w:val="003A1F3A"/>
    <w:rsid w:val="003A1FFA"/>
    <w:rsid w:val="003C3051"/>
    <w:rsid w:val="003C5B24"/>
    <w:rsid w:val="003C685B"/>
    <w:rsid w:val="003D754D"/>
    <w:rsid w:val="003E0052"/>
    <w:rsid w:val="003E26DE"/>
    <w:rsid w:val="003E39CB"/>
    <w:rsid w:val="00413853"/>
    <w:rsid w:val="00413F1B"/>
    <w:rsid w:val="00420575"/>
    <w:rsid w:val="00431999"/>
    <w:rsid w:val="00432F74"/>
    <w:rsid w:val="004645F3"/>
    <w:rsid w:val="00464B86"/>
    <w:rsid w:val="00493115"/>
    <w:rsid w:val="004A15D7"/>
    <w:rsid w:val="004A329F"/>
    <w:rsid w:val="004A3D23"/>
    <w:rsid w:val="004A4C2B"/>
    <w:rsid w:val="004D4CDE"/>
    <w:rsid w:val="004F2ED7"/>
    <w:rsid w:val="005009B8"/>
    <w:rsid w:val="00501E64"/>
    <w:rsid w:val="00507DDD"/>
    <w:rsid w:val="00510727"/>
    <w:rsid w:val="00511B6A"/>
    <w:rsid w:val="00530829"/>
    <w:rsid w:val="00533148"/>
    <w:rsid w:val="00533B24"/>
    <w:rsid w:val="00534721"/>
    <w:rsid w:val="00540F19"/>
    <w:rsid w:val="00550DD1"/>
    <w:rsid w:val="005635C5"/>
    <w:rsid w:val="00565A86"/>
    <w:rsid w:val="005730A3"/>
    <w:rsid w:val="00573152"/>
    <w:rsid w:val="00580934"/>
    <w:rsid w:val="00585CBE"/>
    <w:rsid w:val="00596C4F"/>
    <w:rsid w:val="005B5FBA"/>
    <w:rsid w:val="005D1878"/>
    <w:rsid w:val="005D2D33"/>
    <w:rsid w:val="005D460B"/>
    <w:rsid w:val="005F38C2"/>
    <w:rsid w:val="005F3EC5"/>
    <w:rsid w:val="006213CE"/>
    <w:rsid w:val="00635839"/>
    <w:rsid w:val="006453B8"/>
    <w:rsid w:val="00664321"/>
    <w:rsid w:val="00682A9C"/>
    <w:rsid w:val="00690415"/>
    <w:rsid w:val="00697D22"/>
    <w:rsid w:val="006B318F"/>
    <w:rsid w:val="006B3DFB"/>
    <w:rsid w:val="006B4D61"/>
    <w:rsid w:val="006C1F4D"/>
    <w:rsid w:val="006E163E"/>
    <w:rsid w:val="006F42FA"/>
    <w:rsid w:val="006F6C7F"/>
    <w:rsid w:val="006F7D63"/>
    <w:rsid w:val="00701118"/>
    <w:rsid w:val="007051C2"/>
    <w:rsid w:val="007155F4"/>
    <w:rsid w:val="007A6983"/>
    <w:rsid w:val="007B2776"/>
    <w:rsid w:val="007B2FA5"/>
    <w:rsid w:val="007B5663"/>
    <w:rsid w:val="007B6E13"/>
    <w:rsid w:val="007C669F"/>
    <w:rsid w:val="007D1525"/>
    <w:rsid w:val="007F033F"/>
    <w:rsid w:val="0082049F"/>
    <w:rsid w:val="008224DF"/>
    <w:rsid w:val="00823747"/>
    <w:rsid w:val="008503B9"/>
    <w:rsid w:val="00856FA4"/>
    <w:rsid w:val="008712E2"/>
    <w:rsid w:val="00882AA5"/>
    <w:rsid w:val="00884ECE"/>
    <w:rsid w:val="008B34B0"/>
    <w:rsid w:val="008C0A51"/>
    <w:rsid w:val="008E2389"/>
    <w:rsid w:val="008E5DD3"/>
    <w:rsid w:val="008F3677"/>
    <w:rsid w:val="00902796"/>
    <w:rsid w:val="00914054"/>
    <w:rsid w:val="009177AF"/>
    <w:rsid w:val="009234A6"/>
    <w:rsid w:val="0092639A"/>
    <w:rsid w:val="009315F7"/>
    <w:rsid w:val="00936439"/>
    <w:rsid w:val="009373AA"/>
    <w:rsid w:val="0094272A"/>
    <w:rsid w:val="00967A83"/>
    <w:rsid w:val="0097384C"/>
    <w:rsid w:val="009930A2"/>
    <w:rsid w:val="00995141"/>
    <w:rsid w:val="009A1208"/>
    <w:rsid w:val="009A5031"/>
    <w:rsid w:val="009E6BAA"/>
    <w:rsid w:val="00A06C7B"/>
    <w:rsid w:val="00A12651"/>
    <w:rsid w:val="00A34C0D"/>
    <w:rsid w:val="00A45188"/>
    <w:rsid w:val="00A4543B"/>
    <w:rsid w:val="00A52C63"/>
    <w:rsid w:val="00A64C1A"/>
    <w:rsid w:val="00A84584"/>
    <w:rsid w:val="00A87683"/>
    <w:rsid w:val="00AA0556"/>
    <w:rsid w:val="00AA677C"/>
    <w:rsid w:val="00AC0338"/>
    <w:rsid w:val="00AC7E57"/>
    <w:rsid w:val="00AE4378"/>
    <w:rsid w:val="00AF0475"/>
    <w:rsid w:val="00AF49B7"/>
    <w:rsid w:val="00B02BE3"/>
    <w:rsid w:val="00B219E7"/>
    <w:rsid w:val="00B30DF0"/>
    <w:rsid w:val="00B501B9"/>
    <w:rsid w:val="00B5540D"/>
    <w:rsid w:val="00B63FB6"/>
    <w:rsid w:val="00B64B34"/>
    <w:rsid w:val="00BA46B6"/>
    <w:rsid w:val="00BA6175"/>
    <w:rsid w:val="00BC00E1"/>
    <w:rsid w:val="00BC530C"/>
    <w:rsid w:val="00BD5541"/>
    <w:rsid w:val="00C27D3D"/>
    <w:rsid w:val="00C443BF"/>
    <w:rsid w:val="00C45E51"/>
    <w:rsid w:val="00C5138A"/>
    <w:rsid w:val="00C52497"/>
    <w:rsid w:val="00C6107D"/>
    <w:rsid w:val="00C66827"/>
    <w:rsid w:val="00C73C13"/>
    <w:rsid w:val="00C84CCD"/>
    <w:rsid w:val="00C9098F"/>
    <w:rsid w:val="00C936DC"/>
    <w:rsid w:val="00CB43EB"/>
    <w:rsid w:val="00CB703D"/>
    <w:rsid w:val="00CC0A0B"/>
    <w:rsid w:val="00CC2BBB"/>
    <w:rsid w:val="00CD647A"/>
    <w:rsid w:val="00CE0340"/>
    <w:rsid w:val="00CE156B"/>
    <w:rsid w:val="00CE67B9"/>
    <w:rsid w:val="00D0526B"/>
    <w:rsid w:val="00D15763"/>
    <w:rsid w:val="00D30BA7"/>
    <w:rsid w:val="00D311D1"/>
    <w:rsid w:val="00D42957"/>
    <w:rsid w:val="00D57E68"/>
    <w:rsid w:val="00D706F8"/>
    <w:rsid w:val="00D818C2"/>
    <w:rsid w:val="00D87425"/>
    <w:rsid w:val="00D92324"/>
    <w:rsid w:val="00D95E48"/>
    <w:rsid w:val="00DA3583"/>
    <w:rsid w:val="00DA458F"/>
    <w:rsid w:val="00DA6E10"/>
    <w:rsid w:val="00DA6EDD"/>
    <w:rsid w:val="00DC002B"/>
    <w:rsid w:val="00DC3DA2"/>
    <w:rsid w:val="00DD0A36"/>
    <w:rsid w:val="00DF18B6"/>
    <w:rsid w:val="00E03937"/>
    <w:rsid w:val="00E12229"/>
    <w:rsid w:val="00E22871"/>
    <w:rsid w:val="00E231D9"/>
    <w:rsid w:val="00E26220"/>
    <w:rsid w:val="00E41820"/>
    <w:rsid w:val="00E5338D"/>
    <w:rsid w:val="00E56D68"/>
    <w:rsid w:val="00E62D6A"/>
    <w:rsid w:val="00E67948"/>
    <w:rsid w:val="00E67CBA"/>
    <w:rsid w:val="00E71ACE"/>
    <w:rsid w:val="00E728D9"/>
    <w:rsid w:val="00E739E3"/>
    <w:rsid w:val="00E758FD"/>
    <w:rsid w:val="00E770D2"/>
    <w:rsid w:val="00E86402"/>
    <w:rsid w:val="00E92C95"/>
    <w:rsid w:val="00EA1125"/>
    <w:rsid w:val="00EE370D"/>
    <w:rsid w:val="00F02ECF"/>
    <w:rsid w:val="00F0596B"/>
    <w:rsid w:val="00F065CF"/>
    <w:rsid w:val="00F07F02"/>
    <w:rsid w:val="00F17904"/>
    <w:rsid w:val="00F25733"/>
    <w:rsid w:val="00F27544"/>
    <w:rsid w:val="00F40A7F"/>
    <w:rsid w:val="00F47E7C"/>
    <w:rsid w:val="00F81E30"/>
    <w:rsid w:val="00F9489C"/>
    <w:rsid w:val="00FA5ACF"/>
    <w:rsid w:val="00FA6983"/>
    <w:rsid w:val="00FC006E"/>
    <w:rsid w:val="00FC1DA5"/>
    <w:rsid w:val="00FD34BA"/>
    <w:rsid w:val="00FE559A"/>
    <w:rsid w:val="00FF044F"/>
    <w:rsid w:val="00FF1F33"/>
    <w:rsid w:val="00FF2BB4"/>
    <w:rsid w:val="00FF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89C07"/>
  <w15:docId w15:val="{FAC2B60A-5669-4FF5-9EB6-54B8080F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F4"/>
  </w:style>
  <w:style w:type="paragraph" w:styleId="Heading2">
    <w:name w:val="heading 2"/>
    <w:basedOn w:val="Normal"/>
    <w:link w:val="Heading2Char"/>
    <w:uiPriority w:val="9"/>
    <w:qFormat/>
    <w:rsid w:val="00BA617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7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370D"/>
  </w:style>
  <w:style w:type="paragraph" w:styleId="Footer">
    <w:name w:val="footer"/>
    <w:basedOn w:val="Normal"/>
    <w:link w:val="FooterChar"/>
    <w:uiPriority w:val="99"/>
    <w:unhideWhenUsed/>
    <w:rsid w:val="00EE37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370D"/>
  </w:style>
  <w:style w:type="paragraph" w:styleId="FootnoteText">
    <w:name w:val="footnote text"/>
    <w:basedOn w:val="Normal"/>
    <w:link w:val="FootnoteTextChar"/>
    <w:uiPriority w:val="99"/>
    <w:semiHidden/>
    <w:unhideWhenUsed/>
    <w:rsid w:val="0016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EA"/>
    <w:rPr>
      <w:sz w:val="20"/>
      <w:szCs w:val="20"/>
    </w:rPr>
  </w:style>
  <w:style w:type="character" w:styleId="FootnoteReference">
    <w:name w:val="footnote reference"/>
    <w:basedOn w:val="DefaultParagraphFont"/>
    <w:uiPriority w:val="99"/>
    <w:semiHidden/>
    <w:unhideWhenUsed/>
    <w:rsid w:val="001636EA"/>
    <w:rPr>
      <w:vertAlign w:val="superscript"/>
    </w:rPr>
  </w:style>
  <w:style w:type="character" w:styleId="Hyperlink">
    <w:name w:val="Hyperlink"/>
    <w:basedOn w:val="DefaultParagraphFont"/>
    <w:uiPriority w:val="99"/>
    <w:unhideWhenUsed/>
    <w:rsid w:val="001636EA"/>
    <w:rPr>
      <w:color w:val="0563C1" w:themeColor="hyperlink"/>
      <w:u w:val="single"/>
    </w:rPr>
  </w:style>
  <w:style w:type="paragraph" w:styleId="ListParagraph">
    <w:name w:val="List Paragraph"/>
    <w:basedOn w:val="Normal"/>
    <w:uiPriority w:val="34"/>
    <w:qFormat/>
    <w:rsid w:val="00682A9C"/>
    <w:pPr>
      <w:ind w:left="720"/>
      <w:contextualSpacing/>
    </w:pPr>
  </w:style>
  <w:style w:type="character" w:styleId="Strong">
    <w:name w:val="Strong"/>
    <w:basedOn w:val="DefaultParagraphFont"/>
    <w:uiPriority w:val="22"/>
    <w:qFormat/>
    <w:rsid w:val="004A15D7"/>
    <w:rPr>
      <w:b/>
      <w:bCs/>
    </w:rPr>
  </w:style>
  <w:style w:type="character" w:styleId="CommentReference">
    <w:name w:val="annotation reference"/>
    <w:basedOn w:val="DefaultParagraphFont"/>
    <w:uiPriority w:val="99"/>
    <w:semiHidden/>
    <w:unhideWhenUsed/>
    <w:rsid w:val="00EA1125"/>
    <w:rPr>
      <w:sz w:val="16"/>
      <w:szCs w:val="16"/>
    </w:rPr>
  </w:style>
  <w:style w:type="paragraph" w:styleId="CommentText">
    <w:name w:val="annotation text"/>
    <w:basedOn w:val="Normal"/>
    <w:link w:val="CommentTextChar"/>
    <w:uiPriority w:val="99"/>
    <w:semiHidden/>
    <w:unhideWhenUsed/>
    <w:rsid w:val="00EA1125"/>
    <w:pPr>
      <w:spacing w:line="240" w:lineRule="auto"/>
    </w:pPr>
    <w:rPr>
      <w:sz w:val="20"/>
      <w:szCs w:val="20"/>
    </w:rPr>
  </w:style>
  <w:style w:type="character" w:customStyle="1" w:styleId="CommentTextChar">
    <w:name w:val="Comment Text Char"/>
    <w:basedOn w:val="DefaultParagraphFont"/>
    <w:link w:val="CommentText"/>
    <w:uiPriority w:val="99"/>
    <w:semiHidden/>
    <w:rsid w:val="00EA1125"/>
    <w:rPr>
      <w:sz w:val="20"/>
      <w:szCs w:val="20"/>
    </w:rPr>
  </w:style>
  <w:style w:type="paragraph" w:styleId="CommentSubject">
    <w:name w:val="annotation subject"/>
    <w:basedOn w:val="CommentText"/>
    <w:next w:val="CommentText"/>
    <w:link w:val="CommentSubjectChar"/>
    <w:uiPriority w:val="99"/>
    <w:semiHidden/>
    <w:unhideWhenUsed/>
    <w:rsid w:val="00EA1125"/>
    <w:rPr>
      <w:b/>
      <w:bCs/>
    </w:rPr>
  </w:style>
  <w:style w:type="character" w:customStyle="1" w:styleId="CommentSubjectChar">
    <w:name w:val="Comment Subject Char"/>
    <w:basedOn w:val="CommentTextChar"/>
    <w:link w:val="CommentSubject"/>
    <w:uiPriority w:val="99"/>
    <w:semiHidden/>
    <w:rsid w:val="00EA1125"/>
    <w:rPr>
      <w:b/>
      <w:bCs/>
      <w:sz w:val="20"/>
      <w:szCs w:val="20"/>
    </w:rPr>
  </w:style>
  <w:style w:type="paragraph" w:styleId="BalloonText">
    <w:name w:val="Balloon Text"/>
    <w:basedOn w:val="Normal"/>
    <w:link w:val="BalloonTextChar"/>
    <w:uiPriority w:val="99"/>
    <w:semiHidden/>
    <w:unhideWhenUsed/>
    <w:rsid w:val="00EA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25"/>
    <w:rPr>
      <w:rFonts w:ascii="Tahoma" w:hAnsi="Tahoma" w:cs="Tahoma"/>
      <w:sz w:val="16"/>
      <w:szCs w:val="16"/>
    </w:rPr>
  </w:style>
  <w:style w:type="character" w:customStyle="1" w:styleId="Heading2Char">
    <w:name w:val="Heading 2 Char"/>
    <w:basedOn w:val="DefaultParagraphFont"/>
    <w:link w:val="Heading2"/>
    <w:uiPriority w:val="9"/>
    <w:rsid w:val="00BA6175"/>
    <w:rPr>
      <w:rFonts w:ascii="Times New Roman" w:eastAsia="Times New Roman" w:hAnsi="Times New Roman" w:cs="Times New Roman"/>
      <w:b/>
      <w:bCs/>
      <w:sz w:val="36"/>
      <w:szCs w:val="36"/>
      <w:lang w:eastAsia="es-MX"/>
    </w:rPr>
  </w:style>
  <w:style w:type="character" w:styleId="FollowedHyperlink">
    <w:name w:val="FollowedHyperlink"/>
    <w:basedOn w:val="DefaultParagraphFont"/>
    <w:uiPriority w:val="99"/>
    <w:semiHidden/>
    <w:unhideWhenUsed/>
    <w:rsid w:val="00BA6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4339">
      <w:bodyDiv w:val="1"/>
      <w:marLeft w:val="0"/>
      <w:marRight w:val="0"/>
      <w:marTop w:val="0"/>
      <w:marBottom w:val="0"/>
      <w:divBdr>
        <w:top w:val="none" w:sz="0" w:space="0" w:color="auto"/>
        <w:left w:val="none" w:sz="0" w:space="0" w:color="auto"/>
        <w:bottom w:val="none" w:sz="0" w:space="0" w:color="auto"/>
        <w:right w:val="none" w:sz="0" w:space="0" w:color="auto"/>
      </w:divBdr>
    </w:div>
    <w:div w:id="875772239">
      <w:bodyDiv w:val="1"/>
      <w:marLeft w:val="0"/>
      <w:marRight w:val="0"/>
      <w:marTop w:val="0"/>
      <w:marBottom w:val="0"/>
      <w:divBdr>
        <w:top w:val="none" w:sz="0" w:space="0" w:color="auto"/>
        <w:left w:val="none" w:sz="0" w:space="0" w:color="auto"/>
        <w:bottom w:val="none" w:sz="0" w:space="0" w:color="auto"/>
        <w:right w:val="none" w:sz="0" w:space="0" w:color="auto"/>
      </w:divBdr>
    </w:div>
    <w:div w:id="1634286968">
      <w:bodyDiv w:val="1"/>
      <w:marLeft w:val="0"/>
      <w:marRight w:val="0"/>
      <w:marTop w:val="0"/>
      <w:marBottom w:val="0"/>
      <w:divBdr>
        <w:top w:val="none" w:sz="0" w:space="0" w:color="auto"/>
        <w:left w:val="none" w:sz="0" w:space="0" w:color="auto"/>
        <w:bottom w:val="none" w:sz="0" w:space="0" w:color="auto"/>
        <w:right w:val="none" w:sz="0" w:space="0" w:color="auto"/>
      </w:divBdr>
    </w:div>
    <w:div w:id="1657340574">
      <w:bodyDiv w:val="1"/>
      <w:marLeft w:val="0"/>
      <w:marRight w:val="0"/>
      <w:marTop w:val="0"/>
      <w:marBottom w:val="0"/>
      <w:divBdr>
        <w:top w:val="none" w:sz="0" w:space="0" w:color="auto"/>
        <w:left w:val="none" w:sz="0" w:space="0" w:color="auto"/>
        <w:bottom w:val="none" w:sz="0" w:space="0" w:color="auto"/>
        <w:right w:val="none" w:sz="0" w:space="0" w:color="auto"/>
      </w:divBdr>
    </w:div>
    <w:div w:id="21397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CFFE6-9CD7-4AE3-8DAC-527756EB0BC6}">
  <ds:schemaRefs>
    <ds:schemaRef ds:uri="http://schemas.openxmlformats.org/officeDocument/2006/bibliography"/>
  </ds:schemaRefs>
</ds:datastoreItem>
</file>

<file path=customXml/itemProps2.xml><?xml version="1.0" encoding="utf-8"?>
<ds:datastoreItem xmlns:ds="http://schemas.openxmlformats.org/officeDocument/2006/customXml" ds:itemID="{45717586-05EA-49C4-AF89-D0E59CA9B9E3}"/>
</file>

<file path=customXml/itemProps3.xml><?xml version="1.0" encoding="utf-8"?>
<ds:datastoreItem xmlns:ds="http://schemas.openxmlformats.org/officeDocument/2006/customXml" ds:itemID="{B41A1495-AF3B-4F25-8FDB-A970792CDBBC}"/>
</file>

<file path=customXml/itemProps4.xml><?xml version="1.0" encoding="utf-8"?>
<ds:datastoreItem xmlns:ds="http://schemas.openxmlformats.org/officeDocument/2006/customXml" ds:itemID="{C7AC843C-677D-4E07-8EE9-BC04F91419B3}"/>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CDHDF</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MFPALACIOS</dc:creator>
  <cp:lastModifiedBy>BOIT James</cp:lastModifiedBy>
  <cp:revision>2</cp:revision>
  <cp:lastPrinted>2019-01-07T20:01:00Z</cp:lastPrinted>
  <dcterms:created xsi:type="dcterms:W3CDTF">2019-01-13T15:36:00Z</dcterms:created>
  <dcterms:modified xsi:type="dcterms:W3CDTF">2019-01-13T15:36:00Z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