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DFE6" w14:textId="11015D69" w:rsidR="00B708E3" w:rsidRPr="00FF7E74" w:rsidRDefault="0088551D" w:rsidP="00454D0C">
      <w:pPr>
        <w:ind w:left="-426" w:right="-448"/>
        <w:rPr>
          <w:rFonts w:ascii="Arial" w:hAnsi="Arial" w:cs="Arial"/>
          <w:b/>
          <w:sz w:val="20"/>
        </w:rPr>
      </w:pPr>
      <w:r w:rsidRPr="00FF7E74">
        <w:rPr>
          <w:rFonts w:ascii="Arial" w:hAnsi="Arial" w:cs="Arial"/>
          <w:b/>
          <w:sz w:val="20"/>
        </w:rPr>
        <w:t>SCYJ Response: UN Committee on the Rights of the Child Draft revised General Comment No. 10 (2007) on children’s rights in juvenile justice - Call for comments</w:t>
      </w:r>
    </w:p>
    <w:p w14:paraId="39689D19" w14:textId="7864B9AE" w:rsidR="00795789" w:rsidRPr="00FF7E74" w:rsidRDefault="00473D01" w:rsidP="00454D0C">
      <w:pPr>
        <w:ind w:left="-426" w:right="-448"/>
        <w:rPr>
          <w:rFonts w:ascii="Arial" w:hAnsi="Arial" w:cs="Arial"/>
          <w:b/>
          <w:sz w:val="20"/>
        </w:rPr>
      </w:pPr>
      <w:r w:rsidRPr="00FF7E74">
        <w:rPr>
          <w:rFonts w:ascii="Arial" w:hAnsi="Arial" w:cs="Arial"/>
          <w:b/>
          <w:sz w:val="20"/>
        </w:rPr>
        <w:t>Summary</w:t>
      </w:r>
      <w:r w:rsidR="00353ADD" w:rsidRPr="00FF7E74">
        <w:rPr>
          <w:rFonts w:ascii="Arial" w:hAnsi="Arial" w:cs="Arial"/>
          <w:b/>
          <w:sz w:val="20"/>
        </w:rPr>
        <w:br/>
      </w:r>
      <w:r w:rsidR="00795789" w:rsidRPr="00FF7E74">
        <w:rPr>
          <w:rFonts w:ascii="Arial" w:hAnsi="Arial" w:cs="Arial"/>
          <w:sz w:val="20"/>
        </w:rPr>
        <w:t>The Standing Committee for Youth Justice (SCYJ) is an alliance of over 50 not-for-profit organisations campaigning for improvements to the youth justice system in England and Wales.</w:t>
      </w:r>
      <w:r w:rsidR="00C75477" w:rsidRPr="00FF7E74">
        <w:rPr>
          <w:rFonts w:ascii="Arial" w:hAnsi="Arial" w:cs="Arial"/>
          <w:sz w:val="20"/>
        </w:rPr>
        <w:t xml:space="preserve"> Our </w:t>
      </w:r>
      <w:hyperlink r:id="rId10" w:history="1">
        <w:r w:rsidR="00C75477" w:rsidRPr="00FF7E74">
          <w:rPr>
            <w:rStyle w:val="Hyperlink"/>
            <w:rFonts w:ascii="Arial" w:hAnsi="Arial" w:cs="Arial"/>
            <w:sz w:val="20"/>
          </w:rPr>
          <w:t>members</w:t>
        </w:r>
      </w:hyperlink>
      <w:r w:rsidR="00C75477" w:rsidRPr="00FF7E74">
        <w:rPr>
          <w:rFonts w:ascii="Arial" w:hAnsi="Arial" w:cs="Arial"/>
          <w:sz w:val="20"/>
        </w:rPr>
        <w:t xml:space="preserve"> range from large national charities t</w:t>
      </w:r>
      <w:r w:rsidR="00EB6A12" w:rsidRPr="00FF7E74">
        <w:rPr>
          <w:rFonts w:ascii="Arial" w:hAnsi="Arial" w:cs="Arial"/>
          <w:sz w:val="20"/>
        </w:rPr>
        <w:t>o grassroots service providers.</w:t>
      </w:r>
    </w:p>
    <w:p w14:paraId="30820F9F" w14:textId="795A8AED" w:rsidR="00473D01" w:rsidRPr="00FF7E74" w:rsidRDefault="00F531C8" w:rsidP="00454D0C">
      <w:pPr>
        <w:ind w:left="-426" w:right="-448"/>
        <w:rPr>
          <w:rFonts w:ascii="Arial" w:hAnsi="Arial" w:cs="Arial"/>
          <w:sz w:val="20"/>
        </w:rPr>
      </w:pPr>
      <w:r w:rsidRPr="00FF7E74">
        <w:rPr>
          <w:rFonts w:ascii="Arial" w:hAnsi="Arial" w:cs="Arial"/>
          <w:sz w:val="20"/>
        </w:rPr>
        <w:t>W</w:t>
      </w:r>
      <w:r w:rsidR="00473D01" w:rsidRPr="00FF7E74">
        <w:rPr>
          <w:rFonts w:ascii="Arial" w:hAnsi="Arial" w:cs="Arial"/>
          <w:sz w:val="20"/>
        </w:rPr>
        <w:t>e are grateful for the opportunity to feed in our vie</w:t>
      </w:r>
      <w:r w:rsidRPr="00FF7E74">
        <w:rPr>
          <w:rFonts w:ascii="Arial" w:hAnsi="Arial" w:cs="Arial"/>
          <w:sz w:val="20"/>
        </w:rPr>
        <w:t>ws</w:t>
      </w:r>
      <w:r w:rsidR="00B23575" w:rsidRPr="00FF7E74">
        <w:rPr>
          <w:rFonts w:ascii="Arial" w:hAnsi="Arial" w:cs="Arial"/>
          <w:sz w:val="20"/>
        </w:rPr>
        <w:t xml:space="preserve">, </w:t>
      </w:r>
      <w:r w:rsidR="00357815" w:rsidRPr="00FF7E74">
        <w:rPr>
          <w:rFonts w:ascii="Arial" w:hAnsi="Arial" w:cs="Arial"/>
          <w:sz w:val="20"/>
        </w:rPr>
        <w:t>and</w:t>
      </w:r>
      <w:r w:rsidR="00EB6A12" w:rsidRPr="00FF7E74">
        <w:rPr>
          <w:rFonts w:ascii="Arial" w:hAnsi="Arial" w:cs="Arial"/>
          <w:sz w:val="20"/>
        </w:rPr>
        <w:t xml:space="preserve"> consider that some of the revisions mark a considerable advance on the previous comment, particularly </w:t>
      </w:r>
      <w:r w:rsidR="009718F1" w:rsidRPr="00FF7E74">
        <w:rPr>
          <w:rFonts w:ascii="Arial" w:hAnsi="Arial" w:cs="Arial"/>
          <w:sz w:val="20"/>
        </w:rPr>
        <w:t>the increase in the</w:t>
      </w:r>
      <w:r w:rsidR="00BE55E2" w:rsidRPr="00FF7E74">
        <w:rPr>
          <w:rFonts w:ascii="Arial" w:hAnsi="Arial" w:cs="Arial"/>
          <w:sz w:val="20"/>
        </w:rPr>
        <w:t xml:space="preserve"> state</w:t>
      </w:r>
      <w:r w:rsidR="00DE77EE" w:rsidRPr="00FF7E74">
        <w:rPr>
          <w:rFonts w:ascii="Arial" w:hAnsi="Arial" w:cs="Arial"/>
          <w:sz w:val="20"/>
        </w:rPr>
        <w:t>d</w:t>
      </w:r>
      <w:r w:rsidR="009718F1" w:rsidRPr="00FF7E74">
        <w:rPr>
          <w:rFonts w:ascii="Arial" w:hAnsi="Arial" w:cs="Arial"/>
          <w:sz w:val="20"/>
        </w:rPr>
        <w:t xml:space="preserve"> internationally acceptable minimum age of criminal responsibility</w:t>
      </w:r>
      <w:r w:rsidR="00883204" w:rsidRPr="00FF7E74">
        <w:rPr>
          <w:rFonts w:ascii="Arial" w:hAnsi="Arial" w:cs="Arial"/>
          <w:sz w:val="20"/>
        </w:rPr>
        <w:t>, and the introduction of a recommended minimum age for</w:t>
      </w:r>
      <w:r w:rsidR="009718F1" w:rsidRPr="00FF7E74">
        <w:rPr>
          <w:rFonts w:ascii="Arial" w:hAnsi="Arial" w:cs="Arial"/>
          <w:sz w:val="20"/>
        </w:rPr>
        <w:t xml:space="preserve"> deprivation of liberty. </w:t>
      </w:r>
      <w:r w:rsidRPr="00FF7E74">
        <w:rPr>
          <w:rFonts w:ascii="Arial" w:hAnsi="Arial" w:cs="Arial"/>
          <w:sz w:val="20"/>
        </w:rPr>
        <w:t xml:space="preserve"> </w:t>
      </w:r>
      <w:r w:rsidR="00EB6A12" w:rsidRPr="00FF7E74">
        <w:rPr>
          <w:rFonts w:ascii="Arial" w:hAnsi="Arial" w:cs="Arial"/>
          <w:sz w:val="20"/>
        </w:rPr>
        <w:t xml:space="preserve"> </w:t>
      </w:r>
    </w:p>
    <w:p w14:paraId="4EB85B02" w14:textId="2D0D7BD0" w:rsidR="006871E9" w:rsidRPr="00FF7E74" w:rsidRDefault="00B708E3" w:rsidP="00454D0C">
      <w:pPr>
        <w:ind w:left="-426" w:right="-448"/>
        <w:rPr>
          <w:rFonts w:ascii="Arial" w:hAnsi="Arial" w:cs="Arial"/>
          <w:b/>
          <w:sz w:val="20"/>
        </w:rPr>
      </w:pPr>
      <w:r w:rsidRPr="00FF7E74">
        <w:rPr>
          <w:rFonts w:ascii="Arial" w:hAnsi="Arial" w:cs="Arial"/>
          <w:b/>
          <w:sz w:val="20"/>
        </w:rPr>
        <w:t xml:space="preserve">Overview </w:t>
      </w:r>
      <w:r w:rsidR="00353ADD" w:rsidRPr="00FF7E74">
        <w:rPr>
          <w:rFonts w:ascii="Arial" w:hAnsi="Arial" w:cs="Arial"/>
          <w:b/>
          <w:sz w:val="20"/>
        </w:rPr>
        <w:br/>
      </w:r>
      <w:r w:rsidRPr="00FF7E74">
        <w:rPr>
          <w:rFonts w:ascii="Arial" w:hAnsi="Arial" w:cs="Arial"/>
          <w:sz w:val="20"/>
        </w:rPr>
        <w:t>W</w:t>
      </w:r>
      <w:r w:rsidR="00473D01" w:rsidRPr="00FF7E74">
        <w:rPr>
          <w:rFonts w:ascii="Arial" w:hAnsi="Arial" w:cs="Arial"/>
          <w:sz w:val="20"/>
        </w:rPr>
        <w:t>e w</w:t>
      </w:r>
      <w:r w:rsidRPr="00FF7E74">
        <w:rPr>
          <w:rFonts w:ascii="Arial" w:hAnsi="Arial" w:cs="Arial"/>
          <w:sz w:val="20"/>
        </w:rPr>
        <w:t xml:space="preserve">elcome the </w:t>
      </w:r>
      <w:r w:rsidR="00473D01" w:rsidRPr="00FF7E74">
        <w:rPr>
          <w:rFonts w:ascii="Arial" w:hAnsi="Arial" w:cs="Arial"/>
          <w:sz w:val="20"/>
        </w:rPr>
        <w:t xml:space="preserve">general </w:t>
      </w:r>
      <w:r w:rsidRPr="00FF7E74">
        <w:rPr>
          <w:rFonts w:ascii="Arial" w:hAnsi="Arial" w:cs="Arial"/>
          <w:sz w:val="20"/>
        </w:rPr>
        <w:t xml:space="preserve">simplification </w:t>
      </w:r>
      <w:r w:rsidR="00473D01" w:rsidRPr="00FF7E74">
        <w:rPr>
          <w:rFonts w:ascii="Arial" w:hAnsi="Arial" w:cs="Arial"/>
          <w:sz w:val="20"/>
        </w:rPr>
        <w:t xml:space="preserve">of the document </w:t>
      </w:r>
      <w:r w:rsidRPr="00FF7E74">
        <w:rPr>
          <w:rFonts w:ascii="Arial" w:hAnsi="Arial" w:cs="Arial"/>
          <w:sz w:val="20"/>
        </w:rPr>
        <w:t>and clarifications throughout, and as with the previous version of the comment we commend the child friendly, child-rights focussed approach taken</w:t>
      </w:r>
      <w:r w:rsidR="00DD6635" w:rsidRPr="00FF7E74">
        <w:rPr>
          <w:rFonts w:ascii="Arial" w:hAnsi="Arial" w:cs="Arial"/>
          <w:sz w:val="20"/>
        </w:rPr>
        <w:t xml:space="preserve"> to</w:t>
      </w:r>
      <w:r w:rsidR="00936849" w:rsidRPr="00FF7E74">
        <w:rPr>
          <w:rFonts w:ascii="Arial" w:hAnsi="Arial" w:cs="Arial"/>
          <w:sz w:val="20"/>
        </w:rPr>
        <w:t xml:space="preserve"> dealing with children in conflict with the law</w:t>
      </w:r>
      <w:r w:rsidRPr="00FF7E74">
        <w:rPr>
          <w:rFonts w:ascii="Arial" w:hAnsi="Arial" w:cs="Arial"/>
          <w:sz w:val="20"/>
        </w:rPr>
        <w:t xml:space="preserve">. </w:t>
      </w:r>
    </w:p>
    <w:p w14:paraId="54534B4A" w14:textId="5102DDF4" w:rsidR="00B708E3" w:rsidRPr="00FF7E74" w:rsidRDefault="00B708E3" w:rsidP="00454D0C">
      <w:pPr>
        <w:ind w:left="-426" w:right="-448"/>
        <w:rPr>
          <w:rFonts w:ascii="Arial" w:hAnsi="Arial" w:cs="Arial"/>
          <w:sz w:val="20"/>
        </w:rPr>
      </w:pPr>
      <w:r w:rsidRPr="00FF7E74">
        <w:rPr>
          <w:rFonts w:ascii="Arial" w:hAnsi="Arial" w:cs="Arial"/>
          <w:sz w:val="20"/>
        </w:rPr>
        <w:t xml:space="preserve">We </w:t>
      </w:r>
      <w:r w:rsidR="00936849" w:rsidRPr="00FF7E74">
        <w:rPr>
          <w:rFonts w:ascii="Arial" w:hAnsi="Arial" w:cs="Arial"/>
          <w:sz w:val="20"/>
        </w:rPr>
        <w:t xml:space="preserve">warmly </w:t>
      </w:r>
      <w:r w:rsidRPr="00FF7E74">
        <w:rPr>
          <w:rFonts w:ascii="Arial" w:hAnsi="Arial" w:cs="Arial"/>
          <w:sz w:val="20"/>
        </w:rPr>
        <w:t xml:space="preserve">welcome the minimum standards the document sets for State parties to abide by, and the higher standards it recommends States should </w:t>
      </w:r>
      <w:r w:rsidR="002B3CE7" w:rsidRPr="00FF7E74">
        <w:rPr>
          <w:rFonts w:ascii="Arial" w:hAnsi="Arial" w:cs="Arial"/>
          <w:sz w:val="20"/>
        </w:rPr>
        <w:t>pursue</w:t>
      </w:r>
      <w:r w:rsidRPr="00FF7E74">
        <w:rPr>
          <w:rFonts w:ascii="Arial" w:hAnsi="Arial" w:cs="Arial"/>
          <w:sz w:val="20"/>
        </w:rPr>
        <w:t xml:space="preserve">. We continue to </w:t>
      </w:r>
      <w:r w:rsidR="003F27CB" w:rsidRPr="00FF7E74">
        <w:rPr>
          <w:rFonts w:ascii="Arial" w:hAnsi="Arial" w:cs="Arial"/>
          <w:sz w:val="20"/>
        </w:rPr>
        <w:t>cite</w:t>
      </w:r>
      <w:r w:rsidRPr="00FF7E74">
        <w:rPr>
          <w:rFonts w:ascii="Arial" w:hAnsi="Arial" w:cs="Arial"/>
          <w:sz w:val="20"/>
        </w:rPr>
        <w:t xml:space="preserve"> the UN</w:t>
      </w:r>
      <w:r w:rsidR="00E56BAB" w:rsidRPr="00FF7E74">
        <w:rPr>
          <w:rFonts w:ascii="Arial" w:hAnsi="Arial" w:cs="Arial"/>
          <w:sz w:val="20"/>
        </w:rPr>
        <w:t xml:space="preserve"> </w:t>
      </w:r>
      <w:r w:rsidRPr="00FF7E74">
        <w:rPr>
          <w:rFonts w:ascii="Arial" w:hAnsi="Arial" w:cs="Arial"/>
          <w:sz w:val="20"/>
        </w:rPr>
        <w:t>C</w:t>
      </w:r>
      <w:r w:rsidR="00E56BAB" w:rsidRPr="00FF7E74">
        <w:rPr>
          <w:rFonts w:ascii="Arial" w:hAnsi="Arial" w:cs="Arial"/>
          <w:sz w:val="20"/>
        </w:rPr>
        <w:t xml:space="preserve">onvention on </w:t>
      </w:r>
      <w:r w:rsidR="004B5975" w:rsidRPr="00FF7E74">
        <w:rPr>
          <w:rFonts w:ascii="Arial" w:hAnsi="Arial" w:cs="Arial"/>
          <w:sz w:val="20"/>
        </w:rPr>
        <w:t xml:space="preserve">the </w:t>
      </w:r>
      <w:r w:rsidRPr="00FF7E74">
        <w:rPr>
          <w:rFonts w:ascii="Arial" w:hAnsi="Arial" w:cs="Arial"/>
          <w:sz w:val="20"/>
        </w:rPr>
        <w:t>R</w:t>
      </w:r>
      <w:r w:rsidR="004B5975" w:rsidRPr="00FF7E74">
        <w:rPr>
          <w:rFonts w:ascii="Arial" w:hAnsi="Arial" w:cs="Arial"/>
          <w:sz w:val="20"/>
        </w:rPr>
        <w:t xml:space="preserve">ights of the </w:t>
      </w:r>
      <w:r w:rsidRPr="00FF7E74">
        <w:rPr>
          <w:rFonts w:ascii="Arial" w:hAnsi="Arial" w:cs="Arial"/>
          <w:sz w:val="20"/>
        </w:rPr>
        <w:t>C</w:t>
      </w:r>
      <w:r w:rsidR="004B5975" w:rsidRPr="00FF7E74">
        <w:rPr>
          <w:rFonts w:ascii="Arial" w:hAnsi="Arial" w:cs="Arial"/>
          <w:sz w:val="20"/>
        </w:rPr>
        <w:t>hild</w:t>
      </w:r>
      <w:r w:rsidRPr="00FF7E74">
        <w:rPr>
          <w:rFonts w:ascii="Arial" w:hAnsi="Arial" w:cs="Arial"/>
          <w:sz w:val="20"/>
        </w:rPr>
        <w:t xml:space="preserve"> </w:t>
      </w:r>
      <w:r w:rsidR="00C23BAD" w:rsidRPr="00FF7E74">
        <w:rPr>
          <w:rFonts w:ascii="Arial" w:hAnsi="Arial" w:cs="Arial"/>
          <w:sz w:val="20"/>
        </w:rPr>
        <w:t xml:space="preserve">(UNCRC) </w:t>
      </w:r>
      <w:r w:rsidRPr="00FF7E74">
        <w:rPr>
          <w:rFonts w:ascii="Arial" w:hAnsi="Arial" w:cs="Arial"/>
          <w:sz w:val="20"/>
        </w:rPr>
        <w:t xml:space="preserve">and </w:t>
      </w:r>
      <w:r w:rsidR="004B5975" w:rsidRPr="00FF7E74">
        <w:rPr>
          <w:rFonts w:ascii="Arial" w:hAnsi="Arial" w:cs="Arial"/>
          <w:sz w:val="20"/>
        </w:rPr>
        <w:t xml:space="preserve">accompanying </w:t>
      </w:r>
      <w:r w:rsidRPr="00FF7E74">
        <w:rPr>
          <w:rFonts w:ascii="Arial" w:hAnsi="Arial" w:cs="Arial"/>
          <w:sz w:val="20"/>
        </w:rPr>
        <w:t xml:space="preserve">general comment </w:t>
      </w:r>
      <w:r w:rsidR="007F5C79" w:rsidRPr="00FF7E74">
        <w:rPr>
          <w:rFonts w:ascii="Arial" w:hAnsi="Arial" w:cs="Arial"/>
          <w:sz w:val="20"/>
        </w:rPr>
        <w:t xml:space="preserve">in our policy and lobbying work </w:t>
      </w:r>
      <w:r w:rsidRPr="00FF7E74">
        <w:rPr>
          <w:rFonts w:ascii="Arial" w:hAnsi="Arial" w:cs="Arial"/>
          <w:sz w:val="20"/>
        </w:rPr>
        <w:t>to hold our government to account</w:t>
      </w:r>
      <w:r w:rsidR="00E76BE9" w:rsidRPr="00FF7E74">
        <w:rPr>
          <w:rFonts w:ascii="Arial" w:hAnsi="Arial" w:cs="Arial"/>
          <w:sz w:val="20"/>
        </w:rPr>
        <w:t>,</w:t>
      </w:r>
      <w:r w:rsidR="00C53EDE" w:rsidRPr="00FF7E74">
        <w:rPr>
          <w:rFonts w:ascii="Arial" w:hAnsi="Arial" w:cs="Arial"/>
          <w:sz w:val="20"/>
        </w:rPr>
        <w:t xml:space="preserve"> and hope that the revised document will</w:t>
      </w:r>
      <w:r w:rsidR="004B5975" w:rsidRPr="00FF7E74">
        <w:rPr>
          <w:rFonts w:ascii="Arial" w:hAnsi="Arial" w:cs="Arial"/>
          <w:sz w:val="20"/>
        </w:rPr>
        <w:t xml:space="preserve"> </w:t>
      </w:r>
      <w:r w:rsidR="003F27CB" w:rsidRPr="00FF7E74">
        <w:rPr>
          <w:rFonts w:ascii="Arial" w:hAnsi="Arial" w:cs="Arial"/>
          <w:sz w:val="20"/>
        </w:rPr>
        <w:t xml:space="preserve">give us more leverage to win </w:t>
      </w:r>
      <w:r w:rsidR="007F5C79" w:rsidRPr="00FF7E74">
        <w:rPr>
          <w:rFonts w:ascii="Arial" w:hAnsi="Arial" w:cs="Arial"/>
          <w:sz w:val="20"/>
        </w:rPr>
        <w:t>much needed reforms to chi</w:t>
      </w:r>
      <w:r w:rsidR="00B31341" w:rsidRPr="00FF7E74">
        <w:rPr>
          <w:rFonts w:ascii="Arial" w:hAnsi="Arial" w:cs="Arial"/>
          <w:sz w:val="20"/>
        </w:rPr>
        <w:t>l</w:t>
      </w:r>
      <w:r w:rsidR="007F5C79" w:rsidRPr="00FF7E74">
        <w:rPr>
          <w:rFonts w:ascii="Arial" w:hAnsi="Arial" w:cs="Arial"/>
          <w:sz w:val="20"/>
        </w:rPr>
        <w:t>d justice in England and Wales.</w:t>
      </w:r>
    </w:p>
    <w:p w14:paraId="456CEBBA" w14:textId="285ED4AA" w:rsidR="000E7035" w:rsidRPr="00FF7E74" w:rsidRDefault="00A97432" w:rsidP="00454D0C">
      <w:pPr>
        <w:ind w:left="-426" w:right="-448"/>
        <w:rPr>
          <w:rFonts w:ascii="Arial" w:hAnsi="Arial" w:cs="Arial"/>
          <w:sz w:val="20"/>
        </w:rPr>
      </w:pPr>
      <w:r w:rsidRPr="00FF7E74">
        <w:rPr>
          <w:rFonts w:ascii="Arial" w:hAnsi="Arial" w:cs="Arial"/>
          <w:sz w:val="20"/>
        </w:rPr>
        <w:t xml:space="preserve">We welcome the </w:t>
      </w:r>
      <w:r w:rsidR="004D05B2" w:rsidRPr="00FF7E74">
        <w:rPr>
          <w:rFonts w:ascii="Arial" w:hAnsi="Arial" w:cs="Arial"/>
          <w:sz w:val="20"/>
        </w:rPr>
        <w:t>change in the objectives of the general comment</w:t>
      </w:r>
      <w:r w:rsidR="00383904" w:rsidRPr="00FF7E74">
        <w:rPr>
          <w:rFonts w:ascii="Arial" w:hAnsi="Arial" w:cs="Arial"/>
          <w:sz w:val="20"/>
        </w:rPr>
        <w:t>,</w:t>
      </w:r>
      <w:r w:rsidR="004D05B2" w:rsidRPr="00FF7E74">
        <w:rPr>
          <w:rFonts w:ascii="Arial" w:hAnsi="Arial" w:cs="Arial"/>
          <w:sz w:val="20"/>
        </w:rPr>
        <w:t xml:space="preserve"> given in section II, </w:t>
      </w:r>
      <w:r w:rsidR="00CE7596" w:rsidRPr="00FF7E74">
        <w:rPr>
          <w:rFonts w:ascii="Arial" w:hAnsi="Arial" w:cs="Arial"/>
          <w:sz w:val="20"/>
        </w:rPr>
        <w:t xml:space="preserve">and the explanation in paragraph 3, </w:t>
      </w:r>
      <w:r w:rsidR="004D05B2" w:rsidRPr="00FF7E74">
        <w:rPr>
          <w:rFonts w:ascii="Arial" w:hAnsi="Arial" w:cs="Arial"/>
          <w:sz w:val="20"/>
        </w:rPr>
        <w:t xml:space="preserve">which </w:t>
      </w:r>
      <w:r w:rsidR="00B74ECA" w:rsidRPr="00FF7E74">
        <w:rPr>
          <w:rFonts w:ascii="Arial" w:hAnsi="Arial" w:cs="Arial"/>
          <w:sz w:val="20"/>
        </w:rPr>
        <w:t xml:space="preserve">together </w:t>
      </w:r>
      <w:r w:rsidR="001F2EAF" w:rsidRPr="00FF7E74">
        <w:rPr>
          <w:rFonts w:ascii="Arial" w:hAnsi="Arial" w:cs="Arial"/>
          <w:sz w:val="20"/>
        </w:rPr>
        <w:t>acknowledge</w:t>
      </w:r>
      <w:r w:rsidR="004A34A8" w:rsidRPr="00FF7E74">
        <w:rPr>
          <w:rFonts w:ascii="Arial" w:hAnsi="Arial" w:cs="Arial"/>
          <w:sz w:val="20"/>
        </w:rPr>
        <w:t xml:space="preserve"> the important</w:t>
      </w:r>
      <w:r w:rsidR="004D05B2" w:rsidRPr="00FF7E74">
        <w:rPr>
          <w:rFonts w:ascii="Arial" w:hAnsi="Arial" w:cs="Arial"/>
          <w:sz w:val="20"/>
        </w:rPr>
        <w:t xml:space="preserve"> progress </w:t>
      </w:r>
      <w:r w:rsidR="004A34A8" w:rsidRPr="00FF7E74">
        <w:rPr>
          <w:rFonts w:ascii="Arial" w:hAnsi="Arial" w:cs="Arial"/>
          <w:sz w:val="20"/>
        </w:rPr>
        <w:t xml:space="preserve">that has been </w:t>
      </w:r>
      <w:r w:rsidR="004D05B2" w:rsidRPr="00FF7E74">
        <w:rPr>
          <w:rFonts w:ascii="Arial" w:hAnsi="Arial" w:cs="Arial"/>
          <w:sz w:val="20"/>
        </w:rPr>
        <w:t>made by States parties since the previous version</w:t>
      </w:r>
      <w:r w:rsidR="00B74ECA" w:rsidRPr="00FF7E74">
        <w:rPr>
          <w:rFonts w:ascii="Arial" w:hAnsi="Arial" w:cs="Arial"/>
          <w:sz w:val="20"/>
        </w:rPr>
        <w:t xml:space="preserve"> of the comment</w:t>
      </w:r>
      <w:r w:rsidR="004D05B2" w:rsidRPr="00FF7E74">
        <w:rPr>
          <w:rFonts w:ascii="Arial" w:hAnsi="Arial" w:cs="Arial"/>
          <w:sz w:val="20"/>
        </w:rPr>
        <w:t xml:space="preserve">, </w:t>
      </w:r>
      <w:r w:rsidR="00CE7596" w:rsidRPr="00FF7E74">
        <w:rPr>
          <w:rFonts w:ascii="Arial" w:hAnsi="Arial" w:cs="Arial"/>
          <w:sz w:val="20"/>
        </w:rPr>
        <w:t xml:space="preserve">while recognising that </w:t>
      </w:r>
      <w:r w:rsidR="004D05B2" w:rsidRPr="00FF7E74">
        <w:rPr>
          <w:rFonts w:ascii="Arial" w:hAnsi="Arial" w:cs="Arial"/>
          <w:sz w:val="20"/>
        </w:rPr>
        <w:t xml:space="preserve">more progress </w:t>
      </w:r>
      <w:r w:rsidR="00B31341" w:rsidRPr="00FF7E74">
        <w:rPr>
          <w:rFonts w:ascii="Arial" w:hAnsi="Arial" w:cs="Arial"/>
          <w:sz w:val="20"/>
        </w:rPr>
        <w:t>sh</w:t>
      </w:r>
      <w:r w:rsidR="004D05B2" w:rsidRPr="00FF7E74">
        <w:rPr>
          <w:rFonts w:ascii="Arial" w:hAnsi="Arial" w:cs="Arial"/>
          <w:sz w:val="20"/>
        </w:rPr>
        <w:t xml:space="preserve">ould be made in regards to minimum age of criminal responsibility, </w:t>
      </w:r>
      <w:r w:rsidR="00CE7596" w:rsidRPr="00FF7E74">
        <w:rPr>
          <w:rFonts w:ascii="Arial" w:hAnsi="Arial" w:cs="Arial"/>
          <w:sz w:val="20"/>
        </w:rPr>
        <w:t xml:space="preserve">prevention, </w:t>
      </w:r>
      <w:r w:rsidR="004D05B2" w:rsidRPr="00FF7E74">
        <w:rPr>
          <w:rFonts w:ascii="Arial" w:hAnsi="Arial" w:cs="Arial"/>
          <w:sz w:val="20"/>
        </w:rPr>
        <w:t>diversion, guarantees for a fair tri</w:t>
      </w:r>
      <w:r w:rsidR="00761B9C" w:rsidRPr="00FF7E74">
        <w:rPr>
          <w:rFonts w:ascii="Arial" w:hAnsi="Arial" w:cs="Arial"/>
          <w:sz w:val="20"/>
        </w:rPr>
        <w:t>a</w:t>
      </w:r>
      <w:r w:rsidR="004D05B2" w:rsidRPr="00FF7E74">
        <w:rPr>
          <w:rFonts w:ascii="Arial" w:hAnsi="Arial" w:cs="Arial"/>
          <w:sz w:val="20"/>
        </w:rPr>
        <w:t>l</w:t>
      </w:r>
      <w:r w:rsidR="00441CBF" w:rsidRPr="00FF7E74">
        <w:rPr>
          <w:rFonts w:ascii="Arial" w:hAnsi="Arial" w:cs="Arial"/>
          <w:sz w:val="20"/>
        </w:rPr>
        <w:t>,</w:t>
      </w:r>
      <w:r w:rsidR="004D05B2" w:rsidRPr="00FF7E74">
        <w:rPr>
          <w:rFonts w:ascii="Arial" w:hAnsi="Arial" w:cs="Arial"/>
          <w:sz w:val="20"/>
        </w:rPr>
        <w:t xml:space="preserve"> and deprivation of liberty. </w:t>
      </w:r>
    </w:p>
    <w:p w14:paraId="7BE92122" w14:textId="18BAD32D" w:rsidR="003A2899" w:rsidRPr="00FF7E74" w:rsidRDefault="003A2899" w:rsidP="00454D0C">
      <w:pPr>
        <w:ind w:left="-426" w:right="-448"/>
        <w:rPr>
          <w:rFonts w:ascii="Arial" w:hAnsi="Arial" w:cs="Arial"/>
          <w:sz w:val="20"/>
        </w:rPr>
      </w:pPr>
      <w:r w:rsidRPr="00FF7E74">
        <w:rPr>
          <w:rFonts w:ascii="Arial" w:hAnsi="Arial" w:cs="Arial"/>
          <w:sz w:val="20"/>
        </w:rPr>
        <w:t xml:space="preserve">To ensure the document is more </w:t>
      </w:r>
      <w:r w:rsidR="002159D7" w:rsidRPr="00FF7E74">
        <w:rPr>
          <w:rFonts w:ascii="Arial" w:hAnsi="Arial" w:cs="Arial"/>
          <w:sz w:val="20"/>
        </w:rPr>
        <w:t>effective in protecting all children</w:t>
      </w:r>
      <w:r w:rsidRPr="00FF7E74">
        <w:rPr>
          <w:rFonts w:ascii="Arial" w:hAnsi="Arial" w:cs="Arial"/>
          <w:sz w:val="20"/>
        </w:rPr>
        <w:t xml:space="preserve">, </w:t>
      </w:r>
      <w:r w:rsidR="002159D7" w:rsidRPr="00FF7E74">
        <w:rPr>
          <w:rFonts w:ascii="Arial" w:hAnsi="Arial" w:cs="Arial"/>
          <w:sz w:val="20"/>
        </w:rPr>
        <w:t>as well as our recommendations belo</w:t>
      </w:r>
      <w:r w:rsidRPr="00FF7E74">
        <w:rPr>
          <w:rFonts w:ascii="Arial" w:hAnsi="Arial" w:cs="Arial"/>
          <w:sz w:val="20"/>
        </w:rPr>
        <w:t>w</w:t>
      </w:r>
      <w:r w:rsidR="002159D7" w:rsidRPr="00FF7E74">
        <w:rPr>
          <w:rFonts w:ascii="Arial" w:hAnsi="Arial" w:cs="Arial"/>
          <w:sz w:val="20"/>
        </w:rPr>
        <w:t xml:space="preserve"> w</w:t>
      </w:r>
      <w:r w:rsidRPr="00FF7E74">
        <w:rPr>
          <w:rFonts w:ascii="Arial" w:hAnsi="Arial" w:cs="Arial"/>
          <w:sz w:val="20"/>
        </w:rPr>
        <w:t>e</w:t>
      </w:r>
      <w:r w:rsidR="003D40FB" w:rsidRPr="00FF7E74">
        <w:rPr>
          <w:rFonts w:ascii="Arial" w:hAnsi="Arial" w:cs="Arial"/>
          <w:sz w:val="20"/>
        </w:rPr>
        <w:t xml:space="preserve"> would like to see mention of </w:t>
      </w:r>
      <w:r w:rsidRPr="00FF7E74">
        <w:rPr>
          <w:rFonts w:ascii="Arial" w:hAnsi="Arial" w:cs="Arial"/>
          <w:sz w:val="20"/>
        </w:rPr>
        <w:t xml:space="preserve">more specific articles in paragraph </w:t>
      </w:r>
      <w:r w:rsidR="002159D7" w:rsidRPr="00FF7E74">
        <w:rPr>
          <w:rFonts w:ascii="Arial" w:hAnsi="Arial" w:cs="Arial"/>
          <w:sz w:val="20"/>
        </w:rPr>
        <w:t>5, point 1 (</w:t>
      </w:r>
      <w:r w:rsidR="002159D7" w:rsidRPr="00FF7E74">
        <w:rPr>
          <w:rFonts w:ascii="Arial" w:hAnsi="Arial" w:cs="Arial"/>
          <w:sz w:val="20"/>
          <w:lang w:val="en-US"/>
        </w:rPr>
        <w:t xml:space="preserve">articles 16, </w:t>
      </w:r>
      <w:r w:rsidR="003D40FB" w:rsidRPr="00FF7E74">
        <w:rPr>
          <w:rFonts w:ascii="Arial" w:hAnsi="Arial" w:cs="Arial"/>
          <w:sz w:val="20"/>
          <w:lang w:val="en-US"/>
        </w:rPr>
        <w:t xml:space="preserve">19, 20, 24, 27, 28, 31, 33, 36), and of children in care of the state and care leavers as children vulnerable to discrimination (paragraph 8). </w:t>
      </w:r>
    </w:p>
    <w:p w14:paraId="356C7D44" w14:textId="79889E4A" w:rsidR="00EB6A12" w:rsidRPr="00FF7E74" w:rsidRDefault="00473D01" w:rsidP="00454D0C">
      <w:pPr>
        <w:ind w:left="-426" w:right="-448"/>
        <w:rPr>
          <w:rFonts w:ascii="Arial" w:hAnsi="Arial" w:cs="Arial"/>
          <w:b/>
          <w:sz w:val="20"/>
        </w:rPr>
      </w:pPr>
      <w:r w:rsidRPr="00FF7E74">
        <w:rPr>
          <w:rFonts w:ascii="Arial" w:hAnsi="Arial" w:cs="Arial"/>
          <w:b/>
          <w:sz w:val="20"/>
        </w:rPr>
        <w:t>Child-friendly version</w:t>
      </w:r>
      <w:r w:rsidR="00353ADD" w:rsidRPr="00FF7E74">
        <w:rPr>
          <w:rFonts w:ascii="Arial" w:hAnsi="Arial" w:cs="Arial"/>
          <w:b/>
          <w:sz w:val="20"/>
        </w:rPr>
        <w:br/>
      </w:r>
      <w:r w:rsidRPr="00FF7E74">
        <w:rPr>
          <w:rFonts w:ascii="Arial" w:hAnsi="Arial" w:cs="Arial"/>
          <w:sz w:val="20"/>
        </w:rPr>
        <w:t xml:space="preserve">Alongside the updated general comment, we recommend that the UN Committee on the Rights of the Child </w:t>
      </w:r>
      <w:r w:rsidR="00EB6A12" w:rsidRPr="00FF7E74">
        <w:rPr>
          <w:rFonts w:ascii="Arial" w:hAnsi="Arial" w:cs="Arial"/>
          <w:sz w:val="20"/>
        </w:rPr>
        <w:t xml:space="preserve">lead by example and </w:t>
      </w:r>
      <w:r w:rsidRPr="00FF7E74">
        <w:rPr>
          <w:rFonts w:ascii="Arial" w:hAnsi="Arial" w:cs="Arial"/>
          <w:sz w:val="20"/>
        </w:rPr>
        <w:t xml:space="preserve">publish a child-specific version of the document, such that children in contact with the youth justice system may be able to </w:t>
      </w:r>
      <w:r w:rsidR="008E2D1C" w:rsidRPr="00FF7E74">
        <w:rPr>
          <w:rFonts w:ascii="Arial" w:hAnsi="Arial" w:cs="Arial"/>
          <w:sz w:val="20"/>
        </w:rPr>
        <w:t xml:space="preserve">fully </w:t>
      </w:r>
      <w:r w:rsidR="00EB6A12" w:rsidRPr="00FF7E74">
        <w:rPr>
          <w:rFonts w:ascii="Arial" w:hAnsi="Arial" w:cs="Arial"/>
          <w:sz w:val="20"/>
        </w:rPr>
        <w:t>understand the</w:t>
      </w:r>
      <w:r w:rsidR="00691A88">
        <w:rPr>
          <w:rFonts w:ascii="Arial" w:hAnsi="Arial" w:cs="Arial"/>
          <w:sz w:val="20"/>
        </w:rPr>
        <w:t xml:space="preserve">ir </w:t>
      </w:r>
      <w:r w:rsidRPr="00FF7E74">
        <w:rPr>
          <w:rFonts w:ascii="Arial" w:hAnsi="Arial" w:cs="Arial"/>
          <w:sz w:val="20"/>
        </w:rPr>
        <w:t>rights</w:t>
      </w:r>
      <w:r w:rsidR="008E2D1C" w:rsidRPr="00FF7E74">
        <w:rPr>
          <w:rFonts w:ascii="Arial" w:hAnsi="Arial" w:cs="Arial"/>
          <w:sz w:val="20"/>
        </w:rPr>
        <w:t xml:space="preserve"> </w:t>
      </w:r>
      <w:r w:rsidR="00EB6A12" w:rsidRPr="00FF7E74">
        <w:rPr>
          <w:rFonts w:ascii="Arial" w:hAnsi="Arial" w:cs="Arial"/>
          <w:sz w:val="20"/>
        </w:rPr>
        <w:t xml:space="preserve">and </w:t>
      </w:r>
      <w:r w:rsidR="008E2D1C" w:rsidRPr="00FF7E74">
        <w:rPr>
          <w:rFonts w:ascii="Arial" w:hAnsi="Arial" w:cs="Arial"/>
          <w:sz w:val="20"/>
        </w:rPr>
        <w:t>the provision</w:t>
      </w:r>
      <w:r w:rsidR="00EB6A12" w:rsidRPr="00FF7E74">
        <w:rPr>
          <w:rFonts w:ascii="Arial" w:hAnsi="Arial" w:cs="Arial"/>
          <w:sz w:val="20"/>
        </w:rPr>
        <w:t>s</w:t>
      </w:r>
      <w:r w:rsidR="008E2D1C" w:rsidRPr="00FF7E74">
        <w:rPr>
          <w:rFonts w:ascii="Arial" w:hAnsi="Arial" w:cs="Arial"/>
          <w:sz w:val="20"/>
        </w:rPr>
        <w:t xml:space="preserve"> </w:t>
      </w:r>
      <w:r w:rsidR="00EB6A12" w:rsidRPr="00FF7E74">
        <w:rPr>
          <w:rFonts w:ascii="Arial" w:hAnsi="Arial" w:cs="Arial"/>
          <w:sz w:val="20"/>
        </w:rPr>
        <w:t>the</w:t>
      </w:r>
      <w:r w:rsidR="00691A88">
        <w:rPr>
          <w:rFonts w:ascii="Arial" w:hAnsi="Arial" w:cs="Arial"/>
          <w:sz w:val="20"/>
        </w:rPr>
        <w:t xml:space="preserve"> UN Committee considers they </w:t>
      </w:r>
      <w:r w:rsidR="00EB6A12" w:rsidRPr="00FF7E74">
        <w:rPr>
          <w:rFonts w:ascii="Arial" w:hAnsi="Arial" w:cs="Arial"/>
          <w:sz w:val="20"/>
        </w:rPr>
        <w:t>be</w:t>
      </w:r>
      <w:r w:rsidR="00F36F66" w:rsidRPr="00FF7E74">
        <w:rPr>
          <w:rFonts w:ascii="Arial" w:hAnsi="Arial" w:cs="Arial"/>
          <w:sz w:val="20"/>
        </w:rPr>
        <w:t xml:space="preserve"> </w:t>
      </w:r>
      <w:r w:rsidR="008E2D1C" w:rsidRPr="00FF7E74">
        <w:rPr>
          <w:rFonts w:ascii="Arial" w:hAnsi="Arial" w:cs="Arial"/>
          <w:sz w:val="20"/>
        </w:rPr>
        <w:t xml:space="preserve">entitled to. </w:t>
      </w:r>
      <w:r w:rsidR="00431ABA" w:rsidRPr="00FF7E74">
        <w:rPr>
          <w:rFonts w:ascii="Arial" w:hAnsi="Arial" w:cs="Arial"/>
          <w:sz w:val="20"/>
        </w:rPr>
        <w:t xml:space="preserve">The document should be developed with the involvement of children, and with consideration to the speech language and communication difficulties many children in contact with the criminal justice system have. </w:t>
      </w:r>
      <w:r w:rsidR="00B83860">
        <w:rPr>
          <w:rFonts w:ascii="Arial" w:hAnsi="Arial" w:cs="Arial"/>
          <w:sz w:val="20"/>
        </w:rPr>
        <w:t xml:space="preserve">Examples of </w:t>
      </w:r>
      <w:r w:rsidR="005936B5" w:rsidRPr="00FF7E74">
        <w:rPr>
          <w:rFonts w:ascii="Arial" w:hAnsi="Arial" w:cs="Arial"/>
          <w:sz w:val="20"/>
        </w:rPr>
        <w:t>child-specific document</w:t>
      </w:r>
      <w:r w:rsidR="00B83860">
        <w:rPr>
          <w:rFonts w:ascii="Arial" w:hAnsi="Arial" w:cs="Arial"/>
          <w:sz w:val="20"/>
        </w:rPr>
        <w:t>s include</w:t>
      </w:r>
      <w:r w:rsidR="005936B5" w:rsidRPr="00FF7E74">
        <w:rPr>
          <w:rFonts w:ascii="Arial" w:hAnsi="Arial" w:cs="Arial"/>
          <w:sz w:val="20"/>
        </w:rPr>
        <w:t xml:space="preserve"> </w:t>
      </w:r>
      <w:proofErr w:type="spellStart"/>
      <w:r w:rsidR="005936B5" w:rsidRPr="00FF7E74">
        <w:rPr>
          <w:rFonts w:ascii="Arial" w:hAnsi="Arial" w:cs="Arial"/>
          <w:sz w:val="20"/>
        </w:rPr>
        <w:t>Unicef’s</w:t>
      </w:r>
      <w:proofErr w:type="spellEnd"/>
      <w:r w:rsidR="005936B5" w:rsidRPr="00FF7E74">
        <w:rPr>
          <w:rFonts w:ascii="Arial" w:hAnsi="Arial" w:cs="Arial"/>
          <w:sz w:val="20"/>
        </w:rPr>
        <w:t xml:space="preserve"> “UNCRC in child-friendly language”</w:t>
      </w:r>
      <w:r w:rsidR="005936B5" w:rsidRPr="00FF7E74">
        <w:rPr>
          <w:rStyle w:val="FootnoteReference"/>
          <w:rFonts w:ascii="Arial" w:hAnsi="Arial" w:cs="Arial"/>
          <w:sz w:val="20"/>
        </w:rPr>
        <w:footnoteReference w:id="2"/>
      </w:r>
      <w:r w:rsidR="001074B8">
        <w:rPr>
          <w:rFonts w:ascii="Arial" w:hAnsi="Arial" w:cs="Arial"/>
          <w:sz w:val="20"/>
        </w:rPr>
        <w:t xml:space="preserve">, </w:t>
      </w:r>
      <w:r w:rsidR="00B83860">
        <w:rPr>
          <w:rFonts w:ascii="Arial" w:hAnsi="Arial" w:cs="Arial"/>
          <w:sz w:val="20"/>
        </w:rPr>
        <w:t>and the Children’s Rights Alliance for England’s child friendly version of the UN’s Concluding Observations on the UK.</w:t>
      </w:r>
      <w:r w:rsidR="00B83860">
        <w:rPr>
          <w:rStyle w:val="FootnoteReference"/>
          <w:rFonts w:ascii="Arial" w:hAnsi="Arial" w:cs="Arial"/>
          <w:sz w:val="20"/>
        </w:rPr>
        <w:footnoteReference w:id="3"/>
      </w:r>
      <w:r w:rsidR="001074B8">
        <w:rPr>
          <w:rFonts w:ascii="Arial" w:hAnsi="Arial" w:cs="Arial"/>
          <w:sz w:val="20"/>
        </w:rPr>
        <w:t xml:space="preserve"> </w:t>
      </w:r>
    </w:p>
    <w:p w14:paraId="010ED214" w14:textId="32A845BF" w:rsidR="00572BDD" w:rsidRPr="00FF7E74" w:rsidRDefault="004D05B2" w:rsidP="00454D0C">
      <w:pPr>
        <w:ind w:left="-426" w:right="-448"/>
        <w:rPr>
          <w:rFonts w:ascii="Arial" w:hAnsi="Arial" w:cs="Arial"/>
          <w:b/>
          <w:sz w:val="20"/>
        </w:rPr>
      </w:pPr>
      <w:r w:rsidRPr="00FF7E74">
        <w:rPr>
          <w:rFonts w:ascii="Arial" w:hAnsi="Arial" w:cs="Arial"/>
          <w:b/>
          <w:sz w:val="20"/>
        </w:rPr>
        <w:t>Terminology</w:t>
      </w:r>
      <w:r w:rsidR="00353ADD" w:rsidRPr="00FF7E74">
        <w:rPr>
          <w:rFonts w:ascii="Arial" w:hAnsi="Arial" w:cs="Arial"/>
          <w:b/>
          <w:sz w:val="20"/>
        </w:rPr>
        <w:br/>
      </w:r>
      <w:r w:rsidRPr="00FF7E74">
        <w:rPr>
          <w:rFonts w:ascii="Arial" w:hAnsi="Arial" w:cs="Arial"/>
          <w:sz w:val="20"/>
        </w:rPr>
        <w:t xml:space="preserve">Part III of the document states that the revised general comment </w:t>
      </w:r>
      <w:r w:rsidR="00853668" w:rsidRPr="00FF7E74">
        <w:rPr>
          <w:rFonts w:ascii="Arial" w:hAnsi="Arial" w:cs="Arial"/>
          <w:sz w:val="20"/>
        </w:rPr>
        <w:t>no longer</w:t>
      </w:r>
      <w:r w:rsidRPr="00FF7E74">
        <w:rPr>
          <w:rFonts w:ascii="Arial" w:hAnsi="Arial" w:cs="Arial"/>
          <w:sz w:val="20"/>
        </w:rPr>
        <w:t xml:space="preserve"> r</w:t>
      </w:r>
      <w:r w:rsidR="0059403C" w:rsidRPr="00FF7E74">
        <w:rPr>
          <w:rFonts w:ascii="Arial" w:hAnsi="Arial" w:cs="Arial"/>
          <w:sz w:val="20"/>
        </w:rPr>
        <w:t>efer</w:t>
      </w:r>
      <w:r w:rsidR="00853668" w:rsidRPr="00FF7E74">
        <w:rPr>
          <w:rFonts w:ascii="Arial" w:hAnsi="Arial" w:cs="Arial"/>
          <w:sz w:val="20"/>
        </w:rPr>
        <w:t>s</w:t>
      </w:r>
      <w:r w:rsidR="0059403C" w:rsidRPr="00FF7E74">
        <w:rPr>
          <w:rFonts w:ascii="Arial" w:hAnsi="Arial" w:cs="Arial"/>
          <w:sz w:val="20"/>
        </w:rPr>
        <w:t xml:space="preserve"> to children as ‘</w:t>
      </w:r>
      <w:proofErr w:type="gramStart"/>
      <w:r w:rsidR="0059403C" w:rsidRPr="00FF7E74">
        <w:rPr>
          <w:rFonts w:ascii="Arial" w:hAnsi="Arial" w:cs="Arial"/>
          <w:sz w:val="20"/>
        </w:rPr>
        <w:t>juveniles’, and</w:t>
      </w:r>
      <w:proofErr w:type="gramEnd"/>
      <w:r w:rsidR="0059403C" w:rsidRPr="00FF7E74">
        <w:rPr>
          <w:rFonts w:ascii="Arial" w:hAnsi="Arial" w:cs="Arial"/>
          <w:sz w:val="20"/>
        </w:rPr>
        <w:t xml:space="preserve"> acknowledges and encourages</w:t>
      </w:r>
      <w:r w:rsidRPr="00FF7E74">
        <w:rPr>
          <w:rFonts w:ascii="Arial" w:hAnsi="Arial" w:cs="Arial"/>
          <w:sz w:val="20"/>
        </w:rPr>
        <w:t xml:space="preserve"> the trend towards using </w:t>
      </w:r>
      <w:r w:rsidR="0059403C" w:rsidRPr="00FF7E74">
        <w:rPr>
          <w:rFonts w:ascii="Arial" w:hAnsi="Arial" w:cs="Arial"/>
          <w:sz w:val="20"/>
        </w:rPr>
        <w:t xml:space="preserve">more child-friendly </w:t>
      </w:r>
      <w:r w:rsidRPr="00FF7E74">
        <w:rPr>
          <w:rFonts w:ascii="Arial" w:hAnsi="Arial" w:cs="Arial"/>
          <w:sz w:val="20"/>
        </w:rPr>
        <w:t>terms such as ‘you</w:t>
      </w:r>
      <w:r w:rsidR="0059403C" w:rsidRPr="00FF7E74">
        <w:rPr>
          <w:rFonts w:ascii="Arial" w:hAnsi="Arial" w:cs="Arial"/>
          <w:sz w:val="20"/>
        </w:rPr>
        <w:t xml:space="preserve">th justice’ and ‘child justice’, which promote the dignity and worth of children in conflict with the law. </w:t>
      </w:r>
    </w:p>
    <w:p w14:paraId="71BAB8D5" w14:textId="37CEDECC" w:rsidR="004D05B2" w:rsidRPr="00FF7E74" w:rsidRDefault="0059403C" w:rsidP="00454D0C">
      <w:pPr>
        <w:ind w:left="-426" w:right="-448"/>
        <w:rPr>
          <w:rFonts w:ascii="Arial" w:hAnsi="Arial" w:cs="Arial"/>
          <w:sz w:val="20"/>
        </w:rPr>
      </w:pPr>
      <w:r w:rsidRPr="00FF7E74">
        <w:rPr>
          <w:rFonts w:ascii="Arial" w:hAnsi="Arial" w:cs="Arial"/>
          <w:sz w:val="20"/>
        </w:rPr>
        <w:t>We welcome this change</w:t>
      </w:r>
      <w:r w:rsidR="00572BDD" w:rsidRPr="00FF7E74">
        <w:rPr>
          <w:rFonts w:ascii="Arial" w:hAnsi="Arial" w:cs="Arial"/>
          <w:sz w:val="20"/>
        </w:rPr>
        <w:t xml:space="preserve"> in language and wider r</w:t>
      </w:r>
      <w:r w:rsidRPr="00FF7E74">
        <w:rPr>
          <w:rFonts w:ascii="Arial" w:hAnsi="Arial" w:cs="Arial"/>
          <w:sz w:val="20"/>
        </w:rPr>
        <w:t xml:space="preserve">ecognition, but note that the document continues to refer to children as </w:t>
      </w:r>
      <w:r w:rsidR="00572BDD" w:rsidRPr="00FF7E74">
        <w:rPr>
          <w:rFonts w:ascii="Arial" w:hAnsi="Arial" w:cs="Arial"/>
          <w:sz w:val="20"/>
        </w:rPr>
        <w:t>‘</w:t>
      </w:r>
      <w:r w:rsidRPr="00FF7E74">
        <w:rPr>
          <w:rFonts w:ascii="Arial" w:hAnsi="Arial" w:cs="Arial"/>
          <w:sz w:val="20"/>
        </w:rPr>
        <w:t>child offenders</w:t>
      </w:r>
      <w:r w:rsidR="00572BDD" w:rsidRPr="00FF7E74">
        <w:rPr>
          <w:rFonts w:ascii="Arial" w:hAnsi="Arial" w:cs="Arial"/>
          <w:sz w:val="20"/>
        </w:rPr>
        <w:t>’</w:t>
      </w:r>
      <w:r w:rsidR="00EB6A12" w:rsidRPr="00FF7E74">
        <w:rPr>
          <w:rFonts w:ascii="Arial" w:hAnsi="Arial" w:cs="Arial"/>
          <w:sz w:val="20"/>
        </w:rPr>
        <w:t xml:space="preserve">, </w:t>
      </w:r>
      <w:r w:rsidRPr="00FF7E74">
        <w:rPr>
          <w:rFonts w:ascii="Arial" w:hAnsi="Arial" w:cs="Arial"/>
          <w:sz w:val="20"/>
        </w:rPr>
        <w:t xml:space="preserve">and to their behaviour as </w:t>
      </w:r>
      <w:r w:rsidR="00572BDD" w:rsidRPr="00FF7E74">
        <w:rPr>
          <w:rFonts w:ascii="Arial" w:hAnsi="Arial" w:cs="Arial"/>
          <w:sz w:val="20"/>
        </w:rPr>
        <w:t>‘</w:t>
      </w:r>
      <w:r w:rsidRPr="00FF7E74">
        <w:rPr>
          <w:rFonts w:ascii="Arial" w:hAnsi="Arial" w:cs="Arial"/>
          <w:sz w:val="20"/>
        </w:rPr>
        <w:t>juvenile delinquency</w:t>
      </w:r>
      <w:r w:rsidR="00572BDD" w:rsidRPr="00FF7E74">
        <w:rPr>
          <w:rFonts w:ascii="Arial" w:hAnsi="Arial" w:cs="Arial"/>
          <w:sz w:val="20"/>
        </w:rPr>
        <w:t>’ throughout</w:t>
      </w:r>
      <w:r w:rsidRPr="00FF7E74">
        <w:rPr>
          <w:rFonts w:ascii="Arial" w:hAnsi="Arial" w:cs="Arial"/>
          <w:sz w:val="20"/>
        </w:rPr>
        <w:t xml:space="preserve">. </w:t>
      </w:r>
      <w:r w:rsidR="00330CA7" w:rsidRPr="00FF7E74">
        <w:rPr>
          <w:rFonts w:ascii="Arial" w:hAnsi="Arial" w:cs="Arial"/>
          <w:sz w:val="20"/>
        </w:rPr>
        <w:t xml:space="preserve">Other terms used with problematic connotations include ‘vagrancy’, ‘recidivists’ and ‘correctional facilities’. </w:t>
      </w:r>
      <w:r w:rsidRPr="00FF7E74">
        <w:rPr>
          <w:rFonts w:ascii="Arial" w:hAnsi="Arial" w:cs="Arial"/>
          <w:sz w:val="20"/>
        </w:rPr>
        <w:t>We recommend that the language</w:t>
      </w:r>
      <w:r w:rsidR="00624C90" w:rsidRPr="00FF7E74">
        <w:rPr>
          <w:rFonts w:ascii="Arial" w:hAnsi="Arial" w:cs="Arial"/>
          <w:sz w:val="20"/>
        </w:rPr>
        <w:t xml:space="preserve"> in</w:t>
      </w:r>
      <w:r w:rsidRPr="00FF7E74">
        <w:rPr>
          <w:rFonts w:ascii="Arial" w:hAnsi="Arial" w:cs="Arial"/>
          <w:sz w:val="20"/>
        </w:rPr>
        <w:t xml:space="preserve"> the general comment is amended </w:t>
      </w:r>
      <w:r w:rsidR="00572BDD" w:rsidRPr="00FF7E74">
        <w:rPr>
          <w:rFonts w:ascii="Arial" w:hAnsi="Arial" w:cs="Arial"/>
          <w:sz w:val="20"/>
        </w:rPr>
        <w:t>to use child</w:t>
      </w:r>
      <w:r w:rsidR="004C42EE" w:rsidRPr="00FF7E74">
        <w:rPr>
          <w:rFonts w:ascii="Arial" w:hAnsi="Arial" w:cs="Arial"/>
          <w:sz w:val="20"/>
        </w:rPr>
        <w:t xml:space="preserve"> </w:t>
      </w:r>
      <w:r w:rsidR="00572BDD" w:rsidRPr="00FF7E74">
        <w:rPr>
          <w:rFonts w:ascii="Arial" w:hAnsi="Arial" w:cs="Arial"/>
          <w:sz w:val="20"/>
        </w:rPr>
        <w:t>friendly</w:t>
      </w:r>
      <w:r w:rsidRPr="00FF7E74">
        <w:rPr>
          <w:rFonts w:ascii="Arial" w:hAnsi="Arial" w:cs="Arial"/>
          <w:sz w:val="20"/>
        </w:rPr>
        <w:t xml:space="preserve"> terms such as ‘children in conflict with the </w:t>
      </w:r>
      <w:r w:rsidRPr="00FF7E74">
        <w:rPr>
          <w:rFonts w:ascii="Arial" w:hAnsi="Arial" w:cs="Arial"/>
          <w:sz w:val="20"/>
        </w:rPr>
        <w:lastRenderedPageBreak/>
        <w:t>law’, ‘child justice’, and ‘offending behaviour’ throughout. This avoids labelling and stigmatising children as far as possible</w:t>
      </w:r>
      <w:r w:rsidR="00431ABA" w:rsidRPr="00FF7E74">
        <w:rPr>
          <w:rFonts w:ascii="Arial" w:hAnsi="Arial" w:cs="Arial"/>
          <w:sz w:val="20"/>
        </w:rPr>
        <w:t>, and is supported by desistance theory</w:t>
      </w:r>
      <w:r w:rsidRPr="00FF7E74">
        <w:rPr>
          <w:rFonts w:ascii="Arial" w:hAnsi="Arial" w:cs="Arial"/>
          <w:sz w:val="20"/>
        </w:rPr>
        <w:t xml:space="preserve">. </w:t>
      </w:r>
    </w:p>
    <w:p w14:paraId="39A5AD6C" w14:textId="229C290E" w:rsidR="004742DE" w:rsidRPr="00FF7E74" w:rsidRDefault="00146196" w:rsidP="00454D0C">
      <w:pPr>
        <w:ind w:left="-426" w:right="-448"/>
        <w:rPr>
          <w:rFonts w:ascii="Arial" w:hAnsi="Arial" w:cs="Arial"/>
          <w:b/>
          <w:sz w:val="20"/>
        </w:rPr>
      </w:pPr>
      <w:r w:rsidRPr="00FF7E74">
        <w:rPr>
          <w:rFonts w:ascii="Arial" w:hAnsi="Arial" w:cs="Arial"/>
          <w:b/>
          <w:sz w:val="20"/>
        </w:rPr>
        <w:t xml:space="preserve">Prevention </w:t>
      </w:r>
      <w:r w:rsidR="00353ADD" w:rsidRPr="00FF7E74">
        <w:rPr>
          <w:rFonts w:ascii="Arial" w:hAnsi="Arial" w:cs="Arial"/>
          <w:b/>
          <w:sz w:val="20"/>
        </w:rPr>
        <w:br/>
      </w:r>
      <w:r w:rsidR="004069C7" w:rsidRPr="00FF7E74">
        <w:rPr>
          <w:rFonts w:ascii="Arial" w:hAnsi="Arial" w:cs="Arial"/>
          <w:sz w:val="20"/>
        </w:rPr>
        <w:t xml:space="preserve">In general we welcome the slight change of tone in </w:t>
      </w:r>
      <w:r w:rsidR="0098034E" w:rsidRPr="00FF7E74">
        <w:rPr>
          <w:rFonts w:ascii="Arial" w:hAnsi="Arial" w:cs="Arial"/>
          <w:sz w:val="20"/>
        </w:rPr>
        <w:t>S</w:t>
      </w:r>
      <w:r w:rsidR="004069C7" w:rsidRPr="00FF7E74">
        <w:rPr>
          <w:rFonts w:ascii="Arial" w:hAnsi="Arial" w:cs="Arial"/>
          <w:sz w:val="20"/>
        </w:rPr>
        <w:t>ection</w:t>
      </w:r>
      <w:r w:rsidR="0098034E" w:rsidRPr="00FF7E74">
        <w:rPr>
          <w:rFonts w:ascii="Arial" w:hAnsi="Arial" w:cs="Arial"/>
          <w:sz w:val="20"/>
        </w:rPr>
        <w:t xml:space="preserve"> A</w:t>
      </w:r>
      <w:r w:rsidR="004069C7" w:rsidRPr="00FF7E74">
        <w:rPr>
          <w:rFonts w:ascii="Arial" w:hAnsi="Arial" w:cs="Arial"/>
          <w:sz w:val="20"/>
        </w:rPr>
        <w:t xml:space="preserve"> towards wider primary prevention rather than prevention</w:t>
      </w:r>
      <w:r w:rsidR="00441C10" w:rsidRPr="00FF7E74">
        <w:rPr>
          <w:rFonts w:ascii="Arial" w:hAnsi="Arial" w:cs="Arial"/>
          <w:sz w:val="20"/>
        </w:rPr>
        <w:t xml:space="preserve"> or intervention</w:t>
      </w:r>
      <w:r w:rsidR="004069C7" w:rsidRPr="00FF7E74">
        <w:rPr>
          <w:rFonts w:ascii="Arial" w:hAnsi="Arial" w:cs="Arial"/>
          <w:sz w:val="20"/>
        </w:rPr>
        <w:t xml:space="preserve"> aimed specifically at ‘at-risk’ children and families. We welcome this shift away from a ‘risk-focused’ prevention strategy</w:t>
      </w:r>
      <w:r w:rsidR="00441C10" w:rsidRPr="00FF7E74">
        <w:rPr>
          <w:rFonts w:ascii="Arial" w:hAnsi="Arial" w:cs="Arial"/>
          <w:sz w:val="20"/>
        </w:rPr>
        <w:t xml:space="preserve">, towards a </w:t>
      </w:r>
      <w:r w:rsidR="00797A63" w:rsidRPr="00FF7E74">
        <w:rPr>
          <w:rFonts w:ascii="Arial" w:hAnsi="Arial" w:cs="Arial"/>
          <w:sz w:val="20"/>
        </w:rPr>
        <w:t>‘</w:t>
      </w:r>
      <w:r w:rsidR="00441C10" w:rsidRPr="00FF7E74">
        <w:rPr>
          <w:rFonts w:ascii="Arial" w:hAnsi="Arial" w:cs="Arial"/>
          <w:sz w:val="20"/>
        </w:rPr>
        <w:t>public health</w:t>
      </w:r>
      <w:r w:rsidR="00797A63" w:rsidRPr="00FF7E74">
        <w:rPr>
          <w:rFonts w:ascii="Arial" w:hAnsi="Arial" w:cs="Arial"/>
          <w:sz w:val="20"/>
        </w:rPr>
        <w:t>’</w:t>
      </w:r>
      <w:r w:rsidR="00555567" w:rsidRPr="00FF7E74">
        <w:rPr>
          <w:rFonts w:ascii="Arial" w:hAnsi="Arial" w:cs="Arial"/>
          <w:sz w:val="20"/>
        </w:rPr>
        <w:t xml:space="preserve"> approach. In line with this, we recommend mention of the importance of minimising contact with the criminal justice system; the removal of “an increased or” before “serious risk” in paragraph 18; the inclusion of </w:t>
      </w:r>
      <w:r w:rsidR="00555567" w:rsidRPr="00FF7E74">
        <w:rPr>
          <w:rFonts w:ascii="Arial" w:hAnsi="Arial" w:cs="Arial"/>
          <w:sz w:val="20"/>
          <w:lang w:val="en-US"/>
        </w:rPr>
        <w:t>“non-coercive”, “voluntary” or “non-punitive” in front of “support for families” in paragraph 19</w:t>
      </w:r>
      <w:r w:rsidR="00AB34FC" w:rsidRPr="00FF7E74">
        <w:rPr>
          <w:rFonts w:ascii="Arial" w:hAnsi="Arial" w:cs="Arial"/>
          <w:sz w:val="20"/>
          <w:lang w:val="en-US"/>
        </w:rPr>
        <w:t xml:space="preserve">; and the substitution of “drop out of school” with “are excluded from school” in paragraph 19. </w:t>
      </w:r>
    </w:p>
    <w:p w14:paraId="0917FC1F" w14:textId="210BE8DF" w:rsidR="00811F59" w:rsidRPr="00FF7E74" w:rsidRDefault="00811F59" w:rsidP="00454D0C">
      <w:pPr>
        <w:ind w:left="-426" w:right="-448"/>
        <w:rPr>
          <w:rFonts w:ascii="Arial" w:hAnsi="Arial" w:cs="Arial"/>
          <w:sz w:val="20"/>
        </w:rPr>
      </w:pPr>
      <w:r w:rsidRPr="00FF7E74">
        <w:rPr>
          <w:rFonts w:ascii="Arial" w:hAnsi="Arial" w:cs="Arial"/>
          <w:sz w:val="20"/>
        </w:rPr>
        <w:t>In paragraph 18, where the importance of prevention of economic or sexual exploitation is mentioned, we recommend the insertion of “and all other forms of exploitation (</w:t>
      </w:r>
      <w:r w:rsidR="00F6506D" w:rsidRPr="00FF7E74">
        <w:rPr>
          <w:rFonts w:ascii="Arial" w:hAnsi="Arial" w:cs="Arial"/>
          <w:sz w:val="20"/>
        </w:rPr>
        <w:t>a</w:t>
      </w:r>
      <w:r w:rsidRPr="00FF7E74">
        <w:rPr>
          <w:rFonts w:ascii="Arial" w:hAnsi="Arial" w:cs="Arial"/>
          <w:sz w:val="20"/>
        </w:rPr>
        <w:t>rt</w:t>
      </w:r>
      <w:r w:rsidR="00EF07F3" w:rsidRPr="00FF7E74">
        <w:rPr>
          <w:rFonts w:ascii="Arial" w:hAnsi="Arial" w:cs="Arial"/>
          <w:sz w:val="20"/>
        </w:rPr>
        <w:t>.</w:t>
      </w:r>
      <w:r w:rsidRPr="00FF7E74">
        <w:rPr>
          <w:rFonts w:ascii="Arial" w:hAnsi="Arial" w:cs="Arial"/>
          <w:sz w:val="20"/>
        </w:rPr>
        <w:t xml:space="preserve"> 36)” (see </w:t>
      </w:r>
      <w:r w:rsidR="00082A17" w:rsidRPr="00FF7E74">
        <w:rPr>
          <w:rFonts w:ascii="Arial" w:hAnsi="Arial" w:cs="Arial"/>
          <w:sz w:val="20"/>
        </w:rPr>
        <w:t xml:space="preserve">our </w:t>
      </w:r>
      <w:r w:rsidR="009845A6" w:rsidRPr="00FF7E74">
        <w:rPr>
          <w:rFonts w:ascii="Arial" w:hAnsi="Arial" w:cs="Arial"/>
          <w:sz w:val="20"/>
        </w:rPr>
        <w:t xml:space="preserve">comment </w:t>
      </w:r>
      <w:r w:rsidRPr="00FF7E74">
        <w:rPr>
          <w:rFonts w:ascii="Arial" w:hAnsi="Arial" w:cs="Arial"/>
          <w:sz w:val="20"/>
        </w:rPr>
        <w:t xml:space="preserve">below on children involved in crime as victims of exploitation). </w:t>
      </w:r>
    </w:p>
    <w:p w14:paraId="03E1F7AC" w14:textId="4884F649" w:rsidR="00756D93" w:rsidRPr="00FF7E74" w:rsidRDefault="00756D93" w:rsidP="00454D0C">
      <w:pPr>
        <w:ind w:left="-426" w:right="-448"/>
        <w:rPr>
          <w:rFonts w:ascii="Arial" w:hAnsi="Arial" w:cs="Arial"/>
          <w:sz w:val="20"/>
        </w:rPr>
      </w:pPr>
      <w:r w:rsidRPr="00FF7E74">
        <w:rPr>
          <w:rFonts w:ascii="Arial" w:hAnsi="Arial" w:cs="Arial"/>
          <w:sz w:val="20"/>
        </w:rPr>
        <w:t xml:space="preserve">While </w:t>
      </w:r>
      <w:r w:rsidR="005009E1" w:rsidRPr="00FF7E74">
        <w:rPr>
          <w:rFonts w:ascii="Arial" w:hAnsi="Arial" w:cs="Arial"/>
          <w:sz w:val="20"/>
        </w:rPr>
        <w:t xml:space="preserve">paragraph 19 </w:t>
      </w:r>
      <w:r w:rsidR="004E1666" w:rsidRPr="00FF7E74">
        <w:rPr>
          <w:rFonts w:ascii="Arial" w:hAnsi="Arial" w:cs="Arial"/>
          <w:sz w:val="20"/>
        </w:rPr>
        <w:t xml:space="preserve">does </w:t>
      </w:r>
      <w:r w:rsidR="005009E1" w:rsidRPr="00FF7E74">
        <w:rPr>
          <w:rFonts w:ascii="Arial" w:hAnsi="Arial" w:cs="Arial"/>
          <w:sz w:val="20"/>
        </w:rPr>
        <w:t xml:space="preserve">mention peer groups and schools, we feel that the </w:t>
      </w:r>
      <w:r w:rsidR="00FB102D" w:rsidRPr="00FF7E74">
        <w:rPr>
          <w:rFonts w:ascii="Arial" w:hAnsi="Arial" w:cs="Arial"/>
          <w:sz w:val="20"/>
        </w:rPr>
        <w:t xml:space="preserve">role of schools and </w:t>
      </w:r>
      <w:r w:rsidR="00502703" w:rsidRPr="00FF7E74">
        <w:rPr>
          <w:rFonts w:ascii="Arial" w:hAnsi="Arial" w:cs="Arial"/>
          <w:sz w:val="20"/>
        </w:rPr>
        <w:t xml:space="preserve">importance of </w:t>
      </w:r>
      <w:r w:rsidR="00FB102D" w:rsidRPr="00FF7E74">
        <w:rPr>
          <w:rFonts w:ascii="Arial" w:hAnsi="Arial" w:cs="Arial"/>
          <w:sz w:val="20"/>
        </w:rPr>
        <w:t xml:space="preserve">access to </w:t>
      </w:r>
      <w:r w:rsidR="003F4013" w:rsidRPr="00FF7E74">
        <w:rPr>
          <w:rFonts w:ascii="Arial" w:hAnsi="Arial" w:cs="Arial"/>
          <w:sz w:val="20"/>
        </w:rPr>
        <w:t xml:space="preserve">informal </w:t>
      </w:r>
      <w:r w:rsidR="00FB102D" w:rsidRPr="00FF7E74">
        <w:rPr>
          <w:rFonts w:ascii="Arial" w:hAnsi="Arial" w:cs="Arial"/>
          <w:sz w:val="20"/>
        </w:rPr>
        <w:t>activities</w:t>
      </w:r>
      <w:r w:rsidR="00A553F3" w:rsidRPr="00FF7E74">
        <w:rPr>
          <w:rFonts w:ascii="Arial" w:hAnsi="Arial" w:cs="Arial"/>
          <w:sz w:val="20"/>
        </w:rPr>
        <w:t>,</w:t>
      </w:r>
      <w:r w:rsidR="00431ABA" w:rsidRPr="00FF7E74">
        <w:rPr>
          <w:rFonts w:ascii="Arial" w:hAnsi="Arial" w:cs="Arial"/>
          <w:sz w:val="20"/>
        </w:rPr>
        <w:t xml:space="preserve"> such as youth clubs, </w:t>
      </w:r>
      <w:r w:rsidR="00FB102D" w:rsidRPr="00FF7E74">
        <w:rPr>
          <w:rFonts w:ascii="Arial" w:hAnsi="Arial" w:cs="Arial"/>
          <w:sz w:val="20"/>
        </w:rPr>
        <w:t>sports</w:t>
      </w:r>
      <w:r w:rsidR="00A553F3" w:rsidRPr="00FF7E74">
        <w:rPr>
          <w:rFonts w:ascii="Arial" w:hAnsi="Arial" w:cs="Arial"/>
          <w:sz w:val="20"/>
        </w:rPr>
        <w:t>,</w:t>
      </w:r>
      <w:r w:rsidR="003161B1" w:rsidRPr="00FF7E74">
        <w:rPr>
          <w:rFonts w:ascii="Arial" w:hAnsi="Arial" w:cs="Arial"/>
          <w:sz w:val="20"/>
        </w:rPr>
        <w:t xml:space="preserve"> </w:t>
      </w:r>
      <w:r w:rsidR="00431ABA" w:rsidRPr="00FF7E74">
        <w:rPr>
          <w:rFonts w:ascii="Arial" w:hAnsi="Arial" w:cs="Arial"/>
          <w:sz w:val="20"/>
        </w:rPr>
        <w:t xml:space="preserve">arts and hobbies, </w:t>
      </w:r>
      <w:r w:rsidR="003161B1" w:rsidRPr="00FF7E74">
        <w:rPr>
          <w:rFonts w:ascii="Arial" w:hAnsi="Arial" w:cs="Arial"/>
          <w:sz w:val="20"/>
        </w:rPr>
        <w:t xml:space="preserve">could be emphasised. </w:t>
      </w:r>
      <w:r w:rsidR="00330CA7" w:rsidRPr="00FF7E74">
        <w:rPr>
          <w:rFonts w:ascii="Arial" w:hAnsi="Arial" w:cs="Arial"/>
          <w:sz w:val="20"/>
        </w:rPr>
        <w:t>A holistic approach should be taken</w:t>
      </w:r>
      <w:r w:rsidR="008C2D3A" w:rsidRPr="00FF7E74">
        <w:rPr>
          <w:rFonts w:ascii="Arial" w:hAnsi="Arial" w:cs="Arial"/>
          <w:sz w:val="20"/>
        </w:rPr>
        <w:t xml:space="preserve"> in prevention</w:t>
      </w:r>
      <w:r w:rsidR="00330CA7" w:rsidRPr="00FF7E74">
        <w:rPr>
          <w:rFonts w:ascii="Arial" w:hAnsi="Arial" w:cs="Arial"/>
          <w:sz w:val="20"/>
        </w:rPr>
        <w:t>.</w:t>
      </w:r>
    </w:p>
    <w:p w14:paraId="644C1DC8" w14:textId="172A3BB2" w:rsidR="004069C7" w:rsidRPr="00FF7E74" w:rsidRDefault="004742DE" w:rsidP="00454D0C">
      <w:pPr>
        <w:ind w:left="-426" w:right="-448"/>
        <w:rPr>
          <w:rFonts w:ascii="Arial" w:hAnsi="Arial" w:cs="Arial"/>
          <w:b/>
          <w:sz w:val="20"/>
        </w:rPr>
      </w:pPr>
      <w:r w:rsidRPr="00FF7E74">
        <w:rPr>
          <w:rFonts w:ascii="Arial" w:hAnsi="Arial" w:cs="Arial"/>
          <w:b/>
          <w:sz w:val="20"/>
        </w:rPr>
        <w:t>Diversion</w:t>
      </w:r>
      <w:r w:rsidR="00353ADD" w:rsidRPr="00FF7E74">
        <w:rPr>
          <w:rFonts w:ascii="Arial" w:hAnsi="Arial" w:cs="Arial"/>
          <w:b/>
          <w:sz w:val="20"/>
        </w:rPr>
        <w:br/>
      </w:r>
      <w:r w:rsidRPr="00FF7E74">
        <w:rPr>
          <w:rFonts w:ascii="Arial" w:hAnsi="Arial" w:cs="Arial"/>
          <w:sz w:val="20"/>
        </w:rPr>
        <w:t>We welcome the increased emphasis in the revised general comment</w:t>
      </w:r>
      <w:r w:rsidR="00E42A11" w:rsidRPr="00FF7E74">
        <w:rPr>
          <w:rFonts w:ascii="Arial" w:hAnsi="Arial" w:cs="Arial"/>
          <w:sz w:val="20"/>
        </w:rPr>
        <w:t>, in section</w:t>
      </w:r>
      <w:r w:rsidR="00F1565E" w:rsidRPr="00FF7E74">
        <w:rPr>
          <w:rFonts w:ascii="Arial" w:hAnsi="Arial" w:cs="Arial"/>
          <w:sz w:val="20"/>
        </w:rPr>
        <w:t>s</w:t>
      </w:r>
      <w:r w:rsidR="00E42A11" w:rsidRPr="00FF7E74">
        <w:rPr>
          <w:rFonts w:ascii="Arial" w:hAnsi="Arial" w:cs="Arial"/>
          <w:sz w:val="20"/>
        </w:rPr>
        <w:t xml:space="preserve"> B, E, and throughout,</w:t>
      </w:r>
      <w:r w:rsidRPr="00FF7E74">
        <w:rPr>
          <w:rFonts w:ascii="Arial" w:hAnsi="Arial" w:cs="Arial"/>
          <w:sz w:val="20"/>
        </w:rPr>
        <w:t xml:space="preserve"> </w:t>
      </w:r>
      <w:r w:rsidR="006746E9" w:rsidRPr="00FF7E74">
        <w:rPr>
          <w:rFonts w:ascii="Arial" w:hAnsi="Arial" w:cs="Arial"/>
          <w:sz w:val="20"/>
        </w:rPr>
        <w:t xml:space="preserve">that diversion is </w:t>
      </w:r>
      <w:r w:rsidR="00B45203" w:rsidRPr="00FF7E74">
        <w:rPr>
          <w:rFonts w:ascii="Arial" w:hAnsi="Arial" w:cs="Arial"/>
          <w:sz w:val="20"/>
        </w:rPr>
        <w:t xml:space="preserve">the </w:t>
      </w:r>
      <w:r w:rsidR="006746E9" w:rsidRPr="00FF7E74">
        <w:rPr>
          <w:rFonts w:ascii="Arial" w:hAnsi="Arial" w:cs="Arial"/>
          <w:sz w:val="20"/>
        </w:rPr>
        <w:t>appropriate and</w:t>
      </w:r>
      <w:r w:rsidR="00B45203" w:rsidRPr="00FF7E74">
        <w:rPr>
          <w:rFonts w:ascii="Arial" w:hAnsi="Arial" w:cs="Arial"/>
          <w:sz w:val="20"/>
        </w:rPr>
        <w:t xml:space="preserve"> preferable</w:t>
      </w:r>
      <w:r w:rsidR="009057FD" w:rsidRPr="00FF7E74">
        <w:rPr>
          <w:rFonts w:ascii="Arial" w:hAnsi="Arial" w:cs="Arial"/>
          <w:sz w:val="20"/>
        </w:rPr>
        <w:t xml:space="preserve"> response </w:t>
      </w:r>
      <w:r w:rsidR="002E5CCB" w:rsidRPr="00FF7E74">
        <w:rPr>
          <w:rFonts w:ascii="Arial" w:hAnsi="Arial" w:cs="Arial"/>
          <w:sz w:val="20"/>
        </w:rPr>
        <w:t xml:space="preserve">over </w:t>
      </w:r>
      <w:r w:rsidRPr="00FF7E74">
        <w:rPr>
          <w:rFonts w:ascii="Arial" w:hAnsi="Arial" w:cs="Arial"/>
          <w:sz w:val="20"/>
        </w:rPr>
        <w:t xml:space="preserve">criminal justice measures in the majority of cases involving children. </w:t>
      </w:r>
      <w:r w:rsidR="0064779A" w:rsidRPr="00FF7E74">
        <w:rPr>
          <w:rFonts w:ascii="Arial" w:hAnsi="Arial" w:cs="Arial"/>
          <w:sz w:val="20"/>
        </w:rPr>
        <w:t>We</w:t>
      </w:r>
      <w:r w:rsidR="00146733" w:rsidRPr="00FF7E74">
        <w:rPr>
          <w:rFonts w:ascii="Arial" w:hAnsi="Arial" w:cs="Arial"/>
          <w:sz w:val="20"/>
        </w:rPr>
        <w:t xml:space="preserve"> welcome</w:t>
      </w:r>
      <w:r w:rsidR="0064779A" w:rsidRPr="00FF7E74">
        <w:rPr>
          <w:rFonts w:ascii="Arial" w:hAnsi="Arial" w:cs="Arial"/>
          <w:sz w:val="20"/>
        </w:rPr>
        <w:t>, for example,</w:t>
      </w:r>
      <w:r w:rsidR="00146733" w:rsidRPr="00FF7E74">
        <w:rPr>
          <w:rFonts w:ascii="Arial" w:hAnsi="Arial" w:cs="Arial"/>
          <w:sz w:val="20"/>
        </w:rPr>
        <w:t xml:space="preserve"> the removal of mention of minor offences and fi</w:t>
      </w:r>
      <w:r w:rsidR="0064779A" w:rsidRPr="00FF7E74">
        <w:rPr>
          <w:rFonts w:ascii="Arial" w:hAnsi="Arial" w:cs="Arial"/>
          <w:sz w:val="20"/>
        </w:rPr>
        <w:t>rst time entrants in para</w:t>
      </w:r>
      <w:r w:rsidR="00B91612" w:rsidRPr="00FF7E74">
        <w:rPr>
          <w:rFonts w:ascii="Arial" w:hAnsi="Arial" w:cs="Arial"/>
          <w:sz w:val="20"/>
        </w:rPr>
        <w:t>graphs</w:t>
      </w:r>
      <w:r w:rsidR="0064779A" w:rsidRPr="00FF7E74">
        <w:rPr>
          <w:rFonts w:ascii="Arial" w:hAnsi="Arial" w:cs="Arial"/>
          <w:sz w:val="20"/>
        </w:rPr>
        <w:t xml:space="preserve"> 23 – 27 </w:t>
      </w:r>
      <w:r w:rsidR="00146733" w:rsidRPr="00FF7E74">
        <w:rPr>
          <w:rFonts w:ascii="Arial" w:hAnsi="Arial" w:cs="Arial"/>
          <w:sz w:val="20"/>
        </w:rPr>
        <w:t>so that it is implied that diversion is appropriate for a much wider set of children than in the previous general comment.</w:t>
      </w:r>
      <w:r w:rsidR="00312582" w:rsidRPr="00FF7E74">
        <w:rPr>
          <w:rFonts w:ascii="Arial" w:hAnsi="Arial" w:cs="Arial"/>
          <w:sz w:val="20"/>
        </w:rPr>
        <w:t xml:space="preserve"> We </w:t>
      </w:r>
      <w:r w:rsidR="000B6929" w:rsidRPr="00FF7E74">
        <w:rPr>
          <w:rFonts w:ascii="Arial" w:hAnsi="Arial" w:cs="Arial"/>
          <w:sz w:val="20"/>
        </w:rPr>
        <w:t>support</w:t>
      </w:r>
      <w:r w:rsidR="00312582" w:rsidRPr="00FF7E74">
        <w:rPr>
          <w:rFonts w:ascii="Arial" w:hAnsi="Arial" w:cs="Arial"/>
          <w:sz w:val="20"/>
        </w:rPr>
        <w:t xml:space="preserve"> the</w:t>
      </w:r>
      <w:r w:rsidR="00A101C2" w:rsidRPr="00FF7E74">
        <w:rPr>
          <w:rFonts w:ascii="Arial" w:hAnsi="Arial" w:cs="Arial"/>
          <w:sz w:val="20"/>
        </w:rPr>
        <w:t xml:space="preserve"> attention brought </w:t>
      </w:r>
      <w:r w:rsidR="00E66376" w:rsidRPr="00FF7E74">
        <w:rPr>
          <w:rFonts w:ascii="Arial" w:hAnsi="Arial" w:cs="Arial"/>
          <w:sz w:val="20"/>
        </w:rPr>
        <w:t xml:space="preserve">to the fact </w:t>
      </w:r>
      <w:r w:rsidR="00312582" w:rsidRPr="00FF7E74">
        <w:rPr>
          <w:rFonts w:ascii="Arial" w:hAnsi="Arial" w:cs="Arial"/>
          <w:sz w:val="20"/>
        </w:rPr>
        <w:t>that opportunities for diversion should be continuously explored throughout a child’s involvement with the law</w:t>
      </w:r>
      <w:r w:rsidR="00EF0D8C" w:rsidRPr="00FF7E74">
        <w:rPr>
          <w:rFonts w:ascii="Arial" w:hAnsi="Arial" w:cs="Arial"/>
          <w:sz w:val="20"/>
        </w:rPr>
        <w:t>, not just at the first instance</w:t>
      </w:r>
      <w:r w:rsidR="00E66376" w:rsidRPr="00FF7E74">
        <w:rPr>
          <w:rFonts w:ascii="Arial" w:hAnsi="Arial" w:cs="Arial"/>
          <w:sz w:val="20"/>
        </w:rPr>
        <w:t xml:space="preserve"> (paragraph 82).</w:t>
      </w:r>
      <w:r w:rsidR="00330CA7" w:rsidRPr="00FF7E74">
        <w:rPr>
          <w:rFonts w:ascii="Arial" w:hAnsi="Arial" w:cs="Arial"/>
          <w:sz w:val="20"/>
        </w:rPr>
        <w:t xml:space="preserve"> All interventions should keep justice system contact to a minimum. </w:t>
      </w:r>
    </w:p>
    <w:p w14:paraId="791A9E5B" w14:textId="597B524E" w:rsidR="00146733" w:rsidRPr="00FF7E74" w:rsidRDefault="00146733" w:rsidP="00454D0C">
      <w:pPr>
        <w:ind w:left="-426" w:right="-448"/>
        <w:rPr>
          <w:rFonts w:ascii="Arial" w:hAnsi="Arial" w:cs="Arial"/>
          <w:sz w:val="20"/>
        </w:rPr>
      </w:pPr>
      <w:r w:rsidRPr="00FF7E74">
        <w:rPr>
          <w:rFonts w:ascii="Arial" w:hAnsi="Arial" w:cs="Arial"/>
          <w:sz w:val="20"/>
        </w:rPr>
        <w:t>While we recognise the attempt to remove duplication and simplify the</w:t>
      </w:r>
      <w:r w:rsidR="007D0F66" w:rsidRPr="00FF7E74">
        <w:rPr>
          <w:rFonts w:ascii="Arial" w:hAnsi="Arial" w:cs="Arial"/>
          <w:sz w:val="20"/>
        </w:rPr>
        <w:t xml:space="preserve"> general</w:t>
      </w:r>
      <w:r w:rsidRPr="00FF7E74">
        <w:rPr>
          <w:rFonts w:ascii="Arial" w:hAnsi="Arial" w:cs="Arial"/>
          <w:sz w:val="20"/>
        </w:rPr>
        <w:t xml:space="preserve"> comment throughout, we are slightly concerned that the removal of paragraph 23 in general comment </w:t>
      </w:r>
      <w:r w:rsidR="00820C07" w:rsidRPr="00FF7E74">
        <w:rPr>
          <w:rFonts w:ascii="Arial" w:hAnsi="Arial" w:cs="Arial"/>
          <w:sz w:val="20"/>
        </w:rPr>
        <w:t>N</w:t>
      </w:r>
      <w:r w:rsidRPr="00FF7E74">
        <w:rPr>
          <w:rFonts w:ascii="Arial" w:hAnsi="Arial" w:cs="Arial"/>
          <w:sz w:val="20"/>
        </w:rPr>
        <w:t xml:space="preserve">o. 10 removes an important emphasis on </w:t>
      </w:r>
      <w:r w:rsidR="00AB4A1B" w:rsidRPr="00FF7E74">
        <w:rPr>
          <w:rFonts w:ascii="Arial" w:hAnsi="Arial" w:cs="Arial"/>
          <w:sz w:val="20"/>
        </w:rPr>
        <w:t>a</w:t>
      </w:r>
      <w:r w:rsidR="007D0F66" w:rsidRPr="00FF7E74">
        <w:rPr>
          <w:rFonts w:ascii="Arial" w:hAnsi="Arial" w:cs="Arial"/>
          <w:sz w:val="20"/>
        </w:rPr>
        <w:t>rt</w:t>
      </w:r>
      <w:r w:rsidR="00AB4A1B" w:rsidRPr="00FF7E74">
        <w:rPr>
          <w:rFonts w:ascii="Arial" w:hAnsi="Arial" w:cs="Arial"/>
          <w:sz w:val="20"/>
        </w:rPr>
        <w:t>icle</w:t>
      </w:r>
      <w:r w:rsidR="007D0F66" w:rsidRPr="00FF7E74">
        <w:rPr>
          <w:rFonts w:ascii="Arial" w:hAnsi="Arial" w:cs="Arial"/>
          <w:sz w:val="20"/>
        </w:rPr>
        <w:t xml:space="preserve"> 37 (b) of the UNCRC (</w:t>
      </w:r>
      <w:r w:rsidR="003C66A8" w:rsidRPr="00FF7E74">
        <w:rPr>
          <w:rFonts w:ascii="Arial" w:hAnsi="Arial" w:cs="Arial"/>
          <w:sz w:val="20"/>
        </w:rPr>
        <w:t>t</w:t>
      </w:r>
      <w:r w:rsidR="007D0F66" w:rsidRPr="00FF7E74">
        <w:rPr>
          <w:rFonts w:ascii="Arial" w:hAnsi="Arial" w:cs="Arial"/>
          <w:sz w:val="20"/>
        </w:rPr>
        <w:t xml:space="preserve">he arrest, detention or imprisonment of a child may be used only as a measure of last resort), and we recommend that mention of </w:t>
      </w:r>
      <w:r w:rsidR="00C23BAD" w:rsidRPr="00FF7E74">
        <w:rPr>
          <w:rFonts w:ascii="Arial" w:hAnsi="Arial" w:cs="Arial"/>
          <w:sz w:val="20"/>
        </w:rPr>
        <w:t>a</w:t>
      </w:r>
      <w:r w:rsidR="007D0F66" w:rsidRPr="00FF7E74">
        <w:rPr>
          <w:rFonts w:ascii="Arial" w:hAnsi="Arial" w:cs="Arial"/>
          <w:sz w:val="20"/>
        </w:rPr>
        <w:t>rt</w:t>
      </w:r>
      <w:r w:rsidR="00C23BAD" w:rsidRPr="00FF7E74">
        <w:rPr>
          <w:rFonts w:ascii="Arial" w:hAnsi="Arial" w:cs="Arial"/>
          <w:sz w:val="20"/>
        </w:rPr>
        <w:t>icle</w:t>
      </w:r>
      <w:r w:rsidR="007D0F66" w:rsidRPr="00FF7E74">
        <w:rPr>
          <w:rFonts w:ascii="Arial" w:hAnsi="Arial" w:cs="Arial"/>
          <w:sz w:val="20"/>
        </w:rPr>
        <w:t xml:space="preserve"> 37 (b) is included in section B, para</w:t>
      </w:r>
      <w:r w:rsidR="007F7F8A" w:rsidRPr="00FF7E74">
        <w:rPr>
          <w:rFonts w:ascii="Arial" w:hAnsi="Arial" w:cs="Arial"/>
          <w:sz w:val="20"/>
        </w:rPr>
        <w:t>graph</w:t>
      </w:r>
      <w:r w:rsidR="007D0F66" w:rsidRPr="00FF7E74">
        <w:rPr>
          <w:rFonts w:ascii="Arial" w:hAnsi="Arial" w:cs="Arial"/>
          <w:sz w:val="20"/>
        </w:rPr>
        <w:t xml:space="preserve"> 22 or 23.</w:t>
      </w:r>
    </w:p>
    <w:p w14:paraId="077C6754" w14:textId="6B86F925" w:rsidR="00330CA7" w:rsidRPr="00FF7E74" w:rsidRDefault="00CE7596" w:rsidP="00454D0C">
      <w:pPr>
        <w:ind w:left="-426" w:right="-448"/>
        <w:rPr>
          <w:rFonts w:ascii="Arial" w:hAnsi="Arial" w:cs="Arial"/>
          <w:sz w:val="20"/>
        </w:rPr>
      </w:pPr>
      <w:r w:rsidRPr="00FF7E74">
        <w:rPr>
          <w:rFonts w:ascii="Arial" w:hAnsi="Arial" w:cs="Arial"/>
          <w:sz w:val="20"/>
        </w:rPr>
        <w:t>We are also concerned that in para</w:t>
      </w:r>
      <w:r w:rsidR="007F7F8A" w:rsidRPr="00FF7E74">
        <w:rPr>
          <w:rFonts w:ascii="Arial" w:hAnsi="Arial" w:cs="Arial"/>
          <w:sz w:val="20"/>
        </w:rPr>
        <w:t>graph</w:t>
      </w:r>
      <w:r w:rsidRPr="00FF7E74">
        <w:rPr>
          <w:rFonts w:ascii="Arial" w:hAnsi="Arial" w:cs="Arial"/>
          <w:sz w:val="20"/>
        </w:rPr>
        <w:t xml:space="preserve"> 27, </w:t>
      </w:r>
      <w:r w:rsidR="007F7F8A" w:rsidRPr="00FF7E74">
        <w:rPr>
          <w:rFonts w:ascii="Arial" w:hAnsi="Arial" w:cs="Arial"/>
          <w:sz w:val="20"/>
        </w:rPr>
        <w:t xml:space="preserve">bullet </w:t>
      </w:r>
      <w:r w:rsidRPr="00FF7E74">
        <w:rPr>
          <w:rFonts w:ascii="Arial" w:hAnsi="Arial" w:cs="Arial"/>
          <w:sz w:val="20"/>
        </w:rPr>
        <w:t xml:space="preserve">point 3, there is no longer specific mention to the importance of regulation and review “in particular to protect the child from discrimination”. Given the increases in racial disparity </w:t>
      </w:r>
      <w:r w:rsidR="009E693B" w:rsidRPr="00FF7E74">
        <w:rPr>
          <w:rFonts w:ascii="Arial" w:hAnsi="Arial" w:cs="Arial"/>
          <w:sz w:val="20"/>
        </w:rPr>
        <w:t xml:space="preserve">in criminal justice </w:t>
      </w:r>
      <w:r w:rsidRPr="00FF7E74">
        <w:rPr>
          <w:rFonts w:ascii="Arial" w:hAnsi="Arial" w:cs="Arial"/>
          <w:sz w:val="20"/>
        </w:rPr>
        <w:t>we have seen in England and Wales</w:t>
      </w:r>
      <w:r w:rsidR="009E693B" w:rsidRPr="00FF7E74">
        <w:rPr>
          <w:rFonts w:ascii="Arial" w:hAnsi="Arial" w:cs="Arial"/>
          <w:sz w:val="20"/>
        </w:rPr>
        <w:t>,</w:t>
      </w:r>
      <w:r w:rsidR="00B937C9" w:rsidRPr="00FF7E74">
        <w:rPr>
          <w:rStyle w:val="FootnoteReference"/>
          <w:rFonts w:ascii="Arial" w:hAnsi="Arial" w:cs="Arial"/>
          <w:sz w:val="20"/>
        </w:rPr>
        <w:footnoteReference w:id="4"/>
      </w:r>
      <w:r w:rsidRPr="00FF7E74">
        <w:rPr>
          <w:rFonts w:ascii="Arial" w:hAnsi="Arial" w:cs="Arial"/>
          <w:sz w:val="20"/>
        </w:rPr>
        <w:t xml:space="preserve"> </w:t>
      </w:r>
      <w:r w:rsidR="00330CA7" w:rsidRPr="00FF7E74">
        <w:rPr>
          <w:rFonts w:ascii="Arial" w:hAnsi="Arial" w:cs="Arial"/>
          <w:sz w:val="20"/>
        </w:rPr>
        <w:t>(49.8</w:t>
      </w:r>
      <w:r w:rsidR="00B937C9" w:rsidRPr="00FF7E74">
        <w:rPr>
          <w:rFonts w:ascii="Arial" w:hAnsi="Arial" w:cs="Arial"/>
          <w:sz w:val="20"/>
        </w:rPr>
        <w:t>% of children in custody are now Black Asian and Minority Ethnic</w:t>
      </w:r>
      <w:r w:rsidR="00B937C9" w:rsidRPr="00FF7E74">
        <w:rPr>
          <w:rStyle w:val="FootnoteReference"/>
          <w:rFonts w:ascii="Arial" w:hAnsi="Arial" w:cs="Arial"/>
          <w:sz w:val="20"/>
        </w:rPr>
        <w:footnoteReference w:id="5"/>
      </w:r>
      <w:r w:rsidR="00B937C9" w:rsidRPr="00FF7E74">
        <w:rPr>
          <w:rFonts w:ascii="Arial" w:hAnsi="Arial" w:cs="Arial"/>
          <w:sz w:val="20"/>
        </w:rPr>
        <w:t>)</w:t>
      </w:r>
      <w:r w:rsidR="00330CA7" w:rsidRPr="00FF7E74">
        <w:rPr>
          <w:rFonts w:ascii="Arial" w:hAnsi="Arial" w:cs="Arial"/>
          <w:sz w:val="20"/>
        </w:rPr>
        <w:t xml:space="preserve"> consistent with other jurisdictions,</w:t>
      </w:r>
      <w:r w:rsidR="00B937C9" w:rsidRPr="00FF7E74">
        <w:rPr>
          <w:rFonts w:ascii="Arial" w:hAnsi="Arial" w:cs="Arial"/>
          <w:sz w:val="20"/>
        </w:rPr>
        <w:t xml:space="preserve"> </w:t>
      </w:r>
      <w:r w:rsidRPr="00FF7E74">
        <w:rPr>
          <w:rFonts w:ascii="Arial" w:hAnsi="Arial" w:cs="Arial"/>
          <w:sz w:val="20"/>
        </w:rPr>
        <w:t>and the fact that unconscious or conscious bias</w:t>
      </w:r>
      <w:r w:rsidR="009E693B" w:rsidRPr="00FF7E74">
        <w:rPr>
          <w:rFonts w:ascii="Arial" w:hAnsi="Arial" w:cs="Arial"/>
          <w:sz w:val="20"/>
        </w:rPr>
        <w:t>es</w:t>
      </w:r>
      <w:r w:rsidR="00330CA7" w:rsidRPr="00FF7E74">
        <w:rPr>
          <w:rFonts w:ascii="Arial" w:hAnsi="Arial" w:cs="Arial"/>
          <w:sz w:val="20"/>
        </w:rPr>
        <w:t>, or structural factors,</w:t>
      </w:r>
      <w:r w:rsidRPr="00FF7E74">
        <w:rPr>
          <w:rFonts w:ascii="Arial" w:hAnsi="Arial" w:cs="Arial"/>
          <w:sz w:val="20"/>
        </w:rPr>
        <w:t xml:space="preserve"> may impact a child’s likelihood to be diverted, we believe the specific mention of discrimination should remain</w:t>
      </w:r>
      <w:r w:rsidR="00330CA7" w:rsidRPr="00FF7E74">
        <w:rPr>
          <w:rFonts w:ascii="Arial" w:hAnsi="Arial" w:cs="Arial"/>
          <w:sz w:val="20"/>
        </w:rPr>
        <w:t>, and should be referenced throughout</w:t>
      </w:r>
      <w:r w:rsidRPr="00FF7E74">
        <w:rPr>
          <w:rFonts w:ascii="Arial" w:hAnsi="Arial" w:cs="Arial"/>
          <w:sz w:val="20"/>
        </w:rPr>
        <w:t xml:space="preserve">. </w:t>
      </w:r>
    </w:p>
    <w:p w14:paraId="72F282F1" w14:textId="66AF2DFC" w:rsidR="00CE7596" w:rsidRPr="00FF7E74" w:rsidRDefault="0064779A" w:rsidP="00454D0C">
      <w:pPr>
        <w:ind w:left="-426" w:right="-448"/>
        <w:rPr>
          <w:rFonts w:ascii="Arial" w:hAnsi="Arial" w:cs="Arial"/>
          <w:b/>
          <w:sz w:val="20"/>
        </w:rPr>
      </w:pPr>
      <w:r w:rsidRPr="00FF7E74">
        <w:rPr>
          <w:rFonts w:ascii="Arial" w:hAnsi="Arial" w:cs="Arial"/>
          <w:b/>
          <w:sz w:val="20"/>
        </w:rPr>
        <w:t>Disposition</w:t>
      </w:r>
      <w:r w:rsidR="000E7035" w:rsidRPr="00FF7E74">
        <w:rPr>
          <w:rFonts w:ascii="Arial" w:hAnsi="Arial" w:cs="Arial"/>
          <w:b/>
          <w:sz w:val="20"/>
        </w:rPr>
        <w:t>s and deprivation of liberty</w:t>
      </w:r>
      <w:r w:rsidR="00353ADD" w:rsidRPr="00FF7E74">
        <w:rPr>
          <w:rFonts w:ascii="Arial" w:hAnsi="Arial" w:cs="Arial"/>
          <w:b/>
          <w:sz w:val="20"/>
        </w:rPr>
        <w:br/>
      </w:r>
      <w:r w:rsidR="00234C5C" w:rsidRPr="00FF7E74">
        <w:rPr>
          <w:rFonts w:ascii="Arial" w:hAnsi="Arial" w:cs="Arial"/>
          <w:sz w:val="20"/>
        </w:rPr>
        <w:t>We welcome that para</w:t>
      </w:r>
      <w:r w:rsidR="006A5F93" w:rsidRPr="00FF7E74">
        <w:rPr>
          <w:rFonts w:ascii="Arial" w:hAnsi="Arial" w:cs="Arial"/>
          <w:sz w:val="20"/>
        </w:rPr>
        <w:t>graph</w:t>
      </w:r>
      <w:r w:rsidR="00234C5C" w:rsidRPr="00FF7E74">
        <w:rPr>
          <w:rFonts w:ascii="Arial" w:hAnsi="Arial" w:cs="Arial"/>
          <w:sz w:val="20"/>
        </w:rPr>
        <w:t xml:space="preserve"> 28 emphasises that community sentences should be used over deprivation of liberty except when it is a last resort. However, we feel the case could be made stronger</w:t>
      </w:r>
      <w:r w:rsidR="00D36FBA" w:rsidRPr="00FF7E74">
        <w:rPr>
          <w:rFonts w:ascii="Arial" w:hAnsi="Arial" w:cs="Arial"/>
          <w:sz w:val="20"/>
        </w:rPr>
        <w:t>, for example</w:t>
      </w:r>
      <w:r w:rsidR="00234C5C" w:rsidRPr="00FF7E74">
        <w:rPr>
          <w:rFonts w:ascii="Arial" w:hAnsi="Arial" w:cs="Arial"/>
          <w:sz w:val="20"/>
        </w:rPr>
        <w:t xml:space="preserve"> with</w:t>
      </w:r>
      <w:r w:rsidR="00B76FE0" w:rsidRPr="00FF7E74">
        <w:rPr>
          <w:rFonts w:ascii="Arial" w:hAnsi="Arial" w:cs="Arial"/>
          <w:sz w:val="20"/>
        </w:rPr>
        <w:t xml:space="preserve"> an</w:t>
      </w:r>
      <w:r w:rsidR="00234C5C" w:rsidRPr="00FF7E74">
        <w:rPr>
          <w:rFonts w:ascii="Arial" w:hAnsi="Arial" w:cs="Arial"/>
          <w:sz w:val="20"/>
        </w:rPr>
        <w:t xml:space="preserve"> </w:t>
      </w:r>
      <w:r w:rsidR="00BF0AE6" w:rsidRPr="00FF7E74">
        <w:rPr>
          <w:rFonts w:ascii="Arial" w:hAnsi="Arial" w:cs="Arial"/>
          <w:sz w:val="20"/>
        </w:rPr>
        <w:t xml:space="preserve">additional </w:t>
      </w:r>
      <w:r w:rsidR="00B76FE0" w:rsidRPr="00FF7E74">
        <w:rPr>
          <w:rFonts w:ascii="Arial" w:hAnsi="Arial" w:cs="Arial"/>
          <w:sz w:val="20"/>
        </w:rPr>
        <w:t>sentence</w:t>
      </w:r>
      <w:r w:rsidR="00234C5C" w:rsidRPr="00FF7E74">
        <w:rPr>
          <w:rFonts w:ascii="Arial" w:hAnsi="Arial" w:cs="Arial"/>
          <w:sz w:val="20"/>
        </w:rPr>
        <w:t xml:space="preserve"> o</w:t>
      </w:r>
      <w:r w:rsidR="00B76FE0" w:rsidRPr="00FF7E74">
        <w:rPr>
          <w:rFonts w:ascii="Arial" w:hAnsi="Arial" w:cs="Arial"/>
          <w:sz w:val="20"/>
        </w:rPr>
        <w:t>utlining</w:t>
      </w:r>
      <w:r w:rsidR="00234C5C" w:rsidRPr="00FF7E74">
        <w:rPr>
          <w:rFonts w:ascii="Arial" w:hAnsi="Arial" w:cs="Arial"/>
          <w:sz w:val="20"/>
        </w:rPr>
        <w:t xml:space="preserve"> the need for</w:t>
      </w:r>
      <w:r w:rsidR="00B76FE0" w:rsidRPr="00FF7E74">
        <w:rPr>
          <w:rFonts w:ascii="Arial" w:hAnsi="Arial" w:cs="Arial"/>
          <w:sz w:val="20"/>
        </w:rPr>
        <w:t xml:space="preserve"> State parties to ensure</w:t>
      </w:r>
      <w:r w:rsidR="00234C5C" w:rsidRPr="00FF7E74">
        <w:rPr>
          <w:rFonts w:ascii="Arial" w:hAnsi="Arial" w:cs="Arial"/>
          <w:sz w:val="20"/>
        </w:rPr>
        <w:t xml:space="preserve"> the judiciary consider</w:t>
      </w:r>
      <w:r w:rsidR="00B76FE0" w:rsidRPr="00FF7E74">
        <w:rPr>
          <w:rFonts w:ascii="Arial" w:hAnsi="Arial" w:cs="Arial"/>
          <w:sz w:val="20"/>
        </w:rPr>
        <w:t>s</w:t>
      </w:r>
      <w:r w:rsidR="00234C5C" w:rsidRPr="00FF7E74">
        <w:rPr>
          <w:rFonts w:ascii="Arial" w:hAnsi="Arial" w:cs="Arial"/>
          <w:sz w:val="20"/>
        </w:rPr>
        <w:t xml:space="preserve"> the best interests of the child, as well as their young age and other mitigating factors when sentencing, with a strong preference for community sentences.</w:t>
      </w:r>
      <w:r w:rsidR="0089793B" w:rsidRPr="00FF7E74">
        <w:rPr>
          <w:rFonts w:ascii="Arial" w:hAnsi="Arial" w:cs="Arial"/>
          <w:sz w:val="20"/>
        </w:rPr>
        <w:t xml:space="preserve"> </w:t>
      </w:r>
    </w:p>
    <w:p w14:paraId="1096859C" w14:textId="06802DC6" w:rsidR="00312582" w:rsidRPr="00FF7E74" w:rsidRDefault="00312582" w:rsidP="00454D0C">
      <w:pPr>
        <w:ind w:left="-426" w:right="-448"/>
        <w:rPr>
          <w:rFonts w:ascii="Arial" w:hAnsi="Arial" w:cs="Arial"/>
          <w:sz w:val="20"/>
        </w:rPr>
      </w:pPr>
      <w:r w:rsidRPr="00FF7E74">
        <w:rPr>
          <w:rFonts w:ascii="Arial" w:hAnsi="Arial" w:cs="Arial"/>
          <w:sz w:val="20"/>
        </w:rPr>
        <w:t xml:space="preserve">We </w:t>
      </w:r>
      <w:r w:rsidR="00F87395" w:rsidRPr="00FF7E74">
        <w:rPr>
          <w:rFonts w:ascii="Arial" w:hAnsi="Arial" w:cs="Arial"/>
          <w:sz w:val="20"/>
        </w:rPr>
        <w:t xml:space="preserve">are encouraged by the </w:t>
      </w:r>
      <w:r w:rsidR="005D5646" w:rsidRPr="00FF7E74">
        <w:rPr>
          <w:rFonts w:ascii="Arial" w:hAnsi="Arial" w:cs="Arial"/>
          <w:sz w:val="20"/>
        </w:rPr>
        <w:t xml:space="preserve">increased </w:t>
      </w:r>
      <w:r w:rsidRPr="00FF7E74">
        <w:rPr>
          <w:rFonts w:ascii="Arial" w:hAnsi="Arial" w:cs="Arial"/>
          <w:sz w:val="20"/>
        </w:rPr>
        <w:t>emphasis in para</w:t>
      </w:r>
      <w:r w:rsidR="005D5646" w:rsidRPr="00FF7E74">
        <w:rPr>
          <w:rFonts w:ascii="Arial" w:hAnsi="Arial" w:cs="Arial"/>
          <w:sz w:val="20"/>
        </w:rPr>
        <w:t>graphs</w:t>
      </w:r>
      <w:r w:rsidRPr="00FF7E74">
        <w:rPr>
          <w:rFonts w:ascii="Arial" w:hAnsi="Arial" w:cs="Arial"/>
          <w:sz w:val="20"/>
        </w:rPr>
        <w:t xml:space="preserve"> 84 and 86 </w:t>
      </w:r>
      <w:r w:rsidR="00F95E68" w:rsidRPr="00FF7E74">
        <w:rPr>
          <w:rFonts w:ascii="Arial" w:hAnsi="Arial" w:cs="Arial"/>
          <w:sz w:val="20"/>
        </w:rPr>
        <w:t>regarding</w:t>
      </w:r>
      <w:r w:rsidR="00D87553" w:rsidRPr="00FF7E74">
        <w:rPr>
          <w:rFonts w:ascii="Arial" w:hAnsi="Arial" w:cs="Arial"/>
          <w:sz w:val="20"/>
        </w:rPr>
        <w:t xml:space="preserve"> the harm deprivation of liberty causes and that it should be avoided altogether, and </w:t>
      </w:r>
      <w:r w:rsidR="00317DE5" w:rsidRPr="00FF7E74">
        <w:rPr>
          <w:rFonts w:ascii="Arial" w:hAnsi="Arial" w:cs="Arial"/>
          <w:sz w:val="20"/>
        </w:rPr>
        <w:t xml:space="preserve">the specification that </w:t>
      </w:r>
      <w:r w:rsidR="00D87553" w:rsidRPr="00FF7E74">
        <w:rPr>
          <w:rFonts w:ascii="Arial" w:hAnsi="Arial" w:cs="Arial"/>
          <w:sz w:val="20"/>
        </w:rPr>
        <w:t>where it occurs</w:t>
      </w:r>
      <w:r w:rsidR="00317DE5" w:rsidRPr="00FF7E74">
        <w:rPr>
          <w:rFonts w:ascii="Arial" w:hAnsi="Arial" w:cs="Arial"/>
          <w:sz w:val="20"/>
        </w:rPr>
        <w:t>,</w:t>
      </w:r>
      <w:r w:rsidR="00D87553" w:rsidRPr="00FF7E74">
        <w:rPr>
          <w:rFonts w:ascii="Arial" w:hAnsi="Arial" w:cs="Arial"/>
          <w:sz w:val="20"/>
        </w:rPr>
        <w:t xml:space="preserve"> sentences should have maximum terms and be considerably shorter than those for adults.</w:t>
      </w:r>
      <w:r w:rsidR="008C2D3A" w:rsidRPr="00FF7E74">
        <w:rPr>
          <w:rFonts w:ascii="Arial" w:hAnsi="Arial" w:cs="Arial"/>
          <w:sz w:val="20"/>
        </w:rPr>
        <w:t xml:space="preserve"> The Committee should specify more information on the type</w:t>
      </w:r>
      <w:r w:rsidR="00984927" w:rsidRPr="00FF7E74">
        <w:rPr>
          <w:rFonts w:ascii="Arial" w:hAnsi="Arial" w:cs="Arial"/>
          <w:sz w:val="20"/>
        </w:rPr>
        <w:t>s</w:t>
      </w:r>
      <w:r w:rsidR="008C2D3A" w:rsidRPr="00FF7E74">
        <w:rPr>
          <w:rFonts w:ascii="Arial" w:hAnsi="Arial" w:cs="Arial"/>
          <w:sz w:val="20"/>
        </w:rPr>
        <w:t xml:space="preserve"> of facility </w:t>
      </w:r>
      <w:r w:rsidR="00984927" w:rsidRPr="00FF7E74">
        <w:rPr>
          <w:rFonts w:ascii="Arial" w:hAnsi="Arial" w:cs="Arial"/>
          <w:sz w:val="20"/>
        </w:rPr>
        <w:t>that are least and most appropriate</w:t>
      </w:r>
      <w:r w:rsidR="008C2D3A" w:rsidRPr="00FF7E74">
        <w:rPr>
          <w:rFonts w:ascii="Arial" w:hAnsi="Arial" w:cs="Arial"/>
          <w:sz w:val="20"/>
        </w:rPr>
        <w:t xml:space="preserve"> t</w:t>
      </w:r>
      <w:r w:rsidR="00984927" w:rsidRPr="00FF7E74">
        <w:rPr>
          <w:rFonts w:ascii="Arial" w:hAnsi="Arial" w:cs="Arial"/>
          <w:sz w:val="20"/>
        </w:rPr>
        <w:t xml:space="preserve">o hold a child, such as that they </w:t>
      </w:r>
      <w:r w:rsidR="008C2D3A" w:rsidRPr="00FF7E74">
        <w:rPr>
          <w:rFonts w:ascii="Arial" w:hAnsi="Arial" w:cs="Arial"/>
          <w:sz w:val="20"/>
        </w:rPr>
        <w:t xml:space="preserve">should be </w:t>
      </w:r>
      <w:r w:rsidR="00984927" w:rsidRPr="00FF7E74">
        <w:rPr>
          <w:rFonts w:ascii="Arial" w:hAnsi="Arial" w:cs="Arial"/>
          <w:sz w:val="20"/>
        </w:rPr>
        <w:t>non-penal, small, care-</w:t>
      </w:r>
      <w:r w:rsidR="008C2D3A" w:rsidRPr="00FF7E74">
        <w:rPr>
          <w:rFonts w:ascii="Arial" w:hAnsi="Arial" w:cs="Arial"/>
          <w:sz w:val="20"/>
        </w:rPr>
        <w:t>based, following a child welfare approach</w:t>
      </w:r>
      <w:r w:rsidR="001A19A2">
        <w:rPr>
          <w:rFonts w:ascii="Arial" w:hAnsi="Arial" w:cs="Arial"/>
          <w:sz w:val="20"/>
        </w:rPr>
        <w:t xml:space="preserve">. </w:t>
      </w:r>
    </w:p>
    <w:p w14:paraId="0293F5EF" w14:textId="44F7A26F" w:rsidR="007F1712" w:rsidRPr="00FF7E74" w:rsidRDefault="008A254C" w:rsidP="00454D0C">
      <w:pPr>
        <w:ind w:left="-426" w:right="-448"/>
        <w:rPr>
          <w:rFonts w:ascii="Arial" w:hAnsi="Arial" w:cs="Arial"/>
          <w:sz w:val="20"/>
        </w:rPr>
      </w:pPr>
      <w:r w:rsidRPr="00FF7E74">
        <w:rPr>
          <w:rFonts w:ascii="Arial" w:hAnsi="Arial" w:cs="Arial"/>
          <w:sz w:val="20"/>
        </w:rPr>
        <w:t xml:space="preserve">There are a number of edits in </w:t>
      </w:r>
      <w:r w:rsidR="001F3437" w:rsidRPr="00FF7E74">
        <w:rPr>
          <w:rFonts w:ascii="Arial" w:hAnsi="Arial" w:cs="Arial"/>
          <w:sz w:val="20"/>
        </w:rPr>
        <w:t>section F that we applaud</w:t>
      </w:r>
      <w:r w:rsidR="007F1712" w:rsidRPr="00FF7E74">
        <w:rPr>
          <w:rFonts w:ascii="Arial" w:hAnsi="Arial" w:cs="Arial"/>
          <w:sz w:val="20"/>
        </w:rPr>
        <w:t xml:space="preserve">, in particular </w:t>
      </w:r>
      <w:r w:rsidR="00E24CB4" w:rsidRPr="00FF7E74">
        <w:rPr>
          <w:rFonts w:ascii="Arial" w:hAnsi="Arial" w:cs="Arial"/>
          <w:sz w:val="20"/>
        </w:rPr>
        <w:t xml:space="preserve">paragraph 101, which </w:t>
      </w:r>
      <w:r w:rsidR="00E80068" w:rsidRPr="00FF7E74">
        <w:rPr>
          <w:rFonts w:ascii="Arial" w:hAnsi="Arial" w:cs="Arial"/>
          <w:sz w:val="20"/>
        </w:rPr>
        <w:t>introduces a</w:t>
      </w:r>
      <w:r w:rsidR="00E24CB4" w:rsidRPr="00FF7E74">
        <w:rPr>
          <w:rFonts w:ascii="Arial" w:hAnsi="Arial" w:cs="Arial"/>
          <w:sz w:val="20"/>
        </w:rPr>
        <w:t xml:space="preserve"> recommended </w:t>
      </w:r>
      <w:r w:rsidR="00E30942" w:rsidRPr="00FF7E74">
        <w:rPr>
          <w:rFonts w:ascii="Arial" w:hAnsi="Arial" w:cs="Arial"/>
          <w:sz w:val="20"/>
        </w:rPr>
        <w:t xml:space="preserve">minimum </w:t>
      </w:r>
      <w:r w:rsidR="00E24CB4" w:rsidRPr="00FF7E74">
        <w:rPr>
          <w:rFonts w:ascii="Arial" w:hAnsi="Arial" w:cs="Arial"/>
          <w:sz w:val="20"/>
        </w:rPr>
        <w:t xml:space="preserve">age </w:t>
      </w:r>
      <w:r w:rsidR="00E30942" w:rsidRPr="00FF7E74">
        <w:rPr>
          <w:rFonts w:ascii="Arial" w:hAnsi="Arial" w:cs="Arial"/>
          <w:sz w:val="20"/>
        </w:rPr>
        <w:t>under which</w:t>
      </w:r>
      <w:r w:rsidR="00E24CB4" w:rsidRPr="00FF7E74">
        <w:rPr>
          <w:rFonts w:ascii="Arial" w:hAnsi="Arial" w:cs="Arial"/>
          <w:sz w:val="20"/>
        </w:rPr>
        <w:t xml:space="preserve"> no child </w:t>
      </w:r>
      <w:r w:rsidR="00E30942" w:rsidRPr="00FF7E74">
        <w:rPr>
          <w:rFonts w:ascii="Arial" w:hAnsi="Arial" w:cs="Arial"/>
          <w:sz w:val="20"/>
        </w:rPr>
        <w:t>should be deprived of their liberty</w:t>
      </w:r>
      <w:r w:rsidR="00257D27" w:rsidRPr="00FF7E74">
        <w:rPr>
          <w:rFonts w:ascii="Arial" w:hAnsi="Arial" w:cs="Arial"/>
          <w:sz w:val="20"/>
        </w:rPr>
        <w:t xml:space="preserve">. </w:t>
      </w:r>
      <w:r w:rsidR="00B62C15" w:rsidRPr="00FF7E74">
        <w:rPr>
          <w:rFonts w:ascii="Arial" w:hAnsi="Arial" w:cs="Arial"/>
          <w:sz w:val="20"/>
        </w:rPr>
        <w:t xml:space="preserve">We warmly welcome the recommended age of 16-years-old, and </w:t>
      </w:r>
      <w:r w:rsidR="007274C7" w:rsidRPr="00FF7E74">
        <w:rPr>
          <w:rFonts w:ascii="Arial" w:hAnsi="Arial" w:cs="Arial"/>
          <w:sz w:val="20"/>
        </w:rPr>
        <w:t>expect</w:t>
      </w:r>
      <w:r w:rsidR="00B62C15" w:rsidRPr="00FF7E74">
        <w:rPr>
          <w:rFonts w:ascii="Arial" w:hAnsi="Arial" w:cs="Arial"/>
          <w:sz w:val="20"/>
        </w:rPr>
        <w:t xml:space="preserve"> that t</w:t>
      </w:r>
      <w:r w:rsidR="00BB7580" w:rsidRPr="00FF7E74">
        <w:rPr>
          <w:rFonts w:ascii="Arial" w:hAnsi="Arial" w:cs="Arial"/>
          <w:sz w:val="20"/>
        </w:rPr>
        <w:t xml:space="preserve">his specification will assist us in lobbying to decrease the number of children currently in custody in England and Wales. </w:t>
      </w:r>
    </w:p>
    <w:p w14:paraId="21E32988" w14:textId="3F8A611B" w:rsidR="000E7035" w:rsidRPr="00FF7E74" w:rsidRDefault="00FC2902" w:rsidP="00454D0C">
      <w:pPr>
        <w:ind w:left="-426" w:right="-448"/>
        <w:rPr>
          <w:rFonts w:ascii="Arial" w:hAnsi="Arial" w:cs="Arial"/>
          <w:sz w:val="20"/>
        </w:rPr>
      </w:pPr>
      <w:r w:rsidRPr="00FF7E74">
        <w:rPr>
          <w:rFonts w:ascii="Arial" w:hAnsi="Arial" w:cs="Arial"/>
          <w:sz w:val="20"/>
        </w:rPr>
        <w:t>As well as this, p</w:t>
      </w:r>
      <w:r w:rsidR="001F3437" w:rsidRPr="00FF7E74">
        <w:rPr>
          <w:rFonts w:ascii="Arial" w:hAnsi="Arial" w:cs="Arial"/>
          <w:sz w:val="20"/>
        </w:rPr>
        <w:t>aragraph 9</w:t>
      </w:r>
      <w:r w:rsidR="00A204ED" w:rsidRPr="00FF7E74">
        <w:rPr>
          <w:rFonts w:ascii="Arial" w:hAnsi="Arial" w:cs="Arial"/>
          <w:sz w:val="20"/>
        </w:rPr>
        <w:t xml:space="preserve">9 provides further clarity around </w:t>
      </w:r>
      <w:r w:rsidR="00CE3484" w:rsidRPr="00FF7E74">
        <w:rPr>
          <w:rFonts w:ascii="Arial" w:hAnsi="Arial" w:cs="Arial"/>
          <w:sz w:val="20"/>
        </w:rPr>
        <w:t>options for</w:t>
      </w:r>
      <w:r w:rsidR="004A566A" w:rsidRPr="00FF7E74">
        <w:rPr>
          <w:rFonts w:ascii="Arial" w:hAnsi="Arial" w:cs="Arial"/>
          <w:sz w:val="20"/>
        </w:rPr>
        <w:t xml:space="preserve"> minimising</w:t>
      </w:r>
      <w:r w:rsidR="00CE3484" w:rsidRPr="00FF7E74">
        <w:rPr>
          <w:rFonts w:ascii="Arial" w:hAnsi="Arial" w:cs="Arial"/>
          <w:sz w:val="20"/>
        </w:rPr>
        <w:t xml:space="preserve"> </w:t>
      </w:r>
      <w:r w:rsidR="004A566A" w:rsidRPr="00FF7E74">
        <w:rPr>
          <w:rFonts w:ascii="Arial" w:hAnsi="Arial" w:cs="Arial"/>
          <w:sz w:val="20"/>
        </w:rPr>
        <w:t xml:space="preserve">the use of </w:t>
      </w:r>
      <w:r w:rsidR="00A204ED" w:rsidRPr="00FF7E74">
        <w:rPr>
          <w:rFonts w:ascii="Arial" w:hAnsi="Arial" w:cs="Arial"/>
          <w:sz w:val="20"/>
        </w:rPr>
        <w:t xml:space="preserve">pre-trial detention </w:t>
      </w:r>
      <w:r w:rsidR="00660078" w:rsidRPr="00FF7E74">
        <w:rPr>
          <w:rFonts w:ascii="Arial" w:hAnsi="Arial" w:cs="Arial"/>
          <w:sz w:val="20"/>
        </w:rPr>
        <w:t>and</w:t>
      </w:r>
      <w:r w:rsidR="004A566A" w:rsidRPr="00FF7E74">
        <w:rPr>
          <w:rFonts w:ascii="Arial" w:hAnsi="Arial" w:cs="Arial"/>
          <w:sz w:val="20"/>
        </w:rPr>
        <w:t xml:space="preserve"> </w:t>
      </w:r>
      <w:r w:rsidR="00660078" w:rsidRPr="00FF7E74">
        <w:rPr>
          <w:rFonts w:ascii="Arial" w:hAnsi="Arial" w:cs="Arial"/>
          <w:sz w:val="20"/>
        </w:rPr>
        <w:t xml:space="preserve">the </w:t>
      </w:r>
      <w:r w:rsidR="00E214E5" w:rsidRPr="00FF7E74">
        <w:rPr>
          <w:rFonts w:ascii="Arial" w:hAnsi="Arial" w:cs="Arial"/>
          <w:sz w:val="20"/>
        </w:rPr>
        <w:t>time a child is deprived of their liberty</w:t>
      </w:r>
      <w:r w:rsidR="00AB0F81" w:rsidRPr="00FF7E74">
        <w:rPr>
          <w:rFonts w:ascii="Arial" w:hAnsi="Arial" w:cs="Arial"/>
          <w:sz w:val="20"/>
        </w:rPr>
        <w:t xml:space="preserve"> in general; </w:t>
      </w:r>
      <w:r w:rsidRPr="00FF7E74">
        <w:rPr>
          <w:rFonts w:ascii="Arial" w:hAnsi="Arial" w:cs="Arial"/>
          <w:sz w:val="20"/>
        </w:rPr>
        <w:t>a</w:t>
      </w:r>
      <w:r w:rsidR="00AB0F81" w:rsidRPr="00FF7E74">
        <w:rPr>
          <w:rFonts w:ascii="Arial" w:hAnsi="Arial" w:cs="Arial"/>
          <w:sz w:val="20"/>
        </w:rPr>
        <w:t>n</w:t>
      </w:r>
      <w:r w:rsidRPr="00FF7E74">
        <w:rPr>
          <w:rFonts w:ascii="Arial" w:hAnsi="Arial" w:cs="Arial"/>
          <w:sz w:val="20"/>
        </w:rPr>
        <w:t>d p</w:t>
      </w:r>
      <w:r w:rsidR="00E053CE" w:rsidRPr="00FF7E74">
        <w:rPr>
          <w:rFonts w:ascii="Arial" w:hAnsi="Arial" w:cs="Arial"/>
          <w:sz w:val="20"/>
        </w:rPr>
        <w:t xml:space="preserve">aragraph 102 decreases the recommended time </w:t>
      </w:r>
      <w:r w:rsidR="00AB0F81" w:rsidRPr="00FF7E74">
        <w:rPr>
          <w:rFonts w:ascii="Arial" w:hAnsi="Arial" w:cs="Arial"/>
          <w:sz w:val="20"/>
        </w:rPr>
        <w:lastRenderedPageBreak/>
        <w:t>of reviewing a child’s pre-trial detention</w:t>
      </w:r>
      <w:r w:rsidR="0068003B" w:rsidRPr="00FF7E74">
        <w:rPr>
          <w:rFonts w:ascii="Arial" w:hAnsi="Arial" w:cs="Arial"/>
          <w:sz w:val="20"/>
        </w:rPr>
        <w:t xml:space="preserve"> from fortnightly to weekly.</w:t>
      </w:r>
      <w:r w:rsidR="00AB0F81" w:rsidRPr="00FF7E74">
        <w:rPr>
          <w:rFonts w:ascii="Arial" w:hAnsi="Arial" w:cs="Arial"/>
          <w:sz w:val="20"/>
        </w:rPr>
        <w:t xml:space="preserve"> </w:t>
      </w:r>
      <w:r w:rsidR="0068003B" w:rsidRPr="00FF7E74">
        <w:rPr>
          <w:rFonts w:ascii="Arial" w:hAnsi="Arial" w:cs="Arial"/>
          <w:sz w:val="20"/>
        </w:rPr>
        <w:t>We</w:t>
      </w:r>
      <w:r w:rsidR="00AB0F81" w:rsidRPr="00FF7E74">
        <w:rPr>
          <w:rFonts w:ascii="Arial" w:hAnsi="Arial" w:cs="Arial"/>
          <w:sz w:val="20"/>
        </w:rPr>
        <w:t xml:space="preserve"> hope </w:t>
      </w:r>
      <w:r w:rsidR="0068003B" w:rsidRPr="00FF7E74">
        <w:rPr>
          <w:rFonts w:ascii="Arial" w:hAnsi="Arial" w:cs="Arial"/>
          <w:sz w:val="20"/>
        </w:rPr>
        <w:t>these edits will</w:t>
      </w:r>
      <w:r w:rsidR="00AB0F81" w:rsidRPr="00FF7E74">
        <w:rPr>
          <w:rFonts w:ascii="Arial" w:hAnsi="Arial" w:cs="Arial"/>
          <w:sz w:val="20"/>
        </w:rPr>
        <w:t xml:space="preserve"> encourage States parties to better con</w:t>
      </w:r>
      <w:r w:rsidR="003C55CE" w:rsidRPr="00FF7E74">
        <w:rPr>
          <w:rFonts w:ascii="Arial" w:hAnsi="Arial" w:cs="Arial"/>
          <w:sz w:val="20"/>
        </w:rPr>
        <w:t xml:space="preserve">trol and monitor the use of pre-trial detention. </w:t>
      </w:r>
    </w:p>
    <w:p w14:paraId="222E5C5F" w14:textId="294BD920" w:rsidR="00330CA7" w:rsidRPr="00FF7E74" w:rsidRDefault="00037115" w:rsidP="00454D0C">
      <w:pPr>
        <w:ind w:left="-426" w:right="-448"/>
        <w:rPr>
          <w:rFonts w:ascii="Arial" w:hAnsi="Arial" w:cs="Arial"/>
          <w:sz w:val="20"/>
        </w:rPr>
      </w:pPr>
      <w:r w:rsidRPr="00FF7E74">
        <w:rPr>
          <w:rFonts w:ascii="Arial" w:hAnsi="Arial" w:cs="Arial"/>
          <w:sz w:val="20"/>
        </w:rPr>
        <w:t>W</w:t>
      </w:r>
      <w:r w:rsidR="00620827" w:rsidRPr="00FF7E74">
        <w:rPr>
          <w:rFonts w:ascii="Arial" w:hAnsi="Arial" w:cs="Arial"/>
          <w:sz w:val="20"/>
        </w:rPr>
        <w:t>hile</w:t>
      </w:r>
      <w:r w:rsidRPr="00FF7E74">
        <w:rPr>
          <w:rFonts w:ascii="Arial" w:hAnsi="Arial" w:cs="Arial"/>
          <w:sz w:val="20"/>
        </w:rPr>
        <w:t xml:space="preserve"> </w:t>
      </w:r>
      <w:r w:rsidR="00FF0763" w:rsidRPr="00FF7E74">
        <w:rPr>
          <w:rFonts w:ascii="Arial" w:hAnsi="Arial" w:cs="Arial"/>
          <w:sz w:val="20"/>
        </w:rPr>
        <w:t xml:space="preserve">we </w:t>
      </w:r>
      <w:r w:rsidRPr="00FF7E74">
        <w:rPr>
          <w:rFonts w:ascii="Arial" w:hAnsi="Arial" w:cs="Arial"/>
          <w:sz w:val="20"/>
        </w:rPr>
        <w:t>welcome the addition in paragraph 17 of after care and reintegration services as core elements of a comprehensive child justice policy</w:t>
      </w:r>
      <w:r w:rsidR="00620827" w:rsidRPr="00FF7E74">
        <w:rPr>
          <w:rFonts w:ascii="Arial" w:hAnsi="Arial" w:cs="Arial"/>
          <w:sz w:val="20"/>
        </w:rPr>
        <w:t xml:space="preserve">, </w:t>
      </w:r>
      <w:r w:rsidRPr="00FF7E74">
        <w:rPr>
          <w:rFonts w:ascii="Arial" w:hAnsi="Arial" w:cs="Arial"/>
          <w:sz w:val="20"/>
        </w:rPr>
        <w:t xml:space="preserve">we </w:t>
      </w:r>
      <w:r w:rsidR="00620827" w:rsidRPr="00FF7E74">
        <w:rPr>
          <w:rFonts w:ascii="Arial" w:hAnsi="Arial" w:cs="Arial"/>
          <w:sz w:val="20"/>
        </w:rPr>
        <w:t xml:space="preserve">do not feel that enough </w:t>
      </w:r>
      <w:r w:rsidR="00C15F0C" w:rsidRPr="00FF7E74">
        <w:rPr>
          <w:rFonts w:ascii="Arial" w:hAnsi="Arial" w:cs="Arial"/>
          <w:sz w:val="20"/>
        </w:rPr>
        <w:t xml:space="preserve">attention has been paid </w:t>
      </w:r>
      <w:r w:rsidR="00B460B9" w:rsidRPr="00FF7E74">
        <w:rPr>
          <w:rFonts w:ascii="Arial" w:hAnsi="Arial" w:cs="Arial"/>
          <w:sz w:val="20"/>
        </w:rPr>
        <w:t>to th</w:t>
      </w:r>
      <w:r w:rsidR="001521F7" w:rsidRPr="00FF7E74">
        <w:rPr>
          <w:rFonts w:ascii="Arial" w:hAnsi="Arial" w:cs="Arial"/>
          <w:sz w:val="20"/>
        </w:rPr>
        <w:t>ese aspects</w:t>
      </w:r>
      <w:r w:rsidR="00B460B9" w:rsidRPr="00FF7E74">
        <w:rPr>
          <w:rFonts w:ascii="Arial" w:hAnsi="Arial" w:cs="Arial"/>
          <w:sz w:val="20"/>
        </w:rPr>
        <w:t xml:space="preserve"> throughout the </w:t>
      </w:r>
      <w:r w:rsidR="007A4F30" w:rsidRPr="00FF7E74">
        <w:rPr>
          <w:rFonts w:ascii="Arial" w:hAnsi="Arial" w:cs="Arial"/>
          <w:sz w:val="20"/>
        </w:rPr>
        <w:t xml:space="preserve">general </w:t>
      </w:r>
      <w:r w:rsidR="00B460B9" w:rsidRPr="00FF7E74">
        <w:rPr>
          <w:rFonts w:ascii="Arial" w:hAnsi="Arial" w:cs="Arial"/>
          <w:sz w:val="20"/>
        </w:rPr>
        <w:t xml:space="preserve">comment. </w:t>
      </w:r>
      <w:r w:rsidR="00AB239B" w:rsidRPr="00FF7E74">
        <w:rPr>
          <w:rFonts w:ascii="Arial" w:hAnsi="Arial" w:cs="Arial"/>
          <w:sz w:val="20"/>
        </w:rPr>
        <w:t xml:space="preserve">For example, </w:t>
      </w:r>
      <w:r w:rsidR="00F14014" w:rsidRPr="00FF7E74">
        <w:rPr>
          <w:rFonts w:ascii="Arial" w:hAnsi="Arial" w:cs="Arial"/>
          <w:sz w:val="20"/>
        </w:rPr>
        <w:t xml:space="preserve">we believe </w:t>
      </w:r>
      <w:r w:rsidR="007A4F30" w:rsidRPr="00FF7E74">
        <w:rPr>
          <w:rFonts w:ascii="Arial" w:hAnsi="Arial" w:cs="Arial"/>
          <w:sz w:val="20"/>
        </w:rPr>
        <w:t>that section F</w:t>
      </w:r>
      <w:r w:rsidR="00AB239B" w:rsidRPr="00FF7E74">
        <w:rPr>
          <w:rFonts w:ascii="Arial" w:hAnsi="Arial" w:cs="Arial"/>
          <w:sz w:val="20"/>
        </w:rPr>
        <w:t xml:space="preserve"> </w:t>
      </w:r>
      <w:r w:rsidR="007A4F30" w:rsidRPr="00FF7E74">
        <w:rPr>
          <w:rFonts w:ascii="Arial" w:hAnsi="Arial" w:cs="Arial"/>
          <w:sz w:val="20"/>
        </w:rPr>
        <w:t xml:space="preserve">should make specific mention </w:t>
      </w:r>
      <w:r w:rsidR="0084572B" w:rsidRPr="00FF7E74">
        <w:rPr>
          <w:rFonts w:ascii="Arial" w:hAnsi="Arial" w:cs="Arial"/>
          <w:sz w:val="20"/>
        </w:rPr>
        <w:t xml:space="preserve">of the importance of </w:t>
      </w:r>
      <w:r w:rsidR="00EB2FFA" w:rsidRPr="00FF7E74">
        <w:rPr>
          <w:rFonts w:ascii="Arial" w:hAnsi="Arial" w:cs="Arial"/>
          <w:sz w:val="20"/>
        </w:rPr>
        <w:t xml:space="preserve">good quality </w:t>
      </w:r>
      <w:r w:rsidR="00EB34DF" w:rsidRPr="00FF7E74">
        <w:rPr>
          <w:rFonts w:ascii="Arial" w:hAnsi="Arial" w:cs="Arial"/>
          <w:sz w:val="20"/>
        </w:rPr>
        <w:t xml:space="preserve">resettlement </w:t>
      </w:r>
      <w:r w:rsidR="0017269B" w:rsidRPr="00FF7E74">
        <w:rPr>
          <w:rFonts w:ascii="Arial" w:hAnsi="Arial" w:cs="Arial"/>
          <w:sz w:val="20"/>
        </w:rPr>
        <w:t>services for children in detention</w:t>
      </w:r>
      <w:r w:rsidR="00C643F5" w:rsidRPr="00FF7E74">
        <w:rPr>
          <w:rFonts w:ascii="Arial" w:hAnsi="Arial" w:cs="Arial"/>
          <w:sz w:val="20"/>
        </w:rPr>
        <w:t xml:space="preserve"> and when they leave</w:t>
      </w:r>
      <w:r w:rsidR="00A47F70" w:rsidRPr="00FF7E74">
        <w:rPr>
          <w:rFonts w:ascii="Arial" w:hAnsi="Arial" w:cs="Arial"/>
          <w:sz w:val="20"/>
        </w:rPr>
        <w:t>, in order to</w:t>
      </w:r>
      <w:r w:rsidR="0053244F" w:rsidRPr="00FF7E74">
        <w:rPr>
          <w:rFonts w:ascii="Arial" w:hAnsi="Arial" w:cs="Arial"/>
          <w:sz w:val="20"/>
        </w:rPr>
        <w:t xml:space="preserve"> fulfil article 40 (1),</w:t>
      </w:r>
      <w:r w:rsidR="00A47F70" w:rsidRPr="00FF7E74">
        <w:rPr>
          <w:rFonts w:ascii="Arial" w:hAnsi="Arial" w:cs="Arial"/>
          <w:sz w:val="20"/>
        </w:rPr>
        <w:t xml:space="preserve"> promot</w:t>
      </w:r>
      <w:r w:rsidR="0053244F" w:rsidRPr="00FF7E74">
        <w:rPr>
          <w:rFonts w:ascii="Arial" w:hAnsi="Arial" w:cs="Arial"/>
          <w:sz w:val="20"/>
        </w:rPr>
        <w:t>ing</w:t>
      </w:r>
      <w:r w:rsidR="00A47F70" w:rsidRPr="00FF7E74">
        <w:rPr>
          <w:rFonts w:ascii="Arial" w:hAnsi="Arial" w:cs="Arial"/>
          <w:sz w:val="20"/>
        </w:rPr>
        <w:t xml:space="preserve"> </w:t>
      </w:r>
      <w:r w:rsidR="00280BCD" w:rsidRPr="00FF7E74">
        <w:rPr>
          <w:rFonts w:ascii="Arial" w:hAnsi="Arial" w:cs="Arial"/>
          <w:sz w:val="20"/>
        </w:rPr>
        <w:t>the child’s reintegration and the child’s assuming a constructive role in society</w:t>
      </w:r>
      <w:r w:rsidR="0053244F" w:rsidRPr="00FF7E74">
        <w:rPr>
          <w:rFonts w:ascii="Arial" w:hAnsi="Arial" w:cs="Arial"/>
          <w:sz w:val="20"/>
        </w:rPr>
        <w:t xml:space="preserve">. </w:t>
      </w:r>
    </w:p>
    <w:p w14:paraId="4168E8CB" w14:textId="52DC66A6" w:rsidR="005C1F00" w:rsidRPr="00FF7E74" w:rsidRDefault="005C1F00" w:rsidP="00454D0C">
      <w:pPr>
        <w:ind w:left="-426" w:right="-448"/>
        <w:rPr>
          <w:rFonts w:ascii="Arial" w:hAnsi="Arial" w:cs="Arial"/>
          <w:sz w:val="20"/>
        </w:rPr>
      </w:pPr>
      <w:r w:rsidRPr="00FF7E74">
        <w:rPr>
          <w:rFonts w:ascii="Arial" w:hAnsi="Arial" w:cs="Arial"/>
          <w:sz w:val="20"/>
        </w:rPr>
        <w:t>Given the frequent use of life sentences for children in England and Wales, we would encourage stronger recommendations in paragraph 92, such that it is clear the Committee is against all life sentences for children, rather than just those without parole.</w:t>
      </w:r>
    </w:p>
    <w:p w14:paraId="7274E25E" w14:textId="226B1D0E" w:rsidR="005C1F00" w:rsidRPr="00FF7E74" w:rsidRDefault="003B2221" w:rsidP="00454D0C">
      <w:pPr>
        <w:ind w:left="-426" w:right="-448"/>
        <w:rPr>
          <w:rFonts w:ascii="Arial" w:hAnsi="Arial" w:cs="Arial"/>
          <w:sz w:val="20"/>
        </w:rPr>
      </w:pPr>
      <w:r w:rsidRPr="00FF7E74">
        <w:rPr>
          <w:rFonts w:ascii="Arial" w:hAnsi="Arial" w:cs="Arial"/>
          <w:sz w:val="20"/>
        </w:rPr>
        <w:t>We are aware of many children deprived of their liberty in England and Wales who are kept segregated</w:t>
      </w:r>
      <w:r w:rsidR="00FF7E74" w:rsidRPr="00FF7E74">
        <w:rPr>
          <w:rFonts w:ascii="Arial" w:hAnsi="Arial" w:cs="Arial"/>
          <w:sz w:val="20"/>
        </w:rPr>
        <w:t xml:space="preserve">, left in their cells for the majority of the day. However, the government does not accept the conditions amount to solitary confinement. As such, we would welcome an expansion on isolation and bullet point 1, paragraph 108. We are also aware of many children </w:t>
      </w:r>
      <w:r w:rsidRPr="00FF7E74">
        <w:rPr>
          <w:rFonts w:ascii="Arial" w:hAnsi="Arial" w:cs="Arial"/>
          <w:sz w:val="20"/>
        </w:rPr>
        <w:t xml:space="preserve">who </w:t>
      </w:r>
      <w:r w:rsidR="008915D7" w:rsidRPr="00FF7E74">
        <w:rPr>
          <w:rFonts w:ascii="Arial" w:hAnsi="Arial" w:cs="Arial"/>
          <w:sz w:val="20"/>
        </w:rPr>
        <w:t>are subject to pain-inducing restraint</w:t>
      </w:r>
      <w:r w:rsidR="00FF7E74">
        <w:rPr>
          <w:rFonts w:ascii="Arial" w:hAnsi="Arial" w:cs="Arial"/>
          <w:sz w:val="20"/>
        </w:rPr>
        <w:t>, and the negative psychological</w:t>
      </w:r>
      <w:r w:rsidR="001A19A2">
        <w:rPr>
          <w:rFonts w:ascii="Arial" w:hAnsi="Arial" w:cs="Arial"/>
          <w:sz w:val="20"/>
        </w:rPr>
        <w:t xml:space="preserve"> and emotional impact of restraint and use of force</w:t>
      </w:r>
      <w:r w:rsidR="008915D7" w:rsidRPr="00FF7E74">
        <w:rPr>
          <w:rFonts w:ascii="Arial" w:hAnsi="Arial" w:cs="Arial"/>
          <w:sz w:val="20"/>
        </w:rPr>
        <w:t>.</w:t>
      </w:r>
      <w:r w:rsidR="001A19A2">
        <w:rPr>
          <w:rStyle w:val="FootnoteReference"/>
          <w:rFonts w:ascii="Arial" w:hAnsi="Arial" w:cs="Arial"/>
          <w:sz w:val="20"/>
        </w:rPr>
        <w:footnoteReference w:id="6"/>
      </w:r>
      <w:r w:rsidR="008915D7" w:rsidRPr="00FF7E74">
        <w:rPr>
          <w:rFonts w:ascii="Arial" w:hAnsi="Arial" w:cs="Arial"/>
          <w:sz w:val="20"/>
        </w:rPr>
        <w:t xml:space="preserve"> </w:t>
      </w:r>
      <w:r w:rsidR="00FF7E74" w:rsidRPr="00FF7E74">
        <w:rPr>
          <w:rFonts w:ascii="Arial" w:hAnsi="Arial" w:cs="Arial"/>
          <w:sz w:val="20"/>
        </w:rPr>
        <w:t>We recommend</w:t>
      </w:r>
      <w:r w:rsidR="005C1F00" w:rsidRPr="00FF7E74">
        <w:rPr>
          <w:rFonts w:ascii="Arial" w:hAnsi="Arial" w:cs="Arial"/>
          <w:sz w:val="20"/>
        </w:rPr>
        <w:t xml:space="preserve"> </w:t>
      </w:r>
      <w:r w:rsidR="00ED56B2" w:rsidRPr="00FF7E74">
        <w:rPr>
          <w:rFonts w:ascii="Arial" w:hAnsi="Arial" w:cs="Arial"/>
          <w:sz w:val="20"/>
        </w:rPr>
        <w:t>clarification</w:t>
      </w:r>
      <w:r w:rsidR="005C1F00" w:rsidRPr="00FF7E74">
        <w:rPr>
          <w:rFonts w:ascii="Arial" w:hAnsi="Arial" w:cs="Arial"/>
          <w:sz w:val="20"/>
        </w:rPr>
        <w:t>s</w:t>
      </w:r>
      <w:r w:rsidR="00ED56B2" w:rsidRPr="00FF7E74">
        <w:rPr>
          <w:rFonts w:ascii="Arial" w:hAnsi="Arial" w:cs="Arial"/>
          <w:sz w:val="20"/>
        </w:rPr>
        <w:t xml:space="preserve"> in bullet point </w:t>
      </w:r>
      <w:r w:rsidR="00842224" w:rsidRPr="00FF7E74">
        <w:rPr>
          <w:rFonts w:ascii="Arial" w:hAnsi="Arial" w:cs="Arial"/>
          <w:sz w:val="20"/>
        </w:rPr>
        <w:t xml:space="preserve">6 that where restraint </w:t>
      </w:r>
      <w:r w:rsidR="00522CD3" w:rsidRPr="00FF7E74">
        <w:rPr>
          <w:rFonts w:ascii="Arial" w:hAnsi="Arial" w:cs="Arial"/>
          <w:sz w:val="20"/>
        </w:rPr>
        <w:t>is used as a last resort, the techniques used should not be pain-inducing</w:t>
      </w:r>
      <w:r w:rsidR="005C1F00" w:rsidRPr="00FF7E74">
        <w:rPr>
          <w:rFonts w:ascii="Arial" w:hAnsi="Arial" w:cs="Arial"/>
          <w:sz w:val="20"/>
        </w:rPr>
        <w:t>, should never be used for the purposes of maintaining “good order and discipline”, should not cause humiliation or degradation, and should be used only for the shortest possible period of time</w:t>
      </w:r>
      <w:r w:rsidR="00541B8A">
        <w:rPr>
          <w:rFonts w:ascii="Arial" w:hAnsi="Arial" w:cs="Arial"/>
          <w:sz w:val="20"/>
        </w:rPr>
        <w:t>, to prevent harm to the child or others</w:t>
      </w:r>
      <w:r w:rsidR="005C1F00" w:rsidRPr="00FF7E74">
        <w:rPr>
          <w:rFonts w:ascii="Arial" w:hAnsi="Arial" w:cs="Arial"/>
          <w:sz w:val="20"/>
        </w:rPr>
        <w:t>.</w:t>
      </w:r>
      <w:r w:rsidR="001A19A2">
        <w:rPr>
          <w:rFonts w:ascii="Arial" w:hAnsi="Arial" w:cs="Arial"/>
          <w:sz w:val="20"/>
        </w:rPr>
        <w:t xml:space="preserve"> We would also welcome more information in paragraph 108 on punishment or discipline regimes, for example specifying that preventing showers, exercise or contact with family be prohibited. </w:t>
      </w:r>
    </w:p>
    <w:p w14:paraId="70C31F5A" w14:textId="631C68FA" w:rsidR="006719A1" w:rsidRPr="00FF7E74" w:rsidRDefault="006719A1" w:rsidP="00454D0C">
      <w:pPr>
        <w:ind w:left="-426" w:right="-448"/>
        <w:rPr>
          <w:rFonts w:ascii="Arial" w:hAnsi="Arial" w:cs="Arial"/>
          <w:b/>
          <w:sz w:val="20"/>
        </w:rPr>
      </w:pPr>
      <w:r w:rsidRPr="00FF7E74">
        <w:rPr>
          <w:rFonts w:ascii="Arial" w:hAnsi="Arial" w:cs="Arial"/>
          <w:b/>
          <w:sz w:val="20"/>
        </w:rPr>
        <w:t xml:space="preserve">Age of criminal responsibility </w:t>
      </w:r>
      <w:r w:rsidR="00353ADD" w:rsidRPr="00FF7E74">
        <w:rPr>
          <w:rFonts w:ascii="Arial" w:hAnsi="Arial" w:cs="Arial"/>
          <w:b/>
          <w:sz w:val="20"/>
        </w:rPr>
        <w:br/>
      </w:r>
      <w:r w:rsidRPr="00FF7E74">
        <w:rPr>
          <w:rFonts w:ascii="Arial" w:hAnsi="Arial" w:cs="Arial"/>
          <w:sz w:val="20"/>
        </w:rPr>
        <w:t>We are hugely supportive of the statement in para</w:t>
      </w:r>
      <w:r w:rsidR="009E23D6" w:rsidRPr="00FF7E74">
        <w:rPr>
          <w:rFonts w:ascii="Arial" w:hAnsi="Arial" w:cs="Arial"/>
          <w:sz w:val="20"/>
        </w:rPr>
        <w:t>graph</w:t>
      </w:r>
      <w:r w:rsidRPr="00FF7E74">
        <w:rPr>
          <w:rFonts w:ascii="Arial" w:hAnsi="Arial" w:cs="Arial"/>
          <w:sz w:val="20"/>
        </w:rPr>
        <w:t xml:space="preserve"> 33 that the absolute minimum age of criminal responsibility (MACR) considered internationally acceptable is now 14 rather than 12, alongside the encouragement </w:t>
      </w:r>
      <w:r w:rsidR="0097760B" w:rsidRPr="00FF7E74">
        <w:rPr>
          <w:rFonts w:ascii="Arial" w:hAnsi="Arial" w:cs="Arial"/>
          <w:sz w:val="20"/>
        </w:rPr>
        <w:t>to</w:t>
      </w:r>
      <w:r w:rsidRPr="00FF7E74">
        <w:rPr>
          <w:rFonts w:ascii="Arial" w:hAnsi="Arial" w:cs="Arial"/>
          <w:sz w:val="20"/>
        </w:rPr>
        <w:t xml:space="preserve"> </w:t>
      </w:r>
      <w:r w:rsidR="0097760B" w:rsidRPr="00FF7E74">
        <w:rPr>
          <w:rFonts w:ascii="Arial" w:hAnsi="Arial" w:cs="Arial"/>
          <w:sz w:val="20"/>
        </w:rPr>
        <w:t xml:space="preserve">States parties to adopt </w:t>
      </w:r>
      <w:r w:rsidRPr="00FF7E74">
        <w:rPr>
          <w:rFonts w:ascii="Arial" w:hAnsi="Arial" w:cs="Arial"/>
          <w:sz w:val="20"/>
        </w:rPr>
        <w:t>higher minimum ages of 15 or 1</w:t>
      </w:r>
      <w:r w:rsidR="006E6CAA" w:rsidRPr="00FF7E74">
        <w:rPr>
          <w:rFonts w:ascii="Arial" w:hAnsi="Arial" w:cs="Arial"/>
          <w:sz w:val="20"/>
        </w:rPr>
        <w:t>6</w:t>
      </w:r>
      <w:r w:rsidRPr="00FF7E74">
        <w:rPr>
          <w:rFonts w:ascii="Arial" w:hAnsi="Arial" w:cs="Arial"/>
          <w:sz w:val="20"/>
        </w:rPr>
        <w:t xml:space="preserve">. </w:t>
      </w:r>
    </w:p>
    <w:p w14:paraId="22D8F080" w14:textId="74BD3931" w:rsidR="00943D45" w:rsidRDefault="006719A1" w:rsidP="00454D0C">
      <w:pPr>
        <w:ind w:left="-426" w:right="-448"/>
        <w:rPr>
          <w:rFonts w:ascii="Arial" w:hAnsi="Arial" w:cs="Arial"/>
          <w:sz w:val="20"/>
        </w:rPr>
      </w:pPr>
      <w:r w:rsidRPr="00FF7E74">
        <w:rPr>
          <w:rFonts w:ascii="Arial" w:hAnsi="Arial" w:cs="Arial"/>
          <w:sz w:val="20"/>
        </w:rPr>
        <w:t xml:space="preserve">We have long been campaigning for an increase in the MACR in England and Wales from the low age of 10, </w:t>
      </w:r>
      <w:r w:rsidR="00287FD3" w:rsidRPr="00FF7E74">
        <w:rPr>
          <w:rFonts w:ascii="Arial" w:hAnsi="Arial" w:cs="Arial"/>
          <w:sz w:val="20"/>
        </w:rPr>
        <w:t>with little success. As such we w</w:t>
      </w:r>
      <w:r w:rsidRPr="00FF7E74">
        <w:rPr>
          <w:rFonts w:ascii="Arial" w:hAnsi="Arial" w:cs="Arial"/>
          <w:sz w:val="20"/>
        </w:rPr>
        <w:t xml:space="preserve">ould </w:t>
      </w:r>
      <w:r w:rsidR="00287FD3" w:rsidRPr="00FF7E74">
        <w:rPr>
          <w:rFonts w:ascii="Arial" w:hAnsi="Arial" w:cs="Arial"/>
          <w:sz w:val="20"/>
        </w:rPr>
        <w:t>encourage</w:t>
      </w:r>
      <w:r w:rsidRPr="00FF7E74">
        <w:rPr>
          <w:rFonts w:ascii="Arial" w:hAnsi="Arial" w:cs="Arial"/>
          <w:sz w:val="20"/>
        </w:rPr>
        <w:t xml:space="preserve"> the inclusion of stronger language in this section to </w:t>
      </w:r>
      <w:r w:rsidR="000F56A2" w:rsidRPr="00FF7E74">
        <w:rPr>
          <w:rFonts w:ascii="Arial" w:hAnsi="Arial" w:cs="Arial"/>
          <w:sz w:val="20"/>
        </w:rPr>
        <w:t>p</w:t>
      </w:r>
      <w:r w:rsidR="00594B83" w:rsidRPr="00FF7E74">
        <w:rPr>
          <w:rFonts w:ascii="Arial" w:hAnsi="Arial" w:cs="Arial"/>
          <w:sz w:val="20"/>
        </w:rPr>
        <w:t xml:space="preserve">lace </w:t>
      </w:r>
      <w:r w:rsidR="001068B4" w:rsidRPr="00FF7E74">
        <w:rPr>
          <w:rFonts w:ascii="Arial" w:hAnsi="Arial" w:cs="Arial"/>
          <w:sz w:val="20"/>
        </w:rPr>
        <w:t xml:space="preserve">more </w:t>
      </w:r>
      <w:r w:rsidR="000F56A2" w:rsidRPr="00FF7E74">
        <w:rPr>
          <w:rFonts w:ascii="Arial" w:hAnsi="Arial" w:cs="Arial"/>
          <w:sz w:val="20"/>
        </w:rPr>
        <w:t>pressure on</w:t>
      </w:r>
      <w:r w:rsidRPr="00FF7E74">
        <w:rPr>
          <w:rFonts w:ascii="Arial" w:hAnsi="Arial" w:cs="Arial"/>
          <w:sz w:val="20"/>
        </w:rPr>
        <w:t xml:space="preserve"> States </w:t>
      </w:r>
      <w:r w:rsidR="000F56A2" w:rsidRPr="00FF7E74">
        <w:rPr>
          <w:rFonts w:ascii="Arial" w:hAnsi="Arial" w:cs="Arial"/>
          <w:sz w:val="20"/>
        </w:rPr>
        <w:t xml:space="preserve">parties </w:t>
      </w:r>
      <w:r w:rsidRPr="00FF7E74">
        <w:rPr>
          <w:rFonts w:ascii="Arial" w:hAnsi="Arial" w:cs="Arial"/>
          <w:sz w:val="20"/>
        </w:rPr>
        <w:t>to increase their MACR</w:t>
      </w:r>
      <w:r w:rsidR="00306707" w:rsidRPr="00FF7E74">
        <w:rPr>
          <w:rFonts w:ascii="Arial" w:hAnsi="Arial" w:cs="Arial"/>
          <w:sz w:val="20"/>
        </w:rPr>
        <w:t xml:space="preserve"> in </w:t>
      </w:r>
      <w:r w:rsidR="0016420E" w:rsidRPr="00FF7E74">
        <w:rPr>
          <w:rFonts w:ascii="Arial" w:hAnsi="Arial" w:cs="Arial"/>
          <w:sz w:val="20"/>
        </w:rPr>
        <w:t>lin</w:t>
      </w:r>
      <w:r w:rsidR="00306707" w:rsidRPr="00FF7E74">
        <w:rPr>
          <w:rFonts w:ascii="Arial" w:hAnsi="Arial" w:cs="Arial"/>
          <w:sz w:val="20"/>
        </w:rPr>
        <w:t>e with</w:t>
      </w:r>
      <w:r w:rsidR="00943D45">
        <w:rPr>
          <w:rFonts w:ascii="Arial" w:hAnsi="Arial" w:cs="Arial"/>
          <w:sz w:val="20"/>
        </w:rPr>
        <w:t>, or preferably above,</w:t>
      </w:r>
      <w:r w:rsidR="00306707" w:rsidRPr="00FF7E74">
        <w:rPr>
          <w:rFonts w:ascii="Arial" w:hAnsi="Arial" w:cs="Arial"/>
          <w:sz w:val="20"/>
        </w:rPr>
        <w:t xml:space="preserve"> UNCRC recommendations</w:t>
      </w:r>
      <w:r w:rsidRPr="00FF7E74">
        <w:rPr>
          <w:rFonts w:ascii="Arial" w:hAnsi="Arial" w:cs="Arial"/>
          <w:sz w:val="20"/>
        </w:rPr>
        <w:t xml:space="preserve">. For example, </w:t>
      </w:r>
      <w:r w:rsidR="00D85862">
        <w:rPr>
          <w:rFonts w:ascii="Arial" w:hAnsi="Arial" w:cs="Arial"/>
          <w:sz w:val="20"/>
        </w:rPr>
        <w:t xml:space="preserve">“commendably high” in reference to a MACR of 14 should be removed; the wording from the previous comment that 12 was the “absolute minimum age that is internationally acceptable” should be maintained for 14; and </w:t>
      </w:r>
      <w:r w:rsidRPr="00FF7E74">
        <w:rPr>
          <w:rFonts w:ascii="Arial" w:hAnsi="Arial" w:cs="Arial"/>
          <w:sz w:val="20"/>
        </w:rPr>
        <w:t>the sentence in par</w:t>
      </w:r>
      <w:r w:rsidR="00FE7020" w:rsidRPr="00FF7E74">
        <w:rPr>
          <w:rFonts w:ascii="Arial" w:hAnsi="Arial" w:cs="Arial"/>
          <w:sz w:val="20"/>
        </w:rPr>
        <w:t>agraph</w:t>
      </w:r>
      <w:r w:rsidRPr="00FF7E74">
        <w:rPr>
          <w:rFonts w:ascii="Arial" w:hAnsi="Arial" w:cs="Arial"/>
          <w:sz w:val="20"/>
        </w:rPr>
        <w:t xml:space="preserve"> 33 </w:t>
      </w:r>
      <w:r w:rsidR="00943D45">
        <w:rPr>
          <w:rFonts w:ascii="Arial" w:hAnsi="Arial" w:cs="Arial"/>
          <w:sz w:val="20"/>
        </w:rPr>
        <w:t xml:space="preserve">should </w:t>
      </w:r>
      <w:r w:rsidRPr="00FF7E74">
        <w:rPr>
          <w:rFonts w:ascii="Arial" w:hAnsi="Arial" w:cs="Arial"/>
          <w:sz w:val="20"/>
        </w:rPr>
        <w:t xml:space="preserve">read that </w:t>
      </w:r>
      <w:r w:rsidR="00FE7020" w:rsidRPr="00FF7E74">
        <w:rPr>
          <w:rFonts w:ascii="Arial" w:hAnsi="Arial" w:cs="Arial"/>
          <w:sz w:val="20"/>
        </w:rPr>
        <w:t>S</w:t>
      </w:r>
      <w:r w:rsidRPr="00FF7E74">
        <w:rPr>
          <w:rFonts w:ascii="Arial" w:hAnsi="Arial" w:cs="Arial"/>
          <w:sz w:val="20"/>
        </w:rPr>
        <w:t>tates parties should be “strongly encouraged” rather than “encouraged” to increase their</w:t>
      </w:r>
      <w:r w:rsidR="0004749F" w:rsidRPr="00FF7E74">
        <w:rPr>
          <w:rFonts w:ascii="Arial" w:hAnsi="Arial" w:cs="Arial"/>
          <w:sz w:val="20"/>
        </w:rPr>
        <w:t xml:space="preserve"> minimum age</w:t>
      </w:r>
      <w:r w:rsidRPr="00FF7E74">
        <w:rPr>
          <w:rFonts w:ascii="Arial" w:hAnsi="Arial" w:cs="Arial"/>
          <w:sz w:val="20"/>
        </w:rPr>
        <w:t xml:space="preserve"> to at least 14. </w:t>
      </w:r>
      <w:r w:rsidR="00532126" w:rsidRPr="00FF7E74">
        <w:rPr>
          <w:rFonts w:ascii="Arial" w:hAnsi="Arial" w:cs="Arial"/>
          <w:sz w:val="20"/>
        </w:rPr>
        <w:t xml:space="preserve">We would </w:t>
      </w:r>
      <w:r w:rsidR="0004749F" w:rsidRPr="00FF7E74">
        <w:rPr>
          <w:rFonts w:ascii="Arial" w:hAnsi="Arial" w:cs="Arial"/>
          <w:sz w:val="20"/>
        </w:rPr>
        <w:t>recommend</w:t>
      </w:r>
      <w:r w:rsidR="00532126" w:rsidRPr="00FF7E74">
        <w:rPr>
          <w:rFonts w:ascii="Arial" w:hAnsi="Arial" w:cs="Arial"/>
          <w:sz w:val="20"/>
        </w:rPr>
        <w:t xml:space="preserve"> the addition of a sentence </w:t>
      </w:r>
      <w:r w:rsidR="006176BC" w:rsidRPr="00FF7E74">
        <w:rPr>
          <w:rFonts w:ascii="Arial" w:hAnsi="Arial" w:cs="Arial"/>
          <w:sz w:val="20"/>
        </w:rPr>
        <w:t>stressing</w:t>
      </w:r>
      <w:r w:rsidR="00532126" w:rsidRPr="00FF7E74">
        <w:rPr>
          <w:rFonts w:ascii="Arial" w:hAnsi="Arial" w:cs="Arial"/>
          <w:sz w:val="20"/>
        </w:rPr>
        <w:t xml:space="preserve"> the unacceptable nature of any </w:t>
      </w:r>
      <w:r w:rsidR="00761F2A" w:rsidRPr="00FF7E74">
        <w:rPr>
          <w:rFonts w:ascii="Arial" w:hAnsi="Arial" w:cs="Arial"/>
          <w:sz w:val="20"/>
        </w:rPr>
        <w:t>S</w:t>
      </w:r>
      <w:r w:rsidR="00532126" w:rsidRPr="00FF7E74">
        <w:rPr>
          <w:rFonts w:ascii="Arial" w:hAnsi="Arial" w:cs="Arial"/>
          <w:sz w:val="20"/>
        </w:rPr>
        <w:t xml:space="preserve">tate having </w:t>
      </w:r>
      <w:r w:rsidR="00721B97" w:rsidRPr="00FF7E74">
        <w:rPr>
          <w:rFonts w:ascii="Arial" w:hAnsi="Arial" w:cs="Arial"/>
          <w:sz w:val="20"/>
        </w:rPr>
        <w:t xml:space="preserve">a </w:t>
      </w:r>
      <w:r w:rsidR="00532126" w:rsidRPr="00FF7E74">
        <w:rPr>
          <w:rFonts w:ascii="Arial" w:hAnsi="Arial" w:cs="Arial"/>
          <w:sz w:val="20"/>
        </w:rPr>
        <w:t>MACR lower than 14</w:t>
      </w:r>
      <w:r w:rsidR="00943D45">
        <w:rPr>
          <w:rFonts w:ascii="Arial" w:hAnsi="Arial" w:cs="Arial"/>
          <w:sz w:val="20"/>
        </w:rPr>
        <w:t xml:space="preserve">. </w:t>
      </w:r>
    </w:p>
    <w:p w14:paraId="6861415B" w14:textId="6ADA6436" w:rsidR="006719A1" w:rsidRDefault="00943D45" w:rsidP="00454D0C">
      <w:pPr>
        <w:ind w:left="-426" w:right="-448"/>
        <w:rPr>
          <w:rFonts w:ascii="Arial" w:hAnsi="Arial" w:cs="Arial"/>
          <w:sz w:val="20"/>
        </w:rPr>
      </w:pPr>
      <w:r>
        <w:rPr>
          <w:rFonts w:ascii="Arial" w:hAnsi="Arial" w:cs="Arial"/>
          <w:sz w:val="20"/>
        </w:rPr>
        <w:t>As well as this, we encourage the addition after “emotional, mental and intellectual maturity”, paragraph 33, of “and the potential harmful effects that being brought into formal criminal justice processes has on children’s wellbeing and development”</w:t>
      </w:r>
      <w:r w:rsidR="00D85862">
        <w:rPr>
          <w:rFonts w:ascii="Arial" w:hAnsi="Arial" w:cs="Arial"/>
          <w:sz w:val="20"/>
        </w:rPr>
        <w:t>.</w:t>
      </w:r>
      <w:r>
        <w:rPr>
          <w:rFonts w:ascii="Arial" w:hAnsi="Arial" w:cs="Arial"/>
          <w:sz w:val="20"/>
        </w:rPr>
        <w:t xml:space="preserve"> This demonstrates that a MACR should not only depend on maturity or capacity but rather on what is in the best interests of the child.</w:t>
      </w:r>
      <w:r>
        <w:rPr>
          <w:rStyle w:val="FootnoteReference"/>
          <w:rFonts w:ascii="Arial" w:hAnsi="Arial" w:cs="Arial"/>
          <w:sz w:val="20"/>
        </w:rPr>
        <w:footnoteReference w:id="7"/>
      </w:r>
      <w:r>
        <w:rPr>
          <w:rFonts w:ascii="Arial" w:hAnsi="Arial" w:cs="Arial"/>
          <w:sz w:val="20"/>
        </w:rPr>
        <w:t xml:space="preserve"> </w:t>
      </w:r>
    </w:p>
    <w:p w14:paraId="69682BCF" w14:textId="441C11F9" w:rsidR="00D85862" w:rsidRDefault="00D85862" w:rsidP="00454D0C">
      <w:pPr>
        <w:ind w:left="-426" w:right="-448"/>
        <w:rPr>
          <w:rFonts w:ascii="Arial" w:hAnsi="Arial" w:cs="Arial"/>
          <w:sz w:val="20"/>
        </w:rPr>
      </w:pPr>
      <w:r>
        <w:rPr>
          <w:rFonts w:ascii="Arial" w:hAnsi="Arial" w:cs="Arial"/>
          <w:sz w:val="20"/>
        </w:rPr>
        <w:t xml:space="preserve">There is also an issue with the language used in paragraph 31 that “even young children do commit offences”. </w:t>
      </w:r>
      <w:r w:rsidR="00943D45">
        <w:rPr>
          <w:rFonts w:ascii="Arial" w:hAnsi="Arial" w:cs="Arial"/>
          <w:sz w:val="20"/>
        </w:rPr>
        <w:t>Children below the MACR cannot commit offences – conceptually, it should not just be that they cannot be formally processed, but that their behaviour is not criminal.</w:t>
      </w:r>
      <w:r w:rsidR="00423162">
        <w:rPr>
          <w:rFonts w:ascii="Arial" w:hAnsi="Arial" w:cs="Arial"/>
          <w:sz w:val="20"/>
        </w:rPr>
        <w:t xml:space="preserve"> Likewise, the comment still reads in some places elsewhere that adult-type criminal justice responses may be appropriate for children, or that children and adults should be treated equally (see for example paragraph 10 on Status offences). This language should be reviewed.</w:t>
      </w:r>
    </w:p>
    <w:p w14:paraId="738BDDE4" w14:textId="45D9604B" w:rsidR="001A19A2" w:rsidRPr="001A19A2" w:rsidRDefault="004262C3" w:rsidP="00454D0C">
      <w:pPr>
        <w:ind w:left="-426" w:right="-448"/>
        <w:rPr>
          <w:rFonts w:ascii="Arial" w:hAnsi="Arial" w:cs="Arial"/>
          <w:sz w:val="20"/>
        </w:rPr>
      </w:pPr>
      <w:r w:rsidRPr="00FF7E74">
        <w:rPr>
          <w:rFonts w:ascii="Arial" w:hAnsi="Arial" w:cs="Arial"/>
          <w:b/>
          <w:sz w:val="20"/>
        </w:rPr>
        <w:t xml:space="preserve">Two minimum ages of criminal responsibility </w:t>
      </w:r>
      <w:r w:rsidR="00353ADD" w:rsidRPr="00FF7E74">
        <w:rPr>
          <w:rFonts w:ascii="Arial" w:hAnsi="Arial" w:cs="Arial"/>
          <w:b/>
          <w:sz w:val="20"/>
        </w:rPr>
        <w:br/>
      </w:r>
      <w:r w:rsidR="00B31906" w:rsidRPr="00FF7E74">
        <w:rPr>
          <w:rFonts w:ascii="Arial" w:hAnsi="Arial" w:cs="Arial"/>
          <w:sz w:val="20"/>
        </w:rPr>
        <w:t xml:space="preserve">We understand the intention of the committee of preventing confusion by recommending that States </w:t>
      </w:r>
      <w:r w:rsidR="00306707" w:rsidRPr="00FF7E74">
        <w:rPr>
          <w:rFonts w:ascii="Arial" w:hAnsi="Arial" w:cs="Arial"/>
          <w:sz w:val="20"/>
        </w:rPr>
        <w:t xml:space="preserve">parties </w:t>
      </w:r>
      <w:r w:rsidR="00B31906" w:rsidRPr="00FF7E74">
        <w:rPr>
          <w:rFonts w:ascii="Arial" w:hAnsi="Arial" w:cs="Arial"/>
          <w:sz w:val="20"/>
        </w:rPr>
        <w:t>do not have a second minimum age of criminal responsibility</w:t>
      </w:r>
      <w:r w:rsidR="001A19A2">
        <w:rPr>
          <w:rFonts w:ascii="Arial" w:hAnsi="Arial" w:cs="Arial"/>
          <w:sz w:val="20"/>
        </w:rPr>
        <w:t xml:space="preserve"> (MACR)</w:t>
      </w:r>
      <w:r w:rsidR="00B31906" w:rsidRPr="00FF7E74">
        <w:rPr>
          <w:rFonts w:ascii="Arial" w:hAnsi="Arial" w:cs="Arial"/>
          <w:sz w:val="20"/>
        </w:rPr>
        <w:t xml:space="preserve"> that has regard for maturity. </w:t>
      </w:r>
      <w:r w:rsidR="002E6978">
        <w:rPr>
          <w:rFonts w:ascii="Arial" w:hAnsi="Arial" w:cs="Arial"/>
          <w:sz w:val="20"/>
        </w:rPr>
        <w:t>However, gi</w:t>
      </w:r>
      <w:r w:rsidR="001A19A2">
        <w:rPr>
          <w:rFonts w:ascii="Arial" w:hAnsi="Arial" w:cs="Arial"/>
          <w:sz w:val="20"/>
        </w:rPr>
        <w:t xml:space="preserve">ven the extremely low MACR in England and Wales, we recommend </w:t>
      </w:r>
      <w:r w:rsidR="002E6978">
        <w:rPr>
          <w:rFonts w:ascii="Arial" w:hAnsi="Arial" w:cs="Arial"/>
          <w:sz w:val="20"/>
        </w:rPr>
        <w:t xml:space="preserve">the addition of the following sentence or similar to paragraph 43: </w:t>
      </w:r>
      <w:r w:rsidR="002E6978">
        <w:rPr>
          <w:rFonts w:ascii="Arial" w:hAnsi="Arial" w:cs="Arial"/>
          <w:sz w:val="20"/>
          <w:lang w:val="en-US"/>
        </w:rPr>
        <w:t>“</w:t>
      </w:r>
      <w:r w:rsidR="001A19A2" w:rsidRPr="001A19A2">
        <w:rPr>
          <w:rFonts w:ascii="Arial" w:hAnsi="Arial" w:cs="Arial"/>
          <w:sz w:val="20"/>
          <w:lang w:val="en-US"/>
        </w:rPr>
        <w:t xml:space="preserve">However, this should not preclude the inclusion of a defense to a criminal offence that the child lacked sufficient maturity </w:t>
      </w:r>
      <w:r w:rsidR="002E6978">
        <w:rPr>
          <w:rFonts w:ascii="Arial" w:hAnsi="Arial" w:cs="Arial"/>
          <w:sz w:val="20"/>
          <w:lang w:val="en-US"/>
        </w:rPr>
        <w:t xml:space="preserve">or capacity </w:t>
      </w:r>
      <w:r w:rsidR="001A19A2" w:rsidRPr="001A19A2">
        <w:rPr>
          <w:rFonts w:ascii="Arial" w:hAnsi="Arial" w:cs="Arial"/>
          <w:sz w:val="20"/>
          <w:lang w:val="en-US"/>
        </w:rPr>
        <w:t>to unders</w:t>
      </w:r>
      <w:r w:rsidR="002E6978">
        <w:rPr>
          <w:rFonts w:ascii="Arial" w:hAnsi="Arial" w:cs="Arial"/>
          <w:sz w:val="20"/>
          <w:lang w:val="en-US"/>
        </w:rPr>
        <w:t>tand the nature of the offence”.</w:t>
      </w:r>
    </w:p>
    <w:p w14:paraId="59F423BE" w14:textId="582282A5" w:rsidR="0062762C" w:rsidRPr="00FF7E74" w:rsidRDefault="0062762C" w:rsidP="00454D0C">
      <w:pPr>
        <w:ind w:left="-426" w:right="-448"/>
        <w:rPr>
          <w:rFonts w:ascii="Arial" w:hAnsi="Arial" w:cs="Arial"/>
          <w:b/>
          <w:sz w:val="20"/>
        </w:rPr>
      </w:pPr>
      <w:r w:rsidRPr="00FF7E74">
        <w:rPr>
          <w:rFonts w:ascii="Arial" w:hAnsi="Arial" w:cs="Arial"/>
          <w:b/>
          <w:sz w:val="20"/>
        </w:rPr>
        <w:lastRenderedPageBreak/>
        <w:t>Guarantees of a fair trial</w:t>
      </w:r>
      <w:r w:rsidR="00353ADD" w:rsidRPr="00FF7E74">
        <w:rPr>
          <w:rFonts w:ascii="Arial" w:hAnsi="Arial" w:cs="Arial"/>
          <w:b/>
          <w:sz w:val="20"/>
        </w:rPr>
        <w:br/>
      </w:r>
      <w:r w:rsidR="002D38CD" w:rsidRPr="00FF7E74">
        <w:rPr>
          <w:rFonts w:ascii="Arial" w:hAnsi="Arial" w:cs="Arial"/>
          <w:sz w:val="20"/>
        </w:rPr>
        <w:t>While</w:t>
      </w:r>
      <w:r w:rsidRPr="00FF7E74">
        <w:rPr>
          <w:rFonts w:ascii="Arial" w:hAnsi="Arial" w:cs="Arial"/>
          <w:sz w:val="20"/>
        </w:rPr>
        <w:t xml:space="preserve"> we recognise the committee</w:t>
      </w:r>
      <w:r w:rsidR="002D38CD" w:rsidRPr="00FF7E74">
        <w:rPr>
          <w:rFonts w:ascii="Arial" w:hAnsi="Arial" w:cs="Arial"/>
          <w:sz w:val="20"/>
        </w:rPr>
        <w:t>’</w:t>
      </w:r>
      <w:r w:rsidRPr="00FF7E74">
        <w:rPr>
          <w:rFonts w:ascii="Arial" w:hAnsi="Arial" w:cs="Arial"/>
          <w:sz w:val="20"/>
        </w:rPr>
        <w:t>s intention to remove unnecessary duplication, we question whether the removal of a sentence in par</w:t>
      </w:r>
      <w:r w:rsidR="002D38CD" w:rsidRPr="00FF7E74">
        <w:rPr>
          <w:rFonts w:ascii="Arial" w:hAnsi="Arial" w:cs="Arial"/>
          <w:sz w:val="20"/>
        </w:rPr>
        <w:t>agraph</w:t>
      </w:r>
      <w:r w:rsidRPr="00FF7E74">
        <w:rPr>
          <w:rFonts w:ascii="Arial" w:hAnsi="Arial" w:cs="Arial"/>
          <w:sz w:val="20"/>
        </w:rPr>
        <w:t xml:space="preserve"> 51 that reiterates art</w:t>
      </w:r>
      <w:r w:rsidR="002D38CD" w:rsidRPr="00FF7E74">
        <w:rPr>
          <w:rFonts w:ascii="Arial" w:hAnsi="Arial" w:cs="Arial"/>
          <w:sz w:val="20"/>
        </w:rPr>
        <w:t>icle</w:t>
      </w:r>
      <w:r w:rsidRPr="00FF7E74">
        <w:rPr>
          <w:rFonts w:ascii="Arial" w:hAnsi="Arial" w:cs="Arial"/>
          <w:sz w:val="20"/>
        </w:rPr>
        <w:t xml:space="preserve"> 40 (1) removes an important emphasis on the need for children to be treated by professionals in a manner that promotes their sense of dignity and worth, respect for human rights, and reintegration. </w:t>
      </w:r>
    </w:p>
    <w:p w14:paraId="060C17A7" w14:textId="42ACFE0F" w:rsidR="0062762C" w:rsidRPr="00FF7E74" w:rsidRDefault="009106C9" w:rsidP="00454D0C">
      <w:pPr>
        <w:ind w:left="-426" w:right="-448"/>
        <w:rPr>
          <w:rFonts w:ascii="Arial" w:hAnsi="Arial" w:cs="Arial"/>
          <w:sz w:val="20"/>
        </w:rPr>
      </w:pPr>
      <w:r w:rsidRPr="00FF7E74">
        <w:rPr>
          <w:rFonts w:ascii="Arial" w:hAnsi="Arial" w:cs="Arial"/>
          <w:sz w:val="20"/>
        </w:rPr>
        <w:t>We welcome the addition in para</w:t>
      </w:r>
      <w:r w:rsidR="00EE02D0" w:rsidRPr="00FF7E74">
        <w:rPr>
          <w:rFonts w:ascii="Arial" w:hAnsi="Arial" w:cs="Arial"/>
          <w:sz w:val="20"/>
        </w:rPr>
        <w:t xml:space="preserve">graph </w:t>
      </w:r>
      <w:r w:rsidRPr="00FF7E74">
        <w:rPr>
          <w:rFonts w:ascii="Arial" w:hAnsi="Arial" w:cs="Arial"/>
          <w:sz w:val="20"/>
        </w:rPr>
        <w:t xml:space="preserve">55 that no adverse inference should be drawn if a child elects not to testify, and recommend that it is made clear that this and the rest of </w:t>
      </w:r>
      <w:r w:rsidR="00A26077" w:rsidRPr="00FF7E74">
        <w:rPr>
          <w:rFonts w:ascii="Arial" w:hAnsi="Arial" w:cs="Arial"/>
          <w:sz w:val="20"/>
        </w:rPr>
        <w:t xml:space="preserve">a </w:t>
      </w:r>
      <w:r w:rsidRPr="00FF7E74">
        <w:rPr>
          <w:rFonts w:ascii="Arial" w:hAnsi="Arial" w:cs="Arial"/>
          <w:sz w:val="20"/>
        </w:rPr>
        <w:t>child’s rights should be made clear to the child</w:t>
      </w:r>
      <w:r w:rsidR="00F56C8E" w:rsidRPr="00FF7E74">
        <w:rPr>
          <w:rFonts w:ascii="Arial" w:hAnsi="Arial" w:cs="Arial"/>
          <w:sz w:val="20"/>
        </w:rPr>
        <w:t>. We</w:t>
      </w:r>
      <w:r w:rsidRPr="00FF7E74">
        <w:rPr>
          <w:rFonts w:ascii="Arial" w:hAnsi="Arial" w:cs="Arial"/>
          <w:sz w:val="20"/>
        </w:rPr>
        <w:t xml:space="preserve"> </w:t>
      </w:r>
      <w:r w:rsidR="00F56C8E" w:rsidRPr="00FF7E74">
        <w:rPr>
          <w:rFonts w:ascii="Arial" w:hAnsi="Arial" w:cs="Arial"/>
          <w:sz w:val="20"/>
        </w:rPr>
        <w:t>are aware that many</w:t>
      </w:r>
      <w:r w:rsidRPr="00FF7E74">
        <w:rPr>
          <w:rFonts w:ascii="Arial" w:hAnsi="Arial" w:cs="Arial"/>
          <w:sz w:val="20"/>
        </w:rPr>
        <w:t xml:space="preserve"> children are often un</w:t>
      </w:r>
      <w:r w:rsidR="00A26077" w:rsidRPr="00FF7E74">
        <w:rPr>
          <w:rFonts w:ascii="Arial" w:hAnsi="Arial" w:cs="Arial"/>
          <w:sz w:val="20"/>
        </w:rPr>
        <w:t>sure or un</w:t>
      </w:r>
      <w:r w:rsidRPr="00FF7E74">
        <w:rPr>
          <w:rFonts w:ascii="Arial" w:hAnsi="Arial" w:cs="Arial"/>
          <w:sz w:val="20"/>
        </w:rPr>
        <w:t>aware of their rights</w:t>
      </w:r>
      <w:r w:rsidR="00F56C8E" w:rsidRPr="00FF7E74">
        <w:rPr>
          <w:rFonts w:ascii="Arial" w:hAnsi="Arial" w:cs="Arial"/>
          <w:sz w:val="20"/>
        </w:rPr>
        <w:t xml:space="preserve"> </w:t>
      </w:r>
      <w:r w:rsidR="00725E7B" w:rsidRPr="00FF7E74">
        <w:rPr>
          <w:rFonts w:ascii="Arial" w:hAnsi="Arial" w:cs="Arial"/>
          <w:sz w:val="20"/>
        </w:rPr>
        <w:t xml:space="preserve">in police custody, interviews, and throughout their involvement with the justice system. </w:t>
      </w:r>
    </w:p>
    <w:p w14:paraId="703DF2F5" w14:textId="55D0EEAB" w:rsidR="009106C9" w:rsidRPr="00FF7E74" w:rsidRDefault="009106C9" w:rsidP="00454D0C">
      <w:pPr>
        <w:ind w:left="-426" w:right="-448"/>
        <w:rPr>
          <w:rFonts w:ascii="Arial" w:hAnsi="Arial" w:cs="Arial"/>
          <w:sz w:val="20"/>
        </w:rPr>
      </w:pPr>
      <w:r w:rsidRPr="00FF7E74">
        <w:rPr>
          <w:rFonts w:ascii="Arial" w:hAnsi="Arial" w:cs="Arial"/>
          <w:sz w:val="20"/>
        </w:rPr>
        <w:t xml:space="preserve">We </w:t>
      </w:r>
      <w:r w:rsidR="00E9222E" w:rsidRPr="00FF7E74">
        <w:rPr>
          <w:rFonts w:ascii="Arial" w:hAnsi="Arial" w:cs="Arial"/>
          <w:sz w:val="20"/>
        </w:rPr>
        <w:t>support</w:t>
      </w:r>
      <w:r w:rsidRPr="00FF7E74">
        <w:rPr>
          <w:rFonts w:ascii="Arial" w:hAnsi="Arial" w:cs="Arial"/>
          <w:sz w:val="20"/>
        </w:rPr>
        <w:t xml:space="preserve"> the clarification in para</w:t>
      </w:r>
      <w:r w:rsidR="00E9222E" w:rsidRPr="00FF7E74">
        <w:rPr>
          <w:rFonts w:ascii="Arial" w:hAnsi="Arial" w:cs="Arial"/>
          <w:sz w:val="20"/>
        </w:rPr>
        <w:t>graph</w:t>
      </w:r>
      <w:r w:rsidRPr="00FF7E74">
        <w:rPr>
          <w:rFonts w:ascii="Arial" w:hAnsi="Arial" w:cs="Arial"/>
          <w:sz w:val="20"/>
        </w:rPr>
        <w:t xml:space="preserve"> 57 that for effective participation to be fulfilled, proceedings must be conducted in a language the child fully understands, and if not</w:t>
      </w:r>
      <w:r w:rsidR="00360175" w:rsidRPr="00FF7E74">
        <w:rPr>
          <w:rFonts w:ascii="Arial" w:hAnsi="Arial" w:cs="Arial"/>
          <w:sz w:val="20"/>
        </w:rPr>
        <w:t xml:space="preserve"> themselves</w:t>
      </w:r>
      <w:r w:rsidRPr="00FF7E74">
        <w:rPr>
          <w:rFonts w:ascii="Arial" w:hAnsi="Arial" w:cs="Arial"/>
          <w:sz w:val="20"/>
        </w:rPr>
        <w:t>, with the assistance of a free interpreter</w:t>
      </w:r>
      <w:r w:rsidR="009A3A27">
        <w:rPr>
          <w:rFonts w:ascii="Arial" w:hAnsi="Arial" w:cs="Arial"/>
          <w:sz w:val="20"/>
        </w:rPr>
        <w:t>. However, even where English is a child’s first language, they often do not understand legal proceedings and the language used</w:t>
      </w:r>
      <w:r w:rsidR="009A3A27">
        <w:rPr>
          <w:rStyle w:val="FootnoteReference"/>
          <w:rFonts w:ascii="Arial" w:hAnsi="Arial" w:cs="Arial"/>
          <w:sz w:val="20"/>
        </w:rPr>
        <w:footnoteReference w:id="8"/>
      </w:r>
      <w:r w:rsidR="009A3A27">
        <w:rPr>
          <w:rFonts w:ascii="Arial" w:hAnsi="Arial" w:cs="Arial"/>
          <w:sz w:val="20"/>
        </w:rPr>
        <w:t>, and may often not receive sufficient explanations to be able to give instructions to their lawyer or make vital decisions</w:t>
      </w:r>
      <w:r w:rsidRPr="00FF7E74">
        <w:rPr>
          <w:rFonts w:ascii="Arial" w:hAnsi="Arial" w:cs="Arial"/>
          <w:sz w:val="20"/>
        </w:rPr>
        <w:t>.</w:t>
      </w:r>
      <w:r w:rsidR="009A3A27">
        <w:rPr>
          <w:rStyle w:val="FootnoteReference"/>
          <w:rFonts w:ascii="Arial" w:hAnsi="Arial" w:cs="Arial"/>
          <w:sz w:val="20"/>
        </w:rPr>
        <w:footnoteReference w:id="9"/>
      </w:r>
      <w:r w:rsidR="009A3A27">
        <w:rPr>
          <w:rFonts w:ascii="Arial" w:hAnsi="Arial" w:cs="Arial"/>
          <w:sz w:val="20"/>
        </w:rPr>
        <w:t xml:space="preserve"> The committee should specify that a child’s entitlement is to media</w:t>
      </w:r>
      <w:r w:rsidR="000B35D0">
        <w:rPr>
          <w:rFonts w:ascii="Arial" w:hAnsi="Arial" w:cs="Arial"/>
          <w:sz w:val="20"/>
        </w:rPr>
        <w:t>ti</w:t>
      </w:r>
      <w:r w:rsidR="00AB6D95">
        <w:rPr>
          <w:rFonts w:ascii="Arial" w:hAnsi="Arial" w:cs="Arial"/>
          <w:sz w:val="20"/>
        </w:rPr>
        <w:t>on services,</w:t>
      </w:r>
      <w:r w:rsidR="000B35D0">
        <w:rPr>
          <w:rFonts w:ascii="Arial" w:hAnsi="Arial" w:cs="Arial"/>
          <w:sz w:val="20"/>
        </w:rPr>
        <w:t xml:space="preserve"> a communication specialist, </w:t>
      </w:r>
      <w:r w:rsidR="00AB6D95">
        <w:rPr>
          <w:rFonts w:ascii="Arial" w:hAnsi="Arial" w:cs="Arial"/>
          <w:sz w:val="20"/>
        </w:rPr>
        <w:t xml:space="preserve">and appropriate adult, </w:t>
      </w:r>
      <w:r w:rsidR="009A3A27">
        <w:rPr>
          <w:rFonts w:ascii="Arial" w:hAnsi="Arial" w:cs="Arial"/>
          <w:sz w:val="20"/>
        </w:rPr>
        <w:t>not just an interpreter</w:t>
      </w:r>
      <w:r w:rsidR="00AB6D95">
        <w:rPr>
          <w:rFonts w:ascii="Arial" w:hAnsi="Arial" w:cs="Arial"/>
          <w:sz w:val="20"/>
        </w:rPr>
        <w:t>. It should be reiterated throughout section D that a</w:t>
      </w:r>
      <w:r w:rsidR="000B35D0">
        <w:rPr>
          <w:rFonts w:ascii="Arial" w:hAnsi="Arial" w:cs="Arial"/>
          <w:sz w:val="20"/>
        </w:rPr>
        <w:t xml:space="preserve">ctive steps should be taken to test </w:t>
      </w:r>
      <w:r w:rsidR="00AB6D95">
        <w:rPr>
          <w:rFonts w:ascii="Arial" w:hAnsi="Arial" w:cs="Arial"/>
          <w:sz w:val="20"/>
        </w:rPr>
        <w:t xml:space="preserve">and ensure </w:t>
      </w:r>
      <w:r w:rsidR="000B35D0">
        <w:rPr>
          <w:rFonts w:ascii="Arial" w:hAnsi="Arial" w:cs="Arial"/>
          <w:sz w:val="20"/>
        </w:rPr>
        <w:t xml:space="preserve">a child’s ability to understand and participate in the proceedings, and the child’s views and wishes must be heard and given due weight (article 12). </w:t>
      </w:r>
    </w:p>
    <w:p w14:paraId="7832EC63" w14:textId="79DDE049" w:rsidR="0089793B" w:rsidRDefault="009106C9" w:rsidP="00454D0C">
      <w:pPr>
        <w:ind w:left="-426" w:right="-448"/>
        <w:rPr>
          <w:rFonts w:ascii="Arial" w:hAnsi="Arial" w:cs="Arial"/>
          <w:sz w:val="20"/>
        </w:rPr>
      </w:pPr>
      <w:r w:rsidRPr="00FF7E74">
        <w:rPr>
          <w:rFonts w:ascii="Arial" w:hAnsi="Arial" w:cs="Arial"/>
          <w:sz w:val="20"/>
        </w:rPr>
        <w:t>We welcome the expansion of para</w:t>
      </w:r>
      <w:r w:rsidR="000569B2" w:rsidRPr="00FF7E74">
        <w:rPr>
          <w:rFonts w:ascii="Arial" w:hAnsi="Arial" w:cs="Arial"/>
          <w:sz w:val="20"/>
        </w:rPr>
        <w:t>graphs</w:t>
      </w:r>
      <w:r w:rsidRPr="00FF7E74">
        <w:rPr>
          <w:rFonts w:ascii="Arial" w:hAnsi="Arial" w:cs="Arial"/>
          <w:sz w:val="20"/>
        </w:rPr>
        <w:t xml:space="preserve"> 61 – 62 around </w:t>
      </w:r>
      <w:r w:rsidR="0059569A" w:rsidRPr="00FF7E74">
        <w:rPr>
          <w:rFonts w:ascii="Arial" w:hAnsi="Arial" w:cs="Arial"/>
          <w:sz w:val="20"/>
        </w:rPr>
        <w:t xml:space="preserve">children’s right to legal representation, as we are aware of children in England and Wales appearing unrepresented in court, especially following cuts to Legal Aid. </w:t>
      </w:r>
      <w:r w:rsidR="000B35D0">
        <w:rPr>
          <w:rFonts w:ascii="Arial" w:hAnsi="Arial" w:cs="Arial"/>
          <w:sz w:val="20"/>
        </w:rPr>
        <w:t>It should be specified that a child’s legal representation must have child’s rights knowledge.</w:t>
      </w:r>
    </w:p>
    <w:p w14:paraId="66419517" w14:textId="3DAE77BF" w:rsidR="006C7FC4" w:rsidRDefault="00232D37" w:rsidP="00454D0C">
      <w:pPr>
        <w:ind w:left="-426" w:right="-448"/>
        <w:rPr>
          <w:rFonts w:ascii="Arial" w:hAnsi="Arial" w:cs="Arial"/>
          <w:sz w:val="20"/>
        </w:rPr>
      </w:pPr>
      <w:r w:rsidRPr="00FF7E74">
        <w:rPr>
          <w:rFonts w:ascii="Arial" w:hAnsi="Arial" w:cs="Arial"/>
          <w:b/>
          <w:sz w:val="20"/>
        </w:rPr>
        <w:t xml:space="preserve">Anonymity </w:t>
      </w:r>
      <w:r w:rsidR="00353ADD" w:rsidRPr="00FF7E74">
        <w:rPr>
          <w:rFonts w:ascii="Arial" w:hAnsi="Arial" w:cs="Arial"/>
          <w:b/>
          <w:sz w:val="20"/>
        </w:rPr>
        <w:br/>
      </w:r>
      <w:r w:rsidR="006C7FC4" w:rsidRPr="00FF7E74">
        <w:rPr>
          <w:rFonts w:ascii="Arial" w:hAnsi="Arial" w:cs="Arial"/>
          <w:sz w:val="20"/>
        </w:rPr>
        <w:t xml:space="preserve">We are aware of many </w:t>
      </w:r>
      <w:r w:rsidR="00681F65" w:rsidRPr="00FF7E74">
        <w:rPr>
          <w:rFonts w:ascii="Arial" w:hAnsi="Arial" w:cs="Arial"/>
          <w:sz w:val="20"/>
        </w:rPr>
        <w:t>barriers to rehabilitation in</w:t>
      </w:r>
      <w:r w:rsidR="006C7FC4" w:rsidRPr="00FF7E74">
        <w:rPr>
          <w:rFonts w:ascii="Arial" w:hAnsi="Arial" w:cs="Arial"/>
          <w:sz w:val="20"/>
        </w:rPr>
        <w:t xml:space="preserve"> England and Wales that arise from a child</w:t>
      </w:r>
      <w:r w:rsidR="004C6919">
        <w:rPr>
          <w:rFonts w:ascii="Arial" w:hAnsi="Arial" w:cs="Arial"/>
          <w:sz w:val="20"/>
        </w:rPr>
        <w:t>’</w:t>
      </w:r>
      <w:r w:rsidR="006C7FC4" w:rsidRPr="00FF7E74">
        <w:rPr>
          <w:rFonts w:ascii="Arial" w:hAnsi="Arial" w:cs="Arial"/>
          <w:sz w:val="20"/>
        </w:rPr>
        <w:t>s anonymity not being maintained during or after their involvement with the law</w:t>
      </w:r>
      <w:r w:rsidR="00B14CB5">
        <w:rPr>
          <w:rFonts w:ascii="Arial" w:hAnsi="Arial" w:cs="Arial"/>
          <w:sz w:val="20"/>
        </w:rPr>
        <w:t xml:space="preserve">, </w:t>
      </w:r>
      <w:r w:rsidR="004C6919">
        <w:rPr>
          <w:rFonts w:ascii="Arial" w:hAnsi="Arial" w:cs="Arial"/>
          <w:sz w:val="20"/>
        </w:rPr>
        <w:t xml:space="preserve">as a </w:t>
      </w:r>
      <w:r w:rsidR="00B14CB5">
        <w:rPr>
          <w:rFonts w:ascii="Arial" w:hAnsi="Arial" w:cs="Arial"/>
          <w:sz w:val="20"/>
        </w:rPr>
        <w:t>suspect or defendant</w:t>
      </w:r>
      <w:r w:rsidR="006B516D" w:rsidRPr="00FF7E74">
        <w:rPr>
          <w:rFonts w:ascii="Arial" w:hAnsi="Arial" w:cs="Arial"/>
          <w:sz w:val="20"/>
        </w:rPr>
        <w:t>.</w:t>
      </w:r>
      <w:r w:rsidR="00AB6D95">
        <w:rPr>
          <w:rStyle w:val="FootnoteReference"/>
          <w:rFonts w:ascii="Arial" w:hAnsi="Arial" w:cs="Arial"/>
          <w:sz w:val="20"/>
        </w:rPr>
        <w:footnoteReference w:id="10"/>
      </w:r>
      <w:r w:rsidR="006C7FC4" w:rsidRPr="00FF7E74">
        <w:rPr>
          <w:rFonts w:ascii="Arial" w:hAnsi="Arial" w:cs="Arial"/>
          <w:sz w:val="20"/>
        </w:rPr>
        <w:t xml:space="preserve"> As such, we make the following recommendations:</w:t>
      </w:r>
    </w:p>
    <w:p w14:paraId="756681B7" w14:textId="3C13F8C3" w:rsidR="00272B0C" w:rsidRPr="00FF7E74" w:rsidRDefault="00272B0C" w:rsidP="00454D0C">
      <w:pPr>
        <w:ind w:left="-426" w:right="-448"/>
        <w:rPr>
          <w:rFonts w:ascii="Arial" w:hAnsi="Arial" w:cs="Arial"/>
          <w:b/>
          <w:sz w:val="20"/>
        </w:rPr>
      </w:pPr>
      <w:r>
        <w:rPr>
          <w:rFonts w:ascii="Arial" w:hAnsi="Arial" w:cs="Arial"/>
          <w:sz w:val="20"/>
        </w:rPr>
        <w:t>Readers of the general comment should be reminded that children are entitled to anonymity by virtue of them being children (article 16), whether or not they are in contact with the law, and whether or not they are guilty of an alleged offence.</w:t>
      </w:r>
    </w:p>
    <w:p w14:paraId="765BD5B3" w14:textId="182BBBAC" w:rsidR="000B35D0" w:rsidRPr="00FF7E74" w:rsidRDefault="008F72B1" w:rsidP="00454D0C">
      <w:pPr>
        <w:ind w:left="-426" w:right="-448"/>
        <w:rPr>
          <w:rFonts w:ascii="Arial" w:hAnsi="Arial" w:cs="Arial"/>
          <w:sz w:val="20"/>
        </w:rPr>
      </w:pPr>
      <w:r w:rsidRPr="00FF7E74">
        <w:rPr>
          <w:rFonts w:ascii="Arial" w:hAnsi="Arial" w:cs="Arial"/>
          <w:sz w:val="20"/>
        </w:rPr>
        <w:t>Specific mention could be added to</w:t>
      </w:r>
      <w:r w:rsidR="003D40FB" w:rsidRPr="00FF7E74">
        <w:rPr>
          <w:rFonts w:ascii="Arial" w:hAnsi="Arial" w:cs="Arial"/>
          <w:sz w:val="20"/>
        </w:rPr>
        <w:t xml:space="preserve"> paragraph 17 of protection of children’s privacy as a core element of a comprehensive child justice policy; and to</w:t>
      </w:r>
      <w:r w:rsidRPr="00FF7E74">
        <w:rPr>
          <w:rFonts w:ascii="Arial" w:hAnsi="Arial" w:cs="Arial"/>
          <w:sz w:val="20"/>
        </w:rPr>
        <w:t xml:space="preserve"> p</w:t>
      </w:r>
      <w:r w:rsidR="00886756" w:rsidRPr="00FF7E74">
        <w:rPr>
          <w:rFonts w:ascii="Arial" w:hAnsi="Arial" w:cs="Arial"/>
          <w:sz w:val="20"/>
        </w:rPr>
        <w:t>ara</w:t>
      </w:r>
      <w:r w:rsidR="00A23919" w:rsidRPr="00FF7E74">
        <w:rPr>
          <w:rFonts w:ascii="Arial" w:hAnsi="Arial" w:cs="Arial"/>
          <w:sz w:val="20"/>
        </w:rPr>
        <w:t>graph</w:t>
      </w:r>
      <w:r w:rsidR="00886756" w:rsidRPr="00FF7E74">
        <w:rPr>
          <w:rFonts w:ascii="Arial" w:hAnsi="Arial" w:cs="Arial"/>
          <w:sz w:val="20"/>
        </w:rPr>
        <w:t xml:space="preserve"> 29 </w:t>
      </w:r>
      <w:r w:rsidRPr="00FF7E74">
        <w:rPr>
          <w:rFonts w:ascii="Arial" w:hAnsi="Arial" w:cs="Arial"/>
          <w:sz w:val="20"/>
        </w:rPr>
        <w:t>of</w:t>
      </w:r>
      <w:r w:rsidR="00886756" w:rsidRPr="00FF7E74">
        <w:rPr>
          <w:rFonts w:ascii="Arial" w:hAnsi="Arial" w:cs="Arial"/>
          <w:sz w:val="20"/>
        </w:rPr>
        <w:t xml:space="preserve"> the importance of </w:t>
      </w:r>
      <w:r w:rsidR="00B14CB5">
        <w:rPr>
          <w:rFonts w:ascii="Arial" w:hAnsi="Arial" w:cs="Arial"/>
          <w:sz w:val="20"/>
        </w:rPr>
        <w:t>m</w:t>
      </w:r>
      <w:r w:rsidR="00272B0C">
        <w:rPr>
          <w:rFonts w:ascii="Arial" w:hAnsi="Arial" w:cs="Arial"/>
          <w:sz w:val="20"/>
        </w:rPr>
        <w:t xml:space="preserve">aintaining a child’s anonymity (article 16). </w:t>
      </w:r>
    </w:p>
    <w:p w14:paraId="12BC5409" w14:textId="5F6E9A17" w:rsidR="000B35D0" w:rsidRPr="00FF7E74" w:rsidRDefault="00272B0C" w:rsidP="00454D0C">
      <w:pPr>
        <w:ind w:left="-426" w:right="-448"/>
        <w:rPr>
          <w:rFonts w:ascii="Arial" w:hAnsi="Arial" w:cs="Arial"/>
          <w:sz w:val="20"/>
        </w:rPr>
      </w:pPr>
      <w:r>
        <w:rPr>
          <w:rFonts w:ascii="Arial" w:hAnsi="Arial" w:cs="Arial"/>
          <w:sz w:val="20"/>
        </w:rPr>
        <w:t>T</w:t>
      </w:r>
      <w:r w:rsidRPr="00FF7E74">
        <w:rPr>
          <w:rFonts w:ascii="Arial" w:hAnsi="Arial" w:cs="Arial"/>
          <w:sz w:val="20"/>
        </w:rPr>
        <w:t>he pre-charge naming of children is an issue in England and Wales but it is not currently explicitly mentioned in the general comment</w:t>
      </w:r>
      <w:r>
        <w:rPr>
          <w:rFonts w:ascii="Arial" w:hAnsi="Arial" w:cs="Arial"/>
          <w:sz w:val="20"/>
        </w:rPr>
        <w:t>, and should be</w:t>
      </w:r>
      <w:r w:rsidRPr="00FF7E74">
        <w:rPr>
          <w:rFonts w:ascii="Arial" w:hAnsi="Arial" w:cs="Arial"/>
          <w:sz w:val="20"/>
        </w:rPr>
        <w:t>.</w:t>
      </w:r>
      <w:r>
        <w:rPr>
          <w:rFonts w:ascii="Arial" w:hAnsi="Arial" w:cs="Arial"/>
          <w:sz w:val="20"/>
        </w:rPr>
        <w:t xml:space="preserve"> For example e</w:t>
      </w:r>
      <w:r w:rsidR="00A67E2A" w:rsidRPr="00FF7E74">
        <w:rPr>
          <w:rFonts w:ascii="Arial" w:hAnsi="Arial" w:cs="Arial"/>
          <w:sz w:val="20"/>
        </w:rPr>
        <w:t xml:space="preserve">mphasis could be added to the sentence in </w:t>
      </w:r>
      <w:r w:rsidR="009E4DFF" w:rsidRPr="00FF7E74">
        <w:rPr>
          <w:rFonts w:ascii="Arial" w:hAnsi="Arial" w:cs="Arial"/>
          <w:sz w:val="20"/>
        </w:rPr>
        <w:t>p</w:t>
      </w:r>
      <w:r w:rsidR="00886756" w:rsidRPr="00FF7E74">
        <w:rPr>
          <w:rFonts w:ascii="Arial" w:hAnsi="Arial" w:cs="Arial"/>
          <w:sz w:val="20"/>
        </w:rPr>
        <w:t>ara</w:t>
      </w:r>
      <w:r w:rsidR="00A23919" w:rsidRPr="00FF7E74">
        <w:rPr>
          <w:rFonts w:ascii="Arial" w:hAnsi="Arial" w:cs="Arial"/>
          <w:sz w:val="20"/>
        </w:rPr>
        <w:t>graph</w:t>
      </w:r>
      <w:r w:rsidR="009E4DFF" w:rsidRPr="00FF7E74">
        <w:rPr>
          <w:rFonts w:ascii="Arial" w:hAnsi="Arial" w:cs="Arial"/>
          <w:sz w:val="20"/>
        </w:rPr>
        <w:t xml:space="preserve"> 53</w:t>
      </w:r>
      <w:r w:rsidR="00886756" w:rsidRPr="00FF7E74">
        <w:rPr>
          <w:rFonts w:ascii="Arial" w:hAnsi="Arial" w:cs="Arial"/>
          <w:sz w:val="20"/>
        </w:rPr>
        <w:t xml:space="preserve"> on ensuring children are treated in accordance with the presumption of innocence</w:t>
      </w:r>
      <w:r w:rsidR="009E4DFF" w:rsidRPr="00FF7E74">
        <w:rPr>
          <w:rFonts w:ascii="Arial" w:hAnsi="Arial" w:cs="Arial"/>
          <w:sz w:val="20"/>
        </w:rPr>
        <w:t>,</w:t>
      </w:r>
      <w:r w:rsidR="00886756" w:rsidRPr="00FF7E74">
        <w:rPr>
          <w:rFonts w:ascii="Arial" w:hAnsi="Arial" w:cs="Arial"/>
          <w:sz w:val="20"/>
        </w:rPr>
        <w:t xml:space="preserve"> </w:t>
      </w:r>
      <w:r w:rsidR="00B86AE2" w:rsidRPr="00FF7E74">
        <w:rPr>
          <w:rFonts w:ascii="Arial" w:hAnsi="Arial" w:cs="Arial"/>
          <w:sz w:val="20"/>
        </w:rPr>
        <w:t xml:space="preserve">by </w:t>
      </w:r>
      <w:r w:rsidR="00886756" w:rsidRPr="00FF7E74">
        <w:rPr>
          <w:rFonts w:ascii="Arial" w:hAnsi="Arial" w:cs="Arial"/>
          <w:sz w:val="20"/>
        </w:rPr>
        <w:t>specifying that children are not named pre-charge.</w:t>
      </w:r>
      <w:r>
        <w:rPr>
          <w:rFonts w:ascii="Arial" w:hAnsi="Arial" w:cs="Arial"/>
          <w:sz w:val="20"/>
        </w:rPr>
        <w:t xml:space="preserve"> </w:t>
      </w:r>
    </w:p>
    <w:p w14:paraId="2D975519" w14:textId="648C1348" w:rsidR="009A65BD" w:rsidRPr="00FF7E74" w:rsidRDefault="0086522A" w:rsidP="00454D0C">
      <w:pPr>
        <w:ind w:left="-426" w:right="-448"/>
        <w:rPr>
          <w:rFonts w:ascii="Arial" w:hAnsi="Arial" w:cs="Arial"/>
          <w:i/>
          <w:sz w:val="20"/>
        </w:rPr>
      </w:pPr>
      <w:r w:rsidRPr="00FF7E74">
        <w:rPr>
          <w:rFonts w:ascii="Arial" w:hAnsi="Arial" w:cs="Arial"/>
          <w:sz w:val="20"/>
        </w:rPr>
        <w:t>More</w:t>
      </w:r>
      <w:r w:rsidR="006C7FC4" w:rsidRPr="00FF7E74">
        <w:rPr>
          <w:rFonts w:ascii="Arial" w:hAnsi="Arial" w:cs="Arial"/>
          <w:sz w:val="20"/>
        </w:rPr>
        <w:t xml:space="preserve"> detail </w:t>
      </w:r>
      <w:r w:rsidR="00115725" w:rsidRPr="00FF7E74">
        <w:rPr>
          <w:rFonts w:ascii="Arial" w:hAnsi="Arial" w:cs="Arial"/>
          <w:sz w:val="20"/>
        </w:rPr>
        <w:t xml:space="preserve">on </w:t>
      </w:r>
      <w:r w:rsidR="009A65BD" w:rsidRPr="00FF7E74">
        <w:rPr>
          <w:rFonts w:ascii="Arial" w:hAnsi="Arial" w:cs="Arial"/>
          <w:sz w:val="20"/>
        </w:rPr>
        <w:t xml:space="preserve">the importance of </w:t>
      </w:r>
      <w:r w:rsidR="00115725" w:rsidRPr="00FF7E74">
        <w:rPr>
          <w:rFonts w:ascii="Arial" w:hAnsi="Arial" w:cs="Arial"/>
          <w:sz w:val="20"/>
        </w:rPr>
        <w:t xml:space="preserve">anonymity in general </w:t>
      </w:r>
      <w:r w:rsidRPr="00FF7E74">
        <w:rPr>
          <w:rFonts w:ascii="Arial" w:hAnsi="Arial" w:cs="Arial"/>
          <w:sz w:val="20"/>
        </w:rPr>
        <w:t xml:space="preserve">could be provided </w:t>
      </w:r>
      <w:r w:rsidR="006C7FC4" w:rsidRPr="00FF7E74">
        <w:rPr>
          <w:rFonts w:ascii="Arial" w:hAnsi="Arial" w:cs="Arial"/>
          <w:sz w:val="20"/>
        </w:rPr>
        <w:t>within the</w:t>
      </w:r>
      <w:r w:rsidR="00B53BC7" w:rsidRPr="00FF7E74">
        <w:rPr>
          <w:rFonts w:ascii="Arial" w:hAnsi="Arial" w:cs="Arial"/>
          <w:sz w:val="20"/>
        </w:rPr>
        <w:t xml:space="preserve"> section on</w:t>
      </w:r>
      <w:r w:rsidR="006C7FC4" w:rsidRPr="00FF7E74">
        <w:rPr>
          <w:rFonts w:ascii="Arial" w:hAnsi="Arial" w:cs="Arial"/>
          <w:sz w:val="20"/>
        </w:rPr>
        <w:t xml:space="preserve"> respect for privacy </w:t>
      </w:r>
      <w:r w:rsidR="00B53BC7" w:rsidRPr="00FF7E74">
        <w:rPr>
          <w:rFonts w:ascii="Arial" w:hAnsi="Arial" w:cs="Arial"/>
          <w:sz w:val="20"/>
        </w:rPr>
        <w:t>(</w:t>
      </w:r>
      <w:r w:rsidR="006C7FC4" w:rsidRPr="00FF7E74">
        <w:rPr>
          <w:rFonts w:ascii="Arial" w:hAnsi="Arial" w:cs="Arial"/>
          <w:sz w:val="20"/>
        </w:rPr>
        <w:t>para</w:t>
      </w:r>
      <w:r w:rsidR="00B53BC7" w:rsidRPr="00FF7E74">
        <w:rPr>
          <w:rFonts w:ascii="Arial" w:hAnsi="Arial" w:cs="Arial"/>
          <w:sz w:val="20"/>
        </w:rPr>
        <w:t>graphs</w:t>
      </w:r>
      <w:r w:rsidR="006C7FC4" w:rsidRPr="00FF7E74">
        <w:rPr>
          <w:rFonts w:ascii="Arial" w:hAnsi="Arial" w:cs="Arial"/>
          <w:sz w:val="20"/>
        </w:rPr>
        <w:t xml:space="preserve"> 78 – 81</w:t>
      </w:r>
      <w:r w:rsidR="009A65BD" w:rsidRPr="00FF7E74">
        <w:rPr>
          <w:rFonts w:ascii="Arial" w:hAnsi="Arial" w:cs="Arial"/>
          <w:sz w:val="20"/>
        </w:rPr>
        <w:t>).</w:t>
      </w:r>
    </w:p>
    <w:p w14:paraId="19C42DDC" w14:textId="58CBBF94" w:rsidR="002C61C2" w:rsidRDefault="006C7FC4" w:rsidP="00454D0C">
      <w:pPr>
        <w:ind w:left="-426" w:right="-448"/>
        <w:rPr>
          <w:rFonts w:ascii="Arial" w:hAnsi="Arial" w:cs="Arial"/>
          <w:sz w:val="20"/>
        </w:rPr>
      </w:pPr>
      <w:r w:rsidRPr="00FF7E74">
        <w:rPr>
          <w:rFonts w:ascii="Arial" w:hAnsi="Arial" w:cs="Arial"/>
          <w:sz w:val="20"/>
        </w:rPr>
        <w:t xml:space="preserve">While we welcome the committee </w:t>
      </w:r>
      <w:r w:rsidR="00680B02" w:rsidRPr="00FF7E74">
        <w:rPr>
          <w:rFonts w:ascii="Arial" w:hAnsi="Arial" w:cs="Arial"/>
          <w:sz w:val="20"/>
        </w:rPr>
        <w:t>clarifying</w:t>
      </w:r>
      <w:r w:rsidRPr="00FF7E74">
        <w:rPr>
          <w:rFonts w:ascii="Arial" w:hAnsi="Arial" w:cs="Arial"/>
          <w:sz w:val="20"/>
        </w:rPr>
        <w:t xml:space="preserve"> that a child’s anonymity should be maintained </w:t>
      </w:r>
      <w:r w:rsidR="00AA3BE1" w:rsidRPr="00FF7E74">
        <w:rPr>
          <w:rFonts w:ascii="Arial" w:hAnsi="Arial" w:cs="Arial"/>
          <w:sz w:val="20"/>
        </w:rPr>
        <w:t>after</w:t>
      </w:r>
      <w:r w:rsidRPr="00FF7E74">
        <w:rPr>
          <w:rFonts w:ascii="Arial" w:hAnsi="Arial" w:cs="Arial"/>
          <w:sz w:val="20"/>
        </w:rPr>
        <w:t xml:space="preserve"> the</w:t>
      </w:r>
      <w:r w:rsidR="00AA3BE1" w:rsidRPr="00FF7E74">
        <w:rPr>
          <w:rFonts w:ascii="Arial" w:hAnsi="Arial" w:cs="Arial"/>
          <w:sz w:val="20"/>
        </w:rPr>
        <w:t>y</w:t>
      </w:r>
      <w:r w:rsidRPr="00FF7E74">
        <w:rPr>
          <w:rFonts w:ascii="Arial" w:hAnsi="Arial" w:cs="Arial"/>
          <w:sz w:val="20"/>
        </w:rPr>
        <w:t xml:space="preserve"> turn 18</w:t>
      </w:r>
      <w:r w:rsidR="00680B02" w:rsidRPr="00FF7E74">
        <w:rPr>
          <w:rFonts w:ascii="Arial" w:hAnsi="Arial" w:cs="Arial"/>
          <w:sz w:val="20"/>
        </w:rPr>
        <w:t xml:space="preserve"> (paragraph 78)</w:t>
      </w:r>
      <w:r w:rsidR="00A20E9A">
        <w:rPr>
          <w:rFonts w:ascii="Arial" w:hAnsi="Arial" w:cs="Arial"/>
          <w:sz w:val="20"/>
        </w:rPr>
        <w:t>, we would recommend that in order to remove any doubt over the on-going nature of the protection, the sentence be amended such that it is clear anonymity should be</w:t>
      </w:r>
      <w:r w:rsidR="00272B0C">
        <w:rPr>
          <w:rFonts w:ascii="Arial" w:hAnsi="Arial" w:cs="Arial"/>
          <w:sz w:val="20"/>
        </w:rPr>
        <w:t xml:space="preserve"> lifelong. </w:t>
      </w:r>
      <w:r w:rsidR="00A20E9A">
        <w:rPr>
          <w:rFonts w:ascii="Arial" w:hAnsi="Arial" w:cs="Arial"/>
          <w:sz w:val="20"/>
        </w:rPr>
        <w:t>We are aware of many instances in England and Wales where anonymity is breached when a child turns 18.</w:t>
      </w:r>
    </w:p>
    <w:p w14:paraId="33EE8711" w14:textId="6660EE4B" w:rsidR="000B35D0" w:rsidRPr="00272B0C" w:rsidRDefault="002C61C2" w:rsidP="00454D0C">
      <w:pPr>
        <w:ind w:left="-426" w:right="-448"/>
        <w:rPr>
          <w:rFonts w:ascii="Arial" w:eastAsia="Times New Roman" w:hAnsi="Arial" w:cs="Arial"/>
          <w:color w:val="222222"/>
          <w:szCs w:val="24"/>
        </w:rPr>
      </w:pPr>
      <w:r w:rsidRPr="00FF7E74">
        <w:rPr>
          <w:rFonts w:ascii="Arial" w:hAnsi="Arial" w:cs="Arial"/>
          <w:sz w:val="20"/>
        </w:rPr>
        <w:t xml:space="preserve">We welcome the </w:t>
      </w:r>
      <w:r w:rsidR="0037789B" w:rsidRPr="00FF7E74">
        <w:rPr>
          <w:rFonts w:ascii="Arial" w:hAnsi="Arial" w:cs="Arial"/>
          <w:sz w:val="20"/>
        </w:rPr>
        <w:t xml:space="preserve">additional </w:t>
      </w:r>
      <w:r w:rsidRPr="00FF7E74">
        <w:rPr>
          <w:rFonts w:ascii="Arial" w:hAnsi="Arial" w:cs="Arial"/>
          <w:sz w:val="20"/>
        </w:rPr>
        <w:t xml:space="preserve">recognition that </w:t>
      </w:r>
      <w:r w:rsidR="0037789B" w:rsidRPr="00FF7E74">
        <w:rPr>
          <w:rFonts w:ascii="Arial" w:hAnsi="Arial" w:cs="Arial"/>
          <w:sz w:val="20"/>
        </w:rPr>
        <w:t>St</w:t>
      </w:r>
      <w:r w:rsidRPr="00FF7E74">
        <w:rPr>
          <w:rFonts w:ascii="Arial" w:hAnsi="Arial" w:cs="Arial"/>
          <w:sz w:val="20"/>
        </w:rPr>
        <w:t xml:space="preserve">ates </w:t>
      </w:r>
      <w:r w:rsidR="0037789B" w:rsidRPr="00FF7E74">
        <w:rPr>
          <w:rFonts w:ascii="Arial" w:hAnsi="Arial" w:cs="Arial"/>
          <w:sz w:val="20"/>
        </w:rPr>
        <w:t xml:space="preserve">parties </w:t>
      </w:r>
      <w:r w:rsidRPr="00FF7E74">
        <w:rPr>
          <w:rFonts w:ascii="Arial" w:hAnsi="Arial" w:cs="Arial"/>
          <w:sz w:val="20"/>
        </w:rPr>
        <w:t>must take steps to prevent the naming of children on social media, along with the</w:t>
      </w:r>
      <w:r w:rsidR="00C11018" w:rsidRPr="00FF7E74">
        <w:rPr>
          <w:rFonts w:ascii="Arial" w:hAnsi="Arial" w:cs="Arial"/>
          <w:sz w:val="20"/>
        </w:rPr>
        <w:t xml:space="preserve"> revision</w:t>
      </w:r>
      <w:r w:rsidRPr="00FF7E74">
        <w:rPr>
          <w:rFonts w:ascii="Arial" w:hAnsi="Arial" w:cs="Arial"/>
          <w:sz w:val="20"/>
        </w:rPr>
        <w:t xml:space="preserve"> that it is not just “journalists” but </w:t>
      </w:r>
      <w:r w:rsidR="00C11018" w:rsidRPr="00FF7E74">
        <w:rPr>
          <w:rFonts w:ascii="Arial" w:hAnsi="Arial" w:cs="Arial"/>
          <w:sz w:val="20"/>
        </w:rPr>
        <w:t>“</w:t>
      </w:r>
      <w:r w:rsidRPr="00FF7E74">
        <w:rPr>
          <w:rFonts w:ascii="Arial" w:hAnsi="Arial" w:cs="Arial"/>
          <w:sz w:val="20"/>
        </w:rPr>
        <w:t>all persons</w:t>
      </w:r>
      <w:r w:rsidR="00C11018" w:rsidRPr="00FF7E74">
        <w:rPr>
          <w:rFonts w:ascii="Arial" w:hAnsi="Arial" w:cs="Arial"/>
          <w:sz w:val="20"/>
        </w:rPr>
        <w:t>”</w:t>
      </w:r>
      <w:r w:rsidRPr="00FF7E74">
        <w:rPr>
          <w:rFonts w:ascii="Arial" w:hAnsi="Arial" w:cs="Arial"/>
          <w:sz w:val="20"/>
        </w:rPr>
        <w:t xml:space="preserve"> who are capable of violating the right to privacy and</w:t>
      </w:r>
      <w:r w:rsidR="00C11018" w:rsidRPr="00FF7E74">
        <w:rPr>
          <w:rFonts w:ascii="Arial" w:hAnsi="Arial" w:cs="Arial"/>
          <w:sz w:val="20"/>
        </w:rPr>
        <w:t xml:space="preserve"> therefore be</w:t>
      </w:r>
      <w:r w:rsidRPr="00FF7E74">
        <w:rPr>
          <w:rFonts w:ascii="Arial" w:hAnsi="Arial" w:cs="Arial"/>
          <w:sz w:val="20"/>
        </w:rPr>
        <w:t xml:space="preserve"> subject to sanction</w:t>
      </w:r>
      <w:r w:rsidR="00C11018" w:rsidRPr="00FF7E74">
        <w:rPr>
          <w:rFonts w:ascii="Arial" w:hAnsi="Arial" w:cs="Arial"/>
          <w:sz w:val="20"/>
        </w:rPr>
        <w:t>. This</w:t>
      </w:r>
      <w:r w:rsidRPr="00FF7E74">
        <w:rPr>
          <w:rFonts w:ascii="Arial" w:hAnsi="Arial" w:cs="Arial"/>
          <w:sz w:val="20"/>
        </w:rPr>
        <w:t xml:space="preserve"> reflects the changing nature of </w:t>
      </w:r>
      <w:r w:rsidR="00C11018" w:rsidRPr="00FF7E74">
        <w:rPr>
          <w:rFonts w:ascii="Arial" w:hAnsi="Arial" w:cs="Arial"/>
          <w:sz w:val="20"/>
        </w:rPr>
        <w:t xml:space="preserve">child </w:t>
      </w:r>
      <w:r w:rsidRPr="00FF7E74">
        <w:rPr>
          <w:rFonts w:ascii="Arial" w:hAnsi="Arial" w:cs="Arial"/>
          <w:sz w:val="20"/>
        </w:rPr>
        <w:t>identification issues</w:t>
      </w:r>
      <w:r w:rsidR="00FB2EF5" w:rsidRPr="00FF7E74">
        <w:rPr>
          <w:rFonts w:ascii="Arial" w:hAnsi="Arial" w:cs="Arial"/>
          <w:sz w:val="20"/>
        </w:rPr>
        <w:t xml:space="preserve">, and applies particularly to the issue of pre-charge naming. </w:t>
      </w:r>
    </w:p>
    <w:p w14:paraId="2B560B6D" w14:textId="214F6C5A" w:rsidR="002C61C2" w:rsidRPr="00FF7E74" w:rsidRDefault="002C61C2" w:rsidP="00454D0C">
      <w:pPr>
        <w:ind w:left="-426" w:right="-448"/>
        <w:rPr>
          <w:rFonts w:ascii="Arial" w:hAnsi="Arial" w:cs="Arial"/>
          <w:sz w:val="20"/>
        </w:rPr>
      </w:pPr>
      <w:r w:rsidRPr="00FF7E74">
        <w:rPr>
          <w:rFonts w:ascii="Arial" w:hAnsi="Arial" w:cs="Arial"/>
          <w:b/>
          <w:sz w:val="20"/>
        </w:rPr>
        <w:lastRenderedPageBreak/>
        <w:t>Criminal records</w:t>
      </w:r>
      <w:r w:rsidRPr="00FF7E74">
        <w:rPr>
          <w:rFonts w:ascii="Arial" w:hAnsi="Arial" w:cs="Arial"/>
          <w:sz w:val="20"/>
        </w:rPr>
        <w:t xml:space="preserve"> </w:t>
      </w:r>
      <w:r w:rsidR="00353ADD" w:rsidRPr="00FF7E74">
        <w:rPr>
          <w:rFonts w:ascii="Arial" w:hAnsi="Arial" w:cs="Arial"/>
          <w:sz w:val="20"/>
        </w:rPr>
        <w:br/>
      </w:r>
      <w:r w:rsidR="00D85D20" w:rsidRPr="00FF7E74">
        <w:rPr>
          <w:rFonts w:ascii="Arial" w:hAnsi="Arial" w:cs="Arial"/>
          <w:sz w:val="20"/>
        </w:rPr>
        <w:t xml:space="preserve">The childhood criminal record system in </w:t>
      </w:r>
      <w:r w:rsidRPr="00FF7E74">
        <w:rPr>
          <w:rFonts w:ascii="Arial" w:hAnsi="Arial" w:cs="Arial"/>
          <w:sz w:val="20"/>
        </w:rPr>
        <w:t xml:space="preserve">England and Wales </w:t>
      </w:r>
      <w:r w:rsidR="00D85D20" w:rsidRPr="00FF7E74">
        <w:rPr>
          <w:rFonts w:ascii="Arial" w:hAnsi="Arial" w:cs="Arial"/>
          <w:sz w:val="20"/>
        </w:rPr>
        <w:t>remains</w:t>
      </w:r>
      <w:r w:rsidRPr="00FF7E74">
        <w:rPr>
          <w:rFonts w:ascii="Arial" w:hAnsi="Arial" w:cs="Arial"/>
          <w:sz w:val="20"/>
        </w:rPr>
        <w:t xml:space="preserve"> overly punitive and disproportionate</w:t>
      </w:r>
      <w:r w:rsidR="00D85D20" w:rsidRPr="00FF7E74">
        <w:rPr>
          <w:rFonts w:ascii="Arial" w:hAnsi="Arial" w:cs="Arial"/>
          <w:sz w:val="20"/>
        </w:rPr>
        <w:t>, acting as a barrier to rehabilitation and reintegration</w:t>
      </w:r>
      <w:r w:rsidRPr="00FF7E74">
        <w:rPr>
          <w:rFonts w:ascii="Arial" w:hAnsi="Arial" w:cs="Arial"/>
          <w:sz w:val="20"/>
        </w:rPr>
        <w:t>. Records are not erased upon turning 18</w:t>
      </w:r>
      <w:r w:rsidR="00D85D20" w:rsidRPr="00FF7E74">
        <w:rPr>
          <w:rFonts w:ascii="Arial" w:hAnsi="Arial" w:cs="Arial"/>
          <w:sz w:val="20"/>
        </w:rPr>
        <w:t>, and even minor convictions, cautions or police intelligence can be disclosed for life on certain criminal record checks</w:t>
      </w:r>
      <w:r w:rsidRPr="00FF7E74">
        <w:rPr>
          <w:rFonts w:ascii="Arial" w:hAnsi="Arial" w:cs="Arial"/>
          <w:sz w:val="20"/>
        </w:rPr>
        <w:t xml:space="preserve">. </w:t>
      </w:r>
      <w:r w:rsidR="00EE6206" w:rsidRPr="00FF7E74">
        <w:rPr>
          <w:rFonts w:ascii="Arial" w:hAnsi="Arial" w:cs="Arial"/>
          <w:sz w:val="20"/>
        </w:rPr>
        <w:t>While ther</w:t>
      </w:r>
      <w:r w:rsidR="006168AA" w:rsidRPr="00FF7E74">
        <w:rPr>
          <w:rFonts w:ascii="Arial" w:hAnsi="Arial" w:cs="Arial"/>
          <w:sz w:val="20"/>
        </w:rPr>
        <w:t>e</w:t>
      </w:r>
      <w:r w:rsidRPr="00FF7E74">
        <w:rPr>
          <w:rFonts w:ascii="Arial" w:hAnsi="Arial" w:cs="Arial"/>
          <w:sz w:val="20"/>
        </w:rPr>
        <w:t xml:space="preserve"> are mentions of criminal records in the general comment</w:t>
      </w:r>
      <w:r w:rsidR="00EE6206" w:rsidRPr="00FF7E74">
        <w:rPr>
          <w:rFonts w:ascii="Arial" w:hAnsi="Arial" w:cs="Arial"/>
          <w:sz w:val="20"/>
        </w:rPr>
        <w:t xml:space="preserve"> </w:t>
      </w:r>
      <w:r w:rsidR="006168AA" w:rsidRPr="00FF7E74">
        <w:rPr>
          <w:rFonts w:ascii="Arial" w:hAnsi="Arial" w:cs="Arial"/>
          <w:sz w:val="20"/>
        </w:rPr>
        <w:t xml:space="preserve">that we welcome </w:t>
      </w:r>
      <w:r w:rsidR="00EE6206" w:rsidRPr="00FF7E74">
        <w:rPr>
          <w:rFonts w:ascii="Arial" w:hAnsi="Arial" w:cs="Arial"/>
          <w:sz w:val="20"/>
        </w:rPr>
        <w:t>(</w:t>
      </w:r>
      <w:r w:rsidRPr="00FF7E74">
        <w:rPr>
          <w:rFonts w:ascii="Arial" w:hAnsi="Arial" w:cs="Arial"/>
          <w:sz w:val="20"/>
        </w:rPr>
        <w:t>for example para</w:t>
      </w:r>
      <w:r w:rsidR="008A3313" w:rsidRPr="00FF7E74">
        <w:rPr>
          <w:rFonts w:ascii="Arial" w:hAnsi="Arial" w:cs="Arial"/>
          <w:sz w:val="20"/>
        </w:rPr>
        <w:t>graph</w:t>
      </w:r>
      <w:r w:rsidRPr="00FF7E74">
        <w:rPr>
          <w:rFonts w:ascii="Arial" w:hAnsi="Arial" w:cs="Arial"/>
          <w:sz w:val="20"/>
        </w:rPr>
        <w:t xml:space="preserve"> 80</w:t>
      </w:r>
      <w:r w:rsidR="00EE6206" w:rsidRPr="00FF7E74">
        <w:rPr>
          <w:rFonts w:ascii="Arial" w:hAnsi="Arial" w:cs="Arial"/>
          <w:sz w:val="20"/>
        </w:rPr>
        <w:t>),</w:t>
      </w:r>
      <w:r w:rsidRPr="00FF7E74">
        <w:rPr>
          <w:rFonts w:ascii="Arial" w:hAnsi="Arial" w:cs="Arial"/>
          <w:sz w:val="20"/>
        </w:rPr>
        <w:t xml:space="preserve"> we would </w:t>
      </w:r>
      <w:r w:rsidR="00EE6206" w:rsidRPr="00FF7E74">
        <w:rPr>
          <w:rFonts w:ascii="Arial" w:hAnsi="Arial" w:cs="Arial"/>
          <w:sz w:val="20"/>
        </w:rPr>
        <w:t>encourage</w:t>
      </w:r>
      <w:r w:rsidRPr="00FF7E74">
        <w:rPr>
          <w:rFonts w:ascii="Arial" w:hAnsi="Arial" w:cs="Arial"/>
          <w:sz w:val="20"/>
        </w:rPr>
        <w:t xml:space="preserve"> an expansion on th</w:t>
      </w:r>
      <w:r w:rsidR="006168AA" w:rsidRPr="00FF7E74">
        <w:rPr>
          <w:rFonts w:ascii="Arial" w:hAnsi="Arial" w:cs="Arial"/>
          <w:sz w:val="20"/>
        </w:rPr>
        <w:t>e issue</w:t>
      </w:r>
      <w:r w:rsidRPr="00FF7E74">
        <w:rPr>
          <w:rFonts w:ascii="Arial" w:hAnsi="Arial" w:cs="Arial"/>
          <w:sz w:val="20"/>
        </w:rPr>
        <w:t xml:space="preserve"> here and throughout, </w:t>
      </w:r>
      <w:r w:rsidR="006168AA" w:rsidRPr="00FF7E74">
        <w:rPr>
          <w:rFonts w:ascii="Arial" w:hAnsi="Arial" w:cs="Arial"/>
          <w:sz w:val="20"/>
        </w:rPr>
        <w:t>with</w:t>
      </w:r>
      <w:r w:rsidRPr="00FF7E74">
        <w:rPr>
          <w:rFonts w:ascii="Arial" w:hAnsi="Arial" w:cs="Arial"/>
          <w:sz w:val="20"/>
        </w:rPr>
        <w:t xml:space="preserve"> an increased emphasis on how </w:t>
      </w:r>
      <w:r w:rsidR="006168AA" w:rsidRPr="00FF7E74">
        <w:rPr>
          <w:rFonts w:ascii="Arial" w:hAnsi="Arial" w:cs="Arial"/>
          <w:sz w:val="20"/>
        </w:rPr>
        <w:t xml:space="preserve">criminal record </w:t>
      </w:r>
      <w:r w:rsidRPr="00FF7E74">
        <w:rPr>
          <w:rFonts w:ascii="Arial" w:hAnsi="Arial" w:cs="Arial"/>
          <w:sz w:val="20"/>
        </w:rPr>
        <w:t xml:space="preserve">systems can stand in the way of rehabilitation and therefore </w:t>
      </w:r>
      <w:r w:rsidR="00A73C12" w:rsidRPr="00FF7E74">
        <w:rPr>
          <w:rFonts w:ascii="Arial" w:hAnsi="Arial" w:cs="Arial"/>
          <w:sz w:val="20"/>
        </w:rPr>
        <w:t>a child’</w:t>
      </w:r>
      <w:r w:rsidRPr="00FF7E74">
        <w:rPr>
          <w:rFonts w:ascii="Arial" w:hAnsi="Arial" w:cs="Arial"/>
          <w:sz w:val="20"/>
        </w:rPr>
        <w:t>s rights.</w:t>
      </w:r>
      <w:r w:rsidR="00A73C12" w:rsidRPr="00FF7E74">
        <w:rPr>
          <w:rFonts w:ascii="Arial" w:hAnsi="Arial" w:cs="Arial"/>
          <w:sz w:val="20"/>
        </w:rPr>
        <w:t xml:space="preserve"> For example:</w:t>
      </w:r>
    </w:p>
    <w:p w14:paraId="1F011E68" w14:textId="0E431EA0" w:rsidR="002C61C2" w:rsidRPr="00FF7E74" w:rsidRDefault="00A73C12" w:rsidP="00454D0C">
      <w:pPr>
        <w:ind w:left="-426" w:right="-448"/>
        <w:rPr>
          <w:rFonts w:ascii="Arial" w:hAnsi="Arial" w:cs="Arial"/>
          <w:sz w:val="20"/>
        </w:rPr>
      </w:pPr>
      <w:r w:rsidRPr="00FF7E74">
        <w:rPr>
          <w:rFonts w:ascii="Arial" w:hAnsi="Arial" w:cs="Arial"/>
          <w:sz w:val="20"/>
        </w:rPr>
        <w:t>Paragraph 9 (P</w:t>
      </w:r>
      <w:r w:rsidR="002C61C2" w:rsidRPr="00FF7E74">
        <w:rPr>
          <w:rFonts w:ascii="Arial" w:hAnsi="Arial" w:cs="Arial"/>
          <w:sz w:val="20"/>
        </w:rPr>
        <w:t>art IV</w:t>
      </w:r>
      <w:r w:rsidRPr="00FF7E74">
        <w:rPr>
          <w:rFonts w:ascii="Arial" w:hAnsi="Arial" w:cs="Arial"/>
          <w:sz w:val="20"/>
        </w:rPr>
        <w:t>)</w:t>
      </w:r>
      <w:r w:rsidR="002C61C2" w:rsidRPr="00FF7E74">
        <w:rPr>
          <w:rFonts w:ascii="Arial" w:hAnsi="Arial" w:cs="Arial"/>
          <w:sz w:val="20"/>
        </w:rPr>
        <w:t xml:space="preserve"> refers to education</w:t>
      </w:r>
      <w:r w:rsidRPr="00FF7E74">
        <w:rPr>
          <w:rFonts w:ascii="Arial" w:hAnsi="Arial" w:cs="Arial"/>
          <w:sz w:val="20"/>
        </w:rPr>
        <w:t xml:space="preserve"> and </w:t>
      </w:r>
      <w:r w:rsidR="002C61C2" w:rsidRPr="00FF7E74">
        <w:rPr>
          <w:rFonts w:ascii="Arial" w:hAnsi="Arial" w:cs="Arial"/>
          <w:sz w:val="20"/>
        </w:rPr>
        <w:t xml:space="preserve">labour market discrimination, and the importance of </w:t>
      </w:r>
      <w:r w:rsidR="00556EDD" w:rsidRPr="00FF7E74">
        <w:rPr>
          <w:rFonts w:ascii="Arial" w:hAnsi="Arial" w:cs="Arial"/>
          <w:sz w:val="20"/>
        </w:rPr>
        <w:t xml:space="preserve">States parties </w:t>
      </w:r>
      <w:r w:rsidR="00633376" w:rsidRPr="00FF7E74">
        <w:rPr>
          <w:rFonts w:ascii="Arial" w:hAnsi="Arial" w:cs="Arial"/>
          <w:sz w:val="20"/>
        </w:rPr>
        <w:t>taking steps</w:t>
      </w:r>
      <w:r w:rsidR="00C12099" w:rsidRPr="00FF7E74">
        <w:rPr>
          <w:rFonts w:ascii="Arial" w:hAnsi="Arial" w:cs="Arial"/>
          <w:sz w:val="20"/>
        </w:rPr>
        <w:t xml:space="preserve"> to prevent this</w:t>
      </w:r>
      <w:r w:rsidR="00633376" w:rsidRPr="00FF7E74">
        <w:rPr>
          <w:rFonts w:ascii="Arial" w:hAnsi="Arial" w:cs="Arial"/>
          <w:sz w:val="20"/>
        </w:rPr>
        <w:t>, such as public campaigns and support services</w:t>
      </w:r>
      <w:r w:rsidR="002C61C2" w:rsidRPr="00FF7E74">
        <w:rPr>
          <w:rFonts w:ascii="Arial" w:hAnsi="Arial" w:cs="Arial"/>
          <w:sz w:val="20"/>
        </w:rPr>
        <w:t xml:space="preserve">. </w:t>
      </w:r>
      <w:r w:rsidR="001E72FD" w:rsidRPr="00FF7E74">
        <w:rPr>
          <w:rFonts w:ascii="Arial" w:hAnsi="Arial" w:cs="Arial"/>
          <w:sz w:val="20"/>
        </w:rPr>
        <w:t>T</w:t>
      </w:r>
      <w:r w:rsidR="002C61C2" w:rsidRPr="00FF7E74">
        <w:rPr>
          <w:rFonts w:ascii="Arial" w:hAnsi="Arial" w:cs="Arial"/>
          <w:sz w:val="20"/>
        </w:rPr>
        <w:t xml:space="preserve">o prevent </w:t>
      </w:r>
      <w:r w:rsidR="00C12099" w:rsidRPr="00FF7E74">
        <w:rPr>
          <w:rFonts w:ascii="Arial" w:hAnsi="Arial" w:cs="Arial"/>
          <w:sz w:val="20"/>
        </w:rPr>
        <w:t xml:space="preserve">such </w:t>
      </w:r>
      <w:r w:rsidR="002C61C2" w:rsidRPr="00FF7E74">
        <w:rPr>
          <w:rFonts w:ascii="Arial" w:hAnsi="Arial" w:cs="Arial"/>
          <w:sz w:val="20"/>
        </w:rPr>
        <w:t>discrimination it is also vital t</w:t>
      </w:r>
      <w:r w:rsidR="003B321F" w:rsidRPr="00FF7E74">
        <w:rPr>
          <w:rFonts w:ascii="Arial" w:hAnsi="Arial" w:cs="Arial"/>
          <w:sz w:val="20"/>
        </w:rPr>
        <w:t>hat States parties</w:t>
      </w:r>
      <w:r w:rsidR="002C61C2" w:rsidRPr="00FF7E74">
        <w:rPr>
          <w:rFonts w:ascii="Arial" w:hAnsi="Arial" w:cs="Arial"/>
          <w:sz w:val="20"/>
        </w:rPr>
        <w:t xml:space="preserve"> have a criminal record system that </w:t>
      </w:r>
      <w:r w:rsidR="006340A5" w:rsidRPr="00FF7E74">
        <w:rPr>
          <w:rFonts w:ascii="Arial" w:hAnsi="Arial" w:cs="Arial"/>
          <w:sz w:val="20"/>
        </w:rPr>
        <w:t>is not overly punitive</w:t>
      </w:r>
      <w:r w:rsidR="00E44AA4" w:rsidRPr="00FF7E74">
        <w:rPr>
          <w:rFonts w:ascii="Arial" w:hAnsi="Arial" w:cs="Arial"/>
          <w:sz w:val="20"/>
        </w:rPr>
        <w:t xml:space="preserve"> and involving </w:t>
      </w:r>
      <w:r w:rsidR="006340A5" w:rsidRPr="00FF7E74">
        <w:rPr>
          <w:rFonts w:ascii="Arial" w:hAnsi="Arial" w:cs="Arial"/>
          <w:sz w:val="20"/>
        </w:rPr>
        <w:t xml:space="preserve">widespread disclosure. </w:t>
      </w:r>
    </w:p>
    <w:p w14:paraId="7187118F" w14:textId="629F4CB6" w:rsidR="00984927" w:rsidRPr="00FF7E74" w:rsidRDefault="00984927" w:rsidP="00454D0C">
      <w:pPr>
        <w:ind w:left="-426" w:right="-448"/>
        <w:rPr>
          <w:rFonts w:ascii="Arial" w:hAnsi="Arial" w:cs="Arial"/>
          <w:sz w:val="20"/>
        </w:rPr>
      </w:pPr>
      <w:r w:rsidRPr="00FF7E74">
        <w:rPr>
          <w:rFonts w:ascii="Arial" w:hAnsi="Arial" w:cs="Arial"/>
          <w:sz w:val="20"/>
        </w:rPr>
        <w:t xml:space="preserve">Paragraph 27 should emphasise that children be made aware when measures will </w:t>
      </w:r>
      <w:r w:rsidR="0089793B" w:rsidRPr="00FF7E74">
        <w:rPr>
          <w:rFonts w:ascii="Arial" w:hAnsi="Arial" w:cs="Arial"/>
          <w:sz w:val="20"/>
        </w:rPr>
        <w:t>result in</w:t>
      </w:r>
      <w:r w:rsidRPr="00FF7E74">
        <w:rPr>
          <w:rFonts w:ascii="Arial" w:hAnsi="Arial" w:cs="Arial"/>
          <w:sz w:val="20"/>
        </w:rPr>
        <w:t xml:space="preserve"> criminal records</w:t>
      </w:r>
      <w:r w:rsidR="0089793B" w:rsidRPr="00FF7E74">
        <w:rPr>
          <w:rFonts w:ascii="Arial" w:hAnsi="Arial" w:cs="Arial"/>
          <w:sz w:val="20"/>
        </w:rPr>
        <w:t xml:space="preserve">, and it should be specified in the final bullet point that the information should not be disclosed to third parties such as employers or education providers. </w:t>
      </w:r>
    </w:p>
    <w:p w14:paraId="08F82C0A" w14:textId="21BC0183" w:rsidR="002C61C2" w:rsidRPr="00FF7E74" w:rsidRDefault="002C61C2" w:rsidP="00454D0C">
      <w:pPr>
        <w:ind w:left="-426" w:right="-448"/>
        <w:rPr>
          <w:rFonts w:ascii="Arial" w:hAnsi="Arial" w:cs="Arial"/>
          <w:sz w:val="20"/>
        </w:rPr>
      </w:pPr>
      <w:r w:rsidRPr="00FF7E74">
        <w:rPr>
          <w:rFonts w:ascii="Arial" w:hAnsi="Arial" w:cs="Arial"/>
          <w:sz w:val="20"/>
        </w:rPr>
        <w:t>Para</w:t>
      </w:r>
      <w:r w:rsidR="00E44AA4" w:rsidRPr="00FF7E74">
        <w:rPr>
          <w:rFonts w:ascii="Arial" w:hAnsi="Arial" w:cs="Arial"/>
          <w:sz w:val="20"/>
        </w:rPr>
        <w:t>graph</w:t>
      </w:r>
      <w:r w:rsidRPr="00FF7E74">
        <w:rPr>
          <w:rFonts w:ascii="Arial" w:hAnsi="Arial" w:cs="Arial"/>
          <w:sz w:val="20"/>
        </w:rPr>
        <w:t xml:space="preserve"> 29</w:t>
      </w:r>
      <w:r w:rsidR="00E44AA4" w:rsidRPr="00FF7E74">
        <w:rPr>
          <w:rFonts w:ascii="Arial" w:hAnsi="Arial" w:cs="Arial"/>
          <w:sz w:val="20"/>
        </w:rPr>
        <w:t xml:space="preserve"> </w:t>
      </w:r>
      <w:r w:rsidRPr="00FF7E74">
        <w:rPr>
          <w:rFonts w:ascii="Arial" w:hAnsi="Arial" w:cs="Arial"/>
          <w:sz w:val="20"/>
        </w:rPr>
        <w:t>reminds parties that promoting reintegration requires children to be protected from stigmatisation. Criminal records could again be mentioned here.</w:t>
      </w:r>
    </w:p>
    <w:p w14:paraId="4B21CA95" w14:textId="1C1BCCA8" w:rsidR="00EB3861" w:rsidRDefault="00E744AA" w:rsidP="00454D0C">
      <w:pPr>
        <w:ind w:left="-426" w:right="-448"/>
        <w:rPr>
          <w:rFonts w:ascii="Arial" w:hAnsi="Arial" w:cs="Arial"/>
          <w:sz w:val="20"/>
        </w:rPr>
      </w:pPr>
      <w:r w:rsidRPr="00FF7E74">
        <w:rPr>
          <w:rFonts w:ascii="Arial" w:hAnsi="Arial" w:cs="Arial"/>
          <w:b/>
          <w:sz w:val="20"/>
        </w:rPr>
        <w:t>Children involved in crime as victims of</w:t>
      </w:r>
      <w:r w:rsidR="00984927" w:rsidRPr="00FF7E74">
        <w:rPr>
          <w:rFonts w:ascii="Arial" w:hAnsi="Arial" w:cs="Arial"/>
          <w:b/>
          <w:sz w:val="20"/>
        </w:rPr>
        <w:t xml:space="preserve"> exploitation</w:t>
      </w:r>
      <w:r w:rsidR="00353ADD" w:rsidRPr="00FF7E74">
        <w:rPr>
          <w:rFonts w:ascii="Arial" w:hAnsi="Arial" w:cs="Arial"/>
          <w:b/>
          <w:sz w:val="20"/>
        </w:rPr>
        <w:br/>
      </w:r>
      <w:r w:rsidRPr="00FF7E74">
        <w:rPr>
          <w:rFonts w:ascii="Arial" w:hAnsi="Arial" w:cs="Arial"/>
          <w:sz w:val="20"/>
        </w:rPr>
        <w:t>In section G the general comment discusses the importance of recognising children recruited by non-State armed groups, terrorist</w:t>
      </w:r>
      <w:r w:rsidR="00095A94" w:rsidRPr="00FF7E74">
        <w:rPr>
          <w:rFonts w:ascii="Arial" w:hAnsi="Arial" w:cs="Arial"/>
          <w:sz w:val="20"/>
        </w:rPr>
        <w:t>,</w:t>
      </w:r>
      <w:r w:rsidRPr="00FF7E74">
        <w:rPr>
          <w:rFonts w:ascii="Arial" w:hAnsi="Arial" w:cs="Arial"/>
          <w:sz w:val="20"/>
        </w:rPr>
        <w:t xml:space="preserve"> or violent extremist groups primarily as victims</w:t>
      </w:r>
      <w:r w:rsidR="00FD3140" w:rsidRPr="00FF7E74">
        <w:rPr>
          <w:rFonts w:ascii="Arial" w:hAnsi="Arial" w:cs="Arial"/>
          <w:sz w:val="20"/>
        </w:rPr>
        <w:t>,</w:t>
      </w:r>
      <w:r w:rsidRPr="00FF7E74">
        <w:rPr>
          <w:rFonts w:ascii="Arial" w:hAnsi="Arial" w:cs="Arial"/>
          <w:sz w:val="20"/>
        </w:rPr>
        <w:t xml:space="preserve"> and to therefore avoid punitive </w:t>
      </w:r>
      <w:r w:rsidR="00FD3140" w:rsidRPr="00FF7E74">
        <w:rPr>
          <w:rFonts w:ascii="Arial" w:hAnsi="Arial" w:cs="Arial"/>
          <w:sz w:val="20"/>
        </w:rPr>
        <w:t xml:space="preserve">criminal justice </w:t>
      </w:r>
      <w:r w:rsidRPr="00FF7E74">
        <w:rPr>
          <w:rFonts w:ascii="Arial" w:hAnsi="Arial" w:cs="Arial"/>
          <w:sz w:val="20"/>
        </w:rPr>
        <w:t xml:space="preserve">responses. We are aware of many children in the UK who are victims of criminal and sexual exploitation who </w:t>
      </w:r>
      <w:r w:rsidR="00A229D8" w:rsidRPr="00FF7E74">
        <w:rPr>
          <w:rFonts w:ascii="Arial" w:hAnsi="Arial" w:cs="Arial"/>
          <w:sz w:val="20"/>
        </w:rPr>
        <w:t>come into contact with</w:t>
      </w:r>
      <w:r w:rsidRPr="00FF7E74">
        <w:rPr>
          <w:rFonts w:ascii="Arial" w:hAnsi="Arial" w:cs="Arial"/>
          <w:sz w:val="20"/>
        </w:rPr>
        <w:t xml:space="preserve"> the law as a resul</w:t>
      </w:r>
      <w:r w:rsidR="006532F7" w:rsidRPr="00FF7E74">
        <w:rPr>
          <w:rFonts w:ascii="Arial" w:hAnsi="Arial" w:cs="Arial"/>
          <w:sz w:val="20"/>
        </w:rPr>
        <w:t>t</w:t>
      </w:r>
      <w:r w:rsidRPr="00FF7E74">
        <w:rPr>
          <w:rFonts w:ascii="Arial" w:hAnsi="Arial" w:cs="Arial"/>
          <w:sz w:val="20"/>
        </w:rPr>
        <w:t>. For example</w:t>
      </w:r>
      <w:r w:rsidR="00A229D8" w:rsidRPr="00FF7E74">
        <w:rPr>
          <w:rFonts w:ascii="Arial" w:hAnsi="Arial" w:cs="Arial"/>
          <w:sz w:val="20"/>
        </w:rPr>
        <w:t xml:space="preserve">, </w:t>
      </w:r>
      <w:r w:rsidR="00AB616B" w:rsidRPr="00FF7E74">
        <w:rPr>
          <w:rFonts w:ascii="Arial" w:hAnsi="Arial" w:cs="Arial"/>
          <w:sz w:val="20"/>
        </w:rPr>
        <w:t xml:space="preserve">a seemingly increasing number of </w:t>
      </w:r>
      <w:r w:rsidR="00A229D8" w:rsidRPr="00FF7E74">
        <w:rPr>
          <w:rFonts w:ascii="Arial" w:hAnsi="Arial" w:cs="Arial"/>
          <w:sz w:val="20"/>
        </w:rPr>
        <w:t>childr</w:t>
      </w:r>
      <w:r w:rsidR="00A136AE" w:rsidRPr="00FF7E74">
        <w:rPr>
          <w:rFonts w:ascii="Arial" w:hAnsi="Arial" w:cs="Arial"/>
          <w:sz w:val="20"/>
        </w:rPr>
        <w:t xml:space="preserve">en </w:t>
      </w:r>
      <w:r w:rsidR="00A229D8" w:rsidRPr="00FF7E74">
        <w:rPr>
          <w:rFonts w:ascii="Arial" w:hAnsi="Arial" w:cs="Arial"/>
          <w:sz w:val="20"/>
        </w:rPr>
        <w:t>are being criminally exploited by drug gangs</w:t>
      </w:r>
      <w:r w:rsidR="00B84EFE" w:rsidRPr="00FF7E74">
        <w:rPr>
          <w:rFonts w:ascii="Arial" w:hAnsi="Arial" w:cs="Arial"/>
          <w:sz w:val="20"/>
        </w:rPr>
        <w:t xml:space="preserve">, </w:t>
      </w:r>
      <w:r w:rsidRPr="00FF7E74">
        <w:rPr>
          <w:rFonts w:ascii="Arial" w:hAnsi="Arial" w:cs="Arial"/>
          <w:sz w:val="20"/>
        </w:rPr>
        <w:t>where</w:t>
      </w:r>
      <w:r w:rsidR="00A136AE" w:rsidRPr="00FF7E74">
        <w:rPr>
          <w:rFonts w:ascii="Arial" w:hAnsi="Arial" w:cs="Arial"/>
          <w:sz w:val="20"/>
        </w:rPr>
        <w:t xml:space="preserve"> they are</w:t>
      </w:r>
      <w:r w:rsidRPr="00FF7E74">
        <w:rPr>
          <w:rFonts w:ascii="Arial" w:hAnsi="Arial" w:cs="Arial"/>
          <w:sz w:val="20"/>
        </w:rPr>
        <w:t xml:space="preserve"> </w:t>
      </w:r>
      <w:r w:rsidR="00A136AE" w:rsidRPr="00FF7E74">
        <w:rPr>
          <w:rFonts w:ascii="Arial" w:hAnsi="Arial" w:cs="Arial"/>
          <w:sz w:val="20"/>
        </w:rPr>
        <w:t>often</w:t>
      </w:r>
      <w:r w:rsidRPr="00FF7E74">
        <w:rPr>
          <w:rFonts w:ascii="Arial" w:hAnsi="Arial" w:cs="Arial"/>
          <w:sz w:val="20"/>
        </w:rPr>
        <w:t xml:space="preserve"> trafficked </w:t>
      </w:r>
      <w:r w:rsidR="006532F7" w:rsidRPr="00FF7E74">
        <w:rPr>
          <w:rFonts w:ascii="Arial" w:hAnsi="Arial" w:cs="Arial"/>
          <w:sz w:val="20"/>
        </w:rPr>
        <w:t xml:space="preserve">across the country </w:t>
      </w:r>
      <w:r w:rsidRPr="00FF7E74">
        <w:rPr>
          <w:rFonts w:ascii="Arial" w:hAnsi="Arial" w:cs="Arial"/>
          <w:sz w:val="20"/>
        </w:rPr>
        <w:t xml:space="preserve">to </w:t>
      </w:r>
      <w:r w:rsidR="00A136AE" w:rsidRPr="00FF7E74">
        <w:rPr>
          <w:rFonts w:ascii="Arial" w:hAnsi="Arial" w:cs="Arial"/>
          <w:sz w:val="20"/>
        </w:rPr>
        <w:t xml:space="preserve">distribute </w:t>
      </w:r>
      <w:r w:rsidRPr="00FF7E74">
        <w:rPr>
          <w:rFonts w:ascii="Arial" w:hAnsi="Arial" w:cs="Arial"/>
          <w:sz w:val="20"/>
        </w:rPr>
        <w:t>and sell drugs. These children should also be recognised primarily as victims and therefore have appropriate measures put in place.</w:t>
      </w:r>
      <w:r w:rsidR="00EB3861" w:rsidRPr="00FF7E74">
        <w:rPr>
          <w:rFonts w:ascii="Arial" w:hAnsi="Arial" w:cs="Arial"/>
          <w:sz w:val="20"/>
        </w:rPr>
        <w:t xml:space="preserve"> </w:t>
      </w:r>
      <w:r w:rsidR="00627ECD" w:rsidRPr="00FF7E74">
        <w:rPr>
          <w:rFonts w:ascii="Arial" w:hAnsi="Arial" w:cs="Arial"/>
          <w:sz w:val="20"/>
        </w:rPr>
        <w:t xml:space="preserve">We would encourage the widening of </w:t>
      </w:r>
      <w:r w:rsidR="00A927CF" w:rsidRPr="00FF7E74">
        <w:rPr>
          <w:rFonts w:ascii="Arial" w:hAnsi="Arial" w:cs="Arial"/>
          <w:sz w:val="20"/>
        </w:rPr>
        <w:t>the mention of exploitation in the general comment,</w:t>
      </w:r>
      <w:r w:rsidR="00EB3861" w:rsidRPr="00FF7E74">
        <w:rPr>
          <w:rFonts w:ascii="Arial" w:hAnsi="Arial" w:cs="Arial"/>
          <w:sz w:val="20"/>
        </w:rPr>
        <w:t xml:space="preserve"> </w:t>
      </w:r>
      <w:r w:rsidR="0095156B" w:rsidRPr="00FF7E74">
        <w:rPr>
          <w:rFonts w:ascii="Arial" w:hAnsi="Arial" w:cs="Arial"/>
          <w:sz w:val="20"/>
        </w:rPr>
        <w:t xml:space="preserve">with consideration to </w:t>
      </w:r>
      <w:r w:rsidR="00A927CF" w:rsidRPr="00FF7E74">
        <w:rPr>
          <w:rFonts w:ascii="Arial" w:hAnsi="Arial" w:cs="Arial"/>
          <w:sz w:val="20"/>
        </w:rPr>
        <w:t>articles</w:t>
      </w:r>
      <w:r w:rsidR="00EB3861" w:rsidRPr="00FF7E74">
        <w:rPr>
          <w:rFonts w:ascii="Arial" w:hAnsi="Arial" w:cs="Arial"/>
          <w:sz w:val="20"/>
        </w:rPr>
        <w:t xml:space="preserve"> </w:t>
      </w:r>
      <w:r w:rsidR="004069C7" w:rsidRPr="00FF7E74">
        <w:rPr>
          <w:rFonts w:ascii="Arial" w:hAnsi="Arial" w:cs="Arial"/>
          <w:sz w:val="20"/>
        </w:rPr>
        <w:t xml:space="preserve">33, </w:t>
      </w:r>
      <w:r w:rsidR="00EB3861" w:rsidRPr="00FF7E74">
        <w:rPr>
          <w:rFonts w:ascii="Arial" w:hAnsi="Arial" w:cs="Arial"/>
          <w:sz w:val="20"/>
        </w:rPr>
        <w:t>35 and 36</w:t>
      </w:r>
      <w:r w:rsidR="00A927CF" w:rsidRPr="00FF7E74">
        <w:rPr>
          <w:rFonts w:ascii="Arial" w:hAnsi="Arial" w:cs="Arial"/>
          <w:sz w:val="20"/>
        </w:rPr>
        <w:t>.</w:t>
      </w:r>
    </w:p>
    <w:p w14:paraId="4561B8C7" w14:textId="693B723C" w:rsidR="008A7CD7" w:rsidRPr="008A7CD7" w:rsidRDefault="008A7CD7" w:rsidP="00454D0C">
      <w:pPr>
        <w:ind w:left="-426" w:right="-448"/>
        <w:rPr>
          <w:rFonts w:ascii="Arial" w:hAnsi="Arial" w:cs="Arial"/>
          <w:sz w:val="20"/>
        </w:rPr>
      </w:pPr>
      <w:r>
        <w:rPr>
          <w:rFonts w:ascii="Arial" w:hAnsi="Arial" w:cs="Arial"/>
          <w:sz w:val="20"/>
        </w:rPr>
        <w:t xml:space="preserve">Section G could also mention that children should not be placed at risk by being used as covert human intelligence sources. </w:t>
      </w:r>
    </w:p>
    <w:p w14:paraId="3A6EBF87" w14:textId="4AA68192" w:rsidR="00292191" w:rsidRPr="00FF7E74" w:rsidRDefault="008B6F9A" w:rsidP="00454D0C">
      <w:pPr>
        <w:ind w:left="-426" w:right="-448"/>
        <w:rPr>
          <w:rFonts w:ascii="Arial" w:hAnsi="Arial" w:cs="Arial"/>
          <w:b/>
          <w:sz w:val="20"/>
        </w:rPr>
      </w:pPr>
      <w:r w:rsidRPr="00FF7E74">
        <w:rPr>
          <w:rFonts w:ascii="Arial" w:hAnsi="Arial" w:cs="Arial"/>
          <w:b/>
          <w:sz w:val="20"/>
        </w:rPr>
        <w:t>Turning 18</w:t>
      </w:r>
      <w:r w:rsidR="00353ADD" w:rsidRPr="00FF7E74">
        <w:rPr>
          <w:rFonts w:ascii="Arial" w:hAnsi="Arial" w:cs="Arial"/>
          <w:b/>
          <w:sz w:val="20"/>
        </w:rPr>
        <w:br/>
      </w:r>
      <w:r w:rsidR="00292191" w:rsidRPr="00FF7E74">
        <w:rPr>
          <w:rFonts w:ascii="Arial" w:hAnsi="Arial" w:cs="Arial"/>
          <w:sz w:val="20"/>
        </w:rPr>
        <w:t xml:space="preserve">We </w:t>
      </w:r>
      <w:r w:rsidR="002E0F09" w:rsidRPr="00FF7E74">
        <w:rPr>
          <w:rFonts w:ascii="Arial" w:hAnsi="Arial" w:cs="Arial"/>
          <w:sz w:val="20"/>
        </w:rPr>
        <w:t>support</w:t>
      </w:r>
      <w:r w:rsidR="00292191" w:rsidRPr="00FF7E74">
        <w:rPr>
          <w:rFonts w:ascii="Arial" w:hAnsi="Arial" w:cs="Arial"/>
          <w:sz w:val="20"/>
        </w:rPr>
        <w:t xml:space="preserve"> the new emphasis in paragraph 41 that children who turn 18 between the time of their offence and the offence being dealt with should be dealt with by the youth justice system. We would recommend that a sentence is added here </w:t>
      </w:r>
      <w:r w:rsidR="009E1E60" w:rsidRPr="00FF7E74">
        <w:rPr>
          <w:rFonts w:ascii="Arial" w:hAnsi="Arial" w:cs="Arial"/>
          <w:sz w:val="20"/>
        </w:rPr>
        <w:t>specifying</w:t>
      </w:r>
      <w:r w:rsidR="00292191" w:rsidRPr="00FF7E74">
        <w:rPr>
          <w:rFonts w:ascii="Arial" w:hAnsi="Arial" w:cs="Arial"/>
          <w:sz w:val="20"/>
        </w:rPr>
        <w:t xml:space="preserve"> that this should include provisions around criminal records, as we know in England and Wales that this is not currently </w:t>
      </w:r>
      <w:r w:rsidR="00A11AFB" w:rsidRPr="00FF7E74">
        <w:rPr>
          <w:rFonts w:ascii="Arial" w:hAnsi="Arial" w:cs="Arial"/>
          <w:sz w:val="20"/>
        </w:rPr>
        <w:t xml:space="preserve">how criminal records are treated. </w:t>
      </w:r>
    </w:p>
    <w:p w14:paraId="092959C8" w14:textId="44D33397" w:rsidR="00C2539E" w:rsidRDefault="000E7035" w:rsidP="00454D0C">
      <w:pPr>
        <w:ind w:left="-426" w:right="-448"/>
        <w:rPr>
          <w:rFonts w:ascii="Arial" w:hAnsi="Arial" w:cs="Arial"/>
          <w:sz w:val="20"/>
        </w:rPr>
      </w:pPr>
      <w:r w:rsidRPr="00FF7E74">
        <w:rPr>
          <w:rFonts w:ascii="Arial" w:hAnsi="Arial" w:cs="Arial"/>
          <w:sz w:val="20"/>
        </w:rPr>
        <w:t>We welcome para</w:t>
      </w:r>
      <w:r w:rsidR="00877DBD" w:rsidRPr="00FF7E74">
        <w:rPr>
          <w:rFonts w:ascii="Arial" w:hAnsi="Arial" w:cs="Arial"/>
          <w:sz w:val="20"/>
        </w:rPr>
        <w:t>g</w:t>
      </w:r>
      <w:r w:rsidR="009E1E60" w:rsidRPr="00FF7E74">
        <w:rPr>
          <w:rFonts w:ascii="Arial" w:hAnsi="Arial" w:cs="Arial"/>
          <w:sz w:val="20"/>
        </w:rPr>
        <w:t>raph</w:t>
      </w:r>
      <w:r w:rsidRPr="00FF7E74">
        <w:rPr>
          <w:rFonts w:ascii="Arial" w:hAnsi="Arial" w:cs="Arial"/>
          <w:sz w:val="20"/>
        </w:rPr>
        <w:t xml:space="preserve"> 46, which expands recommendations around keeping children in conflict with the law who turn 18 in programmes and conditions that suit their age, maturity and needs, rather than being moved to adult programmes and centres. </w:t>
      </w:r>
      <w:r w:rsidR="004E4AC6">
        <w:rPr>
          <w:rFonts w:ascii="Arial" w:hAnsi="Arial" w:cs="Arial"/>
          <w:sz w:val="20"/>
        </w:rPr>
        <w:t>It should</w:t>
      </w:r>
      <w:r w:rsidR="00175876">
        <w:rPr>
          <w:rFonts w:ascii="Arial" w:hAnsi="Arial" w:cs="Arial"/>
          <w:sz w:val="20"/>
        </w:rPr>
        <w:t xml:space="preserve"> however also</w:t>
      </w:r>
      <w:r w:rsidR="004E4AC6">
        <w:rPr>
          <w:rFonts w:ascii="Arial" w:hAnsi="Arial" w:cs="Arial"/>
          <w:sz w:val="20"/>
        </w:rPr>
        <w:t xml:space="preserve"> be made clear that young adults should be kept separately to children. </w:t>
      </w:r>
      <w:r w:rsidR="00984927" w:rsidRPr="00FF7E74">
        <w:rPr>
          <w:rFonts w:ascii="Arial" w:hAnsi="Arial" w:cs="Arial"/>
          <w:sz w:val="20"/>
        </w:rPr>
        <w:t>It should</w:t>
      </w:r>
      <w:r w:rsidR="004E4AC6">
        <w:rPr>
          <w:rFonts w:ascii="Arial" w:hAnsi="Arial" w:cs="Arial"/>
          <w:sz w:val="20"/>
        </w:rPr>
        <w:t xml:space="preserve"> </w:t>
      </w:r>
      <w:r w:rsidR="00984927" w:rsidRPr="00FF7E74">
        <w:rPr>
          <w:rFonts w:ascii="Arial" w:hAnsi="Arial" w:cs="Arial"/>
          <w:sz w:val="20"/>
        </w:rPr>
        <w:t xml:space="preserve">be specified that wherever possible, children should be released before any transfer to adult centres – and where a transfer is unavoidable it should be carefully planned. </w:t>
      </w:r>
      <w:r w:rsidRPr="00FF7E74">
        <w:rPr>
          <w:rFonts w:ascii="Arial" w:hAnsi="Arial" w:cs="Arial"/>
          <w:sz w:val="20"/>
        </w:rPr>
        <w:t>We also welcome para</w:t>
      </w:r>
      <w:r w:rsidR="00877DBD" w:rsidRPr="00FF7E74">
        <w:rPr>
          <w:rFonts w:ascii="Arial" w:hAnsi="Arial" w:cs="Arial"/>
          <w:sz w:val="20"/>
        </w:rPr>
        <w:t>graphs</w:t>
      </w:r>
      <w:r w:rsidRPr="00FF7E74">
        <w:rPr>
          <w:rFonts w:ascii="Arial" w:hAnsi="Arial" w:cs="Arial"/>
          <w:sz w:val="20"/>
        </w:rPr>
        <w:t xml:space="preserve"> 47 – 48 on similar matters. </w:t>
      </w:r>
      <w:r w:rsidR="008A7CD7">
        <w:rPr>
          <w:rFonts w:ascii="Arial" w:hAnsi="Arial" w:cs="Arial"/>
          <w:sz w:val="20"/>
        </w:rPr>
        <w:t>For more information and evidence on transitions and the needs of young adults, see T2A, the Transition to Adulthood alliance.</w:t>
      </w:r>
      <w:r w:rsidR="008A7CD7">
        <w:rPr>
          <w:rStyle w:val="FootnoteReference"/>
          <w:rFonts w:ascii="Arial" w:hAnsi="Arial" w:cs="Arial"/>
          <w:sz w:val="20"/>
        </w:rPr>
        <w:footnoteReference w:id="11"/>
      </w:r>
    </w:p>
    <w:p w14:paraId="22D36EB7" w14:textId="3131D2BE" w:rsidR="00431ABA" w:rsidRPr="009970C3" w:rsidRDefault="00AB6D95" w:rsidP="00454D0C">
      <w:pPr>
        <w:ind w:left="-426" w:right="-448"/>
        <w:rPr>
          <w:rFonts w:ascii="Arial" w:hAnsi="Arial" w:cs="Arial"/>
          <w:b/>
          <w:sz w:val="20"/>
        </w:rPr>
      </w:pPr>
      <w:r>
        <w:rPr>
          <w:rFonts w:ascii="Arial" w:hAnsi="Arial" w:cs="Arial"/>
          <w:b/>
          <w:sz w:val="20"/>
        </w:rPr>
        <w:t>Police</w:t>
      </w:r>
      <w:r w:rsidR="009970C3">
        <w:rPr>
          <w:rFonts w:ascii="Arial" w:hAnsi="Arial" w:cs="Arial"/>
          <w:b/>
          <w:sz w:val="20"/>
        </w:rPr>
        <w:br/>
      </w:r>
      <w:r>
        <w:rPr>
          <w:rFonts w:ascii="Arial" w:hAnsi="Arial" w:cs="Arial"/>
          <w:sz w:val="20"/>
        </w:rPr>
        <w:t>There is very little mention throughout the comment on the treatment of c</w:t>
      </w:r>
      <w:bookmarkStart w:id="0" w:name="_GoBack"/>
      <w:bookmarkEnd w:id="0"/>
      <w:r>
        <w:rPr>
          <w:rFonts w:ascii="Arial" w:hAnsi="Arial" w:cs="Arial"/>
          <w:sz w:val="20"/>
        </w:rPr>
        <w:t xml:space="preserve">hildren by the police, including on arrests, detention in police cells, and use of force such as </w:t>
      </w:r>
      <w:proofErr w:type="spellStart"/>
      <w:r>
        <w:rPr>
          <w:rFonts w:ascii="Arial" w:hAnsi="Arial" w:cs="Arial"/>
          <w:sz w:val="20"/>
        </w:rPr>
        <w:t>Spithoods</w:t>
      </w:r>
      <w:proofErr w:type="spellEnd"/>
      <w:r w:rsidR="00E67F8E">
        <w:rPr>
          <w:rFonts w:ascii="Arial" w:hAnsi="Arial" w:cs="Arial"/>
          <w:sz w:val="20"/>
        </w:rPr>
        <w:t>, strip-searching, and Tasers. Given the frequency of violence towards children by police, w</w:t>
      </w:r>
      <w:r>
        <w:rPr>
          <w:rFonts w:ascii="Arial" w:hAnsi="Arial" w:cs="Arial"/>
          <w:sz w:val="20"/>
        </w:rPr>
        <w:t>e would welcome more detail on such matter</w:t>
      </w:r>
      <w:r w:rsidR="00E67F8E">
        <w:rPr>
          <w:rFonts w:ascii="Arial" w:hAnsi="Arial" w:cs="Arial"/>
          <w:sz w:val="20"/>
        </w:rPr>
        <w:t>s, in relation to article 19.</w:t>
      </w:r>
    </w:p>
    <w:p w14:paraId="1E21C42D" w14:textId="5E870300" w:rsidR="00E67F8E" w:rsidRPr="00E67F8E" w:rsidRDefault="00E67F8E" w:rsidP="00454D0C">
      <w:pPr>
        <w:ind w:left="-426" w:right="-448"/>
        <w:rPr>
          <w:rFonts w:ascii="Arial" w:hAnsi="Arial" w:cs="Arial"/>
          <w:sz w:val="20"/>
        </w:rPr>
      </w:pPr>
      <w:r w:rsidRPr="00FF7E74">
        <w:rPr>
          <w:rFonts w:ascii="Arial" w:hAnsi="Arial" w:cs="Arial"/>
          <w:b/>
          <w:sz w:val="20"/>
        </w:rPr>
        <w:t>Monitoring</w:t>
      </w:r>
      <w:r>
        <w:rPr>
          <w:rFonts w:ascii="Arial" w:hAnsi="Arial" w:cs="Arial"/>
          <w:b/>
          <w:sz w:val="20"/>
        </w:rPr>
        <w:t xml:space="preserve"> and data</w:t>
      </w:r>
      <w:r w:rsidRPr="00FF7E74">
        <w:rPr>
          <w:rFonts w:ascii="Arial" w:hAnsi="Arial" w:cs="Arial"/>
          <w:b/>
          <w:sz w:val="20"/>
        </w:rPr>
        <w:br/>
      </w:r>
      <w:r w:rsidRPr="00FF7E74">
        <w:rPr>
          <w:rFonts w:ascii="Arial" w:hAnsi="Arial" w:cs="Arial"/>
          <w:sz w:val="20"/>
        </w:rPr>
        <w:t>We welcome the addition in paragraph 17 of monitoring as a core element of a comprehensive child justice policy. In accordance with this, we are pleased to see the additional section on monitoring (paragraphs 93 – 94)</w:t>
      </w:r>
      <w:r>
        <w:rPr>
          <w:rFonts w:ascii="Arial" w:hAnsi="Arial" w:cs="Arial"/>
          <w:sz w:val="20"/>
        </w:rPr>
        <w:t xml:space="preserve">. However, there is not enough detail provided in this section, for example it does not make specific mention of monitoring discrimination, treatment in detention and other issues. We would also welcome more disaggregated data that allows more complete scrutiny of child justice, such as race and age. We suggest that the requirement for monitoring and data collection is added throughout the comment wherever scrutiny and oversight would be beneficial.  </w:t>
      </w:r>
    </w:p>
    <w:sectPr w:rsidR="00E67F8E" w:rsidRPr="00E67F8E" w:rsidSect="00541B8A">
      <w:headerReference w:type="first" r:id="rId11"/>
      <w:footerReference w:type="first" r:id="rId12"/>
      <w:pgSz w:w="11906" w:h="16838"/>
      <w:pgMar w:top="785" w:right="1416" w:bottom="567" w:left="1440" w:header="708"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94DA6" w14:textId="77777777" w:rsidR="008A06BC" w:rsidRDefault="008A06BC" w:rsidP="007B5803">
      <w:pPr>
        <w:spacing w:after="0" w:line="240" w:lineRule="auto"/>
      </w:pPr>
      <w:r>
        <w:separator/>
      </w:r>
    </w:p>
  </w:endnote>
  <w:endnote w:type="continuationSeparator" w:id="0">
    <w:p w14:paraId="0ADB9C2C" w14:textId="77777777" w:rsidR="008A06BC" w:rsidRDefault="008A06BC" w:rsidP="007B5803">
      <w:pPr>
        <w:spacing w:after="0" w:line="240" w:lineRule="auto"/>
      </w:pPr>
      <w:r>
        <w:continuationSeparator/>
      </w:r>
    </w:p>
  </w:endnote>
  <w:endnote w:type="continuationNotice" w:id="1">
    <w:p w14:paraId="5DCA79C9" w14:textId="77777777" w:rsidR="008A06BC" w:rsidRDefault="008A06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Univers 55">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3E0E" w14:textId="691A08AC" w:rsidR="001074B8" w:rsidRDefault="001074B8" w:rsidP="001074B8">
    <w:pPr>
      <w:rPr>
        <w:rFonts w:ascii="Univers 55" w:hAnsi="Univers 55"/>
      </w:rPr>
    </w:pPr>
    <w:r w:rsidRPr="000E2AD0">
      <w:rPr>
        <w:rFonts w:ascii="Univers 45 Light" w:hAnsi="Univers 45 Light"/>
        <w:b/>
        <w:noProof/>
        <w:color w:val="3777BC"/>
        <w:sz w:val="20"/>
        <w:lang w:val="en-US"/>
      </w:rPr>
      <w:drawing>
        <wp:anchor distT="0" distB="0" distL="114300" distR="114300" simplePos="0" relativeHeight="251661312" behindDoc="0" locked="0" layoutInCell="1" allowOverlap="1" wp14:anchorId="2C5921EA" wp14:editId="09267B98">
          <wp:simplePos x="0" y="0"/>
          <wp:positionH relativeFrom="column">
            <wp:posOffset>-247650</wp:posOffset>
          </wp:positionH>
          <wp:positionV relativeFrom="paragraph">
            <wp:posOffset>202565</wp:posOffset>
          </wp:positionV>
          <wp:extent cx="504825" cy="504825"/>
          <wp:effectExtent l="19050" t="0" r="9525" b="0"/>
          <wp:wrapThrough wrapText="bothSides">
            <wp:wrapPolygon edited="0">
              <wp:start x="5706" y="0"/>
              <wp:lineTo x="-815" y="13042"/>
              <wp:lineTo x="-815" y="15487"/>
              <wp:lineTo x="8151" y="21192"/>
              <wp:lineTo x="12226" y="21192"/>
              <wp:lineTo x="16302" y="21192"/>
              <wp:lineTo x="17932" y="21192"/>
              <wp:lineTo x="22008" y="15487"/>
              <wp:lineTo x="22008" y="6521"/>
              <wp:lineTo x="20377" y="4891"/>
              <wp:lineTo x="10596" y="0"/>
              <wp:lineTo x="5706" y="0"/>
            </wp:wrapPolygon>
          </wp:wrapThrough>
          <wp:docPr id="25" name="Picture 25" descr="Horizontal_SCYJ_RGB_rev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SCYJ_RGB_rev_Trans.png"/>
                  <pic:cNvPicPr/>
                </pic:nvPicPr>
                <pic:blipFill>
                  <a:blip r:embed="rId1" cstate="print"/>
                  <a:srcRect r="54201"/>
                  <a:stretch>
                    <a:fillRect/>
                  </a:stretch>
                </pic:blipFill>
                <pic:spPr>
                  <a:xfrm>
                    <a:off x="0" y="0"/>
                    <a:ext cx="504825" cy="504825"/>
                  </a:xfrm>
                  <a:prstGeom prst="rect">
                    <a:avLst/>
                  </a:prstGeom>
                </pic:spPr>
              </pic:pic>
            </a:graphicData>
          </a:graphic>
        </wp:anchor>
      </w:drawing>
    </w:r>
  </w:p>
  <w:p w14:paraId="57A16465" w14:textId="358FCF8C" w:rsidR="001074B8" w:rsidRPr="00A67E45" w:rsidRDefault="001074B8" w:rsidP="001074B8">
    <w:pPr>
      <w:pStyle w:val="Footer"/>
      <w:rPr>
        <w:rFonts w:ascii="Univers 45 Light" w:hAnsi="Univers 45 Light" w:cs="Arial"/>
        <w:color w:val="3777BC"/>
        <w:sz w:val="20"/>
        <w:szCs w:val="20"/>
      </w:rPr>
    </w:pPr>
    <w:r w:rsidRPr="001E67F3">
      <w:rPr>
        <w:rFonts w:ascii="Univers 45 Light" w:hAnsi="Univers 45 Light" w:cs="Arial"/>
        <w:b/>
        <w:color w:val="3777BC"/>
        <w:sz w:val="20"/>
        <w:szCs w:val="20"/>
      </w:rPr>
      <w:t>Standing Committee for Youth Justice</w:t>
    </w:r>
    <w:r>
      <w:rPr>
        <w:rFonts w:ascii="Univers 45 Light" w:hAnsi="Univers 45 Light" w:cs="Arial"/>
        <w:b/>
        <w:color w:val="3777BC"/>
        <w:sz w:val="20"/>
        <w:szCs w:val="20"/>
      </w:rPr>
      <w:t xml:space="preserve"> </w:t>
    </w:r>
    <w:r>
      <w:rPr>
        <w:rFonts w:ascii="Arial" w:hAnsi="Arial" w:cs="Arial"/>
        <w:b/>
        <w:color w:val="3777BC"/>
        <w:sz w:val="20"/>
        <w:szCs w:val="20"/>
      </w:rPr>
      <w:t>│</w:t>
    </w:r>
    <w:r>
      <w:rPr>
        <w:rFonts w:ascii="Univers 45 Light" w:hAnsi="Univers 45 Light" w:cs="Arial"/>
        <w:b/>
        <w:color w:val="3777BC"/>
        <w:sz w:val="20"/>
        <w:szCs w:val="20"/>
      </w:rPr>
      <w:t xml:space="preserve"> </w:t>
    </w:r>
    <w:r w:rsidRPr="00A67E45">
      <w:rPr>
        <w:rFonts w:ascii="Univers 45 Light" w:hAnsi="Univers 45 Light" w:cs="Arial"/>
        <w:color w:val="3777BC"/>
        <w:sz w:val="20"/>
        <w:szCs w:val="20"/>
      </w:rPr>
      <w:t>Office Club 2</w:t>
    </w:r>
    <w:r>
      <w:rPr>
        <w:rFonts w:ascii="Univers 45 Light" w:hAnsi="Univers 45 Light" w:cs="Arial"/>
        <w:color w:val="3777BC"/>
        <w:sz w:val="20"/>
        <w:szCs w:val="20"/>
      </w:rPr>
      <w:t xml:space="preserve">, </w:t>
    </w:r>
    <w:r w:rsidRPr="00A67E45">
      <w:rPr>
        <w:rFonts w:ascii="Univers 45 Light" w:hAnsi="Univers 45 Light" w:cs="Arial"/>
        <w:color w:val="3777BC"/>
        <w:sz w:val="20"/>
        <w:szCs w:val="20"/>
      </w:rPr>
      <w:t xml:space="preserve">Copeland Road Ind. </w:t>
    </w:r>
    <w:proofErr w:type="spellStart"/>
    <w:r w:rsidRPr="00A67E45">
      <w:rPr>
        <w:rFonts w:ascii="Univers 45 Light" w:hAnsi="Univers 45 Light" w:cs="Arial"/>
        <w:color w:val="3777BC"/>
        <w:sz w:val="20"/>
        <w:szCs w:val="20"/>
      </w:rPr>
      <w:t>Pk</w:t>
    </w:r>
    <w:proofErr w:type="spellEnd"/>
    <w:r>
      <w:rPr>
        <w:rFonts w:ascii="Univers 45 Light" w:hAnsi="Univers 45 Light" w:cs="Arial"/>
        <w:color w:val="3777BC"/>
        <w:sz w:val="20"/>
        <w:szCs w:val="20"/>
      </w:rPr>
      <w:t xml:space="preserve">, </w:t>
    </w:r>
    <w:r w:rsidRPr="00A67E45">
      <w:rPr>
        <w:rFonts w:ascii="Univers 45 Light" w:hAnsi="Univers 45 Light" w:cs="Arial"/>
        <w:color w:val="3777BC"/>
        <w:sz w:val="20"/>
        <w:szCs w:val="20"/>
      </w:rPr>
      <w:t>133 Rye Lane</w:t>
    </w:r>
    <w:r>
      <w:rPr>
        <w:rFonts w:ascii="Univers 45 Light" w:hAnsi="Univers 45 Light" w:cs="Arial"/>
        <w:color w:val="3777BC"/>
        <w:sz w:val="20"/>
        <w:szCs w:val="20"/>
      </w:rPr>
      <w:t xml:space="preserve">, </w:t>
    </w:r>
    <w:r w:rsidRPr="00A67E45">
      <w:rPr>
        <w:rFonts w:ascii="Univers 45 Light" w:hAnsi="Univers 45 Light" w:cs="Arial"/>
        <w:color w:val="3777BC"/>
        <w:sz w:val="20"/>
        <w:szCs w:val="20"/>
      </w:rPr>
      <w:t>SE15 3SN</w:t>
    </w:r>
  </w:p>
  <w:p w14:paraId="739F28AC" w14:textId="5FC69CF0" w:rsidR="001074B8" w:rsidRPr="001074B8" w:rsidRDefault="001074B8" w:rsidP="001074B8">
    <w:pPr>
      <w:pStyle w:val="Footer"/>
      <w:rPr>
        <w:rFonts w:ascii="Univers 45 Light" w:hAnsi="Univers 45 Light" w:cs="Arial"/>
        <w:color w:val="3777BC"/>
        <w:sz w:val="20"/>
        <w:szCs w:val="20"/>
      </w:rPr>
    </w:pPr>
    <w:r>
      <w:rPr>
        <w:rFonts w:ascii="Univers 45 Light" w:hAnsi="Univers 45 Light" w:cs="Arial"/>
        <w:color w:val="3777BC"/>
        <w:sz w:val="20"/>
        <w:szCs w:val="20"/>
      </w:rPr>
      <w:t xml:space="preserve">T: </w:t>
    </w:r>
    <w:r w:rsidRPr="00A67E45">
      <w:rPr>
        <w:rFonts w:ascii="Univers 45 Light" w:hAnsi="Univers 45 Light" w:cs="Arial"/>
        <w:color w:val="3777BC"/>
        <w:sz w:val="20"/>
        <w:szCs w:val="20"/>
      </w:rPr>
      <w:t>07481 855 127</w:t>
    </w:r>
    <w:r>
      <w:rPr>
        <w:rFonts w:ascii="Arial" w:hAnsi="Arial" w:cs="Arial"/>
        <w:b/>
        <w:color w:val="3777BC"/>
        <w:sz w:val="20"/>
        <w:szCs w:val="20"/>
      </w:rPr>
      <w:t>│</w:t>
    </w:r>
    <w:r>
      <w:rPr>
        <w:rFonts w:ascii="Univers 45 Light" w:hAnsi="Univers 45 Light" w:cs="Arial"/>
        <w:color w:val="3777BC"/>
        <w:sz w:val="20"/>
        <w:szCs w:val="20"/>
      </w:rPr>
      <w:t xml:space="preserve"> E: </w:t>
    </w:r>
    <w:hyperlink r:id="rId2" w:history="1">
      <w:r w:rsidRPr="001603B5">
        <w:rPr>
          <w:rStyle w:val="Hyperlink"/>
          <w:rFonts w:ascii="Univers 45 Light" w:hAnsi="Univers 45 Light" w:cs="Arial"/>
          <w:sz w:val="20"/>
          <w:szCs w:val="20"/>
        </w:rPr>
        <w:t>milie.harris@scyj.org.uk</w:t>
      </w:r>
    </w:hyperlink>
    <w:r>
      <w:rPr>
        <w:rFonts w:ascii="Univers 45 Light" w:hAnsi="Univers 45 Light" w:cs="Arial"/>
        <w:color w:val="3777BC"/>
        <w:sz w:val="20"/>
        <w:szCs w:val="20"/>
      </w:rPr>
      <w:t xml:space="preserve"> </w:t>
    </w:r>
    <w:r>
      <w:rPr>
        <w:rFonts w:ascii="Arial" w:hAnsi="Arial" w:cs="Arial"/>
        <w:b/>
        <w:color w:val="3777BC"/>
        <w:sz w:val="20"/>
        <w:szCs w:val="20"/>
      </w:rPr>
      <w:t xml:space="preserve">│ </w:t>
    </w:r>
    <w:r>
      <w:rPr>
        <w:rFonts w:ascii="Univers 45 Light" w:hAnsi="Univers 45 Light" w:cs="Arial"/>
        <w:color w:val="3777BC"/>
        <w:sz w:val="20"/>
        <w:szCs w:val="20"/>
      </w:rPr>
      <w:t xml:space="preserve">W: </w:t>
    </w:r>
    <w:hyperlink r:id="rId3" w:history="1">
      <w:r w:rsidRPr="007539C0">
        <w:rPr>
          <w:rStyle w:val="Hyperlink"/>
          <w:rFonts w:ascii="Univers 45 Light" w:hAnsi="Univers 45 Light" w:cs="Arial"/>
          <w:sz w:val="20"/>
          <w:szCs w:val="20"/>
        </w:rPr>
        <w:t>www.scyj.org.uk</w:t>
      </w:r>
    </w:hyperlink>
    <w:r>
      <w:t xml:space="preserve"> </w:t>
    </w:r>
    <w:r>
      <w:rPr>
        <w:rFonts w:ascii="Arial" w:hAnsi="Arial" w:cs="Arial"/>
        <w:b/>
        <w:color w:val="3777BC"/>
        <w:sz w:val="20"/>
        <w:szCs w:val="20"/>
      </w:rPr>
      <w:t>│</w:t>
    </w:r>
    <w:r>
      <w:rPr>
        <w:rFonts w:ascii="Univers 45 Light" w:hAnsi="Univers 45 Light" w:cs="Arial"/>
        <w:color w:val="3777BC"/>
        <w:sz w:val="20"/>
        <w:szCs w:val="20"/>
      </w:rPr>
      <w:t xml:space="preserve"> Twitter: </w:t>
    </w:r>
    <w:hyperlink r:id="rId4" w:history="1">
      <w:r w:rsidRPr="001E67F3">
        <w:rPr>
          <w:rStyle w:val="Hyperlink"/>
          <w:rFonts w:ascii="Univers 45 Light" w:hAnsi="Univers 45 Light" w:cs="Arial"/>
          <w:sz w:val="20"/>
          <w:szCs w:val="20"/>
        </w:rPr>
        <w:t>@</w:t>
      </w:r>
      <w:proofErr w:type="spellStart"/>
      <w:r w:rsidRPr="001E67F3">
        <w:rPr>
          <w:rStyle w:val="Hyperlink"/>
          <w:rFonts w:ascii="Univers 45 Light" w:hAnsi="Univers 45 Light" w:cs="Arial"/>
          <w:sz w:val="20"/>
          <w:szCs w:val="20"/>
        </w:rPr>
        <w:t>theSCYJ</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9D4F" w14:textId="77777777" w:rsidR="008A06BC" w:rsidRDefault="008A06BC" w:rsidP="007B5803">
      <w:pPr>
        <w:spacing w:after="0" w:line="240" w:lineRule="auto"/>
      </w:pPr>
      <w:r>
        <w:separator/>
      </w:r>
    </w:p>
  </w:footnote>
  <w:footnote w:type="continuationSeparator" w:id="0">
    <w:p w14:paraId="57623BB7" w14:textId="77777777" w:rsidR="008A06BC" w:rsidRDefault="008A06BC" w:rsidP="007B5803">
      <w:pPr>
        <w:spacing w:after="0" w:line="240" w:lineRule="auto"/>
      </w:pPr>
      <w:r>
        <w:continuationSeparator/>
      </w:r>
    </w:p>
  </w:footnote>
  <w:footnote w:type="continuationNotice" w:id="1">
    <w:p w14:paraId="1DC48ED0" w14:textId="77777777" w:rsidR="008A06BC" w:rsidRDefault="008A06BC">
      <w:pPr>
        <w:spacing w:after="0" w:line="240" w:lineRule="auto"/>
      </w:pPr>
    </w:p>
  </w:footnote>
  <w:footnote w:id="2">
    <w:p w14:paraId="28AD9982" w14:textId="3971F3AA" w:rsidR="00272B0C" w:rsidRPr="00B83860" w:rsidRDefault="00272B0C" w:rsidP="00B83860">
      <w:pPr>
        <w:pStyle w:val="FootnoteText"/>
        <w:ind w:left="-426" w:right="-448"/>
        <w:rPr>
          <w:rFonts w:ascii="Arial" w:hAnsi="Arial" w:cs="Arial"/>
          <w:sz w:val="19"/>
          <w:szCs w:val="19"/>
          <w:lang w:val="en-US"/>
        </w:rPr>
      </w:pPr>
      <w:r w:rsidRPr="00B83860">
        <w:rPr>
          <w:rStyle w:val="FootnoteReference"/>
          <w:rFonts w:ascii="Arial" w:hAnsi="Arial" w:cs="Arial"/>
          <w:sz w:val="19"/>
          <w:szCs w:val="19"/>
        </w:rPr>
        <w:footnoteRef/>
      </w:r>
      <w:r w:rsidRPr="00B83860">
        <w:rPr>
          <w:rFonts w:ascii="Arial" w:hAnsi="Arial" w:cs="Arial"/>
          <w:sz w:val="19"/>
          <w:szCs w:val="19"/>
        </w:rPr>
        <w:t xml:space="preserve"> https://www.unicef.org/rightsite/files/uncrcchilldfriendlylanguage.pdf</w:t>
      </w:r>
    </w:p>
  </w:footnote>
  <w:footnote w:id="3">
    <w:p w14:paraId="00893AD4" w14:textId="1B1CABAC" w:rsidR="00B83860" w:rsidRPr="00B83860" w:rsidRDefault="00B83860" w:rsidP="00B83860">
      <w:pPr>
        <w:pStyle w:val="FootnoteText"/>
        <w:ind w:left="-426"/>
        <w:rPr>
          <w:rFonts w:ascii="Arial" w:hAnsi="Arial" w:cs="Arial"/>
        </w:rPr>
      </w:pPr>
      <w:r w:rsidRPr="00B83860">
        <w:rPr>
          <w:rStyle w:val="FootnoteReference"/>
          <w:rFonts w:ascii="Arial" w:hAnsi="Arial" w:cs="Arial"/>
        </w:rPr>
        <w:footnoteRef/>
      </w:r>
      <w:r w:rsidRPr="00B83860">
        <w:rPr>
          <w:rFonts w:ascii="Arial" w:hAnsi="Arial" w:cs="Arial"/>
        </w:rPr>
        <w:t xml:space="preserve"> http://www.crae.org.uk/media/121613/child-friendly-obs_a5-younger_screen.pdf</w:t>
      </w:r>
    </w:p>
  </w:footnote>
  <w:footnote w:id="4">
    <w:p w14:paraId="167A71D9" w14:textId="3226B521" w:rsidR="00272B0C" w:rsidRPr="00B83860" w:rsidRDefault="00272B0C" w:rsidP="00B83860">
      <w:pPr>
        <w:pStyle w:val="FootnoteText"/>
        <w:ind w:left="-426" w:right="-448"/>
        <w:rPr>
          <w:rFonts w:ascii="Arial" w:hAnsi="Arial" w:cs="Arial"/>
          <w:sz w:val="19"/>
          <w:szCs w:val="19"/>
          <w:lang w:val="en-US"/>
        </w:rPr>
      </w:pPr>
      <w:r w:rsidRPr="00B83860">
        <w:rPr>
          <w:rStyle w:val="FootnoteReference"/>
          <w:rFonts w:ascii="Arial" w:hAnsi="Arial" w:cs="Arial"/>
          <w:sz w:val="19"/>
          <w:szCs w:val="19"/>
        </w:rPr>
        <w:footnoteRef/>
      </w:r>
      <w:r w:rsidRPr="00B83860">
        <w:rPr>
          <w:rFonts w:ascii="Arial" w:hAnsi="Arial" w:cs="Arial"/>
          <w:sz w:val="19"/>
          <w:szCs w:val="19"/>
        </w:rPr>
        <w:t>https://assets.publishing.service.gov.uk/government/uploads/system/uploads/attachment_data/file/643001/lammy-review-final-report.pdf</w:t>
      </w:r>
    </w:p>
  </w:footnote>
  <w:footnote w:id="5">
    <w:p w14:paraId="04231FB5" w14:textId="0EC9E87D" w:rsidR="00272B0C" w:rsidRPr="00B83860" w:rsidRDefault="00272B0C" w:rsidP="00B83860">
      <w:pPr>
        <w:pStyle w:val="FootnoteText"/>
        <w:ind w:left="-426" w:right="-448"/>
        <w:rPr>
          <w:rFonts w:ascii="Arial" w:hAnsi="Arial" w:cs="Arial"/>
          <w:sz w:val="19"/>
          <w:szCs w:val="19"/>
          <w:lang w:val="en-US"/>
        </w:rPr>
      </w:pPr>
      <w:r w:rsidRPr="00B83860">
        <w:rPr>
          <w:rStyle w:val="FootnoteReference"/>
          <w:rFonts w:ascii="Arial" w:hAnsi="Arial" w:cs="Arial"/>
          <w:sz w:val="19"/>
          <w:szCs w:val="19"/>
        </w:rPr>
        <w:footnoteRef/>
      </w:r>
      <w:r w:rsidRPr="00B83860">
        <w:rPr>
          <w:rFonts w:ascii="Arial" w:hAnsi="Arial" w:cs="Arial"/>
          <w:sz w:val="19"/>
          <w:szCs w:val="19"/>
        </w:rPr>
        <w:t xml:space="preserve"> https://www.gov.uk/government/statistics/youth-custody-data</w:t>
      </w:r>
    </w:p>
  </w:footnote>
  <w:footnote w:id="6">
    <w:p w14:paraId="49AEC7B7" w14:textId="1288B054" w:rsidR="00272B0C" w:rsidRPr="00B83860" w:rsidRDefault="00272B0C" w:rsidP="00B83860">
      <w:pPr>
        <w:pStyle w:val="CommentText"/>
        <w:ind w:left="-426" w:right="-448"/>
        <w:rPr>
          <w:rFonts w:ascii="Arial" w:hAnsi="Arial" w:cs="Arial"/>
          <w:i/>
          <w:sz w:val="19"/>
          <w:szCs w:val="19"/>
        </w:rPr>
      </w:pPr>
      <w:r w:rsidRPr="00B83860">
        <w:rPr>
          <w:rStyle w:val="FootnoteReference"/>
          <w:rFonts w:ascii="Arial" w:hAnsi="Arial" w:cs="Arial"/>
          <w:sz w:val="19"/>
          <w:szCs w:val="19"/>
        </w:rPr>
        <w:footnoteRef/>
      </w:r>
      <w:r w:rsidRPr="00B83860">
        <w:rPr>
          <w:rFonts w:ascii="Arial" w:hAnsi="Arial" w:cs="Arial"/>
          <w:sz w:val="19"/>
          <w:szCs w:val="19"/>
        </w:rPr>
        <w:t xml:space="preserve"> D. Strout ‘Perspectives on the experience of being physically restrained: An integrative review of the qualitative literature’ (2010) 19 </w:t>
      </w:r>
      <w:r w:rsidRPr="00B83860">
        <w:rPr>
          <w:rFonts w:ascii="Arial" w:hAnsi="Arial" w:cs="Arial"/>
          <w:i/>
          <w:sz w:val="19"/>
          <w:szCs w:val="19"/>
        </w:rPr>
        <w:t xml:space="preserve">International Journal of Mental Health Nursing </w:t>
      </w:r>
      <w:r w:rsidRPr="00B83860">
        <w:rPr>
          <w:rFonts w:ascii="Arial" w:hAnsi="Arial" w:cs="Arial"/>
          <w:sz w:val="19"/>
          <w:szCs w:val="19"/>
        </w:rPr>
        <w:t>41</w:t>
      </w:r>
      <w:r w:rsidRPr="00B83860">
        <w:rPr>
          <w:rFonts w:ascii="Arial" w:hAnsi="Arial" w:cs="Arial"/>
          <w:i/>
          <w:sz w:val="19"/>
          <w:szCs w:val="19"/>
        </w:rPr>
        <w:t>6;</w:t>
      </w:r>
    </w:p>
    <w:p w14:paraId="51437171" w14:textId="474DE64B" w:rsidR="00272B0C" w:rsidRPr="00B83860" w:rsidRDefault="00272B0C" w:rsidP="00B83860">
      <w:pPr>
        <w:pStyle w:val="CommentText"/>
        <w:ind w:left="-426" w:right="-448"/>
        <w:rPr>
          <w:rFonts w:ascii="Arial" w:hAnsi="Arial" w:cs="Arial"/>
          <w:sz w:val="19"/>
          <w:szCs w:val="19"/>
        </w:rPr>
      </w:pPr>
      <w:r w:rsidRPr="00B83860">
        <w:rPr>
          <w:rFonts w:ascii="Arial" w:hAnsi="Arial" w:cs="Arial"/>
          <w:sz w:val="19"/>
          <w:szCs w:val="19"/>
        </w:rPr>
        <w:t xml:space="preserve">P. </w:t>
      </w:r>
      <w:proofErr w:type="spellStart"/>
      <w:r w:rsidRPr="00B83860">
        <w:rPr>
          <w:rFonts w:ascii="Arial" w:hAnsi="Arial" w:cs="Arial"/>
          <w:sz w:val="19"/>
          <w:szCs w:val="19"/>
        </w:rPr>
        <w:t>Smallridge</w:t>
      </w:r>
      <w:proofErr w:type="spellEnd"/>
      <w:r w:rsidRPr="00B83860">
        <w:rPr>
          <w:rFonts w:ascii="Arial" w:hAnsi="Arial" w:cs="Arial"/>
          <w:sz w:val="19"/>
          <w:szCs w:val="19"/>
        </w:rPr>
        <w:t xml:space="preserve"> and A. Williamson </w:t>
      </w:r>
      <w:r w:rsidRPr="00B83860">
        <w:rPr>
          <w:rFonts w:ascii="Arial" w:hAnsi="Arial" w:cs="Arial"/>
          <w:i/>
          <w:sz w:val="19"/>
          <w:szCs w:val="19"/>
        </w:rPr>
        <w:t>Independent review of restraint in juvenile secure settings</w:t>
      </w:r>
      <w:r w:rsidRPr="00B83860">
        <w:rPr>
          <w:rFonts w:ascii="Arial" w:hAnsi="Arial" w:cs="Arial"/>
          <w:sz w:val="19"/>
          <w:szCs w:val="19"/>
        </w:rPr>
        <w:t xml:space="preserve"> (London: Ministry of Justice and Department for Children, Schools and Families, 2008), 4-5;</w:t>
      </w:r>
    </w:p>
    <w:p w14:paraId="48735237" w14:textId="0B25DEFA" w:rsidR="00272B0C" w:rsidRPr="00B83860" w:rsidRDefault="00272B0C" w:rsidP="00B83860">
      <w:pPr>
        <w:pStyle w:val="CommentText"/>
        <w:ind w:left="-426" w:right="-448"/>
        <w:rPr>
          <w:rFonts w:ascii="Arial" w:hAnsi="Arial" w:cs="Arial"/>
          <w:sz w:val="19"/>
          <w:szCs w:val="19"/>
        </w:rPr>
      </w:pPr>
      <w:r w:rsidRPr="00B83860">
        <w:rPr>
          <w:rFonts w:ascii="Arial" w:hAnsi="Arial" w:cs="Arial"/>
          <w:sz w:val="19"/>
          <w:szCs w:val="19"/>
        </w:rPr>
        <w:t xml:space="preserve">R. Arthur, </w:t>
      </w:r>
      <w:r w:rsidRPr="00B83860">
        <w:rPr>
          <w:rFonts w:ascii="Arial" w:hAnsi="Arial" w:cs="Arial"/>
          <w:i/>
          <w:sz w:val="19"/>
          <w:szCs w:val="19"/>
        </w:rPr>
        <w:t>The Criminal Justice and Courts Act 2015 – Secure Colleges and the Legitimation of State Sponsored Violence</w:t>
      </w:r>
      <w:r w:rsidRPr="00B83860">
        <w:rPr>
          <w:rFonts w:ascii="Arial" w:hAnsi="Arial" w:cs="Arial"/>
          <w:sz w:val="19"/>
          <w:szCs w:val="19"/>
        </w:rPr>
        <w:t xml:space="preserve"> Modern Law Review (2016) 79, 1, pp. 102-121</w:t>
      </w:r>
    </w:p>
  </w:footnote>
  <w:footnote w:id="7">
    <w:p w14:paraId="48A43C32" w14:textId="30C89182" w:rsidR="00272B0C" w:rsidRPr="00B83860" w:rsidRDefault="00272B0C" w:rsidP="00B83860">
      <w:pPr>
        <w:pStyle w:val="FootnoteText"/>
        <w:ind w:left="-426" w:right="-448"/>
        <w:rPr>
          <w:rFonts w:ascii="Arial" w:hAnsi="Arial" w:cs="Arial"/>
          <w:sz w:val="19"/>
          <w:szCs w:val="19"/>
          <w:lang w:val="en-US"/>
        </w:rPr>
      </w:pPr>
      <w:r w:rsidRPr="00B83860">
        <w:rPr>
          <w:rStyle w:val="FootnoteReference"/>
          <w:rFonts w:ascii="Arial" w:hAnsi="Arial" w:cs="Arial"/>
          <w:sz w:val="19"/>
          <w:szCs w:val="19"/>
        </w:rPr>
        <w:footnoteRef/>
      </w:r>
      <w:r w:rsidRPr="00B83860">
        <w:rPr>
          <w:rFonts w:ascii="Arial" w:hAnsi="Arial" w:cs="Arial"/>
          <w:sz w:val="19"/>
          <w:szCs w:val="19"/>
        </w:rPr>
        <w:t xml:space="preserve"> </w:t>
      </w:r>
      <w:r w:rsidRPr="00B83860">
        <w:rPr>
          <w:rFonts w:ascii="Arial" w:hAnsi="Arial" w:cs="Arial"/>
          <w:sz w:val="19"/>
          <w:szCs w:val="19"/>
          <w:lang w:val="en-US"/>
        </w:rPr>
        <w:t>K Hollingsworth (2013), '</w:t>
      </w:r>
      <w:proofErr w:type="spellStart"/>
      <w:r w:rsidRPr="00B83860">
        <w:rPr>
          <w:rFonts w:ascii="Arial" w:hAnsi="Arial" w:cs="Arial"/>
          <w:sz w:val="19"/>
          <w:szCs w:val="19"/>
          <w:lang w:val="en-US"/>
        </w:rPr>
        <w:t>Theorising</w:t>
      </w:r>
      <w:proofErr w:type="spellEnd"/>
      <w:r w:rsidRPr="00B83860">
        <w:rPr>
          <w:rFonts w:ascii="Arial" w:hAnsi="Arial" w:cs="Arial"/>
          <w:sz w:val="19"/>
          <w:szCs w:val="19"/>
          <w:lang w:val="en-US"/>
        </w:rPr>
        <w:t xml:space="preserve"> Children's Rights in Youth Justice: The Significance of Autonomy and Foundational Rights' 76 Modern Law Review 1046.</w:t>
      </w:r>
    </w:p>
  </w:footnote>
  <w:footnote w:id="8">
    <w:p w14:paraId="7EC1A98C" w14:textId="72468003" w:rsidR="00272B0C" w:rsidRPr="00B83860" w:rsidRDefault="00272B0C" w:rsidP="00B83860">
      <w:pPr>
        <w:pStyle w:val="FootnoteText"/>
        <w:ind w:left="-426" w:right="-448"/>
        <w:rPr>
          <w:rFonts w:ascii="Arial" w:hAnsi="Arial" w:cs="Arial"/>
          <w:lang w:val="en-US"/>
        </w:rPr>
      </w:pPr>
      <w:r w:rsidRPr="00B83860">
        <w:rPr>
          <w:rStyle w:val="FootnoteReference"/>
          <w:rFonts w:ascii="Arial" w:hAnsi="Arial" w:cs="Arial"/>
        </w:rPr>
        <w:footnoteRef/>
      </w:r>
      <w:r w:rsidRPr="00B83860">
        <w:rPr>
          <w:rFonts w:ascii="Arial" w:hAnsi="Arial" w:cs="Arial"/>
        </w:rPr>
        <w:t xml:space="preserve"> J Jacobson and J Talbot </w:t>
      </w:r>
      <w:r w:rsidRPr="00B83860">
        <w:rPr>
          <w:rFonts w:ascii="Arial" w:hAnsi="Arial" w:cs="Arial"/>
          <w:bCs/>
          <w:i/>
        </w:rPr>
        <w:t xml:space="preserve">Vulnerable Defendants in the Criminal Courts: a review of provision for adults and children </w:t>
      </w:r>
      <w:r w:rsidRPr="00B83860">
        <w:rPr>
          <w:rFonts w:ascii="Arial" w:hAnsi="Arial" w:cs="Arial"/>
          <w:bCs/>
        </w:rPr>
        <w:t xml:space="preserve">(PRT, </w:t>
      </w:r>
      <w:r w:rsidRPr="00B83860">
        <w:rPr>
          <w:rFonts w:ascii="Arial" w:hAnsi="Arial" w:cs="Arial"/>
        </w:rPr>
        <w:t xml:space="preserve">2009); H Neal, A </w:t>
      </w:r>
      <w:proofErr w:type="spellStart"/>
      <w:r w:rsidRPr="00B83860">
        <w:rPr>
          <w:rFonts w:ascii="Arial" w:hAnsi="Arial" w:cs="Arial"/>
        </w:rPr>
        <w:t>Hagell</w:t>
      </w:r>
      <w:proofErr w:type="spellEnd"/>
      <w:r w:rsidRPr="00B83860">
        <w:rPr>
          <w:rFonts w:ascii="Arial" w:hAnsi="Arial" w:cs="Arial"/>
        </w:rPr>
        <w:t xml:space="preserve"> and L Brazier </w:t>
      </w:r>
      <w:r w:rsidRPr="00B83860">
        <w:rPr>
          <w:rFonts w:ascii="Arial" w:hAnsi="Arial" w:cs="Arial"/>
          <w:i/>
          <w:iCs/>
        </w:rPr>
        <w:t xml:space="preserve">Young Offenders’ Perceptions of their Experiences in the Criminal Justice System </w:t>
      </w:r>
      <w:r w:rsidRPr="00B83860">
        <w:rPr>
          <w:rFonts w:ascii="Arial" w:hAnsi="Arial" w:cs="Arial"/>
          <w:iCs/>
        </w:rPr>
        <w:t>(</w:t>
      </w:r>
      <w:proofErr w:type="spellStart"/>
      <w:r w:rsidRPr="00B83860">
        <w:rPr>
          <w:rFonts w:ascii="Arial" w:hAnsi="Arial" w:cs="Arial"/>
          <w:iCs/>
        </w:rPr>
        <w:t>Polict</w:t>
      </w:r>
      <w:proofErr w:type="spellEnd"/>
      <w:r w:rsidRPr="00B83860">
        <w:rPr>
          <w:rFonts w:ascii="Arial" w:hAnsi="Arial" w:cs="Arial"/>
          <w:iCs/>
        </w:rPr>
        <w:t xml:space="preserve"> Research Bureau, </w:t>
      </w:r>
      <w:r w:rsidRPr="00B83860">
        <w:rPr>
          <w:rFonts w:ascii="Arial" w:hAnsi="Arial" w:cs="Arial"/>
        </w:rPr>
        <w:t xml:space="preserve">2002); M Botley, B Jinks and C </w:t>
      </w:r>
      <w:proofErr w:type="spellStart"/>
      <w:r w:rsidRPr="00B83860">
        <w:rPr>
          <w:rFonts w:ascii="Arial" w:hAnsi="Arial" w:cs="Arial"/>
        </w:rPr>
        <w:t>Metson</w:t>
      </w:r>
      <w:proofErr w:type="spellEnd"/>
      <w:r w:rsidRPr="00B83860">
        <w:rPr>
          <w:rFonts w:ascii="Arial" w:hAnsi="Arial" w:cs="Arial"/>
        </w:rPr>
        <w:t xml:space="preserve"> </w:t>
      </w:r>
      <w:r w:rsidRPr="00B83860">
        <w:rPr>
          <w:rFonts w:ascii="Arial" w:hAnsi="Arial" w:cs="Arial"/>
          <w:i/>
        </w:rPr>
        <w:t>Young people’s views and experiences of the Youth Justice System</w:t>
      </w:r>
      <w:r w:rsidRPr="00B83860">
        <w:rPr>
          <w:rFonts w:ascii="Arial" w:hAnsi="Arial" w:cs="Arial"/>
        </w:rPr>
        <w:t xml:space="preserve"> (CWDC, 2010); </w:t>
      </w:r>
      <w:r w:rsidRPr="00B83860">
        <w:rPr>
          <w:rFonts w:ascii="Arial" w:hAnsi="Arial" w:cs="Arial"/>
          <w:lang w:val="en-US"/>
        </w:rPr>
        <w:t>Stalford and Hollingsworth (2019, forthcoming) '"This is a case about you and your future" Towards Judgments for Children'</w:t>
      </w:r>
    </w:p>
  </w:footnote>
  <w:footnote w:id="9">
    <w:p w14:paraId="5F032622" w14:textId="29E04FD7" w:rsidR="00272B0C" w:rsidRPr="00B83860" w:rsidRDefault="00272B0C" w:rsidP="00B83860">
      <w:pPr>
        <w:pStyle w:val="FootnoteText"/>
        <w:ind w:left="-426" w:right="-448"/>
        <w:rPr>
          <w:rFonts w:ascii="Arial" w:hAnsi="Arial" w:cs="Arial"/>
        </w:rPr>
      </w:pPr>
      <w:r w:rsidRPr="00B83860">
        <w:rPr>
          <w:rStyle w:val="FootnoteReference"/>
          <w:rFonts w:ascii="Arial" w:hAnsi="Arial" w:cs="Arial"/>
        </w:rPr>
        <w:footnoteRef/>
      </w:r>
      <w:r w:rsidRPr="00B83860">
        <w:rPr>
          <w:rFonts w:ascii="Arial" w:hAnsi="Arial" w:cs="Arial"/>
        </w:rPr>
        <w:t xml:space="preserve"> R. Arthur </w:t>
      </w:r>
      <w:r w:rsidRPr="00B83860">
        <w:rPr>
          <w:rFonts w:ascii="Arial" w:hAnsi="Arial" w:cs="Arial"/>
          <w:i/>
        </w:rPr>
        <w:t>Giving effect to young people’s right to participate effectively in criminal proceeding</w:t>
      </w:r>
      <w:r w:rsidRPr="00B83860">
        <w:rPr>
          <w:rFonts w:ascii="Arial" w:hAnsi="Arial" w:cs="Arial"/>
        </w:rPr>
        <w:t>s Child and Family Law Quarterly (2016) 28, 3, 223-238.</w:t>
      </w:r>
    </w:p>
  </w:footnote>
  <w:footnote w:id="10">
    <w:p w14:paraId="0A94C7A5" w14:textId="607F790F" w:rsidR="00272B0C" w:rsidRPr="00B83860" w:rsidRDefault="00272B0C" w:rsidP="00B83860">
      <w:pPr>
        <w:pStyle w:val="FootnoteText"/>
        <w:ind w:left="-426" w:right="-448"/>
        <w:rPr>
          <w:rFonts w:ascii="Arial" w:hAnsi="Arial" w:cs="Arial"/>
          <w:lang w:val="en-US"/>
        </w:rPr>
      </w:pPr>
      <w:r w:rsidRPr="00B83860">
        <w:rPr>
          <w:rStyle w:val="FootnoteReference"/>
          <w:rFonts w:ascii="Arial" w:hAnsi="Arial" w:cs="Arial"/>
        </w:rPr>
        <w:footnoteRef/>
      </w:r>
      <w:r w:rsidRPr="00B83860">
        <w:rPr>
          <w:rFonts w:ascii="Arial" w:hAnsi="Arial" w:cs="Arial"/>
        </w:rPr>
        <w:t xml:space="preserve"> http://scyj.org.uk/wp-content/uploads/2014/05/Whats-in-a-Name-FINAL-WEB_VERSION_V3.pdf</w:t>
      </w:r>
    </w:p>
  </w:footnote>
  <w:footnote w:id="11">
    <w:p w14:paraId="29A1106D" w14:textId="13A5BE60" w:rsidR="00272B0C" w:rsidRPr="00B83860" w:rsidRDefault="00272B0C" w:rsidP="00B83860">
      <w:pPr>
        <w:pStyle w:val="FootnoteText"/>
        <w:ind w:left="-426" w:right="-448"/>
        <w:rPr>
          <w:rFonts w:ascii="Arial" w:hAnsi="Arial" w:cs="Arial"/>
          <w:lang w:val="en-US"/>
        </w:rPr>
      </w:pPr>
      <w:r w:rsidRPr="00B83860">
        <w:rPr>
          <w:rStyle w:val="FootnoteReference"/>
          <w:rFonts w:ascii="Arial" w:hAnsi="Arial" w:cs="Arial"/>
        </w:rPr>
        <w:footnoteRef/>
      </w:r>
      <w:r w:rsidRPr="00B83860">
        <w:rPr>
          <w:rFonts w:ascii="Arial" w:hAnsi="Arial" w:cs="Arial"/>
        </w:rPr>
        <w:t xml:space="preserve"> https://www.t2a.org.uk/t2a-evidence/research-reports/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BCCD" w14:textId="4EE94D27" w:rsidR="001074B8" w:rsidRDefault="001074B8">
    <w:pPr>
      <w:pStyle w:val="Header"/>
    </w:pPr>
    <w:r w:rsidRPr="000E2AD0">
      <w:rPr>
        <w:noProof/>
        <w:lang w:val="en-US"/>
      </w:rPr>
      <w:drawing>
        <wp:anchor distT="0" distB="0" distL="114300" distR="114300" simplePos="0" relativeHeight="251659264" behindDoc="0" locked="0" layoutInCell="1" allowOverlap="1" wp14:anchorId="6741A769" wp14:editId="21583F1D">
          <wp:simplePos x="0" y="0"/>
          <wp:positionH relativeFrom="margin">
            <wp:posOffset>1663700</wp:posOffset>
          </wp:positionH>
          <wp:positionV relativeFrom="paragraph">
            <wp:posOffset>-154305</wp:posOffset>
          </wp:positionV>
          <wp:extent cx="2409825" cy="1134110"/>
          <wp:effectExtent l="0" t="0" r="9525" b="8890"/>
          <wp:wrapTopAndBottom/>
          <wp:docPr id="24" name="Picture 24" descr="Stacked_SCYJ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_SCYJ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1134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14A"/>
    <w:multiLevelType w:val="hybridMultilevel"/>
    <w:tmpl w:val="7A16FF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BDA5435"/>
    <w:multiLevelType w:val="multilevel"/>
    <w:tmpl w:val="679E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26DDB"/>
    <w:multiLevelType w:val="multilevel"/>
    <w:tmpl w:val="F46674D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35FB1"/>
    <w:multiLevelType w:val="hybridMultilevel"/>
    <w:tmpl w:val="91A4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64759"/>
    <w:multiLevelType w:val="multilevel"/>
    <w:tmpl w:val="C61E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0902EF"/>
    <w:multiLevelType w:val="multilevel"/>
    <w:tmpl w:val="922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1D"/>
    <w:rsid w:val="00014930"/>
    <w:rsid w:val="00037115"/>
    <w:rsid w:val="0004749F"/>
    <w:rsid w:val="000569B2"/>
    <w:rsid w:val="00082A17"/>
    <w:rsid w:val="00095A94"/>
    <w:rsid w:val="000B35D0"/>
    <w:rsid w:val="000B3EBC"/>
    <w:rsid w:val="000B6929"/>
    <w:rsid w:val="000B7184"/>
    <w:rsid w:val="000C4625"/>
    <w:rsid w:val="000D48B5"/>
    <w:rsid w:val="000E556D"/>
    <w:rsid w:val="000E7035"/>
    <w:rsid w:val="000F56A2"/>
    <w:rsid w:val="00103319"/>
    <w:rsid w:val="001068B4"/>
    <w:rsid w:val="001074B8"/>
    <w:rsid w:val="00115725"/>
    <w:rsid w:val="00133F66"/>
    <w:rsid w:val="00146196"/>
    <w:rsid w:val="00146733"/>
    <w:rsid w:val="001521F7"/>
    <w:rsid w:val="0016420E"/>
    <w:rsid w:val="0016696D"/>
    <w:rsid w:val="00166A03"/>
    <w:rsid w:val="0017269B"/>
    <w:rsid w:val="00175876"/>
    <w:rsid w:val="001954B5"/>
    <w:rsid w:val="001A19A2"/>
    <w:rsid w:val="001D180D"/>
    <w:rsid w:val="001E72FD"/>
    <w:rsid w:val="001F2EAF"/>
    <w:rsid w:val="001F3437"/>
    <w:rsid w:val="002034E2"/>
    <w:rsid w:val="00213434"/>
    <w:rsid w:val="002159D7"/>
    <w:rsid w:val="002160A8"/>
    <w:rsid w:val="0023079A"/>
    <w:rsid w:val="00232D37"/>
    <w:rsid w:val="00234C5C"/>
    <w:rsid w:val="00257D27"/>
    <w:rsid w:val="002728DD"/>
    <w:rsid w:val="00272B0C"/>
    <w:rsid w:val="00280BCD"/>
    <w:rsid w:val="00287FD3"/>
    <w:rsid w:val="00292191"/>
    <w:rsid w:val="002B3CE7"/>
    <w:rsid w:val="002C61C2"/>
    <w:rsid w:val="002D38CD"/>
    <w:rsid w:val="002E0F09"/>
    <w:rsid w:val="002E5CCB"/>
    <w:rsid w:val="002E6978"/>
    <w:rsid w:val="00306707"/>
    <w:rsid w:val="00312582"/>
    <w:rsid w:val="003161B1"/>
    <w:rsid w:val="00317DE5"/>
    <w:rsid w:val="00330CA7"/>
    <w:rsid w:val="00353ADD"/>
    <w:rsid w:val="00357815"/>
    <w:rsid w:val="00360175"/>
    <w:rsid w:val="00362A33"/>
    <w:rsid w:val="00364AF5"/>
    <w:rsid w:val="0037789B"/>
    <w:rsid w:val="00383904"/>
    <w:rsid w:val="003907B7"/>
    <w:rsid w:val="003A2899"/>
    <w:rsid w:val="003B2221"/>
    <w:rsid w:val="003B321F"/>
    <w:rsid w:val="003C55CE"/>
    <w:rsid w:val="003C66A8"/>
    <w:rsid w:val="003D40FB"/>
    <w:rsid w:val="003E1D58"/>
    <w:rsid w:val="003F27CB"/>
    <w:rsid w:val="003F4013"/>
    <w:rsid w:val="004069C7"/>
    <w:rsid w:val="00423162"/>
    <w:rsid w:val="004262C3"/>
    <w:rsid w:val="00431ABA"/>
    <w:rsid w:val="00441C10"/>
    <w:rsid w:val="00441CBF"/>
    <w:rsid w:val="00447D7B"/>
    <w:rsid w:val="00454D0C"/>
    <w:rsid w:val="00466B9D"/>
    <w:rsid w:val="00472F4C"/>
    <w:rsid w:val="00473D01"/>
    <w:rsid w:val="004742DE"/>
    <w:rsid w:val="004A34A8"/>
    <w:rsid w:val="004A566A"/>
    <w:rsid w:val="004B5975"/>
    <w:rsid w:val="004B718A"/>
    <w:rsid w:val="004C1EFE"/>
    <w:rsid w:val="004C42EE"/>
    <w:rsid w:val="004C640E"/>
    <w:rsid w:val="004C6919"/>
    <w:rsid w:val="004D05B2"/>
    <w:rsid w:val="004E1666"/>
    <w:rsid w:val="004E4AC6"/>
    <w:rsid w:val="004F6957"/>
    <w:rsid w:val="005009E1"/>
    <w:rsid w:val="00502703"/>
    <w:rsid w:val="00511884"/>
    <w:rsid w:val="005119E8"/>
    <w:rsid w:val="00522CD3"/>
    <w:rsid w:val="00523611"/>
    <w:rsid w:val="005259D0"/>
    <w:rsid w:val="00527591"/>
    <w:rsid w:val="00532126"/>
    <w:rsid w:val="0053244F"/>
    <w:rsid w:val="00541B8A"/>
    <w:rsid w:val="005510C0"/>
    <w:rsid w:val="00555567"/>
    <w:rsid w:val="00556DA2"/>
    <w:rsid w:val="00556EDD"/>
    <w:rsid w:val="00572BDD"/>
    <w:rsid w:val="005936B5"/>
    <w:rsid w:val="0059403C"/>
    <w:rsid w:val="00594B83"/>
    <w:rsid w:val="0059569A"/>
    <w:rsid w:val="005C1182"/>
    <w:rsid w:val="005C1F00"/>
    <w:rsid w:val="005D5646"/>
    <w:rsid w:val="006168AA"/>
    <w:rsid w:val="006176BC"/>
    <w:rsid w:val="00620827"/>
    <w:rsid w:val="00624C90"/>
    <w:rsid w:val="0062762C"/>
    <w:rsid w:val="00627ECD"/>
    <w:rsid w:val="00633376"/>
    <w:rsid w:val="006340A5"/>
    <w:rsid w:val="00637454"/>
    <w:rsid w:val="006468D4"/>
    <w:rsid w:val="0064779A"/>
    <w:rsid w:val="006532F7"/>
    <w:rsid w:val="00660078"/>
    <w:rsid w:val="006719A1"/>
    <w:rsid w:val="006746E9"/>
    <w:rsid w:val="0068003B"/>
    <w:rsid w:val="00680B02"/>
    <w:rsid w:val="00681F65"/>
    <w:rsid w:val="006871E9"/>
    <w:rsid w:val="00691A88"/>
    <w:rsid w:val="00695E8B"/>
    <w:rsid w:val="006A02E3"/>
    <w:rsid w:val="006A5F93"/>
    <w:rsid w:val="006B4A98"/>
    <w:rsid w:val="006B516D"/>
    <w:rsid w:val="006B572A"/>
    <w:rsid w:val="006C7FC4"/>
    <w:rsid w:val="006E6CAA"/>
    <w:rsid w:val="00721B97"/>
    <w:rsid w:val="00725E7B"/>
    <w:rsid w:val="007274C7"/>
    <w:rsid w:val="00750259"/>
    <w:rsid w:val="00754D47"/>
    <w:rsid w:val="00756D93"/>
    <w:rsid w:val="00761B9C"/>
    <w:rsid w:val="00761F2A"/>
    <w:rsid w:val="0076706F"/>
    <w:rsid w:val="00771124"/>
    <w:rsid w:val="00795789"/>
    <w:rsid w:val="00797A63"/>
    <w:rsid w:val="007A2163"/>
    <w:rsid w:val="007A4F30"/>
    <w:rsid w:val="007B5803"/>
    <w:rsid w:val="007D0F66"/>
    <w:rsid w:val="007F1712"/>
    <w:rsid w:val="007F5C79"/>
    <w:rsid w:val="007F7F8A"/>
    <w:rsid w:val="00802661"/>
    <w:rsid w:val="00811F59"/>
    <w:rsid w:val="00820C07"/>
    <w:rsid w:val="008344EC"/>
    <w:rsid w:val="00842224"/>
    <w:rsid w:val="0084572B"/>
    <w:rsid w:val="008461D7"/>
    <w:rsid w:val="00853668"/>
    <w:rsid w:val="0086522A"/>
    <w:rsid w:val="00866879"/>
    <w:rsid w:val="00876653"/>
    <w:rsid w:val="00877DBD"/>
    <w:rsid w:val="00883204"/>
    <w:rsid w:val="0088551D"/>
    <w:rsid w:val="00885EAF"/>
    <w:rsid w:val="00886756"/>
    <w:rsid w:val="008915D7"/>
    <w:rsid w:val="0089793B"/>
    <w:rsid w:val="008A06BC"/>
    <w:rsid w:val="008A254C"/>
    <w:rsid w:val="008A3313"/>
    <w:rsid w:val="008A7CD7"/>
    <w:rsid w:val="008B4B1A"/>
    <w:rsid w:val="008B6F9A"/>
    <w:rsid w:val="008C2D3A"/>
    <w:rsid w:val="008E2D1C"/>
    <w:rsid w:val="008F72B1"/>
    <w:rsid w:val="009057FD"/>
    <w:rsid w:val="009106C9"/>
    <w:rsid w:val="00913888"/>
    <w:rsid w:val="00936849"/>
    <w:rsid w:val="00943D45"/>
    <w:rsid w:val="0095156B"/>
    <w:rsid w:val="009520F6"/>
    <w:rsid w:val="00953AFC"/>
    <w:rsid w:val="00957503"/>
    <w:rsid w:val="00970495"/>
    <w:rsid w:val="009718F1"/>
    <w:rsid w:val="0097760B"/>
    <w:rsid w:val="0097775C"/>
    <w:rsid w:val="0098034E"/>
    <w:rsid w:val="009845A6"/>
    <w:rsid w:val="00984927"/>
    <w:rsid w:val="009970C3"/>
    <w:rsid w:val="009A34A8"/>
    <w:rsid w:val="009A3A27"/>
    <w:rsid w:val="009A48AB"/>
    <w:rsid w:val="009A65BD"/>
    <w:rsid w:val="009C41A3"/>
    <w:rsid w:val="009D77FB"/>
    <w:rsid w:val="009E1E60"/>
    <w:rsid w:val="009E23D6"/>
    <w:rsid w:val="009E4DFF"/>
    <w:rsid w:val="009E693B"/>
    <w:rsid w:val="00A101C2"/>
    <w:rsid w:val="00A11AFB"/>
    <w:rsid w:val="00A136AE"/>
    <w:rsid w:val="00A204ED"/>
    <w:rsid w:val="00A20E9A"/>
    <w:rsid w:val="00A229D8"/>
    <w:rsid w:val="00A23919"/>
    <w:rsid w:val="00A26077"/>
    <w:rsid w:val="00A41558"/>
    <w:rsid w:val="00A427C3"/>
    <w:rsid w:val="00A47F70"/>
    <w:rsid w:val="00A53A33"/>
    <w:rsid w:val="00A553F3"/>
    <w:rsid w:val="00A67E2A"/>
    <w:rsid w:val="00A73C12"/>
    <w:rsid w:val="00A927CF"/>
    <w:rsid w:val="00A97432"/>
    <w:rsid w:val="00AA3BE1"/>
    <w:rsid w:val="00AB0F81"/>
    <w:rsid w:val="00AB239B"/>
    <w:rsid w:val="00AB34FC"/>
    <w:rsid w:val="00AB4A1B"/>
    <w:rsid w:val="00AB616B"/>
    <w:rsid w:val="00AB6D95"/>
    <w:rsid w:val="00AC70EE"/>
    <w:rsid w:val="00AE081A"/>
    <w:rsid w:val="00AE3BA7"/>
    <w:rsid w:val="00AE7441"/>
    <w:rsid w:val="00B14CB5"/>
    <w:rsid w:val="00B23575"/>
    <w:rsid w:val="00B31341"/>
    <w:rsid w:val="00B31906"/>
    <w:rsid w:val="00B45203"/>
    <w:rsid w:val="00B460B9"/>
    <w:rsid w:val="00B529AB"/>
    <w:rsid w:val="00B53BC7"/>
    <w:rsid w:val="00B55E5A"/>
    <w:rsid w:val="00B62AEA"/>
    <w:rsid w:val="00B62C15"/>
    <w:rsid w:val="00B708E3"/>
    <w:rsid w:val="00B747B7"/>
    <w:rsid w:val="00B74ECA"/>
    <w:rsid w:val="00B76FE0"/>
    <w:rsid w:val="00B83860"/>
    <w:rsid w:val="00B84EFE"/>
    <w:rsid w:val="00B856E6"/>
    <w:rsid w:val="00B86AE2"/>
    <w:rsid w:val="00B91612"/>
    <w:rsid w:val="00B937C9"/>
    <w:rsid w:val="00B96AC7"/>
    <w:rsid w:val="00BB7580"/>
    <w:rsid w:val="00BE55E2"/>
    <w:rsid w:val="00BE7A52"/>
    <w:rsid w:val="00BF0AE6"/>
    <w:rsid w:val="00BF19F0"/>
    <w:rsid w:val="00C06897"/>
    <w:rsid w:val="00C11018"/>
    <w:rsid w:val="00C12099"/>
    <w:rsid w:val="00C15F0C"/>
    <w:rsid w:val="00C23BAD"/>
    <w:rsid w:val="00C2539E"/>
    <w:rsid w:val="00C53EDE"/>
    <w:rsid w:val="00C643F5"/>
    <w:rsid w:val="00C75477"/>
    <w:rsid w:val="00C90BF4"/>
    <w:rsid w:val="00CD35CE"/>
    <w:rsid w:val="00CE3484"/>
    <w:rsid w:val="00CE7596"/>
    <w:rsid w:val="00D263F5"/>
    <w:rsid w:val="00D36FBA"/>
    <w:rsid w:val="00D5435A"/>
    <w:rsid w:val="00D75EAF"/>
    <w:rsid w:val="00D85862"/>
    <w:rsid w:val="00D85D20"/>
    <w:rsid w:val="00D87553"/>
    <w:rsid w:val="00D97E3C"/>
    <w:rsid w:val="00DA1BC5"/>
    <w:rsid w:val="00DD6635"/>
    <w:rsid w:val="00DE77EE"/>
    <w:rsid w:val="00E00C69"/>
    <w:rsid w:val="00E03F26"/>
    <w:rsid w:val="00E053CE"/>
    <w:rsid w:val="00E214E5"/>
    <w:rsid w:val="00E24CB4"/>
    <w:rsid w:val="00E30942"/>
    <w:rsid w:val="00E42A11"/>
    <w:rsid w:val="00E4491C"/>
    <w:rsid w:val="00E44AA4"/>
    <w:rsid w:val="00E45C9F"/>
    <w:rsid w:val="00E56BAB"/>
    <w:rsid w:val="00E63A8F"/>
    <w:rsid w:val="00E66376"/>
    <w:rsid w:val="00E67F8E"/>
    <w:rsid w:val="00E744AA"/>
    <w:rsid w:val="00E76BE9"/>
    <w:rsid w:val="00E80068"/>
    <w:rsid w:val="00E853CE"/>
    <w:rsid w:val="00E86B24"/>
    <w:rsid w:val="00E9222E"/>
    <w:rsid w:val="00E96BC7"/>
    <w:rsid w:val="00EA616D"/>
    <w:rsid w:val="00EB2FFA"/>
    <w:rsid w:val="00EB34DF"/>
    <w:rsid w:val="00EB3861"/>
    <w:rsid w:val="00EB6A12"/>
    <w:rsid w:val="00ED56B2"/>
    <w:rsid w:val="00EE02D0"/>
    <w:rsid w:val="00EE6206"/>
    <w:rsid w:val="00EF07F3"/>
    <w:rsid w:val="00EF0D8C"/>
    <w:rsid w:val="00F04ACF"/>
    <w:rsid w:val="00F14014"/>
    <w:rsid w:val="00F1565E"/>
    <w:rsid w:val="00F36F66"/>
    <w:rsid w:val="00F531C8"/>
    <w:rsid w:val="00F56C8E"/>
    <w:rsid w:val="00F6373C"/>
    <w:rsid w:val="00F6506D"/>
    <w:rsid w:val="00F86B52"/>
    <w:rsid w:val="00F87395"/>
    <w:rsid w:val="00F95E68"/>
    <w:rsid w:val="00FB102D"/>
    <w:rsid w:val="00FB2EF5"/>
    <w:rsid w:val="00FB771D"/>
    <w:rsid w:val="00FC2902"/>
    <w:rsid w:val="00FD3140"/>
    <w:rsid w:val="00FE7020"/>
    <w:rsid w:val="00FF0763"/>
    <w:rsid w:val="00FF7E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AE573"/>
  <w15:docId w15:val="{3F14CDBE-7AF3-4753-8BCB-49740EA7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90BF4"/>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473D01"/>
    <w:pPr>
      <w:ind w:left="720"/>
      <w:contextualSpacing/>
    </w:pPr>
  </w:style>
  <w:style w:type="character" w:styleId="CommentReference">
    <w:name w:val="annotation reference"/>
    <w:basedOn w:val="DefaultParagraphFont"/>
    <w:semiHidden/>
    <w:unhideWhenUsed/>
    <w:rsid w:val="004D05B2"/>
    <w:rPr>
      <w:sz w:val="16"/>
      <w:szCs w:val="16"/>
    </w:rPr>
  </w:style>
  <w:style w:type="paragraph" w:styleId="CommentText">
    <w:name w:val="annotation text"/>
    <w:basedOn w:val="Normal"/>
    <w:link w:val="CommentTextChar"/>
    <w:unhideWhenUsed/>
    <w:rsid w:val="004D05B2"/>
    <w:pPr>
      <w:suppressAutoHyphens/>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D05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05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5B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B3861"/>
    <w:pPr>
      <w:suppressAutoHyphens w:val="0"/>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3861"/>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7B58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803"/>
    <w:rPr>
      <w:sz w:val="20"/>
      <w:szCs w:val="20"/>
    </w:rPr>
  </w:style>
  <w:style w:type="character" w:styleId="EndnoteReference">
    <w:name w:val="endnote reference"/>
    <w:basedOn w:val="DefaultParagraphFont"/>
    <w:uiPriority w:val="99"/>
    <w:semiHidden/>
    <w:unhideWhenUsed/>
    <w:rsid w:val="007B5803"/>
    <w:rPr>
      <w:vertAlign w:val="superscript"/>
    </w:rPr>
  </w:style>
  <w:style w:type="paragraph" w:styleId="FootnoteText">
    <w:name w:val="footnote text"/>
    <w:basedOn w:val="Normal"/>
    <w:link w:val="FootnoteTextChar"/>
    <w:uiPriority w:val="99"/>
    <w:unhideWhenUsed/>
    <w:rsid w:val="00292191"/>
    <w:pPr>
      <w:spacing w:after="0" w:line="240" w:lineRule="auto"/>
    </w:pPr>
    <w:rPr>
      <w:sz w:val="20"/>
      <w:szCs w:val="20"/>
    </w:rPr>
  </w:style>
  <w:style w:type="character" w:customStyle="1" w:styleId="FootnoteTextChar">
    <w:name w:val="Footnote Text Char"/>
    <w:basedOn w:val="DefaultParagraphFont"/>
    <w:link w:val="FootnoteText"/>
    <w:uiPriority w:val="99"/>
    <w:rsid w:val="00292191"/>
    <w:rPr>
      <w:sz w:val="20"/>
      <w:szCs w:val="20"/>
    </w:rPr>
  </w:style>
  <w:style w:type="character" w:styleId="FootnoteReference">
    <w:name w:val="footnote reference"/>
    <w:basedOn w:val="DefaultParagraphFont"/>
    <w:uiPriority w:val="99"/>
    <w:unhideWhenUsed/>
    <w:rsid w:val="00292191"/>
    <w:rPr>
      <w:vertAlign w:val="superscript"/>
    </w:rPr>
  </w:style>
  <w:style w:type="paragraph" w:styleId="NormalWeb">
    <w:name w:val="Normal (Web)"/>
    <w:basedOn w:val="Normal"/>
    <w:uiPriority w:val="99"/>
    <w:unhideWhenUsed/>
    <w:rsid w:val="005259D0"/>
    <w:pPr>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5259D0"/>
    <w:rPr>
      <w:color w:val="0000FF"/>
      <w:u w:val="single"/>
    </w:rPr>
  </w:style>
  <w:style w:type="paragraph" w:customStyle="1" w:styleId="m-7586733700615645967msolistparagraph">
    <w:name w:val="m_-7586733700615645967msolistparagraph"/>
    <w:basedOn w:val="Normal"/>
    <w:rsid w:val="005259D0"/>
    <w:pPr>
      <w:spacing w:before="100" w:beforeAutospacing="1" w:after="100" w:afterAutospacing="1"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5259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59D0"/>
  </w:style>
  <w:style w:type="paragraph" w:styleId="Footer">
    <w:name w:val="footer"/>
    <w:basedOn w:val="Normal"/>
    <w:link w:val="FooterChar"/>
    <w:uiPriority w:val="99"/>
    <w:unhideWhenUsed/>
    <w:rsid w:val="005259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59D0"/>
  </w:style>
  <w:style w:type="paragraph" w:styleId="Revision">
    <w:name w:val="Revision"/>
    <w:hidden/>
    <w:uiPriority w:val="99"/>
    <w:semiHidden/>
    <w:rsid w:val="0089793B"/>
    <w:pPr>
      <w:spacing w:after="0" w:line="240" w:lineRule="auto"/>
    </w:pPr>
  </w:style>
  <w:style w:type="character" w:styleId="UnresolvedMention">
    <w:name w:val="Unresolved Mention"/>
    <w:basedOn w:val="DefaultParagraphFont"/>
    <w:uiPriority w:val="99"/>
    <w:semiHidden/>
    <w:unhideWhenUsed/>
    <w:rsid w:val="0069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1890">
      <w:bodyDiv w:val="1"/>
      <w:marLeft w:val="0"/>
      <w:marRight w:val="0"/>
      <w:marTop w:val="0"/>
      <w:marBottom w:val="0"/>
      <w:divBdr>
        <w:top w:val="none" w:sz="0" w:space="0" w:color="auto"/>
        <w:left w:val="none" w:sz="0" w:space="0" w:color="auto"/>
        <w:bottom w:val="none" w:sz="0" w:space="0" w:color="auto"/>
        <w:right w:val="none" w:sz="0" w:space="0" w:color="auto"/>
      </w:divBdr>
    </w:div>
    <w:div w:id="364133387">
      <w:bodyDiv w:val="1"/>
      <w:marLeft w:val="0"/>
      <w:marRight w:val="0"/>
      <w:marTop w:val="0"/>
      <w:marBottom w:val="0"/>
      <w:divBdr>
        <w:top w:val="none" w:sz="0" w:space="0" w:color="auto"/>
        <w:left w:val="none" w:sz="0" w:space="0" w:color="auto"/>
        <w:bottom w:val="none" w:sz="0" w:space="0" w:color="auto"/>
        <w:right w:val="none" w:sz="0" w:space="0" w:color="auto"/>
      </w:divBdr>
    </w:div>
    <w:div w:id="375399763">
      <w:bodyDiv w:val="1"/>
      <w:marLeft w:val="0"/>
      <w:marRight w:val="0"/>
      <w:marTop w:val="0"/>
      <w:marBottom w:val="0"/>
      <w:divBdr>
        <w:top w:val="none" w:sz="0" w:space="0" w:color="auto"/>
        <w:left w:val="none" w:sz="0" w:space="0" w:color="auto"/>
        <w:bottom w:val="none" w:sz="0" w:space="0" w:color="auto"/>
        <w:right w:val="none" w:sz="0" w:space="0" w:color="auto"/>
      </w:divBdr>
    </w:div>
    <w:div w:id="380710046">
      <w:bodyDiv w:val="1"/>
      <w:marLeft w:val="0"/>
      <w:marRight w:val="0"/>
      <w:marTop w:val="0"/>
      <w:marBottom w:val="0"/>
      <w:divBdr>
        <w:top w:val="none" w:sz="0" w:space="0" w:color="auto"/>
        <w:left w:val="none" w:sz="0" w:space="0" w:color="auto"/>
        <w:bottom w:val="none" w:sz="0" w:space="0" w:color="auto"/>
        <w:right w:val="none" w:sz="0" w:space="0" w:color="auto"/>
      </w:divBdr>
    </w:div>
    <w:div w:id="394090006">
      <w:bodyDiv w:val="1"/>
      <w:marLeft w:val="0"/>
      <w:marRight w:val="0"/>
      <w:marTop w:val="0"/>
      <w:marBottom w:val="0"/>
      <w:divBdr>
        <w:top w:val="none" w:sz="0" w:space="0" w:color="auto"/>
        <w:left w:val="none" w:sz="0" w:space="0" w:color="auto"/>
        <w:bottom w:val="none" w:sz="0" w:space="0" w:color="auto"/>
        <w:right w:val="none" w:sz="0" w:space="0" w:color="auto"/>
      </w:divBdr>
    </w:div>
    <w:div w:id="826942113">
      <w:bodyDiv w:val="1"/>
      <w:marLeft w:val="0"/>
      <w:marRight w:val="0"/>
      <w:marTop w:val="0"/>
      <w:marBottom w:val="0"/>
      <w:divBdr>
        <w:top w:val="none" w:sz="0" w:space="0" w:color="auto"/>
        <w:left w:val="none" w:sz="0" w:space="0" w:color="auto"/>
        <w:bottom w:val="none" w:sz="0" w:space="0" w:color="auto"/>
        <w:right w:val="none" w:sz="0" w:space="0" w:color="auto"/>
      </w:divBdr>
    </w:div>
    <w:div w:id="945502326">
      <w:bodyDiv w:val="1"/>
      <w:marLeft w:val="0"/>
      <w:marRight w:val="0"/>
      <w:marTop w:val="0"/>
      <w:marBottom w:val="0"/>
      <w:divBdr>
        <w:top w:val="none" w:sz="0" w:space="0" w:color="auto"/>
        <w:left w:val="none" w:sz="0" w:space="0" w:color="auto"/>
        <w:bottom w:val="none" w:sz="0" w:space="0" w:color="auto"/>
        <w:right w:val="none" w:sz="0" w:space="0" w:color="auto"/>
      </w:divBdr>
    </w:div>
    <w:div w:id="974485761">
      <w:bodyDiv w:val="1"/>
      <w:marLeft w:val="0"/>
      <w:marRight w:val="0"/>
      <w:marTop w:val="0"/>
      <w:marBottom w:val="0"/>
      <w:divBdr>
        <w:top w:val="none" w:sz="0" w:space="0" w:color="auto"/>
        <w:left w:val="none" w:sz="0" w:space="0" w:color="auto"/>
        <w:bottom w:val="none" w:sz="0" w:space="0" w:color="auto"/>
        <w:right w:val="none" w:sz="0" w:space="0" w:color="auto"/>
      </w:divBdr>
    </w:div>
    <w:div w:id="1182815665">
      <w:bodyDiv w:val="1"/>
      <w:marLeft w:val="0"/>
      <w:marRight w:val="0"/>
      <w:marTop w:val="0"/>
      <w:marBottom w:val="0"/>
      <w:divBdr>
        <w:top w:val="none" w:sz="0" w:space="0" w:color="auto"/>
        <w:left w:val="none" w:sz="0" w:space="0" w:color="auto"/>
        <w:bottom w:val="none" w:sz="0" w:space="0" w:color="auto"/>
        <w:right w:val="none" w:sz="0" w:space="0" w:color="auto"/>
      </w:divBdr>
    </w:div>
    <w:div w:id="1186216238">
      <w:bodyDiv w:val="1"/>
      <w:marLeft w:val="0"/>
      <w:marRight w:val="0"/>
      <w:marTop w:val="0"/>
      <w:marBottom w:val="0"/>
      <w:divBdr>
        <w:top w:val="none" w:sz="0" w:space="0" w:color="auto"/>
        <w:left w:val="none" w:sz="0" w:space="0" w:color="auto"/>
        <w:bottom w:val="none" w:sz="0" w:space="0" w:color="auto"/>
        <w:right w:val="none" w:sz="0" w:space="0" w:color="auto"/>
      </w:divBdr>
    </w:div>
    <w:div w:id="1327977256">
      <w:bodyDiv w:val="1"/>
      <w:marLeft w:val="0"/>
      <w:marRight w:val="0"/>
      <w:marTop w:val="0"/>
      <w:marBottom w:val="0"/>
      <w:divBdr>
        <w:top w:val="none" w:sz="0" w:space="0" w:color="auto"/>
        <w:left w:val="none" w:sz="0" w:space="0" w:color="auto"/>
        <w:bottom w:val="none" w:sz="0" w:space="0" w:color="auto"/>
        <w:right w:val="none" w:sz="0" w:space="0" w:color="auto"/>
      </w:divBdr>
    </w:div>
    <w:div w:id="1337228195">
      <w:bodyDiv w:val="1"/>
      <w:marLeft w:val="0"/>
      <w:marRight w:val="0"/>
      <w:marTop w:val="0"/>
      <w:marBottom w:val="0"/>
      <w:divBdr>
        <w:top w:val="none" w:sz="0" w:space="0" w:color="auto"/>
        <w:left w:val="none" w:sz="0" w:space="0" w:color="auto"/>
        <w:bottom w:val="none" w:sz="0" w:space="0" w:color="auto"/>
        <w:right w:val="none" w:sz="0" w:space="0" w:color="auto"/>
      </w:divBdr>
    </w:div>
    <w:div w:id="1560433360">
      <w:bodyDiv w:val="1"/>
      <w:marLeft w:val="0"/>
      <w:marRight w:val="0"/>
      <w:marTop w:val="0"/>
      <w:marBottom w:val="0"/>
      <w:divBdr>
        <w:top w:val="none" w:sz="0" w:space="0" w:color="auto"/>
        <w:left w:val="none" w:sz="0" w:space="0" w:color="auto"/>
        <w:bottom w:val="none" w:sz="0" w:space="0" w:color="auto"/>
        <w:right w:val="none" w:sz="0" w:space="0" w:color="auto"/>
      </w:divBdr>
    </w:div>
    <w:div w:id="1958877628">
      <w:bodyDiv w:val="1"/>
      <w:marLeft w:val="0"/>
      <w:marRight w:val="0"/>
      <w:marTop w:val="0"/>
      <w:marBottom w:val="0"/>
      <w:divBdr>
        <w:top w:val="none" w:sz="0" w:space="0" w:color="auto"/>
        <w:left w:val="none" w:sz="0" w:space="0" w:color="auto"/>
        <w:bottom w:val="none" w:sz="0" w:space="0" w:color="auto"/>
        <w:right w:val="none" w:sz="0" w:space="0" w:color="auto"/>
      </w:divBdr>
    </w:div>
    <w:div w:id="19793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cyj.org.uk/ab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cyj.org.uk" TargetMode="External"/><Relationship Id="rId2" Type="http://schemas.openxmlformats.org/officeDocument/2006/relationships/hyperlink" Target="mailto:milie.harris@scyj.org.uk" TargetMode="External"/><Relationship Id="rId1" Type="http://schemas.openxmlformats.org/officeDocument/2006/relationships/image" Target="media/image2.png"/><Relationship Id="rId4" Type="http://schemas.openxmlformats.org/officeDocument/2006/relationships/hyperlink" Target="file:///C:/Documents%20and%20Settings/ABoehm/Local%20Settings/Temp/wwww.twitter.com/theSCY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BCBEA9-AC39-4B31-AD9D-25F4FF795BFA}">
  <ds:schemaRefs>
    <ds:schemaRef ds:uri="http://schemas.openxmlformats.org/officeDocument/2006/bibliography"/>
  </ds:schemaRefs>
</ds:datastoreItem>
</file>

<file path=customXml/itemProps2.xml><?xml version="1.0" encoding="utf-8"?>
<ds:datastoreItem xmlns:ds="http://schemas.openxmlformats.org/officeDocument/2006/customXml" ds:itemID="{436B4EA7-9D8F-451B-B4A8-1C961C78F344}">
  <ds:schemaRefs>
    <ds:schemaRef ds:uri="http://schemas.openxmlformats.org/officeDocument/2006/bibliography"/>
  </ds:schemaRefs>
</ds:datastoreItem>
</file>

<file path=customXml/itemProps3.xml><?xml version="1.0" encoding="utf-8"?>
<ds:datastoreItem xmlns:ds="http://schemas.openxmlformats.org/officeDocument/2006/customXml" ds:itemID="{46A83B97-95B9-418A-8465-43BC2FCD041D}">
  <ds:schemaRefs>
    <ds:schemaRef ds:uri="http://schemas.openxmlformats.org/officeDocument/2006/bibliography"/>
  </ds:schemaRefs>
</ds:datastoreItem>
</file>

<file path=customXml/itemProps4.xml><?xml version="1.0" encoding="utf-8"?>
<ds:datastoreItem xmlns:ds="http://schemas.openxmlformats.org/officeDocument/2006/customXml" ds:itemID="{716959BB-B0FF-439C-8172-A6307EE47125}"/>
</file>

<file path=customXml/itemProps5.xml><?xml version="1.0" encoding="utf-8"?>
<ds:datastoreItem xmlns:ds="http://schemas.openxmlformats.org/officeDocument/2006/customXml" ds:itemID="{FDDB441D-612D-4AAD-B4D5-9A60D3E2D29A}"/>
</file>

<file path=customXml/itemProps6.xml><?xml version="1.0" encoding="utf-8"?>
<ds:datastoreItem xmlns:ds="http://schemas.openxmlformats.org/officeDocument/2006/customXml" ds:itemID="{89CC0B34-23CD-450F-93B8-B0E4CA822FF4}"/>
</file>

<file path=docProps/app.xml><?xml version="1.0" encoding="utf-8"?>
<Properties xmlns="http://schemas.openxmlformats.org/officeDocument/2006/extended-properties" xmlns:vt="http://schemas.openxmlformats.org/officeDocument/2006/docPropsVTypes">
  <Template>Normal</Template>
  <TotalTime>3</TotalTime>
  <Pages>5</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Boehm</dc:creator>
  <cp:keywords/>
  <dc:description/>
  <cp:lastModifiedBy>Anna Boehm</cp:lastModifiedBy>
  <cp:revision>5</cp:revision>
  <dcterms:created xsi:type="dcterms:W3CDTF">2019-01-07T15:31:00Z</dcterms:created>
  <dcterms:modified xsi:type="dcterms:W3CDTF">2019-01-07T15:34:00Z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