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8A928" w14:textId="77777777" w:rsidR="00B63615" w:rsidRPr="00DC299F" w:rsidRDefault="00B63615" w:rsidP="008F08AE">
      <w:pPr>
        <w:pStyle w:val="HChG"/>
      </w:pPr>
      <w:r w:rsidRPr="00DC299F">
        <w:tab/>
      </w:r>
      <w:r w:rsidRPr="00DC299F">
        <w:tab/>
        <w:t xml:space="preserve">Catherine Van de </w:t>
      </w:r>
      <w:proofErr w:type="spellStart"/>
      <w:r w:rsidRPr="00DC299F">
        <w:t>Heyning</w:t>
      </w:r>
      <w:proofErr w:type="spellEnd"/>
      <w:r w:rsidRPr="00DC299F">
        <w:t xml:space="preserve"> (Belgium)</w:t>
      </w:r>
    </w:p>
    <w:p w14:paraId="0D7E70A0" w14:textId="77777777" w:rsidR="00B63615" w:rsidRPr="00DC299F" w:rsidRDefault="00B63615" w:rsidP="008F08AE">
      <w:pPr>
        <w:pStyle w:val="H1G"/>
      </w:pPr>
      <w:r w:rsidRPr="00DC299F">
        <w:tab/>
      </w:r>
      <w:r w:rsidRPr="00DC299F">
        <w:tab/>
        <w:t>Working languages</w:t>
      </w:r>
    </w:p>
    <w:p w14:paraId="46B35ECD" w14:textId="77777777" w:rsidR="00B63615" w:rsidRPr="00DC299F" w:rsidRDefault="00B63615" w:rsidP="00B63615">
      <w:pPr>
        <w:pStyle w:val="SingleTxtG"/>
      </w:pPr>
      <w:r w:rsidRPr="00DC299F">
        <w:t xml:space="preserve">English (Fluent), French (fluent), Dutch (native), </w:t>
      </w:r>
      <w:proofErr w:type="gramStart"/>
      <w:r w:rsidRPr="00DC299F">
        <w:t>Spanish</w:t>
      </w:r>
      <w:proofErr w:type="gramEnd"/>
      <w:r w:rsidRPr="00DC299F">
        <w:t xml:space="preserve"> (good notions)</w:t>
      </w:r>
    </w:p>
    <w:p w14:paraId="6A48AC8C" w14:textId="77777777" w:rsidR="00B63615" w:rsidRPr="00DC299F" w:rsidRDefault="00B63615" w:rsidP="008F08AE">
      <w:pPr>
        <w:pStyle w:val="H1G"/>
      </w:pPr>
      <w:r w:rsidRPr="00DC299F">
        <w:tab/>
      </w:r>
      <w:r w:rsidRPr="00DC299F">
        <w:tab/>
        <w:t>Current position/function</w:t>
      </w:r>
    </w:p>
    <w:p w14:paraId="01105B0B" w14:textId="77777777" w:rsidR="00B63615" w:rsidRPr="00DC299F" w:rsidRDefault="00B63615" w:rsidP="00B63615">
      <w:pPr>
        <w:pStyle w:val="SingleTxtG"/>
      </w:pPr>
      <w:r w:rsidRPr="00DC299F">
        <w:t>Professor of Fundamental Rights at the University of Antwerp; Attorney at Law</w:t>
      </w:r>
    </w:p>
    <w:p w14:paraId="6B8162DA" w14:textId="77777777" w:rsidR="00B63615" w:rsidRPr="00DC299F" w:rsidRDefault="00B63615" w:rsidP="008F08AE">
      <w:pPr>
        <w:pStyle w:val="Bullet1G"/>
      </w:pPr>
      <w:r w:rsidRPr="00DC299F">
        <w:t>Professor of Fundamental Rights, University of Antwerp (Belgium)</w:t>
      </w:r>
    </w:p>
    <w:p w14:paraId="5DBA2554" w14:textId="77777777" w:rsidR="00B63615" w:rsidRPr="00DC299F" w:rsidRDefault="00B63615" w:rsidP="008F08AE">
      <w:pPr>
        <w:pStyle w:val="Bullet1G"/>
      </w:pPr>
      <w:r w:rsidRPr="00DC299F">
        <w:t xml:space="preserve">Professor </w:t>
      </w:r>
      <w:proofErr w:type="spellStart"/>
      <w:proofErr w:type="gramStart"/>
      <w:r w:rsidRPr="00DC299F">
        <w:t>supl</w:t>
      </w:r>
      <w:proofErr w:type="spellEnd"/>
      <w:proofErr w:type="gramEnd"/>
      <w:r w:rsidRPr="00DC299F">
        <w:t xml:space="preserve">. Law of criminal procedure and juvenile law, University of Antwerp (Belgium, 2019 </w:t>
      </w:r>
      <w:r w:rsidR="00F96DA5">
        <w:t>–</w:t>
      </w:r>
      <w:r w:rsidRPr="00DC299F">
        <w:t xml:space="preserve"> 2020)</w:t>
      </w:r>
    </w:p>
    <w:p w14:paraId="4936EEB1" w14:textId="77777777" w:rsidR="00B63615" w:rsidRPr="00DC299F" w:rsidRDefault="00B63615" w:rsidP="008F08AE">
      <w:pPr>
        <w:pStyle w:val="Bullet1G"/>
      </w:pPr>
      <w:r w:rsidRPr="00DC299F">
        <w:t xml:space="preserve">Attorney at Law, Partner at </w:t>
      </w:r>
      <w:proofErr w:type="spellStart"/>
      <w:r w:rsidRPr="00DC299F">
        <w:t>Artes</w:t>
      </w:r>
      <w:proofErr w:type="spellEnd"/>
      <w:r w:rsidRPr="00DC299F">
        <w:t xml:space="preserve"> Law Firm, Antwerp bar (Belgium)</w:t>
      </w:r>
    </w:p>
    <w:p w14:paraId="5B6FDAB6" w14:textId="77777777" w:rsidR="00B63615" w:rsidRPr="00DC299F" w:rsidRDefault="00B63615" w:rsidP="008F08AE">
      <w:pPr>
        <w:pStyle w:val="Bullet1G"/>
      </w:pPr>
      <w:r w:rsidRPr="00DC299F">
        <w:t>Member of the Legal Expert Advisory Panel of the NGO Fair Trials</w:t>
      </w:r>
    </w:p>
    <w:p w14:paraId="6D264CDC" w14:textId="77777777" w:rsidR="00B63615" w:rsidRPr="00DC299F" w:rsidRDefault="00B63615" w:rsidP="008F08AE">
      <w:pPr>
        <w:pStyle w:val="Bullet1G"/>
      </w:pPr>
      <w:r w:rsidRPr="00DC299F">
        <w:t>Member of the editorial board of the journal in criminal law (</w:t>
      </w:r>
      <w:proofErr w:type="spellStart"/>
      <w:r w:rsidRPr="00DC299F">
        <w:t>T.Strafr</w:t>
      </w:r>
      <w:proofErr w:type="spellEnd"/>
      <w:r w:rsidRPr="00DC299F">
        <w:t>.) and the editorial board of the journal of human rights (</w:t>
      </w:r>
      <w:proofErr w:type="spellStart"/>
      <w:r w:rsidRPr="00DC299F">
        <w:t>TvM</w:t>
      </w:r>
      <w:proofErr w:type="spellEnd"/>
      <w:r w:rsidRPr="00DC299F">
        <w:t>)</w:t>
      </w:r>
    </w:p>
    <w:p w14:paraId="715F7E78" w14:textId="77777777" w:rsidR="00B63615" w:rsidRPr="00DC299F" w:rsidRDefault="00B63615" w:rsidP="008F08AE">
      <w:pPr>
        <w:pStyle w:val="H1G"/>
      </w:pPr>
      <w:r w:rsidRPr="00DC299F">
        <w:tab/>
      </w:r>
      <w:r w:rsidRPr="00DC299F">
        <w:tab/>
        <w:t>Main professional activities</w:t>
      </w:r>
    </w:p>
    <w:p w14:paraId="7783A6D2" w14:textId="77777777" w:rsidR="00B63615" w:rsidRPr="00DC299F" w:rsidRDefault="00B63615" w:rsidP="008F08AE">
      <w:pPr>
        <w:pStyle w:val="Bullet1G"/>
      </w:pPr>
      <w:r w:rsidRPr="00DC299F">
        <w:t xml:space="preserve">Acting as University Professor, Expert and Lawyer. </w:t>
      </w:r>
    </w:p>
    <w:p w14:paraId="10A3AF6B" w14:textId="77777777" w:rsidR="00B63615" w:rsidRPr="00DC299F" w:rsidRDefault="00B63615" w:rsidP="008F08AE">
      <w:pPr>
        <w:pStyle w:val="Bullet1G"/>
      </w:pPr>
      <w:r w:rsidRPr="00DC299F">
        <w:t>Professor Fundamental Rights University of Antwerp (Belgium – 2018</w:t>
      </w:r>
      <w:r w:rsidR="00F96DA5">
        <w:t>–</w:t>
      </w:r>
      <w:r w:rsidRPr="00DC299F">
        <w:t xml:space="preserve">in progress), Professor </w:t>
      </w:r>
      <w:proofErr w:type="spellStart"/>
      <w:proofErr w:type="gramStart"/>
      <w:r w:rsidRPr="00DC299F">
        <w:t>supl</w:t>
      </w:r>
      <w:proofErr w:type="spellEnd"/>
      <w:proofErr w:type="gramEnd"/>
      <w:r w:rsidRPr="00DC299F">
        <w:t>. Law of criminal procedure and juvenile law (Belgium – 2019 – in progress)</w:t>
      </w:r>
    </w:p>
    <w:p w14:paraId="728D495A" w14:textId="77777777" w:rsidR="00B63615" w:rsidRPr="00DC299F" w:rsidRDefault="00B63615" w:rsidP="008F08AE">
      <w:pPr>
        <w:pStyle w:val="Bullet1G"/>
      </w:pPr>
      <w:r w:rsidRPr="00DC299F">
        <w:t>Member of the research group Law &amp; Government, University of Antwerp (2007 – in progress)</w:t>
      </w:r>
    </w:p>
    <w:p w14:paraId="3143E55A" w14:textId="77777777" w:rsidR="00B63615" w:rsidRPr="00DC299F" w:rsidRDefault="00B63615" w:rsidP="008F08AE">
      <w:pPr>
        <w:pStyle w:val="Bullet1G"/>
      </w:pPr>
      <w:r w:rsidRPr="00DC299F">
        <w:t xml:space="preserve">Professor of Fundamental rights law (law of </w:t>
      </w:r>
      <w:proofErr w:type="spellStart"/>
      <w:r w:rsidRPr="00DC299F">
        <w:t>defense</w:t>
      </w:r>
      <w:proofErr w:type="spellEnd"/>
      <w:r w:rsidRPr="00DC299F">
        <w:t>), Brussels University VUB (Belgium – 2016</w:t>
      </w:r>
      <w:r w:rsidR="00F96DA5">
        <w:t>–</w:t>
      </w:r>
      <w:r w:rsidRPr="00DC299F">
        <w:t xml:space="preserve"> 2018), Associate professor in criminal law UCLL (Belgium, 2014 – 2016), Associate professor fundamental rights Leiden University (Netherlands 2011 – 2012) Researcher University of Antwerp (2017 – 2011)</w:t>
      </w:r>
    </w:p>
    <w:p w14:paraId="14C277A7" w14:textId="77777777" w:rsidR="00B63615" w:rsidRPr="00DC299F" w:rsidRDefault="00B63615" w:rsidP="008F08AE">
      <w:pPr>
        <w:pStyle w:val="H1G"/>
      </w:pPr>
      <w:r w:rsidRPr="00DC299F">
        <w:tab/>
      </w:r>
      <w:r w:rsidRPr="00DC299F">
        <w:tab/>
        <w:t>Educational background</w:t>
      </w:r>
    </w:p>
    <w:p w14:paraId="0374FFDD" w14:textId="77777777" w:rsidR="00B63615" w:rsidRPr="00DC299F" w:rsidRDefault="00B63615" w:rsidP="008F08AE">
      <w:pPr>
        <w:pStyle w:val="Bullet1G"/>
      </w:pPr>
      <w:r w:rsidRPr="00DC299F">
        <w:t>Doctorate in human rights, University of Antwerp, Belgium, 2011;</w:t>
      </w:r>
    </w:p>
    <w:p w14:paraId="3A886B9F" w14:textId="77777777" w:rsidR="00B63615" w:rsidRPr="00DC299F" w:rsidRDefault="00B63615" w:rsidP="008F08AE">
      <w:pPr>
        <w:pStyle w:val="Bullet1G"/>
      </w:pPr>
      <w:r w:rsidRPr="00DC299F">
        <w:t>LL.M in human rights, University College of London, United Kingdom, 2007;</w:t>
      </w:r>
    </w:p>
    <w:p w14:paraId="1E957E4B" w14:textId="77777777" w:rsidR="00B63615" w:rsidRPr="00DC299F" w:rsidRDefault="00B63615" w:rsidP="008F08AE">
      <w:pPr>
        <w:pStyle w:val="Bullet1G"/>
      </w:pPr>
      <w:r w:rsidRPr="00DC299F">
        <w:t xml:space="preserve">M.A. &amp; B.A. in law (focus international public law and human rights law), University of Antwerp at the Faculty of Law, Belgium (Erasmus Paris V study, France 2005 </w:t>
      </w:r>
      <w:r w:rsidR="00F96DA5">
        <w:t>–</w:t>
      </w:r>
      <w:r w:rsidRPr="00DC299F">
        <w:t xml:space="preserve"> 2006), 2006</w:t>
      </w:r>
    </w:p>
    <w:p w14:paraId="681ABA51" w14:textId="77777777" w:rsidR="00B63615" w:rsidRPr="00DC299F" w:rsidRDefault="00B63615" w:rsidP="008F08AE">
      <w:pPr>
        <w:pStyle w:val="H1G"/>
      </w:pPr>
      <w:r w:rsidRPr="00DC299F">
        <w:tab/>
      </w:r>
      <w:r w:rsidRPr="00DC299F">
        <w:tab/>
        <w:t>Other main activities in the field relevant to the mandate of the treaty body concerned</w:t>
      </w:r>
    </w:p>
    <w:p w14:paraId="646AA2AB" w14:textId="77777777" w:rsidR="00B63615" w:rsidRPr="00DC299F" w:rsidRDefault="00B63615" w:rsidP="008F08AE">
      <w:pPr>
        <w:pStyle w:val="H23G"/>
      </w:pPr>
      <w:r w:rsidRPr="00DC299F">
        <w:tab/>
      </w:r>
      <w:r w:rsidRPr="00DC299F">
        <w:tab/>
        <w:t>Practical and professional training:</w:t>
      </w:r>
    </w:p>
    <w:p w14:paraId="69EF73E1" w14:textId="77777777" w:rsidR="00B63615" w:rsidRPr="00DC299F" w:rsidRDefault="00B63615" w:rsidP="008F08AE">
      <w:pPr>
        <w:pStyle w:val="Bullet1G"/>
      </w:pPr>
      <w:r w:rsidRPr="00DC299F">
        <w:t>Certificate on criminal procedure before the court of cassation, 2016</w:t>
      </w:r>
    </w:p>
    <w:p w14:paraId="223D5EF3" w14:textId="77777777" w:rsidR="00B63615" w:rsidRPr="00DC299F" w:rsidRDefault="00B63615" w:rsidP="008F08AE">
      <w:pPr>
        <w:pStyle w:val="Bullet1G"/>
      </w:pPr>
      <w:r w:rsidRPr="00DC299F">
        <w:t>Certificate in law on the International Criminal Court NUY Galway, Ireland, 2010</w:t>
      </w:r>
    </w:p>
    <w:p w14:paraId="27704C72" w14:textId="77777777" w:rsidR="00B63615" w:rsidRPr="00DC299F" w:rsidRDefault="00B63615" w:rsidP="008F08AE">
      <w:pPr>
        <w:pStyle w:val="Bullet1G"/>
      </w:pPr>
      <w:r w:rsidRPr="00DC299F">
        <w:t>International Human Rights Certificate, OSCE / George Washington University, United Kingdom, 2005</w:t>
      </w:r>
    </w:p>
    <w:p w14:paraId="1A3185C9" w14:textId="77777777" w:rsidR="00B63615" w:rsidRPr="00DC299F" w:rsidRDefault="00B63615" w:rsidP="008F08AE">
      <w:pPr>
        <w:pStyle w:val="Bullet1G"/>
      </w:pPr>
      <w:r w:rsidRPr="00DC299F">
        <w:t>International Women</w:t>
      </w:r>
      <w:r w:rsidR="00CB3B85">
        <w:t>’</w:t>
      </w:r>
      <w:r w:rsidRPr="00DC299F">
        <w:t>s Leadership Program, 2018</w:t>
      </w:r>
    </w:p>
    <w:p w14:paraId="78E637B9" w14:textId="77777777" w:rsidR="00B63615" w:rsidRPr="00DC299F" w:rsidRDefault="00B63615" w:rsidP="008F08AE">
      <w:pPr>
        <w:pStyle w:val="H23G"/>
      </w:pPr>
      <w:r w:rsidRPr="00DC299F">
        <w:lastRenderedPageBreak/>
        <w:tab/>
      </w:r>
      <w:r w:rsidRPr="00DC299F">
        <w:tab/>
        <w:t>Legal advice and expertise:</w:t>
      </w:r>
    </w:p>
    <w:p w14:paraId="32F4ADE4" w14:textId="77777777" w:rsidR="00B63615" w:rsidRPr="00DC299F" w:rsidRDefault="00B63615" w:rsidP="008F08AE">
      <w:pPr>
        <w:pStyle w:val="Bullet1G"/>
      </w:pPr>
      <w:r w:rsidRPr="00DC299F">
        <w:t xml:space="preserve">Advisory group of academic experts on EU encryption (DG Justice </w:t>
      </w:r>
      <w:r w:rsidR="00F96DA5">
        <w:t>–</w:t>
      </w:r>
      <w:r w:rsidRPr="00DC299F">
        <w:t xml:space="preserve"> early 2018)</w:t>
      </w:r>
    </w:p>
    <w:p w14:paraId="6FBFDD11" w14:textId="77777777" w:rsidR="00B63615" w:rsidRPr="00DC299F" w:rsidRDefault="00B63615" w:rsidP="008F08AE">
      <w:pPr>
        <w:pStyle w:val="Bullet1G"/>
      </w:pPr>
      <w:r w:rsidRPr="00DC299F">
        <w:t xml:space="preserve">Member of the Task Force on the digital survey (CEPS </w:t>
      </w:r>
      <w:r w:rsidR="00F96DA5">
        <w:t>–</w:t>
      </w:r>
      <w:r w:rsidRPr="00DC299F">
        <w:t xml:space="preserve"> early 2019)</w:t>
      </w:r>
    </w:p>
    <w:p w14:paraId="2E90BBD4" w14:textId="77777777" w:rsidR="00B63615" w:rsidRPr="00DC299F" w:rsidRDefault="00B63615" w:rsidP="008F08AE">
      <w:pPr>
        <w:pStyle w:val="Bullet1G"/>
      </w:pPr>
      <w:r w:rsidRPr="00DC299F">
        <w:t xml:space="preserve">Legal coordinator of the research </w:t>
      </w:r>
      <w:r w:rsidR="00CB3B85">
        <w:t>“</w:t>
      </w:r>
      <w:r w:rsidRPr="00DC299F">
        <w:t>Presumption of innocence: procedural rights in criminal proceedings</w:t>
      </w:r>
      <w:r w:rsidR="00CB3B85">
        <w:t>”</w:t>
      </w:r>
      <w:r w:rsidRPr="00DC299F">
        <w:t xml:space="preserve"> for Belgium (European Union Agency for Fundamental Rights2020)</w:t>
      </w:r>
    </w:p>
    <w:p w14:paraId="0182882A" w14:textId="77777777" w:rsidR="00B63615" w:rsidRPr="00DC299F" w:rsidRDefault="00B63615" w:rsidP="008F08AE">
      <w:pPr>
        <w:pStyle w:val="Bullet1G"/>
      </w:pPr>
      <w:r w:rsidRPr="00DC299F">
        <w:t xml:space="preserve">Legal coordinator of the research </w:t>
      </w:r>
      <w:r w:rsidR="00CB3B85">
        <w:t>“</w:t>
      </w:r>
      <w:r w:rsidRPr="00DC299F">
        <w:t>Impact on fundamental rights of the European directive on terrorism</w:t>
      </w:r>
      <w:r w:rsidR="00CB3B85">
        <w:t>”</w:t>
      </w:r>
      <w:r w:rsidRPr="00DC299F">
        <w:t xml:space="preserve"> (European Union Agency for Fundamental Rights, 2020)</w:t>
      </w:r>
    </w:p>
    <w:p w14:paraId="07AE6610" w14:textId="77777777" w:rsidR="00B63615" w:rsidRPr="00DC299F" w:rsidRDefault="00B63615" w:rsidP="008F08AE">
      <w:pPr>
        <w:pStyle w:val="H1G"/>
      </w:pPr>
      <w:r w:rsidRPr="00DC299F">
        <w:tab/>
      </w:r>
      <w:r w:rsidRPr="00DC299F">
        <w:tab/>
        <w:t>List of most recent publications</w:t>
      </w:r>
    </w:p>
    <w:p w14:paraId="488E2D22" w14:textId="77777777" w:rsidR="00B63615" w:rsidRPr="00DC299F" w:rsidRDefault="00B63615" w:rsidP="008F08AE">
      <w:pPr>
        <w:pStyle w:val="Bullet1G"/>
      </w:pPr>
      <w:r w:rsidRPr="00DC299F">
        <w:t xml:space="preserve">C. Van de </w:t>
      </w:r>
      <w:proofErr w:type="spellStart"/>
      <w:r w:rsidRPr="00DC299F">
        <w:t>Heyning</w:t>
      </w:r>
      <w:proofErr w:type="spellEnd"/>
      <w:r w:rsidRPr="00DC299F">
        <w:t xml:space="preserve">, Data Retention in Belgium in K. </w:t>
      </w:r>
      <w:proofErr w:type="spellStart"/>
      <w:r w:rsidRPr="00DC299F">
        <w:t>Bartuzi</w:t>
      </w:r>
      <w:proofErr w:type="spellEnd"/>
      <w:r w:rsidRPr="00DC299F">
        <w:t xml:space="preserve"> (ed.), European Constitutional Courts Towards Data Retention Law (Springer forthcoming 2019)</w:t>
      </w:r>
    </w:p>
    <w:p w14:paraId="116654F9" w14:textId="77777777" w:rsidR="00B63615" w:rsidRPr="00DC299F" w:rsidRDefault="00B63615" w:rsidP="008F08AE">
      <w:pPr>
        <w:pStyle w:val="Bullet1G"/>
      </w:pPr>
      <w:r w:rsidRPr="00DC299F">
        <w:t xml:space="preserve">C. Van de </w:t>
      </w:r>
      <w:proofErr w:type="spellStart"/>
      <w:r w:rsidRPr="00DC299F">
        <w:t>Heyning</w:t>
      </w:r>
      <w:proofErr w:type="spellEnd"/>
      <w:r w:rsidRPr="00DC299F">
        <w:t xml:space="preserve">, High standards of protection: data protection versus privacy in A. </w:t>
      </w:r>
      <w:proofErr w:type="spellStart"/>
      <w:r w:rsidRPr="00DC299F">
        <w:t>Pahladsingh</w:t>
      </w:r>
      <w:proofErr w:type="spellEnd"/>
      <w:r w:rsidRPr="00DC299F">
        <w:t xml:space="preserve"> et R. </w:t>
      </w:r>
      <w:proofErr w:type="spellStart"/>
      <w:r w:rsidRPr="00DC299F">
        <w:t>Grimbergen</w:t>
      </w:r>
      <w:proofErr w:type="spellEnd"/>
      <w:r w:rsidRPr="00DC299F">
        <w:t xml:space="preserve"> (</w:t>
      </w:r>
      <w:proofErr w:type="spellStart"/>
      <w:r w:rsidRPr="00DC299F">
        <w:t>eds</w:t>
      </w:r>
      <w:proofErr w:type="spellEnd"/>
      <w:r w:rsidRPr="00DC299F">
        <w:t>) The Charter and the Court of Justice of the European Union: Notable Cases from 2016</w:t>
      </w:r>
      <w:r w:rsidR="00F96DA5">
        <w:t>–</w:t>
      </w:r>
      <w:r w:rsidRPr="00DC299F">
        <w:t>2018 (Wolf Legal Publishers, 2019)</w:t>
      </w:r>
    </w:p>
    <w:p w14:paraId="1DD6878F" w14:textId="77777777" w:rsidR="00B63615" w:rsidRPr="00DC299F" w:rsidRDefault="00B63615" w:rsidP="008F08AE">
      <w:pPr>
        <w:pStyle w:val="Bullet1G"/>
      </w:pPr>
      <w:r w:rsidRPr="00DC299F">
        <w:t xml:space="preserve">C. Van de </w:t>
      </w:r>
      <w:proofErr w:type="spellStart"/>
      <w:r w:rsidRPr="00DC299F">
        <w:t>Heyning</w:t>
      </w:r>
      <w:proofErr w:type="spellEnd"/>
      <w:r w:rsidRPr="00DC299F">
        <w:t xml:space="preserve"> and P. </w:t>
      </w:r>
      <w:proofErr w:type="spellStart"/>
      <w:r w:rsidRPr="00DC299F">
        <w:t>Popelier</w:t>
      </w:r>
      <w:proofErr w:type="spellEnd"/>
      <w:r w:rsidRPr="00DC299F">
        <w:t xml:space="preserve">, </w:t>
      </w:r>
      <w:r w:rsidR="00CB3B85">
        <w:t>“</w:t>
      </w:r>
      <w:r w:rsidRPr="00DC299F">
        <w:t>The Belgian Constitution: the efficacy approach to European and global governance</w:t>
      </w:r>
      <w:r w:rsidR="00CB3B85">
        <w:t>”</w:t>
      </w:r>
      <w:r w:rsidRPr="00DC299F">
        <w:t>, in A. Albi (ed.), National constitutions in Europe and global governance: democracy, rights, the rule of law (Asser Press 2019)</w:t>
      </w:r>
    </w:p>
    <w:p w14:paraId="4A1B4E24" w14:textId="77777777" w:rsidR="00B63615" w:rsidRPr="00DC299F" w:rsidRDefault="00B63615" w:rsidP="008F08AE">
      <w:pPr>
        <w:pStyle w:val="Bullet1G"/>
      </w:pPr>
      <w:r w:rsidRPr="00DC299F">
        <w:t xml:space="preserve">C. Van de </w:t>
      </w:r>
      <w:proofErr w:type="spellStart"/>
      <w:r w:rsidRPr="00DC299F">
        <w:t>Heyning</w:t>
      </w:r>
      <w:proofErr w:type="spellEnd"/>
      <w:r w:rsidRPr="00DC299F">
        <w:t xml:space="preserve"> and P. </w:t>
      </w:r>
      <w:proofErr w:type="spellStart"/>
      <w:r w:rsidRPr="00DC299F">
        <w:t>Popelier</w:t>
      </w:r>
      <w:proofErr w:type="spellEnd"/>
      <w:r w:rsidRPr="00DC299F">
        <w:t xml:space="preserve">, </w:t>
      </w:r>
      <w:r w:rsidR="00CB3B85">
        <w:t>“</w:t>
      </w:r>
      <w:r w:rsidRPr="00DC299F">
        <w:t>Constitutional dialogue as an expression of trust and distrust in multilevel governance</w:t>
      </w:r>
      <w:r w:rsidR="00CB3B85">
        <w:t>”</w:t>
      </w:r>
      <w:r w:rsidRPr="00DC299F">
        <w:t xml:space="preserve">, in M. </w:t>
      </w:r>
      <w:proofErr w:type="spellStart"/>
      <w:r w:rsidRPr="00DC299F">
        <w:t>Belov</w:t>
      </w:r>
      <w:proofErr w:type="spellEnd"/>
      <w:r w:rsidRPr="00DC299F">
        <w:t xml:space="preserve"> (ed.), Judicial Dialogue (Eleven, 2019)</w:t>
      </w:r>
    </w:p>
    <w:p w14:paraId="1491A913" w14:textId="77777777" w:rsidR="00B63615" w:rsidRPr="00DC299F" w:rsidRDefault="00B63615" w:rsidP="008F08AE">
      <w:pPr>
        <w:pStyle w:val="Bullet1G"/>
      </w:pPr>
      <w:r w:rsidRPr="00DC299F">
        <w:t xml:space="preserve">C. Van de </w:t>
      </w:r>
      <w:proofErr w:type="spellStart"/>
      <w:r w:rsidRPr="00DC299F">
        <w:t>Heyning</w:t>
      </w:r>
      <w:proofErr w:type="spellEnd"/>
      <w:r w:rsidRPr="00DC299F">
        <w:t xml:space="preserve"> and P. </w:t>
      </w:r>
      <w:proofErr w:type="spellStart"/>
      <w:r w:rsidRPr="00DC299F">
        <w:t>Popelier</w:t>
      </w:r>
      <w:proofErr w:type="spellEnd"/>
      <w:r w:rsidRPr="00DC299F">
        <w:t xml:space="preserve">, </w:t>
      </w:r>
      <w:r w:rsidR="00CB3B85">
        <w:t>“</w:t>
      </w:r>
      <w:r w:rsidRPr="00DC299F">
        <w:t>Subsidiarity post-Brighton: procedural rationality as answer?</w:t>
      </w:r>
      <w:r w:rsidR="00CB3B85">
        <w:t>”</w:t>
      </w:r>
      <w:r w:rsidRPr="00DC299F">
        <w:t xml:space="preserve">, Leiden journal of international law 2017, </w:t>
      </w:r>
      <w:proofErr w:type="spellStart"/>
      <w:r w:rsidRPr="00DC299F">
        <w:t>vol</w:t>
      </w:r>
      <w:proofErr w:type="spellEnd"/>
      <w:r w:rsidRPr="00DC299F">
        <w:t xml:space="preserve"> 30, </w:t>
      </w:r>
      <w:proofErr w:type="spellStart"/>
      <w:r w:rsidRPr="00DC299F">
        <w:t>iss</w:t>
      </w:r>
      <w:proofErr w:type="spellEnd"/>
      <w:r w:rsidRPr="00DC299F">
        <w:t xml:space="preserve"> 1, 5 – 23</w:t>
      </w:r>
    </w:p>
    <w:p w14:paraId="33100A41" w14:textId="77777777" w:rsidR="00B63615" w:rsidRPr="00DC299F" w:rsidRDefault="00B63615" w:rsidP="008F08AE">
      <w:pPr>
        <w:pStyle w:val="Bullet1G"/>
      </w:pPr>
      <w:r w:rsidRPr="00DC299F">
        <w:t xml:space="preserve">C. Van de </w:t>
      </w:r>
      <w:proofErr w:type="spellStart"/>
      <w:r w:rsidRPr="00DC299F">
        <w:t>Heyning</w:t>
      </w:r>
      <w:proofErr w:type="spellEnd"/>
      <w:r w:rsidRPr="00DC299F">
        <w:t>, The boundaries of jurisdiction in cybercrime and constitutional protection: the European perspective</w:t>
      </w:r>
      <w:r w:rsidR="00CB3B85">
        <w:t>”</w:t>
      </w:r>
      <w:r w:rsidRPr="00DC299F">
        <w:t xml:space="preserve">, in O. </w:t>
      </w:r>
      <w:proofErr w:type="spellStart"/>
      <w:r w:rsidRPr="00DC299F">
        <w:t>Pollicino</w:t>
      </w:r>
      <w:proofErr w:type="spellEnd"/>
      <w:r w:rsidRPr="00DC299F">
        <w:t>, The internet and constitutional law: the protection of fundamental rights and constitutional adjudication in Europe (Routledge 2016)</w:t>
      </w:r>
    </w:p>
    <w:p w14:paraId="09663CFA" w14:textId="7DFCDCBF" w:rsidR="008F314F" w:rsidRDefault="008F314F" w:rsidP="00B63615">
      <w:pPr>
        <w:pStyle w:val="SingleTxtG"/>
      </w:pPr>
    </w:p>
    <w:p w14:paraId="19EDD184" w14:textId="44607B97" w:rsidR="00B63615" w:rsidRPr="00DC299F" w:rsidRDefault="00B63615" w:rsidP="008F314F">
      <w:pPr>
        <w:pStyle w:val="SingleTxtG"/>
        <w:tabs>
          <w:tab w:val="left" w:pos="4365"/>
        </w:tabs>
        <w:ind w:left="0"/>
      </w:pPr>
      <w:bookmarkStart w:id="0" w:name="_GoBack"/>
      <w:bookmarkEnd w:id="0"/>
    </w:p>
    <w:sectPr w:rsidR="00B63615" w:rsidRPr="00DC299F" w:rsidSect="00CA1B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DB7D7" w14:textId="77777777" w:rsidR="00AF2193" w:rsidRPr="00C47B2E" w:rsidRDefault="00AF2193" w:rsidP="00C47B2E">
      <w:pPr>
        <w:pStyle w:val="Footer"/>
      </w:pPr>
    </w:p>
  </w:endnote>
  <w:endnote w:type="continuationSeparator" w:id="0">
    <w:p w14:paraId="5ACF6498" w14:textId="77777777" w:rsidR="00AF2193" w:rsidRPr="00C47B2E" w:rsidRDefault="00AF2193" w:rsidP="00C47B2E">
      <w:pPr>
        <w:pStyle w:val="Footer"/>
      </w:pPr>
    </w:p>
  </w:endnote>
  <w:endnote w:type="continuationNotice" w:id="1">
    <w:p w14:paraId="4B0AFE85" w14:textId="77777777" w:rsidR="00AF2193" w:rsidRPr="00C47B2E" w:rsidRDefault="00AF2193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8BD28" w14:textId="3ED19E87" w:rsidR="00AF2193" w:rsidRDefault="00AF2193" w:rsidP="00FC622D">
    <w:pPr>
      <w:pStyle w:val="Footer"/>
      <w:tabs>
        <w:tab w:val="right" w:pos="9638"/>
      </w:tabs>
    </w:pPr>
    <w:r w:rsidRPr="00B63615">
      <w:rPr>
        <w:b/>
        <w:bCs/>
        <w:sz w:val="18"/>
      </w:rPr>
      <w:fldChar w:fldCharType="begin"/>
    </w:r>
    <w:r w:rsidRPr="00B63615">
      <w:rPr>
        <w:b/>
        <w:bCs/>
        <w:sz w:val="18"/>
      </w:rPr>
      <w:instrText xml:space="preserve"> PAGE  \* MERGEFORMAT </w:instrText>
    </w:r>
    <w:r w:rsidRPr="00B63615">
      <w:rPr>
        <w:b/>
        <w:bCs/>
        <w:sz w:val="18"/>
      </w:rPr>
      <w:fldChar w:fldCharType="separate"/>
    </w:r>
    <w:r w:rsidR="008F314F">
      <w:rPr>
        <w:b/>
        <w:bCs/>
        <w:noProof/>
        <w:sz w:val="18"/>
      </w:rPr>
      <w:t>2</w:t>
    </w:r>
    <w:r w:rsidRPr="00B63615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FD998" w14:textId="01CE3936" w:rsidR="00AF2193" w:rsidRDefault="00AF2193" w:rsidP="00B63615">
    <w:pPr>
      <w:pStyle w:val="Footer"/>
      <w:tabs>
        <w:tab w:val="right" w:pos="9638"/>
      </w:tabs>
    </w:pPr>
    <w:r>
      <w:tab/>
    </w:r>
    <w:r w:rsidRPr="00B63615">
      <w:rPr>
        <w:b/>
        <w:bCs/>
        <w:sz w:val="18"/>
      </w:rPr>
      <w:fldChar w:fldCharType="begin"/>
    </w:r>
    <w:r w:rsidRPr="00B63615">
      <w:rPr>
        <w:b/>
        <w:bCs/>
        <w:sz w:val="18"/>
      </w:rPr>
      <w:instrText xml:space="preserve"> PAGE  \* MERGEFORMAT </w:instrText>
    </w:r>
    <w:r w:rsidRPr="00B63615">
      <w:rPr>
        <w:b/>
        <w:bCs/>
        <w:sz w:val="18"/>
      </w:rPr>
      <w:fldChar w:fldCharType="separate"/>
    </w:r>
    <w:r w:rsidR="008F314F">
      <w:rPr>
        <w:b/>
        <w:bCs/>
        <w:noProof/>
        <w:sz w:val="18"/>
      </w:rPr>
      <w:t>3</w:t>
    </w:r>
    <w:r w:rsidRPr="00B63615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1C6DF" w14:textId="77777777" w:rsidR="00BD389F" w:rsidRDefault="00BD3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4528A" w14:textId="77777777" w:rsidR="00AF2193" w:rsidRPr="00C47B2E" w:rsidRDefault="00AF2193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10C0C2EB" w14:textId="77777777" w:rsidR="00AF2193" w:rsidRPr="00C47B2E" w:rsidRDefault="00AF2193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4F536E71" w14:textId="77777777" w:rsidR="00AF2193" w:rsidRPr="00C47B2E" w:rsidRDefault="00AF2193" w:rsidP="00C47B2E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5253" w14:textId="77777777" w:rsidR="00BD389F" w:rsidRDefault="00BD3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6FF6F" w14:textId="16E1B419" w:rsidR="00AF2193" w:rsidRPr="00BD389F" w:rsidRDefault="00AF2193" w:rsidP="00BD38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8CE5C" w14:textId="77777777" w:rsidR="00BD389F" w:rsidRDefault="00BD38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EC66AD60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9E32B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19F621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1"/>
  </w:num>
  <w:num w:numId="11">
    <w:abstractNumId w:val="8"/>
  </w:num>
  <w:num w:numId="12">
    <w:abstractNumId w:val="4"/>
  </w:num>
  <w:num w:numId="13">
    <w:abstractNumId w:val="3"/>
  </w:num>
  <w:num w:numId="14">
    <w:abstractNumId w:val="0"/>
  </w:num>
  <w:num w:numId="15">
    <w:abstractNumId w:val="7"/>
  </w:num>
  <w:num w:numId="16">
    <w:abstractNumId w:val="9"/>
  </w:num>
  <w:num w:numId="17">
    <w:abstractNumId w:val="4"/>
  </w:num>
  <w:num w:numId="18">
    <w:abstractNumId w:val="3"/>
  </w:num>
  <w:num w:numId="19">
    <w:abstractNumId w:val="0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F7"/>
    <w:rsid w:val="00024296"/>
    <w:rsid w:val="00046E92"/>
    <w:rsid w:val="00063C90"/>
    <w:rsid w:val="00072607"/>
    <w:rsid w:val="00081CBE"/>
    <w:rsid w:val="000A5142"/>
    <w:rsid w:val="000C64C3"/>
    <w:rsid w:val="00101B98"/>
    <w:rsid w:val="00133A1D"/>
    <w:rsid w:val="00155EF9"/>
    <w:rsid w:val="00205FD2"/>
    <w:rsid w:val="00247E2C"/>
    <w:rsid w:val="002A32CB"/>
    <w:rsid w:val="002A3F5D"/>
    <w:rsid w:val="002D6C53"/>
    <w:rsid w:val="002F5595"/>
    <w:rsid w:val="00334F6A"/>
    <w:rsid w:val="00342AC8"/>
    <w:rsid w:val="00344C56"/>
    <w:rsid w:val="003621E6"/>
    <w:rsid w:val="003B4550"/>
    <w:rsid w:val="0040017C"/>
    <w:rsid w:val="00417878"/>
    <w:rsid w:val="00435240"/>
    <w:rsid w:val="00461253"/>
    <w:rsid w:val="0046635A"/>
    <w:rsid w:val="004A2814"/>
    <w:rsid w:val="004C0622"/>
    <w:rsid w:val="004D10F9"/>
    <w:rsid w:val="005042C2"/>
    <w:rsid w:val="00522773"/>
    <w:rsid w:val="00534067"/>
    <w:rsid w:val="0057160F"/>
    <w:rsid w:val="0058050E"/>
    <w:rsid w:val="005E716E"/>
    <w:rsid w:val="00604838"/>
    <w:rsid w:val="0063322F"/>
    <w:rsid w:val="00671529"/>
    <w:rsid w:val="0070489D"/>
    <w:rsid w:val="007268F9"/>
    <w:rsid w:val="007278E7"/>
    <w:rsid w:val="007B17CF"/>
    <w:rsid w:val="007C52B0"/>
    <w:rsid w:val="0081787E"/>
    <w:rsid w:val="008338E5"/>
    <w:rsid w:val="00861B4E"/>
    <w:rsid w:val="00871ECB"/>
    <w:rsid w:val="008828F7"/>
    <w:rsid w:val="008A62A6"/>
    <w:rsid w:val="008E379D"/>
    <w:rsid w:val="008F08AE"/>
    <w:rsid w:val="008F314F"/>
    <w:rsid w:val="009411B4"/>
    <w:rsid w:val="00962A56"/>
    <w:rsid w:val="00987D02"/>
    <w:rsid w:val="00991782"/>
    <w:rsid w:val="009D0139"/>
    <w:rsid w:val="009D717D"/>
    <w:rsid w:val="009F5CDC"/>
    <w:rsid w:val="00A775CF"/>
    <w:rsid w:val="00AB6A77"/>
    <w:rsid w:val="00AE6FCE"/>
    <w:rsid w:val="00AF2193"/>
    <w:rsid w:val="00B06045"/>
    <w:rsid w:val="00B451A1"/>
    <w:rsid w:val="00B52EF4"/>
    <w:rsid w:val="00B63615"/>
    <w:rsid w:val="00B924EC"/>
    <w:rsid w:val="00BD389F"/>
    <w:rsid w:val="00BF22BF"/>
    <w:rsid w:val="00C03015"/>
    <w:rsid w:val="00C0358D"/>
    <w:rsid w:val="00C35A27"/>
    <w:rsid w:val="00C47B2E"/>
    <w:rsid w:val="00CA1B04"/>
    <w:rsid w:val="00CB3B85"/>
    <w:rsid w:val="00D31683"/>
    <w:rsid w:val="00D828C6"/>
    <w:rsid w:val="00DA63D2"/>
    <w:rsid w:val="00DD163C"/>
    <w:rsid w:val="00E02C2B"/>
    <w:rsid w:val="00E52109"/>
    <w:rsid w:val="00E75317"/>
    <w:rsid w:val="00ED6C48"/>
    <w:rsid w:val="00EE1AC3"/>
    <w:rsid w:val="00F2686F"/>
    <w:rsid w:val="00F65F5D"/>
    <w:rsid w:val="00F86A3A"/>
    <w:rsid w:val="00F96DA5"/>
    <w:rsid w:val="00FC622D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40A267B"/>
  <w15:docId w15:val="{53FB1995-5D1B-4A56-90ED-60840E9E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rsid w:val="00B63615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B63615"/>
    <w:pPr>
      <w:pBdr>
        <w:bottom w:val="single" w:sz="4" w:space="4" w:color="auto"/>
      </w:pBdr>
      <w:suppressAutoHyphens w:val="0"/>
      <w:kinsoku/>
      <w:overflowPunct/>
      <w:autoSpaceDE/>
      <w:autoSpaceDN/>
      <w:adjustRightInd/>
      <w:snapToGrid/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B63615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B63615"/>
    <w:pPr>
      <w:suppressAutoHyphens w:val="0"/>
      <w:kinsoku/>
      <w:overflowPunct/>
      <w:autoSpaceDE/>
      <w:autoSpaceDN/>
      <w:adjustRightInd/>
      <w:snapToGrid/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B63615"/>
    <w:rPr>
      <w:rFonts w:ascii="Times New Roma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240" w:line="360" w:lineRule="exact"/>
      <w:ind w:left="1134" w:right="1134" w:hanging="1134"/>
    </w:pPr>
    <w:rPr>
      <w:rFonts w:eastAsia="SimSun"/>
      <w:b/>
      <w:sz w:val="34"/>
      <w:lang w:eastAsia="zh-CN"/>
    </w:rPr>
  </w:style>
  <w:style w:type="paragraph" w:customStyle="1" w:styleId="HChG">
    <w:name w:val="_ H _Ch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360" w:after="240" w:line="300" w:lineRule="exact"/>
      <w:ind w:left="1134" w:right="1134" w:hanging="1134"/>
    </w:pPr>
    <w:rPr>
      <w:rFonts w:eastAsia="SimSun"/>
      <w:b/>
      <w:sz w:val="28"/>
      <w:lang w:eastAsia="zh-CN"/>
    </w:rPr>
  </w:style>
  <w:style w:type="paragraph" w:customStyle="1" w:styleId="H1G">
    <w:name w:val="_ H_1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360" w:after="240" w:line="270" w:lineRule="exact"/>
      <w:ind w:left="1134" w:right="1134" w:hanging="1134"/>
    </w:pPr>
    <w:rPr>
      <w:rFonts w:eastAsia="SimSun"/>
      <w:b/>
      <w:sz w:val="24"/>
      <w:lang w:eastAsia="zh-CN"/>
    </w:rPr>
  </w:style>
  <w:style w:type="paragraph" w:customStyle="1" w:styleId="H23G">
    <w:name w:val="_ H_2/3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SimSun"/>
      <w:b/>
      <w:lang w:eastAsia="zh-CN"/>
    </w:rPr>
  </w:style>
  <w:style w:type="paragraph" w:customStyle="1" w:styleId="H4G">
    <w:name w:val="_ H_4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SimSun"/>
      <w:i/>
      <w:lang w:eastAsia="zh-CN"/>
    </w:rPr>
  </w:style>
  <w:style w:type="paragraph" w:customStyle="1" w:styleId="H56G">
    <w:name w:val="_ H_5/6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SimSun"/>
      <w:lang w:eastAsia="zh-CN"/>
    </w:rPr>
  </w:style>
  <w:style w:type="paragraph" w:customStyle="1" w:styleId="SingleTxtG">
    <w:name w:val="_ Single Txt_G"/>
    <w:basedOn w:val="Normal"/>
    <w:rsid w:val="00B63615"/>
    <w:pPr>
      <w:suppressAutoHyphens w:val="0"/>
      <w:kinsoku/>
      <w:overflowPunct/>
      <w:autoSpaceDE/>
      <w:autoSpaceDN/>
      <w:adjustRightInd/>
      <w:snapToGrid/>
      <w:spacing w:after="120" w:line="240" w:lineRule="auto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580" w:lineRule="exact"/>
      <w:ind w:left="1134" w:right="1134"/>
    </w:pPr>
    <w:rPr>
      <w:rFonts w:eastAsia="SimSun"/>
      <w:b/>
      <w:sz w:val="56"/>
      <w:lang w:eastAsia="zh-CN"/>
    </w:rPr>
  </w:style>
  <w:style w:type="paragraph" w:customStyle="1" w:styleId="SMG">
    <w:name w:val="__S_M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SSG">
    <w:name w:val="__S_S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300" w:lineRule="exact"/>
      <w:ind w:left="1134" w:right="1134"/>
    </w:pPr>
    <w:rPr>
      <w:rFonts w:eastAsia="SimSun"/>
      <w:b/>
      <w:sz w:val="28"/>
      <w:lang w:eastAsia="zh-CN"/>
    </w:rPr>
  </w:style>
  <w:style w:type="paragraph" w:customStyle="1" w:styleId="XLargeG">
    <w:name w:val="__XLarge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B63615"/>
    <w:pPr>
      <w:numPr>
        <w:numId w:val="17"/>
      </w:numPr>
      <w:suppressAutoHyphens w:val="0"/>
      <w:kinsoku/>
      <w:overflowPunct/>
      <w:autoSpaceDE/>
      <w:autoSpaceDN/>
      <w:adjustRightInd/>
      <w:snapToGrid/>
      <w:spacing w:after="120" w:line="240" w:lineRule="auto"/>
      <w:ind w:right="1134"/>
      <w:jc w:val="both"/>
    </w:pPr>
    <w:rPr>
      <w:rFonts w:eastAsia="SimSun"/>
      <w:lang w:eastAsia="zh-CN"/>
    </w:rPr>
  </w:style>
  <w:style w:type="paragraph" w:customStyle="1" w:styleId="Bullet2G">
    <w:name w:val="_Bullet 2_G"/>
    <w:basedOn w:val="Normal"/>
    <w:rsid w:val="00B63615"/>
    <w:pPr>
      <w:numPr>
        <w:numId w:val="18"/>
      </w:numPr>
      <w:suppressAutoHyphens w:val="0"/>
      <w:kinsoku/>
      <w:overflowPunct/>
      <w:autoSpaceDE/>
      <w:autoSpaceDN/>
      <w:adjustRightInd/>
      <w:snapToGrid/>
      <w:spacing w:after="120" w:line="240" w:lineRule="auto"/>
      <w:ind w:right="1134"/>
      <w:jc w:val="both"/>
    </w:pPr>
    <w:rPr>
      <w:rFonts w:eastAsia="SimSun"/>
      <w:lang w:eastAsia="zh-CN"/>
    </w:rPr>
  </w:style>
  <w:style w:type="paragraph" w:customStyle="1" w:styleId="ParaNoG">
    <w:name w:val="_ParaNo._G"/>
    <w:basedOn w:val="SingleTxtG"/>
    <w:rsid w:val="00B63615"/>
    <w:pPr>
      <w:numPr>
        <w:numId w:val="19"/>
      </w:numPr>
    </w:pPr>
  </w:style>
  <w:style w:type="numbering" w:styleId="111111">
    <w:name w:val="Outline List 2"/>
    <w:basedOn w:val="NoList"/>
    <w:semiHidden/>
    <w:rsid w:val="00B63615"/>
    <w:pPr>
      <w:numPr>
        <w:numId w:val="15"/>
      </w:numPr>
    </w:pPr>
  </w:style>
  <w:style w:type="numbering" w:styleId="1ai">
    <w:name w:val="Outline List 1"/>
    <w:basedOn w:val="NoList"/>
    <w:semiHidden/>
    <w:rsid w:val="00B63615"/>
    <w:pPr>
      <w:numPr>
        <w:numId w:val="6"/>
      </w:numPr>
    </w:pPr>
  </w:style>
  <w:style w:type="character" w:styleId="EndnoteReference">
    <w:name w:val="endnote reference"/>
    <w:aliases w:val="1_G"/>
    <w:rsid w:val="00B6361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B63615"/>
    <w:pPr>
      <w:tabs>
        <w:tab w:val="right" w:pos="1021"/>
      </w:tabs>
      <w:suppressAutoHyphens w:val="0"/>
      <w:kinsoku/>
      <w:overflowPunct/>
      <w:autoSpaceDE/>
      <w:autoSpaceDN/>
      <w:adjustRightInd/>
      <w:snapToGrid/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B63615"/>
    <w:rPr>
      <w:rFonts w:ascii="Times New Roma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B63615"/>
  </w:style>
  <w:style w:type="character" w:customStyle="1" w:styleId="EndnoteTextChar">
    <w:name w:val="Endnote Text Char"/>
    <w:aliases w:val="2_G Char"/>
    <w:basedOn w:val="DefaultParagraphFont"/>
    <w:link w:val="EndnoteText"/>
    <w:rsid w:val="00B63615"/>
    <w:rPr>
      <w:rFonts w:ascii="Times New Roma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B63615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B63615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15"/>
    <w:pPr>
      <w:suppressAutoHyphens w:val="0"/>
      <w:kinsoku/>
      <w:overflowPunct/>
      <w:autoSpaceDE/>
      <w:autoSpaceDN/>
      <w:adjustRightInd/>
      <w:snapToGrid/>
      <w:spacing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15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A62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2A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2A6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2A6"/>
    <w:rPr>
      <w:rFonts w:ascii="Times New Roman" w:eastAsiaTheme="minorHAnsi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B0C72-3D61-455E-80C6-C4090A9AEFB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B7127B-E8F8-4732-B6D4-858A4DD54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C1B1E-EF69-4316-AC98-9BA7909D0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91F2A4-8A8B-48A7-9C89-7886A311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A/HRC/45/59</vt:lpstr>
    </vt:vector>
  </TitlesOfParts>
  <Company>DCM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A/HRC/45/59</dc:title>
  <dc:subject>2009779</dc:subject>
  <dc:creator>dm</dc:creator>
  <cp:keywords/>
  <dc:description/>
  <cp:lastModifiedBy>KIRBY Danielle</cp:lastModifiedBy>
  <cp:revision>2</cp:revision>
  <dcterms:created xsi:type="dcterms:W3CDTF">2021-01-11T12:13:00Z</dcterms:created>
  <dcterms:modified xsi:type="dcterms:W3CDTF">2021-01-11T12:13:00Z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