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76461">
        <w:trPr>
          <w:trHeight w:hRule="exact" w:val="851"/>
        </w:trPr>
        <w:tc>
          <w:tcPr>
            <w:tcW w:w="1280" w:type="dxa"/>
            <w:tcBorders>
              <w:bottom w:val="single" w:sz="4" w:space="0" w:color="auto"/>
            </w:tcBorders>
          </w:tcPr>
          <w:p w:rsidR="002D5AAC" w:rsidRDefault="002D5AAC" w:rsidP="0018649F">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876461" w:rsidP="00876461">
            <w:pPr>
              <w:jc w:val="right"/>
            </w:pPr>
            <w:r w:rsidRPr="00876461">
              <w:rPr>
                <w:sz w:val="40"/>
              </w:rPr>
              <w:t>A</w:t>
            </w:r>
            <w:r>
              <w:t>/HRC/AC/14/1/Add.1</w:t>
            </w:r>
          </w:p>
        </w:tc>
      </w:tr>
      <w:tr w:rsidR="002D5AAC" w:rsidTr="00876461">
        <w:trPr>
          <w:trHeight w:hRule="exact" w:val="2835"/>
        </w:trPr>
        <w:tc>
          <w:tcPr>
            <w:tcW w:w="1280" w:type="dxa"/>
            <w:tcBorders>
              <w:top w:val="single" w:sz="4" w:space="0" w:color="auto"/>
              <w:bottom w:val="single" w:sz="12" w:space="0" w:color="auto"/>
            </w:tcBorders>
          </w:tcPr>
          <w:p w:rsidR="002D5AAC" w:rsidRDefault="00273859" w:rsidP="0018649F">
            <w:pPr>
              <w:spacing w:before="120"/>
              <w:jc w:val="center"/>
            </w:pPr>
            <w:r>
              <w:rPr>
                <w:noProof/>
                <w:lang w:val="en-GB" w:eastAsia="en-GB"/>
              </w:rPr>
              <w:drawing>
                <wp:inline distT="0" distB="0" distL="0" distR="0">
                  <wp:extent cx="716280" cy="593725"/>
                  <wp:effectExtent l="0" t="0" r="762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876461" w:rsidP="00712895">
            <w:pPr>
              <w:spacing w:before="240"/>
            </w:pPr>
            <w:r>
              <w:t>Distr. general</w:t>
            </w:r>
          </w:p>
          <w:p w:rsidR="00876461" w:rsidRDefault="00876461" w:rsidP="00876461">
            <w:pPr>
              <w:spacing w:line="240" w:lineRule="exact"/>
            </w:pPr>
            <w:r>
              <w:t>4 de diciembre de 2014</w:t>
            </w:r>
          </w:p>
          <w:p w:rsidR="00876461" w:rsidRDefault="00876461" w:rsidP="00876461">
            <w:pPr>
              <w:spacing w:line="240" w:lineRule="exact"/>
            </w:pPr>
            <w:r>
              <w:t>Español</w:t>
            </w:r>
          </w:p>
          <w:p w:rsidR="00876461" w:rsidRDefault="00876461" w:rsidP="00876461">
            <w:pPr>
              <w:spacing w:line="240" w:lineRule="exact"/>
            </w:pPr>
            <w:r>
              <w:t>Original: inglés</w:t>
            </w:r>
          </w:p>
        </w:tc>
      </w:tr>
    </w:tbl>
    <w:p w:rsidR="00876461" w:rsidRPr="00876461" w:rsidRDefault="00876461" w:rsidP="00876461">
      <w:pPr>
        <w:spacing w:before="120"/>
        <w:rPr>
          <w:b/>
          <w:sz w:val="24"/>
          <w:szCs w:val="24"/>
        </w:rPr>
      </w:pPr>
      <w:r w:rsidRPr="00876461">
        <w:rPr>
          <w:b/>
          <w:sz w:val="24"/>
          <w:szCs w:val="24"/>
        </w:rPr>
        <w:t>Consejo de Derechos Humanos</w:t>
      </w:r>
    </w:p>
    <w:p w:rsidR="00876461" w:rsidRPr="00876461" w:rsidRDefault="00876461" w:rsidP="00876461">
      <w:pPr>
        <w:rPr>
          <w:b/>
        </w:rPr>
      </w:pPr>
      <w:r w:rsidRPr="00876461">
        <w:rPr>
          <w:b/>
        </w:rPr>
        <w:t>Comité Asesor</w:t>
      </w:r>
    </w:p>
    <w:p w:rsidR="00876461" w:rsidRPr="00876461" w:rsidRDefault="00876461" w:rsidP="00876461">
      <w:pPr>
        <w:rPr>
          <w:b/>
        </w:rPr>
      </w:pPr>
      <w:r w:rsidRPr="00876461">
        <w:rPr>
          <w:b/>
        </w:rPr>
        <w:t>14</w:t>
      </w:r>
      <w:r w:rsidR="00AE6AB2">
        <w:rPr>
          <w:b/>
        </w:rPr>
        <w:t>º</w:t>
      </w:r>
      <w:r w:rsidRPr="00876461">
        <w:rPr>
          <w:b/>
        </w:rPr>
        <w:t xml:space="preserve"> período de sesiones</w:t>
      </w:r>
    </w:p>
    <w:p w:rsidR="00876461" w:rsidRDefault="00876461" w:rsidP="00876461">
      <w:r>
        <w:t>23 a 27 de febrero de 2015</w:t>
      </w:r>
    </w:p>
    <w:p w:rsidR="00876461" w:rsidRDefault="00876461" w:rsidP="00876461">
      <w:r>
        <w:t>Tema 2 del programa provisional</w:t>
      </w:r>
    </w:p>
    <w:p w:rsidR="00876461" w:rsidRPr="00876461" w:rsidRDefault="00876461" w:rsidP="00876461">
      <w:pPr>
        <w:rPr>
          <w:b/>
        </w:rPr>
      </w:pPr>
      <w:r w:rsidRPr="00876461">
        <w:rPr>
          <w:b/>
        </w:rPr>
        <w:t>Aprobación del programa y organización de los trabajos</w:t>
      </w:r>
    </w:p>
    <w:p w:rsidR="00381C24" w:rsidRDefault="00876461" w:rsidP="002E5BA5">
      <w:pPr>
        <w:pStyle w:val="HMG"/>
      </w:pPr>
      <w:r>
        <w:tab/>
      </w:r>
      <w:r>
        <w:tab/>
      </w:r>
      <w:r w:rsidRPr="002E5BA5">
        <w:t>Anotaciones</w:t>
      </w:r>
      <w:r w:rsidRPr="00876461">
        <w:t xml:space="preserve"> al programa provisional</w:t>
      </w:r>
    </w:p>
    <w:p w:rsidR="00876461" w:rsidRDefault="00876461" w:rsidP="00876461">
      <w:pPr>
        <w:pStyle w:val="HChG"/>
      </w:pPr>
      <w:r>
        <w:tab/>
      </w:r>
      <w:r>
        <w:tab/>
      </w:r>
      <w:r w:rsidRPr="00876461">
        <w:t>Nota del Secretario</w:t>
      </w:r>
      <w:r w:rsidR="00AE6AB2">
        <w:t xml:space="preserve"> </w:t>
      </w:r>
      <w:r w:rsidRPr="00876461">
        <w:t>General</w:t>
      </w:r>
    </w:p>
    <w:p w:rsidR="00876461" w:rsidRDefault="00876461" w:rsidP="00BC18B2">
      <w:pPr>
        <w:pStyle w:val="SingleTxtG"/>
      </w:pPr>
    </w:p>
    <w:p w:rsidR="00876461" w:rsidRDefault="00876461" w:rsidP="00876461">
      <w:pPr>
        <w:pStyle w:val="SingleTxtG"/>
      </w:pPr>
      <w:r>
        <w:br w:type="page"/>
      </w:r>
      <w:r>
        <w:lastRenderedPageBreak/>
        <w:t>1.</w:t>
      </w:r>
      <w:r>
        <w:tab/>
        <w:t>De conformidad con el párrafo 37 del anexo de la resolución 16/21, del Consejo de Derechos Humanos, el primer período de sesiones anual del Comité se celebrará inmediatamente antes del período de sesiones de marzo del Consejo, mientras que el segundo período de sesiones se celebrará en agosto. Así, el Comité Asesor celebrará su 14</w:t>
      </w:r>
      <w:r w:rsidR="00AE6AB2">
        <w:t>º</w:t>
      </w:r>
      <w:r w:rsidR="00EF25CD">
        <w:t> </w:t>
      </w:r>
      <w:r>
        <w:t>período de sesiones del 23 al 27 de febrero de 2015.</w:t>
      </w:r>
    </w:p>
    <w:p w:rsidR="00876461" w:rsidRDefault="00876461" w:rsidP="00876461">
      <w:pPr>
        <w:pStyle w:val="SingleTxtG"/>
      </w:pPr>
      <w:r>
        <w:t>2.</w:t>
      </w:r>
      <w:r>
        <w:tab/>
        <w:t>Además, de conformidad con el párrafo 38 del anexo de la resolución 16/21, el informe anual del Comité Asesor se presentará al Consejo en su período de sesiones de septiembre y será objeto de un diálogo interactivo con el Presidente del Comité. Por lo tanto, los informes del Comité sobre sus períodos de sesiones 14</w:t>
      </w:r>
      <w:r w:rsidR="00AE6AB2">
        <w:t>º</w:t>
      </w:r>
      <w:r>
        <w:t xml:space="preserve"> y 15</w:t>
      </w:r>
      <w:r w:rsidR="00AE6AB2">
        <w:t>º</w:t>
      </w:r>
      <w:r>
        <w:t xml:space="preserve"> serán examinados por el Consejo en su 30</w:t>
      </w:r>
      <w:r w:rsidR="00AE6AB2">
        <w:t>º</w:t>
      </w:r>
      <w:r>
        <w:t xml:space="preserve"> período de sesiones.</w:t>
      </w:r>
    </w:p>
    <w:p w:rsidR="00876461" w:rsidRDefault="00876461" w:rsidP="00876461">
      <w:pPr>
        <w:pStyle w:val="SingleTxtG"/>
      </w:pPr>
      <w:r>
        <w:t>3.</w:t>
      </w:r>
      <w:r>
        <w:tab/>
        <w:t>En su decisión 18/121, el Consejo de Derechos Humanos decidió que el ciclo del Comité Asesor se ajustaría para que fuera del 1 de octubre al 30 de septiembre. Por ello, los mandatos de los miembros vencerán el 30 de septiembre de cada año.</w:t>
      </w:r>
    </w:p>
    <w:p w:rsidR="00876461" w:rsidRDefault="00876461" w:rsidP="00876461">
      <w:pPr>
        <w:pStyle w:val="HChG"/>
      </w:pPr>
      <w:r>
        <w:tab/>
      </w:r>
      <w:r>
        <w:tab/>
        <w:t>Tema 1</w:t>
      </w:r>
      <w:r>
        <w:br/>
        <w:t>Elección de la Mesa</w:t>
      </w:r>
    </w:p>
    <w:p w:rsidR="00876461" w:rsidRDefault="00876461" w:rsidP="00876461">
      <w:pPr>
        <w:pStyle w:val="SingleTxtG"/>
      </w:pPr>
      <w:r>
        <w:t>4.</w:t>
      </w:r>
      <w:r>
        <w:tab/>
        <w:t>De conformidad con el artículo 103 del reglamento de la Asamblea General, el Comité Asesor elegirá, de entre sus miembros, a un Presidente y su Mesa.</w:t>
      </w:r>
    </w:p>
    <w:p w:rsidR="00876461" w:rsidRDefault="00876461" w:rsidP="00876461">
      <w:pPr>
        <w:pStyle w:val="HChG"/>
      </w:pPr>
      <w:r>
        <w:tab/>
      </w:r>
      <w:r>
        <w:tab/>
        <w:t>Tema 2</w:t>
      </w:r>
      <w:r>
        <w:br/>
        <w:t>Aprobación del programa y organización de los trabajos</w:t>
      </w:r>
    </w:p>
    <w:p w:rsidR="00876461" w:rsidRDefault="00876461" w:rsidP="00876461">
      <w:pPr>
        <w:pStyle w:val="H1G"/>
      </w:pPr>
      <w:r>
        <w:tab/>
      </w:r>
      <w:r>
        <w:tab/>
        <w:t>Aprobación del programa</w:t>
      </w:r>
    </w:p>
    <w:p w:rsidR="00876461" w:rsidRDefault="00876461" w:rsidP="00876461">
      <w:pPr>
        <w:pStyle w:val="SingleTxtG"/>
      </w:pPr>
      <w:r>
        <w:t>5.</w:t>
      </w:r>
      <w:r>
        <w:tab/>
        <w:t>El Comité Asesor tendrá ante sí el programa provisional propuesto por el Secretario General (A/HRC/AC/14/1), así como las presentes anotaciones a los temas incluidos en dicho programa provisional.</w:t>
      </w:r>
    </w:p>
    <w:p w:rsidR="00876461" w:rsidRDefault="00876461" w:rsidP="00876461">
      <w:pPr>
        <w:pStyle w:val="H1G"/>
      </w:pPr>
      <w:r>
        <w:tab/>
      </w:r>
      <w:r>
        <w:tab/>
        <w:t>Organización de los trabajos</w:t>
      </w:r>
    </w:p>
    <w:p w:rsidR="00876461" w:rsidRDefault="00876461" w:rsidP="00876461">
      <w:pPr>
        <w:pStyle w:val="SingleTxtG"/>
      </w:pPr>
      <w:r>
        <w:t>6.</w:t>
      </w:r>
      <w:r>
        <w:tab/>
        <w:t xml:space="preserve">El artículo 99 del reglamento de la Asamblea General dispone que cada comisión </w:t>
      </w:r>
      <w:r w:rsidR="00AE6AB2">
        <w:t>"</w:t>
      </w:r>
      <w:r>
        <w:t>aprobará al comienzo del período de sesiones un programa de trabajo en el que se indicarán, de ser posible, la fecha señalada como objetivo para concluir sus trabajos, las fechas aproximadas de examen de los temas y el número de sesiones que se dedicará a cada uno de ellos</w:t>
      </w:r>
      <w:r w:rsidR="00AE6AB2">
        <w:t>"</w:t>
      </w:r>
      <w:r>
        <w:t xml:space="preserve"> (A/520/Rev.17). Por consiguiente, el Comité Asesor tendrá ante sí, para su examen y aprobación, un proyecto de calendario preparado por la Secretaría en el que se indicarán el orden y la distribución del tiempo de reunión para cada tema del programa/segmento de su programa de trabajo en el 14</w:t>
      </w:r>
      <w:r w:rsidR="00AE6AB2">
        <w:t>º</w:t>
      </w:r>
      <w:r>
        <w:t xml:space="preserve"> período de sesiones.</w:t>
      </w:r>
    </w:p>
    <w:p w:rsidR="00876461" w:rsidRDefault="00876461" w:rsidP="00876461">
      <w:pPr>
        <w:pStyle w:val="H1G"/>
      </w:pPr>
      <w:r>
        <w:tab/>
      </w:r>
      <w:r>
        <w:tab/>
        <w:t>Composición del Comité Asesor</w:t>
      </w:r>
    </w:p>
    <w:p w:rsidR="00876461" w:rsidRDefault="00876461" w:rsidP="00876461">
      <w:pPr>
        <w:pStyle w:val="SingleTxtG"/>
      </w:pPr>
      <w:r>
        <w:t>7.</w:t>
      </w:r>
      <w:r>
        <w:tab/>
        <w:t xml:space="preserve">La composición del Comité Asesor y la duración del mandato de cada uno de sus expertos serán las siguientes (véase también el párrafo 3 </w:t>
      </w:r>
      <w:r w:rsidRPr="00876461">
        <w:rPr>
          <w:i/>
        </w:rPr>
        <w:t>supra</w:t>
      </w:r>
      <w:r>
        <w:t>)</w:t>
      </w:r>
      <w:r>
        <w:rPr>
          <w:rStyle w:val="FootnoteReference"/>
        </w:rPr>
        <w:footnoteReference w:id="1"/>
      </w:r>
      <w:r>
        <w:t>: Saeed Mohamed Al</w:t>
      </w:r>
      <w:r w:rsidR="00AE6AB2">
        <w:t> </w:t>
      </w:r>
      <w:r>
        <w:t xml:space="preserve">Faihani (Bahrein, 2015); Mohamed Bennani (Marruecos, 2017); Laurence Boisson de Chazournes (Francia, 2017); Mario Luis Coriolano (Argentina, 2015); Laura-Maria </w:t>
      </w:r>
      <w:r>
        <w:lastRenderedPageBreak/>
        <w:t>Crăciunean (Rumania, 2017);</w:t>
      </w:r>
      <w:r w:rsidR="00AE6AB2">
        <w:t xml:space="preserve"> </w:t>
      </w:r>
      <w:r>
        <w:t>Hoda Elsadda (Egipto, 2016); Karla Hananía de Varela (El</w:t>
      </w:r>
      <w:r w:rsidR="00AE6AB2">
        <w:t> </w:t>
      </w:r>
      <w:r>
        <w:t>Salvador, 2016); Mikhail Lebedev (Federación de Rusia, 2016); Alfred Ntunduguru Karokora (Uganda, 2016); Kaoru Obata (Japón, 2016); Obiora Chinedu Okafor (Nigeria, 2017); Katharina Pabel (Austria, 2015); Anantonia Reyes Prado (Guatemala, 2017); Changrok Soh (República de Corea, 2017); Ahmer Bilal Soofi (Pakistán, 2017); Imeru Tamrat Yigezu (Etiopía, 2015); Yishan Zhang (China, 2016); y Jean Ziegler (Suiza, 2016).</w:t>
      </w:r>
    </w:p>
    <w:p w:rsidR="00876461" w:rsidRDefault="00876461" w:rsidP="00876461">
      <w:pPr>
        <w:pStyle w:val="HChG"/>
      </w:pPr>
      <w:r>
        <w:tab/>
      </w:r>
      <w:r>
        <w:tab/>
        <w:t>Tema 3</w:t>
      </w:r>
      <w:r>
        <w:br/>
        <w:t>Solicitudes al Comité Asesor derivadas de resoluciones del Consejo de Derechos Humanos</w:t>
      </w:r>
    </w:p>
    <w:p w:rsidR="00876461" w:rsidRDefault="00876461" w:rsidP="00876461">
      <w:pPr>
        <w:pStyle w:val="H1G"/>
      </w:pPr>
      <w:r>
        <w:tab/>
        <w:t>a)</w:t>
      </w:r>
      <w:r>
        <w:tab/>
        <w:t>Solicitudes que está examinando actualmente el Comité</w:t>
      </w:r>
    </w:p>
    <w:p w:rsidR="00876461" w:rsidRDefault="00876461" w:rsidP="00876461">
      <w:pPr>
        <w:pStyle w:val="H23G"/>
      </w:pPr>
      <w:r>
        <w:tab/>
        <w:t>i)</w:t>
      </w:r>
      <w:r>
        <w:tab/>
        <w:t>Integración de una perspectiva de género</w:t>
      </w:r>
    </w:p>
    <w:p w:rsidR="00876461" w:rsidRDefault="00876461" w:rsidP="00876461">
      <w:pPr>
        <w:pStyle w:val="SingleTxtG"/>
      </w:pPr>
      <w:r>
        <w:t>8.</w:t>
      </w:r>
      <w:r>
        <w:tab/>
        <w:t xml:space="preserve">En su resolución 6/30, el Consejo de Derechos Humanos pidió al Comité Asesor que </w:t>
      </w:r>
      <w:r w:rsidR="00884D36">
        <w:t xml:space="preserve">integrase </w:t>
      </w:r>
      <w:r>
        <w:t xml:space="preserve">de forma regular y sistemática una perspectiva de género en la ejecución de su mandato, </w:t>
      </w:r>
      <w:r w:rsidR="00381BCC">
        <w:t>entre otros contextos</w:t>
      </w:r>
      <w:r>
        <w:t xml:space="preserve"> cuando examinase la combinación de múltiples formas de discriminación contra la mujer, y que incluyera en sus informes datos sobre los derechos humanos de la mujer y de la niña y análisis cualitativos de los mismos.</w:t>
      </w:r>
    </w:p>
    <w:p w:rsidR="00876461" w:rsidRDefault="00876461" w:rsidP="00876461">
      <w:pPr>
        <w:pStyle w:val="SingleTxtG"/>
      </w:pPr>
      <w:r>
        <w:t>9.</w:t>
      </w:r>
      <w:r>
        <w:tab/>
        <w:t>En sus períodos de sesiones 2</w:t>
      </w:r>
      <w:r w:rsidR="00AE6AB2">
        <w:t>º</w:t>
      </w:r>
      <w:r>
        <w:t>, 4</w:t>
      </w:r>
      <w:r w:rsidR="00AE6AB2">
        <w:t>º</w:t>
      </w:r>
      <w:r>
        <w:t>, 10</w:t>
      </w:r>
      <w:r w:rsidR="00AE6AB2">
        <w:t>º</w:t>
      </w:r>
      <w:r>
        <w:t xml:space="preserve"> y 11</w:t>
      </w:r>
      <w:r w:rsidR="00AE6AB2">
        <w:t>º</w:t>
      </w:r>
      <w:r>
        <w:t>, el Comité Asesor celebró debates sobre la cuestión.</w:t>
      </w:r>
    </w:p>
    <w:p w:rsidR="00876461" w:rsidRDefault="00876461" w:rsidP="00876461">
      <w:pPr>
        <w:pStyle w:val="H23G"/>
      </w:pPr>
      <w:r>
        <w:tab/>
        <w:t>ii)</w:t>
      </w:r>
      <w:r>
        <w:tab/>
        <w:t>Promoción de un orden internacional democrático y equitativo</w:t>
      </w:r>
    </w:p>
    <w:p w:rsidR="00876461" w:rsidRDefault="00876461" w:rsidP="00876461">
      <w:pPr>
        <w:pStyle w:val="SingleTxtG"/>
      </w:pPr>
      <w:r>
        <w:t>10.</w:t>
      </w:r>
      <w:r>
        <w:tab/>
        <w:t xml:space="preserve">En sus resoluciones 8/5 y 18/6, el Consejo de Derechos Humanos pidió al Comité Asesor, entre otras cosas, que, en el marco de su mandato, prestase la debida atención a la resolución y contribuyera a su aplicación. En su resolución 18/6, el Consejo también decidió establecer, por un período de tres años, un nuevo procedimiento especial titulado </w:t>
      </w:r>
      <w:r w:rsidR="00AE6AB2">
        <w:t>"</w:t>
      </w:r>
      <w:r>
        <w:t>Experto Independiente sobre la promoción de un orden internacional democrático y equitativo</w:t>
      </w:r>
      <w:r w:rsidR="00AE6AB2">
        <w:t>"</w:t>
      </w:r>
      <w:r>
        <w:t>. En su resolución 27/9, el Consejo decidió prorrogar el mandato del Experto Independiente por otros tres años.</w:t>
      </w:r>
    </w:p>
    <w:p w:rsidR="00876461" w:rsidRDefault="00876461" w:rsidP="00876461">
      <w:pPr>
        <w:pStyle w:val="SingleTxtG"/>
      </w:pPr>
      <w:r>
        <w:t>11.</w:t>
      </w:r>
      <w:r>
        <w:tab/>
        <w:t>En sus períodos de sesiones 1</w:t>
      </w:r>
      <w:r w:rsidR="00AE6AB2">
        <w:t>º</w:t>
      </w:r>
      <w:r>
        <w:t>, 2</w:t>
      </w:r>
      <w:r w:rsidR="00AE6AB2">
        <w:t>º</w:t>
      </w:r>
      <w:r>
        <w:t>, 4</w:t>
      </w:r>
      <w:r w:rsidR="00AE6AB2">
        <w:t>º</w:t>
      </w:r>
      <w:r>
        <w:t xml:space="preserve"> y 11</w:t>
      </w:r>
      <w:r w:rsidR="00AE6AB2">
        <w:t>º</w:t>
      </w:r>
      <w:r>
        <w:t>, el Comité Asesor celebró debates sobre la cuestión.</w:t>
      </w:r>
    </w:p>
    <w:p w:rsidR="00876461" w:rsidRDefault="00876461" w:rsidP="00876461">
      <w:pPr>
        <w:pStyle w:val="SingleTxtG"/>
      </w:pPr>
      <w:r>
        <w:t>12.</w:t>
      </w:r>
      <w:r>
        <w:tab/>
        <w:t>En su 19</w:t>
      </w:r>
      <w:r w:rsidR="00AE6AB2">
        <w:t>º</w:t>
      </w:r>
      <w:r>
        <w:t xml:space="preserve"> período de sesiones, el Consejo de Derechos Humanos nombró a Alfred de Zayas (Estados Unidos de América) Experto Independiente sobre la promoción de un orden internacional democrático y equitativo. El Experto Independiente presentó su tercer</w:t>
      </w:r>
      <w:r w:rsidR="00AE6AB2">
        <w:t> </w:t>
      </w:r>
      <w:r>
        <w:t>informe al Consejo en su 27</w:t>
      </w:r>
      <w:r w:rsidR="00AE6AB2">
        <w:t>º</w:t>
      </w:r>
      <w:r>
        <w:t xml:space="preserve"> período de sesiones (A/HRC/27/51).</w:t>
      </w:r>
    </w:p>
    <w:p w:rsidR="00876461" w:rsidRDefault="00876461" w:rsidP="00876461">
      <w:pPr>
        <w:pStyle w:val="H23G"/>
      </w:pPr>
      <w:r>
        <w:tab/>
        <w:t>iii)</w:t>
      </w:r>
      <w:r>
        <w:tab/>
        <w:t>Integración de la perspectiva de las personas con discapacidad</w:t>
      </w:r>
    </w:p>
    <w:p w:rsidR="00876461" w:rsidRDefault="00876461" w:rsidP="00876461">
      <w:pPr>
        <w:pStyle w:val="SingleTxtG"/>
      </w:pPr>
      <w:r>
        <w:t>13.</w:t>
      </w:r>
      <w:r>
        <w:tab/>
        <w:t xml:space="preserve">En su resolución 7/9, el Consejo de Derechos Humanos alentó al Comité Asesor y a los demás mecanismos del Consejo a que integrasen la perspectiva de las personas con discapacidad, según procediera, en sus actividades y en sus recomendaciones para facilitar la inclusión de esas personas en la labor del Consejo. En su resolución 26/20, el Consejo decidió establecer, por un período de tres años, un nuevo procedimiento especial titulado </w:t>
      </w:r>
      <w:r w:rsidR="00AE6AB2">
        <w:t>"</w:t>
      </w:r>
      <w:r>
        <w:t>Relator Especial sobre los derechos de las personas con discapacidad</w:t>
      </w:r>
      <w:r w:rsidR="00AE6AB2">
        <w:t>"</w:t>
      </w:r>
      <w:r>
        <w:t>.</w:t>
      </w:r>
    </w:p>
    <w:p w:rsidR="00876461" w:rsidRDefault="00876461" w:rsidP="00876461">
      <w:pPr>
        <w:pStyle w:val="SingleTxtG"/>
      </w:pPr>
      <w:r>
        <w:t>14.</w:t>
      </w:r>
      <w:r>
        <w:tab/>
        <w:t>En sus períodos de sesiones 1</w:t>
      </w:r>
      <w:r w:rsidR="00AE6AB2">
        <w:t>º</w:t>
      </w:r>
      <w:r>
        <w:t>, 2</w:t>
      </w:r>
      <w:r w:rsidR="00AE6AB2">
        <w:t>º</w:t>
      </w:r>
      <w:r>
        <w:t>, 4</w:t>
      </w:r>
      <w:r w:rsidR="00AE6AB2">
        <w:t>º</w:t>
      </w:r>
      <w:r>
        <w:t xml:space="preserve"> y 11</w:t>
      </w:r>
      <w:r w:rsidR="00AE6AB2">
        <w:t>º</w:t>
      </w:r>
      <w:r>
        <w:t>, el Comité Asesor celebró debates sobre la cuestión.</w:t>
      </w:r>
    </w:p>
    <w:p w:rsidR="00876461" w:rsidRDefault="00876461" w:rsidP="00876461">
      <w:pPr>
        <w:pStyle w:val="SingleTxtG"/>
      </w:pPr>
      <w:r>
        <w:lastRenderedPageBreak/>
        <w:t>15.</w:t>
      </w:r>
      <w:r>
        <w:tab/>
        <w:t>En su reunión de organización, celebrada el 6 de noviembre de 2014, el Consejo de Derechos Humanos nombró a Catalina Devandas Aguilar (Costa Rica) Relatora Especial sobre los derechos de las personas con discapacidad. La Relatora Especial presentará su primer informe al Consejo en su 28</w:t>
      </w:r>
      <w:r w:rsidR="00AE6AB2">
        <w:t>º</w:t>
      </w:r>
      <w:r>
        <w:t xml:space="preserve"> período de sesiones.</w:t>
      </w:r>
    </w:p>
    <w:p w:rsidR="00876461" w:rsidRDefault="00876461" w:rsidP="00876461">
      <w:pPr>
        <w:pStyle w:val="H23G"/>
      </w:pPr>
      <w:r>
        <w:tab/>
        <w:t>iv)</w:t>
      </w:r>
      <w:r>
        <w:tab/>
        <w:t xml:space="preserve">Promoción y protección de los derechos humanos en situaciones posteriores a desastres y conflictos </w:t>
      </w:r>
    </w:p>
    <w:p w:rsidR="00876461" w:rsidRDefault="00876461" w:rsidP="00876461">
      <w:pPr>
        <w:pStyle w:val="SingleTxtG"/>
      </w:pPr>
      <w:r>
        <w:t>16.</w:t>
      </w:r>
      <w:r>
        <w:tab/>
        <w:t>En su resolución 22/16, el Consejo de Derechos Humanos solicitó al Comité Asesor que preparase un informe de investigación sobre las prácticas óptimas y los principales problemas encontrados en la promoción y protección de los derechos humanos en situaciones posteriores a desastres y conflictos, centrándose en la incorporación de los derechos humanos en las actividades de socorro, recuperación y reconstrucción, y respetando al mismo tiempo los principios humanitarios de humanidad, imparcialidad, neutralidad e independencia y el enfoque de la asistencia humanitaria basado en las necesidades, en particular para fomentar la capacidad de los Estados en estas actividades.</w:t>
      </w:r>
    </w:p>
    <w:p w:rsidR="00876461" w:rsidRDefault="00876461" w:rsidP="00876461">
      <w:pPr>
        <w:pStyle w:val="SingleTxtG"/>
      </w:pPr>
      <w:r>
        <w:t>17.</w:t>
      </w:r>
      <w:r>
        <w:tab/>
        <w:t>En la misma resolución, el Consejo de Derechos Humanos solicitó también al Comité Asesor que recabase las opiniones y aportaciones de los Estados Miembros, las organizaciones internacionales y regionales competentes, los organismos, fondos y programas de las Naciones Unidas y los procedimientos especiales pertinentes de derechos humanos, así como los organismos y organizaciones que trabajan en situaciones posteriores a desastres y conflictos y representantes de la sociedad civil, al preparar el informe antes mencionado. También alentó al Comité a que tuviese en cuenta, si procedía, la labor realizada al respecto por los órganos y mecanismos competentes de las Naciones Unidas en el marco de sus respectivos mandatos.</w:t>
      </w:r>
    </w:p>
    <w:p w:rsidR="00876461" w:rsidRDefault="00876461" w:rsidP="00876461">
      <w:pPr>
        <w:pStyle w:val="SingleTxtG"/>
      </w:pPr>
      <w:r>
        <w:t>18.</w:t>
      </w:r>
      <w:r>
        <w:tab/>
        <w:t>También en esa misma resolución, el Consejo de Derechos Humanos pidió al Comité Asesor que le presentara en su 26</w:t>
      </w:r>
      <w:r w:rsidR="00AE6AB2">
        <w:t>º</w:t>
      </w:r>
      <w:r>
        <w:t xml:space="preserve"> período de sesiones un informe sobre los progresos realizados, y el informe definitivo en su 28</w:t>
      </w:r>
      <w:r w:rsidR="00AE6AB2">
        <w:t>º</w:t>
      </w:r>
      <w:r>
        <w:t xml:space="preserve"> período de sesiones.</w:t>
      </w:r>
    </w:p>
    <w:p w:rsidR="00876461" w:rsidRDefault="00876461" w:rsidP="00876461">
      <w:pPr>
        <w:pStyle w:val="SingleTxtG"/>
      </w:pPr>
      <w:r>
        <w:t>19.</w:t>
      </w:r>
      <w:r>
        <w:tab/>
        <w:t>En su 11</w:t>
      </w:r>
      <w:r w:rsidR="00AE6AB2">
        <w:t>º</w:t>
      </w:r>
      <w:r>
        <w:t xml:space="preserve"> período de sesiones, el Comité Asesor estableció un grupo de redacción, que en la actualidad está integrado por la Sra. Hananía de Varela, el Sr. Obata, la Sra.</w:t>
      </w:r>
      <w:r w:rsidR="00AE6AB2">
        <w:t> </w:t>
      </w:r>
      <w:r>
        <w:t>Pabel, la Sra. Reyes Prado, el Sr. Soofi y el Sr. Yigezu.</w:t>
      </w:r>
    </w:p>
    <w:p w:rsidR="00876461" w:rsidRDefault="00876461" w:rsidP="00876461">
      <w:pPr>
        <w:pStyle w:val="SingleTxtG"/>
      </w:pPr>
      <w:r>
        <w:t>20.</w:t>
      </w:r>
      <w:r>
        <w:tab/>
        <w:t>También en su 11</w:t>
      </w:r>
      <w:r w:rsidR="00AE6AB2">
        <w:t>º</w:t>
      </w:r>
      <w:r>
        <w:t xml:space="preserve"> período de sesiones, el grupo de redacción y el Comité en pleno celebraron sesiones para debatir el tema objeto de examen y los cuestionarios que se distribuirían entre los Estados </w:t>
      </w:r>
      <w:r w:rsidR="00884D36">
        <w:t>M</w:t>
      </w:r>
      <w:r>
        <w:t>iembros, las organizaciones internacionales y regionales competentes, las instituciones nacionales de derechos humanos y los representantes de la sociedad civil. En septiembre de 2013, el Comité distribuyó los cuestionarios entre los gobiernos, las instituciones nacionales de derechos humanos y los representantes de la sociedad civil.</w:t>
      </w:r>
    </w:p>
    <w:p w:rsidR="00876461" w:rsidRDefault="00876461" w:rsidP="00876461">
      <w:pPr>
        <w:pStyle w:val="SingleTxtG"/>
      </w:pPr>
      <w:r>
        <w:t>21.</w:t>
      </w:r>
      <w:r>
        <w:tab/>
        <w:t>En su 12</w:t>
      </w:r>
      <w:r w:rsidR="00AE6AB2">
        <w:t>º</w:t>
      </w:r>
      <w:r>
        <w:t xml:space="preserve"> período de sesiones, el Comité Asesor decidió nombrar Relatora del grupo de redacción a la Sra. Reyes Prado y Presidente al Sr. Hüseynov, y también recabar las opiniones de los organismos pertinentes de las Naciones Unidas, conforme a lo solicitado por el Consejo de Derechos Humanos en el párrafo 2 de su resolución 22/16.</w:t>
      </w:r>
    </w:p>
    <w:p w:rsidR="00876461" w:rsidRDefault="00876461" w:rsidP="00876461">
      <w:pPr>
        <w:pStyle w:val="SingleTxtG"/>
      </w:pPr>
      <w:r>
        <w:t>22.</w:t>
      </w:r>
      <w:r>
        <w:tab/>
        <w:t>En el mismo período de sesiones, el Comité también decidió recomendar que el Consejo de Derechos Humanos ampliara el plazo previsto a fin de poder fundamentar mejor los trabajos mediante una redistribución de los cuestionarios para recabar las opiniones y aportaciones de distintos interesados, y que se pidiera al Comité que presentara al Consejo en su 27</w:t>
      </w:r>
      <w:r w:rsidR="00AE6AB2">
        <w:t>º</w:t>
      </w:r>
      <w:r>
        <w:t xml:space="preserve"> período de sesiones un informe sobre la marcha de los trabajos, y un informe final en su 28</w:t>
      </w:r>
      <w:r w:rsidR="00AE6AB2">
        <w:t>º</w:t>
      </w:r>
      <w:r>
        <w:t xml:space="preserve"> período de sesiones. En su 26</w:t>
      </w:r>
      <w:r w:rsidR="00AE6AB2">
        <w:t>º</w:t>
      </w:r>
      <w:r>
        <w:t xml:space="preserve"> período de sesiones, el Consejo accedió a la petición del Comité (decisión 26/116).</w:t>
      </w:r>
    </w:p>
    <w:p w:rsidR="00876461" w:rsidRDefault="00876461" w:rsidP="00876461">
      <w:pPr>
        <w:pStyle w:val="SingleTxtG"/>
      </w:pPr>
      <w:r>
        <w:lastRenderedPageBreak/>
        <w:t>23.</w:t>
      </w:r>
      <w:r>
        <w:tab/>
        <w:t>En su 13</w:t>
      </w:r>
      <w:r w:rsidR="00AE6AB2">
        <w:t>º</w:t>
      </w:r>
      <w:r>
        <w:t xml:space="preserve"> período de sesiones, el Comité Asesor examinó el informe sobre los progresos realizados en la preparación del informe de investigación sobre las prácticas óptimas y los principales problemas encontrados en la promoción y protección de los derechos humanos en situaciones posteriores a desastres y conflictos (A/HRC/27/57), que fue presentado al Consejo de Derechos Humanos en su 27</w:t>
      </w:r>
      <w:r w:rsidR="00AE6AB2">
        <w:t>º</w:t>
      </w:r>
      <w:r>
        <w:t xml:space="preserve"> período de sesiones. El Comité también designó al Sr. Soofi para sustituir al Sr. Hüseynov como Presidente del grupo de redacción, y pidió al grupo de redacción que ultimara su informe a la luz de las deliberaciones del Comité en su 13° período de sesiones.</w:t>
      </w:r>
    </w:p>
    <w:p w:rsidR="00876461" w:rsidRDefault="00876461" w:rsidP="00876461">
      <w:pPr>
        <w:pStyle w:val="SingleTxtG"/>
      </w:pPr>
      <w:r>
        <w:t>24.</w:t>
      </w:r>
      <w:r>
        <w:tab/>
        <w:t>En su 14</w:t>
      </w:r>
      <w:r w:rsidR="00AE6AB2">
        <w:t>º</w:t>
      </w:r>
      <w:r>
        <w:t xml:space="preserve"> período de sesiones, el Comité Asesor tendrá ante sí el informe final (A/HRC/28/76), que se presentará al Consejo de Derechos Humanos en su 28</w:t>
      </w:r>
      <w:r w:rsidR="00AE6AB2">
        <w:t>º</w:t>
      </w:r>
      <w:r>
        <w:t xml:space="preserve"> período de sesiones.</w:t>
      </w:r>
    </w:p>
    <w:p w:rsidR="00876461" w:rsidRDefault="00876461" w:rsidP="00876461">
      <w:pPr>
        <w:pStyle w:val="H23G"/>
      </w:pPr>
      <w:r>
        <w:tab/>
        <w:t>v)</w:t>
      </w:r>
      <w:r>
        <w:tab/>
        <w:t xml:space="preserve">Las consecuencias negativas de la corrupción en el disfrute de los derechos </w:t>
      </w:r>
      <w:r>
        <w:br/>
        <w:t>humanos</w:t>
      </w:r>
    </w:p>
    <w:p w:rsidR="00876461" w:rsidRDefault="00876461" w:rsidP="00876461">
      <w:pPr>
        <w:pStyle w:val="SingleTxtG"/>
      </w:pPr>
      <w:r>
        <w:t>25.</w:t>
      </w:r>
      <w:r>
        <w:tab/>
        <w:t>En su resolución 23/9,</w:t>
      </w:r>
      <w:r w:rsidR="00884D36">
        <w:t xml:space="preserve"> </w:t>
      </w:r>
      <w:r>
        <w:t>el Consejo de Derechos Humanos solicitó al Comité Asesor que le presentara en su 26</w:t>
      </w:r>
      <w:r w:rsidR="00AE6AB2">
        <w:t>º</w:t>
      </w:r>
      <w:r>
        <w:t xml:space="preserve"> período de sesiones un informe de investigación sobre las consecuencias negativas de la corrupción en el disfrute de los derechos humanos y que formulara recomendaciones sobre cómo debían examinar esta cuestión el Consejo y sus órganos subsidiarios.</w:t>
      </w:r>
    </w:p>
    <w:p w:rsidR="00876461" w:rsidRDefault="00876461" w:rsidP="00876461">
      <w:pPr>
        <w:pStyle w:val="SingleTxtG"/>
      </w:pPr>
      <w:r>
        <w:t>26.</w:t>
      </w:r>
      <w:r>
        <w:tab/>
        <w:t>En esa misma resolución, el Consejo de Derechos Humanos solicitó también al Comité Asesor que, cuando preparara el informe de investigación antes mencionado, recabara las opiniones y aportaciones de los Estados Miembros, las organizaciones internacionales y regionales competentes que se ocupan de la cuestión de la corrupción, en particular la Oficina de las Naciones Unidas contra la Droga y el Delito, la Academia Internacional contra la Corrupción y la Oficina del Alto Comisionado de las Naciones</w:t>
      </w:r>
      <w:r w:rsidR="00AE6AB2">
        <w:t> </w:t>
      </w:r>
      <w:r>
        <w:t>Unidas para los Derechos Humanos (ACNUDH), así como las instituciones nacionales de derechos humanos, la sociedad civil y las instituciones académicas pertinentes, y tuviera en cuenta el mandato concreto del Consejo, así como la labor realizada al respecto por los órganos y mecanismos competentes de las Naciones Unidas en el marco de sus respectivos mandatos.</w:t>
      </w:r>
    </w:p>
    <w:p w:rsidR="00876461" w:rsidRDefault="00876461" w:rsidP="00876461">
      <w:pPr>
        <w:pStyle w:val="SingleTxtG"/>
      </w:pPr>
      <w:r>
        <w:t>27.</w:t>
      </w:r>
      <w:r>
        <w:tab/>
        <w:t>En su 11</w:t>
      </w:r>
      <w:r w:rsidR="00AE6AB2">
        <w:t>º</w:t>
      </w:r>
      <w:r>
        <w:t xml:space="preserve"> período de sesiones, el Comité Asesor estableció un grupo de redacción, que en la actualidad está integrado por el Sr. Al Faihani, la Sra. Boisson de Chazournes, el Sr. Coriolano, la Sra. Elsadda, el Sr. Karokora, el Sr. Okafor, la Sra. Pabel (Relatora), la Sra. Reyes Prado, el Sr. Soofi y el Sr. Yigezu (Presidente).</w:t>
      </w:r>
    </w:p>
    <w:p w:rsidR="00876461" w:rsidRDefault="00876461" w:rsidP="00876461">
      <w:pPr>
        <w:pStyle w:val="SingleTxtG"/>
      </w:pPr>
      <w:r>
        <w:t>28.</w:t>
      </w:r>
      <w:r>
        <w:tab/>
        <w:t>También en su 11</w:t>
      </w:r>
      <w:r w:rsidR="00AE6AB2">
        <w:t>º</w:t>
      </w:r>
      <w:r>
        <w:t xml:space="preserve"> período de sesiones, el grupo de redacción y el Comité en pleno celebraron sesiones para debatir el tema objeto de examen y los cuestionarios que se distribuirían entre los Estados Miembros, las organizaciones internacionales y regionales competentes, las instituciones nacionales de derechos humanos, los representantes de la sociedad civil y los círculos académicos. En septiembre de 2013, el Comité distribuyó los cuestionarios a las diversas partes interesadas.</w:t>
      </w:r>
    </w:p>
    <w:p w:rsidR="00876461" w:rsidRDefault="00876461" w:rsidP="00876461">
      <w:pPr>
        <w:pStyle w:val="SingleTxtG"/>
      </w:pPr>
      <w:r>
        <w:t>29.</w:t>
      </w:r>
      <w:r>
        <w:tab/>
        <w:t>En su 12</w:t>
      </w:r>
      <w:r w:rsidR="00AE6AB2">
        <w:t>º</w:t>
      </w:r>
      <w:r>
        <w:t xml:space="preserve"> período de sesiones, el Comité Asesor examinó el proyecto de informe</w:t>
      </w:r>
      <w:r w:rsidR="00442058">
        <w:br/>
      </w:r>
      <w:r>
        <w:t>sobre los progresos realizados, elaborado por el grupo de redacción (A/HRC/AC/12/CRP.3). El Comité recomendó que el Consejo de Derechos Humanos ampliara el plazo previsto a fin de poder fundamentar mejor los trabajos</w:t>
      </w:r>
      <w:r w:rsidR="00E57AE9" w:rsidRPr="00E57AE9">
        <w:t xml:space="preserve"> </w:t>
      </w:r>
      <w:r w:rsidR="00E57AE9">
        <w:t>mediante</w:t>
      </w:r>
      <w:r>
        <w:t>, entre otras cosas</w:t>
      </w:r>
      <w:r w:rsidR="00E57AE9">
        <w:t>,</w:t>
      </w:r>
      <w:r>
        <w:t xml:space="preserve"> el análisis de las numerosas respuestas recibidas a los cuestionarios, y que se pidiera al Comité que presentara al Consejo en su 26</w:t>
      </w:r>
      <w:r w:rsidR="00AE6AB2">
        <w:t>º</w:t>
      </w:r>
      <w:r>
        <w:t xml:space="preserve"> período de sesiones </w:t>
      </w:r>
      <w:r w:rsidR="00E57AE9">
        <w:t xml:space="preserve">un informe sobre la marcha de los trabajos, </w:t>
      </w:r>
      <w:r>
        <w:t>y un informe final en su 28</w:t>
      </w:r>
      <w:r w:rsidR="00AE6AB2">
        <w:t>º</w:t>
      </w:r>
      <w:r>
        <w:t xml:space="preserve"> período de sesiones. Por consiguiente, el informe sobre la marcha de los trabajos acerca</w:t>
      </w:r>
      <w:r w:rsidR="00AE6AB2">
        <w:t xml:space="preserve"> de las consecuencias negativas</w:t>
      </w:r>
      <w:r>
        <w:t xml:space="preserve"> de la corrupción en el disfrute de los derechos humanos (A/HRC/26/42) se </w:t>
      </w:r>
      <w:r>
        <w:lastRenderedPageBreak/>
        <w:t>presentó al Consejo en su 26</w:t>
      </w:r>
      <w:r w:rsidR="00AE6AB2">
        <w:t>º</w:t>
      </w:r>
      <w:r>
        <w:t xml:space="preserve"> período de sesiones. En ese período de sesiones, el Consejo accedió a la petición del Comité (decisión 26/115).</w:t>
      </w:r>
    </w:p>
    <w:p w:rsidR="00876461" w:rsidRDefault="00876461" w:rsidP="00876461">
      <w:pPr>
        <w:pStyle w:val="SingleTxtG"/>
      </w:pPr>
      <w:r>
        <w:t>30.</w:t>
      </w:r>
      <w:r>
        <w:tab/>
        <w:t>En su 13</w:t>
      </w:r>
      <w:r w:rsidR="00AE6AB2">
        <w:t>º</w:t>
      </w:r>
      <w:r>
        <w:t xml:space="preserve"> período de sesiones, el Comité Asesor tomó nota del proyecto de informe elaborado por el grupo de redacción y le pidió que ultimara el informe para el Consejo a la luz de las deliberaciones del Comité en el período de sesiones.</w:t>
      </w:r>
    </w:p>
    <w:p w:rsidR="00876461" w:rsidRDefault="00876461" w:rsidP="00876461">
      <w:pPr>
        <w:pStyle w:val="SingleTxtG"/>
      </w:pPr>
      <w:r>
        <w:t>31.</w:t>
      </w:r>
      <w:r>
        <w:tab/>
        <w:t>En su 14</w:t>
      </w:r>
      <w:r w:rsidR="00AE6AB2">
        <w:t>º</w:t>
      </w:r>
      <w:r>
        <w:t xml:space="preserve"> período de sesiones, el Comité Asesor tendrá ante sí el informe final (A/HRC/28/73), que se presentará al Consejo de Derechos Humanos en su 28</w:t>
      </w:r>
      <w:r w:rsidR="00AE6AB2">
        <w:t>º</w:t>
      </w:r>
      <w:r>
        <w:t xml:space="preserve"> período de sesiones.</w:t>
      </w:r>
    </w:p>
    <w:p w:rsidR="00876461" w:rsidRDefault="00E57AE9" w:rsidP="00E57AE9">
      <w:pPr>
        <w:pStyle w:val="H23G"/>
      </w:pPr>
      <w:r>
        <w:tab/>
      </w:r>
      <w:r w:rsidR="00876461">
        <w:t>vi)</w:t>
      </w:r>
      <w:r w:rsidR="00876461">
        <w:tab/>
        <w:t>Promoción de los derechos humanos mediante el deporte y el ideal olímpico</w:t>
      </w:r>
    </w:p>
    <w:p w:rsidR="00876461" w:rsidRDefault="00876461" w:rsidP="00876461">
      <w:pPr>
        <w:pStyle w:val="SingleTxtG"/>
      </w:pPr>
      <w:r>
        <w:t>32.</w:t>
      </w:r>
      <w:r>
        <w:tab/>
        <w:t xml:space="preserve">En su resolución 24/1, el Consejo de Derechos Humanos pidió al Comité Asesor que preparara un estudio sobre las posibilidades de utilizar el deporte y el ideal olímpico para promover los derechos humanos </w:t>
      </w:r>
      <w:r w:rsidR="00E57AE9">
        <w:t xml:space="preserve">de todas las personas </w:t>
      </w:r>
      <w:r>
        <w:t>y reforzar el respeto universal hacia ellos, teniendo en cuenta el valor tanto de los principios pertinentes consagrados en la Carta Olímpica como del buen ejemplo deportivo, y que le presentara, antes de su 27</w:t>
      </w:r>
      <w:r w:rsidR="00AE6AB2">
        <w:t>º</w:t>
      </w:r>
      <w:r>
        <w:t xml:space="preserve"> período de sesiones, un informe sobre la marcha de las tareas.</w:t>
      </w:r>
    </w:p>
    <w:p w:rsidR="00876461" w:rsidRDefault="00876461" w:rsidP="00876461">
      <w:pPr>
        <w:pStyle w:val="SingleTxtG"/>
      </w:pPr>
      <w:r>
        <w:t>33.</w:t>
      </w:r>
      <w:r>
        <w:tab/>
        <w:t>En esa misma resolución, el Consejo de Derechos Humanos pidió también al Comité Asesor que recabara las opiniones y aportaciones al respecto de los Estados Miembros de las Naciones Unidas, las organizaciones internacionales y regionales, las instituciones nacionales de derechos humanos, las organizaciones de la sociedad civil y otras partes interesadas.</w:t>
      </w:r>
    </w:p>
    <w:p w:rsidR="00876461" w:rsidRDefault="00876461" w:rsidP="00876461">
      <w:pPr>
        <w:pStyle w:val="SingleTxtG"/>
      </w:pPr>
      <w:r>
        <w:t>34.</w:t>
      </w:r>
      <w:r>
        <w:tab/>
        <w:t>En su 12</w:t>
      </w:r>
      <w:r w:rsidR="00AE6AB2">
        <w:t>º</w:t>
      </w:r>
      <w:r>
        <w:t xml:space="preserve"> período de sesiones, el Comité Asesor estableció un grupo de redacción, que en la actualidad está integrado por el Sr. Al Faihani, la Sra. Hananía de Varela, el Sr.</w:t>
      </w:r>
      <w:r w:rsidR="00AE6AB2">
        <w:t> </w:t>
      </w:r>
      <w:r>
        <w:t>Lebedev (Relator) y el Sr. Zhang.</w:t>
      </w:r>
    </w:p>
    <w:p w:rsidR="00876461" w:rsidRDefault="00876461" w:rsidP="00876461">
      <w:pPr>
        <w:pStyle w:val="SingleTxtG"/>
      </w:pPr>
      <w:r>
        <w:t>35.</w:t>
      </w:r>
      <w:r>
        <w:tab/>
        <w:t>También en el 12</w:t>
      </w:r>
      <w:r w:rsidR="00AE6AB2">
        <w:t>º</w:t>
      </w:r>
      <w:r>
        <w:t xml:space="preserve"> período de sesiones, el grupo de redacción y el Comité en pleno celebraron sesiones para debatir el tema objeto de examen y el cuestionario que se distribuiría entre los Estados Miembros, las organizaciones internacionales y regionales competentes, las instituciones nacionales de derechos humanos y las organizaciones de la sociedad civil. En marzo de 2014, el Comité distribuyó el cuestionario a las diversas partes interesadas.</w:t>
      </w:r>
    </w:p>
    <w:p w:rsidR="00876461" w:rsidRDefault="00E57AE9" w:rsidP="00876461">
      <w:pPr>
        <w:pStyle w:val="SingleTxtG"/>
      </w:pPr>
      <w:r>
        <w:t>36.</w:t>
      </w:r>
      <w:r>
        <w:tab/>
        <w:t>En es</w:t>
      </w:r>
      <w:r w:rsidR="00876461">
        <w:t>e mismo período de sesiones, el Comité Asesor solicitó al grupo de redacción que le presentara</w:t>
      </w:r>
      <w:r>
        <w:t>,</w:t>
      </w:r>
      <w:r w:rsidR="00876461">
        <w:t xml:space="preserve"> antes de su 13</w:t>
      </w:r>
      <w:r w:rsidR="00AE6AB2">
        <w:t>º</w:t>
      </w:r>
      <w:r w:rsidR="00876461">
        <w:t xml:space="preserve"> período de sesiones, </w:t>
      </w:r>
      <w:r>
        <w:t xml:space="preserve">un proyecto de informe sobre los progresos realizados, </w:t>
      </w:r>
      <w:r w:rsidR="00876461">
        <w:t>teniendo en cuenta las respuestas al cuestionario, con miras a presentar el informe al Consejo en su 27</w:t>
      </w:r>
      <w:r w:rsidR="00AE6AB2">
        <w:t>º</w:t>
      </w:r>
      <w:r w:rsidR="00876461">
        <w:t xml:space="preserve"> período de sesiones.</w:t>
      </w:r>
    </w:p>
    <w:p w:rsidR="00876461" w:rsidRDefault="00876461" w:rsidP="00876461">
      <w:pPr>
        <w:pStyle w:val="SingleTxtG"/>
      </w:pPr>
      <w:r>
        <w:t>37.</w:t>
      </w:r>
      <w:r>
        <w:tab/>
        <w:t>En su 13</w:t>
      </w:r>
      <w:r w:rsidR="00AE6AB2">
        <w:t>º</w:t>
      </w:r>
      <w:r>
        <w:t xml:space="preserve"> período de sesiones, el Comité Asesor examinó el informe sobre la marcha de los trabajos en relación con el estudio sobre las posibilidades de utilizar el deporte y el ideal olímpico para promover los derechos humanos (A/HRC/27/58), que fue presentado al Consejo de Derechos Humanos en su 27</w:t>
      </w:r>
      <w:r w:rsidR="00AE6AB2">
        <w:t>º</w:t>
      </w:r>
      <w:r>
        <w:t xml:space="preserve"> período de sesiones. El Comité también designó al Sr. Al Faihani para sustituir al Sr. Seetulsingh como Presidente del grupo de redacción y recomendó que el Consejo pidiera al Comité que le presentara un informe final en su 30</w:t>
      </w:r>
      <w:r w:rsidR="00AE6AB2">
        <w:t>º</w:t>
      </w:r>
      <w:r w:rsidR="00442058">
        <w:t> </w:t>
      </w:r>
      <w:r>
        <w:t>período de sesiones.</w:t>
      </w:r>
    </w:p>
    <w:p w:rsidR="00876461" w:rsidRDefault="00876461" w:rsidP="00876461">
      <w:pPr>
        <w:pStyle w:val="SingleTxtG"/>
      </w:pPr>
      <w:r>
        <w:t>38.</w:t>
      </w:r>
      <w:r>
        <w:tab/>
        <w:t>En su resolución 27/8, el Consejo de Derechos Humanos tomó nota con reconocimiento del informe</w:t>
      </w:r>
      <w:r w:rsidR="00E57AE9" w:rsidRPr="00E57AE9">
        <w:t xml:space="preserve"> </w:t>
      </w:r>
      <w:r w:rsidR="00E57AE9">
        <w:t>del Comité Asesor</w:t>
      </w:r>
      <w:r>
        <w:t xml:space="preserve"> sobre la marcha de los trabajos, y le solicitó que finalizara el estudio sobre las posibilidades de utilizar el deporte y el ideal olímpico para promover los derechos humanos de todas las personas y reforzar el respeto universal hacia ellos, y que lo presentara en un informe al Consejo antes de su 30</w:t>
      </w:r>
      <w:r w:rsidR="00AE6AB2">
        <w:t>º</w:t>
      </w:r>
      <w:r>
        <w:t xml:space="preserve"> período de sesiones. En su 14</w:t>
      </w:r>
      <w:r w:rsidR="00AE6AB2">
        <w:t>º</w:t>
      </w:r>
      <w:r>
        <w:t xml:space="preserve"> período de sesiones, el Comité Asesor examinará el proyecto de informe final que se presentará al Consejo de Derechos Humanos en su 30</w:t>
      </w:r>
      <w:r w:rsidR="00AE6AB2">
        <w:t>º</w:t>
      </w:r>
      <w:r>
        <w:t xml:space="preserve"> período de sesiones (A/HRC/AC/14/CRP.1)</w:t>
      </w:r>
    </w:p>
    <w:p w:rsidR="00876461" w:rsidRDefault="00E57AE9" w:rsidP="00E57AE9">
      <w:pPr>
        <w:pStyle w:val="H23G"/>
      </w:pPr>
      <w:r>
        <w:lastRenderedPageBreak/>
        <w:tab/>
        <w:t>vii)</w:t>
      </w:r>
      <w:r w:rsidR="00876461">
        <w:tab/>
        <w:t>La administración local y los derechos humanos</w:t>
      </w:r>
    </w:p>
    <w:p w:rsidR="00876461" w:rsidRDefault="00876461" w:rsidP="00876461">
      <w:pPr>
        <w:pStyle w:val="SingleTxtG"/>
      </w:pPr>
      <w:r>
        <w:t>39.</w:t>
      </w:r>
      <w:r>
        <w:tab/>
        <w:t>En su resolución 24/2, el Consejo de Derechos Humanos pidió al Comité Asesor que preparara un informe de investigación sobre el papel de la administración local en la promoción y protección de los derechos humanos, incluida la incorporación de la perspectiva de los derechos humanos a la administración local y los servicios públicos, con miras a compilar las mejores prácticas y las principales dificultades, y que presentara</w:t>
      </w:r>
      <w:r w:rsidR="00E57AE9">
        <w:t xml:space="preserve"> al Consejo en su 27</w:t>
      </w:r>
      <w:r w:rsidR="00AE6AB2">
        <w:t>º</w:t>
      </w:r>
      <w:r w:rsidR="00E57AE9">
        <w:t xml:space="preserve"> período de sesiones</w:t>
      </w:r>
      <w:r>
        <w:t xml:space="preserve"> un informe sobre los progresos realizados respecto del informe de investigación solicitado.</w:t>
      </w:r>
    </w:p>
    <w:p w:rsidR="00876461" w:rsidRDefault="00876461" w:rsidP="00876461">
      <w:pPr>
        <w:pStyle w:val="SingleTxtG"/>
      </w:pPr>
      <w:r>
        <w:t>40.</w:t>
      </w:r>
      <w:r>
        <w:tab/>
        <w:t xml:space="preserve">En la misma resolución, el Consejo de Derechos Humanos solicitó </w:t>
      </w:r>
      <w:r w:rsidR="00E57AE9">
        <w:t xml:space="preserve">también </w:t>
      </w:r>
      <w:r>
        <w:t>al Comité Asesor que recabara las opiniones y aportaciones de los Estados Miembros, las organizaciones internacionales y regionales competentes, el ACNUDH y los procedimientos especiales pertinentes, así como de las instituciones nacionales de derechos humanos y las organizaciones no gubernamentales</w:t>
      </w:r>
      <w:r w:rsidR="00884D36">
        <w:t xml:space="preserve"> (ONG)</w:t>
      </w:r>
      <w:r>
        <w:t>, con el fin de preparar el informe de investigación antes mencionado. También alentó al Comité a que, cuando elaborara dicho informe, tuviera en cuenta, si procedía, las recomendaciones formuladas por los órganos creados en virtud de tratados de derechos humanos, en el examen periódico universal y por los procedimientos especiales, así como la labor realizada al respecto por los organismos, fondos y programas competentes de las Naciones Unidas en el marco de sus respectivos mandatos.</w:t>
      </w:r>
    </w:p>
    <w:p w:rsidR="00876461" w:rsidRDefault="00876461" w:rsidP="00876461">
      <w:pPr>
        <w:pStyle w:val="SingleTxtG"/>
      </w:pPr>
      <w:r>
        <w:t>41.</w:t>
      </w:r>
      <w:r>
        <w:tab/>
        <w:t>En su 12</w:t>
      </w:r>
      <w:r w:rsidR="00AE6AB2">
        <w:t>º</w:t>
      </w:r>
      <w:r>
        <w:t xml:space="preserve"> período de sesiones, el Comité Asesor estableció un grupo de redacción, que en la actualidad está integrado por el Sr. Coriolano, la Sra. Elsadda, la Sra. Pabel, la Sra. Reyes Prado y el Sr. Yigezu.</w:t>
      </w:r>
    </w:p>
    <w:p w:rsidR="00876461" w:rsidRDefault="00876461" w:rsidP="00876461">
      <w:pPr>
        <w:pStyle w:val="SingleTxtG"/>
      </w:pPr>
      <w:r>
        <w:t>42.</w:t>
      </w:r>
      <w:r>
        <w:tab/>
        <w:t>También en su 12</w:t>
      </w:r>
      <w:r w:rsidR="00AE6AB2">
        <w:t>º</w:t>
      </w:r>
      <w:r>
        <w:t xml:space="preserve"> período de sesiones, el grupo de redacción y el Comité en pleno celebraron sesiones para debatir el tema objeto de examen y los cuestionarios que se distribuirían entre los Estados Miembros, las autoridades locales, las organizaciones internacionales y regionales competentes, las organizaciones intergubernamentales, las instituciones nacionales de derechos humanos y las </w:t>
      </w:r>
      <w:r w:rsidR="00884D36">
        <w:t>ONG</w:t>
      </w:r>
      <w:r>
        <w:t>. En marzo de 2014 el Comité distribuyó los cuestionarios a las diversas partes interesadas.</w:t>
      </w:r>
    </w:p>
    <w:p w:rsidR="00876461" w:rsidRDefault="00876461" w:rsidP="00876461">
      <w:pPr>
        <w:pStyle w:val="SingleTxtG"/>
      </w:pPr>
      <w:r>
        <w:t>43.</w:t>
      </w:r>
      <w:r>
        <w:tab/>
        <w:t>En ese mismo período de sesiones, el Comité Asesor solicitó al grupo de redacción que le presentara</w:t>
      </w:r>
      <w:r w:rsidR="00E57AE9">
        <w:t>,</w:t>
      </w:r>
      <w:r>
        <w:t xml:space="preserve"> antes de su 13</w:t>
      </w:r>
      <w:r w:rsidR="00AE6AB2">
        <w:t>º</w:t>
      </w:r>
      <w:r>
        <w:t xml:space="preserve"> período de sesiones,</w:t>
      </w:r>
      <w:r w:rsidR="00E57AE9">
        <w:t xml:space="preserve"> un proyecto de informe sobre los progresos realizados,</w:t>
      </w:r>
      <w:r>
        <w:t xml:space="preserve"> teniendo en cuenta las respuestas a los cuestionarios, con miras a presentar el informe al Consejo en su 27</w:t>
      </w:r>
      <w:r w:rsidR="00AE6AB2">
        <w:t>º</w:t>
      </w:r>
      <w:r>
        <w:t xml:space="preserve"> período de sesiones.</w:t>
      </w:r>
    </w:p>
    <w:p w:rsidR="00876461" w:rsidRDefault="00876461" w:rsidP="00876461">
      <w:pPr>
        <w:pStyle w:val="SingleTxtG"/>
      </w:pPr>
      <w:r>
        <w:t>44.</w:t>
      </w:r>
      <w:r>
        <w:tab/>
        <w:t>En su 13</w:t>
      </w:r>
      <w:r w:rsidR="00AE6AB2">
        <w:t>º</w:t>
      </w:r>
      <w:r>
        <w:t xml:space="preserve"> período de sesiones, el Comité Asesor examinó el informe sobre los progresos realizados respecto del papel de la administración local en la promoción y protección de los derechos humanos, incluida la incorporación de la perspectiva de derechos humanos en la administración local y los servicios públicos (A/HRC/27/59), presentado al Consejo de Derechos Humanos en su 27</w:t>
      </w:r>
      <w:r w:rsidR="00AE6AB2">
        <w:t>º</w:t>
      </w:r>
      <w:r>
        <w:t xml:space="preserve"> período de sesiones. El Comité designó a la Sra. Elsadda para sustituir al Sr. Hüseynov como Relator y a la Sra. Pabel para sustituir al Sr. Seetulsingh como Presidente del grupo de redacción, y recomendó que el Consejo pidiera al Comité que le presentara un informe final en su 30</w:t>
      </w:r>
      <w:r w:rsidR="00AE6AB2">
        <w:t>º</w:t>
      </w:r>
      <w:r>
        <w:t xml:space="preserve"> período de sesiones.</w:t>
      </w:r>
    </w:p>
    <w:p w:rsidR="00876461" w:rsidRDefault="00876461" w:rsidP="00876461">
      <w:pPr>
        <w:pStyle w:val="SingleTxtG"/>
      </w:pPr>
      <w:r>
        <w:t>45.</w:t>
      </w:r>
      <w:r>
        <w:tab/>
        <w:t>En su resolución 27/4, el Consejo de Derechos Humanos tomó nota con reconocimiento de que el Comité Asesor había presentado al Consejo en su 27</w:t>
      </w:r>
      <w:r w:rsidR="00AE6AB2">
        <w:t>º</w:t>
      </w:r>
      <w:r>
        <w:t xml:space="preserve"> período de sesiones un informe sobre los progresos realizados respecto de la investigación acerca del papel de la administración local en la promoción y protección de los derechos humanos, incluida la incorporación de la perspectiva de los derechos humanos a la administración local y los servicios públicos, y pidió al Comité que prosiguiera su investigación, con los recursos disponibles, y le presentara en su 30</w:t>
      </w:r>
      <w:r w:rsidR="00AE6AB2">
        <w:t>º</w:t>
      </w:r>
      <w:r>
        <w:t xml:space="preserve"> período de sesiones un informe final sobre el papel de la administración local en la promoción y protección de los derechos humanos.</w:t>
      </w:r>
    </w:p>
    <w:p w:rsidR="00876461" w:rsidRDefault="00876461" w:rsidP="00876461">
      <w:pPr>
        <w:pStyle w:val="SingleTxtG"/>
      </w:pPr>
      <w:r>
        <w:lastRenderedPageBreak/>
        <w:t>46.</w:t>
      </w:r>
      <w:r>
        <w:tab/>
        <w:t>En la misma resolución, el Consejo de Derechos Humanos solicitó también al Comité Asesor que, cuando preparara dicho informe, incluyera en él las principales dificultades a que se enfrenta la administración local en la promoción y protección de los derechos humanos, y formulara recomendaciones sobre el modo de superarlas, basándose en las mejores prácticas en materia de incorporación de la perspectiva de los derechos humanos a la administración local y los servicios públicos.</w:t>
      </w:r>
    </w:p>
    <w:p w:rsidR="00876461" w:rsidRDefault="00876461" w:rsidP="00876461">
      <w:pPr>
        <w:pStyle w:val="SingleTxtG"/>
      </w:pPr>
      <w:r>
        <w:t>47.</w:t>
      </w:r>
      <w:r>
        <w:tab/>
        <w:t xml:space="preserve">También en esa resolución, el Consejo de Derechos Humanos solicitó al Comité Asesor que siguiera recabando, </w:t>
      </w:r>
      <w:r w:rsidR="00E57AE9">
        <w:t>en caso</w:t>
      </w:r>
      <w:r>
        <w:t xml:space="preserve"> necesario, las opiniones y aportaciones de los Estados Miembros, las organizaciones internacionales y regionales competentes, el Alto Comisionado de las Naciones Unidas para los Derechos Humanos y los procedimientos especiales pertinentes, así como de las instituciones nacionales de derechos humanos y las </w:t>
      </w:r>
      <w:r w:rsidR="00884D36">
        <w:t>ONG</w:t>
      </w:r>
      <w:r>
        <w:t>, con el fin de ultimar el informe de investigación antes mencionado.</w:t>
      </w:r>
    </w:p>
    <w:p w:rsidR="00876461" w:rsidRDefault="00876461" w:rsidP="00876461">
      <w:pPr>
        <w:pStyle w:val="SingleTxtG"/>
      </w:pPr>
      <w:r>
        <w:t>48.</w:t>
      </w:r>
      <w:r>
        <w:tab/>
        <w:t>En su 14</w:t>
      </w:r>
      <w:r w:rsidR="00AE6AB2">
        <w:t>º</w:t>
      </w:r>
      <w:r>
        <w:t xml:space="preserve"> período de sesiones, el Comité Asesor examinará el proyecto de informe final (A/HRC/AC/14/CRP.2), que se presentará al Consejo de Derechos Humanos en su 30</w:t>
      </w:r>
      <w:r w:rsidR="00AE6AB2">
        <w:t>º</w:t>
      </w:r>
      <w:r w:rsidR="00442058">
        <w:t> </w:t>
      </w:r>
      <w:r>
        <w:t>período de sesiones.</w:t>
      </w:r>
    </w:p>
    <w:p w:rsidR="00876461" w:rsidRDefault="00E57AE9" w:rsidP="00E57AE9">
      <w:pPr>
        <w:pStyle w:val="H23G"/>
      </w:pPr>
      <w:r>
        <w:tab/>
      </w:r>
      <w:r w:rsidR="00AE6AB2">
        <w:t>viii)</w:t>
      </w:r>
      <w:r w:rsidR="00876461">
        <w:tab/>
        <w:t>Derechos humanos y medidas coercitivas unilaterales</w:t>
      </w:r>
    </w:p>
    <w:p w:rsidR="00876461" w:rsidRDefault="00876461" w:rsidP="00876461">
      <w:pPr>
        <w:pStyle w:val="SingleTxtG"/>
      </w:pPr>
      <w:r>
        <w:t>49.</w:t>
      </w:r>
      <w:r>
        <w:tab/>
        <w:t>En su resolución 24/14, el Consejo de Derechos Humanos solicitó al Comité Asesor que, sobre la base de investigaciones, preparara un informe con recomendaciones sobre un mecanismo para evaluar las repercusiones negativas de las medidas coercitivas unilaterales en el disfrute de los derechos humanos y promover la rendición de cuentas, y que le presentara un informe sobre los progresos realizados en la preparación de dicho informe para examinarlo en su 28</w:t>
      </w:r>
      <w:r w:rsidR="00AE6AB2">
        <w:t>º</w:t>
      </w:r>
      <w:r>
        <w:t xml:space="preserve"> período de sesiones.</w:t>
      </w:r>
    </w:p>
    <w:p w:rsidR="00876461" w:rsidRDefault="00876461" w:rsidP="00876461">
      <w:pPr>
        <w:pStyle w:val="SingleTxtG"/>
      </w:pPr>
      <w:r>
        <w:t>50.</w:t>
      </w:r>
      <w:r>
        <w:tab/>
        <w:t>En la misma resolución el Consejo de Derechos Humanos solicitó al ACNUDH que organizara, antes del 27</w:t>
      </w:r>
      <w:r w:rsidR="00AE6AB2">
        <w:t>º</w:t>
      </w:r>
      <w:r>
        <w:t xml:space="preserve"> período de sesiones del Consejo, un taller sobre las repercusiones que tiene la aplicación de medidas coercitivas unilaterales en el disfrute de los derechos humanos de las poblaciones afectadas de los Estados contra los cuales van dirigidas, en particular las repercusiones socioeconómicas en las mujeres y los niños, y que presentara al Consejo en su 27</w:t>
      </w:r>
      <w:r w:rsidR="00AE6AB2">
        <w:t>º</w:t>
      </w:r>
      <w:r>
        <w:t xml:space="preserve"> período de sesiones</w:t>
      </w:r>
      <w:r w:rsidR="00E57AE9" w:rsidRPr="00E57AE9">
        <w:t xml:space="preserve"> </w:t>
      </w:r>
      <w:r w:rsidR="00E57AE9">
        <w:t>un informe sobre las conclusiones del taller</w:t>
      </w:r>
      <w:r>
        <w:t>.</w:t>
      </w:r>
    </w:p>
    <w:p w:rsidR="00876461" w:rsidRDefault="00876461" w:rsidP="00876461">
      <w:pPr>
        <w:pStyle w:val="SingleTxtG"/>
      </w:pPr>
      <w:r>
        <w:t>51.</w:t>
      </w:r>
      <w:r>
        <w:tab/>
        <w:t>En su 12</w:t>
      </w:r>
      <w:r w:rsidR="00AE6AB2">
        <w:t>º</w:t>
      </w:r>
      <w:r>
        <w:t xml:space="preserve"> período de sesiones, el Comité Asesor estableció un grupo de redacción, que en la actualidad está integrado por el Sr. Lebedev, el Sr. Okafor, el Sr. Soofi, el Sr.</w:t>
      </w:r>
      <w:r w:rsidR="00AE6AB2">
        <w:t> </w:t>
      </w:r>
      <w:r>
        <w:t>Yigezu (Relator) y el Sr. Ziegler (Presidente).</w:t>
      </w:r>
    </w:p>
    <w:p w:rsidR="00876461" w:rsidRDefault="00876461" w:rsidP="00876461">
      <w:pPr>
        <w:pStyle w:val="SingleTxtG"/>
      </w:pPr>
      <w:r>
        <w:t>52.</w:t>
      </w:r>
      <w:r>
        <w:tab/>
        <w:t>También en su 12</w:t>
      </w:r>
      <w:r w:rsidR="00AE6AB2">
        <w:t>º</w:t>
      </w:r>
      <w:r>
        <w:t xml:space="preserve"> período de sesiones, el grupo de redacción y el Comité en pleno celebraron sesiones para debatir el tema objeto de examen y los cuestionarios que se distribuirían entre los Estados Miembros, los procedimientos especiales del Consejo de Derechos Humanos, las instituciones nacionales de derechos humanos y las </w:t>
      </w:r>
      <w:r w:rsidR="00884D36">
        <w:t>ONG</w:t>
      </w:r>
      <w:r>
        <w:t>. En marzo de 2014 el Comité distribuyó los cuestionarios a las diversas partes interesadas.</w:t>
      </w:r>
    </w:p>
    <w:p w:rsidR="00876461" w:rsidRDefault="00E57AE9" w:rsidP="00876461">
      <w:pPr>
        <w:pStyle w:val="SingleTxtG"/>
      </w:pPr>
      <w:r>
        <w:t>53.</w:t>
      </w:r>
      <w:r>
        <w:tab/>
        <w:t>En es</w:t>
      </w:r>
      <w:r w:rsidR="00876461">
        <w:t>e mismo período de sesiones, el Comité Asesor designó a los Sres. Okafor y Ziegler para participar en el taller organizado por la Oficina del Alto Comisionado de las Naciones Unidas para los Derechos Humanos de conformidad con lo dispuesto en la resolución 24/14 del Consejo, que se celebró en Ginebra el 23 de mayo de 2014.</w:t>
      </w:r>
    </w:p>
    <w:p w:rsidR="00876461" w:rsidRDefault="00876461" w:rsidP="00876461">
      <w:pPr>
        <w:pStyle w:val="SingleTxtG"/>
      </w:pPr>
      <w:r>
        <w:t>54.</w:t>
      </w:r>
      <w:r>
        <w:tab/>
        <w:t>En su 13</w:t>
      </w:r>
      <w:r w:rsidR="00AE6AB2">
        <w:t>º</w:t>
      </w:r>
      <w:r>
        <w:t xml:space="preserve"> período de sesiones, el Comité Asesor examinó el proyecto de informe elaborado por el grupo de redacción (A/HRC/AC/13/CRP.2) y solicitó a</w:t>
      </w:r>
      <w:r w:rsidR="00E57AE9">
        <w:t xml:space="preserve"> este</w:t>
      </w:r>
      <w:r>
        <w:t xml:space="preserve"> que redistribuyera el cuestionario para recabar las opiniones y aportac</w:t>
      </w:r>
      <w:r w:rsidR="00884D36">
        <w:t>iones de los diversos interesado</w:t>
      </w:r>
      <w:r>
        <w:t>s que no había</w:t>
      </w:r>
      <w:r w:rsidR="00E57AE9">
        <w:t>n respondido,</w:t>
      </w:r>
      <w:r>
        <w:t xml:space="preserve"> a fin de poder fundamentar mejor los trabajos. En septiembre de 2014, el Comité redistribuyó los cuestionarios a los interesados.</w:t>
      </w:r>
    </w:p>
    <w:p w:rsidR="00876461" w:rsidRDefault="00876461" w:rsidP="00876461">
      <w:pPr>
        <w:pStyle w:val="SingleTxtG"/>
      </w:pPr>
      <w:r>
        <w:t>55.</w:t>
      </w:r>
      <w:r>
        <w:tab/>
        <w:t>También en su 13</w:t>
      </w:r>
      <w:r w:rsidR="00AE6AB2">
        <w:t>º</w:t>
      </w:r>
      <w:r>
        <w:t xml:space="preserve"> período de sesiones, el Comité Asesor pidió al grupo de redacción que ultimara su informe a la luz de las deliberaciones del Comité y las respuestas recibidas tras la redistribución de los cuestionarios.</w:t>
      </w:r>
    </w:p>
    <w:p w:rsidR="00876461" w:rsidRDefault="00876461" w:rsidP="00876461">
      <w:pPr>
        <w:pStyle w:val="SingleTxtG"/>
      </w:pPr>
      <w:r>
        <w:lastRenderedPageBreak/>
        <w:t>56.</w:t>
      </w:r>
      <w:r>
        <w:tab/>
        <w:t>En su 14</w:t>
      </w:r>
      <w:r w:rsidR="00AE6AB2">
        <w:t>º</w:t>
      </w:r>
      <w:r>
        <w:t xml:space="preserve"> período de sesiones, el Comité Asesor tendrá ante sí el informe sobre los progresos realizados (A/HRC/28/7</w:t>
      </w:r>
      <w:r w:rsidR="00884D36">
        <w:t>4</w:t>
      </w:r>
      <w:r>
        <w:t>), que se presentará al Consejo de Derechos Humanos en su 28</w:t>
      </w:r>
      <w:r w:rsidR="00AE6AB2">
        <w:t>º</w:t>
      </w:r>
      <w:r>
        <w:t xml:space="preserve"> período de sesiones.</w:t>
      </w:r>
    </w:p>
    <w:p w:rsidR="00876461" w:rsidRDefault="00E57AE9" w:rsidP="00E57AE9">
      <w:pPr>
        <w:pStyle w:val="H23G"/>
      </w:pPr>
      <w:r>
        <w:tab/>
      </w:r>
      <w:r w:rsidR="00876461">
        <w:t>ix)</w:t>
      </w:r>
      <w:r w:rsidR="00876461">
        <w:tab/>
        <w:t xml:space="preserve">Cooperación técnica para la prevención de las agresiones a las personas con </w:t>
      </w:r>
      <w:r>
        <w:br/>
      </w:r>
      <w:r w:rsidR="00876461">
        <w:t>albinismo</w:t>
      </w:r>
    </w:p>
    <w:p w:rsidR="00876461" w:rsidRDefault="00876461" w:rsidP="00876461">
      <w:pPr>
        <w:pStyle w:val="SingleTxtG"/>
      </w:pPr>
      <w:r>
        <w:t>57.</w:t>
      </w:r>
      <w:r>
        <w:tab/>
        <w:t>En su resolución 24/33, el Consejo de Derechos Humanos destacó la necesidad de adoptar medidas eficaces para combatir y eliminar las agresiones a personas con albinismo y de adoptar medidas concretas para proteger y salvaguardar el derecho a la vida y a la seguridad de dichas personas, así como su derecho a no ser sometidas a torturas ni malos tratos.</w:t>
      </w:r>
    </w:p>
    <w:p w:rsidR="00876461" w:rsidRDefault="00876461" w:rsidP="00876461">
      <w:pPr>
        <w:pStyle w:val="SingleTxtG"/>
      </w:pPr>
      <w:r>
        <w:t>58.</w:t>
      </w:r>
      <w:r>
        <w:tab/>
        <w:t>En la misma resolución, el Consejo de Derechos Humanos solicitó al Comité Asesor que preparara un estudio sobre la situación de los derechos humanos de las personas que viven con albinismo y que le presentara un informe al respecto en su 28</w:t>
      </w:r>
      <w:r w:rsidR="00AE6AB2">
        <w:t>º</w:t>
      </w:r>
      <w:r>
        <w:t xml:space="preserve"> período de sesiones.</w:t>
      </w:r>
    </w:p>
    <w:p w:rsidR="00876461" w:rsidRDefault="00876461" w:rsidP="00876461">
      <w:pPr>
        <w:pStyle w:val="SingleTxtG"/>
      </w:pPr>
      <w:r>
        <w:t>59.</w:t>
      </w:r>
      <w:r>
        <w:tab/>
        <w:t>En su 12</w:t>
      </w:r>
      <w:r w:rsidR="00AE6AB2">
        <w:t>º</w:t>
      </w:r>
      <w:r>
        <w:t xml:space="preserve"> período de sesiones, el Comité Asesor estableció un grupo de redacción, que en la actualidad está integrado por el Sr. Al Faihani, la Sra. Boisson de Chazournes (Relatora), el Sr. Coriolano, el Sr. Obata y el Sr. Okafor (Presidente).</w:t>
      </w:r>
    </w:p>
    <w:p w:rsidR="00876461" w:rsidRDefault="00876461" w:rsidP="00876461">
      <w:pPr>
        <w:pStyle w:val="SingleTxtG"/>
      </w:pPr>
      <w:r>
        <w:t>60.</w:t>
      </w:r>
      <w:r>
        <w:tab/>
        <w:t>También en el 12</w:t>
      </w:r>
      <w:r w:rsidR="00AE6AB2">
        <w:t>º</w:t>
      </w:r>
      <w:r>
        <w:t xml:space="preserve"> período de sesiones, el grupo de redacción y el Comité en pleno celebraron sesiones para debatir el tema objeto de examen y los cuestionarios que se distribuirían entre los Estados Miembros, los procedimientos especiales del Consejo de Derechos Humanos, los representantes del ACNUDH sobre el terreno, las instituciones nacionales de derechos humanos y las </w:t>
      </w:r>
      <w:r w:rsidR="00884D36">
        <w:t>ONG</w:t>
      </w:r>
      <w:r>
        <w:t>. En marzo de 2014 el Comité distribuyó los cuestionarios a las diversas partes interesadas.</w:t>
      </w:r>
    </w:p>
    <w:p w:rsidR="00876461" w:rsidRDefault="00876461" w:rsidP="00876461">
      <w:pPr>
        <w:pStyle w:val="SingleTxtG"/>
      </w:pPr>
      <w:r>
        <w:t>61.</w:t>
      </w:r>
      <w:r>
        <w:tab/>
        <w:t>En su 13</w:t>
      </w:r>
      <w:r w:rsidR="00AE6AB2">
        <w:t>º</w:t>
      </w:r>
      <w:r>
        <w:t xml:space="preserve"> período de sesiones, el Comité Asesor examinó el proyecto de informe elaborado por el grupo de redacción (A/HRC/AC/13/CRP.1) y le pidió que ultimara su informe a la luz de las deliberaciones del Comité.</w:t>
      </w:r>
    </w:p>
    <w:p w:rsidR="00876461" w:rsidRDefault="00876461" w:rsidP="00876461">
      <w:pPr>
        <w:pStyle w:val="SingleTxtG"/>
      </w:pPr>
      <w:r>
        <w:t>62.</w:t>
      </w:r>
      <w:r>
        <w:tab/>
        <w:t>En su 14</w:t>
      </w:r>
      <w:r w:rsidR="00AE6AB2">
        <w:t>º</w:t>
      </w:r>
      <w:r>
        <w:t xml:space="preserve"> período de sesiones, el Comité Asesor tendrá ante sí el informe sobre el estudio de la situación de los derechos humanos de las personas que viven con albinismo (A/HRC/28/75), que se presentará al Consejo de Derechos Humanos en su 28</w:t>
      </w:r>
      <w:r w:rsidR="00AE6AB2">
        <w:t>º</w:t>
      </w:r>
      <w:r>
        <w:t xml:space="preserve"> período de sesiones.</w:t>
      </w:r>
    </w:p>
    <w:p w:rsidR="00876461" w:rsidRDefault="00E57AE9" w:rsidP="00E57AE9">
      <w:pPr>
        <w:pStyle w:val="H23G"/>
      </w:pPr>
      <w:r>
        <w:tab/>
      </w:r>
      <w:r w:rsidR="00876461">
        <w:t>x)</w:t>
      </w:r>
      <w:r w:rsidR="00876461">
        <w:tab/>
        <w:t>Actividades de los fondos buitre y sus repercusiones en los derechos humanos</w:t>
      </w:r>
    </w:p>
    <w:p w:rsidR="00876461" w:rsidRDefault="00876461" w:rsidP="00876461">
      <w:pPr>
        <w:pStyle w:val="SingleTxtG"/>
      </w:pPr>
      <w:r>
        <w:t>63.</w:t>
      </w:r>
      <w:r>
        <w:tab/>
        <w:t>En su resolución 27/30, el Consejo de Derechos Humanos solicitó al Comité Asesor que preparara un informe basado en investigaciones sobre las actividades de los fondos buitre y sus repercusiones en los derechos humanos y que le presentara</w:t>
      </w:r>
      <w:r w:rsidR="00E57AE9">
        <w:t xml:space="preserve"> en su 31</w:t>
      </w:r>
      <w:r w:rsidR="00AE6AB2">
        <w:t>º</w:t>
      </w:r>
      <w:r w:rsidR="00E57AE9">
        <w:t xml:space="preserve"> período de sesiones</w:t>
      </w:r>
      <w:r>
        <w:t xml:space="preserve"> un informe sobre los progresos de esas investigaciones.</w:t>
      </w:r>
    </w:p>
    <w:p w:rsidR="00876461" w:rsidRDefault="00876461" w:rsidP="00876461">
      <w:pPr>
        <w:pStyle w:val="SingleTxtG"/>
      </w:pPr>
      <w:r>
        <w:t>64.</w:t>
      </w:r>
      <w:r>
        <w:tab/>
        <w:t>En la misma resolución, el Consejo de Derechos Humanos solicitó también al Comité Asesor que, en la preparación del informe basado en investigaciones mencionado, recabara opiniones y aportaciones de Estados Miembros, organismos de las Naciones</w:t>
      </w:r>
      <w:r w:rsidR="00AE6AB2">
        <w:t> </w:t>
      </w:r>
      <w:r>
        <w:t xml:space="preserve">Unidas, organizaciones internacionales y regionales competentes, el ACNUDH y los procedimientos especiales pertinentes, incluido el Experto Independiente sobre las consecuencias de la deuda externa y las obligaciones financieras internacionales conexas de los Estados para el pleno goce de todos los derechos humanos, sobre todo los derechos económicos, sociales y culturales, así como de instituciones nacionales de derechos humanos y </w:t>
      </w:r>
      <w:r w:rsidR="00884D36">
        <w:t>ONG</w:t>
      </w:r>
      <w:r>
        <w:t>.</w:t>
      </w:r>
    </w:p>
    <w:p w:rsidR="00876461" w:rsidRDefault="00876461" w:rsidP="00876461">
      <w:pPr>
        <w:pStyle w:val="SingleTxtG"/>
      </w:pPr>
      <w:r>
        <w:t>65.</w:t>
      </w:r>
      <w:r>
        <w:tab/>
        <w:t xml:space="preserve">En su 14° período de sesiones, el Comité Asesor debatirá sobre las actividades de los fondos buitre y sus repercusiones en los derechos humanos, y establecerá un grupo de </w:t>
      </w:r>
      <w:r>
        <w:lastRenderedPageBreak/>
        <w:t>redacción para elaborar un informe sobre los progresos realizados, que se presentará al Consejo de Derechos Humanos en su 31</w:t>
      </w:r>
      <w:r w:rsidR="00AE6AB2">
        <w:t>º</w:t>
      </w:r>
      <w:r>
        <w:t xml:space="preserve"> período de sesiones.</w:t>
      </w:r>
    </w:p>
    <w:p w:rsidR="00876461" w:rsidRDefault="00E57AE9" w:rsidP="00E57AE9">
      <w:pPr>
        <w:pStyle w:val="H1G"/>
      </w:pPr>
      <w:r>
        <w:tab/>
      </w:r>
      <w:r w:rsidR="00876461">
        <w:t>b)</w:t>
      </w:r>
      <w:r w:rsidR="00876461">
        <w:tab/>
        <w:t>Seguimiento de los informes del</w:t>
      </w:r>
      <w:r>
        <w:t xml:space="preserve"> Comité presentados al Consejo </w:t>
      </w:r>
      <w:r w:rsidR="00876461">
        <w:t>de Derechos Humanos</w:t>
      </w:r>
    </w:p>
    <w:p w:rsidR="00876461" w:rsidRDefault="00E57AE9" w:rsidP="00E57AE9">
      <w:pPr>
        <w:pStyle w:val="H23G"/>
      </w:pPr>
      <w:r>
        <w:tab/>
        <w:t>i)</w:t>
      </w:r>
      <w:r w:rsidR="00876461">
        <w:tab/>
        <w:t>Derecho a la alimentación</w:t>
      </w:r>
    </w:p>
    <w:p w:rsidR="00876461" w:rsidRDefault="00E57AE9" w:rsidP="00E57AE9">
      <w:pPr>
        <w:pStyle w:val="H4G"/>
      </w:pPr>
      <w:r>
        <w:tab/>
      </w:r>
      <w:r>
        <w:tab/>
        <w:t>Derechos de los campesinos</w:t>
      </w:r>
    </w:p>
    <w:p w:rsidR="00876461" w:rsidRDefault="00876461" w:rsidP="00876461">
      <w:pPr>
        <w:pStyle w:val="SingleTxtG"/>
      </w:pPr>
      <w:r>
        <w:t>66.</w:t>
      </w:r>
      <w:r>
        <w:tab/>
        <w:t>En su resolución 13/4, el Consejo de Derechos Humanos pidió al Comité Asesor que realizara un estudio preliminar sobre los medios para seguir promoviendo los derechos de las personas que trabajan en las zonas rurales, incluidas las mujeres, y en particular los pequeños agricultores que producen alimentos u otros productos agrícolas, incluidos los que provienen directamente del trabajo de la tierra o de actividades tradicionales de pesca, caza y pastoreo.</w:t>
      </w:r>
    </w:p>
    <w:p w:rsidR="00876461" w:rsidRDefault="00876461" w:rsidP="00876461">
      <w:pPr>
        <w:pStyle w:val="SingleTxtG"/>
      </w:pPr>
      <w:r>
        <w:t>67.</w:t>
      </w:r>
      <w:r>
        <w:tab/>
        <w:t>En su resolución 19/7, el Consejo de Derechos Humanos tomó nota del estudio definitivo del Comité Asesor sobre la promoción de los derechos de los campesinos y de otras personas que trabajan en las zonas rurales (A/HRC/19/75).</w:t>
      </w:r>
    </w:p>
    <w:p w:rsidR="00876461" w:rsidRDefault="00876461" w:rsidP="00876461">
      <w:pPr>
        <w:pStyle w:val="SingleTxtG"/>
      </w:pPr>
      <w:r>
        <w:t>68.</w:t>
      </w:r>
      <w:r>
        <w:tab/>
        <w:t>En su resolución 21/19, el Consejo de Derechos Humanos tomó nota del proyecto de declaración sobre los derechos de los campesinos y de otras personas que trabajan en las zonas rurales, preparado por el Comité Asesor (A/HRC/19/75, anexo), y decidió establecer un grupo de trabajo intergubernamental de composición abierta encargado de negociar, finalizar y presentar al Consejo un proyecto de declaración de las Naciones Unidas sobre los derechos de los campesinos y de otras personas que trabajan en las zonas rurales, sobre la base del proyecto presentado por el Comité y sin prejuzgar las posibles opiniones y propuestas pertinentes del pasado, el presente o el futuro. El Consejo pidió también a</w:t>
      </w:r>
      <w:r w:rsidR="00E57AE9">
        <w:t xml:space="preserve"> su</w:t>
      </w:r>
      <w:r>
        <w:t xml:space="preserve"> Presidente que invitara al Relator del grupo de redacción del proyecto de declaración del Comité a participar en el primer período de sesiones del grupo de trabajo, que se celebró del</w:t>
      </w:r>
      <w:r w:rsidR="00AE6AB2">
        <w:t> </w:t>
      </w:r>
      <w:r>
        <w:t>15 al 19 de julio de 2013. Está previsto que el segundo período de sesiones se celebre del 2</w:t>
      </w:r>
      <w:r w:rsidR="00AE6AB2">
        <w:t> </w:t>
      </w:r>
      <w:r>
        <w:t>al 6 de febrero de 2015, de conformidad con la resolución 26/26 del Consejo.</w:t>
      </w:r>
    </w:p>
    <w:p w:rsidR="00876461" w:rsidRDefault="00E57AE9" w:rsidP="00E57AE9">
      <w:pPr>
        <w:pStyle w:val="H23G"/>
      </w:pPr>
      <w:r>
        <w:tab/>
      </w:r>
      <w:r w:rsidR="00876461">
        <w:t>ii)</w:t>
      </w:r>
      <w:r w:rsidR="00876461">
        <w:tab/>
        <w:t>Promoción del derecho de los pueblos a la paz</w:t>
      </w:r>
    </w:p>
    <w:p w:rsidR="00876461" w:rsidRDefault="00876461" w:rsidP="00876461">
      <w:pPr>
        <w:pStyle w:val="SingleTxtG"/>
      </w:pPr>
      <w:r>
        <w:t>69.</w:t>
      </w:r>
      <w:r>
        <w:tab/>
        <w:t>En su resolución 14/3, el Consejo de Derechos Humanos pidió al Comité Asesor que, en consulta con los Estados Miembros, la sociedad civil, el mundo académico y todos los interesados pertinentes, preparase un proyecto de declaración sobre el derecho de los pueblos a la paz.</w:t>
      </w:r>
    </w:p>
    <w:p w:rsidR="00876461" w:rsidRDefault="00876461" w:rsidP="00876461">
      <w:pPr>
        <w:pStyle w:val="SingleTxtG"/>
      </w:pPr>
      <w:r>
        <w:t>70.</w:t>
      </w:r>
      <w:r>
        <w:tab/>
        <w:t>En su quinto período de sesiones, el Comité Asesor designó a la Sra. Chung, el Sr.</w:t>
      </w:r>
      <w:r w:rsidR="00AE6AB2">
        <w:t> </w:t>
      </w:r>
      <w:r>
        <w:t>d'Escoto Brockmann, el Sr. Heinz (Relator), el Sr. Hüseynov, el Sr. Sakamoto y la Sra.</w:t>
      </w:r>
      <w:r w:rsidR="00AE6AB2">
        <w:t> </w:t>
      </w:r>
      <w:r>
        <w:t>Zulficar (Presidenta) como miembros de un grupo de redacción encargado de trabajar sobre la cuestión.</w:t>
      </w:r>
    </w:p>
    <w:p w:rsidR="00876461" w:rsidRDefault="00876461" w:rsidP="00876461">
      <w:pPr>
        <w:pStyle w:val="SingleTxtG"/>
      </w:pPr>
      <w:r>
        <w:t>71.</w:t>
      </w:r>
      <w:r>
        <w:tab/>
        <w:t>En su resolución 20/15, el Consejo de Derechos Humanos tomó nota del proyecto de declaración elaborado por el Comité Asesor (A/HRC/20/31) y estableció un grupo de trabajo intergubernamental de composición abierta encargado de negociar progresivamente un proyecto de declaración de las Naciones Unidas sobre el derecho a la paz, bas</w:t>
      </w:r>
      <w:r w:rsidR="00E57AE9">
        <w:t>ado en</w:t>
      </w:r>
      <w:r>
        <w:t xml:space="preserve"> el proyecto presentado por el Comité. El Presidente-Relator del grupo de redacción del Comité sobre el proyecto de declaración participó en el primer período de sesiones del grupo de trabajo, que se celebró del 18 al 21 de febrero de 2013.</w:t>
      </w:r>
    </w:p>
    <w:p w:rsidR="00876461" w:rsidRDefault="00876461" w:rsidP="00876461">
      <w:pPr>
        <w:pStyle w:val="SingleTxtG"/>
      </w:pPr>
      <w:r>
        <w:t>72.</w:t>
      </w:r>
      <w:r>
        <w:tab/>
        <w:t>En su resolución 23/16, el Consejo de Derec</w:t>
      </w:r>
      <w:r w:rsidR="00884D36">
        <w:t>hos Humanos pidió al Presidente</w:t>
      </w:r>
      <w:r w:rsidR="00884D36">
        <w:noBreakHyphen/>
      </w:r>
      <w:r>
        <w:t xml:space="preserve">Relator del grupo de trabajo que elaborara un nuevo texto basado en los debates </w:t>
      </w:r>
      <w:r>
        <w:lastRenderedPageBreak/>
        <w:t>celebrados durante el primer período de sesiones del grupo de trabajo y en las consultas oficiosas que se llevarían a cabo entre períodos de sesiones, y que lo presentara al grupo de trabajo antes de su segundo período de sesiones para que lo examinara y continuara debatiéndolo durante el mismo.</w:t>
      </w:r>
    </w:p>
    <w:p w:rsidR="00876461" w:rsidRDefault="00876461" w:rsidP="00876461">
      <w:pPr>
        <w:pStyle w:val="SingleTxtG"/>
      </w:pPr>
      <w:r>
        <w:t>73.</w:t>
      </w:r>
      <w:r>
        <w:tab/>
        <w:t>El segundo período de sesiones del grupo de trabajo se celebró del 30 de junio al 4</w:t>
      </w:r>
      <w:r w:rsidR="00AE6AB2">
        <w:t> </w:t>
      </w:r>
      <w:r>
        <w:t>de julio de 2014. Está previsto que el tercer período de sesiones se celebre del 20 al 24 de abril de 2015.</w:t>
      </w:r>
    </w:p>
    <w:p w:rsidR="00876461" w:rsidRDefault="00386F27" w:rsidP="00386F27">
      <w:pPr>
        <w:pStyle w:val="H23G"/>
      </w:pPr>
      <w:r>
        <w:tab/>
        <w:t>iii)</w:t>
      </w:r>
      <w:r w:rsidR="00876461">
        <w:tab/>
        <w:t xml:space="preserve">Fortalecimiento de la cooperación internacional en la esfera de los derechos </w:t>
      </w:r>
      <w:r>
        <w:br/>
      </w:r>
      <w:r w:rsidR="00876461">
        <w:t>humanos</w:t>
      </w:r>
    </w:p>
    <w:p w:rsidR="00876461" w:rsidRDefault="00876461" w:rsidP="00876461">
      <w:pPr>
        <w:pStyle w:val="SingleTxtG"/>
      </w:pPr>
      <w:r>
        <w:t>74.</w:t>
      </w:r>
      <w:r>
        <w:tab/>
        <w:t>En su resolución 13/23, el Consejo de Derechos Humanos solicitó al Comité Asesor que estudiara formas y medios de fortalecer la cooperación en la esfera de los derechos humanos</w:t>
      </w:r>
      <w:r w:rsidR="00A13063">
        <w:t>,</w:t>
      </w:r>
      <w:r>
        <w:t xml:space="preserve"> teniendo en cuenta las opiniones contenidas en el informe del Alto Comisionado de las Naciones Unidas para los Derechos Humanos sobre el fortalecimiento de la cooperación internacional en la esfera de los derechos humanos (A/HRC/13/19), así como las de los Estados y los interlocutores pertinentes, y que presentara propuestas a este respecto al Consejo en su 19</w:t>
      </w:r>
      <w:r w:rsidR="00AE6AB2">
        <w:t>º</w:t>
      </w:r>
      <w:r>
        <w:t xml:space="preserve"> período de sesiones.</w:t>
      </w:r>
    </w:p>
    <w:p w:rsidR="00876461" w:rsidRDefault="00876461" w:rsidP="00876461">
      <w:pPr>
        <w:pStyle w:val="SingleTxtG"/>
      </w:pPr>
      <w:r>
        <w:t>75.</w:t>
      </w:r>
      <w:r>
        <w:tab/>
        <w:t>En su quinto período de sesiones, el Comité Asesor designó al Sr. Chen, el Sr.</w:t>
      </w:r>
      <w:r w:rsidR="00A13063">
        <w:t> </w:t>
      </w:r>
      <w:r>
        <w:t>Decaux (Relator), el Sr. Hüseynov, el Sr. Kartashkin, la Sra. Quisumbing, el Sr.</w:t>
      </w:r>
      <w:r w:rsidR="00A13063">
        <w:t> </w:t>
      </w:r>
      <w:r>
        <w:t>Seetulsingh (Presidente) y la Sra. Warzazi como miembros de un grupo de redacción encargado de iniciar los trabajos preparatorios sobre la cuestión. Posteriormente, la Sra.</w:t>
      </w:r>
      <w:r w:rsidR="00A13063">
        <w:t> </w:t>
      </w:r>
      <w:r>
        <w:t>Boisson de Chazournes asumió las funciones de Relatora del grupo de redacción, en sustitución del Sr. Decaux.</w:t>
      </w:r>
    </w:p>
    <w:p w:rsidR="00876461" w:rsidRDefault="00876461" w:rsidP="00876461">
      <w:pPr>
        <w:pStyle w:val="SingleTxtG"/>
      </w:pPr>
      <w:r>
        <w:t>76.</w:t>
      </w:r>
      <w:r>
        <w:tab/>
        <w:t>En su resolución 19/33, el Consejo de Derechos Humanos tomó nota del estudio del Comité Asesor sobre la mejora de la cooperación internacional en la esfera de los derechos humanos (A/HRC/19/74) y solicitó al ACNUDH que, antes del 22</w:t>
      </w:r>
      <w:r w:rsidR="00AE6AB2">
        <w:t>º</w:t>
      </w:r>
      <w:r>
        <w:t xml:space="preserve"> período de sesiones del Consejo, organizara un seminario, con la participación de un miembro del Comité, que tomara como base el estudio preparado por el Comité, incluidas las recomendaciones formuladas en él.</w:t>
      </w:r>
    </w:p>
    <w:p w:rsidR="00876461" w:rsidRDefault="00876461" w:rsidP="00876461">
      <w:pPr>
        <w:pStyle w:val="SingleTxtG"/>
      </w:pPr>
      <w:r>
        <w:t>77.</w:t>
      </w:r>
      <w:r>
        <w:tab/>
        <w:t>En su noveno período de sesiones, el Comité Asesor designó al Sr. Seetulsingh para que participara en el seminario, que se celebró el 15 de febrero de 2013. También particip</w:t>
      </w:r>
      <w:r w:rsidR="00386F27">
        <w:t>ó</w:t>
      </w:r>
      <w:r>
        <w:t xml:space="preserve"> en el seminario la Sra. Boisson de Chazournes. Se presentó un resumen del seminario al Consejo de Derechos Humanos en su 23</w:t>
      </w:r>
      <w:r w:rsidR="00AE6AB2">
        <w:t>º</w:t>
      </w:r>
      <w:r>
        <w:t xml:space="preserve"> período de sesiones</w:t>
      </w:r>
      <w:r w:rsidR="00AE6AB2">
        <w:t xml:space="preserve"> </w:t>
      </w:r>
      <w:r>
        <w:t>(A/HRC/23/20).</w:t>
      </w:r>
    </w:p>
    <w:p w:rsidR="00876461" w:rsidRDefault="00876461" w:rsidP="00876461">
      <w:pPr>
        <w:pStyle w:val="SingleTxtG"/>
      </w:pPr>
      <w:r>
        <w:t>78.</w:t>
      </w:r>
      <w:r>
        <w:tab/>
        <w:t>En su resolución 23/3, el Consejo de Derechos Humanos tomó nota del informe del ACNUDH que contenía el resumen de las deliberaciones sostenidas durante el seminario, y pidió al Comité Asesor que preparara un estudio más focalizado y en profundidad sobre los medios de fortalecer la cooperación internacional en la esfera de los derechos humanos</w:t>
      </w:r>
      <w:r w:rsidR="00A13063">
        <w:t>, en el que, entre otras cosas</w:t>
      </w:r>
      <w:r w:rsidR="00381BCC">
        <w:t>,</w:t>
      </w:r>
      <w:r w:rsidR="00A13063">
        <w:t xml:space="preserve"> se determinar</w:t>
      </w:r>
      <w:r w:rsidR="00381BCC">
        <w:t>a</w:t>
      </w:r>
      <w:r w:rsidR="00A13063">
        <w:t>n</w:t>
      </w:r>
      <w:r>
        <w:t xml:space="preserve"> los ámbitos en que podría avanzarse, teniendo en cuenta las respuestas recibidas tras las consultas celebradas conforme a la resolución</w:t>
      </w:r>
      <w:r w:rsidR="00A13063">
        <w:t> </w:t>
      </w:r>
      <w:r>
        <w:t>67/169 de la Asamblea General.</w:t>
      </w:r>
    </w:p>
    <w:p w:rsidR="00876461" w:rsidRDefault="00876461" w:rsidP="00876461">
      <w:pPr>
        <w:pStyle w:val="SingleTxtG"/>
      </w:pPr>
      <w:r>
        <w:t>79.</w:t>
      </w:r>
      <w:r>
        <w:tab/>
        <w:t>En la misma resolución, el Consejo de Derechos Humanos pidió al Comité Asesor que presentara al Consejo en su 26</w:t>
      </w:r>
      <w:r w:rsidR="00AE6AB2">
        <w:t>º</w:t>
      </w:r>
      <w:r>
        <w:t xml:space="preserve"> período de sesiones un informe sobre los progresos realizados.</w:t>
      </w:r>
    </w:p>
    <w:p w:rsidR="00876461" w:rsidRDefault="00876461" w:rsidP="00876461">
      <w:pPr>
        <w:pStyle w:val="SingleTxtG"/>
      </w:pPr>
      <w:r>
        <w:t>80.</w:t>
      </w:r>
      <w:r>
        <w:tab/>
        <w:t>En su 11</w:t>
      </w:r>
      <w:r w:rsidR="00AE6AB2">
        <w:t>º</w:t>
      </w:r>
      <w:r>
        <w:t xml:space="preserve"> período de sesiones, el Comité Asesor estableció un grupo de redacción y designó como miembros al Sr. Al Faihani, la Sra. Boisson de Chazournes, el Sr. Coriolano, el Sr. Hüseynov, el Sr. Lebedev, el Sr. Ntunduguru Karokora, el Sr. Okafor (Relator), la Sra. Pabel, el Sr. Seetulsingh (Presidente) y el Sr. Ziegler.</w:t>
      </w:r>
    </w:p>
    <w:p w:rsidR="00876461" w:rsidRDefault="00876461" w:rsidP="00876461">
      <w:pPr>
        <w:pStyle w:val="SingleTxtG"/>
      </w:pPr>
      <w:r>
        <w:lastRenderedPageBreak/>
        <w:t>81.</w:t>
      </w:r>
      <w:r>
        <w:tab/>
        <w:t>También en su 11</w:t>
      </w:r>
      <w:r w:rsidR="00AE6AB2">
        <w:t>º</w:t>
      </w:r>
      <w:r>
        <w:t xml:space="preserve"> período de sesiones, el grupo de redacción y el Comité en pleno celebraron sesiones para debatir el tema objeto de examen y el cuestionario, que se distribuyó a los Estados Miembros en septiembre de 2013.</w:t>
      </w:r>
    </w:p>
    <w:p w:rsidR="00876461" w:rsidRDefault="00876461" w:rsidP="00876461">
      <w:pPr>
        <w:pStyle w:val="SingleTxtG"/>
      </w:pPr>
      <w:r>
        <w:t>82.</w:t>
      </w:r>
      <w:r>
        <w:tab/>
        <w:t>En su 12</w:t>
      </w:r>
      <w:r w:rsidR="00AE6AB2">
        <w:t>º</w:t>
      </w:r>
      <w:r>
        <w:t xml:space="preserve"> período de sesiones, el Comité Asesor examinó el proyecto de informe sobre los progresos realizados elaborado por el grupo de redacción (A/HRC/AC/12/CRP.2), que tenía en cuenta las respuestas al cuestionario.</w:t>
      </w:r>
    </w:p>
    <w:p w:rsidR="00876461" w:rsidRDefault="00876461" w:rsidP="00876461">
      <w:pPr>
        <w:pStyle w:val="SingleTxtG"/>
      </w:pPr>
      <w:r>
        <w:t>83.</w:t>
      </w:r>
      <w:r>
        <w:tab/>
        <w:t>También en su 12</w:t>
      </w:r>
      <w:r w:rsidR="00AE6AB2">
        <w:t>º</w:t>
      </w:r>
      <w:r>
        <w:t xml:space="preserve"> período de sesiones, el Comité Asesor pidió al grupo de redacción que ultimara su informe al Consejo de Derechos Humanos sobre los progresos realizados</w:t>
      </w:r>
      <w:r w:rsidR="00A13063">
        <w:t>,</w:t>
      </w:r>
      <w:r>
        <w:t xml:space="preserve"> a la luz de las deliberaciones del Comité en su 12</w:t>
      </w:r>
      <w:r w:rsidR="00AE6AB2">
        <w:t>º</w:t>
      </w:r>
      <w:r>
        <w:t xml:space="preserve"> período de sesiones, y que lo presentara al Consejo en su 26</w:t>
      </w:r>
      <w:r w:rsidR="00AE6AB2">
        <w:t>º</w:t>
      </w:r>
      <w:r>
        <w:t xml:space="preserve"> período de sesiones (A/HRC/26/41). </w:t>
      </w:r>
    </w:p>
    <w:p w:rsidR="00876461" w:rsidRDefault="00A13063" w:rsidP="00A13063">
      <w:pPr>
        <w:pStyle w:val="HChG"/>
      </w:pPr>
      <w:r>
        <w:tab/>
      </w:r>
      <w:r>
        <w:tab/>
        <w:t>Tema 4</w:t>
      </w:r>
      <w:r>
        <w:br/>
      </w:r>
      <w:r w:rsidR="00876461">
        <w:t>Aplicación de las secciones III y IV del anexo de la resolución</w:t>
      </w:r>
      <w:r>
        <w:t> </w:t>
      </w:r>
      <w:r w:rsidR="00876461">
        <w:t xml:space="preserve">5/1 del Consejo de Derechos Humanos, </w:t>
      </w:r>
      <w:r>
        <w:br/>
      </w:r>
      <w:r w:rsidR="00876461">
        <w:t xml:space="preserve">de 18 de junio de 2007, y de la sección III del </w:t>
      </w:r>
      <w:r w:rsidR="00381BCC">
        <w:br/>
      </w:r>
      <w:r w:rsidR="00876461">
        <w:t xml:space="preserve">anexo de la resolución 16/21 del Consejo, de </w:t>
      </w:r>
      <w:r w:rsidR="00381BCC">
        <w:br/>
      </w:r>
      <w:r w:rsidR="00876461">
        <w:t>25 de marzo de 2011</w:t>
      </w:r>
    </w:p>
    <w:p w:rsidR="00876461" w:rsidRDefault="00A13063" w:rsidP="00A13063">
      <w:pPr>
        <w:pStyle w:val="H1G"/>
      </w:pPr>
      <w:r>
        <w:tab/>
      </w:r>
      <w:r w:rsidR="00876461">
        <w:t>a)</w:t>
      </w:r>
      <w:r w:rsidR="00876461">
        <w:tab/>
        <w:t>Examen de los métodos de trabajo</w:t>
      </w:r>
    </w:p>
    <w:p w:rsidR="00876461" w:rsidRDefault="00876461" w:rsidP="00876461">
      <w:pPr>
        <w:pStyle w:val="SingleTxtG"/>
      </w:pPr>
      <w:r>
        <w:t>84.</w:t>
      </w:r>
      <w:r>
        <w:tab/>
        <w:t>De conformidad con el párrafo 77 del anexo de la resolución 5/1</w:t>
      </w:r>
      <w:r w:rsidR="00A13063">
        <w:t xml:space="preserve"> </w:t>
      </w:r>
      <w:r>
        <w:t>del Consejo de Derechos Humanos, el Comité Asesor podrá formular, dentro del ámbito de trabajo establecido por el Consejo y para que este las examine y apruebe, sugerencias para mejorar su eficiencia procedimental.</w:t>
      </w:r>
    </w:p>
    <w:p w:rsidR="00876461" w:rsidRDefault="00876461" w:rsidP="00876461">
      <w:pPr>
        <w:pStyle w:val="SingleTxtG"/>
      </w:pPr>
      <w:r>
        <w:t>85.</w:t>
      </w:r>
      <w:r>
        <w:tab/>
        <w:t>En los párrafos 35 a 39 de la sección III del anexo de su resolución 16/21, el Consejo de Derechos Humanos se refirió al Comité Asesor. En el párrafo 39 de la misma resolución, el Consejo dispuso que el Comité se esforzaría por mejorar la labor entre períodos de sesiones entre sus miembros para dar efecto a lo dispuesto en el párrafo 81 del anexo de la resolución 5/1 del Consejo.</w:t>
      </w:r>
    </w:p>
    <w:p w:rsidR="00876461" w:rsidRDefault="00876461" w:rsidP="00876461">
      <w:pPr>
        <w:pStyle w:val="SingleTxtG"/>
      </w:pPr>
      <w:r>
        <w:t>86.</w:t>
      </w:r>
      <w:r>
        <w:tab/>
        <w:t>Por consiguiente, en su 14</w:t>
      </w:r>
      <w:r w:rsidR="00AE6AB2">
        <w:t>º</w:t>
      </w:r>
      <w:r>
        <w:t xml:space="preserve"> período de sesiones, el Comité Asesor podría tratar cuestiones relacionadas con sus métodos de trabajo.</w:t>
      </w:r>
    </w:p>
    <w:p w:rsidR="00876461" w:rsidRDefault="00A13063" w:rsidP="00A13063">
      <w:pPr>
        <w:pStyle w:val="H1G"/>
      </w:pPr>
      <w:r>
        <w:tab/>
      </w:r>
      <w:r w:rsidR="00876461">
        <w:t>b)</w:t>
      </w:r>
      <w:r w:rsidR="00876461">
        <w:tab/>
      </w:r>
      <w:r>
        <w:t>Programa</w:t>
      </w:r>
      <w:r w:rsidR="00876461">
        <w:t xml:space="preserve"> y programa de trabajo anual, i</w:t>
      </w:r>
      <w:r>
        <w:t>ncluidas las nuevas prioridades</w:t>
      </w:r>
    </w:p>
    <w:p w:rsidR="00876461" w:rsidRDefault="00876461" w:rsidP="00876461">
      <w:pPr>
        <w:pStyle w:val="SingleTxtG"/>
      </w:pPr>
      <w:r>
        <w:t>87.</w:t>
      </w:r>
      <w:r>
        <w:tab/>
        <w:t xml:space="preserve">En el párrafo 35 de la sección III del anexo de la resolución 16/21 del Consejo de Derechos Humanos, el Consejo dispuso que, dentro de los límites de los recursos existentes, reforzaría su interacción con el Comité Asesor y colaboraría más sistemáticamente con él mediante modalidades de trabajo como los seminarios, las mesas redondas, los grupos de trabajo y el envío de observaciones sobre las aportaciones del Comité. Varios miembros del Comité participaron o participarán en seminarios o grupos de trabajo establecidos por el Consejo (véanse los párrafos 53, 68, 71 y 77 </w:t>
      </w:r>
      <w:r w:rsidRPr="00A13063">
        <w:rPr>
          <w:i/>
        </w:rPr>
        <w:t>supra</w:t>
      </w:r>
      <w:r>
        <w:t>).</w:t>
      </w:r>
    </w:p>
    <w:p w:rsidR="00876461" w:rsidRDefault="00876461" w:rsidP="00876461">
      <w:pPr>
        <w:pStyle w:val="SingleTxtG"/>
      </w:pPr>
      <w:r>
        <w:t>88.</w:t>
      </w:r>
      <w:r>
        <w:tab/>
        <w:t>En su 13</w:t>
      </w:r>
      <w:r w:rsidR="00AE6AB2">
        <w:t>º</w:t>
      </w:r>
      <w:r>
        <w:t xml:space="preserve"> período de sesiones, el Comité Asesor sometió al Consejo de Derechos Humanos las siguientes propuestas de estudios para su examen y aprobación (véase A/HRC/AC/13/2, anexo IV):</w:t>
      </w:r>
    </w:p>
    <w:p w:rsidR="00876461" w:rsidRDefault="00876461" w:rsidP="00A13063">
      <w:pPr>
        <w:pStyle w:val="Bullet1G"/>
      </w:pPr>
      <w:r>
        <w:t>El impacto del coloniali</w:t>
      </w:r>
      <w:r w:rsidR="00A13063">
        <w:t xml:space="preserve">smo de colonos en los derechos </w:t>
      </w:r>
      <w:r>
        <w:t>humanos</w:t>
      </w:r>
      <w:r w:rsidR="00A13063">
        <w:t>;</w:t>
      </w:r>
    </w:p>
    <w:p w:rsidR="00876461" w:rsidRDefault="00876461" w:rsidP="00A13063">
      <w:pPr>
        <w:pStyle w:val="Bullet1G"/>
      </w:pPr>
      <w:r>
        <w:lastRenderedPageBreak/>
        <w:t>La denuncia de irregularidades y los derechos humanos</w:t>
      </w:r>
      <w:r w:rsidR="00A13063">
        <w:t>;</w:t>
      </w:r>
    </w:p>
    <w:p w:rsidR="00876461" w:rsidRDefault="00876461" w:rsidP="00A13063">
      <w:pPr>
        <w:pStyle w:val="Bullet1G"/>
      </w:pPr>
      <w:r>
        <w:t>Las actividades de los fondos buitre y los derechos humanos</w:t>
      </w:r>
      <w:r w:rsidR="00A13063">
        <w:t>;</w:t>
      </w:r>
    </w:p>
    <w:p w:rsidR="00876461" w:rsidRDefault="00876461" w:rsidP="00A13063">
      <w:pPr>
        <w:pStyle w:val="Bullet1G"/>
      </w:pPr>
      <w:r>
        <w:t>La preservación de los cursos de agua internacionales para proteger el derecho a la vida y a la alimentación</w:t>
      </w:r>
      <w:r w:rsidR="00A13063">
        <w:t>;</w:t>
      </w:r>
    </w:p>
    <w:p w:rsidR="00876461" w:rsidRDefault="00876461" w:rsidP="00A13063">
      <w:pPr>
        <w:pStyle w:val="Bullet1G"/>
      </w:pPr>
      <w:r>
        <w:t>La migración de niños no acompañados y los derechos humanos</w:t>
      </w:r>
      <w:r w:rsidR="00A13063">
        <w:t>.</w:t>
      </w:r>
    </w:p>
    <w:p w:rsidR="00876461" w:rsidRDefault="00876461" w:rsidP="00876461">
      <w:pPr>
        <w:pStyle w:val="SingleTxtG"/>
      </w:pPr>
      <w:r>
        <w:t>89.</w:t>
      </w:r>
      <w:r>
        <w:tab/>
        <w:t>En el mismo período de sesiones, el Comité Asesor decidió volver a presentar las siguientes propuestas de estudios, que habían sido presentadas al Consejo de Derechos Humanos en sus anteriores períodos de sesiones:</w:t>
      </w:r>
    </w:p>
    <w:p w:rsidR="00876461" w:rsidRDefault="00876461" w:rsidP="00A13063">
      <w:pPr>
        <w:pStyle w:val="Bullet1G"/>
      </w:pPr>
      <w:r>
        <w:t>Posibilidad de establecer un tribunal universal de derechos humanos: fortalecimiento del actual sistema de protección de los derechos humanos</w:t>
      </w:r>
      <w:r w:rsidR="00A13063">
        <w:rPr>
          <w:rStyle w:val="FootnoteReference"/>
        </w:rPr>
        <w:footnoteReference w:id="2"/>
      </w:r>
      <w:r w:rsidR="00A13063">
        <w:t>;</w:t>
      </w:r>
    </w:p>
    <w:p w:rsidR="00876461" w:rsidRDefault="00876461" w:rsidP="00A13063">
      <w:pPr>
        <w:pStyle w:val="Bullet1G"/>
      </w:pPr>
      <w:r>
        <w:t>Seguridad ciudadana y derechos humanos</w:t>
      </w:r>
      <w:r w:rsidR="00A13063">
        <w:rPr>
          <w:rStyle w:val="FootnoteReference"/>
        </w:rPr>
        <w:footnoteReference w:id="3"/>
      </w:r>
      <w:r w:rsidR="00A13063">
        <w:t>;</w:t>
      </w:r>
    </w:p>
    <w:p w:rsidR="00876461" w:rsidRDefault="00876461" w:rsidP="00A13063">
      <w:pPr>
        <w:pStyle w:val="Bullet1G"/>
      </w:pPr>
      <w:r>
        <w:t>La juventud y los derechos humanos</w:t>
      </w:r>
      <w:r w:rsidR="00A13063">
        <w:rPr>
          <w:rStyle w:val="FootnoteReference"/>
        </w:rPr>
        <w:footnoteReference w:id="4"/>
      </w:r>
      <w:r w:rsidR="00AE6AB2">
        <w:t>.</w:t>
      </w:r>
    </w:p>
    <w:p w:rsidR="00876461" w:rsidRDefault="00876461" w:rsidP="00876461">
      <w:pPr>
        <w:pStyle w:val="SingleTxtG"/>
      </w:pPr>
      <w:r>
        <w:t>90.</w:t>
      </w:r>
      <w:r>
        <w:tab/>
        <w:t>En su 14</w:t>
      </w:r>
      <w:r w:rsidR="00AE6AB2">
        <w:t>º</w:t>
      </w:r>
      <w:r>
        <w:t xml:space="preserve"> período de sesiones, el Comité Asesor podría proseguir sus debates sobre este tema, incluidas las nuevas prioridades.</w:t>
      </w:r>
    </w:p>
    <w:p w:rsidR="00876461" w:rsidRDefault="00A13063" w:rsidP="00A13063">
      <w:pPr>
        <w:pStyle w:val="HChG"/>
      </w:pPr>
      <w:r>
        <w:tab/>
      </w:r>
      <w:r>
        <w:tab/>
        <w:t>Tema 5</w:t>
      </w:r>
      <w:r>
        <w:br/>
      </w:r>
      <w:r w:rsidR="00876461">
        <w:t>Informe del Comité Asesor sobre su 14</w:t>
      </w:r>
      <w:r w:rsidR="00AE6AB2">
        <w:t>º</w:t>
      </w:r>
      <w:r w:rsidR="00876461">
        <w:t xml:space="preserve"> período de </w:t>
      </w:r>
      <w:r>
        <w:br/>
      </w:r>
      <w:r w:rsidR="00876461">
        <w:t>sesiones</w:t>
      </w:r>
    </w:p>
    <w:p w:rsidR="00876461" w:rsidRDefault="00876461" w:rsidP="00876461">
      <w:pPr>
        <w:pStyle w:val="SingleTxtG"/>
      </w:pPr>
      <w:r>
        <w:t>91.</w:t>
      </w:r>
      <w:r>
        <w:tab/>
        <w:t>El Comité Asesor tendrá ante sí, para su aprobación, un proyecto de informe sobre su 14</w:t>
      </w:r>
      <w:r w:rsidR="00AE6AB2">
        <w:t>º</w:t>
      </w:r>
      <w:r>
        <w:t xml:space="preserve"> período de sesiones, elaborado por el Relator.</w:t>
      </w:r>
    </w:p>
    <w:p w:rsidR="00A13063" w:rsidRPr="00A13063" w:rsidRDefault="00A13063" w:rsidP="00A13063">
      <w:pPr>
        <w:pStyle w:val="SingleTxtG"/>
        <w:spacing w:before="240"/>
        <w:jc w:val="center"/>
        <w:rPr>
          <w:u w:val="single"/>
        </w:rPr>
      </w:pPr>
      <w:r>
        <w:rPr>
          <w:u w:val="single"/>
        </w:rPr>
        <w:tab/>
      </w:r>
      <w:r>
        <w:rPr>
          <w:u w:val="single"/>
        </w:rPr>
        <w:tab/>
      </w:r>
      <w:r>
        <w:rPr>
          <w:u w:val="single"/>
        </w:rPr>
        <w:tab/>
      </w:r>
    </w:p>
    <w:sectPr w:rsidR="00A13063" w:rsidRPr="00A13063" w:rsidSect="00876461">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3A9" w:rsidRPr="00A312BC" w:rsidRDefault="00EB33A9" w:rsidP="00A312BC">
      <w:pPr>
        <w:pStyle w:val="Footer"/>
      </w:pPr>
    </w:p>
  </w:endnote>
  <w:endnote w:type="continuationSeparator" w:id="0">
    <w:p w:rsidR="00EB33A9" w:rsidRPr="00A312BC" w:rsidRDefault="00EB33A9"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461" w:rsidRPr="00876461" w:rsidRDefault="00876461" w:rsidP="00876461">
    <w:pPr>
      <w:pStyle w:val="Footer"/>
      <w:tabs>
        <w:tab w:val="right" w:pos="9638"/>
      </w:tabs>
    </w:pPr>
    <w:r w:rsidRPr="00876461">
      <w:rPr>
        <w:b/>
        <w:sz w:val="18"/>
      </w:rPr>
      <w:fldChar w:fldCharType="begin"/>
    </w:r>
    <w:r w:rsidRPr="00876461">
      <w:rPr>
        <w:b/>
        <w:sz w:val="18"/>
      </w:rPr>
      <w:instrText xml:space="preserve"> PAGE  \* MERGEFORMAT </w:instrText>
    </w:r>
    <w:r w:rsidRPr="00876461">
      <w:rPr>
        <w:b/>
        <w:sz w:val="18"/>
      </w:rPr>
      <w:fldChar w:fldCharType="separate"/>
    </w:r>
    <w:r w:rsidR="006251E0">
      <w:rPr>
        <w:b/>
        <w:noProof/>
        <w:sz w:val="18"/>
      </w:rPr>
      <w:t>12</w:t>
    </w:r>
    <w:r w:rsidRPr="00876461">
      <w:rPr>
        <w:b/>
        <w:sz w:val="18"/>
      </w:rPr>
      <w:fldChar w:fldCharType="end"/>
    </w:r>
    <w:r>
      <w:rPr>
        <w:b/>
        <w:sz w:val="18"/>
      </w:rPr>
      <w:tab/>
    </w:r>
    <w:r>
      <w:t>GE.14-23360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461" w:rsidRPr="00876461" w:rsidRDefault="00876461" w:rsidP="00876461">
    <w:pPr>
      <w:pStyle w:val="Footer"/>
      <w:tabs>
        <w:tab w:val="right" w:pos="9638"/>
      </w:tabs>
      <w:rPr>
        <w:b/>
        <w:sz w:val="18"/>
      </w:rPr>
    </w:pPr>
    <w:r>
      <w:t>GE.14-23360</w:t>
    </w:r>
    <w:r>
      <w:tab/>
    </w:r>
    <w:r w:rsidRPr="00876461">
      <w:rPr>
        <w:b/>
        <w:sz w:val="18"/>
      </w:rPr>
      <w:fldChar w:fldCharType="begin"/>
    </w:r>
    <w:r w:rsidRPr="00876461">
      <w:rPr>
        <w:b/>
        <w:sz w:val="18"/>
      </w:rPr>
      <w:instrText xml:space="preserve"> PAGE  \* MERGEFORMAT </w:instrText>
    </w:r>
    <w:r w:rsidRPr="00876461">
      <w:rPr>
        <w:b/>
        <w:sz w:val="18"/>
      </w:rPr>
      <w:fldChar w:fldCharType="separate"/>
    </w:r>
    <w:r w:rsidR="006251E0">
      <w:rPr>
        <w:b/>
        <w:noProof/>
        <w:sz w:val="18"/>
      </w:rPr>
      <w:t>13</w:t>
    </w:r>
    <w:r w:rsidRPr="0087646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Default="00876461" w:rsidP="00876461">
    <w:pPr>
      <w:pStyle w:val="Footer"/>
      <w:spacing w:before="240"/>
      <w:rPr>
        <w:sz w:val="20"/>
      </w:rPr>
    </w:pPr>
    <w:r>
      <w:rPr>
        <w:sz w:val="20"/>
      </w:rPr>
      <w:t>GE.</w:t>
    </w:r>
    <w:r w:rsidR="00273859">
      <w:rPr>
        <w:noProof/>
        <w:lang w:val="en-GB" w:eastAsia="en-GB"/>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884D36">
      <w:rPr>
        <w:sz w:val="20"/>
      </w:rPr>
      <w:t>14-23360  (S)    191214    22</w:t>
    </w:r>
    <w:r>
      <w:rPr>
        <w:sz w:val="20"/>
      </w:rPr>
      <w:t>1214</w:t>
    </w:r>
  </w:p>
  <w:p w:rsidR="00876461" w:rsidRPr="00876461" w:rsidRDefault="00876461" w:rsidP="00876461">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273859">
      <w:rPr>
        <w:rFonts w:ascii="C39T30Lfz" w:hAnsi="C39T30Lfz"/>
        <w:noProof/>
        <w:sz w:val="56"/>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3A9" w:rsidRPr="001075E9" w:rsidRDefault="00EB33A9" w:rsidP="001075E9">
      <w:pPr>
        <w:tabs>
          <w:tab w:val="right" w:pos="2155"/>
        </w:tabs>
        <w:spacing w:after="80" w:line="240" w:lineRule="auto"/>
        <w:ind w:left="680"/>
        <w:rPr>
          <w:u w:val="single"/>
        </w:rPr>
      </w:pPr>
      <w:r>
        <w:rPr>
          <w:u w:val="single"/>
        </w:rPr>
        <w:tab/>
      </w:r>
    </w:p>
  </w:footnote>
  <w:footnote w:type="continuationSeparator" w:id="0">
    <w:p w:rsidR="00EB33A9" w:rsidRDefault="00EB33A9" w:rsidP="00407B78">
      <w:pPr>
        <w:tabs>
          <w:tab w:val="right" w:pos="2155"/>
        </w:tabs>
        <w:spacing w:after="80"/>
        <w:ind w:left="680"/>
        <w:rPr>
          <w:u w:val="single"/>
        </w:rPr>
      </w:pPr>
      <w:r>
        <w:rPr>
          <w:u w:val="single"/>
        </w:rPr>
        <w:tab/>
      </w:r>
    </w:p>
  </w:footnote>
  <w:footnote w:id="1">
    <w:p w:rsidR="00876461" w:rsidRDefault="00876461" w:rsidP="00876461">
      <w:pPr>
        <w:pStyle w:val="FootnoteText"/>
        <w:widowControl w:val="0"/>
        <w:tabs>
          <w:tab w:val="clear" w:pos="1021"/>
          <w:tab w:val="right" w:pos="1020"/>
        </w:tabs>
        <w:suppressAutoHyphens/>
      </w:pPr>
      <w:r>
        <w:tab/>
      </w:r>
      <w:r>
        <w:rPr>
          <w:rStyle w:val="FootnoteReference"/>
        </w:rPr>
        <w:footnoteRef/>
      </w:r>
      <w:r>
        <w:tab/>
      </w:r>
      <w:r w:rsidRPr="00876461">
        <w:t>Entre paréntesis se indica el año de vencimiento del mandato de cada miembro.</w:t>
      </w:r>
    </w:p>
  </w:footnote>
  <w:footnote w:id="2">
    <w:p w:rsidR="00A13063" w:rsidRPr="00A13063" w:rsidRDefault="00A13063" w:rsidP="00A13063">
      <w:pPr>
        <w:pStyle w:val="FootnoteText"/>
        <w:widowControl w:val="0"/>
        <w:tabs>
          <w:tab w:val="clear" w:pos="1021"/>
          <w:tab w:val="right" w:pos="1020"/>
        </w:tabs>
        <w:suppressAutoHyphens/>
        <w:rPr>
          <w:lang w:val="en-US"/>
        </w:rPr>
      </w:pPr>
      <w:r>
        <w:tab/>
      </w:r>
      <w:r>
        <w:rPr>
          <w:rStyle w:val="FootnoteReference"/>
        </w:rPr>
        <w:footnoteRef/>
      </w:r>
      <w:r w:rsidRPr="00A13063">
        <w:rPr>
          <w:lang w:val="en-US"/>
        </w:rPr>
        <w:tab/>
        <w:t>Véase A/HRC/AC/12/2, anexo IV.</w:t>
      </w:r>
    </w:p>
  </w:footnote>
  <w:footnote w:id="3">
    <w:p w:rsidR="00A13063" w:rsidRPr="00A13063" w:rsidRDefault="00A13063" w:rsidP="00A13063">
      <w:pPr>
        <w:pStyle w:val="FootnoteText"/>
        <w:widowControl w:val="0"/>
        <w:tabs>
          <w:tab w:val="clear" w:pos="1021"/>
          <w:tab w:val="right" w:pos="1020"/>
        </w:tabs>
        <w:suppressAutoHyphens/>
        <w:rPr>
          <w:i/>
          <w:lang w:val="en-US"/>
        </w:rPr>
      </w:pPr>
      <w:r w:rsidRPr="00A13063">
        <w:rPr>
          <w:lang w:val="en-US"/>
        </w:rPr>
        <w:tab/>
      </w:r>
      <w:r>
        <w:rPr>
          <w:rStyle w:val="FootnoteReference"/>
        </w:rPr>
        <w:footnoteRef/>
      </w:r>
      <w:r w:rsidRPr="00A13063">
        <w:rPr>
          <w:lang w:val="en-US"/>
        </w:rPr>
        <w:tab/>
      </w:r>
      <w:r w:rsidRPr="00A13063">
        <w:rPr>
          <w:i/>
          <w:lang w:val="en-US"/>
        </w:rPr>
        <w:t>Ibid.</w:t>
      </w:r>
    </w:p>
  </w:footnote>
  <w:footnote w:id="4">
    <w:p w:rsidR="00A13063" w:rsidRPr="00A13063" w:rsidRDefault="00A13063" w:rsidP="00A13063">
      <w:pPr>
        <w:pStyle w:val="FootnoteText"/>
        <w:widowControl w:val="0"/>
        <w:tabs>
          <w:tab w:val="clear" w:pos="1021"/>
          <w:tab w:val="right" w:pos="1020"/>
        </w:tabs>
        <w:suppressAutoHyphens/>
        <w:rPr>
          <w:lang w:val="en-US"/>
        </w:rPr>
      </w:pPr>
      <w:r w:rsidRPr="00A13063">
        <w:rPr>
          <w:lang w:val="en-US"/>
        </w:rPr>
        <w:tab/>
      </w:r>
      <w:r>
        <w:rPr>
          <w:rStyle w:val="FootnoteReference"/>
        </w:rPr>
        <w:footnoteRef/>
      </w:r>
      <w:r w:rsidRPr="00A13063">
        <w:rPr>
          <w:lang w:val="en-US"/>
        </w:rPr>
        <w:tab/>
        <w:t>Véase A/HRC/AC/9/6, anexo 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461" w:rsidRPr="00876461" w:rsidRDefault="00876461">
    <w:pPr>
      <w:pStyle w:val="Header"/>
    </w:pPr>
    <w:r>
      <w:t>A/HRC/AC/14/1/Add.1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461" w:rsidRPr="00876461" w:rsidRDefault="00876461" w:rsidP="00876461">
    <w:pPr>
      <w:pStyle w:val="Header"/>
      <w:jc w:val="right"/>
    </w:pPr>
    <w:r>
      <w:t>A/HRC/AC/14/1/Add.1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A9"/>
    <w:rsid w:val="00033EE1"/>
    <w:rsid w:val="00042B72"/>
    <w:rsid w:val="000558BD"/>
    <w:rsid w:val="000B57E7"/>
    <w:rsid w:val="000B6373"/>
    <w:rsid w:val="000F09DF"/>
    <w:rsid w:val="000F61B2"/>
    <w:rsid w:val="001075E9"/>
    <w:rsid w:val="00141512"/>
    <w:rsid w:val="00180183"/>
    <w:rsid w:val="0018024D"/>
    <w:rsid w:val="0018649F"/>
    <w:rsid w:val="00196389"/>
    <w:rsid w:val="001B3EF6"/>
    <w:rsid w:val="001C7A89"/>
    <w:rsid w:val="002437E8"/>
    <w:rsid w:val="00273859"/>
    <w:rsid w:val="002800AF"/>
    <w:rsid w:val="002A2EFC"/>
    <w:rsid w:val="002C0E18"/>
    <w:rsid w:val="002D5AAC"/>
    <w:rsid w:val="002E5BA5"/>
    <w:rsid w:val="002F405F"/>
    <w:rsid w:val="002F7EEC"/>
    <w:rsid w:val="00301299"/>
    <w:rsid w:val="00307FB6"/>
    <w:rsid w:val="00317339"/>
    <w:rsid w:val="00322004"/>
    <w:rsid w:val="003402C2"/>
    <w:rsid w:val="00381BCC"/>
    <w:rsid w:val="00381C24"/>
    <w:rsid w:val="00386F27"/>
    <w:rsid w:val="003958D0"/>
    <w:rsid w:val="003B00E5"/>
    <w:rsid w:val="00407B78"/>
    <w:rsid w:val="00424203"/>
    <w:rsid w:val="00442058"/>
    <w:rsid w:val="00452493"/>
    <w:rsid w:val="00454E07"/>
    <w:rsid w:val="0050108D"/>
    <w:rsid w:val="00513081"/>
    <w:rsid w:val="00517901"/>
    <w:rsid w:val="00526683"/>
    <w:rsid w:val="005709E0"/>
    <w:rsid w:val="00572E19"/>
    <w:rsid w:val="005961C8"/>
    <w:rsid w:val="005C27EA"/>
    <w:rsid w:val="005D7914"/>
    <w:rsid w:val="005E2B41"/>
    <w:rsid w:val="005F0B42"/>
    <w:rsid w:val="006251E0"/>
    <w:rsid w:val="00681A10"/>
    <w:rsid w:val="006A1ED8"/>
    <w:rsid w:val="006C2031"/>
    <w:rsid w:val="006D461A"/>
    <w:rsid w:val="006F35EE"/>
    <w:rsid w:val="007021FF"/>
    <w:rsid w:val="00712895"/>
    <w:rsid w:val="00757357"/>
    <w:rsid w:val="00825F8D"/>
    <w:rsid w:val="00834B71"/>
    <w:rsid w:val="0086445C"/>
    <w:rsid w:val="00876461"/>
    <w:rsid w:val="00884D36"/>
    <w:rsid w:val="00894693"/>
    <w:rsid w:val="008A08D7"/>
    <w:rsid w:val="008B6909"/>
    <w:rsid w:val="00906890"/>
    <w:rsid w:val="00911BE4"/>
    <w:rsid w:val="00951972"/>
    <w:rsid w:val="009608F3"/>
    <w:rsid w:val="00A13063"/>
    <w:rsid w:val="00A312BC"/>
    <w:rsid w:val="00A84021"/>
    <w:rsid w:val="00A84D35"/>
    <w:rsid w:val="00A917B3"/>
    <w:rsid w:val="00AB4B51"/>
    <w:rsid w:val="00AE6AB2"/>
    <w:rsid w:val="00B10CC7"/>
    <w:rsid w:val="00B539E7"/>
    <w:rsid w:val="00B62458"/>
    <w:rsid w:val="00B64FA0"/>
    <w:rsid w:val="00B65E56"/>
    <w:rsid w:val="00BC18B2"/>
    <w:rsid w:val="00BD33EE"/>
    <w:rsid w:val="00C106D6"/>
    <w:rsid w:val="00C60F0C"/>
    <w:rsid w:val="00C764EF"/>
    <w:rsid w:val="00C805C9"/>
    <w:rsid w:val="00C92939"/>
    <w:rsid w:val="00CA1679"/>
    <w:rsid w:val="00CB151C"/>
    <w:rsid w:val="00CE5A1A"/>
    <w:rsid w:val="00CF55F6"/>
    <w:rsid w:val="00D33D63"/>
    <w:rsid w:val="00D90138"/>
    <w:rsid w:val="00E37D74"/>
    <w:rsid w:val="00E57AE9"/>
    <w:rsid w:val="00E73F76"/>
    <w:rsid w:val="00EA2C9F"/>
    <w:rsid w:val="00EB33A9"/>
    <w:rsid w:val="00ED0BDA"/>
    <w:rsid w:val="00EE3F53"/>
    <w:rsid w:val="00EF1360"/>
    <w:rsid w:val="00EF25CD"/>
    <w:rsid w:val="00EF3220"/>
    <w:rsid w:val="00F70CA0"/>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rsid w:val="00681A10"/>
    <w:pPr>
      <w:keepNext/>
      <w:outlineLvl w:val="1"/>
    </w:pPr>
    <w:rPr>
      <w:rFonts w:cs="Arial"/>
      <w:bCs/>
      <w:iCs/>
      <w:szCs w:val="28"/>
    </w:rPr>
  </w:style>
  <w:style w:type="paragraph" w:styleId="Heading3">
    <w:name w:val="heading 3"/>
    <w:basedOn w:val="Normal"/>
    <w:next w:val="Normal"/>
    <w:rsid w:val="00681A10"/>
    <w:pPr>
      <w:keepNext/>
      <w:spacing w:before="240" w:after="60"/>
      <w:outlineLvl w:val="2"/>
    </w:pPr>
    <w:rPr>
      <w:rFonts w:ascii="Arial" w:hAnsi="Arial" w:cs="Arial"/>
      <w:b/>
      <w:bCs/>
      <w:sz w:val="26"/>
      <w:szCs w:val="26"/>
    </w:rPr>
  </w:style>
  <w:style w:type="paragraph" w:styleId="Heading4">
    <w:name w:val="heading 4"/>
    <w:basedOn w:val="Normal"/>
    <w:next w:val="Normal"/>
    <w:rsid w:val="00681A10"/>
    <w:pPr>
      <w:keepNext/>
      <w:spacing w:before="240" w:after="60"/>
      <w:outlineLvl w:val="3"/>
    </w:pPr>
    <w:rPr>
      <w:b/>
      <w:bCs/>
      <w:sz w:val="28"/>
      <w:szCs w:val="28"/>
    </w:rPr>
  </w:style>
  <w:style w:type="paragraph" w:styleId="Heading5">
    <w:name w:val="heading 5"/>
    <w:basedOn w:val="Normal"/>
    <w:next w:val="Normal"/>
    <w:rsid w:val="00681A10"/>
    <w:pPr>
      <w:spacing w:before="240" w:after="60"/>
      <w:outlineLvl w:val="4"/>
    </w:pPr>
    <w:rPr>
      <w:b/>
      <w:bCs/>
      <w:i/>
      <w:iCs/>
      <w:sz w:val="26"/>
      <w:szCs w:val="26"/>
    </w:rPr>
  </w:style>
  <w:style w:type="paragraph" w:styleId="Heading6">
    <w:name w:val="heading 6"/>
    <w:basedOn w:val="Normal"/>
    <w:next w:val="Normal"/>
    <w:rsid w:val="00681A10"/>
    <w:pPr>
      <w:spacing w:before="240" w:after="60"/>
      <w:outlineLvl w:val="5"/>
    </w:pPr>
    <w:rPr>
      <w:b/>
      <w:bCs/>
      <w:sz w:val="22"/>
      <w:szCs w:val="22"/>
    </w:rPr>
  </w:style>
  <w:style w:type="paragraph" w:styleId="Heading7">
    <w:name w:val="heading 7"/>
    <w:basedOn w:val="Normal"/>
    <w:next w:val="Normal"/>
    <w:rsid w:val="00681A10"/>
    <w:pPr>
      <w:spacing w:before="240" w:after="60"/>
      <w:outlineLvl w:val="6"/>
    </w:pPr>
    <w:rPr>
      <w:sz w:val="24"/>
      <w:szCs w:val="24"/>
    </w:rPr>
  </w:style>
  <w:style w:type="paragraph" w:styleId="Heading8">
    <w:name w:val="heading 8"/>
    <w:basedOn w:val="Normal"/>
    <w:next w:val="Normal"/>
    <w:rsid w:val="00681A10"/>
    <w:pPr>
      <w:spacing w:before="240" w:after="60"/>
      <w:outlineLvl w:val="7"/>
    </w:pPr>
    <w:rPr>
      <w:i/>
      <w:iCs/>
      <w:sz w:val="24"/>
      <w:szCs w:val="24"/>
    </w:rPr>
  </w:style>
  <w:style w:type="paragraph" w:styleId="Heading9">
    <w:name w:val="heading 9"/>
    <w:basedOn w:val="Normal"/>
    <w:next w:val="Normal"/>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rsid w:val="00280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80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rsid w:val="00681A10"/>
    <w:pPr>
      <w:keepNext/>
      <w:outlineLvl w:val="1"/>
    </w:pPr>
    <w:rPr>
      <w:rFonts w:cs="Arial"/>
      <w:bCs/>
      <w:iCs/>
      <w:szCs w:val="28"/>
    </w:rPr>
  </w:style>
  <w:style w:type="paragraph" w:styleId="Heading3">
    <w:name w:val="heading 3"/>
    <w:basedOn w:val="Normal"/>
    <w:next w:val="Normal"/>
    <w:rsid w:val="00681A10"/>
    <w:pPr>
      <w:keepNext/>
      <w:spacing w:before="240" w:after="60"/>
      <w:outlineLvl w:val="2"/>
    </w:pPr>
    <w:rPr>
      <w:rFonts w:ascii="Arial" w:hAnsi="Arial" w:cs="Arial"/>
      <w:b/>
      <w:bCs/>
      <w:sz w:val="26"/>
      <w:szCs w:val="26"/>
    </w:rPr>
  </w:style>
  <w:style w:type="paragraph" w:styleId="Heading4">
    <w:name w:val="heading 4"/>
    <w:basedOn w:val="Normal"/>
    <w:next w:val="Normal"/>
    <w:rsid w:val="00681A10"/>
    <w:pPr>
      <w:keepNext/>
      <w:spacing w:before="240" w:after="60"/>
      <w:outlineLvl w:val="3"/>
    </w:pPr>
    <w:rPr>
      <w:b/>
      <w:bCs/>
      <w:sz w:val="28"/>
      <w:szCs w:val="28"/>
    </w:rPr>
  </w:style>
  <w:style w:type="paragraph" w:styleId="Heading5">
    <w:name w:val="heading 5"/>
    <w:basedOn w:val="Normal"/>
    <w:next w:val="Normal"/>
    <w:rsid w:val="00681A10"/>
    <w:pPr>
      <w:spacing w:before="240" w:after="60"/>
      <w:outlineLvl w:val="4"/>
    </w:pPr>
    <w:rPr>
      <w:b/>
      <w:bCs/>
      <w:i/>
      <w:iCs/>
      <w:sz w:val="26"/>
      <w:szCs w:val="26"/>
    </w:rPr>
  </w:style>
  <w:style w:type="paragraph" w:styleId="Heading6">
    <w:name w:val="heading 6"/>
    <w:basedOn w:val="Normal"/>
    <w:next w:val="Normal"/>
    <w:rsid w:val="00681A10"/>
    <w:pPr>
      <w:spacing w:before="240" w:after="60"/>
      <w:outlineLvl w:val="5"/>
    </w:pPr>
    <w:rPr>
      <w:b/>
      <w:bCs/>
      <w:sz w:val="22"/>
      <w:szCs w:val="22"/>
    </w:rPr>
  </w:style>
  <w:style w:type="paragraph" w:styleId="Heading7">
    <w:name w:val="heading 7"/>
    <w:basedOn w:val="Normal"/>
    <w:next w:val="Normal"/>
    <w:rsid w:val="00681A10"/>
    <w:pPr>
      <w:spacing w:before="240" w:after="60"/>
      <w:outlineLvl w:val="6"/>
    </w:pPr>
    <w:rPr>
      <w:sz w:val="24"/>
      <w:szCs w:val="24"/>
    </w:rPr>
  </w:style>
  <w:style w:type="paragraph" w:styleId="Heading8">
    <w:name w:val="heading 8"/>
    <w:basedOn w:val="Normal"/>
    <w:next w:val="Normal"/>
    <w:rsid w:val="00681A10"/>
    <w:pPr>
      <w:spacing w:before="240" w:after="60"/>
      <w:outlineLvl w:val="7"/>
    </w:pPr>
    <w:rPr>
      <w:i/>
      <w:iCs/>
      <w:sz w:val="24"/>
      <w:szCs w:val="24"/>
    </w:rPr>
  </w:style>
  <w:style w:type="paragraph" w:styleId="Heading9">
    <w:name w:val="heading 9"/>
    <w:basedOn w:val="Normal"/>
    <w:next w:val="Normal"/>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rsid w:val="00280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80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5F9CA-4165-4B9E-937A-28C8AAA2A9CF}"/>
</file>

<file path=customXml/itemProps2.xml><?xml version="1.0" encoding="utf-8"?>
<ds:datastoreItem xmlns:ds="http://schemas.openxmlformats.org/officeDocument/2006/customXml" ds:itemID="{B8E2C71B-6F8D-4E3B-9BA0-1C247C0B040C}"/>
</file>

<file path=customXml/itemProps3.xml><?xml version="1.0" encoding="utf-8"?>
<ds:datastoreItem xmlns:ds="http://schemas.openxmlformats.org/officeDocument/2006/customXml" ds:itemID="{B65A5BF0-9EB2-4E8E-A36B-7BE441DB89B2}"/>
</file>

<file path=customXml/itemProps4.xml><?xml version="1.0" encoding="utf-8"?>
<ds:datastoreItem xmlns:ds="http://schemas.openxmlformats.org/officeDocument/2006/customXml" ds:itemID="{5D99E440-7DFF-439C-9A13-330A61F2FB4C}"/>
</file>

<file path=docProps/app.xml><?xml version="1.0" encoding="utf-8"?>
<Properties xmlns="http://schemas.openxmlformats.org/officeDocument/2006/extended-properties" xmlns:vt="http://schemas.openxmlformats.org/officeDocument/2006/docPropsVTypes">
  <Template>A</Template>
  <TotalTime>0</TotalTime>
  <Pages>13</Pages>
  <Words>5806</Words>
  <Characters>33099</Characters>
  <Application>Microsoft Office Word</Application>
  <DocSecurity>0</DocSecurity>
  <Lines>275</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A/HRC/AC/14/1/Add.1</vt:lpstr>
      <vt:lpstr>A/HRC/AC/14/1/Add.1</vt:lpstr>
    </vt:vector>
  </TitlesOfParts>
  <Company>DCM</Company>
  <LinksUpToDate>false</LinksUpToDate>
  <CharactersWithSpaces>38828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A/HRC/AC/14/1/Add.1</dc:title>
  <dc:subject>Final</dc:subject>
  <dc:creator>vp</dc:creator>
  <cp:lastModifiedBy>Markova Anjela</cp:lastModifiedBy>
  <cp:revision>2</cp:revision>
  <cp:lastPrinted>2014-12-22T12:58:00Z</cp:lastPrinted>
  <dcterms:created xsi:type="dcterms:W3CDTF">2015-01-07T13:25:00Z</dcterms:created>
  <dcterms:modified xsi:type="dcterms:W3CDTF">2015-01-07T13:25:00Z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0x0101008822B9E06671B54FA89F14538B9B0FEA</vt:lpwstr>
  </property>
  <property fmtid="{D5CDD505-2E9C-101B-9397-08002B2CF9AE}" pid="15" name="Order">
    <vt:r8>2651000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