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22" w:rsidRDefault="003A0B57">
      <w:pPr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 Bold"/>
          <w:sz w:val="28"/>
          <w:szCs w:val="28"/>
          <w:lang w:val="es-ES_tradnl"/>
        </w:rPr>
        <w:t>Intervenci</w:t>
      </w:r>
      <w:r>
        <w:rPr>
          <w:sz w:val="28"/>
          <w:szCs w:val="28"/>
          <w:lang w:val="es-ES_tradnl"/>
        </w:rPr>
        <w:t>ó</w:t>
      </w:r>
      <w:r>
        <w:rPr>
          <w:rFonts w:ascii="Times New Roman Bold"/>
          <w:sz w:val="28"/>
          <w:szCs w:val="28"/>
          <w:lang w:val="es-ES_tradnl"/>
        </w:rPr>
        <w:t>n de la Delegaci</w:t>
      </w:r>
      <w:r>
        <w:rPr>
          <w:sz w:val="28"/>
          <w:szCs w:val="28"/>
          <w:lang w:val="es-ES_tradnl"/>
        </w:rPr>
        <w:t>ó</w:t>
      </w:r>
      <w:r>
        <w:rPr>
          <w:rFonts w:ascii="Times New Roman Bold"/>
          <w:sz w:val="28"/>
          <w:szCs w:val="28"/>
          <w:lang w:val="es-ES_tradnl"/>
        </w:rPr>
        <w:t>n Argentina</w:t>
      </w:r>
    </w:p>
    <w:p w:rsidR="000D5C22" w:rsidRDefault="000D5C22">
      <w:pPr>
        <w:jc w:val="center"/>
        <w:rPr>
          <w:sz w:val="28"/>
          <w:szCs w:val="28"/>
          <w:lang w:val="es-ES_tradnl"/>
        </w:rPr>
      </w:pPr>
    </w:p>
    <w:p w:rsidR="000D5C22" w:rsidRDefault="003A0B57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15 Per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odo de Sesiones</w:t>
      </w:r>
    </w:p>
    <w:p w:rsidR="000D5C22" w:rsidRDefault="003A0B57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Asesor</w:t>
      </w:r>
    </w:p>
    <w:p w:rsidR="000D5C22" w:rsidRDefault="003A0B57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10 de agosto de 2015 </w:t>
      </w:r>
    </w:p>
    <w:p w:rsidR="000D5C22" w:rsidRDefault="000D5C22">
      <w:pPr>
        <w:jc w:val="center"/>
        <w:rPr>
          <w:sz w:val="28"/>
          <w:szCs w:val="28"/>
          <w:lang w:val="es-ES_tradnl"/>
        </w:rPr>
      </w:pPr>
    </w:p>
    <w:p w:rsidR="000D5C22" w:rsidRDefault="000D5C22">
      <w:pPr>
        <w:jc w:val="center"/>
        <w:rPr>
          <w:sz w:val="28"/>
          <w:szCs w:val="28"/>
          <w:lang w:val="es-ES_tradnl"/>
        </w:rPr>
      </w:pPr>
    </w:p>
    <w:p w:rsidR="000D5C22" w:rsidRDefault="003A0B57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Sr. Presidente y estimados Miembros del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Asesor,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Argentina desea expresar su agradecimiento al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Asesor por el inter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>s en la tem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 xml:space="preserve">tica del </w:t>
      </w:r>
      <w:r>
        <w:rPr>
          <w:sz w:val="28"/>
          <w:szCs w:val="28"/>
          <w:lang w:val="es-ES_tradnl"/>
        </w:rPr>
        <w:t>impacto negativo del accionar de los fondos buitre en el disfrute de los derechos humanos. Gracias a la iniciativa del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, en la 13 </w:t>
      </w:r>
      <w:proofErr w:type="gramStart"/>
      <w:r>
        <w:rPr>
          <w:sz w:val="28"/>
          <w:szCs w:val="28"/>
          <w:lang w:val="es-ES_tradnl"/>
        </w:rPr>
        <w:t>sesi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</w:t>
      </w:r>
      <w:proofErr w:type="gramEnd"/>
      <w:r>
        <w:rPr>
          <w:sz w:val="28"/>
          <w:szCs w:val="28"/>
          <w:lang w:val="es-ES_tradnl"/>
        </w:rPr>
        <w:t>, la Argentina -junto a Argelia, Bolivia, Brasil, Cuba, Pakist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>n, Rusia, Uruguay y Venezuela- impuls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la Resoluci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A/HRC/27/30. La misma fue apoyada por una amplia mayor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 de miembros del Consejo de Derechos Humanos y cont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con el copatrocinio de 79 pa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ses.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Asimismo, quisiera expresar nuestro agradecimiento al Grupo Redactor del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Asesor y a su Relator por el bo</w:t>
      </w:r>
      <w:r>
        <w:rPr>
          <w:sz w:val="28"/>
          <w:szCs w:val="28"/>
          <w:lang w:val="es-ES_tradnl"/>
        </w:rPr>
        <w:t>rrador de informe de investigaci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n, solicitado en la Resoluci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27/30, y bajo discusi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en la presente sesi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n. </w:t>
      </w:r>
    </w:p>
    <w:p w:rsidR="000D5C22" w:rsidRDefault="000D5C22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</w:p>
    <w:p w:rsidR="000D5C22" w:rsidRDefault="003A0B57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Sr. Presidente,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Cuando presentamos esta Resoluci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en el marco del Consejo de Derechos Humanos, nos impuls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la certeza de que el impacto de las</w:t>
      </w:r>
      <w:r>
        <w:rPr>
          <w:sz w:val="28"/>
          <w:szCs w:val="28"/>
          <w:lang w:val="es-ES_tradnl"/>
        </w:rPr>
        <w:t xml:space="preserve"> actividades de los </w:t>
      </w:r>
      <w:r>
        <w:rPr>
          <w:sz w:val="28"/>
          <w:szCs w:val="28"/>
          <w:lang w:val="es-ES_tradnl"/>
        </w:rPr>
        <w:lastRenderedPageBreak/>
        <w:t>fondos buitre en el disfrute de los derechos humanos, no hab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 recibido suficiente atenci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n vis a vis las graves consecuencias que sus acciones tienen. En ese sentido, el borrador de informe que hoy discutiremos es un gran avance, y su </w:t>
      </w:r>
      <w:r>
        <w:rPr>
          <w:sz w:val="28"/>
          <w:szCs w:val="28"/>
          <w:lang w:val="es-ES_tradnl"/>
        </w:rPr>
        <w:t>contenido, un llamado de atenci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a la comunidad internacional.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hemos venido sosteniendo en diferentes foros multilaterales, los efectos negativos del accionar de los fondos buitre dan cuenta de la existencia de un problema global del sistema financie</w:t>
      </w:r>
      <w:r>
        <w:rPr>
          <w:sz w:val="28"/>
          <w:szCs w:val="28"/>
          <w:lang w:val="es-ES_tradnl"/>
        </w:rPr>
        <w:t>ro. Estos fondos especulativos se han aprovechado de los vac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os existentes en los procesos de reestructuraci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deuda, minando adem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>s principios consagrados del derecho internacional, como son la inmunidad soberana de jurisdicci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n o la buena fe.  En ese </w:t>
      </w:r>
      <w:r>
        <w:rPr>
          <w:sz w:val="28"/>
          <w:szCs w:val="28"/>
          <w:lang w:val="es-ES_tradnl"/>
        </w:rPr>
        <w:t>sentido, sugerimos que la incorporaci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casos de acciones de los fondos buitre contra pa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ses desarrollados contribuir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 a ilustrar la caracter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stica global del problema.</w:t>
      </w:r>
    </w:p>
    <w:p w:rsidR="000D5C22" w:rsidRDefault="000D5C22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</w:p>
    <w:p w:rsidR="000D5C22" w:rsidRDefault="003A0B57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Sr. Presidente,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Perm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tame referirme brevemente al proceso que se ha estado desarro</w:t>
      </w:r>
      <w:r>
        <w:rPr>
          <w:sz w:val="28"/>
          <w:szCs w:val="28"/>
          <w:lang w:val="es-ES_tradnl"/>
        </w:rPr>
        <w:t>llando en Nueva York en 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Ad Hoc sobre Procesos de Reestructuraci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Deudas Soberanas, proceso que consideramos puede alimentar el presente informe de investigaci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Ad Hoc, creado por Resoluci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la Asamblea General 69/47, se reuni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por tercera vez el 28 de julio de 2015, y adopt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una serie de principios </w:t>
      </w:r>
      <w:r>
        <w:rPr>
          <w:sz w:val="28"/>
          <w:szCs w:val="28"/>
          <w:lang w:val="es-ES_tradnl"/>
        </w:rPr>
        <w:lastRenderedPageBreak/>
        <w:t>que ser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>n puestos a consideraci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la Asamblea General en septiembre de este a</w:t>
      </w:r>
      <w:r>
        <w:rPr>
          <w:sz w:val="28"/>
          <w:szCs w:val="28"/>
          <w:lang w:val="es-ES_tradnl"/>
        </w:rPr>
        <w:t>ñ</w:t>
      </w:r>
      <w:r>
        <w:rPr>
          <w:sz w:val="28"/>
          <w:szCs w:val="28"/>
          <w:lang w:val="es-ES_tradnl"/>
        </w:rPr>
        <w:t>o. Durante la misma, la Argentina manifest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que la compilaci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y codificaci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principios representa</w:t>
      </w:r>
      <w:r>
        <w:rPr>
          <w:sz w:val="28"/>
          <w:szCs w:val="28"/>
          <w:lang w:val="es-ES_tradnl"/>
        </w:rPr>
        <w:t xml:space="preserve"> un aporte significativo y una se</w:t>
      </w:r>
      <w:r>
        <w:rPr>
          <w:sz w:val="28"/>
          <w:szCs w:val="28"/>
          <w:lang w:val="es-ES_tradnl"/>
        </w:rPr>
        <w:t>ñ</w:t>
      </w:r>
      <w:r>
        <w:rPr>
          <w:sz w:val="28"/>
          <w:szCs w:val="28"/>
          <w:lang w:val="es-ES_tradnl"/>
        </w:rPr>
        <w:t>al inequ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voca del compromiso de la comunidad internacional, para a futuro articular esos principios con un mecanismo que permita llevarlos a la pr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>ctica de forma efectiva. Los principios se refieren a la soberan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 del Esta</w:t>
      </w:r>
      <w:r>
        <w:rPr>
          <w:sz w:val="28"/>
          <w:szCs w:val="28"/>
          <w:lang w:val="es-ES_tradnl"/>
        </w:rPr>
        <w:t>do, la buena fe, la transparencia, la imparcialidad, el trato equitativo, la inmunidad soberana de jurisdicci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y ejecuci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n, la legitimidad, la sostenibilidad y el principio de mayor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objetivo de los principios es poder alcanzar un proceso de reestruc</w:t>
      </w:r>
      <w:r>
        <w:rPr>
          <w:sz w:val="28"/>
          <w:szCs w:val="28"/>
          <w:lang w:val="es-ES_tradnl"/>
        </w:rPr>
        <w:t>turaci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deudas soberanas que conserve al m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>ximo los derechos de los acreedores, disuada los litigios perturbadores, y permita el desarrollo y crecimiento de los Estados, sin socavar el cumplimiento de sus otras obligaciones nacionales e internacionales</w:t>
      </w:r>
      <w:r>
        <w:rPr>
          <w:sz w:val="28"/>
          <w:szCs w:val="28"/>
          <w:lang w:val="es-ES_tradnl"/>
        </w:rPr>
        <w:t>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En esa l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nea, el principio de sostenibilidad de la deuda externa adoptado en 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Ad Hoc se refiere expl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citamente a la necesidad de minimizar los costos econ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micos y sociales, y de respetar los derechos humanos.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Adem</w:t>
      </w:r>
      <w:r>
        <w:rPr>
          <w:sz w:val="28"/>
          <w:szCs w:val="28"/>
          <w:lang w:val="es-ES_tradnl"/>
        </w:rPr>
        <w:t>á</w:t>
      </w:r>
      <w:r>
        <w:rPr>
          <w:sz w:val="28"/>
          <w:szCs w:val="28"/>
          <w:lang w:val="es-ES_tradnl"/>
        </w:rPr>
        <w:t xml:space="preserve">s de los esfuerzos en el plano </w:t>
      </w:r>
      <w:r>
        <w:rPr>
          <w:sz w:val="28"/>
          <w:szCs w:val="28"/>
          <w:lang w:val="es-ES_tradnl"/>
        </w:rPr>
        <w:t>multilateral, consideramos esencial alentar a que los pa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ses desarrollen legislaci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nacional que limite el accionar especulativo.</w:t>
      </w:r>
    </w:p>
    <w:p w:rsidR="000D5C22" w:rsidRDefault="000D5C22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</w:p>
    <w:p w:rsidR="000D5C22" w:rsidRDefault="003A0B57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Sr. Presidente,</w:t>
      </w:r>
    </w:p>
    <w:p w:rsidR="000D5C22" w:rsidRDefault="003A0B57">
      <w:pPr>
        <w:spacing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Para concluir, quisi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>ramos destacar la calidad del informe de investigaci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n, la multiplicidad de fuentes y b</w:t>
      </w:r>
      <w:r>
        <w:rPr>
          <w:sz w:val="28"/>
          <w:szCs w:val="28"/>
          <w:lang w:val="es-ES_tradnl"/>
        </w:rPr>
        <w:t>ibliograf</w:t>
      </w:r>
      <w:r>
        <w:rPr>
          <w:sz w:val="28"/>
          <w:szCs w:val="28"/>
          <w:lang w:val="es-ES_tradnl"/>
        </w:rPr>
        <w:t>í</w:t>
      </w:r>
      <w:r>
        <w:rPr>
          <w:sz w:val="28"/>
          <w:szCs w:val="28"/>
          <w:lang w:val="es-ES_tradnl"/>
        </w:rPr>
        <w:t>a utilizada, los datos cuantitativos, y la sistematizaci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>n de informaci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n sobre el accionar de los fondos buitre y su impacto en los derechos humanos. </w:t>
      </w:r>
    </w:p>
    <w:p w:rsidR="000D5C22" w:rsidRDefault="003A0B57">
      <w:pPr>
        <w:tabs>
          <w:tab w:val="left" w:pos="360"/>
        </w:tabs>
        <w:spacing w:after="120" w:line="360" w:lineRule="auto"/>
        <w:ind w:firstLine="28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Nuevamente agradecemos la labor y compromiso del Comit</w:t>
      </w:r>
      <w:r>
        <w:rPr>
          <w:sz w:val="28"/>
          <w:szCs w:val="28"/>
          <w:lang w:val="es-ES_tradnl"/>
        </w:rPr>
        <w:t>é</w:t>
      </w:r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Asesor y sus aportes para reducir las brechas legales existentes, brechas que </w:t>
      </w:r>
      <w:r>
        <w:rPr>
          <w:sz w:val="28"/>
          <w:szCs w:val="28"/>
          <w:shd w:val="clear" w:color="auto" w:fill="FFFFFF"/>
          <w:lang w:val="es-ES_tradnl"/>
        </w:rPr>
        <w:t>impactan en la capacidad de los Estados para garantizar los derechos humanos su poblaci</w:t>
      </w:r>
      <w:r>
        <w:rPr>
          <w:sz w:val="28"/>
          <w:szCs w:val="28"/>
          <w:shd w:val="clear" w:color="auto" w:fill="FFFFFF"/>
          <w:lang w:val="es-ES_tradnl"/>
        </w:rPr>
        <w:t>ó</w:t>
      </w:r>
      <w:r>
        <w:rPr>
          <w:sz w:val="28"/>
          <w:szCs w:val="28"/>
          <w:shd w:val="clear" w:color="auto" w:fill="FFFFFF"/>
          <w:lang w:val="es-ES_tradnl"/>
        </w:rPr>
        <w:t>n.</w:t>
      </w:r>
    </w:p>
    <w:p w:rsidR="000D5C22" w:rsidRDefault="003A0B57">
      <w:pPr>
        <w:tabs>
          <w:tab w:val="left" w:pos="360"/>
        </w:tabs>
        <w:spacing w:after="120" w:line="360" w:lineRule="auto"/>
        <w:ind w:firstLine="284"/>
        <w:jc w:val="both"/>
      </w:pPr>
      <w:r>
        <w:rPr>
          <w:sz w:val="28"/>
          <w:szCs w:val="28"/>
          <w:lang w:val="es-ES_tradnl"/>
        </w:rPr>
        <w:t>Muchas gracias</w:t>
      </w:r>
    </w:p>
    <w:sectPr w:rsidR="000D5C2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B57">
      <w:r>
        <w:separator/>
      </w:r>
    </w:p>
  </w:endnote>
  <w:endnote w:type="continuationSeparator" w:id="0">
    <w:p w:rsidR="00000000" w:rsidRDefault="003A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22" w:rsidRDefault="000D5C2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B57">
      <w:r>
        <w:separator/>
      </w:r>
    </w:p>
  </w:footnote>
  <w:footnote w:type="continuationSeparator" w:id="0">
    <w:p w:rsidR="00000000" w:rsidRDefault="003A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22" w:rsidRDefault="003A0B57">
    <w:pPr>
      <w:pStyle w:val="Encabezad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n-GB"/>
      </w:rPr>
      <w:drawing>
        <wp:inline distT="0" distB="0" distL="0" distR="0">
          <wp:extent cx="493777" cy="7612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7" cy="761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D5C22" w:rsidRDefault="000D5C2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C22"/>
    <w:rsid w:val="000D5C22"/>
    <w:rsid w:val="003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">
    <w:name w:val="Encabezado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57"/>
    <w:rPr>
      <w:rFonts w:ascii="Tahoma" w:hAnsi="Tahoma" w:cs="Tahoma"/>
      <w:color w:val="000000"/>
      <w:sz w:val="16"/>
      <w:szCs w:val="16"/>
      <w:u w:color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">
    <w:name w:val="Encabezado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57"/>
    <w:rPr>
      <w:rFonts w:ascii="Tahoma" w:hAnsi="Tahoma" w:cs="Tahoma"/>
      <w:color w:val="000000"/>
      <w:sz w:val="16"/>
      <w:szCs w:val="16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44447-CADE-4C0E-9E48-9D5ABA6A6C34}"/>
</file>

<file path=customXml/itemProps2.xml><?xml version="1.0" encoding="utf-8"?>
<ds:datastoreItem xmlns:ds="http://schemas.openxmlformats.org/officeDocument/2006/customXml" ds:itemID="{7E1CBB4A-B52C-477E-8613-8A20883E7BF1}"/>
</file>

<file path=customXml/itemProps3.xml><?xml version="1.0" encoding="utf-8"?>
<ds:datastoreItem xmlns:ds="http://schemas.openxmlformats.org/officeDocument/2006/customXml" ds:itemID="{A991D093-8AB9-4B59-90D3-3C74137B3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Marjolein Polder</dc:creator>
  <cp:lastModifiedBy>Marjolein Polder</cp:lastModifiedBy>
  <cp:revision>2</cp:revision>
  <dcterms:created xsi:type="dcterms:W3CDTF">2015-08-11T12:29:00Z</dcterms:created>
  <dcterms:modified xsi:type="dcterms:W3CDTF">2015-08-11T12:29:00Z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2986600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