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BA639A">
        <w:trPr>
          <w:trHeight w:val="851"/>
        </w:trPr>
        <w:tc>
          <w:tcPr>
            <w:tcW w:w="1259" w:type="dxa"/>
            <w:tcBorders>
              <w:top w:val="nil"/>
              <w:left w:val="nil"/>
              <w:bottom w:val="single" w:sz="4" w:space="0" w:color="auto"/>
              <w:right w:val="nil"/>
            </w:tcBorders>
          </w:tcPr>
          <w:p w:rsidR="006234BF" w:rsidRPr="006234BF" w:rsidRDefault="006234BF" w:rsidP="006234B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234BF" w:rsidRPr="006234BF" w:rsidRDefault="006234BF" w:rsidP="006234BF">
            <w:pPr>
              <w:spacing w:after="80" w:line="300" w:lineRule="exact"/>
              <w:rPr>
                <w:sz w:val="28"/>
                <w:szCs w:val="28"/>
              </w:rPr>
            </w:pPr>
          </w:p>
        </w:tc>
        <w:tc>
          <w:tcPr>
            <w:tcW w:w="6144" w:type="dxa"/>
            <w:gridSpan w:val="2"/>
            <w:tcBorders>
              <w:top w:val="nil"/>
              <w:left w:val="nil"/>
              <w:bottom w:val="single" w:sz="4" w:space="0" w:color="auto"/>
              <w:right w:val="nil"/>
            </w:tcBorders>
            <w:vAlign w:val="bottom"/>
            <w:hideMark/>
          </w:tcPr>
          <w:p w:rsidR="006234BF" w:rsidRPr="00C275F4" w:rsidRDefault="006234BF" w:rsidP="002D1139">
            <w:pPr>
              <w:jc w:val="right"/>
            </w:pPr>
            <w:r w:rsidRPr="00C275F4">
              <w:rPr>
                <w:sz w:val="40"/>
              </w:rPr>
              <w:t>A</w:t>
            </w:r>
            <w:r w:rsidR="00D970D6" w:rsidRPr="00C275F4">
              <w:t>/HRC/</w:t>
            </w:r>
            <w:r w:rsidR="00945E8A" w:rsidRPr="00C275F4">
              <w:t>AC</w:t>
            </w:r>
            <w:r w:rsidRPr="00C275F4">
              <w:t>/</w:t>
            </w:r>
            <w:r w:rsidR="00945E8A" w:rsidRPr="00C275F4">
              <w:t>1</w:t>
            </w:r>
            <w:r w:rsidR="002D1139">
              <w:t>8</w:t>
            </w:r>
            <w:r w:rsidR="00945E8A" w:rsidRPr="00C275F4">
              <w:t>/</w:t>
            </w:r>
            <w:r w:rsidRPr="00C275F4">
              <w:t>CRP.</w:t>
            </w:r>
            <w:r w:rsidR="002A73AF">
              <w:t>4</w:t>
            </w:r>
          </w:p>
        </w:tc>
      </w:tr>
      <w:tr w:rsidR="006234BF" w:rsidRPr="006234BF">
        <w:trPr>
          <w:trHeight w:val="2835"/>
        </w:trPr>
        <w:tc>
          <w:tcPr>
            <w:tcW w:w="1259" w:type="dxa"/>
            <w:tcBorders>
              <w:top w:val="single" w:sz="4" w:space="0" w:color="auto"/>
              <w:left w:val="nil"/>
              <w:bottom w:val="single" w:sz="12" w:space="0" w:color="auto"/>
              <w:right w:val="nil"/>
            </w:tcBorders>
          </w:tcPr>
          <w:p w:rsidR="006234BF" w:rsidRPr="006234BF" w:rsidRDefault="006234BF" w:rsidP="006234BF">
            <w:pPr>
              <w:spacing w:before="120"/>
              <w:jc w:val="center"/>
            </w:pPr>
          </w:p>
        </w:tc>
        <w:tc>
          <w:tcPr>
            <w:tcW w:w="5450" w:type="dxa"/>
            <w:gridSpan w:val="2"/>
            <w:tcBorders>
              <w:top w:val="single" w:sz="4" w:space="0" w:color="auto"/>
              <w:left w:val="nil"/>
              <w:bottom w:val="single" w:sz="12" w:space="0" w:color="auto"/>
              <w:right w:val="nil"/>
            </w:tcBorders>
          </w:tcPr>
          <w:p w:rsidR="006234BF" w:rsidRPr="006234BF" w:rsidRDefault="006234BF" w:rsidP="006234BF">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6234BF" w:rsidRPr="00C275F4" w:rsidRDefault="006234BF" w:rsidP="006234BF">
            <w:pPr>
              <w:spacing w:before="240" w:line="240" w:lineRule="exact"/>
            </w:pPr>
            <w:r w:rsidRPr="00C275F4">
              <w:t>Distr.: Restricted</w:t>
            </w:r>
          </w:p>
          <w:p w:rsidR="006234BF" w:rsidRPr="00C275F4" w:rsidRDefault="002D1139" w:rsidP="006234BF">
            <w:pPr>
              <w:spacing w:line="240" w:lineRule="exact"/>
            </w:pPr>
            <w:r>
              <w:t>13</w:t>
            </w:r>
            <w:r w:rsidR="00BA639A" w:rsidRPr="00C275F4">
              <w:t xml:space="preserve"> </w:t>
            </w:r>
            <w:r>
              <w:t>February</w:t>
            </w:r>
            <w:r w:rsidR="00BA639A" w:rsidRPr="00C275F4">
              <w:t xml:space="preserve"> </w:t>
            </w:r>
            <w:r w:rsidR="006234BF" w:rsidRPr="00C275F4">
              <w:t>201</w:t>
            </w:r>
            <w:r>
              <w:t>7</w:t>
            </w:r>
          </w:p>
          <w:p w:rsidR="006234BF" w:rsidRPr="00C275F4" w:rsidRDefault="006234BF" w:rsidP="006234BF">
            <w:pPr>
              <w:spacing w:line="240" w:lineRule="exact"/>
            </w:pPr>
          </w:p>
          <w:p w:rsidR="006234BF" w:rsidRPr="00C275F4" w:rsidRDefault="006234BF" w:rsidP="006234BF">
            <w:pPr>
              <w:spacing w:line="240" w:lineRule="exact"/>
            </w:pPr>
            <w:r w:rsidRPr="00C275F4">
              <w:t>English only</w:t>
            </w:r>
          </w:p>
        </w:tc>
      </w:tr>
    </w:tbl>
    <w:p w:rsidR="00E42674" w:rsidRPr="000878BB" w:rsidRDefault="006234BF" w:rsidP="00F41C00">
      <w:pPr>
        <w:outlineLvl w:val="0"/>
        <w:rPr>
          <w:rFonts w:eastAsia="Batang"/>
          <w:b/>
          <w:lang w:eastAsia="ko-KR"/>
        </w:rPr>
      </w:pPr>
      <w:r w:rsidRPr="006234BF">
        <w:rPr>
          <w:b/>
          <w:sz w:val="24"/>
          <w:szCs w:val="24"/>
        </w:rPr>
        <w:t>Human Rights Council</w:t>
      </w:r>
      <w:r w:rsidR="001D3C57">
        <w:rPr>
          <w:b/>
          <w:sz w:val="24"/>
          <w:szCs w:val="24"/>
        </w:rPr>
        <w:br/>
      </w:r>
      <w:r w:rsidR="001D3C57" w:rsidRPr="001D3C57">
        <w:rPr>
          <w:b/>
        </w:rPr>
        <w:t>Advisory Committee</w:t>
      </w:r>
      <w:r w:rsidR="001D3C57" w:rsidRPr="001D3C57">
        <w:rPr>
          <w:b/>
        </w:rPr>
        <w:br/>
      </w:r>
      <w:r w:rsidR="002D1139">
        <w:rPr>
          <w:b/>
        </w:rPr>
        <w:t>Eight</w:t>
      </w:r>
      <w:r w:rsidR="001D3C57" w:rsidRPr="001D3C57">
        <w:rPr>
          <w:b/>
        </w:rPr>
        <w:t>eenth session</w:t>
      </w:r>
      <w:r w:rsidR="001D3C57">
        <w:rPr>
          <w:b/>
          <w:sz w:val="24"/>
          <w:szCs w:val="24"/>
        </w:rPr>
        <w:br/>
      </w:r>
      <w:r w:rsidR="002D1139">
        <w:t>20</w:t>
      </w:r>
      <w:r w:rsidR="001D3C57" w:rsidRPr="00945E8A">
        <w:t xml:space="preserve"> – </w:t>
      </w:r>
      <w:r w:rsidR="002D1139">
        <w:t>24</w:t>
      </w:r>
      <w:r w:rsidR="001D3C57" w:rsidRPr="00945E8A">
        <w:t xml:space="preserve"> </w:t>
      </w:r>
      <w:r w:rsidR="002D1139">
        <w:t>February</w:t>
      </w:r>
      <w:r w:rsidR="001D3C57" w:rsidRPr="00945E8A">
        <w:t xml:space="preserve"> 201</w:t>
      </w:r>
      <w:r w:rsidR="002D1139">
        <w:t>7</w:t>
      </w:r>
      <w:r w:rsidR="00945E8A">
        <w:br/>
        <w:t xml:space="preserve">Item </w:t>
      </w:r>
      <w:r w:rsidR="00C67AB7">
        <w:t>3</w:t>
      </w:r>
      <w:r w:rsidR="00945E8A">
        <w:t xml:space="preserve"> </w:t>
      </w:r>
      <w:r w:rsidR="0022180B">
        <w:t>(a) (</w:t>
      </w:r>
      <w:r w:rsidR="00C67AB7">
        <w:t>v</w:t>
      </w:r>
      <w:r w:rsidR="00E42674">
        <w:t>ii</w:t>
      </w:r>
      <w:r w:rsidR="00C67AB7">
        <w:t>)</w:t>
      </w:r>
      <w:r w:rsidR="0022180B">
        <w:t xml:space="preserve"> </w:t>
      </w:r>
      <w:r w:rsidR="00945E8A" w:rsidRPr="00945E8A">
        <w:t>of the provisional agenda</w:t>
      </w:r>
      <w:r w:rsidR="00945E8A">
        <w:rPr>
          <w:b/>
        </w:rPr>
        <w:br/>
        <w:t>Requests addressed to the Advisory Committee stemming from Human Rights resolution</w:t>
      </w:r>
      <w:r w:rsidR="0022180B">
        <w:rPr>
          <w:b/>
        </w:rPr>
        <w:t>s</w:t>
      </w:r>
      <w:r w:rsidR="00945E8A">
        <w:rPr>
          <w:b/>
        </w:rPr>
        <w:t>:</w:t>
      </w:r>
      <w:r w:rsidR="00945E8A">
        <w:rPr>
          <w:b/>
        </w:rPr>
        <w:br/>
      </w:r>
      <w:r w:rsidR="00E42674" w:rsidRPr="000878BB">
        <w:rPr>
          <w:rFonts w:eastAsia="Batang"/>
          <w:b/>
          <w:lang w:eastAsia="ko-KR"/>
        </w:rPr>
        <w:t xml:space="preserve">Regional and </w:t>
      </w:r>
      <w:proofErr w:type="spellStart"/>
      <w:r w:rsidR="00E42674" w:rsidRPr="000878BB">
        <w:rPr>
          <w:rFonts w:eastAsia="Batang"/>
          <w:b/>
          <w:lang w:eastAsia="ko-KR"/>
        </w:rPr>
        <w:t>subregional</w:t>
      </w:r>
      <w:proofErr w:type="spellEnd"/>
      <w:r w:rsidR="00E42674" w:rsidRPr="000878BB">
        <w:rPr>
          <w:rFonts w:eastAsia="Batang"/>
          <w:b/>
          <w:lang w:eastAsia="ko-KR"/>
        </w:rPr>
        <w:t xml:space="preserve"> arrangements for the promotion and protection of human rights</w:t>
      </w:r>
    </w:p>
    <w:p w:rsidR="00BA639A" w:rsidRDefault="00BA639A" w:rsidP="00BA639A">
      <w:pPr>
        <w:pStyle w:val="HChG"/>
        <w:rPr>
          <w:lang w:val="en-GB"/>
        </w:rPr>
      </w:pPr>
      <w:r>
        <w:tab/>
      </w:r>
      <w:r w:rsidRPr="001F4040">
        <w:rPr>
          <w:lang w:val="en-GB"/>
        </w:rPr>
        <w:tab/>
      </w:r>
      <w:r w:rsidR="00E42674" w:rsidRPr="00E42674">
        <w:rPr>
          <w:lang w:val="en-GB"/>
        </w:rPr>
        <w:t>Draft preliminary report on regional arrangements for the promotion and protection of human rights</w:t>
      </w:r>
    </w:p>
    <w:p w:rsidR="00C21602" w:rsidRPr="000878BB" w:rsidRDefault="00C21602" w:rsidP="00C21602">
      <w:pPr>
        <w:pStyle w:val="SingleTxtG"/>
      </w:pPr>
      <w:r w:rsidRPr="003C33CA">
        <w:t>(</w:t>
      </w:r>
      <w:proofErr w:type="gramStart"/>
      <w:r w:rsidRPr="003C33CA">
        <w:t>draft</w:t>
      </w:r>
      <w:proofErr w:type="gramEnd"/>
      <w:r w:rsidRPr="003C33CA">
        <w:t xml:space="preserve"> report, </w:t>
      </w:r>
      <w:proofErr w:type="spellStart"/>
      <w:r w:rsidRPr="003C33CA">
        <w:rPr>
          <w:lang w:eastAsia="ko-KR"/>
        </w:rPr>
        <w:t>feb.</w:t>
      </w:r>
      <w:proofErr w:type="spellEnd"/>
      <w:r w:rsidRPr="003C33CA">
        <w:rPr>
          <w:lang w:eastAsia="ko-KR"/>
        </w:rPr>
        <w:t xml:space="preserve"> 7</w:t>
      </w:r>
      <w:r w:rsidRPr="003C33CA">
        <w:t>, 2017)</w:t>
      </w:r>
      <w:r w:rsidRPr="00C21602">
        <w:rPr>
          <w:lang w:val="en-GB"/>
        </w:rPr>
        <w:t xml:space="preserve"> </w:t>
      </w:r>
      <w:r>
        <w:t xml:space="preserve">prepared by </w:t>
      </w:r>
      <w:r w:rsidRPr="00C21602">
        <w:rPr>
          <w:lang w:val="en-GB"/>
        </w:rPr>
        <w:t>C</w:t>
      </w:r>
      <w:proofErr w:type="spellStart"/>
      <w:r>
        <w:t>hangrok</w:t>
      </w:r>
      <w:proofErr w:type="spellEnd"/>
      <w:r>
        <w:t xml:space="preserve"> </w:t>
      </w:r>
      <w:r w:rsidRPr="00C21602">
        <w:rPr>
          <w:lang w:val="en-GB"/>
        </w:rPr>
        <w:t>S</w:t>
      </w:r>
      <w:r w:rsidRPr="000878BB">
        <w:t>oh, rapporteur of the drafting group</w:t>
      </w:r>
    </w:p>
    <w:p w:rsidR="00C21602" w:rsidRPr="00C21602" w:rsidRDefault="00C21602" w:rsidP="00C21602">
      <w:pPr>
        <w:pStyle w:val="SingleTxtG"/>
      </w:pPr>
    </w:p>
    <w:p w:rsidR="00EE3BAF" w:rsidRPr="00E42674" w:rsidRDefault="006234BF" w:rsidP="006234BF">
      <w:pPr>
        <w:spacing w:after="120"/>
        <w:rPr>
          <w:sz w:val="28"/>
        </w:rPr>
      </w:pPr>
      <w:r w:rsidRPr="006234BF">
        <w:br w:type="page"/>
      </w:r>
      <w:r w:rsidR="00EE3BAF" w:rsidRPr="00E42674">
        <w:rPr>
          <w:sz w:val="28"/>
        </w:rPr>
        <w:lastRenderedPageBreak/>
        <w:t>Contents</w:t>
      </w:r>
    </w:p>
    <w:p w:rsidR="00EE3BAF" w:rsidRPr="00E42674" w:rsidRDefault="00EE3BAF" w:rsidP="00A96746">
      <w:pPr>
        <w:tabs>
          <w:tab w:val="right" w:pos="8929"/>
          <w:tab w:val="right" w:pos="9638"/>
        </w:tabs>
        <w:spacing w:after="120"/>
      </w:pPr>
      <w:r w:rsidRPr="00E42674">
        <w:rPr>
          <w:i/>
          <w:sz w:val="18"/>
        </w:rPr>
        <w:tab/>
      </w:r>
      <w:r w:rsidRPr="00E42674">
        <w:rPr>
          <w:i/>
          <w:sz w:val="18"/>
        </w:rPr>
        <w:tab/>
        <w:t>Page</w:t>
      </w:r>
    </w:p>
    <w:p w:rsidR="00277D0E" w:rsidRPr="00E42674" w:rsidRDefault="00277D0E" w:rsidP="00277D0E">
      <w:pPr>
        <w:tabs>
          <w:tab w:val="right" w:pos="850"/>
          <w:tab w:val="left" w:pos="1134"/>
          <w:tab w:val="left" w:pos="1559"/>
          <w:tab w:val="left" w:pos="1984"/>
          <w:tab w:val="left" w:leader="dot" w:pos="8929"/>
          <w:tab w:val="right" w:pos="9638"/>
        </w:tabs>
        <w:spacing w:after="120"/>
      </w:pPr>
      <w:r w:rsidRPr="00E42674">
        <w:tab/>
        <w:t>I.</w:t>
      </w:r>
      <w:r w:rsidRPr="00E42674">
        <w:tab/>
      </w:r>
      <w:r w:rsidR="00E42674" w:rsidRPr="00E42674">
        <w:t>Introduction</w:t>
      </w:r>
      <w:r w:rsidRPr="00E42674">
        <w:tab/>
      </w:r>
      <w:r w:rsidRPr="00E42674">
        <w:tab/>
      </w:r>
      <w:r w:rsidR="001F4040" w:rsidRPr="00E42674">
        <w:t>3</w:t>
      </w:r>
    </w:p>
    <w:p w:rsidR="00277D0E" w:rsidRPr="00E42674" w:rsidRDefault="00277D0E" w:rsidP="00277D0E">
      <w:pPr>
        <w:tabs>
          <w:tab w:val="right" w:pos="850"/>
          <w:tab w:val="left" w:pos="1134"/>
          <w:tab w:val="left" w:pos="1559"/>
          <w:tab w:val="left" w:pos="1984"/>
          <w:tab w:val="left" w:leader="dot" w:pos="8929"/>
          <w:tab w:val="right" w:pos="9638"/>
        </w:tabs>
        <w:spacing w:after="120"/>
      </w:pPr>
      <w:r w:rsidRPr="00E42674">
        <w:tab/>
        <w:t>II.</w:t>
      </w:r>
      <w:r w:rsidRPr="00E42674">
        <w:tab/>
      </w:r>
      <w:r w:rsidR="00E42674" w:rsidRPr="00E42674">
        <w:t xml:space="preserve">Establishment of regional and </w:t>
      </w:r>
      <w:proofErr w:type="spellStart"/>
      <w:r w:rsidR="00E42674" w:rsidRPr="00E42674">
        <w:t>subregional</w:t>
      </w:r>
      <w:proofErr w:type="spellEnd"/>
      <w:r w:rsidR="00E42674" w:rsidRPr="00E42674">
        <w:t xml:space="preserve"> human rights arrangements</w:t>
      </w:r>
      <w:r w:rsidRPr="00E42674">
        <w:tab/>
      </w:r>
      <w:r w:rsidRPr="00E42674">
        <w:tab/>
      </w:r>
      <w:r w:rsidR="00C909B3">
        <w:t>3</w:t>
      </w:r>
    </w:p>
    <w:p w:rsidR="00277D0E" w:rsidRPr="00E42674" w:rsidRDefault="00277D0E" w:rsidP="00277D0E">
      <w:pPr>
        <w:tabs>
          <w:tab w:val="right" w:pos="850"/>
          <w:tab w:val="left" w:pos="1134"/>
          <w:tab w:val="left" w:pos="1559"/>
          <w:tab w:val="left" w:pos="1984"/>
          <w:tab w:val="left" w:leader="dot" w:pos="8929"/>
          <w:tab w:val="right" w:pos="9638"/>
        </w:tabs>
        <w:spacing w:after="120"/>
      </w:pPr>
      <w:r w:rsidRPr="00E42674">
        <w:tab/>
        <w:t>III.</w:t>
      </w:r>
      <w:r w:rsidRPr="00E42674">
        <w:tab/>
      </w:r>
      <w:r w:rsidR="00E42674" w:rsidRPr="00E42674">
        <w:t xml:space="preserve">Achievements of regional and </w:t>
      </w:r>
      <w:proofErr w:type="spellStart"/>
      <w:r w:rsidR="00E42674" w:rsidRPr="00E42674">
        <w:t>subregional</w:t>
      </w:r>
      <w:proofErr w:type="spellEnd"/>
      <w:r w:rsidR="00E42674" w:rsidRPr="00E42674">
        <w:t xml:space="preserve"> human rights arrangements</w:t>
      </w:r>
      <w:r w:rsidRPr="00E42674">
        <w:tab/>
      </w:r>
      <w:r w:rsidRPr="00E42674">
        <w:tab/>
      </w:r>
      <w:r w:rsidR="00C909B3">
        <w:t>5</w:t>
      </w:r>
    </w:p>
    <w:p w:rsidR="00277D0E" w:rsidRDefault="00277D0E" w:rsidP="00277D0E">
      <w:pPr>
        <w:tabs>
          <w:tab w:val="right" w:pos="850"/>
          <w:tab w:val="left" w:pos="1134"/>
          <w:tab w:val="left" w:pos="1559"/>
          <w:tab w:val="left" w:pos="1984"/>
          <w:tab w:val="left" w:leader="dot" w:pos="8929"/>
          <w:tab w:val="right" w:pos="9638"/>
        </w:tabs>
        <w:spacing w:after="120"/>
      </w:pPr>
      <w:r w:rsidRPr="00E42674">
        <w:tab/>
      </w:r>
      <w:r w:rsidR="00D35A66" w:rsidRPr="00E42674">
        <w:t>I</w:t>
      </w:r>
      <w:r w:rsidRPr="00E42674">
        <w:t>V.</w:t>
      </w:r>
      <w:r w:rsidRPr="00E42674">
        <w:tab/>
      </w:r>
      <w:r w:rsidR="00E42674" w:rsidRPr="00E42674">
        <w:t xml:space="preserve">Challenges faced by regional and </w:t>
      </w:r>
      <w:proofErr w:type="spellStart"/>
      <w:r w:rsidR="00E42674" w:rsidRPr="00E42674">
        <w:t>subregional</w:t>
      </w:r>
      <w:proofErr w:type="spellEnd"/>
      <w:r w:rsidR="00E42674" w:rsidRPr="00E42674">
        <w:t xml:space="preserve"> human rights arrangements</w:t>
      </w:r>
      <w:r w:rsidRPr="00E42674">
        <w:tab/>
      </w:r>
      <w:r w:rsidRPr="00E42674">
        <w:tab/>
      </w:r>
      <w:r w:rsidR="00C21602">
        <w:t>8</w:t>
      </w:r>
    </w:p>
    <w:p w:rsidR="00E42674" w:rsidRDefault="00E42674" w:rsidP="00277D0E">
      <w:pPr>
        <w:tabs>
          <w:tab w:val="right" w:pos="850"/>
          <w:tab w:val="left" w:pos="1134"/>
          <w:tab w:val="left" w:pos="1559"/>
          <w:tab w:val="left" w:pos="1984"/>
          <w:tab w:val="left" w:leader="dot" w:pos="8929"/>
          <w:tab w:val="right" w:pos="9638"/>
        </w:tabs>
        <w:spacing w:after="120"/>
      </w:pPr>
      <w:r>
        <w:tab/>
        <w:t>V.</w:t>
      </w:r>
      <w:r>
        <w:tab/>
      </w:r>
      <w:r w:rsidRPr="00E42674">
        <w:t xml:space="preserve">Role of OHCHR in the advancement of regional and </w:t>
      </w:r>
      <w:proofErr w:type="spellStart"/>
      <w:r w:rsidRPr="00E42674">
        <w:t>subregional</w:t>
      </w:r>
      <w:proofErr w:type="spellEnd"/>
      <w:r w:rsidRPr="00E42674">
        <w:t xml:space="preserve"> human rights arrangements</w:t>
      </w:r>
      <w:r>
        <w:tab/>
      </w:r>
      <w:r>
        <w:tab/>
      </w:r>
      <w:r w:rsidR="00C21602">
        <w:t>11</w:t>
      </w:r>
    </w:p>
    <w:p w:rsidR="00E42674" w:rsidRDefault="00E42674" w:rsidP="00277D0E">
      <w:pPr>
        <w:tabs>
          <w:tab w:val="right" w:pos="850"/>
          <w:tab w:val="left" w:pos="1134"/>
          <w:tab w:val="left" w:pos="1559"/>
          <w:tab w:val="left" w:pos="1984"/>
          <w:tab w:val="left" w:leader="dot" w:pos="8929"/>
          <w:tab w:val="right" w:pos="9638"/>
        </w:tabs>
        <w:spacing w:after="120"/>
      </w:pPr>
      <w:r>
        <w:tab/>
      </w:r>
      <w:r w:rsidRPr="00E42674">
        <w:t>VI.</w:t>
      </w:r>
      <w:r w:rsidRPr="00E42674">
        <w:tab/>
        <w:t xml:space="preserve">Other actors’ contribution to regional and </w:t>
      </w:r>
      <w:proofErr w:type="spellStart"/>
      <w:r w:rsidRPr="00E42674">
        <w:t>subregional</w:t>
      </w:r>
      <w:proofErr w:type="spellEnd"/>
      <w:r w:rsidRPr="00E42674">
        <w:t xml:space="preserve"> human rights arrangements</w:t>
      </w:r>
      <w:r w:rsidR="003C33CA">
        <w:tab/>
      </w:r>
      <w:r w:rsidR="003C33CA">
        <w:tab/>
      </w:r>
      <w:r w:rsidR="00C21602">
        <w:t>14</w:t>
      </w:r>
    </w:p>
    <w:p w:rsidR="003C33CA" w:rsidRDefault="003C33CA" w:rsidP="00277D0E">
      <w:pPr>
        <w:tabs>
          <w:tab w:val="right" w:pos="850"/>
          <w:tab w:val="left" w:pos="1134"/>
          <w:tab w:val="left" w:pos="1559"/>
          <w:tab w:val="left" w:pos="1984"/>
          <w:tab w:val="left" w:leader="dot" w:pos="8929"/>
          <w:tab w:val="right" w:pos="9638"/>
        </w:tabs>
        <w:spacing w:after="120"/>
      </w:pPr>
      <w:r>
        <w:tab/>
      </w:r>
      <w:r w:rsidRPr="003C33CA">
        <w:t>VII.</w:t>
      </w:r>
      <w:r w:rsidRPr="003C33CA">
        <w:tab/>
        <w:t xml:space="preserve">Implications for the protection of human rights through regional and </w:t>
      </w:r>
      <w:proofErr w:type="spellStart"/>
      <w:r w:rsidRPr="003C33CA">
        <w:t>subregional</w:t>
      </w:r>
      <w:proofErr w:type="spellEnd"/>
      <w:r w:rsidRPr="003C33CA">
        <w:t xml:space="preserve"> human rights</w:t>
      </w:r>
      <w:r>
        <w:t xml:space="preserve"> </w:t>
      </w:r>
      <w:r>
        <w:tab/>
      </w:r>
      <w:r>
        <w:tab/>
      </w:r>
      <w:r w:rsidR="00C21602">
        <w:t>17</w:t>
      </w:r>
      <w:r>
        <w:tab/>
      </w:r>
      <w:r>
        <w:tab/>
      </w:r>
      <w:r w:rsidRPr="003C33CA">
        <w:t>arrangements</w:t>
      </w:r>
      <w:r>
        <w:tab/>
      </w:r>
    </w:p>
    <w:p w:rsidR="00C21602" w:rsidRDefault="00C21602" w:rsidP="00277D0E">
      <w:pPr>
        <w:tabs>
          <w:tab w:val="right" w:pos="850"/>
          <w:tab w:val="left" w:pos="1134"/>
          <w:tab w:val="left" w:pos="1559"/>
          <w:tab w:val="left" w:pos="1984"/>
          <w:tab w:val="left" w:leader="dot" w:pos="8929"/>
          <w:tab w:val="right" w:pos="9638"/>
        </w:tabs>
        <w:spacing w:after="120"/>
      </w:pPr>
      <w:r>
        <w:tab/>
        <w:t>VIII.</w:t>
      </w:r>
      <w:r>
        <w:tab/>
        <w:t>Conclusions and recommendations</w:t>
      </w:r>
      <w:r>
        <w:tab/>
      </w:r>
      <w:r>
        <w:tab/>
        <w:t>21</w:t>
      </w:r>
    </w:p>
    <w:p w:rsidR="00E42674" w:rsidRPr="000878BB" w:rsidRDefault="00E42674" w:rsidP="00C21602">
      <w:pPr>
        <w:pStyle w:val="HChG"/>
        <w:rPr>
          <w:rFonts w:eastAsia="Batang"/>
          <w:lang w:eastAsia="ko-KR"/>
        </w:rPr>
      </w:pPr>
      <w:r w:rsidRPr="000878BB">
        <w:rPr>
          <w:rFonts w:eastAsia="Batang"/>
          <w:lang w:eastAsia="ko-KR"/>
        </w:rPr>
        <w:br w:type="page"/>
      </w:r>
    </w:p>
    <w:p w:rsidR="00E42674" w:rsidRPr="000878BB" w:rsidRDefault="003C33CA" w:rsidP="003C33CA">
      <w:pPr>
        <w:pStyle w:val="HChG"/>
        <w:rPr>
          <w:lang w:eastAsia="ko-KR"/>
        </w:rPr>
      </w:pPr>
      <w:r>
        <w:rPr>
          <w:lang w:val="en-GB" w:eastAsia="ko-KR"/>
        </w:rPr>
        <w:lastRenderedPageBreak/>
        <w:tab/>
        <w:t>I.</w:t>
      </w:r>
      <w:r>
        <w:rPr>
          <w:lang w:val="en-GB" w:eastAsia="ko-KR"/>
        </w:rPr>
        <w:tab/>
      </w:r>
      <w:r w:rsidR="00E42674" w:rsidRPr="000878BB">
        <w:rPr>
          <w:lang w:eastAsia="ko-KR"/>
        </w:rPr>
        <w:t>Introduction</w:t>
      </w:r>
    </w:p>
    <w:p w:rsidR="00E42674" w:rsidRPr="003C33CA" w:rsidRDefault="003C33CA" w:rsidP="003C33CA">
      <w:pPr>
        <w:pStyle w:val="SingleTxtG"/>
      </w:pPr>
      <w:r w:rsidRPr="003C33CA">
        <w:rPr>
          <w:rFonts w:eastAsiaTheme="minorEastAsia"/>
          <w:lang w:val="en-AU"/>
        </w:rPr>
        <w:t>1.</w:t>
      </w:r>
      <w:r w:rsidRPr="003C33CA">
        <w:rPr>
          <w:rFonts w:eastAsiaTheme="minorEastAsia"/>
          <w:lang w:val="en-AU"/>
        </w:rPr>
        <w:tab/>
      </w:r>
      <w:r w:rsidR="00E42674" w:rsidRPr="003C33CA">
        <w:t xml:space="preserve">Pursuant to the adoption by the Human Rights Council of </w:t>
      </w:r>
      <w:r w:rsidR="00E42674" w:rsidRPr="003C33CA">
        <w:rPr>
          <w:lang w:eastAsia="ko-KR"/>
        </w:rPr>
        <w:t xml:space="preserve">its </w:t>
      </w:r>
      <w:r w:rsidR="00E42674" w:rsidRPr="003C33CA">
        <w:t xml:space="preserve">resolution A/HRC/32/L.4, the Advisory Committee is mandated to prepare a report on regional arrangements for the promotion and protection of human rights, in particular on the progress made in the establishment of regional and </w:t>
      </w:r>
      <w:proofErr w:type="spellStart"/>
      <w:r w:rsidR="00E42674" w:rsidRPr="003C33CA">
        <w:t>subregional</w:t>
      </w:r>
      <w:proofErr w:type="spellEnd"/>
      <w:r w:rsidR="00E42674" w:rsidRPr="003C33CA">
        <w:t xml:space="preserve"> arrangements for the promotion and protection of human rights, their achievements in all regions of the world, the role that has been played and can be played in the future by the Office of the United Nations High Commissioner for Human Rights in advancing cooperation between international and regional human rights mechanisms, and to identify ways to increase the role that regional and </w:t>
      </w:r>
      <w:proofErr w:type="spellStart"/>
      <w:r w:rsidR="00E42674" w:rsidRPr="003C33CA">
        <w:t>subregional</w:t>
      </w:r>
      <w:proofErr w:type="spellEnd"/>
      <w:r w:rsidR="00E42674" w:rsidRPr="003C33CA">
        <w:t xml:space="preserve"> arrangements play in promoting and protecting human rights and to reinforce universal human rights standards including those contained in international human rights instruments, and to submit the report to the Human Rights Council at its thirty-ninth session (September 2018).</w:t>
      </w:r>
    </w:p>
    <w:p w:rsidR="00E42674" w:rsidRPr="003C33CA" w:rsidRDefault="003C33CA" w:rsidP="003C33CA">
      <w:pPr>
        <w:pStyle w:val="SingleTxtG"/>
        <w:rPr>
          <w:lang w:eastAsia="ko-KR"/>
        </w:rPr>
      </w:pPr>
      <w:r w:rsidRPr="003C33CA">
        <w:rPr>
          <w:rFonts w:eastAsiaTheme="minorEastAsia"/>
          <w:lang w:val="en-AU" w:eastAsia="ko-KR"/>
        </w:rPr>
        <w:t>2.</w:t>
      </w:r>
      <w:r w:rsidRPr="003C33CA">
        <w:rPr>
          <w:rFonts w:eastAsiaTheme="minorEastAsia"/>
          <w:lang w:val="en-AU" w:eastAsia="ko-KR"/>
        </w:rPr>
        <w:tab/>
      </w:r>
      <w:r w:rsidR="00E42674" w:rsidRPr="003C33CA">
        <w:t xml:space="preserve">At its seventeenth session in August 2016, the Committee heard presentations from experts and held discussions on regional arrangements for the promotion and protection of human rights, and established a drafting group for the preparation of a progress report. The group currently comprises Mr. </w:t>
      </w:r>
      <w:proofErr w:type="spellStart"/>
      <w:r w:rsidR="00E42674" w:rsidRPr="003C33CA">
        <w:rPr>
          <w:lang w:eastAsia="ko-KR"/>
        </w:rPr>
        <w:t>Bennani</w:t>
      </w:r>
      <w:proofErr w:type="spellEnd"/>
      <w:r w:rsidR="00E42674" w:rsidRPr="003C33CA">
        <w:rPr>
          <w:lang w:eastAsia="ko-KR"/>
        </w:rPr>
        <w:t xml:space="preserve">, Ms. </w:t>
      </w:r>
      <w:proofErr w:type="spellStart"/>
      <w:r w:rsidR="00E42674" w:rsidRPr="003C33CA">
        <w:rPr>
          <w:lang w:eastAsia="ko-KR"/>
        </w:rPr>
        <w:t>Boisson</w:t>
      </w:r>
      <w:proofErr w:type="spellEnd"/>
      <w:r w:rsidR="00E42674" w:rsidRPr="003C33CA">
        <w:rPr>
          <w:lang w:eastAsia="ko-KR"/>
        </w:rPr>
        <w:t xml:space="preserve"> de </w:t>
      </w:r>
      <w:proofErr w:type="spellStart"/>
      <w:r w:rsidR="00E42674" w:rsidRPr="003C33CA">
        <w:rPr>
          <w:lang w:eastAsia="ko-KR"/>
        </w:rPr>
        <w:t>Chazournes</w:t>
      </w:r>
      <w:proofErr w:type="spellEnd"/>
      <w:r w:rsidR="00E42674" w:rsidRPr="003C33CA">
        <w:rPr>
          <w:lang w:eastAsia="ko-KR"/>
        </w:rPr>
        <w:t xml:space="preserve">, Mr. </w:t>
      </w:r>
      <w:proofErr w:type="spellStart"/>
      <w:r w:rsidR="00E42674" w:rsidRPr="003C33CA">
        <w:rPr>
          <w:lang w:eastAsia="ko-KR"/>
        </w:rPr>
        <w:t>Coriolano</w:t>
      </w:r>
      <w:proofErr w:type="spellEnd"/>
      <w:r w:rsidR="00E42674" w:rsidRPr="003C33CA">
        <w:rPr>
          <w:lang w:eastAsia="ko-KR"/>
        </w:rPr>
        <w:t xml:space="preserve">, Ms. </w:t>
      </w:r>
      <w:proofErr w:type="spellStart"/>
      <w:r w:rsidR="00E42674" w:rsidRPr="003C33CA">
        <w:rPr>
          <w:lang w:eastAsia="ko-KR"/>
        </w:rPr>
        <w:t>Hanania</w:t>
      </w:r>
      <w:proofErr w:type="spellEnd"/>
      <w:r w:rsidR="00E42674" w:rsidRPr="003C33CA">
        <w:rPr>
          <w:lang w:eastAsia="ko-KR"/>
        </w:rPr>
        <w:t xml:space="preserve"> de Valera, Mr. </w:t>
      </w:r>
      <w:proofErr w:type="spellStart"/>
      <w:r w:rsidR="00E42674" w:rsidRPr="003C33CA">
        <w:rPr>
          <w:lang w:eastAsia="ko-KR"/>
        </w:rPr>
        <w:t>Lebedev</w:t>
      </w:r>
      <w:proofErr w:type="spellEnd"/>
      <w:r w:rsidR="00E42674" w:rsidRPr="003C33CA">
        <w:rPr>
          <w:lang w:eastAsia="ko-KR"/>
        </w:rPr>
        <w:t xml:space="preserve">, Mr. Obata, Ms. </w:t>
      </w:r>
      <w:proofErr w:type="spellStart"/>
      <w:r w:rsidR="00E42674" w:rsidRPr="003C33CA">
        <w:rPr>
          <w:lang w:eastAsia="ko-KR"/>
        </w:rPr>
        <w:t>Pabel</w:t>
      </w:r>
      <w:proofErr w:type="spellEnd"/>
      <w:r w:rsidR="00E42674" w:rsidRPr="003C33CA">
        <w:rPr>
          <w:lang w:eastAsia="ko-KR"/>
        </w:rPr>
        <w:t xml:space="preserve"> (Chairperson), Ms. Reyes Prado, Mr. </w:t>
      </w:r>
      <w:proofErr w:type="spellStart"/>
      <w:r w:rsidR="00E42674" w:rsidRPr="003C33CA">
        <w:rPr>
          <w:lang w:eastAsia="ko-KR"/>
        </w:rPr>
        <w:t>Soh</w:t>
      </w:r>
      <w:proofErr w:type="spellEnd"/>
      <w:r w:rsidR="00E42674" w:rsidRPr="003C33CA">
        <w:rPr>
          <w:lang w:eastAsia="ko-KR"/>
        </w:rPr>
        <w:t xml:space="preserve"> (Rapporteur), and Mr. </w:t>
      </w:r>
      <w:proofErr w:type="spellStart"/>
      <w:r w:rsidR="00E42674" w:rsidRPr="003C33CA">
        <w:rPr>
          <w:lang w:eastAsia="ko-KR"/>
        </w:rPr>
        <w:t>Yigezu</w:t>
      </w:r>
      <w:proofErr w:type="spellEnd"/>
      <w:r w:rsidR="00E42674" w:rsidRPr="003C33CA">
        <w:rPr>
          <w:lang w:eastAsia="ko-KR"/>
        </w:rPr>
        <w:t>.</w:t>
      </w:r>
    </w:p>
    <w:p w:rsidR="00E42674" w:rsidRPr="003C33CA" w:rsidRDefault="003C33CA" w:rsidP="003C33CA">
      <w:pPr>
        <w:pStyle w:val="SingleTxtG"/>
        <w:rPr>
          <w:lang w:eastAsia="ko-KR"/>
        </w:rPr>
      </w:pPr>
      <w:r w:rsidRPr="003C33CA">
        <w:rPr>
          <w:rFonts w:eastAsiaTheme="minorEastAsia"/>
          <w:lang w:val="en-AU" w:eastAsia="ko-KR"/>
        </w:rPr>
        <w:t>3.</w:t>
      </w:r>
      <w:r w:rsidRPr="003C33CA">
        <w:rPr>
          <w:rFonts w:eastAsiaTheme="minorEastAsia"/>
          <w:lang w:val="en-AU" w:eastAsia="ko-KR"/>
        </w:rPr>
        <w:tab/>
      </w:r>
      <w:r w:rsidR="00E42674" w:rsidRPr="003C33CA">
        <w:rPr>
          <w:lang w:eastAsia="ko-KR"/>
        </w:rPr>
        <w:t xml:space="preserve">At the same session of the Advisory Committee, the drafting group elaborated a questionnaire, in accordance with Council resolution </w:t>
      </w:r>
      <w:r w:rsidR="00E42674" w:rsidRPr="003C33CA">
        <w:t>A/HRC/32/L.4 in which the Council encourages the Committee to take into account the views and inputs of relevant stakeholders. The Question</w:t>
      </w:r>
      <w:r w:rsidR="00E42674" w:rsidRPr="003C33CA">
        <w:rPr>
          <w:lang w:eastAsia="ko-KR"/>
        </w:rPr>
        <w:t>n</w:t>
      </w:r>
      <w:r w:rsidR="00E42674" w:rsidRPr="003C33CA">
        <w:t xml:space="preserve">aire was disseminated to different stakeholders including Member States of the United Nations, international and regional organizations, relevant special procedures mandate holders and treaty bodies, national human rights institutions, and civil society organizations, with a deadline of 31 October 2016. As of XX February 2017, XX responses were received </w:t>
      </w:r>
      <w:r w:rsidR="00E42674" w:rsidRPr="003C33CA">
        <w:rPr>
          <w:lang w:eastAsia="ko-KR"/>
        </w:rPr>
        <w:t>to</w:t>
      </w:r>
      <w:r w:rsidR="00E42674" w:rsidRPr="003C33CA">
        <w:t xml:space="preserve"> the questionnaire, including XX from States, XX from NGOs, XX from NHRIs and XX from UN agencies.</w:t>
      </w:r>
    </w:p>
    <w:p w:rsidR="00E42674" w:rsidRPr="003C33CA" w:rsidRDefault="003C33CA" w:rsidP="003C33CA">
      <w:pPr>
        <w:pStyle w:val="HChG"/>
        <w:rPr>
          <w:lang w:eastAsia="ko-KR"/>
        </w:rPr>
      </w:pPr>
      <w:r>
        <w:rPr>
          <w:rFonts w:eastAsia="Calibri"/>
          <w:szCs w:val="28"/>
          <w:lang w:val="en-AU" w:eastAsia="ko-KR"/>
        </w:rPr>
        <w:tab/>
        <w:t>II.</w:t>
      </w:r>
      <w:r>
        <w:rPr>
          <w:rFonts w:eastAsia="Calibri"/>
          <w:szCs w:val="28"/>
          <w:lang w:val="en-AU" w:eastAsia="ko-KR"/>
        </w:rPr>
        <w:tab/>
      </w:r>
      <w:r w:rsidR="00E42674" w:rsidRPr="003C33CA">
        <w:rPr>
          <w:rFonts w:eastAsia="Batang"/>
          <w:lang w:eastAsia="ko-KR"/>
        </w:rPr>
        <w:t xml:space="preserve">Establishment of regional and </w:t>
      </w:r>
      <w:proofErr w:type="spellStart"/>
      <w:r w:rsidR="00E42674" w:rsidRPr="003C33CA">
        <w:rPr>
          <w:rFonts w:eastAsia="Batang"/>
          <w:lang w:eastAsia="ko-KR"/>
        </w:rPr>
        <w:t>subregional</w:t>
      </w:r>
      <w:proofErr w:type="spellEnd"/>
      <w:r w:rsidR="00E42674" w:rsidRPr="003C33CA">
        <w:rPr>
          <w:rFonts w:eastAsia="Batang"/>
          <w:lang w:eastAsia="ko-KR"/>
        </w:rPr>
        <w:t xml:space="preserve"> human rights mechanisms</w:t>
      </w:r>
    </w:p>
    <w:p w:rsidR="00E42674" w:rsidRPr="003C33CA" w:rsidRDefault="003C33CA" w:rsidP="003C33CA">
      <w:pPr>
        <w:pStyle w:val="SingleTxtG"/>
        <w:rPr>
          <w:rFonts w:eastAsia="Batang"/>
          <w:lang w:eastAsia="ko-KR"/>
        </w:rPr>
      </w:pPr>
      <w:r w:rsidRPr="003C33CA">
        <w:rPr>
          <w:rFonts w:eastAsiaTheme="minorEastAsia"/>
          <w:lang w:val="en-AU" w:eastAsia="ko-KR"/>
        </w:rPr>
        <w:t>4.</w:t>
      </w:r>
      <w:r w:rsidRPr="003C33CA">
        <w:rPr>
          <w:rFonts w:eastAsiaTheme="minorEastAsia"/>
          <w:lang w:val="en-AU" w:eastAsia="ko-KR"/>
        </w:rPr>
        <w:tab/>
      </w:r>
      <w:r w:rsidR="00E42674" w:rsidRPr="003C33CA">
        <w:rPr>
          <w:rFonts w:eastAsia="Batang"/>
          <w:lang w:eastAsia="ko-KR"/>
        </w:rPr>
        <w:t xml:space="preserve">This report identifies five regions where regional human rights mechanisms have been (or are to be) established; Europe, the Americas, Africa, the Arab states, and Asia and the Pacific. The first four regions already have their own regional mechanisms while Asia and the Pacific has only a few </w:t>
      </w:r>
      <w:proofErr w:type="spellStart"/>
      <w:r w:rsidR="00E42674" w:rsidRPr="003C33CA">
        <w:rPr>
          <w:rFonts w:eastAsia="Batang"/>
          <w:lang w:eastAsia="ko-KR"/>
        </w:rPr>
        <w:t>subregional</w:t>
      </w:r>
      <w:proofErr w:type="spellEnd"/>
      <w:r w:rsidR="00E42674" w:rsidRPr="003C33CA">
        <w:rPr>
          <w:rFonts w:eastAsia="Batang"/>
          <w:lang w:eastAsia="ko-KR"/>
        </w:rPr>
        <w:t xml:space="preserve"> mechanisms. An overview of these arrangements will be given below.   </w:t>
      </w:r>
    </w:p>
    <w:p w:rsidR="00E42674" w:rsidRPr="003C33CA" w:rsidRDefault="003C33CA" w:rsidP="003C33CA">
      <w:pPr>
        <w:pStyle w:val="SingleTxtG"/>
        <w:rPr>
          <w:rFonts w:eastAsia="Batang"/>
          <w:lang w:eastAsia="ko-KR"/>
        </w:rPr>
      </w:pPr>
      <w:r w:rsidRPr="003C33CA">
        <w:rPr>
          <w:rFonts w:eastAsiaTheme="minorEastAsia"/>
          <w:lang w:val="en-AU" w:eastAsia="ko-KR"/>
        </w:rPr>
        <w:t>5.</w:t>
      </w:r>
      <w:r w:rsidRPr="003C33CA">
        <w:rPr>
          <w:rFonts w:eastAsiaTheme="minorEastAsia"/>
          <w:lang w:val="en-AU" w:eastAsia="ko-KR"/>
        </w:rPr>
        <w:tab/>
      </w:r>
      <w:r w:rsidR="00E42674" w:rsidRPr="003C33CA">
        <w:rPr>
          <w:rFonts w:eastAsia="Batang"/>
          <w:lang w:eastAsia="ko-KR"/>
        </w:rPr>
        <w:t xml:space="preserve">There is scholarly consensus that Europe </w:t>
      </w:r>
      <w:r w:rsidR="00E42674" w:rsidRPr="003C33CA">
        <w:t xml:space="preserve">has one of the most </w:t>
      </w:r>
      <w:r w:rsidR="00E42674" w:rsidRPr="003C33CA">
        <w:rPr>
          <w:lang w:eastAsia="ko-KR"/>
        </w:rPr>
        <w:t>effective</w:t>
      </w:r>
      <w:r w:rsidR="00E42674" w:rsidRPr="003C33CA">
        <w:t xml:space="preserve"> human rights regimes.</w:t>
      </w:r>
      <w:r w:rsidR="00E42674" w:rsidRPr="003C33CA">
        <w:rPr>
          <w:lang w:eastAsia="ko-KR"/>
        </w:rPr>
        <w:t xml:space="preserve"> </w:t>
      </w:r>
      <w:r w:rsidR="00E42674" w:rsidRPr="003C33CA">
        <w:rPr>
          <w:rFonts w:eastAsia="Batang"/>
          <w:lang w:eastAsia="ko-KR"/>
        </w:rPr>
        <w:t>Its origins date back to the aftermath of</w:t>
      </w:r>
      <w:r w:rsidR="00E42674" w:rsidRPr="003C33CA">
        <w:rPr>
          <w:lang w:eastAsia="ko-KR"/>
        </w:rPr>
        <w:t xml:space="preserve"> World War II, with the creation of the Council of Europe in 1949 and its adoption of the European Convention on Human Rights and Fundamental Freedoms in 1950. </w:t>
      </w:r>
      <w:r w:rsidR="00E42674" w:rsidRPr="003C33CA">
        <w:rPr>
          <w:rFonts w:hint="eastAsia"/>
          <w:lang w:eastAsia="ko-KR"/>
        </w:rPr>
        <w:t>T</w:t>
      </w:r>
      <w:r w:rsidR="00E42674" w:rsidRPr="003C33CA">
        <w:rPr>
          <w:lang w:eastAsia="ko-KR"/>
        </w:rPr>
        <w:t>he European Court of Human Rights (ECHR)</w:t>
      </w:r>
      <w:r w:rsidR="00E42674" w:rsidRPr="003C33CA">
        <w:rPr>
          <w:rFonts w:hint="eastAsia"/>
          <w:lang w:eastAsia="ko-KR"/>
        </w:rPr>
        <w:t>,</w:t>
      </w:r>
      <w:r w:rsidR="00E42674" w:rsidRPr="003C33CA">
        <w:rPr>
          <w:lang w:eastAsia="ko-KR"/>
        </w:rPr>
        <w:t xml:space="preserve"> established</w:t>
      </w:r>
      <w:r w:rsidR="00E42674" w:rsidRPr="003C33CA">
        <w:rPr>
          <w:rFonts w:hint="eastAsia"/>
          <w:lang w:eastAsia="ko-KR"/>
        </w:rPr>
        <w:t xml:space="preserve"> in 1959</w:t>
      </w:r>
      <w:r w:rsidR="00E42674" w:rsidRPr="003C33CA">
        <w:rPr>
          <w:lang w:eastAsia="ko-KR"/>
        </w:rPr>
        <w:t xml:space="preserve"> and restructured by Protocol 11 which came into force in 1998</w:t>
      </w:r>
      <w:r w:rsidR="00E42674" w:rsidRPr="003C33CA">
        <w:rPr>
          <w:rFonts w:hint="eastAsia"/>
          <w:lang w:eastAsia="ko-KR"/>
        </w:rPr>
        <w:t xml:space="preserve">, </w:t>
      </w:r>
      <w:r w:rsidR="00E42674" w:rsidRPr="003C33CA">
        <w:rPr>
          <w:lang w:eastAsia="ko-KR"/>
        </w:rPr>
        <w:t xml:space="preserve">functions as the main human rights protection mechanism in Europe. All 47 Council of Europe member states are party to the European Convention on Human Rights. The Committee of Ministers supervises the implementation of the Court’s decisions by the states concerned. Some 50 judges representing member states handle cases—both individual and state applications. </w:t>
      </w:r>
      <w:r w:rsidR="00E42674" w:rsidRPr="003C33CA">
        <w:rPr>
          <w:rFonts w:eastAsia="Batang"/>
          <w:lang w:eastAsia="ko-KR"/>
        </w:rPr>
        <w:t>Judges are elected by the Council of Europe’s Parliamentary Assembly, and thus enjoy high independence from their respective governments.</w:t>
      </w:r>
      <w:r w:rsidR="00E42674" w:rsidRPr="003C33CA">
        <w:rPr>
          <w:rFonts w:eastAsia="Batang"/>
        </w:rPr>
        <w:t xml:space="preserve"> The states can also file state-to-state complaints and in extreme cases even </w:t>
      </w:r>
      <w:r w:rsidR="00E42674" w:rsidRPr="003C33CA">
        <w:rPr>
          <w:rFonts w:eastAsia="Batang"/>
        </w:rPr>
        <w:lastRenderedPageBreak/>
        <w:t>demand expulsion in cases of flagrant</w:t>
      </w:r>
      <w:r w:rsidR="00E42674" w:rsidRPr="003C33CA">
        <w:rPr>
          <w:rFonts w:eastAsia="Batang"/>
          <w:lang w:eastAsia="ko-KR"/>
        </w:rPr>
        <w:t xml:space="preserve"> and</w:t>
      </w:r>
      <w:r w:rsidR="00E42674" w:rsidRPr="003C33CA">
        <w:rPr>
          <w:rFonts w:eastAsia="Batang"/>
        </w:rPr>
        <w:t xml:space="preserve"> systematic violations of the ECHR in which judicial remedies prove to be ineffective. The ECHR exercises binding jurisdiction and its decisions create binding legal obligations for the state concerned.</w:t>
      </w:r>
      <w:r w:rsidR="00E42674" w:rsidRPr="003C33CA">
        <w:rPr>
          <w:rStyle w:val="FootnoteReference"/>
          <w:rFonts w:eastAsia="Batang"/>
        </w:rPr>
        <w:footnoteReference w:id="2"/>
      </w:r>
      <w:r w:rsidR="00E42674" w:rsidRPr="003C33CA">
        <w:rPr>
          <w:rFonts w:eastAsia="Batang"/>
        </w:rPr>
        <w:t xml:space="preserve"> However, the European Social Charter, which addresses economic and social rights, is not subject to judicial enforcement.</w:t>
      </w:r>
      <w:r w:rsidR="00E42674" w:rsidRPr="003C33CA">
        <w:rPr>
          <w:rStyle w:val="FootnoteReference"/>
          <w:rFonts w:eastAsia="Batang"/>
        </w:rPr>
        <w:footnoteReference w:id="3"/>
      </w:r>
    </w:p>
    <w:p w:rsidR="00E42674" w:rsidRPr="003C33CA" w:rsidRDefault="003C33CA" w:rsidP="003C33CA">
      <w:pPr>
        <w:pStyle w:val="SingleTxtG"/>
        <w:rPr>
          <w:rFonts w:eastAsia="Batang"/>
          <w:lang w:eastAsia="ko-KR"/>
        </w:rPr>
      </w:pPr>
      <w:r w:rsidRPr="003C33CA">
        <w:rPr>
          <w:rFonts w:eastAsiaTheme="minorEastAsia"/>
          <w:lang w:val="en-AU" w:eastAsia="ko-KR"/>
        </w:rPr>
        <w:t>6.</w:t>
      </w:r>
      <w:r w:rsidRPr="003C33CA">
        <w:rPr>
          <w:rFonts w:eastAsiaTheme="minorEastAsia"/>
          <w:lang w:val="en-AU" w:eastAsia="ko-KR"/>
        </w:rPr>
        <w:tab/>
      </w:r>
      <w:r w:rsidR="00E42674" w:rsidRPr="003C33CA">
        <w:rPr>
          <w:rFonts w:eastAsia="Batang"/>
          <w:lang w:eastAsia="ko-KR"/>
        </w:rPr>
        <w:t>The Inter-American human rights mechanism was initially part of an effort to effectively defend political democracy in the region. Its origins date back to the approval of the American Declaration of the Rights and Duties of Man by the Organization of American States (OAS) in April 1948. The Declaration brought about the adoption of the OAS Charter and the Inter-American Commission on Human Rights (IACHR) was established in 1959 to enhance the implementation of human rights protections among the 35 member states of the OAS. Following the adoption of the American Convention on Human Rights in 1969, the Inter-American Court of Human Rights was established in 1979. The Inter-American Commission monitors member states’ human rights implementation by making country visits, publishing country reports and carrying out on-site observations. It also has a quasi-judicial function in that it can interpret human rights instruments created by the OAS and makes non-legally binding recommendations on individual complaints. Individual applications can be lodged with the Inter-American Commission based on the Declaration or the American Convention on Human Rights.</w:t>
      </w:r>
      <w:r w:rsidR="00E42674" w:rsidRPr="003C33CA">
        <w:rPr>
          <w:rStyle w:val="FootnoteReference"/>
          <w:rFonts w:eastAsia="Batang"/>
          <w:lang w:eastAsia="ko-KR"/>
        </w:rPr>
        <w:footnoteReference w:id="4"/>
      </w:r>
    </w:p>
    <w:p w:rsidR="00E42674" w:rsidRPr="003C33CA" w:rsidRDefault="003C33CA" w:rsidP="003C33CA">
      <w:pPr>
        <w:pStyle w:val="SingleTxtG"/>
        <w:rPr>
          <w:rFonts w:eastAsia="Batang"/>
          <w:lang w:eastAsia="ko-KR"/>
        </w:rPr>
      </w:pPr>
      <w:r w:rsidRPr="003C33CA">
        <w:rPr>
          <w:rFonts w:eastAsiaTheme="minorEastAsia"/>
          <w:lang w:val="en-AU" w:eastAsia="ko-KR"/>
        </w:rPr>
        <w:t>7.</w:t>
      </w:r>
      <w:r w:rsidRPr="003C33CA">
        <w:rPr>
          <w:rFonts w:eastAsiaTheme="minorEastAsia"/>
          <w:lang w:val="en-AU" w:eastAsia="ko-KR"/>
        </w:rPr>
        <w:tab/>
      </w:r>
      <w:r w:rsidR="00E42674" w:rsidRPr="003C33CA">
        <w:rPr>
          <w:rFonts w:eastAsia="Batang"/>
          <w:lang w:eastAsia="ko-KR"/>
        </w:rPr>
        <w:t xml:space="preserve">The African human rights mechanism emerged as a response to the challenges of decolonization, racial discrimination, environmental protection and refugees. The African Charter on Human and Peoples’ Rights (ACHPR, also known as the Banjul Charter or the African Charter) was adopted in 1981 and came into force in 1986 under the auspices of the African Union. In accordance with the Charter, the African Commission on Human and Peoples’ Rights was set up in 1987. The African Court of Human and Peoples’ Rights was established by a Protocol to the African Charter in 1998 and came into force in 2004. The Court became operational in 2006. The shared interests encouraging African states to build a regional human rights mechanism included securing independence, collective security, territory integrity and promoting solidarity. The Commission accepts individual and state applications based on the African Charter. The African Court on Human and Peoples’ Rights is a continental court established by African countries to ensure protection of human and peoples’ rights in Africa. It complements and reinforces the functions of the African Commission on Human and Peoples’ Rights. As of September 2016, the African Charter has been ratified by 53 of 54 member states of the African Union, the exception being South Sudan and nearly half of the member states have ratified the Protocol to the Africa Charter. </w:t>
      </w:r>
      <w:r w:rsidR="00E42674" w:rsidRPr="003C33CA">
        <w:rPr>
          <w:rFonts w:eastAsia="Batang" w:hint="eastAsia"/>
          <w:lang w:eastAsia="ko-KR"/>
        </w:rPr>
        <w:t>T</w:t>
      </w:r>
      <w:r w:rsidR="00E42674" w:rsidRPr="003C33CA">
        <w:rPr>
          <w:rFonts w:eastAsia="Batang"/>
          <w:lang w:eastAsia="ko-KR"/>
        </w:rPr>
        <w:t xml:space="preserve">he Court may receive complaints and/or applications either by the African Commission of Human and Peoples’ Rights, </w:t>
      </w:r>
      <w:r w:rsidR="00E42674" w:rsidRPr="003C33CA">
        <w:rPr>
          <w:rFonts w:eastAsia="Batang" w:hint="eastAsia"/>
          <w:lang w:eastAsia="ko-KR"/>
        </w:rPr>
        <w:t>s</w:t>
      </w:r>
      <w:r w:rsidR="00E42674" w:rsidRPr="003C33CA">
        <w:rPr>
          <w:rFonts w:eastAsia="Batang"/>
          <w:lang w:eastAsia="ko-KR"/>
        </w:rPr>
        <w:t>tate parties to the Protocol, or African Intergovernmental Organizations. Non-governmental organizations with observer status before the ACP</w:t>
      </w:r>
      <w:r w:rsidR="00E42674" w:rsidRPr="003C33CA">
        <w:rPr>
          <w:rFonts w:eastAsia="Batang" w:hint="eastAsia"/>
          <w:lang w:eastAsia="ko-KR"/>
        </w:rPr>
        <w:t>HR</w:t>
      </w:r>
      <w:r w:rsidR="00E42674" w:rsidRPr="003C33CA">
        <w:rPr>
          <w:rFonts w:eastAsia="Batang"/>
          <w:lang w:eastAsia="ko-KR"/>
        </w:rPr>
        <w:t xml:space="preserve">, and individuals from States which have made a declaration accepting the jurisdiction of the Court can also institute cases directly before the Court, but only six </w:t>
      </w:r>
      <w:r w:rsidR="00E42674" w:rsidRPr="003C33CA">
        <w:rPr>
          <w:rFonts w:eastAsia="Batang"/>
          <w:lang w:eastAsia="ko-KR"/>
        </w:rPr>
        <w:lastRenderedPageBreak/>
        <w:t xml:space="preserve">AU member states have accepted the competence of the Court to handle such complaints. As of January 2016, the Court </w:t>
      </w:r>
      <w:r w:rsidR="00E42674" w:rsidRPr="003C33CA">
        <w:rPr>
          <w:rFonts w:eastAsia="Batang" w:hint="eastAsia"/>
          <w:lang w:eastAsia="ko-KR"/>
        </w:rPr>
        <w:t xml:space="preserve">has </w:t>
      </w:r>
      <w:r w:rsidR="00E42674" w:rsidRPr="003C33CA">
        <w:rPr>
          <w:rFonts w:eastAsia="Batang"/>
          <w:lang w:eastAsia="ko-KR"/>
        </w:rPr>
        <w:t>received 74 applications and finalized 25 cases.</w:t>
      </w:r>
      <w:r w:rsidR="00E42674" w:rsidRPr="000878BB">
        <w:rPr>
          <w:rStyle w:val="FootnoteReference"/>
          <w:rFonts w:eastAsia="Batang"/>
          <w:lang w:eastAsia="ko-KR"/>
        </w:rPr>
        <w:footnoteReference w:id="5"/>
      </w:r>
      <w:r w:rsidR="00E42674" w:rsidRPr="003C33CA">
        <w:rPr>
          <w:rFonts w:eastAsia="Batang"/>
          <w:lang w:eastAsia="ko-KR"/>
        </w:rPr>
        <w:t xml:space="preserve"> </w:t>
      </w:r>
    </w:p>
    <w:p w:rsidR="00E42674" w:rsidRPr="003C33CA" w:rsidRDefault="003C33CA" w:rsidP="003C33CA">
      <w:pPr>
        <w:pStyle w:val="SingleTxtG"/>
        <w:rPr>
          <w:rFonts w:eastAsia="Batang"/>
          <w:vanish/>
          <w:lang w:val="en-GB" w:eastAsia="ko-KR"/>
        </w:rPr>
      </w:pPr>
      <w:r w:rsidRPr="003C33CA">
        <w:rPr>
          <w:rFonts w:eastAsiaTheme="minorEastAsia"/>
          <w:lang w:val="en-AU" w:eastAsia="ko-KR"/>
        </w:rPr>
        <w:t>8.</w:t>
      </w:r>
      <w:r w:rsidRPr="003C33CA">
        <w:rPr>
          <w:rFonts w:eastAsiaTheme="minorEastAsia"/>
          <w:lang w:val="en-AU" w:eastAsia="ko-KR"/>
        </w:rPr>
        <w:tab/>
      </w:r>
      <w:r w:rsidR="00E42674" w:rsidRPr="003C33CA">
        <w:rPr>
          <w:rFonts w:eastAsia="Batang"/>
          <w:lang w:eastAsia="ko-KR"/>
        </w:rPr>
        <w:t xml:space="preserve">The current Arab Charter on Human Rights (ACHR) was adopted in 2004 by the Council of the League of Arab States (LAS) after the revision of an earlier version that was adopted in 1994 but not ratified by any member states. </w:t>
      </w:r>
      <w:r w:rsidR="00E42674" w:rsidRPr="003C33CA">
        <w:rPr>
          <w:rFonts w:eastAsia="Batang" w:hint="eastAsia"/>
          <w:lang w:eastAsia="ko-KR"/>
        </w:rPr>
        <w:t>T</w:t>
      </w:r>
      <w:r w:rsidR="00E42674" w:rsidRPr="003C33CA">
        <w:rPr>
          <w:rFonts w:eastAsia="Batang"/>
          <w:lang w:eastAsia="ko-KR"/>
        </w:rPr>
        <w:t xml:space="preserve">he Arab Human Rights Committee was established in 2009 to supervise the implementation of the Charter by its member states through state reports and periodic reports. The Committee also submits annual reports to the Council of LAS. As of September 2016, the ACHR has been ratified by 17 out of 22 member states of the LAS. </w:t>
      </w:r>
      <w:r w:rsidR="00E42674" w:rsidRPr="003C33CA">
        <w:rPr>
          <w:rFonts w:eastAsia="Batang" w:hint="eastAsia"/>
          <w:lang w:eastAsia="ko-KR"/>
        </w:rPr>
        <w:t>T</w:t>
      </w:r>
      <w:r w:rsidR="00E42674" w:rsidRPr="003C33CA">
        <w:t>he Arab League’s efforts</w:t>
      </w:r>
      <w:r w:rsidR="00E42674" w:rsidRPr="003C33CA">
        <w:rPr>
          <w:rFonts w:hint="eastAsia"/>
          <w:lang w:eastAsia="ko-KR"/>
        </w:rPr>
        <w:t>, however,</w:t>
      </w:r>
      <w:r w:rsidR="00E42674" w:rsidRPr="003C33CA">
        <w:t xml:space="preserve"> should be understood as a symbolic action rather than a serious attempt to promote and protect governance standards in the regio</w:t>
      </w:r>
      <w:r w:rsidRPr="003C33CA">
        <w:t>n</w:t>
      </w:r>
      <w:r w:rsidRPr="003C33CA">
        <w:rPr>
          <w:lang w:val="en-GB"/>
        </w:rPr>
        <w:t>.</w:t>
      </w:r>
    </w:p>
    <w:p w:rsidR="00E42674" w:rsidRPr="000878BB" w:rsidRDefault="003C33CA" w:rsidP="003C33CA">
      <w:pPr>
        <w:pStyle w:val="SingleTxtG"/>
        <w:rPr>
          <w:rFonts w:eastAsia="Batang"/>
          <w:vanish/>
          <w:lang w:eastAsia="ko-KR"/>
        </w:rPr>
      </w:pPr>
      <w:r w:rsidRPr="003C33CA">
        <w:rPr>
          <w:rFonts w:eastAsiaTheme="minorEastAsia"/>
          <w:lang w:val="en-AU" w:eastAsia="ko-KR"/>
        </w:rPr>
        <w:t>9.</w:t>
      </w:r>
      <w:r w:rsidRPr="003C33CA">
        <w:rPr>
          <w:rFonts w:eastAsiaTheme="minorEastAsia"/>
          <w:lang w:val="en-AU" w:eastAsia="ko-KR"/>
        </w:rPr>
        <w:tab/>
      </w:r>
      <w:r w:rsidR="00E42674" w:rsidRPr="003C33CA">
        <w:t>Even though the final draft of the Arab Charter on Human Rights was brought closer to global standards, its content still falls behind internationally recognized ‘universal’ norms, especially with regard to gender equality, the death penalty, and the right to derogations</w:t>
      </w:r>
      <w:r w:rsidR="00E42674" w:rsidRPr="000878BB">
        <w:t xml:space="preserve"> under emergency law</w:t>
      </w:r>
      <w:r w:rsidR="00E42674" w:rsidRPr="000878BB">
        <w:rPr>
          <w:lang w:eastAsia="ko-KR"/>
        </w:rPr>
        <w:t>.</w:t>
      </w:r>
      <w:r w:rsidR="00E42674" w:rsidRPr="000878BB">
        <w:rPr>
          <w:rStyle w:val="FootnoteReference"/>
          <w:lang w:eastAsia="ko-KR"/>
        </w:rPr>
        <w:footnoteReference w:id="6"/>
      </w:r>
    </w:p>
    <w:p w:rsidR="00E42674" w:rsidRPr="006A5689" w:rsidRDefault="003C33CA" w:rsidP="006A5689">
      <w:pPr>
        <w:pStyle w:val="SingleTxtG"/>
        <w:rPr>
          <w:rFonts w:eastAsia="Batang"/>
          <w:vanish/>
          <w:lang w:eastAsia="ko-KR"/>
        </w:rPr>
      </w:pPr>
      <w:r w:rsidRPr="006A5689">
        <w:rPr>
          <w:rFonts w:eastAsiaTheme="minorEastAsia"/>
          <w:lang w:val="en-AU" w:eastAsia="ko-KR"/>
        </w:rPr>
        <w:t>10.</w:t>
      </w:r>
      <w:r w:rsidRPr="006A5689">
        <w:rPr>
          <w:rFonts w:eastAsiaTheme="minorEastAsia"/>
          <w:lang w:val="en-AU" w:eastAsia="ko-KR"/>
        </w:rPr>
        <w:tab/>
      </w:r>
      <w:r w:rsidR="00E42674" w:rsidRPr="003C33CA">
        <w:rPr>
          <w:rFonts w:eastAsia="Batang"/>
          <w:lang w:eastAsia="ko-KR"/>
        </w:rPr>
        <w:t xml:space="preserve">Asia and the Pacific has not yet witnessed the creation of a regional arrangement for the protection of human rights. However, some progress has been made at the </w:t>
      </w:r>
      <w:proofErr w:type="spellStart"/>
      <w:r w:rsidR="00E42674" w:rsidRPr="003C33CA">
        <w:rPr>
          <w:rFonts w:eastAsia="Batang"/>
          <w:lang w:eastAsia="ko-KR"/>
        </w:rPr>
        <w:t>subregional</w:t>
      </w:r>
      <w:proofErr w:type="spellEnd"/>
      <w:r w:rsidR="00E42674" w:rsidRPr="003C33CA">
        <w:rPr>
          <w:rFonts w:eastAsia="Batang"/>
          <w:lang w:eastAsia="ko-KR"/>
        </w:rPr>
        <w:t xml:space="preserve"> level, particularly in Southeast Asia. ASEAN’s first agreement to consider the establishment of a regional human rights arrangement was made in June 1993 following the Vienna Declaration. In November 2007, the member states of ASEAN signed the Charter of the Association of South East Asian Nations (ASEAN Charter) in which the promotion and protection of human rights</w:t>
      </w:r>
      <w:r w:rsidR="00E42674" w:rsidRPr="003C33CA">
        <w:rPr>
          <w:rFonts w:eastAsia="Batang" w:hint="eastAsia"/>
          <w:lang w:eastAsia="ko-KR"/>
        </w:rPr>
        <w:t xml:space="preserve"> </w:t>
      </w:r>
      <w:r w:rsidR="00E42674" w:rsidRPr="003C33CA">
        <w:rPr>
          <w:rFonts w:eastAsia="Batang"/>
          <w:lang w:eastAsia="ko-KR"/>
        </w:rPr>
        <w:t xml:space="preserve">was expressed along with a commitment to the establishment of a regional human rights mechanism. Accordingly, the ASEAN Intergovernmental Commission on Human Rights (AICHR) was established in July 2009. In 2012, ASEAN unanimously adopted the ASEAN Human Rights Declaration (AHRD) but a human rights court has not yet been established. Although the progress at the </w:t>
      </w:r>
      <w:proofErr w:type="spellStart"/>
      <w:r w:rsidR="00E42674" w:rsidRPr="003C33CA">
        <w:rPr>
          <w:rFonts w:eastAsia="Batang"/>
          <w:lang w:eastAsia="ko-KR"/>
        </w:rPr>
        <w:t>subregional</w:t>
      </w:r>
      <w:proofErr w:type="spellEnd"/>
      <w:r w:rsidR="00E42674" w:rsidRPr="003C33CA">
        <w:rPr>
          <w:rFonts w:eastAsia="Batang"/>
          <w:lang w:eastAsia="ko-KR"/>
        </w:rPr>
        <w:t xml:space="preserve"> level is promising, a regional framework for the entire Asia and Pacific region is still in the future.</w:t>
      </w:r>
      <w:r w:rsidR="00E42674" w:rsidRPr="000878BB">
        <w:rPr>
          <w:rStyle w:val="FootnoteReference"/>
          <w:rFonts w:eastAsia="Batang"/>
          <w:lang w:eastAsia="ko-KR"/>
        </w:rPr>
        <w:footnoteReference w:id="7"/>
      </w:r>
      <w:r w:rsidR="00E42674" w:rsidRPr="003C33CA">
        <w:rPr>
          <w:rFonts w:eastAsia="Batang"/>
          <w:lang w:eastAsia="ko-KR"/>
        </w:rPr>
        <w:t xml:space="preserve"> A positive step in this direction was the Korean Constitutional Court’s proposal to create an Asian Human Rights Court, which was announced at the 3</w:t>
      </w:r>
      <w:r w:rsidR="00E42674" w:rsidRPr="003C33CA">
        <w:rPr>
          <w:rFonts w:eastAsia="Batang"/>
          <w:vertAlign w:val="superscript"/>
          <w:lang w:eastAsia="ko-KR"/>
        </w:rPr>
        <w:t>rd</w:t>
      </w:r>
      <w:r w:rsidR="00E42674" w:rsidRPr="003C33CA">
        <w:rPr>
          <w:rFonts w:eastAsia="Batang"/>
          <w:lang w:eastAsia="ko-KR"/>
        </w:rPr>
        <w:t xml:space="preserve"> World Congress of the World Conference on Constitutional Justice in September, 2014.</w:t>
      </w:r>
    </w:p>
    <w:p w:rsidR="00E42674" w:rsidRPr="003C33CA" w:rsidRDefault="006A5689" w:rsidP="006A5689">
      <w:pPr>
        <w:pStyle w:val="HChG"/>
        <w:rPr>
          <w:lang w:eastAsia="ko-KR"/>
        </w:rPr>
      </w:pPr>
      <w:r>
        <w:rPr>
          <w:rFonts w:eastAsia="Calibri"/>
          <w:szCs w:val="28"/>
          <w:lang w:val="en-AU" w:eastAsia="ko-KR"/>
        </w:rPr>
        <w:tab/>
      </w:r>
      <w:r w:rsidR="003C33CA" w:rsidRPr="000878BB">
        <w:rPr>
          <w:rFonts w:eastAsia="Calibri"/>
          <w:szCs w:val="28"/>
          <w:lang w:val="en-AU" w:eastAsia="ko-KR"/>
        </w:rPr>
        <w:t>II</w:t>
      </w:r>
      <w:r w:rsidR="00C909B3">
        <w:rPr>
          <w:rFonts w:eastAsia="Calibri"/>
          <w:szCs w:val="28"/>
          <w:lang w:val="en-AU" w:eastAsia="ko-KR"/>
        </w:rPr>
        <w:t>I</w:t>
      </w:r>
      <w:r w:rsidR="003C33CA" w:rsidRPr="000878BB">
        <w:rPr>
          <w:rFonts w:eastAsia="Calibri"/>
          <w:szCs w:val="28"/>
          <w:lang w:val="en-AU" w:eastAsia="ko-KR"/>
        </w:rPr>
        <w:t>.</w:t>
      </w:r>
      <w:r w:rsidR="003C33CA" w:rsidRPr="000878BB">
        <w:rPr>
          <w:rFonts w:eastAsia="Calibri"/>
          <w:szCs w:val="28"/>
          <w:lang w:val="en-AU" w:eastAsia="ko-KR"/>
        </w:rPr>
        <w:tab/>
      </w:r>
      <w:r w:rsidR="00E42674" w:rsidRPr="003C33CA">
        <w:rPr>
          <w:rFonts w:eastAsia="Batang"/>
          <w:lang w:eastAsia="ko-KR"/>
        </w:rPr>
        <w:t xml:space="preserve">Achievements of regional and </w:t>
      </w:r>
      <w:proofErr w:type="spellStart"/>
      <w:r w:rsidR="00E42674" w:rsidRPr="003C33CA">
        <w:rPr>
          <w:rFonts w:eastAsia="Batang"/>
          <w:lang w:eastAsia="ko-KR"/>
        </w:rPr>
        <w:t>subregional</w:t>
      </w:r>
      <w:proofErr w:type="spellEnd"/>
      <w:r w:rsidR="00E42674" w:rsidRPr="003C33CA">
        <w:rPr>
          <w:rFonts w:eastAsia="Batang"/>
          <w:lang w:eastAsia="ko-KR"/>
        </w:rPr>
        <w:t xml:space="preserve"> human rights arrangements</w:t>
      </w:r>
    </w:p>
    <w:p w:rsidR="00E42674" w:rsidRPr="006A5689" w:rsidRDefault="006A5689" w:rsidP="006A5689">
      <w:pPr>
        <w:pStyle w:val="H1G"/>
        <w:rPr>
          <w:rFonts w:eastAsia="Batang"/>
          <w:lang w:val="es-ES" w:eastAsia="ko-KR"/>
        </w:rPr>
      </w:pPr>
      <w:r>
        <w:rPr>
          <w:rFonts w:eastAsia="Batang"/>
          <w:lang w:eastAsia="ko-KR"/>
        </w:rPr>
        <w:tab/>
      </w:r>
      <w:r>
        <w:rPr>
          <w:rFonts w:eastAsia="Batang"/>
          <w:lang w:eastAsia="ko-KR"/>
        </w:rPr>
        <w:tab/>
      </w:r>
      <w:r w:rsidR="00E42674" w:rsidRPr="006A5689">
        <w:rPr>
          <w:rFonts w:eastAsia="Batang"/>
          <w:lang w:val="es-ES" w:eastAsia="ko-KR"/>
        </w:rPr>
        <w:t xml:space="preserve">Judicial and </w:t>
      </w:r>
      <w:proofErr w:type="spellStart"/>
      <w:r w:rsidR="00C21602">
        <w:rPr>
          <w:rFonts w:eastAsia="Batang"/>
          <w:lang w:val="es-ES" w:eastAsia="ko-KR"/>
        </w:rPr>
        <w:t>quasi</w:t>
      </w:r>
      <w:proofErr w:type="spellEnd"/>
      <w:r w:rsidR="00C21602">
        <w:rPr>
          <w:rFonts w:eastAsia="Batang"/>
          <w:lang w:val="es-ES" w:eastAsia="ko-KR"/>
        </w:rPr>
        <w:t>-j</w:t>
      </w:r>
      <w:r w:rsidR="00E42674" w:rsidRPr="006A5689">
        <w:rPr>
          <w:rFonts w:eastAsia="Batang"/>
          <w:lang w:val="es-ES" w:eastAsia="ko-KR"/>
        </w:rPr>
        <w:t xml:space="preserve">udicial </w:t>
      </w:r>
      <w:proofErr w:type="spellStart"/>
      <w:r w:rsidR="00C21602">
        <w:rPr>
          <w:rFonts w:eastAsia="Batang"/>
          <w:lang w:val="es-ES" w:eastAsia="ko-KR"/>
        </w:rPr>
        <w:t>d</w:t>
      </w:r>
      <w:r w:rsidR="00E42674" w:rsidRPr="006A5689">
        <w:rPr>
          <w:rFonts w:eastAsia="Batang"/>
          <w:lang w:val="es-ES" w:eastAsia="ko-KR"/>
        </w:rPr>
        <w:t>ecisions</w:t>
      </w:r>
      <w:proofErr w:type="spellEnd"/>
    </w:p>
    <w:p w:rsidR="00E42674" w:rsidRPr="003C33CA" w:rsidRDefault="003C33CA" w:rsidP="006A5689">
      <w:pPr>
        <w:pStyle w:val="SingleTxtG"/>
        <w:rPr>
          <w:b/>
          <w:lang w:eastAsia="ko-KR"/>
        </w:rPr>
      </w:pPr>
      <w:r w:rsidRPr="000878BB">
        <w:rPr>
          <w:rFonts w:eastAsia="Batang" w:hint="eastAsia"/>
          <w:lang w:val="en-AU" w:eastAsia="ko-KR"/>
        </w:rPr>
        <w:t>1</w:t>
      </w:r>
      <w:r w:rsidR="00C21602">
        <w:rPr>
          <w:rFonts w:eastAsia="Batang"/>
          <w:lang w:val="en-AU" w:eastAsia="ko-KR"/>
        </w:rPr>
        <w:t>1</w:t>
      </w:r>
      <w:r w:rsidRPr="000878BB">
        <w:rPr>
          <w:rFonts w:eastAsia="Batang" w:hint="eastAsia"/>
          <w:lang w:val="en-AU" w:eastAsia="ko-KR"/>
        </w:rPr>
        <w:t>.</w:t>
      </w:r>
      <w:r w:rsidRPr="000878BB">
        <w:rPr>
          <w:rFonts w:eastAsia="Batang" w:hint="eastAsia"/>
          <w:lang w:val="en-AU" w:eastAsia="ko-KR"/>
        </w:rPr>
        <w:tab/>
      </w:r>
      <w:r w:rsidR="00E42674" w:rsidRPr="003C33CA">
        <w:rPr>
          <w:rFonts w:eastAsia="Batang"/>
        </w:rPr>
        <w:t xml:space="preserve">The most visible and controversial contributions of regional human rights arrangements have occurred in the form of court rulings and attempts by commissions to sway the </w:t>
      </w:r>
      <w:proofErr w:type="spellStart"/>
      <w:r w:rsidR="00E42674" w:rsidRPr="003C33CA">
        <w:rPr>
          <w:rFonts w:eastAsia="Batang"/>
        </w:rPr>
        <w:t>behavior</w:t>
      </w:r>
      <w:proofErr w:type="spellEnd"/>
      <w:r w:rsidR="00E42674" w:rsidRPr="003C33CA">
        <w:rPr>
          <w:rFonts w:eastAsia="Batang"/>
        </w:rPr>
        <w:t xml:space="preserve"> of member states. In 1970-1980, for example, the </w:t>
      </w:r>
      <w:r w:rsidR="00E42674" w:rsidRPr="003C33CA">
        <w:rPr>
          <w:rFonts w:eastAsia="Batang"/>
          <w:lang w:eastAsia="ko-KR"/>
        </w:rPr>
        <w:t>Inter-American C</w:t>
      </w:r>
      <w:r w:rsidR="00E42674" w:rsidRPr="003C33CA">
        <w:rPr>
          <w:rFonts w:eastAsia="Batang"/>
        </w:rPr>
        <w:t xml:space="preserve">ommission put pressure on repressive governments. Its reporting on Chile under military law had particular significance to internal and international human rights advocates. </w:t>
      </w:r>
      <w:r w:rsidR="00E42674" w:rsidRPr="003C33CA">
        <w:rPr>
          <w:rFonts w:eastAsia="Batang"/>
          <w:lang w:eastAsia="ko-KR"/>
        </w:rPr>
        <w:t xml:space="preserve">More </w:t>
      </w:r>
      <w:r w:rsidR="00E42674" w:rsidRPr="003C33CA">
        <w:rPr>
          <w:rFonts w:eastAsia="Batang"/>
          <w:lang w:eastAsia="ko-KR"/>
        </w:rPr>
        <w:lastRenderedPageBreak/>
        <w:t>recently</w:t>
      </w:r>
      <w:r w:rsidR="00E42674" w:rsidRPr="003C33CA">
        <w:rPr>
          <w:rFonts w:eastAsia="Batang"/>
        </w:rPr>
        <w:t xml:space="preserve">, </w:t>
      </w:r>
      <w:r w:rsidR="00E42674" w:rsidRPr="003C33CA">
        <w:rPr>
          <w:rFonts w:eastAsia="Batang"/>
          <w:lang w:eastAsia="ko-KR"/>
        </w:rPr>
        <w:t>t</w:t>
      </w:r>
      <w:r w:rsidR="00E42674" w:rsidRPr="003C33CA">
        <w:rPr>
          <w:rFonts w:eastAsia="Batang"/>
        </w:rPr>
        <w:t>wo reports were issued on Bolivia (2005), and reports on Honduras were issued (2009, 2010) which helped to draw attention to serious human rights problems in these countries.</w:t>
      </w:r>
      <w:r w:rsidR="00E42674" w:rsidRPr="003C33CA">
        <w:rPr>
          <w:rFonts w:eastAsia="Batang"/>
          <w:lang w:eastAsia="ko-KR"/>
        </w:rPr>
        <w:t xml:space="preserve"> The Commission also p</w:t>
      </w:r>
      <w:r w:rsidR="00E42674" w:rsidRPr="003C33CA">
        <w:rPr>
          <w:rFonts w:eastAsia="Batang"/>
        </w:rPr>
        <w:t>ubliciz</w:t>
      </w:r>
      <w:r w:rsidR="00E42674" w:rsidRPr="003C33CA">
        <w:rPr>
          <w:rFonts w:eastAsia="Batang"/>
          <w:lang w:eastAsia="ko-KR"/>
        </w:rPr>
        <w:t>ed</w:t>
      </w:r>
      <w:r w:rsidR="00E42674" w:rsidRPr="003C33CA">
        <w:rPr>
          <w:rFonts w:eastAsia="Batang"/>
        </w:rPr>
        <w:t xml:space="preserve"> prominent individual cases</w:t>
      </w:r>
      <w:r w:rsidR="00E42674" w:rsidRPr="003C33CA">
        <w:rPr>
          <w:rFonts w:eastAsia="Batang"/>
          <w:lang w:eastAsia="ko-KR"/>
        </w:rPr>
        <w:t>, such as its</w:t>
      </w:r>
      <w:r w:rsidR="00E42674" w:rsidRPr="003C33CA">
        <w:rPr>
          <w:rFonts w:eastAsia="Batang"/>
        </w:rPr>
        <w:t xml:space="preserve"> issuance of a public condemnation of the murder of human rights defender Marisela </w:t>
      </w:r>
      <w:proofErr w:type="spellStart"/>
      <w:r w:rsidR="00E42674" w:rsidRPr="003C33CA">
        <w:rPr>
          <w:rFonts w:eastAsia="Batang"/>
        </w:rPr>
        <w:t>Escovedo</w:t>
      </w:r>
      <w:proofErr w:type="spellEnd"/>
      <w:r w:rsidR="00E42674" w:rsidRPr="003C33CA">
        <w:rPr>
          <w:rFonts w:eastAsia="Batang"/>
        </w:rPr>
        <w:t xml:space="preserve"> in Mexico.</w:t>
      </w:r>
      <w:r w:rsidR="00E42674" w:rsidRPr="000878BB">
        <w:rPr>
          <w:rStyle w:val="FootnoteReference"/>
          <w:rFonts w:eastAsia="Batang"/>
        </w:rPr>
        <w:footnoteReference w:id="8"/>
      </w:r>
      <w:r w:rsidR="00E42674" w:rsidRPr="003C33CA">
        <w:rPr>
          <w:rFonts w:eastAsia="Batang"/>
          <w:lang w:eastAsia="ko-KR"/>
        </w:rPr>
        <w:t xml:space="preserve"> Sometimes </w:t>
      </w:r>
      <w:r w:rsidR="00E42674" w:rsidRPr="003C33CA">
        <w:rPr>
          <w:lang w:eastAsia="ko-KR"/>
        </w:rPr>
        <w:t>t</w:t>
      </w:r>
      <w:r w:rsidR="00E42674" w:rsidRPr="003C33CA">
        <w:t xml:space="preserve">he Commission and the Court’s </w:t>
      </w:r>
      <w:r w:rsidR="00E42674" w:rsidRPr="003C33CA">
        <w:rPr>
          <w:lang w:eastAsia="ko-KR"/>
        </w:rPr>
        <w:t xml:space="preserve">landmark </w:t>
      </w:r>
      <w:r w:rsidR="00E42674" w:rsidRPr="003C33CA">
        <w:t xml:space="preserve">decisions even have an impact on countries beyond the scope of the original ruling. For </w:t>
      </w:r>
      <w:r w:rsidR="00E42674" w:rsidRPr="003C33CA">
        <w:rPr>
          <w:lang w:eastAsia="ko-KR"/>
        </w:rPr>
        <w:t>example</w:t>
      </w:r>
      <w:r w:rsidR="00E42674" w:rsidRPr="003C33CA">
        <w:t xml:space="preserve">, military officers from several Latin American dictatorships benefited from </w:t>
      </w:r>
      <w:r w:rsidR="00E42674" w:rsidRPr="003C33CA">
        <w:rPr>
          <w:lang w:eastAsia="ko-KR"/>
        </w:rPr>
        <w:t xml:space="preserve">amnesty </w:t>
      </w:r>
      <w:r w:rsidR="00E42674" w:rsidRPr="003C33CA">
        <w:t xml:space="preserve">laws, which both the Commission and the Court ruled were in violation of </w:t>
      </w:r>
      <w:r w:rsidR="00E42674" w:rsidRPr="003C33CA">
        <w:rPr>
          <w:lang w:eastAsia="ko-KR"/>
        </w:rPr>
        <w:t xml:space="preserve">international </w:t>
      </w:r>
      <w:r w:rsidR="00E42674" w:rsidRPr="003C33CA">
        <w:t>human rights law. Consequently, several countries (Argentina, Chile, etc</w:t>
      </w:r>
      <w:r w:rsidR="00E42674" w:rsidRPr="003C33CA">
        <w:rPr>
          <w:lang w:eastAsia="ko-KR"/>
        </w:rPr>
        <w:t>.</w:t>
      </w:r>
      <w:r w:rsidR="00E42674" w:rsidRPr="003C33CA">
        <w:t xml:space="preserve">) repealed their amnesty legislation and began to prosecute military officers </w:t>
      </w:r>
      <w:r w:rsidR="00E42674" w:rsidRPr="003C33CA">
        <w:rPr>
          <w:lang w:eastAsia="ko-KR"/>
        </w:rPr>
        <w:t xml:space="preserve">for violations </w:t>
      </w:r>
      <w:r w:rsidR="00E42674" w:rsidRPr="003C33CA">
        <w:t xml:space="preserve">going back to the 1970s. </w:t>
      </w:r>
      <w:r w:rsidR="00E42674" w:rsidRPr="003C33CA">
        <w:rPr>
          <w:lang w:eastAsia="ko-KR"/>
        </w:rPr>
        <w:t>As well</w:t>
      </w:r>
      <w:r w:rsidR="00E42674" w:rsidRPr="003C33CA">
        <w:t>, the Inter-American Commission has been asking for transparency about Guantanamo and urging its closure since the early 2000s.</w:t>
      </w:r>
    </w:p>
    <w:p w:rsidR="00E42674" w:rsidRPr="003C33CA" w:rsidRDefault="00C21602" w:rsidP="006A5689">
      <w:pPr>
        <w:pStyle w:val="SingleTxtG"/>
      </w:pPr>
      <w:r>
        <w:rPr>
          <w:rFonts w:eastAsia="Batang" w:hint="eastAsia"/>
          <w:lang w:val="en-AU"/>
        </w:rPr>
        <w:t>1</w:t>
      </w:r>
      <w:r>
        <w:rPr>
          <w:rFonts w:eastAsia="Batang"/>
          <w:lang w:val="en-AU"/>
        </w:rPr>
        <w:t>2</w:t>
      </w:r>
      <w:r w:rsidR="003C33CA" w:rsidRPr="000878BB">
        <w:rPr>
          <w:rFonts w:eastAsia="Batang" w:hint="eastAsia"/>
          <w:lang w:val="en-AU"/>
        </w:rPr>
        <w:t>.</w:t>
      </w:r>
      <w:r w:rsidR="003C33CA" w:rsidRPr="000878BB">
        <w:rPr>
          <w:rFonts w:eastAsia="Batang" w:hint="eastAsia"/>
          <w:lang w:val="en-AU"/>
        </w:rPr>
        <w:tab/>
      </w:r>
      <w:r w:rsidR="00E42674" w:rsidRPr="003C33CA">
        <w:rPr>
          <w:rFonts w:eastAsia="Batang"/>
        </w:rPr>
        <w:t>The decisions of the European Commission and Court in particular have had considerable impact on law and practice in several states. Examples of this include changes to detention practices in Belgium, Germany, Greece and Italy, the treatment of aliens in the Netherlands and Switzerland and other countries, press freedom legislation in Britain, wiretapping regulations in Switzerland, legal aid practices in Italy and Denmark, procedures to speed trials in Italy, the Netherlands, and Sweden, and privacy legislation in Italy.</w:t>
      </w:r>
      <w:r w:rsidR="00E42674" w:rsidRPr="000878BB">
        <w:rPr>
          <w:rStyle w:val="FootnoteReference"/>
          <w:rFonts w:eastAsia="Batang"/>
        </w:rPr>
        <w:footnoteReference w:id="9"/>
      </w:r>
      <w:r w:rsidR="00E42674" w:rsidRPr="003C33CA">
        <w:rPr>
          <w:rFonts w:eastAsia="Batang"/>
        </w:rPr>
        <w:t xml:space="preserve"> Another example is </w:t>
      </w:r>
      <w:proofErr w:type="spellStart"/>
      <w:r w:rsidR="00E42674" w:rsidRPr="003C33CA">
        <w:rPr>
          <w:rFonts w:eastAsia="Batang"/>
        </w:rPr>
        <w:t>Opuz</w:t>
      </w:r>
      <w:proofErr w:type="spellEnd"/>
      <w:r w:rsidR="00E42674" w:rsidRPr="003C33CA">
        <w:rPr>
          <w:rFonts w:eastAsia="Batang"/>
        </w:rPr>
        <w:t xml:space="preserve"> v. Turkey in 2009, where the ECHR held that Turkey violated its obligation to protect women from domestic violence, relying partially on concluding comments of the </w:t>
      </w:r>
      <w:r w:rsidR="00E42674" w:rsidRPr="003C33CA">
        <w:rPr>
          <w:rFonts w:eastAsia="Batang" w:hint="eastAsia"/>
          <w:lang w:eastAsia="ko-KR"/>
        </w:rPr>
        <w:t xml:space="preserve">Convention </w:t>
      </w:r>
      <w:r w:rsidR="00E42674" w:rsidRPr="003C33CA">
        <w:rPr>
          <w:rFonts w:eastAsia="Batang"/>
        </w:rPr>
        <w:t xml:space="preserve">on the Elimination of Discrimination against Women </w:t>
      </w:r>
      <w:r w:rsidR="00E42674" w:rsidRPr="003C33CA">
        <w:rPr>
          <w:rFonts w:eastAsia="Batang" w:hint="eastAsia"/>
          <w:lang w:eastAsia="ko-KR"/>
        </w:rPr>
        <w:t>(</w:t>
      </w:r>
      <w:r w:rsidR="00E42674" w:rsidRPr="003C33CA">
        <w:rPr>
          <w:rFonts w:eastAsia="Batang"/>
        </w:rPr>
        <w:t>CEDAW</w:t>
      </w:r>
      <w:r w:rsidR="00E42674" w:rsidRPr="003C33CA">
        <w:rPr>
          <w:rFonts w:eastAsia="Batang" w:hint="eastAsia"/>
          <w:lang w:eastAsia="ko-KR"/>
        </w:rPr>
        <w:t>)</w:t>
      </w:r>
      <w:r w:rsidR="00E42674" w:rsidRPr="003C33CA">
        <w:rPr>
          <w:rFonts w:eastAsia="Batang"/>
        </w:rPr>
        <w:t xml:space="preserve"> Committee to support its conclusion that “the general and discriminatory judicial passivity in Turkey created a climate that was conducive to domestic violence.” The </w:t>
      </w:r>
      <w:r w:rsidR="00E42674" w:rsidRPr="003C33CA">
        <w:rPr>
          <w:rFonts w:eastAsia="Batang" w:hint="eastAsia"/>
          <w:lang w:eastAsia="ko-KR"/>
        </w:rPr>
        <w:t>ECHR noted that a</w:t>
      </w:r>
      <w:r w:rsidR="00E42674" w:rsidRPr="003C33CA">
        <w:rPr>
          <w:rFonts w:eastAsia="Batang"/>
        </w:rPr>
        <w:t>lthough states enjoy a certain “margin of appreciation” in implementing the ECHR, they cannot use local cultural preferences as a general excuse for failing to protect the rights guaranteed in the Convention. In Dudgeon v. United Kingdom in 1981, ECHR held that Northern Ireland’s criminal laws prohibiting consensual sex between consenting adult males violated the right to privacy, as protected by Article 8 of the ECHR. As a consequence of the judgment, homosexual sex between males was decriminalized in Northern Ireland in 1982.</w:t>
      </w:r>
      <w:r w:rsidR="00E42674" w:rsidRPr="000878BB">
        <w:rPr>
          <w:rStyle w:val="FootnoteReference"/>
          <w:rFonts w:eastAsia="Batang"/>
        </w:rPr>
        <w:footnoteReference w:id="10"/>
      </w:r>
    </w:p>
    <w:p w:rsidR="00E42674" w:rsidRPr="003C33CA" w:rsidRDefault="00C21602" w:rsidP="006A5689">
      <w:pPr>
        <w:pStyle w:val="SingleTxtG"/>
      </w:pPr>
      <w:r>
        <w:rPr>
          <w:rFonts w:eastAsia="Batang" w:hint="eastAsia"/>
          <w:lang w:val="en-AU"/>
        </w:rPr>
        <w:t>1</w:t>
      </w:r>
      <w:r>
        <w:rPr>
          <w:rFonts w:eastAsia="Batang"/>
          <w:lang w:val="en-AU"/>
        </w:rPr>
        <w:t>3</w:t>
      </w:r>
      <w:r w:rsidR="003C33CA" w:rsidRPr="000878BB">
        <w:rPr>
          <w:rFonts w:eastAsia="Batang" w:hint="eastAsia"/>
          <w:lang w:val="en-AU"/>
        </w:rPr>
        <w:t>.</w:t>
      </w:r>
      <w:r w:rsidR="003C33CA" w:rsidRPr="000878BB">
        <w:rPr>
          <w:rFonts w:eastAsia="Batang" w:hint="eastAsia"/>
          <w:lang w:val="en-AU"/>
        </w:rPr>
        <w:tab/>
      </w:r>
      <w:r w:rsidR="00E42674" w:rsidRPr="003C33CA">
        <w:rPr>
          <w:rFonts w:eastAsia="Batang"/>
          <w:lang w:eastAsia="ko-KR"/>
        </w:rPr>
        <w:t xml:space="preserve">Court activism is less pronounced in other regional arrangements, some of which do not yet have courts, such as ASEAN or the Arab League. Nevertheless, these regional arrangements can still play constructive advocacy roles. </w:t>
      </w:r>
      <w:r w:rsidR="00E42674" w:rsidRPr="003C33CA">
        <w:t xml:space="preserve">In 2001, the African Commission on Human and Peoples’ Rights concluded consideration of a communication </w:t>
      </w:r>
      <w:r w:rsidR="00E42674" w:rsidRPr="003C33CA">
        <w:rPr>
          <w:lang w:eastAsia="ko-KR"/>
        </w:rPr>
        <w:t xml:space="preserve">that </w:t>
      </w:r>
      <w:r w:rsidR="00E42674" w:rsidRPr="003C33CA">
        <w:t xml:space="preserve">dealt with alleged violations of the human rights of the Ogoni people in </w:t>
      </w:r>
      <w:r w:rsidR="00E42674" w:rsidRPr="003C33CA">
        <w:rPr>
          <w:lang w:eastAsia="ko-KR"/>
        </w:rPr>
        <w:t>Nigeria</w:t>
      </w:r>
      <w:r w:rsidR="00E42674" w:rsidRPr="003C33CA">
        <w:t xml:space="preserve">. </w:t>
      </w:r>
      <w:r w:rsidR="00E42674" w:rsidRPr="003C33CA">
        <w:rPr>
          <w:lang w:eastAsia="ko-KR"/>
        </w:rPr>
        <w:t xml:space="preserve">It marked the </w:t>
      </w:r>
      <w:r w:rsidR="00E42674" w:rsidRPr="003C33CA">
        <w:t xml:space="preserve">first time the </w:t>
      </w:r>
      <w:r w:rsidR="00E42674" w:rsidRPr="003C33CA">
        <w:rPr>
          <w:lang w:eastAsia="ko-KR"/>
        </w:rPr>
        <w:t xml:space="preserve">Commission </w:t>
      </w:r>
      <w:r w:rsidR="00E42674" w:rsidRPr="003C33CA">
        <w:t>was able to deal with alleged violations of economic, social and cultural rights</w:t>
      </w:r>
      <w:r w:rsidR="00E42674" w:rsidRPr="003C33CA">
        <w:rPr>
          <w:rFonts w:hint="eastAsia"/>
          <w:lang w:eastAsia="ko-KR"/>
        </w:rPr>
        <w:t xml:space="preserve"> in a </w:t>
      </w:r>
      <w:r w:rsidR="00E42674" w:rsidRPr="003C33CA">
        <w:rPr>
          <w:lang w:eastAsia="ko-KR"/>
        </w:rPr>
        <w:t>substantial</w:t>
      </w:r>
      <w:r w:rsidR="00E42674" w:rsidRPr="003C33CA">
        <w:rPr>
          <w:rFonts w:hint="eastAsia"/>
          <w:lang w:eastAsia="ko-KR"/>
        </w:rPr>
        <w:t xml:space="preserve"> and firm </w:t>
      </w:r>
      <w:r w:rsidR="00E42674" w:rsidRPr="003C33CA">
        <w:rPr>
          <w:lang w:eastAsia="ko-KR"/>
        </w:rPr>
        <w:t>approach.</w:t>
      </w:r>
      <w:r w:rsidR="00E42674" w:rsidRPr="000878BB">
        <w:rPr>
          <w:rStyle w:val="FootnoteReference"/>
        </w:rPr>
        <w:footnoteReference w:id="11"/>
      </w:r>
    </w:p>
    <w:p w:rsidR="00E42674" w:rsidRPr="000878BB" w:rsidRDefault="006A5689" w:rsidP="006A5689">
      <w:pPr>
        <w:pStyle w:val="H23G"/>
        <w:rPr>
          <w:rFonts w:eastAsia="Batang"/>
          <w:lang w:eastAsia="ko-KR"/>
        </w:rPr>
      </w:pPr>
      <w:r>
        <w:rPr>
          <w:rFonts w:eastAsia="Batang"/>
          <w:lang w:eastAsia="ko-KR"/>
        </w:rPr>
        <w:tab/>
      </w:r>
      <w:r>
        <w:rPr>
          <w:rFonts w:eastAsia="Batang"/>
          <w:lang w:eastAsia="ko-KR"/>
        </w:rPr>
        <w:tab/>
      </w:r>
      <w:r w:rsidR="00E42674" w:rsidRPr="000878BB">
        <w:rPr>
          <w:rFonts w:eastAsia="Batang"/>
          <w:lang w:eastAsia="ko-KR"/>
        </w:rPr>
        <w:t>Standard setting</w:t>
      </w:r>
    </w:p>
    <w:p w:rsidR="00E42674" w:rsidRPr="003C33CA" w:rsidRDefault="00C21602" w:rsidP="006A5689">
      <w:pPr>
        <w:pStyle w:val="SingleTxtG"/>
      </w:pPr>
      <w:r>
        <w:rPr>
          <w:rFonts w:eastAsia="Batang" w:hint="eastAsia"/>
          <w:lang w:val="en-AU"/>
        </w:rPr>
        <w:t>1</w:t>
      </w:r>
      <w:r>
        <w:rPr>
          <w:rFonts w:eastAsia="Batang"/>
          <w:lang w:val="en-AU"/>
        </w:rPr>
        <w:t>4</w:t>
      </w:r>
      <w:r w:rsidR="003C33CA" w:rsidRPr="000878BB">
        <w:rPr>
          <w:rFonts w:eastAsia="Batang" w:hint="eastAsia"/>
          <w:lang w:val="en-AU"/>
        </w:rPr>
        <w:t>.</w:t>
      </w:r>
      <w:r w:rsidR="003C33CA" w:rsidRPr="000878BB">
        <w:rPr>
          <w:rFonts w:eastAsia="Batang" w:hint="eastAsia"/>
          <w:lang w:val="en-AU"/>
        </w:rPr>
        <w:tab/>
      </w:r>
      <w:r w:rsidR="00E42674" w:rsidRPr="003C33CA">
        <w:rPr>
          <w:rFonts w:eastAsia="Batang"/>
          <w:lang w:eastAsia="ko-KR"/>
        </w:rPr>
        <w:t xml:space="preserve">Although court decisions, by establishing legal precedents, constitute a form of strong standard setting, regional arrangements are also successful at diffusing and reinforcing human rights norms and standards in their regions in cooperation with member </w:t>
      </w:r>
      <w:r w:rsidR="00E42674" w:rsidRPr="003C33CA">
        <w:rPr>
          <w:rFonts w:eastAsia="Batang"/>
          <w:lang w:eastAsia="ko-KR"/>
        </w:rPr>
        <w:lastRenderedPageBreak/>
        <w:t>states. T</w:t>
      </w:r>
      <w:r w:rsidR="00E42674" w:rsidRPr="003C33CA">
        <w:rPr>
          <w:rFonts w:eastAsia="Batang"/>
        </w:rPr>
        <w:t xml:space="preserve">he European human rights regime, in particular, has contributed to human rights advancements within European countries and serves as a reference model worldwide. The creation of, and high compliance to, human rights norms was possible due to strong pre-existing norms within Europe – namely, common consensus </w:t>
      </w:r>
      <w:proofErr w:type="spellStart"/>
      <w:r w:rsidR="00E42674" w:rsidRPr="003C33CA">
        <w:rPr>
          <w:rFonts w:eastAsia="Batang"/>
        </w:rPr>
        <w:t>favoring</w:t>
      </w:r>
      <w:proofErr w:type="spellEnd"/>
      <w:r w:rsidR="00E42674" w:rsidRPr="003C33CA">
        <w:rPr>
          <w:rFonts w:eastAsia="Batang"/>
        </w:rPr>
        <w:t xml:space="preserve"> human rights, and adequate protection for individuals who voice their opinions under the system. However, the ECHR has also helped develop human rights standards in new member states, particularly with the accession of many Eastern and South-eastern member states after 1990. M</w:t>
      </w:r>
      <w:r w:rsidR="00E42674" w:rsidRPr="003C33CA">
        <w:rPr>
          <w:rFonts w:eastAsia="Batang"/>
          <w:lang w:eastAsia="ko-KR"/>
        </w:rPr>
        <w:t>ontenegro, which acceded to the Council of Europe in 2007, is an excellent example of how a regional human rights mechanism can assist standard setting in a collaborative fashion, not just through court rulings. According to the government of Montenegro, the country has adopted numerous strategic documents and action plans including ones on displaced people, improvement of status for Roma and Egyptians, human trafficking, LGBT rights, protection of children and the elderly, and others. In terms of legal changes, Montenegro amended the Law on Prohibition of Discrimination, the Law on Gender Equality, the Law on the Protector of Human Rights and Freedoms and adopted the Law on Prohibition of Discrimination against Persons with Disabilities. In line with recommendations from the Council of Europe, Montenegro also included a comprehensive definition of hate speech in the Law on Prohibition of Discrimination as well.</w:t>
      </w:r>
      <w:r w:rsidR="00E42674" w:rsidRPr="000878BB">
        <w:rPr>
          <w:rStyle w:val="FootnoteReference"/>
          <w:rFonts w:eastAsia="Batang"/>
          <w:lang w:eastAsia="ko-KR"/>
        </w:rPr>
        <w:footnoteReference w:id="12"/>
      </w:r>
      <w:r w:rsidR="00E42674" w:rsidRPr="003C33CA">
        <w:rPr>
          <w:rFonts w:eastAsia="Batang"/>
          <w:lang w:eastAsia="ko-KR"/>
        </w:rPr>
        <w:t xml:space="preserve"> </w:t>
      </w:r>
    </w:p>
    <w:p w:rsidR="00E42674" w:rsidRPr="003C33CA" w:rsidRDefault="00C21602" w:rsidP="006A5689">
      <w:pPr>
        <w:pStyle w:val="SingleTxtG"/>
        <w:rPr>
          <w:rFonts w:eastAsia="Batang"/>
          <w:lang w:eastAsia="ko-KR"/>
        </w:rPr>
      </w:pPr>
      <w:r>
        <w:rPr>
          <w:rFonts w:eastAsia="Batang" w:hint="eastAsia"/>
          <w:lang w:val="en-AU" w:eastAsia="ko-KR"/>
        </w:rPr>
        <w:t>1</w:t>
      </w:r>
      <w:r>
        <w:rPr>
          <w:rFonts w:eastAsia="Batang"/>
          <w:lang w:val="en-AU" w:eastAsia="ko-KR"/>
        </w:rPr>
        <w:t>5</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t xml:space="preserve">This collaborative approach is evident in Africa as well. In its </w:t>
      </w:r>
      <w:r w:rsidR="00E42674" w:rsidRPr="003C33CA">
        <w:rPr>
          <w:rFonts w:hint="eastAsia"/>
          <w:lang w:eastAsia="ko-KR"/>
        </w:rPr>
        <w:t>f</w:t>
      </w:r>
      <w:r w:rsidR="00E42674" w:rsidRPr="003C33CA">
        <w:t xml:space="preserve">ifth </w:t>
      </w:r>
      <w:r w:rsidR="00E42674" w:rsidRPr="003C33CA">
        <w:rPr>
          <w:rFonts w:hint="eastAsia"/>
          <w:lang w:eastAsia="ko-KR"/>
        </w:rPr>
        <w:t>s</w:t>
      </w:r>
      <w:r w:rsidR="00E42674" w:rsidRPr="003C33CA">
        <w:t xml:space="preserve">ession, the African Commission on Human and Peoples’ Rights resolved that </w:t>
      </w:r>
      <w:r w:rsidR="00E42674" w:rsidRPr="003C33CA">
        <w:rPr>
          <w:rFonts w:hint="eastAsia"/>
          <w:lang w:eastAsia="ko-KR"/>
        </w:rPr>
        <w:t>s</w:t>
      </w:r>
      <w:r w:rsidR="00E42674" w:rsidRPr="003C33CA">
        <w:t xml:space="preserve">tate </w:t>
      </w:r>
      <w:r w:rsidR="00E42674" w:rsidRPr="003C33CA">
        <w:rPr>
          <w:rFonts w:hint="eastAsia"/>
          <w:lang w:eastAsia="ko-KR"/>
        </w:rPr>
        <w:t>p</w:t>
      </w:r>
      <w:r w:rsidR="00E42674" w:rsidRPr="003C33CA">
        <w:t xml:space="preserve">arties should incorporate the teaching of human rights into their educational curricula </w:t>
      </w:r>
      <w:r w:rsidR="00E42674" w:rsidRPr="003C33CA">
        <w:rPr>
          <w:rFonts w:hint="eastAsia"/>
          <w:lang w:eastAsia="ko-KR"/>
        </w:rPr>
        <w:t xml:space="preserve">and </w:t>
      </w:r>
      <w:r w:rsidR="00E42674" w:rsidRPr="003C33CA">
        <w:t xml:space="preserve">establish </w:t>
      </w:r>
      <w:r w:rsidR="00E42674" w:rsidRPr="003C33CA">
        <w:rPr>
          <w:rFonts w:hint="eastAsia"/>
          <w:lang w:eastAsia="ko-KR"/>
        </w:rPr>
        <w:t>c</w:t>
      </w:r>
      <w:r w:rsidR="00E42674" w:rsidRPr="003C33CA">
        <w:t xml:space="preserve">ommittees on </w:t>
      </w:r>
      <w:r w:rsidR="00E42674" w:rsidRPr="003C33CA">
        <w:rPr>
          <w:rFonts w:hint="eastAsia"/>
          <w:lang w:eastAsia="ko-KR"/>
        </w:rPr>
        <w:t>h</w:t>
      </w:r>
      <w:r w:rsidR="00E42674" w:rsidRPr="003C33CA">
        <w:t xml:space="preserve">uman </w:t>
      </w:r>
      <w:r w:rsidR="00E42674" w:rsidRPr="003C33CA">
        <w:rPr>
          <w:rFonts w:hint="eastAsia"/>
          <w:lang w:eastAsia="ko-KR"/>
        </w:rPr>
        <w:t>r</w:t>
      </w:r>
      <w:r w:rsidR="00E42674" w:rsidRPr="003C33CA">
        <w:t>ights at national, subnational and regional levels. Some African countries</w:t>
      </w:r>
      <w:r w:rsidR="00E42674" w:rsidRPr="003C33CA">
        <w:rPr>
          <w:rFonts w:hint="eastAsia"/>
          <w:lang w:eastAsia="ko-KR"/>
        </w:rPr>
        <w:t xml:space="preserve"> such as Nigeria</w:t>
      </w:r>
      <w:r w:rsidR="00E42674" w:rsidRPr="003C33CA">
        <w:t xml:space="preserve"> have incorporated the provisions of the African Charter into their domestic </w:t>
      </w:r>
      <w:r w:rsidR="00E42674" w:rsidRPr="003C33CA">
        <w:rPr>
          <w:rFonts w:hint="eastAsia"/>
          <w:lang w:eastAsia="ko-KR"/>
        </w:rPr>
        <w:t>l</w:t>
      </w:r>
      <w:r w:rsidR="00E42674" w:rsidRPr="003C33CA">
        <w:t xml:space="preserve">aw. </w:t>
      </w:r>
      <w:r w:rsidR="00E42674" w:rsidRPr="003C33CA">
        <w:rPr>
          <w:rFonts w:hint="eastAsia"/>
          <w:lang w:eastAsia="ko-KR"/>
        </w:rPr>
        <w:t>T</w:t>
      </w:r>
      <w:r w:rsidR="00E42674" w:rsidRPr="003C33CA">
        <w:t>he Commission has also sponsored a number of seminars and international conferences</w:t>
      </w:r>
      <w:r w:rsidR="00E42674" w:rsidRPr="003C33CA">
        <w:rPr>
          <w:rFonts w:hint="eastAsia"/>
          <w:lang w:eastAsia="ko-KR"/>
        </w:rPr>
        <w:t xml:space="preserve"> that</w:t>
      </w:r>
      <w:r w:rsidR="00E42674" w:rsidRPr="003C33CA">
        <w:t xml:space="preserve"> covered a broad spectrum of issues such as community work, economic, social and cultural rights, HIV and AIDS in Africa, prisons, and women’s rights in Africa.</w:t>
      </w:r>
      <w:r w:rsidR="00E42674" w:rsidRPr="000878BB">
        <w:rPr>
          <w:rStyle w:val="FootnoteReference"/>
        </w:rPr>
        <w:footnoteReference w:id="13"/>
      </w:r>
      <w:r w:rsidR="00E42674" w:rsidRPr="003C33CA">
        <w:t xml:space="preserve"> </w:t>
      </w:r>
    </w:p>
    <w:p w:rsidR="00E42674" w:rsidRPr="000878BB" w:rsidRDefault="006A5689" w:rsidP="006A5689">
      <w:pPr>
        <w:pStyle w:val="H23G"/>
      </w:pPr>
      <w:r>
        <w:rPr>
          <w:rFonts w:eastAsia="Batang"/>
          <w:lang w:eastAsia="ko-KR"/>
        </w:rPr>
        <w:tab/>
      </w:r>
      <w:r>
        <w:rPr>
          <w:rFonts w:eastAsia="Batang"/>
          <w:lang w:eastAsia="ko-KR"/>
        </w:rPr>
        <w:tab/>
      </w:r>
      <w:r w:rsidR="00E42674" w:rsidRPr="000878BB">
        <w:rPr>
          <w:rFonts w:eastAsia="Batang"/>
          <w:lang w:eastAsia="ko-KR"/>
        </w:rPr>
        <w:t>Publication of country reports, on-site observation and country visits</w:t>
      </w:r>
    </w:p>
    <w:p w:rsidR="00E42674" w:rsidRPr="003C33CA" w:rsidRDefault="00C21602" w:rsidP="006A5689">
      <w:pPr>
        <w:pStyle w:val="SingleTxtG"/>
      </w:pPr>
      <w:r>
        <w:rPr>
          <w:rFonts w:eastAsia="Batang" w:hint="eastAsia"/>
          <w:lang w:val="en-AU"/>
        </w:rPr>
        <w:t>1</w:t>
      </w:r>
      <w:r>
        <w:rPr>
          <w:rFonts w:eastAsia="Batang"/>
          <w:lang w:val="en-AU"/>
        </w:rPr>
        <w:t>6</w:t>
      </w:r>
      <w:r w:rsidR="003C33CA" w:rsidRPr="000878BB">
        <w:rPr>
          <w:rFonts w:eastAsia="Batang" w:hint="eastAsia"/>
          <w:lang w:val="en-AU"/>
        </w:rPr>
        <w:t>.</w:t>
      </w:r>
      <w:r w:rsidR="003C33CA" w:rsidRPr="000878BB">
        <w:rPr>
          <w:rFonts w:eastAsia="Batang" w:hint="eastAsia"/>
          <w:lang w:val="en-AU"/>
        </w:rPr>
        <w:tab/>
      </w:r>
      <w:r w:rsidR="00E42674" w:rsidRPr="003C33CA">
        <w:t xml:space="preserve">Regional arrangements also play a crucial role in collecting and disseminating information about human rights conditions in the region, which allows cross-country comparisons and the development of best practices. Unfortunately, the effectiveness of these efforts </w:t>
      </w:r>
      <w:proofErr w:type="gramStart"/>
      <w:r w:rsidR="00E42674" w:rsidRPr="003C33CA">
        <w:t>vary</w:t>
      </w:r>
      <w:proofErr w:type="gramEnd"/>
      <w:r w:rsidR="00E42674" w:rsidRPr="003C33CA">
        <w:t xml:space="preserve"> by region. In 2014</w:t>
      </w:r>
      <w:r w:rsidR="00E42674" w:rsidRPr="003C33CA">
        <w:rPr>
          <w:rFonts w:hint="eastAsia"/>
          <w:lang w:eastAsia="ko-KR"/>
        </w:rPr>
        <w:t>,</w:t>
      </w:r>
      <w:r w:rsidR="00E42674" w:rsidRPr="003C33CA">
        <w:t xml:space="preserve"> the </w:t>
      </w:r>
      <w:r w:rsidR="00E42674" w:rsidRPr="003C33CA">
        <w:rPr>
          <w:lang w:eastAsia="ko-KR"/>
        </w:rPr>
        <w:t xml:space="preserve">European Court’s </w:t>
      </w:r>
      <w:r w:rsidR="00E42674" w:rsidRPr="003C33CA">
        <w:t xml:space="preserve">Press Unit launched six new </w:t>
      </w:r>
      <w:r w:rsidR="00E42674" w:rsidRPr="003C33CA">
        <w:rPr>
          <w:lang w:eastAsia="ko-KR"/>
        </w:rPr>
        <w:t>f</w:t>
      </w:r>
      <w:r w:rsidR="00E42674" w:rsidRPr="003C33CA">
        <w:t xml:space="preserve">actsheets on the </w:t>
      </w:r>
      <w:r w:rsidR="00E42674" w:rsidRPr="003C33CA">
        <w:rPr>
          <w:lang w:eastAsia="ko-KR"/>
        </w:rPr>
        <w:t xml:space="preserve">European </w:t>
      </w:r>
      <w:r w:rsidR="00E42674" w:rsidRPr="003C33CA">
        <w:t xml:space="preserve">Court’s case-law concerning, in particular, elderly people, persons with disabilities, political parties and associations, </w:t>
      </w:r>
      <w:r w:rsidR="00E42674" w:rsidRPr="003C33CA">
        <w:rPr>
          <w:lang w:eastAsia="ko-KR"/>
        </w:rPr>
        <w:t xml:space="preserve">hunger </w:t>
      </w:r>
      <w:r w:rsidR="00E42674" w:rsidRPr="003C33CA">
        <w:t xml:space="preserve">strikes in detention, migrants in detention, and domestic violence. It has now prepared a total of </w:t>
      </w:r>
      <w:r w:rsidR="00E42674" w:rsidRPr="003C33CA">
        <w:rPr>
          <w:lang w:eastAsia="ko-KR"/>
        </w:rPr>
        <w:t>59</w:t>
      </w:r>
      <w:r w:rsidR="00E42674" w:rsidRPr="003C33CA">
        <w:t xml:space="preserve"> </w:t>
      </w:r>
      <w:r w:rsidR="00E42674" w:rsidRPr="003C33CA">
        <w:rPr>
          <w:lang w:eastAsia="ko-KR"/>
        </w:rPr>
        <w:t>f</w:t>
      </w:r>
      <w:r w:rsidR="00E42674" w:rsidRPr="003C33CA">
        <w:t xml:space="preserve">actsheets in English and French, many of which have been also translated into </w:t>
      </w:r>
      <w:r w:rsidR="00E42674" w:rsidRPr="003C33CA">
        <w:rPr>
          <w:lang w:eastAsia="ko-KR"/>
        </w:rPr>
        <w:t>German</w:t>
      </w:r>
      <w:r w:rsidR="00E42674" w:rsidRPr="003C33CA">
        <w:t xml:space="preserve">, Italian, Polish, Romanian, Russian and Turkish with the support of the </w:t>
      </w:r>
      <w:r w:rsidR="00E42674" w:rsidRPr="003C33CA">
        <w:rPr>
          <w:lang w:eastAsia="ko-KR"/>
        </w:rPr>
        <w:t>g</w:t>
      </w:r>
      <w:r w:rsidR="00E42674" w:rsidRPr="003C33CA">
        <w:t xml:space="preserve">overnments concerned. The Press Unit has also prepared </w:t>
      </w:r>
      <w:r w:rsidR="00E42674" w:rsidRPr="003C33CA">
        <w:rPr>
          <w:lang w:eastAsia="ko-KR"/>
        </w:rPr>
        <w:t>c</w:t>
      </w:r>
      <w:r w:rsidR="00E42674" w:rsidRPr="003C33CA">
        <w:t xml:space="preserve">ountry </w:t>
      </w:r>
      <w:r w:rsidR="00E42674" w:rsidRPr="003C33CA">
        <w:rPr>
          <w:lang w:eastAsia="ko-KR"/>
        </w:rPr>
        <w:t>p</w:t>
      </w:r>
      <w:r w:rsidR="00E42674" w:rsidRPr="003C33CA">
        <w:t xml:space="preserve">rofiles covering each of the </w:t>
      </w:r>
      <w:r w:rsidR="00E42674" w:rsidRPr="003C33CA">
        <w:rPr>
          <w:lang w:eastAsia="ko-KR"/>
        </w:rPr>
        <w:t xml:space="preserve">47 </w:t>
      </w:r>
      <w:r w:rsidR="00E42674" w:rsidRPr="003C33CA">
        <w:t xml:space="preserve">member </w:t>
      </w:r>
      <w:r w:rsidR="00E42674" w:rsidRPr="003C33CA">
        <w:rPr>
          <w:lang w:eastAsia="ko-KR"/>
        </w:rPr>
        <w:t>s</w:t>
      </w:r>
      <w:r w:rsidR="00E42674" w:rsidRPr="003C33CA">
        <w:t xml:space="preserve">tates. In addition to general and statistical information on each </w:t>
      </w:r>
      <w:r w:rsidR="00E42674" w:rsidRPr="003C33CA">
        <w:rPr>
          <w:lang w:eastAsia="ko-KR"/>
        </w:rPr>
        <w:t>s</w:t>
      </w:r>
      <w:r w:rsidR="00E42674" w:rsidRPr="003C33CA">
        <w:t xml:space="preserve">tate, the </w:t>
      </w:r>
      <w:r w:rsidR="00E42674" w:rsidRPr="003C33CA">
        <w:rPr>
          <w:lang w:eastAsia="ko-KR"/>
        </w:rPr>
        <w:t>c</w:t>
      </w:r>
      <w:r w:rsidR="00E42674" w:rsidRPr="003C33CA">
        <w:t xml:space="preserve">ountry </w:t>
      </w:r>
      <w:r w:rsidR="00E42674" w:rsidRPr="003C33CA">
        <w:rPr>
          <w:lang w:eastAsia="ko-KR"/>
        </w:rPr>
        <w:t>p</w:t>
      </w:r>
      <w:r w:rsidR="00E42674" w:rsidRPr="003C33CA">
        <w:t xml:space="preserve">rofiles provide </w:t>
      </w:r>
      <w:r w:rsidR="00E42674" w:rsidRPr="003C33CA">
        <w:rPr>
          <w:lang w:eastAsia="ko-KR"/>
        </w:rPr>
        <w:t xml:space="preserve">information on </w:t>
      </w:r>
      <w:r w:rsidR="00E42674" w:rsidRPr="003C33CA">
        <w:t xml:space="preserve">the most noteworthy cases concerning that </w:t>
      </w:r>
      <w:r w:rsidR="00E42674" w:rsidRPr="003C33CA">
        <w:rPr>
          <w:lang w:eastAsia="ko-KR"/>
        </w:rPr>
        <w:t>s</w:t>
      </w:r>
      <w:r w:rsidR="00E42674" w:rsidRPr="003C33CA">
        <w:t>tate.</w:t>
      </w:r>
      <w:r w:rsidR="00E42674" w:rsidRPr="000878BB">
        <w:rPr>
          <w:rStyle w:val="FootnoteReference"/>
        </w:rPr>
        <w:footnoteReference w:id="14"/>
      </w:r>
    </w:p>
    <w:p w:rsidR="00E42674" w:rsidRPr="003C33CA" w:rsidRDefault="00C21602" w:rsidP="006A5689">
      <w:pPr>
        <w:pStyle w:val="SingleTxtG"/>
      </w:pPr>
      <w:r>
        <w:rPr>
          <w:rFonts w:eastAsia="Batang" w:hint="eastAsia"/>
          <w:lang w:val="en-AU"/>
        </w:rPr>
        <w:t>1</w:t>
      </w:r>
      <w:r>
        <w:rPr>
          <w:rFonts w:eastAsia="Batang"/>
          <w:lang w:val="en-AU"/>
        </w:rPr>
        <w:t>7</w:t>
      </w:r>
      <w:r w:rsidR="003C33CA" w:rsidRPr="000878BB">
        <w:rPr>
          <w:rFonts w:eastAsia="Batang" w:hint="eastAsia"/>
          <w:lang w:val="en-AU"/>
        </w:rPr>
        <w:t>.</w:t>
      </w:r>
      <w:r w:rsidR="003C33CA" w:rsidRPr="000878BB">
        <w:rPr>
          <w:rFonts w:eastAsia="Batang" w:hint="eastAsia"/>
          <w:lang w:val="en-AU"/>
        </w:rPr>
        <w:tab/>
      </w:r>
      <w:r w:rsidR="00E42674" w:rsidRPr="003C33CA">
        <w:t>In the early 1990s,</w:t>
      </w:r>
      <w:r w:rsidR="00E42674" w:rsidRPr="003C33CA">
        <w:rPr>
          <w:lang w:eastAsia="ko-KR"/>
        </w:rPr>
        <w:t xml:space="preserve"> the Inter-American Commission </w:t>
      </w:r>
      <w:r w:rsidR="00E42674" w:rsidRPr="003C33CA">
        <w:t>began to closely monitor countries with the most fragile democratic institutions which were still experiencing political violence. The situations in Guatemala and Haiti at that time were particularly worrisome in this regard. Apart from periodic visits to both countries, the Commission published four reports on the human rights situation in Haiti between 1990 and 1995 and three reports on Guatemala between 1993 and 2001.</w:t>
      </w:r>
      <w:r w:rsidR="00E42674" w:rsidRPr="003C33CA">
        <w:rPr>
          <w:lang w:eastAsia="ko-KR"/>
        </w:rPr>
        <w:t xml:space="preserve"> </w:t>
      </w:r>
      <w:r w:rsidR="00E42674" w:rsidRPr="003C33CA">
        <w:t xml:space="preserve">In 1999 the Commission published a </w:t>
      </w:r>
      <w:r w:rsidR="00E42674" w:rsidRPr="003C33CA">
        <w:lastRenderedPageBreak/>
        <w:t>major report on the human rights situation in Colombia in which for the first time it considered international humanitarian law, i.e., the law of armed conflict, to identify the legal regime governing the ongoing internal armed conflict and to detail emblematic violations of international humanitarian law attributable to state security forces, paramilitary groups, and dissident armed groups alike</w:t>
      </w:r>
      <w:r w:rsidR="00E42674" w:rsidRPr="003C33CA">
        <w:rPr>
          <w:rFonts w:hint="eastAsia"/>
          <w:lang w:eastAsia="ko-KR"/>
        </w:rPr>
        <w:t xml:space="preserve">. </w:t>
      </w:r>
      <w:r w:rsidR="00E42674" w:rsidRPr="003C33CA">
        <w:t xml:space="preserve">In 1998, the Commission </w:t>
      </w:r>
      <w:r w:rsidR="00E42674" w:rsidRPr="003C33CA">
        <w:rPr>
          <w:lang w:eastAsia="ko-KR"/>
        </w:rPr>
        <w:t>visited</w:t>
      </w:r>
      <w:r w:rsidR="00E42674" w:rsidRPr="003C33CA">
        <w:t xml:space="preserve"> Peru, and prepared a comprehensive report on its human rights situation.</w:t>
      </w:r>
      <w:r w:rsidR="00E42674" w:rsidRPr="003C33CA">
        <w:rPr>
          <w:lang w:eastAsia="ko-KR"/>
        </w:rPr>
        <w:t xml:space="preserve"> The report was released in </w:t>
      </w:r>
      <w:r w:rsidR="00E42674" w:rsidRPr="003C33CA">
        <w:t>June 2000.</w:t>
      </w:r>
      <w:r w:rsidR="00E42674" w:rsidRPr="000878BB">
        <w:rPr>
          <w:rStyle w:val="FootnoteReference"/>
        </w:rPr>
        <w:footnoteReference w:id="15"/>
      </w:r>
    </w:p>
    <w:p w:rsidR="00E42674" w:rsidRPr="003C33CA" w:rsidRDefault="00C21602" w:rsidP="006A5689">
      <w:pPr>
        <w:pStyle w:val="SingleTxtG"/>
      </w:pPr>
      <w:r>
        <w:rPr>
          <w:rFonts w:eastAsia="Batang" w:hint="eastAsia"/>
          <w:lang w:val="en-AU"/>
        </w:rPr>
        <w:t>1</w:t>
      </w:r>
      <w:r>
        <w:rPr>
          <w:rFonts w:eastAsia="Batang"/>
          <w:lang w:val="en-AU"/>
        </w:rPr>
        <w:t>8</w:t>
      </w:r>
      <w:r w:rsidR="003C33CA" w:rsidRPr="000878BB">
        <w:rPr>
          <w:rFonts w:eastAsia="Batang" w:hint="eastAsia"/>
          <w:lang w:val="en-AU"/>
        </w:rPr>
        <w:t>.</w:t>
      </w:r>
      <w:r w:rsidR="003C33CA" w:rsidRPr="000878BB">
        <w:rPr>
          <w:rFonts w:eastAsia="Batang" w:hint="eastAsia"/>
          <w:lang w:val="en-AU"/>
        </w:rPr>
        <w:tab/>
      </w:r>
      <w:r w:rsidR="00E42674" w:rsidRPr="003C33CA">
        <w:rPr>
          <w:rFonts w:eastAsia="Batang"/>
        </w:rPr>
        <w:t xml:space="preserve">While the African Commission on </w:t>
      </w:r>
      <w:r w:rsidR="00E42674" w:rsidRPr="003C33CA">
        <w:rPr>
          <w:rFonts w:eastAsia="Batang" w:hint="eastAsia"/>
          <w:lang w:eastAsia="ko-KR"/>
        </w:rPr>
        <w:t>H</w:t>
      </w:r>
      <w:r w:rsidR="00E42674" w:rsidRPr="003C33CA">
        <w:rPr>
          <w:rFonts w:eastAsia="Batang"/>
        </w:rPr>
        <w:t xml:space="preserve">uman and </w:t>
      </w:r>
      <w:r w:rsidR="00E42674" w:rsidRPr="003C33CA">
        <w:rPr>
          <w:rFonts w:eastAsia="Batang" w:hint="eastAsia"/>
          <w:lang w:eastAsia="ko-KR"/>
        </w:rPr>
        <w:t>P</w:t>
      </w:r>
      <w:r w:rsidR="00E42674" w:rsidRPr="003C33CA">
        <w:rPr>
          <w:rFonts w:eastAsia="Batang"/>
        </w:rPr>
        <w:t xml:space="preserve">eople’s </w:t>
      </w:r>
      <w:r w:rsidR="00E42674" w:rsidRPr="003C33CA">
        <w:rPr>
          <w:rFonts w:eastAsia="Batang" w:hint="eastAsia"/>
          <w:lang w:eastAsia="ko-KR"/>
        </w:rPr>
        <w:t>R</w:t>
      </w:r>
      <w:r w:rsidR="00E42674" w:rsidRPr="003C33CA">
        <w:rPr>
          <w:rFonts w:eastAsia="Batang"/>
        </w:rPr>
        <w:t>ights is responsible for reviewing state compliance through biannual state reports on country efforts to implement the African Charter, many states combine</w:t>
      </w:r>
      <w:r w:rsidR="00E42674" w:rsidRPr="003C33CA">
        <w:rPr>
          <w:rFonts w:eastAsia="Batang"/>
          <w:lang w:eastAsia="ko-KR"/>
        </w:rPr>
        <w:t xml:space="preserve"> </w:t>
      </w:r>
      <w:r w:rsidR="00E42674" w:rsidRPr="003C33CA">
        <w:rPr>
          <w:rFonts w:eastAsia="Batang"/>
        </w:rPr>
        <w:t>several years’ worth of reports</w:t>
      </w:r>
      <w:r w:rsidR="00E42674" w:rsidRPr="003C33CA">
        <w:rPr>
          <w:rFonts w:eastAsia="Batang"/>
          <w:lang w:eastAsia="ko-KR"/>
        </w:rPr>
        <w:t xml:space="preserve"> instead of submitting biannual reports</w:t>
      </w:r>
      <w:r w:rsidR="00E42674" w:rsidRPr="003C33CA">
        <w:rPr>
          <w:rFonts w:eastAsia="Batang"/>
        </w:rPr>
        <w:t xml:space="preserve">. Moreover, </w:t>
      </w:r>
      <w:r w:rsidR="00E42674" w:rsidRPr="003C33CA">
        <w:rPr>
          <w:rFonts w:eastAsia="Batang"/>
          <w:lang w:eastAsia="ko-KR"/>
        </w:rPr>
        <w:t>seven</w:t>
      </w:r>
      <w:r w:rsidR="00E42674" w:rsidRPr="003C33CA">
        <w:rPr>
          <w:rFonts w:eastAsia="Batang"/>
        </w:rPr>
        <w:t xml:space="preserve"> member states have yet to submit a report at all. This can be attributed to a lack of resources and interest in those states. African Commission communications </w:t>
      </w:r>
      <w:r w:rsidR="00E42674" w:rsidRPr="003C33CA">
        <w:rPr>
          <w:rFonts w:eastAsia="Batang"/>
          <w:lang w:eastAsia="ko-KR"/>
        </w:rPr>
        <w:t xml:space="preserve">have </w:t>
      </w:r>
      <w:r w:rsidR="00E42674" w:rsidRPr="003C33CA">
        <w:rPr>
          <w:rFonts w:eastAsia="Batang"/>
        </w:rPr>
        <w:t xml:space="preserve">a mere 15% implementation rate. </w:t>
      </w:r>
      <w:r w:rsidR="00E42674" w:rsidRPr="003C33CA">
        <w:rPr>
          <w:lang w:eastAsia="ko-KR"/>
        </w:rPr>
        <w:t xml:space="preserve">Nevertheless, even this level of transparency has had an impact. According to the government of Kenya, </w:t>
      </w:r>
      <w:r w:rsidR="00E42674" w:rsidRPr="003C33CA">
        <w:t>the reporting requirements of the regional mechanism have played a major role in strengthening the rights of indigenous people</w:t>
      </w:r>
      <w:r w:rsidR="00E42674" w:rsidRPr="003C33CA">
        <w:rPr>
          <w:lang w:eastAsia="ko-KR"/>
        </w:rPr>
        <w:t xml:space="preserve">. </w:t>
      </w:r>
      <w:r w:rsidR="00E42674" w:rsidRPr="003C33CA">
        <w:t xml:space="preserve">Kenya’s new Constitution provides several avenues for the protection and strengthening of indigenous peoples’ personal and collective rights. Article 27 obligates the State to develop legislation and affirmative action’s programs. Article 56 obligates the State to provide for adequate representation of ‘marginalized groups’ in all levels of government, execute affirmative action on behalf of these groups, and promote the use of </w:t>
      </w:r>
      <w:r w:rsidR="00E42674" w:rsidRPr="003C33CA">
        <w:rPr>
          <w:lang w:eastAsia="ko-KR"/>
        </w:rPr>
        <w:t>i</w:t>
      </w:r>
      <w:r w:rsidR="00E42674" w:rsidRPr="003C33CA">
        <w:t>ndigenous languages and the free expression of traditional cultures. Article 100 requires the legislature to enact a law which will promote the representation of marginalized communities.</w:t>
      </w:r>
      <w:r w:rsidR="00E42674" w:rsidRPr="000878BB">
        <w:rPr>
          <w:rStyle w:val="FootnoteReference"/>
        </w:rPr>
        <w:footnoteReference w:id="16"/>
      </w:r>
    </w:p>
    <w:p w:rsidR="00E42674" w:rsidRPr="003C33CA" w:rsidRDefault="00C21602" w:rsidP="006A5689">
      <w:pPr>
        <w:pStyle w:val="SingleTxtG"/>
      </w:pPr>
      <w:r>
        <w:rPr>
          <w:rFonts w:eastAsia="Batang" w:hint="eastAsia"/>
          <w:lang w:val="en-AU"/>
        </w:rPr>
        <w:t>1</w:t>
      </w:r>
      <w:r>
        <w:rPr>
          <w:rFonts w:eastAsia="Batang"/>
          <w:lang w:val="en-AU"/>
        </w:rPr>
        <w:t>9</w:t>
      </w:r>
      <w:r w:rsidR="003C33CA" w:rsidRPr="000878BB">
        <w:rPr>
          <w:rFonts w:eastAsia="Batang" w:hint="eastAsia"/>
          <w:lang w:val="en-AU"/>
        </w:rPr>
        <w:t>.</w:t>
      </w:r>
      <w:r w:rsidR="003C33CA" w:rsidRPr="000878BB">
        <w:rPr>
          <w:rFonts w:eastAsia="Batang" w:hint="eastAsia"/>
          <w:lang w:val="en-AU"/>
        </w:rPr>
        <w:tab/>
      </w:r>
      <w:r w:rsidR="00E42674" w:rsidRPr="003C33CA">
        <w:t xml:space="preserve">The Arab Human Rights Committee </w:t>
      </w:r>
      <w:r w:rsidR="00E42674" w:rsidRPr="003C33CA">
        <w:rPr>
          <w:rFonts w:hint="eastAsia"/>
          <w:lang w:eastAsia="ko-KR"/>
        </w:rPr>
        <w:t>carried out</w:t>
      </w:r>
      <w:r w:rsidR="00E42674" w:rsidRPr="003C33CA">
        <w:t xml:space="preserve"> its first examination of </w:t>
      </w:r>
      <w:r w:rsidR="00E42674" w:rsidRPr="003C33CA">
        <w:rPr>
          <w:rFonts w:hint="eastAsia"/>
          <w:lang w:eastAsia="ko-KR"/>
        </w:rPr>
        <w:t>s</w:t>
      </w:r>
      <w:r w:rsidR="00E42674" w:rsidRPr="003C33CA">
        <w:t>tate reports in 2012</w:t>
      </w:r>
      <w:r w:rsidR="00E42674" w:rsidRPr="003C33CA">
        <w:rPr>
          <w:rFonts w:hint="eastAsia"/>
          <w:lang w:eastAsia="ko-KR"/>
        </w:rPr>
        <w:t>-2013</w:t>
      </w:r>
      <w:r w:rsidR="00E42674" w:rsidRPr="003C33CA">
        <w:t xml:space="preserve">, starting with Jordan, Algeria and Bahrain. The concluding remarks of the Committee are now published on its website in Arabic. Civil society organizations </w:t>
      </w:r>
      <w:r w:rsidR="00E42674" w:rsidRPr="003C33CA">
        <w:rPr>
          <w:lang w:eastAsia="ko-KR"/>
        </w:rPr>
        <w:t>are allowed to</w:t>
      </w:r>
      <w:r w:rsidR="00E42674" w:rsidRPr="003C33CA">
        <w:t xml:space="preserve"> disseminate these concluding remarks in their countries for public outreach (through the media, websites and social networks) and follow-up with the national authorities.</w:t>
      </w:r>
      <w:r w:rsidR="00E42674" w:rsidRPr="000878BB">
        <w:rPr>
          <w:rStyle w:val="FootnoteReference"/>
        </w:rPr>
        <w:footnoteReference w:id="17"/>
      </w:r>
      <w:r w:rsidR="00E42674" w:rsidRPr="003C33CA">
        <w:rPr>
          <w:lang w:eastAsia="ko-KR"/>
        </w:rPr>
        <w:t xml:space="preserve">  </w:t>
      </w:r>
    </w:p>
    <w:p w:rsidR="00E42674" w:rsidRPr="000878BB" w:rsidRDefault="006A5689" w:rsidP="006A5689">
      <w:pPr>
        <w:pStyle w:val="HChG"/>
        <w:rPr>
          <w:lang w:eastAsia="ko-KR"/>
        </w:rPr>
      </w:pPr>
      <w:r>
        <w:rPr>
          <w:rFonts w:eastAsia="Batang"/>
          <w:lang w:val="fr-CH" w:eastAsia="ko-KR"/>
        </w:rPr>
        <w:tab/>
      </w:r>
      <w:r w:rsidR="00E42674" w:rsidRPr="000878BB">
        <w:rPr>
          <w:rFonts w:eastAsia="Batang" w:hint="eastAsia"/>
          <w:lang w:eastAsia="ko-KR"/>
        </w:rPr>
        <w:t xml:space="preserve">IV. </w:t>
      </w:r>
      <w:r>
        <w:rPr>
          <w:rFonts w:eastAsia="Batang"/>
          <w:lang w:val="fr-CH" w:eastAsia="ko-KR"/>
        </w:rPr>
        <w:tab/>
      </w:r>
      <w:r w:rsidR="00E42674" w:rsidRPr="000878BB">
        <w:rPr>
          <w:rFonts w:eastAsia="Batang"/>
          <w:lang w:eastAsia="ko-KR"/>
        </w:rPr>
        <w:t xml:space="preserve">Challenges faced by regional and </w:t>
      </w:r>
      <w:proofErr w:type="spellStart"/>
      <w:r w:rsidR="00E42674" w:rsidRPr="000878BB">
        <w:rPr>
          <w:rFonts w:eastAsia="Batang"/>
          <w:lang w:eastAsia="ko-KR"/>
        </w:rPr>
        <w:t>subregional</w:t>
      </w:r>
      <w:proofErr w:type="spellEnd"/>
      <w:r w:rsidR="00E42674" w:rsidRPr="000878BB">
        <w:rPr>
          <w:rFonts w:eastAsia="Batang"/>
          <w:lang w:eastAsia="ko-KR"/>
        </w:rPr>
        <w:t xml:space="preserve"> human rights arrangements</w:t>
      </w:r>
    </w:p>
    <w:p w:rsidR="00E42674" w:rsidRPr="000878BB" w:rsidRDefault="006A5689" w:rsidP="006A5689">
      <w:pPr>
        <w:pStyle w:val="H23G"/>
        <w:rPr>
          <w:lang w:eastAsia="ko-KR"/>
        </w:rPr>
      </w:pPr>
      <w:r>
        <w:rPr>
          <w:rFonts w:eastAsia="Batang"/>
          <w:lang w:eastAsia="ko-KR"/>
        </w:rPr>
        <w:tab/>
      </w:r>
      <w:r>
        <w:rPr>
          <w:rFonts w:eastAsia="Batang"/>
          <w:lang w:eastAsia="ko-KR"/>
        </w:rPr>
        <w:tab/>
      </w:r>
      <w:r w:rsidR="00E42674" w:rsidRPr="000878BB">
        <w:rPr>
          <w:rFonts w:eastAsia="Batang"/>
          <w:lang w:eastAsia="ko-KR"/>
        </w:rPr>
        <w:t xml:space="preserve">Structural and </w:t>
      </w:r>
      <w:r w:rsidR="00E42674" w:rsidRPr="000878BB">
        <w:rPr>
          <w:rFonts w:eastAsia="Batang" w:hint="eastAsia"/>
          <w:lang w:eastAsia="ko-KR"/>
        </w:rPr>
        <w:t>f</w:t>
      </w:r>
      <w:r w:rsidR="00E42674" w:rsidRPr="000878BB">
        <w:rPr>
          <w:rFonts w:eastAsia="Batang"/>
          <w:lang w:eastAsia="ko-KR"/>
        </w:rPr>
        <w:t xml:space="preserve">inancial </w:t>
      </w:r>
      <w:r w:rsidR="00E42674" w:rsidRPr="000878BB">
        <w:rPr>
          <w:rFonts w:eastAsia="Batang" w:hint="eastAsia"/>
          <w:lang w:eastAsia="ko-KR"/>
        </w:rPr>
        <w:t>c</w:t>
      </w:r>
      <w:r w:rsidR="00E42674" w:rsidRPr="000878BB">
        <w:rPr>
          <w:rFonts w:eastAsia="Batang"/>
          <w:lang w:eastAsia="ko-KR"/>
        </w:rPr>
        <w:t>hallenges</w:t>
      </w:r>
    </w:p>
    <w:p w:rsidR="00E42674" w:rsidRPr="003C33CA" w:rsidRDefault="00C21602" w:rsidP="006A5689">
      <w:pPr>
        <w:pStyle w:val="SingleTxtG"/>
      </w:pPr>
      <w:r>
        <w:rPr>
          <w:rFonts w:eastAsia="Batang"/>
          <w:lang w:val="en-AU"/>
        </w:rPr>
        <w:t>20</w:t>
      </w:r>
      <w:r w:rsidR="003C33CA" w:rsidRPr="000878BB">
        <w:rPr>
          <w:rFonts w:eastAsia="Batang" w:hint="eastAsia"/>
          <w:lang w:val="en-AU"/>
        </w:rPr>
        <w:t>.</w:t>
      </w:r>
      <w:r w:rsidR="003C33CA" w:rsidRPr="000878BB">
        <w:rPr>
          <w:rFonts w:eastAsia="Batang" w:hint="eastAsia"/>
          <w:lang w:val="en-AU"/>
        </w:rPr>
        <w:tab/>
      </w:r>
      <w:r w:rsidR="00E42674" w:rsidRPr="003C33CA">
        <w:t xml:space="preserve">Broadly speaking, structural challenges refer to how a lack of political will, membership issues, or greater than expected demand have manifested themselves in poorly resourced or imbalanced regional arrangements. Thus, the greatest obstacle to the effective functioning of the </w:t>
      </w:r>
      <w:r w:rsidR="00E42674" w:rsidRPr="003C33CA">
        <w:rPr>
          <w:lang w:eastAsia="ko-KR"/>
        </w:rPr>
        <w:t xml:space="preserve">Inter-American </w:t>
      </w:r>
      <w:r w:rsidR="00E42674" w:rsidRPr="003C33CA">
        <w:t xml:space="preserve">Commission and the Court is the lack of adequate human and financial resources. The Commission’s </w:t>
      </w:r>
      <w:r w:rsidR="00E42674" w:rsidRPr="003C33CA">
        <w:rPr>
          <w:lang w:eastAsia="ko-KR"/>
        </w:rPr>
        <w:t>30</w:t>
      </w:r>
      <w:r w:rsidR="00E42674" w:rsidRPr="003C33CA">
        <w:t xml:space="preserve"> staff lawyers, who are presently handling nearly 1,250 open cases, cannot keep pace with the annual increase in the number of petitions and thus cannot meet the reasonable expectations of states and victims for their </w:t>
      </w:r>
      <w:r w:rsidR="00E42674" w:rsidRPr="003C33CA">
        <w:lastRenderedPageBreak/>
        <w:t>prompt resolution</w:t>
      </w:r>
      <w:r w:rsidR="00E42674" w:rsidRPr="003C33CA">
        <w:rPr>
          <w:lang w:eastAsia="ko-KR"/>
        </w:rPr>
        <w:t>. For example, t</w:t>
      </w:r>
      <w:r w:rsidR="00E42674" w:rsidRPr="003C33CA">
        <w:t xml:space="preserve">he </w:t>
      </w:r>
      <w:r w:rsidR="00E42674" w:rsidRPr="003C33CA">
        <w:rPr>
          <w:lang w:eastAsia="ko-KR"/>
        </w:rPr>
        <w:t xml:space="preserve">Inter-American </w:t>
      </w:r>
      <w:r w:rsidR="00E42674" w:rsidRPr="003C33CA">
        <w:t>Commission received 1,456 new complaints in 2007, an approximate 70 percent increase in a ten-year period.</w:t>
      </w:r>
      <w:r w:rsidR="00E42674" w:rsidRPr="000878BB">
        <w:rPr>
          <w:rStyle w:val="FootnoteReference"/>
        </w:rPr>
        <w:footnoteReference w:id="18"/>
      </w:r>
    </w:p>
    <w:p w:rsidR="00E42674" w:rsidRPr="003C33CA" w:rsidRDefault="00C21602" w:rsidP="006A5689">
      <w:pPr>
        <w:pStyle w:val="SingleTxtG"/>
      </w:pPr>
      <w:r>
        <w:rPr>
          <w:rFonts w:eastAsia="Batang" w:hint="eastAsia"/>
          <w:lang w:val="en-AU"/>
        </w:rPr>
        <w:t>2</w:t>
      </w:r>
      <w:r>
        <w:rPr>
          <w:rFonts w:eastAsia="Batang"/>
          <w:lang w:val="en-AU"/>
        </w:rPr>
        <w:t>1</w:t>
      </w:r>
      <w:r w:rsidR="003C33CA" w:rsidRPr="000878BB">
        <w:rPr>
          <w:rFonts w:eastAsia="Batang" w:hint="eastAsia"/>
          <w:lang w:val="en-AU"/>
        </w:rPr>
        <w:t>.</w:t>
      </w:r>
      <w:r w:rsidR="003C33CA" w:rsidRPr="000878BB">
        <w:rPr>
          <w:rFonts w:eastAsia="Batang" w:hint="eastAsia"/>
          <w:lang w:val="en-AU"/>
        </w:rPr>
        <w:tab/>
      </w:r>
      <w:r w:rsidR="00E42674" w:rsidRPr="003C33CA">
        <w:rPr>
          <w:rFonts w:eastAsia="Batang"/>
        </w:rPr>
        <w:t xml:space="preserve">Membership issues also hinder the </w:t>
      </w:r>
      <w:r w:rsidR="00E42674" w:rsidRPr="003C33CA">
        <w:rPr>
          <w:lang w:eastAsia="ko-KR"/>
        </w:rPr>
        <w:t xml:space="preserve">Inter-American </w:t>
      </w:r>
      <w:r w:rsidR="00E42674" w:rsidRPr="003C33CA">
        <w:t>Commission and the Court</w:t>
      </w:r>
      <w:r w:rsidR="00E42674" w:rsidRPr="003C33CA">
        <w:rPr>
          <w:rFonts w:eastAsia="Batang"/>
        </w:rPr>
        <w:t>. As of 2013, 25 of 35 OAS member states have ratified the Convention, while two have denounced it subsequently, leaving 23 active parties. Only 21 of these parties acknowledged jurisdiction of the Inter-American Court in contentious cases. Notably, the U</w:t>
      </w:r>
      <w:r w:rsidR="00E42674" w:rsidRPr="003C33CA">
        <w:rPr>
          <w:rFonts w:eastAsia="Batang"/>
          <w:lang w:eastAsia="ko-KR"/>
        </w:rPr>
        <w:t xml:space="preserve">nited </w:t>
      </w:r>
      <w:r w:rsidR="00E42674" w:rsidRPr="003C33CA">
        <w:rPr>
          <w:rFonts w:eastAsia="Batang"/>
        </w:rPr>
        <w:t>S</w:t>
      </w:r>
      <w:r w:rsidR="00E42674" w:rsidRPr="003C33CA">
        <w:rPr>
          <w:rFonts w:eastAsia="Batang"/>
          <w:lang w:eastAsia="ko-KR"/>
        </w:rPr>
        <w:t>tates</w:t>
      </w:r>
      <w:r w:rsidR="00E42674" w:rsidRPr="003C33CA">
        <w:rPr>
          <w:rFonts w:eastAsia="Batang"/>
        </w:rPr>
        <w:t xml:space="preserve"> and Canada have not ratified the convention.</w:t>
      </w:r>
      <w:r w:rsidR="00E42674" w:rsidRPr="003C33CA">
        <w:rPr>
          <w:rFonts w:eastAsia="Batang" w:hint="eastAsia"/>
          <w:lang w:eastAsia="ko-KR"/>
        </w:rPr>
        <w:t xml:space="preserve"> The United States remains the largest donor of voluntary funds to the IACHR, despite the fact that it has not signed the 1977 American Convention on H</w:t>
      </w:r>
      <w:r w:rsidR="00E42674" w:rsidRPr="003C33CA">
        <w:rPr>
          <w:rFonts w:eastAsia="Batang"/>
          <w:lang w:eastAsia="ko-KR"/>
        </w:rPr>
        <w:t>u</w:t>
      </w:r>
      <w:r w:rsidR="00E42674" w:rsidRPr="003C33CA">
        <w:rPr>
          <w:rFonts w:eastAsia="Batang" w:hint="eastAsia"/>
          <w:lang w:eastAsia="ko-KR"/>
        </w:rPr>
        <w:t>man Rights. The United States contributed $2.3 million a year and an additional $300,000 to the Special Rapporteur for Freedom of Expression. Very few OAS member states contribute voluntary funding to the IACHR and the I.A. Court.</w:t>
      </w:r>
      <w:r w:rsidR="00E42674" w:rsidRPr="000878BB">
        <w:rPr>
          <w:rStyle w:val="FootnoteReference"/>
          <w:rFonts w:eastAsia="Batang"/>
          <w:lang w:eastAsia="ko-KR"/>
        </w:rPr>
        <w:footnoteReference w:id="19"/>
      </w:r>
      <w:r w:rsidR="00E42674" w:rsidRPr="003C33CA">
        <w:rPr>
          <w:rFonts w:eastAsia="Batang" w:hint="eastAsia"/>
          <w:lang w:eastAsia="ko-KR"/>
        </w:rPr>
        <w:t xml:space="preserve">   </w:t>
      </w:r>
    </w:p>
    <w:p w:rsidR="00E42674" w:rsidRPr="003C33CA" w:rsidRDefault="00C21602" w:rsidP="006A5689">
      <w:pPr>
        <w:pStyle w:val="SingleTxtG"/>
        <w:rPr>
          <w:rFonts w:eastAsia="Batang"/>
          <w:lang w:eastAsia="ko-KR"/>
        </w:rPr>
      </w:pPr>
      <w:r>
        <w:rPr>
          <w:rFonts w:eastAsia="Batang" w:hint="eastAsia"/>
          <w:lang w:val="en-AU" w:eastAsia="ko-KR"/>
        </w:rPr>
        <w:t>2</w:t>
      </w:r>
      <w:r>
        <w:rPr>
          <w:rFonts w:eastAsia="Batang"/>
          <w:lang w:val="en-AU" w:eastAsia="ko-KR"/>
        </w:rPr>
        <w:t>2</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t xml:space="preserve">The African Commission for Human and Peoples’ Rights also faces many structural and resource challenges. </w:t>
      </w:r>
      <w:r w:rsidR="00E42674" w:rsidRPr="003C33CA">
        <w:rPr>
          <w:lang w:eastAsia="ko-KR"/>
        </w:rPr>
        <w:t xml:space="preserve">Among them are a </w:t>
      </w:r>
      <w:r w:rsidR="00E42674" w:rsidRPr="003C33CA">
        <w:t>lack of capacity to ensure that the system is accessible to rights holders and that norms and standards are effectively implemented and enhanced at the national level</w:t>
      </w:r>
      <w:r w:rsidR="00E42674" w:rsidRPr="003C33CA">
        <w:rPr>
          <w:lang w:eastAsia="ko-KR"/>
        </w:rPr>
        <w:t>, member states’ non-</w:t>
      </w:r>
      <w:r w:rsidR="00E42674" w:rsidRPr="003C33CA">
        <w:t>complian</w:t>
      </w:r>
      <w:r w:rsidR="00E42674" w:rsidRPr="003C33CA">
        <w:rPr>
          <w:lang w:eastAsia="ko-KR"/>
        </w:rPr>
        <w:t>ce</w:t>
      </w:r>
      <w:r w:rsidR="00E42674" w:rsidRPr="003C33CA">
        <w:t xml:space="preserve"> with their obligation to submit regular reports</w:t>
      </w:r>
      <w:r w:rsidR="00E42674" w:rsidRPr="003C33CA">
        <w:rPr>
          <w:lang w:eastAsia="ko-KR"/>
        </w:rPr>
        <w:t xml:space="preserve">, </w:t>
      </w:r>
      <w:r w:rsidR="00E42674" w:rsidRPr="003C33CA">
        <w:t>challenges in implementing the Commission’s decisions, and a very limited operating budget. In 2002/3, for instance, the Commission only had a budget of $790 000, though this was subsequently increased to around $7.9 million in 2011.</w:t>
      </w:r>
      <w:r w:rsidR="00E42674" w:rsidRPr="000878BB">
        <w:rPr>
          <w:rStyle w:val="FootnoteReference"/>
        </w:rPr>
        <w:footnoteReference w:id="20"/>
      </w:r>
      <w:r w:rsidR="00E42674" w:rsidRPr="003C33CA">
        <w:t xml:space="preserve"> As with the OAS, fiscal challenges are compounded by membership problems. </w:t>
      </w:r>
      <w:r w:rsidR="00E42674" w:rsidRPr="003C33CA">
        <w:rPr>
          <w:rFonts w:eastAsia="Batang"/>
        </w:rPr>
        <w:t xml:space="preserve">As of February 2016, only seven of the 30 </w:t>
      </w:r>
      <w:r w:rsidR="00E42674" w:rsidRPr="003C33CA">
        <w:rPr>
          <w:rFonts w:eastAsia="Batang"/>
          <w:lang w:eastAsia="ko-KR"/>
        </w:rPr>
        <w:t>s</w:t>
      </w:r>
      <w:r w:rsidR="00E42674" w:rsidRPr="003C33CA">
        <w:rPr>
          <w:rFonts w:eastAsia="Batang"/>
        </w:rPr>
        <w:t xml:space="preserve">tate </w:t>
      </w:r>
      <w:r w:rsidR="00E42674" w:rsidRPr="003C33CA">
        <w:rPr>
          <w:rFonts w:eastAsia="Batang"/>
          <w:lang w:eastAsia="ko-KR"/>
        </w:rPr>
        <w:t>p</w:t>
      </w:r>
      <w:r w:rsidR="00E42674" w:rsidRPr="003C33CA">
        <w:rPr>
          <w:rFonts w:eastAsia="Batang"/>
        </w:rPr>
        <w:t xml:space="preserve">arties to the </w:t>
      </w:r>
      <w:r w:rsidR="00E42674" w:rsidRPr="003C33CA">
        <w:rPr>
          <w:rFonts w:eastAsia="Batang"/>
          <w:lang w:eastAsia="ko-KR"/>
        </w:rPr>
        <w:t xml:space="preserve">African </w:t>
      </w:r>
      <w:r w:rsidR="00E42674" w:rsidRPr="003C33CA">
        <w:rPr>
          <w:rFonts w:eastAsia="Batang"/>
        </w:rPr>
        <w:t>Protocol had made the declaration recognizing the competence of the Court to receive cases from NGOs and individuals. The seven states are; Burkina Faso,</w:t>
      </w:r>
      <w:r w:rsidR="00E42674" w:rsidRPr="003C33CA">
        <w:rPr>
          <w:rFonts w:eastAsia="Batang"/>
          <w:lang w:eastAsia="ko-KR"/>
        </w:rPr>
        <w:t xml:space="preserve"> </w:t>
      </w:r>
      <w:r w:rsidR="00E42674" w:rsidRPr="003C33CA">
        <w:rPr>
          <w:rFonts w:eastAsia="Batang"/>
        </w:rPr>
        <w:t>Cote d’Ivoire,</w:t>
      </w:r>
      <w:r w:rsidR="00E42674" w:rsidRPr="003C33CA">
        <w:rPr>
          <w:rFonts w:eastAsia="Batang"/>
          <w:lang w:eastAsia="ko-KR"/>
        </w:rPr>
        <w:t xml:space="preserve"> </w:t>
      </w:r>
      <w:r w:rsidR="00E42674" w:rsidRPr="003C33CA">
        <w:rPr>
          <w:rFonts w:eastAsia="Batang"/>
        </w:rPr>
        <w:t>Ghana, Mali, Malawi,</w:t>
      </w:r>
      <w:r w:rsidR="00E42674" w:rsidRPr="003C33CA">
        <w:rPr>
          <w:rFonts w:eastAsia="Batang"/>
          <w:lang w:eastAsia="ko-KR"/>
        </w:rPr>
        <w:t xml:space="preserve"> </w:t>
      </w:r>
      <w:r w:rsidR="00E42674" w:rsidRPr="003C33CA">
        <w:rPr>
          <w:rFonts w:eastAsia="Batang"/>
        </w:rPr>
        <w:t>Rwanda and Tanzania.</w:t>
      </w:r>
      <w:r w:rsidR="00E42674" w:rsidRPr="000878BB">
        <w:rPr>
          <w:rStyle w:val="FootnoteReference"/>
          <w:rFonts w:eastAsia="Batang"/>
        </w:rPr>
        <w:footnoteReference w:id="21"/>
      </w:r>
      <w:r w:rsidR="00E42674" w:rsidRPr="003C33CA">
        <w:rPr>
          <w:rFonts w:eastAsia="Batang"/>
        </w:rPr>
        <w:t xml:space="preserve"> </w:t>
      </w:r>
      <w:r w:rsidR="00E42674" w:rsidRPr="003C33CA">
        <w:rPr>
          <w:rFonts w:eastAsia="Batang"/>
          <w:lang w:eastAsia="ko-KR"/>
        </w:rPr>
        <w:t>Moreover, only 26 states have accepted the Court’s jurisdiction. In its survey response, Kenya noted a lack of political will to implement Court decisions and a lack of adequate funding as the main obstacles.</w:t>
      </w:r>
      <w:r w:rsidR="00E42674" w:rsidRPr="000878BB">
        <w:rPr>
          <w:rStyle w:val="FootnoteReference"/>
          <w:rFonts w:eastAsia="Batang"/>
          <w:lang w:eastAsia="ko-KR"/>
        </w:rPr>
        <w:footnoteReference w:id="22"/>
      </w:r>
    </w:p>
    <w:p w:rsidR="00E42674" w:rsidRPr="003C33CA" w:rsidRDefault="00C21602" w:rsidP="006A5689">
      <w:pPr>
        <w:pStyle w:val="SingleTxtG"/>
        <w:rPr>
          <w:rFonts w:eastAsia="Batang"/>
          <w:lang w:eastAsia="ko-KR"/>
        </w:rPr>
      </w:pPr>
      <w:r>
        <w:rPr>
          <w:rFonts w:eastAsia="Batang" w:hint="eastAsia"/>
          <w:lang w:val="en-AU" w:eastAsia="ko-KR"/>
        </w:rPr>
        <w:t>2</w:t>
      </w:r>
      <w:r>
        <w:rPr>
          <w:rFonts w:eastAsia="Batang"/>
          <w:lang w:val="en-AU" w:eastAsia="ko-KR"/>
        </w:rPr>
        <w:t>3</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ASEAN has not yet created a fully functioning regional mechanism but there are some indications that it may conceptualize human rights differently from other regional arrangements. The ASEAN Human Rights Declaration</w:t>
      </w:r>
      <w:r w:rsidR="00E42674" w:rsidRPr="003C33CA">
        <w:rPr>
          <w:rFonts w:eastAsia="Batang"/>
        </w:rPr>
        <w:t xml:space="preserve"> adopted </w:t>
      </w:r>
      <w:r w:rsidR="00E42674" w:rsidRPr="003C33CA">
        <w:rPr>
          <w:rFonts w:eastAsia="Batang" w:hint="eastAsia"/>
          <w:lang w:eastAsia="ko-KR"/>
        </w:rPr>
        <w:t>in</w:t>
      </w:r>
      <w:r w:rsidR="00E42674" w:rsidRPr="003C33CA">
        <w:rPr>
          <w:rFonts w:eastAsia="Batang"/>
        </w:rPr>
        <w:t xml:space="preserve"> November 2012 sets out substantive ‘positive’ rights (especially economic and social rights), and more tentative ‘negative’ rights (or civil liberties), framed by support for government intrusions such as the use of capital punishment and limitations on the grounds of ‘general welfare,’ ‘public morality’ and other criteria. These features suggest that it may be espousing a cultural-relativist position, and therefore will exist outside of the interdependent structure of contemporary regional and global human rights systems</w:t>
      </w:r>
      <w:r w:rsidR="00E42674" w:rsidRPr="003C33CA">
        <w:rPr>
          <w:rFonts w:eastAsia="Batang"/>
          <w:lang w:eastAsia="ko-KR"/>
        </w:rPr>
        <w:t>.</w:t>
      </w:r>
      <w:r w:rsidR="00E42674" w:rsidRPr="000878BB">
        <w:rPr>
          <w:rStyle w:val="FootnoteReference"/>
          <w:rFonts w:eastAsia="Batang"/>
          <w:lang w:eastAsia="ko-KR"/>
        </w:rPr>
        <w:footnoteReference w:id="23"/>
      </w:r>
      <w:r w:rsidR="00E42674" w:rsidRPr="003C33CA">
        <w:rPr>
          <w:rFonts w:eastAsia="Batang" w:hint="eastAsia"/>
          <w:lang w:eastAsia="ko-KR"/>
        </w:rPr>
        <w:t xml:space="preserve"> </w:t>
      </w:r>
    </w:p>
    <w:p w:rsidR="00E42674" w:rsidRPr="006A5689" w:rsidRDefault="00C21602" w:rsidP="006A5689">
      <w:pPr>
        <w:pStyle w:val="SingleTxtG"/>
        <w:rPr>
          <w:rFonts w:eastAsia="Batang"/>
          <w:lang w:val="en-GB" w:eastAsia="ko-KR"/>
        </w:rPr>
      </w:pPr>
      <w:r>
        <w:rPr>
          <w:rFonts w:eastAsia="Batang" w:hint="eastAsia"/>
          <w:lang w:val="en-AU" w:eastAsia="ko-KR"/>
        </w:rPr>
        <w:t>2</w:t>
      </w:r>
      <w:r>
        <w:rPr>
          <w:rFonts w:eastAsia="Batang"/>
          <w:lang w:val="en-AU" w:eastAsia="ko-KR"/>
        </w:rPr>
        <w:t>4</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t xml:space="preserve">Although it boasts the best funded regional arrangement in the world, Europe also has a problem with structural imbalances. Within the European system, the ECHR makes provision for civil and political rights only, while the European Social Charter (ESC) covers social and economic rights. The two are not treated equally. While accession to the </w:t>
      </w:r>
      <w:r w:rsidR="00E42674" w:rsidRPr="003C33CA">
        <w:lastRenderedPageBreak/>
        <w:t xml:space="preserve">ECHR is a condition of Council of Europe </w:t>
      </w:r>
      <w:r w:rsidR="00E42674" w:rsidRPr="003C33CA">
        <w:rPr>
          <w:rFonts w:hint="eastAsia"/>
          <w:lang w:eastAsia="ko-KR"/>
        </w:rPr>
        <w:t>m</w:t>
      </w:r>
      <w:r w:rsidR="00E42674" w:rsidRPr="003C33CA">
        <w:t>embership, this is not a requirement for the ESC, underlining the lesser status accorded to social and economic rights in the European system.</w:t>
      </w:r>
      <w:r w:rsidR="00E42674" w:rsidRPr="000878BB">
        <w:rPr>
          <w:rStyle w:val="FootnoteReference"/>
        </w:rPr>
        <w:footnoteReference w:id="24"/>
      </w:r>
      <w:r w:rsidR="00E42674" w:rsidRPr="003C33CA">
        <w:t xml:space="preserve"> </w:t>
      </w:r>
      <w:r w:rsidR="00E42674" w:rsidRPr="003C33CA">
        <w:rPr>
          <w:lang w:eastAsia="ko-KR"/>
        </w:rPr>
        <w:t xml:space="preserve">Ironically, the most critical problem appears to be the mounting number of individual complaints. A combination of factors – the Court’s positive public reputation, its expansive interpretations of the Convention, a distrust of domestic judiciaries in some countries, and entrenched human rights problems in others – has attracted tens of thousands of new individual applications annually. These cases </w:t>
      </w:r>
      <w:r w:rsidR="00E42674" w:rsidRPr="003C33CA">
        <w:t>often last for years, resulting in a mounting backlog. As of September 2016, ECHR has issued more than 10,000 judgments but has more than 74,000 pending cases.</w:t>
      </w:r>
      <w:r w:rsidR="00E42674" w:rsidRPr="003C33CA">
        <w:rPr>
          <w:lang w:eastAsia="ko-KR"/>
        </w:rPr>
        <w:t xml:space="preserve"> </w:t>
      </w:r>
      <w:r w:rsidR="00E42674" w:rsidRPr="003C33CA">
        <w:rPr>
          <w:rFonts w:hint="eastAsia"/>
          <w:lang w:eastAsia="ko-KR"/>
        </w:rPr>
        <w:t>Some say t</w:t>
      </w:r>
      <w:r w:rsidR="00E42674" w:rsidRPr="003C33CA">
        <w:rPr>
          <w:lang w:eastAsia="ko-KR"/>
        </w:rPr>
        <w:t xml:space="preserve">he ECHR is becoming a victim of its own success and now faces a docket crisis of massive proportions. </w:t>
      </w:r>
      <w:r w:rsidR="00E42674" w:rsidRPr="003C33CA">
        <w:rPr>
          <w:rFonts w:hint="eastAsia"/>
          <w:lang w:eastAsia="ko-KR"/>
        </w:rPr>
        <w:t>There also remains su</w:t>
      </w:r>
      <w:r w:rsidR="00E42674" w:rsidRPr="003C33CA">
        <w:rPr>
          <w:lang w:eastAsia="ko-KR"/>
        </w:rPr>
        <w:t>bstantive questions about how the Court accomplishes its core mandate – protecting civil and political liberties enshrined in the Convention – and whether the mechanisms it uses to achieve that goal need to be revised in response to changes in the legal and political landscape of human rights protection in Europe.</w:t>
      </w:r>
      <w:r w:rsidR="00E42674" w:rsidRPr="000878BB">
        <w:rPr>
          <w:rStyle w:val="FootnoteReference"/>
          <w:lang w:eastAsia="ko-KR"/>
        </w:rPr>
        <w:footnoteReference w:id="25"/>
      </w:r>
      <w:r w:rsidR="00E42674" w:rsidRPr="003C33CA">
        <w:rPr>
          <w:lang w:eastAsia="ko-KR"/>
        </w:rPr>
        <w:t xml:space="preserve"> On a positive note, however, this backlog has been decreasing since 2014 due to institutional reforms. </w:t>
      </w:r>
    </w:p>
    <w:p w:rsidR="00E42674" w:rsidRPr="000878BB" w:rsidRDefault="006A5689" w:rsidP="006A5689">
      <w:pPr>
        <w:pStyle w:val="H23G"/>
        <w:rPr>
          <w:lang w:eastAsia="ko-KR"/>
        </w:rPr>
      </w:pPr>
      <w:r>
        <w:rPr>
          <w:rFonts w:eastAsia="Batang"/>
          <w:lang w:eastAsia="ko-KR"/>
        </w:rPr>
        <w:tab/>
      </w:r>
      <w:r>
        <w:rPr>
          <w:rFonts w:eastAsia="Batang"/>
          <w:lang w:eastAsia="ko-KR"/>
        </w:rPr>
        <w:tab/>
      </w:r>
      <w:r w:rsidR="00E42674" w:rsidRPr="000878BB">
        <w:rPr>
          <w:rFonts w:eastAsia="Batang"/>
          <w:lang w:eastAsia="ko-KR"/>
        </w:rPr>
        <w:t>Procedural challenges</w:t>
      </w:r>
    </w:p>
    <w:p w:rsidR="00E42674" w:rsidRPr="003C33CA" w:rsidRDefault="00C21602" w:rsidP="006A5689">
      <w:pPr>
        <w:pStyle w:val="SingleTxtG"/>
        <w:rPr>
          <w:rFonts w:eastAsia="Batang"/>
        </w:rPr>
      </w:pPr>
      <w:r>
        <w:rPr>
          <w:rFonts w:eastAsia="Batang"/>
          <w:lang w:val="en-AU"/>
        </w:rPr>
        <w:t>25</w:t>
      </w:r>
      <w:r w:rsidR="003C33CA" w:rsidRPr="000878BB">
        <w:rPr>
          <w:rFonts w:eastAsia="Batang" w:hint="eastAsia"/>
          <w:lang w:val="en-AU"/>
        </w:rPr>
        <w:t>.</w:t>
      </w:r>
      <w:r w:rsidR="003C33CA" w:rsidRPr="000878BB">
        <w:rPr>
          <w:rFonts w:eastAsia="Batang" w:hint="eastAsia"/>
          <w:lang w:val="en-AU"/>
        </w:rPr>
        <w:tab/>
      </w:r>
      <w:r w:rsidR="00E42674" w:rsidRPr="003C33CA">
        <w:rPr>
          <w:rFonts w:eastAsia="Batang"/>
          <w:lang w:eastAsia="ko-KR"/>
        </w:rPr>
        <w:t xml:space="preserve">Procedural problems are typically the result of institutional design decisions, subsequent modifications, or day-to-day operational </w:t>
      </w:r>
      <w:proofErr w:type="spellStart"/>
      <w:r w:rsidR="00E42674" w:rsidRPr="003C33CA">
        <w:rPr>
          <w:rFonts w:eastAsia="Batang"/>
          <w:lang w:eastAsia="ko-KR"/>
        </w:rPr>
        <w:t>behaviors</w:t>
      </w:r>
      <w:proofErr w:type="spellEnd"/>
      <w:r w:rsidR="00E42674" w:rsidRPr="003C33CA">
        <w:rPr>
          <w:rFonts w:eastAsia="Batang"/>
          <w:lang w:eastAsia="ko-KR"/>
        </w:rPr>
        <w:t xml:space="preserve"> that serve to limit a regional arrangement’s efficacy or scope. </w:t>
      </w:r>
      <w:r w:rsidR="00E42674" w:rsidRPr="003C33CA">
        <w:rPr>
          <w:rFonts w:eastAsia="Batang"/>
        </w:rPr>
        <w:t xml:space="preserve">While </w:t>
      </w:r>
      <w:r w:rsidR="00E42674" w:rsidRPr="003C33CA">
        <w:rPr>
          <w:rFonts w:eastAsia="Batang" w:hint="eastAsia"/>
          <w:lang w:eastAsia="ko-KR"/>
        </w:rPr>
        <w:t>the Arab Charter on Human Rights</w:t>
      </w:r>
      <w:r w:rsidR="00E42674" w:rsidRPr="003C33CA">
        <w:rPr>
          <w:rFonts w:eastAsia="Batang"/>
        </w:rPr>
        <w:t xml:space="preserve">, which was founded in 1945, was the first regional mechanism recognized by the UN, it took almost sixty years before member states adopted the Charter. In addition, the content of the Charter falls short of universal </w:t>
      </w:r>
      <w:proofErr w:type="gramStart"/>
      <w:r w:rsidR="00E42674" w:rsidRPr="003C33CA">
        <w:rPr>
          <w:rFonts w:eastAsia="Batang"/>
        </w:rPr>
        <w:t>standards,</w:t>
      </w:r>
      <w:proofErr w:type="gramEnd"/>
      <w:r w:rsidR="00E42674" w:rsidRPr="003C33CA">
        <w:rPr>
          <w:rFonts w:eastAsia="Batang"/>
        </w:rPr>
        <w:t xml:space="preserve"> the monitoring mechanism is weak, </w:t>
      </w:r>
      <w:r w:rsidR="00E42674" w:rsidRPr="003C33CA">
        <w:rPr>
          <w:rFonts w:eastAsia="Batang" w:hint="eastAsia"/>
          <w:lang w:eastAsia="ko-KR"/>
        </w:rPr>
        <w:t xml:space="preserve">and </w:t>
      </w:r>
      <w:r w:rsidR="00E42674" w:rsidRPr="003C33CA">
        <w:rPr>
          <w:rFonts w:eastAsia="Batang"/>
        </w:rPr>
        <w:t>enforcement virtually non-existent.</w:t>
      </w:r>
      <w:r w:rsidR="00E42674" w:rsidRPr="000878BB">
        <w:rPr>
          <w:rStyle w:val="FootnoteReference"/>
          <w:rFonts w:eastAsia="Batang"/>
          <w:lang w:eastAsia="ko-KR"/>
        </w:rPr>
        <w:footnoteReference w:id="26"/>
      </w:r>
      <w:r w:rsidR="00E42674" w:rsidRPr="003C33CA">
        <w:rPr>
          <w:rFonts w:eastAsia="Batang"/>
          <w:lang w:eastAsia="ko-KR"/>
        </w:rPr>
        <w:t xml:space="preserve"> Although the Arab League sought to include international human rights experts in the process of revising the 1994 draft, their recommendations were ultimately discarded by the member states</w:t>
      </w:r>
      <w:r w:rsidR="00E42674" w:rsidRPr="003C33CA">
        <w:rPr>
          <w:rFonts w:eastAsia="Batang" w:hint="eastAsia"/>
          <w:lang w:eastAsia="ko-KR"/>
        </w:rPr>
        <w:t>.</w:t>
      </w:r>
      <w:r w:rsidR="00E42674" w:rsidRPr="000878BB">
        <w:rPr>
          <w:rStyle w:val="FootnoteReference"/>
          <w:rFonts w:eastAsia="Batang"/>
          <w:lang w:eastAsia="ko-KR"/>
        </w:rPr>
        <w:footnoteReference w:id="27"/>
      </w:r>
      <w:r w:rsidR="00E42674" w:rsidRPr="003C33CA">
        <w:rPr>
          <w:rFonts w:eastAsia="Batang"/>
          <w:lang w:eastAsia="ko-KR"/>
        </w:rPr>
        <w:t xml:space="preserve"> Except for the fight against corruption, the commitments made in Tunis in 2004 with regard to democracy, the rule of law, and good governance </w:t>
      </w:r>
      <w:proofErr w:type="gramStart"/>
      <w:r w:rsidR="00E42674" w:rsidRPr="003C33CA">
        <w:rPr>
          <w:rFonts w:eastAsia="Batang"/>
          <w:lang w:eastAsia="ko-KR"/>
        </w:rPr>
        <w:t>have</w:t>
      </w:r>
      <w:proofErr w:type="gramEnd"/>
      <w:r w:rsidR="00E42674" w:rsidRPr="003C33CA">
        <w:rPr>
          <w:rFonts w:eastAsia="Batang"/>
          <w:lang w:eastAsia="ko-KR"/>
        </w:rPr>
        <w:t xml:space="preserve"> not been translated into regional action.</w:t>
      </w:r>
      <w:r w:rsidR="00E42674" w:rsidRPr="000878BB">
        <w:rPr>
          <w:rStyle w:val="FootnoteReference"/>
          <w:rFonts w:eastAsia="Batang"/>
          <w:lang w:eastAsia="ko-KR"/>
        </w:rPr>
        <w:footnoteReference w:id="28"/>
      </w:r>
      <w:r w:rsidR="00E42674" w:rsidRPr="003C33CA">
        <w:rPr>
          <w:rFonts w:eastAsia="Batang"/>
          <w:lang w:eastAsia="ko-KR"/>
        </w:rPr>
        <w:t xml:space="preserve"> The final draft for the statute of the Arab Court of Human Rights has been revised to prevent individuals from applying directly to the Court and gives member states the sole right to file complaints. This undercuts the very reason of setting up the Court. The Arab Human Rights Committee can only receive state reports and issue recommendations. It cannot decide on individual or inter-state complaints, nor interpret the Charter. Moreover, t</w:t>
      </w:r>
      <w:r w:rsidR="00E42674" w:rsidRPr="003C33CA">
        <w:rPr>
          <w:rFonts w:eastAsia="Batang"/>
        </w:rPr>
        <w:t xml:space="preserve">he Arab Charter on Human Rights includes many provisions that do not comply with international standards, such as the death penalty for children and limited rights for women. Based on a </w:t>
      </w:r>
      <w:r w:rsidR="00E42674" w:rsidRPr="003C33CA">
        <w:rPr>
          <w:rFonts w:eastAsia="Batang" w:hint="eastAsia"/>
          <w:lang w:eastAsia="ko-KR"/>
        </w:rPr>
        <w:t>C</w:t>
      </w:r>
      <w:r w:rsidR="00E42674" w:rsidRPr="003C33CA">
        <w:rPr>
          <w:rFonts w:eastAsia="Batang"/>
        </w:rPr>
        <w:t xml:space="preserve">harter with numerous rights incongruous with international standards, and characterized by weak institutional independence, follow-up mechanisms, and participation of civil society, the regime is extremely limited in its efforts to promote human rights. </w:t>
      </w:r>
    </w:p>
    <w:p w:rsidR="00E42674" w:rsidRPr="003C33CA" w:rsidRDefault="00C21602" w:rsidP="006A5689">
      <w:pPr>
        <w:pStyle w:val="SingleTxtG"/>
        <w:rPr>
          <w:rFonts w:eastAsia="Batang"/>
        </w:rPr>
      </w:pPr>
      <w:r>
        <w:rPr>
          <w:rFonts w:eastAsia="Batang"/>
          <w:lang w:val="en-AU"/>
        </w:rPr>
        <w:t>26</w:t>
      </w:r>
      <w:r w:rsidR="003C33CA" w:rsidRPr="000878BB">
        <w:rPr>
          <w:rFonts w:eastAsia="Batang" w:hint="eastAsia"/>
          <w:lang w:val="en-AU"/>
        </w:rPr>
        <w:t>.</w:t>
      </w:r>
      <w:r w:rsidR="003C33CA" w:rsidRPr="000878BB">
        <w:rPr>
          <w:rFonts w:eastAsia="Batang" w:hint="eastAsia"/>
          <w:lang w:val="en-AU"/>
        </w:rPr>
        <w:tab/>
      </w:r>
      <w:r w:rsidR="00E42674" w:rsidRPr="003C33CA">
        <w:rPr>
          <w:rFonts w:eastAsia="Batang"/>
        </w:rPr>
        <w:t xml:space="preserve">The Inter-American Court also has no strong institutionalized form of follow-up – only a minority of court judgments are implemented. </w:t>
      </w:r>
      <w:r w:rsidR="00E42674" w:rsidRPr="003C33CA">
        <w:rPr>
          <w:rFonts w:eastAsia="Batang"/>
          <w:lang w:eastAsia="ko-KR"/>
        </w:rPr>
        <w:t>The Court t</w:t>
      </w:r>
      <w:r w:rsidR="00E42674" w:rsidRPr="003C33CA">
        <w:rPr>
          <w:rFonts w:eastAsia="Batang"/>
        </w:rPr>
        <w:t xml:space="preserve">ypically remains deferential to state sovereignty in their efforts to promote </w:t>
      </w:r>
      <w:r w:rsidR="00E42674" w:rsidRPr="003C33CA">
        <w:rPr>
          <w:rFonts w:eastAsia="Batang"/>
          <w:lang w:eastAsia="ko-KR"/>
        </w:rPr>
        <w:t>human rights</w:t>
      </w:r>
      <w:r w:rsidR="00E42674" w:rsidRPr="003C33CA">
        <w:rPr>
          <w:rFonts w:eastAsia="Batang"/>
        </w:rPr>
        <w:t>.</w:t>
      </w:r>
      <w:r w:rsidR="00E42674" w:rsidRPr="003C33CA">
        <w:rPr>
          <w:rFonts w:eastAsia="Batang"/>
          <w:lang w:eastAsia="ko-KR"/>
        </w:rPr>
        <w:t xml:space="preserve"> </w:t>
      </w:r>
      <w:r w:rsidR="00E42674" w:rsidRPr="003C33CA">
        <w:rPr>
          <w:rFonts w:eastAsia="Batang"/>
        </w:rPr>
        <w:t xml:space="preserve">The Inter-American Court has received heavy criticism for being influenced by U.S. political interests instead of maintaining an objective, balanced stance. Moreover, individual complaints cannot be </w:t>
      </w:r>
      <w:r w:rsidR="00E42674" w:rsidRPr="003C33CA">
        <w:rPr>
          <w:rFonts w:eastAsia="Batang"/>
        </w:rPr>
        <w:lastRenderedPageBreak/>
        <w:t>directly lodged with the Court; only states or the Commission may lodge complaints. The court received an estimated 1</w:t>
      </w:r>
      <w:r w:rsidR="00E42674" w:rsidRPr="003C33CA">
        <w:rPr>
          <w:rFonts w:eastAsia="Batang"/>
          <w:lang w:eastAsia="ko-KR"/>
        </w:rPr>
        <w:t>,</w:t>
      </w:r>
      <w:r w:rsidR="00E42674" w:rsidRPr="003C33CA">
        <w:rPr>
          <w:rFonts w:eastAsia="Batang"/>
        </w:rPr>
        <w:t xml:space="preserve">300 complaints during the year 2008 but only nine were submitted to the court after Commission filtering. Here procedural problems can compound structural issues, resulting in a backlog of court cases. </w:t>
      </w:r>
      <w:r w:rsidR="00E42674" w:rsidRPr="003C33CA">
        <w:rPr>
          <w:rFonts w:eastAsia="Batang"/>
          <w:lang w:eastAsia="ko-KR"/>
        </w:rPr>
        <w:t xml:space="preserve">It can take three or more years for the </w:t>
      </w:r>
      <w:r w:rsidR="00E42674" w:rsidRPr="003C33CA">
        <w:rPr>
          <w:rFonts w:eastAsia="Batang"/>
        </w:rPr>
        <w:t>Inter-American Court</w:t>
      </w:r>
      <w:r w:rsidR="00E42674" w:rsidRPr="003C33CA">
        <w:rPr>
          <w:rFonts w:eastAsia="Batang"/>
          <w:lang w:eastAsia="ko-KR"/>
        </w:rPr>
        <w:t xml:space="preserve"> to forward a petition to the relevant state for an initial response. According to the court’s 2015 annual report, it received 2,164 petitions in 2015 alone, adding to a backlog of thousands of pending cases.</w:t>
      </w:r>
      <w:r w:rsidR="00E42674" w:rsidRPr="000878BB">
        <w:rPr>
          <w:rStyle w:val="FootnoteReference"/>
          <w:rFonts w:eastAsia="Batang"/>
          <w:lang w:eastAsia="ko-KR"/>
        </w:rPr>
        <w:footnoteReference w:id="29"/>
      </w:r>
      <w:r w:rsidR="00E42674" w:rsidRPr="003C33CA">
        <w:rPr>
          <w:rFonts w:eastAsia="Batang"/>
          <w:lang w:eastAsia="ko-KR"/>
        </w:rPr>
        <w:t xml:space="preserve">   </w:t>
      </w:r>
    </w:p>
    <w:p w:rsidR="00E42674" w:rsidRPr="003C33CA" w:rsidRDefault="00DC570C" w:rsidP="006A5689">
      <w:pPr>
        <w:pStyle w:val="SingleTxtG"/>
        <w:rPr>
          <w:rFonts w:eastAsia="Batang"/>
          <w:lang w:eastAsia="ko-KR"/>
        </w:rPr>
      </w:pPr>
      <w:r>
        <w:rPr>
          <w:rFonts w:eastAsia="Batang"/>
          <w:lang w:val="en-AU" w:eastAsia="ko-KR"/>
        </w:rPr>
        <w:t>27</w:t>
      </w:r>
      <w:r w:rsidR="003C33CA" w:rsidRPr="000878BB">
        <w:rPr>
          <w:rFonts w:eastAsia="Batang" w:hint="eastAsia"/>
          <w:lang w:val="en-AU" w:eastAsia="ko-KR"/>
        </w:rPr>
        <w:tab/>
      </w:r>
      <w:r w:rsidR="00E42674" w:rsidRPr="003C33CA">
        <w:rPr>
          <w:rFonts w:eastAsia="Batang"/>
          <w:lang w:eastAsia="ko-KR"/>
        </w:rPr>
        <w:t xml:space="preserve">The majority of the </w:t>
      </w:r>
      <w:r w:rsidR="00E42674" w:rsidRPr="003C33CA">
        <w:rPr>
          <w:rFonts w:eastAsia="Batang" w:hint="eastAsia"/>
          <w:lang w:eastAsia="ko-KR"/>
        </w:rPr>
        <w:t xml:space="preserve">African </w:t>
      </w:r>
      <w:r w:rsidR="00E42674" w:rsidRPr="003C33CA">
        <w:rPr>
          <w:rFonts w:eastAsia="Batang"/>
          <w:lang w:eastAsia="ko-KR"/>
        </w:rPr>
        <w:t>Commission’s 11 members are part-time, which limits the capacity of the Commission and its independence</w:t>
      </w:r>
      <w:r w:rsidR="00E42674" w:rsidRPr="003C33CA">
        <w:rPr>
          <w:rFonts w:eastAsia="Batang" w:hint="eastAsia"/>
          <w:lang w:eastAsia="ko-KR"/>
        </w:rPr>
        <w:t xml:space="preserve">. </w:t>
      </w:r>
      <w:r w:rsidR="00E42674" w:rsidRPr="003C33CA">
        <w:rPr>
          <w:rFonts w:eastAsia="Batang"/>
          <w:lang w:eastAsia="ko-KR"/>
        </w:rPr>
        <w:t>Court judges are also elected by the African Union to ensure independence.</w:t>
      </w:r>
      <w:r w:rsidR="00E42674" w:rsidRPr="000878BB">
        <w:rPr>
          <w:rStyle w:val="FootnoteReference"/>
          <w:rFonts w:eastAsia="Batang"/>
          <w:lang w:eastAsia="ko-KR"/>
        </w:rPr>
        <w:footnoteReference w:id="30"/>
      </w:r>
      <w:r w:rsidR="00E42674" w:rsidRPr="003C33CA">
        <w:rPr>
          <w:rFonts w:eastAsia="Batang"/>
          <w:lang w:eastAsia="ko-KR"/>
        </w:rPr>
        <w:t xml:space="preserve"> However, s</w:t>
      </w:r>
      <w:r w:rsidR="00E42674" w:rsidRPr="003C33CA">
        <w:rPr>
          <w:rFonts w:eastAsia="Batang"/>
        </w:rPr>
        <w:t xml:space="preserve">ome scholars consider the African Charter’s coverage of human rights to be incomplete by international standards. For example, </w:t>
      </w:r>
      <w:r w:rsidR="00E42674" w:rsidRPr="003C33CA">
        <w:rPr>
          <w:rFonts w:eastAsia="Batang" w:hint="eastAsia"/>
          <w:lang w:eastAsia="ko-KR"/>
        </w:rPr>
        <w:t>Article 6 of</w:t>
      </w:r>
      <w:r w:rsidR="00E42674" w:rsidRPr="003C33CA">
        <w:rPr>
          <w:rFonts w:eastAsia="Batang"/>
        </w:rPr>
        <w:t xml:space="preserve"> the African Charter states that “no one may be deprived of his freedom except for reasons and conditions previously laid down by law.” </w:t>
      </w:r>
      <w:r w:rsidR="00E42674" w:rsidRPr="003C33CA">
        <w:rPr>
          <w:rFonts w:eastAsia="Batang"/>
          <w:lang w:eastAsia="ko-KR"/>
        </w:rPr>
        <w:t>This</w:t>
      </w:r>
      <w:r w:rsidR="00E42674" w:rsidRPr="003C33CA">
        <w:rPr>
          <w:rFonts w:eastAsia="Batang" w:hint="eastAsia"/>
          <w:lang w:eastAsia="ko-KR"/>
        </w:rPr>
        <w:t xml:space="preserve"> means, </w:t>
      </w:r>
      <w:r w:rsidR="00E42674" w:rsidRPr="003C33CA">
        <w:rPr>
          <w:rFonts w:eastAsia="Batang"/>
        </w:rPr>
        <w:t xml:space="preserve">as long as there is a </w:t>
      </w:r>
      <w:proofErr w:type="spellStart"/>
      <w:r w:rsidR="00E42674" w:rsidRPr="003C33CA">
        <w:rPr>
          <w:rFonts w:eastAsia="Batang"/>
        </w:rPr>
        <w:t>preexisting</w:t>
      </w:r>
      <w:proofErr w:type="spellEnd"/>
      <w:r w:rsidR="00E42674" w:rsidRPr="003C33CA">
        <w:rPr>
          <w:rFonts w:eastAsia="Batang"/>
        </w:rPr>
        <w:t xml:space="preserve"> law, governments may deprive people of their freedoms.</w:t>
      </w:r>
      <w:r w:rsidR="00E42674" w:rsidRPr="000878BB">
        <w:rPr>
          <w:rStyle w:val="FootnoteReference"/>
          <w:rFonts w:eastAsia="Batang"/>
        </w:rPr>
        <w:footnoteReference w:id="31"/>
      </w:r>
      <w:r w:rsidR="00E42674" w:rsidRPr="003C33CA">
        <w:rPr>
          <w:rFonts w:eastAsia="Batang"/>
        </w:rPr>
        <w:t xml:space="preserve"> Yet, it should be noted that these “claw-back” provisions are fairly common legal language and that the African Commission has so far maintained a strict interpretation of them, thereby preventing their abuse. </w:t>
      </w:r>
    </w:p>
    <w:p w:rsidR="00E42674" w:rsidRPr="006A5689" w:rsidRDefault="00DC570C" w:rsidP="006A5689">
      <w:pPr>
        <w:pStyle w:val="SingleTxtG"/>
        <w:rPr>
          <w:rFonts w:eastAsia="Batang"/>
          <w:lang w:val="fr-CH" w:eastAsia="ko-KR"/>
        </w:rPr>
      </w:pPr>
      <w:r>
        <w:rPr>
          <w:rFonts w:eastAsia="Batang"/>
          <w:lang w:val="en-AU" w:eastAsia="ko-KR"/>
        </w:rPr>
        <w:t>28</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rPr>
        <w:t>The ASEAN Charter fails to provide an effective enforcement mechanism</w:t>
      </w:r>
      <w:r w:rsidR="00E42674" w:rsidRPr="003C33CA">
        <w:rPr>
          <w:rFonts w:eastAsia="Batang" w:hint="eastAsia"/>
          <w:lang w:eastAsia="ko-KR"/>
        </w:rPr>
        <w:t>, as</w:t>
      </w:r>
      <w:r w:rsidR="00E42674" w:rsidRPr="003C33CA">
        <w:rPr>
          <w:rFonts w:eastAsia="Batang"/>
        </w:rPr>
        <w:t xml:space="preserve"> it continues to emphasize sovereignty, territorial integrity, and non-interference in domestic affairs. </w:t>
      </w:r>
      <w:r w:rsidR="00E42674" w:rsidRPr="003C33CA">
        <w:rPr>
          <w:rFonts w:eastAsia="Batang"/>
          <w:lang w:eastAsia="ko-KR"/>
        </w:rPr>
        <w:t xml:space="preserve">Thus, the ASEAN commission is comprised of government appointees accountable to their governments, who can remove the appointees at their discretion. It operates by consensus, which gives each state an effective veto over the Commission’s decisions. In fact, AICHR’s mandate does not contain explicit provisions for receiving and investigating complaints of human rights violations. </w:t>
      </w:r>
      <w:r w:rsidR="00E42674" w:rsidRPr="003C33CA">
        <w:rPr>
          <w:rFonts w:eastAsia="Batang" w:hint="eastAsia"/>
          <w:lang w:eastAsia="ko-KR"/>
        </w:rPr>
        <w:t>D</w:t>
      </w:r>
      <w:r w:rsidR="00E42674" w:rsidRPr="003C33CA">
        <w:rPr>
          <w:rFonts w:eastAsia="Batang"/>
          <w:lang w:eastAsia="ko-KR"/>
        </w:rPr>
        <w:t>iscussions of complaints take place during closed meetings</w:t>
      </w:r>
      <w:r w:rsidR="00E42674" w:rsidRPr="003C33CA">
        <w:rPr>
          <w:rFonts w:eastAsia="Batang" w:hint="eastAsia"/>
          <w:lang w:eastAsia="ko-KR"/>
        </w:rPr>
        <w:t>, s</w:t>
      </w:r>
      <w:r w:rsidR="00E42674" w:rsidRPr="003C33CA">
        <w:rPr>
          <w:rFonts w:eastAsia="Batang"/>
          <w:lang w:eastAsia="ko-KR"/>
        </w:rPr>
        <w:t xml:space="preserve">o it cannot be confirmed if and what cases have been discussed. The AICHR has yet to take public action in response to a complaint. </w:t>
      </w:r>
      <w:r w:rsidR="00E42674" w:rsidRPr="003C33CA">
        <w:rPr>
          <w:rFonts w:eastAsia="Batang"/>
        </w:rPr>
        <w:t xml:space="preserve">Although NGOs are striving to improve </w:t>
      </w:r>
      <w:r w:rsidR="00E42674" w:rsidRPr="003C33CA">
        <w:rPr>
          <w:rFonts w:eastAsia="Batang"/>
          <w:lang w:eastAsia="ko-KR"/>
        </w:rPr>
        <w:t>human rights</w:t>
      </w:r>
      <w:r w:rsidR="00E42674" w:rsidRPr="003C33CA">
        <w:rPr>
          <w:rFonts w:eastAsia="Batang"/>
        </w:rPr>
        <w:t xml:space="preserve"> conditions in Asia, this is proving to be difficult because </w:t>
      </w:r>
      <w:r w:rsidR="00E42674" w:rsidRPr="003C33CA">
        <w:rPr>
          <w:rFonts w:eastAsia="Batang" w:hint="eastAsia"/>
          <w:lang w:eastAsia="ko-KR"/>
        </w:rPr>
        <w:t>t</w:t>
      </w:r>
      <w:r w:rsidR="00E42674" w:rsidRPr="003C33CA">
        <w:rPr>
          <w:rFonts w:eastAsia="Batang"/>
        </w:rPr>
        <w:t>he Commission has largely excluded civil society organizations from participation in its initiatives</w:t>
      </w:r>
      <w:r w:rsidR="00E42674" w:rsidRPr="003C33CA">
        <w:rPr>
          <w:rFonts w:eastAsia="Batang"/>
          <w:lang w:eastAsia="ko-KR"/>
        </w:rPr>
        <w:t>.</w:t>
      </w:r>
      <w:r w:rsidR="00E42674" w:rsidRPr="000878BB">
        <w:rPr>
          <w:rStyle w:val="FootnoteReference"/>
          <w:rFonts w:eastAsia="Batang"/>
          <w:lang w:eastAsia="ko-KR"/>
        </w:rPr>
        <w:footnoteReference w:id="32"/>
      </w:r>
    </w:p>
    <w:p w:rsidR="00E42674" w:rsidRPr="000878BB" w:rsidRDefault="006A5689" w:rsidP="006A5689">
      <w:pPr>
        <w:pStyle w:val="HChG"/>
        <w:rPr>
          <w:lang w:eastAsia="ko-KR"/>
        </w:rPr>
      </w:pPr>
      <w:r>
        <w:rPr>
          <w:rFonts w:eastAsia="Batang"/>
          <w:lang w:val="fr-CH" w:eastAsia="ko-KR"/>
        </w:rPr>
        <w:tab/>
      </w:r>
      <w:r w:rsidR="00E42674" w:rsidRPr="000878BB">
        <w:rPr>
          <w:rFonts w:eastAsia="Batang" w:hint="eastAsia"/>
          <w:lang w:eastAsia="ko-KR"/>
        </w:rPr>
        <w:t xml:space="preserve">V. </w:t>
      </w:r>
      <w:r>
        <w:rPr>
          <w:rFonts w:eastAsia="Batang"/>
          <w:lang w:val="fr-CH" w:eastAsia="ko-KR"/>
        </w:rPr>
        <w:tab/>
      </w:r>
      <w:r w:rsidR="00E42674" w:rsidRPr="000878BB">
        <w:rPr>
          <w:rFonts w:eastAsia="Batang"/>
          <w:lang w:eastAsia="ko-KR"/>
        </w:rPr>
        <w:t xml:space="preserve">Role of OHCHR in the advancement of regional and </w:t>
      </w:r>
      <w:proofErr w:type="spellStart"/>
      <w:r w:rsidR="00E42674" w:rsidRPr="000878BB">
        <w:rPr>
          <w:rFonts w:eastAsia="Batang"/>
          <w:lang w:eastAsia="ko-KR"/>
        </w:rPr>
        <w:t>subregional</w:t>
      </w:r>
      <w:proofErr w:type="spellEnd"/>
      <w:r w:rsidR="00E42674" w:rsidRPr="000878BB">
        <w:rPr>
          <w:rFonts w:eastAsia="Batang"/>
          <w:lang w:eastAsia="ko-KR"/>
        </w:rPr>
        <w:t xml:space="preserve"> human rights arrangements</w:t>
      </w:r>
    </w:p>
    <w:p w:rsidR="00E42674" w:rsidRPr="003C33CA" w:rsidRDefault="00DC570C" w:rsidP="006A5689">
      <w:pPr>
        <w:pStyle w:val="SingleTxtG"/>
        <w:rPr>
          <w:lang w:eastAsia="ko-KR"/>
        </w:rPr>
      </w:pPr>
      <w:r>
        <w:rPr>
          <w:rFonts w:eastAsia="Batang"/>
          <w:lang w:val="en-AU" w:eastAsia="ko-KR"/>
        </w:rPr>
        <w:t>29</w:t>
      </w:r>
      <w:r w:rsidR="003C33CA" w:rsidRPr="000878BB">
        <w:rPr>
          <w:rFonts w:eastAsia="Batang" w:hint="eastAsia"/>
          <w:lang w:val="en-AU" w:eastAsia="ko-KR"/>
        </w:rPr>
        <w:tab/>
      </w:r>
      <w:r w:rsidR="00E42674" w:rsidRPr="003C33CA">
        <w:rPr>
          <w:rFonts w:eastAsia="Batang"/>
        </w:rPr>
        <w:t>The</w:t>
      </w:r>
      <w:r w:rsidR="00E42674" w:rsidRPr="003C33CA">
        <w:rPr>
          <w:lang w:eastAsia="ko-KR"/>
        </w:rPr>
        <w:t xml:space="preserve"> United Nations recognizes the significant role played by regional and </w:t>
      </w:r>
      <w:proofErr w:type="spellStart"/>
      <w:r w:rsidR="00E42674" w:rsidRPr="003C33CA">
        <w:rPr>
          <w:lang w:eastAsia="ko-KR"/>
        </w:rPr>
        <w:t>subregional</w:t>
      </w:r>
      <w:proofErr w:type="spellEnd"/>
      <w:r w:rsidR="00E42674" w:rsidRPr="003C33CA">
        <w:rPr>
          <w:lang w:eastAsia="ko-KR"/>
        </w:rPr>
        <w:t xml:space="preserve"> human rights arrangements in the promotion and protection of human rights. The Vienna Declaration and Program of Action, adopted by the World Conference on Human Rights in 1993, endorsed efforts to establish, strengthen and increase the effectiveness of these arrangements while at the same time stressing the importance of their cooperation with the UN human rights system. This has been reconfirmed by the UN General Assembly in several resolutions requesting the Secretary-General to continue to </w:t>
      </w:r>
      <w:r w:rsidR="00E42674" w:rsidRPr="003C33CA">
        <w:rPr>
          <w:lang w:eastAsia="ko-KR"/>
        </w:rPr>
        <w:lastRenderedPageBreak/>
        <w:t>strengthen the exchanges between the UN and regional intergovernmental organizations dealing with human rights</w:t>
      </w:r>
      <w:r w:rsidR="00E42674" w:rsidRPr="003C33CA">
        <w:rPr>
          <w:rFonts w:hint="eastAsia"/>
          <w:lang w:eastAsia="ko-KR"/>
        </w:rPr>
        <w:t>.</w:t>
      </w:r>
      <w:r w:rsidR="00E42674" w:rsidRPr="000878BB">
        <w:rPr>
          <w:rStyle w:val="FootnoteReference"/>
          <w:lang w:eastAsia="ko-KR"/>
        </w:rPr>
        <w:footnoteReference w:id="33"/>
      </w:r>
    </w:p>
    <w:p w:rsidR="00E42674" w:rsidRPr="003C33CA" w:rsidRDefault="00DC570C" w:rsidP="006A5689">
      <w:pPr>
        <w:pStyle w:val="SingleTxtG"/>
        <w:rPr>
          <w:lang w:eastAsia="ko-KR"/>
        </w:rPr>
      </w:pPr>
      <w:r>
        <w:rPr>
          <w:rFonts w:eastAsia="Batang"/>
          <w:lang w:val="en-AU" w:eastAsia="ko-KR"/>
        </w:rPr>
        <w:t>30</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In 1993, the then Commission on Human Rights adopted the first of a number of resolutions on the subject, which inter alia requested the Secretary-General to continue to strengthen exchanges between the UN and regional intergovernmental organizations dealing with human rights and invited the treaty bodies to explore ways to increase the exchange of information and cooperation with regional human rights mechanisms. The UN Human Rights Council (HRC) has reiterated this through a number of resolutions which have requested the Office of the UN High Commissioner of Human Rights (OHCHR) to bring together regional and UN human rights mechanisms to exchange views on good practices and lessons learned with a view to enhancing cooperation between them.</w:t>
      </w:r>
      <w:r w:rsidR="00E42674" w:rsidRPr="000878BB">
        <w:rPr>
          <w:rStyle w:val="FootnoteReference"/>
          <w:lang w:eastAsia="ko-KR"/>
        </w:rPr>
        <w:footnoteReference w:id="34"/>
      </w:r>
      <w:r w:rsidR="00E42674" w:rsidRPr="003C33CA">
        <w:rPr>
          <w:lang w:eastAsia="ko-KR"/>
        </w:rPr>
        <w:t xml:space="preserve"> </w:t>
      </w:r>
    </w:p>
    <w:p w:rsidR="00E42674" w:rsidRPr="003C33CA" w:rsidRDefault="00DC570C" w:rsidP="006A5689">
      <w:pPr>
        <w:pStyle w:val="SingleTxtG"/>
        <w:rPr>
          <w:lang w:eastAsia="ko-KR"/>
        </w:rPr>
      </w:pPr>
      <w:r>
        <w:rPr>
          <w:rFonts w:eastAsia="Batang"/>
          <w:lang w:val="en-AU" w:eastAsia="ko-KR"/>
        </w:rPr>
        <w:t>31</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Consequently, the OHCHR held three biennial workshops in November 2008, May 2010 and December 2012 with the participation of UN experts from human rights treaty bodies and the HRC special procedures; representatives of regional human rights mechanisms in Africa, Europe, the Americas, the Middle East and ASEAN; as well as National Human Rights Institutions (NHRIs) and NGOs.</w:t>
      </w:r>
      <w:r w:rsidR="00E42674" w:rsidRPr="000878BB">
        <w:rPr>
          <w:rStyle w:val="FootnoteReference"/>
          <w:lang w:eastAsia="ko-KR"/>
        </w:rPr>
        <w:footnoteReference w:id="35"/>
      </w:r>
      <w:r w:rsidR="00E42674" w:rsidRPr="003C33CA">
        <w:rPr>
          <w:lang w:eastAsia="ko-KR"/>
        </w:rPr>
        <w:t xml:space="preserve"> </w:t>
      </w:r>
      <w:r w:rsidR="00E42674" w:rsidRPr="003C33CA">
        <w:rPr>
          <w:rFonts w:hint="eastAsia"/>
          <w:lang w:eastAsia="ko-KR"/>
        </w:rPr>
        <w:t>Most recently, the OHCHR had regional consultations in Europe, Africa, Americas and Asia in 2016.</w:t>
      </w:r>
    </w:p>
    <w:p w:rsidR="00E42674" w:rsidRPr="003C33CA" w:rsidRDefault="00DC570C" w:rsidP="006A5689">
      <w:pPr>
        <w:pStyle w:val="SingleTxtG"/>
        <w:rPr>
          <w:lang w:eastAsia="ko-KR"/>
        </w:rPr>
      </w:pPr>
      <w:r>
        <w:rPr>
          <w:rFonts w:eastAsia="Batang"/>
          <w:lang w:val="en-AU" w:eastAsia="ko-KR"/>
        </w:rPr>
        <w:t>32</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The OHCHR supports the establishment and operation of regional human rights arrangements by capacity building, such as training and technical assistance, and facilitating information flows.</w:t>
      </w:r>
      <w:r w:rsidR="00E42674" w:rsidRPr="003C33CA">
        <w:rPr>
          <w:rFonts w:hint="eastAsia"/>
          <w:b/>
          <w:lang w:eastAsia="ko-KR"/>
        </w:rPr>
        <w:t xml:space="preserve"> </w:t>
      </w:r>
      <w:r w:rsidR="00E42674" w:rsidRPr="003C33CA">
        <w:rPr>
          <w:lang w:eastAsia="ko-KR"/>
        </w:rPr>
        <w:t>The technical assistance program integrates support for national institutions with other forms of UN assistance. The OHCHR gathers information from, and works through the Special Adviser to the High Commissioner for the Establishment and Strengthening of National Institutions for Human Rights. The OHCHR has supported the establishment and operation of human rights commissions, ombudsmen, and other hybrid institutions in many countries including Fiji, Ghana, Guatemala, Indonesia, Latvia, Mexico, Moldova, Rwanda, South Africa, Sri Lanka, Tajikistan, Uganda, and Uzbekistan.</w:t>
      </w:r>
      <w:r w:rsidR="00E42674" w:rsidRPr="000878BB">
        <w:rPr>
          <w:rStyle w:val="FootnoteReference"/>
          <w:lang w:eastAsia="ko-KR"/>
        </w:rPr>
        <w:footnoteReference w:id="36"/>
      </w:r>
    </w:p>
    <w:p w:rsidR="00E42674" w:rsidRPr="003C33CA" w:rsidRDefault="00DC570C" w:rsidP="006A5689">
      <w:pPr>
        <w:pStyle w:val="SingleTxtG"/>
        <w:rPr>
          <w:lang w:eastAsia="ko-KR"/>
        </w:rPr>
      </w:pPr>
      <w:r>
        <w:rPr>
          <w:rFonts w:eastAsia="Batang"/>
          <w:lang w:val="en-AU" w:eastAsia="ko-KR"/>
        </w:rPr>
        <w:t>33</w:t>
      </w:r>
      <w:r w:rsidR="003C33CA" w:rsidRPr="000878BB">
        <w:rPr>
          <w:rFonts w:eastAsia="Batang" w:hint="eastAsia"/>
          <w:lang w:val="en-AU" w:eastAsia="ko-KR"/>
        </w:rPr>
        <w:tab/>
      </w:r>
      <w:r w:rsidR="00E42674" w:rsidRPr="003C33CA">
        <w:rPr>
          <w:rFonts w:eastAsia="Batang"/>
          <w:lang w:eastAsia="ko-KR"/>
        </w:rPr>
        <w:t xml:space="preserve">However, more could be done in this regard. </w:t>
      </w:r>
      <w:r w:rsidR="00E42674" w:rsidRPr="003C33CA">
        <w:rPr>
          <w:rFonts w:eastAsia="Batang" w:hint="eastAsia"/>
          <w:lang w:eastAsia="ko-KR"/>
        </w:rPr>
        <w:t xml:space="preserve">Kenya noted that it has </w:t>
      </w:r>
      <w:r w:rsidR="00E42674" w:rsidRPr="003C33CA">
        <w:rPr>
          <w:rFonts w:eastAsia="Batang"/>
          <w:lang w:eastAsia="ko-KR"/>
        </w:rPr>
        <w:t xml:space="preserve">faced a challenge with regard to training on various human rights issues. </w:t>
      </w:r>
      <w:r w:rsidR="00E42674" w:rsidRPr="003C33CA">
        <w:rPr>
          <w:rFonts w:eastAsia="Batang" w:hint="eastAsia"/>
          <w:lang w:eastAsia="ko-KR"/>
        </w:rPr>
        <w:t>It says m</w:t>
      </w:r>
      <w:r w:rsidR="00E42674" w:rsidRPr="003C33CA">
        <w:rPr>
          <w:rFonts w:eastAsia="Batang"/>
          <w:lang w:eastAsia="ko-KR"/>
        </w:rPr>
        <w:t xml:space="preserve">ore support is required towards human rights awareness campaigns, especially for the abolition of the death penalty and training of </w:t>
      </w:r>
      <w:r w:rsidR="00E42674" w:rsidRPr="003C33CA">
        <w:rPr>
          <w:rFonts w:eastAsia="Batang" w:hint="eastAsia"/>
          <w:lang w:eastAsia="ko-KR"/>
        </w:rPr>
        <w:t>g</w:t>
      </w:r>
      <w:r w:rsidR="00E42674" w:rsidRPr="003C33CA">
        <w:rPr>
          <w:rFonts w:eastAsia="Batang"/>
          <w:lang w:eastAsia="ko-KR"/>
        </w:rPr>
        <w:t>overnment officers on the human rights based approach to programming and planning to build their capacity to provide service delivery in a meaningful way.</w:t>
      </w:r>
      <w:r w:rsidR="00E42674" w:rsidRPr="000878BB">
        <w:rPr>
          <w:rStyle w:val="FootnoteReference"/>
          <w:rFonts w:eastAsia="Batang"/>
          <w:lang w:eastAsia="ko-KR"/>
        </w:rPr>
        <w:footnoteReference w:id="37"/>
      </w:r>
      <w:r w:rsidR="00E42674" w:rsidRPr="003C33CA">
        <w:rPr>
          <w:rFonts w:eastAsia="Batang" w:hint="eastAsia"/>
          <w:lang w:eastAsia="ko-KR"/>
        </w:rPr>
        <w:t xml:space="preserve"> The Council of Human Rights of Egypt also notes that OHCHR can play an important role by </w:t>
      </w:r>
      <w:r w:rsidR="00E42674" w:rsidRPr="003C33CA">
        <w:rPr>
          <w:rFonts w:eastAsia="Batang"/>
          <w:lang w:eastAsia="ko-KR"/>
        </w:rPr>
        <w:t>conducting trainings for the staff of the concerned institutions, assisting in developing information and documentation systems, and facilitating exchange of experience with relevant institutions, especially those belonging to the international system of human rights protection.</w:t>
      </w:r>
      <w:r w:rsidR="00E42674" w:rsidRPr="003C33CA">
        <w:rPr>
          <w:rFonts w:eastAsia="Batang" w:hint="eastAsia"/>
          <w:lang w:eastAsia="ko-KR"/>
        </w:rPr>
        <w:t xml:space="preserve"> OHCHR could </w:t>
      </w:r>
      <w:r w:rsidR="00E42674" w:rsidRPr="003C33CA">
        <w:rPr>
          <w:rFonts w:eastAsia="Batang"/>
          <w:lang w:eastAsia="ko-KR"/>
        </w:rPr>
        <w:t>also</w:t>
      </w:r>
      <w:r w:rsidR="00E42674" w:rsidRPr="003C33CA">
        <w:rPr>
          <w:rFonts w:eastAsia="Batang" w:hint="eastAsia"/>
          <w:lang w:eastAsia="ko-KR"/>
        </w:rPr>
        <w:t xml:space="preserve"> help e</w:t>
      </w:r>
      <w:r w:rsidR="00E42674" w:rsidRPr="003C33CA">
        <w:rPr>
          <w:rFonts w:eastAsia="Batang"/>
          <w:lang w:eastAsia="ko-KR"/>
        </w:rPr>
        <w:t xml:space="preserve">stablish regional offices and human rights </w:t>
      </w:r>
      <w:proofErr w:type="spellStart"/>
      <w:r w:rsidR="00E42674" w:rsidRPr="003C33CA">
        <w:rPr>
          <w:rFonts w:eastAsia="Batang"/>
          <w:lang w:eastAsia="ko-KR"/>
        </w:rPr>
        <w:t>cente</w:t>
      </w:r>
      <w:r w:rsidR="00E42674" w:rsidRPr="003C33CA">
        <w:rPr>
          <w:rFonts w:eastAsia="Batang" w:hint="eastAsia"/>
          <w:lang w:eastAsia="ko-KR"/>
        </w:rPr>
        <w:t>r</w:t>
      </w:r>
      <w:r w:rsidR="00E42674" w:rsidRPr="003C33CA">
        <w:rPr>
          <w:rFonts w:eastAsia="Batang"/>
          <w:lang w:eastAsia="ko-KR"/>
        </w:rPr>
        <w:t>s</w:t>
      </w:r>
      <w:proofErr w:type="spellEnd"/>
      <w:r w:rsidR="00E42674" w:rsidRPr="003C33CA">
        <w:rPr>
          <w:rFonts w:eastAsia="Batang"/>
          <w:lang w:eastAsia="ko-KR"/>
        </w:rPr>
        <w:t xml:space="preserve"> that provide an additional structure promoting the concept of regional protection of human rights.</w:t>
      </w:r>
      <w:r w:rsidR="00E42674" w:rsidRPr="000878BB">
        <w:rPr>
          <w:rStyle w:val="FootnoteReference"/>
          <w:rFonts w:eastAsia="Batang"/>
          <w:lang w:eastAsia="ko-KR"/>
        </w:rPr>
        <w:footnoteReference w:id="38"/>
      </w:r>
    </w:p>
    <w:p w:rsidR="00E42674" w:rsidRPr="003C33CA" w:rsidRDefault="00DC570C" w:rsidP="006A5689">
      <w:pPr>
        <w:pStyle w:val="SingleTxtG"/>
      </w:pPr>
      <w:r>
        <w:rPr>
          <w:rFonts w:eastAsia="Batang"/>
          <w:lang w:val="en-AU"/>
        </w:rPr>
        <w:lastRenderedPageBreak/>
        <w:t>34</w:t>
      </w:r>
      <w:r w:rsidR="003C33CA" w:rsidRPr="000878BB">
        <w:rPr>
          <w:rFonts w:eastAsia="Batang" w:hint="eastAsia"/>
          <w:lang w:val="en-AU"/>
        </w:rPr>
        <w:tab/>
      </w:r>
      <w:r w:rsidR="00E42674" w:rsidRPr="003C33CA">
        <w:rPr>
          <w:lang w:eastAsia="ko-KR"/>
        </w:rPr>
        <w:t>The OHCHR also assists the drafting work of human rights instruments and the diffusion of international human rights standards to regional arrangements.</w:t>
      </w:r>
      <w:r w:rsidR="00E42674" w:rsidRPr="003C33CA">
        <w:rPr>
          <w:rFonts w:hint="eastAsia"/>
          <w:b/>
          <w:lang w:eastAsia="ko-KR"/>
        </w:rPr>
        <w:t xml:space="preserve"> </w:t>
      </w:r>
      <w:r w:rsidR="00E42674" w:rsidRPr="003C33CA">
        <w:rPr>
          <w:lang w:eastAsia="ko-KR"/>
        </w:rPr>
        <w:t>For example, it</w:t>
      </w:r>
      <w:r w:rsidR="00E42674" w:rsidRPr="003C33CA">
        <w:rPr>
          <w:rFonts w:hint="eastAsia"/>
          <w:lang w:eastAsia="ko-KR"/>
        </w:rPr>
        <w:t xml:space="preserve"> a</w:t>
      </w:r>
      <w:r w:rsidR="00E42674" w:rsidRPr="003C33CA">
        <w:rPr>
          <w:lang w:eastAsia="ko-KR"/>
        </w:rPr>
        <w:t>ssist</w:t>
      </w:r>
      <w:r w:rsidR="00E42674" w:rsidRPr="003C33CA">
        <w:rPr>
          <w:rFonts w:hint="eastAsia"/>
          <w:lang w:eastAsia="ko-KR"/>
        </w:rPr>
        <w:t>s</w:t>
      </w:r>
      <w:r w:rsidR="00E42674" w:rsidRPr="003C33CA">
        <w:rPr>
          <w:lang w:eastAsia="ko-KR"/>
        </w:rPr>
        <w:t xml:space="preserve"> </w:t>
      </w:r>
      <w:r w:rsidR="00E42674" w:rsidRPr="003C33CA">
        <w:rPr>
          <w:rFonts w:hint="eastAsia"/>
          <w:lang w:eastAsia="ko-KR"/>
        </w:rPr>
        <w:t>m</w:t>
      </w:r>
      <w:r w:rsidR="00E42674" w:rsidRPr="003C33CA">
        <w:rPr>
          <w:lang w:eastAsia="ko-KR"/>
        </w:rPr>
        <w:t xml:space="preserve">ember </w:t>
      </w:r>
      <w:r w:rsidR="00E42674" w:rsidRPr="003C33CA">
        <w:rPr>
          <w:rFonts w:hint="eastAsia"/>
          <w:lang w:eastAsia="ko-KR"/>
        </w:rPr>
        <w:t>s</w:t>
      </w:r>
      <w:r w:rsidR="00E42674" w:rsidRPr="003C33CA">
        <w:rPr>
          <w:lang w:eastAsia="ko-KR"/>
        </w:rPr>
        <w:t>tates doing the U</w:t>
      </w:r>
      <w:r w:rsidR="00E42674" w:rsidRPr="003C33CA">
        <w:rPr>
          <w:rFonts w:hint="eastAsia"/>
          <w:lang w:eastAsia="ko-KR"/>
        </w:rPr>
        <w:t xml:space="preserve">niversal </w:t>
      </w:r>
      <w:r w:rsidR="00E42674" w:rsidRPr="003C33CA">
        <w:rPr>
          <w:lang w:eastAsia="ko-KR"/>
        </w:rPr>
        <w:t>P</w:t>
      </w:r>
      <w:r w:rsidR="00E42674" w:rsidRPr="003C33CA">
        <w:rPr>
          <w:rFonts w:hint="eastAsia"/>
          <w:lang w:eastAsia="ko-KR"/>
        </w:rPr>
        <w:t xml:space="preserve">eriodic </w:t>
      </w:r>
      <w:r w:rsidR="00E42674" w:rsidRPr="003C33CA">
        <w:rPr>
          <w:lang w:eastAsia="ko-KR"/>
        </w:rPr>
        <w:t>R</w:t>
      </w:r>
      <w:r w:rsidR="00E42674" w:rsidRPr="003C33CA">
        <w:rPr>
          <w:rFonts w:hint="eastAsia"/>
          <w:lang w:eastAsia="ko-KR"/>
        </w:rPr>
        <w:t>eview (UPR)</w:t>
      </w:r>
      <w:r w:rsidR="00E42674" w:rsidRPr="003C33CA">
        <w:rPr>
          <w:lang w:eastAsia="ko-KR"/>
        </w:rPr>
        <w:t xml:space="preserve"> follow-up to create </w:t>
      </w:r>
      <w:r w:rsidR="00E42674" w:rsidRPr="003C33CA">
        <w:t>comprehensive national action plans encompassing UPR recommendations and other UN human rights mechanisms, identify priority actions, locate necessary resources to realize such actions, and connect with relevant national and international partners.</w:t>
      </w:r>
      <w:r w:rsidR="00E42674" w:rsidRPr="000878BB">
        <w:rPr>
          <w:rStyle w:val="FootnoteReference"/>
        </w:rPr>
        <w:footnoteReference w:id="39"/>
      </w:r>
      <w:r w:rsidR="00E42674" w:rsidRPr="003C33CA">
        <w:t xml:space="preserve"> </w:t>
      </w:r>
      <w:r w:rsidR="00E42674" w:rsidRPr="003C33CA">
        <w:rPr>
          <w:lang w:eastAsia="ko-KR"/>
        </w:rPr>
        <w:t>I</w:t>
      </w:r>
      <w:r w:rsidR="00E42674" w:rsidRPr="003C33CA">
        <w:t>n the case of the League of Arab States, the OHCHR provided assistance in revising the Arab Charter on Human Rights to improve its compliance with international human rights standards.</w:t>
      </w:r>
      <w:r w:rsidR="00E42674" w:rsidRPr="003C33CA">
        <w:rPr>
          <w:lang w:eastAsia="ko-KR"/>
        </w:rPr>
        <w:t xml:space="preserve"> An earlier Memorandum of Understanding between the Arab League and the UN Office of the High Commissioner for Human Rights (OHCHR) was used by OHCHR and CSOs to convince the Arab League to appoint a committee of independent experts to review the provisions of the 1994 version of the Charter. As a result, a committee of experts was set up, consisting of Arab members of UN expert human rights mechanisms. The Committee relied on international human rights law and standards as well as regional instruments; studies and suggestions by its members in their own areas of expertise; and oral and written interventions by national, regional and international CSOs.</w:t>
      </w:r>
      <w:r w:rsidR="00E42674" w:rsidRPr="000878BB">
        <w:rPr>
          <w:rStyle w:val="FootnoteReference"/>
          <w:lang w:eastAsia="ko-KR"/>
        </w:rPr>
        <w:footnoteReference w:id="40"/>
      </w:r>
    </w:p>
    <w:p w:rsidR="00E42674" w:rsidRPr="003C33CA" w:rsidRDefault="00DC570C" w:rsidP="006A5689">
      <w:pPr>
        <w:pStyle w:val="SingleTxtG"/>
        <w:rPr>
          <w:lang w:eastAsia="ko-KR"/>
        </w:rPr>
      </w:pPr>
      <w:r>
        <w:rPr>
          <w:rFonts w:eastAsia="Batang"/>
          <w:lang w:val="en-AU" w:eastAsia="ko-KR"/>
        </w:rPr>
        <w:t>35</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In particular, the development of closer relationships between the OHCHR and regional partners will play an important role in the future. Working towards this end, t</w:t>
      </w:r>
      <w:r w:rsidR="00E42674" w:rsidRPr="003C33CA">
        <w:t>he OHCHR has set up 12 regional offices around the world, and is currently carrying out plans to establish more in Asia.</w:t>
      </w:r>
      <w:r w:rsidR="00E42674" w:rsidRPr="003C33CA">
        <w:rPr>
          <w:rFonts w:hint="eastAsia"/>
          <w:lang w:eastAsia="ko-KR"/>
        </w:rPr>
        <w:t xml:space="preserve"> The</w:t>
      </w:r>
      <w:r w:rsidR="00E42674" w:rsidRPr="003C33CA">
        <w:t xml:space="preserve"> OHCHR</w:t>
      </w:r>
      <w:r w:rsidR="00E42674" w:rsidRPr="003C33CA">
        <w:rPr>
          <w:lang w:eastAsia="ko-KR"/>
        </w:rPr>
        <w:t>’s</w:t>
      </w:r>
      <w:r w:rsidR="00E42674" w:rsidRPr="003C33CA">
        <w:t xml:space="preserve"> regional offices have facilitated various forms of interaction between international and regional/</w:t>
      </w:r>
      <w:proofErr w:type="spellStart"/>
      <w:r w:rsidR="00E42674" w:rsidRPr="003C33CA">
        <w:t>subregional</w:t>
      </w:r>
      <w:proofErr w:type="spellEnd"/>
      <w:r w:rsidR="00E42674" w:rsidRPr="003C33CA">
        <w:t xml:space="preserve"> mechanisms.</w:t>
      </w:r>
      <w:r w:rsidR="00E42674" w:rsidRPr="003C33CA">
        <w:rPr>
          <w:lang w:eastAsia="ko-KR"/>
        </w:rPr>
        <w:t xml:space="preserve"> T</w:t>
      </w:r>
      <w:r w:rsidR="00E42674" w:rsidRPr="003C33CA">
        <w:t>he OHCHR has consistently organized workshops aiming to enhance cooperation between the United Nations and regional human rights mechanisms, which included information-sharing on best practices and lessons learned, as well as discussions on new possible forms of cooperation.</w:t>
      </w:r>
      <w:r w:rsidR="00E42674" w:rsidRPr="000878BB">
        <w:rPr>
          <w:rStyle w:val="FootnoteReference"/>
        </w:rPr>
        <w:footnoteReference w:id="41"/>
      </w:r>
      <w:r w:rsidR="00E42674" w:rsidRPr="003C33CA">
        <w:t xml:space="preserve"> For example, </w:t>
      </w:r>
      <w:r w:rsidR="00E42674" w:rsidRPr="003C33CA">
        <w:rPr>
          <w:rFonts w:eastAsia="Batang"/>
          <w:lang w:eastAsia="ko-KR"/>
        </w:rPr>
        <w:t xml:space="preserve">in </w:t>
      </w:r>
      <w:r w:rsidR="00E42674" w:rsidRPr="003C33CA">
        <w:t xml:space="preserve">October 2014, </w:t>
      </w:r>
      <w:r w:rsidR="00E42674" w:rsidRPr="003C33CA">
        <w:rPr>
          <w:lang w:eastAsia="ko-KR"/>
        </w:rPr>
        <w:t xml:space="preserve">the </w:t>
      </w:r>
      <w:r w:rsidR="00E42674" w:rsidRPr="003C33CA">
        <w:t xml:space="preserve">OHCHR organized a workshop specifically on the issue of “enhancing cooperation between United Nations and regional human rights mechanisms.” </w:t>
      </w:r>
      <w:r w:rsidR="00E42674" w:rsidRPr="003C33CA">
        <w:rPr>
          <w:lang w:eastAsia="ko-KR"/>
        </w:rPr>
        <w:t>P</w:t>
      </w:r>
      <w:r w:rsidR="00E42674" w:rsidRPr="003C33CA">
        <w:t xml:space="preserve">articipants recognized the important role carried out by </w:t>
      </w:r>
      <w:r w:rsidR="00E42674" w:rsidRPr="003C33CA">
        <w:rPr>
          <w:lang w:eastAsia="ko-KR"/>
        </w:rPr>
        <w:t xml:space="preserve">the </w:t>
      </w:r>
      <w:r w:rsidR="00E42674" w:rsidRPr="003C33CA">
        <w:t xml:space="preserve">OHCHR in advancing cooperation between international and regional human rights mechanisms. </w:t>
      </w:r>
      <w:r w:rsidR="00E42674" w:rsidRPr="003C33CA">
        <w:rPr>
          <w:lang w:eastAsia="ko-KR"/>
        </w:rPr>
        <w:t xml:space="preserve">Relatedly, the European Union Agency for Fundamental Rights says the OHCHR can play an important role in sharing information on how regional mechanisms work. </w:t>
      </w:r>
    </w:p>
    <w:p w:rsidR="00E42674" w:rsidRPr="006A5689" w:rsidRDefault="00DC570C" w:rsidP="006A5689">
      <w:pPr>
        <w:pStyle w:val="SingleTxtG"/>
        <w:rPr>
          <w:rFonts w:eastAsia="Batang"/>
          <w:lang w:val="en-GB" w:eastAsia="ko-KR"/>
        </w:rPr>
      </w:pPr>
      <w:r>
        <w:rPr>
          <w:rFonts w:eastAsia="Batang"/>
          <w:lang w:val="en-AU" w:eastAsia="ko-KR"/>
        </w:rPr>
        <w:t>36</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 xml:space="preserve">The OHCHR </w:t>
      </w:r>
      <w:r w:rsidR="00E42674" w:rsidRPr="003C33CA">
        <w:rPr>
          <w:rFonts w:eastAsia="Batang" w:hint="eastAsia"/>
          <w:lang w:eastAsia="ko-KR"/>
        </w:rPr>
        <w:t xml:space="preserve">can </w:t>
      </w:r>
      <w:r w:rsidR="00E42674" w:rsidRPr="003C33CA">
        <w:rPr>
          <w:rFonts w:eastAsia="Batang"/>
          <w:lang w:eastAsia="ko-KR"/>
        </w:rPr>
        <w:t xml:space="preserve">bridge the gap between regional human rights mechanisms and the broader international community. This can be done by bringing the voice of regional mechanisms to the broader international arena, </w:t>
      </w:r>
      <w:r w:rsidR="00E42674" w:rsidRPr="003C33CA">
        <w:rPr>
          <w:rFonts w:eastAsia="Batang" w:hint="eastAsia"/>
          <w:lang w:eastAsia="ko-KR"/>
        </w:rPr>
        <w:t xml:space="preserve">and </w:t>
      </w:r>
      <w:r w:rsidR="00E42674" w:rsidRPr="003C33CA">
        <w:rPr>
          <w:rFonts w:eastAsia="Batang"/>
          <w:lang w:eastAsia="ko-KR"/>
        </w:rPr>
        <w:t>listening to perspectives from different cultures/regions in understanding and implementing human rights. As a global voice of the international community in the human rights field, OHCHR should not only make sure that the universal human rights are understood and implemented globally, but should also look into the specificities of different regions, including religious and cultural dimensions, in order to enrich the universal human rights framework, expand the common ground between various civilizations, and minimize the contradictions and misconceptions about the understanding and practice of human rights worldwide.</w:t>
      </w:r>
      <w:r w:rsidR="00E42674" w:rsidRPr="000878BB">
        <w:rPr>
          <w:rStyle w:val="FootnoteReference"/>
          <w:rFonts w:eastAsia="Batang"/>
          <w:lang w:eastAsia="ko-KR"/>
        </w:rPr>
        <w:footnoteReference w:id="42"/>
      </w:r>
      <w:r w:rsidR="006A5689">
        <w:rPr>
          <w:rFonts w:eastAsia="Batang"/>
          <w:lang w:eastAsia="ko-KR"/>
        </w:rPr>
        <w:t xml:space="preserve"> </w:t>
      </w:r>
    </w:p>
    <w:p w:rsidR="00E42674" w:rsidRPr="006A5689" w:rsidRDefault="006A5689" w:rsidP="006A5689">
      <w:pPr>
        <w:pStyle w:val="HChG"/>
        <w:rPr>
          <w:lang w:val="en-GB" w:eastAsia="ko-KR"/>
        </w:rPr>
      </w:pPr>
      <w:r>
        <w:rPr>
          <w:rFonts w:eastAsia="Batang"/>
          <w:lang w:val="fr-CH" w:eastAsia="ko-KR"/>
        </w:rPr>
        <w:lastRenderedPageBreak/>
        <w:tab/>
      </w:r>
      <w:r w:rsidR="00E42674" w:rsidRPr="000878BB">
        <w:rPr>
          <w:rFonts w:eastAsia="Batang" w:hint="eastAsia"/>
          <w:lang w:eastAsia="ko-KR"/>
        </w:rPr>
        <w:t xml:space="preserve">VI. </w:t>
      </w:r>
      <w:r>
        <w:rPr>
          <w:rFonts w:eastAsia="Batang"/>
          <w:lang w:val="fr-CH" w:eastAsia="ko-KR"/>
        </w:rPr>
        <w:tab/>
      </w:r>
      <w:r w:rsidR="00E42674" w:rsidRPr="000878BB">
        <w:rPr>
          <w:rFonts w:eastAsia="Batang"/>
          <w:lang w:eastAsia="ko-KR"/>
        </w:rPr>
        <w:t xml:space="preserve">Other actors’ contribution to regional and </w:t>
      </w:r>
      <w:proofErr w:type="spellStart"/>
      <w:r w:rsidR="00E42674" w:rsidRPr="000878BB">
        <w:rPr>
          <w:rFonts w:eastAsia="Batang"/>
          <w:lang w:eastAsia="ko-KR"/>
        </w:rPr>
        <w:t>subregional</w:t>
      </w:r>
      <w:proofErr w:type="spellEnd"/>
      <w:r w:rsidR="00E42674" w:rsidRPr="000878BB">
        <w:rPr>
          <w:rFonts w:eastAsia="Batang"/>
          <w:lang w:eastAsia="ko-KR"/>
        </w:rPr>
        <w:t xml:space="preserve"> human rights arrangements</w:t>
      </w:r>
    </w:p>
    <w:p w:rsidR="00E42674" w:rsidRPr="000878BB" w:rsidRDefault="006A5689" w:rsidP="006A5689">
      <w:pPr>
        <w:pStyle w:val="H23G"/>
        <w:rPr>
          <w:rFonts w:eastAsia="Batang"/>
          <w:lang w:eastAsia="ko-KR"/>
        </w:rPr>
      </w:pPr>
      <w:r>
        <w:rPr>
          <w:rFonts w:eastAsia="Batang"/>
          <w:lang w:eastAsia="ko-KR"/>
        </w:rPr>
        <w:tab/>
      </w:r>
      <w:r>
        <w:rPr>
          <w:rFonts w:eastAsia="Batang"/>
          <w:lang w:eastAsia="ko-KR"/>
        </w:rPr>
        <w:tab/>
      </w:r>
      <w:r w:rsidR="00E42674" w:rsidRPr="000878BB">
        <w:rPr>
          <w:rFonts w:eastAsia="Batang"/>
          <w:lang w:eastAsia="ko-KR"/>
        </w:rPr>
        <w:t>N</w:t>
      </w:r>
      <w:r w:rsidR="00E42674" w:rsidRPr="000878BB">
        <w:rPr>
          <w:rFonts w:eastAsia="Batang" w:hint="eastAsia"/>
          <w:lang w:eastAsia="ko-KR"/>
        </w:rPr>
        <w:t>ational human rights institutions</w:t>
      </w:r>
    </w:p>
    <w:p w:rsidR="00E42674" w:rsidRPr="003C33CA" w:rsidRDefault="00DC570C" w:rsidP="006A5689">
      <w:pPr>
        <w:pStyle w:val="SingleTxtG"/>
        <w:rPr>
          <w:rFonts w:eastAsia="Batang"/>
          <w:lang w:eastAsia="ko-KR"/>
        </w:rPr>
      </w:pPr>
      <w:r>
        <w:rPr>
          <w:rFonts w:eastAsia="Batang"/>
          <w:lang w:val="en-AU" w:eastAsia="ko-KR"/>
        </w:rPr>
        <w:t>37</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National human rights institutions</w:t>
      </w:r>
      <w:r w:rsidR="00E42674" w:rsidRPr="003C33CA">
        <w:t xml:space="preserve"> </w:t>
      </w:r>
      <w:r w:rsidR="00E42674" w:rsidRPr="003C33CA">
        <w:rPr>
          <w:lang w:eastAsia="ko-KR"/>
        </w:rPr>
        <w:t xml:space="preserve">(NHRIs) are important actors for creating regional human rights arrangements because their autonomy, strong institutions, and accumulated expertise at the domestic level can be leveraged in support of regional initiatives. NHRIs </w:t>
      </w:r>
      <w:r w:rsidR="00E42674" w:rsidRPr="003C33CA">
        <w:t xml:space="preserve">are </w:t>
      </w:r>
      <w:r w:rsidR="00E42674" w:rsidRPr="003C33CA">
        <w:rPr>
          <w:lang w:eastAsia="ko-KR"/>
        </w:rPr>
        <w:t>bodies</w:t>
      </w:r>
      <w:r w:rsidR="00E42674" w:rsidRPr="003C33CA">
        <w:t xml:space="preserve"> that ha</w:t>
      </w:r>
      <w:r w:rsidR="00E42674" w:rsidRPr="003C33CA">
        <w:rPr>
          <w:lang w:eastAsia="ko-KR"/>
        </w:rPr>
        <w:t>ve</w:t>
      </w:r>
      <w:r w:rsidR="00E42674" w:rsidRPr="003C33CA">
        <w:t xml:space="preserve"> received accreditation under the Paris Principles. The key requirements for accreditatio</w:t>
      </w:r>
      <w:r w:rsidR="00E42674" w:rsidRPr="003C33CA">
        <w:rPr>
          <w:lang w:eastAsia="ko-KR"/>
        </w:rPr>
        <w:t xml:space="preserve">n are contained in the </w:t>
      </w:r>
      <w:r w:rsidR="00E42674" w:rsidRPr="003C33CA">
        <w:rPr>
          <w:shd w:val="clear" w:color="auto" w:fill="FFFFFF"/>
        </w:rPr>
        <w:t>‘Principles relating to the Status of National Institutions for the Promotion and Protection of Human Rights</w:t>
      </w:r>
      <w:r w:rsidR="00E42674" w:rsidRPr="003C33CA">
        <w:rPr>
          <w:shd w:val="clear" w:color="auto" w:fill="FFFFFF"/>
          <w:lang w:eastAsia="ko-KR"/>
        </w:rPr>
        <w:t>.</w:t>
      </w:r>
      <w:r w:rsidR="00E42674" w:rsidRPr="003C33CA">
        <w:rPr>
          <w:shd w:val="clear" w:color="auto" w:fill="FFFFFF"/>
        </w:rPr>
        <w:t>’</w:t>
      </w:r>
      <w:r w:rsidR="00E42674" w:rsidRPr="000878BB">
        <w:rPr>
          <w:rStyle w:val="FootnoteReference"/>
          <w:shd w:val="clear" w:color="auto" w:fill="FFFFFF"/>
        </w:rPr>
        <w:footnoteReference w:id="43"/>
      </w:r>
      <w:r w:rsidR="00E42674" w:rsidRPr="003C33CA">
        <w:rPr>
          <w:shd w:val="clear" w:color="auto" w:fill="FFFFFF"/>
        </w:rPr>
        <w:t xml:space="preserve"> They include the following: </w:t>
      </w:r>
      <w:r w:rsidR="00E42674" w:rsidRPr="003C33CA">
        <w:rPr>
          <w:shd w:val="clear" w:color="auto" w:fill="FFFFFF"/>
          <w:lang w:eastAsia="ko-KR"/>
        </w:rPr>
        <w:t>i</w:t>
      </w:r>
      <w:r w:rsidR="00E42674" w:rsidRPr="003C33CA">
        <w:t>ndependence guaranteed by the national constitution or by legislation;</w:t>
      </w:r>
      <w:r w:rsidR="00E42674" w:rsidRPr="003C33CA">
        <w:rPr>
          <w:lang w:eastAsia="ko-KR"/>
        </w:rPr>
        <w:t xml:space="preserve"> </w:t>
      </w:r>
      <w:r w:rsidR="00E42674" w:rsidRPr="003C33CA">
        <w:t>autonomy from the government;</w:t>
      </w:r>
      <w:r w:rsidR="00E42674" w:rsidRPr="003C33CA">
        <w:rPr>
          <w:lang w:eastAsia="ko-KR"/>
        </w:rPr>
        <w:t xml:space="preserve"> </w:t>
      </w:r>
      <w:r w:rsidR="00E42674" w:rsidRPr="003C33CA">
        <w:t>pluralism, including in its membership;</w:t>
      </w:r>
      <w:r w:rsidR="00E42674" w:rsidRPr="003C33CA">
        <w:rPr>
          <w:lang w:eastAsia="ko-KR"/>
        </w:rPr>
        <w:t xml:space="preserve"> </w:t>
      </w:r>
      <w:r w:rsidR="00E42674" w:rsidRPr="003C33CA">
        <w:t>a broad mandate based on universal human rights standards;</w:t>
      </w:r>
      <w:r w:rsidR="00E42674" w:rsidRPr="003C33CA">
        <w:rPr>
          <w:lang w:eastAsia="ko-KR"/>
        </w:rPr>
        <w:t xml:space="preserve"> </w:t>
      </w:r>
      <w:r w:rsidR="00E42674" w:rsidRPr="003C33CA">
        <w:t>adequate powers of investigation without authorization from higher authority;</w:t>
      </w:r>
      <w:r w:rsidR="00E42674" w:rsidRPr="003C33CA">
        <w:rPr>
          <w:lang w:eastAsia="ko-KR"/>
        </w:rPr>
        <w:t xml:space="preserve"> </w:t>
      </w:r>
      <w:r w:rsidR="00E42674" w:rsidRPr="003C33CA">
        <w:t>sufficient resources to maintain an adequate infrastructure and to carry out its mandate;</w:t>
      </w:r>
      <w:r w:rsidR="00E42674" w:rsidRPr="003C33CA">
        <w:rPr>
          <w:lang w:eastAsia="ko-KR"/>
        </w:rPr>
        <w:t xml:space="preserve"> </w:t>
      </w:r>
      <w:r w:rsidR="00E42674" w:rsidRPr="003C33CA">
        <w:t>members that are appointed by an official act for a specified period.</w:t>
      </w:r>
      <w:r w:rsidR="00E42674" w:rsidRPr="003C33CA">
        <w:rPr>
          <w:lang w:eastAsia="ko-KR"/>
        </w:rPr>
        <w:t xml:space="preserve"> </w:t>
      </w:r>
    </w:p>
    <w:p w:rsidR="00E42674" w:rsidRPr="003C33CA" w:rsidRDefault="00DC570C" w:rsidP="006A5689">
      <w:pPr>
        <w:pStyle w:val="SingleTxtG"/>
        <w:rPr>
          <w:rFonts w:eastAsia="Batang"/>
          <w:lang w:eastAsia="ko-KR"/>
        </w:rPr>
      </w:pPr>
      <w:r>
        <w:rPr>
          <w:rFonts w:eastAsia="Batang"/>
          <w:lang w:val="en-AU" w:eastAsia="ko-KR"/>
        </w:rPr>
        <w:t>38</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t>Typically, the core responsibilities of a NHRI will include</w:t>
      </w:r>
      <w:r w:rsidR="00E42674" w:rsidRPr="003C33CA">
        <w:rPr>
          <w:lang w:eastAsia="ko-KR"/>
        </w:rPr>
        <w:t xml:space="preserve"> </w:t>
      </w:r>
      <w:r w:rsidR="00E42674" w:rsidRPr="003C33CA">
        <w:t>the authority to examine and make recommendations on legislative and administrative procedures in order to ensure compliance with human rights principles</w:t>
      </w:r>
      <w:r w:rsidR="00E42674" w:rsidRPr="003C33CA">
        <w:rPr>
          <w:lang w:eastAsia="ko-KR"/>
        </w:rPr>
        <w:t xml:space="preserve">; </w:t>
      </w:r>
      <w:r w:rsidR="00E42674" w:rsidRPr="003C33CA">
        <w:t>to raise community awareness about human rights through media and education programs; to encourage the state to ratify and implement international human rights instruments</w:t>
      </w:r>
      <w:r w:rsidR="00E42674" w:rsidRPr="003C33CA">
        <w:rPr>
          <w:lang w:eastAsia="ko-KR"/>
        </w:rPr>
        <w:t xml:space="preserve">; </w:t>
      </w:r>
      <w:r w:rsidR="00E42674" w:rsidRPr="003C33CA">
        <w:t>to contribute to state party reports to the UN and its committees, where appropriate expressing independent opinion</w:t>
      </w:r>
      <w:r w:rsidR="00E42674" w:rsidRPr="003C33CA">
        <w:rPr>
          <w:lang w:eastAsia="ko-KR"/>
        </w:rPr>
        <w:t xml:space="preserve">; and </w:t>
      </w:r>
      <w:r w:rsidR="00E42674" w:rsidRPr="003C33CA">
        <w:t>to report on and make recommendations about human rights violations. Some NHRIs also have a complaints function.</w:t>
      </w:r>
      <w:r w:rsidR="00E42674" w:rsidRPr="000878BB">
        <w:rPr>
          <w:rStyle w:val="FootnoteReference"/>
        </w:rPr>
        <w:footnoteReference w:id="44"/>
      </w:r>
      <w:r w:rsidR="00E42674" w:rsidRPr="003C33CA">
        <w:t xml:space="preserve"> </w:t>
      </w:r>
    </w:p>
    <w:p w:rsidR="00E42674" w:rsidRPr="003C33CA" w:rsidRDefault="00DC570C" w:rsidP="006A5689">
      <w:pPr>
        <w:pStyle w:val="SingleTxtG"/>
      </w:pPr>
      <w:r>
        <w:rPr>
          <w:rFonts w:eastAsia="Batang"/>
          <w:lang w:val="en-AU"/>
        </w:rPr>
        <w:t>39</w:t>
      </w:r>
      <w:r w:rsidR="003C33CA" w:rsidRPr="000878BB">
        <w:rPr>
          <w:rFonts w:eastAsia="Batang" w:hint="eastAsia"/>
          <w:lang w:val="en-AU"/>
        </w:rPr>
        <w:tab/>
      </w:r>
      <w:r w:rsidR="00E42674" w:rsidRPr="003C33CA">
        <w:t xml:space="preserve">NHRIs support regional mechanisms indirectly by protecting individual human rights in their state. </w:t>
      </w:r>
      <w:r w:rsidR="00E42674" w:rsidRPr="003C33CA">
        <w:rPr>
          <w:rFonts w:hint="eastAsia"/>
          <w:lang w:eastAsia="ko-KR"/>
        </w:rPr>
        <w:t xml:space="preserve">In one example, the Equal </w:t>
      </w:r>
      <w:r w:rsidR="00E42674" w:rsidRPr="003C33CA">
        <w:rPr>
          <w:lang w:eastAsia="ko-KR"/>
        </w:rPr>
        <w:t>Opportunities</w:t>
      </w:r>
      <w:r w:rsidR="00E42674" w:rsidRPr="003C33CA">
        <w:rPr>
          <w:rFonts w:hint="eastAsia"/>
          <w:lang w:eastAsia="ko-KR"/>
        </w:rPr>
        <w:t xml:space="preserve"> Commission (EOC) of the Hong Kong Special </w:t>
      </w:r>
      <w:r w:rsidR="00E42674" w:rsidRPr="003C33CA">
        <w:rPr>
          <w:lang w:eastAsia="ko-KR"/>
        </w:rPr>
        <w:t>Administrative</w:t>
      </w:r>
      <w:r w:rsidR="00E42674" w:rsidRPr="003C33CA">
        <w:rPr>
          <w:rFonts w:hint="eastAsia"/>
          <w:lang w:eastAsia="ko-KR"/>
        </w:rPr>
        <w:t xml:space="preserve"> Region, China, is in charge of implementing four anti-discrimination ordinances in Hong Kong, namely the Sex </w:t>
      </w:r>
      <w:r w:rsidR="00E42674" w:rsidRPr="003C33CA">
        <w:rPr>
          <w:lang w:eastAsia="ko-KR"/>
        </w:rPr>
        <w:t>Discrimination</w:t>
      </w:r>
      <w:r w:rsidR="00E42674" w:rsidRPr="003C33CA">
        <w:rPr>
          <w:rFonts w:hint="eastAsia"/>
          <w:lang w:eastAsia="ko-KR"/>
        </w:rPr>
        <w:t xml:space="preserve"> Ordinance, the Disability </w:t>
      </w:r>
      <w:r w:rsidR="00E42674" w:rsidRPr="003C33CA">
        <w:rPr>
          <w:lang w:eastAsia="ko-KR"/>
        </w:rPr>
        <w:t>Discrimination</w:t>
      </w:r>
      <w:r w:rsidR="00E42674" w:rsidRPr="003C33CA">
        <w:rPr>
          <w:rFonts w:hint="eastAsia"/>
          <w:lang w:eastAsia="ko-KR"/>
        </w:rPr>
        <w:t xml:space="preserve"> Ordinance, the Family Status Discrimination Ordinance, and the Race Discrimination Ordinance. Hong Kong also has the Office of the Ombudsman, the Office of the Privacy Commissioner for Personal Data and the Independent Police </w:t>
      </w:r>
      <w:r w:rsidR="00E42674" w:rsidRPr="003C33CA">
        <w:rPr>
          <w:lang w:eastAsia="ko-KR"/>
        </w:rPr>
        <w:t>Complaints</w:t>
      </w:r>
      <w:r w:rsidR="00E42674" w:rsidRPr="003C33CA">
        <w:rPr>
          <w:rFonts w:hint="eastAsia"/>
          <w:lang w:eastAsia="ko-KR"/>
        </w:rPr>
        <w:t xml:space="preserve"> Council to investigate </w:t>
      </w:r>
      <w:r w:rsidR="00E42674" w:rsidRPr="003C33CA">
        <w:rPr>
          <w:lang w:eastAsia="ko-KR"/>
        </w:rPr>
        <w:t>and</w:t>
      </w:r>
      <w:r w:rsidR="00E42674" w:rsidRPr="003C33CA">
        <w:rPr>
          <w:rFonts w:hint="eastAsia"/>
          <w:lang w:eastAsia="ko-KR"/>
        </w:rPr>
        <w:t xml:space="preserve"> monitor the violations of specific areas of human rights. The EOC has conducted surveys on LGBT rights, and released a report on </w:t>
      </w:r>
      <w:r w:rsidR="00E42674" w:rsidRPr="003C33CA">
        <w:rPr>
          <w:lang w:eastAsia="ko-KR"/>
        </w:rPr>
        <w:t>discrimination</w:t>
      </w:r>
      <w:r w:rsidR="00E42674" w:rsidRPr="003C33CA">
        <w:rPr>
          <w:rFonts w:hint="eastAsia"/>
          <w:lang w:eastAsia="ko-KR"/>
        </w:rPr>
        <w:t xml:space="preserve"> in employment.</w:t>
      </w:r>
      <w:r w:rsidR="00E42674" w:rsidRPr="000878BB">
        <w:rPr>
          <w:rStyle w:val="FootnoteReference"/>
          <w:lang w:eastAsia="ko-KR"/>
        </w:rPr>
        <w:footnoteReference w:id="45"/>
      </w:r>
    </w:p>
    <w:p w:rsidR="00E42674" w:rsidRPr="003C33CA" w:rsidRDefault="00DC570C" w:rsidP="006A5689">
      <w:pPr>
        <w:pStyle w:val="SingleTxtG"/>
      </w:pPr>
      <w:r>
        <w:rPr>
          <w:rFonts w:eastAsia="Batang"/>
          <w:lang w:val="en-AU"/>
        </w:rPr>
        <w:t>40.</w:t>
      </w:r>
      <w:r w:rsidR="003C33CA" w:rsidRPr="000878BB">
        <w:rPr>
          <w:rFonts w:eastAsia="Batang" w:hint="eastAsia"/>
          <w:lang w:val="en-AU"/>
        </w:rPr>
        <w:tab/>
      </w:r>
      <w:r w:rsidR="00E42674" w:rsidRPr="003C33CA">
        <w:t xml:space="preserve">NHRIs also support regional mechanisms directly by creating connections for national actors at the international level. </w:t>
      </w:r>
      <w:r w:rsidR="00E42674" w:rsidRPr="003C33CA">
        <w:rPr>
          <w:lang w:eastAsia="ko-KR"/>
        </w:rPr>
        <w:t>For instance</w:t>
      </w:r>
      <w:r w:rsidR="00E42674" w:rsidRPr="003C33CA">
        <w:rPr>
          <w:rFonts w:hint="eastAsia"/>
          <w:lang w:eastAsia="ko-KR"/>
        </w:rPr>
        <w:t>, t</w:t>
      </w:r>
      <w:r w:rsidR="00E42674" w:rsidRPr="003C33CA">
        <w:rPr>
          <w:lang w:eastAsia="ko-KR"/>
        </w:rPr>
        <w:t xml:space="preserve">he National Council for Human Rights </w:t>
      </w:r>
      <w:r w:rsidR="00E42674" w:rsidRPr="003C33CA">
        <w:rPr>
          <w:rFonts w:hint="eastAsia"/>
          <w:lang w:eastAsia="ko-KR"/>
        </w:rPr>
        <w:t xml:space="preserve">of </w:t>
      </w:r>
      <w:r w:rsidR="00E42674" w:rsidRPr="003C33CA">
        <w:rPr>
          <w:lang w:eastAsia="ko-KR"/>
        </w:rPr>
        <w:t>Egypt</w:t>
      </w:r>
      <w:r w:rsidR="00E42674" w:rsidRPr="003C33CA">
        <w:rPr>
          <w:rFonts w:hint="eastAsia"/>
          <w:lang w:eastAsia="ko-KR"/>
        </w:rPr>
        <w:t xml:space="preserve"> says </w:t>
      </w:r>
      <w:r w:rsidR="00E42674" w:rsidRPr="003C33CA">
        <w:rPr>
          <w:lang w:eastAsia="ko-KR"/>
        </w:rPr>
        <w:t xml:space="preserve">that </w:t>
      </w:r>
      <w:r w:rsidR="00E42674" w:rsidRPr="003C33CA">
        <w:rPr>
          <w:rFonts w:hint="eastAsia"/>
          <w:lang w:eastAsia="ko-KR"/>
        </w:rPr>
        <w:t>the effectiveness of the African human rights mechanism can</w:t>
      </w:r>
      <w:r w:rsidR="00E42674" w:rsidRPr="003C33CA">
        <w:rPr>
          <w:lang w:eastAsia="ko-KR"/>
        </w:rPr>
        <w:t xml:space="preserve"> be</w:t>
      </w:r>
      <w:r w:rsidR="00E42674" w:rsidRPr="003C33CA">
        <w:rPr>
          <w:rFonts w:hint="eastAsia"/>
          <w:lang w:eastAsia="ko-KR"/>
        </w:rPr>
        <w:t xml:space="preserve"> improve</w:t>
      </w:r>
      <w:r w:rsidR="00E42674" w:rsidRPr="003C33CA">
        <w:rPr>
          <w:lang w:eastAsia="ko-KR"/>
        </w:rPr>
        <w:t>d</w:t>
      </w:r>
      <w:r w:rsidR="00E42674" w:rsidRPr="003C33CA">
        <w:rPr>
          <w:rFonts w:hint="eastAsia"/>
          <w:lang w:eastAsia="ko-KR"/>
        </w:rPr>
        <w:t xml:space="preserve"> by strengthening cooperation with NHRIs, i</w:t>
      </w:r>
      <w:r w:rsidR="00E42674" w:rsidRPr="003C33CA">
        <w:rPr>
          <w:lang w:eastAsia="ko-KR"/>
        </w:rPr>
        <w:t>ncreasing awareness of the competences and goals of both the Commission and the Court</w:t>
      </w:r>
      <w:r w:rsidR="00E42674" w:rsidRPr="003C33CA">
        <w:rPr>
          <w:rFonts w:hint="eastAsia"/>
          <w:lang w:eastAsia="ko-KR"/>
        </w:rPr>
        <w:t>, e</w:t>
      </w:r>
      <w:r w:rsidR="00E42674" w:rsidRPr="003C33CA">
        <w:rPr>
          <w:lang w:eastAsia="ko-KR"/>
        </w:rPr>
        <w:t>xchanging experiences with other regional mechanisms</w:t>
      </w:r>
      <w:r w:rsidR="00E42674" w:rsidRPr="003C33CA">
        <w:rPr>
          <w:rFonts w:hint="eastAsia"/>
          <w:lang w:eastAsia="ko-KR"/>
        </w:rPr>
        <w:t xml:space="preserve">, </w:t>
      </w:r>
      <w:r w:rsidR="00E42674" w:rsidRPr="003C33CA">
        <w:rPr>
          <w:lang w:eastAsia="ko-KR"/>
        </w:rPr>
        <w:t>and learning from success stories that made these institutions more effective.</w:t>
      </w:r>
      <w:r w:rsidR="00E42674" w:rsidRPr="003C33CA">
        <w:rPr>
          <w:rFonts w:hint="eastAsia"/>
          <w:lang w:eastAsia="ko-KR"/>
        </w:rPr>
        <w:t xml:space="preserve"> It also noted that </w:t>
      </w:r>
      <w:r w:rsidR="00E42674" w:rsidRPr="003C33CA">
        <w:rPr>
          <w:lang w:eastAsia="ko-KR"/>
        </w:rPr>
        <w:t xml:space="preserve">the African Union Commission and the Network of the African National Human Rights Institutions (NANHRI) signed a </w:t>
      </w:r>
      <w:r w:rsidR="00E42674" w:rsidRPr="003C33CA">
        <w:rPr>
          <w:rFonts w:hint="eastAsia"/>
          <w:lang w:eastAsia="ko-KR"/>
        </w:rPr>
        <w:t>memorandum of understanding</w:t>
      </w:r>
      <w:r w:rsidR="00E42674" w:rsidRPr="003C33CA">
        <w:rPr>
          <w:lang w:eastAsia="ko-KR"/>
        </w:rPr>
        <w:t xml:space="preserve"> in January 2016, and developed guidelines on the role of </w:t>
      </w:r>
      <w:r w:rsidR="00E42674" w:rsidRPr="003C33CA">
        <w:rPr>
          <w:lang w:eastAsia="ko-KR"/>
        </w:rPr>
        <w:lastRenderedPageBreak/>
        <w:t>NHRIs in monitoring the implementation of the findings of the African Commission and judgments of the African Court.</w:t>
      </w:r>
      <w:r w:rsidR="00E42674" w:rsidRPr="000878BB">
        <w:rPr>
          <w:rStyle w:val="FootnoteReference"/>
          <w:lang w:eastAsia="ko-KR"/>
        </w:rPr>
        <w:footnoteReference w:id="46"/>
      </w:r>
      <w:r w:rsidR="00E42674" w:rsidRPr="003C33CA">
        <w:t xml:space="preserve"> </w:t>
      </w:r>
    </w:p>
    <w:p w:rsidR="00E42674" w:rsidRPr="006A5689" w:rsidRDefault="00DC570C" w:rsidP="006A5689">
      <w:pPr>
        <w:pStyle w:val="SingleTxtG"/>
        <w:rPr>
          <w:u w:val="single"/>
          <w:lang w:val="fr-CH" w:eastAsia="ko-KR"/>
        </w:rPr>
      </w:pPr>
      <w:r>
        <w:rPr>
          <w:rFonts w:eastAsia="Batang"/>
          <w:lang w:val="en-AU" w:eastAsia="ko-KR"/>
        </w:rPr>
        <w:t>41</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t xml:space="preserve">Due </w:t>
      </w:r>
      <w:r w:rsidR="00E42674" w:rsidRPr="003C33CA">
        <w:rPr>
          <w:lang w:eastAsia="ko-KR"/>
        </w:rPr>
        <w:t xml:space="preserve">to </w:t>
      </w:r>
      <w:r w:rsidR="00E42674" w:rsidRPr="003C33CA">
        <w:t>their role of ensuring fluid connections with human rights actors, NHRIs have the potential to foster active dialogue between UN and regional human rights regimes worldwide. NHRIs network both with each other and with the OHCHR in Geneva on a regular basis through annual meetings in addition to regional meetings.</w:t>
      </w:r>
      <w:r w:rsidR="00E42674" w:rsidRPr="003C33CA">
        <w:rPr>
          <w:lang w:eastAsia="ko-KR"/>
        </w:rPr>
        <w:t xml:space="preserve"> </w:t>
      </w:r>
      <w:r w:rsidR="00E42674" w:rsidRPr="003C33CA">
        <w:t>Given the now recognized international status of NHRIs, their potential to advance human rights is manifest.</w:t>
      </w:r>
      <w:r w:rsidR="00E42674" w:rsidRPr="000878BB">
        <w:rPr>
          <w:rStyle w:val="FootnoteReference"/>
        </w:rPr>
        <w:footnoteReference w:id="47"/>
      </w:r>
      <w:r w:rsidR="00E42674" w:rsidRPr="003C33CA">
        <w:rPr>
          <w:rFonts w:eastAsia="Batang"/>
          <w:lang w:eastAsia="ko-KR"/>
        </w:rPr>
        <w:t>Another illustration of this is the</w:t>
      </w:r>
      <w:r w:rsidR="00E42674" w:rsidRPr="003C33CA">
        <w:rPr>
          <w:lang w:eastAsia="ko-KR"/>
        </w:rPr>
        <w:t xml:space="preserve"> Asia Pacific Forum of National Institutions, one of the most effective collaborations in the region. </w:t>
      </w:r>
      <w:r w:rsidR="00E42674" w:rsidRPr="003C33CA">
        <w:rPr>
          <w:rFonts w:eastAsia="Batang"/>
          <w:lang w:eastAsia="ko-KR"/>
        </w:rPr>
        <w:t>Established in 1996, this organization was initially set up as an informal forum. It aims to support the establishment and efficient operation of national human rights institutions in Asia and the Pacific region. Currently it is made up of 22 NHRIs. To gain full membership, an NHRI must be in full compliance with the international human rights standards set out in the Paris Principles. The Asia Pacific Forum’s key roles include building stronger national human rights institutions; providing advice and expertise; collaborating and sharing knowledge; promoting gender equality; contributing at the national, regional, and international level; and supporting effective leadership and governance.</w:t>
      </w:r>
      <w:r w:rsidR="00E42674" w:rsidRPr="000878BB">
        <w:rPr>
          <w:rStyle w:val="FootnoteReference"/>
          <w:rFonts w:eastAsia="Batang"/>
          <w:lang w:eastAsia="ko-KR"/>
        </w:rPr>
        <w:footnoteReference w:id="48"/>
      </w:r>
      <w:r w:rsidR="00E42674" w:rsidRPr="003C33CA">
        <w:rPr>
          <w:rFonts w:eastAsia="Batang"/>
          <w:lang w:eastAsia="ko-KR"/>
        </w:rPr>
        <w:t xml:space="preserve"> Thus, </w:t>
      </w:r>
      <w:r w:rsidR="00E42674" w:rsidRPr="003C33CA">
        <w:rPr>
          <w:lang w:eastAsia="ko-KR"/>
        </w:rPr>
        <w:t>the Forum opens up new avenues for strengthening human rights protections for the inhabitants of the region and a closer relationship with UN bodies. Since the relationship between international and national law most often requires some kind of coordinated action, the involvement of UN human rights experts in assisting in the drafting of legislation in line with human rights standards can further this process.</w:t>
      </w:r>
      <w:r w:rsidR="00E42674" w:rsidRPr="000878BB">
        <w:rPr>
          <w:rStyle w:val="FootnoteReference"/>
          <w:lang w:eastAsia="ko-KR"/>
        </w:rPr>
        <w:footnoteReference w:id="49"/>
      </w:r>
    </w:p>
    <w:p w:rsidR="00E42674" w:rsidRPr="000878BB" w:rsidRDefault="006A5689" w:rsidP="006A5689">
      <w:pPr>
        <w:pStyle w:val="H23G"/>
        <w:rPr>
          <w:rFonts w:eastAsia="Batang"/>
          <w:lang w:eastAsia="ko-KR"/>
        </w:rPr>
      </w:pPr>
      <w:r>
        <w:rPr>
          <w:rFonts w:eastAsia="Batang"/>
          <w:lang w:eastAsia="ko-KR"/>
        </w:rPr>
        <w:tab/>
      </w:r>
      <w:r>
        <w:rPr>
          <w:rFonts w:eastAsia="Batang"/>
          <w:lang w:eastAsia="ko-KR"/>
        </w:rPr>
        <w:tab/>
      </w:r>
      <w:r w:rsidR="00E42674" w:rsidRPr="000878BB">
        <w:rPr>
          <w:rFonts w:eastAsia="Batang"/>
          <w:lang w:eastAsia="ko-KR"/>
        </w:rPr>
        <w:t>Civil Society</w:t>
      </w:r>
    </w:p>
    <w:p w:rsidR="00E42674" w:rsidRPr="003C33CA" w:rsidRDefault="00DC570C" w:rsidP="006A5689">
      <w:pPr>
        <w:pStyle w:val="SingleTxtG"/>
      </w:pPr>
      <w:r>
        <w:rPr>
          <w:rFonts w:eastAsia="Batang"/>
          <w:lang w:val="en-AU"/>
        </w:rPr>
        <w:t>42</w:t>
      </w:r>
      <w:r w:rsidR="003C33CA" w:rsidRPr="000878BB">
        <w:rPr>
          <w:rFonts w:eastAsia="Batang" w:hint="eastAsia"/>
          <w:lang w:val="en-AU"/>
        </w:rPr>
        <w:t>.</w:t>
      </w:r>
      <w:r w:rsidR="003C33CA" w:rsidRPr="000878BB">
        <w:rPr>
          <w:rFonts w:eastAsia="Batang" w:hint="eastAsia"/>
          <w:lang w:val="en-AU"/>
        </w:rPr>
        <w:tab/>
      </w:r>
      <w:r w:rsidR="00E42674" w:rsidRPr="003C33CA">
        <w:rPr>
          <w:lang w:eastAsia="ko-KR"/>
        </w:rPr>
        <w:t xml:space="preserve">It is important to focus on the role of civil society in creating, expanding, and facilitating the operation of regional and </w:t>
      </w:r>
      <w:proofErr w:type="spellStart"/>
      <w:r w:rsidR="00E42674" w:rsidRPr="003C33CA">
        <w:rPr>
          <w:lang w:eastAsia="ko-KR"/>
        </w:rPr>
        <w:t>subregional</w:t>
      </w:r>
      <w:proofErr w:type="spellEnd"/>
      <w:r w:rsidR="00E42674" w:rsidRPr="003C33CA">
        <w:rPr>
          <w:lang w:eastAsia="ko-KR"/>
        </w:rPr>
        <w:t xml:space="preserve"> human rights arrangements. </w:t>
      </w:r>
      <w:r w:rsidR="00E42674" w:rsidRPr="003C33CA">
        <w:t xml:space="preserve">NGOs have great potential to strengthen regional arrangements by pressuring governments to take a more active stance toward human rights, fostering closer regional integration, and spreading human rights values among local societies. As of now, however, many NGOs – especially those in Africa, Asia, and the Middle East – suffer </w:t>
      </w:r>
      <w:r w:rsidR="00E42674" w:rsidRPr="003C33CA">
        <w:rPr>
          <w:lang w:eastAsia="ko-KR"/>
        </w:rPr>
        <w:t xml:space="preserve">from </w:t>
      </w:r>
      <w:r w:rsidR="00E42674" w:rsidRPr="003C33CA">
        <w:t>a lack of legal protections and general resources to successfully carry out their activities.</w:t>
      </w:r>
      <w:r w:rsidR="00E42674" w:rsidRPr="000878BB">
        <w:rPr>
          <w:rStyle w:val="FootnoteReference"/>
        </w:rPr>
        <w:footnoteReference w:id="50"/>
      </w:r>
    </w:p>
    <w:p w:rsidR="00E42674" w:rsidRPr="003C33CA" w:rsidRDefault="00DC570C" w:rsidP="006A5689">
      <w:pPr>
        <w:pStyle w:val="SingleTxtG"/>
      </w:pPr>
      <w:r>
        <w:rPr>
          <w:rFonts w:eastAsia="Batang"/>
          <w:lang w:val="en-AU"/>
        </w:rPr>
        <w:t>43</w:t>
      </w:r>
      <w:r w:rsidR="003C33CA" w:rsidRPr="000878BB">
        <w:rPr>
          <w:rFonts w:eastAsia="Batang" w:hint="eastAsia"/>
          <w:lang w:val="en-AU"/>
        </w:rPr>
        <w:t>.</w:t>
      </w:r>
      <w:r w:rsidR="003C33CA" w:rsidRPr="000878BB">
        <w:rPr>
          <w:rFonts w:eastAsia="Batang" w:hint="eastAsia"/>
          <w:lang w:val="en-AU"/>
        </w:rPr>
        <w:tab/>
      </w:r>
      <w:r w:rsidR="00E42674" w:rsidRPr="003C33CA">
        <w:rPr>
          <w:lang w:eastAsia="ko-KR"/>
        </w:rPr>
        <w:t xml:space="preserve">In a historical perspective, civil society played a crucial role in the formative period of Europe’s human rights regime. In </w:t>
      </w:r>
      <w:r w:rsidR="00E42674" w:rsidRPr="003C33CA">
        <w:t>May 1948</w:t>
      </w:r>
      <w:r w:rsidR="00E42674" w:rsidRPr="003C33CA">
        <w:rPr>
          <w:lang w:eastAsia="ko-KR"/>
        </w:rPr>
        <w:t>, t</w:t>
      </w:r>
      <w:r w:rsidR="00E42674" w:rsidRPr="003C33CA">
        <w:t xml:space="preserve">he European Movement organized the Congress of Europe with the objective of developing a blueprint for progress towards greater European cultural, economic and political unity. The European Movement submitted a number of proposals relating to the creation of a court with powers to ensure </w:t>
      </w:r>
      <w:r w:rsidR="00E42674" w:rsidRPr="003C33CA">
        <w:rPr>
          <w:rFonts w:hint="eastAsia"/>
          <w:lang w:eastAsia="ko-KR"/>
        </w:rPr>
        <w:t xml:space="preserve">state </w:t>
      </w:r>
      <w:r w:rsidR="00E42674" w:rsidRPr="003C33CA">
        <w:t>respect of human rights, and final resolutions from the Congress responded on a positive note.</w:t>
      </w:r>
      <w:r w:rsidR="00E42674" w:rsidRPr="003C33CA">
        <w:rPr>
          <w:lang w:eastAsia="ko-KR"/>
        </w:rPr>
        <w:t xml:space="preserve"> </w:t>
      </w:r>
      <w:r w:rsidR="00E42674" w:rsidRPr="003C33CA">
        <w:t>It assumed responsibility for developing recommendations to governments concerning future steps toward juridical, economic, cultural and political unification.</w:t>
      </w:r>
      <w:r w:rsidR="00E42674" w:rsidRPr="003C33CA">
        <w:rPr>
          <w:lang w:eastAsia="ko-KR"/>
        </w:rPr>
        <w:t xml:space="preserve"> In the summer of </w:t>
      </w:r>
      <w:r w:rsidR="00E42674" w:rsidRPr="003C33CA">
        <w:t>1949</w:t>
      </w:r>
      <w:r w:rsidR="00E42674" w:rsidRPr="003C33CA">
        <w:rPr>
          <w:lang w:eastAsia="ko-KR"/>
        </w:rPr>
        <w:t>, t</w:t>
      </w:r>
      <w:r w:rsidR="00E42674" w:rsidRPr="003C33CA">
        <w:t xml:space="preserve">he European Movement prepared a first draft of a European Convention on Human Rights as well as a Draft Statute for a proposed European Court of Human </w:t>
      </w:r>
      <w:r w:rsidR="00E42674" w:rsidRPr="003C33CA">
        <w:lastRenderedPageBreak/>
        <w:t>Rights. After much debate, a somewhat modified draft was signed and put into effect in September 1953.</w:t>
      </w:r>
      <w:r w:rsidR="00E42674" w:rsidRPr="003C33CA">
        <w:rPr>
          <w:lang w:eastAsia="ko-KR"/>
        </w:rPr>
        <w:t xml:space="preserve"> Similarly, </w:t>
      </w:r>
      <w:r w:rsidR="00E42674" w:rsidRPr="003C33CA">
        <w:t>the European Torture Convention was prepared jointly by the International Commission of Jurists and the Swiss Committee Against Torture.</w:t>
      </w:r>
    </w:p>
    <w:p w:rsidR="00E42674" w:rsidRPr="003C33CA" w:rsidRDefault="00DC570C" w:rsidP="006A5689">
      <w:pPr>
        <w:pStyle w:val="SingleTxtG"/>
      </w:pPr>
      <w:r>
        <w:rPr>
          <w:rFonts w:eastAsia="Batang"/>
          <w:lang w:val="en-AU"/>
        </w:rPr>
        <w:t>44</w:t>
      </w:r>
      <w:r w:rsidR="003C33CA" w:rsidRPr="000878BB">
        <w:rPr>
          <w:rFonts w:eastAsia="Batang" w:hint="eastAsia"/>
          <w:lang w:val="en-AU"/>
        </w:rPr>
        <w:t>.</w:t>
      </w:r>
      <w:r w:rsidR="003C33CA" w:rsidRPr="000878BB">
        <w:rPr>
          <w:rFonts w:eastAsia="Batang" w:hint="eastAsia"/>
          <w:lang w:val="en-AU"/>
        </w:rPr>
        <w:tab/>
      </w:r>
      <w:r w:rsidR="00E42674" w:rsidRPr="003C33CA">
        <w:rPr>
          <w:lang w:eastAsia="ko-KR"/>
        </w:rPr>
        <w:t xml:space="preserve">In </w:t>
      </w:r>
      <w:r w:rsidR="00E42674" w:rsidRPr="003C33CA">
        <w:t>Europe</w:t>
      </w:r>
      <w:r w:rsidR="00E42674" w:rsidRPr="003C33CA">
        <w:rPr>
          <w:lang w:eastAsia="ko-KR"/>
        </w:rPr>
        <w:t>,</w:t>
      </w:r>
      <w:r w:rsidR="00E42674" w:rsidRPr="003C33CA">
        <w:t xml:space="preserve"> </w:t>
      </w:r>
      <w:r w:rsidR="00E42674" w:rsidRPr="003C33CA">
        <w:rPr>
          <w:lang w:eastAsia="ko-KR"/>
        </w:rPr>
        <w:t>m</w:t>
      </w:r>
      <w:r w:rsidR="00E42674" w:rsidRPr="003C33CA">
        <w:t xml:space="preserve">ore than 350 NGOs have been granted consultative status, which allows them to play a major role in the continued functioning of the region’s human rights mechanism. </w:t>
      </w:r>
      <w:r w:rsidR="00E42674" w:rsidRPr="003C33CA">
        <w:rPr>
          <w:rFonts w:eastAsia="Batang"/>
          <w:lang w:eastAsia="ko-KR"/>
        </w:rPr>
        <w:t xml:space="preserve">Under the ECHR, </w:t>
      </w:r>
      <w:r w:rsidR="00E42674" w:rsidRPr="003C33CA">
        <w:rPr>
          <w:rFonts w:eastAsia="Batang" w:hint="eastAsia"/>
          <w:lang w:eastAsia="ko-KR"/>
        </w:rPr>
        <w:t>NGOs</w:t>
      </w:r>
      <w:r w:rsidR="00E42674" w:rsidRPr="003C33CA">
        <w:rPr>
          <w:rFonts w:eastAsia="Batang"/>
          <w:lang w:eastAsia="ko-KR"/>
        </w:rPr>
        <w:t xml:space="preserve"> are in a position to lobby governments and build up a sophisticated network of civil society actors. </w:t>
      </w:r>
      <w:r w:rsidR="00E42674" w:rsidRPr="003C33CA">
        <w:t>They monitor meetings of reflection groups</w:t>
      </w:r>
      <w:r w:rsidR="00E42674" w:rsidRPr="003C33CA">
        <w:rPr>
          <w:rFonts w:hint="eastAsia"/>
          <w:lang w:eastAsia="ko-KR"/>
        </w:rPr>
        <w:t xml:space="preserve"> and</w:t>
      </w:r>
      <w:r w:rsidR="00E42674" w:rsidRPr="003C33CA">
        <w:t xml:space="preserve"> sub-bodies of the parliamentary assembly of the council of Europe</w:t>
      </w:r>
      <w:r w:rsidR="00E42674" w:rsidRPr="003C33CA">
        <w:rPr>
          <w:rFonts w:hint="eastAsia"/>
          <w:lang w:eastAsia="ko-KR"/>
        </w:rPr>
        <w:t xml:space="preserve"> and </w:t>
      </w:r>
      <w:r w:rsidR="00E42674" w:rsidRPr="003C33CA">
        <w:t>present their comments during hearings. This process was undertaken while establishing a statute for the ECHR, the use of the pilot judgment procedure, and new procedures for filtering clearly inadmissible or repetitive applications.</w:t>
      </w:r>
      <w:r w:rsidR="00E42674" w:rsidRPr="003C33CA">
        <w:rPr>
          <w:lang w:eastAsia="ko-KR"/>
        </w:rPr>
        <w:t xml:space="preserve"> In </w:t>
      </w:r>
      <w:r w:rsidR="00E42674" w:rsidRPr="003C33CA">
        <w:t>Europe</w:t>
      </w:r>
      <w:r w:rsidR="00E42674" w:rsidRPr="003C33CA">
        <w:rPr>
          <w:lang w:eastAsia="ko-KR"/>
        </w:rPr>
        <w:t>,</w:t>
      </w:r>
      <w:r w:rsidR="00E42674" w:rsidRPr="003C33CA">
        <w:t xml:space="preserve"> NGOs released joint </w:t>
      </w:r>
      <w:r w:rsidR="00E42674" w:rsidRPr="003C33CA">
        <w:rPr>
          <w:rFonts w:hint="eastAsia"/>
          <w:lang w:eastAsia="ko-KR"/>
        </w:rPr>
        <w:t>s</w:t>
      </w:r>
      <w:r w:rsidR="00E42674" w:rsidRPr="003C33CA">
        <w:t>tatements and submissions advocating for individual petitions</w:t>
      </w:r>
      <w:r w:rsidR="00E42674" w:rsidRPr="003C33CA">
        <w:rPr>
          <w:rFonts w:hint="eastAsia"/>
          <w:lang w:eastAsia="ko-KR"/>
        </w:rPr>
        <w:t>. They also</w:t>
      </w:r>
      <w:r w:rsidR="00E42674" w:rsidRPr="003C33CA">
        <w:t xml:space="preserve"> provide legal aid for victims, </w:t>
      </w:r>
      <w:r w:rsidR="00E42674" w:rsidRPr="003C33CA">
        <w:rPr>
          <w:rFonts w:hint="eastAsia"/>
          <w:lang w:eastAsia="ko-KR"/>
        </w:rPr>
        <w:t xml:space="preserve">including </w:t>
      </w:r>
      <w:r w:rsidR="00E42674" w:rsidRPr="003C33CA">
        <w:t>assist</w:t>
      </w:r>
      <w:r w:rsidR="00E42674" w:rsidRPr="003C33CA">
        <w:rPr>
          <w:rFonts w:hint="eastAsia"/>
          <w:lang w:eastAsia="ko-KR"/>
        </w:rPr>
        <w:t>ing</w:t>
      </w:r>
      <w:r w:rsidR="00E42674" w:rsidRPr="003C33CA">
        <w:t xml:space="preserve"> them in forming applications, finding proper legal arguments, </w:t>
      </w:r>
      <w:r w:rsidR="00E42674" w:rsidRPr="003C33CA">
        <w:rPr>
          <w:rFonts w:hint="eastAsia"/>
          <w:lang w:eastAsia="ko-KR"/>
        </w:rPr>
        <w:t xml:space="preserve">and </w:t>
      </w:r>
      <w:r w:rsidR="00E42674" w:rsidRPr="003C33CA">
        <w:t>recommending competent lawyers.</w:t>
      </w:r>
      <w:r w:rsidR="00E42674" w:rsidRPr="000878BB">
        <w:rPr>
          <w:rStyle w:val="FootnoteReference"/>
          <w:lang w:eastAsia="ko-KR"/>
        </w:rPr>
        <w:footnoteReference w:id="51"/>
      </w:r>
    </w:p>
    <w:p w:rsidR="00E42674" w:rsidRPr="003C33CA" w:rsidRDefault="00DC570C" w:rsidP="006A5689">
      <w:pPr>
        <w:pStyle w:val="SingleTxtG"/>
        <w:rPr>
          <w:u w:val="single"/>
        </w:rPr>
      </w:pPr>
      <w:r>
        <w:rPr>
          <w:rFonts w:eastAsia="Batang"/>
          <w:lang w:val="en-AU"/>
        </w:rPr>
        <w:t>45</w:t>
      </w:r>
      <w:r w:rsidR="003C33CA" w:rsidRPr="000878BB">
        <w:rPr>
          <w:rFonts w:eastAsia="Batang" w:hint="eastAsia"/>
          <w:lang w:val="en-AU"/>
        </w:rPr>
        <w:t>.</w:t>
      </w:r>
      <w:r w:rsidR="003C33CA" w:rsidRPr="000878BB">
        <w:rPr>
          <w:rFonts w:eastAsia="Batang" w:hint="eastAsia"/>
          <w:lang w:val="en-AU"/>
        </w:rPr>
        <w:tab/>
      </w:r>
      <w:r w:rsidR="00E42674" w:rsidRPr="003C33CA">
        <w:t>NGOs push reluctant governments to step up their human rights protection efforts by pressuring them to ratify international-level human rights treaties</w:t>
      </w:r>
      <w:r w:rsidR="00E42674" w:rsidRPr="003C33CA">
        <w:rPr>
          <w:rFonts w:hint="eastAsia"/>
          <w:lang w:eastAsia="ko-KR"/>
        </w:rPr>
        <w:t>.</w:t>
      </w:r>
      <w:r w:rsidR="00E42674" w:rsidRPr="000878BB">
        <w:rPr>
          <w:rStyle w:val="FootnoteReference"/>
          <w:lang w:eastAsia="ko-KR"/>
        </w:rPr>
        <w:footnoteReference w:id="52"/>
      </w:r>
      <w:r w:rsidR="00E42674" w:rsidRPr="003C33CA">
        <w:rPr>
          <w:lang w:eastAsia="ko-KR"/>
        </w:rPr>
        <w:t xml:space="preserve"> After ratification, they also help evaluate compliance. In Europe, as elsewhere, </w:t>
      </w:r>
      <w:r w:rsidR="00E42674" w:rsidRPr="003C33CA">
        <w:t>NGO monitoring and reporting serves as invaluable sources of information for the enforcement authorities of regional regimes</w:t>
      </w:r>
      <w:r w:rsidR="00E42674" w:rsidRPr="003C33CA">
        <w:rPr>
          <w:lang w:eastAsia="ko-KR"/>
        </w:rPr>
        <w:t xml:space="preserve">. In </w:t>
      </w:r>
      <w:r w:rsidR="00E42674" w:rsidRPr="003C33CA">
        <w:rPr>
          <w:rFonts w:hint="eastAsia"/>
          <w:lang w:eastAsia="ko-KR"/>
        </w:rPr>
        <w:t xml:space="preserve">one example, </w:t>
      </w:r>
      <w:r w:rsidR="00E42674" w:rsidRPr="003C33CA">
        <w:rPr>
          <w:lang w:eastAsia="ko-KR"/>
        </w:rPr>
        <w:t>t</w:t>
      </w:r>
      <w:r w:rsidR="00E42674" w:rsidRPr="003C33CA">
        <w:t>he Committee of Ministers of the Council of Europe called upon Albanian authorities to better protect the rights of those in detention, alleging “inadequate medical care in prison for seriously ill prisoners, amounting to ill-treatment.” The Albanian authorities complied, and accordingly submitted an action report on 18/11/2014. In the same year, several NGOs also communicated information on relevant changes</w:t>
      </w:r>
      <w:r w:rsidR="00E42674" w:rsidRPr="003C33CA">
        <w:rPr>
          <w:rFonts w:hint="eastAsia"/>
          <w:lang w:eastAsia="ko-KR"/>
        </w:rPr>
        <w:t>.</w:t>
      </w:r>
      <w:r w:rsidR="00E42674" w:rsidRPr="000878BB">
        <w:rPr>
          <w:rStyle w:val="FootnoteReference"/>
          <w:lang w:eastAsia="ko-KR"/>
        </w:rPr>
        <w:footnoteReference w:id="53"/>
      </w:r>
      <w:r w:rsidR="00E42674" w:rsidRPr="003C33CA">
        <w:t xml:space="preserve"> </w:t>
      </w:r>
      <w:r w:rsidR="00E42674" w:rsidRPr="003C33CA">
        <w:rPr>
          <w:rFonts w:hint="eastAsia"/>
          <w:lang w:eastAsia="ko-KR"/>
        </w:rPr>
        <w:t>In another example, t</w:t>
      </w:r>
      <w:r w:rsidR="00E42674" w:rsidRPr="003C33CA">
        <w:t xml:space="preserve">he International Commission of Jurists (ICJ) complained to the European Committee of Social Rights that child </w:t>
      </w:r>
      <w:proofErr w:type="spellStart"/>
      <w:r w:rsidR="00E42674" w:rsidRPr="003C33CA">
        <w:t>labor</w:t>
      </w:r>
      <w:proofErr w:type="spellEnd"/>
      <w:r w:rsidR="00E42674" w:rsidRPr="003C33CA">
        <w:t xml:space="preserve"> incompatible with </w:t>
      </w:r>
      <w:r w:rsidR="00E42674" w:rsidRPr="003C33CA">
        <w:rPr>
          <w:lang w:eastAsia="ko-KR"/>
        </w:rPr>
        <w:t>the</w:t>
      </w:r>
      <w:r w:rsidR="00E42674" w:rsidRPr="003C33CA">
        <w:t xml:space="preserve"> European Social Charter was common in Portugal. This led to the country amending its Constitution to prohibit employment of school children and increasing the minimum age for employment. A Portuguese diplomat to the UN reported in 2005 that </w:t>
      </w:r>
      <w:r w:rsidR="00E42674" w:rsidRPr="003C33CA">
        <w:rPr>
          <w:lang w:eastAsia="ko-KR"/>
        </w:rPr>
        <w:t>the</w:t>
      </w:r>
      <w:r w:rsidR="00E42674" w:rsidRPr="003C33CA">
        <w:t xml:space="preserve"> case had helped the country better tackle problems of child </w:t>
      </w:r>
      <w:proofErr w:type="spellStart"/>
      <w:r w:rsidR="00E42674" w:rsidRPr="003C33CA">
        <w:t>labor</w:t>
      </w:r>
      <w:proofErr w:type="spellEnd"/>
      <w:r w:rsidR="00E42674" w:rsidRPr="003C33CA">
        <w:t xml:space="preserve"> and that the incidence of pro</w:t>
      </w:r>
      <w:r w:rsidR="00E42674" w:rsidRPr="003C33CA">
        <w:rPr>
          <w:lang w:eastAsia="ko-KR"/>
        </w:rPr>
        <w:t>hibited</w:t>
      </w:r>
      <w:r w:rsidR="00E42674" w:rsidRPr="003C33CA">
        <w:t xml:space="preserve"> child </w:t>
      </w:r>
      <w:proofErr w:type="spellStart"/>
      <w:r w:rsidR="00E42674" w:rsidRPr="003C33CA">
        <w:t>labor</w:t>
      </w:r>
      <w:proofErr w:type="spellEnd"/>
      <w:r w:rsidR="00E42674" w:rsidRPr="003C33CA">
        <w:t xml:space="preserve"> had fallen dramatically.</w:t>
      </w:r>
      <w:r w:rsidR="00E42674" w:rsidRPr="000878BB">
        <w:rPr>
          <w:rStyle w:val="FootnoteReference"/>
        </w:rPr>
        <w:footnoteReference w:id="54"/>
      </w:r>
    </w:p>
    <w:p w:rsidR="00E42674" w:rsidRPr="003C33CA" w:rsidRDefault="00DC570C" w:rsidP="006A5689">
      <w:pPr>
        <w:pStyle w:val="SingleTxtG"/>
        <w:rPr>
          <w:rFonts w:eastAsia="Batang"/>
          <w:lang w:eastAsia="ko-KR"/>
        </w:rPr>
      </w:pPr>
      <w:r>
        <w:rPr>
          <w:rFonts w:eastAsia="Batang"/>
          <w:lang w:val="en-AU" w:eastAsia="ko-KR"/>
        </w:rPr>
        <w:t>46.</w:t>
      </w:r>
      <w:r w:rsidR="003C33CA" w:rsidRPr="000878BB">
        <w:rPr>
          <w:rFonts w:eastAsia="Batang" w:hint="eastAsia"/>
          <w:lang w:val="en-AU" w:eastAsia="ko-KR"/>
        </w:rPr>
        <w:tab/>
      </w:r>
      <w:r w:rsidR="00E42674" w:rsidRPr="003C33CA">
        <w:rPr>
          <w:lang w:eastAsia="ko-KR"/>
        </w:rPr>
        <w:t xml:space="preserve">We can see the productive engagement of NGOs in other regional mechanisms as well. </w:t>
      </w:r>
      <w:r w:rsidR="00E42674" w:rsidRPr="003C33CA">
        <w:rPr>
          <w:rFonts w:hint="eastAsia"/>
          <w:lang w:eastAsia="ko-KR"/>
        </w:rPr>
        <w:t xml:space="preserve">The </w:t>
      </w:r>
      <w:proofErr w:type="spellStart"/>
      <w:r w:rsidR="00E42674" w:rsidRPr="003C33CA">
        <w:t>Center</w:t>
      </w:r>
      <w:proofErr w:type="spellEnd"/>
      <w:r w:rsidR="00E42674" w:rsidRPr="003C33CA">
        <w:t xml:space="preserve"> for Justice and International Law has participated in over 300 cases before the Inter-American Commission and the Court, on behalf of more than 13,000 victims. Its success has translated into, among other things, the payment of monetary reparations (more than $66 million to almost 2,500 victims), the re-opening of investigations and cases that had earlier been met with impunity, public apologies by high-ranking government officials, and changes in the laws and practices of states.</w:t>
      </w:r>
      <w:r w:rsidR="00E42674" w:rsidRPr="000878BB">
        <w:rPr>
          <w:rStyle w:val="FootnoteReference"/>
        </w:rPr>
        <w:footnoteReference w:id="55"/>
      </w:r>
      <w:r w:rsidR="00E42674" w:rsidRPr="003C33CA">
        <w:t xml:space="preserve"> </w:t>
      </w:r>
      <w:r w:rsidR="00E42674" w:rsidRPr="003C33CA">
        <w:rPr>
          <w:lang w:eastAsia="ko-KR"/>
        </w:rPr>
        <w:t>T</w:t>
      </w:r>
      <w:r w:rsidR="00E42674" w:rsidRPr="003C33CA">
        <w:t xml:space="preserve">he combined efforts of CEJIL and the Peace and Justice Service of Paraguay (SERPAJ-PY), for example, </w:t>
      </w:r>
      <w:r w:rsidR="00E42674" w:rsidRPr="003C33CA">
        <w:rPr>
          <w:rFonts w:hint="eastAsia"/>
          <w:lang w:eastAsia="ko-KR"/>
        </w:rPr>
        <w:t>have led to</w:t>
      </w:r>
      <w:r w:rsidR="00E42674" w:rsidRPr="003C33CA">
        <w:t xml:space="preserve"> </w:t>
      </w:r>
      <w:r w:rsidR="00E42674" w:rsidRPr="003C33CA">
        <w:rPr>
          <w:rFonts w:hint="eastAsia"/>
          <w:lang w:eastAsia="ko-KR"/>
        </w:rPr>
        <w:t>Paraguay</w:t>
      </w:r>
      <w:r w:rsidR="00E42674" w:rsidRPr="003C33CA">
        <w:t xml:space="preserve">’s public repudiation of forcibly recruiting minors, and its withdrawal of its reservation to the Optional Protocol to the Convention on the Rights of the Child on the involvement of </w:t>
      </w:r>
      <w:r w:rsidR="00E42674" w:rsidRPr="003C33CA">
        <w:lastRenderedPageBreak/>
        <w:t>children in armed conflict.</w:t>
      </w:r>
      <w:r w:rsidR="00E42674" w:rsidRPr="000878BB">
        <w:rPr>
          <w:rStyle w:val="FootnoteReference"/>
        </w:rPr>
        <w:footnoteReference w:id="56"/>
      </w:r>
      <w:r w:rsidR="00E42674" w:rsidRPr="003C33CA">
        <w:t xml:space="preserve"> In another example, </w:t>
      </w:r>
      <w:r w:rsidR="00E42674" w:rsidRPr="003C33CA">
        <w:rPr>
          <w:rFonts w:eastAsia="Batang"/>
          <w:lang w:eastAsia="ko-KR"/>
        </w:rPr>
        <w:t>the Inter-American Commission opened an investigation on slavery in Brazil instigated by complaints from NGOs. The Commission has also paid particular attention to women’s rights thanks to the applications brought by women’s rights associations. The few court judgments that do manage to get implemented are mainly due to civil society pressure. The contribution of civil societies and NGOs have played a crucial role in assisting the inter-American system to successfully expose massive violations of human rights occurring in the region.</w:t>
      </w:r>
      <w:r w:rsidR="00E42674" w:rsidRPr="000878BB">
        <w:rPr>
          <w:rStyle w:val="FootnoteReference"/>
          <w:rFonts w:eastAsia="Batang"/>
          <w:lang w:eastAsia="ko-KR"/>
        </w:rPr>
        <w:footnoteReference w:id="57"/>
      </w:r>
      <w:r w:rsidR="00E42674" w:rsidRPr="003C33CA">
        <w:rPr>
          <w:rFonts w:eastAsia="Batang"/>
          <w:lang w:eastAsia="ko-KR"/>
        </w:rPr>
        <w:t xml:space="preserve"> </w:t>
      </w:r>
    </w:p>
    <w:p w:rsidR="00E42674" w:rsidRPr="003C33CA" w:rsidRDefault="00DC570C" w:rsidP="006A5689">
      <w:pPr>
        <w:pStyle w:val="SingleTxtG"/>
      </w:pPr>
      <w:r>
        <w:rPr>
          <w:rFonts w:eastAsia="Batang"/>
          <w:lang w:val="en-AU"/>
        </w:rPr>
        <w:t>47</w:t>
      </w:r>
      <w:r w:rsidR="003C33CA" w:rsidRPr="000878BB">
        <w:rPr>
          <w:rFonts w:eastAsia="Batang" w:hint="eastAsia"/>
          <w:lang w:val="en-AU"/>
        </w:rPr>
        <w:tab/>
      </w:r>
      <w:r w:rsidR="00E42674" w:rsidRPr="003C33CA">
        <w:rPr>
          <w:lang w:eastAsia="ko-KR"/>
        </w:rPr>
        <w:t xml:space="preserve">In </w:t>
      </w:r>
      <w:r w:rsidR="00E42674" w:rsidRPr="003C33CA">
        <w:t>Africa</w:t>
      </w:r>
      <w:r w:rsidR="00E42674" w:rsidRPr="003C33CA">
        <w:rPr>
          <w:lang w:eastAsia="ko-KR"/>
        </w:rPr>
        <w:t>,</w:t>
      </w:r>
      <w:r w:rsidR="00E42674" w:rsidRPr="003C33CA">
        <w:t xml:space="preserve"> A</w:t>
      </w:r>
      <w:r w:rsidR="00E42674" w:rsidRPr="003C33CA">
        <w:rPr>
          <w:lang w:eastAsia="ko-KR"/>
        </w:rPr>
        <w:t xml:space="preserve">mnesty </w:t>
      </w:r>
      <w:r w:rsidR="00E42674" w:rsidRPr="003C33CA">
        <w:t>I</w:t>
      </w:r>
      <w:r w:rsidR="00E42674" w:rsidRPr="003C33CA">
        <w:rPr>
          <w:lang w:eastAsia="ko-KR"/>
        </w:rPr>
        <w:t>nternational</w:t>
      </w:r>
      <w:r w:rsidR="00E42674" w:rsidRPr="003C33CA">
        <w:t xml:space="preserve"> was pivotal in spreading human rights values </w:t>
      </w:r>
      <w:r w:rsidR="00E42674" w:rsidRPr="003C33CA">
        <w:rPr>
          <w:lang w:eastAsia="ko-KR"/>
        </w:rPr>
        <w:t>through</w:t>
      </w:r>
      <w:r w:rsidR="00E42674" w:rsidRPr="003C33CA">
        <w:t xml:space="preserve"> its Campaign for the African Charter on Human and Peoples’ Rights. It called on </w:t>
      </w:r>
      <w:r w:rsidR="00E42674" w:rsidRPr="003C33CA">
        <w:rPr>
          <w:lang w:eastAsia="ko-KR"/>
        </w:rPr>
        <w:t>organizations</w:t>
      </w:r>
      <w:r w:rsidR="00E42674" w:rsidRPr="003C33CA">
        <w:t xml:space="preserve"> throughout Africa to join in the campaign to raise awareness of the African Charter by </w:t>
      </w:r>
      <w:r w:rsidR="00E42674" w:rsidRPr="003C33CA">
        <w:rPr>
          <w:lang w:eastAsia="ko-KR"/>
        </w:rPr>
        <w:t>organizing</w:t>
      </w:r>
      <w:r w:rsidR="00E42674" w:rsidRPr="003C33CA">
        <w:t xml:space="preserve"> radio broadcasts, exhibitions, symposiums, and distributing translated versions of the Charter. By the end of 1991, it succeeded in persuading five out of its ten target </w:t>
      </w:r>
      <w:r w:rsidR="00E42674" w:rsidRPr="003C33CA">
        <w:rPr>
          <w:lang w:eastAsia="ko-KR"/>
        </w:rPr>
        <w:t>governments</w:t>
      </w:r>
      <w:r w:rsidR="00E42674" w:rsidRPr="003C33CA">
        <w:t xml:space="preserve"> to ratify the Charter.</w:t>
      </w:r>
      <w:r w:rsidR="00E42674" w:rsidRPr="003C33CA">
        <w:rPr>
          <w:lang w:eastAsia="ko-KR"/>
        </w:rPr>
        <w:t xml:space="preserve"> </w:t>
      </w:r>
      <w:r w:rsidR="00E42674" w:rsidRPr="003C33CA">
        <w:t>The African Regime’s Rules of Procedures of the Commission allows NGOs to sit in on public sessions of the Commission and of its subsidiary bodies.</w:t>
      </w:r>
      <w:r w:rsidR="00E42674" w:rsidRPr="000878BB">
        <w:rPr>
          <w:rStyle w:val="FootnoteReference"/>
        </w:rPr>
        <w:footnoteReference w:id="58"/>
      </w:r>
    </w:p>
    <w:p w:rsidR="00E42674" w:rsidRPr="006A5689" w:rsidRDefault="00DC570C" w:rsidP="006A5689">
      <w:pPr>
        <w:pStyle w:val="SingleTxtG"/>
        <w:rPr>
          <w:lang w:val="en-GB"/>
        </w:rPr>
      </w:pPr>
      <w:r>
        <w:rPr>
          <w:rFonts w:eastAsia="Batang"/>
          <w:lang w:val="en-AU"/>
        </w:rPr>
        <w:t>48</w:t>
      </w:r>
      <w:r w:rsidR="003C33CA" w:rsidRPr="000878BB">
        <w:rPr>
          <w:rFonts w:eastAsia="Batang" w:hint="eastAsia"/>
          <w:lang w:val="en-AU"/>
        </w:rPr>
        <w:t>.</w:t>
      </w:r>
      <w:r w:rsidR="003C33CA" w:rsidRPr="000878BB">
        <w:rPr>
          <w:rFonts w:eastAsia="Batang" w:hint="eastAsia"/>
          <w:lang w:val="en-AU"/>
        </w:rPr>
        <w:tab/>
      </w:r>
      <w:r w:rsidR="00E42674" w:rsidRPr="003C33CA">
        <w:t>Although Asia does not yet have a regional human rights arrangement, civil society is actively laying the ground work. In 1993, more than 110 NGOs from 26 countries across the Asia and Pacific region adopted the Bangkok NGO Declaration of Human Rights, a hopeful step towards cooperative trans-border human rights activism. Continued efforts to build a comprehensive system of human rights norms led to the Asian Human Rights Charter in 1998, an important demonstration of the existence of a normative consensus among Asian civil society. Although many countries in the region do not have strong domestic civil societies, Asian NGOs have compensated by creating transnational networks focusing on networking, coalition-building, capacity-building and advocacy across borders while putting effort into monitoring, documentation, campaigning, and training. For instance, Forum-Asia, one of the most prominent transnational NGOs based in South East Asia, has been implementing human rights advocacy programs in ASEAN countries to ensure the effectiveness of ASEAN human rights institutions and is also making strenuous efforts to bring public awareness and government attention to regional hu</w:t>
      </w:r>
      <w:r w:rsidR="006A5689">
        <w:t>man rights cooperation in Asia.</w:t>
      </w:r>
    </w:p>
    <w:p w:rsidR="00E42674" w:rsidRPr="000878BB" w:rsidRDefault="006A5689" w:rsidP="006A5689">
      <w:pPr>
        <w:pStyle w:val="HChG"/>
        <w:rPr>
          <w:lang w:eastAsia="ko-KR"/>
        </w:rPr>
      </w:pPr>
      <w:r>
        <w:rPr>
          <w:rFonts w:eastAsia="Batang"/>
          <w:lang w:val="fr-CH" w:eastAsia="ko-KR"/>
        </w:rPr>
        <w:tab/>
      </w:r>
      <w:r w:rsidR="00E42674" w:rsidRPr="000878BB">
        <w:rPr>
          <w:rFonts w:eastAsia="Batang"/>
          <w:lang w:eastAsia="ko-KR"/>
        </w:rPr>
        <w:t xml:space="preserve">VII. </w:t>
      </w:r>
      <w:r>
        <w:rPr>
          <w:rFonts w:eastAsia="Batang"/>
          <w:lang w:val="fr-CH" w:eastAsia="ko-KR"/>
        </w:rPr>
        <w:tab/>
      </w:r>
      <w:r w:rsidR="00E42674" w:rsidRPr="000878BB">
        <w:rPr>
          <w:rFonts w:eastAsia="Batang"/>
          <w:lang w:eastAsia="ko-KR"/>
        </w:rPr>
        <w:t xml:space="preserve">Implications for the Protection of Human Rights through Regional and </w:t>
      </w:r>
      <w:proofErr w:type="spellStart"/>
      <w:r w:rsidR="00E42674" w:rsidRPr="000878BB">
        <w:rPr>
          <w:rFonts w:eastAsia="Batang"/>
          <w:lang w:eastAsia="ko-KR"/>
        </w:rPr>
        <w:t>Subregional</w:t>
      </w:r>
      <w:proofErr w:type="spellEnd"/>
      <w:r w:rsidR="00E42674" w:rsidRPr="000878BB">
        <w:rPr>
          <w:rFonts w:eastAsia="Batang"/>
          <w:lang w:eastAsia="ko-KR"/>
        </w:rPr>
        <w:t xml:space="preserve"> Human Rights Arrangements</w:t>
      </w:r>
    </w:p>
    <w:p w:rsidR="00E42674" w:rsidRPr="003C33CA" w:rsidRDefault="00DC570C" w:rsidP="006A5689">
      <w:pPr>
        <w:pStyle w:val="SingleTxtG"/>
        <w:rPr>
          <w:rFonts w:eastAsia="Batang"/>
          <w:lang w:eastAsia="ko-KR"/>
        </w:rPr>
      </w:pPr>
      <w:r>
        <w:rPr>
          <w:rFonts w:eastAsia="Batang"/>
          <w:lang w:val="en-AU" w:eastAsia="ko-KR"/>
        </w:rPr>
        <w:t>49</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The foregoing analysis of the achievements and challenges of regional human rights arrangements suggest that the</w:t>
      </w:r>
      <w:r w:rsidR="00E42674" w:rsidRPr="003C33CA">
        <w:rPr>
          <w:rFonts w:eastAsia="Batang" w:hint="eastAsia"/>
          <w:lang w:eastAsia="ko-KR"/>
        </w:rPr>
        <w:t xml:space="preserve"> most important factors </w:t>
      </w:r>
      <w:r w:rsidR="00E42674" w:rsidRPr="003C33CA">
        <w:rPr>
          <w:rFonts w:eastAsia="Batang"/>
          <w:lang w:eastAsia="ko-KR"/>
        </w:rPr>
        <w:t>determining</w:t>
      </w:r>
      <w:r w:rsidR="00E42674" w:rsidRPr="003C33CA">
        <w:rPr>
          <w:rFonts w:eastAsia="Batang" w:hint="eastAsia"/>
          <w:lang w:eastAsia="ko-KR"/>
        </w:rPr>
        <w:t xml:space="preserve"> the success o</w:t>
      </w:r>
      <w:r w:rsidR="00E42674" w:rsidRPr="003C33CA">
        <w:rPr>
          <w:rFonts w:eastAsia="Batang"/>
          <w:lang w:eastAsia="ko-KR"/>
        </w:rPr>
        <w:t>r</w:t>
      </w:r>
      <w:r w:rsidR="00E42674" w:rsidRPr="003C33CA">
        <w:rPr>
          <w:rFonts w:eastAsia="Batang" w:hint="eastAsia"/>
          <w:lang w:eastAsia="ko-KR"/>
        </w:rPr>
        <w:t xml:space="preserve"> failure of regional human rights mechanisms</w:t>
      </w:r>
      <w:r w:rsidR="00E42674" w:rsidRPr="003C33CA">
        <w:rPr>
          <w:rFonts w:eastAsia="Batang"/>
          <w:lang w:eastAsia="ko-KR"/>
        </w:rPr>
        <w:t xml:space="preserve"> include the following factors</w:t>
      </w:r>
      <w:r w:rsidR="00E42674" w:rsidRPr="003C33CA">
        <w:rPr>
          <w:rFonts w:eastAsia="Batang" w:hint="eastAsia"/>
          <w:lang w:eastAsia="ko-KR"/>
        </w:rPr>
        <w:t xml:space="preserve">: </w:t>
      </w:r>
    </w:p>
    <w:p w:rsidR="00E42674" w:rsidRPr="003C33CA" w:rsidRDefault="006A5689" w:rsidP="002868E0">
      <w:pPr>
        <w:spacing w:after="120"/>
        <w:ind w:left="2000" w:hanging="400"/>
        <w:rPr>
          <w:rFonts w:eastAsia="Batang"/>
          <w:lang w:eastAsia="ko-KR"/>
        </w:rPr>
      </w:pPr>
      <w:r>
        <w:rPr>
          <w:rFonts w:eastAsia="Batang"/>
          <w:lang w:val="en-AU" w:eastAsia="ko-KR"/>
        </w:rPr>
        <w:tab/>
      </w:r>
      <w:r w:rsidR="003C33CA" w:rsidRPr="002868E0">
        <w:rPr>
          <w:rFonts w:eastAsia="Batang" w:hint="eastAsia"/>
          <w:lang w:eastAsia="ko-KR"/>
        </w:rPr>
        <w:t>A.</w:t>
      </w:r>
      <w:r w:rsidR="003C33CA" w:rsidRPr="002868E0">
        <w:rPr>
          <w:rFonts w:eastAsia="Batang" w:hint="eastAsia"/>
          <w:lang w:eastAsia="ko-KR"/>
        </w:rPr>
        <w:tab/>
      </w:r>
      <w:r w:rsidR="00E42674" w:rsidRPr="003C33CA">
        <w:rPr>
          <w:rFonts w:eastAsia="Batang"/>
          <w:lang w:eastAsia="ko-KR"/>
        </w:rPr>
        <w:t>Commitment</w:t>
      </w:r>
    </w:p>
    <w:p w:rsidR="00E42674" w:rsidRPr="003C33CA" w:rsidRDefault="003C33CA" w:rsidP="003C33CA">
      <w:pPr>
        <w:spacing w:after="120"/>
        <w:ind w:left="2400" w:hanging="400"/>
        <w:rPr>
          <w:rFonts w:eastAsia="Batang"/>
          <w:lang w:eastAsia="ko-KR"/>
        </w:rPr>
      </w:pPr>
      <w:proofErr w:type="spellStart"/>
      <w:r w:rsidRPr="000878BB">
        <w:rPr>
          <w:rFonts w:eastAsia="Batang"/>
          <w:lang w:val="en-AU" w:eastAsia="ko-KR"/>
        </w:rPr>
        <w:t>i</w:t>
      </w:r>
      <w:proofErr w:type="spellEnd"/>
      <w:r w:rsidRPr="000878BB">
        <w:rPr>
          <w:rFonts w:eastAsia="Batang"/>
          <w:lang w:val="en-AU" w:eastAsia="ko-KR"/>
        </w:rPr>
        <w:t>.</w:t>
      </w:r>
      <w:r w:rsidRPr="000878BB">
        <w:rPr>
          <w:rFonts w:eastAsia="Batang"/>
          <w:lang w:val="en-AU" w:eastAsia="ko-KR"/>
        </w:rPr>
        <w:tab/>
      </w:r>
      <w:r w:rsidR="00E42674" w:rsidRPr="003C33CA">
        <w:rPr>
          <w:rFonts w:eastAsia="Batang" w:hint="eastAsia"/>
          <w:lang w:eastAsia="ko-KR"/>
        </w:rPr>
        <w:t xml:space="preserve">The intent and will of individual states to conform to regional standards </w:t>
      </w:r>
    </w:p>
    <w:p w:rsidR="00E42674" w:rsidRPr="003C33CA" w:rsidRDefault="003C33CA" w:rsidP="003C33CA">
      <w:pPr>
        <w:spacing w:after="120"/>
        <w:ind w:left="2400" w:hanging="400"/>
        <w:rPr>
          <w:rFonts w:eastAsia="Batang"/>
          <w:lang w:eastAsia="ko-KR"/>
        </w:rPr>
      </w:pPr>
      <w:r w:rsidRPr="000878BB">
        <w:rPr>
          <w:rFonts w:eastAsia="Batang"/>
          <w:lang w:val="en-AU" w:eastAsia="ko-KR"/>
        </w:rPr>
        <w:t>ii.</w:t>
      </w:r>
      <w:r w:rsidRPr="000878BB">
        <w:rPr>
          <w:rFonts w:eastAsia="Batang"/>
          <w:lang w:val="en-AU" w:eastAsia="ko-KR"/>
        </w:rPr>
        <w:tab/>
      </w:r>
      <w:r w:rsidR="00E42674" w:rsidRPr="003C33CA">
        <w:rPr>
          <w:rFonts w:eastAsia="Batang" w:hint="eastAsia"/>
          <w:lang w:eastAsia="ko-KR"/>
        </w:rPr>
        <w:t>Signing and ratification of most, if not all, states of the region</w:t>
      </w:r>
    </w:p>
    <w:p w:rsidR="00E42674" w:rsidRPr="003C33CA" w:rsidRDefault="003C33CA" w:rsidP="003C33CA">
      <w:pPr>
        <w:widowControl w:val="0"/>
        <w:autoSpaceDE w:val="0"/>
        <w:autoSpaceDN w:val="0"/>
        <w:spacing w:after="120"/>
        <w:ind w:left="2400" w:hanging="400"/>
        <w:rPr>
          <w:rFonts w:eastAsia="Batang"/>
          <w:lang w:eastAsia="ko-KR"/>
        </w:rPr>
      </w:pPr>
      <w:r w:rsidRPr="000878BB">
        <w:rPr>
          <w:rFonts w:eastAsia="Batang"/>
          <w:lang w:val="en-AU" w:eastAsia="ko-KR"/>
        </w:rPr>
        <w:t>iii.</w:t>
      </w:r>
      <w:r w:rsidRPr="000878BB">
        <w:rPr>
          <w:rFonts w:eastAsia="Batang"/>
          <w:lang w:val="en-AU" w:eastAsia="ko-KR"/>
        </w:rPr>
        <w:tab/>
      </w:r>
      <w:r w:rsidR="00E42674" w:rsidRPr="003C33CA">
        <w:rPr>
          <w:rFonts w:eastAsia="Batang"/>
          <w:lang w:eastAsia="ko-KR"/>
        </w:rPr>
        <w:t xml:space="preserve">Changes in laws or legal practices by individual states in the region </w:t>
      </w:r>
    </w:p>
    <w:p w:rsidR="00E42674" w:rsidRPr="003C33CA" w:rsidRDefault="003C33CA" w:rsidP="003C33CA">
      <w:pPr>
        <w:widowControl w:val="0"/>
        <w:autoSpaceDE w:val="0"/>
        <w:autoSpaceDN w:val="0"/>
        <w:spacing w:after="120"/>
        <w:ind w:left="2400" w:hanging="400"/>
        <w:rPr>
          <w:rFonts w:eastAsia="Batang"/>
          <w:lang w:eastAsia="ko-KR"/>
        </w:rPr>
      </w:pPr>
      <w:r w:rsidRPr="000878BB">
        <w:rPr>
          <w:rFonts w:eastAsia="Batang"/>
          <w:lang w:val="en-AU" w:eastAsia="ko-KR"/>
        </w:rPr>
        <w:lastRenderedPageBreak/>
        <w:t>iv.</w:t>
      </w:r>
      <w:r w:rsidRPr="000878BB">
        <w:rPr>
          <w:rFonts w:eastAsia="Batang"/>
          <w:lang w:val="en-AU" w:eastAsia="ko-KR"/>
        </w:rPr>
        <w:tab/>
      </w:r>
      <w:r w:rsidR="00E42674" w:rsidRPr="003C33CA">
        <w:rPr>
          <w:rFonts w:eastAsia="Batang"/>
          <w:lang w:eastAsia="ko-KR"/>
        </w:rPr>
        <w:t>Secur</w:t>
      </w:r>
      <w:r w:rsidR="00E42674" w:rsidRPr="003C33CA">
        <w:rPr>
          <w:rFonts w:eastAsia="Batang" w:hint="eastAsia"/>
          <w:lang w:eastAsia="ko-KR"/>
        </w:rPr>
        <w:t>ing</w:t>
      </w:r>
      <w:r w:rsidR="00E42674" w:rsidRPr="003C33CA">
        <w:rPr>
          <w:rFonts w:eastAsia="Batang"/>
          <w:lang w:eastAsia="ko-KR"/>
        </w:rPr>
        <w:t xml:space="preserve"> adequate </w:t>
      </w:r>
      <w:r w:rsidR="00E42674" w:rsidRPr="003C33CA">
        <w:rPr>
          <w:rFonts w:eastAsia="Batang" w:hint="eastAsia"/>
          <w:lang w:eastAsia="ko-KR"/>
        </w:rPr>
        <w:t xml:space="preserve">human and financial </w:t>
      </w:r>
      <w:r w:rsidR="00E42674" w:rsidRPr="003C33CA">
        <w:rPr>
          <w:rFonts w:eastAsia="Batang"/>
          <w:lang w:eastAsia="ko-KR"/>
        </w:rPr>
        <w:t>resources</w:t>
      </w:r>
    </w:p>
    <w:p w:rsidR="00E42674" w:rsidRPr="003C33CA" w:rsidRDefault="003C33CA" w:rsidP="003C33CA">
      <w:pPr>
        <w:spacing w:after="120"/>
        <w:ind w:left="2000" w:hanging="400"/>
        <w:rPr>
          <w:rFonts w:eastAsia="Batang"/>
          <w:lang w:eastAsia="ko-KR"/>
        </w:rPr>
      </w:pPr>
      <w:r w:rsidRPr="000878BB">
        <w:rPr>
          <w:rFonts w:eastAsia="Batang" w:hint="eastAsia"/>
          <w:lang w:val="en-AU" w:eastAsia="ko-KR"/>
        </w:rPr>
        <w:t>B.</w:t>
      </w:r>
      <w:r w:rsidRPr="000878BB">
        <w:rPr>
          <w:rFonts w:eastAsia="Batang" w:hint="eastAsia"/>
          <w:lang w:val="en-AU" w:eastAsia="ko-KR"/>
        </w:rPr>
        <w:tab/>
      </w:r>
      <w:r w:rsidR="00E42674" w:rsidRPr="003C33CA">
        <w:rPr>
          <w:rFonts w:eastAsia="Batang"/>
          <w:lang w:eastAsia="ko-KR"/>
        </w:rPr>
        <w:t>Procedures</w:t>
      </w:r>
    </w:p>
    <w:p w:rsidR="00E42674" w:rsidRPr="003C33CA" w:rsidRDefault="003C33CA" w:rsidP="003C33CA">
      <w:pPr>
        <w:spacing w:after="120"/>
        <w:ind w:left="2400" w:hanging="400"/>
        <w:rPr>
          <w:rFonts w:eastAsia="Batang"/>
          <w:lang w:eastAsia="ko-KR"/>
        </w:rPr>
      </w:pPr>
      <w:proofErr w:type="spellStart"/>
      <w:r w:rsidRPr="000878BB">
        <w:rPr>
          <w:rFonts w:eastAsia="Batang"/>
          <w:lang w:val="en-AU" w:eastAsia="ko-KR"/>
        </w:rPr>
        <w:t>i</w:t>
      </w:r>
      <w:proofErr w:type="spellEnd"/>
      <w:r w:rsidRPr="000878BB">
        <w:rPr>
          <w:rFonts w:eastAsia="Batang"/>
          <w:lang w:val="en-AU" w:eastAsia="ko-KR"/>
        </w:rPr>
        <w:t>.</w:t>
      </w:r>
      <w:r w:rsidRPr="000878BB">
        <w:rPr>
          <w:rFonts w:eastAsia="Batang"/>
          <w:lang w:val="en-AU" w:eastAsia="ko-KR"/>
        </w:rPr>
        <w:tab/>
      </w:r>
      <w:r w:rsidR="00E42674" w:rsidRPr="003C33CA">
        <w:rPr>
          <w:rFonts w:eastAsia="Batang" w:hint="eastAsia"/>
          <w:lang w:eastAsia="ko-KR"/>
        </w:rPr>
        <w:t xml:space="preserve">Ensuring the </w:t>
      </w:r>
      <w:r w:rsidR="00E42674" w:rsidRPr="003C33CA">
        <w:rPr>
          <w:rFonts w:eastAsia="Batang"/>
          <w:lang w:eastAsia="ko-KR"/>
        </w:rPr>
        <w:t xml:space="preserve">institutional </w:t>
      </w:r>
      <w:r w:rsidR="00E42674" w:rsidRPr="003C33CA">
        <w:rPr>
          <w:rFonts w:eastAsia="Batang" w:hint="eastAsia"/>
          <w:lang w:eastAsia="ko-KR"/>
        </w:rPr>
        <w:t>independence of judges from national interests and influences</w:t>
      </w:r>
    </w:p>
    <w:p w:rsidR="00E42674" w:rsidRPr="003C33CA" w:rsidRDefault="003C33CA" w:rsidP="003C33CA">
      <w:pPr>
        <w:widowControl w:val="0"/>
        <w:autoSpaceDE w:val="0"/>
        <w:autoSpaceDN w:val="0"/>
        <w:spacing w:after="120"/>
        <w:ind w:left="2400" w:hanging="400"/>
        <w:rPr>
          <w:lang w:eastAsia="ko-KR"/>
        </w:rPr>
      </w:pPr>
      <w:r w:rsidRPr="000878BB">
        <w:rPr>
          <w:rFonts w:eastAsia="Calibri"/>
          <w:lang w:val="en-AU" w:eastAsia="ko-KR"/>
        </w:rPr>
        <w:t>ii.</w:t>
      </w:r>
      <w:r w:rsidRPr="000878BB">
        <w:rPr>
          <w:rFonts w:eastAsia="Calibri"/>
          <w:lang w:val="en-AU" w:eastAsia="ko-KR"/>
        </w:rPr>
        <w:tab/>
      </w:r>
      <w:r w:rsidR="00E42674" w:rsidRPr="003C33CA">
        <w:rPr>
          <w:rFonts w:hint="eastAsia"/>
          <w:lang w:eastAsia="ko-KR"/>
        </w:rPr>
        <w:t xml:space="preserve">Resolving </w:t>
      </w:r>
      <w:r w:rsidR="00E42674" w:rsidRPr="003C33CA">
        <w:rPr>
          <w:lang w:eastAsia="ko-KR"/>
        </w:rPr>
        <w:t>case</w:t>
      </w:r>
      <w:r w:rsidR="00E42674" w:rsidRPr="003C33CA">
        <w:rPr>
          <w:rFonts w:hint="eastAsia"/>
          <w:lang w:eastAsia="ko-KR"/>
        </w:rPr>
        <w:t xml:space="preserve"> backlogs and delays in court procedures and preventing future backlogs </w:t>
      </w:r>
    </w:p>
    <w:p w:rsidR="00E42674" w:rsidRPr="003C33CA" w:rsidRDefault="003C33CA" w:rsidP="003C33CA">
      <w:pPr>
        <w:spacing w:after="120"/>
        <w:ind w:left="2400" w:hanging="400"/>
        <w:rPr>
          <w:rFonts w:eastAsia="Batang"/>
          <w:lang w:eastAsia="ko-KR"/>
        </w:rPr>
      </w:pPr>
      <w:r w:rsidRPr="000878BB">
        <w:rPr>
          <w:rFonts w:eastAsia="Batang"/>
          <w:lang w:val="en-AU" w:eastAsia="ko-KR"/>
        </w:rPr>
        <w:t>iii.</w:t>
      </w:r>
      <w:r w:rsidRPr="000878BB">
        <w:rPr>
          <w:rFonts w:eastAsia="Batang"/>
          <w:lang w:val="en-AU" w:eastAsia="ko-KR"/>
        </w:rPr>
        <w:tab/>
      </w:r>
      <w:r w:rsidR="00E42674" w:rsidRPr="003C33CA">
        <w:rPr>
          <w:rFonts w:eastAsia="Batang" w:hint="eastAsia"/>
          <w:lang w:eastAsia="ko-KR"/>
        </w:rPr>
        <w:t>Enforcement mechanism for decisions by regional human rights mechanisms</w:t>
      </w:r>
    </w:p>
    <w:p w:rsidR="00E42674" w:rsidRPr="003C33CA" w:rsidRDefault="003C33CA" w:rsidP="003C33CA">
      <w:pPr>
        <w:spacing w:after="120"/>
        <w:ind w:left="2400" w:hanging="400"/>
        <w:rPr>
          <w:rFonts w:eastAsia="Batang"/>
          <w:lang w:eastAsia="ko-KR"/>
        </w:rPr>
      </w:pPr>
      <w:r w:rsidRPr="000878BB">
        <w:rPr>
          <w:rFonts w:eastAsia="Batang"/>
          <w:lang w:val="en-AU" w:eastAsia="ko-KR"/>
        </w:rPr>
        <w:t>iv.</w:t>
      </w:r>
      <w:r w:rsidRPr="000878BB">
        <w:rPr>
          <w:rFonts w:eastAsia="Batang"/>
          <w:lang w:val="en-AU" w:eastAsia="ko-KR"/>
        </w:rPr>
        <w:tab/>
      </w:r>
      <w:r w:rsidR="00E42674" w:rsidRPr="003C33CA">
        <w:rPr>
          <w:rFonts w:eastAsia="Batang" w:hint="eastAsia"/>
          <w:lang w:eastAsia="ko-KR"/>
        </w:rPr>
        <w:t>Monitoring mechanism to follow up on decisions and implementations</w:t>
      </w:r>
    </w:p>
    <w:p w:rsidR="00E42674" w:rsidRPr="003C33CA" w:rsidRDefault="003C33CA" w:rsidP="003C33CA">
      <w:pPr>
        <w:widowControl w:val="0"/>
        <w:autoSpaceDE w:val="0"/>
        <w:autoSpaceDN w:val="0"/>
        <w:spacing w:after="120"/>
        <w:ind w:left="2400" w:hanging="400"/>
        <w:rPr>
          <w:rFonts w:eastAsia="Batang"/>
          <w:lang w:eastAsia="ko-KR"/>
        </w:rPr>
      </w:pPr>
      <w:r w:rsidRPr="000878BB">
        <w:rPr>
          <w:rFonts w:eastAsia="Batang"/>
          <w:lang w:val="en-AU" w:eastAsia="ko-KR"/>
        </w:rPr>
        <w:t>v.</w:t>
      </w:r>
      <w:r w:rsidRPr="000878BB">
        <w:rPr>
          <w:rFonts w:eastAsia="Batang"/>
          <w:lang w:val="en-AU" w:eastAsia="ko-KR"/>
        </w:rPr>
        <w:tab/>
      </w:r>
      <w:r w:rsidR="00E42674" w:rsidRPr="003C33CA">
        <w:rPr>
          <w:rFonts w:eastAsia="Batang" w:hint="eastAsia"/>
          <w:lang w:eastAsia="ko-KR"/>
        </w:rPr>
        <w:t xml:space="preserve">Maintaining </w:t>
      </w:r>
      <w:r w:rsidR="00E42674" w:rsidRPr="003C33CA">
        <w:rPr>
          <w:rFonts w:eastAsia="Batang"/>
          <w:lang w:eastAsia="ko-KR"/>
        </w:rPr>
        <w:t xml:space="preserve">the </w:t>
      </w:r>
      <w:r w:rsidR="00E42674" w:rsidRPr="003C33CA">
        <w:rPr>
          <w:rFonts w:eastAsia="Batang" w:hint="eastAsia"/>
          <w:lang w:eastAsia="ko-KR"/>
        </w:rPr>
        <w:t xml:space="preserve">integrity and neutrality of </w:t>
      </w:r>
      <w:r w:rsidR="00E42674" w:rsidRPr="003C33CA">
        <w:rPr>
          <w:rFonts w:eastAsia="Batang"/>
          <w:lang w:eastAsia="ko-KR"/>
        </w:rPr>
        <w:t>regional</w:t>
      </w:r>
      <w:r w:rsidR="00E42674" w:rsidRPr="003C33CA">
        <w:rPr>
          <w:rFonts w:eastAsia="Batang" w:hint="eastAsia"/>
          <w:lang w:eastAsia="ko-KR"/>
        </w:rPr>
        <w:t xml:space="preserve"> mechanisms  </w:t>
      </w:r>
    </w:p>
    <w:p w:rsidR="00E42674" w:rsidRPr="003C33CA" w:rsidRDefault="003C33CA" w:rsidP="003C33CA">
      <w:pPr>
        <w:widowControl w:val="0"/>
        <w:autoSpaceDE w:val="0"/>
        <w:autoSpaceDN w:val="0"/>
        <w:spacing w:after="120"/>
        <w:ind w:left="2000" w:hanging="400"/>
        <w:rPr>
          <w:lang w:eastAsia="ko-KR"/>
        </w:rPr>
      </w:pPr>
      <w:r w:rsidRPr="000878BB">
        <w:rPr>
          <w:rFonts w:eastAsia="Calibri" w:hint="eastAsia"/>
          <w:lang w:val="en-AU" w:eastAsia="ko-KR"/>
        </w:rPr>
        <w:t>C.</w:t>
      </w:r>
      <w:r w:rsidRPr="000878BB">
        <w:rPr>
          <w:rFonts w:eastAsia="Calibri" w:hint="eastAsia"/>
          <w:lang w:val="en-AU" w:eastAsia="ko-KR"/>
        </w:rPr>
        <w:tab/>
      </w:r>
      <w:r w:rsidR="00E42674" w:rsidRPr="003C33CA">
        <w:rPr>
          <w:rFonts w:hint="eastAsia"/>
          <w:lang w:eastAsia="ko-KR"/>
        </w:rPr>
        <w:t>Collaboration</w:t>
      </w:r>
    </w:p>
    <w:p w:rsidR="00E42674" w:rsidRPr="003C33CA" w:rsidRDefault="003C33CA" w:rsidP="003C33CA">
      <w:pPr>
        <w:widowControl w:val="0"/>
        <w:autoSpaceDE w:val="0"/>
        <w:autoSpaceDN w:val="0"/>
        <w:spacing w:after="120"/>
        <w:ind w:left="2400" w:hanging="400"/>
        <w:rPr>
          <w:lang w:eastAsia="ko-KR"/>
        </w:rPr>
      </w:pPr>
      <w:proofErr w:type="spellStart"/>
      <w:r w:rsidRPr="000878BB">
        <w:rPr>
          <w:rFonts w:eastAsia="Calibri"/>
          <w:lang w:val="en-AU" w:eastAsia="ko-KR"/>
        </w:rPr>
        <w:t>i</w:t>
      </w:r>
      <w:proofErr w:type="spellEnd"/>
      <w:r w:rsidRPr="000878BB">
        <w:rPr>
          <w:rFonts w:eastAsia="Calibri"/>
          <w:lang w:val="en-AU" w:eastAsia="ko-KR"/>
        </w:rPr>
        <w:t>.</w:t>
      </w:r>
      <w:r w:rsidRPr="000878BB">
        <w:rPr>
          <w:rFonts w:eastAsia="Calibri"/>
          <w:lang w:val="en-AU" w:eastAsia="ko-KR"/>
        </w:rPr>
        <w:tab/>
      </w:r>
      <w:r w:rsidR="00E42674" w:rsidRPr="003C33CA">
        <w:rPr>
          <w:rFonts w:eastAsia="Batang"/>
          <w:lang w:eastAsia="ko-KR"/>
        </w:rPr>
        <w:t xml:space="preserve">Alliances </w:t>
      </w:r>
      <w:r w:rsidR="00E42674" w:rsidRPr="003C33CA">
        <w:rPr>
          <w:rFonts w:eastAsia="Batang" w:hint="eastAsia"/>
          <w:lang w:eastAsia="ko-KR"/>
        </w:rPr>
        <w:t xml:space="preserve">between global and local human </w:t>
      </w:r>
      <w:r w:rsidR="00E42674" w:rsidRPr="003C33CA">
        <w:rPr>
          <w:rFonts w:eastAsia="Batang"/>
          <w:lang w:eastAsia="ko-KR"/>
        </w:rPr>
        <w:t>rights</w:t>
      </w:r>
      <w:r w:rsidR="00E42674" w:rsidRPr="003C33CA">
        <w:rPr>
          <w:rFonts w:eastAsia="Batang" w:hint="eastAsia"/>
          <w:lang w:eastAsia="ko-KR"/>
        </w:rPr>
        <w:t xml:space="preserve"> organizations to uphold standards and hold perpetrators of </w:t>
      </w:r>
      <w:r w:rsidR="00E42674" w:rsidRPr="003C33CA">
        <w:rPr>
          <w:rFonts w:eastAsia="Batang"/>
          <w:lang w:eastAsia="ko-KR"/>
        </w:rPr>
        <w:t>violations</w:t>
      </w:r>
      <w:r w:rsidR="00E42674" w:rsidRPr="003C33CA">
        <w:rPr>
          <w:rFonts w:eastAsia="Batang" w:hint="eastAsia"/>
          <w:lang w:eastAsia="ko-KR"/>
        </w:rPr>
        <w:t xml:space="preserve"> accountable</w:t>
      </w:r>
    </w:p>
    <w:p w:rsidR="00E42674" w:rsidRPr="003C33CA" w:rsidRDefault="003C33CA" w:rsidP="003C33CA">
      <w:pPr>
        <w:widowControl w:val="0"/>
        <w:autoSpaceDE w:val="0"/>
        <w:autoSpaceDN w:val="0"/>
        <w:spacing w:after="120"/>
        <w:ind w:left="2400" w:hanging="400"/>
        <w:rPr>
          <w:rFonts w:eastAsia="Batang"/>
          <w:lang w:eastAsia="ko-KR"/>
        </w:rPr>
      </w:pPr>
      <w:r w:rsidRPr="000878BB">
        <w:rPr>
          <w:rFonts w:eastAsia="Batang"/>
          <w:lang w:val="en-AU" w:eastAsia="ko-KR"/>
        </w:rPr>
        <w:t>ii.</w:t>
      </w:r>
      <w:r w:rsidRPr="000878BB">
        <w:rPr>
          <w:rFonts w:eastAsia="Batang"/>
          <w:lang w:val="en-AU" w:eastAsia="ko-KR"/>
        </w:rPr>
        <w:tab/>
      </w:r>
      <w:r w:rsidR="00E42674" w:rsidRPr="003C33CA">
        <w:rPr>
          <w:rFonts w:hint="eastAsia"/>
          <w:lang w:eastAsia="ko-KR"/>
        </w:rPr>
        <w:t xml:space="preserve">Role </w:t>
      </w:r>
      <w:r w:rsidR="00E42674" w:rsidRPr="003C33CA">
        <w:rPr>
          <w:lang w:eastAsia="ko-KR"/>
        </w:rPr>
        <w:t>of</w:t>
      </w:r>
      <w:r w:rsidR="00E42674" w:rsidRPr="003C33CA">
        <w:rPr>
          <w:rFonts w:hint="eastAsia"/>
          <w:lang w:eastAsia="ko-KR"/>
        </w:rPr>
        <w:t xml:space="preserve"> NHRIs</w:t>
      </w:r>
      <w:r w:rsidR="00E42674" w:rsidRPr="003C33CA">
        <w:rPr>
          <w:lang w:eastAsia="ko-KR"/>
        </w:rPr>
        <w:t xml:space="preserve"> in coordinating and strengthening the implementation of the arrangement’s decisions and increasing the likelihood of compliance</w:t>
      </w:r>
    </w:p>
    <w:p w:rsidR="00E42674" w:rsidRPr="003C33CA" w:rsidRDefault="003C33CA" w:rsidP="003C33CA">
      <w:pPr>
        <w:widowControl w:val="0"/>
        <w:autoSpaceDE w:val="0"/>
        <w:autoSpaceDN w:val="0"/>
        <w:spacing w:after="120"/>
        <w:ind w:left="2400" w:hanging="400"/>
        <w:rPr>
          <w:rFonts w:eastAsia="Batang"/>
          <w:lang w:eastAsia="ko-KR"/>
        </w:rPr>
      </w:pPr>
      <w:r w:rsidRPr="000878BB">
        <w:rPr>
          <w:rFonts w:eastAsia="Batang"/>
          <w:lang w:val="en-AU" w:eastAsia="ko-KR"/>
        </w:rPr>
        <w:t>iii.</w:t>
      </w:r>
      <w:r w:rsidRPr="000878BB">
        <w:rPr>
          <w:rFonts w:eastAsia="Batang"/>
          <w:lang w:val="en-AU" w:eastAsia="ko-KR"/>
        </w:rPr>
        <w:tab/>
      </w:r>
      <w:r w:rsidR="00E42674" w:rsidRPr="003C33CA">
        <w:rPr>
          <w:rFonts w:eastAsia="Batang" w:hint="eastAsia"/>
          <w:lang w:eastAsia="ko-KR"/>
        </w:rPr>
        <w:t>P</w:t>
      </w:r>
      <w:r w:rsidR="00E42674" w:rsidRPr="003C33CA">
        <w:rPr>
          <w:rFonts w:eastAsia="Batang"/>
          <w:lang w:eastAsia="ko-KR"/>
        </w:rPr>
        <w:t>articipation by members of civil society in submitting petitions, representing victims, pressuring responsible actors, and following up on court decisions</w:t>
      </w:r>
    </w:p>
    <w:p w:rsidR="00E42674" w:rsidRPr="003C33CA" w:rsidRDefault="00DC570C" w:rsidP="002868E0">
      <w:pPr>
        <w:pStyle w:val="SingleTxtG"/>
        <w:rPr>
          <w:rFonts w:eastAsia="Batang"/>
          <w:lang w:eastAsia="ko-KR"/>
        </w:rPr>
      </w:pPr>
      <w:r>
        <w:rPr>
          <w:rFonts w:eastAsia="Batang"/>
          <w:lang w:val="en-AU" w:eastAsia="ko-KR"/>
        </w:rPr>
        <w:t>50</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 xml:space="preserve">These factors are closely integrated and can be conceptualized as a system of concentric rings with member state commitment as the innermost layer and collaboration with civil society and global human rights actors as the outermost layer. The procedural level—the detailed processes and mechanisms through which the arrangements do their work in the real world—is shaped and supported by the twin structures of member state commitment and the vigilance of civil society and international actors. Ideally, the efficient functioning of this system requires all three layers to operate in unison. Regional arrangements that are deficient in one or more of these areas end up struggling to adequately meet their responsibilities to protect human rights because they risk developing structural imbalances and procedural flaws. In particular, a lack of member state commitment undercuts the vitality of the entire structure while a mismatch between commitment and collaboration will create adversarial relationships that potentially complicate the procedural level. Although the potential for procedural flaws and inefficiencies exist in all regional arrangements, a synergistic relationship between member state commitment and collaboration with international and civil society actors helps identify and manage these problems and, in the best cases, literally ties all three levels together into a closely functioning and self-reinforcing system. </w:t>
      </w:r>
    </w:p>
    <w:p w:rsidR="00E42674" w:rsidRPr="003C33CA" w:rsidRDefault="00DC570C" w:rsidP="002868E0">
      <w:pPr>
        <w:pStyle w:val="SingleTxtG"/>
        <w:rPr>
          <w:rFonts w:eastAsia="Batang"/>
          <w:lang w:eastAsia="ko-KR"/>
        </w:rPr>
      </w:pPr>
      <w:r>
        <w:rPr>
          <w:rFonts w:eastAsia="Batang"/>
          <w:lang w:val="en-AU" w:eastAsia="ko-KR"/>
        </w:rPr>
        <w:t>51</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Conceptualizing successful regional mechanisms as integrated systems of commitment, procedures, and collaboration has important implications for ongoing efforts to create new regional arrangements. First, it highlights the importance of member state commitment but emphasizes that this factor does not exist in isolation. Collaboration with domestic and international actors is required even in the presence of strong member state commitment, just as domestic and international actors cannot succeed without member state commitment. This suggests that thinking sequentially is problematic when creating new arrangements. Rather, a successful regional arrangement requires the parallel development of self-supporting levels of collaboration, procedures, and commitment. Modest but balanced arrangements that are allowed to evolve organically may be more sustainable than ambitious projects that seek to do too much too quickly.</w:t>
      </w:r>
    </w:p>
    <w:p w:rsidR="00E42674" w:rsidRPr="003C33CA" w:rsidRDefault="00DC570C" w:rsidP="002868E0">
      <w:pPr>
        <w:pStyle w:val="SingleTxtG"/>
        <w:rPr>
          <w:rFonts w:eastAsia="Batang"/>
          <w:lang w:eastAsia="ko-KR"/>
        </w:rPr>
      </w:pPr>
      <w:r>
        <w:rPr>
          <w:rFonts w:eastAsia="Batang"/>
          <w:lang w:val="en-AU" w:eastAsia="ko-KR"/>
        </w:rPr>
        <w:t>52</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 xml:space="preserve">As mentioned in Section II, the question of creating a new regional arrangement is particularly acute in Asia. However, ensuring commitment, collaboration, and creating acceptable procedures is difficult because of geographic and cultural diversity. According to UN categorizations, Asia is divided into Central, Eastern, Northern, </w:t>
      </w:r>
      <w:proofErr w:type="spellStart"/>
      <w:r w:rsidR="00E42674" w:rsidRPr="003C33CA">
        <w:rPr>
          <w:rFonts w:eastAsia="Batang"/>
          <w:lang w:eastAsia="ko-KR"/>
        </w:rPr>
        <w:t>Southeastern</w:t>
      </w:r>
      <w:proofErr w:type="spellEnd"/>
      <w:r w:rsidR="00E42674" w:rsidRPr="003C33CA">
        <w:rPr>
          <w:rFonts w:eastAsia="Batang"/>
          <w:lang w:eastAsia="ko-KR"/>
        </w:rPr>
        <w:t xml:space="preserve">, Southern and Western Asia. The boundary between sub-regions is ambiguous because of </w:t>
      </w:r>
      <w:r w:rsidR="00E42674" w:rsidRPr="003C33CA">
        <w:rPr>
          <w:rFonts w:eastAsia="Batang"/>
          <w:lang w:eastAsia="ko-KR"/>
        </w:rPr>
        <w:lastRenderedPageBreak/>
        <w:t>the complex mixture of diverse ethnic groups. Moreover, d</w:t>
      </w:r>
      <w:r w:rsidR="00E42674" w:rsidRPr="003C33CA">
        <w:rPr>
          <w:rFonts w:eastAsia="Batang" w:hint="eastAsia"/>
          <w:lang w:eastAsia="ko-KR"/>
        </w:rPr>
        <w:t xml:space="preserve">ifferent </w:t>
      </w:r>
      <w:r w:rsidR="00E42674" w:rsidRPr="003C33CA">
        <w:rPr>
          <w:rFonts w:eastAsia="Batang"/>
          <w:lang w:eastAsia="ko-KR"/>
        </w:rPr>
        <w:t xml:space="preserve">concepts and practices of </w:t>
      </w:r>
      <w:r w:rsidR="00E42674" w:rsidRPr="003C33CA">
        <w:rPr>
          <w:rFonts w:eastAsia="Batang" w:hint="eastAsia"/>
          <w:lang w:eastAsia="ko-KR"/>
        </w:rPr>
        <w:t>s</w:t>
      </w:r>
      <w:r w:rsidR="00E42674" w:rsidRPr="003C33CA">
        <w:rPr>
          <w:rFonts w:eastAsia="Batang"/>
          <w:lang w:eastAsia="ko-KR"/>
        </w:rPr>
        <w:t>ocial morality make it hard for Asian countries to agree on trans-boundary legal standards. Cultural diversity has also served as an excuse for the violation of human rights.</w:t>
      </w:r>
      <w:r w:rsidR="00E42674" w:rsidRPr="003C33CA">
        <w:rPr>
          <w:rFonts w:eastAsia="Batang" w:hint="eastAsia"/>
          <w:lang w:eastAsia="ko-KR"/>
        </w:rPr>
        <w:t xml:space="preserve"> M</w:t>
      </w:r>
      <w:r w:rsidR="00E42674" w:rsidRPr="003C33CA">
        <w:rPr>
          <w:rFonts w:eastAsia="Batang"/>
          <w:lang w:eastAsia="ko-KR"/>
        </w:rPr>
        <w:t xml:space="preserve">any oppressive regimes have touted the belief that the Confucian tradition, which is deeply rooted in East Asian society, is irreconcilable with the Western concept of </w:t>
      </w:r>
      <w:r w:rsidR="00E42674" w:rsidRPr="003C33CA">
        <w:rPr>
          <w:rFonts w:eastAsia="Batang" w:hint="eastAsia"/>
          <w:lang w:eastAsia="ko-KR"/>
        </w:rPr>
        <w:t>human rights</w:t>
      </w:r>
      <w:r w:rsidR="00E42674" w:rsidRPr="003C33CA">
        <w:rPr>
          <w:rFonts w:eastAsia="Batang"/>
          <w:lang w:eastAsia="ko-KR"/>
        </w:rPr>
        <w:t>.</w:t>
      </w:r>
      <w:r w:rsidR="00E42674" w:rsidRPr="003C33CA">
        <w:rPr>
          <w:rFonts w:eastAsia="Batang" w:hint="eastAsia"/>
          <w:lang w:eastAsia="ko-KR"/>
        </w:rPr>
        <w:t xml:space="preserve"> </w:t>
      </w:r>
    </w:p>
    <w:p w:rsidR="00E42674" w:rsidRPr="003C33CA" w:rsidRDefault="00DC570C" w:rsidP="002868E0">
      <w:pPr>
        <w:pStyle w:val="SingleTxtG"/>
        <w:rPr>
          <w:rFonts w:eastAsia="Batang"/>
          <w:lang w:eastAsia="ko-KR"/>
        </w:rPr>
      </w:pPr>
      <w:r>
        <w:rPr>
          <w:rFonts w:eastAsia="Batang"/>
          <w:lang w:val="en-AU" w:eastAsia="ko-KR"/>
        </w:rPr>
        <w:t>53</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 xml:space="preserve">Guaranteeing member state commitment for a regional human rights arrangement may be hindered because of different styles of state governance. In contrast to norms prevailing in other regions, many Asian countries regard </w:t>
      </w:r>
      <w:r w:rsidR="00E42674" w:rsidRPr="003C33CA">
        <w:rPr>
          <w:rFonts w:eastAsia="Batang" w:hint="eastAsia"/>
          <w:lang w:eastAsia="ko-KR"/>
        </w:rPr>
        <w:t>human rights</w:t>
      </w:r>
      <w:r w:rsidR="00E42674" w:rsidRPr="003C33CA">
        <w:rPr>
          <w:rFonts w:eastAsia="Batang"/>
          <w:lang w:eastAsia="ko-KR"/>
        </w:rPr>
        <w:t xml:space="preserve"> issues as a domestic issue. Since non-interference in domestic affairs is one of the principles explicitly underlying ASEAN’s founding documents, efforts to internationalize human rights protections within the ASEAN framework are expected to encounter procedural problems. As well, Asian countries tend to prioritize government-</w:t>
      </w:r>
      <w:proofErr w:type="spellStart"/>
      <w:r w:rsidR="00E42674" w:rsidRPr="003C33CA">
        <w:rPr>
          <w:rFonts w:eastAsia="Batang"/>
          <w:lang w:eastAsia="ko-KR"/>
        </w:rPr>
        <w:t>centered</w:t>
      </w:r>
      <w:proofErr w:type="spellEnd"/>
      <w:r w:rsidR="00E42674" w:rsidRPr="003C33CA">
        <w:rPr>
          <w:rFonts w:eastAsia="Batang"/>
          <w:lang w:eastAsia="ko-KR"/>
        </w:rPr>
        <w:t xml:space="preserve"> policy initiatives for creating economic development and accept the relegation of individual rights for the collective good.</w:t>
      </w:r>
      <w:r w:rsidR="00E42674" w:rsidRPr="000878BB">
        <w:rPr>
          <w:rStyle w:val="FootnoteReference"/>
          <w:rFonts w:eastAsia="Batang"/>
          <w:lang w:eastAsia="ko-KR"/>
        </w:rPr>
        <w:footnoteReference w:id="59"/>
      </w:r>
      <w:r w:rsidR="00E42674" w:rsidRPr="003C33CA">
        <w:rPr>
          <w:rFonts w:eastAsia="Batang"/>
          <w:lang w:eastAsia="ko-KR"/>
        </w:rPr>
        <w:t xml:space="preserve"> These differences, combined with Asia’s growing economic and political clout in the world, suggest that a simple transference of European models may not be a realistic expectation. </w:t>
      </w:r>
    </w:p>
    <w:p w:rsidR="00E42674" w:rsidRPr="003C33CA" w:rsidRDefault="00DC570C" w:rsidP="002868E0">
      <w:pPr>
        <w:pStyle w:val="SingleTxtG"/>
        <w:rPr>
          <w:rFonts w:eastAsia="Batang"/>
          <w:lang w:eastAsia="ko-KR"/>
        </w:rPr>
      </w:pPr>
      <w:r>
        <w:rPr>
          <w:rFonts w:eastAsia="Batang"/>
          <w:lang w:val="en-AU" w:eastAsia="ko-KR"/>
        </w:rPr>
        <w:t>54</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Strong commitment by a powerful or influential country – or small group of countries – could be one way to generate momentum for a regional arrangement in Asia. As we have seen, a similar role was played by the United States in creating and financing the Inter-American human rights mechanism. For many international regimes, as well, the presence of a leading nation is very important. In Asia the role of countries with large populations and with regional dominance</w:t>
      </w:r>
      <w:r w:rsidR="00E42674" w:rsidRPr="003C33CA">
        <w:rPr>
          <w:rFonts w:eastAsia="Batang" w:hint="eastAsia"/>
          <w:lang w:eastAsia="ko-KR"/>
        </w:rPr>
        <w:t xml:space="preserve"> such as </w:t>
      </w:r>
      <w:r w:rsidR="00E42674" w:rsidRPr="003C33CA">
        <w:rPr>
          <w:rFonts w:eastAsia="Batang"/>
          <w:lang w:eastAsia="ko-KR"/>
        </w:rPr>
        <w:t>China, India</w:t>
      </w:r>
      <w:r w:rsidR="00E42674" w:rsidRPr="003C33CA">
        <w:rPr>
          <w:rFonts w:eastAsia="Batang" w:hint="eastAsia"/>
          <w:lang w:eastAsia="ko-KR"/>
        </w:rPr>
        <w:t xml:space="preserve"> </w:t>
      </w:r>
      <w:r w:rsidR="00E42674" w:rsidRPr="003C33CA">
        <w:rPr>
          <w:rFonts w:eastAsia="Batang"/>
          <w:lang w:eastAsia="ko-KR"/>
        </w:rPr>
        <w:t xml:space="preserve">or Japan are critical in facilitating the establishment of </w:t>
      </w:r>
      <w:r w:rsidR="00E42674" w:rsidRPr="003C33CA">
        <w:rPr>
          <w:rFonts w:eastAsia="Batang" w:hint="eastAsia"/>
          <w:lang w:eastAsia="ko-KR"/>
        </w:rPr>
        <w:t>a</w:t>
      </w:r>
      <w:r w:rsidR="00E42674" w:rsidRPr="003C33CA">
        <w:rPr>
          <w:rFonts w:eastAsia="Batang"/>
          <w:lang w:eastAsia="ko-KR"/>
        </w:rPr>
        <w:t xml:space="preserve"> regional system. However, many leading Asian powers do not appear to be willing to take on this role. China, for example, puts emphasis on the right to self-determination and collective rights. India is criticized for its rampant discrimination of minorities and communal violence. Japan is unwilling to account for its past war-crime human rights violations</w:t>
      </w:r>
      <w:r w:rsidR="00E42674" w:rsidRPr="003C33CA">
        <w:rPr>
          <w:rFonts w:eastAsia="Batang" w:hint="eastAsia"/>
          <w:lang w:eastAsia="ko-KR"/>
        </w:rPr>
        <w:t>.</w:t>
      </w:r>
      <w:r w:rsidR="00E42674" w:rsidRPr="000878BB">
        <w:rPr>
          <w:rStyle w:val="FootnoteReference"/>
          <w:rFonts w:eastAsia="Batang"/>
          <w:lang w:eastAsia="ko-KR"/>
        </w:rPr>
        <w:footnoteReference w:id="60"/>
      </w:r>
      <w:r w:rsidR="00E42674" w:rsidRPr="003C33CA">
        <w:rPr>
          <w:rFonts w:eastAsia="Batang"/>
          <w:lang w:eastAsia="ko-KR"/>
        </w:rPr>
        <w:t xml:space="preserve"> Even ASEAN, which is making progress in creating a </w:t>
      </w:r>
      <w:proofErr w:type="spellStart"/>
      <w:r w:rsidR="00E42674" w:rsidRPr="003C33CA">
        <w:rPr>
          <w:rFonts w:eastAsia="Batang"/>
          <w:lang w:eastAsia="ko-KR"/>
        </w:rPr>
        <w:t>subregional</w:t>
      </w:r>
      <w:proofErr w:type="spellEnd"/>
      <w:r w:rsidR="00E42674" w:rsidRPr="003C33CA">
        <w:rPr>
          <w:rFonts w:eastAsia="Batang"/>
          <w:lang w:eastAsia="ko-KR"/>
        </w:rPr>
        <w:t xml:space="preserve"> arrangement, </w:t>
      </w:r>
      <w:r w:rsidR="00E42674" w:rsidRPr="003C33CA">
        <w:rPr>
          <w:rFonts w:eastAsia="Batang" w:hint="eastAsia"/>
          <w:lang w:eastAsia="ko-KR"/>
        </w:rPr>
        <w:t>need</w:t>
      </w:r>
      <w:r w:rsidR="00E42674" w:rsidRPr="003C33CA">
        <w:rPr>
          <w:rFonts w:eastAsia="Batang"/>
          <w:lang w:eastAsia="ko-KR"/>
        </w:rPr>
        <w:t>s</w:t>
      </w:r>
      <w:r w:rsidR="00E42674" w:rsidRPr="003C33CA">
        <w:rPr>
          <w:rFonts w:eastAsia="Batang" w:hint="eastAsia"/>
          <w:lang w:eastAsia="ko-KR"/>
        </w:rPr>
        <w:t xml:space="preserve"> to identify a leading nation to push the movement forward.</w:t>
      </w:r>
      <w:r w:rsidR="00E42674" w:rsidRPr="000878BB">
        <w:rPr>
          <w:rStyle w:val="FootnoteReference"/>
          <w:rFonts w:eastAsia="Batang"/>
          <w:lang w:eastAsia="ko-KR"/>
        </w:rPr>
        <w:footnoteReference w:id="61"/>
      </w:r>
    </w:p>
    <w:p w:rsidR="00E42674" w:rsidRPr="003C33CA" w:rsidRDefault="00DC570C" w:rsidP="002868E0">
      <w:pPr>
        <w:pStyle w:val="SingleTxtG"/>
        <w:rPr>
          <w:rFonts w:eastAsia="Batang"/>
          <w:lang w:eastAsia="ko-KR"/>
        </w:rPr>
      </w:pPr>
      <w:r>
        <w:rPr>
          <w:rFonts w:eastAsia="Batang"/>
          <w:lang w:val="en-AU" w:eastAsia="ko-KR"/>
        </w:rPr>
        <w:t>55</w:t>
      </w:r>
      <w:r w:rsidR="003C33CA" w:rsidRPr="000878BB">
        <w:rPr>
          <w:rFonts w:eastAsia="Batang" w:hint="eastAsia"/>
          <w:lang w:val="en-AU" w:eastAsia="ko-KR"/>
        </w:rPr>
        <w:tab/>
      </w:r>
      <w:r w:rsidR="00E42674" w:rsidRPr="003C33CA">
        <w:rPr>
          <w:rFonts w:eastAsia="Batang"/>
          <w:lang w:eastAsia="ko-KR"/>
        </w:rPr>
        <w:t xml:space="preserve">Thus, there appears to be three possible routes to creating an Asian regional human rights arrangement. The first is the </w:t>
      </w:r>
      <w:r w:rsidR="00E42674" w:rsidRPr="003C33CA">
        <w:rPr>
          <w:rFonts w:eastAsia="Batang"/>
          <w:i/>
          <w:lang w:eastAsia="ko-KR"/>
        </w:rPr>
        <w:t>narrow approach</w:t>
      </w:r>
      <w:r w:rsidR="00E42674" w:rsidRPr="003C33CA">
        <w:rPr>
          <w:rFonts w:eastAsia="Batang"/>
          <w:lang w:eastAsia="ko-KR"/>
        </w:rPr>
        <w:t xml:space="preserve">. This would consist of the creation of a small </w:t>
      </w:r>
      <w:proofErr w:type="spellStart"/>
      <w:r w:rsidR="00E42674" w:rsidRPr="003C33CA">
        <w:rPr>
          <w:rFonts w:eastAsia="Batang"/>
          <w:lang w:eastAsia="ko-KR"/>
        </w:rPr>
        <w:t>subregional</w:t>
      </w:r>
      <w:proofErr w:type="spellEnd"/>
      <w:r w:rsidR="00E42674" w:rsidRPr="003C33CA">
        <w:rPr>
          <w:rFonts w:eastAsia="Batang"/>
          <w:lang w:eastAsia="ko-KR"/>
        </w:rPr>
        <w:t xml:space="preserve"> human rights arrangement that is geographically limited but marked by a high degree of commitment, procedures closely </w:t>
      </w:r>
      <w:proofErr w:type="spellStart"/>
      <w:r w:rsidR="00E42674" w:rsidRPr="003C33CA">
        <w:rPr>
          <w:rFonts w:eastAsia="Batang"/>
          <w:lang w:eastAsia="ko-KR"/>
        </w:rPr>
        <w:t>modeled</w:t>
      </w:r>
      <w:proofErr w:type="spellEnd"/>
      <w:r w:rsidR="00E42674" w:rsidRPr="003C33CA">
        <w:rPr>
          <w:rFonts w:eastAsia="Batang"/>
          <w:lang w:eastAsia="ko-KR"/>
        </w:rPr>
        <w:t xml:space="preserve"> on best cases, and deep collaboration with international actors and civil society. Such an organization would presumably begin with a small number of like-minded central governments, local governments, cities and other autonomous regional entities and seek to gradually increase its membership. For example, an Asian human rights regime could be </w:t>
      </w:r>
      <w:proofErr w:type="spellStart"/>
      <w:r w:rsidR="00E42674" w:rsidRPr="003C33CA">
        <w:rPr>
          <w:rFonts w:eastAsia="Batang"/>
          <w:lang w:eastAsia="ko-KR"/>
        </w:rPr>
        <w:t>centered</w:t>
      </w:r>
      <w:proofErr w:type="spellEnd"/>
      <w:r w:rsidR="00E42674" w:rsidRPr="003C33CA">
        <w:rPr>
          <w:rFonts w:eastAsia="Batang"/>
          <w:lang w:eastAsia="ko-KR"/>
        </w:rPr>
        <w:t xml:space="preserve"> on New Zealand and expand to </w:t>
      </w:r>
      <w:proofErr w:type="spellStart"/>
      <w:r w:rsidR="00E42674" w:rsidRPr="003C33CA">
        <w:rPr>
          <w:rFonts w:eastAsia="Batang"/>
          <w:lang w:eastAsia="ko-KR"/>
        </w:rPr>
        <w:t>neighboring</w:t>
      </w:r>
      <w:proofErr w:type="spellEnd"/>
      <w:r w:rsidR="00E42674" w:rsidRPr="003C33CA">
        <w:rPr>
          <w:rFonts w:eastAsia="Batang"/>
          <w:lang w:eastAsia="ko-KR"/>
        </w:rPr>
        <w:t xml:space="preserve"> countries. This approach would have the advantage of maximizing the protections for the inhabitants of member states in accordance to international standards but could experience growth difficulties if its convention and enforcement mechanisms were perceived as too intrusive.  </w:t>
      </w:r>
    </w:p>
    <w:p w:rsidR="00E42674" w:rsidRPr="003C33CA" w:rsidRDefault="00DC570C" w:rsidP="002868E0">
      <w:pPr>
        <w:pStyle w:val="SingleTxtG"/>
        <w:rPr>
          <w:rFonts w:eastAsia="Batang"/>
          <w:lang w:eastAsia="ko-KR"/>
        </w:rPr>
      </w:pPr>
      <w:r>
        <w:rPr>
          <w:rFonts w:eastAsia="Batang"/>
          <w:lang w:val="en-AU" w:eastAsia="ko-KR"/>
        </w:rPr>
        <w:lastRenderedPageBreak/>
        <w:t>56</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 xml:space="preserve">The second is the </w:t>
      </w:r>
      <w:r w:rsidR="00E42674" w:rsidRPr="003C33CA">
        <w:rPr>
          <w:rFonts w:eastAsia="Batang"/>
          <w:i/>
          <w:lang w:eastAsia="ko-KR"/>
        </w:rPr>
        <w:t>wide approach</w:t>
      </w:r>
      <w:r w:rsidR="00E42674" w:rsidRPr="003C33CA">
        <w:rPr>
          <w:rFonts w:eastAsia="Batang"/>
          <w:lang w:eastAsia="ko-KR"/>
        </w:rPr>
        <w:t>. This would consist of the negotiation of a broad and inclusive regional human rights arrangement that encompasses the entire region. Due to widely divergent cultural values, styles of governance, and member state preferences a successful agreement would necessarily reflect the lowest common denominator. In all likelihood, this organization would be under-funded, procedurally handicapped, and would limit the opportunities for civil society engagement. Nevertheless, its existence would be highly symbolic, provide at least a modicum of protection to the largest number of people, and could help socialize member states to show more commitment in the future.</w:t>
      </w:r>
    </w:p>
    <w:p w:rsidR="00E42674" w:rsidRPr="000878BB" w:rsidRDefault="00DC570C" w:rsidP="002868E0">
      <w:pPr>
        <w:pStyle w:val="SingleTxtG"/>
        <w:rPr>
          <w:lang w:eastAsia="ko-KR"/>
        </w:rPr>
      </w:pPr>
      <w:r>
        <w:rPr>
          <w:rFonts w:eastAsia="Batang"/>
          <w:lang w:val="en-AU" w:eastAsia="ko-KR"/>
        </w:rPr>
        <w:t>57</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 xml:space="preserve">The third route to a regional arrangement in Asia would consist of a </w:t>
      </w:r>
      <w:r w:rsidR="00E42674" w:rsidRPr="003C33CA">
        <w:rPr>
          <w:rFonts w:eastAsia="Batang"/>
          <w:i/>
          <w:lang w:eastAsia="ko-KR"/>
        </w:rPr>
        <w:t>networked approach</w:t>
      </w:r>
      <w:r w:rsidR="00E42674" w:rsidRPr="003C33CA">
        <w:rPr>
          <w:rFonts w:eastAsia="Batang"/>
          <w:lang w:eastAsia="ko-KR"/>
        </w:rPr>
        <w:t xml:space="preserve">. This would consist of the development of multiple and overlapping </w:t>
      </w:r>
      <w:proofErr w:type="spellStart"/>
      <w:r w:rsidR="00E42674" w:rsidRPr="003C33CA">
        <w:rPr>
          <w:rFonts w:eastAsia="Batang"/>
          <w:lang w:eastAsia="ko-KR"/>
        </w:rPr>
        <w:t>subregional</w:t>
      </w:r>
      <w:proofErr w:type="spellEnd"/>
      <w:r w:rsidR="00E42674" w:rsidRPr="003C33CA">
        <w:rPr>
          <w:rFonts w:eastAsia="Batang"/>
          <w:lang w:eastAsia="ko-KR"/>
        </w:rPr>
        <w:t xml:space="preserve"> mechanisms among like-minded countries. These </w:t>
      </w:r>
      <w:proofErr w:type="spellStart"/>
      <w:r w:rsidR="00E42674" w:rsidRPr="003C33CA">
        <w:rPr>
          <w:rFonts w:eastAsia="Batang"/>
          <w:lang w:eastAsia="ko-KR"/>
        </w:rPr>
        <w:t>subregional</w:t>
      </w:r>
      <w:proofErr w:type="spellEnd"/>
      <w:r w:rsidR="00E42674" w:rsidRPr="003C33CA">
        <w:rPr>
          <w:rFonts w:eastAsia="Batang"/>
          <w:lang w:eastAsia="ko-KR"/>
        </w:rPr>
        <w:t xml:space="preserve"> mechanisms would not have the same procedures because compromises will be necessary when establishing each body, realistically taking into account which provisions the member states are comfortable ratifying and which they will be comfortable implementing. Attention should be focused on to what extent compromises can be made.</w:t>
      </w:r>
      <w:r w:rsidR="00E42674" w:rsidRPr="000878BB">
        <w:rPr>
          <w:rStyle w:val="FootnoteReference"/>
          <w:rFonts w:eastAsia="Batang"/>
          <w:lang w:eastAsia="ko-KR"/>
        </w:rPr>
        <w:footnoteReference w:id="62"/>
      </w:r>
      <w:r w:rsidR="00E42674" w:rsidRPr="003C33CA">
        <w:rPr>
          <w:rFonts w:eastAsia="Batang"/>
          <w:lang w:eastAsia="ko-KR"/>
        </w:rPr>
        <w:t xml:space="preserve"> Thus, we could see the proliferation of organizations based on sub-regions, such as Central, Eastern, Northern, </w:t>
      </w:r>
      <w:proofErr w:type="spellStart"/>
      <w:r w:rsidR="00E42674" w:rsidRPr="003C33CA">
        <w:rPr>
          <w:rFonts w:eastAsia="Batang"/>
          <w:lang w:eastAsia="ko-KR"/>
        </w:rPr>
        <w:t>Southeastern</w:t>
      </w:r>
      <w:proofErr w:type="spellEnd"/>
      <w:r w:rsidR="00E42674" w:rsidRPr="003C33CA">
        <w:rPr>
          <w:rFonts w:eastAsia="Batang"/>
          <w:lang w:eastAsia="ko-KR"/>
        </w:rPr>
        <w:t xml:space="preserve">, Southern and Western Asia. These organizations would cooperate together but reflect each sub-region’s distinctive approach to human rights protections. In parallel, other international agreements could be created at the regional level that focus on addressing common needs, such as child poverty or the rights of the elderly, or technical issues such as consumer privacy rights. In this way, regional human rights organizations can help transform treaties on specific subjects and systems into effective tools to promote human rights in Asia. In the long run, of course, efforts would be needed to integrate these diverse </w:t>
      </w:r>
      <w:proofErr w:type="spellStart"/>
      <w:r w:rsidR="00E42674" w:rsidRPr="003C33CA">
        <w:rPr>
          <w:rFonts w:eastAsia="Batang"/>
          <w:lang w:eastAsia="ko-KR"/>
        </w:rPr>
        <w:t>subregional</w:t>
      </w:r>
      <w:proofErr w:type="spellEnd"/>
      <w:r w:rsidR="00E42674" w:rsidRPr="003C33CA">
        <w:rPr>
          <w:rFonts w:eastAsia="Batang"/>
          <w:lang w:eastAsia="ko-KR"/>
        </w:rPr>
        <w:t xml:space="preserve"> rights systems and single issues regime into a coherent whole. Despite Asia’s diversity of culture, history and traditions, a growing awareness of the problems posed by human rights violations could encourage countries to concentrate on addressing them as a main priority.</w:t>
      </w:r>
      <w:r w:rsidR="00E42674" w:rsidRPr="000878BB">
        <w:rPr>
          <w:rStyle w:val="FootnoteReference"/>
          <w:rFonts w:eastAsia="Batang"/>
          <w:lang w:eastAsia="ko-KR"/>
        </w:rPr>
        <w:footnoteReference w:id="63"/>
      </w:r>
      <w:r w:rsidR="00E42674" w:rsidRPr="003C33CA">
        <w:rPr>
          <w:rFonts w:eastAsia="Batang"/>
          <w:lang w:eastAsia="ko-KR"/>
        </w:rPr>
        <w:t xml:space="preserve"> Crisscrossing the region with a network of </w:t>
      </w:r>
      <w:proofErr w:type="spellStart"/>
      <w:r w:rsidR="00E42674" w:rsidRPr="003C33CA">
        <w:rPr>
          <w:rFonts w:eastAsia="Batang"/>
          <w:lang w:eastAsia="ko-KR"/>
        </w:rPr>
        <w:t>subregional</w:t>
      </w:r>
      <w:proofErr w:type="spellEnd"/>
      <w:r w:rsidR="00E42674" w:rsidRPr="003C33CA">
        <w:rPr>
          <w:rFonts w:eastAsia="Batang"/>
          <w:lang w:eastAsia="ko-KR"/>
        </w:rPr>
        <w:t xml:space="preserve"> arrangements would allow countries to move at their own pace. In doing so they would be encouraged by international civil society and assisted by the UN system. As human rights progress and cooperation appears unlikely among nationalistic and growth-oriented governments, it is important to explore the contributions of human rights cooperation from the bottom up.</w:t>
      </w:r>
      <w:r w:rsidR="00E42674" w:rsidRPr="000878BB">
        <w:rPr>
          <w:rStyle w:val="FootnoteReference"/>
          <w:rFonts w:eastAsia="Batang"/>
          <w:lang w:eastAsia="ko-KR"/>
        </w:rPr>
        <w:footnoteReference w:id="64"/>
      </w:r>
    </w:p>
    <w:p w:rsidR="00E42674" w:rsidRPr="003C33CA" w:rsidRDefault="00DC570C" w:rsidP="002868E0">
      <w:pPr>
        <w:pStyle w:val="SingleTxtG"/>
        <w:rPr>
          <w:rFonts w:eastAsia="Batang"/>
          <w:lang w:eastAsia="ko-KR"/>
        </w:rPr>
      </w:pPr>
      <w:r>
        <w:rPr>
          <w:rFonts w:eastAsia="Batang"/>
          <w:lang w:val="en-AU" w:eastAsia="ko-KR"/>
        </w:rPr>
        <w:t>58</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hint="eastAsia"/>
          <w:lang w:eastAsia="ko-KR"/>
        </w:rPr>
        <w:t>Despite the</w:t>
      </w:r>
      <w:r w:rsidR="00E42674" w:rsidRPr="003C33CA">
        <w:rPr>
          <w:rFonts w:eastAsia="Batang"/>
          <w:lang w:eastAsia="ko-KR"/>
        </w:rPr>
        <w:t xml:space="preserve"> </w:t>
      </w:r>
      <w:r w:rsidR="00E42674" w:rsidRPr="003C33CA">
        <w:rPr>
          <w:rFonts w:eastAsia="Batang" w:hint="eastAsia"/>
          <w:lang w:eastAsia="ko-KR"/>
        </w:rPr>
        <w:t>difficulties and challenges</w:t>
      </w:r>
      <w:r w:rsidR="00E42674" w:rsidRPr="003C33CA">
        <w:rPr>
          <w:rFonts w:eastAsia="Batang"/>
          <w:lang w:eastAsia="ko-KR"/>
        </w:rPr>
        <w:t xml:space="preserve"> presented here</w:t>
      </w:r>
      <w:r w:rsidR="00E42674" w:rsidRPr="003C33CA">
        <w:rPr>
          <w:rFonts w:eastAsia="Batang" w:hint="eastAsia"/>
          <w:lang w:eastAsia="ko-KR"/>
        </w:rPr>
        <w:t xml:space="preserve">, </w:t>
      </w:r>
      <w:r w:rsidR="00E42674" w:rsidRPr="003C33CA">
        <w:rPr>
          <w:rFonts w:eastAsia="Batang"/>
          <w:lang w:eastAsia="ko-KR"/>
        </w:rPr>
        <w:t>it is clear from the case of Europe and other successful regional arrangements</w:t>
      </w:r>
      <w:r w:rsidR="00E42674" w:rsidRPr="003C33CA">
        <w:rPr>
          <w:rFonts w:eastAsia="Batang" w:hint="eastAsia"/>
          <w:lang w:eastAsia="ko-KR"/>
        </w:rPr>
        <w:t xml:space="preserve"> that s</w:t>
      </w:r>
      <w:r w:rsidR="00E42674" w:rsidRPr="003C33CA">
        <w:rPr>
          <w:rFonts w:eastAsia="Batang"/>
          <w:lang w:eastAsia="ko-KR"/>
        </w:rPr>
        <w:t xml:space="preserve">trong regional cooperation greatly contributes to the consolidation of universal human rights. </w:t>
      </w:r>
      <w:r w:rsidR="00E42674" w:rsidRPr="003C33CA">
        <w:rPr>
          <w:rFonts w:eastAsia="Batang" w:hint="eastAsia"/>
          <w:lang w:eastAsia="ko-KR"/>
        </w:rPr>
        <w:t>For Asian countries to build a regional mechanism, a</w:t>
      </w:r>
      <w:r w:rsidR="00E42674" w:rsidRPr="003C33CA">
        <w:rPr>
          <w:rFonts w:eastAsia="Batang"/>
          <w:lang w:eastAsia="ko-KR"/>
        </w:rPr>
        <w:t xml:space="preserve">ll actors including governments and civil societies will </w:t>
      </w:r>
      <w:r w:rsidR="00E42674" w:rsidRPr="003C33CA">
        <w:rPr>
          <w:rFonts w:eastAsia="Batang" w:hint="eastAsia"/>
          <w:lang w:eastAsia="ko-KR"/>
        </w:rPr>
        <w:t xml:space="preserve">need to </w:t>
      </w:r>
      <w:r w:rsidR="00E42674" w:rsidRPr="003C33CA">
        <w:rPr>
          <w:rFonts w:eastAsia="Batang"/>
          <w:lang w:eastAsia="ko-KR"/>
        </w:rPr>
        <w:t>play important roles in promoting multi-level cooperation</w:t>
      </w:r>
      <w:r w:rsidR="00E42674" w:rsidRPr="003C33CA">
        <w:rPr>
          <w:rFonts w:eastAsia="Batang" w:hint="eastAsia"/>
          <w:lang w:eastAsia="ko-KR"/>
        </w:rPr>
        <w:t xml:space="preserve">, which includes </w:t>
      </w:r>
      <w:r w:rsidR="00E42674" w:rsidRPr="003C33CA">
        <w:rPr>
          <w:rFonts w:eastAsia="Batang"/>
          <w:lang w:eastAsia="ko-KR"/>
        </w:rPr>
        <w:t>national assembl</w:t>
      </w:r>
      <w:r w:rsidR="00E42674" w:rsidRPr="003C33CA">
        <w:rPr>
          <w:rFonts w:eastAsia="Batang" w:hint="eastAsia"/>
          <w:lang w:eastAsia="ko-KR"/>
        </w:rPr>
        <w:t>ies</w:t>
      </w:r>
      <w:r w:rsidR="00E42674" w:rsidRPr="003C33CA">
        <w:rPr>
          <w:rFonts w:eastAsia="Batang"/>
          <w:lang w:eastAsia="ko-KR"/>
        </w:rPr>
        <w:t>, court</w:t>
      </w:r>
      <w:r w:rsidR="00E42674" w:rsidRPr="003C33CA">
        <w:rPr>
          <w:rFonts w:eastAsia="Batang" w:hint="eastAsia"/>
          <w:lang w:eastAsia="ko-KR"/>
        </w:rPr>
        <w:t>s</w:t>
      </w:r>
      <w:r w:rsidR="00E42674" w:rsidRPr="003C33CA">
        <w:rPr>
          <w:rFonts w:eastAsia="Batang"/>
          <w:lang w:eastAsia="ko-KR"/>
        </w:rPr>
        <w:t xml:space="preserve">, </w:t>
      </w:r>
      <w:r w:rsidR="00E42674" w:rsidRPr="003C33CA">
        <w:rPr>
          <w:rFonts w:eastAsia="Batang" w:hint="eastAsia"/>
          <w:lang w:eastAsia="ko-KR"/>
        </w:rPr>
        <w:t>NHRIs</w:t>
      </w:r>
      <w:r w:rsidR="00E42674" w:rsidRPr="003C33CA">
        <w:rPr>
          <w:rFonts w:eastAsia="Batang"/>
          <w:lang w:eastAsia="ko-KR"/>
        </w:rPr>
        <w:t xml:space="preserve">, </w:t>
      </w:r>
      <w:r w:rsidR="00E42674" w:rsidRPr="003C33CA">
        <w:rPr>
          <w:rFonts w:eastAsia="Batang" w:hint="eastAsia"/>
          <w:lang w:eastAsia="ko-KR"/>
        </w:rPr>
        <w:t xml:space="preserve">and </w:t>
      </w:r>
      <w:r w:rsidR="00E42674" w:rsidRPr="003C33CA">
        <w:rPr>
          <w:rFonts w:eastAsia="Batang"/>
          <w:lang w:eastAsia="ko-KR"/>
        </w:rPr>
        <w:t>scholars from various fields</w:t>
      </w:r>
      <w:r w:rsidR="00E42674" w:rsidRPr="003C33CA">
        <w:rPr>
          <w:rFonts w:eastAsia="Batang" w:hint="eastAsia"/>
          <w:lang w:eastAsia="ko-KR"/>
        </w:rPr>
        <w:t>.</w:t>
      </w:r>
      <w:r w:rsidR="00E42674" w:rsidRPr="003C33CA">
        <w:rPr>
          <w:rFonts w:eastAsia="Batang"/>
          <w:lang w:eastAsia="ko-KR"/>
        </w:rPr>
        <w:t xml:space="preserve"> Specifically, there needs to be awareness that sustainable procedures are the result of a careful balance between commitment and collaboration. Finding this balance requires careful research, honest negotiations, and a willingness to listen and learn by local and international actors alike. Put simply, human rights can be implemented to the fullest extent only when governments, citizens, and international society are willing to be engaged in the process. </w:t>
      </w:r>
    </w:p>
    <w:p w:rsidR="00E42674" w:rsidRPr="000878BB" w:rsidRDefault="002868E0" w:rsidP="002868E0">
      <w:pPr>
        <w:pStyle w:val="HChG"/>
        <w:rPr>
          <w:rFonts w:eastAsia="Batang"/>
          <w:lang w:eastAsia="ko-KR"/>
        </w:rPr>
      </w:pPr>
      <w:r>
        <w:rPr>
          <w:lang w:val="fr-CH" w:eastAsia="ko-KR"/>
        </w:rPr>
        <w:lastRenderedPageBreak/>
        <w:tab/>
      </w:r>
      <w:r w:rsidR="00E42674" w:rsidRPr="000878BB">
        <w:rPr>
          <w:lang w:eastAsia="ko-KR"/>
        </w:rPr>
        <w:t>VIII</w:t>
      </w:r>
      <w:r w:rsidR="00E42674" w:rsidRPr="000878BB">
        <w:rPr>
          <w:rFonts w:hint="eastAsia"/>
          <w:lang w:eastAsia="ko-KR"/>
        </w:rPr>
        <w:t>.</w:t>
      </w:r>
      <w:r w:rsidRPr="002868E0">
        <w:rPr>
          <w:lang w:val="en-GB" w:eastAsia="ko-KR"/>
        </w:rPr>
        <w:tab/>
      </w:r>
      <w:r w:rsidR="00E42674" w:rsidRPr="000878BB">
        <w:rPr>
          <w:lang w:eastAsia="ko-KR"/>
        </w:rPr>
        <w:t>Conclusions and recommendations</w:t>
      </w:r>
    </w:p>
    <w:p w:rsidR="00E42674" w:rsidRPr="000878BB" w:rsidRDefault="002868E0" w:rsidP="002868E0">
      <w:pPr>
        <w:pStyle w:val="H23G"/>
        <w:rPr>
          <w:rFonts w:eastAsia="Batang"/>
          <w:lang w:eastAsia="ko-KR"/>
        </w:rPr>
      </w:pPr>
      <w:r>
        <w:rPr>
          <w:rFonts w:eastAsia="Batang"/>
          <w:lang w:eastAsia="ko-KR"/>
        </w:rPr>
        <w:tab/>
      </w:r>
      <w:r>
        <w:rPr>
          <w:rFonts w:eastAsia="Batang"/>
          <w:lang w:eastAsia="ko-KR"/>
        </w:rPr>
        <w:tab/>
      </w:r>
      <w:r w:rsidR="00E42674" w:rsidRPr="000878BB">
        <w:rPr>
          <w:rFonts w:eastAsia="Batang" w:hint="eastAsia"/>
          <w:lang w:eastAsia="ko-KR"/>
        </w:rPr>
        <w:t>Conclusions</w:t>
      </w:r>
    </w:p>
    <w:p w:rsidR="00E42674" w:rsidRPr="003C33CA" w:rsidRDefault="00DC570C" w:rsidP="002868E0">
      <w:pPr>
        <w:pStyle w:val="SingleTxtG"/>
        <w:rPr>
          <w:rFonts w:eastAsia="Batang"/>
          <w:lang w:eastAsia="ko-KR"/>
        </w:rPr>
      </w:pPr>
      <w:r>
        <w:rPr>
          <w:rFonts w:eastAsia="Batang"/>
          <w:lang w:val="en-AU" w:eastAsia="ko-KR"/>
        </w:rPr>
        <w:t>59</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 xml:space="preserve">This report </w:t>
      </w:r>
      <w:r w:rsidR="00E42674" w:rsidRPr="003C33CA">
        <w:rPr>
          <w:rFonts w:eastAsia="Batang" w:hint="eastAsia"/>
          <w:lang w:eastAsia="ko-KR"/>
        </w:rPr>
        <w:t xml:space="preserve">reviewed </w:t>
      </w:r>
      <w:r w:rsidR="00E42674" w:rsidRPr="003C33CA">
        <w:rPr>
          <w:rFonts w:eastAsia="Batang"/>
          <w:lang w:eastAsia="ko-KR"/>
        </w:rPr>
        <w:t xml:space="preserve">five regional </w:t>
      </w:r>
      <w:r w:rsidR="00E42674" w:rsidRPr="003C33CA">
        <w:rPr>
          <w:rFonts w:eastAsia="Batang" w:hint="eastAsia"/>
          <w:lang w:eastAsia="ko-KR"/>
        </w:rPr>
        <w:t xml:space="preserve">and </w:t>
      </w:r>
      <w:proofErr w:type="spellStart"/>
      <w:r w:rsidR="00E42674" w:rsidRPr="003C33CA">
        <w:rPr>
          <w:rFonts w:eastAsia="Batang" w:hint="eastAsia"/>
          <w:lang w:eastAsia="ko-KR"/>
        </w:rPr>
        <w:t>subregional</w:t>
      </w:r>
      <w:proofErr w:type="spellEnd"/>
      <w:r w:rsidR="00E42674" w:rsidRPr="003C33CA">
        <w:rPr>
          <w:rFonts w:eastAsia="Batang" w:hint="eastAsia"/>
          <w:lang w:eastAsia="ko-KR"/>
        </w:rPr>
        <w:t xml:space="preserve"> </w:t>
      </w:r>
      <w:r w:rsidR="00E42674" w:rsidRPr="003C33CA">
        <w:rPr>
          <w:rFonts w:eastAsia="Batang"/>
          <w:lang w:eastAsia="ko-KR"/>
        </w:rPr>
        <w:t xml:space="preserve">human rights mechanisms: Europe, the Americas, Africa, the Arab states, and Asia and the Pacific. The first four regions already have their own regional mechanisms while Asia and the Pacific has only a </w:t>
      </w:r>
      <w:proofErr w:type="spellStart"/>
      <w:r w:rsidR="00E42674" w:rsidRPr="003C33CA">
        <w:rPr>
          <w:rFonts w:eastAsia="Batang"/>
          <w:lang w:eastAsia="ko-KR"/>
        </w:rPr>
        <w:t>subregional</w:t>
      </w:r>
      <w:proofErr w:type="spellEnd"/>
      <w:r w:rsidR="00E42674" w:rsidRPr="003C33CA">
        <w:rPr>
          <w:rFonts w:eastAsia="Batang"/>
          <w:lang w:eastAsia="ko-KR"/>
        </w:rPr>
        <w:t xml:space="preserve"> mechanism.</w:t>
      </w:r>
      <w:r w:rsidR="00E42674" w:rsidRPr="003C33CA">
        <w:rPr>
          <w:rFonts w:eastAsia="Batang" w:hint="eastAsia"/>
          <w:lang w:eastAsia="ko-KR"/>
        </w:rPr>
        <w:t xml:space="preserve"> </w:t>
      </w:r>
    </w:p>
    <w:p w:rsidR="00E42674" w:rsidRPr="003C33CA" w:rsidRDefault="00DC570C" w:rsidP="002868E0">
      <w:pPr>
        <w:pStyle w:val="SingleTxtG"/>
        <w:rPr>
          <w:rFonts w:eastAsia="Batang"/>
          <w:lang w:eastAsia="ko-KR"/>
        </w:rPr>
      </w:pPr>
      <w:r>
        <w:rPr>
          <w:rFonts w:eastAsia="Batang"/>
          <w:lang w:val="en-AU" w:eastAsia="ko-KR"/>
        </w:rPr>
        <w:t>60</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 xml:space="preserve">Among all regions, Europe </w:t>
      </w:r>
      <w:r w:rsidR="00E42674" w:rsidRPr="003C33CA">
        <w:t xml:space="preserve">has one of the most </w:t>
      </w:r>
      <w:r w:rsidR="00E42674" w:rsidRPr="003C33CA">
        <w:rPr>
          <w:rFonts w:hint="eastAsia"/>
          <w:lang w:eastAsia="ko-KR"/>
        </w:rPr>
        <w:t>effective</w:t>
      </w:r>
      <w:r w:rsidR="00E42674" w:rsidRPr="003C33CA">
        <w:t xml:space="preserve"> human rights regimes</w:t>
      </w:r>
      <w:r w:rsidR="00E42674" w:rsidRPr="003C33CA">
        <w:rPr>
          <w:rFonts w:hint="eastAsia"/>
          <w:lang w:eastAsia="ko-KR"/>
        </w:rPr>
        <w:t xml:space="preserve"> </w:t>
      </w:r>
      <w:r w:rsidR="00E42674" w:rsidRPr="003C33CA">
        <w:rPr>
          <w:lang w:eastAsia="ko-KR"/>
        </w:rPr>
        <w:t>and</w:t>
      </w:r>
      <w:r w:rsidR="00E42674" w:rsidRPr="003C33CA">
        <w:rPr>
          <w:rFonts w:hint="eastAsia"/>
          <w:lang w:eastAsia="ko-KR"/>
        </w:rPr>
        <w:t xml:space="preserve"> can serve as an example for other regimes</w:t>
      </w:r>
      <w:r w:rsidR="00E42674" w:rsidRPr="003C33CA">
        <w:t>.</w:t>
      </w:r>
      <w:r w:rsidR="00E42674" w:rsidRPr="003C33CA">
        <w:rPr>
          <w:lang w:eastAsia="ko-KR"/>
        </w:rPr>
        <w:t xml:space="preserve"> All Council of Europe member states are party to the European Convention on Human Rights. The </w:t>
      </w:r>
      <w:r w:rsidR="00E42674" w:rsidRPr="003C33CA">
        <w:rPr>
          <w:rFonts w:eastAsia="Batang"/>
          <w:lang w:eastAsia="ko-KR"/>
        </w:rPr>
        <w:t>European Union also acceded to the ECHR. Judges enjoy high independence from their respective governments.</w:t>
      </w:r>
      <w:r w:rsidR="00E42674" w:rsidRPr="003C33CA">
        <w:rPr>
          <w:rFonts w:eastAsia="Batang"/>
        </w:rPr>
        <w:t xml:space="preserve"> The ECHR exercises binding jurisdiction and its decisions create binding legal obligations for states.</w:t>
      </w:r>
      <w:r w:rsidR="00E42674" w:rsidRPr="003C33CA">
        <w:rPr>
          <w:rFonts w:eastAsia="Batang" w:hint="eastAsia"/>
          <w:lang w:eastAsia="ko-KR"/>
        </w:rPr>
        <w:t xml:space="preserve"> The most serious problem with the regime is the rapidly increasing backlog of cases.</w:t>
      </w:r>
      <w:r w:rsidR="00E42674" w:rsidRPr="000878BB">
        <w:rPr>
          <w:rStyle w:val="FootnoteReference"/>
          <w:rFonts w:eastAsia="Batang"/>
        </w:rPr>
        <w:footnoteReference w:id="65"/>
      </w:r>
    </w:p>
    <w:p w:rsidR="00E42674" w:rsidRPr="003C33CA" w:rsidRDefault="00DC570C" w:rsidP="002868E0">
      <w:pPr>
        <w:pStyle w:val="SingleTxtG"/>
        <w:rPr>
          <w:rFonts w:eastAsia="Batang"/>
          <w:lang w:eastAsia="ko-KR"/>
        </w:rPr>
      </w:pPr>
      <w:r>
        <w:rPr>
          <w:rFonts w:eastAsia="Batang"/>
          <w:lang w:val="en-AU" w:eastAsia="ko-KR"/>
        </w:rPr>
        <w:t>61</w:t>
      </w:r>
      <w:r w:rsidR="003C33CA" w:rsidRPr="000878BB">
        <w:rPr>
          <w:rFonts w:eastAsia="Batang" w:hint="eastAsia"/>
          <w:lang w:val="en-AU" w:eastAsia="ko-KR"/>
        </w:rPr>
        <w:tab/>
      </w:r>
      <w:r w:rsidR="00E42674" w:rsidRPr="003C33CA">
        <w:rPr>
          <w:rFonts w:eastAsia="Batang"/>
          <w:lang w:eastAsia="ko-KR"/>
        </w:rPr>
        <w:t xml:space="preserve">In comparison, other regional human rights regimes are struggling to overcome serious limitations. Some of them </w:t>
      </w:r>
      <w:r w:rsidR="00E42674" w:rsidRPr="003C33CA">
        <w:rPr>
          <w:rFonts w:eastAsia="Batang" w:hint="eastAsia"/>
          <w:lang w:eastAsia="ko-KR"/>
        </w:rPr>
        <w:t xml:space="preserve">do not enjoy the membership of all states within their respective regions. In the case of the Inter-American </w:t>
      </w:r>
      <w:r w:rsidR="00E42674" w:rsidRPr="003C33CA">
        <w:rPr>
          <w:rFonts w:eastAsia="Batang"/>
          <w:lang w:eastAsia="ko-KR"/>
        </w:rPr>
        <w:t>human</w:t>
      </w:r>
      <w:r w:rsidR="00E42674" w:rsidRPr="003C33CA">
        <w:rPr>
          <w:rFonts w:eastAsia="Batang" w:hint="eastAsia"/>
          <w:lang w:eastAsia="ko-KR"/>
        </w:rPr>
        <w:t xml:space="preserve"> rights mechanism, the United States of America and Canada have not ratified </w:t>
      </w:r>
      <w:r w:rsidR="00E42674" w:rsidRPr="003C33CA">
        <w:rPr>
          <w:rFonts w:eastAsia="Batang"/>
          <w:lang w:eastAsia="ko-KR"/>
        </w:rPr>
        <w:t xml:space="preserve">the </w:t>
      </w:r>
      <w:r w:rsidR="00E42674" w:rsidRPr="003C33CA">
        <w:rPr>
          <w:rFonts w:eastAsia="Batang" w:hint="eastAsia"/>
          <w:lang w:eastAsia="ko-KR"/>
        </w:rPr>
        <w:t xml:space="preserve">relevant convention. Likewise, some African and Arab states have not ratified </w:t>
      </w:r>
      <w:r w:rsidR="00E42674" w:rsidRPr="003C33CA">
        <w:rPr>
          <w:rFonts w:eastAsia="Batang"/>
          <w:lang w:eastAsia="ko-KR"/>
        </w:rPr>
        <w:t xml:space="preserve">their respective </w:t>
      </w:r>
      <w:r w:rsidR="00E42674" w:rsidRPr="003C33CA">
        <w:rPr>
          <w:rFonts w:eastAsia="Batang" w:hint="eastAsia"/>
          <w:lang w:eastAsia="ko-KR"/>
        </w:rPr>
        <w:t>regional human rights conventions</w:t>
      </w:r>
      <w:r w:rsidR="00E42674" w:rsidRPr="003C33CA">
        <w:rPr>
          <w:rFonts w:eastAsia="Batang"/>
          <w:lang w:eastAsia="ko-KR"/>
        </w:rPr>
        <w:t xml:space="preserve"> either</w:t>
      </w:r>
      <w:r w:rsidR="00E42674" w:rsidRPr="003C33CA">
        <w:rPr>
          <w:rFonts w:eastAsia="Batang" w:hint="eastAsia"/>
          <w:lang w:eastAsia="ko-KR"/>
        </w:rPr>
        <w:t>. In the Asia</w:t>
      </w:r>
      <w:r w:rsidR="00E42674" w:rsidRPr="003C33CA">
        <w:rPr>
          <w:rFonts w:eastAsia="Batang"/>
          <w:lang w:eastAsia="ko-KR"/>
        </w:rPr>
        <w:t xml:space="preserve"> and </w:t>
      </w:r>
      <w:r w:rsidR="00E42674" w:rsidRPr="003C33CA">
        <w:rPr>
          <w:rFonts w:eastAsia="Batang" w:hint="eastAsia"/>
          <w:lang w:eastAsia="ko-KR"/>
        </w:rPr>
        <w:t>Pacific region, there is n</w:t>
      </w:r>
      <w:r w:rsidR="00E42674" w:rsidRPr="003C33CA">
        <w:rPr>
          <w:rFonts w:eastAsia="Batang"/>
          <w:lang w:eastAsia="ko-KR"/>
        </w:rPr>
        <w:t>o</w:t>
      </w:r>
      <w:r w:rsidR="00E42674" w:rsidRPr="003C33CA">
        <w:rPr>
          <w:rFonts w:eastAsia="Batang" w:hint="eastAsia"/>
          <w:lang w:eastAsia="ko-KR"/>
        </w:rPr>
        <w:t xml:space="preserve"> region-wide human rights arrangement. The regimes also have many limitations, including the problem of judges</w:t>
      </w:r>
      <w:r w:rsidR="00E42674" w:rsidRPr="003C33CA">
        <w:rPr>
          <w:rFonts w:eastAsia="Batang"/>
          <w:lang w:eastAsia="ko-KR"/>
        </w:rPr>
        <w:t>’</w:t>
      </w:r>
      <w:r w:rsidR="00E42674" w:rsidRPr="003C33CA">
        <w:rPr>
          <w:rFonts w:eastAsia="Batang" w:hint="eastAsia"/>
          <w:lang w:eastAsia="ko-KR"/>
        </w:rPr>
        <w:t xml:space="preserve"> independence and inability to enforce their decisions. Lack of political will by relevant states </w:t>
      </w:r>
      <w:r w:rsidR="00E42674" w:rsidRPr="003C33CA">
        <w:rPr>
          <w:rFonts w:eastAsia="Batang"/>
          <w:lang w:eastAsia="ko-KR"/>
        </w:rPr>
        <w:t>and</w:t>
      </w:r>
      <w:r w:rsidR="00E42674" w:rsidRPr="003C33CA">
        <w:rPr>
          <w:rFonts w:eastAsia="Batang" w:hint="eastAsia"/>
          <w:lang w:eastAsia="ko-KR"/>
        </w:rPr>
        <w:t xml:space="preserve"> </w:t>
      </w:r>
      <w:r w:rsidR="00E42674" w:rsidRPr="003C33CA">
        <w:rPr>
          <w:rFonts w:eastAsia="Batang"/>
          <w:lang w:eastAsia="ko-KR"/>
        </w:rPr>
        <w:t>in</w:t>
      </w:r>
      <w:r w:rsidR="00E42674" w:rsidRPr="003C33CA">
        <w:rPr>
          <w:rFonts w:eastAsia="Batang" w:hint="eastAsia"/>
          <w:lang w:eastAsia="ko-KR"/>
        </w:rPr>
        <w:t xml:space="preserve">sufficient funding </w:t>
      </w:r>
      <w:r w:rsidR="00E42674" w:rsidRPr="003C33CA">
        <w:rPr>
          <w:rFonts w:eastAsia="Batang"/>
          <w:lang w:eastAsia="ko-KR"/>
        </w:rPr>
        <w:t xml:space="preserve">are also </w:t>
      </w:r>
      <w:r w:rsidR="00E42674" w:rsidRPr="003C33CA">
        <w:rPr>
          <w:rFonts w:eastAsia="Batang" w:hint="eastAsia"/>
          <w:lang w:eastAsia="ko-KR"/>
        </w:rPr>
        <w:t xml:space="preserve">serious obstacles. </w:t>
      </w:r>
    </w:p>
    <w:p w:rsidR="00E42674" w:rsidRPr="003C33CA" w:rsidRDefault="00DC570C" w:rsidP="002868E0">
      <w:pPr>
        <w:pStyle w:val="SingleTxtG"/>
        <w:rPr>
          <w:rFonts w:eastAsia="Batang"/>
          <w:lang w:eastAsia="ko-KR"/>
        </w:rPr>
      </w:pPr>
      <w:r>
        <w:rPr>
          <w:rFonts w:eastAsia="Batang"/>
          <w:lang w:val="en-AU" w:eastAsia="ko-KR"/>
        </w:rPr>
        <w:t>62</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hint="eastAsia"/>
          <w:lang w:eastAsia="ko-KR"/>
        </w:rPr>
        <w:t xml:space="preserve">Despite these limitations, regional human rights regimes have made </w:t>
      </w:r>
      <w:r w:rsidR="00E42674" w:rsidRPr="003C33CA">
        <w:rPr>
          <w:rFonts w:eastAsia="Batang"/>
          <w:lang w:eastAsia="ko-KR"/>
        </w:rPr>
        <w:t xml:space="preserve">important </w:t>
      </w:r>
      <w:r w:rsidR="00E42674" w:rsidRPr="003C33CA">
        <w:rPr>
          <w:rFonts w:eastAsia="Batang" w:hint="eastAsia"/>
          <w:lang w:eastAsia="ko-KR"/>
        </w:rPr>
        <w:t xml:space="preserve">achievements. The European regime has made </w:t>
      </w:r>
      <w:r w:rsidR="00E42674" w:rsidRPr="003C33CA">
        <w:rPr>
          <w:rFonts w:eastAsia="Batang"/>
          <w:lang w:eastAsia="ko-KR"/>
        </w:rPr>
        <w:t xml:space="preserve">great </w:t>
      </w:r>
      <w:r w:rsidR="00E42674" w:rsidRPr="003C33CA">
        <w:rPr>
          <w:rFonts w:eastAsia="Batang" w:hint="eastAsia"/>
          <w:lang w:eastAsia="ko-KR"/>
        </w:rPr>
        <w:t xml:space="preserve">strides in changing laws and practices in its member states, including </w:t>
      </w:r>
      <w:r w:rsidR="00E42674" w:rsidRPr="003C33CA">
        <w:rPr>
          <w:rFonts w:eastAsia="Batang"/>
          <w:lang w:eastAsia="ko-KR"/>
        </w:rPr>
        <w:t xml:space="preserve">enhancing the protections for </w:t>
      </w:r>
      <w:r w:rsidR="00E42674" w:rsidRPr="003C33CA">
        <w:rPr>
          <w:rFonts w:eastAsia="Batang" w:hint="eastAsia"/>
          <w:lang w:eastAsia="ko-KR"/>
        </w:rPr>
        <w:t xml:space="preserve">vulnerable populations such as same-sex couples and the rights of indigenous people. The Inter-American Commission </w:t>
      </w:r>
      <w:r w:rsidR="00E42674" w:rsidRPr="003C33CA">
        <w:rPr>
          <w:rFonts w:eastAsia="Batang"/>
          <w:lang w:eastAsia="ko-KR"/>
        </w:rPr>
        <w:t xml:space="preserve">has </w:t>
      </w:r>
      <w:r w:rsidR="00E42674" w:rsidRPr="003C33CA">
        <w:rPr>
          <w:rFonts w:eastAsia="Batang" w:hint="eastAsia"/>
          <w:lang w:eastAsia="ko-KR"/>
        </w:rPr>
        <w:t xml:space="preserve">helped defend and protect human rights activists </w:t>
      </w:r>
      <w:r w:rsidR="00E42674" w:rsidRPr="003C33CA">
        <w:rPr>
          <w:rFonts w:eastAsia="Batang"/>
          <w:lang w:eastAsia="ko-KR"/>
        </w:rPr>
        <w:t xml:space="preserve">and </w:t>
      </w:r>
      <w:r w:rsidR="00E42674" w:rsidRPr="003C33CA">
        <w:rPr>
          <w:rFonts w:eastAsia="Batang" w:hint="eastAsia"/>
          <w:lang w:eastAsia="ko-KR"/>
        </w:rPr>
        <w:t xml:space="preserve">issued reports on </w:t>
      </w:r>
      <w:r w:rsidR="00E42674" w:rsidRPr="003C33CA">
        <w:rPr>
          <w:rFonts w:eastAsia="Batang"/>
          <w:lang w:eastAsia="ko-KR"/>
        </w:rPr>
        <w:t>member</w:t>
      </w:r>
      <w:r w:rsidR="00E42674" w:rsidRPr="003C33CA">
        <w:rPr>
          <w:rFonts w:eastAsia="Batang" w:hint="eastAsia"/>
          <w:lang w:eastAsia="ko-KR"/>
        </w:rPr>
        <w:t xml:space="preserve"> states. The African Commission and the Arab Human Rights Committee publish reports which are used by civil society </w:t>
      </w:r>
      <w:r w:rsidR="00E42674" w:rsidRPr="003C33CA">
        <w:rPr>
          <w:rFonts w:eastAsia="Batang"/>
          <w:lang w:eastAsia="ko-KR"/>
        </w:rPr>
        <w:t>actors</w:t>
      </w:r>
      <w:r w:rsidR="00E42674" w:rsidRPr="003C33CA">
        <w:rPr>
          <w:rFonts w:eastAsia="Batang" w:hint="eastAsia"/>
          <w:lang w:eastAsia="ko-KR"/>
        </w:rPr>
        <w:t xml:space="preserve"> to further advocate for the protection and promotion of human rights.</w:t>
      </w:r>
    </w:p>
    <w:p w:rsidR="00E42674" w:rsidRPr="003C33CA" w:rsidRDefault="00DC570C" w:rsidP="002868E0">
      <w:pPr>
        <w:pStyle w:val="SingleTxtG"/>
        <w:rPr>
          <w:rFonts w:eastAsia="Batang"/>
          <w:lang w:eastAsia="ko-KR"/>
        </w:rPr>
      </w:pPr>
      <w:r>
        <w:rPr>
          <w:rFonts w:eastAsia="Batang"/>
          <w:lang w:val="en-AU" w:eastAsia="ko-KR"/>
        </w:rPr>
        <w:t>63.</w:t>
      </w:r>
      <w:r w:rsidR="003C33CA" w:rsidRPr="000878BB">
        <w:rPr>
          <w:rFonts w:eastAsia="Batang" w:hint="eastAsia"/>
          <w:lang w:val="en-AU" w:eastAsia="ko-KR"/>
        </w:rPr>
        <w:tab/>
      </w:r>
      <w:r w:rsidR="00E42674" w:rsidRPr="003C33CA">
        <w:rPr>
          <w:rFonts w:eastAsia="Batang" w:hint="eastAsia"/>
          <w:lang w:eastAsia="ko-KR"/>
        </w:rPr>
        <w:t xml:space="preserve">There are </w:t>
      </w:r>
      <w:r w:rsidR="00E42674" w:rsidRPr="003C33CA">
        <w:rPr>
          <w:rFonts w:eastAsia="Batang"/>
          <w:lang w:eastAsia="ko-KR"/>
        </w:rPr>
        <w:t xml:space="preserve">also </w:t>
      </w:r>
      <w:r w:rsidR="00E42674" w:rsidRPr="003C33CA">
        <w:rPr>
          <w:rFonts w:eastAsia="Batang" w:hint="eastAsia"/>
          <w:lang w:eastAsia="ko-KR"/>
        </w:rPr>
        <w:t xml:space="preserve">coalitions of human rights </w:t>
      </w:r>
      <w:r w:rsidR="00E42674" w:rsidRPr="003C33CA">
        <w:rPr>
          <w:rFonts w:eastAsia="Batang"/>
          <w:lang w:eastAsia="ko-KR"/>
        </w:rPr>
        <w:t>organizations</w:t>
      </w:r>
      <w:r w:rsidR="00E42674" w:rsidRPr="003C33CA">
        <w:rPr>
          <w:rFonts w:eastAsia="Batang" w:hint="eastAsia"/>
          <w:lang w:eastAsia="ko-KR"/>
        </w:rPr>
        <w:t xml:space="preserve"> that complement regional human rights mechanisms. The Asia Pacific Forum supports the </w:t>
      </w:r>
      <w:r w:rsidR="00E42674" w:rsidRPr="003C33CA">
        <w:rPr>
          <w:rFonts w:eastAsia="Batang"/>
          <w:lang w:eastAsia="ko-KR"/>
        </w:rPr>
        <w:t>establishment</w:t>
      </w:r>
      <w:r w:rsidR="00E42674" w:rsidRPr="003C33CA">
        <w:rPr>
          <w:rFonts w:eastAsia="Batang" w:hint="eastAsia"/>
          <w:lang w:eastAsia="ko-KR"/>
        </w:rPr>
        <w:t xml:space="preserve"> of national human rights institutions. Another example is the OIC Independent Permanent Human Rights Commission, an advisory body established by the Organization of Islamic Cooperation.</w:t>
      </w:r>
    </w:p>
    <w:p w:rsidR="00E42674" w:rsidRPr="003C33CA" w:rsidRDefault="00DC570C" w:rsidP="002868E0">
      <w:pPr>
        <w:pStyle w:val="SingleTxtG"/>
        <w:rPr>
          <w:rFonts w:eastAsia="Batang"/>
          <w:lang w:eastAsia="ko-KR"/>
        </w:rPr>
      </w:pPr>
      <w:r>
        <w:rPr>
          <w:rFonts w:eastAsia="Batang"/>
          <w:lang w:val="en-AU" w:eastAsia="ko-KR"/>
        </w:rPr>
        <w:t>64</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hint="eastAsia"/>
          <w:lang w:eastAsia="ko-KR"/>
        </w:rPr>
        <w:t xml:space="preserve">The United Nations has long recognized the important role played by regional and </w:t>
      </w:r>
      <w:proofErr w:type="spellStart"/>
      <w:r w:rsidR="00E42674" w:rsidRPr="003C33CA">
        <w:rPr>
          <w:rFonts w:eastAsia="Batang" w:hint="eastAsia"/>
          <w:lang w:eastAsia="ko-KR"/>
        </w:rPr>
        <w:t>subregional</w:t>
      </w:r>
      <w:proofErr w:type="spellEnd"/>
      <w:r w:rsidR="00E42674" w:rsidRPr="003C33CA">
        <w:rPr>
          <w:rFonts w:eastAsia="Batang" w:hint="eastAsia"/>
          <w:lang w:eastAsia="ko-KR"/>
        </w:rPr>
        <w:t xml:space="preserve"> human rights </w:t>
      </w:r>
      <w:r w:rsidR="00E42674" w:rsidRPr="003C33CA">
        <w:rPr>
          <w:rFonts w:eastAsia="Batang"/>
          <w:lang w:eastAsia="ko-KR"/>
        </w:rPr>
        <w:t>arrangements</w:t>
      </w:r>
      <w:r w:rsidR="00E42674" w:rsidRPr="003C33CA">
        <w:rPr>
          <w:rFonts w:eastAsia="Batang" w:hint="eastAsia"/>
          <w:lang w:eastAsia="ko-KR"/>
        </w:rPr>
        <w:t xml:space="preserve"> in the promotion of human rights. The OHCHR has held workshops on good practices, strengthen</w:t>
      </w:r>
      <w:r w:rsidR="00E42674" w:rsidRPr="003C33CA">
        <w:rPr>
          <w:rFonts w:eastAsia="Batang"/>
          <w:lang w:eastAsia="ko-KR"/>
        </w:rPr>
        <w:t>ed</w:t>
      </w:r>
      <w:r w:rsidR="00E42674" w:rsidRPr="003C33CA">
        <w:rPr>
          <w:rFonts w:eastAsia="Batang" w:hint="eastAsia"/>
          <w:lang w:eastAsia="ko-KR"/>
        </w:rPr>
        <w:t xml:space="preserve"> cooperation between UN and regional mechanisms, and </w:t>
      </w:r>
      <w:r w:rsidR="00E42674" w:rsidRPr="003C33CA">
        <w:rPr>
          <w:rFonts w:eastAsia="Batang"/>
          <w:lang w:eastAsia="ko-KR"/>
        </w:rPr>
        <w:t xml:space="preserve">has played a crucial role in </w:t>
      </w:r>
      <w:r w:rsidR="00E42674" w:rsidRPr="003C33CA">
        <w:rPr>
          <w:rFonts w:eastAsia="Batang" w:hint="eastAsia"/>
          <w:lang w:eastAsia="ko-KR"/>
        </w:rPr>
        <w:t xml:space="preserve">information sharing. In 2016 alone, the OHCHR held regional consultations in Europe, Asia, Africa and Americas. The OHCHR can help regional </w:t>
      </w:r>
      <w:r w:rsidR="00E42674" w:rsidRPr="003C33CA">
        <w:rPr>
          <w:rFonts w:eastAsia="Batang"/>
          <w:lang w:eastAsia="ko-KR"/>
        </w:rPr>
        <w:t>mechanism</w:t>
      </w:r>
      <w:r w:rsidR="00E42674" w:rsidRPr="003C33CA">
        <w:rPr>
          <w:rFonts w:eastAsia="Batang" w:hint="eastAsia"/>
          <w:lang w:eastAsia="ko-KR"/>
        </w:rPr>
        <w:t xml:space="preserve">s and states with drafting human rights instruments, </w:t>
      </w:r>
      <w:r w:rsidR="00E42674" w:rsidRPr="003C33CA">
        <w:rPr>
          <w:rFonts w:eastAsia="Batang"/>
          <w:lang w:eastAsia="ko-KR"/>
        </w:rPr>
        <w:t xml:space="preserve">conducting </w:t>
      </w:r>
      <w:r w:rsidR="00E42674" w:rsidRPr="003C33CA">
        <w:rPr>
          <w:rFonts w:eastAsia="Batang" w:hint="eastAsia"/>
          <w:lang w:eastAsia="ko-KR"/>
        </w:rPr>
        <w:t xml:space="preserve">Universal Periodic Review follow-ups, supporting </w:t>
      </w:r>
      <w:r w:rsidR="00E42674" w:rsidRPr="003C33CA">
        <w:rPr>
          <w:rFonts w:eastAsia="Batang"/>
          <w:lang w:eastAsia="ko-KR"/>
        </w:rPr>
        <w:t xml:space="preserve">the work of </w:t>
      </w:r>
      <w:r w:rsidR="00E42674" w:rsidRPr="003C33CA">
        <w:rPr>
          <w:rFonts w:eastAsia="Batang" w:hint="eastAsia"/>
          <w:lang w:eastAsia="ko-KR"/>
        </w:rPr>
        <w:t>NHRIs, providing platforms and training</w:t>
      </w:r>
      <w:r w:rsidR="00E42674" w:rsidRPr="003C33CA">
        <w:rPr>
          <w:rFonts w:eastAsia="Batang"/>
          <w:lang w:eastAsia="ko-KR"/>
        </w:rPr>
        <w:t>, and</w:t>
      </w:r>
      <w:r w:rsidR="00E42674" w:rsidRPr="003C33CA">
        <w:rPr>
          <w:rFonts w:eastAsia="Batang" w:hint="eastAsia"/>
          <w:lang w:eastAsia="ko-KR"/>
        </w:rPr>
        <w:t xml:space="preserve"> </w:t>
      </w:r>
      <w:r w:rsidR="00E42674" w:rsidRPr="003C33CA">
        <w:rPr>
          <w:rFonts w:eastAsia="Batang"/>
          <w:lang w:eastAsia="ko-KR"/>
        </w:rPr>
        <w:t xml:space="preserve">acting as a </w:t>
      </w:r>
      <w:r w:rsidR="00E42674" w:rsidRPr="003C33CA">
        <w:rPr>
          <w:rFonts w:eastAsia="Batang" w:hint="eastAsia"/>
          <w:lang w:eastAsia="ko-KR"/>
        </w:rPr>
        <w:t>bridg</w:t>
      </w:r>
      <w:r w:rsidR="00E42674" w:rsidRPr="003C33CA">
        <w:rPr>
          <w:rFonts w:eastAsia="Batang"/>
          <w:lang w:eastAsia="ko-KR"/>
        </w:rPr>
        <w:t>e</w:t>
      </w:r>
      <w:r w:rsidR="00E42674" w:rsidRPr="003C33CA">
        <w:rPr>
          <w:rFonts w:eastAsia="Batang" w:hint="eastAsia"/>
          <w:lang w:eastAsia="ko-KR"/>
        </w:rPr>
        <w:t xml:space="preserve"> between global and regional mechanisms. </w:t>
      </w:r>
    </w:p>
    <w:p w:rsidR="00E42674" w:rsidRPr="003C33CA" w:rsidRDefault="00DC570C" w:rsidP="002868E0">
      <w:pPr>
        <w:pStyle w:val="SingleTxtG"/>
        <w:rPr>
          <w:rFonts w:eastAsia="Batang"/>
          <w:lang w:eastAsia="ko-KR"/>
        </w:rPr>
      </w:pPr>
      <w:r>
        <w:rPr>
          <w:rFonts w:eastAsia="Batang"/>
          <w:lang w:val="en-AU" w:eastAsia="ko-KR"/>
        </w:rPr>
        <w:lastRenderedPageBreak/>
        <w:t>65</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hint="eastAsia"/>
          <w:lang w:eastAsia="ko-KR"/>
        </w:rPr>
        <w:t>NHRIs and civil societ</w:t>
      </w:r>
      <w:r w:rsidR="00E42674" w:rsidRPr="003C33CA">
        <w:rPr>
          <w:rFonts w:eastAsia="Batang"/>
          <w:lang w:eastAsia="ko-KR"/>
        </w:rPr>
        <w:t xml:space="preserve">ies </w:t>
      </w:r>
      <w:r w:rsidR="00E42674" w:rsidRPr="003C33CA">
        <w:rPr>
          <w:rFonts w:eastAsia="Batang" w:hint="eastAsia"/>
          <w:lang w:eastAsia="ko-KR"/>
        </w:rPr>
        <w:t xml:space="preserve">have </w:t>
      </w:r>
      <w:r w:rsidR="00E42674" w:rsidRPr="003C33CA">
        <w:rPr>
          <w:rFonts w:eastAsia="Batang"/>
          <w:lang w:eastAsia="ko-KR"/>
        </w:rPr>
        <w:t xml:space="preserve">also </w:t>
      </w:r>
      <w:r w:rsidR="00E42674" w:rsidRPr="003C33CA">
        <w:rPr>
          <w:rFonts w:eastAsia="Batang" w:hint="eastAsia"/>
          <w:lang w:eastAsia="ko-KR"/>
        </w:rPr>
        <w:t>con</w:t>
      </w:r>
      <w:r w:rsidR="00E42674" w:rsidRPr="002868E0">
        <w:rPr>
          <w:rStyle w:val="SingleTxtGChar"/>
          <w:rFonts w:eastAsia="Batang" w:hint="eastAsia"/>
        </w:rPr>
        <w:t>t</w:t>
      </w:r>
      <w:r w:rsidR="00E42674" w:rsidRPr="003C33CA">
        <w:rPr>
          <w:rFonts w:eastAsia="Batang" w:hint="eastAsia"/>
          <w:lang w:eastAsia="ko-KR"/>
        </w:rPr>
        <w:t xml:space="preserve">ributed to </w:t>
      </w:r>
      <w:r w:rsidR="00E42674" w:rsidRPr="003C33CA">
        <w:rPr>
          <w:rFonts w:eastAsia="Batang"/>
          <w:lang w:eastAsia="ko-KR"/>
        </w:rPr>
        <w:t>regional</w:t>
      </w:r>
      <w:r w:rsidR="00E42674" w:rsidRPr="003C33CA">
        <w:rPr>
          <w:rFonts w:eastAsia="Batang" w:hint="eastAsia"/>
          <w:lang w:eastAsia="ko-KR"/>
        </w:rPr>
        <w:t xml:space="preserve"> and </w:t>
      </w:r>
      <w:proofErr w:type="spellStart"/>
      <w:r w:rsidR="00E42674" w:rsidRPr="003C33CA">
        <w:rPr>
          <w:rFonts w:eastAsia="Batang" w:hint="eastAsia"/>
          <w:lang w:eastAsia="ko-KR"/>
        </w:rPr>
        <w:t>subregional</w:t>
      </w:r>
      <w:proofErr w:type="spellEnd"/>
      <w:r w:rsidR="00E42674" w:rsidRPr="003C33CA">
        <w:rPr>
          <w:rFonts w:eastAsia="Batang" w:hint="eastAsia"/>
          <w:lang w:eastAsia="ko-KR"/>
        </w:rPr>
        <w:t xml:space="preserve"> human rights </w:t>
      </w:r>
      <w:r w:rsidR="00E42674" w:rsidRPr="003C33CA">
        <w:rPr>
          <w:rFonts w:eastAsia="Batang"/>
          <w:lang w:eastAsia="ko-KR"/>
        </w:rPr>
        <w:t>arrangements</w:t>
      </w:r>
      <w:r w:rsidR="00E42674" w:rsidRPr="003C33CA">
        <w:rPr>
          <w:rFonts w:eastAsia="Batang" w:hint="eastAsia"/>
          <w:lang w:eastAsia="ko-KR"/>
        </w:rPr>
        <w:t>. NHRIs hold a special role as a</w:t>
      </w:r>
      <w:r w:rsidR="00E42674" w:rsidRPr="003C33CA">
        <w:rPr>
          <w:rFonts w:eastAsia="Batang"/>
          <w:lang w:eastAsia="ko-KR"/>
        </w:rPr>
        <w:t>n institutional</w:t>
      </w:r>
      <w:r w:rsidR="00E42674" w:rsidRPr="003C33CA">
        <w:rPr>
          <w:rFonts w:eastAsia="Batang" w:hint="eastAsia"/>
          <w:lang w:eastAsia="ko-KR"/>
        </w:rPr>
        <w:t xml:space="preserve"> </w:t>
      </w:r>
      <w:r w:rsidR="00E42674" w:rsidRPr="003C33CA">
        <w:rPr>
          <w:rFonts w:eastAsia="Batang"/>
          <w:lang w:eastAsia="ko-KR"/>
        </w:rPr>
        <w:t>bridge</w:t>
      </w:r>
      <w:r w:rsidR="00E42674" w:rsidRPr="003C33CA">
        <w:rPr>
          <w:rFonts w:eastAsia="Batang" w:hint="eastAsia"/>
          <w:lang w:eastAsia="ko-KR"/>
        </w:rPr>
        <w:t xml:space="preserve"> between individuals and states</w:t>
      </w:r>
      <w:r w:rsidR="00E42674" w:rsidRPr="003C33CA">
        <w:rPr>
          <w:rFonts w:eastAsia="Batang"/>
          <w:lang w:eastAsia="ko-KR"/>
        </w:rPr>
        <w:t xml:space="preserve"> as well as </w:t>
      </w:r>
      <w:r w:rsidR="00E42674" w:rsidRPr="003C33CA">
        <w:rPr>
          <w:rFonts w:eastAsia="Batang" w:hint="eastAsia"/>
          <w:lang w:eastAsia="ko-KR"/>
        </w:rPr>
        <w:t xml:space="preserve">states and international society. </w:t>
      </w:r>
      <w:r w:rsidR="00E42674" w:rsidRPr="003C33CA">
        <w:rPr>
          <w:rFonts w:eastAsia="Batang"/>
          <w:lang w:eastAsia="ko-KR"/>
        </w:rPr>
        <w:t>Meanwhile, m</w:t>
      </w:r>
      <w:r w:rsidR="00E42674" w:rsidRPr="003C33CA">
        <w:rPr>
          <w:rFonts w:eastAsia="Batang" w:hint="eastAsia"/>
          <w:lang w:eastAsia="ko-KR"/>
        </w:rPr>
        <w:t xml:space="preserve">embers of civil society have made significant </w:t>
      </w:r>
      <w:r w:rsidR="00E42674" w:rsidRPr="003C33CA">
        <w:rPr>
          <w:rFonts w:eastAsia="Batang"/>
          <w:lang w:eastAsia="ko-KR"/>
        </w:rPr>
        <w:t>contributions</w:t>
      </w:r>
      <w:r w:rsidR="00E42674" w:rsidRPr="003C33CA">
        <w:rPr>
          <w:rFonts w:eastAsia="Batang" w:hint="eastAsia"/>
          <w:lang w:eastAsia="ko-KR"/>
        </w:rPr>
        <w:t xml:space="preserve">, especially in Europe, in ensuring the long-term effectiveness of regional human rights arrangements. NGOs have been particularly helpful in campaigns to ensure access to justice, </w:t>
      </w:r>
      <w:r w:rsidR="00E42674" w:rsidRPr="003C33CA">
        <w:rPr>
          <w:rFonts w:eastAsia="Batang"/>
          <w:lang w:eastAsia="ko-KR"/>
        </w:rPr>
        <w:t xml:space="preserve">such as </w:t>
      </w:r>
      <w:r w:rsidR="00E42674" w:rsidRPr="003C33CA">
        <w:rPr>
          <w:rFonts w:eastAsia="Batang" w:hint="eastAsia"/>
          <w:lang w:eastAsia="ko-KR"/>
        </w:rPr>
        <w:t>secur</w:t>
      </w:r>
      <w:r w:rsidR="00E42674" w:rsidRPr="003C33CA">
        <w:rPr>
          <w:rFonts w:eastAsia="Batang"/>
          <w:lang w:eastAsia="ko-KR"/>
        </w:rPr>
        <w:t>ing</w:t>
      </w:r>
      <w:r w:rsidR="00E42674" w:rsidRPr="003C33CA">
        <w:rPr>
          <w:rFonts w:eastAsia="Batang" w:hint="eastAsia"/>
          <w:lang w:eastAsia="ko-KR"/>
        </w:rPr>
        <w:t xml:space="preserve"> individual petitions. They spread human rights values, lobby governments, publish </w:t>
      </w:r>
      <w:r w:rsidR="00E42674" w:rsidRPr="003C33CA">
        <w:rPr>
          <w:rFonts w:eastAsia="Batang"/>
          <w:lang w:eastAsia="ko-KR"/>
        </w:rPr>
        <w:t>independent</w:t>
      </w:r>
      <w:r w:rsidR="00E42674" w:rsidRPr="003C33CA">
        <w:rPr>
          <w:rFonts w:eastAsia="Batang" w:hint="eastAsia"/>
          <w:lang w:eastAsia="ko-KR"/>
        </w:rPr>
        <w:t xml:space="preserve"> reports, create blueprints for further human rights progress, draft human rights conventions and even help create new international bodies.</w:t>
      </w:r>
      <w:r w:rsidR="00E42674" w:rsidRPr="003C33CA">
        <w:rPr>
          <w:rFonts w:eastAsia="Batang"/>
          <w:lang w:eastAsia="ko-KR"/>
        </w:rPr>
        <w:t xml:space="preserve"> This bottom up pressure can help make regional arrangements work more smoothly in cases of strong member state commitment and can help generate commitment where it is initially lacking.   </w:t>
      </w:r>
      <w:r w:rsidR="00E42674" w:rsidRPr="003C33CA">
        <w:rPr>
          <w:rFonts w:eastAsia="Batang" w:hint="eastAsia"/>
          <w:lang w:eastAsia="ko-KR"/>
        </w:rPr>
        <w:t xml:space="preserve"> </w:t>
      </w:r>
    </w:p>
    <w:p w:rsidR="00E42674" w:rsidRPr="003C33CA" w:rsidRDefault="00DC570C" w:rsidP="002868E0">
      <w:pPr>
        <w:pStyle w:val="SingleTxtG"/>
        <w:rPr>
          <w:rFonts w:eastAsia="Batang"/>
          <w:lang w:eastAsia="ko-KR"/>
        </w:rPr>
      </w:pPr>
      <w:r>
        <w:rPr>
          <w:rFonts w:eastAsia="Batang"/>
          <w:lang w:val="en-AU" w:eastAsia="ko-KR"/>
        </w:rPr>
        <w:t>66</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hint="eastAsia"/>
          <w:lang w:eastAsia="ko-KR"/>
        </w:rPr>
        <w:t xml:space="preserve">At their best, regional human rights </w:t>
      </w:r>
      <w:r w:rsidR="00E42674" w:rsidRPr="003C33CA">
        <w:rPr>
          <w:rFonts w:eastAsia="Batang"/>
          <w:lang w:eastAsia="ko-KR"/>
        </w:rPr>
        <w:t>mechanisms</w:t>
      </w:r>
      <w:r w:rsidR="00E42674" w:rsidRPr="003C33CA">
        <w:rPr>
          <w:rFonts w:eastAsia="Batang" w:hint="eastAsia"/>
          <w:lang w:eastAsia="ko-KR"/>
        </w:rPr>
        <w:t xml:space="preserve"> can change state laws and practice</w:t>
      </w:r>
      <w:r w:rsidR="00E42674" w:rsidRPr="003C33CA">
        <w:rPr>
          <w:rFonts w:eastAsia="Batang"/>
          <w:lang w:eastAsia="ko-KR"/>
        </w:rPr>
        <w:t>s</w:t>
      </w:r>
      <w:r w:rsidR="00E42674" w:rsidRPr="003C33CA">
        <w:rPr>
          <w:rFonts w:eastAsia="Batang" w:hint="eastAsia"/>
          <w:lang w:eastAsia="ko-KR"/>
        </w:rPr>
        <w:t xml:space="preserve">, promote the rights of the most vulnerable populations, and serve as a reference model for member states and </w:t>
      </w:r>
      <w:proofErr w:type="spellStart"/>
      <w:r w:rsidR="00E42674" w:rsidRPr="003C33CA">
        <w:rPr>
          <w:rFonts w:eastAsia="Batang"/>
          <w:lang w:eastAsia="ko-KR"/>
        </w:rPr>
        <w:t>neighboring</w:t>
      </w:r>
      <w:proofErr w:type="spellEnd"/>
      <w:r w:rsidR="00E42674" w:rsidRPr="003C33CA">
        <w:rPr>
          <w:rFonts w:eastAsia="Batang"/>
          <w:lang w:eastAsia="ko-KR"/>
        </w:rPr>
        <w:t xml:space="preserve"> regions</w:t>
      </w:r>
      <w:r w:rsidR="00E42674" w:rsidRPr="003C33CA">
        <w:rPr>
          <w:rFonts w:eastAsia="Batang" w:hint="eastAsia"/>
          <w:lang w:eastAsia="ko-KR"/>
        </w:rPr>
        <w:t xml:space="preserve">. To achieve </w:t>
      </w:r>
      <w:r w:rsidR="00E42674" w:rsidRPr="003C33CA">
        <w:rPr>
          <w:rFonts w:eastAsia="Batang"/>
          <w:lang w:eastAsia="ko-KR"/>
        </w:rPr>
        <w:t>optimal results from these arrangements</w:t>
      </w:r>
      <w:r w:rsidR="00E42674" w:rsidRPr="003C33CA">
        <w:rPr>
          <w:rFonts w:eastAsia="Batang" w:hint="eastAsia"/>
          <w:lang w:eastAsia="ko-KR"/>
        </w:rPr>
        <w:t>, the</w:t>
      </w:r>
      <w:r w:rsidR="00E42674" w:rsidRPr="003C33CA">
        <w:rPr>
          <w:rFonts w:eastAsia="Batang"/>
          <w:lang w:eastAsia="ko-KR"/>
        </w:rPr>
        <w:t>re is a</w:t>
      </w:r>
      <w:r w:rsidR="00E42674" w:rsidRPr="003C33CA">
        <w:rPr>
          <w:rFonts w:eastAsia="Batang" w:hint="eastAsia"/>
          <w:lang w:eastAsia="ko-KR"/>
        </w:rPr>
        <w:t xml:space="preserve"> need to ensure </w:t>
      </w:r>
      <w:r w:rsidR="00E42674" w:rsidRPr="003C33CA">
        <w:rPr>
          <w:rFonts w:eastAsia="Batang"/>
          <w:lang w:eastAsia="ko-KR"/>
        </w:rPr>
        <w:t xml:space="preserve">that </w:t>
      </w:r>
      <w:r w:rsidR="00E42674" w:rsidRPr="003C33CA">
        <w:rPr>
          <w:rFonts w:eastAsia="Batang" w:hint="eastAsia"/>
          <w:lang w:eastAsia="ko-KR"/>
        </w:rPr>
        <w:t xml:space="preserve">most, if not </w:t>
      </w:r>
      <w:proofErr w:type="gramStart"/>
      <w:r w:rsidR="00E42674" w:rsidRPr="003C33CA">
        <w:rPr>
          <w:rFonts w:eastAsia="Batang" w:hint="eastAsia"/>
          <w:lang w:eastAsia="ko-KR"/>
        </w:rPr>
        <w:t>all,</w:t>
      </w:r>
      <w:proofErr w:type="gramEnd"/>
      <w:r w:rsidR="00E42674" w:rsidRPr="003C33CA">
        <w:rPr>
          <w:rFonts w:eastAsia="Batang" w:hint="eastAsia"/>
          <w:lang w:eastAsia="ko-KR"/>
        </w:rPr>
        <w:t xml:space="preserve"> states within the region ratify</w:t>
      </w:r>
      <w:r w:rsidR="00E42674" w:rsidRPr="003C33CA">
        <w:rPr>
          <w:rFonts w:eastAsia="Batang"/>
          <w:lang w:eastAsia="ko-KR"/>
        </w:rPr>
        <w:t xml:space="preserve"> the </w:t>
      </w:r>
      <w:r w:rsidR="00E42674" w:rsidRPr="003C33CA">
        <w:rPr>
          <w:rFonts w:eastAsia="Batang" w:hint="eastAsia"/>
          <w:lang w:eastAsia="ko-KR"/>
        </w:rPr>
        <w:t>relevant conventions. The</w:t>
      </w:r>
      <w:r w:rsidR="00E42674" w:rsidRPr="003C33CA">
        <w:rPr>
          <w:rFonts w:eastAsia="Batang"/>
          <w:lang w:eastAsia="ko-KR"/>
        </w:rPr>
        <w:t>re is also a</w:t>
      </w:r>
      <w:r w:rsidR="00E42674" w:rsidRPr="003C33CA">
        <w:rPr>
          <w:rFonts w:eastAsia="Batang" w:hint="eastAsia"/>
          <w:lang w:eastAsia="ko-KR"/>
        </w:rPr>
        <w:t xml:space="preserve"> need to ensure </w:t>
      </w:r>
      <w:r w:rsidR="00E42674" w:rsidRPr="003C33CA">
        <w:rPr>
          <w:rFonts w:eastAsia="Batang"/>
          <w:lang w:eastAsia="ko-KR"/>
        </w:rPr>
        <w:t xml:space="preserve">the </w:t>
      </w:r>
      <w:r w:rsidR="00E42674" w:rsidRPr="003C33CA">
        <w:rPr>
          <w:rFonts w:eastAsia="Batang" w:hint="eastAsia"/>
          <w:lang w:eastAsia="ko-KR"/>
        </w:rPr>
        <w:t>independence of judges</w:t>
      </w:r>
      <w:r w:rsidR="00E42674" w:rsidRPr="003C33CA">
        <w:rPr>
          <w:rFonts w:eastAsia="Batang"/>
          <w:lang w:eastAsia="ko-KR"/>
        </w:rPr>
        <w:t xml:space="preserve"> and the provision of an enforcement mechanism for</w:t>
      </w:r>
      <w:r w:rsidR="00E42674" w:rsidRPr="003C33CA">
        <w:rPr>
          <w:rFonts w:eastAsia="Batang" w:hint="eastAsia"/>
          <w:lang w:eastAsia="ko-KR"/>
        </w:rPr>
        <w:t xml:space="preserve"> their decisions. </w:t>
      </w:r>
      <w:r w:rsidR="00E42674" w:rsidRPr="003C33CA">
        <w:rPr>
          <w:rFonts w:eastAsia="Batang"/>
          <w:lang w:eastAsia="ko-KR"/>
        </w:rPr>
        <w:t>The</w:t>
      </w:r>
      <w:r w:rsidR="00E42674" w:rsidRPr="003C33CA">
        <w:rPr>
          <w:rFonts w:eastAsia="Batang" w:hint="eastAsia"/>
          <w:lang w:eastAsia="ko-KR"/>
        </w:rPr>
        <w:t xml:space="preserve"> </w:t>
      </w:r>
      <w:r w:rsidR="00E42674" w:rsidRPr="003C33CA">
        <w:rPr>
          <w:rFonts w:eastAsia="Batang"/>
          <w:lang w:eastAsia="ko-KR"/>
        </w:rPr>
        <w:t>implementation of</w:t>
      </w:r>
      <w:r w:rsidR="00E42674" w:rsidRPr="003C33CA">
        <w:rPr>
          <w:rFonts w:eastAsia="Batang" w:hint="eastAsia"/>
          <w:lang w:eastAsia="ko-KR"/>
        </w:rPr>
        <w:t xml:space="preserve"> a monitoring mechanism to follow up on decisions</w:t>
      </w:r>
      <w:r w:rsidR="00E42674" w:rsidRPr="003C33CA">
        <w:rPr>
          <w:rFonts w:eastAsia="Batang"/>
          <w:lang w:eastAsia="ko-KR"/>
        </w:rPr>
        <w:t xml:space="preserve"> is also necessary, as is</w:t>
      </w:r>
      <w:r w:rsidR="00E42674" w:rsidRPr="003C33CA">
        <w:rPr>
          <w:rFonts w:eastAsia="Batang" w:hint="eastAsia"/>
          <w:lang w:eastAsia="ko-KR"/>
        </w:rPr>
        <w:t xml:space="preserve"> allow</w:t>
      </w:r>
      <w:r w:rsidR="00E42674" w:rsidRPr="003C33CA">
        <w:rPr>
          <w:rFonts w:eastAsia="Batang"/>
          <w:lang w:eastAsia="ko-KR"/>
        </w:rPr>
        <w:t>ing</w:t>
      </w:r>
      <w:r w:rsidR="00E42674" w:rsidRPr="003C33CA">
        <w:rPr>
          <w:rFonts w:eastAsia="Batang" w:hint="eastAsia"/>
          <w:lang w:eastAsia="ko-KR"/>
        </w:rPr>
        <w:t xml:space="preserve"> members of civil society to participate in the process. </w:t>
      </w:r>
      <w:r w:rsidR="00E42674" w:rsidRPr="003C33CA">
        <w:rPr>
          <w:rFonts w:eastAsia="Batang"/>
          <w:lang w:eastAsia="ko-KR"/>
        </w:rPr>
        <w:t>More broadly, there must be</w:t>
      </w:r>
      <w:r w:rsidR="00E42674" w:rsidRPr="003C33CA">
        <w:rPr>
          <w:rFonts w:eastAsia="Batang" w:hint="eastAsia"/>
          <w:lang w:eastAsia="ko-KR"/>
        </w:rPr>
        <w:t xml:space="preserve"> collaborat</w:t>
      </w:r>
      <w:r w:rsidR="00E42674" w:rsidRPr="003C33CA">
        <w:rPr>
          <w:rFonts w:eastAsia="Batang"/>
          <w:lang w:eastAsia="ko-KR"/>
        </w:rPr>
        <w:t>ion</w:t>
      </w:r>
      <w:r w:rsidR="00E42674" w:rsidRPr="003C33CA">
        <w:rPr>
          <w:rFonts w:eastAsia="Batang" w:hint="eastAsia"/>
          <w:lang w:eastAsia="ko-KR"/>
        </w:rPr>
        <w:t xml:space="preserve"> with the OHCHR, state governments, local </w:t>
      </w:r>
      <w:r w:rsidR="00E42674" w:rsidRPr="003C33CA">
        <w:rPr>
          <w:rFonts w:eastAsia="Batang"/>
          <w:lang w:eastAsia="ko-KR"/>
        </w:rPr>
        <w:t>governments</w:t>
      </w:r>
      <w:r w:rsidR="00E42674" w:rsidRPr="003C33CA">
        <w:rPr>
          <w:rFonts w:eastAsia="Batang" w:hint="eastAsia"/>
          <w:lang w:eastAsia="ko-KR"/>
        </w:rPr>
        <w:t>, NHRIs and NGOs</w:t>
      </w:r>
      <w:r w:rsidR="00E42674" w:rsidRPr="003C33CA">
        <w:rPr>
          <w:rFonts w:eastAsia="Batang"/>
          <w:lang w:eastAsia="ko-KR"/>
        </w:rPr>
        <w:t xml:space="preserve"> at all stages of the mechanism’s development and operation</w:t>
      </w:r>
      <w:r w:rsidR="00E42674" w:rsidRPr="003C33CA">
        <w:rPr>
          <w:rFonts w:eastAsia="Batang" w:hint="eastAsia"/>
          <w:lang w:eastAsia="ko-KR"/>
        </w:rPr>
        <w:t>. Lastly, secur</w:t>
      </w:r>
      <w:r w:rsidR="00E42674" w:rsidRPr="003C33CA">
        <w:rPr>
          <w:rFonts w:eastAsia="Batang"/>
          <w:lang w:eastAsia="ko-KR"/>
        </w:rPr>
        <w:t>ing</w:t>
      </w:r>
      <w:r w:rsidR="00E42674" w:rsidRPr="003C33CA">
        <w:rPr>
          <w:rFonts w:eastAsia="Batang" w:hint="eastAsia"/>
          <w:lang w:eastAsia="ko-KR"/>
        </w:rPr>
        <w:t xml:space="preserve"> human and financial resources </w:t>
      </w:r>
      <w:r w:rsidR="00E42674" w:rsidRPr="003C33CA">
        <w:rPr>
          <w:rFonts w:eastAsia="Batang"/>
          <w:lang w:eastAsia="ko-KR"/>
        </w:rPr>
        <w:t xml:space="preserve">is vital for </w:t>
      </w:r>
      <w:r w:rsidR="00E42674" w:rsidRPr="003C33CA">
        <w:rPr>
          <w:rFonts w:eastAsia="Batang" w:hint="eastAsia"/>
          <w:lang w:eastAsia="ko-KR"/>
        </w:rPr>
        <w:t>ensur</w:t>
      </w:r>
      <w:r w:rsidR="00E42674" w:rsidRPr="003C33CA">
        <w:rPr>
          <w:rFonts w:eastAsia="Batang"/>
          <w:lang w:eastAsia="ko-KR"/>
        </w:rPr>
        <w:t>ing</w:t>
      </w:r>
      <w:r w:rsidR="00E42674" w:rsidRPr="003C33CA">
        <w:rPr>
          <w:rFonts w:eastAsia="Batang" w:hint="eastAsia"/>
          <w:lang w:eastAsia="ko-KR"/>
        </w:rPr>
        <w:t xml:space="preserve"> effective operations. </w:t>
      </w:r>
    </w:p>
    <w:p w:rsidR="00E42674" w:rsidRPr="003C33CA" w:rsidRDefault="00DC570C" w:rsidP="002868E0">
      <w:pPr>
        <w:pStyle w:val="SingleTxtG"/>
        <w:rPr>
          <w:rFonts w:eastAsia="Batang"/>
          <w:lang w:eastAsia="ko-KR"/>
        </w:rPr>
      </w:pPr>
      <w:r>
        <w:rPr>
          <w:rFonts w:eastAsia="Batang"/>
          <w:lang w:val="en-AU" w:eastAsia="ko-KR"/>
        </w:rPr>
        <w:t>67</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hint="eastAsia"/>
          <w:lang w:eastAsia="ko-KR"/>
        </w:rPr>
        <w:t>The implication</w:t>
      </w:r>
      <w:r w:rsidR="00E42674" w:rsidRPr="003C33CA">
        <w:rPr>
          <w:rFonts w:eastAsia="Batang"/>
          <w:lang w:eastAsia="ko-KR"/>
        </w:rPr>
        <w:t>s of this study for the prospects of a</w:t>
      </w:r>
      <w:r w:rsidR="00E42674" w:rsidRPr="003C33CA">
        <w:rPr>
          <w:rFonts w:eastAsia="Batang" w:hint="eastAsia"/>
          <w:lang w:eastAsia="ko-KR"/>
        </w:rPr>
        <w:t xml:space="preserve"> new regional mechanism in </w:t>
      </w:r>
      <w:r w:rsidR="00E42674" w:rsidRPr="003C33CA">
        <w:rPr>
          <w:rFonts w:eastAsia="Batang"/>
          <w:lang w:eastAsia="ko-KR"/>
        </w:rPr>
        <w:t>Asia</w:t>
      </w:r>
      <w:r w:rsidR="00E42674" w:rsidRPr="003C33CA">
        <w:rPr>
          <w:rFonts w:eastAsia="Batang" w:hint="eastAsia"/>
          <w:lang w:eastAsia="ko-KR"/>
        </w:rPr>
        <w:t xml:space="preserve"> </w:t>
      </w:r>
      <w:proofErr w:type="gramStart"/>
      <w:r w:rsidR="00E42674" w:rsidRPr="003C33CA">
        <w:rPr>
          <w:rFonts w:eastAsia="Batang" w:hint="eastAsia"/>
          <w:lang w:eastAsia="ko-KR"/>
        </w:rPr>
        <w:t>is</w:t>
      </w:r>
      <w:proofErr w:type="gramEnd"/>
      <w:r w:rsidR="00E42674" w:rsidRPr="003C33CA">
        <w:rPr>
          <w:rFonts w:eastAsia="Batang" w:hint="eastAsia"/>
          <w:lang w:eastAsia="ko-KR"/>
        </w:rPr>
        <w:t xml:space="preserve"> that a</w:t>
      </w:r>
      <w:r w:rsidR="00E42674" w:rsidRPr="003C33CA">
        <w:rPr>
          <w:rFonts w:eastAsia="Batang"/>
          <w:lang w:eastAsia="ko-KR"/>
        </w:rPr>
        <w:t>ll actors including governments and civil societies must play strong roles in promoting a mechanism of multi-level cooperation</w:t>
      </w:r>
      <w:r w:rsidR="00E42674" w:rsidRPr="003C33CA">
        <w:rPr>
          <w:rFonts w:eastAsia="Batang" w:hint="eastAsia"/>
          <w:lang w:eastAsia="ko-KR"/>
        </w:rPr>
        <w:t xml:space="preserve">. </w:t>
      </w:r>
      <w:r w:rsidR="00E42674" w:rsidRPr="003C33CA">
        <w:rPr>
          <w:rFonts w:eastAsia="Batang"/>
          <w:lang w:eastAsia="ko-KR"/>
        </w:rPr>
        <w:t>Although there are several possible routes to creating a regional arrangement in Asia and the Pacific, it is certain that it cannot be reached by simply mimicking mechanisms from other regions and requires strong state leadership, supplemented by all relevant stakeholders such as national assembl</w:t>
      </w:r>
      <w:r w:rsidR="00E42674" w:rsidRPr="003C33CA">
        <w:rPr>
          <w:rFonts w:eastAsia="Batang" w:hint="eastAsia"/>
          <w:lang w:eastAsia="ko-KR"/>
        </w:rPr>
        <w:t>ies</w:t>
      </w:r>
      <w:r w:rsidR="00E42674" w:rsidRPr="003C33CA">
        <w:rPr>
          <w:rFonts w:eastAsia="Batang"/>
          <w:lang w:eastAsia="ko-KR"/>
        </w:rPr>
        <w:t xml:space="preserve"> and legislatures, court</w:t>
      </w:r>
      <w:r w:rsidR="00E42674" w:rsidRPr="003C33CA">
        <w:rPr>
          <w:rFonts w:eastAsia="Batang" w:hint="eastAsia"/>
          <w:lang w:eastAsia="ko-KR"/>
        </w:rPr>
        <w:t>s</w:t>
      </w:r>
      <w:r w:rsidR="00E42674" w:rsidRPr="003C33CA">
        <w:rPr>
          <w:rFonts w:eastAsia="Batang"/>
          <w:lang w:eastAsia="ko-KR"/>
        </w:rPr>
        <w:t>,</w:t>
      </w:r>
      <w:r w:rsidR="00E42674" w:rsidRPr="003C33CA">
        <w:rPr>
          <w:rFonts w:eastAsia="Batang" w:hint="eastAsia"/>
          <w:lang w:eastAsia="ko-KR"/>
        </w:rPr>
        <w:t xml:space="preserve"> NHRIs</w:t>
      </w:r>
      <w:r w:rsidR="00E42674" w:rsidRPr="003C33CA">
        <w:rPr>
          <w:rFonts w:eastAsia="Batang"/>
          <w:lang w:eastAsia="ko-KR"/>
        </w:rPr>
        <w:t>, law enforcement agencies, and even corporations</w:t>
      </w:r>
      <w:r w:rsidR="00E42674" w:rsidRPr="003C33CA">
        <w:rPr>
          <w:rFonts w:eastAsia="Batang" w:hint="eastAsia"/>
          <w:lang w:eastAsia="ko-KR"/>
        </w:rPr>
        <w:t xml:space="preserve">. </w:t>
      </w:r>
    </w:p>
    <w:p w:rsidR="00E42674" w:rsidRPr="000878BB" w:rsidRDefault="002868E0" w:rsidP="002868E0">
      <w:pPr>
        <w:pStyle w:val="H23G"/>
        <w:rPr>
          <w:rFonts w:eastAsia="Batang"/>
          <w:lang w:eastAsia="ko-KR"/>
        </w:rPr>
      </w:pPr>
      <w:r>
        <w:rPr>
          <w:rFonts w:eastAsia="Batang"/>
          <w:lang w:eastAsia="ko-KR"/>
        </w:rPr>
        <w:tab/>
      </w:r>
      <w:r>
        <w:rPr>
          <w:rFonts w:eastAsia="Batang"/>
          <w:lang w:eastAsia="ko-KR"/>
        </w:rPr>
        <w:tab/>
      </w:r>
      <w:r w:rsidR="00E42674" w:rsidRPr="000878BB">
        <w:rPr>
          <w:rFonts w:eastAsia="Batang" w:hint="eastAsia"/>
          <w:lang w:eastAsia="ko-KR"/>
        </w:rPr>
        <w:t>Recommendations</w:t>
      </w:r>
    </w:p>
    <w:p w:rsidR="00E42674" w:rsidRPr="003C33CA" w:rsidRDefault="00DC570C" w:rsidP="002868E0">
      <w:pPr>
        <w:pStyle w:val="SingleTxtG"/>
        <w:rPr>
          <w:rFonts w:eastAsia="Batang"/>
          <w:lang w:eastAsia="ko-KR"/>
        </w:rPr>
      </w:pPr>
      <w:r>
        <w:rPr>
          <w:rFonts w:eastAsia="Batang"/>
          <w:lang w:val="en-AU" w:eastAsia="ko-KR"/>
        </w:rPr>
        <w:t>68</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hint="eastAsia"/>
          <w:lang w:eastAsia="ko-KR"/>
        </w:rPr>
        <w:t xml:space="preserve">Member states under regional human rights </w:t>
      </w:r>
      <w:r w:rsidR="00E42674" w:rsidRPr="003C33CA">
        <w:rPr>
          <w:rFonts w:eastAsia="Batang"/>
          <w:lang w:eastAsia="ko-KR"/>
        </w:rPr>
        <w:t>arrangements</w:t>
      </w:r>
      <w:r w:rsidR="00E42674" w:rsidRPr="003C33CA">
        <w:rPr>
          <w:rFonts w:eastAsia="Batang" w:hint="eastAsia"/>
          <w:lang w:eastAsia="ko-KR"/>
        </w:rPr>
        <w:t xml:space="preserve"> need to make </w:t>
      </w:r>
      <w:r w:rsidR="00E42674" w:rsidRPr="003C33CA">
        <w:rPr>
          <w:rFonts w:eastAsia="Batang"/>
          <w:lang w:eastAsia="ko-KR"/>
        </w:rPr>
        <w:t xml:space="preserve">greater </w:t>
      </w:r>
      <w:r w:rsidR="00E42674" w:rsidRPr="003C33CA">
        <w:rPr>
          <w:rFonts w:eastAsia="Batang" w:hint="eastAsia"/>
          <w:lang w:eastAsia="ko-KR"/>
        </w:rPr>
        <w:t xml:space="preserve">efforts to </w:t>
      </w:r>
      <w:r w:rsidR="00E42674" w:rsidRPr="003C33CA">
        <w:rPr>
          <w:rFonts w:eastAsia="Batang"/>
          <w:lang w:eastAsia="ko-KR"/>
        </w:rPr>
        <w:t xml:space="preserve">guarantee adequate funding for the latter. Without funds, even the best designed procedures will struggle to adequately protect human rights. The sustainability of regional arrangements </w:t>
      </w:r>
      <w:proofErr w:type="gramStart"/>
      <w:r w:rsidR="00E42674" w:rsidRPr="003C33CA">
        <w:rPr>
          <w:rFonts w:eastAsia="Batang"/>
          <w:lang w:eastAsia="ko-KR"/>
        </w:rPr>
        <w:t>require</w:t>
      </w:r>
      <w:proofErr w:type="gramEnd"/>
      <w:r w:rsidR="00E42674" w:rsidRPr="003C33CA">
        <w:rPr>
          <w:rFonts w:eastAsia="Batang"/>
          <w:lang w:eastAsia="ko-KR"/>
        </w:rPr>
        <w:t xml:space="preserve"> strong commitment by member states and the active participation and oversight of other human rights organizations, both domestic and international. That being said, worsening economic conditions around the world mean that regional arrangements may face increased competition for access to state budgets. There needs to be innovative thinking and experimentation by human rights practitioners and the international community to find ways to enable regional arrangements to do more with less. Leveraging new technologies for greater efficiencies or streamlining traditional methods of human rights litigation are just a few of the ways that resource constraints could be managed in the years ahead. Another fascinating possibility is using private-public partnerships to forge new types of funding arrangements between regional human rights mechanisms and Western donors, especially large charitable foundations. </w:t>
      </w:r>
    </w:p>
    <w:p w:rsidR="00E42674" w:rsidRPr="003C33CA" w:rsidRDefault="00DC570C" w:rsidP="002868E0">
      <w:pPr>
        <w:pStyle w:val="SingleTxtG"/>
        <w:rPr>
          <w:rFonts w:eastAsia="Batang"/>
          <w:lang w:eastAsia="ko-KR"/>
        </w:rPr>
      </w:pPr>
      <w:r>
        <w:rPr>
          <w:rFonts w:eastAsia="Batang"/>
          <w:lang w:val="en-AU" w:eastAsia="ko-KR"/>
        </w:rPr>
        <w:t>69</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hint="eastAsia"/>
          <w:lang w:eastAsia="ko-KR"/>
        </w:rPr>
        <w:t>ASEAN and Asia</w:t>
      </w:r>
      <w:r w:rsidR="00E42674" w:rsidRPr="003C33CA">
        <w:rPr>
          <w:rFonts w:eastAsia="Batang"/>
          <w:lang w:eastAsia="ko-KR"/>
        </w:rPr>
        <w:t xml:space="preserve"> and the </w:t>
      </w:r>
      <w:r w:rsidR="00E42674" w:rsidRPr="003C33CA">
        <w:rPr>
          <w:rFonts w:eastAsia="Batang" w:hint="eastAsia"/>
          <w:lang w:eastAsia="ko-KR"/>
        </w:rPr>
        <w:t>Pacific region</w:t>
      </w:r>
      <w:r w:rsidR="00E42674" w:rsidRPr="003C33CA">
        <w:rPr>
          <w:rFonts w:eastAsia="Batang"/>
          <w:lang w:eastAsia="ko-KR"/>
        </w:rPr>
        <w:t xml:space="preserve"> </w:t>
      </w:r>
      <w:r w:rsidR="00E42674" w:rsidRPr="003C33CA">
        <w:rPr>
          <w:rFonts w:eastAsia="Batang" w:hint="eastAsia"/>
          <w:lang w:eastAsia="ko-KR"/>
        </w:rPr>
        <w:t xml:space="preserve">may consider establishing a human rights court or </w:t>
      </w:r>
      <w:r w:rsidR="00E42674" w:rsidRPr="003C33CA">
        <w:rPr>
          <w:rFonts w:eastAsia="Batang"/>
          <w:lang w:eastAsia="ko-KR"/>
        </w:rPr>
        <w:t>a similar human rights</w:t>
      </w:r>
      <w:r w:rsidR="00E42674" w:rsidRPr="003C33CA">
        <w:rPr>
          <w:rFonts w:eastAsia="Batang" w:hint="eastAsia"/>
          <w:lang w:eastAsia="ko-KR"/>
        </w:rPr>
        <w:t xml:space="preserve"> </w:t>
      </w:r>
      <w:r w:rsidR="00E42674" w:rsidRPr="003C33CA">
        <w:rPr>
          <w:rFonts w:eastAsia="Batang"/>
          <w:lang w:eastAsia="ko-KR"/>
        </w:rPr>
        <w:t xml:space="preserve">institution with a </w:t>
      </w:r>
      <w:r w:rsidR="00E42674" w:rsidRPr="003C33CA">
        <w:rPr>
          <w:rFonts w:eastAsia="Batang" w:hint="eastAsia"/>
          <w:lang w:eastAsia="ko-KR"/>
        </w:rPr>
        <w:t>relevant</w:t>
      </w:r>
      <w:r w:rsidR="00E42674" w:rsidRPr="003C33CA">
        <w:rPr>
          <w:rFonts w:eastAsia="Batang"/>
          <w:lang w:eastAsia="ko-KR"/>
        </w:rPr>
        <w:t xml:space="preserve"> mandate</w:t>
      </w:r>
      <w:r w:rsidR="00E42674" w:rsidRPr="003C33CA">
        <w:rPr>
          <w:rFonts w:eastAsia="Batang" w:hint="eastAsia"/>
          <w:lang w:eastAsia="ko-KR"/>
        </w:rPr>
        <w:t>, taking into account lessons learned from other regimes.</w:t>
      </w:r>
      <w:r w:rsidR="00E42674" w:rsidRPr="003C33CA">
        <w:rPr>
          <w:rFonts w:eastAsia="Batang"/>
          <w:lang w:eastAsia="ko-KR"/>
        </w:rPr>
        <w:t xml:space="preserve"> More broadly, </w:t>
      </w:r>
      <w:r w:rsidR="00E42674" w:rsidRPr="003C33CA">
        <w:rPr>
          <w:rFonts w:eastAsia="Batang" w:hint="eastAsia"/>
          <w:lang w:eastAsia="ko-KR"/>
        </w:rPr>
        <w:t>r</w:t>
      </w:r>
      <w:r w:rsidR="00E42674" w:rsidRPr="003C33CA">
        <w:rPr>
          <w:rFonts w:eastAsia="Batang"/>
          <w:lang w:eastAsia="ko-KR"/>
        </w:rPr>
        <w:t>e</w:t>
      </w:r>
      <w:r w:rsidR="00E42674" w:rsidRPr="003C33CA">
        <w:rPr>
          <w:rFonts w:eastAsia="Batang" w:hint="eastAsia"/>
          <w:lang w:eastAsia="ko-KR"/>
        </w:rPr>
        <w:t xml:space="preserve">gional human rights </w:t>
      </w:r>
      <w:r w:rsidR="00E42674" w:rsidRPr="003C33CA">
        <w:rPr>
          <w:rFonts w:eastAsia="Batang"/>
          <w:lang w:eastAsia="ko-KR"/>
        </w:rPr>
        <w:t>arrangements</w:t>
      </w:r>
      <w:r w:rsidR="00E42674" w:rsidRPr="003C33CA">
        <w:rPr>
          <w:rFonts w:eastAsia="Batang" w:hint="eastAsia"/>
          <w:lang w:eastAsia="ko-KR"/>
        </w:rPr>
        <w:t xml:space="preserve"> can further improve their effectiveness by improving </w:t>
      </w:r>
      <w:r w:rsidR="00E42674" w:rsidRPr="003C33CA">
        <w:rPr>
          <w:rFonts w:eastAsia="Batang"/>
          <w:lang w:eastAsia="ko-KR"/>
        </w:rPr>
        <w:t xml:space="preserve">their </w:t>
      </w:r>
      <w:r w:rsidR="00E42674" w:rsidRPr="003C33CA">
        <w:rPr>
          <w:rFonts w:eastAsia="Batang" w:hint="eastAsia"/>
          <w:lang w:eastAsia="ko-KR"/>
        </w:rPr>
        <w:t>communication and information dissemination. The government of M</w:t>
      </w:r>
      <w:r w:rsidR="00E42674" w:rsidRPr="003C33CA">
        <w:rPr>
          <w:rFonts w:hint="eastAsia"/>
          <w:lang w:eastAsia="ko-KR"/>
        </w:rPr>
        <w:t xml:space="preserve">ontenegro recommends, for instance, the </w:t>
      </w:r>
      <w:r w:rsidR="00E42674" w:rsidRPr="003C33CA">
        <w:rPr>
          <w:lang w:eastAsia="ko-KR"/>
        </w:rPr>
        <w:t>appointment</w:t>
      </w:r>
      <w:r w:rsidR="00E42674" w:rsidRPr="003C33CA">
        <w:rPr>
          <w:rFonts w:hint="eastAsia"/>
          <w:lang w:eastAsia="ko-KR"/>
        </w:rPr>
        <w:t xml:space="preserve"> of focal points for the European Court and the Council of Europe who would regularly </w:t>
      </w:r>
      <w:r w:rsidR="00E42674" w:rsidRPr="003C33CA">
        <w:rPr>
          <w:rFonts w:hint="eastAsia"/>
          <w:lang w:eastAsia="ko-KR"/>
        </w:rPr>
        <w:lastRenderedPageBreak/>
        <w:t>disseminate information about special procedures and treaty bodies.</w:t>
      </w:r>
      <w:r w:rsidR="00E42674" w:rsidRPr="000878BB">
        <w:rPr>
          <w:rStyle w:val="FootnoteReference"/>
          <w:lang w:eastAsia="ko-KR"/>
        </w:rPr>
        <w:footnoteReference w:id="66"/>
      </w:r>
      <w:r w:rsidR="00E42674" w:rsidRPr="003C33CA">
        <w:rPr>
          <w:rFonts w:eastAsia="Batang" w:hint="eastAsia"/>
          <w:lang w:eastAsia="ko-KR"/>
        </w:rPr>
        <w:t xml:space="preserve"> </w:t>
      </w:r>
      <w:r w:rsidR="00E42674" w:rsidRPr="003C33CA">
        <w:rPr>
          <w:rFonts w:eastAsia="Batang"/>
          <w:lang w:eastAsia="ko-KR"/>
        </w:rPr>
        <w:t xml:space="preserve">This could </w:t>
      </w:r>
      <w:r w:rsidR="00E42674" w:rsidRPr="003C33CA">
        <w:rPr>
          <w:rFonts w:eastAsia="Batang" w:hint="eastAsia"/>
          <w:lang w:eastAsia="ko-KR"/>
        </w:rPr>
        <w:t xml:space="preserve">involve </w:t>
      </w:r>
      <w:r w:rsidR="00E42674" w:rsidRPr="003C33CA">
        <w:rPr>
          <w:rFonts w:eastAsia="Batang"/>
          <w:lang w:eastAsia="ko-KR"/>
        </w:rPr>
        <w:t>cooperation with human rights</w:t>
      </w:r>
      <w:r w:rsidR="00E42674" w:rsidRPr="003C33CA">
        <w:rPr>
          <w:rFonts w:eastAsia="Batang" w:hint="eastAsia"/>
          <w:lang w:eastAsia="ko-KR"/>
        </w:rPr>
        <w:t xml:space="preserve"> </w:t>
      </w:r>
      <w:r w:rsidR="00E42674" w:rsidRPr="003C33CA">
        <w:rPr>
          <w:rFonts w:eastAsia="Batang"/>
          <w:lang w:eastAsia="ko-KR"/>
        </w:rPr>
        <w:t>institutions inside their jurisdictions</w:t>
      </w:r>
      <w:r w:rsidR="00E42674" w:rsidRPr="003C33CA">
        <w:rPr>
          <w:rFonts w:eastAsia="Batang" w:hint="eastAsia"/>
          <w:lang w:eastAsia="ko-KR"/>
        </w:rPr>
        <w:t xml:space="preserve">, </w:t>
      </w:r>
      <w:r w:rsidR="00E42674" w:rsidRPr="003C33CA">
        <w:rPr>
          <w:rFonts w:eastAsia="Batang"/>
          <w:lang w:eastAsia="ko-KR"/>
        </w:rPr>
        <w:t xml:space="preserve">such as </w:t>
      </w:r>
      <w:r w:rsidR="00E42674" w:rsidRPr="003C33CA">
        <w:rPr>
          <w:rFonts w:eastAsia="Batang" w:hint="eastAsia"/>
          <w:lang w:eastAsia="ko-KR"/>
        </w:rPr>
        <w:t xml:space="preserve">NHRIs, civil </w:t>
      </w:r>
      <w:r w:rsidR="00E42674" w:rsidRPr="003C33CA">
        <w:rPr>
          <w:rFonts w:eastAsia="Batang"/>
          <w:lang w:eastAsia="ko-KR"/>
        </w:rPr>
        <w:t>society</w:t>
      </w:r>
      <w:r w:rsidR="00E42674" w:rsidRPr="003C33CA">
        <w:rPr>
          <w:rFonts w:eastAsia="Batang" w:hint="eastAsia"/>
          <w:lang w:eastAsia="ko-KR"/>
        </w:rPr>
        <w:t xml:space="preserve"> </w:t>
      </w:r>
      <w:r w:rsidR="00E42674" w:rsidRPr="003C33CA">
        <w:rPr>
          <w:rFonts w:eastAsia="Batang"/>
          <w:lang w:eastAsia="ko-KR"/>
        </w:rPr>
        <w:t xml:space="preserve">groups, and individual scholars, as well as coordination and information sharing with other regional human rights arrangements. </w:t>
      </w:r>
    </w:p>
    <w:p w:rsidR="00E42674" w:rsidRPr="003C33CA" w:rsidRDefault="00DC570C" w:rsidP="002868E0">
      <w:pPr>
        <w:pStyle w:val="SingleTxtG"/>
        <w:rPr>
          <w:rFonts w:eastAsia="Batang"/>
          <w:lang w:eastAsia="ko-KR"/>
        </w:rPr>
      </w:pPr>
      <w:r>
        <w:rPr>
          <w:rFonts w:eastAsia="Batang"/>
          <w:lang w:val="en-AU" w:eastAsia="ko-KR"/>
        </w:rPr>
        <w:t>70</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H</w:t>
      </w:r>
      <w:r w:rsidR="00E42674" w:rsidRPr="003C33CA">
        <w:rPr>
          <w:rFonts w:eastAsia="Batang" w:hint="eastAsia"/>
          <w:lang w:eastAsia="ko-KR"/>
        </w:rPr>
        <w:t xml:space="preserve">uman rights institutions, including regional human rights regimes, should cooperate </w:t>
      </w:r>
      <w:r w:rsidR="00E42674" w:rsidRPr="003C33CA">
        <w:rPr>
          <w:rFonts w:eastAsia="Batang"/>
          <w:lang w:eastAsia="ko-KR"/>
        </w:rPr>
        <w:t>by</w:t>
      </w:r>
      <w:r w:rsidR="00E42674" w:rsidRPr="003C33CA">
        <w:rPr>
          <w:rFonts w:eastAsia="Batang" w:hint="eastAsia"/>
          <w:lang w:eastAsia="ko-KR"/>
        </w:rPr>
        <w:t xml:space="preserve"> </w:t>
      </w:r>
      <w:r w:rsidR="00E42674" w:rsidRPr="003C33CA">
        <w:rPr>
          <w:rFonts w:eastAsia="Batang"/>
          <w:lang w:eastAsia="ko-KR"/>
        </w:rPr>
        <w:t xml:space="preserve">tackling </w:t>
      </w:r>
      <w:r w:rsidR="00E42674" w:rsidRPr="003C33CA">
        <w:rPr>
          <w:rFonts w:eastAsia="Batang" w:hint="eastAsia"/>
          <w:lang w:eastAsia="ko-KR"/>
        </w:rPr>
        <w:t>region-wide thematic issues, including but not limited to, women</w:t>
      </w:r>
      <w:r w:rsidR="00E42674" w:rsidRPr="003C33CA">
        <w:rPr>
          <w:rFonts w:eastAsia="Batang"/>
          <w:lang w:eastAsia="ko-KR"/>
        </w:rPr>
        <w:t>’</w:t>
      </w:r>
      <w:r w:rsidR="00E42674" w:rsidRPr="003C33CA">
        <w:rPr>
          <w:rFonts w:eastAsia="Batang" w:hint="eastAsia"/>
          <w:lang w:eastAsia="ko-KR"/>
        </w:rPr>
        <w:t>s rights, children</w:t>
      </w:r>
      <w:r w:rsidR="00E42674" w:rsidRPr="003C33CA">
        <w:rPr>
          <w:rFonts w:eastAsia="Batang"/>
          <w:lang w:eastAsia="ko-KR"/>
        </w:rPr>
        <w:t>’</w:t>
      </w:r>
      <w:r w:rsidR="00E42674" w:rsidRPr="003C33CA">
        <w:rPr>
          <w:rFonts w:eastAsia="Batang" w:hint="eastAsia"/>
          <w:lang w:eastAsia="ko-KR"/>
        </w:rPr>
        <w:t xml:space="preserve">s rights, the rights of migrants, and the rights of the disabled. </w:t>
      </w:r>
      <w:r w:rsidR="00E42674" w:rsidRPr="003C33CA">
        <w:rPr>
          <w:rFonts w:eastAsia="Batang"/>
          <w:lang w:eastAsia="ko-KR"/>
        </w:rPr>
        <w:t>Efforts should be made to develop the treaties on specific subjects and systems into effective tools for the promotion of human rights</w:t>
      </w:r>
      <w:r w:rsidR="00E42674" w:rsidRPr="003C33CA">
        <w:rPr>
          <w:rFonts w:eastAsia="Batang" w:hint="eastAsia"/>
          <w:lang w:eastAsia="ko-KR"/>
        </w:rPr>
        <w:t>.</w:t>
      </w:r>
      <w:r w:rsidR="00E42674" w:rsidRPr="000878BB">
        <w:rPr>
          <w:rStyle w:val="FootnoteReference"/>
          <w:rFonts w:eastAsia="Batang"/>
          <w:lang w:eastAsia="ko-KR"/>
        </w:rPr>
        <w:footnoteReference w:id="67"/>
      </w:r>
      <w:r w:rsidR="00E42674" w:rsidRPr="003C33CA">
        <w:rPr>
          <w:rFonts w:eastAsia="Batang"/>
          <w:lang w:eastAsia="ko-KR"/>
        </w:rPr>
        <w:t xml:space="preserve"> An excellent case in point are the Sustainable Development Goals (SDG), which officially aim to “realize the human rights of all.”</w:t>
      </w:r>
      <w:r w:rsidR="00E42674" w:rsidRPr="000878BB">
        <w:rPr>
          <w:rStyle w:val="FootnoteReference"/>
          <w:rFonts w:eastAsia="Batang"/>
          <w:lang w:eastAsia="ko-KR"/>
        </w:rPr>
        <w:footnoteReference w:id="68"/>
      </w:r>
      <w:r w:rsidR="00E42674" w:rsidRPr="003C33CA">
        <w:rPr>
          <w:rFonts w:eastAsia="Batang"/>
          <w:lang w:eastAsia="ko-KR"/>
        </w:rPr>
        <w:t xml:space="preserve"> Regional cooperation in the practical implementation of the SDGs not only has tangible developmental benefits for the countries involved but can also be used to create the scaffolding of future regional human rights instruments, particularly those protecting economic and social rights. </w:t>
      </w:r>
    </w:p>
    <w:p w:rsidR="00E42674" w:rsidRPr="003C33CA" w:rsidRDefault="00DC570C" w:rsidP="002868E0">
      <w:pPr>
        <w:pStyle w:val="SingleTxtG"/>
      </w:pPr>
      <w:r>
        <w:rPr>
          <w:rFonts w:eastAsia="Batang"/>
          <w:lang w:val="en-AU"/>
        </w:rPr>
        <w:t>71</w:t>
      </w:r>
      <w:r w:rsidR="003C33CA" w:rsidRPr="000878BB">
        <w:rPr>
          <w:rFonts w:eastAsia="Batang" w:hint="eastAsia"/>
          <w:lang w:val="en-AU"/>
        </w:rPr>
        <w:t>.</w:t>
      </w:r>
      <w:r w:rsidR="003C33CA" w:rsidRPr="000878BB">
        <w:rPr>
          <w:rFonts w:eastAsia="Batang" w:hint="eastAsia"/>
          <w:lang w:val="en-AU"/>
        </w:rPr>
        <w:tab/>
      </w:r>
      <w:r w:rsidR="00E42674" w:rsidRPr="003C33CA">
        <w:rPr>
          <w:rFonts w:eastAsia="Batang"/>
          <w:lang w:eastAsia="ko-KR"/>
        </w:rPr>
        <w:t>Since all Asian countries participate in the Universal Periodic Review (UPR) process, this could be leveraged to facilitate discussions on enhancing regional human rights cooperation. These talks could focus on cooperative solutions to common problems, peer reviews, and encourage states to share their experiences on how to implement the recommendations of the UPR.</w:t>
      </w:r>
    </w:p>
    <w:p w:rsidR="00E42674" w:rsidRPr="003C33CA" w:rsidRDefault="00DC570C" w:rsidP="002868E0">
      <w:pPr>
        <w:pStyle w:val="SingleTxtG"/>
        <w:rPr>
          <w:rFonts w:eastAsia="Batang"/>
          <w:lang w:eastAsia="ko-KR"/>
        </w:rPr>
      </w:pPr>
      <w:r>
        <w:rPr>
          <w:rFonts w:eastAsia="Batang"/>
          <w:lang w:val="en-AU" w:eastAsia="ko-KR"/>
        </w:rPr>
        <w:t>72</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rFonts w:eastAsia="Batang"/>
          <w:lang w:eastAsia="ko-KR"/>
        </w:rPr>
        <w:t>More support needs to be given to the actors that play key roles in creating the foundations of regional human rights cooperation at the national and local level, particularly parliaments and legislatures, law enforcement agencies, courts, and municipal or local governments. A regional human rights mechanism is only as strong as the local actors responsible for implementing and guaranteeing its protections. The facilitation of horizontal cooperation between these actors will permit the dissemination of best practices and help create state preferences for regional human rights cooperation from the ground-up. As such, this report reiterates the Advisory Committee’s earlier recommendation that local governments participate more in UN human rights mechanisms.</w:t>
      </w:r>
      <w:r w:rsidR="00E42674" w:rsidRPr="000878BB">
        <w:rPr>
          <w:rStyle w:val="FootnoteReference"/>
          <w:rFonts w:eastAsia="Batang"/>
          <w:lang w:eastAsia="ko-KR"/>
        </w:rPr>
        <w:footnoteReference w:id="69"/>
      </w:r>
    </w:p>
    <w:p w:rsidR="00E42674" w:rsidRPr="003C33CA" w:rsidRDefault="00DC570C" w:rsidP="002868E0">
      <w:pPr>
        <w:pStyle w:val="SingleTxtG"/>
        <w:rPr>
          <w:lang w:eastAsia="ko-KR"/>
        </w:rPr>
      </w:pPr>
      <w:r>
        <w:rPr>
          <w:rFonts w:eastAsia="Batang"/>
          <w:lang w:val="en-AU" w:eastAsia="ko-KR"/>
        </w:rPr>
        <w:t>73</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 xml:space="preserve">The OHCHR could play an important role in facilitating the creation of a regional or </w:t>
      </w:r>
      <w:proofErr w:type="spellStart"/>
      <w:r w:rsidR="00E42674" w:rsidRPr="003C33CA">
        <w:rPr>
          <w:lang w:eastAsia="ko-KR"/>
        </w:rPr>
        <w:t>subregional</w:t>
      </w:r>
      <w:proofErr w:type="spellEnd"/>
      <w:r w:rsidR="00E42674" w:rsidRPr="003C33CA">
        <w:rPr>
          <w:lang w:eastAsia="ko-KR"/>
        </w:rPr>
        <w:t xml:space="preserve"> human rights mechanism in the Asia and Pacific region and improve the operation of existing arrangements. It could accomplish this by acting as an information clearing house that provides detailed, technical advice on best practices and by creating forums where negotiations and exchanges of ideas can occur. It could also facilitate networking between grassroots, state, and international human rights actors. This is necessary because broad coalitions of actors will be required to create new regional human rights arrangements. For example, </w:t>
      </w:r>
      <w:r w:rsidR="00E42674" w:rsidRPr="003C33CA">
        <w:t>the European Movement was vital in mobilizing government</w:t>
      </w:r>
      <w:r w:rsidR="00E42674" w:rsidRPr="003C33CA">
        <w:rPr>
          <w:rFonts w:hint="eastAsia"/>
          <w:lang w:eastAsia="ko-KR"/>
        </w:rPr>
        <w:t>s</w:t>
      </w:r>
      <w:r w:rsidR="00E42674" w:rsidRPr="003C33CA">
        <w:t xml:space="preserve"> and civil societies to create a human rights mechanism in Europe</w:t>
      </w:r>
      <w:r w:rsidR="00E42674" w:rsidRPr="003C33CA">
        <w:rPr>
          <w:rFonts w:hint="eastAsia"/>
          <w:lang w:eastAsia="ko-KR"/>
        </w:rPr>
        <w:t>.</w:t>
      </w:r>
      <w:r w:rsidR="00E42674" w:rsidRPr="000878BB">
        <w:rPr>
          <w:rStyle w:val="FootnoteReference"/>
          <w:lang w:eastAsia="ko-KR"/>
        </w:rPr>
        <w:footnoteReference w:id="70"/>
      </w:r>
      <w:r w:rsidR="00E42674" w:rsidRPr="003C33CA">
        <w:rPr>
          <w:lang w:eastAsia="ko-KR"/>
        </w:rPr>
        <w:t xml:space="preserve"> The </w:t>
      </w:r>
      <w:r w:rsidR="00E42674" w:rsidRPr="003C33CA">
        <w:rPr>
          <w:lang w:eastAsia="ko-KR"/>
        </w:rPr>
        <w:lastRenderedPageBreak/>
        <w:t xml:space="preserve">OHCHR could help to create and nourish a region-wide broad coalition of human rights actors by doing the following: </w:t>
      </w:r>
    </w:p>
    <w:p w:rsidR="00E42674" w:rsidRPr="003C33CA" w:rsidRDefault="00DC570C" w:rsidP="002868E0">
      <w:pPr>
        <w:pStyle w:val="SingleTxtG"/>
        <w:rPr>
          <w:lang w:eastAsia="ko-KR"/>
        </w:rPr>
      </w:pPr>
      <w:r>
        <w:rPr>
          <w:rFonts w:eastAsia="Batang"/>
          <w:lang w:val="en-AU" w:eastAsia="ko-KR"/>
        </w:rPr>
        <w:t>74</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 xml:space="preserve">The OHCHR may consider hosting regular meetings among </w:t>
      </w:r>
      <w:r w:rsidR="00E42674" w:rsidRPr="003C33CA">
        <w:t>regional judicial and quasi-judicial bodies</w:t>
      </w:r>
      <w:r w:rsidR="00E42674" w:rsidRPr="003C33CA">
        <w:rPr>
          <w:lang w:eastAsia="ko-KR"/>
        </w:rPr>
        <w:t xml:space="preserve"> that are </w:t>
      </w:r>
      <w:r w:rsidR="00E42674" w:rsidRPr="003C33CA">
        <w:t>followed up and shared through focal points on cooperation.</w:t>
      </w:r>
      <w:r w:rsidR="00E42674" w:rsidRPr="003C33CA">
        <w:rPr>
          <w:lang w:eastAsia="ko-KR"/>
        </w:rPr>
        <w:t xml:space="preserve"> </w:t>
      </w:r>
    </w:p>
    <w:p w:rsidR="00E42674" w:rsidRPr="003C33CA" w:rsidRDefault="00DC570C" w:rsidP="002868E0">
      <w:pPr>
        <w:pStyle w:val="SingleTxtG"/>
        <w:rPr>
          <w:lang w:eastAsia="ko-KR"/>
        </w:rPr>
      </w:pPr>
      <w:r>
        <w:rPr>
          <w:rFonts w:eastAsia="Batang"/>
          <w:lang w:val="en-AU" w:eastAsia="ko-KR"/>
        </w:rPr>
        <w:t>75</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The OHCHR may consider offering regular news letters that bring together updated information from regional human rights mechanisms, including on best practices, lessons learned, decisions, recommendations, reports, calendars and planned visits</w:t>
      </w:r>
      <w:r w:rsidR="00E42674" w:rsidRPr="003C33CA">
        <w:t>.</w:t>
      </w:r>
      <w:r w:rsidR="00E42674" w:rsidRPr="000878BB">
        <w:rPr>
          <w:rStyle w:val="FootnoteReference"/>
        </w:rPr>
        <w:footnoteReference w:id="71"/>
      </w:r>
    </w:p>
    <w:p w:rsidR="00E42674" w:rsidRPr="003C33CA" w:rsidRDefault="00DC570C" w:rsidP="002868E0">
      <w:pPr>
        <w:pStyle w:val="SingleTxtG"/>
      </w:pPr>
      <w:r>
        <w:rPr>
          <w:rFonts w:eastAsia="Batang"/>
          <w:lang w:val="en-AU"/>
        </w:rPr>
        <w:t>76</w:t>
      </w:r>
      <w:r w:rsidR="003C33CA" w:rsidRPr="000878BB">
        <w:rPr>
          <w:rFonts w:eastAsia="Batang" w:hint="eastAsia"/>
          <w:lang w:val="en-AU"/>
        </w:rPr>
        <w:t>.</w:t>
      </w:r>
      <w:r w:rsidR="003C33CA" w:rsidRPr="000878BB">
        <w:rPr>
          <w:rFonts w:eastAsia="Batang" w:hint="eastAsia"/>
          <w:lang w:val="en-AU"/>
        </w:rPr>
        <w:tab/>
      </w:r>
      <w:r w:rsidR="00E42674" w:rsidRPr="003C33CA">
        <w:rPr>
          <w:lang w:eastAsia="ko-KR"/>
        </w:rPr>
        <w:t>The OHCHR could play an important role in further s</w:t>
      </w:r>
      <w:r w:rsidR="00E42674" w:rsidRPr="003C33CA">
        <w:t>trengthen</w:t>
      </w:r>
      <w:r w:rsidR="00E42674" w:rsidRPr="003C33CA">
        <w:rPr>
          <w:lang w:eastAsia="ko-KR"/>
        </w:rPr>
        <w:t>ing</w:t>
      </w:r>
      <w:r w:rsidR="00E42674" w:rsidRPr="003C33CA">
        <w:t xml:space="preserve"> cooperation between the UN human rights system and regional human rights mechanisms</w:t>
      </w:r>
      <w:r w:rsidR="00E42674" w:rsidRPr="003C33CA">
        <w:rPr>
          <w:lang w:eastAsia="ko-KR"/>
        </w:rPr>
        <w:t xml:space="preserve"> by allocating sta</w:t>
      </w:r>
      <w:r w:rsidR="00E42674" w:rsidRPr="003C33CA">
        <w:t xml:space="preserve">ff to coordinate interaction between the UN and regional human rights mechanisms </w:t>
      </w:r>
      <w:r w:rsidR="00E42674" w:rsidRPr="003C33CA">
        <w:rPr>
          <w:lang w:eastAsia="ko-KR"/>
        </w:rPr>
        <w:t>and</w:t>
      </w:r>
      <w:r w:rsidR="00E42674" w:rsidRPr="003C33CA">
        <w:t xml:space="preserve"> among focal points.</w:t>
      </w:r>
      <w:r w:rsidR="00E42674" w:rsidRPr="003C33CA">
        <w:rPr>
          <w:lang w:eastAsia="ko-KR"/>
        </w:rPr>
        <w:t xml:space="preserve"> </w:t>
      </w:r>
    </w:p>
    <w:p w:rsidR="00E42674" w:rsidRPr="003C33CA" w:rsidRDefault="00DC570C" w:rsidP="002868E0">
      <w:pPr>
        <w:pStyle w:val="SingleTxtG"/>
        <w:rPr>
          <w:lang w:eastAsia="ko-KR"/>
        </w:rPr>
      </w:pPr>
      <w:r>
        <w:rPr>
          <w:rFonts w:eastAsia="Batang"/>
          <w:lang w:val="en-AU" w:eastAsia="ko-KR"/>
        </w:rPr>
        <w:t>77</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 xml:space="preserve">The OHCHR may consider facilitating staff exchange and peer advice for regional mechanisms, and provide regular training and publish its performance assessment of regional mechanisms to identify areas where the OHCHR can provide </w:t>
      </w:r>
      <w:r w:rsidR="00E42674" w:rsidRPr="003C33CA">
        <w:rPr>
          <w:rFonts w:hint="eastAsia"/>
          <w:lang w:eastAsia="ko-KR"/>
        </w:rPr>
        <w:t xml:space="preserve">further </w:t>
      </w:r>
      <w:r w:rsidR="00E42674" w:rsidRPr="003C33CA">
        <w:rPr>
          <w:lang w:eastAsia="ko-KR"/>
        </w:rPr>
        <w:t>support.</w:t>
      </w:r>
      <w:r w:rsidR="00E42674" w:rsidRPr="000878BB">
        <w:rPr>
          <w:rStyle w:val="FootnoteReference"/>
          <w:lang w:eastAsia="ko-KR"/>
        </w:rPr>
        <w:footnoteReference w:id="72"/>
      </w:r>
      <w:r w:rsidR="00E42674" w:rsidRPr="003C33CA">
        <w:rPr>
          <w:lang w:eastAsia="ko-KR"/>
        </w:rPr>
        <w:t xml:space="preserve"> </w:t>
      </w:r>
    </w:p>
    <w:p w:rsidR="00E42674" w:rsidRPr="003C33CA" w:rsidRDefault="00DC570C" w:rsidP="002868E0">
      <w:pPr>
        <w:pStyle w:val="SingleTxtG"/>
        <w:rPr>
          <w:lang w:eastAsia="ko-KR"/>
        </w:rPr>
      </w:pPr>
      <w:r>
        <w:rPr>
          <w:rFonts w:eastAsia="Batang"/>
          <w:lang w:val="en-AU" w:eastAsia="ko-KR"/>
        </w:rPr>
        <w:t>78</w:t>
      </w:r>
      <w:r w:rsidR="003C33CA" w:rsidRPr="000878BB">
        <w:rPr>
          <w:rFonts w:eastAsia="Batang" w:hint="eastAsia"/>
          <w:lang w:val="en-AU" w:eastAsia="ko-KR"/>
        </w:rPr>
        <w:t>.</w:t>
      </w:r>
      <w:r w:rsidR="003C33CA" w:rsidRPr="000878BB">
        <w:rPr>
          <w:rFonts w:eastAsia="Batang" w:hint="eastAsia"/>
          <w:lang w:val="en-AU" w:eastAsia="ko-KR"/>
        </w:rPr>
        <w:tab/>
      </w:r>
      <w:r w:rsidR="00E42674" w:rsidRPr="003C33CA">
        <w:rPr>
          <w:lang w:eastAsia="ko-KR"/>
        </w:rPr>
        <w:t xml:space="preserve">The </w:t>
      </w:r>
      <w:r w:rsidR="00E42674" w:rsidRPr="003C33CA">
        <w:rPr>
          <w:rFonts w:eastAsia="Batang"/>
          <w:lang w:eastAsia="ko-KR"/>
        </w:rPr>
        <w:t xml:space="preserve">OHCHR could also help to establish regional offices and human rights </w:t>
      </w:r>
      <w:proofErr w:type="spellStart"/>
      <w:r w:rsidR="00E42674" w:rsidRPr="003C33CA">
        <w:rPr>
          <w:rFonts w:eastAsia="Batang"/>
          <w:lang w:eastAsia="ko-KR"/>
        </w:rPr>
        <w:t>centers</w:t>
      </w:r>
      <w:proofErr w:type="spellEnd"/>
      <w:r w:rsidR="00E42674" w:rsidRPr="003C33CA">
        <w:rPr>
          <w:rFonts w:eastAsia="Batang"/>
          <w:lang w:eastAsia="ko-KR"/>
        </w:rPr>
        <w:t xml:space="preserve"> that provide additional institutional support for promoting the regional protection of human rights.</w:t>
      </w:r>
      <w:r w:rsidR="00E42674" w:rsidRPr="000878BB">
        <w:rPr>
          <w:rStyle w:val="FootnoteReference"/>
          <w:rFonts w:eastAsia="Batang"/>
          <w:lang w:eastAsia="ko-KR"/>
        </w:rPr>
        <w:footnoteReference w:id="73"/>
      </w:r>
      <w:r w:rsidR="00E42674" w:rsidRPr="003C33CA">
        <w:rPr>
          <w:rFonts w:eastAsia="Batang"/>
          <w:lang w:eastAsia="ko-KR"/>
        </w:rPr>
        <w:t xml:space="preserve"> </w:t>
      </w:r>
    </w:p>
    <w:p w:rsidR="00AD0FEE" w:rsidRPr="003C33CA" w:rsidRDefault="00DC570C" w:rsidP="002868E0">
      <w:pPr>
        <w:pStyle w:val="SingleTxtG"/>
        <w:rPr>
          <w:rFonts w:eastAsia="Calibri"/>
          <w:lang w:val="en-AU"/>
        </w:rPr>
      </w:pPr>
      <w:r>
        <w:rPr>
          <w:rFonts w:eastAsia="Batang"/>
          <w:lang w:val="en-AU"/>
        </w:rPr>
        <w:t>79</w:t>
      </w:r>
      <w:bookmarkStart w:id="0" w:name="_GoBack"/>
      <w:bookmarkEnd w:id="0"/>
      <w:r w:rsidR="003C33CA" w:rsidRPr="00E42674">
        <w:rPr>
          <w:rFonts w:eastAsia="Batang" w:hint="eastAsia"/>
          <w:lang w:val="en-AU"/>
        </w:rPr>
        <w:t>.</w:t>
      </w:r>
      <w:r w:rsidR="003C33CA" w:rsidRPr="00E42674">
        <w:rPr>
          <w:rFonts w:eastAsia="Batang" w:hint="eastAsia"/>
          <w:lang w:val="en-AU"/>
        </w:rPr>
        <w:tab/>
      </w:r>
      <w:r w:rsidR="00E42674" w:rsidRPr="003C33CA">
        <w:rPr>
          <w:lang w:eastAsia="ko-KR"/>
        </w:rPr>
        <w:t>Thematic issues of common interest such as the fight against racial and ethnic discrimination, rights of persons with disabilities, gender equality, violence against women, and protection of vulnerable groups are areas where the OHCHR can contribute.</w:t>
      </w:r>
      <w:r w:rsidR="00E42674" w:rsidRPr="000878BB">
        <w:rPr>
          <w:rStyle w:val="FootnoteReference"/>
          <w:lang w:eastAsia="ko-KR"/>
        </w:rPr>
        <w:footnoteReference w:id="74"/>
      </w:r>
      <w:r w:rsidR="00E42674" w:rsidRPr="003C33CA">
        <w:rPr>
          <w:lang w:eastAsia="ko-KR"/>
        </w:rPr>
        <w:t xml:space="preserve">  </w:t>
      </w:r>
    </w:p>
    <w:p w:rsidR="00EB5BC1" w:rsidRPr="00EB5BC1" w:rsidRDefault="00EB5BC1" w:rsidP="00EB5BC1">
      <w:pPr>
        <w:pStyle w:val="SingleTxtG"/>
        <w:spacing w:before="240" w:after="0"/>
        <w:jc w:val="center"/>
        <w:rPr>
          <w:b/>
          <w:u w:val="single"/>
          <w:lang w:val="en-US"/>
        </w:rPr>
      </w:pPr>
      <w:r>
        <w:rPr>
          <w:u w:val="single"/>
          <w:lang w:val="en-US"/>
        </w:rPr>
        <w:tab/>
      </w:r>
      <w:r>
        <w:rPr>
          <w:u w:val="single"/>
          <w:lang w:val="en-US"/>
        </w:rPr>
        <w:tab/>
      </w:r>
      <w:r>
        <w:rPr>
          <w:u w:val="single"/>
          <w:lang w:val="en-US"/>
        </w:rPr>
        <w:tab/>
      </w:r>
    </w:p>
    <w:sectPr w:rsidR="00EB5BC1" w:rsidRPr="00EB5BC1" w:rsidSect="00772BD2">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CA" w:rsidRDefault="003C33CA"/>
  </w:endnote>
  <w:endnote w:type="continuationSeparator" w:id="0">
    <w:p w:rsidR="003C33CA" w:rsidRDefault="003C33CA"/>
  </w:endnote>
  <w:endnote w:type="continuationNotice" w:id="1">
    <w:p w:rsidR="003C33CA" w:rsidRDefault="003C3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CA" w:rsidRPr="00433ACB" w:rsidRDefault="003C33CA"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B64DB6">
      <w:rPr>
        <w:b/>
        <w:noProof/>
        <w:sz w:val="18"/>
      </w:rPr>
      <w:t>24</w:t>
    </w:r>
    <w:r w:rsidRPr="00CB4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CA" w:rsidRPr="00E96B38" w:rsidRDefault="003C33CA"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B64DB6">
      <w:rPr>
        <w:b/>
        <w:noProof/>
        <w:sz w:val="18"/>
      </w:rPr>
      <w:t>23</w:t>
    </w:r>
    <w:r w:rsidRPr="00CB4E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CA" w:rsidRPr="000B175B" w:rsidRDefault="003C33CA" w:rsidP="00EE3BAF">
      <w:pPr>
        <w:tabs>
          <w:tab w:val="right" w:pos="2155"/>
        </w:tabs>
        <w:spacing w:after="80"/>
        <w:ind w:left="680"/>
        <w:rPr>
          <w:u w:val="single"/>
        </w:rPr>
      </w:pPr>
      <w:r>
        <w:rPr>
          <w:u w:val="single"/>
        </w:rPr>
        <w:tab/>
      </w:r>
    </w:p>
  </w:footnote>
  <w:footnote w:type="continuationSeparator" w:id="0">
    <w:p w:rsidR="003C33CA" w:rsidRPr="00FC68B7" w:rsidRDefault="003C33CA" w:rsidP="00EE3BAF">
      <w:pPr>
        <w:tabs>
          <w:tab w:val="left" w:pos="2155"/>
        </w:tabs>
        <w:spacing w:after="80"/>
        <w:ind w:left="680"/>
        <w:rPr>
          <w:u w:val="single"/>
        </w:rPr>
      </w:pPr>
      <w:r>
        <w:rPr>
          <w:u w:val="single"/>
        </w:rPr>
        <w:tab/>
      </w:r>
    </w:p>
  </w:footnote>
  <w:footnote w:type="continuationNotice" w:id="1">
    <w:p w:rsidR="003C33CA" w:rsidRDefault="003C33CA"/>
  </w:footnote>
  <w:footnote w:id="2">
    <w:p w:rsidR="003C33CA" w:rsidRPr="000878BB" w:rsidRDefault="003C33CA" w:rsidP="00E42674">
      <w:pPr>
        <w:pStyle w:val="FootnoteText"/>
        <w:rPr>
          <w:sz w:val="16"/>
          <w:szCs w:val="16"/>
          <w:lang w:eastAsia="ko-KR"/>
        </w:rPr>
      </w:pPr>
      <w:r>
        <w:rPr>
          <w:sz w:val="16"/>
          <w:szCs w:val="16"/>
          <w:lang w:val="fr-CH"/>
        </w:rPr>
        <w:tab/>
      </w:r>
      <w:r w:rsidRPr="000878BB">
        <w:rPr>
          <w:rStyle w:val="FootnoteReference"/>
          <w:sz w:val="16"/>
          <w:szCs w:val="16"/>
        </w:rPr>
        <w:footnoteRef/>
      </w:r>
      <w:r w:rsidRPr="000878BB">
        <w:rPr>
          <w:sz w:val="16"/>
          <w:szCs w:val="16"/>
        </w:rPr>
        <w:t xml:space="preserve"> </w:t>
      </w:r>
      <w:r w:rsidRPr="003C33CA">
        <w:rPr>
          <w:sz w:val="16"/>
          <w:szCs w:val="16"/>
          <w:lang w:val="en-GB"/>
        </w:rPr>
        <w:tab/>
      </w:r>
      <w:r w:rsidRPr="000878BB">
        <w:rPr>
          <w:sz w:val="16"/>
          <w:szCs w:val="16"/>
        </w:rPr>
        <w:t>European Court of Human Rights, (2014). The EHCR in 50 Questions. Retrieved from http://www.echr.coe.int/documents/50questions_eng.pdf</w:t>
      </w:r>
    </w:p>
  </w:footnote>
  <w:footnote w:id="3">
    <w:p w:rsidR="003C33CA" w:rsidRPr="000878BB" w:rsidRDefault="003C33CA" w:rsidP="00E42674">
      <w:pPr>
        <w:pStyle w:val="FootnoteText"/>
        <w:rPr>
          <w:sz w:val="16"/>
          <w:szCs w:val="16"/>
          <w:lang w:eastAsia="ko-KR"/>
        </w:rPr>
      </w:pPr>
      <w:r>
        <w:rPr>
          <w:sz w:val="16"/>
          <w:szCs w:val="16"/>
          <w:lang w:val="fr-CH"/>
        </w:rPr>
        <w:tab/>
      </w:r>
      <w:r w:rsidRPr="000878BB">
        <w:rPr>
          <w:rStyle w:val="FootnoteReference"/>
          <w:sz w:val="16"/>
          <w:szCs w:val="16"/>
        </w:rPr>
        <w:footnoteRef/>
      </w:r>
      <w:r>
        <w:rPr>
          <w:sz w:val="16"/>
          <w:szCs w:val="16"/>
          <w:lang w:val="fr-CH"/>
        </w:rPr>
        <w:tab/>
      </w:r>
      <w:r w:rsidRPr="000878BB">
        <w:rPr>
          <w:sz w:val="16"/>
          <w:szCs w:val="16"/>
        </w:rPr>
        <w:t xml:space="preserve"> </w:t>
      </w:r>
      <w:r w:rsidRPr="000878BB">
        <w:rPr>
          <w:sz w:val="16"/>
          <w:szCs w:val="16"/>
        </w:rPr>
        <w:t>Donnelly, J. (2013). Universal human rights in theory and practice (3rd ed.). Ithaca: Cornell University Press.</w:t>
      </w:r>
      <w:r w:rsidRPr="000878BB">
        <w:rPr>
          <w:rFonts w:hint="eastAsia"/>
          <w:sz w:val="16"/>
          <w:szCs w:val="16"/>
          <w:lang w:eastAsia="ko-KR"/>
        </w:rPr>
        <w:t xml:space="preserve"> The Council of Europe explains it as below: </w:t>
      </w:r>
      <w:r w:rsidRPr="000878BB">
        <w:rPr>
          <w:sz w:val="16"/>
          <w:szCs w:val="16"/>
          <w:lang w:eastAsia="ko-KR"/>
        </w:rPr>
        <w:t>“The Charter is based on a ratification system, enabling States, under certain conditions, to choose the provisions they are willing to accept as binding international legal obligations. They are encouraged to progressively accept all the Charter’s provisions.”</w:t>
      </w:r>
      <w:r w:rsidRPr="000878BB">
        <w:rPr>
          <w:rFonts w:hint="eastAsia"/>
          <w:sz w:val="16"/>
          <w:szCs w:val="16"/>
          <w:lang w:eastAsia="ko-KR"/>
        </w:rPr>
        <w:t xml:space="preserve"> R</w:t>
      </w:r>
      <w:r w:rsidRPr="000878BB">
        <w:rPr>
          <w:sz w:val="16"/>
          <w:szCs w:val="16"/>
          <w:lang w:eastAsia="ko-KR"/>
        </w:rPr>
        <w:t>e</w:t>
      </w:r>
      <w:r w:rsidRPr="000878BB">
        <w:rPr>
          <w:rFonts w:hint="eastAsia"/>
          <w:sz w:val="16"/>
          <w:szCs w:val="16"/>
          <w:lang w:eastAsia="ko-KR"/>
        </w:rPr>
        <w:t xml:space="preserve">trieved from </w:t>
      </w:r>
      <w:r w:rsidRPr="000878BB">
        <w:rPr>
          <w:sz w:val="16"/>
          <w:szCs w:val="16"/>
          <w:lang w:eastAsia="ko-KR"/>
        </w:rPr>
        <w:t>http://www.coe.int/en/web/turin-european-social-charter/about-the-charter</w:t>
      </w:r>
      <w:r w:rsidRPr="000878BB">
        <w:rPr>
          <w:rFonts w:hint="eastAsia"/>
          <w:sz w:val="16"/>
          <w:szCs w:val="16"/>
          <w:lang w:eastAsia="ko-KR"/>
        </w:rPr>
        <w:t xml:space="preserve"> </w:t>
      </w:r>
    </w:p>
  </w:footnote>
  <w:footnote w:id="4">
    <w:p w:rsidR="003C33CA" w:rsidRPr="000878BB" w:rsidRDefault="003C33CA" w:rsidP="00E42674">
      <w:pPr>
        <w:pStyle w:val="FootnoteText"/>
        <w:rPr>
          <w:lang w:eastAsia="ko-KR"/>
        </w:rPr>
      </w:pPr>
      <w:r>
        <w:rPr>
          <w:lang w:val="fr-CH" w:eastAsia="ko-KR"/>
        </w:rPr>
        <w:tab/>
      </w:r>
      <w:r w:rsidRPr="000878BB">
        <w:rPr>
          <w:rStyle w:val="FootnoteReference"/>
          <w:sz w:val="16"/>
          <w:szCs w:val="16"/>
        </w:rPr>
        <w:footnoteRef/>
      </w:r>
      <w:r w:rsidRPr="000878BB">
        <w:rPr>
          <w:rFonts w:hint="eastAsia"/>
          <w:lang w:eastAsia="ko-KR"/>
        </w:rPr>
        <w:t xml:space="preserve"> </w:t>
      </w:r>
      <w:r w:rsidRPr="003C33CA">
        <w:rPr>
          <w:lang w:val="en-GB" w:eastAsia="ko-KR"/>
        </w:rPr>
        <w:tab/>
      </w:r>
      <w:r w:rsidRPr="000878BB">
        <w:rPr>
          <w:sz w:val="16"/>
          <w:szCs w:val="16"/>
        </w:rPr>
        <w:t xml:space="preserve">Inter-American Human Rights System. International Justice Resource </w:t>
      </w:r>
      <w:proofErr w:type="spellStart"/>
      <w:r w:rsidRPr="000878BB">
        <w:rPr>
          <w:sz w:val="16"/>
          <w:szCs w:val="16"/>
        </w:rPr>
        <w:t>Center</w:t>
      </w:r>
      <w:proofErr w:type="spellEnd"/>
      <w:r w:rsidRPr="000878BB">
        <w:rPr>
          <w:sz w:val="16"/>
          <w:szCs w:val="16"/>
        </w:rPr>
        <w:t>. Retrieved from http://www.ijrcenter.org/regional/inter-american-system/</w:t>
      </w:r>
    </w:p>
  </w:footnote>
  <w:footnote w:id="5">
    <w:p w:rsidR="003C33CA" w:rsidRPr="006A5689" w:rsidRDefault="006A5689" w:rsidP="006A5689">
      <w:pPr>
        <w:pStyle w:val="FootnoteText"/>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6A5689">
        <w:rPr>
          <w:rFonts w:hint="eastAsia"/>
        </w:rPr>
        <w:t>African Court on H</w:t>
      </w:r>
      <w:r w:rsidR="003C33CA" w:rsidRPr="006A5689">
        <w:t>u</w:t>
      </w:r>
      <w:r w:rsidR="003C33CA" w:rsidRPr="006A5689">
        <w:rPr>
          <w:rFonts w:hint="eastAsia"/>
        </w:rPr>
        <w:t>man and People</w:t>
      </w:r>
      <w:r w:rsidR="003C33CA" w:rsidRPr="006A5689">
        <w:t>’</w:t>
      </w:r>
      <w:r w:rsidR="003C33CA" w:rsidRPr="006A5689">
        <w:rPr>
          <w:rFonts w:hint="eastAsia"/>
        </w:rPr>
        <w:t xml:space="preserve">s Rights. </w:t>
      </w:r>
      <w:r w:rsidR="003C33CA" w:rsidRPr="006A5689">
        <w:t>http://en.african-court.org/index.php/cases/2016-10-17-16-18-21#finalised-cases</w:t>
      </w:r>
    </w:p>
  </w:footnote>
  <w:footnote w:id="6">
    <w:p w:rsidR="003C33CA" w:rsidRPr="006A5689" w:rsidRDefault="006A5689" w:rsidP="006A5689">
      <w:pPr>
        <w:pStyle w:val="FootnoteText"/>
      </w:pPr>
      <w:r w:rsidRPr="006A5689">
        <w:tab/>
      </w:r>
      <w:r w:rsidR="003C33CA" w:rsidRPr="006A5689">
        <w:rPr>
          <w:rStyle w:val="FootnoteReference"/>
        </w:rPr>
        <w:footnoteRef/>
      </w:r>
      <w:r w:rsidRPr="006A5689">
        <w:tab/>
      </w:r>
      <w:r w:rsidR="003C33CA" w:rsidRPr="006A5689">
        <w:t xml:space="preserve"> </w:t>
      </w:r>
      <w:r w:rsidR="003C33CA" w:rsidRPr="006A5689">
        <w:t xml:space="preserve">Forsythe 2009: 413-414; </w:t>
      </w:r>
      <w:proofErr w:type="spellStart"/>
      <w:r w:rsidR="003C33CA" w:rsidRPr="006A5689">
        <w:t>Rishmawi</w:t>
      </w:r>
      <w:proofErr w:type="spellEnd"/>
      <w:r w:rsidR="003C33CA" w:rsidRPr="006A5689">
        <w:t xml:space="preserve"> 2005: 364-376</w:t>
      </w:r>
    </w:p>
  </w:footnote>
  <w:footnote w:id="7">
    <w:p w:rsidR="003C33CA" w:rsidRPr="006A5689" w:rsidRDefault="006A5689" w:rsidP="006A5689">
      <w:pPr>
        <w:pStyle w:val="FootnoteText"/>
      </w:pPr>
      <w:r w:rsidRPr="006A5689">
        <w:tab/>
      </w:r>
      <w:r w:rsidR="003C33CA" w:rsidRPr="006A5689">
        <w:rPr>
          <w:rStyle w:val="FootnoteReference"/>
        </w:rPr>
        <w:footnoteRef/>
      </w:r>
      <w:r w:rsidR="003C33CA" w:rsidRPr="006A5689">
        <w:rPr>
          <w:vertAlign w:val="superscript"/>
        </w:rPr>
        <w:t xml:space="preserve"> </w:t>
      </w:r>
      <w:r w:rsidRPr="006A5689">
        <w:tab/>
      </w:r>
      <w:r w:rsidR="003C33CA" w:rsidRPr="006A5689">
        <w:t>ASEAN Intergovernmental Human Rights Commission on Human Rights. Retrieved from http://aichr.org/press-release/the-adoption-of-the-asean-human-rights-declaration-ahrd-at-the-21st-asean-summit-and-the-special-meeting-of-the-asean-intergovernmental-commission-on-human-rights-aichr/</w:t>
      </w:r>
    </w:p>
  </w:footnote>
  <w:footnote w:id="8">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OAS: IACHR: Country Reports. (2016). Oas.org. Retrieved from http://www.oas.org/en/iachr/reports/country.asp</w:t>
      </w:r>
    </w:p>
  </w:footnote>
  <w:footnote w:id="9">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Donnelly, J. (2013). Universal human rights in theory and practice (3rd ed.). Ithaca: Cornell University Press.</w:t>
      </w:r>
    </w:p>
  </w:footnote>
  <w:footnote w:id="10">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rPr>
          <w:rFonts w:hint="eastAsia"/>
          <w:lang w:eastAsia="ko-KR"/>
        </w:rPr>
        <w:t xml:space="preserve">European Court of Human Rights Factsheet, </w:t>
      </w:r>
      <w:r w:rsidR="003C33CA" w:rsidRPr="000878BB">
        <w:t>Homosexuality: criminal aspects. (2014) (1st ed., p. 1). Retrieved from http://www.echr.coe.int/Documents/FS_Homosexuality_ENG.pdf</w:t>
      </w:r>
    </w:p>
  </w:footnote>
  <w:footnote w:id="11">
    <w:p w:rsidR="003C33CA" w:rsidRPr="000878BB" w:rsidRDefault="006A5689" w:rsidP="006A5689">
      <w:pPr>
        <w:pStyle w:val="FootnoteText"/>
        <w:rPr>
          <w:lang w:eastAsia="ko-KR"/>
        </w:rPr>
      </w:pPr>
      <w:r>
        <w:rPr>
          <w:lang w:val="fr-CH" w:eastAsia="ko-KR"/>
        </w:rPr>
        <w:tab/>
      </w:r>
      <w:r w:rsidR="003C33CA" w:rsidRPr="000878BB">
        <w:rPr>
          <w:rStyle w:val="FootnoteReference"/>
          <w:sz w:val="16"/>
          <w:szCs w:val="16"/>
        </w:rPr>
        <w:footnoteRef/>
      </w:r>
      <w:r w:rsidR="003C33CA" w:rsidRPr="000878BB">
        <w:rPr>
          <w:lang w:eastAsia="ko-KR"/>
        </w:rPr>
        <w:t xml:space="preserve"> </w:t>
      </w:r>
      <w:r>
        <w:rPr>
          <w:lang w:val="fr-CH" w:eastAsia="ko-KR"/>
        </w:rPr>
        <w:tab/>
      </w:r>
      <w:proofErr w:type="spellStart"/>
      <w:r w:rsidR="003C33CA" w:rsidRPr="000878BB">
        <w:t>Coomans</w:t>
      </w:r>
      <w:proofErr w:type="spellEnd"/>
      <w:r w:rsidR="003C33CA" w:rsidRPr="000878BB">
        <w:t xml:space="preserve">, F. (2003). The Ogoni Case before the African Commission on Human and Peoples' Rights. International And Comparative Law Quarterly, 52(3), 749-760. </w:t>
      </w:r>
      <w:hyperlink r:id="rId1" w:history="1">
        <w:r w:rsidR="003C33CA" w:rsidRPr="000878BB">
          <w:rPr>
            <w:rStyle w:val="Hyperlink"/>
            <w:sz w:val="16"/>
            <w:szCs w:val="16"/>
          </w:rPr>
          <w:t>http://dx.doi.org/10.1093/iclq/52.3.749</w:t>
        </w:r>
      </w:hyperlink>
    </w:p>
  </w:footnote>
  <w:footnote w:id="12">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rPr>
          <w:lang w:eastAsia="ko-KR"/>
        </w:rPr>
        <w:t>Survey response by the government of Montenegro</w:t>
      </w:r>
    </w:p>
  </w:footnote>
  <w:footnote w:id="13">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proofErr w:type="spellStart"/>
      <w:r w:rsidR="003C33CA" w:rsidRPr="000878BB">
        <w:t>Yerima</w:t>
      </w:r>
      <w:proofErr w:type="spellEnd"/>
      <w:r w:rsidR="003C33CA" w:rsidRPr="000878BB">
        <w:t>, T. (2012). Global Journal Of Human Social Science Arts And Humanities, 12(12). Retrieved from https://globaljournals.org/GJHSS_Volume12/7-Over-Two-Decades-of-African.pdf</w:t>
      </w:r>
    </w:p>
  </w:footnote>
  <w:footnote w:id="14">
    <w:p w:rsidR="003C33CA" w:rsidRPr="000878BB" w:rsidRDefault="006A5689" w:rsidP="006A5689">
      <w:pPr>
        <w:pStyle w:val="FootnoteText"/>
        <w:rPr>
          <w:lang w:eastAsia="ko-KR"/>
        </w:rPr>
      </w:pPr>
      <w:r>
        <w:rPr>
          <w:lang w:val="fr-CH" w:eastAsia="ko-KR"/>
        </w:rPr>
        <w:tab/>
      </w:r>
      <w:r w:rsidR="003C33CA" w:rsidRPr="000878BB">
        <w:rPr>
          <w:rStyle w:val="FootnoteReference"/>
          <w:sz w:val="16"/>
          <w:szCs w:val="16"/>
        </w:rPr>
        <w:footnoteRef/>
      </w:r>
      <w:r w:rsidR="003C33CA" w:rsidRPr="000878BB">
        <w:rPr>
          <w:lang w:eastAsia="ko-KR"/>
        </w:rPr>
        <w:t xml:space="preserve"> </w:t>
      </w:r>
      <w:r>
        <w:rPr>
          <w:lang w:val="fr-CH" w:eastAsia="ko-KR"/>
        </w:rPr>
        <w:tab/>
      </w:r>
      <w:r w:rsidR="003C33CA" w:rsidRPr="000878BB">
        <w:t>Annual Report 2014. (2014). http://www.echr.coe.int/Documents/Annual_Report_2014_ENG.pdf</w:t>
      </w:r>
    </w:p>
  </w:footnote>
  <w:footnote w:id="15">
    <w:p w:rsidR="003C33CA" w:rsidRPr="000878BB" w:rsidRDefault="006A5689" w:rsidP="006A5689">
      <w:pPr>
        <w:pStyle w:val="FootnoteText"/>
        <w:rPr>
          <w:lang w:eastAsia="ko-KR"/>
        </w:rPr>
      </w:pPr>
      <w:r>
        <w:rPr>
          <w:lang w:val="fr-CH" w:eastAsia="ko-KR"/>
        </w:rPr>
        <w:tab/>
      </w:r>
      <w:r w:rsidR="003C33CA" w:rsidRPr="000878BB">
        <w:rPr>
          <w:rStyle w:val="FootnoteReference"/>
          <w:sz w:val="16"/>
          <w:szCs w:val="16"/>
        </w:rPr>
        <w:footnoteRef/>
      </w:r>
      <w:r w:rsidR="003C33CA" w:rsidRPr="000878BB">
        <w:rPr>
          <w:rFonts w:hint="eastAsia"/>
          <w:lang w:eastAsia="ko-KR"/>
        </w:rPr>
        <w:t xml:space="preserve"> </w:t>
      </w:r>
      <w:r>
        <w:rPr>
          <w:lang w:val="fr-CH" w:eastAsia="ko-KR"/>
        </w:rPr>
        <w:tab/>
      </w:r>
      <w:r w:rsidR="003C33CA" w:rsidRPr="000878BB">
        <w:rPr>
          <w:rFonts w:hint="eastAsia"/>
          <w:lang w:eastAsia="ko-KR"/>
        </w:rPr>
        <w:t xml:space="preserve">Goldman, R. (2009). </w:t>
      </w:r>
      <w:r w:rsidR="003C33CA" w:rsidRPr="000878BB">
        <w:rPr>
          <w:lang w:eastAsia="ko-KR"/>
        </w:rPr>
        <w:t>History and Action: the Inter-American Human</w:t>
      </w:r>
      <w:r w:rsidR="003C33CA" w:rsidRPr="000878BB">
        <w:rPr>
          <w:rFonts w:hint="eastAsia"/>
          <w:lang w:eastAsia="ko-KR"/>
        </w:rPr>
        <w:t xml:space="preserve"> </w:t>
      </w:r>
      <w:r w:rsidR="003C33CA" w:rsidRPr="000878BB">
        <w:rPr>
          <w:lang w:eastAsia="ko-KR"/>
        </w:rPr>
        <w:t>Rights System and the Role of the Inter-American</w:t>
      </w:r>
      <w:r w:rsidR="003C33CA" w:rsidRPr="000878BB">
        <w:rPr>
          <w:rFonts w:hint="eastAsia"/>
          <w:lang w:eastAsia="ko-KR"/>
        </w:rPr>
        <w:t xml:space="preserve"> </w:t>
      </w:r>
      <w:r w:rsidR="003C33CA" w:rsidRPr="000878BB">
        <w:rPr>
          <w:lang w:eastAsia="ko-KR"/>
        </w:rPr>
        <w:t>Commission on Human Rights</w:t>
      </w:r>
      <w:r w:rsidR="003C33CA" w:rsidRPr="000878BB">
        <w:rPr>
          <w:rFonts w:hint="eastAsia"/>
          <w:lang w:eastAsia="ko-KR"/>
        </w:rPr>
        <w:t>. R</w:t>
      </w:r>
      <w:r w:rsidR="003C33CA" w:rsidRPr="000878BB">
        <w:rPr>
          <w:lang w:eastAsia="ko-KR"/>
        </w:rPr>
        <w:t>e</w:t>
      </w:r>
      <w:r w:rsidR="003C33CA" w:rsidRPr="000878BB">
        <w:rPr>
          <w:rFonts w:hint="eastAsia"/>
          <w:lang w:eastAsia="ko-KR"/>
        </w:rPr>
        <w:t xml:space="preserve">trieved from </w:t>
      </w:r>
      <w:hyperlink r:id="rId2" w:history="1">
        <w:r w:rsidR="003C33CA" w:rsidRPr="000878BB">
          <w:rPr>
            <w:rStyle w:val="Hyperlink"/>
            <w:sz w:val="16"/>
            <w:szCs w:val="16"/>
            <w:lang w:eastAsia="ko-KR"/>
          </w:rPr>
          <w:t>http://digitalcommons.wcl.american.edu/cgi/viewcontent.cgi?article=1027&amp;context=facsch_lawrev</w:t>
        </w:r>
      </w:hyperlink>
    </w:p>
  </w:footnote>
  <w:footnote w:id="16">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rPr>
          <w:lang w:eastAsia="ko-KR"/>
        </w:rPr>
        <w:t>Survey response by the government of Kenya</w:t>
      </w:r>
    </w:p>
  </w:footnote>
  <w:footnote w:id="17">
    <w:p w:rsidR="003C33CA" w:rsidRPr="000878BB" w:rsidRDefault="006A5689" w:rsidP="006A5689">
      <w:pPr>
        <w:pStyle w:val="FootnoteText"/>
        <w:rPr>
          <w:lang w:eastAsia="ko-KR"/>
        </w:rPr>
      </w:pPr>
      <w:r>
        <w:rPr>
          <w:lang w:val="fr-CH" w:eastAsia="ko-KR"/>
        </w:rPr>
        <w:tab/>
      </w:r>
      <w:r w:rsidR="003C33CA" w:rsidRPr="000878BB">
        <w:rPr>
          <w:rStyle w:val="FootnoteReference"/>
          <w:sz w:val="16"/>
          <w:szCs w:val="16"/>
        </w:rPr>
        <w:footnoteRef/>
      </w:r>
      <w:r w:rsidR="003C33CA" w:rsidRPr="000878BB">
        <w:rPr>
          <w:rFonts w:hint="eastAsia"/>
          <w:lang w:eastAsia="ko-KR"/>
        </w:rPr>
        <w:t xml:space="preserve"> </w:t>
      </w:r>
      <w:r w:rsidRPr="006A5689">
        <w:rPr>
          <w:lang w:val="en-GB" w:eastAsia="ko-KR"/>
        </w:rPr>
        <w:tab/>
      </w:r>
      <w:r w:rsidR="003C33CA" w:rsidRPr="000878BB">
        <w:t xml:space="preserve">The Arab League and Human Rights: Challenges Ahead. (2013) (1st ed.). </w:t>
      </w:r>
      <w:hyperlink r:id="rId3" w:history="1">
        <w:r w:rsidR="003C33CA" w:rsidRPr="000878BB">
          <w:rPr>
            <w:rStyle w:val="Hyperlink"/>
            <w:sz w:val="16"/>
            <w:szCs w:val="16"/>
          </w:rPr>
          <w:t>https://www.fidh.org/IMG/pdf/rapport_lea_uk-lddouble.pdf</w:t>
        </w:r>
      </w:hyperlink>
    </w:p>
  </w:footnote>
  <w:footnote w:id="18">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Goldman, R. (2009). The Inter-American Human Rights System and the Role of the Inter-American</w:t>
      </w:r>
      <w:r w:rsidR="003C33CA" w:rsidRPr="000878BB">
        <w:rPr>
          <w:rFonts w:hint="eastAsia"/>
          <w:lang w:eastAsia="ko-KR"/>
        </w:rPr>
        <w:t xml:space="preserve"> </w:t>
      </w:r>
      <w:r w:rsidR="003C33CA" w:rsidRPr="000878BB">
        <w:t>Commission on Human Rights. Human Rights Quarterly, 31(4).</w:t>
      </w:r>
    </w:p>
  </w:footnote>
  <w:footnote w:id="19">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rPr>
          <w:lang w:eastAsia="ko-KR"/>
        </w:rPr>
        <w:t>Survey response by the government of the United States of America</w:t>
      </w:r>
    </w:p>
  </w:footnote>
  <w:footnote w:id="20">
    <w:p w:rsidR="003C33CA" w:rsidRPr="000878BB" w:rsidRDefault="006A5689" w:rsidP="006A5689">
      <w:pPr>
        <w:pStyle w:val="FootnoteText"/>
        <w:rPr>
          <w:lang w:val="en-CA"/>
        </w:rPr>
      </w:pPr>
      <w:r>
        <w:rPr>
          <w:lang w:val="fr-CH"/>
        </w:rPr>
        <w:tab/>
      </w:r>
      <w:r w:rsidR="003C33CA" w:rsidRPr="000878BB">
        <w:rPr>
          <w:rStyle w:val="FootnoteReference"/>
        </w:rPr>
        <w:footnoteRef/>
      </w:r>
      <w:r w:rsidR="003C33CA" w:rsidRPr="000878BB">
        <w:t xml:space="preserve"> </w:t>
      </w:r>
      <w:r>
        <w:rPr>
          <w:lang w:val="fr-CH"/>
        </w:rPr>
        <w:tab/>
      </w:r>
      <w:proofErr w:type="spellStart"/>
      <w:r w:rsidR="003C33CA" w:rsidRPr="000878BB">
        <w:t>Viljoen</w:t>
      </w:r>
      <w:proofErr w:type="spellEnd"/>
      <w:r w:rsidR="003C33CA" w:rsidRPr="000878BB">
        <w:t xml:space="preserve">, </w:t>
      </w:r>
      <w:proofErr w:type="spellStart"/>
      <w:r w:rsidR="003C33CA" w:rsidRPr="000878BB">
        <w:t>Frans</w:t>
      </w:r>
      <w:proofErr w:type="spellEnd"/>
      <w:r w:rsidR="003C33CA" w:rsidRPr="000878BB">
        <w:t xml:space="preserve"> (2012). International Human Rights Law in Africa. Oxford: Oxford University Press, 294. </w:t>
      </w:r>
    </w:p>
  </w:footnote>
  <w:footnote w:id="21">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rPr>
          <w:rFonts w:eastAsia="Batang"/>
          <w:lang w:eastAsia="ko-KR"/>
        </w:rPr>
        <w:t>T</w:t>
      </w:r>
      <w:r w:rsidR="003C33CA" w:rsidRPr="000878BB">
        <w:rPr>
          <w:rFonts w:eastAsia="Batang"/>
        </w:rPr>
        <w:t>he following 30 States have ratified the Protocol: Algeria, Benin, Burkina Faso, Burundi, Cameroon, Chad, Cote d’Ivoire,</w:t>
      </w:r>
      <w:r w:rsidR="003C33CA" w:rsidRPr="000878BB">
        <w:rPr>
          <w:rFonts w:eastAsia="Batang"/>
          <w:lang w:eastAsia="ko-KR"/>
        </w:rPr>
        <w:t xml:space="preserve"> </w:t>
      </w:r>
      <w:r w:rsidR="003C33CA" w:rsidRPr="000878BB">
        <w:rPr>
          <w:rFonts w:eastAsia="Batang"/>
        </w:rPr>
        <w:t>Comoros, Congo, Gabon, Gambia, Ghana, Kenya, Libya, Lesotho, Mali, Malawi, Mozambique, Mauritania, Mauritius, Nigeria, Niger, Rwanda, Sahrawi Arab Democratic Republic, South Africa, Senegal, Tanzania, Togo, Tunisia and Uganda</w:t>
      </w:r>
      <w:r w:rsidR="003C33CA" w:rsidRPr="000878BB">
        <w:rPr>
          <w:rFonts w:eastAsia="Batang"/>
          <w:lang w:eastAsia="ko-KR"/>
        </w:rPr>
        <w:t>.</w:t>
      </w:r>
    </w:p>
  </w:footnote>
  <w:footnote w:id="22">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Pr="006A5689">
        <w:rPr>
          <w:lang w:val="en-GB"/>
        </w:rPr>
        <w:tab/>
      </w:r>
      <w:r w:rsidR="003C33CA" w:rsidRPr="000878BB">
        <w:t xml:space="preserve"> </w:t>
      </w:r>
      <w:r w:rsidR="003C33CA" w:rsidRPr="000878BB">
        <w:rPr>
          <w:lang w:eastAsia="ko-KR"/>
        </w:rPr>
        <w:t>Survey response by the government of Kenya</w:t>
      </w:r>
    </w:p>
  </w:footnote>
  <w:footnote w:id="23">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Pr>
          <w:lang w:val="fr-CH"/>
        </w:rPr>
        <w:tab/>
      </w:r>
      <w:r w:rsidR="003C33CA" w:rsidRPr="000878BB">
        <w:t xml:space="preserve"> </w:t>
      </w:r>
      <w:r w:rsidR="003C33CA" w:rsidRPr="000878BB">
        <w:t>Clarke, G. (2012). The Evolving ASEAN Human Rights System: The ASEAN Human Rights Declaration of 2012. </w:t>
      </w:r>
      <w:proofErr w:type="spellStart"/>
      <w:r w:rsidR="003C33CA" w:rsidRPr="000878BB">
        <w:rPr>
          <w:i/>
          <w:iCs/>
        </w:rPr>
        <w:t>Northwestern</w:t>
      </w:r>
      <w:proofErr w:type="spellEnd"/>
      <w:r w:rsidR="003C33CA" w:rsidRPr="000878BB">
        <w:rPr>
          <w:i/>
          <w:iCs/>
        </w:rPr>
        <w:t xml:space="preserve"> Journal Of International Human Rights</w:t>
      </w:r>
      <w:r w:rsidR="003C33CA" w:rsidRPr="000878BB">
        <w:t>, </w:t>
      </w:r>
      <w:r w:rsidR="003C33CA" w:rsidRPr="000878BB">
        <w:rPr>
          <w:i/>
          <w:iCs/>
        </w:rPr>
        <w:t>1</w:t>
      </w:r>
      <w:r w:rsidR="003C33CA" w:rsidRPr="000878BB">
        <w:t>(11).</w:t>
      </w:r>
    </w:p>
  </w:footnote>
  <w:footnote w:id="24">
    <w:p w:rsidR="003C33CA" w:rsidRPr="000878BB" w:rsidRDefault="006A5689" w:rsidP="006A5689">
      <w:pPr>
        <w:pStyle w:val="FootnoteText"/>
        <w:rPr>
          <w:lang w:eastAsia="ko-KR"/>
        </w:rPr>
      </w:pPr>
      <w:r>
        <w:rPr>
          <w:lang w:val="fr-CH" w:eastAsia="ko-KR"/>
        </w:rPr>
        <w:tab/>
      </w:r>
      <w:r w:rsidR="003C33CA" w:rsidRPr="000878BB">
        <w:rPr>
          <w:rStyle w:val="FootnoteReference"/>
          <w:sz w:val="16"/>
          <w:szCs w:val="16"/>
        </w:rPr>
        <w:footnoteRef/>
      </w:r>
      <w:r w:rsidR="003C33CA" w:rsidRPr="000878BB">
        <w:rPr>
          <w:lang w:eastAsia="ko-KR"/>
        </w:rPr>
        <w:t xml:space="preserve"> </w:t>
      </w:r>
      <w:r w:rsidRPr="006A5689">
        <w:rPr>
          <w:lang w:val="en-GB" w:eastAsia="ko-KR"/>
        </w:rPr>
        <w:tab/>
      </w:r>
      <w:proofErr w:type="spellStart"/>
      <w:r w:rsidR="003C33CA" w:rsidRPr="000878BB">
        <w:t>Grear</w:t>
      </w:r>
      <w:proofErr w:type="spellEnd"/>
      <w:r w:rsidR="003C33CA" w:rsidRPr="000878BB">
        <w:t xml:space="preserve">, A. &amp; </w:t>
      </w:r>
      <w:proofErr w:type="spellStart"/>
      <w:r w:rsidR="003C33CA" w:rsidRPr="000878BB">
        <w:t>Kotze</w:t>
      </w:r>
      <w:proofErr w:type="spellEnd"/>
      <w:r w:rsidR="003C33CA" w:rsidRPr="000878BB">
        <w:t>́, L. </w:t>
      </w:r>
      <w:r w:rsidR="003C33CA" w:rsidRPr="000878BB">
        <w:rPr>
          <w:i/>
          <w:iCs/>
        </w:rPr>
        <w:t>Research handbook on human rights and the environment, 2015</w:t>
      </w:r>
      <w:r w:rsidR="003C33CA" w:rsidRPr="000878BB">
        <w:t>.</w:t>
      </w:r>
    </w:p>
  </w:footnote>
  <w:footnote w:id="25">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proofErr w:type="spellStart"/>
      <w:r w:rsidR="003C33CA" w:rsidRPr="000878BB">
        <w:t>Helfer</w:t>
      </w:r>
      <w:proofErr w:type="spellEnd"/>
      <w:r w:rsidR="003C33CA" w:rsidRPr="000878BB">
        <w:t xml:space="preserve">, L. (2008). Redesigning the European Court of Human Rights: </w:t>
      </w:r>
      <w:proofErr w:type="spellStart"/>
      <w:r w:rsidR="003C33CA" w:rsidRPr="000878BB">
        <w:t>Embeddedness</w:t>
      </w:r>
      <w:proofErr w:type="spellEnd"/>
      <w:r w:rsidR="003C33CA" w:rsidRPr="000878BB">
        <w:t xml:space="preserve"> as a Deep Structural Principle of the European Human Rights Regime. </w:t>
      </w:r>
      <w:r w:rsidR="003C33CA" w:rsidRPr="000878BB">
        <w:rPr>
          <w:i/>
          <w:iCs/>
        </w:rPr>
        <w:t>European Journal Of International Law</w:t>
      </w:r>
      <w:r w:rsidR="003C33CA" w:rsidRPr="000878BB">
        <w:t>, </w:t>
      </w:r>
      <w:r w:rsidR="003C33CA" w:rsidRPr="000878BB">
        <w:rPr>
          <w:i/>
          <w:iCs/>
        </w:rPr>
        <w:t>19</w:t>
      </w:r>
      <w:r w:rsidR="003C33CA" w:rsidRPr="000878BB">
        <w:t>(1), 125-159. http://dx.doi.org/10.1093/ejil/chn004</w:t>
      </w:r>
    </w:p>
  </w:footnote>
  <w:footnote w:id="26">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 xml:space="preserve">van </w:t>
      </w:r>
      <w:proofErr w:type="spellStart"/>
      <w:r w:rsidR="003C33CA" w:rsidRPr="000878BB">
        <w:t>Hullen</w:t>
      </w:r>
      <w:proofErr w:type="spellEnd"/>
      <w:r w:rsidR="003C33CA" w:rsidRPr="000878BB">
        <w:t>, V. (2015). Just Leave Us Alone: The Arab League and Human Rights.</w:t>
      </w:r>
    </w:p>
  </w:footnote>
  <w:footnote w:id="27">
    <w:p w:rsidR="003C33CA" w:rsidRPr="000878BB" w:rsidRDefault="006A5689" w:rsidP="006A5689">
      <w:pPr>
        <w:pStyle w:val="FootnoteText"/>
        <w:rPr>
          <w:lang w:eastAsia="ko-KR"/>
        </w:rPr>
      </w:pPr>
      <w:r>
        <w:rPr>
          <w:rFonts w:eastAsia="Batang"/>
          <w:lang w:val="fr-CH" w:eastAsia="ko-KR"/>
        </w:rPr>
        <w:tab/>
      </w:r>
      <w:r w:rsidR="003C33CA" w:rsidRPr="000878BB">
        <w:rPr>
          <w:rStyle w:val="FootnoteReference"/>
          <w:sz w:val="16"/>
          <w:szCs w:val="16"/>
        </w:rPr>
        <w:footnoteRef/>
      </w:r>
      <w:r w:rsidR="003C33CA" w:rsidRPr="000878BB">
        <w:rPr>
          <w:rFonts w:eastAsia="Batang"/>
          <w:lang w:eastAsia="ko-KR"/>
        </w:rPr>
        <w:t xml:space="preserve"> </w:t>
      </w:r>
      <w:r w:rsidRPr="006A5689">
        <w:rPr>
          <w:rFonts w:eastAsia="Batang"/>
          <w:lang w:val="en-GB" w:eastAsia="ko-KR"/>
        </w:rPr>
        <w:tab/>
      </w:r>
      <w:proofErr w:type="spellStart"/>
      <w:r w:rsidR="003C33CA" w:rsidRPr="000878BB">
        <w:rPr>
          <w:rFonts w:eastAsia="Batang"/>
          <w:lang w:eastAsia="ko-KR"/>
        </w:rPr>
        <w:t>Rishmawi</w:t>
      </w:r>
      <w:proofErr w:type="spellEnd"/>
      <w:r w:rsidR="003C33CA" w:rsidRPr="000878BB">
        <w:rPr>
          <w:rFonts w:eastAsia="Batang"/>
          <w:lang w:eastAsia="ko-KR"/>
        </w:rPr>
        <w:t xml:space="preserve"> 2010: 170, Forsythe 2009: 413-414</w:t>
      </w:r>
    </w:p>
  </w:footnote>
  <w:footnote w:id="28">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Pr>
          <w:lang w:val="fr-CH"/>
        </w:rPr>
        <w:tab/>
      </w:r>
      <w:r w:rsidR="003C33CA" w:rsidRPr="000878BB">
        <w:t xml:space="preserve"> </w:t>
      </w:r>
      <w:r w:rsidR="003C33CA" w:rsidRPr="000878BB">
        <w:t xml:space="preserve">van </w:t>
      </w:r>
      <w:proofErr w:type="spellStart"/>
      <w:r w:rsidR="003C33CA" w:rsidRPr="000878BB">
        <w:t>Hullen</w:t>
      </w:r>
      <w:proofErr w:type="spellEnd"/>
      <w:r w:rsidR="003C33CA" w:rsidRPr="000878BB">
        <w:t>, V. (2015). Just Leave Us Alone: The Arab League and Human Rights</w:t>
      </w:r>
    </w:p>
  </w:footnote>
  <w:footnote w:id="29">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Pr="006A5689">
        <w:rPr>
          <w:lang w:val="en-GB"/>
        </w:rPr>
        <w:tab/>
      </w:r>
      <w:r w:rsidR="003C33CA" w:rsidRPr="000878BB">
        <w:t xml:space="preserve"> </w:t>
      </w:r>
      <w:r w:rsidR="003C33CA" w:rsidRPr="000878BB">
        <w:rPr>
          <w:lang w:eastAsia="ko-KR"/>
        </w:rPr>
        <w:t>Survey response by the government of the United States of America</w:t>
      </w:r>
    </w:p>
  </w:footnote>
  <w:footnote w:id="30">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Pr="006A5689">
        <w:rPr>
          <w:lang w:val="en-GB"/>
        </w:rPr>
        <w:tab/>
      </w:r>
      <w:r w:rsidR="003C33CA" w:rsidRPr="000878BB">
        <w:t xml:space="preserve"> </w:t>
      </w:r>
      <w:r w:rsidR="003C33CA" w:rsidRPr="000878BB">
        <w:t>JUDICIAL AND HUMAN RIGHTS INSTITUTIONS | African Union. Au.int. Retrieved from http://www.au.int/en/organs/cj</w:t>
      </w:r>
    </w:p>
  </w:footnote>
  <w:footnote w:id="31">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 xml:space="preserve">Singh, S. (2009). The impact of </w:t>
      </w:r>
      <w:proofErr w:type="spellStart"/>
      <w:r w:rsidR="003C33CA" w:rsidRPr="000878BB">
        <w:t>clawback</w:t>
      </w:r>
      <w:proofErr w:type="spellEnd"/>
      <w:r w:rsidR="003C33CA" w:rsidRPr="000878BB">
        <w:t xml:space="preserve"> clauses on human and peoples’ rights in Africa. African Security Review, 18(4), 95-104. http://dx.doi.org/10.1080/10246029.2009.9627561</w:t>
      </w:r>
    </w:p>
  </w:footnote>
  <w:footnote w:id="32">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t>About | Human Rights in ASEAN. Humanrightsinasean.info. Retrieved from https://humanrightsinasean.info/asean-intergovernmental-comission-human-rights/about.html</w:t>
      </w:r>
    </w:p>
  </w:footnote>
  <w:footnote w:id="33">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t>Cooperation between the United Nations and regional mechanisms. Ohchr.org. Retrieved from http://www.ohchr.org/EN/Countries/NHRI/Pages/Cooperation.aspx</w:t>
      </w:r>
    </w:p>
  </w:footnote>
  <w:footnote w:id="34">
    <w:p w:rsidR="003C33CA" w:rsidRPr="000878BB" w:rsidRDefault="006A5689" w:rsidP="006A5689">
      <w:pPr>
        <w:pStyle w:val="FootnoteText"/>
        <w:rPr>
          <w:lang w:eastAsia="ko-KR"/>
        </w:rPr>
      </w:pPr>
      <w:r>
        <w:rPr>
          <w:lang w:val="fr-CH" w:eastAsia="ko-KR"/>
        </w:rPr>
        <w:tab/>
      </w:r>
      <w:r w:rsidR="003C33CA" w:rsidRPr="000878BB">
        <w:rPr>
          <w:rStyle w:val="FootnoteReference"/>
          <w:sz w:val="16"/>
          <w:szCs w:val="16"/>
        </w:rPr>
        <w:footnoteRef/>
      </w:r>
      <w:r w:rsidR="003C33CA" w:rsidRPr="000878BB">
        <w:rPr>
          <w:lang w:eastAsia="ko-KR"/>
        </w:rPr>
        <w:t xml:space="preserve"> </w:t>
      </w:r>
      <w:r w:rsidRPr="006A5689">
        <w:rPr>
          <w:lang w:val="en-GB" w:eastAsia="ko-KR"/>
        </w:rPr>
        <w:tab/>
      </w:r>
      <w:r w:rsidR="003C33CA" w:rsidRPr="000878BB">
        <w:rPr>
          <w:lang w:eastAsia="ko-KR"/>
        </w:rPr>
        <w:t>Cooperation between the United Nations and regional mechanisms. Ohchr.org. Retrieved from http://www.ohchr.org/EN/Countries/NHRI/Pages/Cooperation.aspx</w:t>
      </w:r>
    </w:p>
  </w:footnote>
  <w:footnote w:id="35">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t>Cooperation between the United Nations and regional mechanisms. Ohchr.org. Retrieved from http://www.ohchr.org/EN/Countries/NHRI/Pages/Cooperation.aspx</w:t>
      </w:r>
    </w:p>
  </w:footnote>
  <w:footnote w:id="36">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proofErr w:type="spellStart"/>
      <w:r w:rsidR="003C33CA" w:rsidRPr="000878BB">
        <w:t>Mertus</w:t>
      </w:r>
      <w:proofErr w:type="spellEnd"/>
      <w:r w:rsidR="003C33CA" w:rsidRPr="000878BB">
        <w:t>, J. (2005). </w:t>
      </w:r>
      <w:r w:rsidR="003C33CA" w:rsidRPr="000878BB">
        <w:rPr>
          <w:i/>
          <w:iCs/>
        </w:rPr>
        <w:t>The United Nations and human rights</w:t>
      </w:r>
      <w:r w:rsidR="003C33CA" w:rsidRPr="000878BB">
        <w:t> (1st ed.). Milton Park, Abingdon, Oxon: Routledge.</w:t>
      </w:r>
    </w:p>
  </w:footnote>
  <w:footnote w:id="37">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rPr>
          <w:lang w:eastAsia="ko-KR"/>
        </w:rPr>
        <w:t>Survey response by the government of Kenya</w:t>
      </w:r>
    </w:p>
  </w:footnote>
  <w:footnote w:id="38">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Pr="006A5689">
        <w:rPr>
          <w:lang w:val="en-GB"/>
        </w:rPr>
        <w:tab/>
      </w:r>
      <w:r w:rsidR="003C33CA" w:rsidRPr="000878BB">
        <w:t xml:space="preserve"> </w:t>
      </w:r>
      <w:r w:rsidR="003C33CA" w:rsidRPr="000878BB">
        <w:rPr>
          <w:lang w:eastAsia="ko-KR"/>
        </w:rPr>
        <w:t>Survey response by the Council of Human Rights of Egypt</w:t>
      </w:r>
    </w:p>
  </w:footnote>
  <w:footnote w:id="39">
    <w:p w:rsidR="003C33CA" w:rsidRPr="000878BB" w:rsidRDefault="00C21602"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C21602">
        <w:rPr>
          <w:lang w:val="en-GB"/>
        </w:rPr>
        <w:tab/>
      </w:r>
      <w:r w:rsidR="003C33CA" w:rsidRPr="000878BB">
        <w:t>Basic Facts about the UPR.Ohchr.org. Retrieved from http://www.ohchr.org/EN/HRBodies/UPR/Pages/BasicFacts.aspx</w:t>
      </w:r>
    </w:p>
  </w:footnote>
  <w:footnote w:id="40">
    <w:p w:rsidR="003C33CA" w:rsidRPr="000878BB" w:rsidRDefault="00C21602"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proofErr w:type="spellStart"/>
      <w:r w:rsidR="003C33CA" w:rsidRPr="000878BB">
        <w:t>Rishmawi</w:t>
      </w:r>
      <w:proofErr w:type="spellEnd"/>
      <w:r w:rsidR="003C33CA" w:rsidRPr="000878BB">
        <w:t xml:space="preserve">, M. (2015). Towards Further Civil Society Management: A Manual for Practitioners. </w:t>
      </w:r>
      <w:r w:rsidR="003C33CA" w:rsidRPr="000878BB">
        <w:rPr>
          <w:i/>
        </w:rPr>
        <w:t>The League of Arab States, Human Rights Standards, and Mechanisms</w:t>
      </w:r>
      <w:r w:rsidR="003C33CA" w:rsidRPr="000878BB">
        <w:t xml:space="preserve">. </w:t>
      </w:r>
    </w:p>
  </w:footnote>
  <w:footnote w:id="41">
    <w:p w:rsidR="003C33CA" w:rsidRPr="000878BB" w:rsidRDefault="00C21602" w:rsidP="006A5689">
      <w:pPr>
        <w:pStyle w:val="FootnoteText"/>
        <w:rPr>
          <w:lang w:eastAsia="ko-KR"/>
        </w:rPr>
      </w:pPr>
      <w:r>
        <w:rPr>
          <w:lang w:val="fr-CH"/>
        </w:rPr>
        <w:tab/>
      </w:r>
      <w:r w:rsidR="003C33CA" w:rsidRPr="000878BB">
        <w:rPr>
          <w:rStyle w:val="FootnoteReference"/>
          <w:sz w:val="16"/>
          <w:szCs w:val="16"/>
        </w:rPr>
        <w:footnoteRef/>
      </w:r>
      <w:r w:rsidRPr="00C21602">
        <w:rPr>
          <w:lang w:val="en-GB"/>
        </w:rPr>
        <w:tab/>
      </w:r>
      <w:r w:rsidR="003C33CA" w:rsidRPr="000878BB">
        <w:t xml:space="preserve"> </w:t>
      </w:r>
      <w:r w:rsidR="003C33CA" w:rsidRPr="000878BB">
        <w:t>http://ap.ohchr.org/documents/alldocs.aspx?doc_id=15620</w:t>
      </w:r>
    </w:p>
  </w:footnote>
  <w:footnote w:id="42">
    <w:p w:rsidR="003C33CA" w:rsidRPr="000878BB" w:rsidRDefault="00C21602"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C21602">
        <w:rPr>
          <w:lang w:val="en-GB"/>
        </w:rPr>
        <w:tab/>
      </w:r>
      <w:r w:rsidR="003C33CA" w:rsidRPr="000878BB">
        <w:rPr>
          <w:lang w:eastAsia="ko-KR"/>
        </w:rPr>
        <w:t xml:space="preserve">Survey response by the </w:t>
      </w:r>
      <w:r w:rsidR="003C33CA" w:rsidRPr="000878BB">
        <w:rPr>
          <w:bCs/>
        </w:rPr>
        <w:t>OIC Independent Permanent Human Rights Commission</w:t>
      </w:r>
    </w:p>
  </w:footnote>
  <w:footnote w:id="43">
    <w:p w:rsidR="003C33CA" w:rsidRPr="000878BB" w:rsidRDefault="006A5689" w:rsidP="006A5689">
      <w:pPr>
        <w:pStyle w:val="FootnoteText"/>
        <w:rPr>
          <w:lang w:eastAsia="ko-KR"/>
        </w:rPr>
      </w:pPr>
      <w:r w:rsidRPr="00C21602">
        <w:rPr>
          <w:lang w:val="en-GB"/>
        </w:rPr>
        <w:tab/>
      </w:r>
      <w:r w:rsidR="003C33CA" w:rsidRPr="000878BB">
        <w:rPr>
          <w:rStyle w:val="FootnoteReference"/>
          <w:sz w:val="16"/>
          <w:szCs w:val="16"/>
        </w:rPr>
        <w:footnoteRef/>
      </w:r>
      <w:r w:rsidR="003C33CA" w:rsidRPr="000878BB">
        <w:t xml:space="preserve"> </w:t>
      </w:r>
      <w:r w:rsidRPr="006A5689">
        <w:rPr>
          <w:lang w:val="en-GB"/>
        </w:rPr>
        <w:tab/>
      </w:r>
      <w:r w:rsidR="003C33CA" w:rsidRPr="000878BB">
        <w:rPr>
          <w:color w:val="000000"/>
          <w:shd w:val="clear" w:color="auto" w:fill="FFFFFF"/>
        </w:rPr>
        <w:t>GA Res 48/134, UN Doc A/RES/48/134 (20 December 1993).</w:t>
      </w:r>
    </w:p>
  </w:footnote>
  <w:footnote w:id="44">
    <w:p w:rsidR="003C33CA" w:rsidRPr="000878BB" w:rsidRDefault="006A5689" w:rsidP="006A5689">
      <w:pPr>
        <w:pStyle w:val="FootnoteText"/>
        <w:rPr>
          <w:lang w:eastAsia="ko-KR"/>
        </w:rPr>
      </w:pPr>
      <w:r w:rsidRPr="00C21602">
        <w:rPr>
          <w:lang w:val="en-GB"/>
        </w:rPr>
        <w:tab/>
      </w:r>
      <w:r w:rsidR="003C33CA" w:rsidRPr="000878BB">
        <w:rPr>
          <w:rStyle w:val="FootnoteReference"/>
          <w:sz w:val="16"/>
          <w:szCs w:val="16"/>
        </w:rPr>
        <w:footnoteRef/>
      </w:r>
      <w:r w:rsidRPr="00C21602">
        <w:rPr>
          <w:lang w:val="en-GB"/>
        </w:rPr>
        <w:tab/>
      </w:r>
      <w:r w:rsidR="003C33CA" w:rsidRPr="000878BB">
        <w:t xml:space="preserve"> </w:t>
      </w:r>
      <w:r w:rsidR="003C33CA" w:rsidRPr="000878BB">
        <w:t xml:space="preserve">von </w:t>
      </w:r>
      <w:proofErr w:type="spellStart"/>
      <w:r w:rsidR="003C33CA" w:rsidRPr="000878BB">
        <w:t>Doussa</w:t>
      </w:r>
      <w:proofErr w:type="spellEnd"/>
      <w:r w:rsidR="003C33CA" w:rsidRPr="000878BB">
        <w:t xml:space="preserve"> QC, H. (2008). </w:t>
      </w:r>
      <w:r w:rsidR="003C33CA" w:rsidRPr="000878BB">
        <w:rPr>
          <w:i/>
          <w:iCs/>
        </w:rPr>
        <w:t>The Potential Role of National Human Rights Institutions in the Pacific</w:t>
      </w:r>
      <w:r w:rsidR="003C33CA" w:rsidRPr="000878BB">
        <w:t>. Lecture, Port Vila, Vanuatu.</w:t>
      </w:r>
    </w:p>
  </w:footnote>
  <w:footnote w:id="45">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rPr>
          <w:lang w:eastAsia="ko-KR"/>
        </w:rPr>
        <w:t>Survey response by the Equal Opportunities Commission of China</w:t>
      </w:r>
    </w:p>
  </w:footnote>
  <w:footnote w:id="46">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rPr>
          <w:lang w:eastAsia="ko-KR"/>
        </w:rPr>
        <w:t>Survey response by The National Council for Human Rights (of Egypt)</w:t>
      </w:r>
    </w:p>
  </w:footnote>
  <w:footnote w:id="47">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 xml:space="preserve">von </w:t>
      </w:r>
      <w:proofErr w:type="spellStart"/>
      <w:r w:rsidR="003C33CA" w:rsidRPr="000878BB">
        <w:t>Doussa</w:t>
      </w:r>
      <w:proofErr w:type="spellEnd"/>
      <w:r w:rsidR="003C33CA" w:rsidRPr="000878BB">
        <w:t xml:space="preserve"> QC, H. (2008). </w:t>
      </w:r>
      <w:r w:rsidR="003C33CA" w:rsidRPr="000878BB">
        <w:rPr>
          <w:i/>
          <w:iCs/>
        </w:rPr>
        <w:t>The Potential Role of National Human Rights Institutions in the Pacific</w:t>
      </w:r>
      <w:r w:rsidR="003C33CA" w:rsidRPr="000878BB">
        <w:t>. Lecture, Port Vila, Vanuatu</w:t>
      </w:r>
    </w:p>
  </w:footnote>
  <w:footnote w:id="48">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t>Promoting &amp; Protecting Human Rights | Asia Pacific Forum. Asiapacificforum.net. Retrieved from http://www.asiapacificforum.net/human-rights/</w:t>
      </w:r>
    </w:p>
  </w:footnote>
  <w:footnote w:id="49">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proofErr w:type="spellStart"/>
      <w:r w:rsidR="003C33CA" w:rsidRPr="000878BB">
        <w:t>Mertus</w:t>
      </w:r>
      <w:proofErr w:type="spellEnd"/>
      <w:r w:rsidR="003C33CA" w:rsidRPr="000878BB">
        <w:t>, J. (2005). </w:t>
      </w:r>
      <w:r w:rsidR="003C33CA" w:rsidRPr="000878BB">
        <w:rPr>
          <w:i/>
          <w:iCs/>
        </w:rPr>
        <w:t>The United Nations and human rights</w:t>
      </w:r>
      <w:r w:rsidR="003C33CA" w:rsidRPr="000878BB">
        <w:t> (1st ed.). Milton Park, Abingdon, Oxon: Routledge.</w:t>
      </w:r>
    </w:p>
  </w:footnote>
  <w:footnote w:id="50">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t>International Institutions and Global Governance, (2013). The Global Human Rights Regime. Council on Foreign Relations. Retrieved from http://www.cfr.org/human-rights/global-human-rights-regime/p27450</w:t>
      </w:r>
    </w:p>
  </w:footnote>
  <w:footnote w:id="51">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t>Protecting Human Rights and Advancing the Rule of Law. (2011). Retrieved from http://www.icj.org/wp-content/uploads/2012/08/AR11.pdf</w:t>
      </w:r>
    </w:p>
  </w:footnote>
  <w:footnote w:id="52">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Pr>
          <w:lang w:val="fr-CH"/>
        </w:rPr>
        <w:tab/>
      </w:r>
      <w:r w:rsidR="003C33CA" w:rsidRPr="000878BB">
        <w:t xml:space="preserve"> </w:t>
      </w:r>
      <w:r w:rsidR="003C33CA" w:rsidRPr="000878BB">
        <w:t>Human Rights Watch, (2013). World Report 2013. Retrieved from https://www.hrw.org/sites/default/files/wr2013_web.pdf</w:t>
      </w:r>
    </w:p>
  </w:footnote>
  <w:footnote w:id="53">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t>Helsinki Citizens’ Assembly-</w:t>
      </w:r>
      <w:proofErr w:type="spellStart"/>
      <w:r w:rsidR="003C33CA" w:rsidRPr="000878BB">
        <w:t>Vanadzor</w:t>
      </w:r>
      <w:proofErr w:type="spellEnd"/>
      <w:r w:rsidR="003C33CA" w:rsidRPr="000878BB">
        <w:t xml:space="preserve"> and </w:t>
      </w:r>
      <w:proofErr w:type="spellStart"/>
      <w:r w:rsidR="003C33CA" w:rsidRPr="000878BB">
        <w:t>Spitak</w:t>
      </w:r>
      <w:proofErr w:type="spellEnd"/>
      <w:r w:rsidR="003C33CA" w:rsidRPr="000878BB">
        <w:t xml:space="preserve"> Helsinki Group</w:t>
      </w:r>
      <w:r w:rsidR="003C33CA" w:rsidRPr="000878BB">
        <w:rPr>
          <w:lang w:eastAsia="ko-KR"/>
        </w:rPr>
        <w:t xml:space="preserve"> </w:t>
      </w:r>
      <w:hyperlink r:id="rId4" w:history="1">
        <w:r w:rsidR="003C33CA" w:rsidRPr="000878BB">
          <w:rPr>
            <w:rStyle w:val="Hyperlink"/>
            <w:sz w:val="16"/>
            <w:szCs w:val="16"/>
          </w:rPr>
          <w:t>http://www.coe.int/t/dghl/monitoring/execution/Source/Publications/CM_annreport2014_en.pdf</w:t>
        </w:r>
      </w:hyperlink>
    </w:p>
  </w:footnote>
  <w:footnote w:id="54">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6A5689">
        <w:rPr>
          <w:lang w:val="en-GB"/>
        </w:rPr>
        <w:tab/>
      </w:r>
      <w:r w:rsidR="003C33CA" w:rsidRPr="000878BB">
        <w:t>International Commission of Jurists v Portugal, No. 1/1998 | ESCR-Net. Escr-net.org. https://www.escr-net.org/docs/i/400955</w:t>
      </w:r>
    </w:p>
  </w:footnote>
  <w:footnote w:id="55">
    <w:p w:rsidR="003C33CA" w:rsidRPr="000878BB" w:rsidRDefault="006A5689" w:rsidP="006A5689">
      <w:pPr>
        <w:pStyle w:val="FootnoteText"/>
        <w:rPr>
          <w:lang w:eastAsia="ko-KR"/>
        </w:rPr>
      </w:pPr>
      <w:r>
        <w:rPr>
          <w:lang w:val="fr-CH" w:eastAsia="ko-KR"/>
        </w:rPr>
        <w:tab/>
      </w:r>
      <w:r w:rsidR="003C33CA" w:rsidRPr="000878BB">
        <w:rPr>
          <w:rStyle w:val="FootnoteReference"/>
          <w:sz w:val="16"/>
          <w:szCs w:val="16"/>
        </w:rPr>
        <w:footnoteRef/>
      </w:r>
      <w:r w:rsidR="003C33CA" w:rsidRPr="000878BB">
        <w:rPr>
          <w:lang w:eastAsia="ko-KR"/>
        </w:rPr>
        <w:t xml:space="preserve"> </w:t>
      </w:r>
      <w:r w:rsidRPr="006A5689">
        <w:rPr>
          <w:lang w:val="en-GB" w:eastAsia="ko-KR"/>
        </w:rPr>
        <w:tab/>
      </w:r>
      <w:proofErr w:type="spellStart"/>
      <w:r w:rsidR="003C33CA" w:rsidRPr="000878BB">
        <w:rPr>
          <w:rFonts w:hint="eastAsia"/>
          <w:lang w:eastAsia="ko-KR"/>
        </w:rPr>
        <w:t>Center</w:t>
      </w:r>
      <w:proofErr w:type="spellEnd"/>
      <w:r w:rsidR="003C33CA" w:rsidRPr="000878BB">
        <w:rPr>
          <w:rFonts w:hint="eastAsia"/>
          <w:lang w:eastAsia="ko-KR"/>
        </w:rPr>
        <w:t xml:space="preserve"> for Justice and International Law. R</w:t>
      </w:r>
      <w:r w:rsidR="003C33CA" w:rsidRPr="000878BB">
        <w:rPr>
          <w:lang w:eastAsia="ko-KR"/>
        </w:rPr>
        <w:t>e</w:t>
      </w:r>
      <w:r w:rsidR="003C33CA" w:rsidRPr="000878BB">
        <w:rPr>
          <w:rFonts w:hint="eastAsia"/>
          <w:lang w:eastAsia="ko-KR"/>
        </w:rPr>
        <w:t xml:space="preserve">trieved from </w:t>
      </w:r>
      <w:hyperlink r:id="rId5" w:history="1">
        <w:r w:rsidR="003C33CA" w:rsidRPr="000878BB">
          <w:rPr>
            <w:rStyle w:val="Hyperlink"/>
            <w:sz w:val="16"/>
            <w:szCs w:val="16"/>
          </w:rPr>
          <w:t>https://www.cejil.org/sites/default/files/legacy_files/Report20_ENpdf.pdf</w:t>
        </w:r>
      </w:hyperlink>
      <w:r w:rsidR="003C33CA" w:rsidRPr="000878BB">
        <w:t>,</w:t>
      </w:r>
      <w:r w:rsidR="003C33CA" w:rsidRPr="000878BB">
        <w:rPr>
          <w:rFonts w:hint="eastAsia"/>
          <w:lang w:eastAsia="ko-KR"/>
        </w:rPr>
        <w:t xml:space="preserve"> </w:t>
      </w:r>
      <w:proofErr w:type="spellStart"/>
      <w:r w:rsidR="003C33CA" w:rsidRPr="000878BB">
        <w:t>pg</w:t>
      </w:r>
      <w:proofErr w:type="spellEnd"/>
      <w:r w:rsidR="003C33CA" w:rsidRPr="000878BB">
        <w:t xml:space="preserve"> 87</w:t>
      </w:r>
    </w:p>
  </w:footnote>
  <w:footnote w:id="56">
    <w:p w:rsidR="003C33CA" w:rsidRPr="000878BB" w:rsidRDefault="006A5689" w:rsidP="006A5689">
      <w:pPr>
        <w:pStyle w:val="FootnoteText"/>
        <w:rPr>
          <w:lang w:eastAsia="ko-KR"/>
        </w:rPr>
      </w:pPr>
      <w:r>
        <w:rPr>
          <w:lang w:val="fr-CH" w:eastAsia="ko-KR"/>
        </w:rPr>
        <w:tab/>
      </w:r>
      <w:r w:rsidR="003C33CA" w:rsidRPr="000878BB">
        <w:rPr>
          <w:rStyle w:val="FootnoteReference"/>
          <w:sz w:val="16"/>
          <w:szCs w:val="16"/>
        </w:rPr>
        <w:footnoteRef/>
      </w:r>
      <w:r w:rsidR="003C33CA" w:rsidRPr="000878BB">
        <w:rPr>
          <w:lang w:eastAsia="ko-KR"/>
        </w:rPr>
        <w:t xml:space="preserve"> </w:t>
      </w:r>
      <w:r w:rsidRPr="006A5689">
        <w:rPr>
          <w:lang w:val="en-GB" w:eastAsia="ko-KR"/>
        </w:rPr>
        <w:tab/>
      </w:r>
      <w:proofErr w:type="spellStart"/>
      <w:r w:rsidR="003C33CA" w:rsidRPr="000878BB">
        <w:rPr>
          <w:rFonts w:hint="eastAsia"/>
          <w:lang w:eastAsia="ko-KR"/>
        </w:rPr>
        <w:t>Center</w:t>
      </w:r>
      <w:proofErr w:type="spellEnd"/>
      <w:r w:rsidR="003C33CA" w:rsidRPr="000878BB">
        <w:rPr>
          <w:rFonts w:hint="eastAsia"/>
          <w:lang w:eastAsia="ko-KR"/>
        </w:rPr>
        <w:t xml:space="preserve"> for Justice and International Law. R</w:t>
      </w:r>
      <w:r w:rsidR="003C33CA" w:rsidRPr="000878BB">
        <w:rPr>
          <w:lang w:eastAsia="ko-KR"/>
        </w:rPr>
        <w:t>e</w:t>
      </w:r>
      <w:r w:rsidR="003C33CA" w:rsidRPr="000878BB">
        <w:rPr>
          <w:rFonts w:hint="eastAsia"/>
          <w:lang w:eastAsia="ko-KR"/>
        </w:rPr>
        <w:t xml:space="preserve">trieved from </w:t>
      </w:r>
      <w:hyperlink r:id="rId6" w:history="1">
        <w:r w:rsidR="003C33CA" w:rsidRPr="000878BB">
          <w:rPr>
            <w:rStyle w:val="Hyperlink"/>
            <w:sz w:val="16"/>
            <w:szCs w:val="16"/>
          </w:rPr>
          <w:t>https://www.cejil.org/sites/default/files/legacy_files/Report20_ENpdf.pdf</w:t>
        </w:r>
      </w:hyperlink>
      <w:r w:rsidR="003C33CA" w:rsidRPr="000878BB">
        <w:t>,</w:t>
      </w:r>
      <w:r w:rsidR="003C33CA" w:rsidRPr="000878BB">
        <w:rPr>
          <w:rFonts w:hint="eastAsia"/>
          <w:lang w:eastAsia="ko-KR"/>
        </w:rPr>
        <w:t xml:space="preserve"> </w:t>
      </w:r>
      <w:proofErr w:type="spellStart"/>
      <w:r w:rsidR="003C33CA" w:rsidRPr="000878BB">
        <w:t>pg</w:t>
      </w:r>
      <w:proofErr w:type="spellEnd"/>
      <w:r w:rsidR="003C33CA" w:rsidRPr="000878BB">
        <w:t xml:space="preserve"> 87</w:t>
      </w:r>
    </w:p>
  </w:footnote>
  <w:footnote w:id="57">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 xml:space="preserve">MacDowell Santos, C. (2007). Transnational legal activism and the State: reflections on cases against Brazil in the Inter-American Commission on Human Rights. Sur, Rev. Int. </w:t>
      </w:r>
      <w:proofErr w:type="spellStart"/>
      <w:r w:rsidR="003C33CA" w:rsidRPr="000878BB">
        <w:t>Direitos</w:t>
      </w:r>
      <w:proofErr w:type="spellEnd"/>
      <w:r w:rsidR="003C33CA" w:rsidRPr="000878BB">
        <w:t xml:space="preserve"> Human, 4(7)</w:t>
      </w:r>
    </w:p>
  </w:footnote>
  <w:footnote w:id="58">
    <w:p w:rsidR="003C33CA" w:rsidRPr="000878BB" w:rsidRDefault="006A5689"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Hashimoto, H. (2015). The Prospects for a Regional Human Rights Mechanism in East Asia (RLE Modern East and South East Asia) (1st ed., pp. 98-100). Hoboken: Taylor and Francis.</w:t>
      </w:r>
    </w:p>
  </w:footnote>
  <w:footnote w:id="59">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Sen, A. (1997). Human rights and Asian values (p. 27). New York: Carnegie Council on Ethics and International Affairs.</w:t>
      </w:r>
    </w:p>
  </w:footnote>
  <w:footnote w:id="60">
    <w:p w:rsidR="003C33CA" w:rsidRPr="000878BB" w:rsidRDefault="002868E0" w:rsidP="006A5689">
      <w:pPr>
        <w:pStyle w:val="FootnoteText"/>
        <w:rPr>
          <w:lang w:eastAsia="ko-KR"/>
        </w:rPr>
      </w:pPr>
      <w:r>
        <w:rPr>
          <w:lang w:val="fr-CH" w:eastAsia="ko-KR"/>
        </w:rPr>
        <w:tab/>
      </w:r>
      <w:r w:rsidR="003C33CA" w:rsidRPr="000878BB">
        <w:rPr>
          <w:rStyle w:val="FootnoteReference"/>
          <w:sz w:val="16"/>
          <w:szCs w:val="16"/>
        </w:rPr>
        <w:footnoteRef/>
      </w:r>
      <w:r>
        <w:rPr>
          <w:lang w:val="fr-CH" w:eastAsia="ko-KR"/>
        </w:rPr>
        <w:tab/>
      </w:r>
      <w:r w:rsidR="003C33CA" w:rsidRPr="000878BB">
        <w:rPr>
          <w:rFonts w:hint="eastAsia"/>
          <w:lang w:eastAsia="ko-KR"/>
        </w:rPr>
        <w:t xml:space="preserve"> </w:t>
      </w:r>
      <w:r w:rsidR="003C33CA" w:rsidRPr="000878BB">
        <w:t>Kim, J. (2009). </w:t>
      </w:r>
      <w:r w:rsidR="003C33CA" w:rsidRPr="000878BB">
        <w:rPr>
          <w:i/>
          <w:iCs/>
        </w:rPr>
        <w:t>Development of Regional Human Rights Regime: Prospects for and Implications to Asia</w:t>
      </w:r>
      <w:r w:rsidR="003C33CA" w:rsidRPr="000878BB">
        <w:t> (1st ed.). Tokyo Foundation.</w:t>
      </w:r>
    </w:p>
  </w:footnote>
  <w:footnote w:id="61">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Pr="002868E0">
        <w:rPr>
          <w:lang w:val="en-GB"/>
        </w:rPr>
        <w:tab/>
      </w:r>
      <w:r w:rsidR="003C33CA" w:rsidRPr="000878BB">
        <w:t xml:space="preserve"> </w:t>
      </w:r>
      <w:r w:rsidR="003C33CA" w:rsidRPr="000878BB">
        <w:rPr>
          <w:lang w:eastAsia="ko-KR"/>
        </w:rPr>
        <w:t xml:space="preserve">Excerpts from </w:t>
      </w:r>
      <w:r w:rsidR="003C33CA" w:rsidRPr="000878BB">
        <w:rPr>
          <w:rFonts w:hint="eastAsia"/>
          <w:lang w:eastAsia="ko-KR"/>
        </w:rPr>
        <w:t xml:space="preserve">the conference </w:t>
      </w:r>
      <w:r w:rsidR="003C33CA" w:rsidRPr="000878BB">
        <w:rPr>
          <w:lang w:eastAsia="ko-KR"/>
        </w:rPr>
        <w:t>“Prospects</w:t>
      </w:r>
      <w:r w:rsidR="003C33CA" w:rsidRPr="000878BB">
        <w:rPr>
          <w:rFonts w:hint="eastAsia"/>
          <w:lang w:eastAsia="ko-KR"/>
        </w:rPr>
        <w:t xml:space="preserve"> and Challenges of Regional Cooperation for Human Rights Protection and Promotion in Asia,</w:t>
      </w:r>
      <w:r w:rsidR="003C33CA" w:rsidRPr="000878BB">
        <w:rPr>
          <w:lang w:eastAsia="ko-KR"/>
        </w:rPr>
        <w:t>”</w:t>
      </w:r>
      <w:r w:rsidR="003C33CA" w:rsidRPr="000878BB">
        <w:rPr>
          <w:rFonts w:hint="eastAsia"/>
          <w:lang w:eastAsia="ko-KR"/>
        </w:rPr>
        <w:t xml:space="preserve"> Korea University Human Rights </w:t>
      </w:r>
      <w:proofErr w:type="spellStart"/>
      <w:r w:rsidR="003C33CA" w:rsidRPr="000878BB">
        <w:rPr>
          <w:rFonts w:hint="eastAsia"/>
          <w:lang w:eastAsia="ko-KR"/>
        </w:rPr>
        <w:t>Center</w:t>
      </w:r>
      <w:proofErr w:type="spellEnd"/>
      <w:r w:rsidR="003C33CA" w:rsidRPr="000878BB">
        <w:rPr>
          <w:rFonts w:hint="eastAsia"/>
          <w:lang w:eastAsia="ko-KR"/>
        </w:rPr>
        <w:t xml:space="preserve"> &amp; Human Asia, Seoul, South Korea (August 17, 2016).</w:t>
      </w:r>
    </w:p>
  </w:footnote>
  <w:footnote w:id="62">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proofErr w:type="spellStart"/>
      <w:r w:rsidR="003C33CA" w:rsidRPr="000878BB">
        <w:t>Molthof</w:t>
      </w:r>
      <w:proofErr w:type="spellEnd"/>
      <w:r w:rsidR="003C33CA" w:rsidRPr="000878BB">
        <w:t>, M. (2012). ASEAN and the Principle of Non-Interference. Retrieved from http://www.e-ir.info/2012/02/08/asean-and-the-principle-of-non-interference/</w:t>
      </w:r>
    </w:p>
  </w:footnote>
  <w:footnote w:id="63">
    <w:p w:rsidR="003C33CA" w:rsidRPr="000878BB" w:rsidRDefault="002868E0" w:rsidP="006A5689">
      <w:pPr>
        <w:pStyle w:val="FootnoteText"/>
        <w:rPr>
          <w:lang w:eastAsia="ko-KR"/>
        </w:rPr>
      </w:pPr>
      <w:r>
        <w:rPr>
          <w:lang w:val="fr-CH" w:eastAsia="ko-KR"/>
        </w:rPr>
        <w:tab/>
      </w:r>
      <w:r w:rsidR="003C33CA" w:rsidRPr="000878BB">
        <w:rPr>
          <w:rStyle w:val="FootnoteReference"/>
          <w:sz w:val="16"/>
          <w:szCs w:val="16"/>
        </w:rPr>
        <w:footnoteRef/>
      </w:r>
      <w:r w:rsidR="003C33CA" w:rsidRPr="000878BB">
        <w:rPr>
          <w:lang w:eastAsia="ko-KR"/>
        </w:rPr>
        <w:t xml:space="preserve"> </w:t>
      </w:r>
      <w:r w:rsidRPr="002868E0">
        <w:rPr>
          <w:lang w:val="en-GB" w:eastAsia="ko-KR"/>
        </w:rPr>
        <w:tab/>
      </w:r>
      <w:r w:rsidR="003C33CA" w:rsidRPr="000878BB">
        <w:rPr>
          <w:lang w:eastAsia="ko-KR"/>
        </w:rPr>
        <w:t xml:space="preserve">Excerpts from the conference “Prospects and Challenges of Regional Cooperation for Human Rights Protection and Promotion in Asia,” Korea University Human Rights </w:t>
      </w:r>
      <w:proofErr w:type="spellStart"/>
      <w:r w:rsidR="003C33CA" w:rsidRPr="000878BB">
        <w:rPr>
          <w:lang w:eastAsia="ko-KR"/>
        </w:rPr>
        <w:t>Center</w:t>
      </w:r>
      <w:proofErr w:type="spellEnd"/>
      <w:r w:rsidR="003C33CA" w:rsidRPr="000878BB">
        <w:rPr>
          <w:lang w:eastAsia="ko-KR"/>
        </w:rPr>
        <w:t xml:space="preserve"> &amp; Human Asia, Seoul, South Korea (August 17, 2016).</w:t>
      </w:r>
      <w:r w:rsidR="003C33CA" w:rsidRPr="000878BB">
        <w:t xml:space="preserve"> </w:t>
      </w:r>
    </w:p>
  </w:footnote>
  <w:footnote w:id="64">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2868E0">
        <w:rPr>
          <w:lang w:val="en-GB"/>
        </w:rPr>
        <w:tab/>
      </w:r>
      <w:r w:rsidR="003C33CA" w:rsidRPr="000878BB">
        <w:rPr>
          <w:lang w:eastAsia="ko-KR"/>
        </w:rPr>
        <w:t xml:space="preserve">Excerpts from </w:t>
      </w:r>
      <w:r w:rsidR="003C33CA" w:rsidRPr="000878BB">
        <w:rPr>
          <w:rFonts w:hint="eastAsia"/>
          <w:lang w:eastAsia="ko-KR"/>
        </w:rPr>
        <w:t xml:space="preserve">the conference </w:t>
      </w:r>
      <w:r w:rsidR="003C33CA" w:rsidRPr="000878BB">
        <w:rPr>
          <w:lang w:eastAsia="ko-KR"/>
        </w:rPr>
        <w:t>“Prospects</w:t>
      </w:r>
      <w:r w:rsidR="003C33CA" w:rsidRPr="000878BB">
        <w:rPr>
          <w:rFonts w:hint="eastAsia"/>
          <w:lang w:eastAsia="ko-KR"/>
        </w:rPr>
        <w:t xml:space="preserve"> and Challenges of Regional Cooperation for Human Rights Protection and Promotion in Asia,</w:t>
      </w:r>
      <w:r w:rsidR="003C33CA" w:rsidRPr="000878BB">
        <w:rPr>
          <w:lang w:eastAsia="ko-KR"/>
        </w:rPr>
        <w:t>”</w:t>
      </w:r>
      <w:r w:rsidR="003C33CA" w:rsidRPr="000878BB">
        <w:rPr>
          <w:rFonts w:hint="eastAsia"/>
          <w:lang w:eastAsia="ko-KR"/>
        </w:rPr>
        <w:t xml:space="preserve"> </w:t>
      </w:r>
      <w:r w:rsidR="003C33CA" w:rsidRPr="000878BB">
        <w:rPr>
          <w:lang w:eastAsia="ko-KR"/>
        </w:rPr>
        <w:t xml:space="preserve">Korea University Human Rights </w:t>
      </w:r>
      <w:proofErr w:type="spellStart"/>
      <w:r w:rsidR="003C33CA" w:rsidRPr="000878BB">
        <w:rPr>
          <w:lang w:eastAsia="ko-KR"/>
        </w:rPr>
        <w:t>Center</w:t>
      </w:r>
      <w:proofErr w:type="spellEnd"/>
      <w:r w:rsidR="003C33CA" w:rsidRPr="000878BB">
        <w:rPr>
          <w:lang w:eastAsia="ko-KR"/>
        </w:rPr>
        <w:t xml:space="preserve"> &amp; Human Asia, Seoul, South Korea (August 17, 2016).   </w:t>
      </w:r>
    </w:p>
  </w:footnote>
  <w:footnote w:id="65">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Donnelly, J. (2013). Universal human rights in theory and practice (3rd ed.). Ithaca: Cornell University Press</w:t>
      </w:r>
    </w:p>
  </w:footnote>
  <w:footnote w:id="66">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2868E0">
        <w:rPr>
          <w:lang w:val="en-GB"/>
        </w:rPr>
        <w:tab/>
      </w:r>
      <w:r w:rsidR="003C33CA" w:rsidRPr="000878BB">
        <w:rPr>
          <w:lang w:eastAsia="ko-KR"/>
        </w:rPr>
        <w:t>Survey response by the government of Montenegro</w:t>
      </w:r>
    </w:p>
  </w:footnote>
  <w:footnote w:id="67">
    <w:p w:rsidR="003C33CA" w:rsidRPr="000878BB" w:rsidRDefault="002868E0" w:rsidP="006A5689">
      <w:pPr>
        <w:pStyle w:val="FootnoteText"/>
      </w:pPr>
      <w:r>
        <w:rPr>
          <w:lang w:val="fr-CH"/>
        </w:rPr>
        <w:tab/>
      </w:r>
      <w:r w:rsidR="003C33CA" w:rsidRPr="000878BB">
        <w:rPr>
          <w:rStyle w:val="FootnoteReference"/>
        </w:rPr>
        <w:footnoteRef/>
      </w:r>
      <w:r w:rsidR="003C33CA" w:rsidRPr="000878BB">
        <w:t xml:space="preserve"> </w:t>
      </w:r>
      <w:r w:rsidRPr="002868E0">
        <w:rPr>
          <w:lang w:val="en-GB"/>
        </w:rPr>
        <w:tab/>
      </w:r>
      <w:r w:rsidR="003C33CA" w:rsidRPr="000878BB">
        <w:t xml:space="preserve">Excerpts from the conference “Prospects and Challenges of Regional Cooperation for Human Rights Protection and Promotion in Asia,” Korea University Human Rights Center &amp; Human Asia, Seoul, South Korea (August 17, 2016). </w:t>
      </w:r>
    </w:p>
  </w:footnote>
  <w:footnote w:id="68">
    <w:p w:rsidR="003C33CA" w:rsidRPr="000878BB" w:rsidRDefault="002868E0" w:rsidP="006A5689">
      <w:pPr>
        <w:pStyle w:val="FootnoteText"/>
      </w:pPr>
      <w:r>
        <w:rPr>
          <w:lang w:val="fr-CH"/>
        </w:rPr>
        <w:tab/>
      </w:r>
      <w:r w:rsidR="003C33CA" w:rsidRPr="000878BB">
        <w:rPr>
          <w:rStyle w:val="FootnoteReference"/>
        </w:rPr>
        <w:footnoteRef/>
      </w:r>
      <w:r w:rsidR="003C33CA" w:rsidRPr="000878BB">
        <w:t xml:space="preserve"> </w:t>
      </w:r>
      <w:r>
        <w:rPr>
          <w:lang w:val="fr-CH"/>
        </w:rPr>
        <w:tab/>
      </w:r>
      <w:r w:rsidR="003C33CA" w:rsidRPr="000878BB">
        <w:t xml:space="preserve">United Nations General Assembly, (2015). Transforming our world: the 2030 Agenda for Sustainable Development. Preamble. Retrieved from http://www.un.org/ga/search/view_doc.asp?symbol=A/RES/70/1&amp;Lang=E </w:t>
      </w:r>
    </w:p>
  </w:footnote>
  <w:footnote w:id="69">
    <w:p w:rsidR="003C33CA" w:rsidRPr="000878BB" w:rsidRDefault="002868E0" w:rsidP="006A5689">
      <w:pPr>
        <w:pStyle w:val="FootnoteText"/>
        <w:rPr>
          <w:lang w:val="en-CA"/>
        </w:rPr>
      </w:pPr>
      <w:r>
        <w:rPr>
          <w:lang w:val="fr-CH"/>
        </w:rPr>
        <w:tab/>
      </w:r>
      <w:r w:rsidR="003C33CA" w:rsidRPr="000878BB">
        <w:rPr>
          <w:rStyle w:val="FootnoteReference"/>
        </w:rPr>
        <w:footnoteRef/>
      </w:r>
      <w:r w:rsidR="003C33CA" w:rsidRPr="000878BB">
        <w:t xml:space="preserve"> </w:t>
      </w:r>
      <w:r w:rsidRPr="002868E0">
        <w:rPr>
          <w:lang w:val="en-GB"/>
        </w:rPr>
        <w:tab/>
      </w:r>
      <w:r w:rsidR="003C33CA" w:rsidRPr="000878BB">
        <w:t>United Nations General Assembly Human Rights Council, (2015). Role of local government in the promotion and protection of human rights – Final Report of the Human Rights Council Advisory Committee. Retrieved from http://www.ohchr.org/EN/HRBodies/HRC/AdvisoryCommittee/Pages/LocalGovernmentAndHR.aspx</w:t>
      </w:r>
    </w:p>
  </w:footnote>
  <w:footnote w:id="70">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Pr>
          <w:lang w:val="fr-CH"/>
        </w:rPr>
        <w:tab/>
      </w:r>
      <w:r w:rsidR="003C33CA" w:rsidRPr="000878BB">
        <w:t>History | EMI. Europeanmovement.eu. Retrieved, from http://europeanmovement.eu/who-we-are/history/</w:t>
      </w:r>
    </w:p>
  </w:footnote>
  <w:footnote w:id="71">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2868E0">
        <w:rPr>
          <w:lang w:val="en-GB"/>
        </w:rPr>
        <w:tab/>
      </w:r>
      <w:r w:rsidR="003C33CA" w:rsidRPr="000878BB">
        <w:t>United Nations General Assembly Human Rights Council, (2014). Workshop on regional arrangements for the promotion and protection of human rights. Retrieved from http://www.ohchr.org/EN/HRBodies/HRC/.../A_HRC_28_31_ENG.doc</w:t>
      </w:r>
    </w:p>
  </w:footnote>
  <w:footnote w:id="72">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2868E0">
        <w:rPr>
          <w:lang w:val="en-GB"/>
        </w:rPr>
        <w:tab/>
      </w:r>
      <w:r w:rsidR="003C33CA" w:rsidRPr="000878BB">
        <w:rPr>
          <w:lang w:eastAsia="ko-KR"/>
        </w:rPr>
        <w:t>Survey response by The European Union Agency for Fundamental Rights</w:t>
      </w:r>
    </w:p>
  </w:footnote>
  <w:footnote w:id="73">
    <w:p w:rsidR="003C33CA" w:rsidRPr="000878BB"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2868E0">
        <w:rPr>
          <w:lang w:val="en-GB"/>
        </w:rPr>
        <w:tab/>
      </w:r>
      <w:r w:rsidR="003C33CA" w:rsidRPr="000878BB">
        <w:rPr>
          <w:lang w:eastAsia="ko-KR"/>
        </w:rPr>
        <w:t>Survey response by the Council of Human Rights of Egypt</w:t>
      </w:r>
    </w:p>
  </w:footnote>
  <w:footnote w:id="74">
    <w:p w:rsidR="003C33CA" w:rsidRPr="009C24C2" w:rsidRDefault="002868E0" w:rsidP="006A5689">
      <w:pPr>
        <w:pStyle w:val="FootnoteText"/>
        <w:rPr>
          <w:lang w:eastAsia="ko-KR"/>
        </w:rPr>
      </w:pPr>
      <w:r>
        <w:rPr>
          <w:lang w:val="fr-CH"/>
        </w:rPr>
        <w:tab/>
      </w:r>
      <w:r w:rsidR="003C33CA" w:rsidRPr="000878BB">
        <w:rPr>
          <w:rStyle w:val="FootnoteReference"/>
          <w:sz w:val="16"/>
          <w:szCs w:val="16"/>
        </w:rPr>
        <w:footnoteRef/>
      </w:r>
      <w:r w:rsidR="003C33CA" w:rsidRPr="000878BB">
        <w:t xml:space="preserve"> </w:t>
      </w:r>
      <w:r w:rsidRPr="002868E0">
        <w:rPr>
          <w:lang w:val="en-GB"/>
        </w:rPr>
        <w:tab/>
      </w:r>
      <w:r w:rsidR="003C33CA" w:rsidRPr="000878BB">
        <w:rPr>
          <w:lang w:eastAsia="ko-KR"/>
        </w:rPr>
        <w:t>Survey response by the government of Montenegro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CA" w:rsidRPr="006234BF" w:rsidRDefault="003C33CA" w:rsidP="006234BF">
    <w:pPr>
      <w:pStyle w:val="Header"/>
      <w:rPr>
        <w:lang w:val="en-GB"/>
      </w:rPr>
    </w:pPr>
    <w:r>
      <w:rPr>
        <w:lang w:val="en-GB"/>
      </w:rPr>
      <w:t>A/HRC/AC/18/CRP.4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CA" w:rsidRPr="00E96B38" w:rsidRDefault="003C33CA" w:rsidP="00E96B38">
    <w:pPr>
      <w:pStyle w:val="Header"/>
      <w:jc w:val="right"/>
      <w:rPr>
        <w:lang w:val="fr-CH"/>
      </w:rPr>
    </w:pPr>
    <w:r>
      <w:rPr>
        <w:lang w:val="en-GB"/>
      </w:rPr>
      <w:t>A/HRC/AC/18</w:t>
    </w:r>
    <w:r w:rsidRPr="006234BF">
      <w:rPr>
        <w:lang w:val="en-GB"/>
      </w:rPr>
      <w:t>/CRP.</w:t>
    </w:r>
    <w:r>
      <w:rPr>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64B"/>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1">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FD17D4"/>
    <w:multiLevelType w:val="hybridMultilevel"/>
    <w:tmpl w:val="8B14EDEC"/>
    <w:lvl w:ilvl="0" w:tplc="3886F95A">
      <w:start w:val="1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A5225D6"/>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5">
    <w:nsid w:val="11BC18CF"/>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6">
    <w:nsid w:val="13251D11"/>
    <w:multiLevelType w:val="hybridMultilevel"/>
    <w:tmpl w:val="862606CA"/>
    <w:lvl w:ilvl="0" w:tplc="3CFE67B0">
      <w:start w:val="28"/>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3834037"/>
    <w:multiLevelType w:val="multilevel"/>
    <w:tmpl w:val="0CA8DF4E"/>
    <w:lvl w:ilvl="0">
      <w:start w:val="1"/>
      <w:numFmt w:val="decimal"/>
      <w:lvlText w:val="%1."/>
      <w:lvlJc w:val="left"/>
      <w:pPr>
        <w:ind w:left="876" w:firstLine="400"/>
      </w:pPr>
      <w:rPr>
        <w:rFonts w:ascii="Times New Roman" w:eastAsiaTheme="minorEastAsia"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abstractNum w:abstractNumId="8">
    <w:nsid w:val="14286D35"/>
    <w:multiLevelType w:val="hybridMultilevel"/>
    <w:tmpl w:val="3D50ADCC"/>
    <w:lvl w:ilvl="0" w:tplc="732238C4">
      <w:start w:val="14"/>
      <w:numFmt w:val="decimal"/>
      <w:lvlText w:val="%1."/>
      <w:lvlJc w:val="left"/>
      <w:pPr>
        <w:ind w:left="760" w:hanging="360"/>
      </w:pPr>
      <w:rPr>
        <w:rFonts w:eastAsia="Batang" w:hint="default"/>
        <w:b/>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2843D7"/>
    <w:multiLevelType w:val="hybridMultilevel"/>
    <w:tmpl w:val="0CA6894C"/>
    <w:lvl w:ilvl="0" w:tplc="54C45A70">
      <w:start w:val="13"/>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28CE342D"/>
    <w:multiLevelType w:val="multilevel"/>
    <w:tmpl w:val="1B4E077E"/>
    <w:lvl w:ilvl="0">
      <w:start w:val="9"/>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12">
    <w:nsid w:val="2E831B51"/>
    <w:multiLevelType w:val="multilevel"/>
    <w:tmpl w:val="3182988C"/>
    <w:lvl w:ilvl="0">
      <w:start w:val="1"/>
      <w:numFmt w:val="decimal"/>
      <w:lvlText w:val="%1."/>
      <w:lvlJc w:val="left"/>
      <w:pPr>
        <w:ind w:left="876" w:firstLine="400"/>
      </w:pPr>
      <w:rPr>
        <w:rFonts w:ascii="Times New Roman" w:eastAsiaTheme="minorEastAsia"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abstractNum w:abstractNumId="13">
    <w:nsid w:val="31AA0908"/>
    <w:multiLevelType w:val="hybridMultilevel"/>
    <w:tmpl w:val="A2A41BD8"/>
    <w:lvl w:ilvl="0" w:tplc="A0BA9B8E">
      <w:start w:val="1"/>
      <w:numFmt w:val="upperRoman"/>
      <w:lvlText w:val="%1."/>
      <w:lvlJc w:val="left"/>
      <w:pPr>
        <w:ind w:left="3921" w:hanging="400"/>
      </w:pPr>
      <w:rPr>
        <w:b/>
        <w:sz w:val="28"/>
        <w:szCs w:val="28"/>
      </w:rPr>
    </w:lvl>
    <w:lvl w:ilvl="1" w:tplc="04090019">
      <w:start w:val="1"/>
      <w:numFmt w:val="upperLetter"/>
      <w:lvlText w:val="%2."/>
      <w:lvlJc w:val="left"/>
      <w:pPr>
        <w:ind w:left="4296" w:hanging="400"/>
      </w:pPr>
    </w:lvl>
    <w:lvl w:ilvl="2" w:tplc="0409001B">
      <w:start w:val="1"/>
      <w:numFmt w:val="lowerRoman"/>
      <w:lvlText w:val="%3."/>
      <w:lvlJc w:val="right"/>
      <w:pPr>
        <w:ind w:left="4696" w:hanging="400"/>
      </w:pPr>
    </w:lvl>
    <w:lvl w:ilvl="3" w:tplc="0409000F">
      <w:start w:val="1"/>
      <w:numFmt w:val="decimal"/>
      <w:lvlText w:val="%4."/>
      <w:lvlJc w:val="left"/>
      <w:pPr>
        <w:ind w:left="5096" w:hanging="400"/>
      </w:pPr>
    </w:lvl>
    <w:lvl w:ilvl="4" w:tplc="04090019">
      <w:start w:val="1"/>
      <w:numFmt w:val="upperLetter"/>
      <w:lvlText w:val="%5."/>
      <w:lvlJc w:val="left"/>
      <w:pPr>
        <w:ind w:left="5496" w:hanging="400"/>
      </w:pPr>
    </w:lvl>
    <w:lvl w:ilvl="5" w:tplc="0409001B" w:tentative="1">
      <w:start w:val="1"/>
      <w:numFmt w:val="lowerRoman"/>
      <w:lvlText w:val="%6."/>
      <w:lvlJc w:val="right"/>
      <w:pPr>
        <w:ind w:left="5896" w:hanging="400"/>
      </w:pPr>
    </w:lvl>
    <w:lvl w:ilvl="6" w:tplc="0409000F" w:tentative="1">
      <w:start w:val="1"/>
      <w:numFmt w:val="decimal"/>
      <w:lvlText w:val="%7."/>
      <w:lvlJc w:val="left"/>
      <w:pPr>
        <w:ind w:left="6296" w:hanging="400"/>
      </w:pPr>
    </w:lvl>
    <w:lvl w:ilvl="7" w:tplc="04090019" w:tentative="1">
      <w:start w:val="1"/>
      <w:numFmt w:val="upperLetter"/>
      <w:lvlText w:val="%8."/>
      <w:lvlJc w:val="left"/>
      <w:pPr>
        <w:ind w:left="6696" w:hanging="400"/>
      </w:pPr>
    </w:lvl>
    <w:lvl w:ilvl="8" w:tplc="0409001B" w:tentative="1">
      <w:start w:val="1"/>
      <w:numFmt w:val="lowerRoman"/>
      <w:lvlText w:val="%9."/>
      <w:lvlJc w:val="right"/>
      <w:pPr>
        <w:ind w:left="7096" w:hanging="400"/>
      </w:pPr>
    </w:lvl>
  </w:abstractNum>
  <w:abstractNum w:abstractNumId="14">
    <w:nsid w:val="34FD19D9"/>
    <w:multiLevelType w:val="hybridMultilevel"/>
    <w:tmpl w:val="3D50ADCC"/>
    <w:lvl w:ilvl="0" w:tplc="732238C4">
      <w:start w:val="14"/>
      <w:numFmt w:val="decimal"/>
      <w:lvlText w:val="%1."/>
      <w:lvlJc w:val="left"/>
      <w:pPr>
        <w:ind w:left="760" w:hanging="360"/>
      </w:pPr>
      <w:rPr>
        <w:rFonts w:eastAsia="Batang" w:hint="default"/>
        <w:b/>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6">
    <w:nsid w:val="492022DF"/>
    <w:multiLevelType w:val="multilevel"/>
    <w:tmpl w:val="C4BE488E"/>
    <w:lvl w:ilvl="0">
      <w:start w:val="10"/>
      <w:numFmt w:val="decimal"/>
      <w:lvlText w:val="%1."/>
      <w:lvlJc w:val="left"/>
      <w:pPr>
        <w:ind w:left="876" w:firstLine="400"/>
      </w:pPr>
      <w:rPr>
        <w:rFonts w:ascii="Times New Roman" w:eastAsia="Batang" w:hAnsi="Times New Roman" w:cs="Times New Roman" w:hint="eastAsia"/>
        <w:b w:val="0"/>
        <w:sz w:val="20"/>
        <w:szCs w:val="20"/>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17">
    <w:nsid w:val="4A9F7250"/>
    <w:multiLevelType w:val="hybridMultilevel"/>
    <w:tmpl w:val="12D6F6CA"/>
    <w:lvl w:ilvl="0" w:tplc="30385B5E">
      <w:start w:val="1"/>
      <w:numFmt w:val="decimal"/>
      <w:lvlText w:val="%1."/>
      <w:lvlJc w:val="left"/>
      <w:pPr>
        <w:ind w:left="1084" w:hanging="400"/>
      </w:pPr>
      <w:rPr>
        <w:rFonts w:hint="eastAsia"/>
        <w:b w:val="0"/>
        <w:sz w:val="20"/>
        <w:szCs w:val="20"/>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8">
    <w:nsid w:val="50C3051E"/>
    <w:multiLevelType w:val="hybridMultilevel"/>
    <w:tmpl w:val="EEBEAFC2"/>
    <w:lvl w:ilvl="0" w:tplc="71D8C9DE">
      <w:start w:val="89"/>
      <w:numFmt w:val="decimal"/>
      <w:lvlText w:val="%1."/>
      <w:lvlJc w:val="left"/>
      <w:pPr>
        <w:ind w:left="1636" w:hanging="360"/>
      </w:pPr>
      <w:rPr>
        <w:rFonts w:hint="default"/>
      </w:rPr>
    </w:lvl>
    <w:lvl w:ilvl="1" w:tplc="04090019" w:tentative="1">
      <w:start w:val="1"/>
      <w:numFmt w:val="upperLetter"/>
      <w:lvlText w:val="%2."/>
      <w:lvlJc w:val="left"/>
      <w:pPr>
        <w:ind w:left="2076" w:hanging="400"/>
      </w:pPr>
    </w:lvl>
    <w:lvl w:ilvl="2" w:tplc="0409001B" w:tentative="1">
      <w:start w:val="1"/>
      <w:numFmt w:val="lowerRoman"/>
      <w:lvlText w:val="%3."/>
      <w:lvlJc w:val="right"/>
      <w:pPr>
        <w:ind w:left="2476" w:hanging="400"/>
      </w:pPr>
    </w:lvl>
    <w:lvl w:ilvl="3" w:tplc="0409000F" w:tentative="1">
      <w:start w:val="1"/>
      <w:numFmt w:val="decimal"/>
      <w:lvlText w:val="%4."/>
      <w:lvlJc w:val="left"/>
      <w:pPr>
        <w:ind w:left="2876" w:hanging="400"/>
      </w:pPr>
    </w:lvl>
    <w:lvl w:ilvl="4" w:tplc="04090019" w:tentative="1">
      <w:start w:val="1"/>
      <w:numFmt w:val="upperLetter"/>
      <w:lvlText w:val="%5."/>
      <w:lvlJc w:val="left"/>
      <w:pPr>
        <w:ind w:left="3276" w:hanging="400"/>
      </w:pPr>
    </w:lvl>
    <w:lvl w:ilvl="5" w:tplc="0409001B" w:tentative="1">
      <w:start w:val="1"/>
      <w:numFmt w:val="lowerRoman"/>
      <w:lvlText w:val="%6."/>
      <w:lvlJc w:val="right"/>
      <w:pPr>
        <w:ind w:left="3676" w:hanging="400"/>
      </w:pPr>
    </w:lvl>
    <w:lvl w:ilvl="6" w:tplc="0409000F" w:tentative="1">
      <w:start w:val="1"/>
      <w:numFmt w:val="decimal"/>
      <w:lvlText w:val="%7."/>
      <w:lvlJc w:val="left"/>
      <w:pPr>
        <w:ind w:left="4076" w:hanging="400"/>
      </w:pPr>
    </w:lvl>
    <w:lvl w:ilvl="7" w:tplc="04090019" w:tentative="1">
      <w:start w:val="1"/>
      <w:numFmt w:val="upperLetter"/>
      <w:lvlText w:val="%8."/>
      <w:lvlJc w:val="left"/>
      <w:pPr>
        <w:ind w:left="4476" w:hanging="400"/>
      </w:pPr>
    </w:lvl>
    <w:lvl w:ilvl="8" w:tplc="0409001B" w:tentative="1">
      <w:start w:val="1"/>
      <w:numFmt w:val="lowerRoman"/>
      <w:lvlText w:val="%9."/>
      <w:lvlJc w:val="right"/>
      <w:pPr>
        <w:ind w:left="4876" w:hanging="400"/>
      </w:pPr>
    </w:lvl>
  </w:abstractNum>
  <w:abstractNum w:abstractNumId="19">
    <w:nsid w:val="54807592"/>
    <w:multiLevelType w:val="hybridMultilevel"/>
    <w:tmpl w:val="862606CA"/>
    <w:lvl w:ilvl="0" w:tplc="3CFE67B0">
      <w:start w:val="28"/>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AF93C26"/>
    <w:multiLevelType w:val="hybridMultilevel"/>
    <w:tmpl w:val="843A3516"/>
    <w:lvl w:ilvl="0" w:tplc="117E745E">
      <w:start w:val="1"/>
      <w:numFmt w:val="decimal"/>
      <w:lvlText w:val="%1."/>
      <w:lvlJc w:val="left"/>
      <w:pPr>
        <w:ind w:left="800" w:hanging="400"/>
      </w:pPr>
      <w:rPr>
        <w:rFonts w:hint="eastAsia"/>
        <w:b w:val="0"/>
        <w:color w:val="auto"/>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4850A7E"/>
    <w:multiLevelType w:val="hybridMultilevel"/>
    <w:tmpl w:val="7DC43AD2"/>
    <w:lvl w:ilvl="0" w:tplc="019E4FD8">
      <w:start w:val="13"/>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7A5BA7"/>
    <w:multiLevelType w:val="multilevel"/>
    <w:tmpl w:val="C4BE488E"/>
    <w:lvl w:ilvl="0">
      <w:start w:val="10"/>
      <w:numFmt w:val="decimal"/>
      <w:lvlText w:val="%1."/>
      <w:lvlJc w:val="left"/>
      <w:pPr>
        <w:ind w:left="876" w:firstLine="400"/>
      </w:pPr>
      <w:rPr>
        <w:rFonts w:ascii="Times New Roman" w:eastAsia="Batang" w:hAnsi="Times New Roman" w:cs="Times New Roman" w:hint="eastAsia"/>
        <w:b w:val="0"/>
        <w:sz w:val="20"/>
        <w:szCs w:val="20"/>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24">
    <w:nsid w:val="6CCB76D3"/>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25">
    <w:nsid w:val="6FA30818"/>
    <w:multiLevelType w:val="multilevel"/>
    <w:tmpl w:val="0F7EBE48"/>
    <w:lvl w:ilvl="0">
      <w:start w:val="1"/>
      <w:numFmt w:val="upperRoman"/>
      <w:lvlText w:val="%1."/>
      <w:lvlJc w:val="left"/>
      <w:pPr>
        <w:ind w:left="567" w:hanging="425"/>
      </w:pPr>
      <w:rPr>
        <w:rFonts w:hint="eastAsia"/>
      </w:rPr>
    </w:lvl>
    <w:lvl w:ilvl="1">
      <w:start w:val="1"/>
      <w:numFmt w:val="upperLetter"/>
      <w:lvlText w:val="%2."/>
      <w:lvlJc w:val="left"/>
      <w:pPr>
        <w:ind w:left="992" w:hanging="567"/>
      </w:pPr>
      <w:rPr>
        <w:rFonts w:hint="eastAsia"/>
      </w:rPr>
    </w:lvl>
    <w:lvl w:ilvl="2">
      <w:start w:val="1"/>
      <w:numFmt w:val="none"/>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70CD2745"/>
    <w:multiLevelType w:val="hybridMultilevel"/>
    <w:tmpl w:val="8F16DE48"/>
    <w:lvl w:ilvl="0" w:tplc="27067AC2">
      <w:start w:val="1"/>
      <w:numFmt w:val="upperLetter"/>
      <w:lvlText w:val="%1."/>
      <w:lvlJc w:val="left"/>
      <w:pPr>
        <w:ind w:left="1676" w:hanging="400"/>
      </w:pPr>
      <w:rPr>
        <w:rFonts w:hint="eastAsia"/>
      </w:rPr>
    </w:lvl>
    <w:lvl w:ilvl="1" w:tplc="04090019" w:tentative="1">
      <w:start w:val="1"/>
      <w:numFmt w:val="upperLetter"/>
      <w:lvlText w:val="%2."/>
      <w:lvlJc w:val="left"/>
      <w:pPr>
        <w:ind w:left="1676" w:hanging="400"/>
      </w:pPr>
    </w:lvl>
    <w:lvl w:ilvl="2" w:tplc="0409001B" w:tentative="1">
      <w:start w:val="1"/>
      <w:numFmt w:val="lowerRoman"/>
      <w:lvlText w:val="%3."/>
      <w:lvlJc w:val="right"/>
      <w:pPr>
        <w:ind w:left="2076" w:hanging="400"/>
      </w:pPr>
    </w:lvl>
    <w:lvl w:ilvl="3" w:tplc="0409000F" w:tentative="1">
      <w:start w:val="1"/>
      <w:numFmt w:val="decimal"/>
      <w:lvlText w:val="%4."/>
      <w:lvlJc w:val="left"/>
      <w:pPr>
        <w:ind w:left="2476" w:hanging="400"/>
      </w:pPr>
    </w:lvl>
    <w:lvl w:ilvl="4" w:tplc="04090019" w:tentative="1">
      <w:start w:val="1"/>
      <w:numFmt w:val="upperLetter"/>
      <w:lvlText w:val="%5."/>
      <w:lvlJc w:val="left"/>
      <w:pPr>
        <w:ind w:left="2876" w:hanging="400"/>
      </w:pPr>
    </w:lvl>
    <w:lvl w:ilvl="5" w:tplc="0409001B" w:tentative="1">
      <w:start w:val="1"/>
      <w:numFmt w:val="lowerRoman"/>
      <w:lvlText w:val="%6."/>
      <w:lvlJc w:val="right"/>
      <w:pPr>
        <w:ind w:left="3276" w:hanging="400"/>
      </w:pPr>
    </w:lvl>
    <w:lvl w:ilvl="6" w:tplc="0409000F" w:tentative="1">
      <w:start w:val="1"/>
      <w:numFmt w:val="decimal"/>
      <w:lvlText w:val="%7."/>
      <w:lvlJc w:val="left"/>
      <w:pPr>
        <w:ind w:left="3676" w:hanging="400"/>
      </w:pPr>
    </w:lvl>
    <w:lvl w:ilvl="7" w:tplc="04090019" w:tentative="1">
      <w:start w:val="1"/>
      <w:numFmt w:val="upperLetter"/>
      <w:lvlText w:val="%8."/>
      <w:lvlJc w:val="left"/>
      <w:pPr>
        <w:ind w:left="4076" w:hanging="400"/>
      </w:pPr>
    </w:lvl>
    <w:lvl w:ilvl="8" w:tplc="0409001B" w:tentative="1">
      <w:start w:val="1"/>
      <w:numFmt w:val="lowerRoman"/>
      <w:lvlText w:val="%9."/>
      <w:lvlJc w:val="right"/>
      <w:pPr>
        <w:ind w:left="4476" w:hanging="400"/>
      </w:pPr>
    </w:lvl>
  </w:abstractNum>
  <w:abstractNum w:abstractNumId="27">
    <w:nsid w:val="739D12E9"/>
    <w:multiLevelType w:val="hybridMultilevel"/>
    <w:tmpl w:val="63AC2140"/>
    <w:lvl w:ilvl="0" w:tplc="FA2E5030">
      <w:start w:val="1"/>
      <w:numFmt w:val="decimal"/>
      <w:lvlText w:val="%1)"/>
      <w:lvlJc w:val="left"/>
      <w:pPr>
        <w:ind w:left="12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39E42FE"/>
    <w:multiLevelType w:val="hybridMultilevel"/>
    <w:tmpl w:val="3C3ADB64"/>
    <w:lvl w:ilvl="0" w:tplc="F33A9742">
      <w:start w:val="1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63F26D2"/>
    <w:multiLevelType w:val="hybridMultilevel"/>
    <w:tmpl w:val="23FE4EC4"/>
    <w:lvl w:ilvl="0" w:tplc="120EFBBC">
      <w:start w:val="1"/>
      <w:numFmt w:val="upperLetter"/>
      <w:lvlText w:val="%1."/>
      <w:lvlJc w:val="left"/>
      <w:pPr>
        <w:ind w:left="2000" w:hanging="400"/>
      </w:pPr>
      <w:rPr>
        <w:rFonts w:hint="eastAsia"/>
      </w:rPr>
    </w:lvl>
    <w:lvl w:ilvl="1" w:tplc="04090019">
      <w:start w:val="1"/>
      <w:numFmt w:val="upperLetter"/>
      <w:lvlText w:val="%2."/>
      <w:lvlJc w:val="left"/>
      <w:pPr>
        <w:ind w:left="2000" w:hanging="400"/>
      </w:pPr>
    </w:lvl>
    <w:lvl w:ilvl="2" w:tplc="0409001B">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0">
    <w:nsid w:val="76C24E96"/>
    <w:multiLevelType w:val="hybridMultilevel"/>
    <w:tmpl w:val="0DB6464E"/>
    <w:lvl w:ilvl="0" w:tplc="E3F6EDDA">
      <w:start w:val="1"/>
      <w:numFmt w:val="decimal"/>
      <w:lvlText w:val="%1."/>
      <w:lvlJc w:val="left"/>
      <w:pPr>
        <w:ind w:left="1084" w:hanging="400"/>
      </w:pPr>
      <w:rPr>
        <w:rFonts w:hint="eastAsia"/>
      </w:rPr>
    </w:lvl>
    <w:lvl w:ilvl="1" w:tplc="04090019">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31">
    <w:nsid w:val="7C935CFF"/>
    <w:multiLevelType w:val="hybridMultilevel"/>
    <w:tmpl w:val="F4F6059A"/>
    <w:lvl w:ilvl="0" w:tplc="E3F6EDDA">
      <w:start w:val="1"/>
      <w:numFmt w:val="decimal"/>
      <w:lvlText w:val="%1."/>
      <w:lvlJc w:val="left"/>
      <w:pPr>
        <w:ind w:left="1084" w:hanging="400"/>
      </w:pPr>
      <w:rPr>
        <w:rFonts w:hint="eastAsia"/>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32">
    <w:nsid w:val="7CAF0D07"/>
    <w:multiLevelType w:val="hybridMultilevel"/>
    <w:tmpl w:val="45C88406"/>
    <w:lvl w:ilvl="0" w:tplc="5E5C578A">
      <w:start w:val="1"/>
      <w:numFmt w:val="bullet"/>
      <w:lvlText w:val="▪"/>
      <w:lvlJc w:val="left"/>
      <w:pPr>
        <w:ind w:left="800" w:hanging="400"/>
      </w:pPr>
      <w:rPr>
        <w:rFonts w:ascii="Calibri" w:hAnsi="Calibri" w:hint="default"/>
      </w:rPr>
    </w:lvl>
    <w:lvl w:ilvl="1" w:tplc="FA2E5030">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2"/>
  </w:num>
  <w:num w:numId="3">
    <w:abstractNumId w:val="1"/>
  </w:num>
  <w:num w:numId="4">
    <w:abstractNumId w:val="9"/>
  </w:num>
  <w:num w:numId="5">
    <w:abstractNumId w:val="15"/>
  </w:num>
  <w:num w:numId="6">
    <w:abstractNumId w:val="25"/>
  </w:num>
  <w:num w:numId="7">
    <w:abstractNumId w:val="12"/>
  </w:num>
  <w:num w:numId="8">
    <w:abstractNumId w:val="20"/>
  </w:num>
  <w:num w:numId="9">
    <w:abstractNumId w:val="13"/>
  </w:num>
  <w:num w:numId="10">
    <w:abstractNumId w:val="17"/>
  </w:num>
  <w:num w:numId="11">
    <w:abstractNumId w:val="31"/>
  </w:num>
  <w:num w:numId="12">
    <w:abstractNumId w:val="30"/>
  </w:num>
  <w:num w:numId="13">
    <w:abstractNumId w:val="6"/>
  </w:num>
  <w:num w:numId="14">
    <w:abstractNumId w:val="32"/>
  </w:num>
  <w:num w:numId="15">
    <w:abstractNumId w:val="27"/>
  </w:num>
  <w:num w:numId="16">
    <w:abstractNumId w:val="19"/>
  </w:num>
  <w:num w:numId="17">
    <w:abstractNumId w:val="10"/>
  </w:num>
  <w:num w:numId="18">
    <w:abstractNumId w:val="21"/>
  </w:num>
  <w:num w:numId="19">
    <w:abstractNumId w:val="28"/>
  </w:num>
  <w:num w:numId="20">
    <w:abstractNumId w:val="8"/>
  </w:num>
  <w:num w:numId="21">
    <w:abstractNumId w:val="3"/>
  </w:num>
  <w:num w:numId="22">
    <w:abstractNumId w:val="14"/>
  </w:num>
  <w:num w:numId="23">
    <w:abstractNumId w:val="7"/>
  </w:num>
  <w:num w:numId="24">
    <w:abstractNumId w:val="11"/>
  </w:num>
  <w:num w:numId="25">
    <w:abstractNumId w:val="23"/>
  </w:num>
  <w:num w:numId="26">
    <w:abstractNumId w:val="26"/>
  </w:num>
  <w:num w:numId="27">
    <w:abstractNumId w:val="29"/>
  </w:num>
  <w:num w:numId="28">
    <w:abstractNumId w:val="18"/>
  </w:num>
  <w:num w:numId="29">
    <w:abstractNumId w:val="4"/>
  </w:num>
  <w:num w:numId="30">
    <w:abstractNumId w:val="0"/>
  </w:num>
  <w:num w:numId="31">
    <w:abstractNumId w:val="24"/>
  </w:num>
  <w:num w:numId="32">
    <w:abstractNumId w:val="5"/>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F"/>
    <w:rsid w:val="0000063F"/>
    <w:rsid w:val="00003CB7"/>
    <w:rsid w:val="00004B3F"/>
    <w:rsid w:val="000060D5"/>
    <w:rsid w:val="0000700C"/>
    <w:rsid w:val="00010E69"/>
    <w:rsid w:val="000127F7"/>
    <w:rsid w:val="0001363A"/>
    <w:rsid w:val="000157A2"/>
    <w:rsid w:val="000162A9"/>
    <w:rsid w:val="000242B2"/>
    <w:rsid w:val="000250D9"/>
    <w:rsid w:val="00027021"/>
    <w:rsid w:val="0003015A"/>
    <w:rsid w:val="0003021B"/>
    <w:rsid w:val="000305E1"/>
    <w:rsid w:val="00031DBB"/>
    <w:rsid w:val="00031EC0"/>
    <w:rsid w:val="000320E5"/>
    <w:rsid w:val="00032F58"/>
    <w:rsid w:val="00036E85"/>
    <w:rsid w:val="00037462"/>
    <w:rsid w:val="00040703"/>
    <w:rsid w:val="00041CF7"/>
    <w:rsid w:val="000438DB"/>
    <w:rsid w:val="00045B7C"/>
    <w:rsid w:val="00045F5C"/>
    <w:rsid w:val="00045FF5"/>
    <w:rsid w:val="00046CC9"/>
    <w:rsid w:val="00052C17"/>
    <w:rsid w:val="000530E0"/>
    <w:rsid w:val="00054F39"/>
    <w:rsid w:val="00060C26"/>
    <w:rsid w:val="00071D65"/>
    <w:rsid w:val="00072E44"/>
    <w:rsid w:val="00073A10"/>
    <w:rsid w:val="00073D46"/>
    <w:rsid w:val="00075333"/>
    <w:rsid w:val="000771BF"/>
    <w:rsid w:val="00077F9D"/>
    <w:rsid w:val="000807E9"/>
    <w:rsid w:val="000845B6"/>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41E4"/>
    <w:rsid w:val="000C52AF"/>
    <w:rsid w:val="000C5915"/>
    <w:rsid w:val="000D18FE"/>
    <w:rsid w:val="000D2FC6"/>
    <w:rsid w:val="000D4C02"/>
    <w:rsid w:val="000D4DAA"/>
    <w:rsid w:val="000D60BA"/>
    <w:rsid w:val="000D782D"/>
    <w:rsid w:val="000E1963"/>
    <w:rsid w:val="000E451A"/>
    <w:rsid w:val="000E51ED"/>
    <w:rsid w:val="000E6352"/>
    <w:rsid w:val="000E6C21"/>
    <w:rsid w:val="000F17AA"/>
    <w:rsid w:val="000F2872"/>
    <w:rsid w:val="000F50DE"/>
    <w:rsid w:val="000F5617"/>
    <w:rsid w:val="000F683E"/>
    <w:rsid w:val="000F7962"/>
    <w:rsid w:val="0010108E"/>
    <w:rsid w:val="001014DB"/>
    <w:rsid w:val="00104146"/>
    <w:rsid w:val="001041D8"/>
    <w:rsid w:val="001062EA"/>
    <w:rsid w:val="00111352"/>
    <w:rsid w:val="001121DE"/>
    <w:rsid w:val="00113476"/>
    <w:rsid w:val="00113492"/>
    <w:rsid w:val="001146B7"/>
    <w:rsid w:val="00114DF3"/>
    <w:rsid w:val="001155A7"/>
    <w:rsid w:val="00115968"/>
    <w:rsid w:val="00115EFE"/>
    <w:rsid w:val="00117FDA"/>
    <w:rsid w:val="00121374"/>
    <w:rsid w:val="00125363"/>
    <w:rsid w:val="00126516"/>
    <w:rsid w:val="001270B4"/>
    <w:rsid w:val="001300B3"/>
    <w:rsid w:val="00132909"/>
    <w:rsid w:val="00132918"/>
    <w:rsid w:val="00133D7A"/>
    <w:rsid w:val="00135FF5"/>
    <w:rsid w:val="001371AD"/>
    <w:rsid w:val="00137BA2"/>
    <w:rsid w:val="00144971"/>
    <w:rsid w:val="001455D3"/>
    <w:rsid w:val="0014680F"/>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81ADA"/>
    <w:rsid w:val="00181B4F"/>
    <w:rsid w:val="00183EED"/>
    <w:rsid w:val="00187A8C"/>
    <w:rsid w:val="00190D63"/>
    <w:rsid w:val="00192F2B"/>
    <w:rsid w:val="001934D3"/>
    <w:rsid w:val="001A16A0"/>
    <w:rsid w:val="001A19F3"/>
    <w:rsid w:val="001A2909"/>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3C57"/>
    <w:rsid w:val="001D7E85"/>
    <w:rsid w:val="001E057A"/>
    <w:rsid w:val="001E0929"/>
    <w:rsid w:val="001E265C"/>
    <w:rsid w:val="001F35A8"/>
    <w:rsid w:val="001F4040"/>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30C"/>
    <w:rsid w:val="00223778"/>
    <w:rsid w:val="00223A75"/>
    <w:rsid w:val="0022720B"/>
    <w:rsid w:val="00227C1E"/>
    <w:rsid w:val="00232AAC"/>
    <w:rsid w:val="00232B06"/>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A0C"/>
    <w:rsid w:val="00276D49"/>
    <w:rsid w:val="002773E1"/>
    <w:rsid w:val="00277D0E"/>
    <w:rsid w:val="002823E1"/>
    <w:rsid w:val="00282D5A"/>
    <w:rsid w:val="0028347D"/>
    <w:rsid w:val="002868E0"/>
    <w:rsid w:val="002869C8"/>
    <w:rsid w:val="00286DE3"/>
    <w:rsid w:val="00290109"/>
    <w:rsid w:val="00291A2C"/>
    <w:rsid w:val="002933C1"/>
    <w:rsid w:val="0029348D"/>
    <w:rsid w:val="00293F7B"/>
    <w:rsid w:val="002952DD"/>
    <w:rsid w:val="00296680"/>
    <w:rsid w:val="002A0BB7"/>
    <w:rsid w:val="002A1026"/>
    <w:rsid w:val="002A1C0F"/>
    <w:rsid w:val="002A6D1C"/>
    <w:rsid w:val="002A73AF"/>
    <w:rsid w:val="002B02E5"/>
    <w:rsid w:val="002B079C"/>
    <w:rsid w:val="002B2663"/>
    <w:rsid w:val="002B3375"/>
    <w:rsid w:val="002B3388"/>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548B"/>
    <w:rsid w:val="002D6094"/>
    <w:rsid w:val="002E106A"/>
    <w:rsid w:val="002E15A8"/>
    <w:rsid w:val="002E1BBD"/>
    <w:rsid w:val="002E1BFD"/>
    <w:rsid w:val="002E4248"/>
    <w:rsid w:val="002F02A5"/>
    <w:rsid w:val="002F1076"/>
    <w:rsid w:val="002F3874"/>
    <w:rsid w:val="002F4B0A"/>
    <w:rsid w:val="002F4B90"/>
    <w:rsid w:val="002F69D0"/>
    <w:rsid w:val="002F759C"/>
    <w:rsid w:val="002F75FC"/>
    <w:rsid w:val="003008E3"/>
    <w:rsid w:val="00300C76"/>
    <w:rsid w:val="003029BE"/>
    <w:rsid w:val="00305259"/>
    <w:rsid w:val="00305D66"/>
    <w:rsid w:val="003067BF"/>
    <w:rsid w:val="00307595"/>
    <w:rsid w:val="00307671"/>
    <w:rsid w:val="00311B7E"/>
    <w:rsid w:val="003140B7"/>
    <w:rsid w:val="00316F1D"/>
    <w:rsid w:val="00317D96"/>
    <w:rsid w:val="0032038C"/>
    <w:rsid w:val="003229E3"/>
    <w:rsid w:val="0032425E"/>
    <w:rsid w:val="003243F4"/>
    <w:rsid w:val="003260F9"/>
    <w:rsid w:val="0032642D"/>
    <w:rsid w:val="003325B7"/>
    <w:rsid w:val="0033317E"/>
    <w:rsid w:val="003420F0"/>
    <w:rsid w:val="003432E3"/>
    <w:rsid w:val="003464E9"/>
    <w:rsid w:val="00346924"/>
    <w:rsid w:val="00352E65"/>
    <w:rsid w:val="0035593A"/>
    <w:rsid w:val="003565A8"/>
    <w:rsid w:val="00360013"/>
    <w:rsid w:val="003634E2"/>
    <w:rsid w:val="003636AF"/>
    <w:rsid w:val="003639F7"/>
    <w:rsid w:val="003640A6"/>
    <w:rsid w:val="00364A68"/>
    <w:rsid w:val="00365471"/>
    <w:rsid w:val="00365FFE"/>
    <w:rsid w:val="00367828"/>
    <w:rsid w:val="00370050"/>
    <w:rsid w:val="00370865"/>
    <w:rsid w:val="00373671"/>
    <w:rsid w:val="00373C94"/>
    <w:rsid w:val="00373F38"/>
    <w:rsid w:val="00374C65"/>
    <w:rsid w:val="00376935"/>
    <w:rsid w:val="003775A2"/>
    <w:rsid w:val="00380416"/>
    <w:rsid w:val="00381A66"/>
    <w:rsid w:val="00381B00"/>
    <w:rsid w:val="00382169"/>
    <w:rsid w:val="00387E48"/>
    <w:rsid w:val="00390A7F"/>
    <w:rsid w:val="003932E3"/>
    <w:rsid w:val="00393301"/>
    <w:rsid w:val="0039522E"/>
    <w:rsid w:val="003A0AC5"/>
    <w:rsid w:val="003A3B16"/>
    <w:rsid w:val="003A4270"/>
    <w:rsid w:val="003A52A9"/>
    <w:rsid w:val="003B21A8"/>
    <w:rsid w:val="003B4E2B"/>
    <w:rsid w:val="003B55FB"/>
    <w:rsid w:val="003B712A"/>
    <w:rsid w:val="003C0BD1"/>
    <w:rsid w:val="003C21D1"/>
    <w:rsid w:val="003C33BC"/>
    <w:rsid w:val="003C33CA"/>
    <w:rsid w:val="003C3BBB"/>
    <w:rsid w:val="003C57F8"/>
    <w:rsid w:val="003C5838"/>
    <w:rsid w:val="003C6C44"/>
    <w:rsid w:val="003C7952"/>
    <w:rsid w:val="003C7E6C"/>
    <w:rsid w:val="003D1ADC"/>
    <w:rsid w:val="003D312D"/>
    <w:rsid w:val="003D3805"/>
    <w:rsid w:val="003D38A3"/>
    <w:rsid w:val="003D4FA5"/>
    <w:rsid w:val="003D67C6"/>
    <w:rsid w:val="003D77F2"/>
    <w:rsid w:val="003D7D82"/>
    <w:rsid w:val="003E06ED"/>
    <w:rsid w:val="003E3381"/>
    <w:rsid w:val="003E3C27"/>
    <w:rsid w:val="003E4903"/>
    <w:rsid w:val="003E54E8"/>
    <w:rsid w:val="003E563B"/>
    <w:rsid w:val="003E61AE"/>
    <w:rsid w:val="003E7D6E"/>
    <w:rsid w:val="003F1BB6"/>
    <w:rsid w:val="003F2B25"/>
    <w:rsid w:val="003F6755"/>
    <w:rsid w:val="003F78A0"/>
    <w:rsid w:val="003F7A40"/>
    <w:rsid w:val="0040029E"/>
    <w:rsid w:val="00400750"/>
    <w:rsid w:val="00400EA8"/>
    <w:rsid w:val="0040359D"/>
    <w:rsid w:val="004048EB"/>
    <w:rsid w:val="0040563E"/>
    <w:rsid w:val="00410D4D"/>
    <w:rsid w:val="00411204"/>
    <w:rsid w:val="004122DF"/>
    <w:rsid w:val="0041276C"/>
    <w:rsid w:val="00413600"/>
    <w:rsid w:val="00413BA3"/>
    <w:rsid w:val="004149E3"/>
    <w:rsid w:val="004204D0"/>
    <w:rsid w:val="0042246C"/>
    <w:rsid w:val="00423FE6"/>
    <w:rsid w:val="0042505D"/>
    <w:rsid w:val="00430C56"/>
    <w:rsid w:val="004320DF"/>
    <w:rsid w:val="004325BD"/>
    <w:rsid w:val="00432989"/>
    <w:rsid w:val="00432FD2"/>
    <w:rsid w:val="00437F70"/>
    <w:rsid w:val="00440E32"/>
    <w:rsid w:val="00441FA0"/>
    <w:rsid w:val="004435AD"/>
    <w:rsid w:val="00443D38"/>
    <w:rsid w:val="004541C0"/>
    <w:rsid w:val="0046117B"/>
    <w:rsid w:val="0046157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91EE6"/>
    <w:rsid w:val="00492B4B"/>
    <w:rsid w:val="0049475C"/>
    <w:rsid w:val="004949EC"/>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41AC"/>
    <w:rsid w:val="004C41DF"/>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51970"/>
    <w:rsid w:val="00552D87"/>
    <w:rsid w:val="00557803"/>
    <w:rsid w:val="00557F6D"/>
    <w:rsid w:val="005614E8"/>
    <w:rsid w:val="005626D8"/>
    <w:rsid w:val="00562DC9"/>
    <w:rsid w:val="00565196"/>
    <w:rsid w:val="00567CFB"/>
    <w:rsid w:val="00570953"/>
    <w:rsid w:val="00570F7C"/>
    <w:rsid w:val="005716CA"/>
    <w:rsid w:val="00572472"/>
    <w:rsid w:val="00572907"/>
    <w:rsid w:val="00573875"/>
    <w:rsid w:val="00575BA6"/>
    <w:rsid w:val="00577374"/>
    <w:rsid w:val="00577745"/>
    <w:rsid w:val="00577CAE"/>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4E4D"/>
    <w:rsid w:val="005B578B"/>
    <w:rsid w:val="005B60D2"/>
    <w:rsid w:val="005B7C22"/>
    <w:rsid w:val="005C2A44"/>
    <w:rsid w:val="005C2F73"/>
    <w:rsid w:val="005C31B6"/>
    <w:rsid w:val="005C3ABB"/>
    <w:rsid w:val="005D140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4C6"/>
    <w:rsid w:val="005F2297"/>
    <w:rsid w:val="005F281C"/>
    <w:rsid w:val="005F394C"/>
    <w:rsid w:val="005F450D"/>
    <w:rsid w:val="005F4E3D"/>
    <w:rsid w:val="005F5F01"/>
    <w:rsid w:val="00600A9B"/>
    <w:rsid w:val="00600FD8"/>
    <w:rsid w:val="0060204F"/>
    <w:rsid w:val="006020B4"/>
    <w:rsid w:val="0060211F"/>
    <w:rsid w:val="0060508D"/>
    <w:rsid w:val="00607044"/>
    <w:rsid w:val="00610658"/>
    <w:rsid w:val="00611B6E"/>
    <w:rsid w:val="00612478"/>
    <w:rsid w:val="00612970"/>
    <w:rsid w:val="0061311B"/>
    <w:rsid w:val="00615C61"/>
    <w:rsid w:val="00615D9A"/>
    <w:rsid w:val="006162B7"/>
    <w:rsid w:val="0062092B"/>
    <w:rsid w:val="00620BA7"/>
    <w:rsid w:val="00621212"/>
    <w:rsid w:val="00623091"/>
    <w:rsid w:val="006230F0"/>
    <w:rsid w:val="006234BF"/>
    <w:rsid w:val="0062472E"/>
    <w:rsid w:val="0062526B"/>
    <w:rsid w:val="00626EF6"/>
    <w:rsid w:val="006307B3"/>
    <w:rsid w:val="00631118"/>
    <w:rsid w:val="00632562"/>
    <w:rsid w:val="00636BC2"/>
    <w:rsid w:val="00637EAE"/>
    <w:rsid w:val="00637F40"/>
    <w:rsid w:val="00640119"/>
    <w:rsid w:val="00642941"/>
    <w:rsid w:val="006437B7"/>
    <w:rsid w:val="0064463A"/>
    <w:rsid w:val="006474D0"/>
    <w:rsid w:val="0064767A"/>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2AE1"/>
    <w:rsid w:val="006738B4"/>
    <w:rsid w:val="006776CC"/>
    <w:rsid w:val="006810EE"/>
    <w:rsid w:val="00681AA8"/>
    <w:rsid w:val="006827CD"/>
    <w:rsid w:val="00684443"/>
    <w:rsid w:val="0068603F"/>
    <w:rsid w:val="00687185"/>
    <w:rsid w:val="00687E47"/>
    <w:rsid w:val="0069047A"/>
    <w:rsid w:val="006943DA"/>
    <w:rsid w:val="00695D5C"/>
    <w:rsid w:val="00697EBB"/>
    <w:rsid w:val="006A0520"/>
    <w:rsid w:val="006A23B4"/>
    <w:rsid w:val="006A2BEB"/>
    <w:rsid w:val="006A39C6"/>
    <w:rsid w:val="006A4F2F"/>
    <w:rsid w:val="006A5689"/>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700E"/>
    <w:rsid w:val="00707C6B"/>
    <w:rsid w:val="007152DC"/>
    <w:rsid w:val="007170FB"/>
    <w:rsid w:val="00717923"/>
    <w:rsid w:val="00726FF0"/>
    <w:rsid w:val="00727894"/>
    <w:rsid w:val="007279B6"/>
    <w:rsid w:val="00730141"/>
    <w:rsid w:val="00731EA9"/>
    <w:rsid w:val="0073259B"/>
    <w:rsid w:val="007337FC"/>
    <w:rsid w:val="00736328"/>
    <w:rsid w:val="00741172"/>
    <w:rsid w:val="00742B1E"/>
    <w:rsid w:val="00744357"/>
    <w:rsid w:val="00746870"/>
    <w:rsid w:val="0074746B"/>
    <w:rsid w:val="0074748A"/>
    <w:rsid w:val="00751A5B"/>
    <w:rsid w:val="007539DC"/>
    <w:rsid w:val="00755A7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605A"/>
    <w:rsid w:val="007A1559"/>
    <w:rsid w:val="007A27C3"/>
    <w:rsid w:val="007A3A15"/>
    <w:rsid w:val="007A3D63"/>
    <w:rsid w:val="007A525F"/>
    <w:rsid w:val="007A7F40"/>
    <w:rsid w:val="007B0172"/>
    <w:rsid w:val="007B2550"/>
    <w:rsid w:val="007B55F9"/>
    <w:rsid w:val="007B65EE"/>
    <w:rsid w:val="007B6BB9"/>
    <w:rsid w:val="007B7DCE"/>
    <w:rsid w:val="007C06F4"/>
    <w:rsid w:val="007C4DC0"/>
    <w:rsid w:val="007C5D3F"/>
    <w:rsid w:val="007C7150"/>
    <w:rsid w:val="007D0294"/>
    <w:rsid w:val="007D0BD8"/>
    <w:rsid w:val="007D0F42"/>
    <w:rsid w:val="007D1068"/>
    <w:rsid w:val="007D1A02"/>
    <w:rsid w:val="007D201F"/>
    <w:rsid w:val="007D25BA"/>
    <w:rsid w:val="007D3844"/>
    <w:rsid w:val="007D5C19"/>
    <w:rsid w:val="007E0263"/>
    <w:rsid w:val="007E1725"/>
    <w:rsid w:val="007E1804"/>
    <w:rsid w:val="007E28A9"/>
    <w:rsid w:val="007E4D9E"/>
    <w:rsid w:val="007E6150"/>
    <w:rsid w:val="007E61A1"/>
    <w:rsid w:val="007E71FC"/>
    <w:rsid w:val="007E7AD2"/>
    <w:rsid w:val="007E7E49"/>
    <w:rsid w:val="007F01FB"/>
    <w:rsid w:val="007F30BE"/>
    <w:rsid w:val="007F45EA"/>
    <w:rsid w:val="007F5C7B"/>
    <w:rsid w:val="007F5D49"/>
    <w:rsid w:val="007F6D54"/>
    <w:rsid w:val="00804B71"/>
    <w:rsid w:val="0080512C"/>
    <w:rsid w:val="0080601D"/>
    <w:rsid w:val="0080676F"/>
    <w:rsid w:val="00810F49"/>
    <w:rsid w:val="00812E20"/>
    <w:rsid w:val="00813EBC"/>
    <w:rsid w:val="00814C31"/>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895"/>
    <w:rsid w:val="008504AC"/>
    <w:rsid w:val="0085054B"/>
    <w:rsid w:val="0085098F"/>
    <w:rsid w:val="00851B9F"/>
    <w:rsid w:val="00853E59"/>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3136"/>
    <w:rsid w:val="00884F1D"/>
    <w:rsid w:val="0088699F"/>
    <w:rsid w:val="00887BB9"/>
    <w:rsid w:val="00891532"/>
    <w:rsid w:val="00894380"/>
    <w:rsid w:val="0089478A"/>
    <w:rsid w:val="008952DA"/>
    <w:rsid w:val="00897820"/>
    <w:rsid w:val="008A09AC"/>
    <w:rsid w:val="008A103D"/>
    <w:rsid w:val="008A1B75"/>
    <w:rsid w:val="008A2488"/>
    <w:rsid w:val="008A369E"/>
    <w:rsid w:val="008A43CB"/>
    <w:rsid w:val="008A4C26"/>
    <w:rsid w:val="008A4CD5"/>
    <w:rsid w:val="008A757B"/>
    <w:rsid w:val="008A7C54"/>
    <w:rsid w:val="008B3EFB"/>
    <w:rsid w:val="008C2E5D"/>
    <w:rsid w:val="008C5B78"/>
    <w:rsid w:val="008D16D6"/>
    <w:rsid w:val="008D218F"/>
    <w:rsid w:val="008D25DC"/>
    <w:rsid w:val="008D312B"/>
    <w:rsid w:val="008D6128"/>
    <w:rsid w:val="008E1C17"/>
    <w:rsid w:val="008E23F4"/>
    <w:rsid w:val="008E3454"/>
    <w:rsid w:val="008E4FD9"/>
    <w:rsid w:val="008E5DB4"/>
    <w:rsid w:val="008E61D9"/>
    <w:rsid w:val="008E7919"/>
    <w:rsid w:val="008E7A5A"/>
    <w:rsid w:val="008F0130"/>
    <w:rsid w:val="008F19F7"/>
    <w:rsid w:val="008F5F18"/>
    <w:rsid w:val="008F65BA"/>
    <w:rsid w:val="008F6901"/>
    <w:rsid w:val="008F721A"/>
    <w:rsid w:val="00900E2D"/>
    <w:rsid w:val="00900FB9"/>
    <w:rsid w:val="0090174C"/>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5668"/>
    <w:rsid w:val="009879EF"/>
    <w:rsid w:val="00987F27"/>
    <w:rsid w:val="0099228C"/>
    <w:rsid w:val="009934C8"/>
    <w:rsid w:val="00994019"/>
    <w:rsid w:val="00994B21"/>
    <w:rsid w:val="0099504D"/>
    <w:rsid w:val="00997EA1"/>
    <w:rsid w:val="00997F86"/>
    <w:rsid w:val="009A001C"/>
    <w:rsid w:val="009A0BD6"/>
    <w:rsid w:val="009B1CF3"/>
    <w:rsid w:val="009B1E31"/>
    <w:rsid w:val="009B466B"/>
    <w:rsid w:val="009B581D"/>
    <w:rsid w:val="009B704D"/>
    <w:rsid w:val="009C4977"/>
    <w:rsid w:val="009C605B"/>
    <w:rsid w:val="009C67A0"/>
    <w:rsid w:val="009C6836"/>
    <w:rsid w:val="009D1038"/>
    <w:rsid w:val="009D18BB"/>
    <w:rsid w:val="009D3047"/>
    <w:rsid w:val="009D30CE"/>
    <w:rsid w:val="009D4384"/>
    <w:rsid w:val="009D45DD"/>
    <w:rsid w:val="009D54B7"/>
    <w:rsid w:val="009D5FF4"/>
    <w:rsid w:val="009D7368"/>
    <w:rsid w:val="009E05BF"/>
    <w:rsid w:val="009E1002"/>
    <w:rsid w:val="009E3058"/>
    <w:rsid w:val="009E6B8D"/>
    <w:rsid w:val="009E6E89"/>
    <w:rsid w:val="009F2A2D"/>
    <w:rsid w:val="009F31E1"/>
    <w:rsid w:val="009F42D7"/>
    <w:rsid w:val="009F5F08"/>
    <w:rsid w:val="009F76B0"/>
    <w:rsid w:val="00A03ED8"/>
    <w:rsid w:val="00A05E00"/>
    <w:rsid w:val="00A06B18"/>
    <w:rsid w:val="00A06FCD"/>
    <w:rsid w:val="00A07076"/>
    <w:rsid w:val="00A10845"/>
    <w:rsid w:val="00A108CE"/>
    <w:rsid w:val="00A110F3"/>
    <w:rsid w:val="00A114D4"/>
    <w:rsid w:val="00A11B35"/>
    <w:rsid w:val="00A11B42"/>
    <w:rsid w:val="00A125FC"/>
    <w:rsid w:val="00A20D58"/>
    <w:rsid w:val="00A21D92"/>
    <w:rsid w:val="00A22903"/>
    <w:rsid w:val="00A248F6"/>
    <w:rsid w:val="00A26F4B"/>
    <w:rsid w:val="00A316CF"/>
    <w:rsid w:val="00A31A83"/>
    <w:rsid w:val="00A32229"/>
    <w:rsid w:val="00A332AA"/>
    <w:rsid w:val="00A35994"/>
    <w:rsid w:val="00A41602"/>
    <w:rsid w:val="00A47850"/>
    <w:rsid w:val="00A51636"/>
    <w:rsid w:val="00A538CA"/>
    <w:rsid w:val="00A54D48"/>
    <w:rsid w:val="00A5539E"/>
    <w:rsid w:val="00A64647"/>
    <w:rsid w:val="00A67014"/>
    <w:rsid w:val="00A67399"/>
    <w:rsid w:val="00A67476"/>
    <w:rsid w:val="00A717F2"/>
    <w:rsid w:val="00A734EA"/>
    <w:rsid w:val="00A745E0"/>
    <w:rsid w:val="00A74EC0"/>
    <w:rsid w:val="00A765B1"/>
    <w:rsid w:val="00A80084"/>
    <w:rsid w:val="00A81E29"/>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5ABD"/>
    <w:rsid w:val="00AD5B18"/>
    <w:rsid w:val="00AE2929"/>
    <w:rsid w:val="00AE2A2C"/>
    <w:rsid w:val="00AE78F4"/>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725"/>
    <w:rsid w:val="00B04A33"/>
    <w:rsid w:val="00B055A6"/>
    <w:rsid w:val="00B05831"/>
    <w:rsid w:val="00B06730"/>
    <w:rsid w:val="00B06EED"/>
    <w:rsid w:val="00B10C8E"/>
    <w:rsid w:val="00B112A6"/>
    <w:rsid w:val="00B11F22"/>
    <w:rsid w:val="00B1282C"/>
    <w:rsid w:val="00B12A00"/>
    <w:rsid w:val="00B12B34"/>
    <w:rsid w:val="00B12C96"/>
    <w:rsid w:val="00B12F08"/>
    <w:rsid w:val="00B162F0"/>
    <w:rsid w:val="00B16830"/>
    <w:rsid w:val="00B177A0"/>
    <w:rsid w:val="00B17DF5"/>
    <w:rsid w:val="00B21903"/>
    <w:rsid w:val="00B21F8F"/>
    <w:rsid w:val="00B23F35"/>
    <w:rsid w:val="00B24F51"/>
    <w:rsid w:val="00B251B1"/>
    <w:rsid w:val="00B262F7"/>
    <w:rsid w:val="00B27379"/>
    <w:rsid w:val="00B27B88"/>
    <w:rsid w:val="00B308E5"/>
    <w:rsid w:val="00B310DB"/>
    <w:rsid w:val="00B3359F"/>
    <w:rsid w:val="00B357FD"/>
    <w:rsid w:val="00B37629"/>
    <w:rsid w:val="00B37C90"/>
    <w:rsid w:val="00B434C8"/>
    <w:rsid w:val="00B453D9"/>
    <w:rsid w:val="00B455EA"/>
    <w:rsid w:val="00B46072"/>
    <w:rsid w:val="00B46F1C"/>
    <w:rsid w:val="00B471D3"/>
    <w:rsid w:val="00B5444E"/>
    <w:rsid w:val="00B55F09"/>
    <w:rsid w:val="00B561F4"/>
    <w:rsid w:val="00B57E54"/>
    <w:rsid w:val="00B611F1"/>
    <w:rsid w:val="00B63084"/>
    <w:rsid w:val="00B64DB6"/>
    <w:rsid w:val="00B669A2"/>
    <w:rsid w:val="00B7062A"/>
    <w:rsid w:val="00B7179C"/>
    <w:rsid w:val="00B73BBA"/>
    <w:rsid w:val="00B76348"/>
    <w:rsid w:val="00B769BE"/>
    <w:rsid w:val="00B77188"/>
    <w:rsid w:val="00B805D2"/>
    <w:rsid w:val="00B80C95"/>
    <w:rsid w:val="00B82861"/>
    <w:rsid w:val="00B82A9D"/>
    <w:rsid w:val="00B82C9D"/>
    <w:rsid w:val="00B83B25"/>
    <w:rsid w:val="00B85727"/>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204B"/>
    <w:rsid w:val="00BC4936"/>
    <w:rsid w:val="00BD308B"/>
    <w:rsid w:val="00BD384C"/>
    <w:rsid w:val="00BD3E48"/>
    <w:rsid w:val="00BD734C"/>
    <w:rsid w:val="00BE1838"/>
    <w:rsid w:val="00BE2802"/>
    <w:rsid w:val="00BE401B"/>
    <w:rsid w:val="00BE7069"/>
    <w:rsid w:val="00BE7FEE"/>
    <w:rsid w:val="00BF040F"/>
    <w:rsid w:val="00BF3AEA"/>
    <w:rsid w:val="00BF3BD2"/>
    <w:rsid w:val="00BF3D41"/>
    <w:rsid w:val="00BF6DD2"/>
    <w:rsid w:val="00C035C8"/>
    <w:rsid w:val="00C04AD7"/>
    <w:rsid w:val="00C05936"/>
    <w:rsid w:val="00C06391"/>
    <w:rsid w:val="00C1144F"/>
    <w:rsid w:val="00C1326A"/>
    <w:rsid w:val="00C13476"/>
    <w:rsid w:val="00C139E0"/>
    <w:rsid w:val="00C13CB7"/>
    <w:rsid w:val="00C13F06"/>
    <w:rsid w:val="00C155E2"/>
    <w:rsid w:val="00C15D54"/>
    <w:rsid w:val="00C21602"/>
    <w:rsid w:val="00C219FC"/>
    <w:rsid w:val="00C21A9F"/>
    <w:rsid w:val="00C21B4F"/>
    <w:rsid w:val="00C23177"/>
    <w:rsid w:val="00C274D2"/>
    <w:rsid w:val="00C275F4"/>
    <w:rsid w:val="00C30186"/>
    <w:rsid w:val="00C3030B"/>
    <w:rsid w:val="00C31A39"/>
    <w:rsid w:val="00C34706"/>
    <w:rsid w:val="00C35AD3"/>
    <w:rsid w:val="00C35ADC"/>
    <w:rsid w:val="00C3636C"/>
    <w:rsid w:val="00C364B0"/>
    <w:rsid w:val="00C36B06"/>
    <w:rsid w:val="00C415EB"/>
    <w:rsid w:val="00C41B59"/>
    <w:rsid w:val="00C43510"/>
    <w:rsid w:val="00C50CF0"/>
    <w:rsid w:val="00C52EA8"/>
    <w:rsid w:val="00C54D76"/>
    <w:rsid w:val="00C5521F"/>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78CC"/>
    <w:rsid w:val="00CD09C6"/>
    <w:rsid w:val="00CD2DF8"/>
    <w:rsid w:val="00CD4177"/>
    <w:rsid w:val="00CD4635"/>
    <w:rsid w:val="00CD48D5"/>
    <w:rsid w:val="00CD49A8"/>
    <w:rsid w:val="00CD7C93"/>
    <w:rsid w:val="00CE0B66"/>
    <w:rsid w:val="00CF1502"/>
    <w:rsid w:val="00CF1523"/>
    <w:rsid w:val="00CF350A"/>
    <w:rsid w:val="00CF3BCA"/>
    <w:rsid w:val="00CF631D"/>
    <w:rsid w:val="00CF76B2"/>
    <w:rsid w:val="00CF7B21"/>
    <w:rsid w:val="00CF7EE2"/>
    <w:rsid w:val="00D03BAF"/>
    <w:rsid w:val="00D04B6A"/>
    <w:rsid w:val="00D0577C"/>
    <w:rsid w:val="00D05CD1"/>
    <w:rsid w:val="00D0668B"/>
    <w:rsid w:val="00D07446"/>
    <w:rsid w:val="00D12443"/>
    <w:rsid w:val="00D13785"/>
    <w:rsid w:val="00D137E2"/>
    <w:rsid w:val="00D13B17"/>
    <w:rsid w:val="00D20BE8"/>
    <w:rsid w:val="00D22BFB"/>
    <w:rsid w:val="00D2593A"/>
    <w:rsid w:val="00D30D3B"/>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62AD0"/>
    <w:rsid w:val="00D63842"/>
    <w:rsid w:val="00D66A05"/>
    <w:rsid w:val="00D66CCA"/>
    <w:rsid w:val="00D72E0C"/>
    <w:rsid w:val="00D73973"/>
    <w:rsid w:val="00D73C35"/>
    <w:rsid w:val="00D74510"/>
    <w:rsid w:val="00D74799"/>
    <w:rsid w:val="00D76D59"/>
    <w:rsid w:val="00D80029"/>
    <w:rsid w:val="00D81CD2"/>
    <w:rsid w:val="00D86E50"/>
    <w:rsid w:val="00D91F24"/>
    <w:rsid w:val="00D93CF3"/>
    <w:rsid w:val="00D96168"/>
    <w:rsid w:val="00D970D6"/>
    <w:rsid w:val="00DA1D69"/>
    <w:rsid w:val="00DA1E84"/>
    <w:rsid w:val="00DA316E"/>
    <w:rsid w:val="00DA3FAF"/>
    <w:rsid w:val="00DA5B34"/>
    <w:rsid w:val="00DA7ABB"/>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D7E"/>
    <w:rsid w:val="00DD6179"/>
    <w:rsid w:val="00DD626C"/>
    <w:rsid w:val="00DD7B4F"/>
    <w:rsid w:val="00DE12BB"/>
    <w:rsid w:val="00DE1CAC"/>
    <w:rsid w:val="00DE445E"/>
    <w:rsid w:val="00DE488A"/>
    <w:rsid w:val="00DE570A"/>
    <w:rsid w:val="00DE76EC"/>
    <w:rsid w:val="00DF5F07"/>
    <w:rsid w:val="00DF7E4C"/>
    <w:rsid w:val="00E00749"/>
    <w:rsid w:val="00E040E4"/>
    <w:rsid w:val="00E05E07"/>
    <w:rsid w:val="00E1115F"/>
    <w:rsid w:val="00E12F81"/>
    <w:rsid w:val="00E13A4A"/>
    <w:rsid w:val="00E144AF"/>
    <w:rsid w:val="00E15BA8"/>
    <w:rsid w:val="00E15CDE"/>
    <w:rsid w:val="00E16C74"/>
    <w:rsid w:val="00E16D71"/>
    <w:rsid w:val="00E20A81"/>
    <w:rsid w:val="00E21132"/>
    <w:rsid w:val="00E2453F"/>
    <w:rsid w:val="00E2484B"/>
    <w:rsid w:val="00E26F71"/>
    <w:rsid w:val="00E26FE5"/>
    <w:rsid w:val="00E33D05"/>
    <w:rsid w:val="00E34AC7"/>
    <w:rsid w:val="00E35CC3"/>
    <w:rsid w:val="00E37031"/>
    <w:rsid w:val="00E42660"/>
    <w:rsid w:val="00E42674"/>
    <w:rsid w:val="00E42DC5"/>
    <w:rsid w:val="00E42EA9"/>
    <w:rsid w:val="00E44F4B"/>
    <w:rsid w:val="00E46B80"/>
    <w:rsid w:val="00E502E9"/>
    <w:rsid w:val="00E504BE"/>
    <w:rsid w:val="00E52ADF"/>
    <w:rsid w:val="00E53A8F"/>
    <w:rsid w:val="00E547EA"/>
    <w:rsid w:val="00E55B06"/>
    <w:rsid w:val="00E57C69"/>
    <w:rsid w:val="00E638B5"/>
    <w:rsid w:val="00E65A09"/>
    <w:rsid w:val="00E774C8"/>
    <w:rsid w:val="00E83F18"/>
    <w:rsid w:val="00E87247"/>
    <w:rsid w:val="00E90E26"/>
    <w:rsid w:val="00E90F82"/>
    <w:rsid w:val="00E92342"/>
    <w:rsid w:val="00E9368E"/>
    <w:rsid w:val="00E93BBC"/>
    <w:rsid w:val="00E94DC7"/>
    <w:rsid w:val="00E9511E"/>
    <w:rsid w:val="00E95CA5"/>
    <w:rsid w:val="00E96B38"/>
    <w:rsid w:val="00E9766E"/>
    <w:rsid w:val="00EA7EE5"/>
    <w:rsid w:val="00EB055A"/>
    <w:rsid w:val="00EB08E8"/>
    <w:rsid w:val="00EB48DA"/>
    <w:rsid w:val="00EB5BC1"/>
    <w:rsid w:val="00EB7BB0"/>
    <w:rsid w:val="00EC1D94"/>
    <w:rsid w:val="00EC2F36"/>
    <w:rsid w:val="00EC3E9B"/>
    <w:rsid w:val="00EC4A4F"/>
    <w:rsid w:val="00EC5A80"/>
    <w:rsid w:val="00EC6AF1"/>
    <w:rsid w:val="00EC6B92"/>
    <w:rsid w:val="00ED449D"/>
    <w:rsid w:val="00ED56C2"/>
    <w:rsid w:val="00ED7408"/>
    <w:rsid w:val="00EE39B7"/>
    <w:rsid w:val="00EE3AD3"/>
    <w:rsid w:val="00EE3BAF"/>
    <w:rsid w:val="00EE4470"/>
    <w:rsid w:val="00EE7CF0"/>
    <w:rsid w:val="00EF09DA"/>
    <w:rsid w:val="00EF13AD"/>
    <w:rsid w:val="00EF21AC"/>
    <w:rsid w:val="00EF3291"/>
    <w:rsid w:val="00EF6392"/>
    <w:rsid w:val="00EF6986"/>
    <w:rsid w:val="00EF6A0B"/>
    <w:rsid w:val="00EF7236"/>
    <w:rsid w:val="00F02AEB"/>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FE"/>
    <w:rsid w:val="00F4737F"/>
    <w:rsid w:val="00F511C7"/>
    <w:rsid w:val="00F53079"/>
    <w:rsid w:val="00F5375B"/>
    <w:rsid w:val="00F57256"/>
    <w:rsid w:val="00F5734B"/>
    <w:rsid w:val="00F609B7"/>
    <w:rsid w:val="00F67A15"/>
    <w:rsid w:val="00F67B44"/>
    <w:rsid w:val="00F71F07"/>
    <w:rsid w:val="00F72BD9"/>
    <w:rsid w:val="00F753F6"/>
    <w:rsid w:val="00F80186"/>
    <w:rsid w:val="00F80CA1"/>
    <w:rsid w:val="00F817A3"/>
    <w:rsid w:val="00F8266F"/>
    <w:rsid w:val="00F83E20"/>
    <w:rsid w:val="00F85774"/>
    <w:rsid w:val="00F92360"/>
    <w:rsid w:val="00F92E4D"/>
    <w:rsid w:val="00F92FCB"/>
    <w:rsid w:val="00F96A81"/>
    <w:rsid w:val="00F97E15"/>
    <w:rsid w:val="00FA0C2E"/>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513C"/>
    <w:rsid w:val="00FD636B"/>
    <w:rsid w:val="00FD71B8"/>
    <w:rsid w:val="00FE10DE"/>
    <w:rsid w:val="00FE1856"/>
    <w:rsid w:val="00FE3FD1"/>
    <w:rsid w:val="00FE4E9C"/>
    <w:rsid w:val="00FE51FB"/>
    <w:rsid w:val="00FE74FE"/>
    <w:rsid w:val="00FF02F3"/>
    <w:rsid w:val="00FF0626"/>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Title"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rFonts w:eastAsiaTheme="minorEastAsia"/>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E42674"/>
    <w:pPr>
      <w:tabs>
        <w:tab w:val="clear" w:pos="1021"/>
      </w:tabs>
      <w:suppressAutoHyphens w:val="0"/>
      <w:snapToGrid w:val="0"/>
      <w:spacing w:line="240" w:lineRule="auto"/>
      <w:ind w:left="0" w:right="0" w:firstLine="0"/>
    </w:pPr>
    <w:rPr>
      <w:rFonts w:eastAsiaTheme="minorEastAsia"/>
      <w:sz w:val="16"/>
      <w:szCs w:val="16"/>
      <w:lang w:val="en-US" w:eastAsia="ko-KR"/>
    </w:rPr>
  </w:style>
  <w:style w:type="character" w:customStyle="1" w:styleId="FootnoteChar">
    <w:name w:val="Footnote Char"/>
    <w:basedOn w:val="FootnoteTextChar"/>
    <w:link w:val="Footnote"/>
    <w:rsid w:val="00E42674"/>
    <w:rPr>
      <w:rFonts w:eastAsiaTheme="minorEastAsi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Title"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rFonts w:eastAsiaTheme="minorEastAsia"/>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E42674"/>
    <w:pPr>
      <w:tabs>
        <w:tab w:val="clear" w:pos="1021"/>
      </w:tabs>
      <w:suppressAutoHyphens w:val="0"/>
      <w:snapToGrid w:val="0"/>
      <w:spacing w:line="240" w:lineRule="auto"/>
      <w:ind w:left="0" w:right="0" w:firstLine="0"/>
    </w:pPr>
    <w:rPr>
      <w:rFonts w:eastAsiaTheme="minorEastAsia"/>
      <w:sz w:val="16"/>
      <w:szCs w:val="16"/>
      <w:lang w:val="en-US" w:eastAsia="ko-KR"/>
    </w:rPr>
  </w:style>
  <w:style w:type="character" w:customStyle="1" w:styleId="FootnoteChar">
    <w:name w:val="Footnote Char"/>
    <w:basedOn w:val="FootnoteTextChar"/>
    <w:link w:val="Footnote"/>
    <w:rsid w:val="00E42674"/>
    <w:rPr>
      <w:rFonts w:eastAsiaTheme="minorEastAsi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idh.org/IMG/pdf/rapport_lea_uk-lddouble.pdf" TargetMode="External"/><Relationship Id="rId2" Type="http://schemas.openxmlformats.org/officeDocument/2006/relationships/hyperlink" Target="http://digitalcommons.wcl.american.edu/cgi/viewcontent.cgi?article=1027&amp;context=facsch_lawrev" TargetMode="External"/><Relationship Id="rId1" Type="http://schemas.openxmlformats.org/officeDocument/2006/relationships/hyperlink" Target="http://dx.doi.org/10.1093/iclq/52.3.749" TargetMode="External"/><Relationship Id="rId6" Type="http://schemas.openxmlformats.org/officeDocument/2006/relationships/hyperlink" Target="https://www.cejil.org/sites/default/files/legacy_files/Report20_ENpdf.pdf" TargetMode="External"/><Relationship Id="rId5" Type="http://schemas.openxmlformats.org/officeDocument/2006/relationships/hyperlink" Target="https://www.cejil.org/sites/default/files/legacy_files/Report20_ENpdf.pdf" TargetMode="External"/><Relationship Id="rId4" Type="http://schemas.openxmlformats.org/officeDocument/2006/relationships/hyperlink" Target="http://www.coe.int/t/dghl/monitoring/execution/Source/Publications/CM_annreport2014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808E3-C41A-43C2-822E-5EF25A146B33}"/>
</file>

<file path=customXml/itemProps2.xml><?xml version="1.0" encoding="utf-8"?>
<ds:datastoreItem xmlns:ds="http://schemas.openxmlformats.org/officeDocument/2006/customXml" ds:itemID="{E6D0CBDC-893F-4F92-9516-90252C824AFA}"/>
</file>

<file path=customXml/itemProps3.xml><?xml version="1.0" encoding="utf-8"?>
<ds:datastoreItem xmlns:ds="http://schemas.openxmlformats.org/officeDocument/2006/customXml" ds:itemID="{065B0CA8-5AB2-49A8-8207-F3DC36BC430F}"/>
</file>

<file path=customXml/itemProps4.xml><?xml version="1.0" encoding="utf-8"?>
<ds:datastoreItem xmlns:ds="http://schemas.openxmlformats.org/officeDocument/2006/customXml" ds:itemID="{475077D3-997B-4E91-9DF6-DFBFF58A5562}"/>
</file>

<file path=customXml/itemProps5.xml><?xml version="1.0" encoding="utf-8"?>
<ds:datastoreItem xmlns:ds="http://schemas.openxmlformats.org/officeDocument/2006/customXml" ds:itemID="{9C798EB0-90B0-48B5-BEF4-49EDAB698D38}"/>
</file>

<file path=docProps/app.xml><?xml version="1.0" encoding="utf-8"?>
<Properties xmlns="http://schemas.openxmlformats.org/officeDocument/2006/extended-properties" xmlns:vt="http://schemas.openxmlformats.org/officeDocument/2006/docPropsVTypes">
  <Template>A_E.dotm</Template>
  <TotalTime>6</TotalTime>
  <Pages>24</Pages>
  <Words>10991</Words>
  <Characters>62649</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Draft 11 February 2016</vt:lpstr>
    </vt:vector>
  </TitlesOfParts>
  <Company>CSD</Company>
  <LinksUpToDate>false</LinksUpToDate>
  <CharactersWithSpaces>73494</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KIRBY</dc:creator>
  <cp:lastModifiedBy>Danielle KIRBY</cp:lastModifiedBy>
  <cp:revision>2</cp:revision>
  <cp:lastPrinted>2017-02-09T13:57:00Z</cp:lastPrinted>
  <dcterms:created xsi:type="dcterms:W3CDTF">2017-02-10T11:29:00Z</dcterms:created>
  <dcterms:modified xsi:type="dcterms:W3CDTF">2017-02-10T11:29:00Z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